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04A53B" w14:textId="77777777" w:rsidR="00CA2EE6" w:rsidRDefault="00CA2EE6">
      <w:pPr>
        <w:pStyle w:val="Body"/>
      </w:pPr>
      <w:bookmarkStart w:id="0" w:name="_GoBack"/>
      <w:bookmarkEnd w:id="0"/>
    </w:p>
    <w:p w14:paraId="32438953" w14:textId="77777777" w:rsidR="00CA2EE6" w:rsidRDefault="00CA2EE6">
      <w:pPr>
        <w:pStyle w:val="Body"/>
      </w:pPr>
    </w:p>
    <w:p w14:paraId="63F7F42A" w14:textId="77777777" w:rsidR="00CA2EE6" w:rsidRDefault="00CA2EE6">
      <w:pPr>
        <w:pStyle w:val="Body"/>
      </w:pPr>
    </w:p>
    <w:p w14:paraId="3A5EE63F" w14:textId="77777777" w:rsidR="00CA2EE6" w:rsidRDefault="00CA2EE6">
      <w:pPr>
        <w:pStyle w:val="Body"/>
      </w:pPr>
    </w:p>
    <w:p w14:paraId="65B3C372" w14:textId="77777777" w:rsidR="00CA2EE6" w:rsidRDefault="00CA2EE6">
      <w:pPr>
        <w:pStyle w:val="Body"/>
      </w:pPr>
    </w:p>
    <w:p w14:paraId="3C5DCDF9" w14:textId="77777777" w:rsidR="00CA2EE6" w:rsidRDefault="00CA2EE6">
      <w:pPr>
        <w:pStyle w:val="Body"/>
      </w:pPr>
    </w:p>
    <w:p w14:paraId="75B38FF6" w14:textId="77777777" w:rsidR="00CA2EE6" w:rsidRDefault="00CA2EE6">
      <w:pPr>
        <w:pStyle w:val="Body"/>
      </w:pPr>
    </w:p>
    <w:p w14:paraId="04A6CDA7" w14:textId="77777777" w:rsidR="00CA2EE6" w:rsidRDefault="00CA2EE6">
      <w:pPr>
        <w:pStyle w:val="Body"/>
      </w:pPr>
    </w:p>
    <w:p w14:paraId="0E2C27C2" w14:textId="77777777" w:rsidR="00CA2EE6" w:rsidRDefault="00CA2EE6">
      <w:pPr>
        <w:pStyle w:val="Body"/>
      </w:pPr>
    </w:p>
    <w:p w14:paraId="4EFDF7C5" w14:textId="77777777" w:rsidR="00CA2EE6" w:rsidRDefault="00CA2EE6">
      <w:pPr>
        <w:pStyle w:val="Body"/>
      </w:pPr>
    </w:p>
    <w:p w14:paraId="0017268C" w14:textId="77777777" w:rsidR="00CA2EE6" w:rsidRDefault="00CA2EE6">
      <w:pPr>
        <w:pStyle w:val="Body"/>
      </w:pPr>
    </w:p>
    <w:p w14:paraId="132E8481" w14:textId="77777777" w:rsidR="00CA2EE6" w:rsidRDefault="00CA2EE6">
      <w:pPr>
        <w:pStyle w:val="Body"/>
      </w:pPr>
    </w:p>
    <w:p w14:paraId="7A9E12D1" w14:textId="77777777" w:rsidR="00CA2EE6" w:rsidRDefault="00CA2EE6">
      <w:pPr>
        <w:pStyle w:val="Body"/>
      </w:pPr>
    </w:p>
    <w:p w14:paraId="1D44CE23" w14:textId="77777777" w:rsidR="00CA2EE6" w:rsidRDefault="00CA2EE6">
      <w:pPr>
        <w:pStyle w:val="Body"/>
      </w:pPr>
    </w:p>
    <w:p w14:paraId="73A4DFDD" w14:textId="77777777" w:rsidR="00CA2EE6" w:rsidRDefault="00CA2EE6">
      <w:pPr>
        <w:pStyle w:val="Body"/>
      </w:pPr>
    </w:p>
    <w:p w14:paraId="172D289C" w14:textId="77777777" w:rsidR="00CA2EE6" w:rsidRDefault="00CA2EE6">
      <w:pPr>
        <w:pStyle w:val="Body"/>
        <w:rPr>
          <w:sz w:val="30"/>
          <w:szCs w:val="30"/>
          <w:u w:val="single"/>
        </w:rPr>
      </w:pPr>
    </w:p>
    <w:p w14:paraId="3A7B9DF2" w14:textId="77777777" w:rsidR="00CA2EE6" w:rsidRDefault="00BC5FFA">
      <w:pPr>
        <w:pStyle w:val="Body"/>
        <w:rPr>
          <w:sz w:val="30"/>
          <w:szCs w:val="30"/>
          <w:u w:val="single"/>
        </w:rPr>
      </w:pPr>
      <w:r>
        <w:rPr>
          <w:sz w:val="30"/>
          <w:szCs w:val="30"/>
          <w:u w:val="single"/>
          <w:lang w:val="en-US"/>
        </w:rPr>
        <w:t>ADENDUM TO PRODUCTIVITY COMMISSION DRAFT REPORT ‘A BETTER WAY TO SUPPORT VETERANS.- RESPONSE FROM ISAA</w:t>
      </w:r>
    </w:p>
    <w:p w14:paraId="33672C60" w14:textId="77777777" w:rsidR="00CA2EE6" w:rsidRDefault="00CA2EE6">
      <w:pPr>
        <w:pStyle w:val="Body"/>
        <w:rPr>
          <w:sz w:val="30"/>
          <w:szCs w:val="30"/>
          <w:u w:val="single"/>
        </w:rPr>
      </w:pPr>
    </w:p>
    <w:p w14:paraId="181E2217" w14:textId="77777777" w:rsidR="00CA2EE6" w:rsidRDefault="00CA2EE6">
      <w:pPr>
        <w:pStyle w:val="Body"/>
        <w:rPr>
          <w:sz w:val="30"/>
          <w:szCs w:val="30"/>
        </w:rPr>
      </w:pPr>
    </w:p>
    <w:p w14:paraId="570E7D35" w14:textId="77777777" w:rsidR="00CA2EE6" w:rsidRDefault="00BC5FFA">
      <w:pPr>
        <w:pStyle w:val="Body"/>
        <w:rPr>
          <w:sz w:val="30"/>
          <w:szCs w:val="30"/>
          <w:shd w:val="clear" w:color="auto" w:fill="FFE061"/>
        </w:rPr>
      </w:pPr>
      <w:r>
        <w:rPr>
          <w:sz w:val="30"/>
          <w:szCs w:val="30"/>
          <w:shd w:val="clear" w:color="auto" w:fill="FFE061"/>
          <w:lang w:val="en-US"/>
        </w:rPr>
        <w:t>Information Request 15.1</w:t>
      </w:r>
    </w:p>
    <w:p w14:paraId="61E64493" w14:textId="77777777" w:rsidR="00CA2EE6" w:rsidRDefault="00CA2EE6">
      <w:pPr>
        <w:pStyle w:val="Body"/>
        <w:rPr>
          <w:sz w:val="30"/>
          <w:szCs w:val="30"/>
          <w:shd w:val="clear" w:color="auto" w:fill="FFE061"/>
        </w:rPr>
      </w:pPr>
    </w:p>
    <w:p w14:paraId="59E1B1F0" w14:textId="77777777" w:rsidR="00CA2EE6" w:rsidRDefault="00BC5FFA">
      <w:pPr>
        <w:pStyle w:val="Body"/>
        <w:rPr>
          <w:sz w:val="30"/>
          <w:szCs w:val="30"/>
        </w:rPr>
      </w:pPr>
      <w:r>
        <w:rPr>
          <w:sz w:val="30"/>
          <w:szCs w:val="30"/>
          <w:lang w:val="en-US"/>
        </w:rPr>
        <w:t>Given the Gold Card runs counter to a number of key design principles,…</w:t>
      </w:r>
    </w:p>
    <w:p w14:paraId="42742BAA" w14:textId="77777777" w:rsidR="00CA2EE6" w:rsidRDefault="00CA2EE6">
      <w:pPr>
        <w:pStyle w:val="Body"/>
        <w:rPr>
          <w:sz w:val="30"/>
          <w:szCs w:val="30"/>
        </w:rPr>
      </w:pPr>
    </w:p>
    <w:p w14:paraId="7DBBECAD" w14:textId="77777777" w:rsidR="00CA2EE6" w:rsidRDefault="00BC5FFA">
      <w:pPr>
        <w:pStyle w:val="Body"/>
        <w:rPr>
          <w:i/>
          <w:iCs/>
          <w:sz w:val="30"/>
          <w:szCs w:val="30"/>
        </w:rPr>
      </w:pPr>
      <w:r>
        <w:rPr>
          <w:i/>
          <w:iCs/>
          <w:sz w:val="30"/>
          <w:szCs w:val="30"/>
          <w:lang w:val="en-US"/>
        </w:rPr>
        <w:t>Please give examples of key design principles!</w:t>
      </w:r>
    </w:p>
    <w:p w14:paraId="2D739379" w14:textId="77777777" w:rsidR="00CA2EE6" w:rsidRDefault="00CA2EE6">
      <w:pPr>
        <w:pStyle w:val="Body"/>
        <w:rPr>
          <w:i/>
          <w:iCs/>
          <w:sz w:val="30"/>
          <w:szCs w:val="30"/>
        </w:rPr>
      </w:pPr>
    </w:p>
    <w:p w14:paraId="45ED4EB7" w14:textId="77777777" w:rsidR="00CA2EE6" w:rsidRDefault="00BC5FFA">
      <w:pPr>
        <w:pStyle w:val="Body"/>
        <w:rPr>
          <w:sz w:val="30"/>
          <w:szCs w:val="30"/>
        </w:rPr>
      </w:pPr>
      <w:r>
        <w:rPr>
          <w:sz w:val="30"/>
          <w:szCs w:val="30"/>
          <w:lang w:val="en-US"/>
        </w:rPr>
        <w:t>In particular the Commission is seeking feedback on the benefits and costs of providing the Gold Card to dependents, service pensioners and veterans with qualifying service at age 70.</w:t>
      </w:r>
    </w:p>
    <w:p w14:paraId="3BF1A071" w14:textId="77777777" w:rsidR="00CA2EE6" w:rsidRDefault="00CA2EE6">
      <w:pPr>
        <w:pStyle w:val="Body"/>
        <w:rPr>
          <w:sz w:val="30"/>
          <w:szCs w:val="30"/>
        </w:rPr>
      </w:pPr>
    </w:p>
    <w:p w14:paraId="3FA4E059" w14:textId="77777777" w:rsidR="00CA2EE6" w:rsidRDefault="00BC5FFA">
      <w:pPr>
        <w:pStyle w:val="Body"/>
        <w:rPr>
          <w:i/>
          <w:iCs/>
          <w:sz w:val="30"/>
          <w:szCs w:val="30"/>
        </w:rPr>
      </w:pPr>
      <w:r>
        <w:rPr>
          <w:i/>
          <w:iCs/>
          <w:sz w:val="30"/>
          <w:szCs w:val="30"/>
          <w:lang w:val="en-US"/>
        </w:rPr>
        <w:t>Service Pensioners with qualifying service and have 50 % disability pension at age 70 (VEA) are entitled to the Gold Card. Veterans with any amount of Serv</w:t>
      </w:r>
      <w:r>
        <w:rPr>
          <w:noProof/>
          <w:lang w:eastAsia="en-AU"/>
        </w:rPr>
        <mc:AlternateContent>
          <mc:Choice Requires="wps">
            <w:drawing>
              <wp:anchor distT="0" distB="0" distL="0" distR="0" simplePos="0" relativeHeight="251659264" behindDoc="0" locked="0" layoutInCell="1" allowOverlap="1" wp14:anchorId="49D8A2A1" wp14:editId="16E3E09E">
                <wp:simplePos x="0" y="0"/>
                <wp:positionH relativeFrom="page">
                  <wp:posOffset>539999</wp:posOffset>
                </wp:positionH>
                <wp:positionV relativeFrom="page">
                  <wp:posOffset>142980</wp:posOffset>
                </wp:positionV>
                <wp:extent cx="6476882" cy="2400052"/>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476882" cy="2400052"/>
                        </a:xfrm>
                        <a:prstGeom prst="rect">
                          <a:avLst/>
                        </a:prstGeom>
                      </wps:spPr>
                      <wps:txbx>
                        <w:txbxContent>
                          <w:tbl>
                            <w:tblPr>
                              <w:tblW w:w="101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11"/>
                              <w:gridCol w:w="2811"/>
                              <w:gridCol w:w="3877"/>
                            </w:tblGrid>
                            <w:tr w:rsidR="00CA2EE6" w14:paraId="62DE3DCF" w14:textId="77777777">
                              <w:trPr>
                                <w:trHeight w:val="960"/>
                              </w:trPr>
                              <w:tc>
                                <w:tcPr>
                                  <w:tcW w:w="10199" w:type="dxa"/>
                                  <w:gridSpan w:val="3"/>
                                  <w:tcBorders>
                                    <w:top w:val="nil"/>
                                    <w:left w:val="nil"/>
                                    <w:bottom w:val="nil"/>
                                    <w:right w:val="nil"/>
                                  </w:tcBorders>
                                  <w:shd w:val="clear" w:color="auto" w:fill="auto"/>
                                  <w:tcMar>
                                    <w:top w:w="80" w:type="dxa"/>
                                    <w:left w:w="80" w:type="dxa"/>
                                    <w:bottom w:w="80" w:type="dxa"/>
                                    <w:right w:w="80" w:type="dxa"/>
                                  </w:tcMar>
                                </w:tcPr>
                                <w:p w14:paraId="52D89C8E" w14:textId="77777777" w:rsidR="00CA2EE6" w:rsidRDefault="00BC5FFA">
                                  <w:pPr>
                                    <w:tabs>
                                      <w:tab w:val="left" w:pos="7122"/>
                                    </w:tabs>
                                    <w:jc w:val="center"/>
                                    <w:rPr>
                                      <w:rFonts w:ascii="Helvetica" w:eastAsia="Helvetica" w:hAnsi="Helvetica" w:cs="Helvetica"/>
                                      <w:b/>
                                      <w:bCs/>
                                    </w:rPr>
                                  </w:pPr>
                                  <w:r>
                                    <w:rPr>
                                      <w:rFonts w:ascii="Helvetica" w:hAnsi="Helvetica"/>
                                      <w:b/>
                                      <w:bCs/>
                                      <w:sz w:val="32"/>
                                      <w:szCs w:val="32"/>
                                    </w:rPr>
                                    <w:t xml:space="preserve">INTEGRATED SERVICEPEOPLE’S ASSOCIATION OF AUSTRALIA </w:t>
                                  </w:r>
                                  <w:r>
                                    <w:rPr>
                                      <w:rFonts w:ascii="Helvetica" w:hAnsi="Helvetica"/>
                                      <w:b/>
                                      <w:bCs/>
                                    </w:rPr>
                                    <w:t>(Inc)</w:t>
                                  </w:r>
                                </w:p>
                                <w:p w14:paraId="5AFACED9" w14:textId="77777777" w:rsidR="00CA2EE6" w:rsidRDefault="00BC5FFA">
                                  <w:pPr>
                                    <w:tabs>
                                      <w:tab w:val="left" w:pos="7122"/>
                                    </w:tabs>
                                    <w:jc w:val="center"/>
                                  </w:pPr>
                                  <w:r>
                                    <w:rPr>
                                      <w:rFonts w:ascii="Helvetica" w:hAnsi="Helvetica"/>
                                      <w:b/>
                                      <w:bCs/>
                                      <w:sz w:val="20"/>
                                      <w:szCs w:val="20"/>
                                    </w:rPr>
                                    <w:t>ABN: 90 268 122 115                          New South Wales                                 Permit No: CFN 18086</w:t>
                                  </w:r>
                                </w:p>
                              </w:tc>
                            </w:tr>
                            <w:tr w:rsidR="00CA2EE6" w14:paraId="39115A95" w14:textId="77777777">
                              <w:trPr>
                                <w:trHeight w:val="290"/>
                              </w:trPr>
                              <w:tc>
                                <w:tcPr>
                                  <w:tcW w:w="10199" w:type="dxa"/>
                                  <w:gridSpan w:val="3"/>
                                  <w:tcBorders>
                                    <w:top w:val="nil"/>
                                    <w:left w:val="nil"/>
                                    <w:bottom w:val="nil"/>
                                    <w:right w:val="nil"/>
                                  </w:tcBorders>
                                  <w:shd w:val="clear" w:color="auto" w:fill="auto"/>
                                  <w:tcMar>
                                    <w:top w:w="80" w:type="dxa"/>
                                    <w:left w:w="80" w:type="dxa"/>
                                    <w:bottom w:w="80" w:type="dxa"/>
                                    <w:right w:w="80" w:type="dxa"/>
                                  </w:tcMar>
                                </w:tcPr>
                                <w:p w14:paraId="02F62C62" w14:textId="77777777" w:rsidR="00CA2EE6" w:rsidRDefault="00BC5FFA">
                                  <w:pPr>
                                    <w:tabs>
                                      <w:tab w:val="left" w:pos="7122"/>
                                    </w:tabs>
                                    <w:jc w:val="right"/>
                                  </w:pPr>
                                  <w:r>
                                    <w:rPr>
                                      <w:b/>
                                      <w:bCs/>
                                      <w:i/>
                                      <w:iCs/>
                                      <w:sz w:val="24"/>
                                      <w:szCs w:val="24"/>
                                    </w:rPr>
                                    <w:t xml:space="preserve"> Official Patrons: Michael McCormack  MP</w:t>
                                  </w:r>
                                </w:p>
                              </w:tc>
                            </w:tr>
                            <w:tr w:rsidR="00CA2EE6" w14:paraId="0EBAA115" w14:textId="77777777">
                              <w:trPr>
                                <w:trHeight w:val="2030"/>
                              </w:trPr>
                              <w:tc>
                                <w:tcPr>
                                  <w:tcW w:w="3511" w:type="dxa"/>
                                  <w:tcBorders>
                                    <w:top w:val="nil"/>
                                    <w:left w:val="nil"/>
                                    <w:bottom w:val="single" w:sz="2" w:space="0" w:color="000000"/>
                                    <w:right w:val="nil"/>
                                  </w:tcBorders>
                                  <w:shd w:val="clear" w:color="auto" w:fill="auto"/>
                                  <w:tcMar>
                                    <w:top w:w="80" w:type="dxa"/>
                                    <w:left w:w="80" w:type="dxa"/>
                                    <w:bottom w:w="80" w:type="dxa"/>
                                    <w:right w:w="80" w:type="dxa"/>
                                  </w:tcMar>
                                </w:tcPr>
                                <w:p w14:paraId="69CCDBB2" w14:textId="77777777" w:rsidR="00CA2EE6" w:rsidRDefault="00BC5FFA">
                                  <w:pPr>
                                    <w:tabs>
                                      <w:tab w:val="left" w:pos="7122"/>
                                      <w:tab w:val="left" w:pos="7412"/>
                                    </w:tabs>
                                    <w:rPr>
                                      <w:sz w:val="24"/>
                                      <w:szCs w:val="24"/>
                                      <w:u w:val="single"/>
                                    </w:rPr>
                                  </w:pPr>
                                  <w:r>
                                    <w:rPr>
                                      <w:sz w:val="24"/>
                                      <w:szCs w:val="24"/>
                                      <w:u w:val="single"/>
                                    </w:rPr>
                                    <w:t>Postal Address:</w:t>
                                  </w:r>
                                </w:p>
                                <w:p w14:paraId="73153D23" w14:textId="77777777" w:rsidR="00CA2EE6" w:rsidRDefault="00BC5FFA">
                                  <w:pPr>
                                    <w:tabs>
                                      <w:tab w:val="left" w:pos="7003"/>
                                    </w:tabs>
                                    <w:rPr>
                                      <w:sz w:val="24"/>
                                      <w:szCs w:val="24"/>
                                      <w:u w:val="single"/>
                                    </w:rPr>
                                  </w:pPr>
                                  <w:r>
                                    <w:rPr>
                                      <w:sz w:val="24"/>
                                      <w:szCs w:val="24"/>
                                    </w:rPr>
                                    <w:t xml:space="preserve">P.O. Box 145, Cootamundra 2590                                                                                                  </w:t>
                                  </w:r>
                                  <w:r>
                                    <w:rPr>
                                      <w:sz w:val="24"/>
                                      <w:szCs w:val="24"/>
                                      <w:u w:val="single"/>
                                    </w:rPr>
                                    <w:t>Reg. Head Office:</w:t>
                                  </w:r>
                                </w:p>
                                <w:p w14:paraId="10D76320" w14:textId="77777777" w:rsidR="00CA2EE6" w:rsidRDefault="00BC5FFA">
                                  <w:pPr>
                                    <w:tabs>
                                      <w:tab w:val="left" w:pos="7003"/>
                                    </w:tabs>
                                    <w:rPr>
                                      <w:sz w:val="24"/>
                                      <w:szCs w:val="24"/>
                                    </w:rPr>
                                  </w:pPr>
                                  <w:r>
                                    <w:rPr>
                                      <w:sz w:val="24"/>
                                      <w:szCs w:val="24"/>
                                    </w:rPr>
                                    <w:t xml:space="preserve">37 </w:t>
                                  </w:r>
                                  <w:proofErr w:type="spellStart"/>
                                  <w:r>
                                    <w:rPr>
                                      <w:sz w:val="24"/>
                                      <w:szCs w:val="24"/>
                                    </w:rPr>
                                    <w:t>Baylis</w:t>
                                  </w:r>
                                  <w:proofErr w:type="spellEnd"/>
                                  <w:r>
                                    <w:rPr>
                                      <w:sz w:val="24"/>
                                      <w:szCs w:val="24"/>
                                    </w:rPr>
                                    <w:t xml:space="preserve"> Street, </w:t>
                                  </w:r>
                                  <w:proofErr w:type="spellStart"/>
                                  <w:r>
                                    <w:rPr>
                                      <w:sz w:val="24"/>
                                      <w:szCs w:val="24"/>
                                    </w:rPr>
                                    <w:t>Bethungra</w:t>
                                  </w:r>
                                  <w:proofErr w:type="spellEnd"/>
                                </w:p>
                                <w:p w14:paraId="32027C65" w14:textId="77777777" w:rsidR="00CA2EE6" w:rsidRDefault="00BC5FFA">
                                  <w:pPr>
                                    <w:tabs>
                                      <w:tab w:val="left" w:pos="7003"/>
                                    </w:tabs>
                                  </w:pPr>
                                  <w:r>
                                    <w:rPr>
                                      <w:sz w:val="24"/>
                                      <w:szCs w:val="24"/>
                                    </w:rPr>
                                    <w:t xml:space="preserve">(By Appointment Only)   </w:t>
                                  </w:r>
                                </w:p>
                              </w:tc>
                              <w:tc>
                                <w:tcPr>
                                  <w:tcW w:w="2811" w:type="dxa"/>
                                  <w:tcBorders>
                                    <w:top w:val="nil"/>
                                    <w:left w:val="nil"/>
                                    <w:bottom w:val="single" w:sz="2" w:space="0" w:color="000000"/>
                                    <w:right w:val="nil"/>
                                  </w:tcBorders>
                                  <w:shd w:val="clear" w:color="auto" w:fill="auto"/>
                                  <w:tcMar>
                                    <w:top w:w="80" w:type="dxa"/>
                                    <w:left w:w="80" w:type="dxa"/>
                                    <w:bottom w:w="80" w:type="dxa"/>
                                    <w:right w:w="80" w:type="dxa"/>
                                  </w:tcMar>
                                </w:tcPr>
                                <w:p w14:paraId="246B0A41" w14:textId="77777777" w:rsidR="00CA2EE6" w:rsidRDefault="00BC5FFA">
                                  <w:pPr>
                                    <w:pStyle w:val="TableStyle2"/>
                                    <w:jc w:val="center"/>
                                  </w:pPr>
                                  <w:r>
                                    <w:rPr>
                                      <w:noProof/>
                                      <w:lang w:eastAsia="en-AU"/>
                                    </w:rPr>
                                    <w:drawing>
                                      <wp:inline distT="0" distB="0" distL="0" distR="0" wp14:anchorId="33FFE1C3" wp14:editId="7A84B54D">
                                        <wp:extent cx="1265013" cy="125832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extLst/>
                                                </a:blip>
                                                <a:stretch>
                                                  <a:fillRect/>
                                                </a:stretch>
                                              </pic:blipFill>
                                              <pic:spPr>
                                                <a:xfrm>
                                                  <a:off x="0" y="0"/>
                                                  <a:ext cx="1265013" cy="1258320"/>
                                                </a:xfrm>
                                                <a:prstGeom prst="rect">
                                                  <a:avLst/>
                                                </a:prstGeom>
                                                <a:effectLst/>
                                              </pic:spPr>
                                            </pic:pic>
                                          </a:graphicData>
                                        </a:graphic>
                                      </wp:inline>
                                    </w:drawing>
                                  </w:r>
                                </w:p>
                              </w:tc>
                              <w:tc>
                                <w:tcPr>
                                  <w:tcW w:w="3877" w:type="dxa"/>
                                  <w:tcBorders>
                                    <w:top w:val="nil"/>
                                    <w:left w:val="nil"/>
                                    <w:bottom w:val="single" w:sz="2" w:space="0" w:color="000000"/>
                                    <w:right w:val="nil"/>
                                  </w:tcBorders>
                                  <w:shd w:val="clear" w:color="auto" w:fill="auto"/>
                                  <w:tcMar>
                                    <w:top w:w="80" w:type="dxa"/>
                                    <w:left w:w="80" w:type="dxa"/>
                                    <w:bottom w:w="80" w:type="dxa"/>
                                    <w:right w:w="80" w:type="dxa"/>
                                  </w:tcMar>
                                </w:tcPr>
                                <w:p w14:paraId="3975381B" w14:textId="77777777" w:rsidR="00CA2EE6" w:rsidRDefault="00CA2EE6">
                                  <w:pPr>
                                    <w:tabs>
                                      <w:tab w:val="left" w:pos="7003"/>
                                    </w:tabs>
                                    <w:rPr>
                                      <w:sz w:val="24"/>
                                      <w:szCs w:val="24"/>
                                    </w:rPr>
                                  </w:pPr>
                                </w:p>
                                <w:p w14:paraId="60F62B23" w14:textId="77777777" w:rsidR="00CA2EE6" w:rsidRDefault="00BC5FFA">
                                  <w:pPr>
                                    <w:tabs>
                                      <w:tab w:val="left" w:pos="7003"/>
                                    </w:tabs>
                                    <w:rPr>
                                      <w:sz w:val="24"/>
                                      <w:szCs w:val="24"/>
                                    </w:rPr>
                                  </w:pPr>
                                  <w:r>
                                    <w:rPr>
                                      <w:sz w:val="24"/>
                                      <w:szCs w:val="24"/>
                                    </w:rPr>
                                    <w:t>Phone:  (02) 6943 4402</w:t>
                                  </w:r>
                                </w:p>
                                <w:p w14:paraId="5EE1DAEB" w14:textId="77777777" w:rsidR="00CA2EE6" w:rsidRDefault="00BC5FFA">
                                  <w:pPr>
                                    <w:tabs>
                                      <w:tab w:val="left" w:pos="7003"/>
                                    </w:tabs>
                                    <w:rPr>
                                      <w:sz w:val="24"/>
                                      <w:szCs w:val="24"/>
                                    </w:rPr>
                                  </w:pPr>
                                  <w:r>
                                    <w:rPr>
                                      <w:sz w:val="24"/>
                                      <w:szCs w:val="24"/>
                                    </w:rPr>
                                    <w:t>Fax:      (02) 6943 4567</w:t>
                                  </w:r>
                                </w:p>
                                <w:p w14:paraId="19985738" w14:textId="77777777" w:rsidR="00CA2EE6" w:rsidRDefault="00BC5FFA">
                                  <w:pPr>
                                    <w:tabs>
                                      <w:tab w:val="left" w:pos="7003"/>
                                    </w:tabs>
                                    <w:rPr>
                                      <w:sz w:val="24"/>
                                      <w:szCs w:val="24"/>
                                    </w:rPr>
                                  </w:pPr>
                                  <w:r>
                                    <w:rPr>
                                      <w:sz w:val="24"/>
                                      <w:szCs w:val="24"/>
                                    </w:rPr>
                                    <w:t>E-mail Address:</w:t>
                                  </w:r>
                                </w:p>
                                <w:p w14:paraId="0456BDC3" w14:textId="77777777" w:rsidR="00CA2EE6" w:rsidRDefault="00E725BA">
                                  <w:pPr>
                                    <w:tabs>
                                      <w:tab w:val="left" w:pos="7003"/>
                                    </w:tabs>
                                  </w:pPr>
                                  <w:hyperlink r:id="rId7" w:history="1">
                                    <w:r w:rsidR="00BC5FFA">
                                      <w:rPr>
                                        <w:rStyle w:val="Hyperlink0"/>
                                        <w:sz w:val="24"/>
                                        <w:szCs w:val="24"/>
                                      </w:rPr>
                                      <w:t>vetshelp@bigpond.com</w:t>
                                    </w:r>
                                  </w:hyperlink>
                                </w:p>
                              </w:tc>
                            </w:tr>
                          </w:tbl>
                          <w:p w14:paraId="28C261CC" w14:textId="77777777" w:rsidR="00A33308" w:rsidRDefault="00A33308"/>
                        </w:txbxContent>
                      </wps:txbx>
                      <wps:bodyPr lIns="0" tIns="0" rIns="0" bIns="0">
                        <a:spAutoFit/>
                      </wps:bodyPr>
                    </wps:wsp>
                  </a:graphicData>
                </a:graphic>
              </wp:anchor>
            </w:drawing>
          </mc:Choice>
          <mc:Fallback>
            <w:pict>
              <v:rect w14:anchorId="49D8A2A1" id="officeArt object" o:spid="_x0000_s1026" style="position:absolute;margin-left:42.5pt;margin-top:11.25pt;width:510pt;height:18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" filled="f" stroked="f">
                <v:textbox style="mso-fit-shape-to-text:t" inset="0,0,0,0">
                  <w:txbxContent>
                    <w:tbl>
                      <w:tblPr>
                        <w:tblW w:w="101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11"/>
                        <w:gridCol w:w="2811"/>
                        <w:gridCol w:w="3877"/>
                      </w:tblGrid>
                      <w:tr w:rsidR="00CA2EE6" w14:paraId="62DE3DCF" w14:textId="77777777">
                        <w:trPr>
                          <w:trHeight w:val="960"/>
                        </w:trPr>
                        <w:tc>
                          <w:tcPr>
                            <w:tcW w:w="10199" w:type="dxa"/>
                            <w:gridSpan w:val="3"/>
                            <w:tcBorders>
                              <w:top w:val="nil"/>
                              <w:left w:val="nil"/>
                              <w:bottom w:val="nil"/>
                              <w:right w:val="nil"/>
                            </w:tcBorders>
                            <w:shd w:val="clear" w:color="auto" w:fill="auto"/>
                            <w:tcMar>
                              <w:top w:w="80" w:type="dxa"/>
                              <w:left w:w="80" w:type="dxa"/>
                              <w:bottom w:w="80" w:type="dxa"/>
                              <w:right w:w="80" w:type="dxa"/>
                            </w:tcMar>
                          </w:tcPr>
                          <w:p w14:paraId="52D89C8E" w14:textId="77777777" w:rsidR="00CA2EE6" w:rsidRDefault="00BC5FFA">
                            <w:pPr>
                              <w:tabs>
                                <w:tab w:val="left" w:pos="7122"/>
                              </w:tabs>
                              <w:jc w:val="center"/>
                              <w:rPr>
                                <w:rFonts w:ascii="Helvetica" w:eastAsia="Helvetica" w:hAnsi="Helvetica" w:cs="Helvetica"/>
                                <w:b/>
                                <w:bCs/>
                              </w:rPr>
                            </w:pPr>
                            <w:r>
                              <w:rPr>
                                <w:rFonts w:ascii="Helvetica" w:hAnsi="Helvetica"/>
                                <w:b/>
                                <w:bCs/>
                                <w:sz w:val="32"/>
                                <w:szCs w:val="32"/>
                              </w:rPr>
                              <w:t xml:space="preserve">INTEGRATED SERVICEPEOPLE’S ASSOCIATION OF AUSTRALIA </w:t>
                            </w:r>
                            <w:r>
                              <w:rPr>
                                <w:rFonts w:ascii="Helvetica" w:hAnsi="Helvetica"/>
                                <w:b/>
                                <w:bCs/>
                              </w:rPr>
                              <w:t>(Inc)</w:t>
                            </w:r>
                          </w:p>
                          <w:p w14:paraId="5AFACED9" w14:textId="77777777" w:rsidR="00CA2EE6" w:rsidRDefault="00BC5FFA">
                            <w:pPr>
                              <w:tabs>
                                <w:tab w:val="left" w:pos="7122"/>
                              </w:tabs>
                              <w:jc w:val="center"/>
                            </w:pPr>
                            <w:r>
                              <w:rPr>
                                <w:rFonts w:ascii="Helvetica" w:hAnsi="Helvetica"/>
                                <w:b/>
                                <w:bCs/>
                                <w:sz w:val="20"/>
                                <w:szCs w:val="20"/>
                              </w:rPr>
                              <w:t>ABN: 90 268 122 115                          New South Wales                                 Permit No: CFN 18086</w:t>
                            </w:r>
                          </w:p>
                        </w:tc>
                      </w:tr>
                      <w:tr w:rsidR="00CA2EE6" w14:paraId="39115A95" w14:textId="77777777">
                        <w:trPr>
                          <w:trHeight w:val="290"/>
                        </w:trPr>
                        <w:tc>
                          <w:tcPr>
                            <w:tcW w:w="10199" w:type="dxa"/>
                            <w:gridSpan w:val="3"/>
                            <w:tcBorders>
                              <w:top w:val="nil"/>
                              <w:left w:val="nil"/>
                              <w:bottom w:val="nil"/>
                              <w:right w:val="nil"/>
                            </w:tcBorders>
                            <w:shd w:val="clear" w:color="auto" w:fill="auto"/>
                            <w:tcMar>
                              <w:top w:w="80" w:type="dxa"/>
                              <w:left w:w="80" w:type="dxa"/>
                              <w:bottom w:w="80" w:type="dxa"/>
                              <w:right w:w="80" w:type="dxa"/>
                            </w:tcMar>
                          </w:tcPr>
                          <w:p w14:paraId="02F62C62" w14:textId="77777777" w:rsidR="00CA2EE6" w:rsidRDefault="00BC5FFA">
                            <w:pPr>
                              <w:tabs>
                                <w:tab w:val="left" w:pos="7122"/>
                              </w:tabs>
                              <w:jc w:val="right"/>
                            </w:pPr>
                            <w:r>
                              <w:rPr>
                                <w:b/>
                                <w:bCs/>
                                <w:i/>
                                <w:iCs/>
                                <w:sz w:val="24"/>
                                <w:szCs w:val="24"/>
                              </w:rPr>
                              <w:t xml:space="preserve"> Official Patrons: Michael McCormack  MP</w:t>
                            </w:r>
                          </w:p>
                        </w:tc>
                      </w:tr>
                      <w:tr w:rsidR="00CA2EE6" w14:paraId="0EBAA115" w14:textId="77777777">
                        <w:trPr>
                          <w:trHeight w:val="2030"/>
                        </w:trPr>
                        <w:tc>
                          <w:tcPr>
                            <w:tcW w:w="3511" w:type="dxa"/>
                            <w:tcBorders>
                              <w:top w:val="nil"/>
                              <w:left w:val="nil"/>
                              <w:bottom w:val="single" w:sz="2" w:space="0" w:color="000000"/>
                              <w:right w:val="nil"/>
                            </w:tcBorders>
                            <w:shd w:val="clear" w:color="auto" w:fill="auto"/>
                            <w:tcMar>
                              <w:top w:w="80" w:type="dxa"/>
                              <w:left w:w="80" w:type="dxa"/>
                              <w:bottom w:w="80" w:type="dxa"/>
                              <w:right w:w="80" w:type="dxa"/>
                            </w:tcMar>
                          </w:tcPr>
                          <w:p w14:paraId="69CCDBB2" w14:textId="77777777" w:rsidR="00CA2EE6" w:rsidRDefault="00BC5FFA">
                            <w:pPr>
                              <w:tabs>
                                <w:tab w:val="left" w:pos="7122"/>
                                <w:tab w:val="left" w:pos="7412"/>
                              </w:tabs>
                              <w:rPr>
                                <w:sz w:val="24"/>
                                <w:szCs w:val="24"/>
                                <w:u w:val="single"/>
                              </w:rPr>
                            </w:pPr>
                            <w:r>
                              <w:rPr>
                                <w:sz w:val="24"/>
                                <w:szCs w:val="24"/>
                                <w:u w:val="single"/>
                              </w:rPr>
                              <w:t>Postal Address:</w:t>
                            </w:r>
                          </w:p>
                          <w:p w14:paraId="73153D23" w14:textId="77777777" w:rsidR="00CA2EE6" w:rsidRDefault="00BC5FFA">
                            <w:pPr>
                              <w:tabs>
                                <w:tab w:val="left" w:pos="7003"/>
                              </w:tabs>
                              <w:rPr>
                                <w:sz w:val="24"/>
                                <w:szCs w:val="24"/>
                                <w:u w:val="single"/>
                              </w:rPr>
                            </w:pPr>
                            <w:r>
                              <w:rPr>
                                <w:sz w:val="24"/>
                                <w:szCs w:val="24"/>
                              </w:rPr>
                              <w:t xml:space="preserve">P.O. Box 145, Cootamundra 2590                                                                                                  </w:t>
                            </w:r>
                            <w:r>
                              <w:rPr>
                                <w:sz w:val="24"/>
                                <w:szCs w:val="24"/>
                                <w:u w:val="single"/>
                              </w:rPr>
                              <w:t>Reg. Head Office:</w:t>
                            </w:r>
                          </w:p>
                          <w:p w14:paraId="10D76320" w14:textId="77777777" w:rsidR="00CA2EE6" w:rsidRDefault="00BC5FFA">
                            <w:pPr>
                              <w:tabs>
                                <w:tab w:val="left" w:pos="7003"/>
                              </w:tabs>
                              <w:rPr>
                                <w:sz w:val="24"/>
                                <w:szCs w:val="24"/>
                              </w:rPr>
                            </w:pPr>
                            <w:r>
                              <w:rPr>
                                <w:sz w:val="24"/>
                                <w:szCs w:val="24"/>
                              </w:rPr>
                              <w:t xml:space="preserve">37 </w:t>
                            </w:r>
                            <w:proofErr w:type="spellStart"/>
                            <w:r>
                              <w:rPr>
                                <w:sz w:val="24"/>
                                <w:szCs w:val="24"/>
                              </w:rPr>
                              <w:t>Baylis</w:t>
                            </w:r>
                            <w:proofErr w:type="spellEnd"/>
                            <w:r>
                              <w:rPr>
                                <w:sz w:val="24"/>
                                <w:szCs w:val="24"/>
                              </w:rPr>
                              <w:t xml:space="preserve"> Street, </w:t>
                            </w:r>
                            <w:proofErr w:type="spellStart"/>
                            <w:r>
                              <w:rPr>
                                <w:sz w:val="24"/>
                                <w:szCs w:val="24"/>
                              </w:rPr>
                              <w:t>Bethungra</w:t>
                            </w:r>
                            <w:proofErr w:type="spellEnd"/>
                          </w:p>
                          <w:p w14:paraId="32027C65" w14:textId="77777777" w:rsidR="00CA2EE6" w:rsidRDefault="00BC5FFA">
                            <w:pPr>
                              <w:tabs>
                                <w:tab w:val="left" w:pos="7003"/>
                              </w:tabs>
                            </w:pPr>
                            <w:r>
                              <w:rPr>
                                <w:sz w:val="24"/>
                                <w:szCs w:val="24"/>
                              </w:rPr>
                              <w:t xml:space="preserve">(By Appointment Only)   </w:t>
                            </w:r>
                          </w:p>
                        </w:tc>
                        <w:tc>
                          <w:tcPr>
                            <w:tcW w:w="2811" w:type="dxa"/>
                            <w:tcBorders>
                              <w:top w:val="nil"/>
                              <w:left w:val="nil"/>
                              <w:bottom w:val="single" w:sz="2" w:space="0" w:color="000000"/>
                              <w:right w:val="nil"/>
                            </w:tcBorders>
                            <w:shd w:val="clear" w:color="auto" w:fill="auto"/>
                            <w:tcMar>
                              <w:top w:w="80" w:type="dxa"/>
                              <w:left w:w="80" w:type="dxa"/>
                              <w:bottom w:w="80" w:type="dxa"/>
                              <w:right w:w="80" w:type="dxa"/>
                            </w:tcMar>
                          </w:tcPr>
                          <w:p w14:paraId="246B0A41" w14:textId="77777777" w:rsidR="00CA2EE6" w:rsidRDefault="00BC5FFA">
                            <w:pPr>
                              <w:pStyle w:val="TableStyle2"/>
                              <w:jc w:val="center"/>
                            </w:pPr>
                            <w:r>
                              <w:rPr>
                                <w:noProof/>
                                <w:lang w:eastAsia="en-AU"/>
                              </w:rPr>
                              <w:drawing>
                                <wp:inline distT="0" distB="0" distL="0" distR="0" wp14:anchorId="33FFE1C3" wp14:editId="7A84B54D">
                                  <wp:extent cx="1265013" cy="125832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extLst/>
                                          </a:blip>
                                          <a:stretch>
                                            <a:fillRect/>
                                          </a:stretch>
                                        </pic:blipFill>
                                        <pic:spPr>
                                          <a:xfrm>
                                            <a:off x="0" y="0"/>
                                            <a:ext cx="1265013" cy="1258320"/>
                                          </a:xfrm>
                                          <a:prstGeom prst="rect">
                                            <a:avLst/>
                                          </a:prstGeom>
                                          <a:effectLst/>
                                        </pic:spPr>
                                      </pic:pic>
                                    </a:graphicData>
                                  </a:graphic>
                                </wp:inline>
                              </w:drawing>
                            </w:r>
                          </w:p>
                        </w:tc>
                        <w:tc>
                          <w:tcPr>
                            <w:tcW w:w="3877" w:type="dxa"/>
                            <w:tcBorders>
                              <w:top w:val="nil"/>
                              <w:left w:val="nil"/>
                              <w:bottom w:val="single" w:sz="2" w:space="0" w:color="000000"/>
                              <w:right w:val="nil"/>
                            </w:tcBorders>
                            <w:shd w:val="clear" w:color="auto" w:fill="auto"/>
                            <w:tcMar>
                              <w:top w:w="80" w:type="dxa"/>
                              <w:left w:w="80" w:type="dxa"/>
                              <w:bottom w:w="80" w:type="dxa"/>
                              <w:right w:w="80" w:type="dxa"/>
                            </w:tcMar>
                          </w:tcPr>
                          <w:p w14:paraId="3975381B" w14:textId="77777777" w:rsidR="00CA2EE6" w:rsidRDefault="00CA2EE6">
                            <w:pPr>
                              <w:tabs>
                                <w:tab w:val="left" w:pos="7003"/>
                              </w:tabs>
                              <w:rPr>
                                <w:sz w:val="24"/>
                                <w:szCs w:val="24"/>
                              </w:rPr>
                            </w:pPr>
                          </w:p>
                          <w:p w14:paraId="60F62B23" w14:textId="77777777" w:rsidR="00CA2EE6" w:rsidRDefault="00BC5FFA">
                            <w:pPr>
                              <w:tabs>
                                <w:tab w:val="left" w:pos="7003"/>
                              </w:tabs>
                              <w:rPr>
                                <w:sz w:val="24"/>
                                <w:szCs w:val="24"/>
                              </w:rPr>
                            </w:pPr>
                            <w:r>
                              <w:rPr>
                                <w:sz w:val="24"/>
                                <w:szCs w:val="24"/>
                              </w:rPr>
                              <w:t>Phone:  (02) 6943 4402</w:t>
                            </w:r>
                          </w:p>
                          <w:p w14:paraId="5EE1DAEB" w14:textId="77777777" w:rsidR="00CA2EE6" w:rsidRDefault="00BC5FFA">
                            <w:pPr>
                              <w:tabs>
                                <w:tab w:val="left" w:pos="7003"/>
                              </w:tabs>
                              <w:rPr>
                                <w:sz w:val="24"/>
                                <w:szCs w:val="24"/>
                              </w:rPr>
                            </w:pPr>
                            <w:r>
                              <w:rPr>
                                <w:sz w:val="24"/>
                                <w:szCs w:val="24"/>
                              </w:rPr>
                              <w:t>Fax:      (02) 6943 4567</w:t>
                            </w:r>
                          </w:p>
                          <w:p w14:paraId="19985738" w14:textId="77777777" w:rsidR="00CA2EE6" w:rsidRDefault="00BC5FFA">
                            <w:pPr>
                              <w:tabs>
                                <w:tab w:val="left" w:pos="7003"/>
                              </w:tabs>
                              <w:rPr>
                                <w:sz w:val="24"/>
                                <w:szCs w:val="24"/>
                              </w:rPr>
                            </w:pPr>
                            <w:r>
                              <w:rPr>
                                <w:sz w:val="24"/>
                                <w:szCs w:val="24"/>
                              </w:rPr>
                              <w:t>E-mail Address:</w:t>
                            </w:r>
                          </w:p>
                          <w:p w14:paraId="0456BDC3" w14:textId="77777777" w:rsidR="00CA2EE6" w:rsidRDefault="00E725BA">
                            <w:pPr>
                              <w:tabs>
                                <w:tab w:val="left" w:pos="7003"/>
                              </w:tabs>
                            </w:pPr>
                            <w:hyperlink r:id="rId8" w:history="1">
                              <w:r w:rsidR="00BC5FFA">
                                <w:rPr>
                                  <w:rStyle w:val="Hyperlink0"/>
                                  <w:sz w:val="24"/>
                                  <w:szCs w:val="24"/>
                                </w:rPr>
                                <w:t>vetshelp@bigpond.com</w:t>
                              </w:r>
                            </w:hyperlink>
                          </w:p>
                        </w:tc>
                      </w:tr>
                    </w:tbl>
                    <w:p w14:paraId="28C261CC" w14:textId="77777777" w:rsidR="00A33308" w:rsidRDefault="00A33308"/>
                  </w:txbxContent>
                </v:textbox>
                <w10:wrap anchorx="page" anchory="page"/>
              </v:rect>
            </w:pict>
          </mc:Fallback>
        </mc:AlternateContent>
      </w:r>
      <w:r>
        <w:rPr>
          <w:i/>
          <w:iCs/>
          <w:sz w:val="30"/>
          <w:szCs w:val="30"/>
          <w:lang w:val="en-US"/>
        </w:rPr>
        <w:t>ice Pension and 30 points from accepted conditions under the MRCA</w:t>
      </w:r>
    </w:p>
    <w:p w14:paraId="333F933F" w14:textId="77777777" w:rsidR="00CA2EE6" w:rsidRDefault="00BC5FFA">
      <w:pPr>
        <w:pStyle w:val="Body"/>
        <w:rPr>
          <w:i/>
          <w:iCs/>
          <w:sz w:val="30"/>
          <w:szCs w:val="30"/>
        </w:rPr>
      </w:pPr>
      <w:r>
        <w:rPr>
          <w:i/>
          <w:iCs/>
          <w:sz w:val="30"/>
          <w:szCs w:val="30"/>
          <w:lang w:val="en-US"/>
        </w:rPr>
        <w:t>Can also be issued with the Gold Card.</w:t>
      </w:r>
    </w:p>
    <w:p w14:paraId="2900945B" w14:textId="77777777" w:rsidR="00CA2EE6" w:rsidRDefault="00CA2EE6">
      <w:pPr>
        <w:pStyle w:val="Body"/>
        <w:rPr>
          <w:i/>
          <w:iCs/>
          <w:sz w:val="30"/>
          <w:szCs w:val="30"/>
        </w:rPr>
      </w:pPr>
    </w:p>
    <w:p w14:paraId="164830F1" w14:textId="77777777" w:rsidR="00CA2EE6" w:rsidRDefault="00BC5FFA">
      <w:pPr>
        <w:pStyle w:val="Body"/>
        <w:rPr>
          <w:i/>
          <w:iCs/>
          <w:sz w:val="30"/>
          <w:szCs w:val="30"/>
        </w:rPr>
      </w:pPr>
      <w:r>
        <w:rPr>
          <w:i/>
          <w:iCs/>
          <w:sz w:val="30"/>
          <w:szCs w:val="30"/>
          <w:lang w:val="en-US"/>
        </w:rPr>
        <w:t>Is the Commission referring to all veterans under the VEA and MRCA?</w:t>
      </w:r>
    </w:p>
    <w:p w14:paraId="6A8A44C5" w14:textId="77777777" w:rsidR="00CA2EE6" w:rsidRDefault="00BC5FFA">
      <w:pPr>
        <w:pStyle w:val="Body"/>
        <w:rPr>
          <w:i/>
          <w:iCs/>
          <w:sz w:val="30"/>
          <w:szCs w:val="30"/>
        </w:rPr>
      </w:pPr>
      <w:r>
        <w:rPr>
          <w:i/>
          <w:iCs/>
          <w:sz w:val="30"/>
          <w:szCs w:val="30"/>
          <w:lang w:val="en-US"/>
        </w:rPr>
        <w:t>The DVA has the cost analysis of how this stands now?</w:t>
      </w:r>
    </w:p>
    <w:p w14:paraId="557D34BF" w14:textId="77777777" w:rsidR="00CA2EE6" w:rsidRDefault="00CA2EE6">
      <w:pPr>
        <w:pStyle w:val="Body"/>
        <w:rPr>
          <w:i/>
          <w:iCs/>
          <w:sz w:val="30"/>
          <w:szCs w:val="30"/>
        </w:rPr>
      </w:pPr>
    </w:p>
    <w:p w14:paraId="3F5D74E7" w14:textId="77777777" w:rsidR="00CA2EE6" w:rsidRDefault="00BC5FFA">
      <w:pPr>
        <w:pStyle w:val="Body"/>
        <w:rPr>
          <w:i/>
          <w:iCs/>
          <w:sz w:val="30"/>
          <w:szCs w:val="30"/>
          <w:shd w:val="clear" w:color="auto" w:fill="FFE061"/>
        </w:rPr>
      </w:pPr>
      <w:r>
        <w:rPr>
          <w:i/>
          <w:iCs/>
          <w:sz w:val="30"/>
          <w:szCs w:val="30"/>
          <w:shd w:val="clear" w:color="auto" w:fill="FFE061"/>
          <w:lang w:val="en-US"/>
        </w:rPr>
        <w:t>Gold Card for dependents?</w:t>
      </w:r>
    </w:p>
    <w:p w14:paraId="7F5AA2DF" w14:textId="77777777" w:rsidR="00CA2EE6" w:rsidRDefault="00CA2EE6">
      <w:pPr>
        <w:pStyle w:val="Body"/>
        <w:rPr>
          <w:i/>
          <w:iCs/>
          <w:sz w:val="30"/>
          <w:szCs w:val="30"/>
          <w:shd w:val="clear" w:color="auto" w:fill="FFE061"/>
        </w:rPr>
      </w:pPr>
    </w:p>
    <w:p w14:paraId="532746DD" w14:textId="46B7B854" w:rsidR="00CA2EE6" w:rsidRDefault="00BC5FFA">
      <w:pPr>
        <w:pStyle w:val="Body"/>
        <w:rPr>
          <w:i/>
          <w:iCs/>
          <w:sz w:val="30"/>
          <w:szCs w:val="30"/>
        </w:rPr>
      </w:pPr>
      <w:r>
        <w:rPr>
          <w:i/>
          <w:iCs/>
          <w:sz w:val="30"/>
          <w:szCs w:val="30"/>
          <w:lang w:val="en-US"/>
        </w:rPr>
        <w:t>As stated in the ‘Response’, There are arguments for and against this proposal. At present, War/</w:t>
      </w:r>
      <w:proofErr w:type="spellStart"/>
      <w:r w:rsidR="006E1D5E">
        <w:rPr>
          <w:i/>
          <w:iCs/>
          <w:sz w:val="30"/>
          <w:szCs w:val="30"/>
          <w:lang w:val="en-US"/>
        </w:rPr>
        <w:t>D</w:t>
      </w:r>
      <w:r>
        <w:rPr>
          <w:i/>
          <w:iCs/>
          <w:sz w:val="30"/>
          <w:szCs w:val="30"/>
          <w:lang w:val="en-US"/>
        </w:rPr>
        <w:t>efence</w:t>
      </w:r>
      <w:proofErr w:type="spellEnd"/>
      <w:r>
        <w:rPr>
          <w:i/>
          <w:iCs/>
          <w:sz w:val="30"/>
          <w:szCs w:val="30"/>
          <w:lang w:val="en-US"/>
        </w:rPr>
        <w:t xml:space="preserve"> Widows are entitled to the Gold Card. </w:t>
      </w:r>
    </w:p>
    <w:p w14:paraId="24D65DE2" w14:textId="77777777" w:rsidR="00CA2EE6" w:rsidRDefault="00BC5FFA">
      <w:pPr>
        <w:pStyle w:val="Body"/>
        <w:rPr>
          <w:i/>
          <w:iCs/>
          <w:sz w:val="30"/>
          <w:szCs w:val="30"/>
        </w:rPr>
      </w:pPr>
      <w:r>
        <w:rPr>
          <w:i/>
          <w:iCs/>
          <w:sz w:val="30"/>
          <w:szCs w:val="30"/>
          <w:lang w:val="en-US"/>
        </w:rPr>
        <w:t>DVA fact Sheet HSV59 at eligibility for ‘</w:t>
      </w:r>
      <w:proofErr w:type="spellStart"/>
      <w:r>
        <w:rPr>
          <w:i/>
          <w:iCs/>
          <w:sz w:val="30"/>
          <w:szCs w:val="30"/>
          <w:lang w:val="en-US"/>
        </w:rPr>
        <w:t>Dependants</w:t>
      </w:r>
      <w:proofErr w:type="spellEnd"/>
      <w:r>
        <w:rPr>
          <w:i/>
          <w:iCs/>
          <w:sz w:val="30"/>
          <w:szCs w:val="30"/>
          <w:lang w:val="en-US"/>
        </w:rPr>
        <w:t xml:space="preserve"> of Veterans’ covers this question. The eligibility criteria is quite good, especially  for a </w:t>
      </w:r>
      <w:proofErr w:type="spellStart"/>
      <w:r>
        <w:rPr>
          <w:i/>
          <w:iCs/>
          <w:sz w:val="30"/>
          <w:szCs w:val="30"/>
          <w:lang w:val="en-US"/>
        </w:rPr>
        <w:t>dependant</w:t>
      </w:r>
      <w:proofErr w:type="spellEnd"/>
      <w:r>
        <w:rPr>
          <w:i/>
          <w:iCs/>
          <w:sz w:val="30"/>
          <w:szCs w:val="30"/>
          <w:lang w:val="en-US"/>
        </w:rPr>
        <w:t xml:space="preserve"> child of a deceased veteran who died from war caused.</w:t>
      </w:r>
    </w:p>
    <w:p w14:paraId="4EDC7986" w14:textId="77777777" w:rsidR="00CA2EE6" w:rsidRDefault="00CA2EE6">
      <w:pPr>
        <w:pStyle w:val="Body"/>
        <w:rPr>
          <w:i/>
          <w:iCs/>
          <w:sz w:val="30"/>
          <w:szCs w:val="30"/>
        </w:rPr>
      </w:pPr>
    </w:p>
    <w:p w14:paraId="7B2EDC06" w14:textId="77777777" w:rsidR="00CA2EE6" w:rsidRDefault="00BC5FFA">
      <w:pPr>
        <w:pStyle w:val="Body"/>
        <w:rPr>
          <w:i/>
          <w:iCs/>
          <w:sz w:val="30"/>
          <w:szCs w:val="30"/>
        </w:rPr>
      </w:pPr>
      <w:r>
        <w:rPr>
          <w:i/>
          <w:iCs/>
          <w:sz w:val="30"/>
          <w:szCs w:val="30"/>
          <w:lang w:val="en-US"/>
        </w:rPr>
        <w:lastRenderedPageBreak/>
        <w:t xml:space="preserve">I do not have the actual figures as to how many Gold Cards have been issued to these </w:t>
      </w:r>
      <w:proofErr w:type="spellStart"/>
      <w:r>
        <w:rPr>
          <w:i/>
          <w:iCs/>
          <w:sz w:val="30"/>
          <w:szCs w:val="30"/>
          <w:lang w:val="en-US"/>
        </w:rPr>
        <w:t>dependants</w:t>
      </w:r>
      <w:proofErr w:type="spellEnd"/>
      <w:r>
        <w:rPr>
          <w:i/>
          <w:iCs/>
          <w:sz w:val="30"/>
          <w:szCs w:val="30"/>
          <w:lang w:val="en-US"/>
        </w:rPr>
        <w:t xml:space="preserve"> so I </w:t>
      </w:r>
      <w:proofErr w:type="spellStart"/>
      <w:r>
        <w:rPr>
          <w:i/>
          <w:iCs/>
          <w:sz w:val="30"/>
          <w:szCs w:val="30"/>
          <w:lang w:val="en-US"/>
        </w:rPr>
        <w:t>can not</w:t>
      </w:r>
      <w:proofErr w:type="spellEnd"/>
      <w:r>
        <w:rPr>
          <w:i/>
          <w:iCs/>
          <w:sz w:val="30"/>
          <w:szCs w:val="30"/>
          <w:lang w:val="en-US"/>
        </w:rPr>
        <w:t xml:space="preserve"> make comment as to the costs. The benefits for those that have the Gold Card and those that may receive the card in the future are excellent, providing the card is not abused by the medical profession by way of </w:t>
      </w:r>
      <w:r>
        <w:rPr>
          <w:i/>
          <w:iCs/>
          <w:sz w:val="30"/>
          <w:szCs w:val="30"/>
          <w:shd w:val="clear" w:color="auto" w:fill="FFE061"/>
          <w:lang w:val="en-US"/>
        </w:rPr>
        <w:t xml:space="preserve">over servicing </w:t>
      </w:r>
      <w:r>
        <w:rPr>
          <w:i/>
          <w:iCs/>
          <w:sz w:val="30"/>
          <w:szCs w:val="30"/>
          <w:lang w:val="en-US"/>
        </w:rPr>
        <w:t>and the likes. It has been suggested that some in the medical profession do take advantage of the DVA Gold Card System and veterans.</w:t>
      </w:r>
    </w:p>
    <w:p w14:paraId="4FBBC3EC" w14:textId="77777777" w:rsidR="00CA2EE6" w:rsidRDefault="00CA2EE6">
      <w:pPr>
        <w:pStyle w:val="Body"/>
        <w:rPr>
          <w:i/>
          <w:iCs/>
          <w:sz w:val="30"/>
          <w:szCs w:val="30"/>
        </w:rPr>
      </w:pPr>
    </w:p>
    <w:p w14:paraId="71580461" w14:textId="77777777" w:rsidR="00CA2EE6" w:rsidRDefault="00BC5FFA">
      <w:pPr>
        <w:pStyle w:val="Body"/>
        <w:rPr>
          <w:i/>
          <w:iCs/>
          <w:sz w:val="30"/>
          <w:szCs w:val="30"/>
          <w:shd w:val="clear" w:color="auto" w:fill="9CE159"/>
        </w:rPr>
      </w:pPr>
      <w:r>
        <w:rPr>
          <w:i/>
          <w:iCs/>
          <w:sz w:val="30"/>
          <w:szCs w:val="30"/>
          <w:shd w:val="clear" w:color="auto" w:fill="9CE159"/>
          <w:lang w:val="en-US"/>
        </w:rPr>
        <w:t>Gold Card for partners of veterans who are Special Rate (TPI)???</w:t>
      </w:r>
    </w:p>
    <w:p w14:paraId="58AD00A9" w14:textId="77777777" w:rsidR="00CA2EE6" w:rsidRDefault="00CA2EE6">
      <w:pPr>
        <w:pStyle w:val="Body"/>
        <w:rPr>
          <w:color w:val="FEFEFE"/>
          <w:sz w:val="30"/>
          <w:szCs w:val="30"/>
        </w:rPr>
      </w:pPr>
    </w:p>
    <w:p w14:paraId="7FFF444F" w14:textId="77777777" w:rsidR="00CA2EE6" w:rsidRDefault="00BC5FFA">
      <w:pPr>
        <w:pStyle w:val="Body"/>
        <w:rPr>
          <w:i/>
          <w:iCs/>
          <w:sz w:val="30"/>
          <w:szCs w:val="30"/>
        </w:rPr>
      </w:pPr>
      <w:r>
        <w:rPr>
          <w:i/>
          <w:iCs/>
          <w:sz w:val="30"/>
          <w:szCs w:val="30"/>
          <w:lang w:val="en-US"/>
        </w:rPr>
        <w:t>This association has canvassed its members on this question. The consensus is that this suggestion would be far too costly if every partner of a Special Rate veteran were to have one.</w:t>
      </w:r>
    </w:p>
    <w:p w14:paraId="7EEC80A2" w14:textId="77777777" w:rsidR="00CA2EE6" w:rsidRDefault="00CA2EE6">
      <w:pPr>
        <w:pStyle w:val="Body"/>
        <w:rPr>
          <w:i/>
          <w:iCs/>
          <w:sz w:val="30"/>
          <w:szCs w:val="30"/>
        </w:rPr>
      </w:pPr>
    </w:p>
    <w:p w14:paraId="520FC375" w14:textId="77777777" w:rsidR="00CA2EE6" w:rsidRDefault="00BC5FFA">
      <w:pPr>
        <w:pStyle w:val="Body"/>
        <w:rPr>
          <w:i/>
          <w:iCs/>
          <w:sz w:val="30"/>
          <w:szCs w:val="30"/>
        </w:rPr>
      </w:pPr>
      <w:r>
        <w:rPr>
          <w:i/>
          <w:iCs/>
          <w:sz w:val="30"/>
          <w:szCs w:val="30"/>
          <w:lang w:val="en-US"/>
        </w:rPr>
        <w:t xml:space="preserve">There may be some justification for the partner receiving a Gold Card, ONLY IF the partner is looking after the </w:t>
      </w:r>
      <w:proofErr w:type="spellStart"/>
      <w:r>
        <w:rPr>
          <w:i/>
          <w:iCs/>
          <w:sz w:val="30"/>
          <w:szCs w:val="30"/>
          <w:lang w:val="en-US"/>
        </w:rPr>
        <w:t>veterans</w:t>
      </w:r>
      <w:proofErr w:type="spellEnd"/>
      <w:r>
        <w:rPr>
          <w:i/>
          <w:iCs/>
          <w:sz w:val="30"/>
          <w:szCs w:val="30"/>
          <w:lang w:val="en-US"/>
        </w:rPr>
        <w:t xml:space="preserve"> Health/ Hygiene requirements virtually on a 24/7 basis, and/or a veteran with psychiatric disability which requires the partner to be present with the veteran. This may have a positive effect in relation to the veteran’s </w:t>
      </w:r>
      <w:proofErr w:type="spellStart"/>
      <w:r>
        <w:rPr>
          <w:i/>
          <w:iCs/>
          <w:sz w:val="30"/>
          <w:szCs w:val="30"/>
          <w:lang w:val="en-US"/>
        </w:rPr>
        <w:t>well being</w:t>
      </w:r>
      <w:proofErr w:type="spellEnd"/>
      <w:r>
        <w:rPr>
          <w:i/>
          <w:iCs/>
          <w:sz w:val="30"/>
          <w:szCs w:val="30"/>
          <w:lang w:val="en-US"/>
        </w:rPr>
        <w:t xml:space="preserve">, and a reduction of costs to the taxpayer by not having the veteran </w:t>
      </w:r>
      <w:proofErr w:type="spellStart"/>
      <w:r>
        <w:rPr>
          <w:i/>
          <w:iCs/>
          <w:sz w:val="30"/>
          <w:szCs w:val="30"/>
          <w:lang w:val="en-US"/>
        </w:rPr>
        <w:t>hospitalised</w:t>
      </w:r>
      <w:proofErr w:type="spellEnd"/>
      <w:r>
        <w:rPr>
          <w:i/>
          <w:iCs/>
          <w:sz w:val="30"/>
          <w:szCs w:val="30"/>
          <w:lang w:val="en-US"/>
        </w:rPr>
        <w:t>.</w:t>
      </w:r>
    </w:p>
    <w:p w14:paraId="41CA3C0A" w14:textId="77777777" w:rsidR="00CA2EE6" w:rsidRDefault="00BC5FFA">
      <w:pPr>
        <w:pStyle w:val="Body"/>
        <w:rPr>
          <w:i/>
          <w:iCs/>
          <w:sz w:val="30"/>
          <w:szCs w:val="30"/>
        </w:rPr>
      </w:pPr>
      <w:r>
        <w:rPr>
          <w:i/>
          <w:iCs/>
          <w:sz w:val="30"/>
          <w:szCs w:val="30"/>
          <w:lang w:val="en-US"/>
        </w:rPr>
        <w:t>Partners of veterans generally have private health insurance, if not, they are reliant on Medicare.</w:t>
      </w:r>
    </w:p>
    <w:p w14:paraId="066E31FD" w14:textId="77777777" w:rsidR="00CA2EE6" w:rsidRDefault="00CA2EE6">
      <w:pPr>
        <w:pStyle w:val="Body"/>
        <w:rPr>
          <w:i/>
          <w:iCs/>
          <w:sz w:val="30"/>
          <w:szCs w:val="30"/>
        </w:rPr>
      </w:pPr>
    </w:p>
    <w:p w14:paraId="4C806F08" w14:textId="77777777" w:rsidR="00CA2EE6" w:rsidRDefault="00BC5FFA">
      <w:pPr>
        <w:pStyle w:val="Body"/>
        <w:rPr>
          <w:i/>
          <w:iCs/>
          <w:sz w:val="30"/>
          <w:szCs w:val="30"/>
          <w:shd w:val="clear" w:color="auto" w:fill="FFE061"/>
        </w:rPr>
      </w:pPr>
      <w:r>
        <w:rPr>
          <w:i/>
          <w:iCs/>
          <w:sz w:val="30"/>
          <w:szCs w:val="30"/>
          <w:shd w:val="clear" w:color="auto" w:fill="FFE061"/>
          <w:lang w:val="en-US"/>
        </w:rPr>
        <w:t>Another Problem</w:t>
      </w:r>
    </w:p>
    <w:p w14:paraId="7630619E" w14:textId="77777777" w:rsidR="00CA2EE6" w:rsidRDefault="00CA2EE6">
      <w:pPr>
        <w:pStyle w:val="Body"/>
        <w:rPr>
          <w:i/>
          <w:iCs/>
          <w:sz w:val="30"/>
          <w:szCs w:val="30"/>
        </w:rPr>
      </w:pPr>
    </w:p>
    <w:p w14:paraId="391DD0D3" w14:textId="77777777" w:rsidR="00CA2EE6" w:rsidRDefault="00BC5FFA">
      <w:pPr>
        <w:pStyle w:val="Body"/>
        <w:rPr>
          <w:i/>
          <w:iCs/>
          <w:sz w:val="30"/>
          <w:szCs w:val="30"/>
        </w:rPr>
      </w:pPr>
      <w:r>
        <w:rPr>
          <w:i/>
          <w:iCs/>
          <w:sz w:val="30"/>
          <w:szCs w:val="30"/>
          <w:lang w:val="en-US"/>
        </w:rPr>
        <w:t>For our recent veterans with families to raise, it is difficult for a partner to maintain any private health insurance they may have, due to the means testing of the veteran’s Service Pension and Disability Pension under the VEA and the MRCA. The money earned is barely adequate for the veteran and partner to raise their 2, 3 or 4 children. The cost of living is so high.</w:t>
      </w:r>
    </w:p>
    <w:p w14:paraId="47E1142E" w14:textId="77777777" w:rsidR="00CA2EE6" w:rsidRDefault="00CA2EE6">
      <w:pPr>
        <w:pStyle w:val="Body"/>
        <w:rPr>
          <w:i/>
          <w:iCs/>
          <w:sz w:val="30"/>
          <w:szCs w:val="30"/>
        </w:rPr>
      </w:pPr>
    </w:p>
    <w:p w14:paraId="20D00746" w14:textId="77777777" w:rsidR="00CA2EE6" w:rsidRDefault="00BC5FFA">
      <w:pPr>
        <w:pStyle w:val="Body"/>
        <w:rPr>
          <w:i/>
          <w:iCs/>
          <w:sz w:val="30"/>
          <w:szCs w:val="30"/>
        </w:rPr>
      </w:pPr>
      <w:r>
        <w:rPr>
          <w:i/>
          <w:iCs/>
          <w:sz w:val="30"/>
          <w:szCs w:val="30"/>
          <w:lang w:val="en-US"/>
        </w:rPr>
        <w:t>The outrageous cost of private health insurance is ridiculous. The veteran is covered for his health care via the Gold Card, but the partner and children need health care as well. In general, most of these families are more comfortable with private health insurance. The health insurance cost for the family rate is phenomenal and hard to meet every month.</w:t>
      </w:r>
    </w:p>
    <w:p w14:paraId="67B3C4BF" w14:textId="77777777" w:rsidR="00CA2EE6" w:rsidRDefault="00CA2EE6">
      <w:pPr>
        <w:pStyle w:val="Body"/>
        <w:rPr>
          <w:i/>
          <w:iCs/>
          <w:sz w:val="30"/>
          <w:szCs w:val="30"/>
        </w:rPr>
      </w:pPr>
    </w:p>
    <w:p w14:paraId="768FB5B1" w14:textId="77777777" w:rsidR="00CA2EE6" w:rsidRDefault="00BC5FFA">
      <w:pPr>
        <w:pStyle w:val="Body"/>
        <w:rPr>
          <w:i/>
          <w:iCs/>
          <w:sz w:val="30"/>
          <w:szCs w:val="30"/>
        </w:rPr>
      </w:pPr>
      <w:r>
        <w:rPr>
          <w:i/>
          <w:iCs/>
          <w:sz w:val="30"/>
          <w:szCs w:val="30"/>
          <w:lang w:val="en-US"/>
        </w:rPr>
        <w:t>There should be a concession for these people. The DVA should confer with the ‘Health Insurance Industry’ in order to gain some reduction in the rate for these families private health cover. This would be of great assistance for these veterans’ families.</w:t>
      </w:r>
    </w:p>
    <w:p w14:paraId="023A2D22" w14:textId="77777777" w:rsidR="00CA2EE6" w:rsidRDefault="00CA2EE6">
      <w:pPr>
        <w:pStyle w:val="Body"/>
        <w:rPr>
          <w:i/>
          <w:iCs/>
          <w:sz w:val="30"/>
          <w:szCs w:val="30"/>
        </w:rPr>
      </w:pPr>
    </w:p>
    <w:p w14:paraId="0CE21F23" w14:textId="77777777" w:rsidR="00CA2EE6" w:rsidRDefault="00CA2EE6">
      <w:pPr>
        <w:pStyle w:val="Body"/>
        <w:rPr>
          <w:i/>
          <w:iCs/>
          <w:sz w:val="30"/>
          <w:szCs w:val="30"/>
        </w:rPr>
      </w:pPr>
    </w:p>
    <w:p w14:paraId="59D13484" w14:textId="77777777" w:rsidR="00CA2EE6" w:rsidRDefault="00CA2EE6">
      <w:pPr>
        <w:pStyle w:val="Body"/>
      </w:pPr>
    </w:p>
    <w:sectPr w:rsidR="00CA2EE6">
      <w:headerReference w:type="even" r:id="rId9"/>
      <w:headerReference w:type="default" r:id="rId10"/>
      <w:footerReference w:type="even" r:id="rId11"/>
      <w:footerReference w:type="default" r:id="rId12"/>
      <w:headerReference w:type="first" r:id="rId13"/>
      <w:footerReference w:type="first" r:id="rId14"/>
      <w:pgSz w:w="11906" w:h="16838"/>
      <w:pgMar w:top="357" w:right="850" w:bottom="850" w:left="850" w:header="357"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DEE6A" w14:textId="77777777" w:rsidR="00BC5FFA" w:rsidRDefault="00BC5FFA">
      <w:r>
        <w:separator/>
      </w:r>
    </w:p>
  </w:endnote>
  <w:endnote w:type="continuationSeparator" w:id="0">
    <w:p w14:paraId="61B6FDF9" w14:textId="77777777" w:rsidR="00BC5FFA" w:rsidRDefault="00BC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CC710" w14:textId="77777777" w:rsidR="006E1D5E" w:rsidRDefault="006E1D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0FF5" w14:textId="77777777" w:rsidR="00CA2EE6" w:rsidRDefault="00CA2E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8F18B" w14:textId="77777777" w:rsidR="006E1D5E" w:rsidRDefault="006E1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6764A" w14:textId="77777777" w:rsidR="00BC5FFA" w:rsidRDefault="00BC5FFA">
      <w:r>
        <w:separator/>
      </w:r>
    </w:p>
  </w:footnote>
  <w:footnote w:type="continuationSeparator" w:id="0">
    <w:p w14:paraId="6D298A51" w14:textId="77777777" w:rsidR="00BC5FFA" w:rsidRDefault="00BC5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9DFA9" w14:textId="77777777" w:rsidR="006E1D5E" w:rsidRDefault="006E1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9787" w14:textId="77777777" w:rsidR="00CA2EE6" w:rsidRDefault="00CA2E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102A2" w14:textId="77777777" w:rsidR="006E1D5E" w:rsidRDefault="006E1D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E6"/>
    <w:rsid w:val="006E1D5E"/>
    <w:rsid w:val="00A33308"/>
    <w:rsid w:val="00BC5FFA"/>
    <w:rsid w:val="00CA2EE6"/>
    <w:rsid w:val="00E72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F7920"/>
  <w15:docId w15:val="{62062090-431B-B946-BF47-6631F717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TableStyle2">
    <w:name w:val="Table Style 2"/>
    <w:rPr>
      <w:rFonts w:ascii="Helvetica" w:eastAsia="Helvetica" w:hAnsi="Helvetica" w:cs="Helvetica"/>
      <w:color w:val="000000"/>
    </w:rPr>
  </w:style>
  <w:style w:type="character" w:customStyle="1" w:styleId="Link">
    <w:name w:val="Link"/>
    <w:rPr>
      <w:u w:val="single"/>
    </w:rPr>
  </w:style>
  <w:style w:type="character" w:customStyle="1" w:styleId="Hyperlink0">
    <w:name w:val="Hyperlink.0"/>
    <w:basedOn w:val="Link"/>
    <w:rPr>
      <w:u w:val="none"/>
    </w:rPr>
  </w:style>
  <w:style w:type="paragraph" w:styleId="Header">
    <w:name w:val="header"/>
    <w:basedOn w:val="Normal"/>
    <w:link w:val="HeaderChar"/>
    <w:uiPriority w:val="99"/>
    <w:unhideWhenUsed/>
    <w:rsid w:val="006E1D5E"/>
    <w:pPr>
      <w:tabs>
        <w:tab w:val="center" w:pos="4680"/>
        <w:tab w:val="right" w:pos="9360"/>
      </w:tabs>
    </w:pPr>
  </w:style>
  <w:style w:type="character" w:customStyle="1" w:styleId="HeaderChar">
    <w:name w:val="Header Char"/>
    <w:basedOn w:val="DefaultParagraphFont"/>
    <w:link w:val="Header"/>
    <w:uiPriority w:val="99"/>
    <w:rsid w:val="006E1D5E"/>
    <w:rPr>
      <w:rFonts w:cs="Arial Unicode MS"/>
      <w:color w:val="000000"/>
      <w:sz w:val="28"/>
      <w:szCs w:val="28"/>
      <w:lang w:val="en-US"/>
    </w:rPr>
  </w:style>
  <w:style w:type="paragraph" w:styleId="Footer">
    <w:name w:val="footer"/>
    <w:basedOn w:val="Normal"/>
    <w:link w:val="FooterChar"/>
    <w:uiPriority w:val="99"/>
    <w:unhideWhenUsed/>
    <w:rsid w:val="006E1D5E"/>
    <w:pPr>
      <w:tabs>
        <w:tab w:val="center" w:pos="4680"/>
        <w:tab w:val="right" w:pos="9360"/>
      </w:tabs>
    </w:pPr>
  </w:style>
  <w:style w:type="character" w:customStyle="1" w:styleId="FooterChar">
    <w:name w:val="Footer Char"/>
    <w:basedOn w:val="DefaultParagraphFont"/>
    <w:link w:val="Footer"/>
    <w:uiPriority w:val="99"/>
    <w:rsid w:val="006E1D5E"/>
    <w:rPr>
      <w:rFonts w:cs="Arial Unicode MS"/>
      <w:color w:val="000000"/>
      <w:sz w:val="28"/>
      <w:szCs w:val="28"/>
      <w:lang w:val="en-US"/>
    </w:rPr>
  </w:style>
  <w:style w:type="paragraph" w:styleId="BalloonText">
    <w:name w:val="Balloon Text"/>
    <w:basedOn w:val="Normal"/>
    <w:link w:val="BalloonTextChar"/>
    <w:uiPriority w:val="99"/>
    <w:semiHidden/>
    <w:unhideWhenUsed/>
    <w:rsid w:val="006E1D5E"/>
    <w:rPr>
      <w:rFonts w:cs="Times New Roman"/>
      <w:sz w:val="18"/>
      <w:szCs w:val="18"/>
    </w:rPr>
  </w:style>
  <w:style w:type="character" w:customStyle="1" w:styleId="BalloonTextChar">
    <w:name w:val="Balloon Text Char"/>
    <w:basedOn w:val="DefaultParagraphFont"/>
    <w:link w:val="BalloonText"/>
    <w:uiPriority w:val="99"/>
    <w:semiHidden/>
    <w:rsid w:val="006E1D5E"/>
    <w:rPr>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etshelp@bigpond.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vetshelp@bigpond.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AE9613A5.dotm</Template>
  <TotalTime>5</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Submission DR262 - Attachment 2: Gold Card and cost of private health insurance - Bob Bak - Compensation and Rehabilitation for Veterans - Public inquiry</vt:lpstr>
    </vt:vector>
  </TitlesOfParts>
  <Company>Bob Bak</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DR262 - Attachment 2: Gold Card and cost of private health insurance - Bob Bak - Compensation and Rehabilitation for Veterans - Public inquiry</dc:title>
  <dc:creator>Bob Bak</dc:creator>
  <cp:lastModifiedBy>Productivity Commission</cp:lastModifiedBy>
  <cp:revision>3</cp:revision>
  <dcterms:created xsi:type="dcterms:W3CDTF">2019-03-16T05:12:00Z</dcterms:created>
  <dcterms:modified xsi:type="dcterms:W3CDTF">2019-05-16T00:50:00Z</dcterms:modified>
</cp:coreProperties>
</file>