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768BA" w14:textId="75599672" w:rsidR="000E3725" w:rsidRDefault="000E3725" w:rsidP="00002632">
      <w:pPr>
        <w:jc w:val="center"/>
      </w:pPr>
      <w:bookmarkStart w:id="0" w:name="_GoBack"/>
      <w:bookmarkEnd w:id="0"/>
    </w:p>
    <w:p w14:paraId="2FD00D23" w14:textId="5F6BA5D8" w:rsidR="007B48D8" w:rsidRDefault="007B48D8" w:rsidP="007B48D8">
      <w:pPr>
        <w:jc w:val="right"/>
        <w:rPr>
          <w:b/>
        </w:rPr>
      </w:pPr>
      <w:r w:rsidRPr="007B48D8">
        <w:rPr>
          <w:b/>
        </w:rPr>
        <w:t>Attachment B</w:t>
      </w:r>
    </w:p>
    <w:p w14:paraId="5475E988" w14:textId="7C4913FC" w:rsidR="00BA2E97" w:rsidRPr="007B48D8" w:rsidRDefault="00BA2E97" w:rsidP="00BA2E97">
      <w:pPr>
        <w:tabs>
          <w:tab w:val="left" w:pos="5475"/>
          <w:tab w:val="right" w:pos="9026"/>
        </w:tabs>
        <w:rPr>
          <w:b/>
        </w:rPr>
      </w:pPr>
      <w:r>
        <w:rPr>
          <w:b/>
        </w:rPr>
        <w:tab/>
      </w:r>
      <w:r>
        <w:rPr>
          <w:b/>
        </w:rPr>
        <w:tab/>
      </w:r>
      <w:r w:rsidRPr="00002632">
        <w:rPr>
          <w:noProof/>
          <w:lang w:val="en-AU" w:eastAsia="en-AU"/>
        </w:rPr>
        <w:drawing>
          <wp:anchor distT="0" distB="0" distL="114300" distR="114300" simplePos="0" relativeHeight="251658240" behindDoc="0" locked="0" layoutInCell="1" allowOverlap="1" wp14:anchorId="7981AD4E" wp14:editId="22A4642F">
            <wp:simplePos x="0" y="0"/>
            <wp:positionH relativeFrom="column">
              <wp:posOffset>1509247</wp:posOffset>
            </wp:positionH>
            <wp:positionV relativeFrom="paragraph">
              <wp:posOffset>140128</wp:posOffset>
            </wp:positionV>
            <wp:extent cx="2815200" cy="687600"/>
            <wp:effectExtent l="0" t="0" r="4445" b="0"/>
            <wp:wrapNone/>
            <wp:docPr id="3" name="Picture 3" descr="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_inline_black.emf"/>
                    <pic:cNvPicPr/>
                  </pic:nvPicPr>
                  <pic:blipFill>
                    <a:blip r:embed="rId12">
                      <a:extLst>
                        <a:ext uri="{28A0092B-C50C-407E-A947-70E740481C1C}">
                          <a14:useLocalDpi xmlns:a14="http://schemas.microsoft.com/office/drawing/2010/main" val="0"/>
                        </a:ext>
                      </a:extLst>
                    </a:blip>
                    <a:stretch>
                      <a:fillRect/>
                    </a:stretch>
                  </pic:blipFill>
                  <pic:spPr>
                    <a:xfrm>
                      <a:off x="0" y="0"/>
                      <a:ext cx="2815200" cy="687600"/>
                    </a:xfrm>
                    <a:prstGeom prst="rect">
                      <a:avLst/>
                    </a:prstGeom>
                  </pic:spPr>
                </pic:pic>
              </a:graphicData>
            </a:graphic>
          </wp:anchor>
        </w:drawing>
      </w:r>
    </w:p>
    <w:p w14:paraId="563662C5" w14:textId="2FBD53EF" w:rsidR="00BA2E97" w:rsidRDefault="00BA2E97" w:rsidP="00002632">
      <w:pPr>
        <w:pStyle w:val="Title"/>
        <w:spacing w:before="1080"/>
        <w:jc w:val="center"/>
      </w:pPr>
    </w:p>
    <w:p w14:paraId="19F768BB" w14:textId="793F1B35" w:rsidR="00901F51" w:rsidRPr="003D3ED8" w:rsidRDefault="000E3725" w:rsidP="00002632">
      <w:pPr>
        <w:pStyle w:val="Title"/>
        <w:spacing w:before="1080"/>
        <w:jc w:val="center"/>
      </w:pPr>
      <w:r w:rsidRPr="003D3ED8">
        <w:t xml:space="preserve">Evaluation Strategy </w:t>
      </w:r>
    </w:p>
    <w:p w14:paraId="19F768BC" w14:textId="77777777" w:rsidR="00901F51" w:rsidRDefault="003F7C24" w:rsidP="003D3ED8">
      <w:pPr>
        <w:pStyle w:val="Title"/>
        <w:jc w:val="center"/>
      </w:pPr>
      <w:r>
        <w:t>Indigenous Health Division</w:t>
      </w:r>
    </w:p>
    <w:p w14:paraId="19F768BF" w14:textId="21A3BF82" w:rsidR="00B75AEB" w:rsidRPr="00BA2E97" w:rsidRDefault="00901F51" w:rsidP="00BA2E97">
      <w:pPr>
        <w:pStyle w:val="Title"/>
        <w:jc w:val="center"/>
        <w:rPr>
          <w:sz w:val="48"/>
          <w:szCs w:val="48"/>
        </w:rPr>
        <w:sectPr w:rsidR="00B75AEB" w:rsidRPr="00BA2E97">
          <w:headerReference w:type="even" r:id="rId13"/>
          <w:footerReference w:type="default" r:id="rId14"/>
          <w:pgSz w:w="11906" w:h="16838"/>
          <w:pgMar w:top="1440" w:right="1440" w:bottom="1440" w:left="1440" w:header="708" w:footer="708" w:gutter="0"/>
          <w:cols w:space="708"/>
          <w:docGrid w:linePitch="360"/>
        </w:sectPr>
      </w:pPr>
      <w:r w:rsidRPr="003F7C24">
        <w:rPr>
          <w:sz w:val="48"/>
          <w:szCs w:val="48"/>
        </w:rPr>
        <w:t>Indigeno</w:t>
      </w:r>
      <w:r w:rsidR="00BA2E97">
        <w:rPr>
          <w:sz w:val="48"/>
          <w:szCs w:val="48"/>
        </w:rPr>
        <w:t>us Australians’ Health Program</w:t>
      </w:r>
    </w:p>
    <w:p w14:paraId="19F768C0" w14:textId="77777777" w:rsidR="00C20655" w:rsidRDefault="00C20655"/>
    <w:sdt>
      <w:sdtPr>
        <w:rPr>
          <w:rFonts w:ascii="Times New Roman" w:eastAsia="Times New Roman" w:hAnsi="Times New Roman" w:cs="Times New Roman"/>
          <w:b w:val="0"/>
          <w:bCs w:val="0"/>
          <w:color w:val="auto"/>
          <w:sz w:val="24"/>
          <w:szCs w:val="24"/>
          <w:lang w:eastAsia="en-US"/>
        </w:rPr>
        <w:id w:val="-436761153"/>
        <w:docPartObj>
          <w:docPartGallery w:val="Table of Contents"/>
          <w:docPartUnique/>
        </w:docPartObj>
      </w:sdtPr>
      <w:sdtEndPr>
        <w:rPr>
          <w:rFonts w:asciiTheme="minorHAnsi" w:hAnsiTheme="minorHAnsi"/>
          <w:noProof/>
          <w:sz w:val="22"/>
          <w:szCs w:val="22"/>
        </w:rPr>
      </w:sdtEndPr>
      <w:sdtContent>
        <w:p w14:paraId="19F768C1" w14:textId="77777777" w:rsidR="00C20655" w:rsidRPr="003613FA" w:rsidRDefault="005F550C" w:rsidP="00ED6140">
          <w:pPr>
            <w:pStyle w:val="TOCHeading"/>
            <w:numPr>
              <w:ilvl w:val="0"/>
              <w:numId w:val="0"/>
            </w:numPr>
            <w:spacing w:before="0"/>
            <w:rPr>
              <w:rFonts w:asciiTheme="minorHAnsi" w:hAnsiTheme="minorHAnsi"/>
            </w:rPr>
          </w:pPr>
          <w:r>
            <w:rPr>
              <w:rFonts w:asciiTheme="minorHAnsi" w:hAnsiTheme="minorHAnsi"/>
            </w:rPr>
            <w:t>Table</w:t>
          </w:r>
          <w:r w:rsidR="00C20655" w:rsidRPr="003613FA">
            <w:rPr>
              <w:rFonts w:asciiTheme="minorHAnsi" w:hAnsiTheme="minorHAnsi"/>
            </w:rPr>
            <w:t xml:space="preserve"> of Contents</w:t>
          </w:r>
        </w:p>
        <w:p w14:paraId="19F768C2" w14:textId="77777777" w:rsidR="006703D5" w:rsidRDefault="00C20655">
          <w:pPr>
            <w:pStyle w:val="TOC1"/>
            <w:tabs>
              <w:tab w:val="left" w:pos="480"/>
              <w:tab w:val="right" w:leader="dot" w:pos="9016"/>
            </w:tabs>
            <w:rPr>
              <w:rFonts w:eastAsiaTheme="minorEastAsia" w:cstheme="minorBidi"/>
              <w:noProof/>
              <w:szCs w:val="22"/>
              <w:lang w:val="en-AU" w:eastAsia="en-AU"/>
            </w:rPr>
          </w:pPr>
          <w:r w:rsidRPr="00DA2767">
            <w:rPr>
              <w:szCs w:val="22"/>
            </w:rPr>
            <w:fldChar w:fldCharType="begin"/>
          </w:r>
          <w:r w:rsidRPr="00DA2767">
            <w:rPr>
              <w:szCs w:val="22"/>
            </w:rPr>
            <w:instrText xml:space="preserve"> TOC \o "1-3" \h \z \u </w:instrText>
          </w:r>
          <w:r w:rsidRPr="00DA2767">
            <w:rPr>
              <w:szCs w:val="22"/>
            </w:rPr>
            <w:fldChar w:fldCharType="separate"/>
          </w:r>
          <w:hyperlink w:anchor="_Toc434307641" w:history="1">
            <w:r w:rsidR="006703D5" w:rsidRPr="0009777E">
              <w:rPr>
                <w:rStyle w:val="Hyperlink"/>
                <w:noProof/>
              </w:rPr>
              <w:t>1.</w:t>
            </w:r>
            <w:r w:rsidR="006703D5">
              <w:rPr>
                <w:rFonts w:eastAsiaTheme="minorEastAsia" w:cstheme="minorBidi"/>
                <w:noProof/>
                <w:szCs w:val="22"/>
                <w:lang w:val="en-AU" w:eastAsia="en-AU"/>
              </w:rPr>
              <w:tab/>
            </w:r>
            <w:r w:rsidR="006703D5" w:rsidRPr="0009777E">
              <w:rPr>
                <w:rStyle w:val="Hyperlink"/>
                <w:noProof/>
              </w:rPr>
              <w:t>Introduction</w:t>
            </w:r>
            <w:r w:rsidR="006703D5">
              <w:rPr>
                <w:noProof/>
                <w:webHidden/>
              </w:rPr>
              <w:tab/>
            </w:r>
            <w:r w:rsidR="006703D5">
              <w:rPr>
                <w:noProof/>
                <w:webHidden/>
              </w:rPr>
              <w:fldChar w:fldCharType="begin"/>
            </w:r>
            <w:r w:rsidR="006703D5">
              <w:rPr>
                <w:noProof/>
                <w:webHidden/>
              </w:rPr>
              <w:instrText xml:space="preserve"> PAGEREF _Toc434307641 \h </w:instrText>
            </w:r>
            <w:r w:rsidR="006703D5">
              <w:rPr>
                <w:noProof/>
                <w:webHidden/>
              </w:rPr>
            </w:r>
            <w:r w:rsidR="006703D5">
              <w:rPr>
                <w:noProof/>
                <w:webHidden/>
              </w:rPr>
              <w:fldChar w:fldCharType="separate"/>
            </w:r>
            <w:r w:rsidR="00CA072F">
              <w:rPr>
                <w:noProof/>
                <w:webHidden/>
              </w:rPr>
              <w:t>2</w:t>
            </w:r>
            <w:r w:rsidR="006703D5">
              <w:rPr>
                <w:noProof/>
                <w:webHidden/>
              </w:rPr>
              <w:fldChar w:fldCharType="end"/>
            </w:r>
          </w:hyperlink>
        </w:p>
        <w:p w14:paraId="19F768C3" w14:textId="77777777" w:rsidR="006703D5" w:rsidRDefault="00B503F6">
          <w:pPr>
            <w:pStyle w:val="TOC1"/>
            <w:tabs>
              <w:tab w:val="left" w:pos="480"/>
              <w:tab w:val="right" w:leader="dot" w:pos="9016"/>
            </w:tabs>
            <w:rPr>
              <w:rFonts w:eastAsiaTheme="minorEastAsia" w:cstheme="minorBidi"/>
              <w:noProof/>
              <w:szCs w:val="22"/>
              <w:lang w:val="en-AU" w:eastAsia="en-AU"/>
            </w:rPr>
          </w:pPr>
          <w:hyperlink w:anchor="_Toc434307642" w:history="1">
            <w:r w:rsidR="006703D5" w:rsidRPr="0009777E">
              <w:rPr>
                <w:rStyle w:val="Hyperlink"/>
                <w:noProof/>
              </w:rPr>
              <w:t>2.</w:t>
            </w:r>
            <w:r w:rsidR="006703D5">
              <w:rPr>
                <w:rFonts w:eastAsiaTheme="minorEastAsia" w:cstheme="minorBidi"/>
                <w:noProof/>
                <w:szCs w:val="22"/>
                <w:lang w:val="en-AU" w:eastAsia="en-AU"/>
              </w:rPr>
              <w:tab/>
            </w:r>
            <w:r w:rsidR="006703D5" w:rsidRPr="0009777E">
              <w:rPr>
                <w:rStyle w:val="Hyperlink"/>
                <w:noProof/>
              </w:rPr>
              <w:t>Objectives of the IHD Evaluation Strategy</w:t>
            </w:r>
            <w:r w:rsidR="006703D5">
              <w:rPr>
                <w:noProof/>
                <w:webHidden/>
              </w:rPr>
              <w:tab/>
            </w:r>
            <w:r w:rsidR="006703D5">
              <w:rPr>
                <w:noProof/>
                <w:webHidden/>
              </w:rPr>
              <w:fldChar w:fldCharType="begin"/>
            </w:r>
            <w:r w:rsidR="006703D5">
              <w:rPr>
                <w:noProof/>
                <w:webHidden/>
              </w:rPr>
              <w:instrText xml:space="preserve"> PAGEREF _Toc434307642 \h </w:instrText>
            </w:r>
            <w:r w:rsidR="006703D5">
              <w:rPr>
                <w:noProof/>
                <w:webHidden/>
              </w:rPr>
            </w:r>
            <w:r w:rsidR="006703D5">
              <w:rPr>
                <w:noProof/>
                <w:webHidden/>
              </w:rPr>
              <w:fldChar w:fldCharType="separate"/>
            </w:r>
            <w:r w:rsidR="00CA072F">
              <w:rPr>
                <w:noProof/>
                <w:webHidden/>
              </w:rPr>
              <w:t>2</w:t>
            </w:r>
            <w:r w:rsidR="006703D5">
              <w:rPr>
                <w:noProof/>
                <w:webHidden/>
              </w:rPr>
              <w:fldChar w:fldCharType="end"/>
            </w:r>
          </w:hyperlink>
        </w:p>
        <w:p w14:paraId="19F768C4" w14:textId="77777777" w:rsidR="006703D5" w:rsidRDefault="00B503F6">
          <w:pPr>
            <w:pStyle w:val="TOC1"/>
            <w:tabs>
              <w:tab w:val="left" w:pos="480"/>
              <w:tab w:val="right" w:leader="dot" w:pos="9016"/>
            </w:tabs>
            <w:rPr>
              <w:rFonts w:eastAsiaTheme="minorEastAsia" w:cstheme="minorBidi"/>
              <w:noProof/>
              <w:szCs w:val="22"/>
              <w:lang w:val="en-AU" w:eastAsia="en-AU"/>
            </w:rPr>
          </w:pPr>
          <w:hyperlink w:anchor="_Toc434307643" w:history="1">
            <w:r w:rsidR="006703D5" w:rsidRPr="0009777E">
              <w:rPr>
                <w:rStyle w:val="Hyperlink"/>
                <w:noProof/>
              </w:rPr>
              <w:t>3.</w:t>
            </w:r>
            <w:r w:rsidR="006703D5">
              <w:rPr>
                <w:rFonts w:eastAsiaTheme="minorEastAsia" w:cstheme="minorBidi"/>
                <w:noProof/>
                <w:szCs w:val="22"/>
                <w:lang w:val="en-AU" w:eastAsia="en-AU"/>
              </w:rPr>
              <w:tab/>
            </w:r>
            <w:r w:rsidR="006703D5" w:rsidRPr="0009777E">
              <w:rPr>
                <w:rStyle w:val="Hyperlink"/>
                <w:noProof/>
              </w:rPr>
              <w:t>Purpose of evaluation</w:t>
            </w:r>
            <w:r w:rsidR="006703D5">
              <w:rPr>
                <w:noProof/>
                <w:webHidden/>
              </w:rPr>
              <w:tab/>
            </w:r>
            <w:r w:rsidR="006703D5">
              <w:rPr>
                <w:noProof/>
                <w:webHidden/>
              </w:rPr>
              <w:fldChar w:fldCharType="begin"/>
            </w:r>
            <w:r w:rsidR="006703D5">
              <w:rPr>
                <w:noProof/>
                <w:webHidden/>
              </w:rPr>
              <w:instrText xml:space="preserve"> PAGEREF _Toc434307643 \h </w:instrText>
            </w:r>
            <w:r w:rsidR="006703D5">
              <w:rPr>
                <w:noProof/>
                <w:webHidden/>
              </w:rPr>
            </w:r>
            <w:r w:rsidR="006703D5">
              <w:rPr>
                <w:noProof/>
                <w:webHidden/>
              </w:rPr>
              <w:fldChar w:fldCharType="separate"/>
            </w:r>
            <w:r w:rsidR="00CA072F">
              <w:rPr>
                <w:noProof/>
                <w:webHidden/>
              </w:rPr>
              <w:t>2</w:t>
            </w:r>
            <w:r w:rsidR="006703D5">
              <w:rPr>
                <w:noProof/>
                <w:webHidden/>
              </w:rPr>
              <w:fldChar w:fldCharType="end"/>
            </w:r>
          </w:hyperlink>
        </w:p>
        <w:p w14:paraId="19F768C5" w14:textId="77777777" w:rsidR="006703D5" w:rsidRDefault="00B503F6">
          <w:pPr>
            <w:pStyle w:val="TOC2"/>
            <w:tabs>
              <w:tab w:val="right" w:leader="dot" w:pos="9016"/>
            </w:tabs>
            <w:rPr>
              <w:rFonts w:eastAsiaTheme="minorEastAsia" w:cstheme="minorBidi"/>
              <w:noProof/>
              <w:szCs w:val="22"/>
              <w:lang w:val="en-AU" w:eastAsia="en-AU"/>
            </w:rPr>
          </w:pPr>
          <w:hyperlink w:anchor="_Toc434307644" w:history="1">
            <w:r w:rsidR="006703D5" w:rsidRPr="0009777E">
              <w:rPr>
                <w:rStyle w:val="Hyperlink"/>
                <w:noProof/>
              </w:rPr>
              <w:t>What is evaluation?</w:t>
            </w:r>
            <w:r w:rsidR="006703D5">
              <w:rPr>
                <w:noProof/>
                <w:webHidden/>
              </w:rPr>
              <w:tab/>
            </w:r>
            <w:r w:rsidR="006703D5">
              <w:rPr>
                <w:noProof/>
                <w:webHidden/>
              </w:rPr>
              <w:fldChar w:fldCharType="begin"/>
            </w:r>
            <w:r w:rsidR="006703D5">
              <w:rPr>
                <w:noProof/>
                <w:webHidden/>
              </w:rPr>
              <w:instrText xml:space="preserve"> PAGEREF _Toc434307644 \h </w:instrText>
            </w:r>
            <w:r w:rsidR="006703D5">
              <w:rPr>
                <w:noProof/>
                <w:webHidden/>
              </w:rPr>
            </w:r>
            <w:r w:rsidR="006703D5">
              <w:rPr>
                <w:noProof/>
                <w:webHidden/>
              </w:rPr>
              <w:fldChar w:fldCharType="separate"/>
            </w:r>
            <w:r w:rsidR="00CA072F">
              <w:rPr>
                <w:noProof/>
                <w:webHidden/>
              </w:rPr>
              <w:t>2</w:t>
            </w:r>
            <w:r w:rsidR="006703D5">
              <w:rPr>
                <w:noProof/>
                <w:webHidden/>
              </w:rPr>
              <w:fldChar w:fldCharType="end"/>
            </w:r>
          </w:hyperlink>
        </w:p>
        <w:p w14:paraId="19F768C6" w14:textId="77777777" w:rsidR="006703D5" w:rsidRDefault="00B503F6">
          <w:pPr>
            <w:pStyle w:val="TOC2"/>
            <w:tabs>
              <w:tab w:val="right" w:leader="dot" w:pos="9016"/>
            </w:tabs>
            <w:rPr>
              <w:rFonts w:eastAsiaTheme="minorEastAsia" w:cstheme="minorBidi"/>
              <w:noProof/>
              <w:szCs w:val="22"/>
              <w:lang w:val="en-AU" w:eastAsia="en-AU"/>
            </w:rPr>
          </w:pPr>
          <w:hyperlink w:anchor="_Toc434307645" w:history="1">
            <w:r w:rsidR="006703D5" w:rsidRPr="0009777E">
              <w:rPr>
                <w:rStyle w:val="Hyperlink"/>
                <w:noProof/>
              </w:rPr>
              <w:t>Why evaluate?</w:t>
            </w:r>
            <w:r w:rsidR="006703D5">
              <w:rPr>
                <w:noProof/>
                <w:webHidden/>
              </w:rPr>
              <w:tab/>
            </w:r>
            <w:r w:rsidR="006703D5">
              <w:rPr>
                <w:noProof/>
                <w:webHidden/>
              </w:rPr>
              <w:fldChar w:fldCharType="begin"/>
            </w:r>
            <w:r w:rsidR="006703D5">
              <w:rPr>
                <w:noProof/>
                <w:webHidden/>
              </w:rPr>
              <w:instrText xml:space="preserve"> PAGEREF _Toc434307645 \h </w:instrText>
            </w:r>
            <w:r w:rsidR="006703D5">
              <w:rPr>
                <w:noProof/>
                <w:webHidden/>
              </w:rPr>
            </w:r>
            <w:r w:rsidR="006703D5">
              <w:rPr>
                <w:noProof/>
                <w:webHidden/>
              </w:rPr>
              <w:fldChar w:fldCharType="separate"/>
            </w:r>
            <w:r w:rsidR="00CA072F">
              <w:rPr>
                <w:noProof/>
                <w:webHidden/>
              </w:rPr>
              <w:t>2</w:t>
            </w:r>
            <w:r w:rsidR="006703D5">
              <w:rPr>
                <w:noProof/>
                <w:webHidden/>
              </w:rPr>
              <w:fldChar w:fldCharType="end"/>
            </w:r>
          </w:hyperlink>
        </w:p>
        <w:p w14:paraId="19F768C7" w14:textId="77777777" w:rsidR="006703D5" w:rsidRDefault="00B503F6">
          <w:pPr>
            <w:pStyle w:val="TOC2"/>
            <w:tabs>
              <w:tab w:val="right" w:leader="dot" w:pos="9016"/>
            </w:tabs>
            <w:rPr>
              <w:rFonts w:eastAsiaTheme="minorEastAsia" w:cstheme="minorBidi"/>
              <w:noProof/>
              <w:szCs w:val="22"/>
              <w:lang w:val="en-AU" w:eastAsia="en-AU"/>
            </w:rPr>
          </w:pPr>
          <w:hyperlink w:anchor="_Toc434307646" w:history="1">
            <w:r w:rsidR="006703D5" w:rsidRPr="0009777E">
              <w:rPr>
                <w:rStyle w:val="Hyperlink"/>
                <w:noProof/>
              </w:rPr>
              <w:t>What is the link between evaluation, research, monitoring and performance reporting?</w:t>
            </w:r>
            <w:r w:rsidR="006703D5">
              <w:rPr>
                <w:noProof/>
                <w:webHidden/>
              </w:rPr>
              <w:tab/>
            </w:r>
            <w:r w:rsidR="006703D5">
              <w:rPr>
                <w:noProof/>
                <w:webHidden/>
              </w:rPr>
              <w:fldChar w:fldCharType="begin"/>
            </w:r>
            <w:r w:rsidR="006703D5">
              <w:rPr>
                <w:noProof/>
                <w:webHidden/>
              </w:rPr>
              <w:instrText xml:space="preserve"> PAGEREF _Toc434307646 \h </w:instrText>
            </w:r>
            <w:r w:rsidR="006703D5">
              <w:rPr>
                <w:noProof/>
                <w:webHidden/>
              </w:rPr>
            </w:r>
            <w:r w:rsidR="006703D5">
              <w:rPr>
                <w:noProof/>
                <w:webHidden/>
              </w:rPr>
              <w:fldChar w:fldCharType="separate"/>
            </w:r>
            <w:r w:rsidR="00CA072F">
              <w:rPr>
                <w:noProof/>
                <w:webHidden/>
              </w:rPr>
              <w:t>3</w:t>
            </w:r>
            <w:r w:rsidR="006703D5">
              <w:rPr>
                <w:noProof/>
                <w:webHidden/>
              </w:rPr>
              <w:fldChar w:fldCharType="end"/>
            </w:r>
          </w:hyperlink>
        </w:p>
        <w:p w14:paraId="19F768C8" w14:textId="77777777" w:rsidR="006703D5" w:rsidRDefault="00B503F6">
          <w:pPr>
            <w:pStyle w:val="TOC1"/>
            <w:tabs>
              <w:tab w:val="left" w:pos="480"/>
              <w:tab w:val="right" w:leader="dot" w:pos="9016"/>
            </w:tabs>
            <w:rPr>
              <w:rFonts w:eastAsiaTheme="minorEastAsia" w:cstheme="minorBidi"/>
              <w:noProof/>
              <w:szCs w:val="22"/>
              <w:lang w:val="en-AU" w:eastAsia="en-AU"/>
            </w:rPr>
          </w:pPr>
          <w:hyperlink w:anchor="_Toc434307647" w:history="1">
            <w:r w:rsidR="006703D5" w:rsidRPr="0009777E">
              <w:rPr>
                <w:rStyle w:val="Hyperlink"/>
                <w:noProof/>
              </w:rPr>
              <w:t>4.</w:t>
            </w:r>
            <w:r w:rsidR="006703D5">
              <w:rPr>
                <w:rFonts w:eastAsiaTheme="minorEastAsia" w:cstheme="minorBidi"/>
                <w:noProof/>
                <w:szCs w:val="22"/>
                <w:lang w:val="en-AU" w:eastAsia="en-AU"/>
              </w:rPr>
              <w:tab/>
            </w:r>
            <w:r w:rsidR="006703D5" w:rsidRPr="0009777E">
              <w:rPr>
                <w:rStyle w:val="Hyperlink"/>
                <w:noProof/>
              </w:rPr>
              <w:t>Key issues and challenges</w:t>
            </w:r>
            <w:r w:rsidR="006703D5">
              <w:rPr>
                <w:noProof/>
                <w:webHidden/>
              </w:rPr>
              <w:tab/>
            </w:r>
            <w:r w:rsidR="006703D5">
              <w:rPr>
                <w:noProof/>
                <w:webHidden/>
              </w:rPr>
              <w:fldChar w:fldCharType="begin"/>
            </w:r>
            <w:r w:rsidR="006703D5">
              <w:rPr>
                <w:noProof/>
                <w:webHidden/>
              </w:rPr>
              <w:instrText xml:space="preserve"> PAGEREF _Toc434307647 \h </w:instrText>
            </w:r>
            <w:r w:rsidR="006703D5">
              <w:rPr>
                <w:noProof/>
                <w:webHidden/>
              </w:rPr>
            </w:r>
            <w:r w:rsidR="006703D5">
              <w:rPr>
                <w:noProof/>
                <w:webHidden/>
              </w:rPr>
              <w:fldChar w:fldCharType="separate"/>
            </w:r>
            <w:r w:rsidR="00CA072F">
              <w:rPr>
                <w:noProof/>
                <w:webHidden/>
              </w:rPr>
              <w:t>3</w:t>
            </w:r>
            <w:r w:rsidR="006703D5">
              <w:rPr>
                <w:noProof/>
                <w:webHidden/>
              </w:rPr>
              <w:fldChar w:fldCharType="end"/>
            </w:r>
          </w:hyperlink>
        </w:p>
        <w:p w14:paraId="19F768C9" w14:textId="77777777" w:rsidR="006703D5" w:rsidRDefault="00B503F6">
          <w:pPr>
            <w:pStyle w:val="TOC1"/>
            <w:tabs>
              <w:tab w:val="left" w:pos="480"/>
              <w:tab w:val="right" w:leader="dot" w:pos="9016"/>
            </w:tabs>
            <w:rPr>
              <w:rFonts w:eastAsiaTheme="minorEastAsia" w:cstheme="minorBidi"/>
              <w:noProof/>
              <w:szCs w:val="22"/>
              <w:lang w:val="en-AU" w:eastAsia="en-AU"/>
            </w:rPr>
          </w:pPr>
          <w:hyperlink w:anchor="_Toc434307648" w:history="1">
            <w:r w:rsidR="006703D5" w:rsidRPr="0009777E">
              <w:rPr>
                <w:rStyle w:val="Hyperlink"/>
                <w:noProof/>
              </w:rPr>
              <w:t>5.</w:t>
            </w:r>
            <w:r w:rsidR="006703D5">
              <w:rPr>
                <w:rFonts w:eastAsiaTheme="minorEastAsia" w:cstheme="minorBidi"/>
                <w:noProof/>
                <w:szCs w:val="22"/>
                <w:lang w:val="en-AU" w:eastAsia="en-AU"/>
              </w:rPr>
              <w:tab/>
            </w:r>
            <w:r w:rsidR="006703D5" w:rsidRPr="0009777E">
              <w:rPr>
                <w:rStyle w:val="Hyperlink"/>
                <w:noProof/>
              </w:rPr>
              <w:t>Policy and legislative context</w:t>
            </w:r>
            <w:r w:rsidR="006703D5">
              <w:rPr>
                <w:noProof/>
                <w:webHidden/>
              </w:rPr>
              <w:tab/>
            </w:r>
            <w:r w:rsidR="006703D5">
              <w:rPr>
                <w:noProof/>
                <w:webHidden/>
              </w:rPr>
              <w:fldChar w:fldCharType="begin"/>
            </w:r>
            <w:r w:rsidR="006703D5">
              <w:rPr>
                <w:noProof/>
                <w:webHidden/>
              </w:rPr>
              <w:instrText xml:space="preserve"> PAGEREF _Toc434307648 \h </w:instrText>
            </w:r>
            <w:r w:rsidR="006703D5">
              <w:rPr>
                <w:noProof/>
                <w:webHidden/>
              </w:rPr>
            </w:r>
            <w:r w:rsidR="006703D5">
              <w:rPr>
                <w:noProof/>
                <w:webHidden/>
              </w:rPr>
              <w:fldChar w:fldCharType="separate"/>
            </w:r>
            <w:r w:rsidR="00CA072F">
              <w:rPr>
                <w:noProof/>
                <w:webHidden/>
              </w:rPr>
              <w:t>3</w:t>
            </w:r>
            <w:r w:rsidR="006703D5">
              <w:rPr>
                <w:noProof/>
                <w:webHidden/>
              </w:rPr>
              <w:fldChar w:fldCharType="end"/>
            </w:r>
          </w:hyperlink>
        </w:p>
        <w:p w14:paraId="19F768CA" w14:textId="77777777" w:rsidR="006703D5" w:rsidRDefault="00B503F6">
          <w:pPr>
            <w:pStyle w:val="TOC2"/>
            <w:tabs>
              <w:tab w:val="right" w:leader="dot" w:pos="9016"/>
            </w:tabs>
            <w:rPr>
              <w:rFonts w:eastAsiaTheme="minorEastAsia" w:cstheme="minorBidi"/>
              <w:noProof/>
              <w:szCs w:val="22"/>
              <w:lang w:val="en-AU" w:eastAsia="en-AU"/>
            </w:rPr>
          </w:pPr>
          <w:hyperlink w:anchor="_Toc434307649" w:history="1">
            <w:r w:rsidR="006703D5" w:rsidRPr="0009777E">
              <w:rPr>
                <w:rStyle w:val="Hyperlink"/>
                <w:noProof/>
              </w:rPr>
              <w:t>Indigenous Australians’ Health Programme</w:t>
            </w:r>
            <w:r w:rsidR="006703D5">
              <w:rPr>
                <w:noProof/>
                <w:webHidden/>
              </w:rPr>
              <w:tab/>
            </w:r>
            <w:r w:rsidR="006703D5">
              <w:rPr>
                <w:noProof/>
                <w:webHidden/>
              </w:rPr>
              <w:fldChar w:fldCharType="begin"/>
            </w:r>
            <w:r w:rsidR="006703D5">
              <w:rPr>
                <w:noProof/>
                <w:webHidden/>
              </w:rPr>
              <w:instrText xml:space="preserve"> PAGEREF _Toc434307649 \h </w:instrText>
            </w:r>
            <w:r w:rsidR="006703D5">
              <w:rPr>
                <w:noProof/>
                <w:webHidden/>
              </w:rPr>
            </w:r>
            <w:r w:rsidR="006703D5">
              <w:rPr>
                <w:noProof/>
                <w:webHidden/>
              </w:rPr>
              <w:fldChar w:fldCharType="separate"/>
            </w:r>
            <w:r w:rsidR="00CA072F">
              <w:rPr>
                <w:noProof/>
                <w:webHidden/>
              </w:rPr>
              <w:t>3</w:t>
            </w:r>
            <w:r w:rsidR="006703D5">
              <w:rPr>
                <w:noProof/>
                <w:webHidden/>
              </w:rPr>
              <w:fldChar w:fldCharType="end"/>
            </w:r>
          </w:hyperlink>
        </w:p>
        <w:p w14:paraId="19F768CB" w14:textId="77777777" w:rsidR="006703D5" w:rsidRDefault="00B503F6">
          <w:pPr>
            <w:pStyle w:val="TOC2"/>
            <w:tabs>
              <w:tab w:val="right" w:leader="dot" w:pos="9016"/>
            </w:tabs>
            <w:rPr>
              <w:rFonts w:eastAsiaTheme="minorEastAsia" w:cstheme="minorBidi"/>
              <w:noProof/>
              <w:szCs w:val="22"/>
              <w:lang w:val="en-AU" w:eastAsia="en-AU"/>
            </w:rPr>
          </w:pPr>
          <w:hyperlink w:anchor="_Toc434307650" w:history="1">
            <w:r w:rsidR="006703D5" w:rsidRPr="0009777E">
              <w:rPr>
                <w:rStyle w:val="Hyperlink"/>
                <w:noProof/>
              </w:rPr>
              <w:t>National Aboriginal and Torres Strait Islander Health Plan</w:t>
            </w:r>
            <w:r w:rsidR="006703D5">
              <w:rPr>
                <w:noProof/>
                <w:webHidden/>
              </w:rPr>
              <w:tab/>
            </w:r>
            <w:r w:rsidR="006703D5">
              <w:rPr>
                <w:noProof/>
                <w:webHidden/>
              </w:rPr>
              <w:fldChar w:fldCharType="begin"/>
            </w:r>
            <w:r w:rsidR="006703D5">
              <w:rPr>
                <w:noProof/>
                <w:webHidden/>
              </w:rPr>
              <w:instrText xml:space="preserve"> PAGEREF _Toc434307650 \h </w:instrText>
            </w:r>
            <w:r w:rsidR="006703D5">
              <w:rPr>
                <w:noProof/>
                <w:webHidden/>
              </w:rPr>
            </w:r>
            <w:r w:rsidR="006703D5">
              <w:rPr>
                <w:noProof/>
                <w:webHidden/>
              </w:rPr>
              <w:fldChar w:fldCharType="separate"/>
            </w:r>
            <w:r w:rsidR="00CA072F">
              <w:rPr>
                <w:noProof/>
                <w:webHidden/>
              </w:rPr>
              <w:t>3</w:t>
            </w:r>
            <w:r w:rsidR="006703D5">
              <w:rPr>
                <w:noProof/>
                <w:webHidden/>
              </w:rPr>
              <w:fldChar w:fldCharType="end"/>
            </w:r>
          </w:hyperlink>
        </w:p>
        <w:p w14:paraId="19F768CC" w14:textId="77777777" w:rsidR="006703D5" w:rsidRDefault="00B503F6">
          <w:pPr>
            <w:pStyle w:val="TOC2"/>
            <w:tabs>
              <w:tab w:val="right" w:leader="dot" w:pos="9016"/>
            </w:tabs>
            <w:rPr>
              <w:rFonts w:eastAsiaTheme="minorEastAsia" w:cstheme="minorBidi"/>
              <w:noProof/>
              <w:szCs w:val="22"/>
              <w:lang w:val="en-AU" w:eastAsia="en-AU"/>
            </w:rPr>
          </w:pPr>
          <w:hyperlink w:anchor="_Toc434307651" w:history="1">
            <w:r w:rsidR="006703D5" w:rsidRPr="0009777E">
              <w:rPr>
                <w:rStyle w:val="Hyperlink"/>
                <w:noProof/>
              </w:rPr>
              <w:t>Public Management Reform Agenda</w:t>
            </w:r>
            <w:r w:rsidR="006703D5">
              <w:rPr>
                <w:noProof/>
                <w:webHidden/>
              </w:rPr>
              <w:tab/>
            </w:r>
            <w:r w:rsidR="006703D5">
              <w:rPr>
                <w:noProof/>
                <w:webHidden/>
              </w:rPr>
              <w:fldChar w:fldCharType="begin"/>
            </w:r>
            <w:r w:rsidR="006703D5">
              <w:rPr>
                <w:noProof/>
                <w:webHidden/>
              </w:rPr>
              <w:instrText xml:space="preserve"> PAGEREF _Toc434307651 \h </w:instrText>
            </w:r>
            <w:r w:rsidR="006703D5">
              <w:rPr>
                <w:noProof/>
                <w:webHidden/>
              </w:rPr>
            </w:r>
            <w:r w:rsidR="006703D5">
              <w:rPr>
                <w:noProof/>
                <w:webHidden/>
              </w:rPr>
              <w:fldChar w:fldCharType="separate"/>
            </w:r>
            <w:r w:rsidR="00CA072F">
              <w:rPr>
                <w:noProof/>
                <w:webHidden/>
              </w:rPr>
              <w:t>3</w:t>
            </w:r>
            <w:r w:rsidR="006703D5">
              <w:rPr>
                <w:noProof/>
                <w:webHidden/>
              </w:rPr>
              <w:fldChar w:fldCharType="end"/>
            </w:r>
          </w:hyperlink>
        </w:p>
        <w:p w14:paraId="19F768CD" w14:textId="77777777" w:rsidR="006703D5" w:rsidRDefault="00B503F6">
          <w:pPr>
            <w:pStyle w:val="TOC1"/>
            <w:tabs>
              <w:tab w:val="left" w:pos="480"/>
              <w:tab w:val="right" w:leader="dot" w:pos="9016"/>
            </w:tabs>
            <w:rPr>
              <w:rFonts w:eastAsiaTheme="minorEastAsia" w:cstheme="minorBidi"/>
              <w:noProof/>
              <w:szCs w:val="22"/>
              <w:lang w:val="en-AU" w:eastAsia="en-AU"/>
            </w:rPr>
          </w:pPr>
          <w:hyperlink w:anchor="_Toc434307652" w:history="1">
            <w:r w:rsidR="006703D5" w:rsidRPr="0009777E">
              <w:rPr>
                <w:rStyle w:val="Hyperlink"/>
                <w:noProof/>
              </w:rPr>
              <w:t>6.</w:t>
            </w:r>
            <w:r w:rsidR="006703D5">
              <w:rPr>
                <w:rFonts w:eastAsiaTheme="minorEastAsia" w:cstheme="minorBidi"/>
                <w:noProof/>
                <w:szCs w:val="22"/>
                <w:lang w:val="en-AU" w:eastAsia="en-AU"/>
              </w:rPr>
              <w:tab/>
            </w:r>
            <w:r w:rsidR="006703D5" w:rsidRPr="0009777E">
              <w:rPr>
                <w:rStyle w:val="Hyperlink"/>
                <w:noProof/>
              </w:rPr>
              <w:t>Our approach to undertaking evaluations</w:t>
            </w:r>
            <w:r w:rsidR="006703D5">
              <w:rPr>
                <w:noProof/>
                <w:webHidden/>
              </w:rPr>
              <w:tab/>
            </w:r>
            <w:r w:rsidR="006703D5">
              <w:rPr>
                <w:noProof/>
                <w:webHidden/>
              </w:rPr>
              <w:fldChar w:fldCharType="begin"/>
            </w:r>
            <w:r w:rsidR="006703D5">
              <w:rPr>
                <w:noProof/>
                <w:webHidden/>
              </w:rPr>
              <w:instrText xml:space="preserve"> PAGEREF _Toc434307652 \h </w:instrText>
            </w:r>
            <w:r w:rsidR="006703D5">
              <w:rPr>
                <w:noProof/>
                <w:webHidden/>
              </w:rPr>
            </w:r>
            <w:r w:rsidR="006703D5">
              <w:rPr>
                <w:noProof/>
                <w:webHidden/>
              </w:rPr>
              <w:fldChar w:fldCharType="separate"/>
            </w:r>
            <w:r w:rsidR="00CA072F">
              <w:rPr>
                <w:noProof/>
                <w:webHidden/>
              </w:rPr>
              <w:t>4</w:t>
            </w:r>
            <w:r w:rsidR="006703D5">
              <w:rPr>
                <w:noProof/>
                <w:webHidden/>
              </w:rPr>
              <w:fldChar w:fldCharType="end"/>
            </w:r>
          </w:hyperlink>
        </w:p>
        <w:p w14:paraId="19F768CE" w14:textId="77777777" w:rsidR="006703D5" w:rsidRDefault="00B503F6">
          <w:pPr>
            <w:pStyle w:val="TOC2"/>
            <w:tabs>
              <w:tab w:val="right" w:leader="dot" w:pos="9016"/>
            </w:tabs>
            <w:rPr>
              <w:rFonts w:eastAsiaTheme="minorEastAsia" w:cstheme="minorBidi"/>
              <w:noProof/>
              <w:szCs w:val="22"/>
              <w:lang w:val="en-AU" w:eastAsia="en-AU"/>
            </w:rPr>
          </w:pPr>
          <w:hyperlink w:anchor="_Toc434307653" w:history="1">
            <w:r w:rsidR="006703D5" w:rsidRPr="0009777E">
              <w:rPr>
                <w:rStyle w:val="Hyperlink"/>
                <w:noProof/>
              </w:rPr>
              <w:t>Types of evaluation</w:t>
            </w:r>
            <w:r w:rsidR="006703D5">
              <w:rPr>
                <w:noProof/>
                <w:webHidden/>
              </w:rPr>
              <w:tab/>
            </w:r>
            <w:r w:rsidR="006703D5">
              <w:rPr>
                <w:noProof/>
                <w:webHidden/>
              </w:rPr>
              <w:fldChar w:fldCharType="begin"/>
            </w:r>
            <w:r w:rsidR="006703D5">
              <w:rPr>
                <w:noProof/>
                <w:webHidden/>
              </w:rPr>
              <w:instrText xml:space="preserve"> PAGEREF _Toc434307653 \h </w:instrText>
            </w:r>
            <w:r w:rsidR="006703D5">
              <w:rPr>
                <w:noProof/>
                <w:webHidden/>
              </w:rPr>
            </w:r>
            <w:r w:rsidR="006703D5">
              <w:rPr>
                <w:noProof/>
                <w:webHidden/>
              </w:rPr>
              <w:fldChar w:fldCharType="separate"/>
            </w:r>
            <w:r w:rsidR="00CA072F">
              <w:rPr>
                <w:noProof/>
                <w:webHidden/>
              </w:rPr>
              <w:t>4</w:t>
            </w:r>
            <w:r w:rsidR="006703D5">
              <w:rPr>
                <w:noProof/>
                <w:webHidden/>
              </w:rPr>
              <w:fldChar w:fldCharType="end"/>
            </w:r>
          </w:hyperlink>
        </w:p>
        <w:p w14:paraId="19F768CF" w14:textId="77777777" w:rsidR="006703D5" w:rsidRDefault="00B503F6">
          <w:pPr>
            <w:pStyle w:val="TOC3"/>
            <w:tabs>
              <w:tab w:val="right" w:leader="dot" w:pos="9016"/>
            </w:tabs>
            <w:rPr>
              <w:rFonts w:eastAsiaTheme="minorEastAsia" w:cstheme="minorBidi"/>
              <w:noProof/>
              <w:szCs w:val="22"/>
              <w:lang w:val="en-AU" w:eastAsia="en-AU"/>
            </w:rPr>
          </w:pPr>
          <w:hyperlink w:anchor="_Toc434307654" w:history="1">
            <w:r w:rsidR="006703D5" w:rsidRPr="0009777E">
              <w:rPr>
                <w:rStyle w:val="Hyperlink"/>
                <w:noProof/>
              </w:rPr>
              <w:t>Strategic evaluations</w:t>
            </w:r>
            <w:r w:rsidR="006703D5">
              <w:rPr>
                <w:noProof/>
                <w:webHidden/>
              </w:rPr>
              <w:tab/>
            </w:r>
            <w:r w:rsidR="006703D5">
              <w:rPr>
                <w:noProof/>
                <w:webHidden/>
              </w:rPr>
              <w:fldChar w:fldCharType="begin"/>
            </w:r>
            <w:r w:rsidR="006703D5">
              <w:rPr>
                <w:noProof/>
                <w:webHidden/>
              </w:rPr>
              <w:instrText xml:space="preserve"> PAGEREF _Toc434307654 \h </w:instrText>
            </w:r>
            <w:r w:rsidR="006703D5">
              <w:rPr>
                <w:noProof/>
                <w:webHidden/>
              </w:rPr>
            </w:r>
            <w:r w:rsidR="006703D5">
              <w:rPr>
                <w:noProof/>
                <w:webHidden/>
              </w:rPr>
              <w:fldChar w:fldCharType="separate"/>
            </w:r>
            <w:r w:rsidR="00CA072F">
              <w:rPr>
                <w:noProof/>
                <w:webHidden/>
              </w:rPr>
              <w:t>4</w:t>
            </w:r>
            <w:r w:rsidR="006703D5">
              <w:rPr>
                <w:noProof/>
                <w:webHidden/>
              </w:rPr>
              <w:fldChar w:fldCharType="end"/>
            </w:r>
          </w:hyperlink>
        </w:p>
        <w:p w14:paraId="19F768D0" w14:textId="77777777" w:rsidR="006703D5" w:rsidRDefault="00B503F6">
          <w:pPr>
            <w:pStyle w:val="TOC3"/>
            <w:tabs>
              <w:tab w:val="right" w:leader="dot" w:pos="9016"/>
            </w:tabs>
            <w:rPr>
              <w:rFonts w:eastAsiaTheme="minorEastAsia" w:cstheme="minorBidi"/>
              <w:noProof/>
              <w:szCs w:val="22"/>
              <w:lang w:val="en-AU" w:eastAsia="en-AU"/>
            </w:rPr>
          </w:pPr>
          <w:hyperlink w:anchor="_Toc434307655" w:history="1">
            <w:r w:rsidR="006703D5" w:rsidRPr="0009777E">
              <w:rPr>
                <w:rStyle w:val="Hyperlink"/>
                <w:noProof/>
              </w:rPr>
              <w:t>Initiative specific evaluations</w:t>
            </w:r>
            <w:r w:rsidR="006703D5">
              <w:rPr>
                <w:noProof/>
                <w:webHidden/>
              </w:rPr>
              <w:tab/>
            </w:r>
            <w:r w:rsidR="006703D5">
              <w:rPr>
                <w:noProof/>
                <w:webHidden/>
              </w:rPr>
              <w:fldChar w:fldCharType="begin"/>
            </w:r>
            <w:r w:rsidR="006703D5">
              <w:rPr>
                <w:noProof/>
                <w:webHidden/>
              </w:rPr>
              <w:instrText xml:space="preserve"> PAGEREF _Toc434307655 \h </w:instrText>
            </w:r>
            <w:r w:rsidR="006703D5">
              <w:rPr>
                <w:noProof/>
                <w:webHidden/>
              </w:rPr>
            </w:r>
            <w:r w:rsidR="006703D5">
              <w:rPr>
                <w:noProof/>
                <w:webHidden/>
              </w:rPr>
              <w:fldChar w:fldCharType="separate"/>
            </w:r>
            <w:r w:rsidR="00CA072F">
              <w:rPr>
                <w:noProof/>
                <w:webHidden/>
              </w:rPr>
              <w:t>4</w:t>
            </w:r>
            <w:r w:rsidR="006703D5">
              <w:rPr>
                <w:noProof/>
                <w:webHidden/>
              </w:rPr>
              <w:fldChar w:fldCharType="end"/>
            </w:r>
          </w:hyperlink>
        </w:p>
        <w:p w14:paraId="19F768D1" w14:textId="77777777" w:rsidR="006703D5" w:rsidRDefault="00B503F6">
          <w:pPr>
            <w:pStyle w:val="TOC1"/>
            <w:tabs>
              <w:tab w:val="left" w:pos="480"/>
              <w:tab w:val="right" w:leader="dot" w:pos="9016"/>
            </w:tabs>
            <w:rPr>
              <w:rFonts w:eastAsiaTheme="minorEastAsia" w:cstheme="minorBidi"/>
              <w:noProof/>
              <w:szCs w:val="22"/>
              <w:lang w:val="en-AU" w:eastAsia="en-AU"/>
            </w:rPr>
          </w:pPr>
          <w:hyperlink w:anchor="_Toc434307656" w:history="1">
            <w:r w:rsidR="006703D5" w:rsidRPr="0009777E">
              <w:rPr>
                <w:rStyle w:val="Hyperlink"/>
                <w:noProof/>
              </w:rPr>
              <w:t>7.</w:t>
            </w:r>
            <w:r w:rsidR="006703D5">
              <w:rPr>
                <w:rFonts w:eastAsiaTheme="minorEastAsia" w:cstheme="minorBidi"/>
                <w:noProof/>
                <w:szCs w:val="22"/>
                <w:lang w:val="en-AU" w:eastAsia="en-AU"/>
              </w:rPr>
              <w:tab/>
            </w:r>
            <w:r w:rsidR="006703D5" w:rsidRPr="0009777E">
              <w:rPr>
                <w:rStyle w:val="Hyperlink"/>
                <w:noProof/>
              </w:rPr>
              <w:t>Key principles</w:t>
            </w:r>
            <w:r w:rsidR="006703D5">
              <w:rPr>
                <w:noProof/>
                <w:webHidden/>
              </w:rPr>
              <w:tab/>
            </w:r>
            <w:r w:rsidR="006703D5">
              <w:rPr>
                <w:noProof/>
                <w:webHidden/>
              </w:rPr>
              <w:fldChar w:fldCharType="begin"/>
            </w:r>
            <w:r w:rsidR="006703D5">
              <w:rPr>
                <w:noProof/>
                <w:webHidden/>
              </w:rPr>
              <w:instrText xml:space="preserve"> PAGEREF _Toc434307656 \h </w:instrText>
            </w:r>
            <w:r w:rsidR="006703D5">
              <w:rPr>
                <w:noProof/>
                <w:webHidden/>
              </w:rPr>
            </w:r>
            <w:r w:rsidR="006703D5">
              <w:rPr>
                <w:noProof/>
                <w:webHidden/>
              </w:rPr>
              <w:fldChar w:fldCharType="separate"/>
            </w:r>
            <w:r w:rsidR="00CA072F">
              <w:rPr>
                <w:noProof/>
                <w:webHidden/>
              </w:rPr>
              <w:t>4</w:t>
            </w:r>
            <w:r w:rsidR="006703D5">
              <w:rPr>
                <w:noProof/>
                <w:webHidden/>
              </w:rPr>
              <w:fldChar w:fldCharType="end"/>
            </w:r>
          </w:hyperlink>
        </w:p>
        <w:p w14:paraId="19F768D2" w14:textId="77777777" w:rsidR="006703D5" w:rsidRDefault="00B503F6">
          <w:pPr>
            <w:pStyle w:val="TOC3"/>
            <w:tabs>
              <w:tab w:val="right" w:leader="dot" w:pos="9016"/>
            </w:tabs>
            <w:rPr>
              <w:rFonts w:eastAsiaTheme="minorEastAsia" w:cstheme="minorBidi"/>
              <w:noProof/>
              <w:szCs w:val="22"/>
              <w:lang w:val="en-AU" w:eastAsia="en-AU"/>
            </w:rPr>
          </w:pPr>
          <w:hyperlink w:anchor="_Toc434307657" w:history="1">
            <w:r w:rsidR="006703D5" w:rsidRPr="0009777E">
              <w:rPr>
                <w:rStyle w:val="Hyperlink"/>
                <w:noProof/>
              </w:rPr>
              <w:t>Build on existing knowledge</w:t>
            </w:r>
            <w:r w:rsidR="006703D5">
              <w:rPr>
                <w:noProof/>
                <w:webHidden/>
              </w:rPr>
              <w:tab/>
            </w:r>
            <w:r w:rsidR="006703D5">
              <w:rPr>
                <w:noProof/>
                <w:webHidden/>
              </w:rPr>
              <w:fldChar w:fldCharType="begin"/>
            </w:r>
            <w:r w:rsidR="006703D5">
              <w:rPr>
                <w:noProof/>
                <w:webHidden/>
              </w:rPr>
              <w:instrText xml:space="preserve"> PAGEREF _Toc434307657 \h </w:instrText>
            </w:r>
            <w:r w:rsidR="006703D5">
              <w:rPr>
                <w:noProof/>
                <w:webHidden/>
              </w:rPr>
            </w:r>
            <w:r w:rsidR="006703D5">
              <w:rPr>
                <w:noProof/>
                <w:webHidden/>
              </w:rPr>
              <w:fldChar w:fldCharType="separate"/>
            </w:r>
            <w:r w:rsidR="00CA072F">
              <w:rPr>
                <w:noProof/>
                <w:webHidden/>
              </w:rPr>
              <w:t>4</w:t>
            </w:r>
            <w:r w:rsidR="006703D5">
              <w:rPr>
                <w:noProof/>
                <w:webHidden/>
              </w:rPr>
              <w:fldChar w:fldCharType="end"/>
            </w:r>
          </w:hyperlink>
        </w:p>
        <w:p w14:paraId="19F768D3" w14:textId="77777777" w:rsidR="006703D5" w:rsidRDefault="00B503F6">
          <w:pPr>
            <w:pStyle w:val="TOC3"/>
            <w:tabs>
              <w:tab w:val="right" w:leader="dot" w:pos="9016"/>
            </w:tabs>
            <w:rPr>
              <w:rFonts w:eastAsiaTheme="minorEastAsia" w:cstheme="minorBidi"/>
              <w:noProof/>
              <w:szCs w:val="22"/>
              <w:lang w:val="en-AU" w:eastAsia="en-AU"/>
            </w:rPr>
          </w:pPr>
          <w:hyperlink w:anchor="_Toc434307658" w:history="1">
            <w:r w:rsidR="006703D5" w:rsidRPr="0009777E">
              <w:rPr>
                <w:rStyle w:val="Hyperlink"/>
                <w:noProof/>
              </w:rPr>
              <w:t>Concurrent evaluations</w:t>
            </w:r>
            <w:r w:rsidR="006703D5">
              <w:rPr>
                <w:noProof/>
                <w:webHidden/>
              </w:rPr>
              <w:tab/>
            </w:r>
            <w:r w:rsidR="006703D5">
              <w:rPr>
                <w:noProof/>
                <w:webHidden/>
              </w:rPr>
              <w:fldChar w:fldCharType="begin"/>
            </w:r>
            <w:r w:rsidR="006703D5">
              <w:rPr>
                <w:noProof/>
                <w:webHidden/>
              </w:rPr>
              <w:instrText xml:space="preserve"> PAGEREF _Toc434307658 \h </w:instrText>
            </w:r>
            <w:r w:rsidR="006703D5">
              <w:rPr>
                <w:noProof/>
                <w:webHidden/>
              </w:rPr>
            </w:r>
            <w:r w:rsidR="006703D5">
              <w:rPr>
                <w:noProof/>
                <w:webHidden/>
              </w:rPr>
              <w:fldChar w:fldCharType="separate"/>
            </w:r>
            <w:r w:rsidR="00CA072F">
              <w:rPr>
                <w:noProof/>
                <w:webHidden/>
              </w:rPr>
              <w:t>4</w:t>
            </w:r>
            <w:r w:rsidR="006703D5">
              <w:rPr>
                <w:noProof/>
                <w:webHidden/>
              </w:rPr>
              <w:fldChar w:fldCharType="end"/>
            </w:r>
          </w:hyperlink>
        </w:p>
        <w:p w14:paraId="19F768D4" w14:textId="77777777" w:rsidR="006703D5" w:rsidRDefault="00B503F6">
          <w:pPr>
            <w:pStyle w:val="TOC3"/>
            <w:tabs>
              <w:tab w:val="right" w:leader="dot" w:pos="9016"/>
            </w:tabs>
            <w:rPr>
              <w:rFonts w:eastAsiaTheme="minorEastAsia" w:cstheme="minorBidi"/>
              <w:noProof/>
              <w:szCs w:val="22"/>
              <w:lang w:val="en-AU" w:eastAsia="en-AU"/>
            </w:rPr>
          </w:pPr>
          <w:hyperlink w:anchor="_Toc434307659" w:history="1">
            <w:r w:rsidR="006703D5" w:rsidRPr="0009777E">
              <w:rPr>
                <w:rStyle w:val="Hyperlink"/>
                <w:noProof/>
              </w:rPr>
              <w:t>Theory based evaluation</w:t>
            </w:r>
            <w:r w:rsidR="006703D5">
              <w:rPr>
                <w:noProof/>
                <w:webHidden/>
              </w:rPr>
              <w:tab/>
            </w:r>
            <w:r w:rsidR="006703D5">
              <w:rPr>
                <w:noProof/>
                <w:webHidden/>
              </w:rPr>
              <w:fldChar w:fldCharType="begin"/>
            </w:r>
            <w:r w:rsidR="006703D5">
              <w:rPr>
                <w:noProof/>
                <w:webHidden/>
              </w:rPr>
              <w:instrText xml:space="preserve"> PAGEREF _Toc434307659 \h </w:instrText>
            </w:r>
            <w:r w:rsidR="006703D5">
              <w:rPr>
                <w:noProof/>
                <w:webHidden/>
              </w:rPr>
            </w:r>
            <w:r w:rsidR="006703D5">
              <w:rPr>
                <w:noProof/>
                <w:webHidden/>
              </w:rPr>
              <w:fldChar w:fldCharType="separate"/>
            </w:r>
            <w:r w:rsidR="00CA072F">
              <w:rPr>
                <w:noProof/>
                <w:webHidden/>
              </w:rPr>
              <w:t>4</w:t>
            </w:r>
            <w:r w:rsidR="006703D5">
              <w:rPr>
                <w:noProof/>
                <w:webHidden/>
              </w:rPr>
              <w:fldChar w:fldCharType="end"/>
            </w:r>
          </w:hyperlink>
        </w:p>
        <w:p w14:paraId="19F768D5" w14:textId="77777777" w:rsidR="006703D5" w:rsidRDefault="00B503F6">
          <w:pPr>
            <w:pStyle w:val="TOC3"/>
            <w:tabs>
              <w:tab w:val="right" w:leader="dot" w:pos="9016"/>
            </w:tabs>
            <w:rPr>
              <w:rFonts w:eastAsiaTheme="minorEastAsia" w:cstheme="minorBidi"/>
              <w:noProof/>
              <w:szCs w:val="22"/>
              <w:lang w:val="en-AU" w:eastAsia="en-AU"/>
            </w:rPr>
          </w:pPr>
          <w:hyperlink w:anchor="_Toc434307660" w:history="1">
            <w:r w:rsidR="006703D5" w:rsidRPr="0009777E">
              <w:rPr>
                <w:rStyle w:val="Hyperlink"/>
                <w:noProof/>
              </w:rPr>
              <w:t>Develop a linked suite of evaluations</w:t>
            </w:r>
            <w:r w:rsidR="006703D5">
              <w:rPr>
                <w:noProof/>
                <w:webHidden/>
              </w:rPr>
              <w:tab/>
            </w:r>
            <w:r w:rsidR="006703D5">
              <w:rPr>
                <w:noProof/>
                <w:webHidden/>
              </w:rPr>
              <w:fldChar w:fldCharType="begin"/>
            </w:r>
            <w:r w:rsidR="006703D5">
              <w:rPr>
                <w:noProof/>
                <w:webHidden/>
              </w:rPr>
              <w:instrText xml:space="preserve"> PAGEREF _Toc434307660 \h </w:instrText>
            </w:r>
            <w:r w:rsidR="006703D5">
              <w:rPr>
                <w:noProof/>
                <w:webHidden/>
              </w:rPr>
            </w:r>
            <w:r w:rsidR="006703D5">
              <w:rPr>
                <w:noProof/>
                <w:webHidden/>
              </w:rPr>
              <w:fldChar w:fldCharType="separate"/>
            </w:r>
            <w:r w:rsidR="00CA072F">
              <w:rPr>
                <w:noProof/>
                <w:webHidden/>
              </w:rPr>
              <w:t>4</w:t>
            </w:r>
            <w:r w:rsidR="006703D5">
              <w:rPr>
                <w:noProof/>
                <w:webHidden/>
              </w:rPr>
              <w:fldChar w:fldCharType="end"/>
            </w:r>
          </w:hyperlink>
        </w:p>
        <w:p w14:paraId="19F768D6" w14:textId="77777777" w:rsidR="006703D5" w:rsidRDefault="00B503F6">
          <w:pPr>
            <w:pStyle w:val="TOC3"/>
            <w:tabs>
              <w:tab w:val="right" w:leader="dot" w:pos="9016"/>
            </w:tabs>
            <w:rPr>
              <w:rFonts w:eastAsiaTheme="minorEastAsia" w:cstheme="minorBidi"/>
              <w:noProof/>
              <w:szCs w:val="22"/>
              <w:lang w:val="en-AU" w:eastAsia="en-AU"/>
            </w:rPr>
          </w:pPr>
          <w:hyperlink w:anchor="_Toc434307661" w:history="1">
            <w:r w:rsidR="006703D5" w:rsidRPr="0009777E">
              <w:rPr>
                <w:rStyle w:val="Hyperlink"/>
                <w:noProof/>
              </w:rPr>
              <w:t>Minimise reporting burden &amp; consultation fatigue</w:t>
            </w:r>
            <w:r w:rsidR="006703D5">
              <w:rPr>
                <w:noProof/>
                <w:webHidden/>
              </w:rPr>
              <w:tab/>
            </w:r>
            <w:r w:rsidR="006703D5">
              <w:rPr>
                <w:noProof/>
                <w:webHidden/>
              </w:rPr>
              <w:fldChar w:fldCharType="begin"/>
            </w:r>
            <w:r w:rsidR="006703D5">
              <w:rPr>
                <w:noProof/>
                <w:webHidden/>
              </w:rPr>
              <w:instrText xml:space="preserve"> PAGEREF _Toc434307661 \h </w:instrText>
            </w:r>
            <w:r w:rsidR="006703D5">
              <w:rPr>
                <w:noProof/>
                <w:webHidden/>
              </w:rPr>
            </w:r>
            <w:r w:rsidR="006703D5">
              <w:rPr>
                <w:noProof/>
                <w:webHidden/>
              </w:rPr>
              <w:fldChar w:fldCharType="separate"/>
            </w:r>
            <w:r w:rsidR="00CA072F">
              <w:rPr>
                <w:noProof/>
                <w:webHidden/>
              </w:rPr>
              <w:t>4</w:t>
            </w:r>
            <w:r w:rsidR="006703D5">
              <w:rPr>
                <w:noProof/>
                <w:webHidden/>
              </w:rPr>
              <w:fldChar w:fldCharType="end"/>
            </w:r>
          </w:hyperlink>
        </w:p>
        <w:p w14:paraId="19F768D7" w14:textId="77777777" w:rsidR="006703D5" w:rsidRDefault="00B503F6">
          <w:pPr>
            <w:pStyle w:val="TOC3"/>
            <w:tabs>
              <w:tab w:val="right" w:leader="dot" w:pos="9016"/>
            </w:tabs>
            <w:rPr>
              <w:rFonts w:eastAsiaTheme="minorEastAsia" w:cstheme="minorBidi"/>
              <w:noProof/>
              <w:szCs w:val="22"/>
              <w:lang w:val="en-AU" w:eastAsia="en-AU"/>
            </w:rPr>
          </w:pPr>
          <w:hyperlink w:anchor="_Toc434307662" w:history="1">
            <w:r w:rsidR="006703D5" w:rsidRPr="0009777E">
              <w:rPr>
                <w:rStyle w:val="Hyperlink"/>
                <w:noProof/>
              </w:rPr>
              <w:t>Knowledge utilisation</w:t>
            </w:r>
            <w:r w:rsidR="006703D5">
              <w:rPr>
                <w:noProof/>
                <w:webHidden/>
              </w:rPr>
              <w:tab/>
            </w:r>
            <w:r w:rsidR="006703D5">
              <w:rPr>
                <w:noProof/>
                <w:webHidden/>
              </w:rPr>
              <w:fldChar w:fldCharType="begin"/>
            </w:r>
            <w:r w:rsidR="006703D5">
              <w:rPr>
                <w:noProof/>
                <w:webHidden/>
              </w:rPr>
              <w:instrText xml:space="preserve"> PAGEREF _Toc434307662 \h </w:instrText>
            </w:r>
            <w:r w:rsidR="006703D5">
              <w:rPr>
                <w:noProof/>
                <w:webHidden/>
              </w:rPr>
            </w:r>
            <w:r w:rsidR="006703D5">
              <w:rPr>
                <w:noProof/>
                <w:webHidden/>
              </w:rPr>
              <w:fldChar w:fldCharType="separate"/>
            </w:r>
            <w:r w:rsidR="00CA072F">
              <w:rPr>
                <w:noProof/>
                <w:webHidden/>
              </w:rPr>
              <w:t>5</w:t>
            </w:r>
            <w:r w:rsidR="006703D5">
              <w:rPr>
                <w:noProof/>
                <w:webHidden/>
              </w:rPr>
              <w:fldChar w:fldCharType="end"/>
            </w:r>
          </w:hyperlink>
        </w:p>
        <w:p w14:paraId="19F768D8" w14:textId="77777777" w:rsidR="006703D5" w:rsidRDefault="00B503F6">
          <w:pPr>
            <w:pStyle w:val="TOC1"/>
            <w:tabs>
              <w:tab w:val="left" w:pos="480"/>
              <w:tab w:val="right" w:leader="dot" w:pos="9016"/>
            </w:tabs>
            <w:rPr>
              <w:rFonts w:eastAsiaTheme="minorEastAsia" w:cstheme="minorBidi"/>
              <w:noProof/>
              <w:szCs w:val="22"/>
              <w:lang w:val="en-AU" w:eastAsia="en-AU"/>
            </w:rPr>
          </w:pPr>
          <w:hyperlink w:anchor="_Toc434307663" w:history="1">
            <w:r w:rsidR="006703D5" w:rsidRPr="0009777E">
              <w:rPr>
                <w:rStyle w:val="Hyperlink"/>
                <w:noProof/>
              </w:rPr>
              <w:t>8.</w:t>
            </w:r>
            <w:r w:rsidR="006703D5">
              <w:rPr>
                <w:rFonts w:eastAsiaTheme="minorEastAsia" w:cstheme="minorBidi"/>
                <w:noProof/>
                <w:szCs w:val="22"/>
                <w:lang w:val="en-AU" w:eastAsia="en-AU"/>
              </w:rPr>
              <w:tab/>
            </w:r>
            <w:r w:rsidR="006703D5" w:rsidRPr="0009777E">
              <w:rPr>
                <w:rStyle w:val="Hyperlink"/>
                <w:noProof/>
              </w:rPr>
              <w:t>Standards</w:t>
            </w:r>
            <w:r w:rsidR="006703D5">
              <w:rPr>
                <w:noProof/>
                <w:webHidden/>
              </w:rPr>
              <w:tab/>
            </w:r>
            <w:r w:rsidR="006703D5">
              <w:rPr>
                <w:noProof/>
                <w:webHidden/>
              </w:rPr>
              <w:fldChar w:fldCharType="begin"/>
            </w:r>
            <w:r w:rsidR="006703D5">
              <w:rPr>
                <w:noProof/>
                <w:webHidden/>
              </w:rPr>
              <w:instrText xml:space="preserve"> PAGEREF _Toc434307663 \h </w:instrText>
            </w:r>
            <w:r w:rsidR="006703D5">
              <w:rPr>
                <w:noProof/>
                <w:webHidden/>
              </w:rPr>
            </w:r>
            <w:r w:rsidR="006703D5">
              <w:rPr>
                <w:noProof/>
                <w:webHidden/>
              </w:rPr>
              <w:fldChar w:fldCharType="separate"/>
            </w:r>
            <w:r w:rsidR="00CA072F">
              <w:rPr>
                <w:noProof/>
                <w:webHidden/>
              </w:rPr>
              <w:t>5</w:t>
            </w:r>
            <w:r w:rsidR="006703D5">
              <w:rPr>
                <w:noProof/>
                <w:webHidden/>
              </w:rPr>
              <w:fldChar w:fldCharType="end"/>
            </w:r>
          </w:hyperlink>
        </w:p>
        <w:p w14:paraId="19F768D9" w14:textId="77777777" w:rsidR="006703D5" w:rsidRDefault="00B503F6">
          <w:pPr>
            <w:pStyle w:val="TOC2"/>
            <w:tabs>
              <w:tab w:val="right" w:leader="dot" w:pos="9016"/>
            </w:tabs>
            <w:rPr>
              <w:rFonts w:eastAsiaTheme="minorEastAsia" w:cstheme="minorBidi"/>
              <w:noProof/>
              <w:szCs w:val="22"/>
              <w:lang w:val="en-AU" w:eastAsia="en-AU"/>
            </w:rPr>
          </w:pPr>
          <w:hyperlink w:anchor="_Toc434307664" w:history="1">
            <w:r w:rsidR="006703D5" w:rsidRPr="0009777E">
              <w:rPr>
                <w:rStyle w:val="Hyperlink"/>
                <w:noProof/>
              </w:rPr>
              <w:t>Data</w:t>
            </w:r>
            <w:r w:rsidR="006703D5">
              <w:rPr>
                <w:noProof/>
                <w:webHidden/>
              </w:rPr>
              <w:tab/>
            </w:r>
            <w:r w:rsidR="006703D5">
              <w:rPr>
                <w:noProof/>
                <w:webHidden/>
              </w:rPr>
              <w:fldChar w:fldCharType="begin"/>
            </w:r>
            <w:r w:rsidR="006703D5">
              <w:rPr>
                <w:noProof/>
                <w:webHidden/>
              </w:rPr>
              <w:instrText xml:space="preserve"> PAGEREF _Toc434307664 \h </w:instrText>
            </w:r>
            <w:r w:rsidR="006703D5">
              <w:rPr>
                <w:noProof/>
                <w:webHidden/>
              </w:rPr>
            </w:r>
            <w:r w:rsidR="006703D5">
              <w:rPr>
                <w:noProof/>
                <w:webHidden/>
              </w:rPr>
              <w:fldChar w:fldCharType="separate"/>
            </w:r>
            <w:r w:rsidR="00CA072F">
              <w:rPr>
                <w:noProof/>
                <w:webHidden/>
              </w:rPr>
              <w:t>5</w:t>
            </w:r>
            <w:r w:rsidR="006703D5">
              <w:rPr>
                <w:noProof/>
                <w:webHidden/>
              </w:rPr>
              <w:fldChar w:fldCharType="end"/>
            </w:r>
          </w:hyperlink>
        </w:p>
        <w:p w14:paraId="19F768DA" w14:textId="77777777" w:rsidR="006703D5" w:rsidRDefault="00B503F6">
          <w:pPr>
            <w:pStyle w:val="TOC3"/>
            <w:tabs>
              <w:tab w:val="right" w:leader="dot" w:pos="9016"/>
            </w:tabs>
            <w:rPr>
              <w:rFonts w:eastAsiaTheme="minorEastAsia" w:cstheme="minorBidi"/>
              <w:noProof/>
              <w:szCs w:val="22"/>
              <w:lang w:val="en-AU" w:eastAsia="en-AU"/>
            </w:rPr>
          </w:pPr>
          <w:hyperlink w:anchor="_Toc434307665" w:history="1">
            <w:r w:rsidR="006703D5" w:rsidRPr="0009777E">
              <w:rPr>
                <w:rStyle w:val="Hyperlink"/>
                <w:noProof/>
              </w:rPr>
              <w:t>Data collections</w:t>
            </w:r>
            <w:r w:rsidR="006703D5">
              <w:rPr>
                <w:noProof/>
                <w:webHidden/>
              </w:rPr>
              <w:tab/>
            </w:r>
            <w:r w:rsidR="006703D5">
              <w:rPr>
                <w:noProof/>
                <w:webHidden/>
              </w:rPr>
              <w:fldChar w:fldCharType="begin"/>
            </w:r>
            <w:r w:rsidR="006703D5">
              <w:rPr>
                <w:noProof/>
                <w:webHidden/>
              </w:rPr>
              <w:instrText xml:space="preserve"> PAGEREF _Toc434307665 \h </w:instrText>
            </w:r>
            <w:r w:rsidR="006703D5">
              <w:rPr>
                <w:noProof/>
                <w:webHidden/>
              </w:rPr>
            </w:r>
            <w:r w:rsidR="006703D5">
              <w:rPr>
                <w:noProof/>
                <w:webHidden/>
              </w:rPr>
              <w:fldChar w:fldCharType="separate"/>
            </w:r>
            <w:r w:rsidR="00CA072F">
              <w:rPr>
                <w:noProof/>
                <w:webHidden/>
              </w:rPr>
              <w:t>5</w:t>
            </w:r>
            <w:r w:rsidR="006703D5">
              <w:rPr>
                <w:noProof/>
                <w:webHidden/>
              </w:rPr>
              <w:fldChar w:fldCharType="end"/>
            </w:r>
          </w:hyperlink>
        </w:p>
        <w:p w14:paraId="19F768DB" w14:textId="77777777" w:rsidR="006703D5" w:rsidRDefault="00B503F6">
          <w:pPr>
            <w:pStyle w:val="TOC3"/>
            <w:tabs>
              <w:tab w:val="right" w:leader="dot" w:pos="9016"/>
            </w:tabs>
            <w:rPr>
              <w:rFonts w:eastAsiaTheme="minorEastAsia" w:cstheme="minorBidi"/>
              <w:noProof/>
              <w:szCs w:val="22"/>
              <w:lang w:val="en-AU" w:eastAsia="en-AU"/>
            </w:rPr>
          </w:pPr>
          <w:hyperlink w:anchor="_Toc434307666" w:history="1">
            <w:r w:rsidR="006703D5" w:rsidRPr="0009777E">
              <w:rPr>
                <w:rStyle w:val="Hyperlink"/>
                <w:noProof/>
              </w:rPr>
              <w:t>Data Management</w:t>
            </w:r>
            <w:r w:rsidR="006703D5">
              <w:rPr>
                <w:noProof/>
                <w:webHidden/>
              </w:rPr>
              <w:tab/>
            </w:r>
            <w:r w:rsidR="006703D5">
              <w:rPr>
                <w:noProof/>
                <w:webHidden/>
              </w:rPr>
              <w:fldChar w:fldCharType="begin"/>
            </w:r>
            <w:r w:rsidR="006703D5">
              <w:rPr>
                <w:noProof/>
                <w:webHidden/>
              </w:rPr>
              <w:instrText xml:space="preserve"> PAGEREF _Toc434307666 \h </w:instrText>
            </w:r>
            <w:r w:rsidR="006703D5">
              <w:rPr>
                <w:noProof/>
                <w:webHidden/>
              </w:rPr>
            </w:r>
            <w:r w:rsidR="006703D5">
              <w:rPr>
                <w:noProof/>
                <w:webHidden/>
              </w:rPr>
              <w:fldChar w:fldCharType="separate"/>
            </w:r>
            <w:r w:rsidR="00CA072F">
              <w:rPr>
                <w:noProof/>
                <w:webHidden/>
              </w:rPr>
              <w:t>5</w:t>
            </w:r>
            <w:r w:rsidR="006703D5">
              <w:rPr>
                <w:noProof/>
                <w:webHidden/>
              </w:rPr>
              <w:fldChar w:fldCharType="end"/>
            </w:r>
          </w:hyperlink>
        </w:p>
        <w:p w14:paraId="19F768DC" w14:textId="77777777" w:rsidR="006703D5" w:rsidRDefault="00B503F6">
          <w:pPr>
            <w:pStyle w:val="TOC2"/>
            <w:tabs>
              <w:tab w:val="right" w:leader="dot" w:pos="9016"/>
            </w:tabs>
            <w:rPr>
              <w:rFonts w:eastAsiaTheme="minorEastAsia" w:cstheme="minorBidi"/>
              <w:noProof/>
              <w:szCs w:val="22"/>
              <w:lang w:val="en-AU" w:eastAsia="en-AU"/>
            </w:rPr>
          </w:pPr>
          <w:hyperlink w:anchor="_Toc434307667" w:history="1">
            <w:r w:rsidR="006703D5" w:rsidRPr="0009777E">
              <w:rPr>
                <w:rStyle w:val="Hyperlink"/>
                <w:noProof/>
              </w:rPr>
              <w:t>Ethics</w:t>
            </w:r>
            <w:r w:rsidR="006703D5">
              <w:rPr>
                <w:noProof/>
                <w:webHidden/>
              </w:rPr>
              <w:tab/>
            </w:r>
            <w:r w:rsidR="006703D5">
              <w:rPr>
                <w:noProof/>
                <w:webHidden/>
              </w:rPr>
              <w:fldChar w:fldCharType="begin"/>
            </w:r>
            <w:r w:rsidR="006703D5">
              <w:rPr>
                <w:noProof/>
                <w:webHidden/>
              </w:rPr>
              <w:instrText xml:space="preserve"> PAGEREF _Toc434307667 \h </w:instrText>
            </w:r>
            <w:r w:rsidR="006703D5">
              <w:rPr>
                <w:noProof/>
                <w:webHidden/>
              </w:rPr>
            </w:r>
            <w:r w:rsidR="006703D5">
              <w:rPr>
                <w:noProof/>
                <w:webHidden/>
              </w:rPr>
              <w:fldChar w:fldCharType="separate"/>
            </w:r>
            <w:r w:rsidR="00CA072F">
              <w:rPr>
                <w:noProof/>
                <w:webHidden/>
              </w:rPr>
              <w:t>6</w:t>
            </w:r>
            <w:r w:rsidR="006703D5">
              <w:rPr>
                <w:noProof/>
                <w:webHidden/>
              </w:rPr>
              <w:fldChar w:fldCharType="end"/>
            </w:r>
          </w:hyperlink>
        </w:p>
        <w:p w14:paraId="19F768DD" w14:textId="77777777" w:rsidR="006703D5" w:rsidRDefault="00B503F6">
          <w:pPr>
            <w:pStyle w:val="TOC1"/>
            <w:tabs>
              <w:tab w:val="left" w:pos="480"/>
              <w:tab w:val="right" w:leader="dot" w:pos="9016"/>
            </w:tabs>
            <w:rPr>
              <w:rFonts w:eastAsiaTheme="minorEastAsia" w:cstheme="minorBidi"/>
              <w:noProof/>
              <w:szCs w:val="22"/>
              <w:lang w:val="en-AU" w:eastAsia="en-AU"/>
            </w:rPr>
          </w:pPr>
          <w:hyperlink w:anchor="_Toc434307668" w:history="1">
            <w:r w:rsidR="006703D5" w:rsidRPr="0009777E">
              <w:rPr>
                <w:rStyle w:val="Hyperlink"/>
                <w:noProof/>
              </w:rPr>
              <w:t>9.</w:t>
            </w:r>
            <w:r w:rsidR="006703D5">
              <w:rPr>
                <w:rFonts w:eastAsiaTheme="minorEastAsia" w:cstheme="minorBidi"/>
                <w:noProof/>
                <w:szCs w:val="22"/>
                <w:lang w:val="en-AU" w:eastAsia="en-AU"/>
              </w:rPr>
              <w:tab/>
            </w:r>
            <w:r w:rsidR="006703D5" w:rsidRPr="0009777E">
              <w:rPr>
                <w:rStyle w:val="Hyperlink"/>
                <w:noProof/>
              </w:rPr>
              <w:t>Prioritising evaluations</w:t>
            </w:r>
            <w:r w:rsidR="006703D5">
              <w:rPr>
                <w:noProof/>
                <w:webHidden/>
              </w:rPr>
              <w:tab/>
            </w:r>
            <w:r w:rsidR="006703D5">
              <w:rPr>
                <w:noProof/>
                <w:webHidden/>
              </w:rPr>
              <w:fldChar w:fldCharType="begin"/>
            </w:r>
            <w:r w:rsidR="006703D5">
              <w:rPr>
                <w:noProof/>
                <w:webHidden/>
              </w:rPr>
              <w:instrText xml:space="preserve"> PAGEREF _Toc434307668 \h </w:instrText>
            </w:r>
            <w:r w:rsidR="006703D5">
              <w:rPr>
                <w:noProof/>
                <w:webHidden/>
              </w:rPr>
            </w:r>
            <w:r w:rsidR="006703D5">
              <w:rPr>
                <w:noProof/>
                <w:webHidden/>
              </w:rPr>
              <w:fldChar w:fldCharType="separate"/>
            </w:r>
            <w:r w:rsidR="00CA072F">
              <w:rPr>
                <w:noProof/>
                <w:webHidden/>
              </w:rPr>
              <w:t>6</w:t>
            </w:r>
            <w:r w:rsidR="006703D5">
              <w:rPr>
                <w:noProof/>
                <w:webHidden/>
              </w:rPr>
              <w:fldChar w:fldCharType="end"/>
            </w:r>
          </w:hyperlink>
        </w:p>
        <w:p w14:paraId="19F768DE" w14:textId="77777777" w:rsidR="006703D5" w:rsidRDefault="00B503F6">
          <w:pPr>
            <w:pStyle w:val="TOC1"/>
            <w:tabs>
              <w:tab w:val="left" w:pos="660"/>
              <w:tab w:val="right" w:leader="dot" w:pos="9016"/>
            </w:tabs>
            <w:rPr>
              <w:rFonts w:eastAsiaTheme="minorEastAsia" w:cstheme="minorBidi"/>
              <w:noProof/>
              <w:szCs w:val="22"/>
              <w:lang w:val="en-AU" w:eastAsia="en-AU"/>
            </w:rPr>
          </w:pPr>
          <w:hyperlink w:anchor="_Toc434307669" w:history="1">
            <w:r w:rsidR="006703D5" w:rsidRPr="0009777E">
              <w:rPr>
                <w:rStyle w:val="Hyperlink"/>
                <w:noProof/>
              </w:rPr>
              <w:t>10.</w:t>
            </w:r>
            <w:r w:rsidR="006703D5">
              <w:rPr>
                <w:rFonts w:eastAsiaTheme="minorEastAsia" w:cstheme="minorBidi"/>
                <w:noProof/>
                <w:szCs w:val="22"/>
                <w:lang w:val="en-AU" w:eastAsia="en-AU"/>
              </w:rPr>
              <w:tab/>
            </w:r>
            <w:r w:rsidR="006703D5" w:rsidRPr="0009777E">
              <w:rPr>
                <w:rStyle w:val="Hyperlink"/>
                <w:noProof/>
              </w:rPr>
              <w:t>The importance of knowledge sharing</w:t>
            </w:r>
            <w:r w:rsidR="006703D5">
              <w:rPr>
                <w:noProof/>
                <w:webHidden/>
              </w:rPr>
              <w:tab/>
            </w:r>
            <w:r w:rsidR="006703D5">
              <w:rPr>
                <w:noProof/>
                <w:webHidden/>
              </w:rPr>
              <w:fldChar w:fldCharType="begin"/>
            </w:r>
            <w:r w:rsidR="006703D5">
              <w:rPr>
                <w:noProof/>
                <w:webHidden/>
              </w:rPr>
              <w:instrText xml:space="preserve"> PAGEREF _Toc434307669 \h </w:instrText>
            </w:r>
            <w:r w:rsidR="006703D5">
              <w:rPr>
                <w:noProof/>
                <w:webHidden/>
              </w:rPr>
            </w:r>
            <w:r w:rsidR="006703D5">
              <w:rPr>
                <w:noProof/>
                <w:webHidden/>
              </w:rPr>
              <w:fldChar w:fldCharType="separate"/>
            </w:r>
            <w:r w:rsidR="00CA072F">
              <w:rPr>
                <w:noProof/>
                <w:webHidden/>
              </w:rPr>
              <w:t>6</w:t>
            </w:r>
            <w:r w:rsidR="006703D5">
              <w:rPr>
                <w:noProof/>
                <w:webHidden/>
              </w:rPr>
              <w:fldChar w:fldCharType="end"/>
            </w:r>
          </w:hyperlink>
        </w:p>
        <w:p w14:paraId="19F768DF" w14:textId="77777777" w:rsidR="006703D5" w:rsidRDefault="00B503F6">
          <w:pPr>
            <w:pStyle w:val="TOC2"/>
            <w:tabs>
              <w:tab w:val="right" w:leader="dot" w:pos="9016"/>
            </w:tabs>
            <w:rPr>
              <w:rFonts w:eastAsiaTheme="minorEastAsia" w:cstheme="minorBidi"/>
              <w:noProof/>
              <w:szCs w:val="22"/>
              <w:lang w:val="en-AU" w:eastAsia="en-AU"/>
            </w:rPr>
          </w:pPr>
          <w:hyperlink w:anchor="_Toc434307670" w:history="1">
            <w:r w:rsidR="006703D5" w:rsidRPr="0009777E">
              <w:rPr>
                <w:rStyle w:val="Hyperlink"/>
                <w:noProof/>
              </w:rPr>
              <w:t>Knowledge sharing strategy</w:t>
            </w:r>
            <w:r w:rsidR="006703D5">
              <w:rPr>
                <w:noProof/>
                <w:webHidden/>
              </w:rPr>
              <w:tab/>
            </w:r>
            <w:r w:rsidR="006703D5">
              <w:rPr>
                <w:noProof/>
                <w:webHidden/>
              </w:rPr>
              <w:fldChar w:fldCharType="begin"/>
            </w:r>
            <w:r w:rsidR="006703D5">
              <w:rPr>
                <w:noProof/>
                <w:webHidden/>
              </w:rPr>
              <w:instrText xml:space="preserve"> PAGEREF _Toc434307670 \h </w:instrText>
            </w:r>
            <w:r w:rsidR="006703D5">
              <w:rPr>
                <w:noProof/>
                <w:webHidden/>
              </w:rPr>
            </w:r>
            <w:r w:rsidR="006703D5">
              <w:rPr>
                <w:noProof/>
                <w:webHidden/>
              </w:rPr>
              <w:fldChar w:fldCharType="separate"/>
            </w:r>
            <w:r w:rsidR="00CA072F">
              <w:rPr>
                <w:noProof/>
                <w:webHidden/>
              </w:rPr>
              <w:t>7</w:t>
            </w:r>
            <w:r w:rsidR="006703D5">
              <w:rPr>
                <w:noProof/>
                <w:webHidden/>
              </w:rPr>
              <w:fldChar w:fldCharType="end"/>
            </w:r>
          </w:hyperlink>
        </w:p>
        <w:p w14:paraId="19F768E0" w14:textId="77777777" w:rsidR="006703D5" w:rsidRDefault="00B503F6">
          <w:pPr>
            <w:pStyle w:val="TOC1"/>
            <w:tabs>
              <w:tab w:val="left" w:pos="660"/>
              <w:tab w:val="right" w:leader="dot" w:pos="9016"/>
            </w:tabs>
            <w:rPr>
              <w:rFonts w:eastAsiaTheme="minorEastAsia" w:cstheme="minorBidi"/>
              <w:noProof/>
              <w:szCs w:val="22"/>
              <w:lang w:val="en-AU" w:eastAsia="en-AU"/>
            </w:rPr>
          </w:pPr>
          <w:hyperlink w:anchor="_Toc434307671" w:history="1">
            <w:r w:rsidR="006703D5" w:rsidRPr="0009777E">
              <w:rPr>
                <w:rStyle w:val="Hyperlink"/>
                <w:noProof/>
              </w:rPr>
              <w:t>11.</w:t>
            </w:r>
            <w:r w:rsidR="006703D5">
              <w:rPr>
                <w:rFonts w:eastAsiaTheme="minorEastAsia" w:cstheme="minorBidi"/>
                <w:noProof/>
                <w:szCs w:val="22"/>
                <w:lang w:val="en-AU" w:eastAsia="en-AU"/>
              </w:rPr>
              <w:tab/>
            </w:r>
            <w:r w:rsidR="006703D5" w:rsidRPr="0009777E">
              <w:rPr>
                <w:rStyle w:val="Hyperlink"/>
                <w:noProof/>
              </w:rPr>
              <w:t>Governance</w:t>
            </w:r>
            <w:r w:rsidR="006703D5">
              <w:rPr>
                <w:noProof/>
                <w:webHidden/>
              </w:rPr>
              <w:tab/>
            </w:r>
            <w:r w:rsidR="006703D5">
              <w:rPr>
                <w:noProof/>
                <w:webHidden/>
              </w:rPr>
              <w:fldChar w:fldCharType="begin"/>
            </w:r>
            <w:r w:rsidR="006703D5">
              <w:rPr>
                <w:noProof/>
                <w:webHidden/>
              </w:rPr>
              <w:instrText xml:space="preserve"> PAGEREF _Toc434307671 \h </w:instrText>
            </w:r>
            <w:r w:rsidR="006703D5">
              <w:rPr>
                <w:noProof/>
                <w:webHidden/>
              </w:rPr>
            </w:r>
            <w:r w:rsidR="006703D5">
              <w:rPr>
                <w:noProof/>
                <w:webHidden/>
              </w:rPr>
              <w:fldChar w:fldCharType="separate"/>
            </w:r>
            <w:r w:rsidR="00CA072F">
              <w:rPr>
                <w:noProof/>
                <w:webHidden/>
              </w:rPr>
              <w:t>7</w:t>
            </w:r>
            <w:r w:rsidR="006703D5">
              <w:rPr>
                <w:noProof/>
                <w:webHidden/>
              </w:rPr>
              <w:fldChar w:fldCharType="end"/>
            </w:r>
          </w:hyperlink>
        </w:p>
        <w:p w14:paraId="19F768E1" w14:textId="77777777" w:rsidR="006703D5" w:rsidRDefault="00B503F6">
          <w:pPr>
            <w:pStyle w:val="TOC2"/>
            <w:tabs>
              <w:tab w:val="right" w:leader="dot" w:pos="9016"/>
            </w:tabs>
            <w:rPr>
              <w:rFonts w:eastAsiaTheme="minorEastAsia" w:cstheme="minorBidi"/>
              <w:noProof/>
              <w:szCs w:val="22"/>
              <w:lang w:val="en-AU" w:eastAsia="en-AU"/>
            </w:rPr>
          </w:pPr>
          <w:hyperlink w:anchor="_Toc434307672" w:history="1">
            <w:r w:rsidR="006703D5" w:rsidRPr="0009777E">
              <w:rPr>
                <w:rStyle w:val="Hyperlink"/>
                <w:noProof/>
              </w:rPr>
              <w:t>Internal</w:t>
            </w:r>
            <w:r w:rsidR="006703D5">
              <w:rPr>
                <w:noProof/>
                <w:webHidden/>
              </w:rPr>
              <w:tab/>
            </w:r>
            <w:r w:rsidR="006703D5">
              <w:rPr>
                <w:noProof/>
                <w:webHidden/>
              </w:rPr>
              <w:fldChar w:fldCharType="begin"/>
            </w:r>
            <w:r w:rsidR="006703D5">
              <w:rPr>
                <w:noProof/>
                <w:webHidden/>
              </w:rPr>
              <w:instrText xml:space="preserve"> PAGEREF _Toc434307672 \h </w:instrText>
            </w:r>
            <w:r w:rsidR="006703D5">
              <w:rPr>
                <w:noProof/>
                <w:webHidden/>
              </w:rPr>
            </w:r>
            <w:r w:rsidR="006703D5">
              <w:rPr>
                <w:noProof/>
                <w:webHidden/>
              </w:rPr>
              <w:fldChar w:fldCharType="separate"/>
            </w:r>
            <w:r w:rsidR="00CA072F">
              <w:rPr>
                <w:noProof/>
                <w:webHidden/>
              </w:rPr>
              <w:t>7</w:t>
            </w:r>
            <w:r w:rsidR="006703D5">
              <w:rPr>
                <w:noProof/>
                <w:webHidden/>
              </w:rPr>
              <w:fldChar w:fldCharType="end"/>
            </w:r>
          </w:hyperlink>
        </w:p>
        <w:p w14:paraId="19F768E2" w14:textId="77777777" w:rsidR="006703D5" w:rsidRDefault="00B503F6">
          <w:pPr>
            <w:pStyle w:val="TOC3"/>
            <w:tabs>
              <w:tab w:val="right" w:leader="dot" w:pos="9016"/>
            </w:tabs>
            <w:rPr>
              <w:rFonts w:eastAsiaTheme="minorEastAsia" w:cstheme="minorBidi"/>
              <w:noProof/>
              <w:szCs w:val="22"/>
              <w:lang w:val="en-AU" w:eastAsia="en-AU"/>
            </w:rPr>
          </w:pPr>
          <w:hyperlink w:anchor="_Toc434307673" w:history="1">
            <w:r w:rsidR="006703D5" w:rsidRPr="0009777E">
              <w:rPr>
                <w:rStyle w:val="Hyperlink"/>
                <w:noProof/>
              </w:rPr>
              <w:t>Within the Division</w:t>
            </w:r>
            <w:r w:rsidR="006703D5">
              <w:rPr>
                <w:noProof/>
                <w:webHidden/>
              </w:rPr>
              <w:tab/>
            </w:r>
            <w:r w:rsidR="006703D5">
              <w:rPr>
                <w:noProof/>
                <w:webHidden/>
              </w:rPr>
              <w:fldChar w:fldCharType="begin"/>
            </w:r>
            <w:r w:rsidR="006703D5">
              <w:rPr>
                <w:noProof/>
                <w:webHidden/>
              </w:rPr>
              <w:instrText xml:space="preserve"> PAGEREF _Toc434307673 \h </w:instrText>
            </w:r>
            <w:r w:rsidR="006703D5">
              <w:rPr>
                <w:noProof/>
                <w:webHidden/>
              </w:rPr>
            </w:r>
            <w:r w:rsidR="006703D5">
              <w:rPr>
                <w:noProof/>
                <w:webHidden/>
              </w:rPr>
              <w:fldChar w:fldCharType="separate"/>
            </w:r>
            <w:r w:rsidR="00CA072F">
              <w:rPr>
                <w:noProof/>
                <w:webHidden/>
              </w:rPr>
              <w:t>7</w:t>
            </w:r>
            <w:r w:rsidR="006703D5">
              <w:rPr>
                <w:noProof/>
                <w:webHidden/>
              </w:rPr>
              <w:fldChar w:fldCharType="end"/>
            </w:r>
          </w:hyperlink>
        </w:p>
        <w:p w14:paraId="19F768E3" w14:textId="77777777" w:rsidR="006703D5" w:rsidRDefault="00B503F6">
          <w:pPr>
            <w:pStyle w:val="TOC3"/>
            <w:tabs>
              <w:tab w:val="right" w:leader="dot" w:pos="9016"/>
            </w:tabs>
            <w:rPr>
              <w:rFonts w:eastAsiaTheme="minorEastAsia" w:cstheme="minorBidi"/>
              <w:noProof/>
              <w:szCs w:val="22"/>
              <w:lang w:val="en-AU" w:eastAsia="en-AU"/>
            </w:rPr>
          </w:pPr>
          <w:hyperlink w:anchor="_Toc434307674" w:history="1">
            <w:r w:rsidR="006703D5" w:rsidRPr="0009777E">
              <w:rPr>
                <w:rStyle w:val="Hyperlink"/>
                <w:noProof/>
              </w:rPr>
              <w:t>Evaluation Centre of Excellence</w:t>
            </w:r>
            <w:r w:rsidR="006703D5">
              <w:rPr>
                <w:noProof/>
                <w:webHidden/>
              </w:rPr>
              <w:tab/>
            </w:r>
            <w:r w:rsidR="006703D5">
              <w:rPr>
                <w:noProof/>
                <w:webHidden/>
              </w:rPr>
              <w:fldChar w:fldCharType="begin"/>
            </w:r>
            <w:r w:rsidR="006703D5">
              <w:rPr>
                <w:noProof/>
                <w:webHidden/>
              </w:rPr>
              <w:instrText xml:space="preserve"> PAGEREF _Toc434307674 \h </w:instrText>
            </w:r>
            <w:r w:rsidR="006703D5">
              <w:rPr>
                <w:noProof/>
                <w:webHidden/>
              </w:rPr>
            </w:r>
            <w:r w:rsidR="006703D5">
              <w:rPr>
                <w:noProof/>
                <w:webHidden/>
              </w:rPr>
              <w:fldChar w:fldCharType="separate"/>
            </w:r>
            <w:r w:rsidR="00CA072F">
              <w:rPr>
                <w:noProof/>
                <w:webHidden/>
              </w:rPr>
              <w:t>7</w:t>
            </w:r>
            <w:r w:rsidR="006703D5">
              <w:rPr>
                <w:noProof/>
                <w:webHidden/>
              </w:rPr>
              <w:fldChar w:fldCharType="end"/>
            </w:r>
          </w:hyperlink>
        </w:p>
        <w:p w14:paraId="19F768E4" w14:textId="77777777" w:rsidR="006703D5" w:rsidRDefault="00B503F6">
          <w:pPr>
            <w:pStyle w:val="TOC2"/>
            <w:tabs>
              <w:tab w:val="right" w:leader="dot" w:pos="9016"/>
            </w:tabs>
            <w:rPr>
              <w:rFonts w:eastAsiaTheme="minorEastAsia" w:cstheme="minorBidi"/>
              <w:noProof/>
              <w:szCs w:val="22"/>
              <w:lang w:val="en-AU" w:eastAsia="en-AU"/>
            </w:rPr>
          </w:pPr>
          <w:hyperlink w:anchor="_Toc434307675" w:history="1">
            <w:r w:rsidR="006703D5" w:rsidRPr="0009777E">
              <w:rPr>
                <w:rStyle w:val="Hyperlink"/>
                <w:noProof/>
              </w:rPr>
              <w:t>External</w:t>
            </w:r>
            <w:r w:rsidR="006703D5">
              <w:rPr>
                <w:noProof/>
                <w:webHidden/>
              </w:rPr>
              <w:tab/>
            </w:r>
            <w:r w:rsidR="006703D5">
              <w:rPr>
                <w:noProof/>
                <w:webHidden/>
              </w:rPr>
              <w:fldChar w:fldCharType="begin"/>
            </w:r>
            <w:r w:rsidR="006703D5">
              <w:rPr>
                <w:noProof/>
                <w:webHidden/>
              </w:rPr>
              <w:instrText xml:space="preserve"> PAGEREF _Toc434307675 \h </w:instrText>
            </w:r>
            <w:r w:rsidR="006703D5">
              <w:rPr>
                <w:noProof/>
                <w:webHidden/>
              </w:rPr>
            </w:r>
            <w:r w:rsidR="006703D5">
              <w:rPr>
                <w:noProof/>
                <w:webHidden/>
              </w:rPr>
              <w:fldChar w:fldCharType="separate"/>
            </w:r>
            <w:r w:rsidR="00CA072F">
              <w:rPr>
                <w:noProof/>
                <w:webHidden/>
              </w:rPr>
              <w:t>7</w:t>
            </w:r>
            <w:r w:rsidR="006703D5">
              <w:rPr>
                <w:noProof/>
                <w:webHidden/>
              </w:rPr>
              <w:fldChar w:fldCharType="end"/>
            </w:r>
          </w:hyperlink>
        </w:p>
        <w:p w14:paraId="19F768E5" w14:textId="77777777" w:rsidR="006703D5" w:rsidRDefault="00B503F6">
          <w:pPr>
            <w:pStyle w:val="TOC1"/>
            <w:tabs>
              <w:tab w:val="left" w:pos="660"/>
              <w:tab w:val="right" w:leader="dot" w:pos="9016"/>
            </w:tabs>
            <w:rPr>
              <w:rFonts w:eastAsiaTheme="minorEastAsia" w:cstheme="minorBidi"/>
              <w:noProof/>
              <w:szCs w:val="22"/>
              <w:lang w:val="en-AU" w:eastAsia="en-AU"/>
            </w:rPr>
          </w:pPr>
          <w:hyperlink w:anchor="_Toc434307676" w:history="1">
            <w:r w:rsidR="006703D5" w:rsidRPr="0009777E">
              <w:rPr>
                <w:rStyle w:val="Hyperlink"/>
                <w:noProof/>
              </w:rPr>
              <w:t>12.</w:t>
            </w:r>
            <w:r w:rsidR="006703D5">
              <w:rPr>
                <w:rFonts w:eastAsiaTheme="minorEastAsia" w:cstheme="minorBidi"/>
                <w:noProof/>
                <w:szCs w:val="22"/>
                <w:lang w:val="en-AU" w:eastAsia="en-AU"/>
              </w:rPr>
              <w:tab/>
            </w:r>
            <w:r w:rsidR="006703D5" w:rsidRPr="0009777E">
              <w:rPr>
                <w:rStyle w:val="Hyperlink"/>
                <w:noProof/>
              </w:rPr>
              <w:t>Resources</w:t>
            </w:r>
            <w:r w:rsidR="006703D5">
              <w:rPr>
                <w:noProof/>
                <w:webHidden/>
              </w:rPr>
              <w:tab/>
            </w:r>
            <w:r w:rsidR="006703D5">
              <w:rPr>
                <w:noProof/>
                <w:webHidden/>
              </w:rPr>
              <w:fldChar w:fldCharType="begin"/>
            </w:r>
            <w:r w:rsidR="006703D5">
              <w:rPr>
                <w:noProof/>
                <w:webHidden/>
              </w:rPr>
              <w:instrText xml:space="preserve"> PAGEREF _Toc434307676 \h </w:instrText>
            </w:r>
            <w:r w:rsidR="006703D5">
              <w:rPr>
                <w:noProof/>
                <w:webHidden/>
              </w:rPr>
            </w:r>
            <w:r w:rsidR="006703D5">
              <w:rPr>
                <w:noProof/>
                <w:webHidden/>
              </w:rPr>
              <w:fldChar w:fldCharType="separate"/>
            </w:r>
            <w:r w:rsidR="00CA072F">
              <w:rPr>
                <w:noProof/>
                <w:webHidden/>
              </w:rPr>
              <w:t>8</w:t>
            </w:r>
            <w:r w:rsidR="006703D5">
              <w:rPr>
                <w:noProof/>
                <w:webHidden/>
              </w:rPr>
              <w:fldChar w:fldCharType="end"/>
            </w:r>
          </w:hyperlink>
        </w:p>
        <w:p w14:paraId="19F768E6" w14:textId="77777777" w:rsidR="000E3725" w:rsidRPr="001A0BA1" w:rsidRDefault="00C20655" w:rsidP="001A0BA1">
          <w:pPr>
            <w:rPr>
              <w:noProof/>
              <w:szCs w:val="22"/>
            </w:rPr>
          </w:pPr>
          <w:r w:rsidRPr="00DA2767">
            <w:rPr>
              <w:b/>
              <w:bCs/>
              <w:noProof/>
              <w:szCs w:val="22"/>
            </w:rPr>
            <w:lastRenderedPageBreak/>
            <w:fldChar w:fldCharType="end"/>
          </w:r>
        </w:p>
      </w:sdtContent>
    </w:sdt>
    <w:p w14:paraId="19F768E7" w14:textId="77777777" w:rsidR="00CE0280" w:rsidRDefault="00C20655" w:rsidP="0075750A">
      <w:pPr>
        <w:pStyle w:val="Heading1"/>
      </w:pPr>
      <w:bookmarkStart w:id="1" w:name="_Toc434307641"/>
      <w:r w:rsidRPr="0075750A">
        <w:t>Introduction</w:t>
      </w:r>
      <w:bookmarkEnd w:id="1"/>
    </w:p>
    <w:p w14:paraId="19F768E8" w14:textId="77777777" w:rsidR="00B8774C" w:rsidRDefault="00B8774C" w:rsidP="00B8774C">
      <w:pPr>
        <w:rPr>
          <w:rFonts w:eastAsiaTheme="minorHAnsi"/>
        </w:rPr>
      </w:pPr>
      <w:r>
        <w:rPr>
          <w:rFonts w:eastAsiaTheme="minorHAnsi"/>
        </w:rPr>
        <w:t>This Evaluation S</w:t>
      </w:r>
      <w:r w:rsidR="000A5B30" w:rsidRPr="00B8774C">
        <w:rPr>
          <w:rFonts w:eastAsiaTheme="minorHAnsi"/>
        </w:rPr>
        <w:t>trateg</w:t>
      </w:r>
      <w:r w:rsidR="00BA1585">
        <w:rPr>
          <w:rFonts w:eastAsiaTheme="minorHAnsi"/>
        </w:rPr>
        <w:t>y</w:t>
      </w:r>
      <w:r w:rsidR="000A5B30" w:rsidRPr="00B8774C">
        <w:rPr>
          <w:rFonts w:eastAsiaTheme="minorHAnsi"/>
        </w:rPr>
        <w:t xml:space="preserve"> aims to support </w:t>
      </w:r>
      <w:r w:rsidR="00330F09">
        <w:rPr>
          <w:rFonts w:eastAsiaTheme="minorHAnsi"/>
        </w:rPr>
        <w:t>evaluation</w:t>
      </w:r>
      <w:r w:rsidR="000A5B30" w:rsidRPr="00B8774C">
        <w:rPr>
          <w:rFonts w:eastAsiaTheme="minorHAnsi"/>
        </w:rPr>
        <w:t xml:space="preserve"> </w:t>
      </w:r>
      <w:r w:rsidR="00330F09">
        <w:rPr>
          <w:rFonts w:eastAsiaTheme="minorHAnsi"/>
        </w:rPr>
        <w:t>in</w:t>
      </w:r>
      <w:r w:rsidR="00330F09" w:rsidRPr="00B8774C">
        <w:rPr>
          <w:rFonts w:eastAsiaTheme="minorHAnsi"/>
        </w:rPr>
        <w:t xml:space="preserve"> </w:t>
      </w:r>
      <w:r w:rsidR="000A5B30" w:rsidRPr="00B8774C">
        <w:rPr>
          <w:rFonts w:eastAsiaTheme="minorHAnsi"/>
        </w:rPr>
        <w:t xml:space="preserve">the </w:t>
      </w:r>
      <w:r w:rsidR="004C4BF8">
        <w:rPr>
          <w:rFonts w:eastAsiaTheme="minorHAnsi"/>
        </w:rPr>
        <w:t xml:space="preserve">Indigenous Health </w:t>
      </w:r>
      <w:r w:rsidR="000A5B30" w:rsidRPr="00B8774C">
        <w:rPr>
          <w:rFonts w:eastAsiaTheme="minorHAnsi"/>
        </w:rPr>
        <w:t>Division</w:t>
      </w:r>
      <w:r w:rsidR="004C4BF8">
        <w:rPr>
          <w:rFonts w:eastAsiaTheme="minorHAnsi"/>
        </w:rPr>
        <w:t xml:space="preserve"> (IHD)</w:t>
      </w:r>
      <w:r w:rsidR="00330F09">
        <w:rPr>
          <w:rFonts w:eastAsiaTheme="minorHAnsi"/>
        </w:rPr>
        <w:t xml:space="preserve"> to help improve</w:t>
      </w:r>
      <w:r w:rsidR="000A5B30" w:rsidRPr="00B8774C">
        <w:rPr>
          <w:rFonts w:eastAsiaTheme="minorHAnsi"/>
        </w:rPr>
        <w:t xml:space="preserve"> program</w:t>
      </w:r>
      <w:r w:rsidR="00743BD6">
        <w:rPr>
          <w:rFonts w:eastAsiaTheme="minorHAnsi"/>
        </w:rPr>
        <w:t>me</w:t>
      </w:r>
      <w:r w:rsidR="000A5B30" w:rsidRPr="00B8774C">
        <w:rPr>
          <w:rFonts w:eastAsiaTheme="minorHAnsi"/>
        </w:rPr>
        <w:t xml:space="preserve"> delivery</w:t>
      </w:r>
      <w:r w:rsidR="000E2A83">
        <w:rPr>
          <w:rFonts w:eastAsiaTheme="minorHAnsi"/>
        </w:rPr>
        <w:t xml:space="preserve"> and to </w:t>
      </w:r>
      <w:r w:rsidR="00C74568">
        <w:rPr>
          <w:rFonts w:eastAsiaTheme="minorHAnsi"/>
        </w:rPr>
        <w:t xml:space="preserve">inform </w:t>
      </w:r>
      <w:r w:rsidR="00855932">
        <w:rPr>
          <w:rFonts w:eastAsiaTheme="minorHAnsi"/>
        </w:rPr>
        <w:t xml:space="preserve">evidence-based </w:t>
      </w:r>
      <w:r w:rsidR="000E2A83">
        <w:rPr>
          <w:rFonts w:eastAsiaTheme="minorHAnsi"/>
        </w:rPr>
        <w:t>policy.</w:t>
      </w:r>
    </w:p>
    <w:p w14:paraId="19F768E9" w14:textId="77777777" w:rsidR="00B8774C" w:rsidRDefault="00BA1585" w:rsidP="00B8774C">
      <w:r>
        <w:t xml:space="preserve">The </w:t>
      </w:r>
      <w:r w:rsidR="004C4BF8">
        <w:t xml:space="preserve">Evaluation </w:t>
      </w:r>
      <w:r>
        <w:t xml:space="preserve">Strategy </w:t>
      </w:r>
      <w:r w:rsidRPr="00B8774C">
        <w:t xml:space="preserve">provides a framework </w:t>
      </w:r>
      <w:r w:rsidR="002E2212">
        <w:t xml:space="preserve">for </w:t>
      </w:r>
      <w:r w:rsidR="00833ED1">
        <w:t xml:space="preserve">evaluations that relate to </w:t>
      </w:r>
      <w:r w:rsidRPr="00B8774C">
        <w:t xml:space="preserve">the Indigenous Australians’ Health Programme (IAHP). </w:t>
      </w:r>
      <w:r>
        <w:t xml:space="preserve">It </w:t>
      </w:r>
      <w:r w:rsidR="00B8774C" w:rsidRPr="00B8774C">
        <w:t>outlines objectives, princi</w:t>
      </w:r>
      <w:r w:rsidR="001024C2">
        <w:t>ples and approach</w:t>
      </w:r>
      <w:r w:rsidR="00833ED1">
        <w:t>es</w:t>
      </w:r>
      <w:r w:rsidR="001024C2">
        <w:t xml:space="preserve"> to evaluation</w:t>
      </w:r>
      <w:r w:rsidR="00B8774C">
        <w:t>.</w:t>
      </w:r>
    </w:p>
    <w:p w14:paraId="19F768EA" w14:textId="64BD7A85" w:rsidR="000E2A83" w:rsidRPr="00B8774C" w:rsidRDefault="003977DB" w:rsidP="00B8774C">
      <w:r w:rsidRPr="00B8774C">
        <w:t xml:space="preserve">The accompanying </w:t>
      </w:r>
      <w:hyperlink r:id="rId15" w:history="1">
        <w:r w:rsidRPr="004D48F7">
          <w:rPr>
            <w:rStyle w:val="Hyperlink"/>
          </w:rPr>
          <w:t>Evaluation Guide</w:t>
        </w:r>
      </w:hyperlink>
      <w:r w:rsidRPr="00B8774C">
        <w:t xml:space="preserve"> provides practical </w:t>
      </w:r>
      <w:r w:rsidR="00833ED1">
        <w:t xml:space="preserve">advice on how to plan, design and manage evaluations in the </w:t>
      </w:r>
      <w:r w:rsidR="0096499B">
        <w:t>IHD</w:t>
      </w:r>
      <w:r w:rsidR="00833ED1">
        <w:t>.</w:t>
      </w:r>
      <w:r w:rsidRPr="00B8774C">
        <w:t xml:space="preserve"> </w:t>
      </w:r>
    </w:p>
    <w:p w14:paraId="19F768EB" w14:textId="77777777" w:rsidR="00214C5F" w:rsidRDefault="00214C5F" w:rsidP="00214C5F">
      <w:pPr>
        <w:pStyle w:val="Heading1"/>
      </w:pPr>
      <w:bookmarkStart w:id="2" w:name="_Toc434307642"/>
      <w:r>
        <w:t>Objectives of the IHD Evaluation Strategy</w:t>
      </w:r>
      <w:bookmarkEnd w:id="2"/>
    </w:p>
    <w:p w14:paraId="19F768EC" w14:textId="77777777" w:rsidR="00214C5F" w:rsidRPr="003C45D8" w:rsidRDefault="00214C5F" w:rsidP="00214C5F">
      <w:pPr>
        <w:rPr>
          <w:rFonts w:cs="Arial"/>
          <w:szCs w:val="20"/>
        </w:rPr>
      </w:pPr>
      <w:r>
        <w:rPr>
          <w:rFonts w:cs="Arial"/>
          <w:szCs w:val="20"/>
        </w:rPr>
        <w:t>The evaluation s</w:t>
      </w:r>
      <w:r w:rsidRPr="009F625A">
        <w:rPr>
          <w:rFonts w:cs="Arial"/>
          <w:szCs w:val="20"/>
        </w:rPr>
        <w:t>trategy is intended to:</w:t>
      </w:r>
      <w:r w:rsidRPr="009F625A" w:rsidDel="00C42BD9">
        <w:rPr>
          <w:rFonts w:cs="Arial"/>
          <w:szCs w:val="20"/>
        </w:rPr>
        <w:t xml:space="preserve"> </w:t>
      </w:r>
    </w:p>
    <w:p w14:paraId="19F768ED" w14:textId="77777777" w:rsidR="00A745E0" w:rsidRDefault="00A745E0" w:rsidP="00214C5F">
      <w:pPr>
        <w:pStyle w:val="ListParagraph"/>
        <w:widowControl w:val="0"/>
        <w:numPr>
          <w:ilvl w:val="0"/>
          <w:numId w:val="1"/>
        </w:numPr>
        <w:spacing w:before="120" w:after="240"/>
        <w:contextualSpacing w:val="0"/>
      </w:pPr>
      <w:r>
        <w:t>Foster a culture of evaluative thinking.</w:t>
      </w:r>
    </w:p>
    <w:p w14:paraId="19F768EE" w14:textId="77777777" w:rsidR="00214C5F" w:rsidRDefault="00214C5F" w:rsidP="00214C5F">
      <w:pPr>
        <w:pStyle w:val="ListParagraph"/>
        <w:widowControl w:val="0"/>
        <w:numPr>
          <w:ilvl w:val="0"/>
          <w:numId w:val="1"/>
        </w:numPr>
        <w:spacing w:before="120" w:after="240"/>
        <w:contextualSpacing w:val="0"/>
      </w:pPr>
      <w:r w:rsidRPr="00104CC6">
        <w:t xml:space="preserve">Monitor and inform </w:t>
      </w:r>
      <w:r w:rsidR="00855932">
        <w:t xml:space="preserve">improved </w:t>
      </w:r>
      <w:r w:rsidRPr="00104CC6">
        <w:t>programme implementation and policy development.</w:t>
      </w:r>
    </w:p>
    <w:p w14:paraId="19F768EF" w14:textId="77777777" w:rsidR="001024C2" w:rsidRPr="00104CC6" w:rsidRDefault="001024C2" w:rsidP="001024C2">
      <w:pPr>
        <w:pStyle w:val="ListParagraph"/>
        <w:widowControl w:val="0"/>
        <w:numPr>
          <w:ilvl w:val="0"/>
          <w:numId w:val="1"/>
        </w:numPr>
        <w:spacing w:before="120" w:after="240"/>
        <w:contextualSpacing w:val="0"/>
      </w:pPr>
      <w:r>
        <w:t xml:space="preserve">Streamline evaluation activity to improve efficiency. </w:t>
      </w:r>
    </w:p>
    <w:p w14:paraId="19F768F0" w14:textId="77777777" w:rsidR="00214C5F" w:rsidRPr="00104CC6" w:rsidRDefault="00214C5F" w:rsidP="00214C5F">
      <w:pPr>
        <w:pStyle w:val="ListParagraph"/>
        <w:widowControl w:val="0"/>
        <w:numPr>
          <w:ilvl w:val="0"/>
          <w:numId w:val="1"/>
        </w:numPr>
        <w:spacing w:before="120" w:after="240"/>
        <w:contextualSpacing w:val="0"/>
      </w:pPr>
      <w:r w:rsidRPr="00104CC6">
        <w:t xml:space="preserve">Examine the effectiveness of the IAHP on a </w:t>
      </w:r>
      <w:r w:rsidR="00833ED1">
        <w:t xml:space="preserve">holistic basis so </w:t>
      </w:r>
      <w:r w:rsidR="000F7F53">
        <w:t xml:space="preserve">that </w:t>
      </w:r>
      <w:r w:rsidR="00833ED1">
        <w:t xml:space="preserve">we can understand how different </w:t>
      </w:r>
      <w:r w:rsidR="00532570">
        <w:t xml:space="preserve">parts of the </w:t>
      </w:r>
      <w:r w:rsidR="00833ED1">
        <w:t xml:space="preserve">programme work together </w:t>
      </w:r>
      <w:r w:rsidR="000F7F53">
        <w:t>and</w:t>
      </w:r>
      <w:r w:rsidR="00532570">
        <w:t xml:space="preserve"> identify h</w:t>
      </w:r>
      <w:r w:rsidR="00833ED1">
        <w:t>ow to make improvements.</w:t>
      </w:r>
      <w:r w:rsidRPr="00104CC6">
        <w:t xml:space="preserve"> </w:t>
      </w:r>
    </w:p>
    <w:p w14:paraId="19F768F1" w14:textId="1C03DB0B" w:rsidR="0050387B" w:rsidRDefault="0050387B" w:rsidP="0050387B">
      <w:pPr>
        <w:pStyle w:val="ListParagraph"/>
        <w:widowControl w:val="0"/>
        <w:numPr>
          <w:ilvl w:val="0"/>
          <w:numId w:val="1"/>
        </w:numPr>
        <w:spacing w:before="120" w:after="240"/>
        <w:contextualSpacing w:val="0"/>
      </w:pPr>
      <w:r>
        <w:t>I</w:t>
      </w:r>
      <w:r w:rsidRPr="003F54A1">
        <w:t xml:space="preserve">nform the evaluation of the </w:t>
      </w:r>
      <w:hyperlink r:id="rId16" w:history="1">
        <w:r w:rsidRPr="0083572F">
          <w:rPr>
            <w:rStyle w:val="Hyperlink"/>
          </w:rPr>
          <w:t>Implementation Plan for the National Aboriginal and Torres Strait Islander Health Plan 2013-23</w:t>
        </w:r>
      </w:hyperlink>
      <w:r w:rsidRPr="003F54A1">
        <w:t>.</w:t>
      </w:r>
    </w:p>
    <w:p w14:paraId="19F768F2" w14:textId="6935FB2D" w:rsidR="00A745E0" w:rsidRPr="00104CC6" w:rsidRDefault="00A745E0" w:rsidP="00E15CFF">
      <w:pPr>
        <w:pStyle w:val="ListParagraph"/>
        <w:widowControl w:val="0"/>
        <w:numPr>
          <w:ilvl w:val="0"/>
          <w:numId w:val="1"/>
        </w:numPr>
        <w:spacing w:before="120" w:after="240"/>
        <w:contextualSpacing w:val="0"/>
      </w:pPr>
      <w:r w:rsidRPr="00104CC6">
        <w:t xml:space="preserve">Build evidence </w:t>
      </w:r>
      <w:r w:rsidR="00D9004A">
        <w:t>of what works to improve</w:t>
      </w:r>
      <w:r w:rsidR="00E15CFF">
        <w:t xml:space="preserve"> </w:t>
      </w:r>
      <w:r w:rsidRPr="00104CC6">
        <w:t xml:space="preserve">health outcomes to complement the </w:t>
      </w:r>
      <w:hyperlink r:id="rId17" w:history="1">
        <w:r w:rsidRPr="0083572F">
          <w:rPr>
            <w:rStyle w:val="Hyperlink"/>
          </w:rPr>
          <w:t>National Continuous Quality Improvement (CQI) Framework</w:t>
        </w:r>
      </w:hyperlink>
      <w:r w:rsidRPr="00104CC6">
        <w:t>.</w:t>
      </w:r>
    </w:p>
    <w:p w14:paraId="19F768F3" w14:textId="77777777" w:rsidR="00214C5F" w:rsidRPr="00104CC6" w:rsidRDefault="00214C5F" w:rsidP="00214C5F">
      <w:pPr>
        <w:pStyle w:val="ListParagraph"/>
        <w:widowControl w:val="0"/>
        <w:numPr>
          <w:ilvl w:val="0"/>
          <w:numId w:val="1"/>
        </w:numPr>
        <w:spacing w:before="120" w:after="240"/>
        <w:contextualSpacing w:val="0"/>
      </w:pPr>
      <w:r w:rsidRPr="00104CC6">
        <w:t xml:space="preserve">Focus </w:t>
      </w:r>
      <w:r w:rsidR="00D9004A">
        <w:t>on making sure what we learn can be shared and applied</w:t>
      </w:r>
      <w:r w:rsidRPr="00104CC6">
        <w:t xml:space="preserve">. </w:t>
      </w:r>
    </w:p>
    <w:p w14:paraId="19F768F4" w14:textId="77777777" w:rsidR="00214C5F" w:rsidRPr="00104CC6" w:rsidRDefault="001024C2" w:rsidP="001024C2">
      <w:pPr>
        <w:pStyle w:val="ListParagraph"/>
        <w:widowControl w:val="0"/>
        <w:numPr>
          <w:ilvl w:val="0"/>
          <w:numId w:val="1"/>
        </w:numPr>
        <w:spacing w:before="120" w:after="240"/>
        <w:contextualSpacing w:val="0"/>
      </w:pPr>
      <w:r>
        <w:t xml:space="preserve">Support </w:t>
      </w:r>
      <w:r w:rsidR="00214C5F" w:rsidRPr="00104CC6">
        <w:t xml:space="preserve">accountability to parliament and the public. </w:t>
      </w:r>
    </w:p>
    <w:p w14:paraId="19F768F5" w14:textId="77777777" w:rsidR="00214C5F" w:rsidRPr="00A745E0" w:rsidRDefault="00D9004A" w:rsidP="00214C5F">
      <w:pPr>
        <w:pStyle w:val="ListParagraph"/>
        <w:widowControl w:val="0"/>
        <w:numPr>
          <w:ilvl w:val="0"/>
          <w:numId w:val="1"/>
        </w:numPr>
        <w:spacing w:before="120" w:after="240"/>
        <w:contextualSpacing w:val="0"/>
      </w:pPr>
      <w:r>
        <w:t>Support</w:t>
      </w:r>
      <w:r w:rsidR="00214C5F" w:rsidRPr="00104CC6">
        <w:t xml:space="preserve"> consultation</w:t>
      </w:r>
      <w:r w:rsidR="009D29EB">
        <w:t xml:space="preserve"> </w:t>
      </w:r>
      <w:r>
        <w:t>with</w:t>
      </w:r>
      <w:r w:rsidRPr="00104CC6">
        <w:t xml:space="preserve"> </w:t>
      </w:r>
      <w:r w:rsidR="00214C5F" w:rsidRPr="00104CC6">
        <w:t>stakeholder</w:t>
      </w:r>
      <w:r>
        <w:t xml:space="preserve">s to </w:t>
      </w:r>
      <w:r w:rsidR="00532570">
        <w:t xml:space="preserve">drive </w:t>
      </w:r>
      <w:r>
        <w:t>changes at the</w:t>
      </w:r>
      <w:r w:rsidR="00214C5F" w:rsidRPr="00104CC6">
        <w:t xml:space="preserve"> national, regional and local level. </w:t>
      </w:r>
    </w:p>
    <w:p w14:paraId="19F768F6" w14:textId="77777777" w:rsidR="00E50A85" w:rsidRDefault="00E50A85" w:rsidP="00214C5F">
      <w:pPr>
        <w:pStyle w:val="Heading1"/>
      </w:pPr>
      <w:bookmarkStart w:id="3" w:name="_Toc434307643"/>
      <w:r>
        <w:t>Purpose of evaluation</w:t>
      </w:r>
      <w:bookmarkEnd w:id="3"/>
    </w:p>
    <w:p w14:paraId="19F768F7" w14:textId="32A224B9" w:rsidR="000A5F52" w:rsidRDefault="000A5F52" w:rsidP="008D040A">
      <w:pPr>
        <w:pStyle w:val="Heading2"/>
        <w:tabs>
          <w:tab w:val="left" w:pos="3947"/>
        </w:tabs>
      </w:pPr>
      <w:bookmarkStart w:id="4" w:name="_Toc434307644"/>
      <w:r>
        <w:t>What is evaluation?</w:t>
      </w:r>
      <w:bookmarkEnd w:id="4"/>
    </w:p>
    <w:p w14:paraId="19F768F8" w14:textId="77777777" w:rsidR="004C4BF8" w:rsidRDefault="004C4BF8" w:rsidP="00B733C4">
      <w:r>
        <w:t>E</w:t>
      </w:r>
      <w:r w:rsidRPr="003255E0">
        <w:t xml:space="preserve">valuation </w:t>
      </w:r>
      <w:r>
        <w:t>assesses how well a programme, policy or strategy is working</w:t>
      </w:r>
      <w:r w:rsidR="00D9004A">
        <w:t>.</w:t>
      </w:r>
      <w:r>
        <w:t xml:space="preserve"> </w:t>
      </w:r>
      <w:r w:rsidR="00D9004A">
        <w:t xml:space="preserve">It is done for </w:t>
      </w:r>
      <w:r w:rsidR="00EE123C">
        <w:t xml:space="preserve">many </w:t>
      </w:r>
      <w:r w:rsidR="00D9004A">
        <w:t>reasons, including as a way of gathering information to help decision makers</w:t>
      </w:r>
      <w:r w:rsidR="00EE123C">
        <w:t xml:space="preserve"> decide</w:t>
      </w:r>
      <w:r w:rsidR="00D9004A">
        <w:t xml:space="preserve"> whether</w:t>
      </w:r>
      <w:r w:rsidR="00EE123C">
        <w:t xml:space="preserve"> a programme</w:t>
      </w:r>
      <w:r w:rsidR="00D9004A">
        <w:t xml:space="preserve"> should be supported</w:t>
      </w:r>
      <w:r w:rsidR="00EE123C">
        <w:t xml:space="preserve"> </w:t>
      </w:r>
      <w:r w:rsidR="00D9004A">
        <w:t xml:space="preserve">or </w:t>
      </w:r>
      <w:r w:rsidR="00EE123C">
        <w:t>as a way of improving delivery.</w:t>
      </w:r>
      <w:r w:rsidR="00D9004A">
        <w:t xml:space="preserve"> </w:t>
      </w:r>
    </w:p>
    <w:p w14:paraId="19F768F9" w14:textId="77777777" w:rsidR="000A5F52" w:rsidRDefault="000A5F52" w:rsidP="005C4726">
      <w:pPr>
        <w:pStyle w:val="Heading2"/>
      </w:pPr>
      <w:bookmarkStart w:id="5" w:name="_Toc434307645"/>
      <w:r>
        <w:t>Why evaluate?</w:t>
      </w:r>
      <w:bookmarkEnd w:id="5"/>
    </w:p>
    <w:p w14:paraId="19F768FA" w14:textId="77777777" w:rsidR="00EC0B1F" w:rsidRDefault="00D9004A" w:rsidP="003255E0">
      <w:r>
        <w:t>If we do</w:t>
      </w:r>
      <w:r w:rsidR="002362BC">
        <w:t xml:space="preserve"> </w:t>
      </w:r>
      <w:r>
        <w:t>n</w:t>
      </w:r>
      <w:r w:rsidR="002362BC">
        <w:t>o</w:t>
      </w:r>
      <w:r>
        <w:t xml:space="preserve">t evaluate we have no way of knowing if </w:t>
      </w:r>
      <w:r w:rsidR="00EE123C">
        <w:t xml:space="preserve">a programme </w:t>
      </w:r>
      <w:r>
        <w:t>is working</w:t>
      </w:r>
      <w:r w:rsidR="002362BC">
        <w:t xml:space="preserve"> and how to improve it</w:t>
      </w:r>
      <w:r>
        <w:t xml:space="preserve">. Evaluation can </w:t>
      </w:r>
      <w:r w:rsidR="00F64094" w:rsidRPr="003255E0">
        <w:t>play a</w:t>
      </w:r>
      <w:r w:rsidR="001024C2">
        <w:t>n important</w:t>
      </w:r>
      <w:r w:rsidR="00F64094" w:rsidRPr="003255E0">
        <w:t xml:space="preserve"> role in </w:t>
      </w:r>
      <w:r>
        <w:t xml:space="preserve">improving </w:t>
      </w:r>
      <w:r w:rsidR="00F64094" w:rsidRPr="003255E0">
        <w:t xml:space="preserve">services and outcomes </w:t>
      </w:r>
      <w:r w:rsidR="009E1945">
        <w:t xml:space="preserve">as a way of </w:t>
      </w:r>
      <w:r w:rsidR="00F64094" w:rsidRPr="003255E0">
        <w:t xml:space="preserve">guiding better </w:t>
      </w:r>
      <w:r w:rsidR="00B80ED4" w:rsidRPr="003255E0">
        <w:t xml:space="preserve">decision making, </w:t>
      </w:r>
      <w:r>
        <w:t>improving</w:t>
      </w:r>
      <w:r w:rsidRPr="003255E0">
        <w:t xml:space="preserve"> </w:t>
      </w:r>
      <w:r w:rsidR="00F64094" w:rsidRPr="003255E0">
        <w:t xml:space="preserve">resource allocation, building credibility and </w:t>
      </w:r>
      <w:r>
        <w:t>building</w:t>
      </w:r>
      <w:r w:rsidRPr="003255E0">
        <w:t xml:space="preserve"> </w:t>
      </w:r>
      <w:r w:rsidR="00F64094" w:rsidRPr="003255E0">
        <w:t>public trust.</w:t>
      </w:r>
    </w:p>
    <w:p w14:paraId="19F768FB" w14:textId="77777777" w:rsidR="000A5F52" w:rsidRPr="003255E0" w:rsidRDefault="00EC0B1F" w:rsidP="003255E0">
      <w:r>
        <w:t xml:space="preserve">Evaluation is a key part of the policy cycle and should be used at various stages.  To be most useful </w:t>
      </w:r>
      <w:r w:rsidR="00B80ED4" w:rsidRPr="003255E0">
        <w:t>e</w:t>
      </w:r>
      <w:r w:rsidR="00F64094" w:rsidRPr="003255E0">
        <w:t xml:space="preserve">valuation </w:t>
      </w:r>
      <w:r w:rsidR="00B872A3" w:rsidRPr="003255E0">
        <w:t>needs to</w:t>
      </w:r>
      <w:r w:rsidR="00F64094" w:rsidRPr="003255E0">
        <w:t xml:space="preserve"> </w:t>
      </w:r>
      <w:r w:rsidR="007150D4">
        <w:t xml:space="preserve">happen </w:t>
      </w:r>
      <w:r w:rsidR="00194BEC">
        <w:t xml:space="preserve">at the start of designing policies and </w:t>
      </w:r>
      <w:r w:rsidR="002362BC">
        <w:t>throughout programme implementation</w:t>
      </w:r>
      <w:r w:rsidR="00194BEC">
        <w:t xml:space="preserve">. </w:t>
      </w:r>
    </w:p>
    <w:p w14:paraId="19F768FC" w14:textId="77777777" w:rsidR="000A5F52" w:rsidRDefault="00CE7F5D" w:rsidP="005C4726">
      <w:pPr>
        <w:pStyle w:val="Heading2"/>
      </w:pPr>
      <w:bookmarkStart w:id="6" w:name="_Toc434307646"/>
      <w:r>
        <w:lastRenderedPageBreak/>
        <w:t>What is the link between evaluation, research, monitoring and performance reporting?</w:t>
      </w:r>
      <w:bookmarkEnd w:id="6"/>
      <w:r w:rsidR="000A5F52">
        <w:t xml:space="preserve"> </w:t>
      </w:r>
    </w:p>
    <w:p w14:paraId="19F768FD" w14:textId="77777777" w:rsidR="00530D75" w:rsidRPr="00161786" w:rsidRDefault="00161786" w:rsidP="00530D75">
      <w:pPr>
        <w:rPr>
          <w:lang w:val="en-AU"/>
        </w:rPr>
      </w:pPr>
      <w:r>
        <w:rPr>
          <w:lang w:val="en-AU"/>
        </w:rPr>
        <w:t xml:space="preserve">Evaluation </w:t>
      </w:r>
      <w:r w:rsidR="00194BEC">
        <w:rPr>
          <w:lang w:val="en-AU"/>
        </w:rPr>
        <w:t>looks at</w:t>
      </w:r>
      <w:r>
        <w:rPr>
          <w:lang w:val="en-AU"/>
        </w:rPr>
        <w:t xml:space="preserve"> available research and uses many of the same tools as research </w:t>
      </w:r>
      <w:r>
        <w:rPr>
          <w:rFonts w:eastAsiaTheme="minorHAnsi"/>
        </w:rPr>
        <w:t>(such as surveys and focus groups</w:t>
      </w:r>
      <w:r w:rsidRPr="00CE7F5D">
        <w:rPr>
          <w:rFonts w:eastAsiaTheme="minorHAnsi"/>
        </w:rPr>
        <w:t>)</w:t>
      </w:r>
      <w:r w:rsidR="00877453">
        <w:rPr>
          <w:rFonts w:eastAsiaTheme="minorHAnsi"/>
        </w:rPr>
        <w:t xml:space="preserve">. </w:t>
      </w:r>
      <w:r w:rsidR="001024C2">
        <w:rPr>
          <w:rFonts w:eastAsiaTheme="minorHAnsi"/>
        </w:rPr>
        <w:t>T</w:t>
      </w:r>
      <w:r w:rsidR="0074391A">
        <w:rPr>
          <w:rFonts w:eastAsiaTheme="minorHAnsi"/>
        </w:rPr>
        <w:t>he purpose of research is often to test a theory an</w:t>
      </w:r>
      <w:r w:rsidR="00347DF6">
        <w:rPr>
          <w:rFonts w:eastAsiaTheme="minorHAnsi"/>
        </w:rPr>
        <w:t>d</w:t>
      </w:r>
      <w:r w:rsidR="0074391A">
        <w:rPr>
          <w:rFonts w:eastAsiaTheme="minorHAnsi"/>
        </w:rPr>
        <w:t xml:space="preserve"> produce </w:t>
      </w:r>
      <w:r w:rsidR="00530D75">
        <w:rPr>
          <w:rFonts w:eastAsiaTheme="minorHAnsi"/>
        </w:rPr>
        <w:t>generalis</w:t>
      </w:r>
      <w:r w:rsidR="0074391A">
        <w:rPr>
          <w:rFonts w:eastAsiaTheme="minorHAnsi"/>
        </w:rPr>
        <w:t xml:space="preserve">able findings that contribute to knowledge. </w:t>
      </w:r>
      <w:r w:rsidR="00530D75">
        <w:rPr>
          <w:rFonts w:eastAsiaTheme="minorHAnsi"/>
        </w:rPr>
        <w:t>In contrast, the purpose of e</w:t>
      </w:r>
      <w:r w:rsidR="0074391A">
        <w:rPr>
          <w:rFonts w:eastAsiaTheme="minorHAnsi"/>
        </w:rPr>
        <w:t xml:space="preserve">valuation is to determine the </w:t>
      </w:r>
      <w:r w:rsidR="00530D75">
        <w:rPr>
          <w:rFonts w:eastAsiaTheme="minorHAnsi"/>
        </w:rPr>
        <w:t xml:space="preserve">quality, merit </w:t>
      </w:r>
      <w:r w:rsidR="00347DF6">
        <w:rPr>
          <w:rFonts w:eastAsiaTheme="minorHAnsi"/>
        </w:rPr>
        <w:t xml:space="preserve">and </w:t>
      </w:r>
      <w:r w:rsidR="0074391A">
        <w:rPr>
          <w:rFonts w:eastAsiaTheme="minorHAnsi"/>
        </w:rPr>
        <w:t>effectiveness of a programme or model</w:t>
      </w:r>
      <w:r w:rsidR="00530D75">
        <w:rPr>
          <w:rFonts w:eastAsiaTheme="minorHAnsi"/>
        </w:rPr>
        <w:t>.</w:t>
      </w:r>
    </w:p>
    <w:p w14:paraId="19F768FE" w14:textId="77777777" w:rsidR="00530D75" w:rsidRPr="00161786" w:rsidRDefault="00161786" w:rsidP="00530D75">
      <w:pPr>
        <w:rPr>
          <w:rFonts w:eastAsiaTheme="minorHAnsi"/>
        </w:rPr>
      </w:pPr>
      <w:r>
        <w:rPr>
          <w:rFonts w:eastAsiaTheme="minorHAnsi"/>
        </w:rPr>
        <w:t>E</w:t>
      </w:r>
      <w:r w:rsidR="00CE7F5D" w:rsidRPr="006C0767">
        <w:rPr>
          <w:rFonts w:eastAsiaTheme="minorHAnsi"/>
        </w:rPr>
        <w:t>valuation is complemented by ‘monitoring’ which aims to provide regular feedback throug</w:t>
      </w:r>
      <w:r w:rsidR="002E481A" w:rsidRPr="006C0767">
        <w:rPr>
          <w:rFonts w:eastAsiaTheme="minorHAnsi"/>
        </w:rPr>
        <w:t xml:space="preserve">h key indicators </w:t>
      </w:r>
      <w:r w:rsidR="00194BEC">
        <w:rPr>
          <w:rFonts w:eastAsiaTheme="minorHAnsi"/>
        </w:rPr>
        <w:t>relating to</w:t>
      </w:r>
      <w:r w:rsidR="00194BEC" w:rsidRPr="006C0767">
        <w:rPr>
          <w:rFonts w:eastAsiaTheme="minorHAnsi"/>
        </w:rPr>
        <w:t xml:space="preserve"> </w:t>
      </w:r>
      <w:r w:rsidR="002E481A" w:rsidRPr="006C0767">
        <w:rPr>
          <w:rFonts w:eastAsiaTheme="minorHAnsi"/>
        </w:rPr>
        <w:t xml:space="preserve">programme </w:t>
      </w:r>
      <w:r w:rsidR="00CE7F5D" w:rsidRPr="006C0767">
        <w:rPr>
          <w:rFonts w:eastAsiaTheme="minorHAnsi"/>
        </w:rPr>
        <w:t>implementation and performance.  Evaluation can</w:t>
      </w:r>
      <w:r w:rsidR="00CE7F5D" w:rsidRPr="00CE7F5D">
        <w:rPr>
          <w:rFonts w:eastAsiaTheme="minorHAnsi"/>
        </w:rPr>
        <w:t xml:space="preserve"> also be used to </w:t>
      </w:r>
      <w:r w:rsidR="006B5988">
        <w:rPr>
          <w:rFonts w:eastAsiaTheme="minorHAnsi"/>
        </w:rPr>
        <w:t xml:space="preserve">support performance reporting </w:t>
      </w:r>
      <w:r w:rsidR="00877453">
        <w:rPr>
          <w:rFonts w:eastAsiaTheme="minorHAnsi"/>
        </w:rPr>
        <w:t xml:space="preserve">for </w:t>
      </w:r>
      <w:r w:rsidR="00CE7F5D" w:rsidRPr="00CE7F5D">
        <w:rPr>
          <w:rFonts w:eastAsiaTheme="minorHAnsi"/>
        </w:rPr>
        <w:t>accountability</w:t>
      </w:r>
    </w:p>
    <w:p w14:paraId="19F768FF" w14:textId="77777777" w:rsidR="00214C5F" w:rsidRDefault="00904C1E" w:rsidP="00C20655">
      <w:pPr>
        <w:pStyle w:val="Heading1"/>
      </w:pPr>
      <w:bookmarkStart w:id="7" w:name="_Toc434307647"/>
      <w:r>
        <w:t>Key issues and challenges</w:t>
      </w:r>
      <w:bookmarkEnd w:id="7"/>
    </w:p>
    <w:p w14:paraId="19F76900" w14:textId="77777777" w:rsidR="000669D0" w:rsidRDefault="00161786" w:rsidP="00161786">
      <w:pPr>
        <w:rPr>
          <w:rFonts w:eastAsiaTheme="minorHAnsi" w:cstheme="minorHAnsi"/>
          <w:szCs w:val="22"/>
          <w:lang w:val="en-AU"/>
        </w:rPr>
      </w:pPr>
      <w:r>
        <w:t>There are a number of challenges associated with evaluation</w:t>
      </w:r>
      <w:r w:rsidR="001024C2">
        <w:t xml:space="preserve">: </w:t>
      </w:r>
    </w:p>
    <w:p w14:paraId="19F76901" w14:textId="77777777" w:rsidR="00AF5FD2" w:rsidRDefault="00AF5FD2" w:rsidP="00161786">
      <w:pPr>
        <w:pStyle w:val="ListParagraph"/>
        <w:numPr>
          <w:ilvl w:val="0"/>
          <w:numId w:val="29"/>
        </w:numPr>
        <w:spacing w:before="120" w:after="120"/>
      </w:pPr>
      <w:r>
        <w:t xml:space="preserve">Evaluation findings are </w:t>
      </w:r>
      <w:r w:rsidR="00194BEC">
        <w:t>not always clear</w:t>
      </w:r>
      <w:r>
        <w:t>. They</w:t>
      </w:r>
      <w:r w:rsidR="00194BEC">
        <w:t xml:space="preserve"> are</w:t>
      </w:r>
      <w:r>
        <w:t xml:space="preserve"> often </w:t>
      </w:r>
      <w:r w:rsidR="00194BEC">
        <w:t xml:space="preserve">limited by the available data or report </w:t>
      </w:r>
      <w:r>
        <w:t xml:space="preserve">a mixed bag of successes, near misses and </w:t>
      </w:r>
      <w:r w:rsidR="00194BEC">
        <w:t>failures</w:t>
      </w:r>
      <w:r>
        <w:t xml:space="preserve">. </w:t>
      </w:r>
    </w:p>
    <w:p w14:paraId="19F76902" w14:textId="77777777" w:rsidR="00AF5FD2" w:rsidRDefault="00AF5FD2" w:rsidP="00AF5FD2">
      <w:pPr>
        <w:pStyle w:val="ListParagraph"/>
        <w:spacing w:before="120" w:after="120"/>
      </w:pPr>
    </w:p>
    <w:p w14:paraId="19F76903" w14:textId="77777777" w:rsidR="00C42C72" w:rsidRPr="00C42C72" w:rsidRDefault="00194BEC" w:rsidP="00C42C72">
      <w:pPr>
        <w:pStyle w:val="ListParagraph"/>
        <w:numPr>
          <w:ilvl w:val="0"/>
          <w:numId w:val="29"/>
        </w:numPr>
        <w:spacing w:before="120" w:after="120"/>
      </w:pPr>
      <w:r>
        <w:rPr>
          <w:rFonts w:eastAsiaTheme="minorHAnsi"/>
          <w:lang w:val="en-AU"/>
        </w:rPr>
        <w:t xml:space="preserve">It can be </w:t>
      </w:r>
      <w:r w:rsidR="00090C54">
        <w:rPr>
          <w:rFonts w:eastAsiaTheme="minorHAnsi"/>
          <w:lang w:val="en-AU"/>
        </w:rPr>
        <w:t xml:space="preserve">difficult </w:t>
      </w:r>
      <w:r>
        <w:rPr>
          <w:rFonts w:eastAsiaTheme="minorHAnsi"/>
          <w:lang w:val="en-AU"/>
        </w:rPr>
        <w:t xml:space="preserve">to </w:t>
      </w:r>
      <w:r w:rsidR="00090C54">
        <w:rPr>
          <w:rFonts w:eastAsiaTheme="minorHAnsi"/>
          <w:lang w:val="en-AU"/>
        </w:rPr>
        <w:t xml:space="preserve">measure and </w:t>
      </w:r>
      <w:r>
        <w:rPr>
          <w:rFonts w:eastAsiaTheme="minorHAnsi"/>
          <w:lang w:val="en-AU"/>
        </w:rPr>
        <w:t>tie changes in health outcomes to the work of programmes.</w:t>
      </w:r>
      <w:r w:rsidR="00CE7D4B" w:rsidRPr="00AF5FD2">
        <w:rPr>
          <w:rFonts w:eastAsiaTheme="minorHAnsi"/>
          <w:lang w:val="en-AU"/>
        </w:rPr>
        <w:t xml:space="preserve"> </w:t>
      </w:r>
    </w:p>
    <w:p w14:paraId="19F76904" w14:textId="77777777" w:rsidR="00C42C72" w:rsidRPr="00C42C72" w:rsidRDefault="00C42C72" w:rsidP="00C42C72">
      <w:pPr>
        <w:pStyle w:val="ListParagraph"/>
        <w:rPr>
          <w:rFonts w:eastAsiaTheme="minorHAnsi" w:cstheme="minorHAnsi"/>
          <w:szCs w:val="22"/>
          <w:lang w:val="en-AU"/>
        </w:rPr>
      </w:pPr>
    </w:p>
    <w:p w14:paraId="19F76905" w14:textId="77777777" w:rsidR="00090C54" w:rsidRPr="00090C54" w:rsidRDefault="00090C54" w:rsidP="00090C54">
      <w:pPr>
        <w:pStyle w:val="ListParagraph"/>
        <w:numPr>
          <w:ilvl w:val="0"/>
          <w:numId w:val="29"/>
        </w:numPr>
        <w:spacing w:before="120" w:after="120"/>
        <w:rPr>
          <w:rFonts w:eastAsiaTheme="minorHAnsi" w:cstheme="minorHAnsi"/>
          <w:szCs w:val="22"/>
          <w:lang w:val="en-AU"/>
        </w:rPr>
      </w:pPr>
      <w:r>
        <w:rPr>
          <w:rFonts w:eastAsiaTheme="minorHAnsi" w:cstheme="minorHAnsi"/>
          <w:szCs w:val="22"/>
          <w:lang w:val="en-AU"/>
        </w:rPr>
        <w:t xml:space="preserve">Ensuring </w:t>
      </w:r>
      <w:r w:rsidRPr="00090C54">
        <w:rPr>
          <w:rFonts w:eastAsiaTheme="minorHAnsi" w:cstheme="minorHAnsi"/>
          <w:szCs w:val="22"/>
          <w:lang w:val="en-AU"/>
        </w:rPr>
        <w:t>that evaluations give Government information that feeds into shorter term priorities and at the same time looking at what is happening over the longer term</w:t>
      </w:r>
      <w:r w:rsidR="0050387B">
        <w:rPr>
          <w:rFonts w:eastAsiaTheme="minorHAnsi" w:cstheme="minorHAnsi"/>
          <w:szCs w:val="22"/>
          <w:lang w:val="en-AU"/>
        </w:rPr>
        <w:t>.</w:t>
      </w:r>
    </w:p>
    <w:p w14:paraId="19F76906" w14:textId="77777777" w:rsidR="00A475F6" w:rsidRPr="00A475F6" w:rsidRDefault="00A475F6" w:rsidP="00A475F6">
      <w:pPr>
        <w:pStyle w:val="ListParagraph"/>
        <w:ind w:left="1440"/>
        <w:rPr>
          <w:rFonts w:eastAsiaTheme="minorHAnsi" w:cstheme="minorHAnsi"/>
          <w:szCs w:val="22"/>
          <w:lang w:val="en-AU"/>
        </w:rPr>
      </w:pPr>
    </w:p>
    <w:p w14:paraId="19F76907" w14:textId="77777777" w:rsidR="00AF5FD2" w:rsidRDefault="00090C54" w:rsidP="00161786">
      <w:pPr>
        <w:pStyle w:val="ListParagraph"/>
        <w:numPr>
          <w:ilvl w:val="0"/>
          <w:numId w:val="29"/>
        </w:numPr>
        <w:spacing w:before="120" w:after="120"/>
      </w:pPr>
      <w:r>
        <w:rPr>
          <w:rFonts w:eastAsiaTheme="minorHAnsi" w:cstheme="minorHAnsi"/>
          <w:szCs w:val="22"/>
          <w:lang w:val="en-AU"/>
        </w:rPr>
        <w:t xml:space="preserve">Ensuring </w:t>
      </w:r>
      <w:r w:rsidR="00194BEC">
        <w:rPr>
          <w:rFonts w:eastAsiaTheme="minorHAnsi" w:cstheme="minorHAnsi"/>
          <w:szCs w:val="22"/>
          <w:lang w:val="en-AU"/>
        </w:rPr>
        <w:t xml:space="preserve">that the knowledge we are gathering over time is easily accessible </w:t>
      </w:r>
      <w:r w:rsidR="00877453">
        <w:rPr>
          <w:rFonts w:eastAsiaTheme="minorHAnsi" w:cstheme="minorHAnsi"/>
          <w:szCs w:val="22"/>
          <w:lang w:val="en-AU"/>
        </w:rPr>
        <w:t>to inform decision making</w:t>
      </w:r>
      <w:r>
        <w:rPr>
          <w:rFonts w:eastAsiaTheme="minorHAnsi" w:cstheme="minorHAnsi"/>
          <w:szCs w:val="22"/>
          <w:lang w:val="en-AU"/>
        </w:rPr>
        <w:t xml:space="preserve">, </w:t>
      </w:r>
      <w:r w:rsidR="00877453">
        <w:rPr>
          <w:rFonts w:eastAsiaTheme="minorHAnsi" w:cstheme="minorHAnsi"/>
          <w:szCs w:val="22"/>
          <w:lang w:val="en-AU"/>
        </w:rPr>
        <w:t>policy development</w:t>
      </w:r>
      <w:r>
        <w:rPr>
          <w:rFonts w:eastAsiaTheme="minorHAnsi" w:cstheme="minorHAnsi"/>
          <w:szCs w:val="22"/>
          <w:lang w:val="en-AU"/>
        </w:rPr>
        <w:t xml:space="preserve"> and improve practice</w:t>
      </w:r>
      <w:r w:rsidR="0060220A">
        <w:rPr>
          <w:rFonts w:eastAsiaTheme="minorHAnsi" w:cstheme="minorHAnsi"/>
          <w:szCs w:val="22"/>
          <w:lang w:val="en-AU"/>
        </w:rPr>
        <w:t>.</w:t>
      </w:r>
    </w:p>
    <w:p w14:paraId="19F76908" w14:textId="77777777" w:rsidR="00B733C4" w:rsidRDefault="00B733C4" w:rsidP="00C20655">
      <w:pPr>
        <w:pStyle w:val="Heading1"/>
      </w:pPr>
      <w:bookmarkStart w:id="8" w:name="_Toc434307648"/>
      <w:r>
        <w:t>Policy and legislative context</w:t>
      </w:r>
      <w:bookmarkEnd w:id="8"/>
    </w:p>
    <w:p w14:paraId="19F76909" w14:textId="77777777" w:rsidR="00B733C4" w:rsidRPr="00291208" w:rsidRDefault="00B733C4" w:rsidP="00B733C4">
      <w:pPr>
        <w:autoSpaceDE w:val="0"/>
        <w:autoSpaceDN w:val="0"/>
        <w:spacing w:before="100" w:after="120" w:line="276" w:lineRule="auto"/>
        <w:rPr>
          <w:rFonts w:eastAsiaTheme="minorHAnsi" w:cs="Calibri"/>
          <w:szCs w:val="22"/>
          <w:lang w:val="en-AU"/>
        </w:rPr>
      </w:pPr>
      <w:r w:rsidRPr="00291208">
        <w:rPr>
          <w:rFonts w:eastAsiaTheme="minorHAnsi" w:cs="Calibri"/>
          <w:szCs w:val="22"/>
          <w:lang w:val="en-AU"/>
        </w:rPr>
        <w:t>The evaluati</w:t>
      </w:r>
      <w:r w:rsidR="00532570">
        <w:rPr>
          <w:rFonts w:eastAsiaTheme="minorHAnsi" w:cs="Calibri"/>
          <w:szCs w:val="22"/>
          <w:lang w:val="en-AU"/>
        </w:rPr>
        <w:t>on strategy has been developed</w:t>
      </w:r>
      <w:r w:rsidRPr="00291208">
        <w:rPr>
          <w:rFonts w:eastAsiaTheme="minorHAnsi" w:cs="Calibri"/>
          <w:szCs w:val="22"/>
          <w:lang w:val="en-AU"/>
        </w:rPr>
        <w:t xml:space="preserve"> </w:t>
      </w:r>
      <w:r w:rsidR="00053407">
        <w:rPr>
          <w:rFonts w:eastAsiaTheme="minorHAnsi" w:cs="Calibri"/>
          <w:szCs w:val="22"/>
          <w:lang w:val="en-AU"/>
        </w:rPr>
        <w:t xml:space="preserve">to serve the needs of </w:t>
      </w:r>
      <w:r w:rsidR="00ED538A">
        <w:rPr>
          <w:rFonts w:eastAsiaTheme="minorHAnsi" w:cs="Calibri"/>
          <w:szCs w:val="22"/>
          <w:lang w:val="en-AU"/>
        </w:rPr>
        <w:t>a number of key reforms.</w:t>
      </w:r>
    </w:p>
    <w:p w14:paraId="19F7690A" w14:textId="77777777" w:rsidR="00E62CC3" w:rsidRDefault="00E62CC3" w:rsidP="005C4726">
      <w:pPr>
        <w:pStyle w:val="Heading2"/>
      </w:pPr>
      <w:bookmarkStart w:id="9" w:name="_Toc434307649"/>
      <w:bookmarkStart w:id="10" w:name="_Toc387844606"/>
      <w:r>
        <w:t>Indigenous Australians’ Health Programme</w:t>
      </w:r>
      <w:bookmarkEnd w:id="9"/>
    </w:p>
    <w:p w14:paraId="19F7690B" w14:textId="77777777" w:rsidR="00E62CC3" w:rsidRPr="00ED538A" w:rsidRDefault="00ED538A" w:rsidP="00ED538A">
      <w:r w:rsidRPr="00ED538A">
        <w:t>The Indigenous Australians’ Health Programme (IAHP) aims to improve the health of all Aboriginal and Torres Strait Islander people through a variety of activities focused on local health needs as well as targeted responses to particular health issues and activity across the life course.</w:t>
      </w:r>
      <w:r>
        <w:t xml:space="preserve">  The IAHP consolidates funding for Indigenous health.</w:t>
      </w:r>
    </w:p>
    <w:p w14:paraId="19F7690C" w14:textId="77777777" w:rsidR="00C31451" w:rsidRDefault="00C31451" w:rsidP="005C4726">
      <w:pPr>
        <w:pStyle w:val="Heading2"/>
      </w:pPr>
      <w:bookmarkStart w:id="11" w:name="_Toc434307650"/>
      <w:r>
        <w:t>National Aboriginal and Torres Strait Islander Health Plan</w:t>
      </w:r>
      <w:bookmarkEnd w:id="11"/>
    </w:p>
    <w:p w14:paraId="19F7690D" w14:textId="77777777" w:rsidR="00FC23DE" w:rsidRPr="00FC23DE" w:rsidRDefault="00C31451" w:rsidP="004D0E44">
      <w:r w:rsidRPr="00662238">
        <w:rPr>
          <w:lang w:val="en-AU"/>
        </w:rPr>
        <w:t xml:space="preserve">The </w:t>
      </w:r>
      <w:hyperlink r:id="rId18" w:history="1">
        <w:r w:rsidR="00ED538A" w:rsidRPr="00B840D1">
          <w:rPr>
            <w:rStyle w:val="Hyperlink"/>
            <w:lang w:val="en-AU"/>
          </w:rPr>
          <w:t>National Aboriginal and Tor</w:t>
        </w:r>
        <w:r w:rsidR="00385C24" w:rsidRPr="00B840D1">
          <w:rPr>
            <w:rStyle w:val="Hyperlink"/>
            <w:lang w:val="en-AU"/>
          </w:rPr>
          <w:t>res Strait Islander Health Pl</w:t>
        </w:r>
        <w:r w:rsidR="00E52AC3" w:rsidRPr="00B840D1">
          <w:rPr>
            <w:rStyle w:val="Hyperlink"/>
            <w:lang w:val="en-AU"/>
          </w:rPr>
          <w:t>an</w:t>
        </w:r>
        <w:r w:rsidR="00833F5E" w:rsidRPr="00B840D1">
          <w:rPr>
            <w:rStyle w:val="Hyperlink"/>
            <w:lang w:val="en-AU"/>
          </w:rPr>
          <w:t xml:space="preserve"> 2013-23</w:t>
        </w:r>
      </w:hyperlink>
      <w:r w:rsidR="00E52AC3" w:rsidRPr="00662238">
        <w:rPr>
          <w:lang w:val="en-AU"/>
        </w:rPr>
        <w:t xml:space="preserve"> </w:t>
      </w:r>
      <w:r w:rsidR="00662238">
        <w:rPr>
          <w:lang w:val="en-AU"/>
        </w:rPr>
        <w:t xml:space="preserve">provides a long-term </w:t>
      </w:r>
      <w:r w:rsidR="00456A71">
        <w:rPr>
          <w:lang w:val="en-AU"/>
        </w:rPr>
        <w:t xml:space="preserve"> </w:t>
      </w:r>
      <w:r w:rsidR="00833F5E">
        <w:rPr>
          <w:lang w:val="en-AU"/>
        </w:rPr>
        <w:t>evidence-</w:t>
      </w:r>
      <w:r w:rsidR="00662238">
        <w:rPr>
          <w:lang w:val="en-AU"/>
        </w:rPr>
        <w:t xml:space="preserve">based </w:t>
      </w:r>
      <w:r w:rsidR="00C71F80">
        <w:rPr>
          <w:lang w:val="en-AU"/>
        </w:rPr>
        <w:t>policy framework for Aboriginal and</w:t>
      </w:r>
      <w:r w:rsidR="00503B80">
        <w:rPr>
          <w:lang w:val="en-AU"/>
        </w:rPr>
        <w:t xml:space="preserve"> Torres Strait Islander Health to reduce health inequality. </w:t>
      </w:r>
      <w:r w:rsidR="00192A52" w:rsidRPr="003B4FF5">
        <w:t xml:space="preserve">The </w:t>
      </w:r>
      <w:hyperlink r:id="rId19" w:history="1">
        <w:r w:rsidR="00192A52" w:rsidRPr="00B840D1">
          <w:rPr>
            <w:rStyle w:val="Hyperlink"/>
          </w:rPr>
          <w:t>Implementation</w:t>
        </w:r>
        <w:r w:rsidR="00192A52" w:rsidRPr="00B840D1">
          <w:rPr>
            <w:rStyle w:val="Hyperlink"/>
            <w:shd w:val="clear" w:color="auto" w:fill="FFFFFF" w:themeFill="background1"/>
          </w:rPr>
          <w:t xml:space="preserve"> Plan</w:t>
        </w:r>
      </w:hyperlink>
      <w:r w:rsidR="00192A52" w:rsidRPr="003B4FF5">
        <w:t xml:space="preserve"> outlines the actions to be taken by the Australian</w:t>
      </w:r>
      <w:r w:rsidR="00192A52" w:rsidRPr="003B4FF5">
        <w:rPr>
          <w:shd w:val="clear" w:color="auto" w:fill="FFFFFF" w:themeFill="background1"/>
        </w:rPr>
        <w:t xml:space="preserve"> Government</w:t>
      </w:r>
      <w:r w:rsidR="00192A52" w:rsidRPr="003B4FF5">
        <w:t xml:space="preserve"> and other key stakeholders</w:t>
      </w:r>
      <w:r w:rsidR="001024C2">
        <w:t xml:space="preserve">, including monitoring </w:t>
      </w:r>
      <w:r w:rsidR="000365B5">
        <w:t>and evalu</w:t>
      </w:r>
      <w:r w:rsidR="00090C54">
        <w:t>a</w:t>
      </w:r>
      <w:r w:rsidR="000365B5">
        <w:t>tion</w:t>
      </w:r>
      <w:r w:rsidR="00833F5E">
        <w:t xml:space="preserve">.  </w:t>
      </w:r>
    </w:p>
    <w:p w14:paraId="19F7690E" w14:textId="77777777" w:rsidR="00B733C4" w:rsidRPr="00291208" w:rsidRDefault="00B733C4" w:rsidP="005C4726">
      <w:pPr>
        <w:pStyle w:val="Heading2"/>
      </w:pPr>
      <w:bookmarkStart w:id="12" w:name="_Toc434307651"/>
      <w:r w:rsidRPr="00291208">
        <w:t>Public Management Reform Agenda</w:t>
      </w:r>
      <w:bookmarkEnd w:id="10"/>
      <w:bookmarkEnd w:id="12"/>
    </w:p>
    <w:p w14:paraId="19F7690F" w14:textId="77777777" w:rsidR="00B733C4" w:rsidRPr="00877453" w:rsidRDefault="00B733C4" w:rsidP="00877453">
      <w:pPr>
        <w:rPr>
          <w:lang w:val="en-AU"/>
        </w:rPr>
      </w:pPr>
      <w:r w:rsidRPr="00877453">
        <w:rPr>
          <w:lang w:val="en-AU"/>
        </w:rPr>
        <w:t xml:space="preserve">The Public Management Reform Agenda (PMRA) seeks to improve resource management and decision making by placing a greater focus on planning and performance. The reforms are primarily being implemented through the </w:t>
      </w:r>
      <w:r w:rsidR="00047E74" w:rsidRPr="00877453">
        <w:rPr>
          <w:lang w:val="en-AU"/>
        </w:rPr>
        <w:t xml:space="preserve">Public Governance, Performance and Accountability Act 2013 </w:t>
      </w:r>
      <w:r w:rsidR="00136088" w:rsidRPr="00877453">
        <w:rPr>
          <w:lang w:val="en-AU"/>
        </w:rPr>
        <w:t>(PGPA</w:t>
      </w:r>
      <w:r w:rsidR="00ED43DF" w:rsidRPr="00877453">
        <w:rPr>
          <w:lang w:val="en-AU"/>
        </w:rPr>
        <w:t xml:space="preserve">) </w:t>
      </w:r>
      <w:r w:rsidR="00047E74" w:rsidRPr="00877453">
        <w:rPr>
          <w:lang w:val="en-AU"/>
        </w:rPr>
        <w:t xml:space="preserve">which requires Commonwealth entities to </w:t>
      </w:r>
      <w:r w:rsidR="00AB7217" w:rsidRPr="00877453">
        <w:rPr>
          <w:lang w:val="en-AU"/>
        </w:rPr>
        <w:t xml:space="preserve">measure and </w:t>
      </w:r>
      <w:r w:rsidR="00047E74" w:rsidRPr="00877453">
        <w:rPr>
          <w:lang w:val="en-AU"/>
        </w:rPr>
        <w:t>assess performance</w:t>
      </w:r>
      <w:r w:rsidR="00AB7217" w:rsidRPr="00877453">
        <w:rPr>
          <w:lang w:val="en-AU"/>
        </w:rPr>
        <w:t xml:space="preserve"> (Section 38).</w:t>
      </w:r>
      <w:r w:rsidRPr="00877453">
        <w:rPr>
          <w:lang w:val="en-AU"/>
        </w:rPr>
        <w:t xml:space="preserve"> </w:t>
      </w:r>
    </w:p>
    <w:p w14:paraId="19F76910" w14:textId="77777777" w:rsidR="00B733C4" w:rsidRPr="00877453" w:rsidRDefault="00877453" w:rsidP="00877453">
      <w:pPr>
        <w:rPr>
          <w:lang w:val="en-AU"/>
        </w:rPr>
      </w:pPr>
      <w:r>
        <w:rPr>
          <w:lang w:val="en-AU"/>
        </w:rPr>
        <w:t>The</w:t>
      </w:r>
      <w:r w:rsidR="00B733C4" w:rsidRPr="00877453">
        <w:rPr>
          <w:lang w:val="en-AU"/>
        </w:rPr>
        <w:t xml:space="preserve"> </w:t>
      </w:r>
      <w:hyperlink r:id="rId20" w:history="1">
        <w:r w:rsidR="00532570">
          <w:rPr>
            <w:rStyle w:val="Hyperlink"/>
            <w:rFonts w:eastAsiaTheme="minorHAnsi"/>
            <w:lang w:val="en-AU"/>
          </w:rPr>
          <w:t>Commonwealth Performance F</w:t>
        </w:r>
        <w:r w:rsidR="00AB7217" w:rsidRPr="005567B0">
          <w:rPr>
            <w:rStyle w:val="Hyperlink"/>
            <w:rFonts w:eastAsiaTheme="minorHAnsi"/>
            <w:lang w:val="en-AU"/>
          </w:rPr>
          <w:t>ramework</w:t>
        </w:r>
      </w:hyperlink>
      <w:r w:rsidR="00E82B7D" w:rsidRPr="00877453">
        <w:rPr>
          <w:lang w:val="en-AU"/>
        </w:rPr>
        <w:t xml:space="preserve"> </w:t>
      </w:r>
      <w:r>
        <w:rPr>
          <w:lang w:val="en-AU"/>
        </w:rPr>
        <w:t xml:space="preserve">provides guidance on </w:t>
      </w:r>
      <w:r w:rsidR="00AB7217" w:rsidRPr="00877453">
        <w:rPr>
          <w:lang w:val="en-AU"/>
        </w:rPr>
        <w:t xml:space="preserve">planning, evaluating and reporting activities with a focus </w:t>
      </w:r>
      <w:r w:rsidR="00833F5E" w:rsidRPr="00877453">
        <w:rPr>
          <w:lang w:val="en-AU"/>
        </w:rPr>
        <w:t>on improving the quality of non</w:t>
      </w:r>
      <w:r w:rsidR="00833F5E" w:rsidRPr="00877453">
        <w:rPr>
          <w:lang w:val="en-AU"/>
        </w:rPr>
        <w:noBreakHyphen/>
      </w:r>
      <w:r w:rsidR="00AB7217" w:rsidRPr="00877453">
        <w:rPr>
          <w:lang w:val="en-AU"/>
        </w:rPr>
        <w:t xml:space="preserve">financial </w:t>
      </w:r>
      <w:r w:rsidR="00B733C4" w:rsidRPr="00877453">
        <w:rPr>
          <w:lang w:val="en-AU"/>
        </w:rPr>
        <w:t xml:space="preserve">performance </w:t>
      </w:r>
      <w:r w:rsidR="00AB7217" w:rsidRPr="00877453">
        <w:rPr>
          <w:lang w:val="en-AU"/>
        </w:rPr>
        <w:t xml:space="preserve">information. </w:t>
      </w:r>
    </w:p>
    <w:p w14:paraId="19F76911" w14:textId="77777777" w:rsidR="0048654D" w:rsidRDefault="00F47FB2" w:rsidP="0048654D">
      <w:pPr>
        <w:pStyle w:val="Heading1"/>
      </w:pPr>
      <w:bookmarkStart w:id="13" w:name="_Toc434307652"/>
      <w:r>
        <w:lastRenderedPageBreak/>
        <w:t>Our a</w:t>
      </w:r>
      <w:r w:rsidR="0048654D">
        <w:t>pproach</w:t>
      </w:r>
      <w:r w:rsidR="00480D16">
        <w:t xml:space="preserve"> to </w:t>
      </w:r>
      <w:r w:rsidR="00326F3D">
        <w:t>undertaking e</w:t>
      </w:r>
      <w:r w:rsidR="00480D16">
        <w:t>valuation</w:t>
      </w:r>
      <w:r w:rsidR="00326F3D">
        <w:t>s</w:t>
      </w:r>
      <w:bookmarkEnd w:id="13"/>
      <w:r w:rsidR="00480D16">
        <w:t xml:space="preserve"> </w:t>
      </w:r>
    </w:p>
    <w:p w14:paraId="19F76912" w14:textId="77777777" w:rsidR="003977DB" w:rsidRDefault="003977DB" w:rsidP="005C4726">
      <w:pPr>
        <w:pStyle w:val="Heading2"/>
      </w:pPr>
      <w:bookmarkStart w:id="14" w:name="_Toc434307653"/>
      <w:r>
        <w:t>Types of evaluation</w:t>
      </w:r>
      <w:bookmarkEnd w:id="14"/>
    </w:p>
    <w:p w14:paraId="19F76913" w14:textId="77777777" w:rsidR="00326F3D" w:rsidRDefault="00326F3D" w:rsidP="003977DB">
      <w:pPr>
        <w:pStyle w:val="Heading3"/>
      </w:pPr>
      <w:bookmarkStart w:id="15" w:name="_Toc434307654"/>
      <w:r>
        <w:t>Strategic evaluations</w:t>
      </w:r>
      <w:bookmarkEnd w:id="15"/>
    </w:p>
    <w:p w14:paraId="19F76914" w14:textId="77777777" w:rsidR="00B8774C" w:rsidRDefault="00B8774C" w:rsidP="00BD1E5A">
      <w:r w:rsidRPr="00B8774C">
        <w:t xml:space="preserve">The </w:t>
      </w:r>
      <w:r w:rsidR="00053407">
        <w:t>consolidated</w:t>
      </w:r>
      <w:r w:rsidRPr="00B8774C">
        <w:t xml:space="preserve"> IAHP </w:t>
      </w:r>
      <w:r w:rsidR="00053407">
        <w:t xml:space="preserve">funding </w:t>
      </w:r>
      <w:r w:rsidRPr="00B8774C">
        <w:t xml:space="preserve">provides an opportunity </w:t>
      </w:r>
      <w:r w:rsidR="00053407">
        <w:t xml:space="preserve">to take </w:t>
      </w:r>
      <w:r w:rsidRPr="00B8774C">
        <w:t xml:space="preserve">a more strategic and agile approach to evaluation </w:t>
      </w:r>
      <w:r w:rsidR="00053407">
        <w:t>to</w:t>
      </w:r>
      <w:r w:rsidRPr="00B8774C">
        <w:t xml:space="preserve"> better target policy interventions to improve health outcomes.</w:t>
      </w:r>
    </w:p>
    <w:p w14:paraId="19F76915" w14:textId="77777777" w:rsidR="00696AEB" w:rsidRDefault="002665B3" w:rsidP="00BD1E5A">
      <w:r>
        <w:t>Holistic evaluations measur</w:t>
      </w:r>
      <w:r w:rsidR="00053407">
        <w:t>ing</w:t>
      </w:r>
      <w:r>
        <w:t xml:space="preserve"> the effectiveness of key elements of the IAHP will be undertaken through a</w:t>
      </w:r>
      <w:r w:rsidR="00AD4ED7">
        <w:t xml:space="preserve"> </w:t>
      </w:r>
      <w:r w:rsidR="00696AEB">
        <w:t xml:space="preserve">rolling series of evaluations based </w:t>
      </w:r>
      <w:r w:rsidR="00532570">
        <w:t xml:space="preserve">on </w:t>
      </w:r>
      <w:r w:rsidR="00053407">
        <w:t>particular</w:t>
      </w:r>
      <w:r w:rsidR="00696AEB">
        <w:t xml:space="preserve"> themes</w:t>
      </w:r>
      <w:r>
        <w:t>.</w:t>
      </w:r>
      <w:r w:rsidR="00AD4ED7">
        <w:t xml:space="preserve"> </w:t>
      </w:r>
      <w:r>
        <w:t xml:space="preserve">This approach </w:t>
      </w:r>
      <w:r w:rsidR="00053407">
        <w:t>will</w:t>
      </w:r>
      <w:r w:rsidR="001245FF">
        <w:t xml:space="preserve"> </w:t>
      </w:r>
      <w:r>
        <w:t xml:space="preserve">support </w:t>
      </w:r>
      <w:r w:rsidR="00053407">
        <w:t>streamlined</w:t>
      </w:r>
      <w:r>
        <w:t xml:space="preserve"> </w:t>
      </w:r>
      <w:r w:rsidR="00D0357C">
        <w:t>evaluation activity</w:t>
      </w:r>
      <w:r w:rsidR="0080490C">
        <w:t xml:space="preserve"> and reduce </w:t>
      </w:r>
      <w:r w:rsidR="00053407">
        <w:t xml:space="preserve">the </w:t>
      </w:r>
      <w:r>
        <w:t>reporting and consultation burden</w:t>
      </w:r>
      <w:r w:rsidR="00696AEB">
        <w:t xml:space="preserve">. </w:t>
      </w:r>
    </w:p>
    <w:p w14:paraId="19F76916" w14:textId="77777777" w:rsidR="00326F3D" w:rsidRPr="00B70E9F" w:rsidRDefault="003E58EA" w:rsidP="00B70E9F">
      <w:pPr>
        <w:pStyle w:val="Heading3"/>
      </w:pPr>
      <w:bookmarkStart w:id="16" w:name="_Toc434307655"/>
      <w:r w:rsidRPr="00B70E9F">
        <w:t>Initiative</w:t>
      </w:r>
      <w:r w:rsidR="00326F3D" w:rsidRPr="00B70E9F">
        <w:t xml:space="preserve"> specific evaluations</w:t>
      </w:r>
      <w:bookmarkEnd w:id="16"/>
    </w:p>
    <w:p w14:paraId="19F76917" w14:textId="77777777" w:rsidR="003E58EA" w:rsidRDefault="007150D4" w:rsidP="00D0357C">
      <w:pPr>
        <w:rPr>
          <w:rFonts w:cs="Arial"/>
          <w:i/>
          <w:szCs w:val="20"/>
        </w:rPr>
      </w:pPr>
      <w:r>
        <w:rPr>
          <w:rFonts w:cs="Arial"/>
          <w:szCs w:val="20"/>
        </w:rPr>
        <w:t xml:space="preserve">A few </w:t>
      </w:r>
      <w:r w:rsidR="00395C70">
        <w:rPr>
          <w:rFonts w:cs="Arial"/>
          <w:szCs w:val="20"/>
        </w:rPr>
        <w:t xml:space="preserve">evaluations </w:t>
      </w:r>
      <w:r w:rsidR="00053407">
        <w:rPr>
          <w:rFonts w:cs="Arial"/>
          <w:szCs w:val="20"/>
        </w:rPr>
        <w:t>of</w:t>
      </w:r>
      <w:r w:rsidR="00395C70">
        <w:rPr>
          <w:rFonts w:cs="Arial"/>
          <w:szCs w:val="20"/>
        </w:rPr>
        <w:t xml:space="preserve"> specific initiatives will </w:t>
      </w:r>
      <w:r w:rsidR="00053407">
        <w:rPr>
          <w:rFonts w:cs="Arial"/>
          <w:szCs w:val="20"/>
        </w:rPr>
        <w:t xml:space="preserve">still take place </w:t>
      </w:r>
      <w:r w:rsidR="00395C70">
        <w:rPr>
          <w:rFonts w:cs="Arial"/>
          <w:szCs w:val="20"/>
        </w:rPr>
        <w:t xml:space="preserve">in circumstances where there is </w:t>
      </w:r>
      <w:r w:rsidR="00053407">
        <w:rPr>
          <w:rFonts w:cs="Arial"/>
          <w:szCs w:val="20"/>
        </w:rPr>
        <w:t>a particular policy requirement</w:t>
      </w:r>
      <w:r w:rsidR="0080490C">
        <w:rPr>
          <w:rFonts w:cs="Arial"/>
          <w:szCs w:val="20"/>
        </w:rPr>
        <w:t xml:space="preserve">. </w:t>
      </w:r>
    </w:p>
    <w:p w14:paraId="19F76918" w14:textId="77777777" w:rsidR="003977DB" w:rsidRDefault="00F47FB2" w:rsidP="003255E0">
      <w:pPr>
        <w:pStyle w:val="Heading1"/>
      </w:pPr>
      <w:bookmarkStart w:id="17" w:name="_Toc434307656"/>
      <w:r>
        <w:t>Key p</w:t>
      </w:r>
      <w:r w:rsidR="003977DB">
        <w:t>rinciples</w:t>
      </w:r>
      <w:bookmarkEnd w:id="17"/>
      <w:r w:rsidR="003977DB">
        <w:t xml:space="preserve"> </w:t>
      </w:r>
    </w:p>
    <w:p w14:paraId="19F76919" w14:textId="77777777" w:rsidR="003977DB" w:rsidRPr="00002632" w:rsidRDefault="003977DB" w:rsidP="00002632">
      <w:pPr>
        <w:pStyle w:val="Heading2"/>
        <w:rPr>
          <w:rStyle w:val="Heading3Char"/>
        </w:rPr>
      </w:pPr>
      <w:bookmarkStart w:id="18" w:name="_Toc434307657"/>
      <w:r w:rsidRPr="00002632">
        <w:rPr>
          <w:rStyle w:val="Heading3Char"/>
        </w:rPr>
        <w:t>Build on existing knowledge</w:t>
      </w:r>
      <w:bookmarkEnd w:id="18"/>
      <w:r w:rsidRPr="00002632">
        <w:rPr>
          <w:rStyle w:val="Heading3Char"/>
        </w:rPr>
        <w:t xml:space="preserve"> </w:t>
      </w:r>
    </w:p>
    <w:p w14:paraId="19F7691A" w14:textId="77777777" w:rsidR="003977DB" w:rsidRPr="0016131B" w:rsidRDefault="003977DB" w:rsidP="000365B5">
      <w:pPr>
        <w:pStyle w:val="ListParagraph"/>
        <w:numPr>
          <w:ilvl w:val="0"/>
          <w:numId w:val="18"/>
        </w:numPr>
        <w:spacing w:after="120"/>
        <w:ind w:left="357" w:hanging="357"/>
        <w:contextualSpacing w:val="0"/>
      </w:pPr>
      <w:r w:rsidRPr="0016131B">
        <w:t>Review</w:t>
      </w:r>
      <w:r w:rsidR="00E55590">
        <w:t xml:space="preserve"> and </w:t>
      </w:r>
      <w:r w:rsidR="00053407">
        <w:t>integrate</w:t>
      </w:r>
      <w:r w:rsidR="00053407" w:rsidRPr="0016131B">
        <w:t xml:space="preserve"> </w:t>
      </w:r>
      <w:r w:rsidRPr="0016131B">
        <w:t>findings from previous evaluations and research to identify gaps in knowledge. Design evaluations to fill the</w:t>
      </w:r>
      <w:r w:rsidR="00053407">
        <w:t>se</w:t>
      </w:r>
      <w:r w:rsidRPr="0016131B">
        <w:t xml:space="preserve"> gaps.</w:t>
      </w:r>
    </w:p>
    <w:p w14:paraId="19F7691B" w14:textId="77777777" w:rsidR="003977DB" w:rsidRPr="000365B5" w:rsidRDefault="003977DB" w:rsidP="00002632">
      <w:pPr>
        <w:pStyle w:val="Heading2"/>
        <w:rPr>
          <w:rStyle w:val="Heading3Char"/>
        </w:rPr>
      </w:pPr>
      <w:bookmarkStart w:id="19" w:name="_Toc434307658"/>
      <w:r w:rsidRPr="000365B5">
        <w:rPr>
          <w:rStyle w:val="Heading3Char"/>
        </w:rPr>
        <w:t>Concurrent evaluations</w:t>
      </w:r>
      <w:bookmarkEnd w:id="19"/>
      <w:r w:rsidRPr="000365B5">
        <w:rPr>
          <w:rStyle w:val="Heading3Char"/>
        </w:rPr>
        <w:t xml:space="preserve"> </w:t>
      </w:r>
    </w:p>
    <w:p w14:paraId="19F7691C" w14:textId="77777777" w:rsidR="003977DB" w:rsidRDefault="003977DB" w:rsidP="003977DB">
      <w:pPr>
        <w:pStyle w:val="ListParagraph"/>
        <w:numPr>
          <w:ilvl w:val="0"/>
          <w:numId w:val="18"/>
        </w:numPr>
        <w:spacing w:before="120" w:after="120"/>
        <w:ind w:left="357" w:hanging="357"/>
        <w:contextualSpacing w:val="0"/>
      </w:pPr>
      <w:r>
        <w:t xml:space="preserve">Design and </w:t>
      </w:r>
      <w:r w:rsidR="00053407">
        <w:t xml:space="preserve">carry out </w:t>
      </w:r>
      <w:r>
        <w:t xml:space="preserve">evaluations </w:t>
      </w:r>
      <w:r w:rsidR="00B47A90">
        <w:t xml:space="preserve">alongside </w:t>
      </w:r>
      <w:r>
        <w:t>programme implementation to inform refinement</w:t>
      </w:r>
      <w:r w:rsidR="00053407">
        <w:t>s</w:t>
      </w:r>
      <w:r>
        <w:t xml:space="preserve"> and improvement</w:t>
      </w:r>
      <w:r w:rsidR="00053407">
        <w:t>s</w:t>
      </w:r>
      <w:r>
        <w:t xml:space="preserve">.   </w:t>
      </w:r>
      <w:r w:rsidR="00B47A90">
        <w:t>Aim to establish evaluations at the beginning of a project.</w:t>
      </w:r>
    </w:p>
    <w:p w14:paraId="19F7691D" w14:textId="77777777" w:rsidR="003977DB" w:rsidRPr="00BD1E5A" w:rsidRDefault="003977DB" w:rsidP="00002632">
      <w:pPr>
        <w:pStyle w:val="Heading2"/>
      </w:pPr>
      <w:bookmarkStart w:id="20" w:name="_Toc434307659"/>
      <w:r w:rsidRPr="00214C5F">
        <w:rPr>
          <w:rStyle w:val="Heading3Char"/>
        </w:rPr>
        <w:t>Theory based evaluation</w:t>
      </w:r>
      <w:bookmarkEnd w:id="20"/>
      <w:r w:rsidRPr="00214C5F">
        <w:rPr>
          <w:rStyle w:val="Heading3Char"/>
        </w:rPr>
        <w:t xml:space="preserve"> </w:t>
      </w:r>
    </w:p>
    <w:p w14:paraId="19F7691E" w14:textId="77777777" w:rsidR="001E4D7B" w:rsidRPr="00B70E9F" w:rsidRDefault="003977DB" w:rsidP="00B70E9F">
      <w:pPr>
        <w:pStyle w:val="ListParagraph"/>
        <w:numPr>
          <w:ilvl w:val="0"/>
          <w:numId w:val="18"/>
        </w:numPr>
        <w:spacing w:before="120" w:after="120"/>
        <w:ind w:left="357" w:hanging="357"/>
        <w:contextualSpacing w:val="0"/>
      </w:pPr>
      <w:r w:rsidRPr="00B70E9F">
        <w:t>Develop programme theories to</w:t>
      </w:r>
      <w:r w:rsidR="00BF08F2" w:rsidRPr="00B70E9F">
        <w:t xml:space="preserve"> </w:t>
      </w:r>
      <w:r w:rsidR="000A40C0">
        <w:t>show</w:t>
      </w:r>
      <w:r w:rsidR="000A40C0" w:rsidRPr="00B70E9F">
        <w:t xml:space="preserve"> </w:t>
      </w:r>
      <w:r w:rsidR="00BF08F2" w:rsidRPr="00B70E9F">
        <w:t xml:space="preserve">how the programme is </w:t>
      </w:r>
      <w:r w:rsidR="00582B04" w:rsidRPr="00B70E9F">
        <w:t>suppos</w:t>
      </w:r>
      <w:r w:rsidR="00BF08F2" w:rsidRPr="00B70E9F">
        <w:t xml:space="preserve">ed to work </w:t>
      </w:r>
      <w:r w:rsidR="00747F6C" w:rsidRPr="00B70E9F">
        <w:t>to</w:t>
      </w:r>
      <w:r w:rsidR="00BF08F2" w:rsidRPr="00B70E9F">
        <w:t xml:space="preserve"> </w:t>
      </w:r>
      <w:r w:rsidR="000A40C0">
        <w:t>meet its objectives</w:t>
      </w:r>
      <w:r w:rsidRPr="00B70E9F">
        <w:t>.</w:t>
      </w:r>
      <w:r w:rsidR="00B4393C" w:rsidRPr="00B70E9F">
        <w:t xml:space="preserve"> </w:t>
      </w:r>
      <w:r w:rsidR="000A40C0">
        <w:t>Programme theories are a good way to help evaluations understand how the programme has been implemented and what could be changed to improve</w:t>
      </w:r>
      <w:r w:rsidR="00FD39C8">
        <w:t xml:space="preserve"> effectiveness</w:t>
      </w:r>
      <w:r w:rsidR="000A40C0">
        <w:t xml:space="preserve">. </w:t>
      </w:r>
      <w:r w:rsidR="00214C5F">
        <w:t xml:space="preserve">Programme </w:t>
      </w:r>
      <w:r w:rsidR="001245FF">
        <w:t xml:space="preserve">theory </w:t>
      </w:r>
      <w:r w:rsidR="000A40C0">
        <w:t xml:space="preserve">can also be useful in programme </w:t>
      </w:r>
      <w:r w:rsidR="00833F5E">
        <w:t xml:space="preserve">design, </w:t>
      </w:r>
      <w:r w:rsidR="00214C5F">
        <w:t>implementation</w:t>
      </w:r>
      <w:r w:rsidR="00833F5E">
        <w:t xml:space="preserve"> and refinement</w:t>
      </w:r>
      <w:r w:rsidR="00214C5F">
        <w:t xml:space="preserve">. </w:t>
      </w:r>
    </w:p>
    <w:p w14:paraId="19F7691F" w14:textId="7D1E3116" w:rsidR="00214C5F" w:rsidRDefault="00F12726" w:rsidP="003977DB">
      <w:pPr>
        <w:pStyle w:val="ListParagraph"/>
        <w:numPr>
          <w:ilvl w:val="0"/>
          <w:numId w:val="18"/>
        </w:numPr>
        <w:spacing w:before="120" w:after="120"/>
        <w:ind w:left="357" w:hanging="357"/>
        <w:contextualSpacing w:val="0"/>
      </w:pPr>
      <w:r>
        <w:t xml:space="preserve">An overarching </w:t>
      </w:r>
      <w:hyperlink r:id="rId21" w:history="1">
        <w:r w:rsidRPr="0083572F">
          <w:rPr>
            <w:rStyle w:val="Hyperlink"/>
          </w:rPr>
          <w:t>programme logic</w:t>
        </w:r>
      </w:hyperlink>
      <w:r>
        <w:t xml:space="preserve"> and theory of change has been developed for the IAHP. The programme theories of individual initiatives and themes </w:t>
      </w:r>
      <w:r w:rsidR="00FD39C8">
        <w:t xml:space="preserve">are to </w:t>
      </w:r>
      <w:r w:rsidR="000A40C0">
        <w:t>be informed and shaped by it.</w:t>
      </w:r>
      <w:r>
        <w:t xml:space="preserve"> </w:t>
      </w:r>
    </w:p>
    <w:p w14:paraId="19F76920" w14:textId="7A0AEBA3" w:rsidR="003977DB" w:rsidRPr="00EE4526" w:rsidRDefault="001E4D7B" w:rsidP="003977DB">
      <w:pPr>
        <w:pStyle w:val="ListParagraph"/>
        <w:numPr>
          <w:ilvl w:val="0"/>
          <w:numId w:val="18"/>
        </w:numPr>
        <w:spacing w:before="120" w:after="120"/>
        <w:ind w:left="357" w:hanging="357"/>
        <w:contextualSpacing w:val="0"/>
      </w:pPr>
      <w:r w:rsidRPr="00EE4526">
        <w:t xml:space="preserve">Refer to the </w:t>
      </w:r>
      <w:hyperlink r:id="rId22" w:history="1">
        <w:r w:rsidR="000365B5" w:rsidRPr="000528E1">
          <w:rPr>
            <w:rStyle w:val="Hyperlink"/>
          </w:rPr>
          <w:t xml:space="preserve">Evaluation </w:t>
        </w:r>
        <w:r w:rsidR="008C43B8" w:rsidRPr="000528E1">
          <w:rPr>
            <w:rStyle w:val="Hyperlink"/>
          </w:rPr>
          <w:t>G</w:t>
        </w:r>
        <w:r w:rsidRPr="000528E1">
          <w:rPr>
            <w:rStyle w:val="Hyperlink"/>
          </w:rPr>
          <w:t>uide</w:t>
        </w:r>
      </w:hyperlink>
      <w:r w:rsidRPr="00EE4526">
        <w:t xml:space="preserve"> for information on how to develop programme theory. </w:t>
      </w:r>
    </w:p>
    <w:p w14:paraId="19F76921" w14:textId="77777777" w:rsidR="003977DB" w:rsidRPr="005D1628" w:rsidRDefault="003977DB" w:rsidP="00002632">
      <w:pPr>
        <w:pStyle w:val="Heading2"/>
        <w:rPr>
          <w:rStyle w:val="Heading3Char"/>
        </w:rPr>
      </w:pPr>
      <w:bookmarkStart w:id="21" w:name="_Toc434307660"/>
      <w:r>
        <w:rPr>
          <w:rStyle w:val="Heading3Char"/>
        </w:rPr>
        <w:t xml:space="preserve">Develop a </w:t>
      </w:r>
      <w:r w:rsidRPr="00EE43A1">
        <w:rPr>
          <w:rStyle w:val="Heading3Char"/>
        </w:rPr>
        <w:t>linked suite of evaluations</w:t>
      </w:r>
      <w:bookmarkEnd w:id="21"/>
      <w:r w:rsidRPr="005D1628">
        <w:rPr>
          <w:rStyle w:val="Heading3Char"/>
        </w:rPr>
        <w:t xml:space="preserve"> </w:t>
      </w:r>
    </w:p>
    <w:p w14:paraId="19F76922" w14:textId="77777777" w:rsidR="003977DB" w:rsidRDefault="003977DB" w:rsidP="003977DB">
      <w:pPr>
        <w:pStyle w:val="ListParagraph"/>
        <w:numPr>
          <w:ilvl w:val="0"/>
          <w:numId w:val="18"/>
        </w:numPr>
        <w:spacing w:before="120" w:after="120"/>
        <w:ind w:left="357" w:hanging="357"/>
        <w:contextualSpacing w:val="0"/>
      </w:pPr>
      <w:r>
        <w:t>A rolling series of evaluations based on key themes complemented by evaluations focused on specific topics to build a more comprehensive body of knowledge.</w:t>
      </w:r>
    </w:p>
    <w:p w14:paraId="19F76923" w14:textId="77777777" w:rsidR="003977DB" w:rsidRPr="00AD4ED7" w:rsidRDefault="003977DB" w:rsidP="00002632">
      <w:pPr>
        <w:pStyle w:val="Heading2"/>
        <w:rPr>
          <w:rStyle w:val="Heading3Char"/>
        </w:rPr>
      </w:pPr>
      <w:bookmarkStart w:id="22" w:name="_Toc434307661"/>
      <w:r w:rsidRPr="00EE43A1">
        <w:rPr>
          <w:rStyle w:val="Heading3Char"/>
        </w:rPr>
        <w:t xml:space="preserve">Minimise reporting </w:t>
      </w:r>
      <w:r>
        <w:rPr>
          <w:rStyle w:val="Heading3Char"/>
        </w:rPr>
        <w:t>burden &amp; consultation fatigue</w:t>
      </w:r>
      <w:bookmarkEnd w:id="22"/>
      <w:r w:rsidRPr="00AD4ED7">
        <w:rPr>
          <w:rStyle w:val="Heading3Char"/>
        </w:rPr>
        <w:t xml:space="preserve">  </w:t>
      </w:r>
    </w:p>
    <w:p w14:paraId="19F76924" w14:textId="77777777" w:rsidR="00EC0B1F" w:rsidRDefault="003977DB" w:rsidP="00EC0B1F">
      <w:pPr>
        <w:pStyle w:val="ListParagraph"/>
        <w:numPr>
          <w:ilvl w:val="0"/>
          <w:numId w:val="18"/>
        </w:numPr>
        <w:spacing w:before="120" w:after="120"/>
        <w:ind w:left="357" w:hanging="357"/>
        <w:contextualSpacing w:val="0"/>
      </w:pPr>
      <w:r>
        <w:t>Make the best possible use of existing data (i.e. administrative an</w:t>
      </w:r>
      <w:r w:rsidR="001245FF">
        <w:t xml:space="preserve">d programme data) to reduce </w:t>
      </w:r>
      <w:r>
        <w:t xml:space="preserve">reporting burden. </w:t>
      </w:r>
    </w:p>
    <w:p w14:paraId="19F76925" w14:textId="77777777" w:rsidR="00EC0B1F" w:rsidRDefault="00EC0B1F" w:rsidP="00EC0B1F">
      <w:pPr>
        <w:pStyle w:val="ListParagraph"/>
        <w:numPr>
          <w:ilvl w:val="0"/>
          <w:numId w:val="18"/>
        </w:numPr>
        <w:spacing w:before="120" w:after="120"/>
        <w:ind w:left="357" w:hanging="357"/>
        <w:contextualSpacing w:val="0"/>
      </w:pPr>
      <w:r>
        <w:t>Streamline and consolidate evaluation and other activities under the IAHP to reduce consultation fatigue for Indigenous communities.</w:t>
      </w:r>
    </w:p>
    <w:p w14:paraId="19F76926" w14:textId="77777777" w:rsidR="003977DB" w:rsidRPr="00AD4ED7" w:rsidRDefault="003977DB" w:rsidP="00002632">
      <w:pPr>
        <w:pStyle w:val="Heading2"/>
        <w:rPr>
          <w:rStyle w:val="Heading3Char"/>
        </w:rPr>
      </w:pPr>
      <w:bookmarkStart w:id="23" w:name="_Toc434307662"/>
      <w:r>
        <w:rPr>
          <w:rStyle w:val="Heading3Char"/>
        </w:rPr>
        <w:t>Knowledge utilis</w:t>
      </w:r>
      <w:r w:rsidRPr="00EE43A1">
        <w:rPr>
          <w:rStyle w:val="Heading3Char"/>
        </w:rPr>
        <w:t>ation</w:t>
      </w:r>
      <w:bookmarkEnd w:id="23"/>
    </w:p>
    <w:p w14:paraId="19F76927" w14:textId="77777777" w:rsidR="003977DB" w:rsidRDefault="00913B1D" w:rsidP="003977DB">
      <w:pPr>
        <w:pStyle w:val="ListParagraph"/>
        <w:numPr>
          <w:ilvl w:val="0"/>
          <w:numId w:val="18"/>
        </w:numPr>
        <w:spacing w:before="120" w:after="120"/>
        <w:ind w:left="357" w:hanging="357"/>
        <w:contextualSpacing w:val="0"/>
      </w:pPr>
      <w:r>
        <w:t>S</w:t>
      </w:r>
      <w:r w:rsidR="003977DB">
        <w:t xml:space="preserve">upport the translation of evidence into practice through </w:t>
      </w:r>
      <w:r>
        <w:t xml:space="preserve">the </w:t>
      </w:r>
      <w:r w:rsidR="00FD39C8">
        <w:t xml:space="preserve">timely sharing </w:t>
      </w:r>
      <w:r>
        <w:t xml:space="preserve">of </w:t>
      </w:r>
      <w:r w:rsidR="003977DB">
        <w:t xml:space="preserve">key messages to stakeholders at </w:t>
      </w:r>
      <w:r>
        <w:t>all levels</w:t>
      </w:r>
      <w:r w:rsidR="003977DB">
        <w:t xml:space="preserve"> to inform programme implementation an</w:t>
      </w:r>
      <w:r w:rsidR="005457D2">
        <w:t>d policy development.</w:t>
      </w:r>
    </w:p>
    <w:p w14:paraId="19F76928" w14:textId="77777777" w:rsidR="003977DB" w:rsidRPr="003977DB" w:rsidRDefault="003977DB" w:rsidP="005C4726">
      <w:pPr>
        <w:pStyle w:val="ListParagraph"/>
        <w:numPr>
          <w:ilvl w:val="0"/>
          <w:numId w:val="18"/>
        </w:numPr>
        <w:spacing w:before="120" w:after="120"/>
        <w:ind w:left="357" w:hanging="357"/>
        <w:contextualSpacing w:val="0"/>
      </w:pPr>
      <w:r>
        <w:lastRenderedPageBreak/>
        <w:t xml:space="preserve">All evaluation designs should include </w:t>
      </w:r>
      <w:r w:rsidR="00F47FB2">
        <w:t xml:space="preserve">explicit </w:t>
      </w:r>
      <w:r>
        <w:t xml:space="preserve">plans and budgets to support knowledge utilisation. </w:t>
      </w:r>
      <w:r w:rsidR="005457D2">
        <w:t xml:space="preserve">This responsibility is shared across the Division. </w:t>
      </w:r>
    </w:p>
    <w:p w14:paraId="19F76929" w14:textId="77777777" w:rsidR="00385C24" w:rsidRDefault="00385C24" w:rsidP="003255E0">
      <w:pPr>
        <w:pStyle w:val="Heading1"/>
      </w:pPr>
      <w:bookmarkStart w:id="24" w:name="_Toc434307663"/>
      <w:r w:rsidRPr="00455FD6">
        <w:t>Standards</w:t>
      </w:r>
      <w:bookmarkEnd w:id="24"/>
    </w:p>
    <w:p w14:paraId="19F7692A" w14:textId="77777777" w:rsidR="004175BD" w:rsidRDefault="005457D2" w:rsidP="005457D2">
      <w:r>
        <w:t xml:space="preserve">When </w:t>
      </w:r>
      <w:r w:rsidR="00840293">
        <w:t xml:space="preserve">managing or undertaking an evaluation it is important to ensure that certain quality standards are met. </w:t>
      </w:r>
    </w:p>
    <w:p w14:paraId="19F7692B" w14:textId="77777777" w:rsidR="00C72001" w:rsidRDefault="00840293" w:rsidP="00455FD6">
      <w:pPr>
        <w:rPr>
          <w:lang w:val="en-AU"/>
        </w:rPr>
      </w:pPr>
      <w:r>
        <w:rPr>
          <w:lang w:val="en-AU"/>
        </w:rPr>
        <w:t>T</w:t>
      </w:r>
      <w:r w:rsidR="00C72001">
        <w:rPr>
          <w:lang w:val="en-AU"/>
        </w:rPr>
        <w:t xml:space="preserve">he </w:t>
      </w:r>
      <w:hyperlink r:id="rId23" w:history="1">
        <w:r w:rsidR="00C72001" w:rsidRPr="00C72001">
          <w:rPr>
            <w:rStyle w:val="Hyperlink"/>
            <w:lang w:val="en-AU"/>
          </w:rPr>
          <w:t>Program Evaluation Standards</w:t>
        </w:r>
      </w:hyperlink>
      <w:r w:rsidR="00C72001">
        <w:rPr>
          <w:lang w:val="en-AU"/>
        </w:rPr>
        <w:t xml:space="preserve"> (American Evaluation Society) </w:t>
      </w:r>
      <w:r>
        <w:rPr>
          <w:lang w:val="en-AU"/>
        </w:rPr>
        <w:t xml:space="preserve">have been </w:t>
      </w:r>
      <w:r w:rsidR="00C72001">
        <w:rPr>
          <w:lang w:val="en-AU"/>
        </w:rPr>
        <w:t>endorsed by the Australasian Evaluation Society</w:t>
      </w:r>
      <w:r w:rsidR="00455FD6">
        <w:rPr>
          <w:lang w:val="en-AU"/>
        </w:rPr>
        <w:t xml:space="preserve"> (AES)</w:t>
      </w:r>
      <w:r>
        <w:rPr>
          <w:lang w:val="en-AU"/>
        </w:rPr>
        <w:t xml:space="preserve"> and </w:t>
      </w:r>
      <w:r w:rsidR="00455FD6">
        <w:rPr>
          <w:lang w:val="en-AU"/>
        </w:rPr>
        <w:t>cover the areas of utility, feasibility, propriety, accuracy an</w:t>
      </w:r>
      <w:r w:rsidR="00002632">
        <w:rPr>
          <w:lang w:val="en-AU"/>
        </w:rPr>
        <w:t>d accountability of evaluation.</w:t>
      </w:r>
    </w:p>
    <w:p w14:paraId="19F7692C" w14:textId="77777777" w:rsidR="00D4703F" w:rsidRDefault="00D4703F" w:rsidP="00E52AC3">
      <w:pPr>
        <w:pStyle w:val="Heading2"/>
      </w:pPr>
      <w:bookmarkStart w:id="25" w:name="_Toc434307664"/>
      <w:r>
        <w:t>Data</w:t>
      </w:r>
      <w:bookmarkEnd w:id="25"/>
      <w:r>
        <w:t xml:space="preserve"> </w:t>
      </w:r>
    </w:p>
    <w:p w14:paraId="19F7692D" w14:textId="77777777" w:rsidR="00813F48" w:rsidRDefault="0096499B" w:rsidP="0054170F">
      <w:r>
        <w:t>Existing data sources should be used where possible</w:t>
      </w:r>
      <w:r w:rsidR="00B235F5">
        <w:t xml:space="preserve"> to minimise reporting burden</w:t>
      </w:r>
      <w:r>
        <w:t>.</w:t>
      </w:r>
      <w:r w:rsidR="00B235F5">
        <w:t xml:space="preserve">  </w:t>
      </w:r>
      <w:r w:rsidR="00C74568">
        <w:t>The c</w:t>
      </w:r>
      <w:r w:rsidR="00B235F5">
        <w:t xml:space="preserve">ollection of any </w:t>
      </w:r>
      <w:r w:rsidR="00C74568">
        <w:t xml:space="preserve">new </w:t>
      </w:r>
      <w:r w:rsidR="00B235F5">
        <w:t xml:space="preserve">data needs to address the requirements of the Governments’ </w:t>
      </w:r>
      <w:r w:rsidR="007C08A5">
        <w:t xml:space="preserve">Deregulation agenda and policy. Refer the </w:t>
      </w:r>
      <w:hyperlink r:id="rId24" w:history="1">
        <w:r w:rsidR="007C08A5" w:rsidRPr="007C08A5">
          <w:rPr>
            <w:rStyle w:val="Hyperlink"/>
          </w:rPr>
          <w:t>Australian Government Guide to Regulation</w:t>
        </w:r>
      </w:hyperlink>
      <w:r w:rsidR="00002632">
        <w:t>.</w:t>
      </w:r>
    </w:p>
    <w:p w14:paraId="19F7692E" w14:textId="77777777" w:rsidR="00B235F5" w:rsidRDefault="00B235F5" w:rsidP="00B235F5">
      <w:pPr>
        <w:pStyle w:val="Heading3"/>
      </w:pPr>
      <w:bookmarkStart w:id="26" w:name="_Toc434307665"/>
      <w:bookmarkStart w:id="27" w:name="_Toc431911568"/>
      <w:r>
        <w:t>Data collections</w:t>
      </w:r>
      <w:bookmarkEnd w:id="26"/>
    </w:p>
    <w:p w14:paraId="19F7692F" w14:textId="77777777" w:rsidR="00813F48" w:rsidRDefault="00813F48" w:rsidP="00B235F5">
      <w:pPr>
        <w:pStyle w:val="Heading4"/>
      </w:pPr>
      <w:r>
        <w:t>Key national data collections and surveys</w:t>
      </w:r>
      <w:bookmarkEnd w:id="27"/>
    </w:p>
    <w:p w14:paraId="19F76930" w14:textId="77777777" w:rsidR="00B235F5" w:rsidRDefault="00813F48" w:rsidP="00B235F5">
      <w:pPr>
        <w:rPr>
          <w:rFonts w:eastAsiaTheme="minorHAnsi"/>
        </w:rPr>
      </w:pPr>
      <w:r>
        <w:rPr>
          <w:rFonts w:eastAsiaTheme="minorHAnsi"/>
        </w:rPr>
        <w:t xml:space="preserve">The ongoing reports against the </w:t>
      </w:r>
      <w:hyperlink r:id="rId25" w:history="1">
        <w:r w:rsidRPr="002A6007">
          <w:rPr>
            <w:rStyle w:val="Hyperlink"/>
            <w:rFonts w:eastAsiaTheme="minorHAnsi"/>
          </w:rPr>
          <w:t>Aboriginal and Torres Straits Islander Health Performance Framework</w:t>
        </w:r>
      </w:hyperlink>
      <w:r w:rsidR="00B235F5" w:rsidRPr="002A6007">
        <w:rPr>
          <w:rFonts w:eastAsiaTheme="minorHAnsi"/>
        </w:rPr>
        <w:t xml:space="preserve"> </w:t>
      </w:r>
      <w:r w:rsidR="00B235F5">
        <w:rPr>
          <w:rFonts w:eastAsiaTheme="minorHAnsi"/>
        </w:rPr>
        <w:t>provide</w:t>
      </w:r>
      <w:r>
        <w:rPr>
          <w:rFonts w:eastAsiaTheme="minorHAnsi"/>
        </w:rPr>
        <w:t xml:space="preserve"> a useful overview of the key national data collections and surveys to monitor progress in Aboriginal and Torres Strait Islander health outcomes, health system performance and the broader determinants of health. </w:t>
      </w:r>
      <w:bookmarkStart w:id="28" w:name="_Toc431911569"/>
    </w:p>
    <w:p w14:paraId="19F76931" w14:textId="77777777" w:rsidR="00B235F5" w:rsidRDefault="00B235F5" w:rsidP="00B235F5">
      <w:pPr>
        <w:pStyle w:val="Heading4"/>
        <w:rPr>
          <w:rFonts w:eastAsiaTheme="minorHAnsi"/>
        </w:rPr>
      </w:pPr>
      <w:r>
        <w:rPr>
          <w:rFonts w:eastAsiaTheme="minorHAnsi"/>
        </w:rPr>
        <w:t xml:space="preserve">Health services monitoring data </w:t>
      </w:r>
    </w:p>
    <w:p w14:paraId="19F76932" w14:textId="77777777" w:rsidR="00820270" w:rsidRDefault="00820270" w:rsidP="00820270">
      <w:r>
        <w:t>There are three</w:t>
      </w:r>
      <w:r w:rsidRPr="00D56F1F">
        <w:t xml:space="preserve"> </w:t>
      </w:r>
      <w:r>
        <w:t xml:space="preserve">main data collections </w:t>
      </w:r>
      <w:r w:rsidRPr="00D56F1F">
        <w:t xml:space="preserve">for monitoring the service delivery of </w:t>
      </w:r>
      <w:r>
        <w:t>PHC organisations funded under the IAHP</w:t>
      </w:r>
      <w:r w:rsidRPr="00D56F1F">
        <w:t xml:space="preserve">: </w:t>
      </w:r>
    </w:p>
    <w:p w14:paraId="19F76933" w14:textId="77777777" w:rsidR="00820270" w:rsidRPr="00D56F1F" w:rsidRDefault="00820270" w:rsidP="00820270">
      <w:pPr>
        <w:pStyle w:val="ListParagraph"/>
        <w:numPr>
          <w:ilvl w:val="0"/>
          <w:numId w:val="31"/>
        </w:numPr>
      </w:pPr>
      <w:r w:rsidRPr="00D56F1F">
        <w:t xml:space="preserve">The </w:t>
      </w:r>
      <w:hyperlink r:id="rId26" w:history="1">
        <w:r w:rsidRPr="002A6007">
          <w:rPr>
            <w:rStyle w:val="Hyperlink"/>
          </w:rPr>
          <w:t>Online Services Report</w:t>
        </w:r>
      </w:hyperlink>
      <w:r w:rsidRPr="002A6007">
        <w:t xml:space="preserve"> </w:t>
      </w:r>
      <w:r w:rsidRPr="00D56F1F">
        <w:t xml:space="preserve">(OSR) provides administrative information on staffing, clients, and episodes of care.  </w:t>
      </w:r>
    </w:p>
    <w:p w14:paraId="19F76934" w14:textId="77777777" w:rsidR="00820270" w:rsidRDefault="00820270" w:rsidP="00820270">
      <w:pPr>
        <w:pStyle w:val="ListParagraph"/>
        <w:numPr>
          <w:ilvl w:val="0"/>
          <w:numId w:val="31"/>
        </w:numPr>
      </w:pPr>
      <w:r w:rsidRPr="00D56F1F">
        <w:t xml:space="preserve">The </w:t>
      </w:r>
      <w:hyperlink r:id="rId27" w:history="1">
        <w:r w:rsidRPr="002A6007">
          <w:rPr>
            <w:rStyle w:val="Hyperlink"/>
          </w:rPr>
          <w:t>National Key Performance Indicators</w:t>
        </w:r>
      </w:hyperlink>
      <w:r w:rsidRPr="002A6007">
        <w:t xml:space="preserve"> </w:t>
      </w:r>
      <w:r w:rsidRPr="00D56F1F">
        <w:t>(nKPIs) provide data on process and outcome indicators for chronic disease prevention and management</w:t>
      </w:r>
      <w:r>
        <w:t>, and maternal and child health</w:t>
      </w:r>
      <w:r w:rsidRPr="00D56F1F">
        <w:t xml:space="preserve">. </w:t>
      </w:r>
    </w:p>
    <w:p w14:paraId="19F76935" w14:textId="77777777" w:rsidR="00B235F5" w:rsidRDefault="00820270" w:rsidP="00820270">
      <w:pPr>
        <w:pStyle w:val="ListParagraph"/>
        <w:numPr>
          <w:ilvl w:val="0"/>
          <w:numId w:val="31"/>
        </w:numPr>
      </w:pPr>
      <w:r>
        <w:t xml:space="preserve">The </w:t>
      </w:r>
      <w:hyperlink r:id="rId28" w:history="1">
        <w:r w:rsidR="00B235F5" w:rsidRPr="002A6007">
          <w:rPr>
            <w:rStyle w:val="Hyperlink"/>
            <w:rFonts w:eastAsiaTheme="minorHAnsi"/>
          </w:rPr>
          <w:t>Northern Territory Aboriginal Health Key Performance Indicators</w:t>
        </w:r>
      </w:hyperlink>
      <w:r w:rsidR="00B235F5" w:rsidRPr="002A6007">
        <w:rPr>
          <w:rFonts w:eastAsiaTheme="minorHAnsi"/>
        </w:rPr>
        <w:t xml:space="preserve"> </w:t>
      </w:r>
      <w:r w:rsidR="00B235F5" w:rsidRPr="00820270">
        <w:rPr>
          <w:rFonts w:eastAsiaTheme="minorHAnsi"/>
        </w:rPr>
        <w:t>(NT AHKPIs)</w:t>
      </w:r>
      <w:r>
        <w:rPr>
          <w:rFonts w:eastAsiaTheme="minorHAnsi"/>
        </w:rPr>
        <w:t xml:space="preserve"> </w:t>
      </w:r>
      <w:r w:rsidR="00B36734">
        <w:rPr>
          <w:rFonts w:eastAsiaTheme="minorHAnsi"/>
        </w:rPr>
        <w:t>monitor Aboriginal Primary Health Care organisations in the Northern Territory</w:t>
      </w:r>
      <w:r w:rsidR="00B235F5" w:rsidRPr="00820270">
        <w:rPr>
          <w:rFonts w:eastAsiaTheme="minorHAnsi"/>
        </w:rPr>
        <w:t>.</w:t>
      </w:r>
    </w:p>
    <w:p w14:paraId="19F76936" w14:textId="77777777" w:rsidR="00B235F5" w:rsidRDefault="00B235F5" w:rsidP="00B235F5">
      <w:pPr>
        <w:pStyle w:val="Heading3"/>
      </w:pPr>
      <w:bookmarkStart w:id="29" w:name="_Toc434307666"/>
      <w:r>
        <w:t>Data Management</w:t>
      </w:r>
      <w:bookmarkEnd w:id="29"/>
      <w:r>
        <w:t xml:space="preserve"> </w:t>
      </w:r>
    </w:p>
    <w:p w14:paraId="19F76937" w14:textId="77777777" w:rsidR="00B235F5" w:rsidRDefault="00B235F5" w:rsidP="00B235F5">
      <w:r>
        <w:t>Data should be managed in accordance with</w:t>
      </w:r>
      <w:r w:rsidR="00855932">
        <w:t xml:space="preserve"> relevant policies and controls.</w:t>
      </w:r>
    </w:p>
    <w:p w14:paraId="19F76938" w14:textId="77777777" w:rsidR="00B235F5" w:rsidRDefault="002A6007" w:rsidP="00B235F5">
      <w:pPr>
        <w:pStyle w:val="ListParagraph"/>
        <w:numPr>
          <w:ilvl w:val="0"/>
          <w:numId w:val="21"/>
        </w:numPr>
      </w:pPr>
      <w:r>
        <w:t xml:space="preserve">The </w:t>
      </w:r>
      <w:r w:rsidR="0096523F">
        <w:t xml:space="preserve">AHMAC endorsed </w:t>
      </w:r>
      <w:hyperlink r:id="rId29" w:history="1">
        <w:r w:rsidR="00B235F5" w:rsidRPr="00AD745A">
          <w:rPr>
            <w:rStyle w:val="Hyperlink"/>
          </w:rPr>
          <w:t>National Aboriginal and Torres Strait Islander Health Data Principles</w:t>
        </w:r>
      </w:hyperlink>
      <w:r>
        <w:t xml:space="preserve"> </w:t>
      </w:r>
      <w:r w:rsidR="0096523F">
        <w:t xml:space="preserve">which aim to guide and improve the use of information relating to the health of Aboriginal and Torres Strait Islander people. </w:t>
      </w:r>
      <w:r w:rsidR="00B235F5">
        <w:rPr>
          <w:rStyle w:val="FootnoteReference"/>
        </w:rPr>
        <w:footnoteReference w:id="1"/>
      </w:r>
      <w:r>
        <w:t xml:space="preserve"> </w:t>
      </w:r>
    </w:p>
    <w:p w14:paraId="19F76939" w14:textId="77777777" w:rsidR="00B235F5" w:rsidRDefault="00B503F6" w:rsidP="00B235F5">
      <w:pPr>
        <w:pStyle w:val="ListParagraph"/>
        <w:numPr>
          <w:ilvl w:val="0"/>
          <w:numId w:val="21"/>
        </w:numPr>
      </w:pPr>
      <w:hyperlink r:id="rId30" w:history="1">
        <w:r w:rsidR="00B235F5" w:rsidRPr="003255E0">
          <w:rPr>
            <w:rStyle w:val="Hyperlink"/>
          </w:rPr>
          <w:t>The Privacy Act</w:t>
        </w:r>
      </w:hyperlink>
      <w:r w:rsidR="00B235F5">
        <w:t xml:space="preserve"> (1988)</w:t>
      </w:r>
      <w:r w:rsidR="00F566B0">
        <w:t xml:space="preserve"> and state and territory privacy laws in relation to the collection, storage and use of identifiable information</w:t>
      </w:r>
      <w:r w:rsidR="00B235F5">
        <w:t xml:space="preserve">. </w:t>
      </w:r>
    </w:p>
    <w:p w14:paraId="19F7693A" w14:textId="77777777" w:rsidR="00B235F5" w:rsidRPr="00DF691C" w:rsidRDefault="00B235F5" w:rsidP="00B235F5">
      <w:pPr>
        <w:pStyle w:val="Heading4"/>
      </w:pPr>
      <w:r>
        <w:t>Requests relating to nKPI, OSR and NT AH KPI data</w:t>
      </w:r>
      <w:bookmarkEnd w:id="28"/>
    </w:p>
    <w:p w14:paraId="19F7693B" w14:textId="77777777" w:rsidR="0096499B" w:rsidRPr="00B235F5" w:rsidRDefault="00B235F5" w:rsidP="0054170F">
      <w:pPr>
        <w:rPr>
          <w:rFonts w:eastAsiaTheme="minorHAnsi"/>
        </w:rPr>
      </w:pPr>
      <w:r>
        <w:rPr>
          <w:rFonts w:eastAsiaTheme="minorHAnsi"/>
        </w:rPr>
        <w:t xml:space="preserve">The </w:t>
      </w:r>
      <w:hyperlink r:id="rId31" w:history="1">
        <w:r w:rsidRPr="00DF691C">
          <w:rPr>
            <w:rStyle w:val="Hyperlink"/>
            <w:rFonts w:eastAsiaTheme="minorHAnsi"/>
          </w:rPr>
          <w:t>Data Management Plan</w:t>
        </w:r>
      </w:hyperlink>
      <w:r w:rsidRPr="000375B7">
        <w:rPr>
          <w:rFonts w:eastAsiaTheme="minorHAnsi"/>
        </w:rPr>
        <w:t xml:space="preserve"> (DMP</w:t>
      </w:r>
      <w:r>
        <w:rPr>
          <w:rFonts w:eastAsiaTheme="minorHAnsi"/>
        </w:rPr>
        <w:t xml:space="preserve">) </w:t>
      </w:r>
      <w:r w:rsidRPr="000375B7">
        <w:rPr>
          <w:rFonts w:eastAsiaTheme="minorHAnsi"/>
        </w:rPr>
        <w:t>document</w:t>
      </w:r>
      <w:r>
        <w:rPr>
          <w:rFonts w:eastAsiaTheme="minorHAnsi"/>
        </w:rPr>
        <w:t>s</w:t>
      </w:r>
      <w:r w:rsidRPr="000375B7">
        <w:rPr>
          <w:rFonts w:eastAsiaTheme="minorHAnsi"/>
        </w:rPr>
        <w:t xml:space="preserve"> the approved business process</w:t>
      </w:r>
      <w:r>
        <w:rPr>
          <w:rFonts w:eastAsiaTheme="minorHAnsi"/>
        </w:rPr>
        <w:t>es</w:t>
      </w:r>
      <w:r w:rsidRPr="000375B7">
        <w:rPr>
          <w:rFonts w:eastAsiaTheme="minorHAnsi"/>
        </w:rPr>
        <w:t xml:space="preserve"> for handling data requests for access to</w:t>
      </w:r>
      <w:r>
        <w:rPr>
          <w:rFonts w:eastAsiaTheme="minorHAnsi"/>
        </w:rPr>
        <w:t xml:space="preserve"> information that is available from organisations that are funded by the Australian Government to deliver primary health care and related services. The</w:t>
      </w:r>
      <w:r w:rsidRPr="000375B7">
        <w:rPr>
          <w:rFonts w:eastAsiaTheme="minorHAnsi"/>
        </w:rPr>
        <w:t xml:space="preserve"> </w:t>
      </w:r>
      <w:r>
        <w:rPr>
          <w:rFonts w:eastAsiaTheme="minorHAnsi"/>
        </w:rPr>
        <w:t xml:space="preserve">aim of the Plan is to </w:t>
      </w:r>
      <w:r>
        <w:rPr>
          <w:rFonts w:eastAsiaTheme="minorHAnsi"/>
        </w:rPr>
        <w:lastRenderedPageBreak/>
        <w:t>ensure that the</w:t>
      </w:r>
      <w:r w:rsidRPr="000375B7">
        <w:rPr>
          <w:rFonts w:eastAsiaTheme="minorHAnsi"/>
        </w:rPr>
        <w:t xml:space="preserve"> data release protocol is</w:t>
      </w:r>
      <w:r>
        <w:rPr>
          <w:rFonts w:eastAsiaTheme="minorHAnsi"/>
        </w:rPr>
        <w:t xml:space="preserve"> </w:t>
      </w:r>
      <w:r w:rsidRPr="000375B7">
        <w:rPr>
          <w:rFonts w:eastAsiaTheme="minorHAnsi"/>
        </w:rPr>
        <w:t>in line with legislative re</w:t>
      </w:r>
      <w:r>
        <w:rPr>
          <w:rFonts w:eastAsiaTheme="minorHAnsi"/>
        </w:rPr>
        <w:t>sponsibilities and reduces risks when</w:t>
      </w:r>
      <w:r w:rsidRPr="000375B7">
        <w:rPr>
          <w:rFonts w:eastAsiaTheme="minorHAnsi"/>
        </w:rPr>
        <w:t xml:space="preserve"> </w:t>
      </w:r>
      <w:r>
        <w:rPr>
          <w:rFonts w:eastAsiaTheme="minorHAnsi"/>
        </w:rPr>
        <w:t>handling sensitive information.</w:t>
      </w:r>
    </w:p>
    <w:p w14:paraId="19F7693C" w14:textId="77777777" w:rsidR="00C72001" w:rsidRDefault="00C72001" w:rsidP="00455FD6">
      <w:pPr>
        <w:pStyle w:val="Heading2"/>
      </w:pPr>
      <w:bookmarkStart w:id="30" w:name="_Toc434307667"/>
      <w:r>
        <w:t>Ethics</w:t>
      </w:r>
      <w:bookmarkEnd w:id="30"/>
    </w:p>
    <w:p w14:paraId="19F7693D" w14:textId="77777777" w:rsidR="00455FD6" w:rsidRDefault="00455FD6" w:rsidP="00455FD6">
      <w:pPr>
        <w:rPr>
          <w:lang w:val="en-AU"/>
        </w:rPr>
      </w:pPr>
      <w:r>
        <w:rPr>
          <w:lang w:val="en-AU"/>
        </w:rPr>
        <w:t xml:space="preserve">Refer to the </w:t>
      </w:r>
      <w:hyperlink r:id="rId32" w:history="1">
        <w:r w:rsidRPr="00455FD6">
          <w:rPr>
            <w:rStyle w:val="Hyperlink"/>
            <w:lang w:val="en-AU"/>
          </w:rPr>
          <w:t>Guidelines for the Ethical Conduct of Evaluations</w:t>
        </w:r>
      </w:hyperlink>
      <w:r>
        <w:rPr>
          <w:lang w:val="en-AU"/>
        </w:rPr>
        <w:t xml:space="preserve"> (AES) for </w:t>
      </w:r>
      <w:r w:rsidR="0054170F">
        <w:rPr>
          <w:lang w:val="en-AU"/>
        </w:rPr>
        <w:t xml:space="preserve">guidance on </w:t>
      </w:r>
      <w:r>
        <w:rPr>
          <w:lang w:val="en-AU"/>
        </w:rPr>
        <w:t>ethical behaviour and decision making in evaluation.</w:t>
      </w:r>
    </w:p>
    <w:p w14:paraId="19F7693E" w14:textId="77777777" w:rsidR="00455FD6" w:rsidRPr="00455FD6" w:rsidRDefault="00455FD6" w:rsidP="00455FD6">
      <w:pPr>
        <w:rPr>
          <w:lang w:val="en-AU"/>
        </w:rPr>
      </w:pPr>
      <w:r>
        <w:rPr>
          <w:lang w:val="en-AU"/>
        </w:rPr>
        <w:t xml:space="preserve">Refer to the </w:t>
      </w:r>
      <w:hyperlink r:id="rId33" w:history="1">
        <w:r w:rsidR="0054170F" w:rsidRPr="0054170F">
          <w:rPr>
            <w:rStyle w:val="Hyperlink"/>
            <w:lang w:val="en-AU"/>
          </w:rPr>
          <w:t>Values and Ethics: Guidelines for Ethical Conduct in Aboriginal and Torres Strait Islander Health Research </w:t>
        </w:r>
      </w:hyperlink>
      <w:r w:rsidR="0054170F" w:rsidRPr="0054170F">
        <w:rPr>
          <w:lang w:val="en-AU"/>
        </w:rPr>
        <w:t xml:space="preserve">(NHMRC) for guidance on ethical research in Aboriginal and Torres Strait Islander communities. </w:t>
      </w:r>
    </w:p>
    <w:p w14:paraId="19F7693F" w14:textId="77777777" w:rsidR="00DD3A12" w:rsidRDefault="003E58EA" w:rsidP="003255E0">
      <w:pPr>
        <w:pStyle w:val="Heading1"/>
      </w:pPr>
      <w:bookmarkStart w:id="31" w:name="_Toc434307668"/>
      <w:r>
        <w:t>Prioritising evaluations</w:t>
      </w:r>
      <w:bookmarkEnd w:id="31"/>
    </w:p>
    <w:p w14:paraId="19F76940" w14:textId="77777777" w:rsidR="00F47FB2" w:rsidRDefault="00F47FB2" w:rsidP="008B4C0D">
      <w:r>
        <w:t xml:space="preserve">It is </w:t>
      </w:r>
      <w:r w:rsidR="00A02D86">
        <w:t xml:space="preserve">not feasible, cost effective or appropriate to evaluate every programme or activity. To understand if we are achieving results, good quality evaluative monitoring may be sufficient. </w:t>
      </w:r>
    </w:p>
    <w:p w14:paraId="19F76941" w14:textId="77777777" w:rsidR="00913B1D" w:rsidRDefault="00913B1D" w:rsidP="008B4C0D">
      <w:r>
        <w:t>The three main things that should be taken into account when deciding what to evaluate are:</w:t>
      </w:r>
    </w:p>
    <w:p w14:paraId="19F76942" w14:textId="77777777" w:rsidR="008B4C0D" w:rsidRDefault="008F0ECE" w:rsidP="003B01CE">
      <w:pPr>
        <w:pStyle w:val="ListParagraph"/>
        <w:numPr>
          <w:ilvl w:val="0"/>
          <w:numId w:val="18"/>
        </w:numPr>
        <w:spacing w:before="120" w:after="120"/>
        <w:ind w:left="357" w:hanging="357"/>
        <w:contextualSpacing w:val="0"/>
      </w:pPr>
      <w:r w:rsidRPr="003B01CE">
        <w:rPr>
          <w:rStyle w:val="Heading4Char"/>
        </w:rPr>
        <w:t>Importance in terms of Indigenous specific investment</w:t>
      </w:r>
      <w:r>
        <w:t xml:space="preserve"> – size </w:t>
      </w:r>
      <w:r w:rsidR="003B01CE">
        <w:t xml:space="preserve">of investment, significance of problem being addressed, alignment with </w:t>
      </w:r>
      <w:r w:rsidR="00913B1D">
        <w:t xml:space="preserve">Government </w:t>
      </w:r>
      <w:r w:rsidR="003B01CE">
        <w:t>priorities</w:t>
      </w:r>
      <w:r w:rsidR="000365B5">
        <w:t>.</w:t>
      </w:r>
    </w:p>
    <w:p w14:paraId="19F76943" w14:textId="77777777" w:rsidR="003B01CE" w:rsidRDefault="003B01CE" w:rsidP="003B01CE">
      <w:pPr>
        <w:pStyle w:val="ListParagraph"/>
        <w:numPr>
          <w:ilvl w:val="0"/>
          <w:numId w:val="18"/>
        </w:numPr>
        <w:spacing w:before="120" w:after="120"/>
        <w:ind w:left="357" w:hanging="357"/>
        <w:contextualSpacing w:val="0"/>
      </w:pPr>
      <w:r w:rsidRPr="003B01CE">
        <w:rPr>
          <w:rStyle w:val="Heading4Char"/>
        </w:rPr>
        <w:t>Importance of evaluating</w:t>
      </w:r>
      <w:r>
        <w:t xml:space="preserve"> – strength of available evidence, need to evaluate, interest</w:t>
      </w:r>
      <w:r w:rsidR="006C0767">
        <w:t>, degree of innovation</w:t>
      </w:r>
      <w:r w:rsidR="000365B5">
        <w:t>.</w:t>
      </w:r>
    </w:p>
    <w:p w14:paraId="19F76944" w14:textId="77777777" w:rsidR="003B01CE" w:rsidRDefault="00913B1D" w:rsidP="003B01CE">
      <w:pPr>
        <w:pStyle w:val="ListParagraph"/>
        <w:numPr>
          <w:ilvl w:val="0"/>
          <w:numId w:val="18"/>
        </w:numPr>
        <w:spacing w:before="120" w:after="120"/>
        <w:ind w:left="357" w:hanging="357"/>
        <w:contextualSpacing w:val="0"/>
      </w:pPr>
      <w:r>
        <w:rPr>
          <w:i/>
        </w:rPr>
        <w:t>W</w:t>
      </w:r>
      <w:r w:rsidR="003B01CE" w:rsidRPr="003B01CE">
        <w:rPr>
          <w:i/>
        </w:rPr>
        <w:t>hich evaluation expenditure will be value for money</w:t>
      </w:r>
      <w:r w:rsidR="003B01CE">
        <w:t xml:space="preserve"> – evaluability, capacity for quality evaluation to </w:t>
      </w:r>
      <w:r w:rsidR="00673C86">
        <w:t>make changes happen</w:t>
      </w:r>
      <w:r w:rsidR="003B01CE">
        <w:t xml:space="preserve">. </w:t>
      </w:r>
    </w:p>
    <w:p w14:paraId="19F76945" w14:textId="3939E1D3" w:rsidR="003B01CE" w:rsidRDefault="003B01CE" w:rsidP="003B01CE">
      <w:pPr>
        <w:spacing w:before="120" w:after="120"/>
      </w:pPr>
      <w:r>
        <w:t xml:space="preserve">Refer to the </w:t>
      </w:r>
      <w:hyperlink r:id="rId34" w:history="1">
        <w:r w:rsidR="00532570" w:rsidRPr="0083572F">
          <w:rPr>
            <w:rStyle w:val="Hyperlink"/>
          </w:rPr>
          <w:t xml:space="preserve">Evaluation </w:t>
        </w:r>
        <w:r w:rsidRPr="0083572F">
          <w:rPr>
            <w:rStyle w:val="Hyperlink"/>
          </w:rPr>
          <w:t>Guide</w:t>
        </w:r>
      </w:hyperlink>
      <w:r>
        <w:t xml:space="preserve"> for </w:t>
      </w:r>
      <w:r w:rsidR="00532570">
        <w:t xml:space="preserve">a </w:t>
      </w:r>
      <w:r w:rsidR="005961F2">
        <w:t xml:space="preserve">prioritisation assessment tool. </w:t>
      </w:r>
    </w:p>
    <w:p w14:paraId="19F76946" w14:textId="77777777" w:rsidR="00AF5FD2" w:rsidRDefault="00AF5FD2" w:rsidP="00AF5FD2">
      <w:pPr>
        <w:pStyle w:val="Heading1"/>
      </w:pPr>
      <w:bookmarkStart w:id="32" w:name="_Toc434307669"/>
      <w:r>
        <w:t>The importance of knowledge sharing</w:t>
      </w:r>
      <w:bookmarkEnd w:id="32"/>
    </w:p>
    <w:p w14:paraId="19F76947" w14:textId="77777777" w:rsidR="00AF5FD2" w:rsidRDefault="00AF5FD2" w:rsidP="00AF5FD2">
      <w:pPr>
        <w:spacing w:before="120" w:after="120"/>
      </w:pPr>
      <w:r>
        <w:t xml:space="preserve">A successful evaluation is not just </w:t>
      </w:r>
      <w:r w:rsidR="00673C86">
        <w:t>about</w:t>
      </w:r>
      <w:r>
        <w:t xml:space="preserve"> a quality final evaluation report. If evaluations are to be meaningful </w:t>
      </w:r>
      <w:r w:rsidR="00532570">
        <w:t xml:space="preserve">it is important to </w:t>
      </w:r>
      <w:r>
        <w:t>engage stakeholders throughout the evaluation process and to build a body of knowledge.</w:t>
      </w:r>
    </w:p>
    <w:p w14:paraId="19F76948" w14:textId="77777777" w:rsidR="001656F2" w:rsidRDefault="00AF5FD2" w:rsidP="00AF5FD2">
      <w:pPr>
        <w:spacing w:before="120" w:after="120"/>
      </w:pPr>
      <w:r>
        <w:t xml:space="preserve">Communication at the end of an evaluation can be less important than communication during the evaluation. Those stakeholders most affected by evaluation findings (especially service providers, peak bodies and state and territory governments) are usually closely tuned in to the discussion of draft reports and are often involved in workshops that are designed for purposes such as consultation, data collection or data interpretation. This is appropriate as </w:t>
      </w:r>
      <w:r w:rsidR="0098390D">
        <w:t xml:space="preserve">these </w:t>
      </w:r>
      <w:r>
        <w:t>stakeholders are frequently the most knowledgeable about the program</w:t>
      </w:r>
      <w:r w:rsidR="00900F96">
        <w:t>me</w:t>
      </w:r>
      <w:r>
        <w:t xml:space="preserve"> or the problem it is trying to fix. </w:t>
      </w:r>
    </w:p>
    <w:p w14:paraId="19F76949" w14:textId="77777777" w:rsidR="001656F2" w:rsidRDefault="001656F2" w:rsidP="001656F2">
      <w:pPr>
        <w:spacing w:before="120" w:after="120"/>
      </w:pPr>
      <w:r>
        <w:t>Ideally, stakeholder</w:t>
      </w:r>
      <w:r w:rsidR="0098390D">
        <w:t>s should be participating in</w:t>
      </w:r>
      <w:r>
        <w:t xml:space="preserve"> every step of </w:t>
      </w:r>
      <w:r w:rsidR="0098390D">
        <w:t>the</w:t>
      </w:r>
      <w:r>
        <w:t xml:space="preserve"> evaluation: in articulating the theory of change, in defining the approach, in identifying methodologies and benchmarks</w:t>
      </w:r>
      <w:r w:rsidR="0098390D">
        <w:t xml:space="preserve"> and</w:t>
      </w:r>
      <w:r>
        <w:t xml:space="preserve"> in interpreting the data and drawing conclusions.</w:t>
      </w:r>
    </w:p>
    <w:p w14:paraId="19F7694A" w14:textId="77777777" w:rsidR="00AF5FD2" w:rsidRDefault="00AF5FD2" w:rsidP="00AF5FD2">
      <w:pPr>
        <w:spacing w:before="120" w:after="120"/>
      </w:pPr>
      <w:r>
        <w:t>Change</w:t>
      </w:r>
      <w:r w:rsidR="00881F93">
        <w:t>s</w:t>
      </w:r>
      <w:r>
        <w:t xml:space="preserve"> that </w:t>
      </w:r>
      <w:r w:rsidR="00881F93">
        <w:t xml:space="preserve">result from evaluation </w:t>
      </w:r>
      <w:r>
        <w:t>may be</w:t>
      </w:r>
      <w:r w:rsidR="00881F93">
        <w:t>gin</w:t>
      </w:r>
      <w:r>
        <w:t xml:space="preserve"> before a report is finalised because </w:t>
      </w:r>
      <w:r w:rsidR="00A41C84">
        <w:t xml:space="preserve">stakeholders </w:t>
      </w:r>
      <w:r>
        <w:t xml:space="preserve">are already responding to the issues and ideas that </w:t>
      </w:r>
      <w:r w:rsidR="00881F93">
        <w:t>have emerged</w:t>
      </w:r>
      <w:r>
        <w:t>. ‘Formative evaluation’ is deliberately designed to take account of and make use of this dynamic</w:t>
      </w:r>
      <w:r w:rsidR="000365B5">
        <w:t xml:space="preserve"> by accompanying and informing programme implementation</w:t>
      </w:r>
      <w:r>
        <w:t>.</w:t>
      </w:r>
    </w:p>
    <w:p w14:paraId="19F7694B" w14:textId="77777777" w:rsidR="001656F2" w:rsidRDefault="00881F93" w:rsidP="00AF5FD2">
      <w:pPr>
        <w:spacing w:before="120" w:after="120"/>
      </w:pPr>
      <w:r>
        <w:t xml:space="preserve">When thinking about knowledge exchange </w:t>
      </w:r>
      <w:r w:rsidR="0041233C">
        <w:t xml:space="preserve">it is important to </w:t>
      </w:r>
      <w:r>
        <w:t xml:space="preserve">understand possible </w:t>
      </w:r>
      <w:r w:rsidR="0041233C">
        <w:t>barriers to change</w:t>
      </w:r>
      <w:r>
        <w:t>. These might include</w:t>
      </w:r>
      <w:r w:rsidR="0041233C">
        <w:t xml:space="preserve"> stakeholder interests, political imp</w:t>
      </w:r>
      <w:r w:rsidR="00454D9C">
        <w:t>eratives, institutional in</w:t>
      </w:r>
      <w:r w:rsidR="00C002BA">
        <w:t>erti</w:t>
      </w:r>
      <w:r w:rsidR="00454D9C">
        <w:t>a</w:t>
      </w:r>
      <w:r w:rsidR="00A41C84">
        <w:t xml:space="preserve"> or funding uncertainty</w:t>
      </w:r>
      <w:r w:rsidR="0041233C">
        <w:t xml:space="preserve">. </w:t>
      </w:r>
    </w:p>
    <w:p w14:paraId="19F7694C" w14:textId="77777777" w:rsidR="00A475F6" w:rsidRPr="003E58EA" w:rsidRDefault="001656F2" w:rsidP="00A475F6">
      <w:pPr>
        <w:pStyle w:val="Heading2"/>
        <w:rPr>
          <w:szCs w:val="32"/>
        </w:rPr>
      </w:pPr>
      <w:bookmarkStart w:id="33" w:name="_Toc434307670"/>
      <w:r>
        <w:t xml:space="preserve">Knowledge sharing </w:t>
      </w:r>
      <w:r w:rsidR="00A475F6">
        <w:t>strategy</w:t>
      </w:r>
      <w:bookmarkEnd w:id="33"/>
      <w:r w:rsidR="00A475F6">
        <w:t xml:space="preserve"> </w:t>
      </w:r>
    </w:p>
    <w:p w14:paraId="19F7694D" w14:textId="77777777" w:rsidR="001656F2" w:rsidRDefault="001656F2" w:rsidP="001656F2">
      <w:pPr>
        <w:spacing w:before="120" w:after="120"/>
      </w:pPr>
      <w:r>
        <w:t xml:space="preserve">To ensure that the department benefits </w:t>
      </w:r>
      <w:r w:rsidR="00573DD3">
        <w:t xml:space="preserve">from </w:t>
      </w:r>
      <w:r>
        <w:t>its evaluation</w:t>
      </w:r>
      <w:r w:rsidR="00E8521A">
        <w:t>s</w:t>
      </w:r>
      <w:r w:rsidR="001245FF">
        <w:t xml:space="preserve"> it is important to </w:t>
      </w:r>
      <w:r w:rsidR="00532570">
        <w:t>ensure that fit</w:t>
      </w:r>
      <w:r w:rsidR="00532570">
        <w:noBreakHyphen/>
        <w:t>for</w:t>
      </w:r>
      <w:r w:rsidR="00532570">
        <w:noBreakHyphen/>
      </w:r>
      <w:r>
        <w:t xml:space="preserve">purpose </w:t>
      </w:r>
      <w:r w:rsidR="00523B99">
        <w:t xml:space="preserve">evaluation </w:t>
      </w:r>
      <w:r>
        <w:t>commu</w:t>
      </w:r>
      <w:r w:rsidR="00523B99">
        <w:t>nication processes are followed</w:t>
      </w:r>
      <w:r>
        <w:t>:</w:t>
      </w:r>
    </w:p>
    <w:p w14:paraId="19F7694E" w14:textId="77777777" w:rsidR="001656F2" w:rsidRDefault="001656F2" w:rsidP="001656F2">
      <w:pPr>
        <w:pStyle w:val="ListParagraph"/>
        <w:numPr>
          <w:ilvl w:val="0"/>
          <w:numId w:val="28"/>
        </w:numPr>
        <w:spacing w:before="120" w:after="120"/>
      </w:pPr>
      <w:r>
        <w:lastRenderedPageBreak/>
        <w:t xml:space="preserve">Where appropriate, knowledge will be </w:t>
      </w:r>
      <w:r w:rsidR="005567B0">
        <w:t xml:space="preserve">disseminated </w:t>
      </w:r>
      <w:r>
        <w:t xml:space="preserve">across the wider Department and the APS more </w:t>
      </w:r>
      <w:r w:rsidR="0054329E">
        <w:t>broadly</w:t>
      </w:r>
      <w:r w:rsidR="00523B99">
        <w:t xml:space="preserve"> along with external stakeholders</w:t>
      </w:r>
      <w:r>
        <w:t>.</w:t>
      </w:r>
    </w:p>
    <w:p w14:paraId="19F7694F" w14:textId="77777777" w:rsidR="001656F2" w:rsidRDefault="001656F2" w:rsidP="001656F2">
      <w:pPr>
        <w:pStyle w:val="ListParagraph"/>
        <w:numPr>
          <w:ilvl w:val="0"/>
          <w:numId w:val="28"/>
        </w:numPr>
        <w:spacing w:before="120" w:after="120"/>
      </w:pPr>
      <w:r>
        <w:t xml:space="preserve">Where useful findings or lessons are identified during the evaluation process, they will be the subject of knowledge sharing, particularly </w:t>
      </w:r>
      <w:r w:rsidR="00523B99">
        <w:t xml:space="preserve">with </w:t>
      </w:r>
      <w:r>
        <w:t>programme owners and those delivering initiatives on the ground.</w:t>
      </w:r>
    </w:p>
    <w:p w14:paraId="19F76950" w14:textId="788BF486" w:rsidR="00523B99" w:rsidRPr="00523B99" w:rsidRDefault="00AF5FD2" w:rsidP="00523B99">
      <w:pPr>
        <w:spacing w:before="120" w:after="120"/>
      </w:pPr>
      <w:r>
        <w:t xml:space="preserve">There are a number of potential </w:t>
      </w:r>
      <w:r w:rsidR="00573DD3">
        <w:t xml:space="preserve">methods </w:t>
      </w:r>
      <w:r>
        <w:t xml:space="preserve">that may be employed to ensure that the findings and recommendations from the IAHP evaluation </w:t>
      </w:r>
      <w:r w:rsidRPr="00EE4526">
        <w:t>are used to effect change (</w:t>
      </w:r>
      <w:r w:rsidR="000365B5">
        <w:t>refer to</w:t>
      </w:r>
      <w:r w:rsidR="001656F2" w:rsidRPr="00EE4526">
        <w:t xml:space="preserve"> </w:t>
      </w:r>
      <w:r w:rsidR="00532570">
        <w:t xml:space="preserve">the </w:t>
      </w:r>
      <w:hyperlink r:id="rId35" w:history="1">
        <w:r w:rsidR="001656F2" w:rsidRPr="0083572F">
          <w:rPr>
            <w:rStyle w:val="Hyperlink"/>
          </w:rPr>
          <w:t>Evaluation Guide</w:t>
        </w:r>
      </w:hyperlink>
      <w:r w:rsidR="00523B99">
        <w:t>).</w:t>
      </w:r>
    </w:p>
    <w:p w14:paraId="19F76951" w14:textId="77777777" w:rsidR="003E58EA" w:rsidRDefault="003E58EA" w:rsidP="007D20CB">
      <w:pPr>
        <w:pStyle w:val="Heading1"/>
      </w:pPr>
      <w:bookmarkStart w:id="34" w:name="_Toc434307671"/>
      <w:r>
        <w:t>Governance</w:t>
      </w:r>
      <w:bookmarkEnd w:id="34"/>
    </w:p>
    <w:p w14:paraId="19F76952" w14:textId="77777777" w:rsidR="00385C24" w:rsidRPr="00385C24" w:rsidRDefault="0076566D" w:rsidP="00385C24">
      <w:r>
        <w:t xml:space="preserve">Clear authority, commitment and leadership to drive a strong, responsive culture of evaluation and performance improvement across the Department, Government and community organisations is an important part of the strategy. </w:t>
      </w:r>
    </w:p>
    <w:p w14:paraId="19F76953" w14:textId="77777777" w:rsidR="00723957" w:rsidRPr="003E58EA" w:rsidRDefault="00170896" w:rsidP="005C4726">
      <w:pPr>
        <w:pStyle w:val="Heading2"/>
        <w:rPr>
          <w:szCs w:val="32"/>
        </w:rPr>
      </w:pPr>
      <w:bookmarkStart w:id="35" w:name="_Toc434307672"/>
      <w:r>
        <w:t>Internal</w:t>
      </w:r>
      <w:bookmarkEnd w:id="35"/>
      <w:r w:rsidR="00723957">
        <w:t xml:space="preserve"> </w:t>
      </w:r>
    </w:p>
    <w:p w14:paraId="19F76954" w14:textId="77777777" w:rsidR="00723957" w:rsidRPr="005C4726" w:rsidRDefault="00723957" w:rsidP="005C4726">
      <w:pPr>
        <w:pStyle w:val="Heading3"/>
      </w:pPr>
      <w:bookmarkStart w:id="36" w:name="_Toc434307673"/>
      <w:r w:rsidRPr="005C4726">
        <w:t>Within the Division</w:t>
      </w:r>
      <w:bookmarkEnd w:id="36"/>
    </w:p>
    <w:p w14:paraId="19F76955" w14:textId="77777777" w:rsidR="007D20CB" w:rsidRDefault="007D20CB" w:rsidP="007D20CB">
      <w:pPr>
        <w:rPr>
          <w:rFonts w:cs="Arial"/>
        </w:rPr>
      </w:pPr>
      <w:r>
        <w:rPr>
          <w:rFonts w:cs="Arial"/>
          <w:szCs w:val="20"/>
        </w:rPr>
        <w:t>The Evidence and Ev</w:t>
      </w:r>
      <w:r w:rsidR="00E8521A">
        <w:rPr>
          <w:rFonts w:cs="Arial"/>
          <w:szCs w:val="20"/>
        </w:rPr>
        <w:t xml:space="preserve">aluation Section (EES) </w:t>
      </w:r>
      <w:r w:rsidR="005073D9">
        <w:rPr>
          <w:rFonts w:cs="Arial"/>
          <w:szCs w:val="20"/>
        </w:rPr>
        <w:t>has</w:t>
      </w:r>
      <w:r>
        <w:rPr>
          <w:rFonts w:cs="Arial"/>
          <w:szCs w:val="20"/>
        </w:rPr>
        <w:t xml:space="preserve"> over</w:t>
      </w:r>
      <w:r w:rsidR="000F7F53">
        <w:rPr>
          <w:rFonts w:cs="Arial"/>
          <w:szCs w:val="20"/>
        </w:rPr>
        <w:t>arching responsibility for the Evaluation S</w:t>
      </w:r>
      <w:r>
        <w:rPr>
          <w:rFonts w:cs="Arial"/>
          <w:szCs w:val="20"/>
        </w:rPr>
        <w:t xml:space="preserve">trategy and oversight </w:t>
      </w:r>
      <w:r w:rsidR="00CE0280">
        <w:rPr>
          <w:rFonts w:cs="Arial"/>
          <w:szCs w:val="20"/>
        </w:rPr>
        <w:t xml:space="preserve">of </w:t>
      </w:r>
      <w:r>
        <w:rPr>
          <w:rFonts w:cs="Arial"/>
          <w:szCs w:val="20"/>
        </w:rPr>
        <w:t xml:space="preserve">evaluation activity </w:t>
      </w:r>
      <w:r w:rsidR="00CE0280">
        <w:rPr>
          <w:rFonts w:cs="Arial"/>
          <w:szCs w:val="20"/>
        </w:rPr>
        <w:t xml:space="preserve">for the </w:t>
      </w:r>
      <w:r w:rsidR="0080490C">
        <w:rPr>
          <w:rFonts w:cs="Arial"/>
          <w:szCs w:val="20"/>
        </w:rPr>
        <w:t>IH</w:t>
      </w:r>
      <w:r>
        <w:rPr>
          <w:rFonts w:cs="Arial"/>
          <w:szCs w:val="20"/>
        </w:rPr>
        <w:t xml:space="preserve">D. </w:t>
      </w:r>
      <w:r>
        <w:rPr>
          <w:rFonts w:cs="Arial"/>
        </w:rPr>
        <w:t xml:space="preserve">EES </w:t>
      </w:r>
      <w:r w:rsidR="005073D9">
        <w:rPr>
          <w:rFonts w:cs="Arial"/>
        </w:rPr>
        <w:t>also has</w:t>
      </w:r>
      <w:r>
        <w:rPr>
          <w:rFonts w:cs="Arial"/>
        </w:rPr>
        <w:t xml:space="preserve"> responsibility for managing the </w:t>
      </w:r>
      <w:r w:rsidR="007E7FE7">
        <w:rPr>
          <w:rFonts w:cs="Arial"/>
        </w:rPr>
        <w:t xml:space="preserve">theme based </w:t>
      </w:r>
      <w:r>
        <w:rPr>
          <w:rFonts w:cs="Arial"/>
        </w:rPr>
        <w:t>evaluations.</w:t>
      </w:r>
      <w:r w:rsidR="00E85CB2">
        <w:rPr>
          <w:rFonts w:cs="Arial"/>
        </w:rPr>
        <w:t xml:space="preserve"> The Assistant Secretar</w:t>
      </w:r>
      <w:r w:rsidR="006B5988">
        <w:rPr>
          <w:rFonts w:cs="Arial"/>
        </w:rPr>
        <w:t>y of the Evidence and Strategy B</w:t>
      </w:r>
      <w:r w:rsidR="00E85CB2">
        <w:rPr>
          <w:rFonts w:cs="Arial"/>
        </w:rPr>
        <w:t xml:space="preserve">ranch has </w:t>
      </w:r>
      <w:r w:rsidR="000F7F53">
        <w:rPr>
          <w:rFonts w:cs="Arial"/>
        </w:rPr>
        <w:t>overall responsibility for the Evaluation S</w:t>
      </w:r>
      <w:r w:rsidR="00002632">
        <w:rPr>
          <w:rFonts w:cs="Arial"/>
        </w:rPr>
        <w:t>trategy.</w:t>
      </w:r>
    </w:p>
    <w:p w14:paraId="19F76956" w14:textId="77777777" w:rsidR="0076566D" w:rsidRDefault="000F7F53" w:rsidP="007D20CB">
      <w:pPr>
        <w:rPr>
          <w:rFonts w:cs="Arial"/>
        </w:rPr>
      </w:pPr>
      <w:r>
        <w:rPr>
          <w:rFonts w:cs="Arial"/>
        </w:rPr>
        <w:t>EES will manage the Evaluation S</w:t>
      </w:r>
      <w:r w:rsidR="00761609">
        <w:rPr>
          <w:rFonts w:cs="Arial"/>
        </w:rPr>
        <w:t xml:space="preserve">trategy in close consultation with the Division. </w:t>
      </w:r>
      <w:r w:rsidR="00625CE1">
        <w:rPr>
          <w:rFonts w:cs="Arial"/>
        </w:rPr>
        <w:t xml:space="preserve"> This will include liaison with relevant areas, as well as broader communication through the Divisional Leadership Group and Divisional Forums. </w:t>
      </w:r>
      <w:r w:rsidR="00761609">
        <w:rPr>
          <w:rFonts w:cs="Arial"/>
        </w:rPr>
        <w:t xml:space="preserve">The </w:t>
      </w:r>
      <w:r w:rsidR="0076566D">
        <w:rPr>
          <w:rFonts w:cs="Arial"/>
        </w:rPr>
        <w:t>Divisional Governance Board</w:t>
      </w:r>
      <w:r>
        <w:rPr>
          <w:rFonts w:cs="Arial"/>
        </w:rPr>
        <w:t xml:space="preserve"> will monitor the Evaluation S</w:t>
      </w:r>
      <w:r w:rsidR="00761609">
        <w:rPr>
          <w:rFonts w:cs="Arial"/>
        </w:rPr>
        <w:t>trategy.</w:t>
      </w:r>
    </w:p>
    <w:p w14:paraId="19F76957" w14:textId="77777777" w:rsidR="0076566D" w:rsidRDefault="00CE0280" w:rsidP="00395C70">
      <w:pPr>
        <w:rPr>
          <w:rFonts w:cs="Arial"/>
        </w:rPr>
      </w:pPr>
      <w:r>
        <w:rPr>
          <w:rFonts w:cs="Arial"/>
          <w:szCs w:val="20"/>
        </w:rPr>
        <w:t>Programme areas are responsible for ensuring that programme accountability requirements are met</w:t>
      </w:r>
      <w:r w:rsidR="007E7FE7">
        <w:rPr>
          <w:rFonts w:cs="Arial"/>
          <w:szCs w:val="20"/>
        </w:rPr>
        <w:t xml:space="preserve"> and</w:t>
      </w:r>
      <w:r>
        <w:rPr>
          <w:rFonts w:cs="Arial"/>
          <w:szCs w:val="20"/>
        </w:rPr>
        <w:t xml:space="preserve"> </w:t>
      </w:r>
      <w:r w:rsidR="00F47FB2">
        <w:rPr>
          <w:rFonts w:cs="Arial"/>
          <w:szCs w:val="20"/>
        </w:rPr>
        <w:t>that the design of specific initiative evaluations are undertaken</w:t>
      </w:r>
      <w:r>
        <w:rPr>
          <w:rFonts w:cs="Arial"/>
          <w:szCs w:val="20"/>
        </w:rPr>
        <w:t xml:space="preserve"> in close consultation with EES</w:t>
      </w:r>
      <w:r w:rsidR="00573DD3">
        <w:rPr>
          <w:rFonts w:cs="Arial"/>
          <w:szCs w:val="20"/>
        </w:rPr>
        <w:t>. This will</w:t>
      </w:r>
      <w:r>
        <w:rPr>
          <w:rFonts w:cs="Arial"/>
          <w:szCs w:val="20"/>
        </w:rPr>
        <w:t xml:space="preserve"> ensure consistency and alignment with the evaluation strategy</w:t>
      </w:r>
      <w:r w:rsidR="0080490C">
        <w:rPr>
          <w:rFonts w:cs="Arial"/>
          <w:szCs w:val="20"/>
        </w:rPr>
        <w:t xml:space="preserve"> and themed based evaluations</w:t>
      </w:r>
      <w:r w:rsidR="000D2DBC">
        <w:rPr>
          <w:rFonts w:cs="Arial"/>
          <w:szCs w:val="20"/>
        </w:rPr>
        <w:t xml:space="preserve">.  </w:t>
      </w:r>
      <w:r>
        <w:rPr>
          <w:rFonts w:cs="Arial"/>
          <w:szCs w:val="20"/>
        </w:rPr>
        <w:t xml:space="preserve">EES </w:t>
      </w:r>
      <w:r>
        <w:rPr>
          <w:rFonts w:cs="Arial"/>
        </w:rPr>
        <w:t xml:space="preserve">will provide high level advice and guidance on any proposed evaluation under the IAHP including the design, terms of reference, approach to market and deliverables. </w:t>
      </w:r>
    </w:p>
    <w:p w14:paraId="19F76958" w14:textId="77777777" w:rsidR="007D20CB" w:rsidRDefault="00E50A85" w:rsidP="005C4726">
      <w:pPr>
        <w:pStyle w:val="Heading3"/>
      </w:pPr>
      <w:bookmarkStart w:id="37" w:name="_Toc434307674"/>
      <w:r>
        <w:t>Evaluation Centre of</w:t>
      </w:r>
      <w:r w:rsidR="00723957" w:rsidRPr="00723957">
        <w:t xml:space="preserve"> Excellence</w:t>
      </w:r>
      <w:bookmarkEnd w:id="37"/>
      <w:r w:rsidR="00CE0280" w:rsidRPr="00723957">
        <w:t xml:space="preserve">  </w:t>
      </w:r>
    </w:p>
    <w:p w14:paraId="19F76959" w14:textId="77777777" w:rsidR="00E50A85" w:rsidRDefault="00E50A85" w:rsidP="005C4726">
      <w:r>
        <w:t>The Evaluation Centre of Excellence, Performance Accou</w:t>
      </w:r>
      <w:r w:rsidR="0054329E">
        <w:t>ntability and Evaluation Branch in the</w:t>
      </w:r>
      <w:r>
        <w:t xml:space="preserve"> Research, Data and Evaluation Division</w:t>
      </w:r>
      <w:r w:rsidR="00272556">
        <w:t>,</w:t>
      </w:r>
      <w:r>
        <w:t xml:space="preserve"> </w:t>
      </w:r>
      <w:r w:rsidR="001B5CB0">
        <w:t>provide</w:t>
      </w:r>
      <w:r w:rsidR="00420439">
        <w:t>s</w:t>
      </w:r>
      <w:r>
        <w:t xml:space="preserve"> advice </w:t>
      </w:r>
      <w:r w:rsidR="00420439">
        <w:t xml:space="preserve">and guidance on evaluation across the </w:t>
      </w:r>
      <w:r>
        <w:t xml:space="preserve">Department. </w:t>
      </w:r>
    </w:p>
    <w:p w14:paraId="19F7695A" w14:textId="77777777" w:rsidR="005C4726" w:rsidRDefault="005C4726" w:rsidP="005C4726">
      <w:pPr>
        <w:pStyle w:val="Heading2"/>
      </w:pPr>
      <w:bookmarkStart w:id="38" w:name="_Toc434307675"/>
      <w:r>
        <w:t>External</w:t>
      </w:r>
      <w:bookmarkEnd w:id="38"/>
      <w:r>
        <w:t xml:space="preserve"> </w:t>
      </w:r>
    </w:p>
    <w:p w14:paraId="19F7695B" w14:textId="77777777" w:rsidR="00170896" w:rsidRPr="00002632" w:rsidRDefault="00170896" w:rsidP="00683D6E">
      <w:pPr>
        <w:rPr>
          <w:rFonts w:cs="Arial"/>
        </w:rPr>
      </w:pPr>
      <w:r>
        <w:rPr>
          <w:rFonts w:cs="Arial"/>
          <w:szCs w:val="20"/>
        </w:rPr>
        <w:t>Relevant expertise will be sourced to undertake evaluations to ensure independent and quality deliverables. For example, a health economist may be engaged to un</w:t>
      </w:r>
      <w:r w:rsidR="00002632">
        <w:rPr>
          <w:rFonts w:cs="Arial"/>
          <w:szCs w:val="20"/>
        </w:rPr>
        <w:t>dertake an economic evaluation.</w:t>
      </w:r>
    </w:p>
    <w:p w14:paraId="19F7695C" w14:textId="77777777" w:rsidR="00683D6E" w:rsidRDefault="00683D6E" w:rsidP="00002632">
      <w:pPr>
        <w:rPr>
          <w:lang w:val="en-AU"/>
        </w:rPr>
      </w:pPr>
      <w:r>
        <w:rPr>
          <w:lang w:val="en-AU"/>
        </w:rPr>
        <w:t>Relevant advisory bodies and committees will be used to provide advice and consult on the implementation of the evaluation strategy.  For exa</w:t>
      </w:r>
      <w:r w:rsidR="00900F96">
        <w:rPr>
          <w:lang w:val="en-AU"/>
        </w:rPr>
        <w:t>mple, the OCHRE</w:t>
      </w:r>
      <w:r>
        <w:rPr>
          <w:lang w:val="en-AU"/>
        </w:rPr>
        <w:t xml:space="preserve"> Streams Advisory Group (OAG) may be consulted on data issues. National Health Partnership F</w:t>
      </w:r>
      <w:r w:rsidR="00900F96">
        <w:rPr>
          <w:lang w:val="en-AU"/>
        </w:rPr>
        <w:t>orums may be used to engage with peak bodies</w:t>
      </w:r>
      <w:r>
        <w:rPr>
          <w:lang w:val="en-AU"/>
        </w:rPr>
        <w:t xml:space="preserve"> and state governments.</w:t>
      </w:r>
      <w:r w:rsidR="00002632">
        <w:rPr>
          <w:lang w:val="en-AU"/>
        </w:rPr>
        <w:t xml:space="preserve"> </w:t>
      </w:r>
    </w:p>
    <w:p w14:paraId="19F7695D" w14:textId="77777777" w:rsidR="00170896" w:rsidRDefault="00573DD3" w:rsidP="005C4726">
      <w:r>
        <w:t>A</w:t>
      </w:r>
      <w:r w:rsidR="00683D6E">
        <w:t xml:space="preserve">dvisory arrangements will be developed to provide technical advice and reflect the range of interests among stakeholders and the community.  </w:t>
      </w:r>
    </w:p>
    <w:p w14:paraId="19F7695E" w14:textId="77777777" w:rsidR="00170896" w:rsidRDefault="00170896" w:rsidP="00170896">
      <w:pPr>
        <w:pStyle w:val="Heading1"/>
      </w:pPr>
      <w:bookmarkStart w:id="39" w:name="_Toc434307676"/>
      <w:r>
        <w:t>Resources</w:t>
      </w:r>
      <w:bookmarkEnd w:id="39"/>
    </w:p>
    <w:p w14:paraId="19F7695F" w14:textId="77777777" w:rsidR="007876B5" w:rsidRDefault="007876B5" w:rsidP="00170896">
      <w:r>
        <w:t xml:space="preserve">There are a wide range of resources available to assist with evaluation design and implementation. </w:t>
      </w:r>
      <w:r w:rsidR="00A835BB">
        <w:t>Some k</w:t>
      </w:r>
      <w:r>
        <w:t>ey resources are outlined below.</w:t>
      </w:r>
    </w:p>
    <w:p w14:paraId="19F76960" w14:textId="77777777" w:rsidR="007876B5" w:rsidRDefault="006B0132" w:rsidP="00170896">
      <w:pPr>
        <w:pStyle w:val="ListParagraph"/>
        <w:numPr>
          <w:ilvl w:val="0"/>
          <w:numId w:val="24"/>
        </w:numPr>
      </w:pPr>
      <w:r w:rsidRPr="002013F5">
        <w:rPr>
          <w:rStyle w:val="Heading4Char"/>
        </w:rPr>
        <w:lastRenderedPageBreak/>
        <w:t>Better Evaluation</w:t>
      </w:r>
      <w:r>
        <w:t>: an international collaboration to improve evaluation practice by sharing and generating information about opt</w:t>
      </w:r>
      <w:r w:rsidR="00DA5FF9">
        <w:t xml:space="preserve">ions and approaches - </w:t>
      </w:r>
      <w:hyperlink r:id="rId36" w:history="1">
        <w:r w:rsidRPr="006B0132">
          <w:rPr>
            <w:rStyle w:val="Hyperlink"/>
          </w:rPr>
          <w:t>betterevaluation.org</w:t>
        </w:r>
      </w:hyperlink>
    </w:p>
    <w:p w14:paraId="19F76961" w14:textId="77777777" w:rsidR="006C0767" w:rsidRPr="000365B5" w:rsidRDefault="000572CE" w:rsidP="006C0767">
      <w:pPr>
        <w:pStyle w:val="ListParagraph"/>
        <w:numPr>
          <w:ilvl w:val="0"/>
          <w:numId w:val="24"/>
        </w:numPr>
        <w:rPr>
          <w:rStyle w:val="Hyperlink"/>
          <w:color w:val="auto"/>
          <w:u w:val="none"/>
        </w:rPr>
      </w:pPr>
      <w:r w:rsidRPr="002013F5">
        <w:rPr>
          <w:rStyle w:val="Heading4Char"/>
        </w:rPr>
        <w:t>Australasian Evaluation Society</w:t>
      </w:r>
      <w:r>
        <w:t xml:space="preserve">: a member based organisation to improve </w:t>
      </w:r>
      <w:r w:rsidR="00DA5FF9">
        <w:t xml:space="preserve">the theory, practice and use of evaluation across Australasia.  The website includes resources, consultant directory and professional development - </w:t>
      </w:r>
      <w:hyperlink r:id="rId37" w:history="1">
        <w:r w:rsidRPr="000572CE">
          <w:rPr>
            <w:rStyle w:val="Hyperlink"/>
          </w:rPr>
          <w:t>www.aes.asn.au</w:t>
        </w:r>
      </w:hyperlink>
    </w:p>
    <w:sectPr w:rsidR="006C0767" w:rsidRPr="000365B5" w:rsidSect="00B75AEB">
      <w:headerReference w:type="even" r:id="rId38"/>
      <w:headerReference w:type="default" r:id="rId39"/>
      <w:footerReference w:type="default" r:id="rId40"/>
      <w:headerReference w:type="first" r:id="rId4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76966" w14:textId="77777777" w:rsidR="00886721" w:rsidRDefault="00886721" w:rsidP="008F3ECE">
      <w:r>
        <w:separator/>
      </w:r>
    </w:p>
  </w:endnote>
  <w:endnote w:type="continuationSeparator" w:id="0">
    <w:p w14:paraId="19F76967" w14:textId="77777777" w:rsidR="00886721" w:rsidRDefault="00886721" w:rsidP="008F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76969" w14:textId="77777777" w:rsidR="000A40C0" w:rsidRDefault="000A40C0">
    <w:pPr>
      <w:pStyle w:val="Footer"/>
      <w:jc w:val="right"/>
    </w:pPr>
  </w:p>
  <w:p w14:paraId="19F7696A" w14:textId="77777777" w:rsidR="000A40C0" w:rsidRDefault="000A40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070735"/>
      <w:docPartObj>
        <w:docPartGallery w:val="Page Numbers (Bottom of Page)"/>
        <w:docPartUnique/>
      </w:docPartObj>
    </w:sdtPr>
    <w:sdtEndPr>
      <w:rPr>
        <w:noProof/>
      </w:rPr>
    </w:sdtEndPr>
    <w:sdtContent>
      <w:p w14:paraId="19F7696D" w14:textId="0E8631E9" w:rsidR="000A40C0" w:rsidRDefault="000A40C0">
        <w:pPr>
          <w:pStyle w:val="Footer"/>
          <w:jc w:val="right"/>
        </w:pPr>
        <w:r>
          <w:fldChar w:fldCharType="begin"/>
        </w:r>
        <w:r>
          <w:instrText xml:space="preserve"> PAGE   \* MERGEFORMAT </w:instrText>
        </w:r>
        <w:r>
          <w:fldChar w:fldCharType="separate"/>
        </w:r>
        <w:r w:rsidR="00B503F6">
          <w:rPr>
            <w:noProof/>
          </w:rPr>
          <w:t>1</w:t>
        </w:r>
        <w:r>
          <w:rPr>
            <w:noProof/>
          </w:rPr>
          <w:fldChar w:fldCharType="end"/>
        </w:r>
      </w:p>
    </w:sdtContent>
  </w:sdt>
  <w:p w14:paraId="19F7696E" w14:textId="77777777" w:rsidR="000A40C0" w:rsidRDefault="000A40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76964" w14:textId="77777777" w:rsidR="00886721" w:rsidRDefault="00886721" w:rsidP="008F3ECE">
      <w:r>
        <w:separator/>
      </w:r>
    </w:p>
  </w:footnote>
  <w:footnote w:type="continuationSeparator" w:id="0">
    <w:p w14:paraId="19F76965" w14:textId="77777777" w:rsidR="00886721" w:rsidRDefault="00886721" w:rsidP="008F3ECE">
      <w:r>
        <w:continuationSeparator/>
      </w:r>
    </w:p>
  </w:footnote>
  <w:footnote w:id="1">
    <w:p w14:paraId="19F76973" w14:textId="77777777" w:rsidR="00B235F5" w:rsidRPr="00AD745A" w:rsidRDefault="00B235F5" w:rsidP="00B235F5">
      <w:pPr>
        <w:pStyle w:val="FootnoteText"/>
        <w:rPr>
          <w:lang w:val="en-AU"/>
        </w:rPr>
      </w:pPr>
      <w:r>
        <w:rPr>
          <w:rStyle w:val="FootnoteReference"/>
        </w:rPr>
        <w:footnoteRef/>
      </w:r>
      <w:r>
        <w:t xml:space="preserve"> </w:t>
      </w:r>
      <w:r>
        <w:rPr>
          <w:lang w:val="en-AU"/>
        </w:rPr>
        <w:t xml:space="preserve">National Advisory Group on Aboriginal and Torres Strait Islander Health Information and Data (NAGATSIHID), 2006, </w:t>
      </w:r>
      <w:r w:rsidRPr="00AD745A">
        <w:rPr>
          <w:i/>
          <w:lang w:val="en-AU"/>
        </w:rPr>
        <w:t>Data principles</w:t>
      </w:r>
      <w:r>
        <w:rPr>
          <w:lang w:val="en-A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76968" w14:textId="18FA2223" w:rsidR="000A40C0" w:rsidRDefault="00F16E0A">
    <w:pPr>
      <w:pStyle w:val="Header"/>
    </w:pPr>
    <w:r>
      <w:rPr>
        <w:noProof/>
        <w:lang w:val="en-AU" w:eastAsia="en-AU"/>
      </w:rPr>
      <mc:AlternateContent>
        <mc:Choice Requires="wps">
          <w:drawing>
            <wp:anchor distT="0" distB="0" distL="114300" distR="114300" simplePos="0" relativeHeight="251661312" behindDoc="1" locked="0" layoutInCell="0" allowOverlap="1" wp14:anchorId="19F76970" wp14:editId="6E8C5733">
              <wp:simplePos x="0" y="0"/>
              <wp:positionH relativeFrom="margin">
                <wp:align>center</wp:align>
              </wp:positionH>
              <wp:positionV relativeFrom="margin">
                <wp:align>center</wp:align>
              </wp:positionV>
              <wp:extent cx="5050155" cy="3030220"/>
              <wp:effectExtent l="0" t="1104900" r="0" b="636905"/>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831564" w14:textId="77777777" w:rsidR="00F16E0A" w:rsidRDefault="00F16E0A" w:rsidP="00F16E0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9F76970" id="_x0000_t202" coordsize="21600,21600" o:spt="202" path="m,l,21600r21600,l21600,xe">
              <v:stroke joinstyle="miter"/>
              <v:path gradientshapeok="t" o:connecttype="rect"/>
            </v:shapetype>
            <v:shape id="WordArt 2" o:spid="_x0000_s1026" type="#_x0000_t202" style="position:absolute;margin-left:0;margin-top:0;width:397.65pt;height:238.6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" o:allowincell="f" filled="f" stroked="f">
              <v:stroke joinstyle="round"/>
              <o:lock v:ext="edit" shapetype="t"/>
              <v:textbox style="mso-fit-shape-to-text:t">
                <w:txbxContent>
                  <w:p w14:paraId="4C831564" w14:textId="77777777" w:rsidR="00F16E0A" w:rsidRDefault="00F16E0A" w:rsidP="00F16E0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7696B" w14:textId="4E04131E" w:rsidR="000A40C0" w:rsidRDefault="00F16E0A">
    <w:pPr>
      <w:pStyle w:val="Header"/>
    </w:pPr>
    <w:r>
      <w:rPr>
        <w:noProof/>
        <w:lang w:val="en-AU" w:eastAsia="en-AU"/>
      </w:rPr>
      <mc:AlternateContent>
        <mc:Choice Requires="wps">
          <w:drawing>
            <wp:anchor distT="0" distB="0" distL="114300" distR="114300" simplePos="0" relativeHeight="251667456" behindDoc="1" locked="0" layoutInCell="0" allowOverlap="1" wp14:anchorId="19F76971" wp14:editId="3DD275F5">
              <wp:simplePos x="0" y="0"/>
              <wp:positionH relativeFrom="margin">
                <wp:align>center</wp:align>
              </wp:positionH>
              <wp:positionV relativeFrom="margin">
                <wp:align>center</wp:align>
              </wp:positionV>
              <wp:extent cx="5050155" cy="3030220"/>
              <wp:effectExtent l="0" t="1104900" r="0" b="63690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CF93C7" w14:textId="77777777" w:rsidR="00F16E0A" w:rsidRDefault="00F16E0A" w:rsidP="00F16E0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9F76971" id="_x0000_t202" coordsize="21600,21600" o:spt="202" path="m,l,21600r21600,l21600,xe">
              <v:stroke joinstyle="miter"/>
              <v:path gradientshapeok="t" o:connecttype="rect"/>
            </v:shapetype>
            <v:shape id="WordArt 5" o:spid="_x0000_s1027" type="#_x0000_t202" style="position:absolute;margin-left:0;margin-top:0;width:397.65pt;height:238.6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" o:allowincell="f" filled="f" stroked="f">
              <v:stroke joinstyle="round"/>
              <o:lock v:ext="edit" shapetype="t"/>
              <v:textbox style="mso-fit-shape-to-text:t">
                <w:txbxContent>
                  <w:p w14:paraId="66CF93C7" w14:textId="77777777" w:rsidR="00F16E0A" w:rsidRDefault="00F16E0A" w:rsidP="00F16E0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7696C" w14:textId="77777777" w:rsidR="000A40C0" w:rsidRDefault="000A40C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7696F" w14:textId="4347A205" w:rsidR="000A40C0" w:rsidRDefault="00F16E0A">
    <w:pPr>
      <w:pStyle w:val="Header"/>
    </w:pPr>
    <w:r>
      <w:rPr>
        <w:noProof/>
        <w:lang w:val="en-AU" w:eastAsia="en-AU"/>
      </w:rPr>
      <mc:AlternateContent>
        <mc:Choice Requires="wps">
          <w:drawing>
            <wp:anchor distT="0" distB="0" distL="114300" distR="114300" simplePos="0" relativeHeight="251665408" behindDoc="1" locked="0" layoutInCell="0" allowOverlap="1" wp14:anchorId="19F76972" wp14:editId="680C8498">
              <wp:simplePos x="0" y="0"/>
              <wp:positionH relativeFrom="margin">
                <wp:align>center</wp:align>
              </wp:positionH>
              <wp:positionV relativeFrom="margin">
                <wp:align>center</wp:align>
              </wp:positionV>
              <wp:extent cx="5050155" cy="3030220"/>
              <wp:effectExtent l="0" t="1104900" r="0" b="636905"/>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B4179A" w14:textId="77777777" w:rsidR="00F16E0A" w:rsidRDefault="00F16E0A" w:rsidP="00F16E0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9F76972" id="_x0000_t202" coordsize="21600,21600" o:spt="202" path="m,l,21600r21600,l21600,xe">
              <v:stroke joinstyle="miter"/>
              <v:path gradientshapeok="t" o:connecttype="rect"/>
            </v:shapetype>
            <v:shape id="WordArt 4" o:spid="_x0000_s1028" type="#_x0000_t202" style="position:absolute;margin-left:0;margin-top:0;width:397.65pt;height:238.6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" o:allowincell="f" filled="f" stroked="f">
              <v:stroke joinstyle="round"/>
              <o:lock v:ext="edit" shapetype="t"/>
              <v:textbox style="mso-fit-shape-to-text:t">
                <w:txbxContent>
                  <w:p w14:paraId="45B4179A" w14:textId="77777777" w:rsidR="00F16E0A" w:rsidRDefault="00F16E0A" w:rsidP="00F16E0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756D1"/>
    <w:multiLevelType w:val="hybridMultilevel"/>
    <w:tmpl w:val="A760A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70FA7"/>
    <w:multiLevelType w:val="hybridMultilevel"/>
    <w:tmpl w:val="6E1830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930BCD"/>
    <w:multiLevelType w:val="hybridMultilevel"/>
    <w:tmpl w:val="A3626C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EA6870"/>
    <w:multiLevelType w:val="hybridMultilevel"/>
    <w:tmpl w:val="DEA8869C"/>
    <w:lvl w:ilvl="0" w:tplc="AA866840">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CB23301"/>
    <w:multiLevelType w:val="hybridMultilevel"/>
    <w:tmpl w:val="732847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D494A83"/>
    <w:multiLevelType w:val="hybridMultilevel"/>
    <w:tmpl w:val="9CC0F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37045D"/>
    <w:multiLevelType w:val="hybridMultilevel"/>
    <w:tmpl w:val="29982C4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0FA02D21"/>
    <w:multiLevelType w:val="hybridMultilevel"/>
    <w:tmpl w:val="28161D72"/>
    <w:lvl w:ilvl="0" w:tplc="0C090001">
      <w:start w:val="1"/>
      <w:numFmt w:val="bullet"/>
      <w:lvlText w:val=""/>
      <w:lvlJc w:val="left"/>
      <w:pPr>
        <w:ind w:left="360" w:hanging="360"/>
      </w:pPr>
      <w:rPr>
        <w:rFonts w:ascii="Symbol" w:hAnsi="Symbol" w:hint="default"/>
      </w:rPr>
    </w:lvl>
    <w:lvl w:ilvl="1" w:tplc="6292D74C">
      <w:start w:val="1"/>
      <w:numFmt w:val="lowerRoman"/>
      <w:lvlText w:val="%2."/>
      <w:lvlJc w:val="right"/>
      <w:pPr>
        <w:ind w:left="1440" w:hanging="360"/>
      </w:pPr>
      <w:rPr>
        <w:rFonts w:hint="default"/>
        <w:b w:val="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96707A"/>
    <w:multiLevelType w:val="hybridMultilevel"/>
    <w:tmpl w:val="B066D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696036"/>
    <w:multiLevelType w:val="hybridMultilevel"/>
    <w:tmpl w:val="A9268A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5D4C06"/>
    <w:multiLevelType w:val="hybridMultilevel"/>
    <w:tmpl w:val="A2C86D9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5F21441"/>
    <w:multiLevelType w:val="hybridMultilevel"/>
    <w:tmpl w:val="63203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A20133"/>
    <w:multiLevelType w:val="hybridMultilevel"/>
    <w:tmpl w:val="4F585E1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BD29DD"/>
    <w:multiLevelType w:val="hybridMultilevel"/>
    <w:tmpl w:val="16D2C486"/>
    <w:lvl w:ilvl="0" w:tplc="BA1664F6">
      <w:start w:val="1"/>
      <w:numFmt w:val="bullet"/>
      <w:pStyle w:val="dotpoint"/>
      <w:lvlText w:val=""/>
      <w:lvlJc w:val="left"/>
      <w:pPr>
        <w:ind w:left="360" w:hanging="360"/>
      </w:pPr>
      <w:rPr>
        <w:rFonts w:ascii="Wingdings" w:hAnsi="Wingdings" w:hint="default"/>
        <w:color w:val="4F6228" w:themeColor="accent3" w:themeShade="8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47133A5"/>
    <w:multiLevelType w:val="hybridMultilevel"/>
    <w:tmpl w:val="13C247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8107F60"/>
    <w:multiLevelType w:val="hybridMultilevel"/>
    <w:tmpl w:val="B0149254"/>
    <w:lvl w:ilvl="0" w:tplc="0C090001">
      <w:start w:val="1"/>
      <w:numFmt w:val="bullet"/>
      <w:lvlText w:val=""/>
      <w:lvlJc w:val="left"/>
      <w:pPr>
        <w:ind w:left="360" w:hanging="360"/>
      </w:pPr>
      <w:rPr>
        <w:rFonts w:ascii="Symbol" w:hAnsi="Symbol" w:hint="default"/>
        <w:color w:val="4F6228" w:themeColor="accent3" w:themeShade="8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12149B5"/>
    <w:multiLevelType w:val="hybridMultilevel"/>
    <w:tmpl w:val="C428A624"/>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28D6F9B"/>
    <w:multiLevelType w:val="hybridMultilevel"/>
    <w:tmpl w:val="0BC4D3C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110866"/>
    <w:multiLevelType w:val="hybridMultilevel"/>
    <w:tmpl w:val="B99E507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B31985"/>
    <w:multiLevelType w:val="hybridMultilevel"/>
    <w:tmpl w:val="C5EED7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143202"/>
    <w:multiLevelType w:val="hybridMultilevel"/>
    <w:tmpl w:val="6AA254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54574BE"/>
    <w:multiLevelType w:val="hybridMultilevel"/>
    <w:tmpl w:val="CA9E92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4434B8"/>
    <w:multiLevelType w:val="hybridMultilevel"/>
    <w:tmpl w:val="6ACEB6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8EE71CB"/>
    <w:multiLevelType w:val="hybridMultilevel"/>
    <w:tmpl w:val="DCA42B64"/>
    <w:lvl w:ilvl="0" w:tplc="270416AA">
      <w:start w:val="1"/>
      <w:numFmt w:val="decimal"/>
      <w:pStyle w:val="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A344B43"/>
    <w:multiLevelType w:val="hybridMultilevel"/>
    <w:tmpl w:val="2E8AA95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D72352"/>
    <w:multiLevelType w:val="hybridMultilevel"/>
    <w:tmpl w:val="4D5AD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6967D5"/>
    <w:multiLevelType w:val="hybridMultilevel"/>
    <w:tmpl w:val="59E40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2D1384"/>
    <w:multiLevelType w:val="hybridMultilevel"/>
    <w:tmpl w:val="D47668E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1E40C7A"/>
    <w:multiLevelType w:val="hybridMultilevel"/>
    <w:tmpl w:val="A5F42574"/>
    <w:lvl w:ilvl="0" w:tplc="0C090011">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29C1DEF"/>
    <w:multiLevelType w:val="hybridMultilevel"/>
    <w:tmpl w:val="09102AA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2D80EE2"/>
    <w:multiLevelType w:val="hybridMultilevel"/>
    <w:tmpl w:val="8A68372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2"/>
  </w:num>
  <w:num w:numId="2">
    <w:abstractNumId w:val="7"/>
  </w:num>
  <w:num w:numId="3">
    <w:abstractNumId w:val="28"/>
  </w:num>
  <w:num w:numId="4">
    <w:abstractNumId w:val="16"/>
  </w:num>
  <w:num w:numId="5">
    <w:abstractNumId w:val="10"/>
  </w:num>
  <w:num w:numId="6">
    <w:abstractNumId w:val="27"/>
  </w:num>
  <w:num w:numId="7">
    <w:abstractNumId w:val="2"/>
  </w:num>
  <w:num w:numId="8">
    <w:abstractNumId w:val="29"/>
  </w:num>
  <w:num w:numId="9">
    <w:abstractNumId w:val="25"/>
  </w:num>
  <w:num w:numId="10">
    <w:abstractNumId w:val="0"/>
  </w:num>
  <w:num w:numId="11">
    <w:abstractNumId w:val="19"/>
  </w:num>
  <w:num w:numId="12">
    <w:abstractNumId w:val="6"/>
  </w:num>
  <w:num w:numId="13">
    <w:abstractNumId w:val="26"/>
  </w:num>
  <w:num w:numId="14">
    <w:abstractNumId w:val="15"/>
  </w:num>
  <w:num w:numId="15">
    <w:abstractNumId w:val="13"/>
  </w:num>
  <w:num w:numId="16">
    <w:abstractNumId w:val="23"/>
  </w:num>
  <w:num w:numId="17">
    <w:abstractNumId w:val="11"/>
  </w:num>
  <w:num w:numId="18">
    <w:abstractNumId w:val="14"/>
  </w:num>
  <w:num w:numId="19">
    <w:abstractNumId w:val="12"/>
  </w:num>
  <w:num w:numId="20">
    <w:abstractNumId w:val="24"/>
  </w:num>
  <w:num w:numId="21">
    <w:abstractNumId w:val="20"/>
  </w:num>
  <w:num w:numId="22">
    <w:abstractNumId w:val="5"/>
  </w:num>
  <w:num w:numId="23">
    <w:abstractNumId w:val="4"/>
  </w:num>
  <w:num w:numId="24">
    <w:abstractNumId w:val="8"/>
  </w:num>
  <w:num w:numId="25">
    <w:abstractNumId w:val="30"/>
  </w:num>
  <w:num w:numId="26">
    <w:abstractNumId w:val="21"/>
  </w:num>
  <w:num w:numId="27">
    <w:abstractNumId w:val="17"/>
  </w:num>
  <w:num w:numId="28">
    <w:abstractNumId w:val="18"/>
  </w:num>
  <w:num w:numId="29">
    <w:abstractNumId w:val="1"/>
  </w:num>
  <w:num w:numId="30">
    <w:abstractNumId w:val="3"/>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7"/>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725"/>
    <w:rsid w:val="00002632"/>
    <w:rsid w:val="000029C2"/>
    <w:rsid w:val="00015382"/>
    <w:rsid w:val="00022642"/>
    <w:rsid w:val="00024B9E"/>
    <w:rsid w:val="000365B5"/>
    <w:rsid w:val="000375B7"/>
    <w:rsid w:val="00040FEF"/>
    <w:rsid w:val="00046C32"/>
    <w:rsid w:val="00047E74"/>
    <w:rsid w:val="000528E1"/>
    <w:rsid w:val="00053407"/>
    <w:rsid w:val="000572CE"/>
    <w:rsid w:val="0005764A"/>
    <w:rsid w:val="00062377"/>
    <w:rsid w:val="00063B39"/>
    <w:rsid w:val="000669D0"/>
    <w:rsid w:val="00071BC0"/>
    <w:rsid w:val="0008254D"/>
    <w:rsid w:val="00082648"/>
    <w:rsid w:val="000828A0"/>
    <w:rsid w:val="00084FD5"/>
    <w:rsid w:val="00090C54"/>
    <w:rsid w:val="00095B43"/>
    <w:rsid w:val="000A40C0"/>
    <w:rsid w:val="000A5B30"/>
    <w:rsid w:val="000A5F52"/>
    <w:rsid w:val="000B01BB"/>
    <w:rsid w:val="000B6AAE"/>
    <w:rsid w:val="000D2BA3"/>
    <w:rsid w:val="000D2DBC"/>
    <w:rsid w:val="000E2A83"/>
    <w:rsid w:val="000E3122"/>
    <w:rsid w:val="000E3725"/>
    <w:rsid w:val="000E4414"/>
    <w:rsid w:val="000E5BE7"/>
    <w:rsid w:val="000F20EF"/>
    <w:rsid w:val="000F6709"/>
    <w:rsid w:val="000F7F53"/>
    <w:rsid w:val="001024C2"/>
    <w:rsid w:val="00104CC6"/>
    <w:rsid w:val="0011115E"/>
    <w:rsid w:val="00123FE1"/>
    <w:rsid w:val="001245FF"/>
    <w:rsid w:val="00136088"/>
    <w:rsid w:val="00140C19"/>
    <w:rsid w:val="001434C6"/>
    <w:rsid w:val="0016131B"/>
    <w:rsid w:val="00161786"/>
    <w:rsid w:val="001656F2"/>
    <w:rsid w:val="00170896"/>
    <w:rsid w:val="00173EE9"/>
    <w:rsid w:val="00191C15"/>
    <w:rsid w:val="0019281D"/>
    <w:rsid w:val="00192A52"/>
    <w:rsid w:val="00194BEC"/>
    <w:rsid w:val="001A0BA1"/>
    <w:rsid w:val="001B56A5"/>
    <w:rsid w:val="001B5CB0"/>
    <w:rsid w:val="001C57B8"/>
    <w:rsid w:val="001E2CF7"/>
    <w:rsid w:val="001E4D7B"/>
    <w:rsid w:val="001E6FCE"/>
    <w:rsid w:val="001F7808"/>
    <w:rsid w:val="002013F5"/>
    <w:rsid w:val="00202216"/>
    <w:rsid w:val="00214C5F"/>
    <w:rsid w:val="00222C78"/>
    <w:rsid w:val="002362BC"/>
    <w:rsid w:val="0024164D"/>
    <w:rsid w:val="0025293B"/>
    <w:rsid w:val="00264DD7"/>
    <w:rsid w:val="00265B81"/>
    <w:rsid w:val="002665B3"/>
    <w:rsid w:val="00272556"/>
    <w:rsid w:val="00291208"/>
    <w:rsid w:val="002A6007"/>
    <w:rsid w:val="002B10A4"/>
    <w:rsid w:val="002B5C6E"/>
    <w:rsid w:val="002D0980"/>
    <w:rsid w:val="002E2212"/>
    <w:rsid w:val="002E481A"/>
    <w:rsid w:val="002F08B4"/>
    <w:rsid w:val="00303C09"/>
    <w:rsid w:val="00314AC4"/>
    <w:rsid w:val="003152A6"/>
    <w:rsid w:val="003255E0"/>
    <w:rsid w:val="00326F3D"/>
    <w:rsid w:val="00330F09"/>
    <w:rsid w:val="00337C8A"/>
    <w:rsid w:val="003408A8"/>
    <w:rsid w:val="00343893"/>
    <w:rsid w:val="00347CB9"/>
    <w:rsid w:val="00347DF6"/>
    <w:rsid w:val="0035308E"/>
    <w:rsid w:val="003613FA"/>
    <w:rsid w:val="003704DB"/>
    <w:rsid w:val="00370D90"/>
    <w:rsid w:val="00373483"/>
    <w:rsid w:val="003827A2"/>
    <w:rsid w:val="00385C24"/>
    <w:rsid w:val="003904CD"/>
    <w:rsid w:val="00395C70"/>
    <w:rsid w:val="003977DB"/>
    <w:rsid w:val="003B01CE"/>
    <w:rsid w:val="003B0677"/>
    <w:rsid w:val="003B09EE"/>
    <w:rsid w:val="003D36A9"/>
    <w:rsid w:val="003D3ED8"/>
    <w:rsid w:val="003E58EA"/>
    <w:rsid w:val="003F17D0"/>
    <w:rsid w:val="003F54A1"/>
    <w:rsid w:val="003F7C24"/>
    <w:rsid w:val="003F7CD8"/>
    <w:rsid w:val="0041233C"/>
    <w:rsid w:val="00413DF7"/>
    <w:rsid w:val="004175BD"/>
    <w:rsid w:val="00417813"/>
    <w:rsid w:val="0042016A"/>
    <w:rsid w:val="00420439"/>
    <w:rsid w:val="004220ED"/>
    <w:rsid w:val="004444E2"/>
    <w:rsid w:val="004541F4"/>
    <w:rsid w:val="00454C2E"/>
    <w:rsid w:val="00454D9C"/>
    <w:rsid w:val="00455FD6"/>
    <w:rsid w:val="00456A71"/>
    <w:rsid w:val="00466DF0"/>
    <w:rsid w:val="00471DF6"/>
    <w:rsid w:val="00480D16"/>
    <w:rsid w:val="00483166"/>
    <w:rsid w:val="0048654D"/>
    <w:rsid w:val="00494936"/>
    <w:rsid w:val="004958C4"/>
    <w:rsid w:val="004A34AE"/>
    <w:rsid w:val="004A3BE2"/>
    <w:rsid w:val="004A79E4"/>
    <w:rsid w:val="004B03BA"/>
    <w:rsid w:val="004B1926"/>
    <w:rsid w:val="004B512F"/>
    <w:rsid w:val="004C01DA"/>
    <w:rsid w:val="004C2B0D"/>
    <w:rsid w:val="004C4BF8"/>
    <w:rsid w:val="004C4F28"/>
    <w:rsid w:val="004D0E44"/>
    <w:rsid w:val="004D48F7"/>
    <w:rsid w:val="004E32E9"/>
    <w:rsid w:val="005013AD"/>
    <w:rsid w:val="0050387B"/>
    <w:rsid w:val="00503B80"/>
    <w:rsid w:val="00504222"/>
    <w:rsid w:val="00506122"/>
    <w:rsid w:val="005073D9"/>
    <w:rsid w:val="00523B99"/>
    <w:rsid w:val="00530D75"/>
    <w:rsid w:val="00532570"/>
    <w:rsid w:val="0054170F"/>
    <w:rsid w:val="0054329E"/>
    <w:rsid w:val="005457D2"/>
    <w:rsid w:val="00553F4D"/>
    <w:rsid w:val="00555E41"/>
    <w:rsid w:val="005567B0"/>
    <w:rsid w:val="00561E2D"/>
    <w:rsid w:val="00573DD3"/>
    <w:rsid w:val="00582B04"/>
    <w:rsid w:val="005961F2"/>
    <w:rsid w:val="00596B39"/>
    <w:rsid w:val="005B286C"/>
    <w:rsid w:val="005B3628"/>
    <w:rsid w:val="005B6972"/>
    <w:rsid w:val="005B6BAE"/>
    <w:rsid w:val="005C4726"/>
    <w:rsid w:val="005C6702"/>
    <w:rsid w:val="005D1628"/>
    <w:rsid w:val="005D5CE4"/>
    <w:rsid w:val="005D640C"/>
    <w:rsid w:val="005E32C4"/>
    <w:rsid w:val="005E5B92"/>
    <w:rsid w:val="005F550C"/>
    <w:rsid w:val="005F7214"/>
    <w:rsid w:val="005F7CCD"/>
    <w:rsid w:val="0060220A"/>
    <w:rsid w:val="00612114"/>
    <w:rsid w:val="00625CE1"/>
    <w:rsid w:val="00634B02"/>
    <w:rsid w:val="0065740D"/>
    <w:rsid w:val="00662238"/>
    <w:rsid w:val="00665F93"/>
    <w:rsid w:val="006703D5"/>
    <w:rsid w:val="00671757"/>
    <w:rsid w:val="006724F2"/>
    <w:rsid w:val="00673C86"/>
    <w:rsid w:val="00683D6E"/>
    <w:rsid w:val="00696AEB"/>
    <w:rsid w:val="006B0132"/>
    <w:rsid w:val="006B0D7E"/>
    <w:rsid w:val="006B5988"/>
    <w:rsid w:val="006C0767"/>
    <w:rsid w:val="006C5B2D"/>
    <w:rsid w:val="006D19D6"/>
    <w:rsid w:val="006D68E2"/>
    <w:rsid w:val="006E22E5"/>
    <w:rsid w:val="006E24DC"/>
    <w:rsid w:val="006F42FE"/>
    <w:rsid w:val="00713583"/>
    <w:rsid w:val="00713716"/>
    <w:rsid w:val="007150D4"/>
    <w:rsid w:val="00722410"/>
    <w:rsid w:val="00723957"/>
    <w:rsid w:val="00727302"/>
    <w:rsid w:val="00730952"/>
    <w:rsid w:val="00732ADF"/>
    <w:rsid w:val="0074391A"/>
    <w:rsid w:val="00743BD6"/>
    <w:rsid w:val="00747F6C"/>
    <w:rsid w:val="00750B4E"/>
    <w:rsid w:val="007518AA"/>
    <w:rsid w:val="00751C82"/>
    <w:rsid w:val="00751D13"/>
    <w:rsid w:val="0075750A"/>
    <w:rsid w:val="00761609"/>
    <w:rsid w:val="0076566D"/>
    <w:rsid w:val="007876B5"/>
    <w:rsid w:val="00787F81"/>
    <w:rsid w:val="007A3A57"/>
    <w:rsid w:val="007B1F04"/>
    <w:rsid w:val="007B48D8"/>
    <w:rsid w:val="007C08A5"/>
    <w:rsid w:val="007C58EB"/>
    <w:rsid w:val="007D20CB"/>
    <w:rsid w:val="007E35DE"/>
    <w:rsid w:val="007E7FE7"/>
    <w:rsid w:val="007F3800"/>
    <w:rsid w:val="007F4E20"/>
    <w:rsid w:val="008007A2"/>
    <w:rsid w:val="0080490C"/>
    <w:rsid w:val="00813F48"/>
    <w:rsid w:val="00820270"/>
    <w:rsid w:val="00821774"/>
    <w:rsid w:val="008218F1"/>
    <w:rsid w:val="00827196"/>
    <w:rsid w:val="00833ED1"/>
    <w:rsid w:val="00833F5E"/>
    <w:rsid w:val="008350C8"/>
    <w:rsid w:val="0083572F"/>
    <w:rsid w:val="00835934"/>
    <w:rsid w:val="00840293"/>
    <w:rsid w:val="0084434D"/>
    <w:rsid w:val="008522C3"/>
    <w:rsid w:val="008524B9"/>
    <w:rsid w:val="00855932"/>
    <w:rsid w:val="0087133A"/>
    <w:rsid w:val="00877453"/>
    <w:rsid w:val="00881F93"/>
    <w:rsid w:val="0088665A"/>
    <w:rsid w:val="00886721"/>
    <w:rsid w:val="00896FD3"/>
    <w:rsid w:val="008A175C"/>
    <w:rsid w:val="008A23C6"/>
    <w:rsid w:val="008A28E9"/>
    <w:rsid w:val="008A4863"/>
    <w:rsid w:val="008B4C0D"/>
    <w:rsid w:val="008C43B8"/>
    <w:rsid w:val="008C4755"/>
    <w:rsid w:val="008C60B4"/>
    <w:rsid w:val="008C7790"/>
    <w:rsid w:val="008D040A"/>
    <w:rsid w:val="008D71B6"/>
    <w:rsid w:val="008F0ECE"/>
    <w:rsid w:val="008F167F"/>
    <w:rsid w:val="008F3ECE"/>
    <w:rsid w:val="00900F96"/>
    <w:rsid w:val="00901F51"/>
    <w:rsid w:val="00904C1E"/>
    <w:rsid w:val="00913B1D"/>
    <w:rsid w:val="00927E51"/>
    <w:rsid w:val="00930448"/>
    <w:rsid w:val="009332CC"/>
    <w:rsid w:val="00950CF4"/>
    <w:rsid w:val="00950E3C"/>
    <w:rsid w:val="009602D8"/>
    <w:rsid w:val="0096499B"/>
    <w:rsid w:val="0096523F"/>
    <w:rsid w:val="00972B97"/>
    <w:rsid w:val="0098390D"/>
    <w:rsid w:val="009B7C31"/>
    <w:rsid w:val="009B7C49"/>
    <w:rsid w:val="009D2858"/>
    <w:rsid w:val="009D29EB"/>
    <w:rsid w:val="009D3573"/>
    <w:rsid w:val="009E1945"/>
    <w:rsid w:val="009E2A55"/>
    <w:rsid w:val="009E38AA"/>
    <w:rsid w:val="009E5CD4"/>
    <w:rsid w:val="009F0624"/>
    <w:rsid w:val="00A02D86"/>
    <w:rsid w:val="00A26D79"/>
    <w:rsid w:val="00A34D55"/>
    <w:rsid w:val="00A41C84"/>
    <w:rsid w:val="00A475F6"/>
    <w:rsid w:val="00A745E0"/>
    <w:rsid w:val="00A7640E"/>
    <w:rsid w:val="00A835BB"/>
    <w:rsid w:val="00A959E1"/>
    <w:rsid w:val="00A97163"/>
    <w:rsid w:val="00AB5820"/>
    <w:rsid w:val="00AB7217"/>
    <w:rsid w:val="00AC48E2"/>
    <w:rsid w:val="00AD36D9"/>
    <w:rsid w:val="00AD4060"/>
    <w:rsid w:val="00AD4ED7"/>
    <w:rsid w:val="00AD745A"/>
    <w:rsid w:val="00AE242B"/>
    <w:rsid w:val="00AF5FD2"/>
    <w:rsid w:val="00B01CF9"/>
    <w:rsid w:val="00B13B40"/>
    <w:rsid w:val="00B14FB4"/>
    <w:rsid w:val="00B15EAE"/>
    <w:rsid w:val="00B235F5"/>
    <w:rsid w:val="00B2419B"/>
    <w:rsid w:val="00B269B4"/>
    <w:rsid w:val="00B31307"/>
    <w:rsid w:val="00B32B84"/>
    <w:rsid w:val="00B36734"/>
    <w:rsid w:val="00B4393C"/>
    <w:rsid w:val="00B443F0"/>
    <w:rsid w:val="00B47A90"/>
    <w:rsid w:val="00B503F6"/>
    <w:rsid w:val="00B70E9F"/>
    <w:rsid w:val="00B733C4"/>
    <w:rsid w:val="00B75AEB"/>
    <w:rsid w:val="00B80ED4"/>
    <w:rsid w:val="00B840D1"/>
    <w:rsid w:val="00B872A3"/>
    <w:rsid w:val="00B8774C"/>
    <w:rsid w:val="00BA1585"/>
    <w:rsid w:val="00BA2E97"/>
    <w:rsid w:val="00BB20B4"/>
    <w:rsid w:val="00BD1E5A"/>
    <w:rsid w:val="00BD29A4"/>
    <w:rsid w:val="00BD2AEC"/>
    <w:rsid w:val="00BD525D"/>
    <w:rsid w:val="00BF08F2"/>
    <w:rsid w:val="00BF7C40"/>
    <w:rsid w:val="00C002BA"/>
    <w:rsid w:val="00C00FCF"/>
    <w:rsid w:val="00C103D3"/>
    <w:rsid w:val="00C134DF"/>
    <w:rsid w:val="00C20655"/>
    <w:rsid w:val="00C215DD"/>
    <w:rsid w:val="00C31451"/>
    <w:rsid w:val="00C42C72"/>
    <w:rsid w:val="00C626C8"/>
    <w:rsid w:val="00C64E1E"/>
    <w:rsid w:val="00C67E50"/>
    <w:rsid w:val="00C71F80"/>
    <w:rsid w:val="00C72001"/>
    <w:rsid w:val="00C74568"/>
    <w:rsid w:val="00C848C2"/>
    <w:rsid w:val="00CA072F"/>
    <w:rsid w:val="00CB2430"/>
    <w:rsid w:val="00CB582D"/>
    <w:rsid w:val="00CC0D0C"/>
    <w:rsid w:val="00CC24F6"/>
    <w:rsid w:val="00CD2BF9"/>
    <w:rsid w:val="00CE0280"/>
    <w:rsid w:val="00CE7D4B"/>
    <w:rsid w:val="00CE7F5D"/>
    <w:rsid w:val="00CF7048"/>
    <w:rsid w:val="00D0357C"/>
    <w:rsid w:val="00D1733E"/>
    <w:rsid w:val="00D300F1"/>
    <w:rsid w:val="00D45C72"/>
    <w:rsid w:val="00D4703F"/>
    <w:rsid w:val="00D55057"/>
    <w:rsid w:val="00D56EA4"/>
    <w:rsid w:val="00D620C4"/>
    <w:rsid w:val="00D9004A"/>
    <w:rsid w:val="00D92C88"/>
    <w:rsid w:val="00DA2767"/>
    <w:rsid w:val="00DA5FF9"/>
    <w:rsid w:val="00DC4357"/>
    <w:rsid w:val="00DC65EE"/>
    <w:rsid w:val="00DD3A12"/>
    <w:rsid w:val="00DD3DC8"/>
    <w:rsid w:val="00DE4D6F"/>
    <w:rsid w:val="00DE6D89"/>
    <w:rsid w:val="00DF3057"/>
    <w:rsid w:val="00DF4107"/>
    <w:rsid w:val="00DF616B"/>
    <w:rsid w:val="00DF691C"/>
    <w:rsid w:val="00E15CFF"/>
    <w:rsid w:val="00E274A2"/>
    <w:rsid w:val="00E27A80"/>
    <w:rsid w:val="00E42509"/>
    <w:rsid w:val="00E50A85"/>
    <w:rsid w:val="00E52AC3"/>
    <w:rsid w:val="00E55590"/>
    <w:rsid w:val="00E62CC3"/>
    <w:rsid w:val="00E65768"/>
    <w:rsid w:val="00E66891"/>
    <w:rsid w:val="00E71814"/>
    <w:rsid w:val="00E82B7D"/>
    <w:rsid w:val="00E8521A"/>
    <w:rsid w:val="00E8540A"/>
    <w:rsid w:val="00E85CB2"/>
    <w:rsid w:val="00EA0B90"/>
    <w:rsid w:val="00EB026A"/>
    <w:rsid w:val="00EB324B"/>
    <w:rsid w:val="00EB79CC"/>
    <w:rsid w:val="00EC0B1F"/>
    <w:rsid w:val="00EC2043"/>
    <w:rsid w:val="00ED34EE"/>
    <w:rsid w:val="00ED43DF"/>
    <w:rsid w:val="00ED538A"/>
    <w:rsid w:val="00ED6140"/>
    <w:rsid w:val="00ED79C8"/>
    <w:rsid w:val="00EE123C"/>
    <w:rsid w:val="00EE2461"/>
    <w:rsid w:val="00EE43A1"/>
    <w:rsid w:val="00EE4526"/>
    <w:rsid w:val="00EE4F08"/>
    <w:rsid w:val="00F12726"/>
    <w:rsid w:val="00F16E0A"/>
    <w:rsid w:val="00F20F1E"/>
    <w:rsid w:val="00F21678"/>
    <w:rsid w:val="00F35412"/>
    <w:rsid w:val="00F413F6"/>
    <w:rsid w:val="00F45886"/>
    <w:rsid w:val="00F47FB2"/>
    <w:rsid w:val="00F566B0"/>
    <w:rsid w:val="00F64094"/>
    <w:rsid w:val="00F64242"/>
    <w:rsid w:val="00F73A02"/>
    <w:rsid w:val="00F82BEB"/>
    <w:rsid w:val="00F95845"/>
    <w:rsid w:val="00FA32FE"/>
    <w:rsid w:val="00FA7606"/>
    <w:rsid w:val="00FC1242"/>
    <w:rsid w:val="00FC23DE"/>
    <w:rsid w:val="00FD39C8"/>
    <w:rsid w:val="00FD6D8D"/>
    <w:rsid w:val="00FF225E"/>
    <w:rsid w:val="00FF6C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F768BA"/>
  <w15:docId w15:val="{71C6D8F5-6835-45B2-A5C6-26A882808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632"/>
    <w:pPr>
      <w:spacing w:before="60" w:after="60"/>
    </w:pPr>
    <w:rPr>
      <w:rFonts w:asciiTheme="minorHAnsi" w:hAnsiTheme="minorHAnsi"/>
      <w:sz w:val="22"/>
      <w:szCs w:val="24"/>
      <w:lang w:val="en-US"/>
    </w:rPr>
  </w:style>
  <w:style w:type="paragraph" w:styleId="Heading1">
    <w:name w:val="heading 1"/>
    <w:basedOn w:val="Normal"/>
    <w:next w:val="Normal"/>
    <w:link w:val="Heading1Char"/>
    <w:autoRedefine/>
    <w:qFormat/>
    <w:rsid w:val="0075750A"/>
    <w:pPr>
      <w:keepNext/>
      <w:numPr>
        <w:numId w:val="16"/>
      </w:numPr>
      <w:spacing w:before="240"/>
      <w:ind w:left="357" w:hanging="357"/>
      <w:outlineLvl w:val="0"/>
    </w:pPr>
    <w:rPr>
      <w:rFonts w:ascii="Calibri" w:hAnsi="Calibri" w:cs="Arial"/>
      <w:b/>
      <w:bCs/>
      <w:color w:val="0070C0"/>
      <w:kern w:val="32"/>
      <w:sz w:val="28"/>
      <w:szCs w:val="32"/>
    </w:rPr>
  </w:style>
  <w:style w:type="paragraph" w:styleId="Heading2">
    <w:name w:val="heading 2"/>
    <w:basedOn w:val="Normal"/>
    <w:next w:val="Normal"/>
    <w:link w:val="Heading2Char"/>
    <w:autoRedefine/>
    <w:qFormat/>
    <w:rsid w:val="005C4726"/>
    <w:pPr>
      <w:keepNext/>
      <w:spacing w:before="240"/>
      <w:outlineLvl w:val="1"/>
    </w:pPr>
    <w:rPr>
      <w:rFonts w:ascii="Arial" w:eastAsiaTheme="minorHAnsi" w:hAnsi="Arial" w:cs="Arial"/>
      <w:bCs/>
      <w:iCs/>
      <w:color w:val="0070C0"/>
      <w:sz w:val="24"/>
      <w:szCs w:val="28"/>
      <w:lang w:val="en-AU"/>
    </w:rPr>
  </w:style>
  <w:style w:type="paragraph" w:styleId="Heading3">
    <w:name w:val="heading 3"/>
    <w:basedOn w:val="Normal"/>
    <w:next w:val="Normal"/>
    <w:link w:val="Heading3Char"/>
    <w:autoRedefine/>
    <w:qFormat/>
    <w:rsid w:val="005C4726"/>
    <w:pPr>
      <w:keepNext/>
      <w:spacing w:before="240"/>
      <w:outlineLvl w:val="2"/>
    </w:pPr>
    <w:rPr>
      <w:rFonts w:ascii="Calibri" w:hAnsi="Calibri" w:cs="Arial"/>
      <w:b/>
      <w:bCs/>
      <w:color w:val="0070C0"/>
      <w:szCs w:val="26"/>
    </w:rPr>
  </w:style>
  <w:style w:type="paragraph" w:styleId="Heading4">
    <w:name w:val="heading 4"/>
    <w:basedOn w:val="Normal"/>
    <w:next w:val="Normal"/>
    <w:link w:val="Heading4Char"/>
    <w:autoRedefine/>
    <w:qFormat/>
    <w:rsid w:val="003B01CE"/>
    <w:pPr>
      <w:keepNext/>
      <w:spacing w:before="240"/>
      <w:outlineLvl w:val="3"/>
    </w:pPr>
    <w:rPr>
      <w:rFonts w:ascii="Calibri" w:hAnsi="Calibri"/>
      <w:bCs/>
      <w:i/>
      <w:szCs w:val="28"/>
    </w:rPr>
  </w:style>
  <w:style w:type="paragraph" w:styleId="Heading5">
    <w:name w:val="heading 5"/>
    <w:basedOn w:val="Normal"/>
    <w:next w:val="Normal"/>
    <w:link w:val="Heading5Char"/>
    <w:qFormat/>
    <w:rsid w:val="007C58EB"/>
    <w:pPr>
      <w:spacing w:before="240"/>
      <w:outlineLvl w:val="4"/>
    </w:pPr>
    <w:rPr>
      <w:b/>
      <w:bCs/>
      <w:iCs/>
      <w:sz w:val="26"/>
      <w:szCs w:val="26"/>
    </w:rPr>
  </w:style>
  <w:style w:type="paragraph" w:styleId="Heading6">
    <w:name w:val="heading 6"/>
    <w:basedOn w:val="Normal"/>
    <w:next w:val="Normal"/>
    <w:link w:val="Heading6Char"/>
    <w:qFormat/>
    <w:rsid w:val="007C58EB"/>
    <w:pPr>
      <w:spacing w:before="240"/>
      <w:outlineLvl w:val="5"/>
    </w:pPr>
    <w:rPr>
      <w:b/>
      <w:bCs/>
      <w:i/>
      <w:szCs w:val="22"/>
    </w:rPr>
  </w:style>
  <w:style w:type="paragraph" w:styleId="Heading7">
    <w:name w:val="heading 7"/>
    <w:basedOn w:val="Normal"/>
    <w:next w:val="Normal"/>
    <w:link w:val="Heading7Char"/>
    <w:unhideWhenUsed/>
    <w:qFormat/>
    <w:rsid w:val="007C58E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5750A"/>
    <w:rPr>
      <w:rFonts w:ascii="Calibri" w:hAnsi="Calibri" w:cs="Arial"/>
      <w:b/>
      <w:bCs/>
      <w:color w:val="0070C0"/>
      <w:kern w:val="32"/>
      <w:sz w:val="28"/>
      <w:szCs w:val="32"/>
      <w:lang w:val="en-US"/>
    </w:rPr>
  </w:style>
  <w:style w:type="character" w:customStyle="1" w:styleId="Heading2Char">
    <w:name w:val="Heading 2 Char"/>
    <w:basedOn w:val="DefaultParagraphFont"/>
    <w:link w:val="Heading2"/>
    <w:rsid w:val="005C4726"/>
    <w:rPr>
      <w:rFonts w:ascii="Arial" w:eastAsiaTheme="minorHAnsi" w:hAnsi="Arial" w:cs="Arial"/>
      <w:bCs/>
      <w:iCs/>
      <w:color w:val="0070C0"/>
      <w:sz w:val="24"/>
      <w:szCs w:val="28"/>
    </w:rPr>
  </w:style>
  <w:style w:type="character" w:customStyle="1" w:styleId="Heading3Char">
    <w:name w:val="Heading 3 Char"/>
    <w:basedOn w:val="DefaultParagraphFont"/>
    <w:link w:val="Heading3"/>
    <w:rsid w:val="005C4726"/>
    <w:rPr>
      <w:rFonts w:ascii="Calibri" w:hAnsi="Calibri" w:cs="Arial"/>
      <w:b/>
      <w:bCs/>
      <w:color w:val="0070C0"/>
      <w:sz w:val="22"/>
      <w:szCs w:val="26"/>
      <w:lang w:val="en-US"/>
    </w:rPr>
  </w:style>
  <w:style w:type="character" w:customStyle="1" w:styleId="Heading4Char">
    <w:name w:val="Heading 4 Char"/>
    <w:basedOn w:val="DefaultParagraphFont"/>
    <w:link w:val="Heading4"/>
    <w:rsid w:val="003B01CE"/>
    <w:rPr>
      <w:rFonts w:ascii="Calibri" w:hAnsi="Calibri"/>
      <w:bCs/>
      <w:i/>
      <w:sz w:val="22"/>
      <w:szCs w:val="28"/>
      <w:lang w:val="en-US"/>
    </w:rPr>
  </w:style>
  <w:style w:type="character" w:customStyle="1" w:styleId="Heading5Char">
    <w:name w:val="Heading 5 Char"/>
    <w:basedOn w:val="DefaultParagraphFont"/>
    <w:link w:val="Heading5"/>
    <w:rsid w:val="007C58EB"/>
    <w:rPr>
      <w:b/>
      <w:bCs/>
      <w:iCs/>
      <w:sz w:val="26"/>
      <w:szCs w:val="26"/>
      <w:lang w:val="en-US"/>
    </w:rPr>
  </w:style>
  <w:style w:type="character" w:customStyle="1" w:styleId="Heading6Char">
    <w:name w:val="Heading 6 Char"/>
    <w:basedOn w:val="DefaultParagraphFont"/>
    <w:link w:val="Heading6"/>
    <w:rsid w:val="007C58EB"/>
    <w:rPr>
      <w:b/>
      <w:bCs/>
      <w:i/>
      <w:sz w:val="22"/>
      <w:szCs w:val="22"/>
      <w:lang w:val="en-US"/>
    </w:rPr>
  </w:style>
  <w:style w:type="paragraph" w:styleId="ListParagraph">
    <w:name w:val="List Paragraph"/>
    <w:basedOn w:val="Normal"/>
    <w:uiPriority w:val="34"/>
    <w:qFormat/>
    <w:rsid w:val="007C58EB"/>
    <w:pPr>
      <w:ind w:left="720"/>
      <w:contextualSpacing/>
    </w:pPr>
  </w:style>
  <w:style w:type="character" w:customStyle="1" w:styleId="Heading7Char">
    <w:name w:val="Heading 7 Char"/>
    <w:basedOn w:val="DefaultParagraphFont"/>
    <w:link w:val="Heading7"/>
    <w:rsid w:val="007C58EB"/>
    <w:rPr>
      <w:rFonts w:asciiTheme="majorHAnsi" w:eastAsiaTheme="majorEastAsia" w:hAnsiTheme="majorHAnsi" w:cstheme="majorBidi"/>
      <w:i/>
      <w:iCs/>
      <w:color w:val="404040" w:themeColor="text1" w:themeTint="BF"/>
      <w:sz w:val="24"/>
      <w:szCs w:val="24"/>
      <w:lang w:val="en-US"/>
    </w:rPr>
  </w:style>
  <w:style w:type="character" w:styleId="Emphasis">
    <w:name w:val="Emphasis"/>
    <w:basedOn w:val="DefaultParagraphFont"/>
    <w:uiPriority w:val="20"/>
    <w:qFormat/>
    <w:rsid w:val="007C58EB"/>
    <w:rPr>
      <w:i/>
      <w:iCs/>
    </w:rPr>
  </w:style>
  <w:style w:type="paragraph" w:styleId="Title">
    <w:name w:val="Title"/>
    <w:basedOn w:val="Normal"/>
    <w:next w:val="Normal"/>
    <w:link w:val="TitleChar"/>
    <w:qFormat/>
    <w:rsid w:val="00DA2767"/>
    <w:pPr>
      <w:pBdr>
        <w:bottom w:val="single" w:sz="8" w:space="4" w:color="4F81BD" w:themeColor="accent1"/>
      </w:pBdr>
      <w:spacing w:after="300"/>
      <w:contextualSpacing/>
    </w:pPr>
    <w:rPr>
      <w:rFonts w:ascii="Calibri" w:eastAsiaTheme="majorEastAsia" w:hAnsi="Calibri" w:cstheme="majorBidi"/>
      <w:color w:val="17365D" w:themeColor="text2" w:themeShade="BF"/>
      <w:spacing w:val="5"/>
      <w:kern w:val="28"/>
      <w:sz w:val="52"/>
      <w:szCs w:val="52"/>
    </w:rPr>
  </w:style>
  <w:style w:type="character" w:customStyle="1" w:styleId="TitleChar">
    <w:name w:val="Title Char"/>
    <w:basedOn w:val="DefaultParagraphFont"/>
    <w:link w:val="Title"/>
    <w:rsid w:val="00DA2767"/>
    <w:rPr>
      <w:rFonts w:ascii="Calibri" w:eastAsiaTheme="majorEastAsia" w:hAnsi="Calibri" w:cstheme="majorBidi"/>
      <w:color w:val="17365D" w:themeColor="text2" w:themeShade="BF"/>
      <w:spacing w:val="5"/>
      <w:kern w:val="28"/>
      <w:sz w:val="52"/>
      <w:szCs w:val="52"/>
      <w:lang w:val="en-US"/>
    </w:rPr>
  </w:style>
  <w:style w:type="paragraph" w:styleId="TOCHeading">
    <w:name w:val="TOC Heading"/>
    <w:basedOn w:val="Heading1"/>
    <w:next w:val="Normal"/>
    <w:uiPriority w:val="39"/>
    <w:semiHidden/>
    <w:unhideWhenUsed/>
    <w:qFormat/>
    <w:rsid w:val="00C20655"/>
    <w:pPr>
      <w:keepLines/>
      <w:spacing w:before="480" w:after="0" w:line="276" w:lineRule="auto"/>
      <w:outlineLvl w:val="9"/>
    </w:pPr>
    <w:rPr>
      <w:rFonts w:asciiTheme="majorHAnsi" w:eastAsiaTheme="majorEastAsia" w:hAnsiTheme="majorHAnsi" w:cstheme="majorBidi"/>
      <w:color w:val="365F91" w:themeColor="accent1" w:themeShade="BF"/>
      <w:kern w:val="0"/>
      <w:szCs w:val="28"/>
      <w:lang w:eastAsia="ja-JP"/>
    </w:rPr>
  </w:style>
  <w:style w:type="paragraph" w:styleId="TOC1">
    <w:name w:val="toc 1"/>
    <w:basedOn w:val="Normal"/>
    <w:next w:val="Normal"/>
    <w:autoRedefine/>
    <w:uiPriority w:val="39"/>
    <w:unhideWhenUsed/>
    <w:rsid w:val="00C20655"/>
    <w:pPr>
      <w:spacing w:after="100"/>
    </w:pPr>
  </w:style>
  <w:style w:type="character" w:styleId="Hyperlink">
    <w:name w:val="Hyperlink"/>
    <w:basedOn w:val="DefaultParagraphFont"/>
    <w:uiPriority w:val="99"/>
    <w:unhideWhenUsed/>
    <w:rsid w:val="00C20655"/>
    <w:rPr>
      <w:color w:val="0000FF" w:themeColor="hyperlink"/>
      <w:u w:val="single"/>
    </w:rPr>
  </w:style>
  <w:style w:type="paragraph" w:styleId="BalloonText">
    <w:name w:val="Balloon Text"/>
    <w:basedOn w:val="Normal"/>
    <w:link w:val="BalloonTextChar"/>
    <w:uiPriority w:val="99"/>
    <w:semiHidden/>
    <w:unhideWhenUsed/>
    <w:rsid w:val="00C20655"/>
    <w:rPr>
      <w:rFonts w:ascii="Tahoma" w:hAnsi="Tahoma" w:cs="Tahoma"/>
      <w:sz w:val="16"/>
      <w:szCs w:val="16"/>
    </w:rPr>
  </w:style>
  <w:style w:type="character" w:customStyle="1" w:styleId="BalloonTextChar">
    <w:name w:val="Balloon Text Char"/>
    <w:basedOn w:val="DefaultParagraphFont"/>
    <w:link w:val="BalloonText"/>
    <w:uiPriority w:val="99"/>
    <w:semiHidden/>
    <w:rsid w:val="00C20655"/>
    <w:rPr>
      <w:rFonts w:ascii="Tahoma" w:hAnsi="Tahoma" w:cs="Tahoma"/>
      <w:sz w:val="16"/>
      <w:szCs w:val="16"/>
      <w:lang w:val="en-US"/>
    </w:rPr>
  </w:style>
  <w:style w:type="paragraph" w:styleId="Header">
    <w:name w:val="header"/>
    <w:basedOn w:val="Normal"/>
    <w:link w:val="HeaderChar"/>
    <w:uiPriority w:val="99"/>
    <w:unhideWhenUsed/>
    <w:rsid w:val="008F3ECE"/>
    <w:pPr>
      <w:tabs>
        <w:tab w:val="center" w:pos="4513"/>
        <w:tab w:val="right" w:pos="9026"/>
      </w:tabs>
    </w:pPr>
  </w:style>
  <w:style w:type="character" w:customStyle="1" w:styleId="HeaderChar">
    <w:name w:val="Header Char"/>
    <w:basedOn w:val="DefaultParagraphFont"/>
    <w:link w:val="Header"/>
    <w:uiPriority w:val="99"/>
    <w:rsid w:val="008F3ECE"/>
    <w:rPr>
      <w:sz w:val="24"/>
      <w:szCs w:val="24"/>
      <w:lang w:val="en-US"/>
    </w:rPr>
  </w:style>
  <w:style w:type="paragraph" w:styleId="Footer">
    <w:name w:val="footer"/>
    <w:basedOn w:val="Normal"/>
    <w:link w:val="FooterChar"/>
    <w:uiPriority w:val="99"/>
    <w:unhideWhenUsed/>
    <w:rsid w:val="008F3ECE"/>
    <w:pPr>
      <w:tabs>
        <w:tab w:val="center" w:pos="4513"/>
        <w:tab w:val="right" w:pos="9026"/>
      </w:tabs>
    </w:pPr>
  </w:style>
  <w:style w:type="character" w:customStyle="1" w:styleId="FooterChar">
    <w:name w:val="Footer Char"/>
    <w:basedOn w:val="DefaultParagraphFont"/>
    <w:link w:val="Footer"/>
    <w:uiPriority w:val="99"/>
    <w:rsid w:val="008F3ECE"/>
    <w:rPr>
      <w:sz w:val="24"/>
      <w:szCs w:val="24"/>
      <w:lang w:val="en-US"/>
    </w:rPr>
  </w:style>
  <w:style w:type="paragraph" w:styleId="TOC2">
    <w:name w:val="toc 2"/>
    <w:basedOn w:val="Normal"/>
    <w:next w:val="Normal"/>
    <w:autoRedefine/>
    <w:uiPriority w:val="39"/>
    <w:unhideWhenUsed/>
    <w:rsid w:val="00BD1E5A"/>
    <w:pPr>
      <w:spacing w:after="100"/>
      <w:ind w:left="240"/>
    </w:pPr>
  </w:style>
  <w:style w:type="paragraph" w:styleId="TOC3">
    <w:name w:val="toc 3"/>
    <w:basedOn w:val="Normal"/>
    <w:next w:val="Normal"/>
    <w:autoRedefine/>
    <w:uiPriority w:val="39"/>
    <w:unhideWhenUsed/>
    <w:rsid w:val="00BD1E5A"/>
    <w:pPr>
      <w:spacing w:after="100"/>
      <w:ind w:left="480"/>
    </w:pPr>
  </w:style>
  <w:style w:type="paragraph" w:styleId="FootnoteText">
    <w:name w:val="footnote text"/>
    <w:basedOn w:val="Normal"/>
    <w:link w:val="FootnoteTextChar"/>
    <w:unhideWhenUsed/>
    <w:rsid w:val="00821774"/>
    <w:rPr>
      <w:sz w:val="20"/>
      <w:szCs w:val="20"/>
    </w:rPr>
  </w:style>
  <w:style w:type="character" w:customStyle="1" w:styleId="FootnoteTextChar">
    <w:name w:val="Footnote Text Char"/>
    <w:basedOn w:val="DefaultParagraphFont"/>
    <w:link w:val="FootnoteText"/>
    <w:rsid w:val="00821774"/>
    <w:rPr>
      <w:lang w:val="en-US"/>
    </w:rPr>
  </w:style>
  <w:style w:type="character" w:styleId="FootnoteReference">
    <w:name w:val="footnote reference"/>
    <w:basedOn w:val="DefaultParagraphFont"/>
    <w:unhideWhenUsed/>
    <w:rsid w:val="00821774"/>
    <w:rPr>
      <w:rFonts w:ascii="Arial" w:hAnsi="Arial" w:cs="Arial"/>
      <w:sz w:val="22"/>
      <w:szCs w:val="22"/>
      <w:vertAlign w:val="superscript"/>
    </w:rPr>
  </w:style>
  <w:style w:type="paragraph" w:customStyle="1" w:styleId="dotpoint">
    <w:name w:val="dot point"/>
    <w:basedOn w:val="Normal"/>
    <w:link w:val="dotpointChar"/>
    <w:qFormat/>
    <w:rsid w:val="00821774"/>
    <w:pPr>
      <w:numPr>
        <w:numId w:val="15"/>
      </w:numPr>
      <w:autoSpaceDE w:val="0"/>
      <w:autoSpaceDN w:val="0"/>
      <w:spacing w:line="276" w:lineRule="auto"/>
    </w:pPr>
    <w:rPr>
      <w:rFonts w:eastAsiaTheme="minorHAnsi" w:cs="Calibri"/>
      <w:szCs w:val="22"/>
      <w:lang w:val="en-AU"/>
    </w:rPr>
  </w:style>
  <w:style w:type="character" w:customStyle="1" w:styleId="dotpointChar">
    <w:name w:val="dot point Char"/>
    <w:basedOn w:val="DefaultParagraphFont"/>
    <w:link w:val="dotpoint"/>
    <w:rsid w:val="00821774"/>
    <w:rPr>
      <w:rFonts w:asciiTheme="minorHAnsi" w:eastAsiaTheme="minorHAnsi" w:hAnsiTheme="minorHAnsi" w:cs="Calibri"/>
      <w:sz w:val="22"/>
      <w:szCs w:val="22"/>
    </w:rPr>
  </w:style>
  <w:style w:type="character" w:styleId="IntenseReference">
    <w:name w:val="Intense Reference"/>
    <w:basedOn w:val="DefaultParagraphFont"/>
    <w:uiPriority w:val="32"/>
    <w:qFormat/>
    <w:rsid w:val="00ED538A"/>
    <w:rPr>
      <w:b/>
      <w:bCs/>
      <w:i/>
      <w:smallCaps/>
      <w:color w:val="C0504D" w:themeColor="accent2"/>
      <w:spacing w:val="5"/>
      <w:u w:val="none"/>
    </w:rPr>
  </w:style>
  <w:style w:type="character" w:customStyle="1" w:styleId="apple-converted-space">
    <w:name w:val="apple-converted-space"/>
    <w:basedOn w:val="DefaultParagraphFont"/>
    <w:rsid w:val="0054170F"/>
  </w:style>
  <w:style w:type="character" w:styleId="FollowedHyperlink">
    <w:name w:val="FollowedHyperlink"/>
    <w:basedOn w:val="DefaultParagraphFont"/>
    <w:uiPriority w:val="99"/>
    <w:semiHidden/>
    <w:unhideWhenUsed/>
    <w:rsid w:val="005B3628"/>
    <w:rPr>
      <w:color w:val="800080" w:themeColor="followedHyperlink"/>
      <w:u w:val="single"/>
    </w:rPr>
  </w:style>
  <w:style w:type="character" w:styleId="CommentReference">
    <w:name w:val="annotation reference"/>
    <w:basedOn w:val="DefaultParagraphFont"/>
    <w:uiPriority w:val="99"/>
    <w:semiHidden/>
    <w:unhideWhenUsed/>
    <w:rsid w:val="00833ED1"/>
    <w:rPr>
      <w:sz w:val="16"/>
      <w:szCs w:val="16"/>
    </w:rPr>
  </w:style>
  <w:style w:type="paragraph" w:styleId="CommentText">
    <w:name w:val="annotation text"/>
    <w:basedOn w:val="Normal"/>
    <w:link w:val="CommentTextChar"/>
    <w:uiPriority w:val="99"/>
    <w:semiHidden/>
    <w:unhideWhenUsed/>
    <w:rsid w:val="00833ED1"/>
    <w:rPr>
      <w:sz w:val="20"/>
      <w:szCs w:val="20"/>
    </w:rPr>
  </w:style>
  <w:style w:type="character" w:customStyle="1" w:styleId="CommentTextChar">
    <w:name w:val="Comment Text Char"/>
    <w:basedOn w:val="DefaultParagraphFont"/>
    <w:link w:val="CommentText"/>
    <w:uiPriority w:val="99"/>
    <w:semiHidden/>
    <w:rsid w:val="00833ED1"/>
    <w:rPr>
      <w:rFonts w:asciiTheme="minorHAnsi" w:hAnsiTheme="minorHAnsi"/>
      <w:lang w:val="en-US"/>
    </w:rPr>
  </w:style>
  <w:style w:type="paragraph" w:styleId="CommentSubject">
    <w:name w:val="annotation subject"/>
    <w:basedOn w:val="CommentText"/>
    <w:next w:val="CommentText"/>
    <w:link w:val="CommentSubjectChar"/>
    <w:uiPriority w:val="99"/>
    <w:semiHidden/>
    <w:unhideWhenUsed/>
    <w:rsid w:val="00833ED1"/>
    <w:rPr>
      <w:b/>
      <w:bCs/>
    </w:rPr>
  </w:style>
  <w:style w:type="character" w:customStyle="1" w:styleId="CommentSubjectChar">
    <w:name w:val="Comment Subject Char"/>
    <w:basedOn w:val="CommentTextChar"/>
    <w:link w:val="CommentSubject"/>
    <w:uiPriority w:val="99"/>
    <w:semiHidden/>
    <w:rsid w:val="00833ED1"/>
    <w:rPr>
      <w:rFonts w:asciiTheme="minorHAnsi" w:hAnsiTheme="minorHAnsi"/>
      <w:b/>
      <w:bCs/>
      <w:lang w:val="en-US"/>
    </w:rPr>
  </w:style>
  <w:style w:type="paragraph" w:styleId="Revision">
    <w:name w:val="Revision"/>
    <w:hidden/>
    <w:uiPriority w:val="99"/>
    <w:semiHidden/>
    <w:rsid w:val="000D2BA3"/>
    <w:rPr>
      <w:rFonts w:asciiTheme="minorHAnsi" w:hAnsiTheme="minorHAnsi"/>
      <w:sz w:val="22"/>
      <w:szCs w:val="24"/>
      <w:lang w:val="en-US"/>
    </w:rPr>
  </w:style>
  <w:style w:type="paragraph" w:styleId="NormalWeb">
    <w:name w:val="Normal (Web)"/>
    <w:basedOn w:val="Normal"/>
    <w:uiPriority w:val="99"/>
    <w:semiHidden/>
    <w:unhideWhenUsed/>
    <w:rsid w:val="00F16E0A"/>
    <w:pPr>
      <w:spacing w:before="100" w:beforeAutospacing="1" w:after="100" w:afterAutospacing="1"/>
    </w:pPr>
    <w:rPr>
      <w:rFonts w:ascii="Times New Roman" w:eastAsiaTheme="minorEastAsia" w:hAnsi="Times New Roman"/>
      <w:sz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30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health.gov.au/natsihp" TargetMode="External"/><Relationship Id="rId26" Type="http://schemas.openxmlformats.org/officeDocument/2006/relationships/hyperlink" Target="http://www.aihw.gov.au/publication-detail/?id=60129548237"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harepoint.central.health/divisions/IHD/Policies%20and%20Procedures/IAHP-programme-logic.pdf?Web=1" TargetMode="External"/><Relationship Id="rId34" Type="http://schemas.openxmlformats.org/officeDocument/2006/relationships/hyperlink" Target="http://sharepoint.central.health/divisions/IHD/Policies%20and%20Procedures/Evaluation%20Guide.docx?Web=1"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www.health.gov.au/internet/main/publishing.nsf/content/cqi-framework-atsih" TargetMode="External"/><Relationship Id="rId25" Type="http://schemas.openxmlformats.org/officeDocument/2006/relationships/hyperlink" Target="http://www.dpmc.gov.au/indigenous-affairs/publication/aboriginal-and-torres-strait-islander-health-performance-framework-2014-report" TargetMode="External"/><Relationship Id="rId33" Type="http://schemas.openxmlformats.org/officeDocument/2006/relationships/hyperlink" Target="http://www.nhmrc.gov.au/guidelines-publications/e52"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health.gov.au/natsihp" TargetMode="External"/><Relationship Id="rId20" Type="http://schemas.openxmlformats.org/officeDocument/2006/relationships/hyperlink" Target="http://www.finance.gov.au/resource-management/performance/" TargetMode="External"/><Relationship Id="rId29" Type="http://schemas.openxmlformats.org/officeDocument/2006/relationships/hyperlink" Target="http://www.aihw.gov.au/nagatsihid/"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uttingredtape.gov.au/handbook/australian-government-guide-regulation" TargetMode="External"/><Relationship Id="rId32" Type="http://schemas.openxmlformats.org/officeDocument/2006/relationships/hyperlink" Target="file://central.health/dfsuserenv/Users/User_22/muglij/Downloads/aes-guidlines10.pdf" TargetMode="External"/><Relationship Id="rId37" Type="http://schemas.openxmlformats.org/officeDocument/2006/relationships/hyperlink" Target="http://www.aes.asn.au/"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harepoint.central.health/divisions/IHD/Policies%20and%20Procedures/Evaluation%20Guide.docx?Web=1" TargetMode="External"/><Relationship Id="rId23" Type="http://schemas.openxmlformats.org/officeDocument/2006/relationships/hyperlink" Target="http://www.eval.org/p/cm/ld/fid=103" TargetMode="External"/><Relationship Id="rId28" Type="http://schemas.openxmlformats.org/officeDocument/2006/relationships/hyperlink" Target="http://www.nt.gov.au/health/ahkpi/" TargetMode="External"/><Relationship Id="rId36" Type="http://schemas.openxmlformats.org/officeDocument/2006/relationships/hyperlink" Target="http://betterevaluation.org/" TargetMode="External"/><Relationship Id="rId10" Type="http://schemas.openxmlformats.org/officeDocument/2006/relationships/footnotes" Target="footnotes.xml"/><Relationship Id="rId19" Type="http://schemas.openxmlformats.org/officeDocument/2006/relationships/hyperlink" Target="http://www.health.gov.au/natsihp" TargetMode="External"/><Relationship Id="rId31" Type="http://schemas.openxmlformats.org/officeDocument/2006/relationships/hyperlink" Target="http://intranet.central.health/intranet/wcms/publishing.nsf/Content/indigenous-data-management-pla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harepoint.central.health/divisions/IHD/Policies%20and%20Procedures/Evaluation%20Guide.docx?Web=1" TargetMode="External"/><Relationship Id="rId27" Type="http://schemas.openxmlformats.org/officeDocument/2006/relationships/hyperlink" Target="http://www.aihw.gov.au/publication-detail/?id=60129546941" TargetMode="External"/><Relationship Id="rId30" Type="http://schemas.openxmlformats.org/officeDocument/2006/relationships/hyperlink" Target="http://www.oaic.gov.au/privacy/privacy-act/the-privacy-act" TargetMode="External"/><Relationship Id="rId35" Type="http://schemas.openxmlformats.org/officeDocument/2006/relationships/hyperlink" Target="http://sharepoint.central.health/divisions/IHD/Policies%20and%20Procedures/Evaluation%20Guide.docx?Web=1"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f2f65582-1933-475e-97e6-ecaac437d71e" ContentTypeId="0x010100B8ABB28F8F792144B0BD7A158D1B429B03" PreviousValue="tru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rim_x0020_Reference xmlns="b26f12c0-2397-4242-8c80-fd768a193b91">D15-1325978</Trim_x0020_Reference>
    <i5e7941720df49bbaa88c9867d7d137a xmlns="b26f12c0-2397-4242-8c80-fd768a193b91">
      <Terms xmlns="http://schemas.microsoft.com/office/infopath/2007/PartnerControls">
        <TermInfo xmlns="http://schemas.microsoft.com/office/infopath/2007/PartnerControls">
          <TermName xmlns="http://schemas.microsoft.com/office/infopath/2007/PartnerControls">Strategy and Evidence Branch</TermName>
          <TermId xmlns="http://schemas.microsoft.com/office/infopath/2007/PartnerControls">6119f70d-5b7a-4210-82fb-76c71b31dc52</TermId>
        </TermInfo>
      </Terms>
    </i5e7941720df49bbaa88c9867d7d137a>
    <TaxCatchAll xmlns="b26f12c0-2397-4242-8c80-fd768a193b91">
      <Value>11</Value>
    </TaxCatchAll>
    <RelatedItems xmlns="http://schemas.microsoft.com/sharepoint/v3" xsi:nil="true"/>
    <Evaluation xmlns="5938890a-c8a8-4f24-a7a6-5b58f04d65f2">Evaluation</Evaluation>
  </documentManagement>
</p:properties>
</file>

<file path=customXml/item4.xml><?xml version="1.0" encoding="utf-8"?>
<ct:contentTypeSchema xmlns:ct="http://schemas.microsoft.com/office/2006/metadata/contentType" xmlns:ma="http://schemas.microsoft.com/office/2006/metadata/properties/metaAttributes" ct:_="" ma:_="" ma:contentTypeName="Policy" ma:contentTypeID="0x010100B8ABB28F8F792144B0BD7A158D1B429B0300CBE419E1BEB3894B8BE8FABA55953CA6" ma:contentTypeVersion="86" ma:contentTypeDescription="Create a new policy document" ma:contentTypeScope="" ma:versionID="d75c964fe031e2230e4139ff17ed1700">
  <xsd:schema xmlns:xsd="http://www.w3.org/2001/XMLSchema" xmlns:xs="http://www.w3.org/2001/XMLSchema" xmlns:p="http://schemas.microsoft.com/office/2006/metadata/properties" xmlns:ns1="http://schemas.microsoft.com/sharepoint/v3" xmlns:ns2="b26f12c0-2397-4242-8c80-fd768a193b91" xmlns:ns3="5938890a-c8a8-4f24-a7a6-5b58f04d65f2" targetNamespace="http://schemas.microsoft.com/office/2006/metadata/properties" ma:root="true" ma:fieldsID="b2d53cf251baeb345b855c506f4d0418" ns1:_="" ns2:_="" ns3:_="">
    <xsd:import namespace="http://schemas.microsoft.com/sharepoint/v3"/>
    <xsd:import namespace="b26f12c0-2397-4242-8c80-fd768a193b91"/>
    <xsd:import namespace="5938890a-c8a8-4f24-a7a6-5b58f04d65f2"/>
    <xsd:element name="properties">
      <xsd:complexType>
        <xsd:sequence>
          <xsd:element name="documentManagement">
            <xsd:complexType>
              <xsd:all>
                <xsd:element ref="ns2:Trim_x0020_Reference" minOccurs="0"/>
                <xsd:element ref="ns2:i5e7941720df49bbaa88c9867d7d137a" minOccurs="0"/>
                <xsd:element ref="ns2:TaxCatchAll" minOccurs="0"/>
                <xsd:element ref="ns2:TaxCatchAllLabel" minOccurs="0"/>
                <xsd:element ref="ns1:RelatedItems" minOccurs="0"/>
                <xsd:element ref="ns3:Evalu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13"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6f12c0-2397-4242-8c80-fd768a193b91" elementFormDefault="qualified">
    <xsd:import namespace="http://schemas.microsoft.com/office/2006/documentManagement/types"/>
    <xsd:import namespace="http://schemas.microsoft.com/office/infopath/2007/PartnerControls"/>
    <xsd:element name="Trim_x0020_Reference" ma:index="3" nillable="true" ma:displayName="Trim Reference" ma:description="Document reference in TRIM" ma:internalName="Trim_x0020_Reference">
      <xsd:simpleType>
        <xsd:restriction base="dms:Text">
          <xsd:maxLength value="255"/>
        </xsd:restriction>
      </xsd:simpleType>
    </xsd:element>
    <xsd:element name="i5e7941720df49bbaa88c9867d7d137a" ma:index="9" ma:taxonomy="true" ma:internalName="i5e7941720df49bbaa88c9867d7d137a" ma:taxonomyFieldName="Business_x0020_Area" ma:displayName="Business Area" ma:indexed="true" ma:default="" ma:fieldId="{25e79417-20df-49bb-aa88-c9867d7d137a}" ma:sspId="f2f65582-1933-475e-97e6-ecaac437d71e" ma:termSetId="a7fedb5b-665d-491e-a75f-8cd30b9243e0" ma:anchorId="eb8e59bd-0e29-48d3-96da-bba413263ed3" ma:open="false" ma:isKeyword="false">
      <xsd:complexType>
        <xsd:sequence>
          <xsd:element ref="pc:Terms" minOccurs="0" maxOccurs="1"/>
        </xsd:sequence>
      </xsd:complexType>
    </xsd:element>
    <xsd:element name="TaxCatchAll" ma:index="10" nillable="true" ma:displayName="Taxonomy Catch All Column" ma:hidden="true" ma:list="{ca3f6c52-40de-4ef3-ad42-a81281c32d58}" ma:internalName="TaxCatchAll" ma:showField="CatchAllData" ma:web="5938890a-c8a8-4f24-a7a6-5b58f04d65f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a3f6c52-40de-4ef3-ad42-a81281c32d58}" ma:internalName="TaxCatchAllLabel" ma:readOnly="true" ma:showField="CatchAllDataLabel" ma:web="5938890a-c8a8-4f24-a7a6-5b58f04d65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38890a-c8a8-4f24-a7a6-5b58f04d65f2" elementFormDefault="qualified">
    <xsd:import namespace="http://schemas.microsoft.com/office/2006/documentManagement/types"/>
    <xsd:import namespace="http://schemas.microsoft.com/office/infopath/2007/PartnerControls"/>
    <xsd:element name="Evaluation" ma:index="14" nillable="true" ma:displayName="Category" ma:description="policy" ma:format="Dropdown" ma:internalName="Evaluation">
      <xsd:simpleType>
        <xsd:union memberTypes="dms:Text">
          <xsd:simpleType>
            <xsd:restriction base="dms:Choice">
              <xsd:enumeration value="QoNs"/>
              <xsd:enumeration value="Continuous Quality Improvement"/>
              <xsd:enumeration value="Evaluation"/>
              <xsd:enumeration value="IAHP Programme"/>
              <xsd:enumeration value="Parliamentary"/>
              <xsd:enumeration value="Policy and Program Summaries"/>
              <xsd:enumeration value="Treatment of Unspent Funds"/>
              <xsd:enumeration value="Proposals - processes and templates"/>
              <xsd:enumeration value="IAHP ADMINISTRATION POLICIE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9528347-7A3C-4DAB-A936-04F4DC676E24}">
  <ds:schemaRefs>
    <ds:schemaRef ds:uri="Microsoft.SharePoint.Taxonomy.ContentTypeSync"/>
  </ds:schemaRefs>
</ds:datastoreItem>
</file>

<file path=customXml/itemProps2.xml><?xml version="1.0" encoding="utf-8"?>
<ds:datastoreItem xmlns:ds="http://schemas.openxmlformats.org/officeDocument/2006/customXml" ds:itemID="{AFD93AC6-3249-4BBA-97AE-9AF62D6FC756}">
  <ds:schemaRefs>
    <ds:schemaRef ds:uri="http://schemas.microsoft.com/sharepoint/v3/contenttype/forms"/>
  </ds:schemaRefs>
</ds:datastoreItem>
</file>

<file path=customXml/itemProps3.xml><?xml version="1.0" encoding="utf-8"?>
<ds:datastoreItem xmlns:ds="http://schemas.openxmlformats.org/officeDocument/2006/customXml" ds:itemID="{FEB25A50-3820-448F-9C07-1E7CB0A96C65}">
  <ds:schemaRefs>
    <ds:schemaRef ds:uri="http://schemas.microsoft.com/sharepoint/v3"/>
    <ds:schemaRef ds:uri="b26f12c0-2397-4242-8c80-fd768a193b91"/>
    <ds:schemaRef ds:uri="http://purl.org/dc/terms/"/>
    <ds:schemaRef ds:uri="5938890a-c8a8-4f24-a7a6-5b58f04d65f2"/>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FF8EACB-5404-4503-AE3C-458BC440A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6f12c0-2397-4242-8c80-fd768a193b91"/>
    <ds:schemaRef ds:uri="5938890a-c8a8-4f24-a7a6-5b58f04d6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7008EC-7CE7-46E1-B41E-39C89DA67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3229</Words>
  <Characters>18503</Characters>
  <Application>Microsoft Office Word</Application>
  <DocSecurity>0</DocSecurity>
  <Lines>289</Lines>
  <Paragraphs>85</Paragraphs>
  <ScaleCrop>false</ScaleCrop>
  <HeadingPairs>
    <vt:vector size="2" baseType="variant">
      <vt:variant>
        <vt:lpstr>Title</vt:lpstr>
      </vt:variant>
      <vt:variant>
        <vt:i4>1</vt:i4>
      </vt:variant>
    </vt:vector>
  </HeadingPairs>
  <TitlesOfParts>
    <vt:vector size="1" baseType="lpstr">
      <vt:lpstr>Submission 35 - Attachment B - Australian Government Department of Health - Indigenous Evaluation Strategy - Project</vt:lpstr>
    </vt:vector>
  </TitlesOfParts>
  <Company>Australian Government Department of Health</Company>
  <LinksUpToDate>false</LinksUpToDate>
  <CharactersWithSpaces>21647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35 - Attachment B - Australian Government Department of Health - Indigenous Evaluation Strategy - Project</dc:title>
  <dc:creator>Australian Government Department of Health</dc:creator>
  <cp:lastModifiedBy>Pimperl, Mark</cp:lastModifiedBy>
  <cp:revision>5</cp:revision>
  <cp:lastPrinted>2015-11-02T23:31:00Z</cp:lastPrinted>
  <dcterms:created xsi:type="dcterms:W3CDTF">2019-07-22T00:02:00Z</dcterms:created>
  <dcterms:modified xsi:type="dcterms:W3CDTF">2019-08-28T03:47:00Z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0x010100B8ABB28F8F792144B0BD7A158D1B429B0300CBE419E1BEB3894B8BE8FABA55953CA6</vt:lpwstr>
  </property>
  <property fmtid="{D5CDD505-2E9C-101B-9397-08002B2CF9AE}" pid="3" name="Business Area">
    <vt:lpwstr>11;#Strategy and Evidence Branch|6119f70d-5b7a-4210-82fb-76c71b31dc52</vt:lpwstr>
  </property>
</Properties>
</file>