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5963029" w14:textId="77777777" w:rsidR="009D072B" w:rsidRPr="009D072B" w:rsidRDefault="00B62446" w:rsidP="009D072B">
      <w:pPr>
        <w:spacing w:after="0" w:line="240" w:lineRule="auto"/>
        <w:rPr>
          <w:rFonts w:ascii="Times New Roman" w:eastAsia="Times New Roman" w:hAnsi="Times New Roman" w:cs="Times New Roman"/>
          <w:color w:val="000000"/>
          <w:sz w:val="24"/>
          <w:szCs w:val="24"/>
          <w:lang w:val="en"/>
        </w:rPr>
      </w:pPr>
      <w:r>
        <w:rPr>
          <w:rFonts w:ascii="Times New Roman" w:eastAsia="Times New Roman" w:hAnsi="Times New Roman" w:cs="Times New Roman"/>
          <w:noProof/>
          <w:color w:val="0000FF"/>
          <w:sz w:val="24"/>
          <w:szCs w:val="24"/>
        </w:rPr>
        <w:fldChar w:fldCharType="begin"/>
      </w:r>
      <w:r>
        <w:rPr>
          <w:rFonts w:ascii="Times New Roman" w:eastAsia="Times New Roman" w:hAnsi="Times New Roman" w:cs="Times New Roman"/>
          <w:noProof/>
          <w:color w:val="0000FF"/>
          <w:sz w:val="24"/>
          <w:szCs w:val="24"/>
        </w:rPr>
        <w:instrText xml:space="preserve"> HYPERLINK "http://www.abs.gov.au/" \o "Australian Bureau of Statistics Home" </w:instrText>
      </w:r>
      <w:r>
        <w:rPr>
          <w:rFonts w:ascii="Times New Roman" w:eastAsia="Times New Roman" w:hAnsi="Times New Roman" w:cs="Times New Roman"/>
          <w:noProof/>
          <w:color w:val="0000FF"/>
          <w:sz w:val="24"/>
          <w:szCs w:val="24"/>
        </w:rPr>
        <w:fldChar w:fldCharType="separate"/>
      </w:r>
      <w:r w:rsidR="009D072B" w:rsidRPr="009D072B">
        <w:rPr>
          <w:rFonts w:ascii="Times New Roman" w:eastAsia="Times New Roman" w:hAnsi="Times New Roman" w:cs="Times New Roman"/>
          <w:noProof/>
          <w:color w:val="0000FF"/>
          <w:sz w:val="24"/>
          <w:szCs w:val="24"/>
          <w:lang w:eastAsia="en-AU"/>
        </w:rPr>
        <mc:AlternateContent>
          <mc:Choice Requires="wps">
            <w:drawing>
              <wp:inline distT="0" distB="0" distL="0" distR="0" wp14:anchorId="36A91DE9" wp14:editId="10ED434C">
                <wp:extent cx="308610" cy="308610"/>
                <wp:effectExtent l="0" t="0" r="0" b="0"/>
                <wp:docPr id="11" name="AutoShape 2" descr="ABS logo">
                  <a:hlinkClick xmlns:a="http://schemas.openxmlformats.org/drawingml/2006/main" r:id="rId11" tooltip="&quot;Australian Bureau of Statistics Hom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2C86B4" id="AutoShape 2" o:spid="_x0000_s1026" alt="ABS logo" href="http://www.abs.gov.au/" title="&quot;Australian Bureau of Statistics Home&quot;"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" o:button="t" filled="f" stroked="f">
                <v:fill o:detectmouseclick="t"/>
                <o:lock v:ext="edit" aspectratio="t"/>
                <w10:anchorlock/>
              </v:rect>
            </w:pict>
          </mc:Fallback>
        </mc:AlternateContent>
      </w:r>
      <w:r w:rsidR="009D072B" w:rsidRPr="009D072B">
        <w:rPr>
          <w:rFonts w:ascii="Times New Roman" w:eastAsia="Times New Roman" w:hAnsi="Times New Roman" w:cs="Times New Roman"/>
          <w:color w:val="0000FF"/>
          <w:sz w:val="24"/>
          <w:szCs w:val="24"/>
          <w:lang w:val="en"/>
        </w:rPr>
        <w:t>Australian Bureau of Statistics</w:t>
      </w:r>
      <w:r>
        <w:rPr>
          <w:rFonts w:ascii="Times New Roman" w:eastAsia="Times New Roman" w:hAnsi="Times New Roman" w:cs="Times New Roman"/>
          <w:color w:val="0000FF"/>
          <w:sz w:val="24"/>
          <w:szCs w:val="24"/>
          <w:lang w:val="en"/>
        </w:rPr>
        <w:fldChar w:fldCharType="end"/>
      </w:r>
    </w:p>
    <w:p w14:paraId="6DC24EF6" w14:textId="77777777" w:rsidR="009D072B" w:rsidRPr="009D072B" w:rsidRDefault="009D072B" w:rsidP="009D072B">
      <w:pPr>
        <w:pBdr>
          <w:bottom w:val="single" w:sz="6" w:space="1" w:color="auto"/>
        </w:pBdr>
        <w:spacing w:after="0" w:line="240" w:lineRule="auto"/>
        <w:jc w:val="center"/>
        <w:rPr>
          <w:rFonts w:ascii="Arial" w:eastAsia="Times New Roman" w:hAnsi="Arial" w:cs="Arial"/>
          <w:vanish/>
          <w:color w:val="000000"/>
          <w:sz w:val="16"/>
          <w:szCs w:val="16"/>
        </w:rPr>
      </w:pPr>
      <w:r w:rsidRPr="009D072B">
        <w:rPr>
          <w:rFonts w:ascii="Arial" w:eastAsia="Times New Roman" w:hAnsi="Arial" w:cs="Arial"/>
          <w:vanish/>
          <w:color w:val="000000"/>
          <w:sz w:val="16"/>
          <w:szCs w:val="16"/>
        </w:rPr>
        <w:t>Top of Form</w:t>
      </w:r>
    </w:p>
    <w:p w14:paraId="525C2ACD" w14:textId="77777777" w:rsidR="009D072B" w:rsidRPr="009D072B" w:rsidRDefault="009D072B" w:rsidP="009D072B">
      <w:pPr>
        <w:spacing w:after="0" w:line="240" w:lineRule="auto"/>
        <w:rPr>
          <w:rFonts w:ascii="Times New Roman" w:eastAsia="Times New Roman" w:hAnsi="Times New Roman" w:cs="Times New Roman"/>
          <w:color w:val="000000"/>
          <w:sz w:val="24"/>
          <w:szCs w:val="24"/>
          <w:lang w:val="en"/>
        </w:rPr>
      </w:pPr>
    </w:p>
    <w:p w14:paraId="34E2E8FE" w14:textId="77777777" w:rsidR="00B62446" w:rsidRDefault="00B62446" w:rsidP="00B62446">
      <w:pPr>
        <w:spacing w:after="0" w:line="240" w:lineRule="auto"/>
        <w:rPr>
          <w:rFonts w:ascii="Open Sans" w:eastAsia="Times New Roman" w:hAnsi="Open Sans" w:cs="Times New Roman"/>
          <w:color w:val="45494B"/>
          <w:sz w:val="30"/>
          <w:szCs w:val="30"/>
          <w:lang w:eastAsia="en-US"/>
        </w:rPr>
      </w:pPr>
      <w:r w:rsidRPr="00B62446">
        <w:rPr>
          <w:rFonts w:ascii="Open Sans" w:eastAsia="Times New Roman" w:hAnsi="Open Sans" w:cs="Times New Roman"/>
          <w:color w:val="45494B"/>
          <w:sz w:val="30"/>
          <w:szCs w:val="30"/>
          <w:lang w:eastAsia="en-US"/>
        </w:rPr>
        <w:t>Over the past decade, drug-induced deaths were more likely to be due to prescription drugs than illicit drugs. In 2016, there were 663 drug-induced deaths where benzodiazepines were present</w:t>
      </w:r>
      <w:r w:rsidR="00D741C7">
        <w:rPr>
          <w:rFonts w:ascii="Open Sans" w:eastAsia="Times New Roman" w:hAnsi="Open Sans" w:cs="Times New Roman"/>
          <w:color w:val="45494B"/>
          <w:sz w:val="30"/>
          <w:szCs w:val="30"/>
          <w:lang w:eastAsia="en-US"/>
        </w:rPr>
        <w:t>.</w:t>
      </w:r>
      <w:r w:rsidRPr="00B62446">
        <w:rPr>
          <w:rFonts w:ascii="Open Sans" w:eastAsia="Times New Roman" w:hAnsi="Open Sans" w:cs="Times New Roman"/>
          <w:color w:val="45494B"/>
          <w:sz w:val="30"/>
          <w:szCs w:val="30"/>
          <w:lang w:eastAsia="en-US"/>
        </w:rPr>
        <w:t> </w:t>
      </w:r>
    </w:p>
    <w:p w14:paraId="00112F0B" w14:textId="77777777" w:rsidR="00FB5ED0" w:rsidRDefault="00FB5ED0" w:rsidP="00B62446">
      <w:pPr>
        <w:spacing w:after="0" w:line="240" w:lineRule="auto"/>
        <w:rPr>
          <w:rFonts w:ascii="Times New Roman" w:eastAsia="Times New Roman" w:hAnsi="Times New Roman" w:cs="Times New Roman"/>
          <w:sz w:val="24"/>
          <w:szCs w:val="24"/>
          <w:lang w:eastAsia="en-US"/>
        </w:rPr>
      </w:pPr>
    </w:p>
    <w:p w14:paraId="2E467983" w14:textId="77777777" w:rsidR="00FB5ED0" w:rsidRDefault="00FB5ED0" w:rsidP="00FB5ED0">
      <w:pPr>
        <w:pStyle w:val="NormalWeb"/>
        <w:shd w:val="clear" w:color="auto" w:fill="FFFFFF"/>
        <w:spacing w:before="0" w:beforeAutospacing="0" w:after="240" w:afterAutospacing="0"/>
        <w:textAlignment w:val="baseline"/>
        <w:rPr>
          <w:rFonts w:ascii="Arial" w:hAnsi="Arial" w:cs="Arial"/>
          <w:color w:val="333333"/>
        </w:rPr>
      </w:pPr>
      <w:r>
        <w:rPr>
          <w:rFonts w:ascii="Arial" w:hAnsi="Arial" w:cs="Arial"/>
          <w:b/>
          <w:bCs/>
          <w:color w:val="333333"/>
        </w:rPr>
        <w:t>Drug Induced Deaths by drug type</w:t>
      </w:r>
      <w:r>
        <w:rPr>
          <w:rFonts w:ascii="Arial" w:hAnsi="Arial" w:cs="Arial"/>
          <w:color w:val="333333"/>
        </w:rPr>
        <w:br/>
      </w:r>
      <w:r>
        <w:rPr>
          <w:rFonts w:ascii="Arial" w:hAnsi="Arial" w:cs="Arial"/>
          <w:color w:val="333333"/>
        </w:rPr>
        <w:br/>
        <w:t>When analysed by single drug type, benzodiazepines were the most common substance present in drug induced deaths in 2016, being identified in 663 (36.7%) deaths (see table below). Benzodiazepines are drugs prescribed for the treatment of anxiety and insomnia, and are prone to tolerance and addiction. Benzodiazepines are associated with both accidental and intentional overdoses and were the most common drug in both unintentional and suicidal drug deaths in 2016. They can be dangerous when taken with other substances as they affect the central nervous system and may cause respiratory depression. In over 96% of drug deaths where benzodiazepines were present in 2016, they were taken in conjunction with other drugs including alcohol. Apart from 1999, when prescription opioids were the single most identified substances in drug induced deaths, benzodiazepines have consistently been the most common single substance identified on toxicology. </w:t>
      </w:r>
      <w:r>
        <w:rPr>
          <w:rFonts w:ascii="Arial" w:hAnsi="Arial" w:cs="Arial"/>
          <w:color w:val="333333"/>
        </w:rPr>
        <w:br/>
      </w:r>
      <w:r>
        <w:rPr>
          <w:rFonts w:ascii="Arial" w:hAnsi="Arial" w:cs="Arial"/>
          <w:color w:val="333333"/>
        </w:rPr>
        <w:br/>
        <w:t>Prescription painkillers such as oxycodone, morphine and codeine, which are tabulated to the "other opioid" ICD-10 category, were present in over 30% of deaths in 2016. Similar to benzodiazepines, they are associated with addiction, polypharmacy misuse, and are common in both accidental and intentional drug induced deaths. Between 2010 and 2015 there was an increase of over 100% in prescriptions of oxycodone, a slow releasing opioid (PBS, 2015). Increases in prescriptions have been hypothesised to be correlated to a variety of social and health issues, including an aging population, living with chronic pain and increasing survivability from chronic illnesses such as cancer (Blanch, Pearson &amp; Haber, 2014). </w:t>
      </w:r>
      <w:r>
        <w:rPr>
          <w:rFonts w:ascii="Arial" w:hAnsi="Arial" w:cs="Arial"/>
          <w:color w:val="333333"/>
        </w:rPr>
        <w:br/>
      </w:r>
      <w:r>
        <w:rPr>
          <w:rFonts w:ascii="Arial" w:hAnsi="Arial" w:cs="Arial"/>
          <w:color w:val="333333"/>
        </w:rPr>
        <w:br/>
        <w:t>Although deaths directly attributable to alcohol are excluded from the analysis, alcohol was the seventh most common substance present in drug induced deaths. All of these deaths were due to multiple drug overdose. Alcohol is a depressant, and when mixed with other central nervous depressants in a polypharmacy setting, can exacerbate effects and lead to respiratory depression (Ren, Ding &amp; Greer, 2012). </w:t>
      </w:r>
    </w:p>
    <w:p w14:paraId="60B05920" w14:textId="77777777" w:rsidR="00FB5ED0" w:rsidRDefault="00FB5ED0" w:rsidP="00FB5ED0">
      <w:pPr>
        <w:shd w:val="clear" w:color="auto" w:fill="FFFFFF"/>
        <w:jc w:val="center"/>
        <w:textAlignment w:val="baseline"/>
        <w:rPr>
          <w:rFonts w:ascii="Arial" w:hAnsi="Arial" w:cs="Arial"/>
          <w:color w:val="333333"/>
        </w:rPr>
      </w:pPr>
      <w:r>
        <w:rPr>
          <w:rFonts w:ascii="Arial" w:hAnsi="Arial" w:cs="Arial"/>
          <w:b/>
          <w:bCs/>
          <w:color w:val="333333"/>
        </w:rPr>
        <w:t>Drug Induced Deaths by drug type, 1999, 2007, 2016 (a)(b)(c)</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819"/>
        <w:gridCol w:w="2506"/>
        <w:gridCol w:w="505"/>
        <w:gridCol w:w="434"/>
        <w:gridCol w:w="549"/>
        <w:gridCol w:w="434"/>
        <w:gridCol w:w="549"/>
        <w:gridCol w:w="434"/>
        <w:gridCol w:w="1053"/>
        <w:gridCol w:w="743"/>
      </w:tblGrid>
      <w:tr w:rsidR="00FB5ED0" w14:paraId="15F08DB6" w14:textId="77777777" w:rsidTr="00FB5ED0">
        <w:trPr>
          <w:tblCellSpacing w:w="0" w:type="dxa"/>
        </w:trPr>
        <w:tc>
          <w:tcPr>
            <w:tcW w:w="24210" w:type="dxa"/>
            <w:gridSpan w:val="10"/>
            <w:shd w:val="clear" w:color="auto" w:fill="FFFFFF"/>
            <w:hideMark/>
          </w:tcPr>
          <w:p w14:paraId="6858137D" w14:textId="77777777" w:rsidR="00FB5ED0" w:rsidRDefault="00BD1FAF">
            <w:pPr>
              <w:rPr>
                <w:rFonts w:ascii="Arial" w:hAnsi="Arial" w:cs="Arial"/>
                <w:color w:val="333333"/>
              </w:rPr>
            </w:pPr>
            <w:r>
              <w:rPr>
                <w:rFonts w:ascii="Arial" w:hAnsi="Arial" w:cs="Arial"/>
                <w:noProof/>
                <w:color w:val="333333"/>
              </w:rPr>
              <w:pict w14:anchorId="793B714E">
                <v:rect id="_x0000_i1025" alt="" style="width:22in;height:.05pt;mso-width-percent:0;mso-height-percent:0;mso-width-percent:0;mso-height-percent:0" o:hrstd="t" o:hr="t" fillcolor="#a0a0a0" stroked="f"/>
              </w:pict>
            </w:r>
          </w:p>
        </w:tc>
      </w:tr>
      <w:tr w:rsidR="00FB5ED0" w14:paraId="31EA7873" w14:textId="77777777" w:rsidTr="00FB5ED0">
        <w:trPr>
          <w:tblCellSpacing w:w="0" w:type="dxa"/>
        </w:trPr>
        <w:tc>
          <w:tcPr>
            <w:tcW w:w="5160" w:type="dxa"/>
            <w:shd w:val="clear" w:color="auto" w:fill="FFFFFF"/>
            <w:hideMark/>
          </w:tcPr>
          <w:p w14:paraId="487936CA" w14:textId="77777777" w:rsidR="00FB5ED0" w:rsidRDefault="00FB5ED0">
            <w:pPr>
              <w:rPr>
                <w:rFonts w:ascii="Arial" w:hAnsi="Arial" w:cs="Arial"/>
                <w:color w:val="333333"/>
              </w:rPr>
            </w:pPr>
            <w:r>
              <w:rPr>
                <w:rFonts w:ascii="Arial" w:hAnsi="Arial" w:cs="Arial"/>
                <w:b/>
                <w:bCs/>
                <w:color w:val="333333"/>
                <w:sz w:val="20"/>
                <w:szCs w:val="20"/>
              </w:rPr>
              <w:t>Cause of Death and ICD-10 code(a)</w:t>
            </w:r>
          </w:p>
        </w:tc>
        <w:tc>
          <w:tcPr>
            <w:tcW w:w="10770" w:type="dxa"/>
            <w:shd w:val="clear" w:color="auto" w:fill="FFFFFF"/>
            <w:hideMark/>
          </w:tcPr>
          <w:p w14:paraId="6D37BBA5" w14:textId="77777777" w:rsidR="00FB5ED0" w:rsidRDefault="00FB5ED0">
            <w:pPr>
              <w:rPr>
                <w:rFonts w:ascii="Arial" w:hAnsi="Arial" w:cs="Arial"/>
                <w:color w:val="333333"/>
              </w:rPr>
            </w:pPr>
            <w:r>
              <w:rPr>
                <w:rFonts w:ascii="Arial" w:hAnsi="Arial" w:cs="Arial"/>
                <w:b/>
                <w:bCs/>
                <w:color w:val="333333"/>
                <w:sz w:val="20"/>
                <w:szCs w:val="20"/>
              </w:rPr>
              <w:t>Common terms assigned to ICD-10 category</w:t>
            </w:r>
          </w:p>
        </w:tc>
        <w:tc>
          <w:tcPr>
            <w:tcW w:w="900" w:type="dxa"/>
            <w:shd w:val="clear" w:color="auto" w:fill="FFFFFF"/>
            <w:hideMark/>
          </w:tcPr>
          <w:p w14:paraId="0E26A819" w14:textId="77777777" w:rsidR="00FB5ED0" w:rsidRDefault="00FB5ED0">
            <w:pPr>
              <w:jc w:val="right"/>
              <w:textAlignment w:val="baseline"/>
              <w:rPr>
                <w:rFonts w:ascii="inherit" w:hAnsi="inherit" w:cs="Arial" w:hint="eastAsia"/>
                <w:color w:val="333333"/>
              </w:rPr>
            </w:pPr>
            <w:r>
              <w:rPr>
                <w:rFonts w:ascii="inherit" w:hAnsi="inherit" w:cs="Arial"/>
                <w:b/>
                <w:bCs/>
                <w:color w:val="333333"/>
                <w:sz w:val="20"/>
                <w:szCs w:val="20"/>
              </w:rPr>
              <w:t>1999</w:t>
            </w:r>
          </w:p>
        </w:tc>
        <w:tc>
          <w:tcPr>
            <w:tcW w:w="900" w:type="dxa"/>
            <w:shd w:val="clear" w:color="auto" w:fill="FFFFFF"/>
            <w:hideMark/>
          </w:tcPr>
          <w:p w14:paraId="7C0B83FF" w14:textId="77777777" w:rsidR="00FB5ED0" w:rsidRDefault="00FB5ED0">
            <w:pPr>
              <w:rPr>
                <w:rFonts w:ascii="Arial" w:hAnsi="Arial" w:cs="Arial"/>
                <w:color w:val="333333"/>
              </w:rPr>
            </w:pPr>
            <w:r>
              <w:rPr>
                <w:rFonts w:ascii="Arial" w:hAnsi="Arial" w:cs="Arial"/>
                <w:color w:val="333333"/>
              </w:rPr>
              <w:fldChar w:fldCharType="begin"/>
            </w:r>
            <w:r>
              <w:rPr>
                <w:rFonts w:ascii="Arial" w:hAnsi="Arial" w:cs="Arial"/>
                <w:color w:val="333333"/>
              </w:rPr>
              <w:instrText xml:space="preserve"> INCLUDEPICTURE "http://www.abs.gov.au/icons/ecblank.gif" \* MERGEFORMATINET </w:instrText>
            </w:r>
            <w:r>
              <w:rPr>
                <w:rFonts w:ascii="Arial" w:hAnsi="Arial" w:cs="Arial"/>
                <w:color w:val="333333"/>
              </w:rPr>
              <w:fldChar w:fldCharType="separate"/>
            </w:r>
            <w:r>
              <w:rPr>
                <w:rFonts w:ascii="Arial" w:hAnsi="Arial" w:cs="Arial"/>
                <w:noProof/>
                <w:color w:val="333333"/>
                <w:lang w:eastAsia="en-AU"/>
              </w:rPr>
              <w:drawing>
                <wp:inline distT="0" distB="0" distL="0" distR="0" wp14:anchorId="7C020384" wp14:editId="744DEAB1">
                  <wp:extent cx="13335" cy="13335"/>
                  <wp:effectExtent l="0" t="0" r="0" b="0"/>
                  <wp:docPr id="168" name="Picture 168" descr="http://www.abs.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www.abs.gov.au/icons/ecblank.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r>
              <w:rPr>
                <w:rFonts w:ascii="Arial" w:hAnsi="Arial" w:cs="Arial"/>
                <w:color w:val="333333"/>
              </w:rPr>
              <w:fldChar w:fldCharType="end"/>
            </w:r>
          </w:p>
        </w:tc>
        <w:tc>
          <w:tcPr>
            <w:tcW w:w="900" w:type="dxa"/>
            <w:shd w:val="clear" w:color="auto" w:fill="FFFFFF"/>
            <w:hideMark/>
          </w:tcPr>
          <w:p w14:paraId="60D3C153" w14:textId="77777777" w:rsidR="00FB5ED0" w:rsidRDefault="00FB5ED0">
            <w:pPr>
              <w:jc w:val="right"/>
              <w:textAlignment w:val="baseline"/>
              <w:rPr>
                <w:rFonts w:ascii="inherit" w:hAnsi="inherit" w:cs="Arial" w:hint="eastAsia"/>
                <w:color w:val="333333"/>
              </w:rPr>
            </w:pPr>
            <w:r>
              <w:rPr>
                <w:rFonts w:ascii="inherit" w:hAnsi="inherit" w:cs="Arial"/>
                <w:b/>
                <w:bCs/>
                <w:color w:val="333333"/>
                <w:sz w:val="20"/>
                <w:szCs w:val="20"/>
              </w:rPr>
              <w:t>2007</w:t>
            </w:r>
          </w:p>
        </w:tc>
        <w:tc>
          <w:tcPr>
            <w:tcW w:w="900" w:type="dxa"/>
            <w:shd w:val="clear" w:color="auto" w:fill="FFFFFF"/>
            <w:hideMark/>
          </w:tcPr>
          <w:p w14:paraId="36AC7860" w14:textId="77777777" w:rsidR="00FB5ED0" w:rsidRDefault="00FB5ED0">
            <w:pPr>
              <w:rPr>
                <w:rFonts w:ascii="Arial" w:hAnsi="Arial" w:cs="Arial"/>
                <w:color w:val="333333"/>
              </w:rPr>
            </w:pPr>
            <w:r>
              <w:rPr>
                <w:rFonts w:ascii="Arial" w:hAnsi="Arial" w:cs="Arial"/>
                <w:color w:val="333333"/>
              </w:rPr>
              <w:fldChar w:fldCharType="begin"/>
            </w:r>
            <w:r>
              <w:rPr>
                <w:rFonts w:ascii="Arial" w:hAnsi="Arial" w:cs="Arial"/>
                <w:color w:val="333333"/>
              </w:rPr>
              <w:instrText xml:space="preserve"> INCLUDEPICTURE "http://www.abs.gov.au/icons/ecblank.gif" \* MERGEFORMATINET </w:instrText>
            </w:r>
            <w:r>
              <w:rPr>
                <w:rFonts w:ascii="Arial" w:hAnsi="Arial" w:cs="Arial"/>
                <w:color w:val="333333"/>
              </w:rPr>
              <w:fldChar w:fldCharType="separate"/>
            </w:r>
            <w:r>
              <w:rPr>
                <w:rFonts w:ascii="Arial" w:hAnsi="Arial" w:cs="Arial"/>
                <w:noProof/>
                <w:color w:val="333333"/>
                <w:lang w:eastAsia="en-AU"/>
              </w:rPr>
              <w:drawing>
                <wp:inline distT="0" distB="0" distL="0" distR="0" wp14:anchorId="6C317F5C" wp14:editId="41EFDE63">
                  <wp:extent cx="13335" cy="13335"/>
                  <wp:effectExtent l="0" t="0" r="0" b="0"/>
                  <wp:docPr id="167" name="Picture 167" descr="http://www.abs.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www.abs.gov.au/icons/ecblank.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r>
              <w:rPr>
                <w:rFonts w:ascii="Arial" w:hAnsi="Arial" w:cs="Arial"/>
                <w:color w:val="333333"/>
              </w:rPr>
              <w:fldChar w:fldCharType="end"/>
            </w:r>
          </w:p>
        </w:tc>
        <w:tc>
          <w:tcPr>
            <w:tcW w:w="900" w:type="dxa"/>
            <w:shd w:val="clear" w:color="auto" w:fill="FFFFFF"/>
            <w:hideMark/>
          </w:tcPr>
          <w:p w14:paraId="1192D1F2" w14:textId="77777777" w:rsidR="00FB5ED0" w:rsidRDefault="00FB5ED0">
            <w:pPr>
              <w:jc w:val="right"/>
              <w:textAlignment w:val="baseline"/>
              <w:rPr>
                <w:rFonts w:ascii="inherit" w:hAnsi="inherit" w:cs="Arial" w:hint="eastAsia"/>
                <w:color w:val="333333"/>
              </w:rPr>
            </w:pPr>
            <w:r>
              <w:rPr>
                <w:rFonts w:ascii="inherit" w:hAnsi="inherit" w:cs="Arial"/>
                <w:b/>
                <w:bCs/>
                <w:color w:val="333333"/>
                <w:sz w:val="20"/>
                <w:szCs w:val="20"/>
              </w:rPr>
              <w:t>2016</w:t>
            </w:r>
          </w:p>
        </w:tc>
        <w:tc>
          <w:tcPr>
            <w:tcW w:w="900" w:type="dxa"/>
            <w:shd w:val="clear" w:color="auto" w:fill="FFFFFF"/>
            <w:hideMark/>
          </w:tcPr>
          <w:p w14:paraId="488CE6F0" w14:textId="77777777" w:rsidR="00FB5ED0" w:rsidRDefault="00FB5ED0">
            <w:pPr>
              <w:rPr>
                <w:rFonts w:ascii="Arial" w:hAnsi="Arial" w:cs="Arial"/>
                <w:color w:val="333333"/>
              </w:rPr>
            </w:pPr>
            <w:r>
              <w:rPr>
                <w:rFonts w:ascii="Arial" w:hAnsi="Arial" w:cs="Arial"/>
                <w:color w:val="333333"/>
              </w:rPr>
              <w:fldChar w:fldCharType="begin"/>
            </w:r>
            <w:r>
              <w:rPr>
                <w:rFonts w:ascii="Arial" w:hAnsi="Arial" w:cs="Arial"/>
                <w:color w:val="333333"/>
              </w:rPr>
              <w:instrText xml:space="preserve"> INCLUDEPICTURE "http://www.abs.gov.au/icons/ecblank.gif" \* MERGEFORMATINET </w:instrText>
            </w:r>
            <w:r>
              <w:rPr>
                <w:rFonts w:ascii="Arial" w:hAnsi="Arial" w:cs="Arial"/>
                <w:color w:val="333333"/>
              </w:rPr>
              <w:fldChar w:fldCharType="separate"/>
            </w:r>
            <w:r>
              <w:rPr>
                <w:rFonts w:ascii="Arial" w:hAnsi="Arial" w:cs="Arial"/>
                <w:noProof/>
                <w:color w:val="333333"/>
                <w:lang w:eastAsia="en-AU"/>
              </w:rPr>
              <w:drawing>
                <wp:inline distT="0" distB="0" distL="0" distR="0" wp14:anchorId="2A336072" wp14:editId="1007BF26">
                  <wp:extent cx="13335" cy="13335"/>
                  <wp:effectExtent l="0" t="0" r="0" b="0"/>
                  <wp:docPr id="166" name="Picture 166" descr="http://www.abs.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www.abs.gov.au/icons/ecblank.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r>
              <w:rPr>
                <w:rFonts w:ascii="Arial" w:hAnsi="Arial" w:cs="Arial"/>
                <w:color w:val="333333"/>
              </w:rPr>
              <w:fldChar w:fldCharType="end"/>
            </w:r>
          </w:p>
        </w:tc>
        <w:tc>
          <w:tcPr>
            <w:tcW w:w="1410" w:type="dxa"/>
            <w:shd w:val="clear" w:color="auto" w:fill="FFFFFF"/>
            <w:hideMark/>
          </w:tcPr>
          <w:p w14:paraId="60845D9A" w14:textId="77777777" w:rsidR="00FB5ED0" w:rsidRDefault="00FB5ED0">
            <w:pPr>
              <w:jc w:val="right"/>
              <w:textAlignment w:val="baseline"/>
              <w:rPr>
                <w:rFonts w:ascii="inherit" w:hAnsi="inherit" w:cs="Arial" w:hint="eastAsia"/>
                <w:color w:val="333333"/>
              </w:rPr>
            </w:pPr>
            <w:r>
              <w:rPr>
                <w:rFonts w:ascii="inherit" w:hAnsi="inherit" w:cs="Arial"/>
                <w:b/>
                <w:bCs/>
                <w:color w:val="333333"/>
                <w:sz w:val="20"/>
                <w:szCs w:val="20"/>
              </w:rPr>
              <w:t>Proportion</w:t>
            </w:r>
            <w:r>
              <w:rPr>
                <w:rFonts w:ascii="inherit" w:hAnsi="inherit" w:cs="Arial"/>
                <w:color w:val="333333"/>
              </w:rPr>
              <w:br/>
            </w:r>
            <w:r>
              <w:rPr>
                <w:rFonts w:ascii="inherit" w:hAnsi="inherit" w:cs="Arial"/>
                <w:b/>
                <w:bCs/>
                <w:color w:val="333333"/>
                <w:sz w:val="20"/>
                <w:szCs w:val="20"/>
              </w:rPr>
              <w:t>(2016) </w:t>
            </w:r>
            <w:r>
              <w:rPr>
                <w:rFonts w:ascii="inherit" w:hAnsi="inherit" w:cs="Arial"/>
                <w:color w:val="333333"/>
                <w:sz w:val="20"/>
                <w:szCs w:val="20"/>
              </w:rPr>
              <w:t>%</w:t>
            </w:r>
          </w:p>
        </w:tc>
        <w:tc>
          <w:tcPr>
            <w:tcW w:w="1410" w:type="dxa"/>
            <w:shd w:val="clear" w:color="auto" w:fill="FFFFFF"/>
            <w:hideMark/>
          </w:tcPr>
          <w:p w14:paraId="5107C3AC" w14:textId="77777777" w:rsidR="00FB5ED0" w:rsidRDefault="00FB5ED0">
            <w:pPr>
              <w:jc w:val="right"/>
              <w:textAlignment w:val="baseline"/>
              <w:rPr>
                <w:rFonts w:ascii="inherit" w:hAnsi="inherit" w:cs="Arial" w:hint="eastAsia"/>
                <w:color w:val="333333"/>
              </w:rPr>
            </w:pPr>
            <w:r>
              <w:rPr>
                <w:rFonts w:ascii="inherit" w:hAnsi="inherit" w:cs="Arial"/>
                <w:b/>
                <w:bCs/>
                <w:color w:val="333333"/>
                <w:sz w:val="20"/>
                <w:szCs w:val="20"/>
              </w:rPr>
              <w:t>Median</w:t>
            </w:r>
            <w:r>
              <w:rPr>
                <w:rFonts w:ascii="inherit" w:hAnsi="inherit" w:cs="Arial"/>
                <w:color w:val="333333"/>
              </w:rPr>
              <w:br/>
            </w:r>
            <w:r>
              <w:rPr>
                <w:rFonts w:ascii="inherit" w:hAnsi="inherit" w:cs="Arial"/>
                <w:b/>
                <w:bCs/>
                <w:color w:val="333333"/>
                <w:sz w:val="20"/>
                <w:szCs w:val="20"/>
              </w:rPr>
              <w:t>Age (2016)</w:t>
            </w:r>
          </w:p>
        </w:tc>
      </w:tr>
      <w:tr w:rsidR="00FB5ED0" w14:paraId="2F055253" w14:textId="77777777" w:rsidTr="00FB5ED0">
        <w:trPr>
          <w:tblCellSpacing w:w="0" w:type="dxa"/>
        </w:trPr>
        <w:tc>
          <w:tcPr>
            <w:tcW w:w="5160" w:type="dxa"/>
            <w:shd w:val="clear" w:color="auto" w:fill="FFFFFF"/>
            <w:hideMark/>
          </w:tcPr>
          <w:p w14:paraId="0B1B9AE3" w14:textId="77777777" w:rsidR="00FB5ED0" w:rsidRDefault="00FB5ED0">
            <w:pPr>
              <w:rPr>
                <w:rFonts w:ascii="Arial" w:hAnsi="Arial" w:cs="Arial"/>
                <w:color w:val="333333"/>
              </w:rPr>
            </w:pPr>
            <w:r>
              <w:rPr>
                <w:rFonts w:ascii="Arial" w:hAnsi="Arial" w:cs="Arial"/>
                <w:color w:val="333333"/>
              </w:rPr>
              <w:fldChar w:fldCharType="begin"/>
            </w:r>
            <w:r>
              <w:rPr>
                <w:rFonts w:ascii="Arial" w:hAnsi="Arial" w:cs="Arial"/>
                <w:color w:val="333333"/>
              </w:rPr>
              <w:instrText xml:space="preserve"> INCLUDEPICTURE "http://www.abs.gov.au/icons/ecblank.gif" \* MERGEFORMATINET </w:instrText>
            </w:r>
            <w:r>
              <w:rPr>
                <w:rFonts w:ascii="Arial" w:hAnsi="Arial" w:cs="Arial"/>
                <w:color w:val="333333"/>
              </w:rPr>
              <w:fldChar w:fldCharType="separate"/>
            </w:r>
            <w:r>
              <w:rPr>
                <w:rFonts w:ascii="Arial" w:hAnsi="Arial" w:cs="Arial"/>
                <w:noProof/>
                <w:color w:val="333333"/>
                <w:lang w:eastAsia="en-AU"/>
              </w:rPr>
              <w:drawing>
                <wp:inline distT="0" distB="0" distL="0" distR="0" wp14:anchorId="143CBE18" wp14:editId="7955556A">
                  <wp:extent cx="13335" cy="13335"/>
                  <wp:effectExtent l="0" t="0" r="0" b="0"/>
                  <wp:docPr id="165" name="Picture 165" descr="http://www.abs.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abs.gov.au/icons/ecblank.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r>
              <w:rPr>
                <w:rFonts w:ascii="Arial" w:hAnsi="Arial" w:cs="Arial"/>
                <w:color w:val="333333"/>
              </w:rPr>
              <w:fldChar w:fldCharType="end"/>
            </w:r>
          </w:p>
        </w:tc>
        <w:tc>
          <w:tcPr>
            <w:tcW w:w="10770" w:type="dxa"/>
            <w:shd w:val="clear" w:color="auto" w:fill="FFFFFF"/>
            <w:hideMark/>
          </w:tcPr>
          <w:p w14:paraId="3D11B867" w14:textId="77777777" w:rsidR="00FB5ED0" w:rsidRDefault="00FB5ED0">
            <w:pPr>
              <w:rPr>
                <w:rFonts w:ascii="Arial" w:hAnsi="Arial" w:cs="Arial"/>
                <w:color w:val="333333"/>
              </w:rPr>
            </w:pPr>
            <w:r>
              <w:rPr>
                <w:rFonts w:ascii="Arial" w:hAnsi="Arial" w:cs="Arial"/>
                <w:color w:val="333333"/>
              </w:rPr>
              <w:fldChar w:fldCharType="begin"/>
            </w:r>
            <w:r>
              <w:rPr>
                <w:rFonts w:ascii="Arial" w:hAnsi="Arial" w:cs="Arial"/>
                <w:color w:val="333333"/>
              </w:rPr>
              <w:instrText xml:space="preserve"> INCLUDEPICTURE "http://www.abs.gov.au/icons/ecblank.gif" \* MERGEFORMATINET </w:instrText>
            </w:r>
            <w:r>
              <w:rPr>
                <w:rFonts w:ascii="Arial" w:hAnsi="Arial" w:cs="Arial"/>
                <w:color w:val="333333"/>
              </w:rPr>
              <w:fldChar w:fldCharType="separate"/>
            </w:r>
            <w:r>
              <w:rPr>
                <w:rFonts w:ascii="Arial" w:hAnsi="Arial" w:cs="Arial"/>
                <w:noProof/>
                <w:color w:val="333333"/>
                <w:lang w:eastAsia="en-AU"/>
              </w:rPr>
              <w:drawing>
                <wp:inline distT="0" distB="0" distL="0" distR="0" wp14:anchorId="59BAB446" wp14:editId="6AA2C981">
                  <wp:extent cx="13335" cy="13335"/>
                  <wp:effectExtent l="0" t="0" r="0" b="0"/>
                  <wp:docPr id="164" name="Picture 164" descr="http://www.abs.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www.abs.gov.au/icons/ecblank.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r>
              <w:rPr>
                <w:rFonts w:ascii="Arial" w:hAnsi="Arial" w:cs="Arial"/>
                <w:color w:val="333333"/>
              </w:rPr>
              <w:fldChar w:fldCharType="end"/>
            </w:r>
          </w:p>
        </w:tc>
        <w:tc>
          <w:tcPr>
            <w:tcW w:w="900" w:type="dxa"/>
            <w:shd w:val="clear" w:color="auto" w:fill="FFFFFF"/>
            <w:hideMark/>
          </w:tcPr>
          <w:p w14:paraId="6BDC1B43"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no.</w:t>
            </w:r>
          </w:p>
        </w:tc>
        <w:tc>
          <w:tcPr>
            <w:tcW w:w="900" w:type="dxa"/>
            <w:shd w:val="clear" w:color="auto" w:fill="FFFFFF"/>
            <w:hideMark/>
          </w:tcPr>
          <w:p w14:paraId="760EBCFE"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rank</w:t>
            </w:r>
          </w:p>
        </w:tc>
        <w:tc>
          <w:tcPr>
            <w:tcW w:w="900" w:type="dxa"/>
            <w:shd w:val="clear" w:color="auto" w:fill="FFFFFF"/>
            <w:hideMark/>
          </w:tcPr>
          <w:p w14:paraId="2E754C98"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no.</w:t>
            </w:r>
          </w:p>
        </w:tc>
        <w:tc>
          <w:tcPr>
            <w:tcW w:w="900" w:type="dxa"/>
            <w:shd w:val="clear" w:color="auto" w:fill="FFFFFF"/>
            <w:hideMark/>
          </w:tcPr>
          <w:p w14:paraId="6508217B"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rank</w:t>
            </w:r>
          </w:p>
        </w:tc>
        <w:tc>
          <w:tcPr>
            <w:tcW w:w="900" w:type="dxa"/>
            <w:shd w:val="clear" w:color="auto" w:fill="FFFFFF"/>
            <w:hideMark/>
          </w:tcPr>
          <w:p w14:paraId="03F969B8"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no.</w:t>
            </w:r>
          </w:p>
        </w:tc>
        <w:tc>
          <w:tcPr>
            <w:tcW w:w="900" w:type="dxa"/>
            <w:shd w:val="clear" w:color="auto" w:fill="FFFFFF"/>
            <w:hideMark/>
          </w:tcPr>
          <w:p w14:paraId="125958E4"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rank</w:t>
            </w:r>
          </w:p>
        </w:tc>
        <w:tc>
          <w:tcPr>
            <w:tcW w:w="1410" w:type="dxa"/>
            <w:shd w:val="clear" w:color="auto" w:fill="FFFFFF"/>
            <w:hideMark/>
          </w:tcPr>
          <w:p w14:paraId="08B3DA47" w14:textId="77777777" w:rsidR="00FB5ED0" w:rsidRDefault="00FB5ED0">
            <w:pPr>
              <w:rPr>
                <w:rFonts w:ascii="Arial" w:hAnsi="Arial" w:cs="Arial"/>
                <w:color w:val="333333"/>
              </w:rPr>
            </w:pPr>
            <w:r>
              <w:rPr>
                <w:rFonts w:ascii="Arial" w:hAnsi="Arial" w:cs="Arial"/>
                <w:color w:val="333333"/>
              </w:rPr>
              <w:fldChar w:fldCharType="begin"/>
            </w:r>
            <w:r>
              <w:rPr>
                <w:rFonts w:ascii="Arial" w:hAnsi="Arial" w:cs="Arial"/>
                <w:color w:val="333333"/>
              </w:rPr>
              <w:instrText xml:space="preserve"> INCLUDEPICTURE "http://www.abs.gov.au/icons/ecblank.gif" \* MERGEFORMATINET </w:instrText>
            </w:r>
            <w:r>
              <w:rPr>
                <w:rFonts w:ascii="Arial" w:hAnsi="Arial" w:cs="Arial"/>
                <w:color w:val="333333"/>
              </w:rPr>
              <w:fldChar w:fldCharType="separate"/>
            </w:r>
            <w:r>
              <w:rPr>
                <w:rFonts w:ascii="Arial" w:hAnsi="Arial" w:cs="Arial"/>
                <w:noProof/>
                <w:color w:val="333333"/>
                <w:lang w:eastAsia="en-AU"/>
              </w:rPr>
              <w:drawing>
                <wp:inline distT="0" distB="0" distL="0" distR="0" wp14:anchorId="02193F2C" wp14:editId="1D991E47">
                  <wp:extent cx="13335" cy="13335"/>
                  <wp:effectExtent l="0" t="0" r="0" b="0"/>
                  <wp:docPr id="163" name="Picture 163" descr="http://www.abs.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www.abs.gov.au/icons/ecblank.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r>
              <w:rPr>
                <w:rFonts w:ascii="Arial" w:hAnsi="Arial" w:cs="Arial"/>
                <w:color w:val="333333"/>
              </w:rPr>
              <w:fldChar w:fldCharType="end"/>
            </w:r>
          </w:p>
        </w:tc>
        <w:tc>
          <w:tcPr>
            <w:tcW w:w="1410" w:type="dxa"/>
            <w:shd w:val="clear" w:color="auto" w:fill="FFFFFF"/>
            <w:hideMark/>
          </w:tcPr>
          <w:p w14:paraId="76C99927" w14:textId="77777777" w:rsidR="00FB5ED0" w:rsidRDefault="00FB5ED0">
            <w:pPr>
              <w:rPr>
                <w:rFonts w:ascii="Arial" w:hAnsi="Arial" w:cs="Arial"/>
                <w:color w:val="333333"/>
              </w:rPr>
            </w:pPr>
            <w:r>
              <w:rPr>
                <w:rFonts w:ascii="Arial" w:hAnsi="Arial" w:cs="Arial"/>
                <w:color w:val="333333"/>
              </w:rPr>
              <w:fldChar w:fldCharType="begin"/>
            </w:r>
            <w:r>
              <w:rPr>
                <w:rFonts w:ascii="Arial" w:hAnsi="Arial" w:cs="Arial"/>
                <w:color w:val="333333"/>
              </w:rPr>
              <w:instrText xml:space="preserve"> INCLUDEPICTURE "http://www.abs.gov.au/icons/ecblank.gif" \* MERGEFORMATINET </w:instrText>
            </w:r>
            <w:r>
              <w:rPr>
                <w:rFonts w:ascii="Arial" w:hAnsi="Arial" w:cs="Arial"/>
                <w:color w:val="333333"/>
              </w:rPr>
              <w:fldChar w:fldCharType="separate"/>
            </w:r>
            <w:r>
              <w:rPr>
                <w:rFonts w:ascii="Arial" w:hAnsi="Arial" w:cs="Arial"/>
                <w:noProof/>
                <w:color w:val="333333"/>
                <w:lang w:eastAsia="en-AU"/>
              </w:rPr>
              <w:drawing>
                <wp:inline distT="0" distB="0" distL="0" distR="0" wp14:anchorId="162B527B" wp14:editId="1707E425">
                  <wp:extent cx="13335" cy="13335"/>
                  <wp:effectExtent l="0" t="0" r="0" b="0"/>
                  <wp:docPr id="162" name="Picture 162" descr="http://www.abs.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www.abs.gov.au/icons/ecblank.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r>
              <w:rPr>
                <w:rFonts w:ascii="Arial" w:hAnsi="Arial" w:cs="Arial"/>
                <w:color w:val="333333"/>
              </w:rPr>
              <w:fldChar w:fldCharType="end"/>
            </w:r>
          </w:p>
        </w:tc>
      </w:tr>
      <w:tr w:rsidR="00FB5ED0" w14:paraId="3671FCAD" w14:textId="77777777" w:rsidTr="00FB5ED0">
        <w:trPr>
          <w:tblCellSpacing w:w="0" w:type="dxa"/>
        </w:trPr>
        <w:tc>
          <w:tcPr>
            <w:tcW w:w="24210" w:type="dxa"/>
            <w:gridSpan w:val="10"/>
            <w:shd w:val="clear" w:color="auto" w:fill="FFFFFF"/>
            <w:hideMark/>
          </w:tcPr>
          <w:p w14:paraId="7A33F604" w14:textId="77777777" w:rsidR="00FB5ED0" w:rsidRDefault="00BD1FAF">
            <w:pPr>
              <w:rPr>
                <w:rFonts w:ascii="Arial" w:hAnsi="Arial" w:cs="Arial"/>
                <w:color w:val="333333"/>
              </w:rPr>
            </w:pPr>
            <w:r>
              <w:rPr>
                <w:rFonts w:ascii="Arial" w:hAnsi="Arial" w:cs="Arial"/>
                <w:noProof/>
                <w:color w:val="333333"/>
              </w:rPr>
              <w:pict w14:anchorId="24C82068">
                <v:rect id="_x0000_i1026" alt="" style="width:22in;height:.05pt;mso-width-percent:0;mso-height-percent:0;mso-width-percent:0;mso-height-percent:0" o:hrstd="t" o:hr="t" fillcolor="#a0a0a0" stroked="f"/>
              </w:pict>
            </w:r>
          </w:p>
        </w:tc>
      </w:tr>
      <w:tr w:rsidR="00FB5ED0" w14:paraId="004FFFA5" w14:textId="77777777" w:rsidTr="00FB5ED0">
        <w:trPr>
          <w:tblCellSpacing w:w="0" w:type="dxa"/>
        </w:trPr>
        <w:tc>
          <w:tcPr>
            <w:tcW w:w="5160" w:type="dxa"/>
            <w:shd w:val="clear" w:color="auto" w:fill="FFFFFF"/>
            <w:hideMark/>
          </w:tcPr>
          <w:p w14:paraId="4DF75130" w14:textId="77777777" w:rsidR="00FB5ED0" w:rsidRDefault="00FB5ED0">
            <w:pPr>
              <w:rPr>
                <w:rFonts w:ascii="Arial" w:hAnsi="Arial" w:cs="Arial"/>
                <w:color w:val="333333"/>
              </w:rPr>
            </w:pPr>
            <w:r>
              <w:rPr>
                <w:rFonts w:ascii="Arial" w:hAnsi="Arial" w:cs="Arial"/>
                <w:b/>
                <w:bCs/>
                <w:color w:val="333333"/>
                <w:sz w:val="20"/>
                <w:szCs w:val="20"/>
              </w:rPr>
              <w:lastRenderedPageBreak/>
              <w:t>All Drug induced deaths</w:t>
            </w:r>
          </w:p>
        </w:tc>
        <w:tc>
          <w:tcPr>
            <w:tcW w:w="10770" w:type="dxa"/>
            <w:shd w:val="clear" w:color="auto" w:fill="FFFFFF"/>
            <w:hideMark/>
          </w:tcPr>
          <w:p w14:paraId="23F27E33" w14:textId="77777777" w:rsidR="00FB5ED0" w:rsidRDefault="00FB5ED0">
            <w:pPr>
              <w:rPr>
                <w:rFonts w:ascii="Arial" w:hAnsi="Arial" w:cs="Arial"/>
                <w:color w:val="333333"/>
              </w:rPr>
            </w:pPr>
            <w:r>
              <w:rPr>
                <w:rFonts w:ascii="Arial" w:hAnsi="Arial" w:cs="Arial"/>
                <w:color w:val="333333"/>
              </w:rPr>
              <w:fldChar w:fldCharType="begin"/>
            </w:r>
            <w:r>
              <w:rPr>
                <w:rFonts w:ascii="Arial" w:hAnsi="Arial" w:cs="Arial"/>
                <w:color w:val="333333"/>
              </w:rPr>
              <w:instrText xml:space="preserve"> INCLUDEPICTURE "http://www.abs.gov.au/icons/ecblank.gif" \* MERGEFORMATINET </w:instrText>
            </w:r>
            <w:r>
              <w:rPr>
                <w:rFonts w:ascii="Arial" w:hAnsi="Arial" w:cs="Arial"/>
                <w:color w:val="333333"/>
              </w:rPr>
              <w:fldChar w:fldCharType="separate"/>
            </w:r>
            <w:r>
              <w:rPr>
                <w:rFonts w:ascii="Arial" w:hAnsi="Arial" w:cs="Arial"/>
                <w:noProof/>
                <w:color w:val="333333"/>
                <w:lang w:eastAsia="en-AU"/>
              </w:rPr>
              <w:drawing>
                <wp:inline distT="0" distB="0" distL="0" distR="0" wp14:anchorId="2ABA5AB5" wp14:editId="4A3696B0">
                  <wp:extent cx="13335" cy="13335"/>
                  <wp:effectExtent l="0" t="0" r="0" b="0"/>
                  <wp:docPr id="161" name="Picture 161" descr="http://www.abs.gov.au/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www.abs.gov.au/icons/ecblank.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 cy="13335"/>
                          </a:xfrm>
                          <a:prstGeom prst="rect">
                            <a:avLst/>
                          </a:prstGeom>
                          <a:noFill/>
                          <a:ln>
                            <a:noFill/>
                          </a:ln>
                        </pic:spPr>
                      </pic:pic>
                    </a:graphicData>
                  </a:graphic>
                </wp:inline>
              </w:drawing>
            </w:r>
            <w:r>
              <w:rPr>
                <w:rFonts w:ascii="Arial" w:hAnsi="Arial" w:cs="Arial"/>
                <w:color w:val="333333"/>
              </w:rPr>
              <w:fldChar w:fldCharType="end"/>
            </w:r>
          </w:p>
        </w:tc>
        <w:tc>
          <w:tcPr>
            <w:tcW w:w="900" w:type="dxa"/>
            <w:shd w:val="clear" w:color="auto" w:fill="FFFFFF"/>
            <w:hideMark/>
          </w:tcPr>
          <w:p w14:paraId="28E02340" w14:textId="77777777" w:rsidR="00FB5ED0" w:rsidRDefault="00FB5ED0">
            <w:pPr>
              <w:jc w:val="right"/>
              <w:textAlignment w:val="baseline"/>
              <w:rPr>
                <w:rFonts w:ascii="inherit" w:hAnsi="inherit" w:cs="Arial" w:hint="eastAsia"/>
                <w:color w:val="333333"/>
              </w:rPr>
            </w:pPr>
            <w:r>
              <w:rPr>
                <w:rFonts w:ascii="inherit" w:hAnsi="inherit" w:cs="Arial"/>
                <w:b/>
                <w:bCs/>
                <w:color w:val="333333"/>
                <w:sz w:val="20"/>
                <w:szCs w:val="20"/>
              </w:rPr>
              <w:t>1819</w:t>
            </w:r>
          </w:p>
        </w:tc>
        <w:tc>
          <w:tcPr>
            <w:tcW w:w="900" w:type="dxa"/>
            <w:shd w:val="clear" w:color="auto" w:fill="FFFFFF"/>
            <w:hideMark/>
          </w:tcPr>
          <w:p w14:paraId="39B514FC" w14:textId="77777777" w:rsidR="00FB5ED0" w:rsidRDefault="00FB5ED0">
            <w:pPr>
              <w:jc w:val="right"/>
              <w:textAlignment w:val="baseline"/>
              <w:rPr>
                <w:rFonts w:ascii="inherit" w:hAnsi="inherit" w:cs="Arial" w:hint="eastAsia"/>
                <w:color w:val="333333"/>
              </w:rPr>
            </w:pPr>
            <w:r>
              <w:rPr>
                <w:rFonts w:ascii="inherit" w:hAnsi="inherit" w:cs="Arial"/>
                <w:b/>
                <w:bCs/>
                <w:color w:val="333333"/>
                <w:sz w:val="20"/>
                <w:szCs w:val="20"/>
              </w:rPr>
              <w:t>n/a</w:t>
            </w:r>
          </w:p>
        </w:tc>
        <w:tc>
          <w:tcPr>
            <w:tcW w:w="900" w:type="dxa"/>
            <w:shd w:val="clear" w:color="auto" w:fill="FFFFFF"/>
            <w:hideMark/>
          </w:tcPr>
          <w:p w14:paraId="72F2CD01" w14:textId="77777777" w:rsidR="00FB5ED0" w:rsidRDefault="00FB5ED0">
            <w:pPr>
              <w:jc w:val="right"/>
              <w:textAlignment w:val="baseline"/>
              <w:rPr>
                <w:rFonts w:ascii="inherit" w:hAnsi="inherit" w:cs="Arial" w:hint="eastAsia"/>
                <w:color w:val="333333"/>
              </w:rPr>
            </w:pPr>
            <w:r>
              <w:rPr>
                <w:rFonts w:ascii="inherit" w:hAnsi="inherit" w:cs="Arial"/>
                <w:b/>
                <w:bCs/>
                <w:color w:val="333333"/>
                <w:sz w:val="20"/>
                <w:szCs w:val="20"/>
              </w:rPr>
              <w:t>1,193</w:t>
            </w:r>
          </w:p>
        </w:tc>
        <w:tc>
          <w:tcPr>
            <w:tcW w:w="900" w:type="dxa"/>
            <w:shd w:val="clear" w:color="auto" w:fill="FFFFFF"/>
            <w:hideMark/>
          </w:tcPr>
          <w:p w14:paraId="67AF87D0" w14:textId="77777777" w:rsidR="00FB5ED0" w:rsidRDefault="00FB5ED0">
            <w:pPr>
              <w:jc w:val="right"/>
              <w:textAlignment w:val="baseline"/>
              <w:rPr>
                <w:rFonts w:ascii="inherit" w:hAnsi="inherit" w:cs="Arial" w:hint="eastAsia"/>
                <w:color w:val="333333"/>
              </w:rPr>
            </w:pPr>
            <w:r>
              <w:rPr>
                <w:rFonts w:ascii="inherit" w:hAnsi="inherit" w:cs="Arial"/>
                <w:b/>
                <w:bCs/>
                <w:color w:val="333333"/>
                <w:sz w:val="20"/>
                <w:szCs w:val="20"/>
              </w:rPr>
              <w:t>n/a</w:t>
            </w:r>
          </w:p>
        </w:tc>
        <w:tc>
          <w:tcPr>
            <w:tcW w:w="900" w:type="dxa"/>
            <w:shd w:val="clear" w:color="auto" w:fill="FFFFFF"/>
            <w:hideMark/>
          </w:tcPr>
          <w:p w14:paraId="53FA187E" w14:textId="77777777" w:rsidR="00FB5ED0" w:rsidRDefault="00FB5ED0">
            <w:pPr>
              <w:jc w:val="right"/>
              <w:textAlignment w:val="baseline"/>
              <w:rPr>
                <w:rFonts w:ascii="inherit" w:hAnsi="inherit" w:cs="Arial" w:hint="eastAsia"/>
                <w:color w:val="333333"/>
              </w:rPr>
            </w:pPr>
            <w:r>
              <w:rPr>
                <w:rFonts w:ascii="inherit" w:hAnsi="inherit" w:cs="Arial"/>
                <w:b/>
                <w:bCs/>
                <w:color w:val="333333"/>
                <w:sz w:val="20"/>
                <w:szCs w:val="20"/>
              </w:rPr>
              <w:t>1,808</w:t>
            </w:r>
          </w:p>
        </w:tc>
        <w:tc>
          <w:tcPr>
            <w:tcW w:w="900" w:type="dxa"/>
            <w:shd w:val="clear" w:color="auto" w:fill="FFFFFF"/>
            <w:hideMark/>
          </w:tcPr>
          <w:p w14:paraId="3C8A8320" w14:textId="77777777" w:rsidR="00FB5ED0" w:rsidRDefault="00FB5ED0">
            <w:pPr>
              <w:jc w:val="right"/>
              <w:textAlignment w:val="baseline"/>
              <w:rPr>
                <w:rFonts w:ascii="inherit" w:hAnsi="inherit" w:cs="Arial" w:hint="eastAsia"/>
                <w:color w:val="333333"/>
              </w:rPr>
            </w:pPr>
            <w:r>
              <w:rPr>
                <w:rFonts w:ascii="inherit" w:hAnsi="inherit" w:cs="Arial"/>
                <w:b/>
                <w:bCs/>
                <w:color w:val="333333"/>
                <w:sz w:val="20"/>
                <w:szCs w:val="20"/>
              </w:rPr>
              <w:t>n/a</w:t>
            </w:r>
          </w:p>
        </w:tc>
        <w:tc>
          <w:tcPr>
            <w:tcW w:w="1410" w:type="dxa"/>
            <w:shd w:val="clear" w:color="auto" w:fill="FFFFFF"/>
            <w:hideMark/>
          </w:tcPr>
          <w:p w14:paraId="28D524F0" w14:textId="77777777" w:rsidR="00FB5ED0" w:rsidRDefault="00FB5ED0">
            <w:pPr>
              <w:jc w:val="right"/>
              <w:textAlignment w:val="baseline"/>
              <w:rPr>
                <w:rFonts w:ascii="inherit" w:hAnsi="inherit" w:cs="Arial" w:hint="eastAsia"/>
                <w:color w:val="333333"/>
              </w:rPr>
            </w:pPr>
            <w:r>
              <w:rPr>
                <w:rFonts w:ascii="inherit" w:hAnsi="inherit" w:cs="Arial"/>
                <w:b/>
                <w:bCs/>
                <w:color w:val="333333"/>
                <w:sz w:val="20"/>
                <w:szCs w:val="20"/>
              </w:rPr>
              <w:t>n/a</w:t>
            </w:r>
          </w:p>
        </w:tc>
        <w:tc>
          <w:tcPr>
            <w:tcW w:w="1410" w:type="dxa"/>
            <w:shd w:val="clear" w:color="auto" w:fill="FFFFFF"/>
            <w:hideMark/>
          </w:tcPr>
          <w:p w14:paraId="13F6DB83" w14:textId="77777777" w:rsidR="00FB5ED0" w:rsidRDefault="00FB5ED0">
            <w:pPr>
              <w:jc w:val="right"/>
              <w:textAlignment w:val="baseline"/>
              <w:rPr>
                <w:rFonts w:ascii="inherit" w:hAnsi="inherit" w:cs="Arial" w:hint="eastAsia"/>
                <w:color w:val="333333"/>
              </w:rPr>
            </w:pPr>
            <w:r>
              <w:rPr>
                <w:rFonts w:ascii="inherit" w:hAnsi="inherit" w:cs="Arial"/>
                <w:b/>
                <w:bCs/>
                <w:color w:val="333333"/>
                <w:sz w:val="20"/>
                <w:szCs w:val="20"/>
              </w:rPr>
              <w:t>45.3</w:t>
            </w:r>
          </w:p>
        </w:tc>
      </w:tr>
      <w:tr w:rsidR="00FB5ED0" w14:paraId="7B6B1C07" w14:textId="77777777" w:rsidTr="00FB5ED0">
        <w:trPr>
          <w:tblCellSpacing w:w="0" w:type="dxa"/>
        </w:trPr>
        <w:tc>
          <w:tcPr>
            <w:tcW w:w="5160" w:type="dxa"/>
            <w:shd w:val="clear" w:color="auto" w:fill="FFFFFF"/>
            <w:hideMark/>
          </w:tcPr>
          <w:p w14:paraId="180F0242" w14:textId="77777777" w:rsidR="00FB5ED0" w:rsidRDefault="00FB5ED0">
            <w:pPr>
              <w:rPr>
                <w:rFonts w:ascii="Arial" w:hAnsi="Arial" w:cs="Arial"/>
                <w:color w:val="333333"/>
              </w:rPr>
            </w:pPr>
            <w:r>
              <w:rPr>
                <w:rFonts w:ascii="Arial" w:hAnsi="Arial" w:cs="Arial"/>
                <w:color w:val="333333"/>
                <w:sz w:val="20"/>
                <w:szCs w:val="20"/>
              </w:rPr>
              <w:t>Benzodiazepines (T424)</w:t>
            </w:r>
          </w:p>
        </w:tc>
        <w:tc>
          <w:tcPr>
            <w:tcW w:w="10770" w:type="dxa"/>
            <w:shd w:val="clear" w:color="auto" w:fill="FFFFFF"/>
            <w:hideMark/>
          </w:tcPr>
          <w:p w14:paraId="12D662FD" w14:textId="77777777" w:rsidR="00FB5ED0" w:rsidRDefault="00FB5ED0">
            <w:pPr>
              <w:rPr>
                <w:rFonts w:ascii="Arial" w:hAnsi="Arial" w:cs="Arial"/>
                <w:color w:val="333333"/>
              </w:rPr>
            </w:pPr>
            <w:r>
              <w:rPr>
                <w:rFonts w:ascii="Arial" w:hAnsi="Arial" w:cs="Arial"/>
                <w:color w:val="333333"/>
                <w:sz w:val="20"/>
                <w:szCs w:val="20"/>
              </w:rPr>
              <w:t>Alprazolam, Diazepam, Oxazepam, Clonazepam, Clozapine, Temazepam, Oxazepam</w:t>
            </w:r>
          </w:p>
        </w:tc>
        <w:tc>
          <w:tcPr>
            <w:tcW w:w="900" w:type="dxa"/>
            <w:shd w:val="clear" w:color="auto" w:fill="FFFFFF"/>
            <w:hideMark/>
          </w:tcPr>
          <w:p w14:paraId="45A050EB"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503</w:t>
            </w:r>
          </w:p>
        </w:tc>
        <w:tc>
          <w:tcPr>
            <w:tcW w:w="900" w:type="dxa"/>
            <w:shd w:val="clear" w:color="auto" w:fill="FFFFFF"/>
            <w:hideMark/>
          </w:tcPr>
          <w:p w14:paraId="324D1E92"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2</w:t>
            </w:r>
          </w:p>
        </w:tc>
        <w:tc>
          <w:tcPr>
            <w:tcW w:w="900" w:type="dxa"/>
            <w:shd w:val="clear" w:color="auto" w:fill="FFFFFF"/>
            <w:hideMark/>
          </w:tcPr>
          <w:p w14:paraId="539A92DE"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354</w:t>
            </w:r>
          </w:p>
        </w:tc>
        <w:tc>
          <w:tcPr>
            <w:tcW w:w="900" w:type="dxa"/>
            <w:shd w:val="clear" w:color="auto" w:fill="FFFFFF"/>
            <w:hideMark/>
          </w:tcPr>
          <w:p w14:paraId="6C012197"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1</w:t>
            </w:r>
          </w:p>
        </w:tc>
        <w:tc>
          <w:tcPr>
            <w:tcW w:w="900" w:type="dxa"/>
            <w:shd w:val="clear" w:color="auto" w:fill="FFFFFF"/>
            <w:hideMark/>
          </w:tcPr>
          <w:p w14:paraId="0272A0FC"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663</w:t>
            </w:r>
          </w:p>
        </w:tc>
        <w:tc>
          <w:tcPr>
            <w:tcW w:w="900" w:type="dxa"/>
            <w:shd w:val="clear" w:color="auto" w:fill="FFFFFF"/>
            <w:hideMark/>
          </w:tcPr>
          <w:p w14:paraId="0296923B"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1</w:t>
            </w:r>
          </w:p>
        </w:tc>
        <w:tc>
          <w:tcPr>
            <w:tcW w:w="1410" w:type="dxa"/>
            <w:shd w:val="clear" w:color="auto" w:fill="FFFFFF"/>
            <w:hideMark/>
          </w:tcPr>
          <w:p w14:paraId="65749B21"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36.7%</w:t>
            </w:r>
          </w:p>
        </w:tc>
        <w:tc>
          <w:tcPr>
            <w:tcW w:w="1410" w:type="dxa"/>
            <w:shd w:val="clear" w:color="auto" w:fill="FFFFFF"/>
            <w:hideMark/>
          </w:tcPr>
          <w:p w14:paraId="45702C95"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44.6</w:t>
            </w:r>
          </w:p>
        </w:tc>
      </w:tr>
      <w:tr w:rsidR="00FB5ED0" w14:paraId="1CEA372F" w14:textId="77777777" w:rsidTr="00FB5ED0">
        <w:trPr>
          <w:tblCellSpacing w:w="0" w:type="dxa"/>
        </w:trPr>
        <w:tc>
          <w:tcPr>
            <w:tcW w:w="5160" w:type="dxa"/>
            <w:shd w:val="clear" w:color="auto" w:fill="FFFFFF"/>
            <w:hideMark/>
          </w:tcPr>
          <w:p w14:paraId="571F38D2" w14:textId="77777777" w:rsidR="00FB5ED0" w:rsidRDefault="00FB5ED0">
            <w:pPr>
              <w:rPr>
                <w:rFonts w:ascii="Arial" w:hAnsi="Arial" w:cs="Arial"/>
                <w:color w:val="333333"/>
              </w:rPr>
            </w:pPr>
            <w:r>
              <w:rPr>
                <w:rFonts w:ascii="Arial" w:hAnsi="Arial" w:cs="Arial"/>
                <w:color w:val="333333"/>
                <w:sz w:val="20"/>
                <w:szCs w:val="20"/>
              </w:rPr>
              <w:t>Other opioids (T402)</w:t>
            </w:r>
          </w:p>
        </w:tc>
        <w:tc>
          <w:tcPr>
            <w:tcW w:w="10770" w:type="dxa"/>
            <w:shd w:val="clear" w:color="auto" w:fill="FFFFFF"/>
            <w:hideMark/>
          </w:tcPr>
          <w:p w14:paraId="63D3A8ED" w14:textId="77777777" w:rsidR="00FB5ED0" w:rsidRDefault="00FB5ED0">
            <w:pPr>
              <w:rPr>
                <w:rFonts w:ascii="Arial" w:hAnsi="Arial" w:cs="Arial"/>
                <w:color w:val="333333"/>
              </w:rPr>
            </w:pPr>
            <w:r>
              <w:rPr>
                <w:rFonts w:ascii="Arial" w:hAnsi="Arial" w:cs="Arial"/>
                <w:color w:val="333333"/>
                <w:sz w:val="20"/>
                <w:szCs w:val="20"/>
              </w:rPr>
              <w:t>Oxycodone, Codeine, Oxycodone</w:t>
            </w:r>
          </w:p>
        </w:tc>
        <w:tc>
          <w:tcPr>
            <w:tcW w:w="900" w:type="dxa"/>
            <w:shd w:val="clear" w:color="auto" w:fill="FFFFFF"/>
            <w:hideMark/>
          </w:tcPr>
          <w:p w14:paraId="4A0487BB"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678</w:t>
            </w:r>
          </w:p>
        </w:tc>
        <w:tc>
          <w:tcPr>
            <w:tcW w:w="900" w:type="dxa"/>
            <w:shd w:val="clear" w:color="auto" w:fill="FFFFFF"/>
            <w:hideMark/>
          </w:tcPr>
          <w:p w14:paraId="2AD7DF89"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1</w:t>
            </w:r>
          </w:p>
        </w:tc>
        <w:tc>
          <w:tcPr>
            <w:tcW w:w="900" w:type="dxa"/>
            <w:shd w:val="clear" w:color="auto" w:fill="FFFFFF"/>
            <w:hideMark/>
          </w:tcPr>
          <w:p w14:paraId="36A75300"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292</w:t>
            </w:r>
          </w:p>
        </w:tc>
        <w:tc>
          <w:tcPr>
            <w:tcW w:w="900" w:type="dxa"/>
            <w:shd w:val="clear" w:color="auto" w:fill="FFFFFF"/>
            <w:hideMark/>
          </w:tcPr>
          <w:p w14:paraId="4C2804BC"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2</w:t>
            </w:r>
          </w:p>
        </w:tc>
        <w:tc>
          <w:tcPr>
            <w:tcW w:w="900" w:type="dxa"/>
            <w:shd w:val="clear" w:color="auto" w:fill="FFFFFF"/>
            <w:hideMark/>
          </w:tcPr>
          <w:p w14:paraId="364A830E"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550</w:t>
            </w:r>
          </w:p>
        </w:tc>
        <w:tc>
          <w:tcPr>
            <w:tcW w:w="900" w:type="dxa"/>
            <w:shd w:val="clear" w:color="auto" w:fill="FFFFFF"/>
            <w:hideMark/>
          </w:tcPr>
          <w:p w14:paraId="639272FF"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2</w:t>
            </w:r>
          </w:p>
        </w:tc>
        <w:tc>
          <w:tcPr>
            <w:tcW w:w="1410" w:type="dxa"/>
            <w:shd w:val="clear" w:color="auto" w:fill="FFFFFF"/>
            <w:hideMark/>
          </w:tcPr>
          <w:p w14:paraId="04528259"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30.4%</w:t>
            </w:r>
          </w:p>
        </w:tc>
        <w:tc>
          <w:tcPr>
            <w:tcW w:w="1410" w:type="dxa"/>
            <w:shd w:val="clear" w:color="auto" w:fill="FFFFFF"/>
            <w:hideMark/>
          </w:tcPr>
          <w:p w14:paraId="6C5F3E69"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46.0</w:t>
            </w:r>
          </w:p>
        </w:tc>
      </w:tr>
      <w:tr w:rsidR="00FB5ED0" w14:paraId="0DD6D5DD" w14:textId="77777777" w:rsidTr="00FB5ED0">
        <w:trPr>
          <w:tblCellSpacing w:w="0" w:type="dxa"/>
        </w:trPr>
        <w:tc>
          <w:tcPr>
            <w:tcW w:w="5160" w:type="dxa"/>
            <w:shd w:val="clear" w:color="auto" w:fill="FFFFFF"/>
            <w:hideMark/>
          </w:tcPr>
          <w:p w14:paraId="6053D56C" w14:textId="77777777" w:rsidR="00FB5ED0" w:rsidRDefault="00FB5ED0">
            <w:pPr>
              <w:rPr>
                <w:rFonts w:ascii="Arial" w:hAnsi="Arial" w:cs="Arial"/>
                <w:color w:val="333333"/>
              </w:rPr>
            </w:pPr>
            <w:r>
              <w:rPr>
                <w:rFonts w:ascii="Arial" w:hAnsi="Arial" w:cs="Arial"/>
                <w:color w:val="333333"/>
                <w:sz w:val="20"/>
                <w:szCs w:val="20"/>
              </w:rPr>
              <w:t>Psychostimulants with abuse potential (T436)</w:t>
            </w:r>
          </w:p>
        </w:tc>
        <w:tc>
          <w:tcPr>
            <w:tcW w:w="10770" w:type="dxa"/>
            <w:shd w:val="clear" w:color="auto" w:fill="FFFFFF"/>
            <w:hideMark/>
          </w:tcPr>
          <w:p w14:paraId="0B2F77CA" w14:textId="77777777" w:rsidR="00FB5ED0" w:rsidRDefault="00FB5ED0">
            <w:pPr>
              <w:rPr>
                <w:rFonts w:ascii="Arial" w:hAnsi="Arial" w:cs="Arial"/>
                <w:color w:val="333333"/>
              </w:rPr>
            </w:pPr>
            <w:r>
              <w:rPr>
                <w:rFonts w:ascii="Arial" w:hAnsi="Arial" w:cs="Arial"/>
                <w:color w:val="333333"/>
                <w:sz w:val="20"/>
                <w:szCs w:val="20"/>
              </w:rPr>
              <w:t>Amphetamine, Ecstasy, MDA, MDMA, Speed, Methamphetamine, Ice, Caffeine</w:t>
            </w:r>
          </w:p>
        </w:tc>
        <w:tc>
          <w:tcPr>
            <w:tcW w:w="900" w:type="dxa"/>
            <w:shd w:val="clear" w:color="auto" w:fill="FFFFFF"/>
            <w:hideMark/>
          </w:tcPr>
          <w:p w14:paraId="371334E9"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76</w:t>
            </w:r>
          </w:p>
        </w:tc>
        <w:tc>
          <w:tcPr>
            <w:tcW w:w="900" w:type="dxa"/>
            <w:shd w:val="clear" w:color="auto" w:fill="FFFFFF"/>
            <w:hideMark/>
          </w:tcPr>
          <w:p w14:paraId="76E18EC8"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11</w:t>
            </w:r>
          </w:p>
        </w:tc>
        <w:tc>
          <w:tcPr>
            <w:tcW w:w="900" w:type="dxa"/>
            <w:shd w:val="clear" w:color="auto" w:fill="FFFFFF"/>
            <w:hideMark/>
          </w:tcPr>
          <w:p w14:paraId="462F7B14"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93</w:t>
            </w:r>
          </w:p>
        </w:tc>
        <w:tc>
          <w:tcPr>
            <w:tcW w:w="900" w:type="dxa"/>
            <w:shd w:val="clear" w:color="auto" w:fill="FFFFFF"/>
            <w:hideMark/>
          </w:tcPr>
          <w:p w14:paraId="269181D0"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9</w:t>
            </w:r>
          </w:p>
        </w:tc>
        <w:tc>
          <w:tcPr>
            <w:tcW w:w="900" w:type="dxa"/>
            <w:shd w:val="clear" w:color="auto" w:fill="FFFFFF"/>
            <w:hideMark/>
          </w:tcPr>
          <w:p w14:paraId="372DD058"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363</w:t>
            </w:r>
          </w:p>
        </w:tc>
        <w:tc>
          <w:tcPr>
            <w:tcW w:w="900" w:type="dxa"/>
            <w:shd w:val="clear" w:color="auto" w:fill="FFFFFF"/>
            <w:hideMark/>
          </w:tcPr>
          <w:p w14:paraId="739E9A41"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3</w:t>
            </w:r>
          </w:p>
        </w:tc>
        <w:tc>
          <w:tcPr>
            <w:tcW w:w="1410" w:type="dxa"/>
            <w:shd w:val="clear" w:color="auto" w:fill="FFFFFF"/>
            <w:hideMark/>
          </w:tcPr>
          <w:p w14:paraId="2690AB19"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20.1%</w:t>
            </w:r>
          </w:p>
        </w:tc>
        <w:tc>
          <w:tcPr>
            <w:tcW w:w="1410" w:type="dxa"/>
            <w:shd w:val="clear" w:color="auto" w:fill="FFFFFF"/>
            <w:hideMark/>
          </w:tcPr>
          <w:p w14:paraId="17009EBF"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39.4</w:t>
            </w:r>
          </w:p>
        </w:tc>
      </w:tr>
      <w:tr w:rsidR="00FB5ED0" w14:paraId="7E4AD012" w14:textId="77777777" w:rsidTr="00FB5ED0">
        <w:trPr>
          <w:tblCellSpacing w:w="0" w:type="dxa"/>
        </w:trPr>
        <w:tc>
          <w:tcPr>
            <w:tcW w:w="5160" w:type="dxa"/>
            <w:shd w:val="clear" w:color="auto" w:fill="FFFFFF"/>
            <w:hideMark/>
          </w:tcPr>
          <w:p w14:paraId="05D735E9" w14:textId="77777777" w:rsidR="00FB5ED0" w:rsidRDefault="00FB5ED0">
            <w:pPr>
              <w:rPr>
                <w:rFonts w:ascii="Arial" w:hAnsi="Arial" w:cs="Arial"/>
                <w:color w:val="333333"/>
              </w:rPr>
            </w:pPr>
            <w:r>
              <w:rPr>
                <w:rFonts w:ascii="Arial" w:hAnsi="Arial" w:cs="Arial"/>
                <w:color w:val="333333"/>
                <w:sz w:val="20"/>
                <w:szCs w:val="20"/>
              </w:rPr>
              <w:t>Heroin (T401)</w:t>
            </w:r>
          </w:p>
        </w:tc>
        <w:tc>
          <w:tcPr>
            <w:tcW w:w="10770" w:type="dxa"/>
            <w:shd w:val="clear" w:color="auto" w:fill="FFFFFF"/>
            <w:hideMark/>
          </w:tcPr>
          <w:p w14:paraId="2C3BEF15" w14:textId="77777777" w:rsidR="00FB5ED0" w:rsidRDefault="00FB5ED0">
            <w:pPr>
              <w:rPr>
                <w:rFonts w:ascii="Arial" w:hAnsi="Arial" w:cs="Arial"/>
                <w:color w:val="333333"/>
              </w:rPr>
            </w:pPr>
            <w:r>
              <w:rPr>
                <w:rFonts w:ascii="Arial" w:hAnsi="Arial" w:cs="Arial"/>
                <w:color w:val="333333"/>
                <w:sz w:val="20"/>
                <w:szCs w:val="20"/>
              </w:rPr>
              <w:t xml:space="preserve">Heroin, 6/3 </w:t>
            </w:r>
            <w:proofErr w:type="spellStart"/>
            <w:r>
              <w:rPr>
                <w:rFonts w:ascii="Arial" w:hAnsi="Arial" w:cs="Arial"/>
                <w:color w:val="333333"/>
                <w:sz w:val="20"/>
                <w:szCs w:val="20"/>
              </w:rPr>
              <w:t>Monoacetylmorphine</w:t>
            </w:r>
            <w:proofErr w:type="spellEnd"/>
          </w:p>
        </w:tc>
        <w:tc>
          <w:tcPr>
            <w:tcW w:w="900" w:type="dxa"/>
            <w:shd w:val="clear" w:color="auto" w:fill="FFFFFF"/>
            <w:hideMark/>
          </w:tcPr>
          <w:p w14:paraId="124FBE64"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441</w:t>
            </w:r>
          </w:p>
        </w:tc>
        <w:tc>
          <w:tcPr>
            <w:tcW w:w="900" w:type="dxa"/>
            <w:shd w:val="clear" w:color="auto" w:fill="FFFFFF"/>
            <w:hideMark/>
          </w:tcPr>
          <w:p w14:paraId="1847B9ED"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3</w:t>
            </w:r>
          </w:p>
        </w:tc>
        <w:tc>
          <w:tcPr>
            <w:tcW w:w="900" w:type="dxa"/>
            <w:shd w:val="clear" w:color="auto" w:fill="FFFFFF"/>
            <w:hideMark/>
          </w:tcPr>
          <w:p w14:paraId="12B48A66"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127</w:t>
            </w:r>
          </w:p>
        </w:tc>
        <w:tc>
          <w:tcPr>
            <w:tcW w:w="900" w:type="dxa"/>
            <w:shd w:val="clear" w:color="auto" w:fill="FFFFFF"/>
            <w:hideMark/>
          </w:tcPr>
          <w:p w14:paraId="332E219B"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6</w:t>
            </w:r>
          </w:p>
        </w:tc>
        <w:tc>
          <w:tcPr>
            <w:tcW w:w="900" w:type="dxa"/>
            <w:shd w:val="clear" w:color="auto" w:fill="FFFFFF"/>
            <w:hideMark/>
          </w:tcPr>
          <w:p w14:paraId="0BCBF3C7"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361</w:t>
            </w:r>
          </w:p>
        </w:tc>
        <w:tc>
          <w:tcPr>
            <w:tcW w:w="900" w:type="dxa"/>
            <w:shd w:val="clear" w:color="auto" w:fill="FFFFFF"/>
            <w:hideMark/>
          </w:tcPr>
          <w:p w14:paraId="2A53E32D"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4</w:t>
            </w:r>
          </w:p>
        </w:tc>
        <w:tc>
          <w:tcPr>
            <w:tcW w:w="1410" w:type="dxa"/>
            <w:shd w:val="clear" w:color="auto" w:fill="FFFFFF"/>
            <w:hideMark/>
          </w:tcPr>
          <w:p w14:paraId="6F3EEC91"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20.0%</w:t>
            </w:r>
          </w:p>
        </w:tc>
        <w:tc>
          <w:tcPr>
            <w:tcW w:w="1410" w:type="dxa"/>
            <w:shd w:val="clear" w:color="auto" w:fill="FFFFFF"/>
            <w:hideMark/>
          </w:tcPr>
          <w:p w14:paraId="5C0671DB"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41.2</w:t>
            </w:r>
          </w:p>
        </w:tc>
      </w:tr>
      <w:tr w:rsidR="00FB5ED0" w14:paraId="6493A560" w14:textId="77777777" w:rsidTr="00FB5ED0">
        <w:trPr>
          <w:tblCellSpacing w:w="0" w:type="dxa"/>
        </w:trPr>
        <w:tc>
          <w:tcPr>
            <w:tcW w:w="5160" w:type="dxa"/>
            <w:shd w:val="clear" w:color="auto" w:fill="FFFFFF"/>
            <w:hideMark/>
          </w:tcPr>
          <w:p w14:paraId="171D49DD" w14:textId="77777777" w:rsidR="00FB5ED0" w:rsidRDefault="00FB5ED0">
            <w:pPr>
              <w:rPr>
                <w:rFonts w:ascii="Arial" w:hAnsi="Arial" w:cs="Arial"/>
                <w:color w:val="333333"/>
              </w:rPr>
            </w:pPr>
            <w:r>
              <w:rPr>
                <w:rFonts w:ascii="Arial" w:hAnsi="Arial" w:cs="Arial"/>
                <w:color w:val="333333"/>
                <w:sz w:val="20"/>
                <w:szCs w:val="20"/>
              </w:rPr>
              <w:t>Other and unspecified antidepressants (T432)</w:t>
            </w:r>
          </w:p>
        </w:tc>
        <w:tc>
          <w:tcPr>
            <w:tcW w:w="10770" w:type="dxa"/>
            <w:shd w:val="clear" w:color="auto" w:fill="FFFFFF"/>
            <w:hideMark/>
          </w:tcPr>
          <w:p w14:paraId="59A7588F" w14:textId="77777777" w:rsidR="00FB5ED0" w:rsidRDefault="00FB5ED0">
            <w:pPr>
              <w:rPr>
                <w:rFonts w:ascii="Arial" w:hAnsi="Arial" w:cs="Arial"/>
                <w:color w:val="333333"/>
              </w:rPr>
            </w:pPr>
            <w:r>
              <w:rPr>
                <w:rFonts w:ascii="Arial" w:hAnsi="Arial" w:cs="Arial"/>
                <w:color w:val="333333"/>
                <w:sz w:val="20"/>
                <w:szCs w:val="20"/>
              </w:rPr>
              <w:t xml:space="preserve">Sertraline, Citalopram, Venlafaxine, Fluoxetine, </w:t>
            </w:r>
            <w:proofErr w:type="spellStart"/>
            <w:r>
              <w:rPr>
                <w:rFonts w:ascii="Arial" w:hAnsi="Arial" w:cs="Arial"/>
                <w:color w:val="333333"/>
                <w:sz w:val="20"/>
                <w:szCs w:val="20"/>
              </w:rPr>
              <w:t>Mirtazepine</w:t>
            </w:r>
            <w:proofErr w:type="spellEnd"/>
            <w:r>
              <w:rPr>
                <w:rFonts w:ascii="Arial" w:hAnsi="Arial" w:cs="Arial"/>
                <w:color w:val="333333"/>
                <w:sz w:val="20"/>
                <w:szCs w:val="20"/>
              </w:rPr>
              <w:t>, Fluvoxamine, Paroxetine, Duloxetine, Bupropion</w:t>
            </w:r>
          </w:p>
        </w:tc>
        <w:tc>
          <w:tcPr>
            <w:tcW w:w="900" w:type="dxa"/>
            <w:shd w:val="clear" w:color="auto" w:fill="FFFFFF"/>
            <w:hideMark/>
          </w:tcPr>
          <w:p w14:paraId="03FD4569"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124</w:t>
            </w:r>
          </w:p>
        </w:tc>
        <w:tc>
          <w:tcPr>
            <w:tcW w:w="900" w:type="dxa"/>
            <w:shd w:val="clear" w:color="auto" w:fill="FFFFFF"/>
            <w:hideMark/>
          </w:tcPr>
          <w:p w14:paraId="265C905B"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9</w:t>
            </w:r>
          </w:p>
        </w:tc>
        <w:tc>
          <w:tcPr>
            <w:tcW w:w="900" w:type="dxa"/>
            <w:shd w:val="clear" w:color="auto" w:fill="FFFFFF"/>
            <w:hideMark/>
          </w:tcPr>
          <w:p w14:paraId="481ACA46"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172</w:t>
            </w:r>
          </w:p>
        </w:tc>
        <w:tc>
          <w:tcPr>
            <w:tcW w:w="900" w:type="dxa"/>
            <w:shd w:val="clear" w:color="auto" w:fill="FFFFFF"/>
            <w:hideMark/>
          </w:tcPr>
          <w:p w14:paraId="46CEC9C1"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3</w:t>
            </w:r>
          </w:p>
        </w:tc>
        <w:tc>
          <w:tcPr>
            <w:tcW w:w="900" w:type="dxa"/>
            <w:shd w:val="clear" w:color="auto" w:fill="FFFFFF"/>
            <w:hideMark/>
          </w:tcPr>
          <w:p w14:paraId="061EC14A"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276</w:t>
            </w:r>
          </w:p>
        </w:tc>
        <w:tc>
          <w:tcPr>
            <w:tcW w:w="900" w:type="dxa"/>
            <w:shd w:val="clear" w:color="auto" w:fill="FFFFFF"/>
            <w:hideMark/>
          </w:tcPr>
          <w:p w14:paraId="64E9F4FE"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5</w:t>
            </w:r>
          </w:p>
        </w:tc>
        <w:tc>
          <w:tcPr>
            <w:tcW w:w="1410" w:type="dxa"/>
            <w:shd w:val="clear" w:color="auto" w:fill="FFFFFF"/>
            <w:hideMark/>
          </w:tcPr>
          <w:p w14:paraId="7E68AE8E"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15.3%</w:t>
            </w:r>
          </w:p>
        </w:tc>
        <w:tc>
          <w:tcPr>
            <w:tcW w:w="1410" w:type="dxa"/>
            <w:shd w:val="clear" w:color="auto" w:fill="FFFFFF"/>
            <w:hideMark/>
          </w:tcPr>
          <w:p w14:paraId="10FD6836"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48.1</w:t>
            </w:r>
          </w:p>
        </w:tc>
      </w:tr>
      <w:tr w:rsidR="00FB5ED0" w14:paraId="240A967A" w14:textId="77777777" w:rsidTr="00FB5ED0">
        <w:trPr>
          <w:tblCellSpacing w:w="0" w:type="dxa"/>
        </w:trPr>
        <w:tc>
          <w:tcPr>
            <w:tcW w:w="5160" w:type="dxa"/>
            <w:shd w:val="clear" w:color="auto" w:fill="FFFFFF"/>
            <w:hideMark/>
          </w:tcPr>
          <w:p w14:paraId="0F3C31D7" w14:textId="77777777" w:rsidR="00FB5ED0" w:rsidRDefault="00FB5ED0">
            <w:pPr>
              <w:rPr>
                <w:rFonts w:ascii="Arial" w:hAnsi="Arial" w:cs="Arial"/>
                <w:color w:val="333333"/>
              </w:rPr>
            </w:pPr>
            <w:r>
              <w:rPr>
                <w:rFonts w:ascii="Arial" w:hAnsi="Arial" w:cs="Arial"/>
                <w:color w:val="333333"/>
                <w:sz w:val="20"/>
                <w:szCs w:val="20"/>
              </w:rPr>
              <w:t>Other synthetic narcotics (T404)</w:t>
            </w:r>
          </w:p>
        </w:tc>
        <w:tc>
          <w:tcPr>
            <w:tcW w:w="10770" w:type="dxa"/>
            <w:shd w:val="clear" w:color="auto" w:fill="FFFFFF"/>
            <w:hideMark/>
          </w:tcPr>
          <w:p w14:paraId="1350B00B" w14:textId="77777777" w:rsidR="00FB5ED0" w:rsidRDefault="00FB5ED0">
            <w:pPr>
              <w:rPr>
                <w:rFonts w:ascii="Arial" w:hAnsi="Arial" w:cs="Arial"/>
                <w:color w:val="333333"/>
              </w:rPr>
            </w:pPr>
            <w:r>
              <w:rPr>
                <w:rFonts w:ascii="Arial" w:hAnsi="Arial" w:cs="Arial"/>
                <w:color w:val="333333"/>
                <w:sz w:val="20"/>
                <w:szCs w:val="20"/>
              </w:rPr>
              <w:t>Fentanyl, Tramadol, Pethidine</w:t>
            </w:r>
          </w:p>
        </w:tc>
        <w:tc>
          <w:tcPr>
            <w:tcW w:w="900" w:type="dxa"/>
            <w:shd w:val="clear" w:color="auto" w:fill="FFFFFF"/>
            <w:hideMark/>
          </w:tcPr>
          <w:p w14:paraId="197E4C8C"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68</w:t>
            </w:r>
          </w:p>
        </w:tc>
        <w:tc>
          <w:tcPr>
            <w:tcW w:w="900" w:type="dxa"/>
            <w:shd w:val="clear" w:color="auto" w:fill="FFFFFF"/>
            <w:hideMark/>
          </w:tcPr>
          <w:p w14:paraId="1D4B5354"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12</w:t>
            </w:r>
          </w:p>
        </w:tc>
        <w:tc>
          <w:tcPr>
            <w:tcW w:w="900" w:type="dxa"/>
            <w:shd w:val="clear" w:color="auto" w:fill="FFFFFF"/>
            <w:hideMark/>
          </w:tcPr>
          <w:p w14:paraId="6DC88764"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19</w:t>
            </w:r>
          </w:p>
        </w:tc>
        <w:tc>
          <w:tcPr>
            <w:tcW w:w="900" w:type="dxa"/>
            <w:shd w:val="clear" w:color="auto" w:fill="FFFFFF"/>
            <w:hideMark/>
          </w:tcPr>
          <w:p w14:paraId="40FF0B47"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19</w:t>
            </w:r>
          </w:p>
        </w:tc>
        <w:tc>
          <w:tcPr>
            <w:tcW w:w="900" w:type="dxa"/>
            <w:shd w:val="clear" w:color="auto" w:fill="FFFFFF"/>
            <w:hideMark/>
          </w:tcPr>
          <w:p w14:paraId="136077B1"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234</w:t>
            </w:r>
          </w:p>
        </w:tc>
        <w:tc>
          <w:tcPr>
            <w:tcW w:w="900" w:type="dxa"/>
            <w:shd w:val="clear" w:color="auto" w:fill="FFFFFF"/>
            <w:hideMark/>
          </w:tcPr>
          <w:p w14:paraId="76DC6D0E"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6</w:t>
            </w:r>
          </w:p>
        </w:tc>
        <w:tc>
          <w:tcPr>
            <w:tcW w:w="1410" w:type="dxa"/>
            <w:shd w:val="clear" w:color="auto" w:fill="FFFFFF"/>
            <w:hideMark/>
          </w:tcPr>
          <w:p w14:paraId="0150B54A"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12.9%</w:t>
            </w:r>
          </w:p>
        </w:tc>
        <w:tc>
          <w:tcPr>
            <w:tcW w:w="1410" w:type="dxa"/>
            <w:shd w:val="clear" w:color="auto" w:fill="FFFFFF"/>
            <w:hideMark/>
          </w:tcPr>
          <w:p w14:paraId="10478D76"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41.3</w:t>
            </w:r>
          </w:p>
        </w:tc>
      </w:tr>
      <w:tr w:rsidR="00FB5ED0" w14:paraId="48DED4FE" w14:textId="77777777" w:rsidTr="00FB5ED0">
        <w:trPr>
          <w:tblCellSpacing w:w="0" w:type="dxa"/>
        </w:trPr>
        <w:tc>
          <w:tcPr>
            <w:tcW w:w="5160" w:type="dxa"/>
            <w:shd w:val="clear" w:color="auto" w:fill="FFFFFF"/>
            <w:hideMark/>
          </w:tcPr>
          <w:p w14:paraId="453B848C" w14:textId="77777777" w:rsidR="00FB5ED0" w:rsidRDefault="00FB5ED0">
            <w:pPr>
              <w:rPr>
                <w:rFonts w:ascii="Arial" w:hAnsi="Arial" w:cs="Arial"/>
                <w:color w:val="333333"/>
              </w:rPr>
            </w:pPr>
            <w:r>
              <w:rPr>
                <w:rFonts w:ascii="Arial" w:hAnsi="Arial" w:cs="Arial"/>
                <w:color w:val="333333"/>
                <w:sz w:val="20"/>
                <w:szCs w:val="20"/>
              </w:rPr>
              <w:t>Alcohol, unspecified (T519)</w:t>
            </w:r>
          </w:p>
        </w:tc>
        <w:tc>
          <w:tcPr>
            <w:tcW w:w="10770" w:type="dxa"/>
            <w:shd w:val="clear" w:color="auto" w:fill="FFFFFF"/>
            <w:hideMark/>
          </w:tcPr>
          <w:p w14:paraId="1758D63A" w14:textId="77777777" w:rsidR="00FB5ED0" w:rsidRDefault="00FB5ED0">
            <w:pPr>
              <w:rPr>
                <w:rFonts w:ascii="Arial" w:hAnsi="Arial" w:cs="Arial"/>
                <w:color w:val="333333"/>
              </w:rPr>
            </w:pPr>
            <w:r>
              <w:rPr>
                <w:rFonts w:ascii="Arial" w:hAnsi="Arial" w:cs="Arial"/>
                <w:color w:val="333333"/>
                <w:sz w:val="20"/>
                <w:szCs w:val="20"/>
              </w:rPr>
              <w:t>Alcohol</w:t>
            </w:r>
          </w:p>
        </w:tc>
        <w:tc>
          <w:tcPr>
            <w:tcW w:w="900" w:type="dxa"/>
            <w:shd w:val="clear" w:color="auto" w:fill="FFFFFF"/>
            <w:hideMark/>
          </w:tcPr>
          <w:p w14:paraId="461F2551"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252</w:t>
            </w:r>
          </w:p>
        </w:tc>
        <w:tc>
          <w:tcPr>
            <w:tcW w:w="900" w:type="dxa"/>
            <w:shd w:val="clear" w:color="auto" w:fill="FFFFFF"/>
            <w:hideMark/>
          </w:tcPr>
          <w:p w14:paraId="33E781BF"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4</w:t>
            </w:r>
          </w:p>
        </w:tc>
        <w:tc>
          <w:tcPr>
            <w:tcW w:w="900" w:type="dxa"/>
            <w:shd w:val="clear" w:color="auto" w:fill="FFFFFF"/>
            <w:hideMark/>
          </w:tcPr>
          <w:p w14:paraId="536956C0"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132</w:t>
            </w:r>
          </w:p>
        </w:tc>
        <w:tc>
          <w:tcPr>
            <w:tcW w:w="900" w:type="dxa"/>
            <w:shd w:val="clear" w:color="auto" w:fill="FFFFFF"/>
            <w:hideMark/>
          </w:tcPr>
          <w:p w14:paraId="0B31DFD7"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4</w:t>
            </w:r>
          </w:p>
        </w:tc>
        <w:tc>
          <w:tcPr>
            <w:tcW w:w="900" w:type="dxa"/>
            <w:shd w:val="clear" w:color="auto" w:fill="FFFFFF"/>
            <w:hideMark/>
          </w:tcPr>
          <w:p w14:paraId="1364F7A7"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222</w:t>
            </w:r>
          </w:p>
        </w:tc>
        <w:tc>
          <w:tcPr>
            <w:tcW w:w="900" w:type="dxa"/>
            <w:shd w:val="clear" w:color="auto" w:fill="FFFFFF"/>
            <w:hideMark/>
          </w:tcPr>
          <w:p w14:paraId="237D6C28"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7</w:t>
            </w:r>
          </w:p>
        </w:tc>
        <w:tc>
          <w:tcPr>
            <w:tcW w:w="1410" w:type="dxa"/>
            <w:shd w:val="clear" w:color="auto" w:fill="FFFFFF"/>
            <w:hideMark/>
          </w:tcPr>
          <w:p w14:paraId="1DAAEDA3"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12.3%</w:t>
            </w:r>
          </w:p>
        </w:tc>
        <w:tc>
          <w:tcPr>
            <w:tcW w:w="1410" w:type="dxa"/>
            <w:shd w:val="clear" w:color="auto" w:fill="FFFFFF"/>
            <w:hideMark/>
          </w:tcPr>
          <w:p w14:paraId="416B350C"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47.4</w:t>
            </w:r>
          </w:p>
        </w:tc>
      </w:tr>
      <w:tr w:rsidR="00FB5ED0" w14:paraId="5C9C938C" w14:textId="77777777" w:rsidTr="00FB5ED0">
        <w:trPr>
          <w:tblCellSpacing w:w="0" w:type="dxa"/>
        </w:trPr>
        <w:tc>
          <w:tcPr>
            <w:tcW w:w="5160" w:type="dxa"/>
            <w:shd w:val="clear" w:color="auto" w:fill="FFFFFF"/>
            <w:hideMark/>
          </w:tcPr>
          <w:p w14:paraId="279DE0A1" w14:textId="77777777" w:rsidR="00FB5ED0" w:rsidRDefault="00FB5ED0">
            <w:pPr>
              <w:rPr>
                <w:rFonts w:ascii="Arial" w:hAnsi="Arial" w:cs="Arial"/>
                <w:color w:val="333333"/>
              </w:rPr>
            </w:pPr>
            <w:r>
              <w:rPr>
                <w:rFonts w:ascii="Arial" w:hAnsi="Arial" w:cs="Arial"/>
                <w:color w:val="333333"/>
                <w:sz w:val="20"/>
                <w:szCs w:val="20"/>
              </w:rPr>
              <w:t>Other and unspecified antipsychotics and neuroleptics (T435)</w:t>
            </w:r>
          </w:p>
        </w:tc>
        <w:tc>
          <w:tcPr>
            <w:tcW w:w="10770" w:type="dxa"/>
            <w:shd w:val="clear" w:color="auto" w:fill="FFFFFF"/>
            <w:hideMark/>
          </w:tcPr>
          <w:p w14:paraId="6EBF377C" w14:textId="77777777" w:rsidR="00FB5ED0" w:rsidRDefault="00FB5ED0">
            <w:pPr>
              <w:rPr>
                <w:rFonts w:ascii="Arial" w:hAnsi="Arial" w:cs="Arial"/>
                <w:color w:val="333333"/>
              </w:rPr>
            </w:pPr>
            <w:r>
              <w:rPr>
                <w:rFonts w:ascii="Arial" w:hAnsi="Arial" w:cs="Arial"/>
                <w:color w:val="333333"/>
                <w:sz w:val="20"/>
                <w:szCs w:val="20"/>
              </w:rPr>
              <w:t>Quetiapine, Olanzapine, Antipsychotic, Risperidone</w:t>
            </w:r>
          </w:p>
        </w:tc>
        <w:tc>
          <w:tcPr>
            <w:tcW w:w="900" w:type="dxa"/>
            <w:shd w:val="clear" w:color="auto" w:fill="FFFFFF"/>
            <w:hideMark/>
          </w:tcPr>
          <w:p w14:paraId="38C07653"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28</w:t>
            </w:r>
          </w:p>
        </w:tc>
        <w:tc>
          <w:tcPr>
            <w:tcW w:w="900" w:type="dxa"/>
            <w:shd w:val="clear" w:color="auto" w:fill="FFFFFF"/>
            <w:hideMark/>
          </w:tcPr>
          <w:p w14:paraId="4A8825BE"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17</w:t>
            </w:r>
          </w:p>
        </w:tc>
        <w:tc>
          <w:tcPr>
            <w:tcW w:w="900" w:type="dxa"/>
            <w:shd w:val="clear" w:color="auto" w:fill="FFFFFF"/>
            <w:hideMark/>
          </w:tcPr>
          <w:p w14:paraId="641CD0D3"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51</w:t>
            </w:r>
          </w:p>
        </w:tc>
        <w:tc>
          <w:tcPr>
            <w:tcW w:w="900" w:type="dxa"/>
            <w:shd w:val="clear" w:color="auto" w:fill="FFFFFF"/>
            <w:hideMark/>
          </w:tcPr>
          <w:p w14:paraId="40841095"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13</w:t>
            </w:r>
          </w:p>
        </w:tc>
        <w:tc>
          <w:tcPr>
            <w:tcW w:w="900" w:type="dxa"/>
            <w:shd w:val="clear" w:color="auto" w:fill="FFFFFF"/>
            <w:hideMark/>
          </w:tcPr>
          <w:p w14:paraId="257D0D7B"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220</w:t>
            </w:r>
          </w:p>
        </w:tc>
        <w:tc>
          <w:tcPr>
            <w:tcW w:w="900" w:type="dxa"/>
            <w:shd w:val="clear" w:color="auto" w:fill="FFFFFF"/>
            <w:hideMark/>
          </w:tcPr>
          <w:p w14:paraId="497AE9FF"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8</w:t>
            </w:r>
          </w:p>
        </w:tc>
        <w:tc>
          <w:tcPr>
            <w:tcW w:w="1410" w:type="dxa"/>
            <w:shd w:val="clear" w:color="auto" w:fill="FFFFFF"/>
            <w:hideMark/>
          </w:tcPr>
          <w:p w14:paraId="0B6FABF7"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12.2%</w:t>
            </w:r>
          </w:p>
        </w:tc>
        <w:tc>
          <w:tcPr>
            <w:tcW w:w="1410" w:type="dxa"/>
            <w:shd w:val="clear" w:color="auto" w:fill="FFFFFF"/>
            <w:hideMark/>
          </w:tcPr>
          <w:p w14:paraId="5624CB6A"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45.2</w:t>
            </w:r>
          </w:p>
        </w:tc>
      </w:tr>
      <w:tr w:rsidR="00FB5ED0" w14:paraId="78D73E80" w14:textId="77777777" w:rsidTr="00FB5ED0">
        <w:trPr>
          <w:tblCellSpacing w:w="0" w:type="dxa"/>
        </w:trPr>
        <w:tc>
          <w:tcPr>
            <w:tcW w:w="5160" w:type="dxa"/>
            <w:shd w:val="clear" w:color="auto" w:fill="FFFFFF"/>
            <w:hideMark/>
          </w:tcPr>
          <w:p w14:paraId="7DD54D3A" w14:textId="77777777" w:rsidR="00FB5ED0" w:rsidRDefault="00FB5ED0">
            <w:pPr>
              <w:rPr>
                <w:rFonts w:ascii="Arial" w:hAnsi="Arial" w:cs="Arial"/>
                <w:color w:val="333333"/>
              </w:rPr>
            </w:pPr>
            <w:r>
              <w:rPr>
                <w:rFonts w:ascii="Arial" w:hAnsi="Arial" w:cs="Arial"/>
                <w:color w:val="333333"/>
                <w:sz w:val="20"/>
                <w:szCs w:val="20"/>
              </w:rPr>
              <w:t>Methadone (T403)</w:t>
            </w:r>
          </w:p>
        </w:tc>
        <w:tc>
          <w:tcPr>
            <w:tcW w:w="10770" w:type="dxa"/>
            <w:shd w:val="clear" w:color="auto" w:fill="FFFFFF"/>
            <w:hideMark/>
          </w:tcPr>
          <w:p w14:paraId="7B00B56F" w14:textId="77777777" w:rsidR="00FB5ED0" w:rsidRDefault="00FB5ED0">
            <w:pPr>
              <w:rPr>
                <w:rFonts w:ascii="Arial" w:hAnsi="Arial" w:cs="Arial"/>
                <w:color w:val="333333"/>
              </w:rPr>
            </w:pPr>
            <w:proofErr w:type="spellStart"/>
            <w:r>
              <w:rPr>
                <w:rFonts w:ascii="Arial" w:hAnsi="Arial" w:cs="Arial"/>
                <w:color w:val="333333"/>
                <w:sz w:val="20"/>
                <w:szCs w:val="20"/>
              </w:rPr>
              <w:t>Methodone</w:t>
            </w:r>
            <w:proofErr w:type="spellEnd"/>
          </w:p>
        </w:tc>
        <w:tc>
          <w:tcPr>
            <w:tcW w:w="900" w:type="dxa"/>
            <w:shd w:val="clear" w:color="auto" w:fill="FFFFFF"/>
            <w:hideMark/>
          </w:tcPr>
          <w:p w14:paraId="653D5DD4"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131</w:t>
            </w:r>
          </w:p>
        </w:tc>
        <w:tc>
          <w:tcPr>
            <w:tcW w:w="900" w:type="dxa"/>
            <w:shd w:val="clear" w:color="auto" w:fill="FFFFFF"/>
            <w:hideMark/>
          </w:tcPr>
          <w:p w14:paraId="7E458D9D"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7</w:t>
            </w:r>
          </w:p>
        </w:tc>
        <w:tc>
          <w:tcPr>
            <w:tcW w:w="900" w:type="dxa"/>
            <w:shd w:val="clear" w:color="auto" w:fill="FFFFFF"/>
            <w:hideMark/>
          </w:tcPr>
          <w:p w14:paraId="4D56CD0D"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129</w:t>
            </w:r>
          </w:p>
        </w:tc>
        <w:tc>
          <w:tcPr>
            <w:tcW w:w="900" w:type="dxa"/>
            <w:shd w:val="clear" w:color="auto" w:fill="FFFFFF"/>
            <w:hideMark/>
          </w:tcPr>
          <w:p w14:paraId="16053FDF"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5</w:t>
            </w:r>
          </w:p>
        </w:tc>
        <w:tc>
          <w:tcPr>
            <w:tcW w:w="900" w:type="dxa"/>
            <w:shd w:val="clear" w:color="auto" w:fill="FFFFFF"/>
            <w:hideMark/>
          </w:tcPr>
          <w:p w14:paraId="627000D0"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208</w:t>
            </w:r>
          </w:p>
        </w:tc>
        <w:tc>
          <w:tcPr>
            <w:tcW w:w="900" w:type="dxa"/>
            <w:shd w:val="clear" w:color="auto" w:fill="FFFFFF"/>
            <w:hideMark/>
          </w:tcPr>
          <w:p w14:paraId="7DDC0B3E"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9</w:t>
            </w:r>
          </w:p>
        </w:tc>
        <w:tc>
          <w:tcPr>
            <w:tcW w:w="1410" w:type="dxa"/>
            <w:shd w:val="clear" w:color="auto" w:fill="FFFFFF"/>
            <w:hideMark/>
          </w:tcPr>
          <w:p w14:paraId="7DA84800"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11.5%</w:t>
            </w:r>
          </w:p>
        </w:tc>
        <w:tc>
          <w:tcPr>
            <w:tcW w:w="1410" w:type="dxa"/>
            <w:shd w:val="clear" w:color="auto" w:fill="FFFFFF"/>
            <w:hideMark/>
          </w:tcPr>
          <w:p w14:paraId="3BDF1938"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43.2</w:t>
            </w:r>
          </w:p>
        </w:tc>
      </w:tr>
      <w:tr w:rsidR="00FB5ED0" w14:paraId="4007F36C" w14:textId="77777777" w:rsidTr="00FB5ED0">
        <w:trPr>
          <w:tblCellSpacing w:w="0" w:type="dxa"/>
        </w:trPr>
        <w:tc>
          <w:tcPr>
            <w:tcW w:w="5160" w:type="dxa"/>
            <w:shd w:val="clear" w:color="auto" w:fill="FFFFFF"/>
            <w:hideMark/>
          </w:tcPr>
          <w:p w14:paraId="7485A770" w14:textId="77777777" w:rsidR="00FB5ED0" w:rsidRDefault="00FB5ED0">
            <w:pPr>
              <w:rPr>
                <w:rFonts w:ascii="Arial" w:hAnsi="Arial" w:cs="Arial"/>
                <w:color w:val="333333"/>
              </w:rPr>
            </w:pPr>
            <w:r>
              <w:rPr>
                <w:rFonts w:ascii="Arial" w:hAnsi="Arial" w:cs="Arial"/>
                <w:color w:val="333333"/>
                <w:sz w:val="20"/>
                <w:szCs w:val="20"/>
              </w:rPr>
              <w:t>4-Aminophenol derivatives (T391)</w:t>
            </w:r>
          </w:p>
        </w:tc>
        <w:tc>
          <w:tcPr>
            <w:tcW w:w="10770" w:type="dxa"/>
            <w:shd w:val="clear" w:color="auto" w:fill="FFFFFF"/>
            <w:hideMark/>
          </w:tcPr>
          <w:p w14:paraId="4675661A" w14:textId="77777777" w:rsidR="00FB5ED0" w:rsidRDefault="00FB5ED0">
            <w:pPr>
              <w:rPr>
                <w:rFonts w:ascii="Arial" w:hAnsi="Arial" w:cs="Arial"/>
                <w:color w:val="333333"/>
              </w:rPr>
            </w:pPr>
            <w:r>
              <w:rPr>
                <w:rFonts w:ascii="Arial" w:hAnsi="Arial" w:cs="Arial"/>
                <w:color w:val="333333"/>
                <w:sz w:val="20"/>
                <w:szCs w:val="20"/>
              </w:rPr>
              <w:t>Paracetamol</w:t>
            </w:r>
          </w:p>
        </w:tc>
        <w:tc>
          <w:tcPr>
            <w:tcW w:w="900" w:type="dxa"/>
            <w:shd w:val="clear" w:color="auto" w:fill="FFFFFF"/>
            <w:hideMark/>
          </w:tcPr>
          <w:p w14:paraId="20DADB60"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110</w:t>
            </w:r>
          </w:p>
        </w:tc>
        <w:tc>
          <w:tcPr>
            <w:tcW w:w="900" w:type="dxa"/>
            <w:shd w:val="clear" w:color="auto" w:fill="FFFFFF"/>
            <w:hideMark/>
          </w:tcPr>
          <w:p w14:paraId="071EA2E2"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10</w:t>
            </w:r>
          </w:p>
        </w:tc>
        <w:tc>
          <w:tcPr>
            <w:tcW w:w="900" w:type="dxa"/>
            <w:shd w:val="clear" w:color="auto" w:fill="FFFFFF"/>
            <w:hideMark/>
          </w:tcPr>
          <w:p w14:paraId="3D5B63A3"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82</w:t>
            </w:r>
          </w:p>
        </w:tc>
        <w:tc>
          <w:tcPr>
            <w:tcW w:w="900" w:type="dxa"/>
            <w:shd w:val="clear" w:color="auto" w:fill="FFFFFF"/>
            <w:hideMark/>
          </w:tcPr>
          <w:p w14:paraId="760A2C25"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10</w:t>
            </w:r>
          </w:p>
        </w:tc>
        <w:tc>
          <w:tcPr>
            <w:tcW w:w="900" w:type="dxa"/>
            <w:shd w:val="clear" w:color="auto" w:fill="FFFFFF"/>
            <w:hideMark/>
          </w:tcPr>
          <w:p w14:paraId="7F4C6FAA"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170</w:t>
            </w:r>
          </w:p>
        </w:tc>
        <w:tc>
          <w:tcPr>
            <w:tcW w:w="900" w:type="dxa"/>
            <w:shd w:val="clear" w:color="auto" w:fill="FFFFFF"/>
            <w:hideMark/>
          </w:tcPr>
          <w:p w14:paraId="3264C013"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10</w:t>
            </w:r>
          </w:p>
        </w:tc>
        <w:tc>
          <w:tcPr>
            <w:tcW w:w="1410" w:type="dxa"/>
            <w:shd w:val="clear" w:color="auto" w:fill="FFFFFF"/>
            <w:hideMark/>
          </w:tcPr>
          <w:p w14:paraId="5E29615B"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9.4%</w:t>
            </w:r>
          </w:p>
        </w:tc>
        <w:tc>
          <w:tcPr>
            <w:tcW w:w="1410" w:type="dxa"/>
            <w:shd w:val="clear" w:color="auto" w:fill="FFFFFF"/>
            <w:hideMark/>
          </w:tcPr>
          <w:p w14:paraId="7488D2B2" w14:textId="77777777" w:rsidR="00FB5ED0" w:rsidRDefault="00FB5ED0">
            <w:pPr>
              <w:jc w:val="right"/>
              <w:textAlignment w:val="baseline"/>
              <w:rPr>
                <w:rFonts w:ascii="inherit" w:hAnsi="inherit" w:cs="Arial" w:hint="eastAsia"/>
                <w:color w:val="333333"/>
              </w:rPr>
            </w:pPr>
            <w:r>
              <w:rPr>
                <w:rFonts w:ascii="inherit" w:hAnsi="inherit" w:cs="Arial"/>
                <w:color w:val="333333"/>
                <w:sz w:val="20"/>
                <w:szCs w:val="20"/>
              </w:rPr>
              <w:t>50.5</w:t>
            </w:r>
          </w:p>
        </w:tc>
      </w:tr>
      <w:tr w:rsidR="00FB5ED0" w14:paraId="32552014" w14:textId="77777777" w:rsidTr="00FB5ED0">
        <w:trPr>
          <w:tblCellSpacing w:w="0" w:type="dxa"/>
        </w:trPr>
        <w:tc>
          <w:tcPr>
            <w:tcW w:w="24210" w:type="dxa"/>
            <w:gridSpan w:val="10"/>
            <w:shd w:val="clear" w:color="auto" w:fill="FFFFFF"/>
            <w:hideMark/>
          </w:tcPr>
          <w:p w14:paraId="0C123A59" w14:textId="77777777" w:rsidR="00FB5ED0" w:rsidRDefault="00BD1FAF">
            <w:pPr>
              <w:rPr>
                <w:rFonts w:ascii="Arial" w:hAnsi="Arial" w:cs="Arial"/>
                <w:color w:val="333333"/>
              </w:rPr>
            </w:pPr>
            <w:r>
              <w:rPr>
                <w:rFonts w:ascii="Arial" w:hAnsi="Arial" w:cs="Arial"/>
                <w:noProof/>
                <w:color w:val="333333"/>
              </w:rPr>
              <w:pict w14:anchorId="2B3FBBF9">
                <v:rect id="_x0000_i1027" alt="" style="width:22in;height:.05pt;mso-width-percent:0;mso-height-percent:0;mso-width-percent:0;mso-height-percent:0" o:hrstd="t" o:hr="t" fillcolor="#a0a0a0" stroked="f"/>
              </w:pict>
            </w:r>
          </w:p>
        </w:tc>
      </w:tr>
    </w:tbl>
    <w:p w14:paraId="06BC7E81" w14:textId="77777777" w:rsidR="00FB5ED0" w:rsidRDefault="00FB5ED0" w:rsidP="00FB5ED0">
      <w:pPr>
        <w:rPr>
          <w:rFonts w:ascii="Times New Roman" w:hAnsi="Times New Roman" w:cs="Times New Roman"/>
        </w:rPr>
      </w:pPr>
      <w:r>
        <w:rPr>
          <w:rFonts w:ascii="Arial" w:hAnsi="Arial" w:cs="Arial"/>
          <w:color w:val="333333"/>
        </w:rPr>
        <w:br/>
      </w:r>
      <w:r>
        <w:rPr>
          <w:rFonts w:ascii="Arial" w:hAnsi="Arial" w:cs="Arial"/>
          <w:color w:val="333333"/>
          <w:sz w:val="20"/>
          <w:szCs w:val="20"/>
          <w:shd w:val="clear" w:color="auto" w:fill="FFFFFF"/>
        </w:rPr>
        <w:t>(a) All causes of death data from 2006 onward are subject to a revisions process - once data for a reference year are 'final', they are no longer revised. Affected data in this table are: 1999 and 2007 (final), 2016 (preliminary). See Explanatory Notes 55-58 in this publication. See also Causes of Death Revisions, 2012 and 2013 (Technical Note) in Causes of Death, Australia, 2014 (cat. no. 3303.0).</w:t>
      </w:r>
      <w:r>
        <w:rPr>
          <w:rFonts w:ascii="Arial" w:hAnsi="Arial" w:cs="Arial"/>
          <w:color w:val="333333"/>
        </w:rPr>
        <w:br/>
      </w:r>
      <w:r>
        <w:rPr>
          <w:rFonts w:ascii="Arial" w:hAnsi="Arial" w:cs="Arial"/>
          <w:color w:val="333333"/>
          <w:sz w:val="20"/>
          <w:szCs w:val="20"/>
          <w:shd w:val="clear" w:color="auto" w:fill="FFFFFF"/>
        </w:rPr>
        <w:t>(b) See Explanatory Notes 72-101 for further information on specific issues related to interpreting time-series and 2016 data</w:t>
      </w:r>
      <w:r>
        <w:rPr>
          <w:rFonts w:ascii="Arial" w:hAnsi="Arial" w:cs="Arial"/>
          <w:color w:val="333333"/>
        </w:rPr>
        <w:br/>
      </w:r>
      <w:r>
        <w:rPr>
          <w:rFonts w:ascii="Arial" w:hAnsi="Arial" w:cs="Arial"/>
          <w:color w:val="333333"/>
          <w:sz w:val="20"/>
          <w:szCs w:val="20"/>
          <w:shd w:val="clear" w:color="auto" w:fill="FFFFFF"/>
        </w:rPr>
        <w:t>(c) Deaths registered on Norfolk Island from 1 July 2016 are included in this publication for the first time, see Explanatory Notes 12-15</w:t>
      </w:r>
    </w:p>
    <w:p w14:paraId="084DC92C" w14:textId="77777777" w:rsidR="00FB5ED0" w:rsidRDefault="00FB5ED0" w:rsidP="00FB5ED0">
      <w:pPr>
        <w:pStyle w:val="NormalWeb"/>
        <w:shd w:val="clear" w:color="auto" w:fill="FFFFFF"/>
        <w:spacing w:before="0" w:beforeAutospacing="0" w:after="240" w:afterAutospacing="0"/>
        <w:textAlignment w:val="baseline"/>
        <w:rPr>
          <w:rFonts w:ascii="Arial" w:hAnsi="Arial" w:cs="Arial"/>
          <w:color w:val="333333"/>
        </w:rPr>
      </w:pPr>
      <w:r>
        <w:rPr>
          <w:rFonts w:ascii="Arial" w:hAnsi="Arial" w:cs="Arial"/>
          <w:color w:val="333333"/>
        </w:rPr>
        <w:br/>
      </w:r>
      <w:r>
        <w:rPr>
          <w:rFonts w:ascii="Arial" w:hAnsi="Arial" w:cs="Arial"/>
          <w:b/>
          <w:bCs/>
          <w:color w:val="333333"/>
        </w:rPr>
        <w:t>Drug Induced Death by sex</w:t>
      </w:r>
      <w:r>
        <w:rPr>
          <w:rFonts w:ascii="Arial" w:hAnsi="Arial" w:cs="Arial"/>
          <w:color w:val="333333"/>
        </w:rPr>
        <w:br/>
      </w:r>
      <w:r>
        <w:rPr>
          <w:rFonts w:ascii="Arial" w:hAnsi="Arial" w:cs="Arial"/>
          <w:color w:val="333333"/>
        </w:rPr>
        <w:br/>
        <w:t xml:space="preserve">Benzodiazepines and opiate-based painkillers are the top two drugs present in drug induced deaths for both males and females. However, the profile of substances present for males and females differs for ranks three to ten. Illicit drugs including </w:t>
      </w:r>
      <w:r>
        <w:rPr>
          <w:rFonts w:ascii="Arial" w:hAnsi="Arial" w:cs="Arial"/>
          <w:color w:val="333333"/>
        </w:rPr>
        <w:lastRenderedPageBreak/>
        <w:t xml:space="preserve">heroin and meth/amphetamines were the third and fourth most common drugs for males. In contrast, the third most common drugs for females were antidepressants including those of the selective serotonin reuptake inhibitor (SSRI) class (e.g. fluoxetine), and the fourth most common drug was antipsychotics, (e.g. </w:t>
      </w:r>
      <w:proofErr w:type="spellStart"/>
      <w:r>
        <w:rPr>
          <w:rFonts w:ascii="Arial" w:hAnsi="Arial" w:cs="Arial"/>
          <w:color w:val="333333"/>
        </w:rPr>
        <w:t>quetapine</w:t>
      </w:r>
      <w:proofErr w:type="spellEnd"/>
      <w:r>
        <w:rPr>
          <w:rFonts w:ascii="Arial" w:hAnsi="Arial" w:cs="Arial"/>
          <w:color w:val="333333"/>
        </w:rPr>
        <w:t>), which are prescribed for mental health conditions including schizophrenia and bipolar disorder. Although antidepressants and antipsychotics are more highly ranked for their presence in drug induced deaths in females, the number of deaths with these substances present is still higher in males. </w:t>
      </w:r>
    </w:p>
    <w:p w14:paraId="2B2B5A34" w14:textId="77777777" w:rsidR="00FB5ED0" w:rsidRDefault="00FB5ED0" w:rsidP="00FB5ED0">
      <w:pPr>
        <w:shd w:val="clear" w:color="auto" w:fill="FFFFFF"/>
        <w:textAlignment w:val="baseline"/>
        <w:rPr>
          <w:rFonts w:ascii="Arial" w:hAnsi="Arial" w:cs="Arial"/>
          <w:color w:val="333333"/>
        </w:rPr>
      </w:pPr>
      <w:r>
        <w:rPr>
          <w:rFonts w:ascii="Arial" w:hAnsi="Arial" w:cs="Arial"/>
          <w:color w:val="333333"/>
        </w:rPr>
        <w:fldChar w:fldCharType="begin"/>
      </w:r>
      <w:r>
        <w:rPr>
          <w:rFonts w:ascii="Arial" w:hAnsi="Arial" w:cs="Arial"/>
          <w:color w:val="333333"/>
        </w:rPr>
        <w:instrText xml:space="preserve"> INCLUDEPICTURE "http://www.abs.gov.au/ausstats/free.nsf/lookupattach/a4c289ff61a607c7ca25828f000417df/$File/Common%20substance%20types%20for%20drug%20induced%20deaths%20in%20males,%202016%20(a)(b)(c).GIF" \* MERGEFORMATINET </w:instrText>
      </w:r>
      <w:r>
        <w:rPr>
          <w:rFonts w:ascii="Arial" w:hAnsi="Arial" w:cs="Arial"/>
          <w:color w:val="333333"/>
        </w:rPr>
        <w:fldChar w:fldCharType="separate"/>
      </w:r>
      <w:r>
        <w:rPr>
          <w:rFonts w:ascii="Arial" w:hAnsi="Arial" w:cs="Arial"/>
          <w:noProof/>
          <w:color w:val="333333"/>
          <w:lang w:eastAsia="en-AU"/>
        </w:rPr>
        <w:drawing>
          <wp:inline distT="0" distB="0" distL="0" distR="0" wp14:anchorId="7569ECFE" wp14:editId="7BB5D5D7">
            <wp:extent cx="5731510" cy="5310505"/>
            <wp:effectExtent l="0" t="0" r="0" b="0"/>
            <wp:docPr id="160" name="Picture 160" descr="Graph Image for Common substance types for drug induced deaths in males, 2016 (a)(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Graph Image for Common substance types for drug induced deaths in males, 2016 (a)(b)(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5310505"/>
                    </a:xfrm>
                    <a:prstGeom prst="rect">
                      <a:avLst/>
                    </a:prstGeom>
                    <a:noFill/>
                    <a:ln>
                      <a:noFill/>
                    </a:ln>
                  </pic:spPr>
                </pic:pic>
              </a:graphicData>
            </a:graphic>
          </wp:inline>
        </w:drawing>
      </w:r>
      <w:r>
        <w:rPr>
          <w:rFonts w:ascii="Arial" w:hAnsi="Arial" w:cs="Arial"/>
          <w:color w:val="333333"/>
        </w:rPr>
        <w:fldChar w:fldCharType="end"/>
      </w:r>
    </w:p>
    <w:p w14:paraId="39303FBA" w14:textId="77777777" w:rsidR="00FB5ED0" w:rsidRDefault="00FB5ED0" w:rsidP="00FB5ED0">
      <w:pPr>
        <w:pStyle w:val="NormalWeb"/>
        <w:shd w:val="clear" w:color="auto" w:fill="FFFFFF"/>
        <w:spacing w:before="75" w:beforeAutospacing="0" w:after="75" w:afterAutospacing="0"/>
        <w:textAlignment w:val="baseline"/>
        <w:rPr>
          <w:rFonts w:ascii="inherit" w:hAnsi="inherit" w:cs="Arial"/>
          <w:i/>
          <w:iCs/>
          <w:color w:val="333333"/>
          <w:bdr w:val="none" w:sz="0" w:space="0" w:color="auto" w:frame="1"/>
        </w:rPr>
      </w:pPr>
      <w:r>
        <w:rPr>
          <w:rFonts w:ascii="inherit" w:hAnsi="inherit" w:cs="Arial"/>
          <w:b/>
          <w:bCs/>
          <w:i/>
          <w:iCs/>
          <w:color w:val="333333"/>
          <w:bdr w:val="none" w:sz="0" w:space="0" w:color="auto" w:frame="1"/>
        </w:rPr>
        <w:t>Footnote(s):</w:t>
      </w:r>
      <w:r>
        <w:rPr>
          <w:rFonts w:ascii="inherit" w:hAnsi="inherit" w:cs="Arial"/>
          <w:i/>
          <w:iCs/>
          <w:color w:val="333333"/>
          <w:bdr w:val="none" w:sz="0" w:space="0" w:color="auto" w:frame="1"/>
        </w:rPr>
        <w:t> (a) Causes of death data for 2016 are preliminary and subject to a revisions process. See Explanatory Notes 55-58 and A More Timely Annual Collection: Changes to ABS Processes (Technical Note) in this publication. (b) See Explanatory Notes 72-101 for further information on specific issues related to interpreting time-series and 2016 data (c) Deaths registered on Norfolk Island from 1 July 2016 are included in this publication for the first time, see Explanatory Notes 12-15</w:t>
      </w:r>
    </w:p>
    <w:p w14:paraId="0B099D50" w14:textId="77777777" w:rsidR="00FB5ED0" w:rsidRDefault="00FB5ED0" w:rsidP="00FB5ED0">
      <w:pPr>
        <w:pStyle w:val="NormalWeb"/>
        <w:shd w:val="clear" w:color="auto" w:fill="FFFFFF"/>
        <w:spacing w:before="75" w:beforeAutospacing="0" w:after="75" w:afterAutospacing="0"/>
        <w:textAlignment w:val="baseline"/>
        <w:rPr>
          <w:rFonts w:ascii="inherit" w:hAnsi="inherit" w:cs="Arial"/>
          <w:i/>
          <w:iCs/>
          <w:color w:val="333333"/>
          <w:bdr w:val="none" w:sz="0" w:space="0" w:color="auto" w:frame="1"/>
        </w:rPr>
      </w:pPr>
      <w:r>
        <w:rPr>
          <w:rFonts w:ascii="inherit" w:hAnsi="inherit" w:cs="Arial"/>
          <w:b/>
          <w:bCs/>
          <w:i/>
          <w:iCs/>
          <w:color w:val="333333"/>
          <w:bdr w:val="none" w:sz="0" w:space="0" w:color="auto" w:frame="1"/>
        </w:rPr>
        <w:t>Source(s):</w:t>
      </w:r>
      <w:r>
        <w:rPr>
          <w:rFonts w:ascii="inherit" w:hAnsi="inherit" w:cs="Arial"/>
          <w:i/>
          <w:iCs/>
          <w:color w:val="333333"/>
          <w:bdr w:val="none" w:sz="0" w:space="0" w:color="auto" w:frame="1"/>
        </w:rPr>
        <w:t> </w:t>
      </w:r>
      <w:hyperlink r:id="rId14" w:history="1">
        <w:r>
          <w:rPr>
            <w:rStyle w:val="Hyperlink"/>
            <w:rFonts w:ascii="inherit" w:hAnsi="inherit" w:cs="Arial"/>
            <w:i/>
            <w:iCs/>
            <w:color w:val="187BBB"/>
            <w:u w:val="none"/>
            <w:bdr w:val="none" w:sz="0" w:space="0" w:color="auto" w:frame="1"/>
          </w:rPr>
          <w:t>Common substance types for drug induced deaths in males, 2016 (a)(b)(c)-Male Drug Type</w:t>
        </w:r>
      </w:hyperlink>
    </w:p>
    <w:p w14:paraId="0AE4B845" w14:textId="77777777" w:rsidR="00FB5ED0" w:rsidRDefault="00FB5ED0" w:rsidP="00FB5ED0">
      <w:pPr>
        <w:rPr>
          <w:rFonts w:ascii="Times New Roman" w:hAnsi="Times New Roman" w:cs="Times New Roman"/>
        </w:rPr>
      </w:pPr>
      <w:r>
        <w:rPr>
          <w:rFonts w:ascii="Arial" w:hAnsi="Arial" w:cs="Arial"/>
          <w:color w:val="333333"/>
        </w:rPr>
        <w:br/>
      </w:r>
    </w:p>
    <w:p w14:paraId="037DD702" w14:textId="77777777" w:rsidR="00FB5ED0" w:rsidRDefault="00FB5ED0" w:rsidP="00FB5ED0">
      <w:pPr>
        <w:shd w:val="clear" w:color="auto" w:fill="FFFFFF"/>
        <w:textAlignment w:val="baseline"/>
        <w:rPr>
          <w:rFonts w:ascii="Arial" w:hAnsi="Arial" w:cs="Arial"/>
          <w:color w:val="333333"/>
        </w:rPr>
      </w:pPr>
      <w:r>
        <w:rPr>
          <w:rFonts w:ascii="Arial" w:hAnsi="Arial" w:cs="Arial"/>
          <w:color w:val="333333"/>
        </w:rPr>
        <w:lastRenderedPageBreak/>
        <w:fldChar w:fldCharType="begin"/>
      </w:r>
      <w:r>
        <w:rPr>
          <w:rFonts w:ascii="Arial" w:hAnsi="Arial" w:cs="Arial"/>
          <w:color w:val="333333"/>
        </w:rPr>
        <w:instrText xml:space="preserve"> INCLUDEPICTURE "http://www.abs.gov.au/ausstats/free.nsf/lookupattach/a4c289ff61a607c7ca25828f000417df/$File/Common%20substance%20types%20for%20drug%20induced%20deaths%20in%20females,%202016%20(a)(b)(c).GIF" \* MERGEFORMATINET </w:instrText>
      </w:r>
      <w:r>
        <w:rPr>
          <w:rFonts w:ascii="Arial" w:hAnsi="Arial" w:cs="Arial"/>
          <w:color w:val="333333"/>
        </w:rPr>
        <w:fldChar w:fldCharType="separate"/>
      </w:r>
      <w:r>
        <w:rPr>
          <w:rFonts w:ascii="Arial" w:hAnsi="Arial" w:cs="Arial"/>
          <w:noProof/>
          <w:color w:val="333333"/>
          <w:lang w:eastAsia="en-AU"/>
        </w:rPr>
        <w:drawing>
          <wp:inline distT="0" distB="0" distL="0" distR="0" wp14:anchorId="09D985D4" wp14:editId="78EFDF11">
            <wp:extent cx="5731510" cy="5375275"/>
            <wp:effectExtent l="0" t="0" r="0" b="0"/>
            <wp:docPr id="159" name="Picture 159" descr="Graph Image for Common substance types for drug induced deaths in females, 2016 (a)(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Graph Image for Common substance types for drug induced deaths in females, 2016 (a)(b)(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5375275"/>
                    </a:xfrm>
                    <a:prstGeom prst="rect">
                      <a:avLst/>
                    </a:prstGeom>
                    <a:noFill/>
                    <a:ln>
                      <a:noFill/>
                    </a:ln>
                  </pic:spPr>
                </pic:pic>
              </a:graphicData>
            </a:graphic>
          </wp:inline>
        </w:drawing>
      </w:r>
      <w:r>
        <w:rPr>
          <w:rFonts w:ascii="Arial" w:hAnsi="Arial" w:cs="Arial"/>
          <w:color w:val="333333"/>
        </w:rPr>
        <w:fldChar w:fldCharType="end"/>
      </w:r>
    </w:p>
    <w:p w14:paraId="0DAE1416" w14:textId="77777777" w:rsidR="00FB5ED0" w:rsidRDefault="00FB5ED0" w:rsidP="00FB5ED0">
      <w:pPr>
        <w:pStyle w:val="NormalWeb"/>
        <w:shd w:val="clear" w:color="auto" w:fill="FFFFFF"/>
        <w:spacing w:before="75" w:beforeAutospacing="0" w:after="75" w:afterAutospacing="0"/>
        <w:textAlignment w:val="baseline"/>
        <w:rPr>
          <w:rFonts w:ascii="inherit" w:hAnsi="inherit" w:cs="Arial"/>
          <w:i/>
          <w:iCs/>
          <w:color w:val="333333"/>
          <w:bdr w:val="none" w:sz="0" w:space="0" w:color="auto" w:frame="1"/>
        </w:rPr>
      </w:pPr>
      <w:r>
        <w:rPr>
          <w:rFonts w:ascii="inherit" w:hAnsi="inherit" w:cs="Arial"/>
          <w:b/>
          <w:bCs/>
          <w:i/>
          <w:iCs/>
          <w:color w:val="333333"/>
          <w:bdr w:val="none" w:sz="0" w:space="0" w:color="auto" w:frame="1"/>
        </w:rPr>
        <w:t>Footnote(s):</w:t>
      </w:r>
      <w:r>
        <w:rPr>
          <w:rFonts w:ascii="inherit" w:hAnsi="inherit" w:cs="Arial"/>
          <w:i/>
          <w:iCs/>
          <w:color w:val="333333"/>
          <w:bdr w:val="none" w:sz="0" w:space="0" w:color="auto" w:frame="1"/>
        </w:rPr>
        <w:t> (a) Causes of death data for 2016 are preliminary and subject to a revisions process. See Explanatory Notes 55-58 and A More Timely Annual Collection: Changes to ABS Processes (Technical Note) in this publication. (b) See Explanatory Notes 72-101 for further information on specific issues related to interpreting time-series and 2016 data (c) Deaths registered on Norfolk Island from 1 July 2016 are included in this publication for the first time, see Explanatory Notes 12-15</w:t>
      </w:r>
    </w:p>
    <w:p w14:paraId="5EF66DDD" w14:textId="396BB470" w:rsidR="00FB5ED0" w:rsidRPr="00FE62ED" w:rsidRDefault="00FB5ED0" w:rsidP="00FE62ED">
      <w:pPr>
        <w:pStyle w:val="NormalWeb"/>
        <w:shd w:val="clear" w:color="auto" w:fill="FFFFFF"/>
        <w:spacing w:before="75" w:beforeAutospacing="0" w:after="75" w:afterAutospacing="0"/>
        <w:textAlignment w:val="baseline"/>
        <w:rPr>
          <w:rFonts w:ascii="inherit" w:hAnsi="inherit" w:cs="Arial"/>
          <w:i/>
          <w:iCs/>
          <w:color w:val="333333"/>
          <w:bdr w:val="none" w:sz="0" w:space="0" w:color="auto" w:frame="1"/>
        </w:rPr>
      </w:pPr>
      <w:r>
        <w:rPr>
          <w:rFonts w:ascii="inherit" w:hAnsi="inherit" w:cs="Arial"/>
          <w:b/>
          <w:bCs/>
          <w:i/>
          <w:iCs/>
          <w:color w:val="333333"/>
          <w:bdr w:val="none" w:sz="0" w:space="0" w:color="auto" w:frame="1"/>
        </w:rPr>
        <w:t>Source(s):</w:t>
      </w:r>
      <w:r>
        <w:rPr>
          <w:rFonts w:ascii="inherit" w:hAnsi="inherit" w:cs="Arial"/>
          <w:i/>
          <w:iCs/>
          <w:color w:val="333333"/>
          <w:bdr w:val="none" w:sz="0" w:space="0" w:color="auto" w:frame="1"/>
        </w:rPr>
        <w:t> </w:t>
      </w:r>
      <w:hyperlink r:id="rId16" w:history="1">
        <w:r>
          <w:rPr>
            <w:rStyle w:val="Hyperlink"/>
            <w:rFonts w:ascii="inherit" w:hAnsi="inherit" w:cs="Arial"/>
            <w:i/>
            <w:iCs/>
            <w:color w:val="187BBB"/>
            <w:u w:val="none"/>
            <w:bdr w:val="none" w:sz="0" w:space="0" w:color="auto" w:frame="1"/>
          </w:rPr>
          <w:t>Common substance types for drug induced deaths in females, 2016 (a)(b)(c)-Female Drug Type</w:t>
        </w:r>
      </w:hyperlink>
    </w:p>
    <w:p w14:paraId="2EE19240" w14:textId="77777777" w:rsidR="00FB5ED0" w:rsidRDefault="00FB5ED0" w:rsidP="00B62446">
      <w:pPr>
        <w:spacing w:after="0" w:line="240" w:lineRule="auto"/>
        <w:rPr>
          <w:rFonts w:ascii="Times New Roman" w:eastAsia="Times New Roman" w:hAnsi="Times New Roman" w:cs="Times New Roman"/>
          <w:sz w:val="24"/>
          <w:szCs w:val="24"/>
          <w:lang w:eastAsia="en-US"/>
        </w:rPr>
      </w:pPr>
    </w:p>
    <w:p w14:paraId="1EB4685C" w14:textId="77777777" w:rsidR="00FB5ED0" w:rsidRPr="00B62446" w:rsidRDefault="00FB5ED0" w:rsidP="00B62446">
      <w:pPr>
        <w:spacing w:after="0" w:line="240" w:lineRule="auto"/>
        <w:rPr>
          <w:rFonts w:ascii="Times New Roman" w:eastAsia="Times New Roman" w:hAnsi="Times New Roman" w:cs="Times New Roman"/>
          <w:sz w:val="24"/>
          <w:szCs w:val="24"/>
          <w:lang w:eastAsia="en-US"/>
        </w:rPr>
      </w:pPr>
    </w:p>
    <w:p w14:paraId="0A14535D" w14:textId="77777777" w:rsidR="00B62446" w:rsidRPr="00B62446" w:rsidRDefault="00B62446" w:rsidP="00B62446">
      <w:pPr>
        <w:spacing w:after="0" w:line="240" w:lineRule="auto"/>
        <w:rPr>
          <w:rFonts w:ascii="Times New Roman" w:eastAsia="Times New Roman" w:hAnsi="Times New Roman" w:cs="Times New Roman"/>
          <w:sz w:val="24"/>
          <w:szCs w:val="24"/>
          <w:lang w:eastAsia="en-US"/>
        </w:rPr>
      </w:pPr>
    </w:p>
    <w:p w14:paraId="48CEC444" w14:textId="77777777" w:rsidR="009D072B" w:rsidRPr="009D072B" w:rsidRDefault="009D072B" w:rsidP="009D072B">
      <w:pPr>
        <w:pBdr>
          <w:top w:val="single" w:sz="6" w:space="1" w:color="auto"/>
        </w:pBdr>
        <w:spacing w:after="0" w:line="240" w:lineRule="auto"/>
        <w:jc w:val="center"/>
        <w:rPr>
          <w:rFonts w:ascii="Arial" w:eastAsia="Times New Roman" w:hAnsi="Arial" w:cs="Arial"/>
          <w:vanish/>
          <w:color w:val="000000"/>
          <w:sz w:val="16"/>
          <w:szCs w:val="16"/>
        </w:rPr>
      </w:pPr>
      <w:r w:rsidRPr="009D072B">
        <w:rPr>
          <w:rFonts w:ascii="Arial" w:eastAsia="Times New Roman" w:hAnsi="Arial" w:cs="Arial"/>
          <w:vanish/>
          <w:color w:val="000000"/>
          <w:sz w:val="16"/>
          <w:szCs w:val="16"/>
        </w:rPr>
        <w:t>Bottom of Form</w:t>
      </w:r>
    </w:p>
    <w:p w14:paraId="3F4C485C" w14:textId="77777777" w:rsidR="009D072B" w:rsidRPr="009D072B" w:rsidRDefault="009D072B" w:rsidP="009D072B">
      <w:pPr>
        <w:spacing w:after="0" w:line="240" w:lineRule="auto"/>
        <w:rPr>
          <w:rFonts w:ascii="Times New Roman" w:eastAsia="Times New Roman" w:hAnsi="Times New Roman" w:cs="Times New Roman"/>
          <w:color w:val="000000"/>
          <w:sz w:val="24"/>
          <w:szCs w:val="24"/>
          <w:lang w:val="en"/>
        </w:rPr>
      </w:pPr>
      <w:r w:rsidRPr="009D072B">
        <w:rPr>
          <w:rFonts w:ascii="Times New Roman" w:eastAsia="Times New Roman" w:hAnsi="Times New Roman" w:cs="Times New Roman"/>
          <w:color w:val="000000"/>
          <w:sz w:val="24"/>
          <w:szCs w:val="24"/>
          <w:lang w:val="en"/>
        </w:rPr>
        <w:t>This page last updated 25 September 2018</w:t>
      </w:r>
    </w:p>
    <w:p w14:paraId="47B64606" w14:textId="77777777" w:rsidR="00B62446" w:rsidRDefault="00B62446" w:rsidP="009D072B"/>
    <w:sectPr w:rsidR="00B624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Open Sans">
    <w:altName w:val="Cambria"/>
    <w:charset w:val="00"/>
    <w:family w:val="roman"/>
    <w:pitch w:val="default"/>
  </w:font>
  <w:font w:name="inheri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D43AA"/>
    <w:multiLevelType w:val="multilevel"/>
    <w:tmpl w:val="10CE2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7005BE"/>
    <w:multiLevelType w:val="multilevel"/>
    <w:tmpl w:val="E7400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7254A8"/>
    <w:multiLevelType w:val="multilevel"/>
    <w:tmpl w:val="E7C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7C557D"/>
    <w:multiLevelType w:val="multilevel"/>
    <w:tmpl w:val="ACE8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971EE1"/>
    <w:multiLevelType w:val="multilevel"/>
    <w:tmpl w:val="B74A32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E60772"/>
    <w:multiLevelType w:val="multilevel"/>
    <w:tmpl w:val="9384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7A0EF6"/>
    <w:multiLevelType w:val="multilevel"/>
    <w:tmpl w:val="666C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B90885"/>
    <w:multiLevelType w:val="multilevel"/>
    <w:tmpl w:val="F9D6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4"/>
  </w:num>
  <w:num w:numId="5">
    <w:abstractNumId w:val="1"/>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72B"/>
    <w:rsid w:val="00184DB2"/>
    <w:rsid w:val="00193384"/>
    <w:rsid w:val="005603FD"/>
    <w:rsid w:val="006B14E1"/>
    <w:rsid w:val="009D072B"/>
    <w:rsid w:val="00B40432"/>
    <w:rsid w:val="00B62446"/>
    <w:rsid w:val="00BD1FAF"/>
    <w:rsid w:val="00D741C7"/>
    <w:rsid w:val="00E82C52"/>
    <w:rsid w:val="00FB5ED0"/>
    <w:rsid w:val="00FE62E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D6C93B8"/>
  <w15:chartTrackingRefBased/>
  <w15:docId w15:val="{C5B315BF-E8D6-4A05-B66F-FD7F7053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9D072B"/>
    <w:pPr>
      <w:spacing w:before="100" w:beforeAutospacing="1" w:after="100" w:afterAutospacing="1" w:line="240" w:lineRule="auto"/>
      <w:outlineLvl w:val="3"/>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D072B"/>
    <w:rPr>
      <w:rFonts w:ascii="Times New Roman" w:eastAsia="Times New Roman" w:hAnsi="Times New Roman" w:cs="Times New Roman"/>
      <w:b/>
      <w:bCs/>
      <w:color w:val="000000"/>
      <w:sz w:val="24"/>
      <w:szCs w:val="24"/>
    </w:rPr>
  </w:style>
  <w:style w:type="numbering" w:customStyle="1" w:styleId="NoList1">
    <w:name w:val="No List1"/>
    <w:next w:val="NoList"/>
    <w:uiPriority w:val="99"/>
    <w:semiHidden/>
    <w:unhideWhenUsed/>
    <w:rsid w:val="009D072B"/>
  </w:style>
  <w:style w:type="character" w:styleId="Hyperlink">
    <w:name w:val="Hyperlink"/>
    <w:basedOn w:val="DefaultParagraphFont"/>
    <w:uiPriority w:val="99"/>
    <w:semiHidden/>
    <w:unhideWhenUsed/>
    <w:rsid w:val="009D072B"/>
    <w:rPr>
      <w:color w:val="0000FF"/>
      <w:u w:val="single"/>
    </w:rPr>
  </w:style>
  <w:style w:type="character" w:styleId="FollowedHyperlink">
    <w:name w:val="FollowedHyperlink"/>
    <w:basedOn w:val="DefaultParagraphFont"/>
    <w:uiPriority w:val="99"/>
    <w:semiHidden/>
    <w:unhideWhenUsed/>
    <w:rsid w:val="009D072B"/>
    <w:rPr>
      <w:color w:val="800080"/>
      <w:u w:val="single"/>
    </w:rPr>
  </w:style>
  <w:style w:type="character" w:customStyle="1" w:styleId="hidden">
    <w:name w:val="hidden"/>
    <w:basedOn w:val="DefaultParagraphFont"/>
    <w:rsid w:val="009D072B"/>
  </w:style>
  <w:style w:type="paragraph" w:styleId="z-TopofForm">
    <w:name w:val="HTML Top of Form"/>
    <w:basedOn w:val="Normal"/>
    <w:next w:val="Normal"/>
    <w:link w:val="z-TopofFormChar"/>
    <w:hidden/>
    <w:uiPriority w:val="99"/>
    <w:semiHidden/>
    <w:unhideWhenUsed/>
    <w:rsid w:val="009D072B"/>
    <w:pPr>
      <w:pBdr>
        <w:bottom w:val="single" w:sz="6" w:space="1" w:color="auto"/>
      </w:pBdr>
      <w:spacing w:after="0" w:line="240" w:lineRule="auto"/>
      <w:jc w:val="center"/>
    </w:pPr>
    <w:rPr>
      <w:rFonts w:ascii="Arial" w:eastAsia="Times New Roman" w:hAnsi="Arial" w:cs="Arial"/>
      <w:vanish/>
      <w:color w:val="000000"/>
      <w:sz w:val="16"/>
      <w:szCs w:val="16"/>
    </w:rPr>
  </w:style>
  <w:style w:type="character" w:customStyle="1" w:styleId="z-TopofFormChar">
    <w:name w:val="z-Top of Form Char"/>
    <w:basedOn w:val="DefaultParagraphFont"/>
    <w:link w:val="z-TopofForm"/>
    <w:uiPriority w:val="99"/>
    <w:semiHidden/>
    <w:rsid w:val="009D072B"/>
    <w:rPr>
      <w:rFonts w:ascii="Arial" w:eastAsia="Times New Roman" w:hAnsi="Arial" w:cs="Arial"/>
      <w:vanish/>
      <w:color w:val="000000"/>
      <w:sz w:val="16"/>
      <w:szCs w:val="16"/>
    </w:rPr>
  </w:style>
  <w:style w:type="paragraph" w:styleId="z-BottomofForm">
    <w:name w:val="HTML Bottom of Form"/>
    <w:basedOn w:val="Normal"/>
    <w:next w:val="Normal"/>
    <w:link w:val="z-BottomofFormChar"/>
    <w:hidden/>
    <w:uiPriority w:val="99"/>
    <w:semiHidden/>
    <w:unhideWhenUsed/>
    <w:rsid w:val="009D072B"/>
    <w:pPr>
      <w:pBdr>
        <w:top w:val="single" w:sz="6" w:space="1" w:color="auto"/>
      </w:pBdr>
      <w:spacing w:after="0" w:line="240" w:lineRule="auto"/>
      <w:jc w:val="center"/>
    </w:pPr>
    <w:rPr>
      <w:rFonts w:ascii="Arial" w:eastAsia="Times New Roman" w:hAnsi="Arial" w:cs="Arial"/>
      <w:vanish/>
      <w:color w:val="000000"/>
      <w:sz w:val="16"/>
      <w:szCs w:val="16"/>
    </w:rPr>
  </w:style>
  <w:style w:type="character" w:customStyle="1" w:styleId="z-BottomofFormChar">
    <w:name w:val="z-Bottom of Form Char"/>
    <w:basedOn w:val="DefaultParagraphFont"/>
    <w:link w:val="z-BottomofForm"/>
    <w:uiPriority w:val="99"/>
    <w:semiHidden/>
    <w:rsid w:val="009D072B"/>
    <w:rPr>
      <w:rFonts w:ascii="Arial" w:eastAsia="Times New Roman" w:hAnsi="Arial" w:cs="Arial"/>
      <w:vanish/>
      <w:color w:val="000000"/>
      <w:sz w:val="16"/>
      <w:szCs w:val="16"/>
    </w:rPr>
  </w:style>
  <w:style w:type="character" w:customStyle="1" w:styleId="status">
    <w:name w:val="status"/>
    <w:basedOn w:val="DefaultParagraphFont"/>
    <w:rsid w:val="009D072B"/>
  </w:style>
  <w:style w:type="character" w:customStyle="1" w:styleId="red">
    <w:name w:val="red"/>
    <w:basedOn w:val="DefaultParagraphFont"/>
    <w:rsid w:val="009D072B"/>
  </w:style>
  <w:style w:type="character" w:styleId="Strong">
    <w:name w:val="Strong"/>
    <w:basedOn w:val="DefaultParagraphFont"/>
    <w:uiPriority w:val="22"/>
    <w:qFormat/>
    <w:rsid w:val="009D072B"/>
    <w:rPr>
      <w:b/>
      <w:bCs/>
    </w:rPr>
  </w:style>
  <w:style w:type="paragraph" w:styleId="NormalWeb">
    <w:name w:val="Normal (Web)"/>
    <w:basedOn w:val="Normal"/>
    <w:uiPriority w:val="99"/>
    <w:unhideWhenUsed/>
    <w:rsid w:val="009D072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itlebar">
    <w:name w:val="titlebar"/>
    <w:basedOn w:val="Normal"/>
    <w:rsid w:val="009D072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ntentarea">
    <w:name w:val="contentarea"/>
    <w:basedOn w:val="Normal"/>
    <w:rsid w:val="009D072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wanthelp">
    <w:name w:val="wanthelp"/>
    <w:basedOn w:val="Normal"/>
    <w:rsid w:val="009D072B"/>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2520">
      <w:bodyDiv w:val="1"/>
      <w:marLeft w:val="0"/>
      <w:marRight w:val="0"/>
      <w:marTop w:val="0"/>
      <w:marBottom w:val="0"/>
      <w:divBdr>
        <w:top w:val="none" w:sz="0" w:space="0" w:color="auto"/>
        <w:left w:val="none" w:sz="0" w:space="0" w:color="auto"/>
        <w:bottom w:val="none" w:sz="0" w:space="0" w:color="auto"/>
        <w:right w:val="none" w:sz="0" w:space="0" w:color="auto"/>
      </w:divBdr>
    </w:div>
    <w:div w:id="644505771">
      <w:marLeft w:val="0"/>
      <w:marRight w:val="0"/>
      <w:marTop w:val="0"/>
      <w:marBottom w:val="0"/>
      <w:divBdr>
        <w:top w:val="none" w:sz="0" w:space="0" w:color="auto"/>
        <w:left w:val="none" w:sz="0" w:space="0" w:color="auto"/>
        <w:bottom w:val="none" w:sz="0" w:space="0" w:color="auto"/>
        <w:right w:val="none" w:sz="0" w:space="0" w:color="auto"/>
      </w:divBdr>
    </w:div>
    <w:div w:id="1285186649">
      <w:marLeft w:val="0"/>
      <w:marRight w:val="0"/>
      <w:marTop w:val="0"/>
      <w:marBottom w:val="0"/>
      <w:divBdr>
        <w:top w:val="none" w:sz="0" w:space="0" w:color="auto"/>
        <w:left w:val="none" w:sz="0" w:space="0" w:color="auto"/>
        <w:bottom w:val="none" w:sz="0" w:space="0" w:color="auto"/>
        <w:right w:val="none" w:sz="0" w:space="0" w:color="auto"/>
      </w:divBdr>
      <w:divsChild>
        <w:div w:id="1069771932">
          <w:marLeft w:val="0"/>
          <w:marRight w:val="0"/>
          <w:marTop w:val="0"/>
          <w:marBottom w:val="0"/>
          <w:divBdr>
            <w:top w:val="none" w:sz="0" w:space="0" w:color="auto"/>
            <w:left w:val="none" w:sz="0" w:space="0" w:color="auto"/>
            <w:bottom w:val="none" w:sz="0" w:space="0" w:color="auto"/>
            <w:right w:val="none" w:sz="0" w:space="0" w:color="auto"/>
          </w:divBdr>
          <w:divsChild>
            <w:div w:id="463549734">
              <w:marLeft w:val="0"/>
              <w:marRight w:val="0"/>
              <w:marTop w:val="0"/>
              <w:marBottom w:val="0"/>
              <w:divBdr>
                <w:top w:val="none" w:sz="0" w:space="0" w:color="auto"/>
                <w:left w:val="none" w:sz="0" w:space="0" w:color="auto"/>
                <w:bottom w:val="none" w:sz="0" w:space="0" w:color="auto"/>
                <w:right w:val="none" w:sz="0" w:space="0" w:color="auto"/>
              </w:divBdr>
              <w:divsChild>
                <w:div w:id="1081027454">
                  <w:marLeft w:val="0"/>
                  <w:marRight w:val="0"/>
                  <w:marTop w:val="0"/>
                  <w:marBottom w:val="0"/>
                  <w:divBdr>
                    <w:top w:val="none" w:sz="0" w:space="0" w:color="auto"/>
                    <w:left w:val="none" w:sz="0" w:space="0" w:color="auto"/>
                    <w:bottom w:val="none" w:sz="0" w:space="0" w:color="auto"/>
                    <w:right w:val="none" w:sz="0" w:space="0" w:color="auto"/>
                  </w:divBdr>
                  <w:divsChild>
                    <w:div w:id="583421767">
                      <w:marLeft w:val="0"/>
                      <w:marRight w:val="0"/>
                      <w:marTop w:val="0"/>
                      <w:marBottom w:val="0"/>
                      <w:divBdr>
                        <w:top w:val="none" w:sz="0" w:space="0" w:color="auto"/>
                        <w:left w:val="none" w:sz="0" w:space="0" w:color="auto"/>
                        <w:bottom w:val="none" w:sz="0" w:space="0" w:color="auto"/>
                        <w:right w:val="none" w:sz="0" w:space="0" w:color="auto"/>
                      </w:divBdr>
                    </w:div>
                    <w:div w:id="16017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3809">
              <w:marLeft w:val="0"/>
              <w:marRight w:val="0"/>
              <w:marTop w:val="0"/>
              <w:marBottom w:val="0"/>
              <w:divBdr>
                <w:top w:val="none" w:sz="0" w:space="0" w:color="auto"/>
                <w:left w:val="none" w:sz="0" w:space="0" w:color="auto"/>
                <w:bottom w:val="none" w:sz="0" w:space="0" w:color="auto"/>
                <w:right w:val="none" w:sz="0" w:space="0" w:color="auto"/>
              </w:divBdr>
              <w:divsChild>
                <w:div w:id="1569808454">
                  <w:marLeft w:val="0"/>
                  <w:marRight w:val="0"/>
                  <w:marTop w:val="0"/>
                  <w:marBottom w:val="0"/>
                  <w:divBdr>
                    <w:top w:val="none" w:sz="0" w:space="0" w:color="auto"/>
                    <w:left w:val="none" w:sz="0" w:space="0" w:color="auto"/>
                    <w:bottom w:val="none" w:sz="0" w:space="0" w:color="auto"/>
                    <w:right w:val="none" w:sz="0" w:space="0" w:color="auto"/>
                  </w:divBdr>
                  <w:divsChild>
                    <w:div w:id="1452287191">
                      <w:marLeft w:val="0"/>
                      <w:marRight w:val="0"/>
                      <w:marTop w:val="0"/>
                      <w:marBottom w:val="0"/>
                      <w:divBdr>
                        <w:top w:val="none" w:sz="0" w:space="0" w:color="auto"/>
                        <w:left w:val="none" w:sz="0" w:space="0" w:color="auto"/>
                        <w:bottom w:val="none" w:sz="0" w:space="0" w:color="auto"/>
                        <w:right w:val="none" w:sz="0" w:space="0" w:color="auto"/>
                      </w:divBdr>
                      <w:divsChild>
                        <w:div w:id="132836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76793">
              <w:marLeft w:val="0"/>
              <w:marRight w:val="0"/>
              <w:marTop w:val="0"/>
              <w:marBottom w:val="0"/>
              <w:divBdr>
                <w:top w:val="none" w:sz="0" w:space="0" w:color="auto"/>
                <w:left w:val="none" w:sz="0" w:space="0" w:color="auto"/>
                <w:bottom w:val="none" w:sz="0" w:space="0" w:color="auto"/>
                <w:right w:val="none" w:sz="0" w:space="0" w:color="auto"/>
              </w:divBdr>
            </w:div>
            <w:div w:id="874852243">
              <w:marLeft w:val="0"/>
              <w:marRight w:val="0"/>
              <w:marTop w:val="0"/>
              <w:marBottom w:val="0"/>
              <w:divBdr>
                <w:top w:val="none" w:sz="0" w:space="0" w:color="auto"/>
                <w:left w:val="none" w:sz="0" w:space="0" w:color="auto"/>
                <w:bottom w:val="none" w:sz="0" w:space="0" w:color="auto"/>
                <w:right w:val="none" w:sz="0" w:space="0" w:color="auto"/>
              </w:divBdr>
              <w:divsChild>
                <w:div w:id="772823089">
                  <w:marLeft w:val="0"/>
                  <w:marRight w:val="0"/>
                  <w:marTop w:val="0"/>
                  <w:marBottom w:val="0"/>
                  <w:divBdr>
                    <w:top w:val="none" w:sz="0" w:space="0" w:color="auto"/>
                    <w:left w:val="none" w:sz="0" w:space="0" w:color="auto"/>
                    <w:bottom w:val="none" w:sz="0" w:space="0" w:color="auto"/>
                    <w:right w:val="none" w:sz="0" w:space="0" w:color="auto"/>
                  </w:divBdr>
                  <w:divsChild>
                    <w:div w:id="496723969">
                      <w:marLeft w:val="0"/>
                      <w:marRight w:val="0"/>
                      <w:marTop w:val="0"/>
                      <w:marBottom w:val="0"/>
                      <w:divBdr>
                        <w:top w:val="none" w:sz="0" w:space="0" w:color="auto"/>
                        <w:left w:val="none" w:sz="0" w:space="0" w:color="auto"/>
                        <w:bottom w:val="none" w:sz="0" w:space="0" w:color="auto"/>
                        <w:right w:val="none" w:sz="0" w:space="0" w:color="auto"/>
                      </w:divBdr>
                    </w:div>
                    <w:div w:id="541329319">
                      <w:marLeft w:val="0"/>
                      <w:marRight w:val="0"/>
                      <w:marTop w:val="0"/>
                      <w:marBottom w:val="0"/>
                      <w:divBdr>
                        <w:top w:val="none" w:sz="0" w:space="0" w:color="auto"/>
                        <w:left w:val="none" w:sz="0" w:space="0" w:color="auto"/>
                        <w:bottom w:val="none" w:sz="0" w:space="0" w:color="auto"/>
                        <w:right w:val="none" w:sz="0" w:space="0" w:color="auto"/>
                      </w:divBdr>
                    </w:div>
                  </w:divsChild>
                </w:div>
                <w:div w:id="1955208115">
                  <w:marLeft w:val="0"/>
                  <w:marRight w:val="0"/>
                  <w:marTop w:val="0"/>
                  <w:marBottom w:val="0"/>
                  <w:divBdr>
                    <w:top w:val="none" w:sz="0" w:space="0" w:color="auto"/>
                    <w:left w:val="none" w:sz="0" w:space="0" w:color="auto"/>
                    <w:bottom w:val="none" w:sz="0" w:space="0" w:color="auto"/>
                    <w:right w:val="none" w:sz="0" w:space="0" w:color="auto"/>
                  </w:divBdr>
                </w:div>
                <w:div w:id="500969191">
                  <w:marLeft w:val="0"/>
                  <w:marRight w:val="0"/>
                  <w:marTop w:val="0"/>
                  <w:marBottom w:val="0"/>
                  <w:divBdr>
                    <w:top w:val="none" w:sz="0" w:space="0" w:color="auto"/>
                    <w:left w:val="none" w:sz="0" w:space="0" w:color="auto"/>
                    <w:bottom w:val="none" w:sz="0" w:space="0" w:color="auto"/>
                    <w:right w:val="none" w:sz="0" w:space="0" w:color="auto"/>
                  </w:divBdr>
                </w:div>
                <w:div w:id="1084574710">
                  <w:marLeft w:val="0"/>
                  <w:marRight w:val="0"/>
                  <w:marTop w:val="0"/>
                  <w:marBottom w:val="0"/>
                  <w:divBdr>
                    <w:top w:val="none" w:sz="0" w:space="0" w:color="auto"/>
                    <w:left w:val="none" w:sz="0" w:space="0" w:color="auto"/>
                    <w:bottom w:val="none" w:sz="0" w:space="0" w:color="auto"/>
                    <w:right w:val="none" w:sz="0" w:space="0" w:color="auto"/>
                  </w:divBdr>
                </w:div>
                <w:div w:id="1170371510">
                  <w:marLeft w:val="0"/>
                  <w:marRight w:val="0"/>
                  <w:marTop w:val="0"/>
                  <w:marBottom w:val="0"/>
                  <w:divBdr>
                    <w:top w:val="none" w:sz="0" w:space="0" w:color="auto"/>
                    <w:left w:val="none" w:sz="0" w:space="0" w:color="auto"/>
                    <w:bottom w:val="none" w:sz="0" w:space="0" w:color="auto"/>
                    <w:right w:val="none" w:sz="0" w:space="0" w:color="auto"/>
                  </w:divBdr>
                </w:div>
                <w:div w:id="177887087">
                  <w:marLeft w:val="0"/>
                  <w:marRight w:val="0"/>
                  <w:marTop w:val="0"/>
                  <w:marBottom w:val="0"/>
                  <w:divBdr>
                    <w:top w:val="none" w:sz="0" w:space="0" w:color="auto"/>
                    <w:left w:val="none" w:sz="0" w:space="0" w:color="auto"/>
                    <w:bottom w:val="none" w:sz="0" w:space="0" w:color="auto"/>
                    <w:right w:val="none" w:sz="0" w:space="0" w:color="auto"/>
                  </w:divBdr>
                </w:div>
                <w:div w:id="1316688947">
                  <w:marLeft w:val="0"/>
                  <w:marRight w:val="0"/>
                  <w:marTop w:val="0"/>
                  <w:marBottom w:val="0"/>
                  <w:divBdr>
                    <w:top w:val="none" w:sz="0" w:space="0" w:color="auto"/>
                    <w:left w:val="none" w:sz="0" w:space="0" w:color="auto"/>
                    <w:bottom w:val="none" w:sz="0" w:space="0" w:color="auto"/>
                    <w:right w:val="none" w:sz="0" w:space="0" w:color="auto"/>
                  </w:divBdr>
                </w:div>
                <w:div w:id="965624487">
                  <w:marLeft w:val="0"/>
                  <w:marRight w:val="0"/>
                  <w:marTop w:val="0"/>
                  <w:marBottom w:val="0"/>
                  <w:divBdr>
                    <w:top w:val="none" w:sz="0" w:space="0" w:color="auto"/>
                    <w:left w:val="none" w:sz="0" w:space="0" w:color="auto"/>
                    <w:bottom w:val="none" w:sz="0" w:space="0" w:color="auto"/>
                    <w:right w:val="none" w:sz="0" w:space="0" w:color="auto"/>
                  </w:divBdr>
                </w:div>
                <w:div w:id="677076589">
                  <w:marLeft w:val="0"/>
                  <w:marRight w:val="0"/>
                  <w:marTop w:val="0"/>
                  <w:marBottom w:val="0"/>
                  <w:divBdr>
                    <w:top w:val="none" w:sz="0" w:space="0" w:color="auto"/>
                    <w:left w:val="none" w:sz="0" w:space="0" w:color="auto"/>
                    <w:bottom w:val="none" w:sz="0" w:space="0" w:color="auto"/>
                    <w:right w:val="none" w:sz="0" w:space="0" w:color="auto"/>
                  </w:divBdr>
                </w:div>
                <w:div w:id="1658608501">
                  <w:marLeft w:val="0"/>
                  <w:marRight w:val="0"/>
                  <w:marTop w:val="0"/>
                  <w:marBottom w:val="0"/>
                  <w:divBdr>
                    <w:top w:val="none" w:sz="0" w:space="0" w:color="auto"/>
                    <w:left w:val="none" w:sz="0" w:space="0" w:color="auto"/>
                    <w:bottom w:val="none" w:sz="0" w:space="0" w:color="auto"/>
                    <w:right w:val="none" w:sz="0" w:space="0" w:color="auto"/>
                  </w:divBdr>
                </w:div>
                <w:div w:id="1275477685">
                  <w:marLeft w:val="0"/>
                  <w:marRight w:val="0"/>
                  <w:marTop w:val="0"/>
                  <w:marBottom w:val="0"/>
                  <w:divBdr>
                    <w:top w:val="none" w:sz="0" w:space="0" w:color="auto"/>
                    <w:left w:val="none" w:sz="0" w:space="0" w:color="auto"/>
                    <w:bottom w:val="none" w:sz="0" w:space="0" w:color="auto"/>
                    <w:right w:val="none" w:sz="0" w:space="0" w:color="auto"/>
                  </w:divBdr>
                </w:div>
                <w:div w:id="846796120">
                  <w:marLeft w:val="0"/>
                  <w:marRight w:val="0"/>
                  <w:marTop w:val="0"/>
                  <w:marBottom w:val="0"/>
                  <w:divBdr>
                    <w:top w:val="none" w:sz="0" w:space="0" w:color="auto"/>
                    <w:left w:val="none" w:sz="0" w:space="0" w:color="auto"/>
                    <w:bottom w:val="none" w:sz="0" w:space="0" w:color="auto"/>
                    <w:right w:val="none" w:sz="0" w:space="0" w:color="auto"/>
                  </w:divBdr>
                </w:div>
                <w:div w:id="1694916391">
                  <w:marLeft w:val="0"/>
                  <w:marRight w:val="0"/>
                  <w:marTop w:val="0"/>
                  <w:marBottom w:val="0"/>
                  <w:divBdr>
                    <w:top w:val="none" w:sz="0" w:space="0" w:color="auto"/>
                    <w:left w:val="none" w:sz="0" w:space="0" w:color="auto"/>
                    <w:bottom w:val="none" w:sz="0" w:space="0" w:color="auto"/>
                    <w:right w:val="none" w:sz="0" w:space="0" w:color="auto"/>
                  </w:divBdr>
                </w:div>
                <w:div w:id="1608729643">
                  <w:marLeft w:val="0"/>
                  <w:marRight w:val="0"/>
                  <w:marTop w:val="0"/>
                  <w:marBottom w:val="0"/>
                  <w:divBdr>
                    <w:top w:val="none" w:sz="0" w:space="0" w:color="auto"/>
                    <w:left w:val="none" w:sz="0" w:space="0" w:color="auto"/>
                    <w:bottom w:val="none" w:sz="0" w:space="0" w:color="auto"/>
                    <w:right w:val="none" w:sz="0" w:space="0" w:color="auto"/>
                  </w:divBdr>
                </w:div>
                <w:div w:id="1239941380">
                  <w:marLeft w:val="0"/>
                  <w:marRight w:val="0"/>
                  <w:marTop w:val="0"/>
                  <w:marBottom w:val="0"/>
                  <w:divBdr>
                    <w:top w:val="none" w:sz="0" w:space="0" w:color="auto"/>
                    <w:left w:val="none" w:sz="0" w:space="0" w:color="auto"/>
                    <w:bottom w:val="none" w:sz="0" w:space="0" w:color="auto"/>
                    <w:right w:val="none" w:sz="0" w:space="0" w:color="auto"/>
                  </w:divBdr>
                </w:div>
                <w:div w:id="1078408218">
                  <w:marLeft w:val="0"/>
                  <w:marRight w:val="0"/>
                  <w:marTop w:val="0"/>
                  <w:marBottom w:val="0"/>
                  <w:divBdr>
                    <w:top w:val="none" w:sz="0" w:space="0" w:color="auto"/>
                    <w:left w:val="none" w:sz="0" w:space="0" w:color="auto"/>
                    <w:bottom w:val="none" w:sz="0" w:space="0" w:color="auto"/>
                    <w:right w:val="none" w:sz="0" w:space="0" w:color="auto"/>
                  </w:divBdr>
                </w:div>
                <w:div w:id="1560364128">
                  <w:marLeft w:val="0"/>
                  <w:marRight w:val="0"/>
                  <w:marTop w:val="0"/>
                  <w:marBottom w:val="0"/>
                  <w:divBdr>
                    <w:top w:val="none" w:sz="0" w:space="0" w:color="auto"/>
                    <w:left w:val="none" w:sz="0" w:space="0" w:color="auto"/>
                    <w:bottom w:val="none" w:sz="0" w:space="0" w:color="auto"/>
                    <w:right w:val="none" w:sz="0" w:space="0" w:color="auto"/>
                  </w:divBdr>
                </w:div>
                <w:div w:id="467867708">
                  <w:marLeft w:val="0"/>
                  <w:marRight w:val="0"/>
                  <w:marTop w:val="0"/>
                  <w:marBottom w:val="0"/>
                  <w:divBdr>
                    <w:top w:val="none" w:sz="0" w:space="0" w:color="auto"/>
                    <w:left w:val="none" w:sz="0" w:space="0" w:color="auto"/>
                    <w:bottom w:val="none" w:sz="0" w:space="0" w:color="auto"/>
                    <w:right w:val="none" w:sz="0" w:space="0" w:color="auto"/>
                  </w:divBdr>
                  <w:divsChild>
                    <w:div w:id="107046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811967">
      <w:bodyDiv w:val="1"/>
      <w:marLeft w:val="0"/>
      <w:marRight w:val="0"/>
      <w:marTop w:val="0"/>
      <w:marBottom w:val="0"/>
      <w:divBdr>
        <w:top w:val="none" w:sz="0" w:space="0" w:color="auto"/>
        <w:left w:val="none" w:sz="0" w:space="0" w:color="auto"/>
        <w:bottom w:val="none" w:sz="0" w:space="0" w:color="auto"/>
        <w:right w:val="none" w:sz="0" w:space="0" w:color="auto"/>
      </w:divBdr>
      <w:divsChild>
        <w:div w:id="104276556">
          <w:marLeft w:val="0"/>
          <w:marRight w:val="0"/>
          <w:marTop w:val="0"/>
          <w:marBottom w:val="0"/>
          <w:divBdr>
            <w:top w:val="none" w:sz="0" w:space="0" w:color="auto"/>
            <w:left w:val="none" w:sz="0" w:space="0" w:color="auto"/>
            <w:bottom w:val="none" w:sz="0" w:space="0" w:color="auto"/>
            <w:right w:val="none" w:sz="0" w:space="0" w:color="auto"/>
          </w:divBdr>
        </w:div>
        <w:div w:id="1480271096">
          <w:marLeft w:val="0"/>
          <w:marRight w:val="0"/>
          <w:marTop w:val="0"/>
          <w:marBottom w:val="0"/>
          <w:divBdr>
            <w:top w:val="none" w:sz="0" w:space="0" w:color="auto"/>
            <w:left w:val="none" w:sz="0" w:space="0" w:color="auto"/>
            <w:bottom w:val="none" w:sz="0" w:space="0" w:color="auto"/>
            <w:right w:val="none" w:sz="0" w:space="0" w:color="auto"/>
          </w:divBdr>
        </w:div>
      </w:divsChild>
    </w:div>
    <w:div w:id="1888105362">
      <w:bodyDiv w:val="1"/>
      <w:marLeft w:val="0"/>
      <w:marRight w:val="0"/>
      <w:marTop w:val="0"/>
      <w:marBottom w:val="0"/>
      <w:divBdr>
        <w:top w:val="none" w:sz="0" w:space="0" w:color="auto"/>
        <w:left w:val="none" w:sz="0" w:space="0" w:color="auto"/>
        <w:bottom w:val="none" w:sz="0" w:space="0" w:color="auto"/>
        <w:right w:val="none" w:sz="0" w:space="0" w:color="auto"/>
      </w:divBdr>
    </w:div>
    <w:div w:id="1942030941">
      <w:marLeft w:val="0"/>
      <w:marRight w:val="0"/>
      <w:marTop w:val="0"/>
      <w:marBottom w:val="0"/>
      <w:divBdr>
        <w:top w:val="none" w:sz="0" w:space="0" w:color="auto"/>
        <w:left w:val="none" w:sz="0" w:space="0" w:color="auto"/>
        <w:bottom w:val="none" w:sz="0" w:space="0" w:color="auto"/>
        <w:right w:val="none" w:sz="0" w:space="0" w:color="auto"/>
      </w:divBdr>
      <w:divsChild>
        <w:div w:id="463088592">
          <w:marLeft w:val="0"/>
          <w:marRight w:val="0"/>
          <w:marTop w:val="0"/>
          <w:marBottom w:val="0"/>
          <w:divBdr>
            <w:top w:val="none" w:sz="0" w:space="0" w:color="auto"/>
            <w:left w:val="none" w:sz="0" w:space="0" w:color="auto"/>
            <w:bottom w:val="none" w:sz="0" w:space="0" w:color="auto"/>
            <w:right w:val="none" w:sz="0" w:space="0" w:color="auto"/>
          </w:divBdr>
          <w:divsChild>
            <w:div w:id="956761825">
              <w:marLeft w:val="0"/>
              <w:marRight w:val="0"/>
              <w:marTop w:val="0"/>
              <w:marBottom w:val="0"/>
              <w:divBdr>
                <w:top w:val="none" w:sz="0" w:space="0" w:color="auto"/>
                <w:left w:val="none" w:sz="0" w:space="0" w:color="auto"/>
                <w:bottom w:val="none" w:sz="0" w:space="0" w:color="auto"/>
                <w:right w:val="none" w:sz="0" w:space="0" w:color="auto"/>
              </w:divBdr>
            </w:div>
            <w:div w:id="335693100">
              <w:marLeft w:val="0"/>
              <w:marRight w:val="0"/>
              <w:marTop w:val="0"/>
              <w:marBottom w:val="0"/>
              <w:divBdr>
                <w:top w:val="none" w:sz="0" w:space="0" w:color="auto"/>
                <w:left w:val="none" w:sz="0" w:space="0" w:color="auto"/>
                <w:bottom w:val="none" w:sz="0" w:space="0" w:color="auto"/>
                <w:right w:val="none" w:sz="0" w:space="0" w:color="auto"/>
              </w:divBdr>
            </w:div>
            <w:div w:id="644821747">
              <w:marLeft w:val="0"/>
              <w:marRight w:val="0"/>
              <w:marTop w:val="0"/>
              <w:marBottom w:val="0"/>
              <w:divBdr>
                <w:top w:val="none" w:sz="0" w:space="0" w:color="auto"/>
                <w:left w:val="none" w:sz="0" w:space="0" w:color="auto"/>
                <w:bottom w:val="none" w:sz="0" w:space="0" w:color="auto"/>
                <w:right w:val="none" w:sz="0" w:space="0" w:color="auto"/>
              </w:divBdr>
            </w:div>
            <w:div w:id="1611862815">
              <w:marLeft w:val="0"/>
              <w:marRight w:val="0"/>
              <w:marTop w:val="0"/>
              <w:marBottom w:val="0"/>
              <w:divBdr>
                <w:top w:val="none" w:sz="0" w:space="0" w:color="auto"/>
                <w:left w:val="none" w:sz="0" w:space="0" w:color="auto"/>
                <w:bottom w:val="none" w:sz="0" w:space="0" w:color="auto"/>
                <w:right w:val="none" w:sz="0" w:space="0" w:color="auto"/>
              </w:divBdr>
              <w:divsChild>
                <w:div w:id="906888946">
                  <w:marLeft w:val="0"/>
                  <w:marRight w:val="0"/>
                  <w:marTop w:val="0"/>
                  <w:marBottom w:val="0"/>
                  <w:divBdr>
                    <w:top w:val="none" w:sz="0" w:space="0" w:color="auto"/>
                    <w:left w:val="none" w:sz="0" w:space="0" w:color="auto"/>
                    <w:bottom w:val="none" w:sz="0" w:space="0" w:color="auto"/>
                    <w:right w:val="none" w:sz="0" w:space="0" w:color="auto"/>
                  </w:divBdr>
                </w:div>
                <w:div w:id="192933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60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gi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image" Target="media/image1.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bs.gov.au/ausstats/free.nsf/LookupAttach/A4C289FF61A607C7CA25828F000417DF/$File/Common%20substance%20types%20for%20drug%20induced%20deaths%20in%20females,%202016%20(a)(b)(c)-Female%20Drug%20Type%20.xl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www.abs.gov.au/" TargetMode="External"/><Relationship Id="rId5" Type="http://schemas.openxmlformats.org/officeDocument/2006/relationships/customXml" Target="../customXml/item5.xml"/><Relationship Id="rId15" Type="http://schemas.openxmlformats.org/officeDocument/2006/relationships/image" Target="media/image3.gif"/><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bs.gov.au/ausstats/free.nsf/LookupAttach/A4C289FF61A607C7CA25828F000417DF/$File/Common%20substance%20types%20for%20drug%20induced%20deaths%20in%20males,%202016%20(a)(b)(c)-Male%20Drug%20Type%20.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PCDOC-1378080517-821</_dlc_DocId>
    <_dlc_DocIdUrl xmlns="3f4bcce7-ac1a-4c9d-aa3e-7e77695652db">
      <Url>http://inet.pc.gov.au/pmo/inq/mentalhealth/_layouts/15/DocIdRedir.aspx?ID=PCDOC-1378080517-821</Url>
      <Description>PCDOC-1378080517-821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49B266-0528-4EA7-9AEA-84F79E46AB8D}">
  <ds:schemaRefs>
    <ds:schemaRef ds:uri="Microsoft.SharePoint.Taxonomy.ContentTypeSync"/>
  </ds:schemaRefs>
</ds:datastoreItem>
</file>

<file path=customXml/itemProps2.xml><?xml version="1.0" encoding="utf-8"?>
<ds:datastoreItem xmlns:ds="http://schemas.openxmlformats.org/officeDocument/2006/customXml" ds:itemID="{581DDA69-AA9F-47F8-A034-1E5654108661}">
  <ds:schemaRefs>
    <ds:schemaRef ds:uri="http://schemas.microsoft.com/office/2006/metadata/customXsn"/>
  </ds:schemaRefs>
</ds:datastoreItem>
</file>

<file path=customXml/itemProps3.xml><?xml version="1.0" encoding="utf-8"?>
<ds:datastoreItem xmlns:ds="http://schemas.openxmlformats.org/officeDocument/2006/customXml" ds:itemID="{CF69F93A-1D13-49CB-9696-B7179FCEB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1AB1E1-0784-4276-AB6D-3D54E38D5E4A}">
  <ds:schemaRefs>
    <ds:schemaRef ds:uri="http://schemas.microsoft.com/office/2006/documentManagement/types"/>
    <ds:schemaRef ds:uri="http://schemas.microsoft.com/office/2006/metadata/properties"/>
    <ds:schemaRef ds:uri="http://purl.org/dc/elements/1.1/"/>
    <ds:schemaRef ds:uri="3f4bcce7-ac1a-4c9d-aa3e-7e77695652db"/>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2858E5CA-E265-400B-9AFA-8C3781FBE441}">
  <ds:schemaRefs>
    <ds:schemaRef ds:uri="http://schemas.microsoft.com/sharepoint/v3/contenttype/forms"/>
  </ds:schemaRefs>
</ds:datastoreItem>
</file>

<file path=customXml/itemProps6.xml><?xml version="1.0" encoding="utf-8"?>
<ds:datastoreItem xmlns:ds="http://schemas.openxmlformats.org/officeDocument/2006/customXml" ds:itemID="{7DFB5F60-96AA-4C4D-B178-10DC270AD7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89EE6907.dotm</Template>
  <TotalTime>29</TotalTime>
  <Pages>4</Pages>
  <Words>1215</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Submission 607 - Attachment 1: Drug induced death statistics - Let Sleep Happen - Mental Health - Public inquiry</vt:lpstr>
    </vt:vector>
  </TitlesOfParts>
  <Company>Let Sleep Happen</Company>
  <LinksUpToDate>false</LinksUpToDate>
  <CharactersWithSpaces>8125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607 - Attachment 1: Drug induced death statistics - Let Sleep Happen - Mental Health - Public inquiry</dc:title>
  <dc:subject/>
  <dc:creator>Let Sleep Happen</dc:creator>
  <cp:keywords/>
  <dc:description/>
  <cp:lastModifiedBy>Productivity Commission</cp:lastModifiedBy>
  <cp:revision>6</cp:revision>
  <dcterms:created xsi:type="dcterms:W3CDTF">2018-11-08T23:04:00Z</dcterms:created>
  <dcterms:modified xsi:type="dcterms:W3CDTF">2019-12-17T00:54:00Z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fba4cbbb-04cd-4e9c-bf5f-bedf17bcf86f</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