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80BC3" w14:textId="56076800" w:rsidR="00A600E1" w:rsidRDefault="00A600E1" w:rsidP="00D209AA">
      <w:pPr>
        <w:spacing w:after="240"/>
        <w:jc w:val="center"/>
        <w:rPr>
          <w:rFonts w:ascii="Times New Roman Bold" w:hAnsi="Times New Roman Bold"/>
          <w:b/>
          <w:caps/>
          <w:color w:val="000000" w:themeColor="text1"/>
          <w:lang w:val="en-US"/>
        </w:rPr>
      </w:pPr>
      <w:r>
        <w:rPr>
          <w:rFonts w:ascii="Times New Roman Bold" w:hAnsi="Times New Roman Bold"/>
          <w:b/>
          <w:caps/>
          <w:color w:val="000000" w:themeColor="text1"/>
          <w:lang w:val="en-US"/>
        </w:rPr>
        <w:t>APPENDIX:</w:t>
      </w:r>
    </w:p>
    <w:p w14:paraId="19C7B114" w14:textId="1F90757D" w:rsidR="00D209AA" w:rsidRPr="00484633" w:rsidRDefault="00D209AA" w:rsidP="00D209AA">
      <w:pPr>
        <w:spacing w:after="240"/>
        <w:jc w:val="center"/>
        <w:rPr>
          <w:rFonts w:ascii="Times New Roman Bold" w:hAnsi="Times New Roman Bold"/>
          <w:b/>
          <w:caps/>
          <w:color w:val="000000" w:themeColor="text1"/>
        </w:rPr>
      </w:pPr>
      <w:bookmarkStart w:id="0" w:name="_GoBack"/>
      <w:r w:rsidRPr="002712AD">
        <w:rPr>
          <w:rFonts w:ascii="Times New Roman Bold" w:hAnsi="Times New Roman Bold"/>
          <w:b/>
          <w:caps/>
          <w:color w:val="000000" w:themeColor="text1"/>
          <w:lang w:val="en-US"/>
        </w:rPr>
        <w:t>Indigenous Benefits Management Structures</w:t>
      </w:r>
      <w:r>
        <w:rPr>
          <w:rFonts w:ascii="Times New Roman Bold" w:hAnsi="Times New Roman Bold"/>
          <w:b/>
          <w:caps/>
          <w:color w:val="000000" w:themeColor="text1"/>
          <w:lang w:val="en-US"/>
        </w:rPr>
        <w:t xml:space="preserve"> AS SOCIAL ENTERPRISES</w:t>
      </w:r>
      <w:r w:rsidRPr="002712AD">
        <w:rPr>
          <w:rFonts w:ascii="Times New Roman Bold" w:hAnsi="Times New Roman Bold"/>
          <w:b/>
          <w:caps/>
          <w:color w:val="000000" w:themeColor="text1"/>
          <w:lang w:val="en-US"/>
        </w:rPr>
        <w:t xml:space="preserve">: Key </w:t>
      </w:r>
      <w:r>
        <w:rPr>
          <w:rFonts w:ascii="Times New Roman Bold" w:hAnsi="Times New Roman Bold"/>
          <w:b/>
          <w:caps/>
          <w:color w:val="000000" w:themeColor="text1"/>
          <w:lang w:val="en-US"/>
        </w:rPr>
        <w:t>CHALLENGES</w:t>
      </w:r>
      <w:r w:rsidRPr="002712AD">
        <w:rPr>
          <w:rFonts w:ascii="Times New Roman Bold" w:hAnsi="Times New Roman Bold"/>
          <w:b/>
          <w:caps/>
          <w:color w:val="000000" w:themeColor="text1"/>
          <w:lang w:val="en-US"/>
        </w:rPr>
        <w:t xml:space="preserve"> </w:t>
      </w:r>
      <w:r>
        <w:rPr>
          <w:rFonts w:ascii="Times New Roman Bold" w:hAnsi="Times New Roman Bold"/>
          <w:b/>
          <w:caps/>
          <w:color w:val="000000" w:themeColor="text1"/>
          <w:lang w:val="en-US"/>
        </w:rPr>
        <w:t>FOR ECONOMIC DEVELOPMENT</w:t>
      </w:r>
    </w:p>
    <w:bookmarkEnd w:id="0"/>
    <w:p w14:paraId="5F864D82" w14:textId="77777777" w:rsidR="00A600E1" w:rsidRDefault="00A600E1" w:rsidP="00A600E1">
      <w:pPr>
        <w:spacing w:after="240"/>
        <w:jc w:val="center"/>
        <w:rPr>
          <w:color w:val="000000" w:themeColor="text1"/>
        </w:rPr>
      </w:pPr>
      <w:r>
        <w:rPr>
          <w:color w:val="000000" w:themeColor="text1"/>
        </w:rPr>
        <w:t>Ian Murray</w:t>
      </w:r>
      <w:r w:rsidRPr="006037EB">
        <w:rPr>
          <w:rStyle w:val="FootnoteReference"/>
          <w:color w:val="000000" w:themeColor="text1"/>
        </w:rPr>
        <w:footnoteReference w:customMarkFollows="1" w:id="1"/>
        <w:sym w:font="Symbol" w:char="F02A"/>
      </w:r>
    </w:p>
    <w:p w14:paraId="730F56F2" w14:textId="63848E3F" w:rsidR="00C37683" w:rsidRPr="0060755E" w:rsidRDefault="0016609A" w:rsidP="00F21DDC">
      <w:pPr>
        <w:spacing w:after="240"/>
        <w:jc w:val="both"/>
        <w:rPr>
          <w:i/>
          <w:color w:val="000000" w:themeColor="text1"/>
        </w:rPr>
      </w:pPr>
      <w:r w:rsidRPr="00893616">
        <w:rPr>
          <w:i/>
          <w:color w:val="000000" w:themeColor="text1"/>
        </w:rPr>
        <w:t xml:space="preserve">Indigenous benefits management </w:t>
      </w:r>
      <w:r w:rsidR="00217951" w:rsidRPr="00893616">
        <w:rPr>
          <w:i/>
          <w:color w:val="000000" w:themeColor="text1"/>
        </w:rPr>
        <w:t>structures (</w:t>
      </w:r>
      <w:r w:rsidRPr="00893616">
        <w:rPr>
          <w:i/>
          <w:color w:val="000000" w:themeColor="text1"/>
        </w:rPr>
        <w:t>B</w:t>
      </w:r>
      <w:r w:rsidR="00217951" w:rsidRPr="00893616">
        <w:rPr>
          <w:i/>
          <w:color w:val="000000" w:themeColor="text1"/>
        </w:rPr>
        <w:t xml:space="preserve">MSs) </w:t>
      </w:r>
      <w:r w:rsidR="00893616" w:rsidRPr="00893616">
        <w:rPr>
          <w:i/>
          <w:color w:val="000000" w:themeColor="text1"/>
        </w:rPr>
        <w:t>manage</w:t>
      </w:r>
      <w:r w:rsidR="00217951" w:rsidRPr="00893616">
        <w:rPr>
          <w:i/>
          <w:color w:val="000000" w:themeColor="text1"/>
        </w:rPr>
        <w:t xml:space="preserve"> and distribute assets </w:t>
      </w:r>
      <w:r w:rsidR="006552C1" w:rsidRPr="00893616">
        <w:rPr>
          <w:i/>
          <w:color w:val="000000" w:themeColor="text1"/>
        </w:rPr>
        <w:t>ar</w:t>
      </w:r>
      <w:r w:rsidR="00217951" w:rsidRPr="00893616">
        <w:rPr>
          <w:i/>
          <w:color w:val="000000" w:themeColor="text1"/>
        </w:rPr>
        <w:t>i</w:t>
      </w:r>
      <w:r w:rsidR="006552C1" w:rsidRPr="00893616">
        <w:rPr>
          <w:i/>
          <w:color w:val="000000" w:themeColor="text1"/>
        </w:rPr>
        <w:t>s</w:t>
      </w:r>
      <w:r w:rsidR="00217951" w:rsidRPr="00893616">
        <w:rPr>
          <w:i/>
          <w:color w:val="000000" w:themeColor="text1"/>
        </w:rPr>
        <w:t xml:space="preserve">ing from </w:t>
      </w:r>
      <w:r w:rsidR="00893616" w:rsidRPr="00893616">
        <w:rPr>
          <w:i/>
          <w:color w:val="000000" w:themeColor="text1"/>
        </w:rPr>
        <w:t xml:space="preserve">land use </w:t>
      </w:r>
      <w:r w:rsidR="00217951" w:rsidRPr="00893616">
        <w:rPr>
          <w:i/>
          <w:color w:val="000000" w:themeColor="text1"/>
        </w:rPr>
        <w:t xml:space="preserve">agreements. </w:t>
      </w:r>
      <w:r w:rsidR="0028372A" w:rsidRPr="00893616">
        <w:rPr>
          <w:i/>
          <w:color w:val="000000" w:themeColor="text1"/>
        </w:rPr>
        <w:t xml:space="preserve">Land use agreements between Indigenous groups and </w:t>
      </w:r>
      <w:r w:rsidR="00893616" w:rsidRPr="00893616">
        <w:rPr>
          <w:i/>
          <w:color w:val="000000" w:themeColor="text1"/>
        </w:rPr>
        <w:t>resource proponents</w:t>
      </w:r>
      <w:r w:rsidR="005A3D81">
        <w:rPr>
          <w:i/>
          <w:color w:val="000000" w:themeColor="text1"/>
        </w:rPr>
        <w:t xml:space="preserve"> seek to</w:t>
      </w:r>
      <w:r w:rsidR="00893616" w:rsidRPr="00893616">
        <w:rPr>
          <w:i/>
          <w:color w:val="000000" w:themeColor="text1"/>
        </w:rPr>
        <w:t xml:space="preserve"> </w:t>
      </w:r>
      <w:r w:rsidR="0028372A" w:rsidRPr="00893616">
        <w:rPr>
          <w:i/>
          <w:color w:val="000000" w:themeColor="text1"/>
        </w:rPr>
        <w:t xml:space="preserve">achieve practical recognition of Indigenous peoples’ rights, culture and significance, as well as certainty over land rights. They </w:t>
      </w:r>
      <w:r w:rsidR="00893616" w:rsidRPr="00893616">
        <w:rPr>
          <w:i/>
          <w:color w:val="000000" w:themeColor="text1"/>
        </w:rPr>
        <w:t xml:space="preserve">thus </w:t>
      </w:r>
      <w:r w:rsidR="0028372A" w:rsidRPr="00893616">
        <w:rPr>
          <w:i/>
          <w:color w:val="000000" w:themeColor="text1"/>
        </w:rPr>
        <w:t>present key social, economic and cultural opportunities and risks for Indigenous people</w:t>
      </w:r>
      <w:r w:rsidR="00893616" w:rsidRPr="00893616">
        <w:rPr>
          <w:i/>
          <w:color w:val="000000" w:themeColor="text1"/>
        </w:rPr>
        <w:t xml:space="preserve"> and for resource proponents</w:t>
      </w:r>
      <w:r w:rsidR="0028372A" w:rsidRPr="00893616">
        <w:rPr>
          <w:i/>
          <w:color w:val="000000" w:themeColor="text1"/>
        </w:rPr>
        <w:t>. Th</w:t>
      </w:r>
      <w:r w:rsidR="00893616" w:rsidRPr="00893616">
        <w:rPr>
          <w:i/>
          <w:color w:val="000000" w:themeColor="text1"/>
        </w:rPr>
        <w:t>is</w:t>
      </w:r>
      <w:r w:rsidR="0028372A" w:rsidRPr="00893616">
        <w:rPr>
          <w:i/>
          <w:color w:val="000000" w:themeColor="text1"/>
        </w:rPr>
        <w:t xml:space="preserve"> article </w:t>
      </w:r>
      <w:r w:rsidR="00893616" w:rsidRPr="00893616">
        <w:rPr>
          <w:i/>
          <w:color w:val="000000" w:themeColor="text1"/>
        </w:rPr>
        <w:t xml:space="preserve">focuses on key challenges </w:t>
      </w:r>
      <w:r w:rsidR="00F173DD">
        <w:rPr>
          <w:i/>
          <w:color w:val="000000" w:themeColor="text1"/>
        </w:rPr>
        <w:t xml:space="preserve">(and potential policy responses) </w:t>
      </w:r>
      <w:r w:rsidR="00893616" w:rsidRPr="00893616">
        <w:rPr>
          <w:i/>
          <w:color w:val="000000" w:themeColor="text1"/>
        </w:rPr>
        <w:t xml:space="preserve">to </w:t>
      </w:r>
      <w:r w:rsidR="00CE2A95">
        <w:rPr>
          <w:i/>
          <w:color w:val="000000" w:themeColor="text1"/>
        </w:rPr>
        <w:t>pursuing</w:t>
      </w:r>
      <w:r w:rsidR="00893616" w:rsidRPr="00893616">
        <w:rPr>
          <w:i/>
          <w:color w:val="000000" w:themeColor="text1"/>
        </w:rPr>
        <w:t xml:space="preserve"> </w:t>
      </w:r>
      <w:r w:rsidR="0028372A" w:rsidRPr="00893616">
        <w:rPr>
          <w:i/>
          <w:color w:val="000000" w:themeColor="text1"/>
        </w:rPr>
        <w:t xml:space="preserve">Indigenous economic development </w:t>
      </w:r>
      <w:r w:rsidR="00CE2A95">
        <w:rPr>
          <w:i/>
          <w:color w:val="000000" w:themeColor="text1"/>
        </w:rPr>
        <w:t xml:space="preserve">through BMSs </w:t>
      </w:r>
      <w:r w:rsidR="007A52E1" w:rsidRPr="00893616">
        <w:rPr>
          <w:i/>
          <w:color w:val="000000" w:themeColor="text1"/>
        </w:rPr>
        <w:t xml:space="preserve">that arise </w:t>
      </w:r>
      <w:r w:rsidR="00893616" w:rsidRPr="00893616">
        <w:rPr>
          <w:i/>
          <w:color w:val="000000" w:themeColor="text1"/>
        </w:rPr>
        <w:t>from their social enterprise nature, as reflected in the Australian context by the pervasive use of for-purpose charities within BMSs</w:t>
      </w:r>
      <w:r w:rsidR="0028372A" w:rsidRPr="00893616">
        <w:rPr>
          <w:i/>
          <w:color w:val="000000" w:themeColor="text1"/>
        </w:rPr>
        <w:t>.</w:t>
      </w:r>
      <w:r w:rsidR="007A52E1" w:rsidRPr="007A52E1">
        <w:rPr>
          <w:i/>
          <w:color w:val="000000" w:themeColor="text1"/>
        </w:rPr>
        <w:t xml:space="preserve"> </w:t>
      </w:r>
    </w:p>
    <w:p w14:paraId="2C77D180" w14:textId="4ACF6248" w:rsidR="00764901" w:rsidRPr="00764901" w:rsidRDefault="00764901" w:rsidP="00764901">
      <w:pPr>
        <w:pStyle w:val="Heading1"/>
        <w:rPr>
          <w:rFonts w:ascii="Times New Roman" w:hAnsi="Times New Roman" w:cs="Times New Roman"/>
          <w:b w:val="0"/>
          <w:color w:val="auto"/>
          <w:sz w:val="24"/>
          <w:szCs w:val="24"/>
        </w:rPr>
      </w:pPr>
      <w:bookmarkStart w:id="1" w:name="_Toc475628139"/>
      <w:r>
        <w:rPr>
          <w:rFonts w:ascii="Times New Roman" w:hAnsi="Times New Roman" w:cs="Times New Roman"/>
          <w:color w:val="auto"/>
          <w:sz w:val="24"/>
          <w:szCs w:val="24"/>
        </w:rPr>
        <w:t xml:space="preserve">Keywords: </w:t>
      </w:r>
      <w:r>
        <w:rPr>
          <w:rFonts w:ascii="Times New Roman" w:hAnsi="Times New Roman" w:cs="Times New Roman"/>
          <w:b w:val="0"/>
          <w:color w:val="auto"/>
          <w:sz w:val="24"/>
          <w:szCs w:val="24"/>
        </w:rPr>
        <w:t>benefits management structure; social enterprise; economic development; Indigenous communities; charities; land use agreement; prescribed body corporate</w:t>
      </w:r>
    </w:p>
    <w:p w14:paraId="2E878A23" w14:textId="55760A59" w:rsidR="0054459B" w:rsidRPr="00374CB2" w:rsidRDefault="00D93F6C" w:rsidP="00D93F6C">
      <w:pPr>
        <w:pStyle w:val="Heading1"/>
        <w:numPr>
          <w:ilvl w:val="0"/>
          <w:numId w:val="28"/>
        </w:numPr>
        <w:rPr>
          <w:rFonts w:ascii="Times New Roman" w:hAnsi="Times New Roman" w:cs="Times New Roman"/>
          <w:color w:val="auto"/>
          <w:sz w:val="24"/>
          <w:szCs w:val="24"/>
        </w:rPr>
      </w:pPr>
      <w:r w:rsidRPr="00374CB2">
        <w:rPr>
          <w:rFonts w:ascii="Times New Roman" w:hAnsi="Times New Roman" w:cs="Times New Roman"/>
          <w:color w:val="auto"/>
          <w:sz w:val="24"/>
          <w:szCs w:val="24"/>
        </w:rPr>
        <w:t>Introduction</w:t>
      </w:r>
      <w:bookmarkEnd w:id="1"/>
    </w:p>
    <w:p w14:paraId="50B3AB25" w14:textId="55593F8D" w:rsidR="00133BE0" w:rsidRDefault="00133BE0" w:rsidP="00F21DDC">
      <w:pPr>
        <w:spacing w:after="240"/>
        <w:jc w:val="both"/>
      </w:pPr>
      <w:r w:rsidRPr="00133BE0">
        <w:rPr>
          <w:color w:val="000000" w:themeColor="text1"/>
        </w:rPr>
        <w:t xml:space="preserve">Australia has seen </w:t>
      </w:r>
      <w:r w:rsidR="00D93F6C">
        <w:rPr>
          <w:color w:val="000000" w:themeColor="text1"/>
        </w:rPr>
        <w:t>extensive</w:t>
      </w:r>
      <w:r w:rsidRPr="00133BE0">
        <w:rPr>
          <w:color w:val="000000" w:themeColor="text1"/>
        </w:rPr>
        <w:t xml:space="preserve"> resource</w:t>
      </w:r>
      <w:r w:rsidR="00AB14A8">
        <w:rPr>
          <w:color w:val="000000" w:themeColor="text1"/>
        </w:rPr>
        <w:t>s</w:t>
      </w:r>
      <w:r w:rsidRPr="00133BE0">
        <w:rPr>
          <w:color w:val="000000" w:themeColor="text1"/>
        </w:rPr>
        <w:t xml:space="preserve"> projects affecting Indigenous land, </w:t>
      </w:r>
      <w:r w:rsidR="00AB14A8">
        <w:rPr>
          <w:color w:val="000000" w:themeColor="text1"/>
        </w:rPr>
        <w:t xml:space="preserve">along </w:t>
      </w:r>
      <w:r w:rsidRPr="00133BE0">
        <w:rPr>
          <w:color w:val="000000" w:themeColor="text1"/>
        </w:rPr>
        <w:t xml:space="preserve">with ongoing recognition of Indigenous interests </w:t>
      </w:r>
      <w:r w:rsidR="00AB14A8">
        <w:rPr>
          <w:color w:val="000000" w:themeColor="text1"/>
        </w:rPr>
        <w:t xml:space="preserve">via </w:t>
      </w:r>
      <w:r>
        <w:rPr>
          <w:color w:val="000000" w:themeColor="text1"/>
        </w:rPr>
        <w:t xml:space="preserve">the </w:t>
      </w:r>
      <w:r w:rsidR="00DC6A34" w:rsidRPr="003F329F">
        <w:t>Native Title Act 1993</w:t>
      </w:r>
      <w:r w:rsidR="00DC6A34" w:rsidRPr="009A6EA9">
        <w:rPr>
          <w:i/>
        </w:rPr>
        <w:t xml:space="preserve"> </w:t>
      </w:r>
      <w:r w:rsidR="00DC6A34" w:rsidRPr="009A6EA9">
        <w:t>(Cth)</w:t>
      </w:r>
      <w:r w:rsidR="00BD3883">
        <w:t xml:space="preserve"> (</w:t>
      </w:r>
      <w:r w:rsidR="00BD3883" w:rsidRPr="00EA0FD0">
        <w:rPr>
          <w:b/>
        </w:rPr>
        <w:t>NTA</w:t>
      </w:r>
      <w:r w:rsidR="00BD3883">
        <w:t>)</w:t>
      </w:r>
      <w:r>
        <w:t xml:space="preserve">. </w:t>
      </w:r>
      <w:r w:rsidRPr="00133BE0">
        <w:t xml:space="preserve">Agreements </w:t>
      </w:r>
      <w:r w:rsidR="00962F1C" w:rsidRPr="00133BE0">
        <w:t xml:space="preserve">formed in relation to </w:t>
      </w:r>
      <w:r w:rsidR="00962F1C">
        <w:t xml:space="preserve">that </w:t>
      </w:r>
      <w:r w:rsidR="00AB14A8">
        <w:t xml:space="preserve">NTA </w:t>
      </w:r>
      <w:r w:rsidR="00962F1C">
        <w:t xml:space="preserve">framework </w:t>
      </w:r>
      <w:r w:rsidRPr="00133BE0">
        <w:t>between Indigenous communities and others present key social, economic and cultural opportunities and risks for Indigenous people</w:t>
      </w:r>
      <w:r w:rsidR="00D6139B">
        <w:t xml:space="preserve"> and for resource proponents</w:t>
      </w:r>
      <w:r w:rsidRPr="00133BE0">
        <w:t>.</w:t>
      </w:r>
      <w:bookmarkStart w:id="2" w:name="_Ref43891671"/>
      <w:r w:rsidR="00583FE6">
        <w:rPr>
          <w:rStyle w:val="FootnoteReference"/>
        </w:rPr>
        <w:footnoteReference w:id="2"/>
      </w:r>
      <w:bookmarkEnd w:id="2"/>
      <w:r w:rsidRPr="00133BE0">
        <w:t xml:space="preserve"> </w:t>
      </w:r>
      <w:r w:rsidR="00962F1C">
        <w:t>This is especially true for many long-life resource projects that involve long-term relationships between Indigenous communities and resource companies.</w:t>
      </w:r>
      <w:bookmarkStart w:id="3" w:name="_Ref43891040"/>
      <w:r w:rsidR="00962F1C">
        <w:rPr>
          <w:rStyle w:val="FootnoteReference"/>
        </w:rPr>
        <w:footnoteReference w:id="3"/>
      </w:r>
      <w:bookmarkEnd w:id="3"/>
      <w:r w:rsidR="00962F1C">
        <w:t xml:space="preserve"> </w:t>
      </w:r>
      <w:r w:rsidRPr="00133BE0">
        <w:t>Therefore, management of the benefits provided under such agreements is critically important</w:t>
      </w:r>
      <w:r w:rsidR="007A52E1">
        <w:t>.</w:t>
      </w:r>
    </w:p>
    <w:p w14:paraId="20CB1CE2" w14:textId="08E12731" w:rsidR="003C6DA7" w:rsidRDefault="00133BE0" w:rsidP="00F21DDC">
      <w:pPr>
        <w:spacing w:after="240"/>
        <w:jc w:val="both"/>
        <w:rPr>
          <w:color w:val="000000" w:themeColor="text1"/>
        </w:rPr>
      </w:pPr>
      <w:r w:rsidRPr="00133BE0">
        <w:t>A significant result of th</w:t>
      </w:r>
      <w:r>
        <w:t xml:space="preserve">ese agreements </w:t>
      </w:r>
      <w:r w:rsidRPr="00133BE0">
        <w:t>has been the formation and operation of ‘Benefits Management Structures’</w:t>
      </w:r>
      <w:r>
        <w:t xml:space="preserve"> (</w:t>
      </w:r>
      <w:r w:rsidRPr="00133BE0">
        <w:rPr>
          <w:b/>
        </w:rPr>
        <w:t>BMS</w:t>
      </w:r>
      <w:r>
        <w:t>s)</w:t>
      </w:r>
      <w:r w:rsidRPr="00133BE0">
        <w:t xml:space="preserve">. BMSs are structures that receive payments </w:t>
      </w:r>
      <w:r w:rsidR="00E91B84">
        <w:t>under</w:t>
      </w:r>
      <w:r w:rsidRPr="00133BE0">
        <w:t xml:space="preserve"> land use agreements and that hold</w:t>
      </w:r>
      <w:r w:rsidR="00D6139B">
        <w:t>, manage</w:t>
      </w:r>
      <w:r w:rsidRPr="00133BE0">
        <w:t xml:space="preserve"> and distribute assets for Indigenous peoples and groups. As the </w:t>
      </w:r>
      <w:r w:rsidR="00AB14A8">
        <w:t xml:space="preserve">nomenclature </w:t>
      </w:r>
      <w:r w:rsidRPr="00133BE0">
        <w:t xml:space="preserve">BMS is widely </w:t>
      </w:r>
      <w:r w:rsidR="00AB14A8">
        <w:t xml:space="preserve">adopted </w:t>
      </w:r>
      <w:r w:rsidRPr="00133BE0">
        <w:t xml:space="preserve">in Australia by resource proponents </w:t>
      </w:r>
      <w:r w:rsidRPr="00133BE0">
        <w:lastRenderedPageBreak/>
        <w:t>and Indigenous communities</w:t>
      </w:r>
      <w:r w:rsidR="00AB14A8">
        <w:t xml:space="preserve">, it has been used in this article </w:t>
      </w:r>
      <w:r w:rsidRPr="00133BE0">
        <w:t>even though it is controversial to label payments connected with acts that impair native title rights as ‘benefits’.</w:t>
      </w:r>
    </w:p>
    <w:p w14:paraId="2B1FDE79" w14:textId="372BB279" w:rsidR="00153AA0" w:rsidRDefault="00D6139B" w:rsidP="00974FC4">
      <w:pPr>
        <w:spacing w:after="240"/>
        <w:jc w:val="both"/>
        <w:rPr>
          <w:color w:val="000000" w:themeColor="text1"/>
        </w:rPr>
      </w:pPr>
      <w:r>
        <w:rPr>
          <w:color w:val="000000" w:themeColor="text1"/>
        </w:rPr>
        <w:t>T</w:t>
      </w:r>
      <w:r w:rsidR="005145C0">
        <w:rPr>
          <w:color w:val="000000" w:themeColor="text1"/>
        </w:rPr>
        <w:t xml:space="preserve">his article outlines the typical </w:t>
      </w:r>
      <w:r w:rsidR="00133BE0">
        <w:rPr>
          <w:color w:val="000000" w:themeColor="text1"/>
        </w:rPr>
        <w:t xml:space="preserve">characteristics of </w:t>
      </w:r>
      <w:r w:rsidR="00D93F6C">
        <w:rPr>
          <w:color w:val="000000" w:themeColor="text1"/>
        </w:rPr>
        <w:t xml:space="preserve">and challenges faced by </w:t>
      </w:r>
      <w:r w:rsidR="00133BE0">
        <w:rPr>
          <w:color w:val="000000" w:themeColor="text1"/>
        </w:rPr>
        <w:t>BMS</w:t>
      </w:r>
      <w:r w:rsidR="00D93F6C">
        <w:rPr>
          <w:color w:val="000000" w:themeColor="text1"/>
        </w:rPr>
        <w:t>s (Part</w:t>
      </w:r>
      <w:r w:rsidR="00374CB2">
        <w:rPr>
          <w:color w:val="000000" w:themeColor="text1"/>
        </w:rPr>
        <w:t xml:space="preserve"> </w:t>
      </w:r>
      <w:r w:rsidR="00374CB2">
        <w:rPr>
          <w:color w:val="000000" w:themeColor="text1"/>
        </w:rPr>
        <w:fldChar w:fldCharType="begin"/>
      </w:r>
      <w:r w:rsidR="00374CB2">
        <w:rPr>
          <w:color w:val="000000" w:themeColor="text1"/>
        </w:rPr>
        <w:instrText xml:space="preserve"> REF _Ref29549672 \n \h </w:instrText>
      </w:r>
      <w:r w:rsidR="00374CB2">
        <w:rPr>
          <w:color w:val="000000" w:themeColor="text1"/>
        </w:rPr>
      </w:r>
      <w:r w:rsidR="00374CB2">
        <w:rPr>
          <w:color w:val="000000" w:themeColor="text1"/>
        </w:rPr>
        <w:fldChar w:fldCharType="separate"/>
      </w:r>
      <w:r w:rsidR="00D70136">
        <w:rPr>
          <w:color w:val="000000" w:themeColor="text1"/>
        </w:rPr>
        <w:t>2</w:t>
      </w:r>
      <w:r w:rsidR="00374CB2">
        <w:rPr>
          <w:color w:val="000000" w:themeColor="text1"/>
        </w:rPr>
        <w:fldChar w:fldCharType="end"/>
      </w:r>
      <w:r w:rsidR="00D93F6C">
        <w:rPr>
          <w:color w:val="000000" w:themeColor="text1"/>
        </w:rPr>
        <w:t>)</w:t>
      </w:r>
      <w:r w:rsidR="005145C0">
        <w:rPr>
          <w:color w:val="000000" w:themeColor="text1"/>
        </w:rPr>
        <w:t>.</w:t>
      </w:r>
      <w:r>
        <w:rPr>
          <w:color w:val="000000" w:themeColor="text1"/>
        </w:rPr>
        <w:t xml:space="preserve"> It does so by drawing on a mixed methods research project undertaken between 2016 and 2019 at the University of Western Australia (</w:t>
      </w:r>
      <w:r w:rsidRPr="00114CE8">
        <w:rPr>
          <w:b/>
          <w:color w:val="000000" w:themeColor="text1"/>
        </w:rPr>
        <w:t>UWA Project</w:t>
      </w:r>
      <w:r>
        <w:rPr>
          <w:color w:val="000000" w:themeColor="text1"/>
        </w:rPr>
        <w:t>).</w:t>
      </w:r>
      <w:r>
        <w:rPr>
          <w:rStyle w:val="FootnoteReference"/>
          <w:color w:val="000000" w:themeColor="text1"/>
        </w:rPr>
        <w:footnoteReference w:id="4"/>
      </w:r>
      <w:r w:rsidR="005145C0">
        <w:rPr>
          <w:color w:val="000000" w:themeColor="text1"/>
        </w:rPr>
        <w:t xml:space="preserve"> </w:t>
      </w:r>
      <w:r w:rsidR="00133BE0">
        <w:rPr>
          <w:color w:val="000000" w:themeColor="text1"/>
        </w:rPr>
        <w:t xml:space="preserve">Part </w:t>
      </w:r>
      <w:r w:rsidR="000A2BD4">
        <w:rPr>
          <w:color w:val="000000" w:themeColor="text1"/>
        </w:rPr>
        <w:fldChar w:fldCharType="begin"/>
      </w:r>
      <w:r w:rsidR="000A2BD4">
        <w:rPr>
          <w:color w:val="000000" w:themeColor="text1"/>
        </w:rPr>
        <w:instrText xml:space="preserve"> REF _Ref29550589 \n \h </w:instrText>
      </w:r>
      <w:r w:rsidR="000A2BD4">
        <w:rPr>
          <w:color w:val="000000" w:themeColor="text1"/>
        </w:rPr>
      </w:r>
      <w:r w:rsidR="000A2BD4">
        <w:rPr>
          <w:color w:val="000000" w:themeColor="text1"/>
        </w:rPr>
        <w:fldChar w:fldCharType="separate"/>
      </w:r>
      <w:r w:rsidR="00D70136">
        <w:rPr>
          <w:color w:val="000000" w:themeColor="text1"/>
        </w:rPr>
        <w:t>3</w:t>
      </w:r>
      <w:r w:rsidR="000A2BD4">
        <w:rPr>
          <w:color w:val="000000" w:themeColor="text1"/>
        </w:rPr>
        <w:fldChar w:fldCharType="end"/>
      </w:r>
      <w:r w:rsidR="00374CB2">
        <w:rPr>
          <w:color w:val="000000" w:themeColor="text1"/>
        </w:rPr>
        <w:t xml:space="preserve"> then </w:t>
      </w:r>
      <w:r>
        <w:rPr>
          <w:color w:val="000000" w:themeColor="text1"/>
        </w:rPr>
        <w:t xml:space="preserve">builds on this base by </w:t>
      </w:r>
      <w:r w:rsidR="000A2BD4">
        <w:rPr>
          <w:color w:val="000000" w:themeColor="text1"/>
        </w:rPr>
        <w:t>explor</w:t>
      </w:r>
      <w:r>
        <w:rPr>
          <w:color w:val="000000" w:themeColor="text1"/>
        </w:rPr>
        <w:t>ing</w:t>
      </w:r>
      <w:r w:rsidR="000A2BD4">
        <w:rPr>
          <w:color w:val="000000" w:themeColor="text1"/>
        </w:rPr>
        <w:t xml:space="preserve"> </w:t>
      </w:r>
      <w:r>
        <w:rPr>
          <w:color w:val="000000" w:themeColor="text1"/>
        </w:rPr>
        <w:t xml:space="preserve">the </w:t>
      </w:r>
      <w:r w:rsidR="000A2BD4">
        <w:rPr>
          <w:color w:val="000000" w:themeColor="text1"/>
        </w:rPr>
        <w:t xml:space="preserve">economic development </w:t>
      </w:r>
      <w:r w:rsidR="00BB7472" w:rsidRPr="00BB7472">
        <w:rPr>
          <w:color w:val="000000" w:themeColor="text1"/>
        </w:rPr>
        <w:t xml:space="preserve">challenges </w:t>
      </w:r>
      <w:r>
        <w:rPr>
          <w:color w:val="000000" w:themeColor="text1"/>
        </w:rPr>
        <w:t>for BMSs posed by their ubiquitous use of for-purpose entities</w:t>
      </w:r>
      <w:r w:rsidR="00CE2A95">
        <w:rPr>
          <w:color w:val="000000" w:themeColor="text1"/>
        </w:rPr>
        <w:t>:</w:t>
      </w:r>
      <w:r>
        <w:rPr>
          <w:color w:val="000000" w:themeColor="text1"/>
        </w:rPr>
        <w:t xml:space="preserve"> charities</w:t>
      </w:r>
      <w:r w:rsidR="005145C0" w:rsidRPr="00BB7472">
        <w:rPr>
          <w:color w:val="000000" w:themeColor="text1"/>
        </w:rPr>
        <w:t>.</w:t>
      </w:r>
      <w:r w:rsidR="00BB7472" w:rsidRPr="00BB7472">
        <w:rPr>
          <w:color w:val="000000" w:themeColor="text1"/>
        </w:rPr>
        <w:t xml:space="preserve"> Part </w:t>
      </w:r>
      <w:r w:rsidR="00725432">
        <w:rPr>
          <w:color w:val="000000" w:themeColor="text1"/>
        </w:rPr>
        <w:fldChar w:fldCharType="begin"/>
      </w:r>
      <w:r w:rsidR="00725432">
        <w:rPr>
          <w:color w:val="000000" w:themeColor="text1"/>
        </w:rPr>
        <w:instrText xml:space="preserve"> REF _Ref29555010 \n \h </w:instrText>
      </w:r>
      <w:r w:rsidR="00725432">
        <w:rPr>
          <w:color w:val="000000" w:themeColor="text1"/>
        </w:rPr>
      </w:r>
      <w:r w:rsidR="00725432">
        <w:rPr>
          <w:color w:val="000000" w:themeColor="text1"/>
        </w:rPr>
        <w:fldChar w:fldCharType="separate"/>
      </w:r>
      <w:r w:rsidR="00D70136">
        <w:rPr>
          <w:color w:val="000000" w:themeColor="text1"/>
        </w:rPr>
        <w:t>4</w:t>
      </w:r>
      <w:r w:rsidR="00725432">
        <w:rPr>
          <w:color w:val="000000" w:themeColor="text1"/>
        </w:rPr>
        <w:fldChar w:fldCharType="end"/>
      </w:r>
      <w:r w:rsidR="00BB7472" w:rsidRPr="00BB7472">
        <w:rPr>
          <w:color w:val="000000" w:themeColor="text1"/>
        </w:rPr>
        <w:t xml:space="preserve"> </w:t>
      </w:r>
      <w:r w:rsidR="000A2BD4">
        <w:rPr>
          <w:color w:val="000000" w:themeColor="text1"/>
        </w:rPr>
        <w:t xml:space="preserve">analyses policy </w:t>
      </w:r>
      <w:r>
        <w:rPr>
          <w:color w:val="000000" w:themeColor="text1"/>
        </w:rPr>
        <w:t>responses to these</w:t>
      </w:r>
      <w:r w:rsidR="00BB7472" w:rsidRPr="00BB7472">
        <w:rPr>
          <w:color w:val="000000" w:themeColor="text1"/>
        </w:rPr>
        <w:t xml:space="preserve"> </w:t>
      </w:r>
      <w:r w:rsidR="000A2BD4">
        <w:rPr>
          <w:color w:val="000000" w:themeColor="text1"/>
        </w:rPr>
        <w:t xml:space="preserve">economic development </w:t>
      </w:r>
      <w:r w:rsidR="00BB7472" w:rsidRPr="00BB7472">
        <w:rPr>
          <w:color w:val="000000" w:themeColor="text1"/>
        </w:rPr>
        <w:t>challenge</w:t>
      </w:r>
      <w:r>
        <w:rPr>
          <w:color w:val="000000" w:themeColor="text1"/>
        </w:rPr>
        <w:t>s</w:t>
      </w:r>
      <w:r w:rsidR="00BB7472" w:rsidRPr="00BB7472">
        <w:rPr>
          <w:color w:val="000000" w:themeColor="text1"/>
        </w:rPr>
        <w:t xml:space="preserve"> </w:t>
      </w:r>
      <w:r w:rsidR="000A2BD4">
        <w:rPr>
          <w:color w:val="000000" w:themeColor="text1"/>
        </w:rPr>
        <w:t>based on a view of BMSs as social enterprises</w:t>
      </w:r>
      <w:r w:rsidR="00BB7472" w:rsidRPr="00BB7472">
        <w:rPr>
          <w:color w:val="000000" w:themeColor="text1"/>
        </w:rPr>
        <w:t>.</w:t>
      </w:r>
      <w:r w:rsidR="00A72328">
        <w:rPr>
          <w:color w:val="000000" w:themeColor="text1"/>
        </w:rPr>
        <w:t xml:space="preserve"> Successfully addressing the challenges is </w:t>
      </w:r>
      <w:r w:rsidR="00893616">
        <w:rPr>
          <w:color w:val="000000" w:themeColor="text1"/>
        </w:rPr>
        <w:t xml:space="preserve">fundamental not only to Indigenous communities but to </w:t>
      </w:r>
      <w:r w:rsidR="00A72328">
        <w:rPr>
          <w:color w:val="000000" w:themeColor="text1"/>
        </w:rPr>
        <w:t>all stakeholders in</w:t>
      </w:r>
      <w:r w:rsidR="00893616">
        <w:rPr>
          <w:color w:val="000000" w:themeColor="text1"/>
        </w:rPr>
        <w:t xml:space="preserve"> land-use agreements, including resource proponents and governments.</w:t>
      </w:r>
    </w:p>
    <w:p w14:paraId="00A68FAB" w14:textId="7D5FED42" w:rsidR="0054459B" w:rsidRPr="00374CB2" w:rsidRDefault="00374CB2" w:rsidP="00374CB2">
      <w:pPr>
        <w:pStyle w:val="Heading1"/>
        <w:numPr>
          <w:ilvl w:val="0"/>
          <w:numId w:val="28"/>
        </w:numPr>
        <w:rPr>
          <w:rFonts w:ascii="Times New Roman" w:hAnsi="Times New Roman" w:cs="Times New Roman"/>
          <w:color w:val="auto"/>
          <w:sz w:val="24"/>
          <w:szCs w:val="24"/>
        </w:rPr>
      </w:pPr>
      <w:bookmarkStart w:id="4" w:name="_Toc475628140"/>
      <w:bookmarkStart w:id="5" w:name="_Ref22654281"/>
      <w:bookmarkStart w:id="6" w:name="_Ref29549331"/>
      <w:bookmarkStart w:id="7" w:name="_Ref29549672"/>
      <w:bookmarkStart w:id="8" w:name="_Ref42769236"/>
      <w:r w:rsidRPr="00374CB2">
        <w:rPr>
          <w:rFonts w:ascii="Times New Roman" w:hAnsi="Times New Roman" w:cs="Times New Roman"/>
          <w:color w:val="auto"/>
          <w:sz w:val="24"/>
          <w:szCs w:val="24"/>
        </w:rPr>
        <w:t>B</w:t>
      </w:r>
      <w:r>
        <w:rPr>
          <w:rFonts w:ascii="Times New Roman" w:hAnsi="Times New Roman" w:cs="Times New Roman"/>
          <w:color w:val="auto"/>
          <w:sz w:val="24"/>
          <w:szCs w:val="24"/>
        </w:rPr>
        <w:t>MS</w:t>
      </w:r>
      <w:r w:rsidRPr="00374CB2">
        <w:rPr>
          <w:rFonts w:ascii="Times New Roman" w:hAnsi="Times New Roman" w:cs="Times New Roman"/>
          <w:color w:val="auto"/>
          <w:sz w:val="24"/>
          <w:szCs w:val="24"/>
        </w:rPr>
        <w:t xml:space="preserve"> </w:t>
      </w:r>
      <w:bookmarkEnd w:id="4"/>
      <w:bookmarkEnd w:id="5"/>
      <w:bookmarkEnd w:id="6"/>
      <w:r w:rsidRPr="00374CB2">
        <w:rPr>
          <w:rFonts w:ascii="Times New Roman" w:hAnsi="Times New Roman" w:cs="Times New Roman"/>
          <w:color w:val="auto"/>
          <w:sz w:val="24"/>
          <w:szCs w:val="24"/>
        </w:rPr>
        <w:t>characteristics</w:t>
      </w:r>
      <w:bookmarkEnd w:id="7"/>
      <w:r>
        <w:rPr>
          <w:rFonts w:ascii="Times New Roman" w:hAnsi="Times New Roman" w:cs="Times New Roman"/>
          <w:color w:val="auto"/>
          <w:sz w:val="24"/>
          <w:szCs w:val="24"/>
        </w:rPr>
        <w:t xml:space="preserve"> and challenges</w:t>
      </w:r>
      <w:bookmarkEnd w:id="8"/>
    </w:p>
    <w:p w14:paraId="32BFB03F" w14:textId="0A06B02D" w:rsidR="00BB295F" w:rsidRPr="00BB295F" w:rsidRDefault="008267A0" w:rsidP="00BB295F">
      <w:pPr>
        <w:spacing w:after="240"/>
        <w:jc w:val="both"/>
        <w:rPr>
          <w:rFonts w:cs="Arial"/>
        </w:rPr>
      </w:pPr>
      <w:r>
        <w:rPr>
          <w:rFonts w:cs="Arial"/>
        </w:rPr>
        <w:t>L</w:t>
      </w:r>
      <w:r w:rsidR="00934C0D">
        <w:rPr>
          <w:rFonts w:cs="Arial"/>
        </w:rPr>
        <w:t>and use agreements</w:t>
      </w:r>
      <w:r>
        <w:rPr>
          <w:rFonts w:cs="Arial"/>
        </w:rPr>
        <w:t xml:space="preserve"> frequently involve a range of different recipients of benefits</w:t>
      </w:r>
      <w:r w:rsidR="00934C0D">
        <w:rPr>
          <w:rFonts w:cs="Arial"/>
        </w:rPr>
        <w:t>. They</w:t>
      </w:r>
      <w:r w:rsidR="00BB295F" w:rsidRPr="00BB295F">
        <w:rPr>
          <w:rFonts w:cs="Arial"/>
        </w:rPr>
        <w:t xml:space="preserve"> include corporations established under the </w:t>
      </w:r>
      <w:r w:rsidR="00E82C93" w:rsidRPr="003F329F">
        <w:t>Corporations (Aboriginal and Torres Strait Islander) Act</w:t>
      </w:r>
      <w:r w:rsidR="00E82C93" w:rsidRPr="003F329F">
        <w:rPr>
          <w:rFonts w:cs="Arial"/>
        </w:rPr>
        <w:t xml:space="preserve"> 2006</w:t>
      </w:r>
      <w:r w:rsidR="00E82C93">
        <w:rPr>
          <w:rFonts w:cs="Arial"/>
        </w:rPr>
        <w:t xml:space="preserve"> (Cth) (</w:t>
      </w:r>
      <w:r w:rsidR="00BB295F" w:rsidRPr="00E82C93">
        <w:rPr>
          <w:rFonts w:cs="Arial"/>
          <w:b/>
        </w:rPr>
        <w:t>CATSI Act</w:t>
      </w:r>
      <w:r w:rsidR="00E82C93">
        <w:rPr>
          <w:rFonts w:cs="Arial"/>
        </w:rPr>
        <w:t>)</w:t>
      </w:r>
      <w:r w:rsidR="00BB295F" w:rsidRPr="00BB295F">
        <w:rPr>
          <w:rFonts w:cs="Arial"/>
        </w:rPr>
        <w:t>, proprietary limited companies, companies limited by guarantee, discretionary or fixed trusts, charitable trusts and, sometimes, incorporated associations.</w:t>
      </w:r>
      <w:bookmarkStart w:id="9" w:name="_Ref22728679"/>
      <w:r w:rsidR="00BB295F" w:rsidRPr="00BB295F">
        <w:rPr>
          <w:rFonts w:cs="Arial"/>
          <w:vertAlign w:val="superscript"/>
        </w:rPr>
        <w:footnoteReference w:id="5"/>
      </w:r>
      <w:bookmarkEnd w:id="9"/>
      <w:r w:rsidR="00BB295F" w:rsidRPr="00BB295F">
        <w:rPr>
          <w:rFonts w:cs="Arial"/>
        </w:rPr>
        <w:t xml:space="preserve"> Trusts are not legal entities, but rather relationships involving obligations owed by the trustee in relation to property that the trustee holds for the benefit of certain persons or (in the case of a charitable trust) purposes. </w:t>
      </w:r>
      <w:r>
        <w:rPr>
          <w:rFonts w:cs="Arial"/>
        </w:rPr>
        <w:t>However, f</w:t>
      </w:r>
      <w:r w:rsidR="00690E79">
        <w:rPr>
          <w:rFonts w:cs="Arial"/>
        </w:rPr>
        <w:t>or brevity</w:t>
      </w:r>
      <w:r w:rsidR="00BB295F" w:rsidRPr="00BB295F">
        <w:rPr>
          <w:rFonts w:cs="Arial"/>
        </w:rPr>
        <w:t xml:space="preserve">, trusts </w:t>
      </w:r>
      <w:r>
        <w:rPr>
          <w:rFonts w:cs="Arial"/>
        </w:rPr>
        <w:t xml:space="preserve">are referred to </w:t>
      </w:r>
      <w:r w:rsidR="00BB295F" w:rsidRPr="00BB295F">
        <w:rPr>
          <w:rFonts w:cs="Arial"/>
        </w:rPr>
        <w:t xml:space="preserve">as ‘entities’. </w:t>
      </w:r>
    </w:p>
    <w:p w14:paraId="2DAB2F8E" w14:textId="30C818F4" w:rsidR="006179DF" w:rsidRPr="006179DF" w:rsidRDefault="00BB295F" w:rsidP="006179DF">
      <w:pPr>
        <w:spacing w:after="240"/>
        <w:jc w:val="both"/>
        <w:rPr>
          <w:rFonts w:cs="Arial"/>
        </w:rPr>
      </w:pPr>
      <w:r w:rsidRPr="00BB295F">
        <w:rPr>
          <w:rFonts w:cs="Arial"/>
        </w:rPr>
        <w:t>BMSs are comprised of the</w:t>
      </w:r>
      <w:r w:rsidR="00F3648A">
        <w:rPr>
          <w:rFonts w:cs="Arial"/>
        </w:rPr>
        <w:t>se</w:t>
      </w:r>
      <w:r w:rsidRPr="00BB295F">
        <w:rPr>
          <w:rFonts w:cs="Arial"/>
        </w:rPr>
        <w:t xml:space="preserve"> related entities that receive, manage and distribute </w:t>
      </w:r>
      <w:r w:rsidR="00F3648A">
        <w:rPr>
          <w:rFonts w:cs="Arial"/>
        </w:rPr>
        <w:t>land use agreement benefits</w:t>
      </w:r>
      <w:r w:rsidRPr="00BB295F">
        <w:rPr>
          <w:rFonts w:cs="Arial"/>
        </w:rPr>
        <w:t xml:space="preserve">. </w:t>
      </w:r>
      <w:r w:rsidR="00F3648A">
        <w:rPr>
          <w:rFonts w:cs="Arial"/>
        </w:rPr>
        <w:t>T</w:t>
      </w:r>
      <w:r w:rsidRPr="00BB295F">
        <w:rPr>
          <w:rFonts w:cs="Arial"/>
        </w:rPr>
        <w:t>ypically</w:t>
      </w:r>
      <w:r w:rsidR="00F3648A">
        <w:rPr>
          <w:rFonts w:cs="Arial"/>
        </w:rPr>
        <w:t>, BMSs</w:t>
      </w:r>
      <w:r w:rsidRPr="00BB295F">
        <w:rPr>
          <w:rFonts w:cs="Arial"/>
        </w:rPr>
        <w:t xml:space="preserve"> include one or more trusts, a trustee and a representative incorporated entity.</w:t>
      </w:r>
      <w:r w:rsidR="00CE6F6B">
        <w:rPr>
          <w:rStyle w:val="FootnoteReference"/>
          <w:rFonts w:cs="Arial"/>
        </w:rPr>
        <w:footnoteReference w:id="6"/>
      </w:r>
      <w:r w:rsidRPr="00BB295F">
        <w:rPr>
          <w:rFonts w:cs="Arial"/>
        </w:rPr>
        <w:t xml:space="preserve"> </w:t>
      </w:r>
      <w:r w:rsidR="00DC1E64" w:rsidRPr="0039425E">
        <w:t>Where a determination of native title has been made, this incorporated entity may be</w:t>
      </w:r>
      <w:r w:rsidR="00DC1E64">
        <w:t xml:space="preserve"> </w:t>
      </w:r>
      <w:r w:rsidR="00DC1E64" w:rsidRPr="0039425E">
        <w:t xml:space="preserve">the </w:t>
      </w:r>
      <w:r w:rsidR="00F3648A">
        <w:t>prescribed body corporate (</w:t>
      </w:r>
      <w:r w:rsidR="00DC1E64" w:rsidRPr="00F3648A">
        <w:rPr>
          <w:b/>
        </w:rPr>
        <w:t>PBC</w:t>
      </w:r>
      <w:r w:rsidR="00F3648A">
        <w:t>)</w:t>
      </w:r>
      <w:r w:rsidR="00DC1E64" w:rsidRPr="0039425E">
        <w:rPr>
          <w:rStyle w:val="FootnoteReference"/>
        </w:rPr>
        <w:footnoteReference w:id="7"/>
      </w:r>
      <w:r w:rsidR="00DC1E64" w:rsidRPr="0039425E">
        <w:t xml:space="preserve"> which holds the native title rights on trust</w:t>
      </w:r>
      <w:r w:rsidR="00DC1E64" w:rsidRPr="0039425E">
        <w:rPr>
          <w:rStyle w:val="FootnoteReference"/>
        </w:rPr>
        <w:footnoteReference w:id="8"/>
      </w:r>
      <w:r w:rsidR="00DC1E64" w:rsidRPr="0039425E">
        <w:t xml:space="preserve"> or as agent</w:t>
      </w:r>
      <w:r w:rsidR="00DC1E64" w:rsidRPr="0039425E">
        <w:rPr>
          <w:rStyle w:val="FootnoteReference"/>
        </w:rPr>
        <w:footnoteReference w:id="9"/>
      </w:r>
      <w:r w:rsidR="00DC1E64" w:rsidRPr="0039425E">
        <w:t xml:space="preserve"> for the common law native title holders</w:t>
      </w:r>
      <w:r w:rsidR="00DC1E64">
        <w:t xml:space="preserve">. </w:t>
      </w:r>
      <w:r w:rsidRPr="00BB295F">
        <w:rPr>
          <w:rFonts w:cs="Arial"/>
        </w:rPr>
        <w:t>The trusts do the ‘funding’, while the corporations engage in the ‘doing’ of activities. There can be multiple BMSs per Indigenous community or multiple Indigenous communities per BMS.</w:t>
      </w:r>
      <w:r w:rsidR="00690E79">
        <w:rPr>
          <w:rFonts w:cs="Arial"/>
        </w:rPr>
        <w:t xml:space="preserve"> </w:t>
      </w:r>
      <w:r w:rsidR="006179DF" w:rsidRPr="006179DF">
        <w:rPr>
          <w:rFonts w:cs="Arial"/>
        </w:rPr>
        <w:t>The following schematisation</w:t>
      </w:r>
      <w:r w:rsidR="00114CE8">
        <w:rPr>
          <w:rFonts w:cs="Arial"/>
        </w:rPr>
        <w:t>, adopted from Murray, Fardin and O’Hara,</w:t>
      </w:r>
      <w:r w:rsidR="00114CE8">
        <w:rPr>
          <w:rStyle w:val="FootnoteReference"/>
          <w:rFonts w:cs="Arial"/>
        </w:rPr>
        <w:footnoteReference w:id="10"/>
      </w:r>
      <w:r w:rsidR="006179DF" w:rsidRPr="006179DF">
        <w:rPr>
          <w:rFonts w:cs="Arial"/>
        </w:rPr>
        <w:t xml:space="preserve"> shows one possible BMS model:</w:t>
      </w:r>
    </w:p>
    <w:p w14:paraId="5111BE7B" w14:textId="77777777" w:rsidR="006179DF" w:rsidRPr="006179DF" w:rsidRDefault="006179DF" w:rsidP="006179DF">
      <w:pPr>
        <w:spacing w:after="240"/>
        <w:jc w:val="both"/>
        <w:rPr>
          <w:rFonts w:cs="Arial"/>
        </w:rPr>
      </w:pPr>
      <w:r w:rsidRPr="006179DF">
        <w:rPr>
          <w:rFonts w:cs="Arial"/>
          <w:noProof/>
          <w:lang w:eastAsia="en-AU"/>
        </w:rPr>
        <w:lastRenderedPageBreak/>
        <mc:AlternateContent>
          <mc:Choice Requires="wps">
            <w:drawing>
              <wp:anchor distT="0" distB="0" distL="114300" distR="114300" simplePos="0" relativeHeight="251659264" behindDoc="0" locked="0" layoutInCell="1" allowOverlap="1" wp14:anchorId="1F6A5970" wp14:editId="4DF5D090">
                <wp:simplePos x="0" y="0"/>
                <wp:positionH relativeFrom="column">
                  <wp:posOffset>114300</wp:posOffset>
                </wp:positionH>
                <wp:positionV relativeFrom="paragraph">
                  <wp:posOffset>0</wp:posOffset>
                </wp:positionV>
                <wp:extent cx="2057400" cy="342900"/>
                <wp:effectExtent l="0" t="0" r="25400" b="38100"/>
                <wp:wrapNone/>
                <wp:docPr id="30" name="Rectangle 30"/>
                <wp:cNvGraphicFramePr/>
                <a:graphic xmlns:a="http://schemas.openxmlformats.org/drawingml/2006/main">
                  <a:graphicData uri="http://schemas.microsoft.com/office/word/2010/wordprocessingShape">
                    <wps:wsp>
                      <wps:cNvSpPr/>
                      <wps:spPr>
                        <a:xfrm>
                          <a:off x="0" y="0"/>
                          <a:ext cx="2057400" cy="342900"/>
                        </a:xfrm>
                        <a:prstGeom prst="rect">
                          <a:avLst/>
                        </a:prstGeom>
                        <a:solidFill>
                          <a:schemeClr val="bg1"/>
                        </a:solidFill>
                        <a:ln>
                          <a:solidFill>
                            <a:schemeClr val="bg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D4CA825" id="Rectangle 30" o:spid="_x0000_s1026" style="position:absolute;margin-left:9pt;margin-top:0;width:16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bJ0QIAABgGAAAOAAAAZHJzL2Uyb0RvYy54bWysVFlr3DAQfi/0Pwi9Oz7Wmz2INzi7uBRC&#10;E5KUPGtladcgS6qkPdLS/96R7D2aBgKhL/aM5v7muLretwJtmbGNkgVOLxKMmKSqbuSqwN+fqmiM&#10;kXVE1kQoyQr8wiy+nn3+dLXTU5aptRI1MwicSDvd6QKvndPTOLZ0zVpiL5RmEoRcmZY4YM0qrg3Z&#10;gfdWxFmSXMY7ZWptFGXWwuuiE+JZ8M85o+6Oc8scEgWG3Fz4mvBd+m88uyLTlSF63dA+DfKBLFrS&#10;SAh6dLUgjqCNaf5x1TbUKKu4u6CqjRXnDWWhBqgmTV5V87gmmoVaAByrjzDZ/+eWftveG9TUBR4A&#10;PJK00KMHQI3IlWAI3gCgnbZT0HvU96bnLJC+2j03rf9DHWgfQH05gsr2DlF4zJLhKE/AOQXZIM8m&#10;QIOb+GStjXVfmGqRJwpsIHzAkmxvretUDyo+mFWiqatGiMD4QWFzYdCWQIuXq7R3/peWkB8yhBw7&#10;SxYmqcuGTKEyIL1HX2Po8q+qLLPLxWARLcaTUZQvWRaNqySPbsp8mM5HoypdjH771M6N5sNRVo6G&#10;k+iyHKZRnibjqCyTLFpUZVImeTWf5DfBCBI5BI19Nzr8A+VeBPNehXxgHBoJiKcBvbBCJ2QIpUy6&#10;AzpB25txwPFoOHjfsNcPdQRQjsbZ+8YdjGARIivpjsZtI5V5y4E4psw7fZics7o9uVT1C8ywUd1y&#10;W02rBgbpllh3TwxsM8weXCh3Bx8u1K7AqqcwWivz8613rw9LBlKMdnAdCmx/bIhhGImvEtZvkua5&#10;PyeByaGNwJhzyfJcIjftXMF0pnALNQ2k13fiQHKj2mc4ZKWPCiIiKcQuMHXmwMxdd7XgFFJWlkEN&#10;Togm7lY+anroul+Up/0zMbrfJgeD800dLgmZvlqqTtf3Q6py4xRvwsadcO3xhvMTdrY/lf6+nfNB&#10;63TQZ38AAAD//wMAUEsDBBQABgAIAAAAIQAn6iGh3AAAAAYBAAAPAAAAZHJzL2Rvd25yZXYueG1s&#10;TI9BT8MwDIXvSPyHyJO4sXRlRVNpOm0gJC4cWKqds8a0FY1TNenW/fuZE1wsPz3r+XvFdna9OOMY&#10;Ok8KVssEBFLtbUeNgkq/P25AhGjImt4TKrhigG15f1eY3PoLfeH5EBvBIRRyo6CNccilDHWLzoSl&#10;H5DY+/ajM5Hl2Eg7mguHu16mSfIsnemIP7RmwNcW65/D5BTsPrK9Dsfq86htlc7ZpN/sXiv1sJh3&#10;LyAizvHvGH7xGR1KZjr5iWwQPesNV4kKeLL7tE55OSnI1gnIspD/8csbAAAA//8DAFBLAQItABQA&#10;BgAIAAAAIQC2gziS/gAAAOEBAAATAAAAAAAAAAAAAAAAAAAAAABbQ29udGVudF9UeXBlc10ueG1s&#10;UEsBAi0AFAAGAAgAAAAhADj9If/WAAAAlAEAAAsAAAAAAAAAAAAAAAAALwEAAF9yZWxzLy5yZWxz&#10;UEsBAi0AFAAGAAgAAAAhAFuolsnRAgAAGAYAAA4AAAAAAAAAAAAAAAAALgIAAGRycy9lMm9Eb2Mu&#10;eG1sUEsBAi0AFAAGAAgAAAAhACfqIaHcAAAABgEAAA8AAAAAAAAAAAAAAAAAKwUAAGRycy9kb3du&#10;cmV2LnhtbFBLBQYAAAAABAAEAPMAAAA0BgAAAAA=&#10;" fillcolor="white [3212]" strokecolor="white [3212]" strokeweight=".5pt"/>
            </w:pict>
          </mc:Fallback>
        </mc:AlternateContent>
      </w:r>
      <w:r w:rsidRPr="006179DF">
        <w:rPr>
          <w:rFonts w:cs="Arial"/>
          <w:noProof/>
          <w:lang w:eastAsia="en-AU"/>
        </w:rPr>
        <w:drawing>
          <wp:inline distT="0" distB="0" distL="0" distR="0" wp14:anchorId="6A4F0AF6" wp14:editId="756479B9">
            <wp:extent cx="6158865" cy="3171825"/>
            <wp:effectExtent l="0" t="0" r="0" b="3175"/>
            <wp:docPr id="24" name="Picture 24" descr="\\uniwa.uwa.edu.au\userhome\staff1\00089231\Desktop\NTAMS interim\Diagrams\Diagram 1 - Common B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wa.uwa.edu.au\userhome\staff1\00089231\Desktop\NTAMS interim\Diagrams\Diagram 1 - Common BM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865" cy="3171825"/>
                    </a:xfrm>
                    <a:prstGeom prst="rect">
                      <a:avLst/>
                    </a:prstGeom>
                    <a:noFill/>
                    <a:ln>
                      <a:noFill/>
                    </a:ln>
                  </pic:spPr>
                </pic:pic>
              </a:graphicData>
            </a:graphic>
          </wp:inline>
        </w:drawing>
      </w:r>
    </w:p>
    <w:p w14:paraId="30C562C1" w14:textId="77777777" w:rsidR="006179DF" w:rsidRPr="006179DF" w:rsidRDefault="006179DF" w:rsidP="006179DF">
      <w:pPr>
        <w:spacing w:after="240"/>
        <w:jc w:val="both"/>
        <w:rPr>
          <w:rFonts w:cs="Arial"/>
        </w:rPr>
      </w:pPr>
    </w:p>
    <w:p w14:paraId="7A050559" w14:textId="6654DAE3" w:rsidR="006179DF" w:rsidRDefault="00EB10D2" w:rsidP="00BB295F">
      <w:pPr>
        <w:spacing w:after="240"/>
        <w:jc w:val="both"/>
        <w:rPr>
          <w:rFonts w:cs="Arial"/>
          <w:lang w:val="en-US"/>
        </w:rPr>
      </w:pPr>
      <w:r>
        <w:rPr>
          <w:rFonts w:cs="Arial"/>
          <w:lang w:val="en-US"/>
        </w:rPr>
        <w:t>The</w:t>
      </w:r>
      <w:r w:rsidR="00374CB2">
        <w:rPr>
          <w:rFonts w:cs="Arial"/>
          <w:lang w:val="en-US"/>
        </w:rPr>
        <w:t xml:space="preserve"> UWA Project looked </w:t>
      </w:r>
      <w:r w:rsidR="00374CB2">
        <w:rPr>
          <w:color w:val="000000" w:themeColor="text1"/>
        </w:rPr>
        <w:t>in detail at a number of recently established BMSs</w:t>
      </w:r>
      <w:r w:rsidR="00114CE8">
        <w:rPr>
          <w:color w:val="000000" w:themeColor="text1"/>
        </w:rPr>
        <w:t xml:space="preserve"> in the Pilbara region of Western Australia</w:t>
      </w:r>
      <w:r w:rsidR="00374CB2">
        <w:rPr>
          <w:color w:val="000000" w:themeColor="text1"/>
        </w:rPr>
        <w:t>,</w:t>
      </w:r>
      <w:r w:rsidR="00374CB2">
        <w:rPr>
          <w:rStyle w:val="FootnoteReference"/>
          <w:color w:val="000000" w:themeColor="text1"/>
        </w:rPr>
        <w:footnoteReference w:id="11"/>
      </w:r>
      <w:r>
        <w:rPr>
          <w:rFonts w:cs="Arial"/>
          <w:lang w:val="en-US"/>
        </w:rPr>
        <w:t xml:space="preserve"> </w:t>
      </w:r>
      <w:r w:rsidR="00374CB2">
        <w:rPr>
          <w:rFonts w:cs="Arial"/>
          <w:lang w:val="en-US"/>
        </w:rPr>
        <w:t xml:space="preserve">which generally </w:t>
      </w:r>
      <w:r>
        <w:rPr>
          <w:rFonts w:cs="Arial"/>
          <w:lang w:val="en-US"/>
        </w:rPr>
        <w:t>reflect this structure</w:t>
      </w:r>
      <w:r w:rsidRPr="0039425E">
        <w:rPr>
          <w:rFonts w:cs="Arial"/>
        </w:rPr>
        <w:t xml:space="preserve">. </w:t>
      </w:r>
      <w:r w:rsidR="00374CB2">
        <w:rPr>
          <w:rFonts w:cs="Arial"/>
        </w:rPr>
        <w:t xml:space="preserve">Each of the Pilbara BMSs typically </w:t>
      </w:r>
      <w:r w:rsidRPr="00B0659B">
        <w:rPr>
          <w:rFonts w:cs="Arial"/>
        </w:rPr>
        <w:t>comprise</w:t>
      </w:r>
      <w:r w:rsidR="00374CB2">
        <w:rPr>
          <w:rFonts w:cs="Arial"/>
        </w:rPr>
        <w:t>d</w:t>
      </w:r>
      <w:r w:rsidRPr="00B0659B">
        <w:rPr>
          <w:rFonts w:cs="Arial"/>
        </w:rPr>
        <w:t xml:space="preserve"> a charitable trust, a discretionary direct benefits trust, a professional trustee company and an Indigenous corporation. A portion of the funds received </w:t>
      </w:r>
      <w:r w:rsidR="00114CE8">
        <w:rPr>
          <w:rFonts w:cs="Arial"/>
        </w:rPr>
        <w:t>also had to</w:t>
      </w:r>
      <w:r w:rsidRPr="00B0659B">
        <w:rPr>
          <w:rFonts w:cs="Arial"/>
        </w:rPr>
        <w:t xml:space="preserve"> be retained in a ‘future fund’</w:t>
      </w:r>
      <w:r w:rsidRPr="0039425E">
        <w:rPr>
          <w:rFonts w:cs="Arial"/>
        </w:rPr>
        <w:t>.</w:t>
      </w:r>
      <w:r>
        <w:rPr>
          <w:rFonts w:cs="Arial"/>
        </w:rPr>
        <w:t xml:space="preserve"> The </w:t>
      </w:r>
      <w:r w:rsidR="00374CB2">
        <w:rPr>
          <w:rFonts w:cs="Arial"/>
        </w:rPr>
        <w:t>Pilbara</w:t>
      </w:r>
      <w:r>
        <w:rPr>
          <w:rFonts w:cs="Arial"/>
        </w:rPr>
        <w:t xml:space="preserve"> BMS</w:t>
      </w:r>
      <w:r w:rsidR="00374CB2">
        <w:rPr>
          <w:rFonts w:cs="Arial"/>
        </w:rPr>
        <w:t>s</w:t>
      </w:r>
      <w:r>
        <w:rPr>
          <w:rFonts w:cs="Arial"/>
        </w:rPr>
        <w:t xml:space="preserve"> also </w:t>
      </w:r>
      <w:r w:rsidR="00374CB2">
        <w:rPr>
          <w:rFonts w:cs="Arial"/>
        </w:rPr>
        <w:t xml:space="preserve">generally </w:t>
      </w:r>
      <w:r>
        <w:rPr>
          <w:rFonts w:cs="Arial"/>
        </w:rPr>
        <w:t>contemplate</w:t>
      </w:r>
      <w:r w:rsidR="00374CB2">
        <w:rPr>
          <w:rFonts w:cs="Arial"/>
        </w:rPr>
        <w:t>d</w:t>
      </w:r>
      <w:r>
        <w:rPr>
          <w:rFonts w:cs="Arial"/>
        </w:rPr>
        <w:t xml:space="preserve"> a Traditional Owner </w:t>
      </w:r>
      <w:r w:rsidRPr="00B774D4">
        <w:rPr>
          <w:rFonts w:cs="Arial"/>
        </w:rPr>
        <w:t>Council</w:t>
      </w:r>
      <w:r>
        <w:rPr>
          <w:rFonts w:cs="Arial"/>
        </w:rPr>
        <w:t xml:space="preserve"> that</w:t>
      </w:r>
      <w:r w:rsidRPr="00B774D4">
        <w:rPr>
          <w:rFonts w:cs="Arial"/>
        </w:rPr>
        <w:t xml:space="preserve"> makes strategic decisions, such as approving BMS distribution policies and strategic plans. </w:t>
      </w:r>
      <w:r>
        <w:rPr>
          <w:rFonts w:cs="Arial"/>
        </w:rPr>
        <w:t>The Council</w:t>
      </w:r>
      <w:r w:rsidRPr="00B774D4">
        <w:rPr>
          <w:rFonts w:cs="Arial"/>
        </w:rPr>
        <w:t xml:space="preserve"> </w:t>
      </w:r>
      <w:r w:rsidR="00B46E86">
        <w:rPr>
          <w:rFonts w:cs="Arial"/>
        </w:rPr>
        <w:t>i</w:t>
      </w:r>
      <w:r w:rsidRPr="00B774D4">
        <w:rPr>
          <w:rFonts w:cs="Arial"/>
        </w:rPr>
        <w:t>s envisaged as the primary representative body for the local Aboriginal community</w:t>
      </w:r>
      <w:r>
        <w:rPr>
          <w:rFonts w:cs="Arial"/>
        </w:rPr>
        <w:t>. In addition, the</w:t>
      </w:r>
      <w:r w:rsidR="00114CE8">
        <w:rPr>
          <w:rFonts w:cs="Arial"/>
        </w:rPr>
        <w:t xml:space="preserve"> BMSs</w:t>
      </w:r>
      <w:r>
        <w:rPr>
          <w:rFonts w:cs="Arial"/>
        </w:rPr>
        <w:t xml:space="preserve"> </w:t>
      </w:r>
      <w:r w:rsidR="00114CE8">
        <w:rPr>
          <w:rFonts w:cs="Arial"/>
        </w:rPr>
        <w:t>featured</w:t>
      </w:r>
      <w:r>
        <w:rPr>
          <w:rFonts w:cs="Arial"/>
        </w:rPr>
        <w:t xml:space="preserve"> a </w:t>
      </w:r>
      <w:r w:rsidR="007622F0">
        <w:rPr>
          <w:rFonts w:cs="Arial"/>
        </w:rPr>
        <w:t>Decision-</w:t>
      </w:r>
      <w:r w:rsidRPr="00B774D4">
        <w:rPr>
          <w:rFonts w:cs="Arial"/>
        </w:rPr>
        <w:t xml:space="preserve">Making Committee </w:t>
      </w:r>
      <w:r>
        <w:rPr>
          <w:rFonts w:cs="Arial"/>
        </w:rPr>
        <w:t xml:space="preserve">that </w:t>
      </w:r>
      <w:r w:rsidRPr="00B774D4">
        <w:rPr>
          <w:rFonts w:cs="Arial"/>
        </w:rPr>
        <w:t>consults with the trustee in relation to trust administration and can also issue binding directions on matters such as distributions of assets and the preparation of annual and strategic plans.</w:t>
      </w:r>
    </w:p>
    <w:p w14:paraId="660E9226" w14:textId="27335733" w:rsidR="00DC1E64" w:rsidRPr="00374CB2" w:rsidRDefault="00DC1E64" w:rsidP="00374CB2">
      <w:pPr>
        <w:pStyle w:val="Heading1"/>
        <w:numPr>
          <w:ilvl w:val="1"/>
          <w:numId w:val="28"/>
        </w:numPr>
        <w:ind w:left="431" w:hanging="431"/>
        <w:rPr>
          <w:rFonts w:ascii="Times New Roman" w:hAnsi="Times New Roman" w:cs="Times New Roman"/>
          <w:color w:val="auto"/>
          <w:sz w:val="24"/>
          <w:szCs w:val="24"/>
        </w:rPr>
      </w:pPr>
      <w:bookmarkStart w:id="10" w:name="_Ref42768690"/>
      <w:r w:rsidRPr="00374CB2">
        <w:rPr>
          <w:rFonts w:ascii="Times New Roman" w:hAnsi="Times New Roman" w:cs="Times New Roman"/>
          <w:b w:val="0"/>
          <w:i/>
          <w:color w:val="auto"/>
          <w:sz w:val="24"/>
          <w:szCs w:val="24"/>
        </w:rPr>
        <w:t>Decision-making</w:t>
      </w:r>
      <w:r w:rsidRPr="00374CB2">
        <w:rPr>
          <w:rFonts w:ascii="Times New Roman" w:hAnsi="Times New Roman" w:cs="Times New Roman"/>
          <w:b w:val="0"/>
          <w:color w:val="auto"/>
          <w:sz w:val="24"/>
          <w:szCs w:val="24"/>
        </w:rPr>
        <w:t xml:space="preserve"> </w:t>
      </w:r>
      <w:r w:rsidRPr="00374CB2">
        <w:rPr>
          <w:rFonts w:ascii="Times New Roman" w:hAnsi="Times New Roman" w:cs="Times New Roman"/>
          <w:b w:val="0"/>
          <w:i/>
          <w:color w:val="auto"/>
          <w:sz w:val="24"/>
          <w:szCs w:val="24"/>
        </w:rPr>
        <w:t>and asset</w:t>
      </w:r>
      <w:r w:rsidRPr="00374CB2">
        <w:rPr>
          <w:rFonts w:ascii="Times New Roman" w:hAnsi="Times New Roman" w:cs="Times New Roman"/>
          <w:i/>
          <w:color w:val="auto"/>
          <w:sz w:val="24"/>
          <w:szCs w:val="24"/>
        </w:rPr>
        <w:t xml:space="preserve"> </w:t>
      </w:r>
      <w:r w:rsidRPr="00374CB2">
        <w:rPr>
          <w:rFonts w:ascii="Times New Roman" w:hAnsi="Times New Roman" w:cs="Times New Roman"/>
          <w:b w:val="0"/>
          <w:i/>
          <w:color w:val="auto"/>
          <w:sz w:val="24"/>
          <w:szCs w:val="24"/>
        </w:rPr>
        <w:t>protection</w:t>
      </w:r>
      <w:bookmarkEnd w:id="10"/>
      <w:r w:rsidRPr="00374CB2">
        <w:rPr>
          <w:rFonts w:ascii="Times New Roman" w:hAnsi="Times New Roman" w:cs="Times New Roman"/>
          <w:color w:val="auto"/>
          <w:sz w:val="24"/>
          <w:szCs w:val="24"/>
        </w:rPr>
        <w:t xml:space="preserve"> </w:t>
      </w:r>
    </w:p>
    <w:p w14:paraId="65C716C4" w14:textId="5D194F6C" w:rsidR="006179DF" w:rsidRPr="006179DF" w:rsidRDefault="006179DF" w:rsidP="006179DF">
      <w:pPr>
        <w:spacing w:after="240"/>
        <w:jc w:val="both"/>
        <w:rPr>
          <w:rFonts w:cs="Arial"/>
        </w:rPr>
      </w:pPr>
      <w:r w:rsidRPr="006179DF">
        <w:rPr>
          <w:rFonts w:cs="Arial"/>
        </w:rPr>
        <w:t xml:space="preserve">Fundamentally, the entities that constitute a BMS are private associations, albeit </w:t>
      </w:r>
      <w:r w:rsidR="00583FE6">
        <w:rPr>
          <w:rFonts w:cs="Arial"/>
        </w:rPr>
        <w:t xml:space="preserve">that </w:t>
      </w:r>
      <w:r w:rsidRPr="006179DF">
        <w:rPr>
          <w:rFonts w:cs="Arial"/>
        </w:rPr>
        <w:t>some, such as PBCs, also have statutory functions</w:t>
      </w:r>
      <w:r w:rsidR="00DC1E64">
        <w:rPr>
          <w:rFonts w:cs="Arial"/>
        </w:rPr>
        <w:t>,</w:t>
      </w:r>
      <w:bookmarkStart w:id="11" w:name="_Ref22724433"/>
      <w:r w:rsidR="00DC1E64">
        <w:rPr>
          <w:rStyle w:val="FootnoteReference"/>
          <w:rFonts w:cs="Arial"/>
        </w:rPr>
        <w:footnoteReference w:id="12"/>
      </w:r>
      <w:bookmarkEnd w:id="11"/>
      <w:r w:rsidRPr="006179DF">
        <w:rPr>
          <w:rFonts w:cs="Arial"/>
        </w:rPr>
        <w:t xml:space="preserve"> or that others, such as charities, may be subject to a degree of public oversight and be expected to produce a public benefit. There is therefore significant flexibility in structuring BMS entities. </w:t>
      </w:r>
    </w:p>
    <w:p w14:paraId="0C743D42" w14:textId="05DB9B03" w:rsidR="00DC1E64" w:rsidRPr="00DC1E64" w:rsidRDefault="006179DF" w:rsidP="00DC1E64">
      <w:pPr>
        <w:spacing w:after="240"/>
        <w:jc w:val="both"/>
        <w:rPr>
          <w:rFonts w:cs="Arial"/>
        </w:rPr>
      </w:pPr>
      <w:r w:rsidRPr="006179DF">
        <w:rPr>
          <w:rFonts w:cs="Arial"/>
        </w:rPr>
        <w:lastRenderedPageBreak/>
        <w:t xml:space="preserve">For example, </w:t>
      </w:r>
      <w:r>
        <w:rPr>
          <w:rFonts w:cs="Arial"/>
        </w:rPr>
        <w:t>decision-</w:t>
      </w:r>
      <w:r w:rsidRPr="006179DF">
        <w:rPr>
          <w:rFonts w:cs="Arial"/>
        </w:rPr>
        <w:t xml:space="preserve">making can be restricted to members of the Indigenous community, or broadened to include other stakeholders or independent persons (eg </w:t>
      </w:r>
      <w:r w:rsidR="00F52B22">
        <w:rPr>
          <w:rFonts w:cs="Arial"/>
        </w:rPr>
        <w:t xml:space="preserve">requiring </w:t>
      </w:r>
      <w:r w:rsidRPr="006179DF">
        <w:rPr>
          <w:rFonts w:cs="Arial"/>
        </w:rPr>
        <w:t xml:space="preserve">a certain number of resource proponent or independent board members). Even under a trust, powers can be given to members of an Indigenous community or to smaller groups to make certain decisions, or to render trustee actions subject to consents. The </w:t>
      </w:r>
      <w:r w:rsidR="007622F0">
        <w:rPr>
          <w:rFonts w:cs="Arial"/>
        </w:rPr>
        <w:t>role of non-Indigenous decision-</w:t>
      </w:r>
      <w:r w:rsidRPr="006179DF">
        <w:rPr>
          <w:rFonts w:cs="Arial"/>
        </w:rPr>
        <w:t xml:space="preserve">makers can also be tailored to determine the weight of their ‘vote’. For instance, an independent board or committee member could be given the power to veto decisions, or veto decisions on certain grounds. </w:t>
      </w:r>
      <w:bookmarkStart w:id="12" w:name="advisorytrusteestart"/>
      <w:bookmarkEnd w:id="12"/>
      <w:r w:rsidRPr="006179DF">
        <w:rPr>
          <w:rFonts w:cs="Arial"/>
        </w:rPr>
        <w:t>Alternatively, the role of an independent person or entity may be advisory only. That is typically the case for advisory trustees,</w:t>
      </w:r>
      <w:bookmarkStart w:id="13" w:name="_Ref22728572"/>
      <w:r w:rsidRPr="006179DF">
        <w:rPr>
          <w:rFonts w:cs="Arial"/>
          <w:vertAlign w:val="superscript"/>
        </w:rPr>
        <w:footnoteReference w:id="13"/>
      </w:r>
      <w:bookmarkEnd w:id="13"/>
      <w:r w:rsidRPr="006179DF">
        <w:rPr>
          <w:rFonts w:cs="Arial"/>
        </w:rPr>
        <w:t xml:space="preserve"> with whom the trustee may be required or permitted to consult on certain matters, although not compelled to follow the advisory trustee’s advice.</w:t>
      </w:r>
      <w:r w:rsidR="00FF76D0">
        <w:rPr>
          <w:rFonts w:cs="Arial"/>
        </w:rPr>
        <w:t xml:space="preserve"> </w:t>
      </w:r>
      <w:r w:rsidR="00DC1E64" w:rsidRPr="00DC1E64">
        <w:rPr>
          <w:rFonts w:cs="Arial"/>
        </w:rPr>
        <w:t xml:space="preserve">Further, different approaches can be adopted for different classes of decisions. Decisions could be classed according to significance, </w:t>
      </w:r>
      <w:proofErr w:type="spellStart"/>
      <w:r w:rsidR="00DC1E64" w:rsidRPr="00DC1E64">
        <w:rPr>
          <w:rFonts w:cs="Arial"/>
        </w:rPr>
        <w:t>eg</w:t>
      </w:r>
      <w:proofErr w:type="spellEnd"/>
      <w:r w:rsidR="00DC1E64" w:rsidRPr="00DC1E64">
        <w:rPr>
          <w:rFonts w:cs="Arial"/>
        </w:rPr>
        <w:t xml:space="preserve"> </w:t>
      </w:r>
      <w:proofErr w:type="spellStart"/>
      <w:r w:rsidR="00DC1E64" w:rsidRPr="00DC1E64">
        <w:rPr>
          <w:rFonts w:cs="Arial"/>
        </w:rPr>
        <w:t>O’Faircheallaigh’s</w:t>
      </w:r>
      <w:proofErr w:type="spellEnd"/>
      <w:r w:rsidR="00DC1E64" w:rsidRPr="00DC1E64">
        <w:rPr>
          <w:rFonts w:cs="Arial"/>
        </w:rPr>
        <w:t xml:space="preserve"> ‘fundamental’, ‘strategic’ and ‘day to day administrative’</w:t>
      </w:r>
      <w:r w:rsidR="00DC1E64">
        <w:rPr>
          <w:rFonts w:cs="Arial"/>
        </w:rPr>
        <w:t xml:space="preserve"> decisions.</w:t>
      </w:r>
      <w:r w:rsidR="00DC1E64" w:rsidRPr="00DC1E64">
        <w:rPr>
          <w:rFonts w:cs="Arial"/>
          <w:vertAlign w:val="superscript"/>
        </w:rPr>
        <w:footnoteReference w:id="14"/>
      </w:r>
      <w:r w:rsidR="00DC1E64" w:rsidRPr="00DC1E64">
        <w:rPr>
          <w:rFonts w:cs="Arial"/>
        </w:rPr>
        <w:t xml:space="preserve"> </w:t>
      </w:r>
    </w:p>
    <w:p w14:paraId="5B45BCDE" w14:textId="7390EEAF" w:rsidR="00DC1E64" w:rsidRPr="00DC1E64" w:rsidRDefault="00DC1E64" w:rsidP="00DC1E64">
      <w:pPr>
        <w:spacing w:after="240"/>
        <w:jc w:val="both"/>
        <w:rPr>
          <w:rFonts w:cs="Arial"/>
        </w:rPr>
      </w:pPr>
      <w:r w:rsidRPr="00DC1E64">
        <w:rPr>
          <w:rFonts w:cs="Arial"/>
        </w:rPr>
        <w:t>I</w:t>
      </w:r>
      <w:bookmarkStart w:id="14" w:name="assetprot1to"/>
      <w:bookmarkEnd w:id="14"/>
      <w:r w:rsidRPr="00DC1E64">
        <w:rPr>
          <w:rFonts w:cs="Arial"/>
        </w:rPr>
        <w:t xml:space="preserve">n addition, it is possible to carve out asset holding and protection obligations to some extent from the obligations that would </w:t>
      </w:r>
      <w:r w:rsidR="007622F0">
        <w:rPr>
          <w:rFonts w:cs="Arial"/>
        </w:rPr>
        <w:t>otherwise apply to BMS decision-</w:t>
      </w:r>
      <w:r w:rsidRPr="00DC1E64">
        <w:rPr>
          <w:rFonts w:cs="Arial"/>
        </w:rPr>
        <w:t xml:space="preserve">makers. For instance, </w:t>
      </w:r>
      <w:r>
        <w:rPr>
          <w:rFonts w:cs="Arial"/>
        </w:rPr>
        <w:t>a</w:t>
      </w:r>
      <w:r w:rsidRPr="00DC1E64">
        <w:rPr>
          <w:rFonts w:cs="Arial"/>
        </w:rPr>
        <w:t xml:space="preserve"> capital (and potentially income) protected endowment fund, or ‘futu</w:t>
      </w:r>
      <w:bookmarkStart w:id="15" w:name="futurefund1"/>
      <w:bookmarkEnd w:id="15"/>
      <w:r w:rsidRPr="00DC1E64">
        <w:rPr>
          <w:rFonts w:cs="Arial"/>
        </w:rPr>
        <w:t>re fund’, is an asset protection device.</w:t>
      </w:r>
      <w:r w:rsidRPr="00DC1E64">
        <w:rPr>
          <w:rFonts w:cs="Arial"/>
          <w:vertAlign w:val="superscript"/>
        </w:rPr>
        <w:footnoteReference w:id="15"/>
      </w:r>
      <w:r w:rsidRPr="00DC1E64">
        <w:rPr>
          <w:rFonts w:cs="Arial"/>
        </w:rPr>
        <w:t xml:space="preserve"> It essentially provides an asset lock for a portion of BMS funds by restricting the use of those funds and a proportion of income earned on those funds, with the intent that a certain capital base be built up and then preserved so as to provide income in perpetuity. </w:t>
      </w:r>
      <w:bookmarkStart w:id="16" w:name="assetprot1from"/>
      <w:bookmarkEnd w:id="16"/>
    </w:p>
    <w:p w14:paraId="49A55DC9" w14:textId="0FE2A9D4" w:rsidR="00CB524F" w:rsidRPr="00374CB2" w:rsidRDefault="00DC1E64" w:rsidP="00374CB2">
      <w:pPr>
        <w:pStyle w:val="Heading1"/>
        <w:numPr>
          <w:ilvl w:val="1"/>
          <w:numId w:val="28"/>
        </w:numPr>
        <w:ind w:left="431" w:hanging="431"/>
        <w:rPr>
          <w:rFonts w:ascii="Times New Roman" w:hAnsi="Times New Roman" w:cs="Times New Roman"/>
          <w:color w:val="auto"/>
          <w:sz w:val="24"/>
          <w:szCs w:val="24"/>
        </w:rPr>
      </w:pPr>
      <w:bookmarkStart w:id="17" w:name="_Ref22654258"/>
      <w:r w:rsidRPr="00374CB2">
        <w:rPr>
          <w:rFonts w:ascii="Times New Roman" w:hAnsi="Times New Roman" w:cs="Times New Roman"/>
          <w:b w:val="0"/>
          <w:i/>
          <w:color w:val="auto"/>
          <w:sz w:val="24"/>
          <w:szCs w:val="24"/>
        </w:rPr>
        <w:t>BMS purposes</w:t>
      </w:r>
      <w:bookmarkEnd w:id="17"/>
      <w:r w:rsidR="00565516" w:rsidRPr="00374CB2">
        <w:rPr>
          <w:rFonts w:ascii="Times New Roman" w:hAnsi="Times New Roman" w:cs="Times New Roman"/>
          <w:b w:val="0"/>
          <w:i/>
          <w:color w:val="auto"/>
          <w:sz w:val="24"/>
          <w:szCs w:val="24"/>
        </w:rPr>
        <w:t xml:space="preserve"> </w:t>
      </w:r>
    </w:p>
    <w:p w14:paraId="6C7D007E" w14:textId="58E4C0CC" w:rsidR="00992FD6" w:rsidRDefault="00B1532E" w:rsidP="00B1532E">
      <w:pPr>
        <w:spacing w:after="240"/>
        <w:jc w:val="both"/>
      </w:pPr>
      <w:r w:rsidRPr="00B1532E">
        <w:t>The above discussion highlights certain functions that a typical BMS would incorporate</w:t>
      </w:r>
      <w:r w:rsidR="007622F0">
        <w:t>: Indigenous community decision-</w:t>
      </w:r>
      <w:r w:rsidRPr="00B1532E">
        <w:t xml:space="preserve">making, some asset protection and accountability to the Indigenous community through information flows. </w:t>
      </w:r>
      <w:r w:rsidR="00FC5729">
        <w:t>T</w:t>
      </w:r>
      <w:r w:rsidRPr="00B1532E">
        <w:t xml:space="preserve">hese functions go to the way in which a BMS operates, rather than to any fundamental purposes that BMSs are intended to achieve. </w:t>
      </w:r>
      <w:r w:rsidR="00FF76D0">
        <w:t>However</w:t>
      </w:r>
      <w:r w:rsidRPr="00B1532E">
        <w:t>, BMSs typically comprise common entities that have particular purposes, such as PBCs (statutory purpose of holding and/or managing native title rights and interests for the benefit of native title holders)</w:t>
      </w:r>
      <w:r w:rsidRPr="00B1532E">
        <w:rPr>
          <w:vertAlign w:val="superscript"/>
        </w:rPr>
        <w:footnoteReference w:id="16"/>
      </w:r>
      <w:r w:rsidRPr="00B1532E">
        <w:t xml:space="preserve"> and charitable trusts (charitable purposes include the relief of poverty and sickness, advancement of education and advancement of religion).</w:t>
      </w:r>
      <w:bookmarkStart w:id="18" w:name="_Ref43892349"/>
      <w:r w:rsidRPr="00B1532E">
        <w:rPr>
          <w:vertAlign w:val="superscript"/>
        </w:rPr>
        <w:footnoteReference w:id="17"/>
      </w:r>
      <w:bookmarkEnd w:id="18"/>
      <w:r w:rsidRPr="00B1532E">
        <w:t xml:space="preserve"> </w:t>
      </w:r>
    </w:p>
    <w:p w14:paraId="5E029F85" w14:textId="2D587EDF" w:rsidR="00E5519F" w:rsidRDefault="00992FD6" w:rsidP="00B1532E">
      <w:pPr>
        <w:spacing w:after="240"/>
        <w:jc w:val="both"/>
      </w:pPr>
      <w:r>
        <w:t xml:space="preserve">These roles of managing assets and applying surpluses for the benefit of the Indigenous community ‘owners’ and the pursuit of community purposes were reflected in interview and focus group data from the UWA Project. </w:t>
      </w:r>
      <w:r w:rsidR="00E5519F">
        <w:t xml:space="preserve">All groups of stakeholders (Indigenous </w:t>
      </w:r>
      <w:r w:rsidR="00E5519F" w:rsidRPr="00B1532E">
        <w:lastRenderedPageBreak/>
        <w:t>community and corporation representatives</w:t>
      </w:r>
      <w:r w:rsidR="00E5519F">
        <w:t>, resource proponents and trustees) emphasised that BMS purposes include:</w:t>
      </w:r>
      <w:r w:rsidR="00E5519F">
        <w:rPr>
          <w:rStyle w:val="FootnoteReference"/>
        </w:rPr>
        <w:footnoteReference w:id="18"/>
      </w:r>
      <w:r w:rsidR="00E5519F">
        <w:t xml:space="preserve"> </w:t>
      </w:r>
    </w:p>
    <w:p w14:paraId="39679EDA" w14:textId="3F2AD105" w:rsidR="00B1532E" w:rsidRDefault="00E5519F" w:rsidP="00E5519F">
      <w:pPr>
        <w:pStyle w:val="ListParagraph"/>
        <w:numPr>
          <w:ilvl w:val="0"/>
          <w:numId w:val="36"/>
        </w:numPr>
        <w:spacing w:after="240"/>
        <w:jc w:val="both"/>
      </w:pPr>
      <w:r w:rsidRPr="00B1532E">
        <w:t>build</w:t>
      </w:r>
      <w:r>
        <w:t>ing</w:t>
      </w:r>
      <w:r w:rsidRPr="00B1532E">
        <w:t xml:space="preserve"> capability of community members in support of autonomy for individual members and self-determination for the community</w:t>
      </w:r>
      <w:r>
        <w:t>; and</w:t>
      </w:r>
    </w:p>
    <w:p w14:paraId="68A182AF" w14:textId="6C1ED2DA" w:rsidR="00E5519F" w:rsidRDefault="00E5519F" w:rsidP="00E5519F">
      <w:pPr>
        <w:pStyle w:val="ListParagraph"/>
        <w:numPr>
          <w:ilvl w:val="0"/>
          <w:numId w:val="36"/>
        </w:numPr>
        <w:spacing w:after="240"/>
        <w:jc w:val="both"/>
      </w:pPr>
      <w:r w:rsidRPr="00B1532E">
        <w:t>social, economic and cultural development for an Indigenous community</w:t>
      </w:r>
      <w:r>
        <w:t xml:space="preserve"> and its </w:t>
      </w:r>
      <w:r w:rsidR="005C6CA6">
        <w:t xml:space="preserve">individual </w:t>
      </w:r>
      <w:r>
        <w:t>members.</w:t>
      </w:r>
    </w:p>
    <w:p w14:paraId="0B043BF2" w14:textId="32690957" w:rsidR="00E5519F" w:rsidRPr="00B1532E" w:rsidRDefault="00E5519F" w:rsidP="00E5519F">
      <w:pPr>
        <w:spacing w:after="240"/>
        <w:jc w:val="both"/>
      </w:pPr>
      <w:r>
        <w:t>However, resource proponents and trustees tended to emphasise the latter, while Indigenous community and corporation representatives stressed the former.</w:t>
      </w:r>
    </w:p>
    <w:p w14:paraId="69755517" w14:textId="1DB05A26" w:rsidR="00B1532E" w:rsidRPr="00B1532E" w:rsidRDefault="005C6CA6" w:rsidP="00B1532E">
      <w:pPr>
        <w:spacing w:after="240"/>
        <w:jc w:val="both"/>
      </w:pPr>
      <w:r>
        <w:t xml:space="preserve">Pertinently, </w:t>
      </w:r>
      <w:r w:rsidR="00B1532E" w:rsidRPr="00B1532E">
        <w:t>Aboriginal corporation executives</w:t>
      </w:r>
      <w:r w:rsidR="001853D6">
        <w:t xml:space="preserve"> </w:t>
      </w:r>
      <w:r w:rsidR="00D33E91">
        <w:t>and trustees</w:t>
      </w:r>
      <w:r w:rsidR="00B1532E" w:rsidRPr="00B1532E">
        <w:t xml:space="preserve"> </w:t>
      </w:r>
      <w:r>
        <w:t xml:space="preserve">also strongly </w:t>
      </w:r>
      <w:r w:rsidR="00B1532E" w:rsidRPr="00B1532E">
        <w:t>identified</w:t>
      </w:r>
      <w:r w:rsidR="00FF76D0">
        <w:t xml:space="preserve"> </w:t>
      </w:r>
      <w:r w:rsidR="00B1532E" w:rsidRPr="00B1532E">
        <w:t xml:space="preserve">the </w:t>
      </w:r>
      <w:r>
        <w:t>goal of BMSs as</w:t>
      </w:r>
      <w:r w:rsidR="00B1532E" w:rsidRPr="00B1532E">
        <w:t xml:space="preserve"> providing transparent</w:t>
      </w:r>
      <w:r w:rsidR="00D33E91">
        <w:t>,</w:t>
      </w:r>
      <w:r w:rsidR="00B1532E" w:rsidRPr="00B1532E">
        <w:t xml:space="preserve"> robust </w:t>
      </w:r>
      <w:r w:rsidR="001853D6">
        <w:t xml:space="preserve">and well-governed </w:t>
      </w:r>
      <w:r w:rsidR="00B1532E" w:rsidRPr="00B1532E">
        <w:t xml:space="preserve">systems for Indigenous communities to manage </w:t>
      </w:r>
      <w:r>
        <w:t>and distribute benefits.</w:t>
      </w:r>
      <w:r w:rsidR="00B1532E" w:rsidRPr="00B1532E">
        <w:rPr>
          <w:vertAlign w:val="superscript"/>
        </w:rPr>
        <w:footnoteReference w:id="19"/>
      </w:r>
      <w:r w:rsidR="00A25A3D">
        <w:t xml:space="preserve"> </w:t>
      </w:r>
      <w:r w:rsidR="00A25A3D" w:rsidRPr="00B1532E">
        <w:t>Resource proponent</w:t>
      </w:r>
      <w:r w:rsidR="00A25A3D">
        <w:t>s</w:t>
      </w:r>
      <w:r w:rsidR="00A25A3D" w:rsidRPr="00B1532E">
        <w:t xml:space="preserve"> and their professional advisers</w:t>
      </w:r>
      <w:r w:rsidR="00A25A3D">
        <w:t xml:space="preserve"> also flagged </w:t>
      </w:r>
      <w:r w:rsidR="00B1532E" w:rsidRPr="00B1532E">
        <w:t>the role of BMSs in maintaining a long-term relationship between a resource proponent and an Indigenous community a</w:t>
      </w:r>
      <w:r w:rsidR="00A25A3D">
        <w:t>nd the role of BMSs in receiving,</w:t>
      </w:r>
      <w:r w:rsidR="00B1532E" w:rsidRPr="00B1532E">
        <w:t xml:space="preserve"> managing </w:t>
      </w:r>
      <w:r w:rsidR="00A25A3D">
        <w:t xml:space="preserve">and distributing </w:t>
      </w:r>
      <w:r w:rsidR="00B1532E" w:rsidRPr="00B1532E">
        <w:t>compensation and other payments in suppo</w:t>
      </w:r>
      <w:bookmarkStart w:id="19" w:name="_Ref527727461"/>
      <w:r w:rsidR="00A25A3D">
        <w:t>rt of that relationship.</w:t>
      </w:r>
      <w:r w:rsidR="00B1532E" w:rsidRPr="00B1532E">
        <w:rPr>
          <w:vertAlign w:val="superscript"/>
        </w:rPr>
        <w:footnoteReference w:id="20"/>
      </w:r>
      <w:bookmarkEnd w:id="19"/>
      <w:r w:rsidR="00A25A3D">
        <w:t xml:space="preserve"> In addition, r</w:t>
      </w:r>
      <w:r w:rsidR="00B1532E" w:rsidRPr="00B1532E">
        <w:t>esource proponent</w:t>
      </w:r>
      <w:r w:rsidR="00A25A3D">
        <w:t>s</w:t>
      </w:r>
      <w:r w:rsidR="00B1532E" w:rsidRPr="00B1532E">
        <w:t xml:space="preserve"> </w:t>
      </w:r>
      <w:r w:rsidR="00A25A3D">
        <w:t>noted</w:t>
      </w:r>
      <w:r w:rsidR="00B1532E" w:rsidRPr="00B1532E">
        <w:t xml:space="preserve"> the critical importance of achieving good governance within a BMS so as to safeguard corporate reputation and aid compliance with international best practice and with anti-corruption legislative regimes around the world.</w:t>
      </w:r>
      <w:bookmarkStart w:id="20" w:name="_Ref527727463"/>
      <w:r w:rsidR="00B1532E" w:rsidRPr="00B1532E">
        <w:rPr>
          <w:vertAlign w:val="superscript"/>
        </w:rPr>
        <w:footnoteReference w:id="21"/>
      </w:r>
      <w:bookmarkEnd w:id="20"/>
    </w:p>
    <w:p w14:paraId="0EB07AF9" w14:textId="2F70FFB0" w:rsidR="0054459B" w:rsidRPr="00374CB2" w:rsidRDefault="00374CB2" w:rsidP="00374CB2">
      <w:pPr>
        <w:pStyle w:val="Heading1"/>
        <w:numPr>
          <w:ilvl w:val="1"/>
          <w:numId w:val="28"/>
        </w:numPr>
        <w:ind w:left="431" w:hanging="431"/>
        <w:rPr>
          <w:rFonts w:ascii="Times New Roman" w:hAnsi="Times New Roman" w:cs="Times New Roman"/>
          <w:color w:val="auto"/>
          <w:sz w:val="24"/>
          <w:szCs w:val="24"/>
        </w:rPr>
      </w:pPr>
      <w:r w:rsidRPr="00374CB2">
        <w:rPr>
          <w:rFonts w:ascii="Times New Roman" w:hAnsi="Times New Roman" w:cs="Times New Roman"/>
          <w:b w:val="0"/>
          <w:i/>
          <w:color w:val="auto"/>
          <w:sz w:val="24"/>
          <w:szCs w:val="24"/>
        </w:rPr>
        <w:t>B</w:t>
      </w:r>
      <w:r>
        <w:rPr>
          <w:rFonts w:ascii="Times New Roman" w:hAnsi="Times New Roman" w:cs="Times New Roman"/>
          <w:b w:val="0"/>
          <w:i/>
          <w:color w:val="auto"/>
          <w:sz w:val="24"/>
          <w:szCs w:val="24"/>
        </w:rPr>
        <w:t>MS</w:t>
      </w:r>
      <w:r w:rsidRPr="00374CB2">
        <w:rPr>
          <w:rFonts w:ascii="Times New Roman" w:hAnsi="Times New Roman" w:cs="Times New Roman"/>
          <w:b w:val="0"/>
          <w:i/>
          <w:color w:val="auto"/>
          <w:sz w:val="24"/>
          <w:szCs w:val="24"/>
        </w:rPr>
        <w:t xml:space="preserve"> challenges</w:t>
      </w:r>
    </w:p>
    <w:p w14:paraId="68146F2C" w14:textId="22D7DC5B" w:rsidR="001357C0" w:rsidRPr="001357C0" w:rsidRDefault="005E385E" w:rsidP="00D40A40">
      <w:pPr>
        <w:spacing w:after="240"/>
        <w:jc w:val="both"/>
        <w:rPr>
          <w:iCs/>
          <w:lang w:val="en-US"/>
        </w:rPr>
      </w:pPr>
      <w:r w:rsidRPr="005E385E">
        <w:t>The literature on BMSs and on Indigenous organisations that often form part of BMSs raises a range of issues or challenges that are likely to be faced by BMSs.</w:t>
      </w:r>
      <w:bookmarkStart w:id="21" w:name="_Ref22729333"/>
      <w:r w:rsidR="005919F9">
        <w:rPr>
          <w:rStyle w:val="FootnoteReference"/>
        </w:rPr>
        <w:footnoteReference w:id="22"/>
      </w:r>
      <w:bookmarkEnd w:id="21"/>
      <w:r w:rsidRPr="005E385E">
        <w:t xml:space="preserve"> </w:t>
      </w:r>
      <w:r w:rsidR="00D40A40">
        <w:rPr>
          <w:iCs/>
          <w:lang w:val="en-US"/>
        </w:rPr>
        <w:t>Challenges include the need to support autonomy; appropriately recognising</w:t>
      </w:r>
      <w:r w:rsidR="001357C0" w:rsidRPr="001357C0">
        <w:rPr>
          <w:iCs/>
          <w:lang w:val="en-US"/>
        </w:rPr>
        <w:t xml:space="preserve"> that every community, family and individual </w:t>
      </w:r>
      <w:r w:rsidR="00D40A40">
        <w:rPr>
          <w:iCs/>
          <w:lang w:val="en-US"/>
        </w:rPr>
        <w:t>has different needs and desires; i</w:t>
      </w:r>
      <w:r w:rsidR="001357C0" w:rsidRPr="001357C0">
        <w:rPr>
          <w:iCs/>
          <w:lang w:val="en-US"/>
        </w:rPr>
        <w:t>ncorporati</w:t>
      </w:r>
      <w:r w:rsidR="00D40A40">
        <w:rPr>
          <w:iCs/>
          <w:lang w:val="en-US"/>
        </w:rPr>
        <w:t>ng traditional law and custom; the need for capacity building; achieving robust governance; achieving c</w:t>
      </w:r>
      <w:r w:rsidR="001357C0" w:rsidRPr="001357C0">
        <w:rPr>
          <w:iCs/>
          <w:lang w:val="en-US"/>
        </w:rPr>
        <w:t xml:space="preserve">ommunication with community members and </w:t>
      </w:r>
      <w:r w:rsidR="00D40A40">
        <w:rPr>
          <w:iCs/>
          <w:lang w:val="en-US"/>
        </w:rPr>
        <w:t xml:space="preserve">their </w:t>
      </w:r>
      <w:r w:rsidR="001357C0" w:rsidRPr="001357C0">
        <w:rPr>
          <w:iCs/>
          <w:lang w:val="en-US"/>
        </w:rPr>
        <w:t>participation in decision-making</w:t>
      </w:r>
      <w:r w:rsidR="00D40A40">
        <w:rPr>
          <w:iCs/>
          <w:lang w:val="en-US"/>
        </w:rPr>
        <w:t>; o</w:t>
      </w:r>
      <w:r w:rsidR="001357C0" w:rsidRPr="001357C0">
        <w:rPr>
          <w:iCs/>
          <w:lang w:val="en-US"/>
        </w:rPr>
        <w:t>ve</w:t>
      </w:r>
      <w:r w:rsidR="00D40A40">
        <w:rPr>
          <w:iCs/>
          <w:lang w:val="en-US"/>
        </w:rPr>
        <w:t>rlapping decision-making bodies; f</w:t>
      </w:r>
      <w:r w:rsidR="001357C0" w:rsidRPr="001357C0">
        <w:rPr>
          <w:iCs/>
          <w:lang w:val="en-US"/>
        </w:rPr>
        <w:t>illing boards/com</w:t>
      </w:r>
      <w:r w:rsidR="00D40A40">
        <w:rPr>
          <w:iCs/>
          <w:lang w:val="en-US"/>
        </w:rPr>
        <w:t>mittees and succession planning; a</w:t>
      </w:r>
      <w:r w:rsidR="001357C0" w:rsidRPr="001357C0">
        <w:rPr>
          <w:iCs/>
          <w:lang w:val="en-US"/>
        </w:rPr>
        <w:t>dministration costs and the</w:t>
      </w:r>
      <w:r w:rsidR="00D40A40">
        <w:rPr>
          <w:iCs/>
          <w:lang w:val="en-US"/>
        </w:rPr>
        <w:t xml:space="preserve"> scale of compliance activities; achieving equity; t</w:t>
      </w:r>
      <w:r w:rsidR="001357C0" w:rsidRPr="001357C0">
        <w:rPr>
          <w:iCs/>
          <w:lang w:val="en-US"/>
        </w:rPr>
        <w:t>he timing of fund</w:t>
      </w:r>
      <w:r w:rsidR="00D40A40">
        <w:rPr>
          <w:iCs/>
          <w:lang w:val="en-US"/>
        </w:rPr>
        <w:t>ing for Indigenous corporations; g</w:t>
      </w:r>
      <w:r w:rsidR="001357C0" w:rsidRPr="001357C0">
        <w:rPr>
          <w:iCs/>
          <w:lang w:val="en-US"/>
        </w:rPr>
        <w:t>eograp</w:t>
      </w:r>
      <w:r w:rsidR="00D40A40">
        <w:rPr>
          <w:iCs/>
          <w:lang w:val="en-US"/>
        </w:rPr>
        <w:t>hical remoteness and dispersion; p</w:t>
      </w:r>
      <w:r w:rsidR="001357C0" w:rsidRPr="001357C0">
        <w:rPr>
          <w:iCs/>
          <w:lang w:val="en-US"/>
        </w:rPr>
        <w:t>rofessional trustees and inherent conflic</w:t>
      </w:r>
      <w:r w:rsidR="00D40A40">
        <w:rPr>
          <w:iCs/>
          <w:lang w:val="en-US"/>
        </w:rPr>
        <w:t>ts of interest; managing i</w:t>
      </w:r>
      <w:r w:rsidR="001357C0" w:rsidRPr="001357C0">
        <w:rPr>
          <w:iCs/>
          <w:lang w:val="en-US"/>
        </w:rPr>
        <w:t>nteractions with pre-existing</w:t>
      </w:r>
      <w:r w:rsidR="00D40A40">
        <w:rPr>
          <w:iCs/>
          <w:lang w:val="en-US"/>
        </w:rPr>
        <w:t xml:space="preserve"> structures and with government; t</w:t>
      </w:r>
      <w:r w:rsidR="001357C0" w:rsidRPr="001357C0">
        <w:rPr>
          <w:iCs/>
          <w:lang w:val="en-US"/>
        </w:rPr>
        <w:t>he need</w:t>
      </w:r>
      <w:r w:rsidR="00D40A40">
        <w:rPr>
          <w:iCs/>
          <w:lang w:val="en-US"/>
        </w:rPr>
        <w:t xml:space="preserve"> for greater strategic planning; t</w:t>
      </w:r>
      <w:r w:rsidR="001357C0" w:rsidRPr="001357C0">
        <w:rPr>
          <w:iCs/>
          <w:lang w:val="en-US"/>
        </w:rPr>
        <w:t xml:space="preserve">he need for flexibility to deal with change over </w:t>
      </w:r>
      <w:r w:rsidR="00D40A40">
        <w:rPr>
          <w:iCs/>
          <w:lang w:val="en-US"/>
        </w:rPr>
        <w:t xml:space="preserve">long periods; recognising the connections </w:t>
      </w:r>
      <w:r w:rsidR="00D40A40">
        <w:rPr>
          <w:iCs/>
          <w:lang w:val="en-US"/>
        </w:rPr>
        <w:lastRenderedPageBreak/>
        <w:t xml:space="preserve">between, but also requirements for separate resourcing for, </w:t>
      </w:r>
      <w:r w:rsidR="001357C0" w:rsidRPr="001357C0">
        <w:rPr>
          <w:iCs/>
          <w:lang w:val="en-US"/>
        </w:rPr>
        <w:t>implementation and the legal structure</w:t>
      </w:r>
      <w:r w:rsidR="00D40A40">
        <w:rPr>
          <w:iCs/>
          <w:lang w:val="en-US"/>
        </w:rPr>
        <w:t>; and the tendency for activities to take place in s</w:t>
      </w:r>
      <w:r w:rsidR="001357C0" w:rsidRPr="001357C0">
        <w:rPr>
          <w:iCs/>
          <w:lang w:val="en-US"/>
        </w:rPr>
        <w:t>ilo</w:t>
      </w:r>
      <w:r w:rsidR="00D40A40">
        <w:rPr>
          <w:iCs/>
          <w:lang w:val="en-US"/>
        </w:rPr>
        <w:t>s,</w:t>
      </w:r>
      <w:r w:rsidR="001357C0" w:rsidRPr="001357C0">
        <w:rPr>
          <w:iCs/>
          <w:lang w:val="en-US"/>
        </w:rPr>
        <w:t xml:space="preserve"> along various dimensions.</w:t>
      </w:r>
    </w:p>
    <w:p w14:paraId="018CAEFE" w14:textId="5E97EA42" w:rsidR="005E385E" w:rsidRDefault="007A7000" w:rsidP="00133BE0">
      <w:pPr>
        <w:spacing w:after="240"/>
        <w:jc w:val="both"/>
      </w:pPr>
      <w:r>
        <w:t xml:space="preserve">All of these challenges to the operation of BMSs can affect Indigenous economic development </w:t>
      </w:r>
      <w:r w:rsidR="00725432">
        <w:t xml:space="preserve">indirectly </w:t>
      </w:r>
      <w:r>
        <w:t xml:space="preserve">in the sense that socio-economic development is typically a goal of BMSs. </w:t>
      </w:r>
      <w:r w:rsidR="00725432">
        <w:t>The UWA Project prop</w:t>
      </w:r>
      <w:r w:rsidR="00E84D5D">
        <w:t>osed</w:t>
      </w:r>
      <w:r w:rsidR="00725432">
        <w:t xml:space="preserve"> a number of general design considerations in response to those challenges and outline</w:t>
      </w:r>
      <w:r w:rsidR="00E84D5D">
        <w:t>d</w:t>
      </w:r>
      <w:r w:rsidR="00725432">
        <w:t xml:space="preserve"> practical approaches to a number of the challenges.</w:t>
      </w:r>
      <w:r w:rsidR="00725432">
        <w:rPr>
          <w:rStyle w:val="FootnoteReference"/>
        </w:rPr>
        <w:footnoteReference w:id="23"/>
      </w:r>
      <w:r w:rsidR="00725432">
        <w:t xml:space="preserve"> </w:t>
      </w:r>
      <w:r>
        <w:t xml:space="preserve">However, </w:t>
      </w:r>
      <w:r w:rsidR="00DF4CB0" w:rsidRPr="00DF4CB0">
        <w:t>this article</w:t>
      </w:r>
      <w:r w:rsidR="00725432">
        <w:t xml:space="preserve"> focuses on the specific </w:t>
      </w:r>
      <w:r w:rsidR="00E84D5D">
        <w:t xml:space="preserve">challenge </w:t>
      </w:r>
      <w:r w:rsidR="00725432">
        <w:t>of economic development restrictions</w:t>
      </w:r>
      <w:r w:rsidR="00E84D5D">
        <w:t xml:space="preserve"> as it </w:t>
      </w:r>
      <w:r w:rsidR="003E154B">
        <w:t>has recently been highlighted by an Australian Productivity Commission draft report</w:t>
      </w:r>
      <w:r w:rsidR="00E84D5D">
        <w:t xml:space="preserve"> as an area of concern involving ‘</w:t>
      </w:r>
      <w:r w:rsidR="00393893">
        <w:t>legal ambiguity’</w:t>
      </w:r>
      <w:r w:rsidR="003E154B">
        <w:t>.</w:t>
      </w:r>
      <w:bookmarkStart w:id="22" w:name="_Ref43894904"/>
      <w:r w:rsidR="003E154B">
        <w:rPr>
          <w:rStyle w:val="FootnoteReference"/>
        </w:rPr>
        <w:footnoteReference w:id="24"/>
      </w:r>
      <w:bookmarkEnd w:id="22"/>
    </w:p>
    <w:p w14:paraId="630819B2" w14:textId="21716202" w:rsidR="000A2BD4" w:rsidRPr="00011EDA" w:rsidRDefault="000A2BD4" w:rsidP="000A2BD4">
      <w:pPr>
        <w:pStyle w:val="Heading1"/>
        <w:numPr>
          <w:ilvl w:val="0"/>
          <w:numId w:val="28"/>
        </w:numPr>
        <w:rPr>
          <w:rFonts w:ascii="Times New Roman" w:hAnsi="Times New Roman" w:cs="Times New Roman"/>
          <w:color w:val="auto"/>
          <w:sz w:val="24"/>
          <w:szCs w:val="24"/>
        </w:rPr>
      </w:pPr>
      <w:bookmarkStart w:id="23" w:name="_Ref29550589"/>
      <w:r w:rsidRPr="00011EDA">
        <w:rPr>
          <w:rFonts w:ascii="Times New Roman" w:hAnsi="Times New Roman" w:cs="Times New Roman"/>
          <w:color w:val="auto"/>
          <w:sz w:val="24"/>
          <w:szCs w:val="24"/>
        </w:rPr>
        <w:t>Economic development challenges</w:t>
      </w:r>
      <w:bookmarkEnd w:id="23"/>
    </w:p>
    <w:p w14:paraId="258E455E" w14:textId="7072D443" w:rsidR="006467A8" w:rsidRDefault="007E1ADA" w:rsidP="00133BE0">
      <w:pPr>
        <w:spacing w:after="240"/>
        <w:jc w:val="both"/>
      </w:pPr>
      <w:r>
        <w:t>BMSs typically include charities.</w:t>
      </w:r>
      <w:bookmarkStart w:id="24" w:name="_Ref402260169"/>
      <w:r w:rsidR="007B0547" w:rsidRPr="0039425E">
        <w:rPr>
          <w:rFonts w:cs="Arial"/>
          <w:vertAlign w:val="superscript"/>
        </w:rPr>
        <w:footnoteReference w:id="25"/>
      </w:r>
      <w:bookmarkEnd w:id="24"/>
      <w:r w:rsidR="007B0547" w:rsidRPr="0039425E">
        <w:rPr>
          <w:rFonts w:cs="Arial"/>
        </w:rPr>
        <w:t xml:space="preserve"> </w:t>
      </w:r>
      <w:r w:rsidR="007B0547">
        <w:rPr>
          <w:rFonts w:cs="Arial"/>
        </w:rPr>
        <w:t xml:space="preserve">This may be </w:t>
      </w:r>
      <w:r w:rsidR="007B0547" w:rsidRPr="0039425E">
        <w:rPr>
          <w:rFonts w:cs="Arial"/>
        </w:rPr>
        <w:t xml:space="preserve">because resource companies perceive charitable trust governance structures to be more rigorous or that the section of the public that must be benefited </w:t>
      </w:r>
      <w:r w:rsidR="007B0547">
        <w:rPr>
          <w:rFonts w:cs="Arial"/>
        </w:rPr>
        <w:t xml:space="preserve">might </w:t>
      </w:r>
      <w:r w:rsidR="007B0547" w:rsidRPr="0039425E">
        <w:rPr>
          <w:rFonts w:cs="Arial"/>
        </w:rPr>
        <w:t>be broader than, solely the native title holders, resulting in a wider social licence to operate.</w:t>
      </w:r>
      <w:r w:rsidR="007B0547" w:rsidRPr="0039425E">
        <w:rPr>
          <w:rStyle w:val="FootnoteReference"/>
          <w:rFonts w:cs="Arial"/>
        </w:rPr>
        <w:footnoteReference w:id="26"/>
      </w:r>
      <w:r w:rsidR="007B0547" w:rsidRPr="0039425E">
        <w:rPr>
          <w:rFonts w:cs="Arial"/>
        </w:rPr>
        <w:t xml:space="preserve"> Charitable trusts also have potential tax advantages that Indigenous </w:t>
      </w:r>
      <w:r w:rsidR="007B0547">
        <w:rPr>
          <w:rFonts w:cs="Arial"/>
        </w:rPr>
        <w:t xml:space="preserve">communities </w:t>
      </w:r>
      <w:r w:rsidR="007B0547" w:rsidRPr="0039425E">
        <w:rPr>
          <w:rFonts w:cs="Arial"/>
        </w:rPr>
        <w:t>may wish to access, such as income tax exemption on accumulated income.</w:t>
      </w:r>
      <w:bookmarkStart w:id="25" w:name="_Ref43893816"/>
      <w:r w:rsidR="007B0547" w:rsidRPr="0039425E">
        <w:rPr>
          <w:rStyle w:val="FootnoteReference"/>
          <w:rFonts w:cs="Arial"/>
        </w:rPr>
        <w:footnoteReference w:id="27"/>
      </w:r>
      <w:bookmarkEnd w:id="25"/>
      <w:r>
        <w:t xml:space="preserve"> </w:t>
      </w:r>
      <w:r w:rsidR="002D300C">
        <w:t>Some subsets of charities, such as ‘public benevolent institutions’ can also access additional tax concessions, such as donation concessions and concessions on inputs such as wages.</w:t>
      </w:r>
      <w:r w:rsidR="002D300C">
        <w:rPr>
          <w:rStyle w:val="FootnoteReference"/>
        </w:rPr>
        <w:footnoteReference w:id="28"/>
      </w:r>
      <w:r w:rsidR="002D300C">
        <w:t xml:space="preserve"> </w:t>
      </w:r>
      <w:r w:rsidR="0052540D">
        <w:t xml:space="preserve">More fundamentally, charities are for-purpose organisations and hence can act as institutional vehicles for furthering community goals, such as those identified in Part </w:t>
      </w:r>
      <w:r w:rsidR="0052540D">
        <w:fldChar w:fldCharType="begin"/>
      </w:r>
      <w:r w:rsidR="0052540D">
        <w:instrText xml:space="preserve"> REF _Ref22654258 \r \h </w:instrText>
      </w:r>
      <w:r w:rsidR="0052540D">
        <w:fldChar w:fldCharType="separate"/>
      </w:r>
      <w:r w:rsidR="00D70136">
        <w:t>2.2</w:t>
      </w:r>
      <w:r w:rsidR="0052540D">
        <w:fldChar w:fldCharType="end"/>
      </w:r>
      <w:r w:rsidR="0052540D">
        <w:t>.</w:t>
      </w:r>
      <w:r w:rsidR="0052540D">
        <w:rPr>
          <w:rStyle w:val="FootnoteReference"/>
        </w:rPr>
        <w:footnoteReference w:id="29"/>
      </w:r>
      <w:r w:rsidR="0052540D">
        <w:t xml:space="preserve"> </w:t>
      </w:r>
    </w:p>
    <w:p w14:paraId="1D79A806" w14:textId="73F7CEB3" w:rsidR="007E1ADA" w:rsidRDefault="007E1ADA" w:rsidP="00133BE0">
      <w:pPr>
        <w:spacing w:after="240"/>
        <w:jc w:val="both"/>
      </w:pPr>
      <w:r>
        <w:t>However, there are several technical charity law difficulties with the pursuit of economic development, as well as challenges for administrative practice even where there is no clear legal impediment</w:t>
      </w:r>
      <w:r w:rsidR="002D300C">
        <w:t xml:space="preserve"> (see Part </w:t>
      </w:r>
      <w:r w:rsidR="002D300C">
        <w:fldChar w:fldCharType="begin"/>
      </w:r>
      <w:r w:rsidR="002D300C">
        <w:instrText xml:space="preserve"> REF _Ref42076861 \r \h </w:instrText>
      </w:r>
      <w:r w:rsidR="002D300C">
        <w:fldChar w:fldCharType="separate"/>
      </w:r>
      <w:r w:rsidR="00D70136">
        <w:t>3.1</w:t>
      </w:r>
      <w:r w:rsidR="002D300C">
        <w:fldChar w:fldCharType="end"/>
      </w:r>
      <w:r w:rsidR="002D300C">
        <w:t>)</w:t>
      </w:r>
      <w:r>
        <w:t xml:space="preserve">. </w:t>
      </w:r>
      <w:r w:rsidR="00CA45C3">
        <w:t xml:space="preserve">These are not the only challenges to economic development. Increased complexity resulting from the </w:t>
      </w:r>
      <w:r w:rsidR="006467A8">
        <w:t>use of</w:t>
      </w:r>
      <w:r w:rsidR="00CA45C3">
        <w:t xml:space="preserve"> charities </w:t>
      </w:r>
      <w:r>
        <w:t xml:space="preserve">and </w:t>
      </w:r>
      <w:r w:rsidR="00CA45C3">
        <w:t xml:space="preserve">non-charities within BMS structures is examined in Part </w:t>
      </w:r>
      <w:r w:rsidR="00420048">
        <w:fldChar w:fldCharType="begin"/>
      </w:r>
      <w:r w:rsidR="00420048">
        <w:instrText xml:space="preserve"> REF _Ref29567881 \n \h </w:instrText>
      </w:r>
      <w:r w:rsidR="00420048">
        <w:fldChar w:fldCharType="separate"/>
      </w:r>
      <w:r w:rsidR="00D70136">
        <w:t>3.2</w:t>
      </w:r>
      <w:r w:rsidR="00420048">
        <w:fldChar w:fldCharType="end"/>
      </w:r>
      <w:r w:rsidR="00420048">
        <w:t xml:space="preserve">, along with a broader perspective on this complexity in Part </w:t>
      </w:r>
      <w:r w:rsidR="00EF7BDD">
        <w:fldChar w:fldCharType="begin"/>
      </w:r>
      <w:r w:rsidR="00EF7BDD">
        <w:instrText xml:space="preserve"> REF _Ref29976598 \r \h </w:instrText>
      </w:r>
      <w:r w:rsidR="00EF7BDD">
        <w:fldChar w:fldCharType="separate"/>
      </w:r>
      <w:r w:rsidR="00D70136">
        <w:t>3.3</w:t>
      </w:r>
      <w:r w:rsidR="00EF7BDD">
        <w:fldChar w:fldCharType="end"/>
      </w:r>
      <w:r w:rsidR="005464CD">
        <w:t>. That is:</w:t>
      </w:r>
      <w:r w:rsidR="00420048">
        <w:t xml:space="preserve"> BMS entities are non-standard and reflect forms of social enterprises</w:t>
      </w:r>
      <w:r w:rsidR="005464CD">
        <w:t>, bringing all the complexity of the social enterprise space to bear also</w:t>
      </w:r>
      <w:r w:rsidR="00CA45C3">
        <w:t>.</w:t>
      </w:r>
    </w:p>
    <w:p w14:paraId="64C9A999" w14:textId="24970E13" w:rsidR="007E1ADA" w:rsidRPr="00374CB2" w:rsidRDefault="00624813" w:rsidP="007E1ADA">
      <w:pPr>
        <w:pStyle w:val="Heading1"/>
        <w:numPr>
          <w:ilvl w:val="1"/>
          <w:numId w:val="28"/>
        </w:numPr>
        <w:ind w:left="431" w:hanging="431"/>
        <w:rPr>
          <w:rFonts w:ascii="Times New Roman" w:hAnsi="Times New Roman" w:cs="Times New Roman"/>
          <w:color w:val="auto"/>
          <w:sz w:val="24"/>
          <w:szCs w:val="24"/>
        </w:rPr>
      </w:pPr>
      <w:bookmarkStart w:id="26" w:name="_Ref42076861"/>
      <w:r>
        <w:rPr>
          <w:rFonts w:ascii="Times New Roman" w:hAnsi="Times New Roman" w:cs="Times New Roman"/>
          <w:b w:val="0"/>
          <w:i/>
          <w:color w:val="auto"/>
          <w:sz w:val="24"/>
          <w:szCs w:val="24"/>
        </w:rPr>
        <w:t>Charity law technical and administrative challenges</w:t>
      </w:r>
      <w:bookmarkEnd w:id="26"/>
    </w:p>
    <w:p w14:paraId="37774393" w14:textId="0B3BEE23" w:rsidR="00D90E32" w:rsidRDefault="00E96EB6" w:rsidP="00624813">
      <w:pPr>
        <w:spacing w:after="240"/>
        <w:jc w:val="both"/>
      </w:pPr>
      <w:r w:rsidRPr="00624813">
        <w:t>Australia</w:t>
      </w:r>
      <w:r w:rsidR="00624813">
        <w:t xml:space="preserve">n charity law and tax rules do not prohibit charities from conducting business activities or seek to tax income from unrelated business activities. The focus is predominantly on an entity’s purpose, though activities may be relevant to the </w:t>
      </w:r>
      <w:r w:rsidR="00624813">
        <w:lastRenderedPageBreak/>
        <w:t>construction of purpose.</w:t>
      </w:r>
      <w:bookmarkStart w:id="27" w:name="_Ref43896366"/>
      <w:r w:rsidR="00624813">
        <w:rPr>
          <w:rStyle w:val="FootnoteReference"/>
        </w:rPr>
        <w:footnoteReference w:id="30"/>
      </w:r>
      <w:bookmarkEnd w:id="27"/>
      <w:r w:rsidR="00624813">
        <w:t xml:space="preserve"> T</w:t>
      </w:r>
      <w:r w:rsidRPr="00624813">
        <w:t>here is</w:t>
      </w:r>
      <w:r w:rsidR="00624813">
        <w:t>, accordingly,</w:t>
      </w:r>
      <w:r w:rsidRPr="00624813">
        <w:t xml:space="preserve"> no </w:t>
      </w:r>
      <w:r w:rsidR="00624813">
        <w:t xml:space="preserve">prima facie </w:t>
      </w:r>
      <w:r w:rsidRPr="00624813">
        <w:t xml:space="preserve">issue with a charity </w:t>
      </w:r>
      <w:r w:rsidR="00E4696F">
        <w:t xml:space="preserve">conducting or funding </w:t>
      </w:r>
      <w:r w:rsidRPr="00624813">
        <w:t xml:space="preserve">commercial activities </w:t>
      </w:r>
      <w:r w:rsidR="00E4696F">
        <w:t>and it is accepted that such activities can further its charitable purpose</w:t>
      </w:r>
      <w:r w:rsidR="00D34BAE">
        <w:t>.</w:t>
      </w:r>
      <w:r w:rsidR="00E4696F">
        <w:t xml:space="preserve"> </w:t>
      </w:r>
      <w:r w:rsidR="00D34BAE">
        <w:t xml:space="preserve">Thus, </w:t>
      </w:r>
      <w:r w:rsidR="00E4696F">
        <w:t xml:space="preserve">the commercial activities </w:t>
      </w:r>
      <w:r w:rsidR="00D34BAE">
        <w:t xml:space="preserve">might </w:t>
      </w:r>
      <w:r w:rsidR="00E4696F">
        <w:t xml:space="preserve">directly </w:t>
      </w:r>
      <w:proofErr w:type="spellStart"/>
      <w:r w:rsidR="00E4696F">
        <w:t>effect</w:t>
      </w:r>
      <w:proofErr w:type="spellEnd"/>
      <w:r w:rsidR="00E4696F">
        <w:t xml:space="preserve"> the entity’s purpose (eg sale of cultural </w:t>
      </w:r>
      <w:r w:rsidR="001375BF">
        <w:t>heritage survey services</w:t>
      </w:r>
      <w:r w:rsidR="00E4696F">
        <w:t>; providing employment to long-term unemployed Indigenous community members)</w:t>
      </w:r>
      <w:r w:rsidR="00CA138B">
        <w:t>,</w:t>
      </w:r>
      <w:bookmarkStart w:id="28" w:name="_Ref43896156"/>
      <w:r w:rsidR="00CA138B">
        <w:rPr>
          <w:rStyle w:val="FootnoteReference"/>
        </w:rPr>
        <w:footnoteReference w:id="31"/>
      </w:r>
      <w:bookmarkEnd w:id="28"/>
      <w:r w:rsidR="00E4696F">
        <w:t xml:space="preserve"> </w:t>
      </w:r>
      <w:r w:rsidR="001375BF">
        <w:t>facilitate activities that directly effect an entity’s purpose (eg cultural awareness training for resource proponent employees),</w:t>
      </w:r>
      <w:r w:rsidR="001375BF">
        <w:rPr>
          <w:rStyle w:val="FootnoteReference"/>
        </w:rPr>
        <w:footnoteReference w:id="32"/>
      </w:r>
      <w:r w:rsidR="001375BF">
        <w:t xml:space="preserve"> </w:t>
      </w:r>
      <w:r w:rsidR="00E4696F">
        <w:t>or merely generat</w:t>
      </w:r>
      <w:r w:rsidR="001375BF">
        <w:t>e</w:t>
      </w:r>
      <w:r w:rsidR="00E4696F">
        <w:t xml:space="preserve"> funds f</w:t>
      </w:r>
      <w:r w:rsidR="001375BF">
        <w:t>or the</w:t>
      </w:r>
      <w:r w:rsidR="00E4696F">
        <w:t xml:space="preserve"> </w:t>
      </w:r>
      <w:r w:rsidR="00D34BAE">
        <w:t xml:space="preserve">charitable </w:t>
      </w:r>
      <w:r w:rsidRPr="00624813">
        <w:t>purpose</w:t>
      </w:r>
      <w:r w:rsidR="00E4696F">
        <w:t>.</w:t>
      </w:r>
      <w:r w:rsidR="00E4696F">
        <w:rPr>
          <w:rStyle w:val="FootnoteReference"/>
        </w:rPr>
        <w:footnoteReference w:id="33"/>
      </w:r>
      <w:r w:rsidR="00B1187E">
        <w:t xml:space="preserve"> Nevertheless, as explained below – and consistent with the Productivity Commission’s draft report – there is some uncertainty about what the charity law technical boundaries are in each specific economic development activity context.</w:t>
      </w:r>
      <w:r w:rsidR="00B1187E">
        <w:rPr>
          <w:rStyle w:val="FootnoteReference"/>
        </w:rPr>
        <w:footnoteReference w:id="34"/>
      </w:r>
      <w:r w:rsidR="00B1187E">
        <w:t xml:space="preserve"> Attempting to deal with that uncertainty under the existing regulatory settings</w:t>
      </w:r>
      <w:r w:rsidR="00585956">
        <w:t xml:space="preserve"> in turn</w:t>
      </w:r>
      <w:r w:rsidR="00B1187E">
        <w:t xml:space="preserve"> raises a range of administrative challenges.</w:t>
      </w:r>
    </w:p>
    <w:p w14:paraId="29B0FAA3" w14:textId="04167D81" w:rsidR="00025C7F" w:rsidRPr="00025C7F" w:rsidRDefault="00025C7F" w:rsidP="00A25A68">
      <w:pPr>
        <w:spacing w:after="240"/>
        <w:jc w:val="both"/>
        <w:rPr>
          <w:i/>
        </w:rPr>
      </w:pPr>
      <w:r>
        <w:rPr>
          <w:i/>
        </w:rPr>
        <w:t>C</w:t>
      </w:r>
      <w:r w:rsidRPr="00025C7F">
        <w:rPr>
          <w:i/>
        </w:rPr>
        <w:t>haritable purpose</w:t>
      </w:r>
    </w:p>
    <w:p w14:paraId="12EE92DC" w14:textId="5130CA82" w:rsidR="00025C7F" w:rsidRDefault="00D34BAE" w:rsidP="00A25A68">
      <w:pPr>
        <w:spacing w:after="240"/>
        <w:jc w:val="both"/>
        <w:rPr>
          <w:lang w:val="en-US"/>
        </w:rPr>
      </w:pPr>
      <w:r>
        <w:t>T</w:t>
      </w:r>
      <w:r w:rsidR="00A25A68">
        <w:t xml:space="preserve">o be a charity under the federal </w:t>
      </w:r>
      <w:r w:rsidR="00A25A68" w:rsidRPr="005A3D81">
        <w:t>Charities Act 2013</w:t>
      </w:r>
      <w:r w:rsidR="00A25A68">
        <w:t xml:space="preserve"> (Cth)</w:t>
      </w:r>
      <w:r>
        <w:t>,</w:t>
      </w:r>
      <w:r w:rsidR="00A25A68">
        <w:t xml:space="preserve"> or at common law in each state, entities must be </w:t>
      </w:r>
      <w:r w:rsidR="00A25A68" w:rsidRPr="002C5F0A">
        <w:t xml:space="preserve">not-for-profit, </w:t>
      </w:r>
      <w:r w:rsidR="00A25A68">
        <w:t xml:space="preserve">have </w:t>
      </w:r>
      <w:r w:rsidR="00A25A68" w:rsidRPr="002C5F0A">
        <w:t xml:space="preserve">purposes that are </w:t>
      </w:r>
      <w:r w:rsidR="00A25A68">
        <w:t>all ‘</w:t>
      </w:r>
      <w:r w:rsidR="00A25A68" w:rsidRPr="002C5F0A">
        <w:t>charitable</w:t>
      </w:r>
      <w:r w:rsidR="00A25A68">
        <w:t>’</w:t>
      </w:r>
      <w:r w:rsidR="00A25A68" w:rsidRPr="002C5F0A">
        <w:t xml:space="preserve"> purposes (</w:t>
      </w:r>
      <w:r w:rsidR="00A25A68">
        <w:t>such as relieving poverty, advancing education, advancing religion, or advancing other purposes beneficial to the community</w:t>
      </w:r>
      <w:r w:rsidR="00A25A68" w:rsidRPr="002C5F0A">
        <w:t>)</w:t>
      </w:r>
      <w:r w:rsidR="00A25A68">
        <w:rPr>
          <w:rStyle w:val="FootnoteReference"/>
        </w:rPr>
        <w:footnoteReference w:id="35"/>
      </w:r>
      <w:r w:rsidR="00A25A68">
        <w:t xml:space="preserve"> and be</w:t>
      </w:r>
      <w:r w:rsidR="00A25A68" w:rsidRPr="002C5F0A">
        <w:t xml:space="preserve"> for the public benefit.</w:t>
      </w:r>
      <w:bookmarkStart w:id="29" w:name="_Ref43896844"/>
      <w:r w:rsidR="00A25A68" w:rsidRPr="002C5F0A">
        <w:rPr>
          <w:vertAlign w:val="superscript"/>
        </w:rPr>
        <w:footnoteReference w:id="36"/>
      </w:r>
      <w:bookmarkEnd w:id="29"/>
      <w:r w:rsidR="00A25A68">
        <w:t xml:space="preserve"> </w:t>
      </w:r>
      <w:r w:rsidR="00BD3033">
        <w:t xml:space="preserve">Relieving </w:t>
      </w:r>
      <w:r w:rsidR="00D02AC6">
        <w:t xml:space="preserve">human distress or disadvantage </w:t>
      </w:r>
      <w:r w:rsidR="00BD3033">
        <w:t>and, st</w:t>
      </w:r>
      <w:r w:rsidR="00905EB6">
        <w:t>r</w:t>
      </w:r>
      <w:r w:rsidR="00BD3033">
        <w:t>ikingly, the promotion of commerce, are recognised charitable purposes.</w:t>
      </w:r>
      <w:bookmarkStart w:id="30" w:name="_Ref43896552"/>
      <w:r w:rsidR="00D02AC6">
        <w:rPr>
          <w:rStyle w:val="FootnoteReference"/>
        </w:rPr>
        <w:footnoteReference w:id="37"/>
      </w:r>
      <w:bookmarkEnd w:id="30"/>
      <w:r w:rsidR="00BD3033">
        <w:t xml:space="preserve"> </w:t>
      </w:r>
      <w:r w:rsidR="00D02AC6">
        <w:t>The current Australian context</w:t>
      </w:r>
      <w:r w:rsidR="00B12AF7">
        <w:t xml:space="preserve">, in which Indigenous Australians – as a whole – fare worse on a range of socio-economic outcomes, </w:t>
      </w:r>
      <w:r w:rsidR="00D02AC6">
        <w:t>has meant that numerous cases indicate that relieving Indigenous disadvantage comes within the former purpose.</w:t>
      </w:r>
      <w:r w:rsidR="00D02AC6">
        <w:rPr>
          <w:rStyle w:val="FootnoteReference"/>
        </w:rPr>
        <w:footnoteReference w:id="38"/>
      </w:r>
      <w:r w:rsidR="00D02AC6">
        <w:t xml:space="preserve"> </w:t>
      </w:r>
      <w:r w:rsidR="00B12AF7">
        <w:t xml:space="preserve">Though, of course, </w:t>
      </w:r>
      <w:r w:rsidR="00B12AF7" w:rsidRPr="00B12AF7">
        <w:t xml:space="preserve">not </w:t>
      </w:r>
      <w:r w:rsidR="00BD0F7A">
        <w:t xml:space="preserve">all Indigenous </w:t>
      </w:r>
      <w:r w:rsidR="00B12AF7" w:rsidRPr="00B12AF7">
        <w:t xml:space="preserve">persons </w:t>
      </w:r>
      <w:r w:rsidR="00BD0F7A">
        <w:t xml:space="preserve">or groups </w:t>
      </w:r>
      <w:r w:rsidR="00B12AF7" w:rsidRPr="00B12AF7">
        <w:t>will be in need of assistance,</w:t>
      </w:r>
      <w:r w:rsidR="00BD0F7A">
        <w:rPr>
          <w:rStyle w:val="FootnoteReference"/>
        </w:rPr>
        <w:footnoteReference w:id="39"/>
      </w:r>
      <w:r w:rsidR="00B12AF7" w:rsidRPr="00B12AF7">
        <w:t xml:space="preserve"> nor will disadvantage last indefinitely.</w:t>
      </w:r>
      <w:r w:rsidR="00B12AF7">
        <w:rPr>
          <w:rStyle w:val="FootnoteReference"/>
        </w:rPr>
        <w:footnoteReference w:id="40"/>
      </w:r>
      <w:r w:rsidR="00B12AF7" w:rsidRPr="00B12AF7">
        <w:t xml:space="preserve"> </w:t>
      </w:r>
      <w:r w:rsidR="00B12AF7">
        <w:t xml:space="preserve">Accordingly, there is </w:t>
      </w:r>
      <w:r w:rsidR="00BD3033">
        <w:t>material scope for economic development within Indigenous communities. For example, t</w:t>
      </w:r>
      <w:r w:rsidR="00A25A68" w:rsidRPr="00A25A68">
        <w:rPr>
          <w:lang w:val="en-US"/>
        </w:rPr>
        <w:t>he A</w:t>
      </w:r>
      <w:r w:rsidR="008E5DE9">
        <w:rPr>
          <w:lang w:val="en-US"/>
        </w:rPr>
        <w:t xml:space="preserve">ustralian </w:t>
      </w:r>
      <w:r w:rsidR="00A25A68" w:rsidRPr="00A25A68">
        <w:rPr>
          <w:lang w:val="en-US"/>
        </w:rPr>
        <w:t>C</w:t>
      </w:r>
      <w:r w:rsidR="008E5DE9">
        <w:rPr>
          <w:lang w:val="en-US"/>
        </w:rPr>
        <w:t xml:space="preserve">harities and </w:t>
      </w:r>
      <w:r w:rsidR="00A25A68" w:rsidRPr="00A25A68">
        <w:rPr>
          <w:lang w:val="en-US"/>
        </w:rPr>
        <w:t>N</w:t>
      </w:r>
      <w:r w:rsidR="008E5DE9">
        <w:rPr>
          <w:lang w:val="en-US"/>
        </w:rPr>
        <w:t xml:space="preserve">ot-for-profits </w:t>
      </w:r>
      <w:r w:rsidR="00A25A68" w:rsidRPr="00A25A68">
        <w:rPr>
          <w:lang w:val="en-US"/>
        </w:rPr>
        <w:t>C</w:t>
      </w:r>
      <w:r w:rsidR="008E5DE9">
        <w:rPr>
          <w:lang w:val="en-US"/>
        </w:rPr>
        <w:t>ommission (</w:t>
      </w:r>
      <w:r w:rsidR="008E5DE9" w:rsidRPr="008E5DE9">
        <w:rPr>
          <w:b/>
          <w:lang w:val="en-US"/>
        </w:rPr>
        <w:t>ACNC</w:t>
      </w:r>
      <w:r w:rsidR="008E5DE9">
        <w:rPr>
          <w:lang w:val="en-US"/>
        </w:rPr>
        <w:t>)</w:t>
      </w:r>
      <w:r w:rsidR="00A25A68" w:rsidRPr="00A25A68">
        <w:rPr>
          <w:lang w:val="en-US"/>
        </w:rPr>
        <w:t xml:space="preserve"> has issued a Factsheet which appears to accept that Indigenous corporations can advance social or public welfare by providing </w:t>
      </w:r>
      <w:r w:rsidR="00A25A68" w:rsidRPr="00A25A68">
        <w:rPr>
          <w:lang w:val="en-US"/>
        </w:rPr>
        <w:lastRenderedPageBreak/>
        <w:t>employment opportunities to disadvantaged Aboriginal people.</w:t>
      </w:r>
      <w:r w:rsidR="00A25A68" w:rsidRPr="00A25A68">
        <w:rPr>
          <w:vertAlign w:val="superscript"/>
          <w:lang w:val="en-US"/>
        </w:rPr>
        <w:footnoteReference w:id="41"/>
      </w:r>
      <w:r w:rsidR="00A25A68" w:rsidRPr="00A25A68">
        <w:rPr>
          <w:lang w:val="en-US"/>
        </w:rPr>
        <w:t xml:space="preserve"> </w:t>
      </w:r>
      <w:r w:rsidR="00B12AF7">
        <w:rPr>
          <w:lang w:val="en-US"/>
        </w:rPr>
        <w:t xml:space="preserve">A number of cases dealing with purposes of addressing </w:t>
      </w:r>
      <w:r w:rsidR="00A25A68" w:rsidRPr="00A25A68">
        <w:rPr>
          <w:lang w:val="en-US"/>
        </w:rPr>
        <w:t xml:space="preserve">Indigenous disadvantage </w:t>
      </w:r>
      <w:r w:rsidR="00B12AF7">
        <w:rPr>
          <w:lang w:val="en-US"/>
        </w:rPr>
        <w:t xml:space="preserve">or </w:t>
      </w:r>
      <w:r w:rsidR="00A25A68" w:rsidRPr="00A25A68">
        <w:rPr>
          <w:lang w:val="en-US"/>
        </w:rPr>
        <w:t>promotion of commerce also suggest that business start-up and development advice and general assistance would often be consistent with charity status and that financial support by way of seed-funding grants might often be possible too.</w:t>
      </w:r>
      <w:bookmarkStart w:id="31" w:name="_Ref43897310"/>
      <w:r w:rsidR="00A25A68" w:rsidRPr="00A25A68">
        <w:rPr>
          <w:vertAlign w:val="superscript"/>
          <w:lang w:val="en-US"/>
        </w:rPr>
        <w:footnoteReference w:id="42"/>
      </w:r>
      <w:bookmarkEnd w:id="31"/>
      <w:r w:rsidR="00A25A68" w:rsidRPr="00A25A68">
        <w:rPr>
          <w:lang w:val="en-US"/>
        </w:rPr>
        <w:t xml:space="preserve"> So too might loans to assist Indigenous businesses, at least if made on commercial terms such that the loan can be treated as an exercise of investment powers</w:t>
      </w:r>
      <w:r w:rsidR="009E497E">
        <w:rPr>
          <w:lang w:val="en-US"/>
        </w:rPr>
        <w:t>,</w:t>
      </w:r>
      <w:r w:rsidR="00A25A68" w:rsidRPr="00A25A68">
        <w:rPr>
          <w:vertAlign w:val="superscript"/>
          <w:lang w:val="en-US"/>
        </w:rPr>
        <w:footnoteReference w:id="43"/>
      </w:r>
      <w:r w:rsidR="009E497E">
        <w:rPr>
          <w:lang w:val="en-US"/>
        </w:rPr>
        <w:t xml:space="preserve"> and – if seed funding is permissible – potentially </w:t>
      </w:r>
      <w:r w:rsidR="009E497E" w:rsidRPr="009E497E">
        <w:rPr>
          <w:lang w:val="en-US"/>
        </w:rPr>
        <w:t>also social impact loans</w:t>
      </w:r>
      <w:r w:rsidR="009E497E">
        <w:rPr>
          <w:lang w:val="en-US"/>
        </w:rPr>
        <w:t xml:space="preserve"> which are intended to achieve both investment returns and the more direct achievement of charitable purposes</w:t>
      </w:r>
      <w:r w:rsidR="009E497E" w:rsidRPr="009E497E">
        <w:rPr>
          <w:lang w:val="en-US"/>
        </w:rPr>
        <w:t>.</w:t>
      </w:r>
    </w:p>
    <w:p w14:paraId="64E75C7D" w14:textId="77777777" w:rsidR="009C3CCA" w:rsidRDefault="00A25A68" w:rsidP="00ED64F6">
      <w:pPr>
        <w:spacing w:after="240"/>
        <w:jc w:val="both"/>
        <w:rPr>
          <w:lang w:val="en-US"/>
        </w:rPr>
      </w:pPr>
      <w:r w:rsidRPr="00A25A68">
        <w:rPr>
          <w:lang w:val="en-US"/>
        </w:rPr>
        <w:t xml:space="preserve">However, the </w:t>
      </w:r>
      <w:r w:rsidR="00BD3033">
        <w:rPr>
          <w:lang w:val="en-US"/>
        </w:rPr>
        <w:t xml:space="preserve">key issue is that these activities involve the provision of economic benefits to individual members of </w:t>
      </w:r>
      <w:r w:rsidR="00A64B78">
        <w:rPr>
          <w:lang w:val="en-US"/>
        </w:rPr>
        <w:t>an</w:t>
      </w:r>
      <w:r w:rsidR="00BD3033">
        <w:rPr>
          <w:lang w:val="en-US"/>
        </w:rPr>
        <w:t xml:space="preserve"> Indigenous community</w:t>
      </w:r>
      <w:r w:rsidR="00A64B78">
        <w:rPr>
          <w:lang w:val="en-US"/>
        </w:rPr>
        <w:t xml:space="preserve">. </w:t>
      </w:r>
      <w:r w:rsidR="005A60DE">
        <w:rPr>
          <w:lang w:val="en-US"/>
        </w:rPr>
        <w:t>The question is whether the provision of economic benefits to individuals is itself a purpose, or instead a means to an overarching purpose of promoting commerce or relieving Indigenous disadvantage. Some Australian c</w:t>
      </w:r>
      <w:r w:rsidR="005A60DE" w:rsidRPr="005A60DE">
        <w:rPr>
          <w:lang w:val="en-US"/>
        </w:rPr>
        <w:t>harities cases suggest that the general promotion of industry and commerce within a geographic area, with in</w:t>
      </w:r>
      <w:r w:rsidR="005A60DE">
        <w:rPr>
          <w:lang w:val="en-US"/>
        </w:rPr>
        <w:t>cidental benefits to individuals/individual businesses</w:t>
      </w:r>
      <w:r w:rsidR="005A60DE" w:rsidRPr="005A60DE">
        <w:rPr>
          <w:lang w:val="en-US"/>
        </w:rPr>
        <w:t>, is permissible.</w:t>
      </w:r>
      <w:bookmarkStart w:id="32" w:name="_Ref43897483"/>
      <w:r w:rsidR="005A60DE">
        <w:rPr>
          <w:rStyle w:val="FootnoteReference"/>
          <w:lang w:val="en-US"/>
        </w:rPr>
        <w:footnoteReference w:id="44"/>
      </w:r>
      <w:bookmarkEnd w:id="32"/>
      <w:r w:rsidR="005A60DE">
        <w:rPr>
          <w:lang w:val="en-US"/>
        </w:rPr>
        <w:t xml:space="preserve"> </w:t>
      </w:r>
      <w:r w:rsidR="009C3CCA">
        <w:rPr>
          <w:lang w:val="en-US"/>
        </w:rPr>
        <w:t>T</w:t>
      </w:r>
      <w:r w:rsidR="005A60DE">
        <w:rPr>
          <w:lang w:val="en-US"/>
        </w:rPr>
        <w:t xml:space="preserve">he New Zealand decision of </w:t>
      </w:r>
      <w:r w:rsidR="005A60DE" w:rsidRPr="005A60DE">
        <w:rPr>
          <w:i/>
          <w:lang w:val="en-US"/>
        </w:rPr>
        <w:t>Canterbury Development Corporation v Charities Commission</w:t>
      </w:r>
      <w:r w:rsidR="009C3CCA">
        <w:rPr>
          <w:lang w:val="en-US"/>
        </w:rPr>
        <w:t>, though,</w:t>
      </w:r>
      <w:r w:rsidR="005A60DE" w:rsidRPr="005A60DE">
        <w:rPr>
          <w:lang w:val="en-US"/>
        </w:rPr>
        <w:t xml:space="preserve"> </w:t>
      </w:r>
      <w:r w:rsidR="005A60DE">
        <w:rPr>
          <w:lang w:val="en-US"/>
        </w:rPr>
        <w:t xml:space="preserve">suggests that </w:t>
      </w:r>
      <w:r w:rsidR="005A60DE" w:rsidRPr="005A60DE">
        <w:rPr>
          <w:lang w:val="en-US"/>
        </w:rPr>
        <w:t>an economic development purpose primarily achieved by benefitting private individuals, such as providing debt or equity capital to a person to help establish a business, may not be a charitable purpose.</w:t>
      </w:r>
      <w:r w:rsidR="005A60DE">
        <w:rPr>
          <w:rStyle w:val="FootnoteReference"/>
          <w:lang w:val="en-US"/>
        </w:rPr>
        <w:footnoteReference w:id="45"/>
      </w:r>
      <w:r w:rsidR="005A60DE">
        <w:rPr>
          <w:lang w:val="en-US"/>
        </w:rPr>
        <w:t xml:space="preserve"> </w:t>
      </w:r>
    </w:p>
    <w:p w14:paraId="72004057" w14:textId="50F6C757" w:rsidR="009C3CCA" w:rsidRDefault="00261031" w:rsidP="00ED64F6">
      <w:pPr>
        <w:spacing w:after="240"/>
        <w:jc w:val="both"/>
        <w:rPr>
          <w:lang w:val="en-US"/>
        </w:rPr>
      </w:pPr>
      <w:r>
        <w:t>In the context of identifying a purpose of ‘community capacity building’ in economically and socially disadvantaged communities, the Charity Commission for England and Wales also suggests caution about in-depth assistance to establish a particular business, as opposed to assistance with more discrete matters or more generic and transferrable skills, although no absolute prohibition is proposed.</w:t>
      </w:r>
      <w:bookmarkStart w:id="33" w:name="_Ref415836116"/>
      <w:r>
        <w:rPr>
          <w:rStyle w:val="FootnoteReference"/>
        </w:rPr>
        <w:footnoteReference w:id="46"/>
      </w:r>
      <w:bookmarkEnd w:id="33"/>
      <w:r>
        <w:t xml:space="preserve"> </w:t>
      </w:r>
      <w:r w:rsidR="005A60DE">
        <w:rPr>
          <w:lang w:val="en-US"/>
        </w:rPr>
        <w:t>Th</w:t>
      </w:r>
      <w:r>
        <w:rPr>
          <w:lang w:val="en-US"/>
        </w:rPr>
        <w:t>e</w:t>
      </w:r>
      <w:r w:rsidR="005A60DE">
        <w:rPr>
          <w:lang w:val="en-US"/>
        </w:rPr>
        <w:t xml:space="preserve"> outcome </w:t>
      </w:r>
      <w:r>
        <w:rPr>
          <w:lang w:val="en-US"/>
        </w:rPr>
        <w:t xml:space="preserve">in </w:t>
      </w:r>
      <w:r w:rsidRPr="00261031">
        <w:rPr>
          <w:i/>
          <w:lang w:val="en-US"/>
        </w:rPr>
        <w:t>Canterbury Development</w:t>
      </w:r>
      <w:r>
        <w:rPr>
          <w:lang w:val="en-US"/>
        </w:rPr>
        <w:t xml:space="preserve"> </w:t>
      </w:r>
      <w:r w:rsidR="005A60DE">
        <w:rPr>
          <w:lang w:val="en-US"/>
        </w:rPr>
        <w:t>was partly due to a finding that there was insufficient evidence of disa</w:t>
      </w:r>
      <w:r w:rsidR="00C90621">
        <w:rPr>
          <w:lang w:val="en-US"/>
        </w:rPr>
        <w:t xml:space="preserve">dvantage in the Canterbury area. The result can be contrasted with that in </w:t>
      </w:r>
      <w:r w:rsidR="00C90621" w:rsidRPr="00261031">
        <w:rPr>
          <w:i/>
          <w:lang w:val="en-US"/>
        </w:rPr>
        <w:t>Trustee of the</w:t>
      </w:r>
      <w:r w:rsidR="00C90621">
        <w:rPr>
          <w:lang w:val="en-US"/>
        </w:rPr>
        <w:t xml:space="preserve"> </w:t>
      </w:r>
      <w:r w:rsidR="00C90621" w:rsidRPr="00C90621">
        <w:rPr>
          <w:i/>
          <w:lang w:val="en-US"/>
        </w:rPr>
        <w:t>Indigenous Barristers’ Trust v Federal Commissioner of Taxation</w:t>
      </w:r>
      <w:r w:rsidR="00C90621">
        <w:rPr>
          <w:lang w:val="en-US"/>
        </w:rPr>
        <w:t xml:space="preserve">, where an Australian court identified the entrenched disadvantage faced by Indigenous Australians and held that the provision of education, equipment, premises and seed-funding to </w:t>
      </w:r>
      <w:r>
        <w:rPr>
          <w:lang w:val="en-US"/>
        </w:rPr>
        <w:t xml:space="preserve">an </w:t>
      </w:r>
      <w:r w:rsidR="00C90621">
        <w:rPr>
          <w:lang w:val="en-US"/>
        </w:rPr>
        <w:t xml:space="preserve">Indigenous individual to help </w:t>
      </w:r>
      <w:r>
        <w:rPr>
          <w:lang w:val="en-US"/>
        </w:rPr>
        <w:t>him</w:t>
      </w:r>
      <w:r w:rsidR="00C90621">
        <w:rPr>
          <w:lang w:val="en-US"/>
        </w:rPr>
        <w:t xml:space="preserve"> establish practice as </w:t>
      </w:r>
      <w:r>
        <w:rPr>
          <w:lang w:val="en-US"/>
        </w:rPr>
        <w:t xml:space="preserve">a </w:t>
      </w:r>
      <w:r w:rsidR="00C90621">
        <w:rPr>
          <w:lang w:val="en-US"/>
        </w:rPr>
        <w:t>barrister was consistent with a charitable purpose of relieving disadvantage. Thus, especially w</w:t>
      </w:r>
      <w:r w:rsidR="00BD3033">
        <w:rPr>
          <w:lang w:val="en-US"/>
        </w:rPr>
        <w:t xml:space="preserve">here the charitable purpose is the relief of disadvantage, there </w:t>
      </w:r>
      <w:r w:rsidR="005A3D81">
        <w:rPr>
          <w:lang w:val="en-US"/>
        </w:rPr>
        <w:t xml:space="preserve">are likely to be </w:t>
      </w:r>
      <w:r w:rsidR="00BD3033">
        <w:rPr>
          <w:lang w:val="en-US"/>
        </w:rPr>
        <w:t>additional question</w:t>
      </w:r>
      <w:r w:rsidR="005A3D81">
        <w:rPr>
          <w:lang w:val="en-US"/>
        </w:rPr>
        <w:t xml:space="preserve">s. First, </w:t>
      </w:r>
      <w:r w:rsidR="00BD3033">
        <w:rPr>
          <w:lang w:val="en-US"/>
        </w:rPr>
        <w:t>whether the Indigenous community as a whole is disadvantaged</w:t>
      </w:r>
      <w:r w:rsidR="005A3D81">
        <w:rPr>
          <w:lang w:val="en-US"/>
        </w:rPr>
        <w:t xml:space="preserve">. Second, </w:t>
      </w:r>
      <w:r w:rsidR="00BD3033">
        <w:rPr>
          <w:lang w:val="en-US"/>
        </w:rPr>
        <w:t xml:space="preserve">whether </w:t>
      </w:r>
      <w:r w:rsidR="005A3D81">
        <w:rPr>
          <w:lang w:val="en-US"/>
        </w:rPr>
        <w:t xml:space="preserve">the </w:t>
      </w:r>
      <w:r w:rsidR="00905EB6">
        <w:rPr>
          <w:lang w:val="en-US"/>
        </w:rPr>
        <w:t xml:space="preserve">assistance </w:t>
      </w:r>
      <w:r w:rsidR="005A3D81">
        <w:rPr>
          <w:lang w:val="en-US"/>
        </w:rPr>
        <w:lastRenderedPageBreak/>
        <w:t xml:space="preserve">provided to the community is sufficiently targeted </w:t>
      </w:r>
      <w:r w:rsidR="00905EB6">
        <w:rPr>
          <w:lang w:val="en-US"/>
        </w:rPr>
        <w:t xml:space="preserve">to </w:t>
      </w:r>
      <w:r w:rsidR="005A3D81">
        <w:rPr>
          <w:lang w:val="en-US"/>
        </w:rPr>
        <w:t>persons</w:t>
      </w:r>
      <w:r w:rsidR="00905EB6">
        <w:rPr>
          <w:lang w:val="en-US"/>
        </w:rPr>
        <w:t xml:space="preserve"> </w:t>
      </w:r>
      <w:r w:rsidR="005A3D81">
        <w:rPr>
          <w:lang w:val="en-US"/>
        </w:rPr>
        <w:t xml:space="preserve">in need, </w:t>
      </w:r>
      <w:r w:rsidR="00905EB6">
        <w:rPr>
          <w:lang w:val="en-US"/>
        </w:rPr>
        <w:t>for the means adopted to amount to the relief of disadvantage.</w:t>
      </w:r>
      <w:r w:rsidR="00905EB6">
        <w:rPr>
          <w:rStyle w:val="FootnoteReference"/>
          <w:lang w:val="en-US"/>
        </w:rPr>
        <w:footnoteReference w:id="47"/>
      </w:r>
      <w:r w:rsidR="009C3CCA">
        <w:rPr>
          <w:lang w:val="en-US"/>
        </w:rPr>
        <w:t xml:space="preserve"> </w:t>
      </w:r>
    </w:p>
    <w:p w14:paraId="0189D41B" w14:textId="62A2082B" w:rsidR="009C3CCA" w:rsidRDefault="009C3CCA" w:rsidP="00ED64F6">
      <w:pPr>
        <w:spacing w:after="240"/>
        <w:jc w:val="both"/>
        <w:rPr>
          <w:lang w:val="en-US"/>
        </w:rPr>
      </w:pPr>
      <w:r>
        <w:rPr>
          <w:lang w:val="en-US"/>
        </w:rPr>
        <w:t>Further, t</w:t>
      </w:r>
      <w:r w:rsidR="00C90621">
        <w:rPr>
          <w:lang w:val="en-US"/>
        </w:rPr>
        <w:t xml:space="preserve">he New Zealand case </w:t>
      </w:r>
      <w:r w:rsidR="00261031">
        <w:rPr>
          <w:lang w:val="en-US"/>
        </w:rPr>
        <w:t xml:space="preserve">of </w:t>
      </w:r>
      <w:r w:rsidR="00ED64F6" w:rsidRPr="0010771A">
        <w:rPr>
          <w:i/>
          <w:iCs/>
        </w:rPr>
        <w:t>Re Queenstown Lakes Community Housing Trust</w:t>
      </w:r>
      <w:r w:rsidR="00ED64F6" w:rsidRPr="00CB782C">
        <w:rPr>
          <w:rStyle w:val="FootnoteReference"/>
          <w:iCs/>
        </w:rPr>
        <w:footnoteReference w:id="48"/>
      </w:r>
      <w:r w:rsidR="00ED64F6" w:rsidRPr="0010771A">
        <w:t xml:space="preserve"> </w:t>
      </w:r>
      <w:r w:rsidR="00C90621">
        <w:rPr>
          <w:lang w:val="en-US"/>
        </w:rPr>
        <w:t>also suggests that if there are multiple ways of pursuing a purpose and</w:t>
      </w:r>
      <w:r w:rsidR="00ED64F6">
        <w:rPr>
          <w:lang w:val="en-US"/>
        </w:rPr>
        <w:t xml:space="preserve"> if</w:t>
      </w:r>
      <w:r w:rsidR="00C90621">
        <w:rPr>
          <w:lang w:val="en-US"/>
        </w:rPr>
        <w:t xml:space="preserve"> one of those ways results in materially greater economic benefits for individuals, then this may indicate that there is a separate purpose of providing economic benefits to individuals. </w:t>
      </w:r>
    </w:p>
    <w:p w14:paraId="6A6181A1" w14:textId="36E722EE" w:rsidR="00ED64F6" w:rsidRPr="00ED64F6" w:rsidRDefault="009C3CCA" w:rsidP="00ED64F6">
      <w:pPr>
        <w:spacing w:after="240"/>
        <w:jc w:val="both"/>
        <w:rPr>
          <w:lang w:val="en-GB"/>
        </w:rPr>
      </w:pPr>
      <w:r>
        <w:rPr>
          <w:lang w:val="en-US"/>
        </w:rPr>
        <w:t xml:space="preserve">It is possible to make sense of these decisions by returning to the Australian High Court decision of </w:t>
      </w:r>
      <w:r w:rsidR="00ED64F6" w:rsidRPr="0058094E">
        <w:rPr>
          <w:i/>
          <w:lang w:val="en-US"/>
        </w:rPr>
        <w:t>Word Investments</w:t>
      </w:r>
      <w:r>
        <w:rPr>
          <w:lang w:val="en-US"/>
        </w:rPr>
        <w:t>. In that case,</w:t>
      </w:r>
      <w:r w:rsidR="00ED64F6">
        <w:rPr>
          <w:lang w:val="en-US"/>
        </w:rPr>
        <w:t xml:space="preserve"> when considering when activities might evidence a separate non-charitable purpose, the High Court accepted that activities can indirectly achieve a charitable purpose and </w:t>
      </w:r>
      <w:r w:rsidR="00ED64F6" w:rsidRPr="00ED64F6">
        <w:rPr>
          <w:lang w:val="en-GB"/>
        </w:rPr>
        <w:t>quote</w:t>
      </w:r>
      <w:r w:rsidR="00ED64F6">
        <w:rPr>
          <w:lang w:val="en-GB"/>
        </w:rPr>
        <w:t>d</w:t>
      </w:r>
      <w:r w:rsidR="00ED64F6" w:rsidRPr="00ED64F6">
        <w:rPr>
          <w:lang w:val="en-GB"/>
        </w:rPr>
        <w:t xml:space="preserve"> from an earlier charity case, stating:</w:t>
      </w:r>
      <w:bookmarkStart w:id="34" w:name="_Ref422220977"/>
      <w:r w:rsidR="00ED64F6" w:rsidRPr="00ED64F6">
        <w:rPr>
          <w:vertAlign w:val="superscript"/>
          <w:lang w:val="en-GB"/>
        </w:rPr>
        <w:footnoteReference w:id="49"/>
      </w:r>
      <w:bookmarkEnd w:id="34"/>
    </w:p>
    <w:p w14:paraId="39B6E50A" w14:textId="77777777" w:rsidR="00ED64F6" w:rsidRPr="00ED64F6" w:rsidRDefault="00ED64F6" w:rsidP="00ED64F6">
      <w:pPr>
        <w:spacing w:after="240"/>
        <w:ind w:left="720"/>
        <w:jc w:val="both"/>
        <w:rPr>
          <w:sz w:val="22"/>
          <w:szCs w:val="22"/>
          <w:lang w:val="en-GB"/>
        </w:rPr>
      </w:pPr>
      <w:r w:rsidRPr="00ED64F6">
        <w:rPr>
          <w:sz w:val="22"/>
          <w:szCs w:val="22"/>
          <w:lang w:val="en-GB"/>
        </w:rPr>
        <w:t xml:space="preserve">In </w:t>
      </w:r>
      <w:r w:rsidRPr="00ED64F6">
        <w:rPr>
          <w:i/>
          <w:iCs/>
          <w:sz w:val="22"/>
          <w:szCs w:val="22"/>
          <w:lang w:val="en-US"/>
        </w:rPr>
        <w:t>Baptist Union of Ireland (Northern) Corporation Ltd v Commissioners of Inland Revenue</w:t>
      </w:r>
      <w:r w:rsidRPr="00ED64F6">
        <w:rPr>
          <w:i/>
          <w:iCs/>
          <w:sz w:val="22"/>
          <w:szCs w:val="22"/>
          <w:lang w:val="en-GB"/>
        </w:rPr>
        <w:t xml:space="preserve"> </w:t>
      </w:r>
      <w:r w:rsidRPr="00ED64F6">
        <w:rPr>
          <w:iCs/>
          <w:sz w:val="22"/>
          <w:szCs w:val="22"/>
          <w:lang w:val="en-GB"/>
        </w:rPr>
        <w:t>[</w:t>
      </w:r>
      <w:r w:rsidRPr="00ED64F6">
        <w:rPr>
          <w:iCs/>
          <w:sz w:val="22"/>
          <w:szCs w:val="22"/>
          <w:lang w:val="en-US"/>
        </w:rPr>
        <w:t xml:space="preserve">(1945) 26 TC 335 at 348] </w:t>
      </w:r>
      <w:proofErr w:type="spellStart"/>
      <w:r w:rsidRPr="00ED64F6">
        <w:rPr>
          <w:sz w:val="22"/>
          <w:szCs w:val="22"/>
          <w:lang w:val="en-GB"/>
        </w:rPr>
        <w:t>MacDermott</w:t>
      </w:r>
      <w:proofErr w:type="spellEnd"/>
      <w:r w:rsidRPr="00ED64F6">
        <w:rPr>
          <w:sz w:val="22"/>
          <w:szCs w:val="22"/>
          <w:lang w:val="en-GB"/>
        </w:rPr>
        <w:t xml:space="preserve"> J said:</w:t>
      </w:r>
    </w:p>
    <w:p w14:paraId="387D8B86" w14:textId="77777777" w:rsidR="00ED64F6" w:rsidRPr="00ED64F6" w:rsidRDefault="00ED64F6" w:rsidP="00ED64F6">
      <w:pPr>
        <w:spacing w:after="240"/>
        <w:ind w:left="1440"/>
        <w:jc w:val="both"/>
        <w:rPr>
          <w:sz w:val="22"/>
          <w:szCs w:val="22"/>
          <w:lang w:val="en-GB"/>
        </w:rPr>
      </w:pPr>
      <w:r w:rsidRPr="00ED64F6">
        <w:rPr>
          <w:sz w:val="22"/>
          <w:szCs w:val="22"/>
          <w:lang w:val="en-GB"/>
        </w:rPr>
        <w:t>‘the charitable purpose of a trust is often, and perhaps more often than not, to be found in the natural and probable consequences of the trust rather than in its immediate and expressed objects.’</w:t>
      </w:r>
    </w:p>
    <w:p w14:paraId="435E53D2" w14:textId="77777777" w:rsidR="00ED64F6" w:rsidRPr="00ED64F6" w:rsidRDefault="00ED64F6" w:rsidP="00ED64F6">
      <w:pPr>
        <w:spacing w:after="240"/>
        <w:ind w:left="720"/>
        <w:jc w:val="both"/>
        <w:rPr>
          <w:sz w:val="22"/>
          <w:szCs w:val="22"/>
          <w:lang w:val="en-GB"/>
        </w:rPr>
      </w:pPr>
      <w:r w:rsidRPr="00ED64F6">
        <w:rPr>
          <w:sz w:val="22"/>
          <w:szCs w:val="22"/>
          <w:lang w:val="en-GB"/>
        </w:rPr>
        <w:t>Similarly, the charitable purposes of a company can be found in a purpose of bringing about the natural and probable consequence of its immediate and expressed purposes, and its charitable activities can be found in the natural and probable consequence of its immediate activities.</w:t>
      </w:r>
    </w:p>
    <w:p w14:paraId="5C7058C0" w14:textId="77777777" w:rsidR="008E3416" w:rsidRDefault="009C3CCA" w:rsidP="00A25A68">
      <w:pPr>
        <w:spacing w:after="240"/>
        <w:jc w:val="both"/>
      </w:pPr>
      <w:r>
        <w:rPr>
          <w:lang w:val="en-GB"/>
        </w:rPr>
        <w:t>T</w:t>
      </w:r>
      <w:r w:rsidR="00A43D72" w:rsidRPr="00A43D72">
        <w:t xml:space="preserve">he emphasis </w:t>
      </w:r>
      <w:r w:rsidR="00A43D72">
        <w:t xml:space="preserve">in this statement </w:t>
      </w:r>
      <w:r w:rsidR="00A43D72" w:rsidRPr="00A43D72">
        <w:t xml:space="preserve">is on </w:t>
      </w:r>
      <w:r w:rsidR="00A43D72" w:rsidRPr="00ED64F6">
        <w:rPr>
          <w:lang w:val="en-GB"/>
        </w:rPr>
        <w:t>the consequences of activities in setting the contours of the range of activities that are in furtherance of an overarching charitable purpose</w:t>
      </w:r>
      <w:r w:rsidR="00A43D72" w:rsidRPr="00A43D72">
        <w:t>.</w:t>
      </w:r>
      <w:bookmarkStart w:id="35" w:name="_Ref293573340"/>
      <w:r w:rsidR="00A43D72" w:rsidRPr="00A43D72">
        <w:rPr>
          <w:vertAlign w:val="superscript"/>
        </w:rPr>
        <w:footnoteReference w:id="50"/>
      </w:r>
      <w:bookmarkEnd w:id="35"/>
      <w:r w:rsidR="00E12057">
        <w:t xml:space="preserve"> </w:t>
      </w:r>
    </w:p>
    <w:p w14:paraId="55AF040B" w14:textId="29A5381A" w:rsidR="00C90621" w:rsidRPr="00A25A68" w:rsidRDefault="00E12057" w:rsidP="00A25A68">
      <w:pPr>
        <w:spacing w:after="240"/>
        <w:jc w:val="both"/>
        <w:rPr>
          <w:lang w:val="en-US"/>
        </w:rPr>
      </w:pPr>
      <w:r>
        <w:t>If an entity has mechanisms in place to ensure that economic development benefits are targeted toward persons who are suffering disadvantag</w:t>
      </w:r>
      <w:r w:rsidR="0058094E">
        <w:t>e, then the natural and probable</w:t>
      </w:r>
      <w:r>
        <w:t xml:space="preserve"> consequence of providing those benefits would be to relieve disadvantage, up to the point that the individual assisted is no longer disadvantaged. If the purpose is to promote commerce for an Indigenous community or to relieve the disadvantage of an Indigenous community (rather than the specific person who receives a benefit), then for the natural and probable consequence of the assistance to link to those broader purposes, there is likely to be a need for some mechanism to link the benefit to the broader community. </w:t>
      </w:r>
      <w:r w:rsidR="005F3CD3">
        <w:t xml:space="preserve">For instance, using the assisted business as a case study example and providing associated training materials and other support as in </w:t>
      </w:r>
      <w:r w:rsidR="005F3CD3" w:rsidRPr="005F3CD3">
        <w:rPr>
          <w:i/>
        </w:rPr>
        <w:t>Triton Foundation</w:t>
      </w:r>
      <w:r w:rsidR="005F3CD3">
        <w:t xml:space="preserve">. </w:t>
      </w:r>
      <w:r>
        <w:t>Relying on trickle-down economics is likely to be insufficient</w:t>
      </w:r>
      <w:r w:rsidR="005F3CD3">
        <w:t xml:space="preserve"> as indicated in </w:t>
      </w:r>
      <w:r w:rsidR="005F3CD3" w:rsidRPr="005F3CD3">
        <w:rPr>
          <w:i/>
        </w:rPr>
        <w:t>Queenstown Lakes</w:t>
      </w:r>
      <w:r w:rsidR="0079353F">
        <w:rPr>
          <w:i/>
        </w:rPr>
        <w:t xml:space="preserve"> </w:t>
      </w:r>
      <w:r w:rsidR="0079353F">
        <w:t>(and the trickle-down argument would be even harder to make where those who benefit are in some way members (eg of the PBC))</w:t>
      </w:r>
      <w:r>
        <w:t>.</w:t>
      </w:r>
      <w:r w:rsidR="00932B1F">
        <w:rPr>
          <w:rStyle w:val="FootnoteReference"/>
        </w:rPr>
        <w:footnoteReference w:id="51"/>
      </w:r>
      <w:r w:rsidR="005F3CD3">
        <w:t xml:space="preserve"> It should not, however, </w:t>
      </w:r>
      <w:r w:rsidR="008E3416">
        <w:t xml:space="preserve">generally </w:t>
      </w:r>
      <w:r w:rsidR="005F3CD3">
        <w:t xml:space="preserve">matter that a lesser form </w:t>
      </w:r>
      <w:r w:rsidR="005F3CD3">
        <w:lastRenderedPageBreak/>
        <w:t xml:space="preserve">of assistance could have been provided (eg seed grant versus loan), except where the resources lost would otherwise have meant </w:t>
      </w:r>
      <w:r w:rsidR="008E3416">
        <w:t xml:space="preserve">a material difference in the </w:t>
      </w:r>
      <w:r w:rsidR="005F3CD3">
        <w:t>support for the whole community</w:t>
      </w:r>
      <w:r w:rsidR="008E3416">
        <w:t xml:space="preserve"> such that questions might arise about whether the desired consequence is individual enrichment as opposed to community benefit</w:t>
      </w:r>
      <w:r w:rsidR="005F3CD3">
        <w:t>.</w:t>
      </w:r>
    </w:p>
    <w:p w14:paraId="6BE4290D" w14:textId="6692EA16" w:rsidR="00025C7F" w:rsidRPr="00025C7F" w:rsidRDefault="00025C7F" w:rsidP="00133BE0">
      <w:pPr>
        <w:spacing w:after="240"/>
        <w:jc w:val="both"/>
        <w:rPr>
          <w:i/>
          <w:lang w:val="en-US"/>
        </w:rPr>
      </w:pPr>
      <w:r w:rsidRPr="00025C7F">
        <w:rPr>
          <w:i/>
          <w:lang w:val="en-US"/>
        </w:rPr>
        <w:t>Public benefit</w:t>
      </w:r>
    </w:p>
    <w:p w14:paraId="3D985C60" w14:textId="011D677A" w:rsidR="00025C7F" w:rsidRDefault="00261031" w:rsidP="00133BE0">
      <w:pPr>
        <w:spacing w:after="240"/>
        <w:jc w:val="both"/>
        <w:rPr>
          <w:lang w:val="en-US"/>
        </w:rPr>
      </w:pPr>
      <w:r>
        <w:rPr>
          <w:lang w:val="en-US"/>
        </w:rPr>
        <w:t xml:space="preserve">What was not at issue in </w:t>
      </w:r>
      <w:r w:rsidRPr="00261031">
        <w:rPr>
          <w:i/>
          <w:lang w:val="en-US"/>
        </w:rPr>
        <w:t>Canterbury Development Corporation</w:t>
      </w:r>
      <w:r>
        <w:rPr>
          <w:lang w:val="en-US"/>
        </w:rPr>
        <w:t xml:space="preserve"> and </w:t>
      </w:r>
      <w:r w:rsidRPr="00261031">
        <w:rPr>
          <w:i/>
          <w:lang w:val="en-US"/>
        </w:rPr>
        <w:t>Queenstown Lakes</w:t>
      </w:r>
      <w:r>
        <w:rPr>
          <w:lang w:val="en-US"/>
        </w:rPr>
        <w:t>, but which is often at issue in the promotion of commerce cases</w:t>
      </w:r>
      <w:r w:rsidR="0081497F">
        <w:rPr>
          <w:lang w:val="en-US"/>
        </w:rPr>
        <w:t>,</w:t>
      </w:r>
      <w:r>
        <w:rPr>
          <w:lang w:val="en-US"/>
        </w:rPr>
        <w:t xml:space="preserve"> is whether members of an </w:t>
      </w:r>
      <w:proofErr w:type="spellStart"/>
      <w:r>
        <w:rPr>
          <w:lang w:val="en-US"/>
        </w:rPr>
        <w:t>organi</w:t>
      </w:r>
      <w:r w:rsidR="00A62EEA">
        <w:rPr>
          <w:lang w:val="en-US"/>
        </w:rPr>
        <w:t>s</w:t>
      </w:r>
      <w:r>
        <w:rPr>
          <w:lang w:val="en-US"/>
        </w:rPr>
        <w:t>ation</w:t>
      </w:r>
      <w:proofErr w:type="spellEnd"/>
      <w:r>
        <w:rPr>
          <w:lang w:val="en-US"/>
        </w:rPr>
        <w:t xml:space="preserve"> receive economic benefits </w:t>
      </w:r>
      <w:r w:rsidR="005F3CD3">
        <w:rPr>
          <w:lang w:val="en-US"/>
        </w:rPr>
        <w:t xml:space="preserve">in their capacity as members – thus amounting to breach of the not-for-profit requirement or </w:t>
      </w:r>
      <w:proofErr w:type="spellStart"/>
      <w:r w:rsidR="005F3CD3">
        <w:rPr>
          <w:lang w:val="en-US"/>
        </w:rPr>
        <w:t>characterisation</w:t>
      </w:r>
      <w:proofErr w:type="spellEnd"/>
      <w:r w:rsidR="005F3CD3">
        <w:rPr>
          <w:lang w:val="en-US"/>
        </w:rPr>
        <w:t xml:space="preserve"> of the entity’s purpose as being for the benefit of a private group rather than the public.</w:t>
      </w:r>
      <w:r w:rsidR="00B1698C">
        <w:rPr>
          <w:rStyle w:val="FootnoteReference"/>
          <w:lang w:val="en-US"/>
        </w:rPr>
        <w:footnoteReference w:id="52"/>
      </w:r>
      <w:r w:rsidR="005F3CD3">
        <w:rPr>
          <w:lang w:val="en-US"/>
        </w:rPr>
        <w:t xml:space="preserve"> </w:t>
      </w:r>
      <w:r w:rsidR="00AA4DB2">
        <w:rPr>
          <w:lang w:val="en-US"/>
        </w:rPr>
        <w:t>This</w:t>
      </w:r>
      <w:r w:rsidR="005F3CD3">
        <w:rPr>
          <w:lang w:val="en-US"/>
        </w:rPr>
        <w:t xml:space="preserve"> </w:t>
      </w:r>
      <w:r w:rsidR="00AA4DB2">
        <w:rPr>
          <w:lang w:val="en-US"/>
        </w:rPr>
        <w:t>actually appears a greater risk than the charitable purpose risk. That is because the Indigenous corporation in a BMS is often in the form of a charity and it has members, typically comprising most adult members of the Indigenous community, or else key representatives of most families that form the community.</w:t>
      </w:r>
      <w:r w:rsidR="00D5212F">
        <w:rPr>
          <w:rStyle w:val="FootnoteReference"/>
          <w:lang w:val="en-US"/>
        </w:rPr>
        <w:footnoteReference w:id="53"/>
      </w:r>
      <w:r w:rsidR="00AA4DB2">
        <w:rPr>
          <w:lang w:val="en-US"/>
        </w:rPr>
        <w:t xml:space="preserve"> </w:t>
      </w:r>
    </w:p>
    <w:p w14:paraId="36F823EF" w14:textId="0B2C7BC8" w:rsidR="00AA4DB2" w:rsidRDefault="00AA4DB2" w:rsidP="00AA4DB2">
      <w:pPr>
        <w:jc w:val="both"/>
        <w:rPr>
          <w:rFonts w:cs="Arial"/>
        </w:rPr>
      </w:pPr>
      <w:r>
        <w:rPr>
          <w:rFonts w:cs="Arial"/>
        </w:rPr>
        <w:t>C</w:t>
      </w:r>
      <w:r w:rsidRPr="0039425E">
        <w:rPr>
          <w:rFonts w:cs="Arial"/>
        </w:rPr>
        <w:t>harities must be for the benefit of a sufficient section of the public.</w:t>
      </w:r>
      <w:r w:rsidRPr="0039425E">
        <w:rPr>
          <w:rStyle w:val="FootnoteReference"/>
          <w:rFonts w:cs="Arial"/>
        </w:rPr>
        <w:footnoteReference w:id="54"/>
      </w:r>
      <w:r w:rsidRPr="0039425E">
        <w:rPr>
          <w:rFonts w:cs="Arial"/>
        </w:rPr>
        <w:t xml:space="preserve"> While a sufficient section of the public, at least at the federal level, may be interpreted to countenance a native title claim group, there are limits on the relevant provisions and they do not apply at the state and territory level, such that charitable trusts, to be valid, must meet the more restrictive test at common law.</w:t>
      </w:r>
      <w:bookmarkStart w:id="36" w:name="_Ref43898919"/>
      <w:r w:rsidRPr="0039425E">
        <w:rPr>
          <w:rStyle w:val="FootnoteReference"/>
          <w:rFonts w:cs="Arial"/>
        </w:rPr>
        <w:footnoteReference w:id="55"/>
      </w:r>
      <w:bookmarkEnd w:id="36"/>
      <w:r w:rsidRPr="0039425E">
        <w:rPr>
          <w:rFonts w:cs="Arial"/>
        </w:rPr>
        <w:t xml:space="preserve"> </w:t>
      </w:r>
      <w:r>
        <w:rPr>
          <w:rFonts w:cs="Arial"/>
        </w:rPr>
        <w:t>There are common law authorities which accept that Indigenous groups can amount to a section of the public, in contradistinction to traditional Western family groups, including groups of biological descendants from one or two named ancestors, potentially on the basis of being members of a group that holds communal rights in land.</w:t>
      </w:r>
      <w:bookmarkStart w:id="37" w:name="_Ref43898717"/>
      <w:r>
        <w:rPr>
          <w:rStyle w:val="FootnoteReference"/>
          <w:rFonts w:cs="Arial"/>
        </w:rPr>
        <w:footnoteReference w:id="56"/>
      </w:r>
      <w:bookmarkEnd w:id="37"/>
      <w:r>
        <w:rPr>
          <w:rFonts w:cs="Arial"/>
        </w:rPr>
        <w:t xml:space="preserve"> However, the authorities do not appear to include examples of very close family groupings as a section of the public. Many of the authorities are also relatively recent and the A</w:t>
      </w:r>
      <w:r w:rsidR="00A62EEA">
        <w:rPr>
          <w:rFonts w:cs="Arial"/>
        </w:rPr>
        <w:t xml:space="preserve">ustralian </w:t>
      </w:r>
      <w:r>
        <w:rPr>
          <w:rFonts w:cs="Arial"/>
        </w:rPr>
        <w:t>T</w:t>
      </w:r>
      <w:r w:rsidR="00A62EEA">
        <w:rPr>
          <w:rFonts w:cs="Arial"/>
        </w:rPr>
        <w:t xml:space="preserve">axation </w:t>
      </w:r>
      <w:r>
        <w:rPr>
          <w:rFonts w:cs="Arial"/>
        </w:rPr>
        <w:t>O</w:t>
      </w:r>
      <w:r w:rsidR="00A62EEA">
        <w:rPr>
          <w:rFonts w:cs="Arial"/>
        </w:rPr>
        <w:t>ffice</w:t>
      </w:r>
      <w:r>
        <w:rPr>
          <w:rFonts w:cs="Arial"/>
        </w:rPr>
        <w:t xml:space="preserve"> had historically viewed single native title claim/holding groups as not comprising a sufficient section of the public.</w:t>
      </w:r>
      <w:r>
        <w:rPr>
          <w:rStyle w:val="FootnoteReference"/>
          <w:rFonts w:cs="Arial"/>
        </w:rPr>
        <w:footnoteReference w:id="57"/>
      </w:r>
      <w:r>
        <w:rPr>
          <w:rFonts w:cs="Arial"/>
        </w:rPr>
        <w:t xml:space="preserve">  </w:t>
      </w:r>
    </w:p>
    <w:p w14:paraId="68875945" w14:textId="77777777" w:rsidR="00AA4DB2" w:rsidRDefault="00AA4DB2" w:rsidP="00AA4DB2">
      <w:pPr>
        <w:jc w:val="both"/>
        <w:rPr>
          <w:rFonts w:cs="Arial"/>
        </w:rPr>
      </w:pPr>
    </w:p>
    <w:p w14:paraId="2B7896EA" w14:textId="62C21CC2" w:rsidR="00AA4DB2" w:rsidRDefault="00AA4DB2" w:rsidP="00AA4DB2">
      <w:pPr>
        <w:jc w:val="both"/>
        <w:rPr>
          <w:rFonts w:cs="Arial"/>
        </w:rPr>
      </w:pPr>
      <w:r w:rsidRPr="0039425E">
        <w:rPr>
          <w:rFonts w:cs="Arial"/>
        </w:rPr>
        <w:t>Accordingly, it has been common for charities and public benevolent institutions that benefit Indigenous persons to phrase their objects as the pursuit of purposes in respect of Indigenous persons (including, but not limited to a native title group) in a particular geographic area.</w:t>
      </w:r>
      <w:r w:rsidRPr="0039425E">
        <w:rPr>
          <w:rFonts w:cs="Arial"/>
          <w:vertAlign w:val="superscript"/>
        </w:rPr>
        <w:footnoteReference w:id="58"/>
      </w:r>
      <w:r w:rsidRPr="0039425E">
        <w:rPr>
          <w:rFonts w:cs="Arial"/>
        </w:rPr>
        <w:t xml:space="preserve"> </w:t>
      </w:r>
    </w:p>
    <w:p w14:paraId="387DCE2B" w14:textId="04382F5E" w:rsidR="00AA4DB2" w:rsidRDefault="00AA4DB2" w:rsidP="00AA4DB2">
      <w:pPr>
        <w:jc w:val="both"/>
        <w:rPr>
          <w:rFonts w:cs="Arial"/>
        </w:rPr>
      </w:pPr>
    </w:p>
    <w:p w14:paraId="374188F8" w14:textId="402BA6C4" w:rsidR="00985354" w:rsidRPr="00985354" w:rsidRDefault="00AA4DB2" w:rsidP="00985354">
      <w:pPr>
        <w:jc w:val="both"/>
        <w:rPr>
          <w:rFonts w:cs="Arial"/>
        </w:rPr>
      </w:pPr>
      <w:r>
        <w:rPr>
          <w:rFonts w:cs="Arial"/>
        </w:rPr>
        <w:lastRenderedPageBreak/>
        <w:t>The non-distribution question has not, however, been much examined for Indigenous BMSs. It is of most risk for Indigenous corporations</w:t>
      </w:r>
      <w:r w:rsidR="0058094E">
        <w:rPr>
          <w:rFonts w:cs="Arial"/>
        </w:rPr>
        <w:t>, due to Indigenous community (or community representative) membership, as noted above</w:t>
      </w:r>
      <w:r>
        <w:rPr>
          <w:rFonts w:cs="Arial"/>
        </w:rPr>
        <w:t xml:space="preserve">. </w:t>
      </w:r>
      <w:r w:rsidRPr="00985354">
        <w:rPr>
          <w:rFonts w:cs="Arial"/>
        </w:rPr>
        <w:t xml:space="preserve">Charitable trusts do not have members, but BMS charitable trusts do have numerous Indigenous community officeholders and </w:t>
      </w:r>
      <w:r w:rsidRPr="00FD1B78">
        <w:rPr>
          <w:rFonts w:cs="Arial"/>
        </w:rPr>
        <w:t>the case law on the non-distribution constraint is unclear about the extent to which the principles apply beyond owners. There is some risk that they apply to distributions to (or for the benefit) of officeholders and employees</w:t>
      </w:r>
      <w:r w:rsidR="002267F3" w:rsidRPr="00FD1B78">
        <w:rPr>
          <w:rFonts w:cs="Arial"/>
        </w:rPr>
        <w:t xml:space="preserve"> to the extent that those distributions can be said to </w:t>
      </w:r>
      <w:r w:rsidR="00A62EEA">
        <w:rPr>
          <w:rFonts w:cs="Arial"/>
        </w:rPr>
        <w:t>go</w:t>
      </w:r>
      <w:r w:rsidR="002267F3" w:rsidRPr="00FD1B78">
        <w:rPr>
          <w:rFonts w:cs="Arial"/>
        </w:rPr>
        <w:t xml:space="preserve"> beyond reasonable remuneration</w:t>
      </w:r>
      <w:r w:rsidR="002267F3">
        <w:rPr>
          <w:rFonts w:cs="Arial"/>
        </w:rPr>
        <w:t xml:space="preserve"> for services rendered</w:t>
      </w:r>
      <w:r w:rsidRPr="00985354">
        <w:rPr>
          <w:rFonts w:cs="Arial"/>
        </w:rPr>
        <w:t>.</w:t>
      </w:r>
      <w:r w:rsidR="002267F3">
        <w:rPr>
          <w:rStyle w:val="FootnoteReference"/>
          <w:rFonts w:cs="Arial"/>
        </w:rPr>
        <w:footnoteReference w:id="59"/>
      </w:r>
      <w:r w:rsidR="002267F3">
        <w:rPr>
          <w:rFonts w:cs="Arial"/>
        </w:rPr>
        <w:t xml:space="preserve"> Alternatively, distributions to officeholders/employees might be characterised as being made because they are officeholders/employees rather than because they are potential recipients under the charitable trusts’ objects, thus being viewed as giving rise to a separate, non-charitable purpose.</w:t>
      </w:r>
      <w:r w:rsidR="002267F3">
        <w:rPr>
          <w:rStyle w:val="FootnoteReference"/>
          <w:rFonts w:cs="Arial"/>
        </w:rPr>
        <w:footnoteReference w:id="60"/>
      </w:r>
    </w:p>
    <w:p w14:paraId="3AE39D51" w14:textId="77777777" w:rsidR="00985354" w:rsidRDefault="00985354" w:rsidP="00985354">
      <w:pPr>
        <w:jc w:val="both"/>
        <w:rPr>
          <w:lang w:val="en-US"/>
        </w:rPr>
      </w:pPr>
    </w:p>
    <w:p w14:paraId="4EF60A44" w14:textId="10275AF7" w:rsidR="00025C7F" w:rsidRPr="00025C7F" w:rsidRDefault="00025C7F" w:rsidP="00133BE0">
      <w:pPr>
        <w:spacing w:after="240"/>
        <w:jc w:val="both"/>
        <w:rPr>
          <w:i/>
          <w:lang w:val="en-US"/>
        </w:rPr>
      </w:pPr>
      <w:r w:rsidRPr="00025C7F">
        <w:rPr>
          <w:i/>
          <w:lang w:val="en-US"/>
        </w:rPr>
        <w:t>Administrative practice</w:t>
      </w:r>
    </w:p>
    <w:p w14:paraId="7206002B" w14:textId="77777777" w:rsidR="00416250" w:rsidRDefault="00A25A68" w:rsidP="00133BE0">
      <w:pPr>
        <w:spacing w:after="240"/>
        <w:jc w:val="both"/>
        <w:rPr>
          <w:rFonts w:cs="Arial"/>
        </w:rPr>
      </w:pPr>
      <w:r>
        <w:rPr>
          <w:lang w:val="en-US"/>
        </w:rPr>
        <w:t xml:space="preserve">Some of the difficulties do not reflect the boundaries of </w:t>
      </w:r>
      <w:bookmarkStart w:id="38" w:name="charittrust412start"/>
      <w:r>
        <w:rPr>
          <w:lang w:val="en-US"/>
        </w:rPr>
        <w:t>charity law</w:t>
      </w:r>
      <w:bookmarkEnd w:id="38"/>
      <w:r>
        <w:rPr>
          <w:lang w:val="en-US"/>
        </w:rPr>
        <w:t>, but rather represent psychological, administrative and other practical difficulties in obtaining certainty about new ways of doing charity.</w:t>
      </w:r>
      <w:r w:rsidR="00AD2191">
        <w:rPr>
          <w:lang w:val="en-US"/>
        </w:rPr>
        <w:t xml:space="preserve"> In particular, t</w:t>
      </w:r>
      <w:r w:rsidR="00985354">
        <w:rPr>
          <w:rFonts w:cs="Arial"/>
        </w:rPr>
        <w:t xml:space="preserve">here are dire consequences of failing some of the requirements set out above. For example, failing to meet the </w:t>
      </w:r>
      <w:r w:rsidR="00416250">
        <w:rPr>
          <w:rFonts w:cs="Arial"/>
        </w:rPr>
        <w:t xml:space="preserve">charitable purpose test or the </w:t>
      </w:r>
      <w:r w:rsidR="00985354">
        <w:rPr>
          <w:rFonts w:cs="Arial"/>
        </w:rPr>
        <w:t xml:space="preserve">section of the public test </w:t>
      </w:r>
      <w:r w:rsidR="00416250">
        <w:rPr>
          <w:rFonts w:cs="Arial"/>
        </w:rPr>
        <w:t xml:space="preserve">would </w:t>
      </w:r>
      <w:r w:rsidR="00985354">
        <w:rPr>
          <w:rFonts w:cs="Arial"/>
        </w:rPr>
        <w:t>render a charitable trust invalid, let alone ineligible for tax concessions such as income tax exemption.</w:t>
      </w:r>
      <w:r w:rsidR="00B1187E">
        <w:rPr>
          <w:rStyle w:val="FootnoteReference"/>
          <w:rFonts w:cs="Arial"/>
        </w:rPr>
        <w:footnoteReference w:id="61"/>
      </w:r>
      <w:r w:rsidR="00985354">
        <w:rPr>
          <w:rFonts w:cs="Arial"/>
        </w:rPr>
        <w:t xml:space="preserve"> </w:t>
      </w:r>
    </w:p>
    <w:p w14:paraId="13517BD7" w14:textId="724E6830" w:rsidR="00416250" w:rsidRDefault="00416250" w:rsidP="00133BE0">
      <w:pPr>
        <w:spacing w:after="240"/>
        <w:jc w:val="both"/>
        <w:rPr>
          <w:lang w:val="en-US"/>
        </w:rPr>
      </w:pPr>
      <w:r>
        <w:rPr>
          <w:rFonts w:cs="Arial"/>
        </w:rPr>
        <w:t xml:space="preserve">Yet, given the incomplete state of the law, uncertainty is likely to arise for key issues. In particular, narrowing </w:t>
      </w:r>
      <w:r w:rsidR="00985354">
        <w:rPr>
          <w:rFonts w:cs="Arial"/>
        </w:rPr>
        <w:t xml:space="preserve">the group who </w:t>
      </w:r>
      <w:r>
        <w:rPr>
          <w:rFonts w:cs="Arial"/>
        </w:rPr>
        <w:t xml:space="preserve">potentially </w:t>
      </w:r>
      <w:r w:rsidR="00985354">
        <w:rPr>
          <w:rFonts w:cs="Arial"/>
        </w:rPr>
        <w:t xml:space="preserve">benefits </w:t>
      </w:r>
      <w:r>
        <w:rPr>
          <w:rFonts w:cs="Arial"/>
        </w:rPr>
        <w:t xml:space="preserve">to a relatively small native title group would raise real questions about whether a valid charitable trust exists. </w:t>
      </w:r>
      <w:r w:rsidR="00891C8F">
        <w:rPr>
          <w:lang w:val="en-US"/>
        </w:rPr>
        <w:t xml:space="preserve">In addition, many economic development activities are fairly novel. This </w:t>
      </w:r>
      <w:r w:rsidR="00AD2191">
        <w:rPr>
          <w:lang w:val="en-US"/>
        </w:rPr>
        <w:t xml:space="preserve">novelty is likely to </w:t>
      </w:r>
      <w:r w:rsidR="00891C8F">
        <w:rPr>
          <w:lang w:val="en-US"/>
        </w:rPr>
        <w:t>fuel desire for certainty about the specific means adopted, even if it is broadly true that charity law permits economic development activities</w:t>
      </w:r>
      <w:r>
        <w:rPr>
          <w:lang w:val="en-US"/>
        </w:rPr>
        <w:t xml:space="preserve"> that address disadvantage or promote commerce. An example of the </w:t>
      </w:r>
      <w:r w:rsidR="007754FC">
        <w:rPr>
          <w:lang w:val="en-US"/>
        </w:rPr>
        <w:t xml:space="preserve">circumstance-specific </w:t>
      </w:r>
      <w:r>
        <w:rPr>
          <w:lang w:val="en-US"/>
        </w:rPr>
        <w:t>distinctions</w:t>
      </w:r>
      <w:r w:rsidR="007754FC">
        <w:rPr>
          <w:lang w:val="en-US"/>
        </w:rPr>
        <w:t xml:space="preserve"> that might be made (and difficulty in providing generally applicable guidance)</w:t>
      </w:r>
      <w:r>
        <w:rPr>
          <w:lang w:val="en-US"/>
        </w:rPr>
        <w:t xml:space="preserve"> is provided by the ACNC Commissioner’s Interpretation Statement </w:t>
      </w:r>
      <w:r w:rsidR="007754FC">
        <w:rPr>
          <w:lang w:val="en-US"/>
        </w:rPr>
        <w:t>on the provision of housing to those in need of housing assistance, which, while accepting that the provision of housing may come within a number of charitable purposes, states:</w:t>
      </w:r>
      <w:r w:rsidR="00891C8F">
        <w:rPr>
          <w:rStyle w:val="FootnoteReference"/>
          <w:lang w:val="en-US"/>
        </w:rPr>
        <w:footnoteReference w:id="62"/>
      </w:r>
      <w:r w:rsidR="00891C8F">
        <w:rPr>
          <w:lang w:val="en-US"/>
        </w:rPr>
        <w:t xml:space="preserve"> </w:t>
      </w:r>
    </w:p>
    <w:p w14:paraId="58253D8C" w14:textId="6E6DE071" w:rsidR="007754FC" w:rsidRPr="007754FC" w:rsidRDefault="007754FC" w:rsidP="007754FC">
      <w:pPr>
        <w:spacing w:after="240"/>
        <w:ind w:left="720"/>
        <w:jc w:val="both"/>
        <w:rPr>
          <w:sz w:val="22"/>
          <w:szCs w:val="22"/>
          <w:lang w:val="en-US"/>
        </w:rPr>
      </w:pPr>
      <w:r w:rsidRPr="007754FC">
        <w:rPr>
          <w:sz w:val="22"/>
          <w:szCs w:val="22"/>
        </w:rPr>
        <w:t>It is possible that a charity could operate rent-to-buy or shared equity housing purchase schemes. However, such housing schemes would be assessed on a case-by-case basis to ensure that the solely charitable purpose of the charity remains.</w:t>
      </w:r>
    </w:p>
    <w:p w14:paraId="1CD6112B" w14:textId="438C2ADF" w:rsidR="00B049A1" w:rsidRDefault="00891C8F" w:rsidP="00962DD5">
      <w:pPr>
        <w:spacing w:after="240"/>
        <w:jc w:val="both"/>
        <w:rPr>
          <w:rFonts w:cs="Arial"/>
        </w:rPr>
      </w:pPr>
      <w:r>
        <w:rPr>
          <w:lang w:val="en-US"/>
        </w:rPr>
        <w:t xml:space="preserve">Certainty could be </w:t>
      </w:r>
      <w:r w:rsidR="00AD2191">
        <w:rPr>
          <w:lang w:val="en-US"/>
        </w:rPr>
        <w:t xml:space="preserve">provided </w:t>
      </w:r>
      <w:r w:rsidR="00962DD5">
        <w:rPr>
          <w:lang w:val="en-US"/>
        </w:rPr>
        <w:t>through various mechanisms</w:t>
      </w:r>
      <w:r w:rsidR="00962DD5" w:rsidRPr="00962DD5">
        <w:rPr>
          <w:lang w:val="en-US"/>
        </w:rPr>
        <w:t xml:space="preserve">. </w:t>
      </w:r>
      <w:r w:rsidRPr="00962DD5">
        <w:rPr>
          <w:lang w:val="en-US"/>
        </w:rPr>
        <w:t xml:space="preserve">For instance, </w:t>
      </w:r>
      <w:r w:rsidR="00962DD5" w:rsidRPr="00962DD5">
        <w:rPr>
          <w:rFonts w:cs="Arial"/>
        </w:rPr>
        <w:t>the trustees of a charitable trust could seek a declaration from the relevant court as to the validity of a charitable trust soon after its creation. However, this would be a very expensive</w:t>
      </w:r>
      <w:r w:rsidR="00962DD5">
        <w:rPr>
          <w:rFonts w:cs="Arial"/>
        </w:rPr>
        <w:t xml:space="preserve"> and slow process, especially if the court determined that the trust was invalid so that the Indigenous community would need to start over. </w:t>
      </w:r>
      <w:r w:rsidR="00207124">
        <w:rPr>
          <w:rFonts w:cs="Arial"/>
        </w:rPr>
        <w:t xml:space="preserve">A test </w:t>
      </w:r>
      <w:r w:rsidR="00962DD5">
        <w:rPr>
          <w:rFonts w:cs="Arial"/>
        </w:rPr>
        <w:t>case</w:t>
      </w:r>
      <w:r w:rsidR="00207124">
        <w:rPr>
          <w:rFonts w:cs="Arial"/>
        </w:rPr>
        <w:t xml:space="preserve"> </w:t>
      </w:r>
      <w:r w:rsidR="00962DD5">
        <w:rPr>
          <w:rFonts w:cs="Arial"/>
        </w:rPr>
        <w:t xml:space="preserve">funding programme to help determine </w:t>
      </w:r>
      <w:r w:rsidR="00962DD5">
        <w:rPr>
          <w:rFonts w:cs="Arial"/>
        </w:rPr>
        <w:lastRenderedPageBreak/>
        <w:t xml:space="preserve">validity or permissibility under a valid charity of carrying out economic development activities might help address the costs issue (though it would still absorb the time and energy of trustees or directors). </w:t>
      </w:r>
      <w:r w:rsidR="00207124">
        <w:rPr>
          <w:rFonts w:cs="Arial"/>
        </w:rPr>
        <w:t xml:space="preserve">Such a programme was instrumental to Australia’s previous de-facto charity regulator, the Australian Tax Office, pursuing </w:t>
      </w:r>
      <w:r w:rsidR="004F02F1">
        <w:rPr>
          <w:rFonts w:cs="Arial"/>
        </w:rPr>
        <w:t xml:space="preserve">many </w:t>
      </w:r>
      <w:r w:rsidR="00207124">
        <w:rPr>
          <w:rFonts w:cs="Arial"/>
        </w:rPr>
        <w:t>charity cases</w:t>
      </w:r>
      <w:r w:rsidR="00F85995">
        <w:rPr>
          <w:rFonts w:cs="Arial"/>
        </w:rPr>
        <w:t xml:space="preserve"> in Australia’s highest and senior appellate courts</w:t>
      </w:r>
      <w:r w:rsidR="00207124">
        <w:rPr>
          <w:rFonts w:cs="Arial"/>
        </w:rPr>
        <w:t>,</w:t>
      </w:r>
      <w:r w:rsidR="004F02F1">
        <w:rPr>
          <w:rStyle w:val="FootnoteReference"/>
          <w:rFonts w:cs="Arial"/>
        </w:rPr>
        <w:footnoteReference w:id="63"/>
      </w:r>
      <w:r w:rsidR="00207124">
        <w:rPr>
          <w:rFonts w:cs="Arial"/>
        </w:rPr>
        <w:t xml:space="preserve"> and has been </w:t>
      </w:r>
      <w:r w:rsidR="001F643F">
        <w:rPr>
          <w:rFonts w:cs="Arial"/>
        </w:rPr>
        <w:t xml:space="preserve">proposed </w:t>
      </w:r>
      <w:r w:rsidR="00F66CAB">
        <w:rPr>
          <w:rFonts w:cs="Arial"/>
        </w:rPr>
        <w:t>in a recent review of Australia’s new chief charity regulator, the ACNC</w:t>
      </w:r>
      <w:r w:rsidR="001F643F">
        <w:rPr>
          <w:rFonts w:cs="Arial"/>
        </w:rPr>
        <w:t>.</w:t>
      </w:r>
      <w:r w:rsidR="001F643F">
        <w:rPr>
          <w:rStyle w:val="FootnoteReference"/>
          <w:rFonts w:cs="Arial"/>
        </w:rPr>
        <w:footnoteReference w:id="64"/>
      </w:r>
      <w:r w:rsidR="00207124">
        <w:rPr>
          <w:rFonts w:cs="Arial"/>
        </w:rPr>
        <w:t xml:space="preserve"> </w:t>
      </w:r>
      <w:r w:rsidR="00863E3D">
        <w:rPr>
          <w:rFonts w:cs="Arial"/>
        </w:rPr>
        <w:t xml:space="preserve">Interestingly, the government has so far rejected proposals for test case funding in favour of ‘legislative options to address uncertainty in </w:t>
      </w:r>
      <w:r w:rsidR="00B049A1">
        <w:rPr>
          <w:rFonts w:cs="Arial"/>
        </w:rPr>
        <w:t>[charity]</w:t>
      </w:r>
      <w:r w:rsidR="00863E3D">
        <w:rPr>
          <w:rFonts w:cs="Arial"/>
        </w:rPr>
        <w:t xml:space="preserve"> law’.</w:t>
      </w:r>
      <w:r w:rsidR="00863E3D">
        <w:rPr>
          <w:rStyle w:val="FootnoteReference"/>
          <w:rFonts w:cs="Arial"/>
        </w:rPr>
        <w:footnoteReference w:id="65"/>
      </w:r>
      <w:r w:rsidR="00207124">
        <w:rPr>
          <w:rFonts w:cs="Arial"/>
        </w:rPr>
        <w:t xml:space="preserve"> </w:t>
      </w:r>
    </w:p>
    <w:p w14:paraId="17418993" w14:textId="5F9FDF14" w:rsidR="00962DD5" w:rsidRDefault="00B049A1" w:rsidP="00962DD5">
      <w:pPr>
        <w:spacing w:after="240"/>
        <w:jc w:val="both"/>
        <w:rPr>
          <w:lang w:val="en-US"/>
        </w:rPr>
      </w:pPr>
      <w:r w:rsidRPr="00B049A1">
        <w:rPr>
          <w:rFonts w:cs="Arial"/>
        </w:rPr>
        <w:t>Obtaining a</w:t>
      </w:r>
      <w:proofErr w:type="spellStart"/>
      <w:r w:rsidR="00962DD5" w:rsidRPr="00B049A1">
        <w:rPr>
          <w:lang w:val="en-US"/>
        </w:rPr>
        <w:t>dministrative</w:t>
      </w:r>
      <w:proofErr w:type="spellEnd"/>
      <w:r w:rsidR="00962DD5" w:rsidRPr="00B049A1">
        <w:rPr>
          <w:lang w:val="en-US"/>
        </w:rPr>
        <w:t xml:space="preserve"> guidance</w:t>
      </w:r>
      <w:r w:rsidRPr="00B049A1">
        <w:rPr>
          <w:lang w:val="en-US"/>
        </w:rPr>
        <w:t xml:space="preserve"> from the relevant regulator, at the federal level, the ACNC, could also help</w:t>
      </w:r>
      <w:r w:rsidRPr="00B049A1">
        <w:rPr>
          <w:rStyle w:val="FootnoteReference"/>
          <w:lang w:val="en-US"/>
        </w:rPr>
        <w:footnoteReference w:id="66"/>
      </w:r>
      <w:r w:rsidRPr="00B049A1">
        <w:rPr>
          <w:lang w:val="en-US"/>
        </w:rPr>
        <w:t xml:space="preserve"> and the ACNC has issued such guidance, in the form of a ‘Commissioner’s Interpretation Statement’ relating to Indigenous Charities</w:t>
      </w:r>
      <w:r w:rsidR="00962DD5" w:rsidRPr="00B049A1">
        <w:rPr>
          <w:lang w:val="en-US"/>
        </w:rPr>
        <w:t>.</w:t>
      </w:r>
      <w:r w:rsidRPr="00B049A1">
        <w:rPr>
          <w:rStyle w:val="FootnoteReference"/>
          <w:lang w:val="en-US"/>
        </w:rPr>
        <w:footnoteReference w:id="67"/>
      </w:r>
      <w:r w:rsidR="00962DD5" w:rsidRPr="00B049A1">
        <w:rPr>
          <w:lang w:val="en-US"/>
        </w:rPr>
        <w:t xml:space="preserve"> </w:t>
      </w:r>
      <w:r w:rsidRPr="00B049A1">
        <w:rPr>
          <w:lang w:val="en-US"/>
        </w:rPr>
        <w:t xml:space="preserve">However, the Commissioner’s Interpretation Statement does not explore the range of permissible Indigenous economic development activities. Nor </w:t>
      </w:r>
      <w:r w:rsidR="001144D4">
        <w:rPr>
          <w:lang w:val="en-US"/>
        </w:rPr>
        <w:t>would</w:t>
      </w:r>
      <w:r w:rsidRPr="00B049A1">
        <w:rPr>
          <w:lang w:val="en-US"/>
        </w:rPr>
        <w:t xml:space="preserve"> it or any </w:t>
      </w:r>
      <w:r w:rsidR="001144D4">
        <w:rPr>
          <w:lang w:val="en-US"/>
        </w:rPr>
        <w:t xml:space="preserve">further </w:t>
      </w:r>
      <w:r w:rsidRPr="00B049A1">
        <w:rPr>
          <w:lang w:val="en-US"/>
        </w:rPr>
        <w:t xml:space="preserve">Commissioner’s Interpretation Statement </w:t>
      </w:r>
      <w:r w:rsidR="001144D4">
        <w:rPr>
          <w:lang w:val="en-US"/>
        </w:rPr>
        <w:t xml:space="preserve">generally be </w:t>
      </w:r>
      <w:r w:rsidRPr="00B049A1">
        <w:rPr>
          <w:lang w:val="en-US"/>
        </w:rPr>
        <w:t>binding on the ACNC</w:t>
      </w:r>
      <w:r w:rsidR="00962DD5" w:rsidRPr="00B049A1">
        <w:rPr>
          <w:lang w:val="en-US"/>
        </w:rPr>
        <w:t>.</w:t>
      </w:r>
      <w:r w:rsidR="001144D4">
        <w:rPr>
          <w:rStyle w:val="FootnoteReference"/>
          <w:lang w:val="en-US"/>
        </w:rPr>
        <w:footnoteReference w:id="68"/>
      </w:r>
      <w:r w:rsidR="008A516D">
        <w:rPr>
          <w:lang w:val="en-US"/>
        </w:rPr>
        <w:t xml:space="preserve"> </w:t>
      </w:r>
      <w:r w:rsidR="008038B9">
        <w:rPr>
          <w:lang w:val="en-US"/>
        </w:rPr>
        <w:t>Guidance from state or territory Attorneys-General would likely be even harder to obtain, since they do not typically have administrative practices of providing such public guidance, and similar issue</w:t>
      </w:r>
      <w:r w:rsidR="00853BB0">
        <w:rPr>
          <w:lang w:val="en-US"/>
        </w:rPr>
        <w:t>s</w:t>
      </w:r>
      <w:r w:rsidR="008038B9">
        <w:rPr>
          <w:lang w:val="en-US"/>
        </w:rPr>
        <w:t xml:space="preserve"> with reliance would arise</w:t>
      </w:r>
      <w:r w:rsidR="008038B9" w:rsidRPr="007552D1">
        <w:rPr>
          <w:lang w:val="en-US"/>
        </w:rPr>
        <w:t>.</w:t>
      </w:r>
      <w:r w:rsidR="00962DD5" w:rsidRPr="007552D1">
        <w:rPr>
          <w:lang w:val="en-US"/>
        </w:rPr>
        <w:t xml:space="preserve"> This</w:t>
      </w:r>
      <w:r w:rsidR="008038B9" w:rsidRPr="007552D1">
        <w:rPr>
          <w:lang w:val="en-US"/>
        </w:rPr>
        <w:t xml:space="preserve"> presents </w:t>
      </w:r>
      <w:r w:rsidR="00962DD5" w:rsidRPr="007552D1">
        <w:rPr>
          <w:lang w:val="en-US"/>
        </w:rPr>
        <w:t xml:space="preserve">a stark </w:t>
      </w:r>
      <w:r w:rsidR="008038B9" w:rsidRPr="007552D1">
        <w:rPr>
          <w:lang w:val="en-US"/>
        </w:rPr>
        <w:t xml:space="preserve">contrast with the Australian Taxation Office, </w:t>
      </w:r>
      <w:r w:rsidR="007552D1" w:rsidRPr="007552D1">
        <w:rPr>
          <w:lang w:val="en-US"/>
        </w:rPr>
        <w:t>for which a statutory regime provides a process of binding public and private administrative rulings.</w:t>
      </w:r>
      <w:r w:rsidR="007552D1" w:rsidRPr="007552D1">
        <w:rPr>
          <w:rStyle w:val="FootnoteReference"/>
          <w:lang w:val="en-US"/>
        </w:rPr>
        <w:footnoteReference w:id="69"/>
      </w:r>
    </w:p>
    <w:p w14:paraId="2CF0B0EF" w14:textId="47FA237B" w:rsidR="00891C8F" w:rsidRDefault="00962DD5" w:rsidP="00133BE0">
      <w:pPr>
        <w:spacing w:after="240"/>
        <w:jc w:val="both"/>
        <w:rPr>
          <w:lang w:val="en-US"/>
        </w:rPr>
      </w:pPr>
      <w:r>
        <w:rPr>
          <w:lang w:val="en-US"/>
        </w:rPr>
        <w:t xml:space="preserve">Further, quite apart from obtaining legal certainty, if Indigenous charities engage in novel economic development activities, additional resources would also be required </w:t>
      </w:r>
      <w:r w:rsidR="00891C8F">
        <w:rPr>
          <w:lang w:val="en-US"/>
        </w:rPr>
        <w:t xml:space="preserve">to develop </w:t>
      </w:r>
      <w:r>
        <w:rPr>
          <w:lang w:val="en-US"/>
        </w:rPr>
        <w:t xml:space="preserve">and implement internal </w:t>
      </w:r>
      <w:r w:rsidR="00891C8F">
        <w:rPr>
          <w:lang w:val="en-US"/>
        </w:rPr>
        <w:t>policies and procedures.</w:t>
      </w:r>
    </w:p>
    <w:p w14:paraId="0A77F7D8" w14:textId="74035834" w:rsidR="00A25A68" w:rsidRPr="00374CB2" w:rsidRDefault="00A25A68" w:rsidP="00A25A68">
      <w:pPr>
        <w:pStyle w:val="Heading1"/>
        <w:numPr>
          <w:ilvl w:val="1"/>
          <w:numId w:val="28"/>
        </w:numPr>
        <w:ind w:left="431" w:hanging="431"/>
        <w:rPr>
          <w:rFonts w:ascii="Times New Roman" w:hAnsi="Times New Roman" w:cs="Times New Roman"/>
          <w:color w:val="auto"/>
          <w:sz w:val="24"/>
          <w:szCs w:val="24"/>
        </w:rPr>
      </w:pPr>
      <w:bookmarkStart w:id="39" w:name="_Ref43477321"/>
      <w:bookmarkStart w:id="40" w:name="_Ref29567881"/>
      <w:r>
        <w:rPr>
          <w:rFonts w:ascii="Times New Roman" w:hAnsi="Times New Roman" w:cs="Times New Roman"/>
          <w:b w:val="0"/>
          <w:i/>
          <w:color w:val="auto"/>
          <w:sz w:val="24"/>
          <w:szCs w:val="24"/>
        </w:rPr>
        <w:t>Complexity</w:t>
      </w:r>
      <w:bookmarkEnd w:id="39"/>
      <w:r>
        <w:rPr>
          <w:rFonts w:ascii="Times New Roman" w:hAnsi="Times New Roman" w:cs="Times New Roman"/>
          <w:b w:val="0"/>
          <w:i/>
          <w:color w:val="auto"/>
          <w:sz w:val="24"/>
          <w:szCs w:val="24"/>
        </w:rPr>
        <w:t xml:space="preserve"> </w:t>
      </w:r>
      <w:bookmarkEnd w:id="40"/>
    </w:p>
    <w:p w14:paraId="129C6787" w14:textId="45AC4123" w:rsidR="005E385E" w:rsidRDefault="008B40B0" w:rsidP="00932B1F">
      <w:pPr>
        <w:spacing w:after="240"/>
        <w:jc w:val="both"/>
      </w:pPr>
      <w:r w:rsidRPr="007B0547">
        <w:t>The inclusion of a discretionary trust</w:t>
      </w:r>
      <w:r>
        <w:t xml:space="preserve"> (see Part </w:t>
      </w:r>
      <w:r>
        <w:fldChar w:fldCharType="begin"/>
      </w:r>
      <w:r>
        <w:instrText xml:space="preserve"> REF _Ref42769236 \r \h </w:instrText>
      </w:r>
      <w:r>
        <w:fldChar w:fldCharType="separate"/>
      </w:r>
      <w:r w:rsidR="00D70136">
        <w:t>2</w:t>
      </w:r>
      <w:r>
        <w:fldChar w:fldCharType="end"/>
      </w:r>
      <w:r>
        <w:t>)</w:t>
      </w:r>
      <w:r w:rsidRPr="007B0547">
        <w:t xml:space="preserve"> addresses charitable trust disadvantages to some extent, permitting distributions to Indigenous community members or others without any charitable purpose limit</w:t>
      </w:r>
      <w:r>
        <w:t xml:space="preserve"> – eg in pursuit of economic development – </w:t>
      </w:r>
      <w:r w:rsidRPr="007B0547">
        <w:t>as well as the ability to distribute assets only to native title holders/claimants, rather than a broader section of the community.</w:t>
      </w:r>
      <w:r w:rsidRPr="007B0547">
        <w:rPr>
          <w:vertAlign w:val="superscript"/>
        </w:rPr>
        <w:footnoteReference w:id="70"/>
      </w:r>
      <w:r w:rsidRPr="007B0547">
        <w:t xml:space="preserve"> </w:t>
      </w:r>
      <w:r>
        <w:t xml:space="preserve">Using a discretionary trust also enables BMSs to fulfil dual functions of managing and distributing assets and financial returns for individual native title group members, as well as pursuing community purposes (see Part </w:t>
      </w:r>
      <w:r>
        <w:fldChar w:fldCharType="begin"/>
      </w:r>
      <w:r>
        <w:instrText xml:space="preserve"> REF _Ref22654258 \r \h </w:instrText>
      </w:r>
      <w:r>
        <w:fldChar w:fldCharType="separate"/>
      </w:r>
      <w:r w:rsidR="00D70136">
        <w:t>2.2</w:t>
      </w:r>
      <w:r>
        <w:fldChar w:fldCharType="end"/>
      </w:r>
      <w:r>
        <w:t>).</w:t>
      </w:r>
    </w:p>
    <w:p w14:paraId="651E206D" w14:textId="77777777" w:rsidR="008B40B0" w:rsidRDefault="008B40B0" w:rsidP="005E385E"/>
    <w:p w14:paraId="6FB488C6" w14:textId="7EFF8013" w:rsidR="00B774D4" w:rsidRDefault="008B40B0" w:rsidP="00932B1F">
      <w:pPr>
        <w:spacing w:after="240"/>
        <w:jc w:val="both"/>
        <w:rPr>
          <w:rFonts w:cs="Arial"/>
        </w:rPr>
      </w:pPr>
      <w:r>
        <w:lastRenderedPageBreak/>
        <w:t>This use of both charitable and non-charitable trusts or entities within BMSs is a material factor exacerbating complexity. To be sure, there are also other causes of complexity. A</w:t>
      </w:r>
      <w:r w:rsidR="007552D1" w:rsidRPr="007552D1">
        <w:t>s identified by Murray, Fardin and O’Hara, customisation of BMSs to each Indigenous community is critical in order to take account</w:t>
      </w:r>
      <w:r w:rsidR="00B0659B" w:rsidRPr="007552D1">
        <w:t xml:space="preserve"> of </w:t>
      </w:r>
      <w:r w:rsidR="007552D1" w:rsidRPr="007552D1">
        <w:t xml:space="preserve">community </w:t>
      </w:r>
      <w:r w:rsidR="00B0659B" w:rsidRPr="007552D1">
        <w:t xml:space="preserve">differences </w:t>
      </w:r>
      <w:r w:rsidR="007552D1" w:rsidRPr="007552D1">
        <w:t xml:space="preserve">such as </w:t>
      </w:r>
      <w:r w:rsidR="00B0659B" w:rsidRPr="007552D1">
        <w:t xml:space="preserve">capacity, size, </w:t>
      </w:r>
      <w:r w:rsidR="00B0659B" w:rsidRPr="007552D1">
        <w:rPr>
          <w:rFonts w:cs="Arial"/>
          <w:color w:val="000000"/>
        </w:rPr>
        <w:t>geographical dispersion, aspirations, organisational culture</w:t>
      </w:r>
      <w:r w:rsidR="00B0659B" w:rsidRPr="007552D1">
        <w:t xml:space="preserve"> and funding of groups and variations in the content and distribution of native title rights.</w:t>
      </w:r>
      <w:r w:rsidR="007552D1" w:rsidRPr="007552D1">
        <w:rPr>
          <w:rStyle w:val="FootnoteReference"/>
        </w:rPr>
        <w:footnoteReference w:id="71"/>
      </w:r>
      <w:r w:rsidR="00B0659B" w:rsidRPr="007552D1">
        <w:t xml:space="preserve"> </w:t>
      </w:r>
      <w:r w:rsidR="00734908">
        <w:t>Logically, this entail</w:t>
      </w:r>
      <w:r w:rsidR="00B06614">
        <w:t>s</w:t>
      </w:r>
      <w:r w:rsidR="00734908">
        <w:t xml:space="preserve"> some complexity.</w:t>
      </w:r>
      <w:r w:rsidR="00734908">
        <w:rPr>
          <w:rStyle w:val="FootnoteReference"/>
        </w:rPr>
        <w:footnoteReference w:id="72"/>
      </w:r>
      <w:r w:rsidR="00734908">
        <w:t xml:space="preserve"> Further, partitioning decision-making and asset-protection functions</w:t>
      </w:r>
      <w:r w:rsidR="00955D9D">
        <w:t xml:space="preserve"> in order to strengthen capacity building and governance whilst maintaining autonomy</w:t>
      </w:r>
      <w:r w:rsidR="00734908">
        <w:t xml:space="preserve"> (as outlined in Part </w:t>
      </w:r>
      <w:r w:rsidR="00734908">
        <w:fldChar w:fldCharType="begin"/>
      </w:r>
      <w:r w:rsidR="00734908">
        <w:instrText xml:space="preserve"> REF _Ref42768690 \r \h </w:instrText>
      </w:r>
      <w:r w:rsidR="00734908">
        <w:fldChar w:fldCharType="separate"/>
      </w:r>
      <w:r w:rsidR="00D70136">
        <w:t>2.1</w:t>
      </w:r>
      <w:r w:rsidR="00734908">
        <w:fldChar w:fldCharType="end"/>
      </w:r>
      <w:r w:rsidR="00734908">
        <w:t>)</w:t>
      </w:r>
      <w:r w:rsidR="00955D9D">
        <w:t>,</w:t>
      </w:r>
      <w:r w:rsidR="00734908">
        <w:t xml:space="preserve"> can result in </w:t>
      </w:r>
      <w:r w:rsidR="00B774D4" w:rsidRPr="00230A49">
        <w:rPr>
          <w:rFonts w:cs="Arial"/>
        </w:rPr>
        <w:t xml:space="preserve">a </w:t>
      </w:r>
      <w:r w:rsidR="00230A49" w:rsidRPr="00230A49">
        <w:rPr>
          <w:rFonts w:cs="Arial"/>
        </w:rPr>
        <w:t xml:space="preserve">number of </w:t>
      </w:r>
      <w:r w:rsidR="00230A49">
        <w:rPr>
          <w:rFonts w:cs="Arial"/>
        </w:rPr>
        <w:t xml:space="preserve">overlapping </w:t>
      </w:r>
      <w:r w:rsidR="00230A49" w:rsidRPr="00230A49">
        <w:rPr>
          <w:rFonts w:cs="Arial"/>
        </w:rPr>
        <w:t xml:space="preserve">decision-making </w:t>
      </w:r>
      <w:r w:rsidR="00B06614">
        <w:rPr>
          <w:rFonts w:cs="Arial"/>
        </w:rPr>
        <w:t>bodies</w:t>
      </w:r>
      <w:r w:rsidR="00734908">
        <w:rPr>
          <w:rFonts w:cs="Arial"/>
        </w:rPr>
        <w:t xml:space="preserve">, which itself can entail </w:t>
      </w:r>
      <w:r w:rsidR="00955D9D">
        <w:rPr>
          <w:rFonts w:cs="Arial"/>
        </w:rPr>
        <w:t>significant</w:t>
      </w:r>
      <w:r w:rsidR="00734908">
        <w:rPr>
          <w:rFonts w:cs="Arial"/>
        </w:rPr>
        <w:t xml:space="preserve"> complexity</w:t>
      </w:r>
      <w:r w:rsidR="00B774D4" w:rsidRPr="00230A49">
        <w:rPr>
          <w:rFonts w:cs="Arial"/>
        </w:rPr>
        <w:t>.</w:t>
      </w:r>
      <w:r w:rsidR="00734908">
        <w:rPr>
          <w:rStyle w:val="FootnoteReference"/>
          <w:rFonts w:cs="Arial"/>
        </w:rPr>
        <w:footnoteReference w:id="73"/>
      </w:r>
      <w:r w:rsidR="00B774D4" w:rsidRPr="00B774D4">
        <w:rPr>
          <w:rFonts w:cs="Arial"/>
        </w:rPr>
        <w:t xml:space="preserve"> </w:t>
      </w:r>
    </w:p>
    <w:p w14:paraId="2E799FB6" w14:textId="35AAC9BF" w:rsidR="00EC7188" w:rsidRDefault="00955D9D" w:rsidP="00932B1F">
      <w:pPr>
        <w:spacing w:after="240"/>
        <w:jc w:val="both"/>
      </w:pPr>
      <w:r w:rsidRPr="008B40B0">
        <w:t xml:space="preserve">It may therefore be unreasonable to expect that many BMSs could be simple structures. </w:t>
      </w:r>
      <w:r w:rsidR="008B40B0" w:rsidRPr="008B40B0">
        <w:t xml:space="preserve">Nevertheless, the existence of two separate trusts </w:t>
      </w:r>
      <w:r w:rsidR="008B40B0">
        <w:t>adds significant administration costs; generates additional potential for conflicts of interest; increases sites of contestation for power; requires more Indigenous community members with the requisite skills to be involved in trust administration; and generally adds to the length and overlap of BMS constituent documents.</w:t>
      </w:r>
      <w:r w:rsidR="008B40B0">
        <w:rPr>
          <w:rStyle w:val="FootnoteReference"/>
        </w:rPr>
        <w:footnoteReference w:id="74"/>
      </w:r>
    </w:p>
    <w:p w14:paraId="39C40297" w14:textId="5CA4E33F" w:rsidR="00D5212F" w:rsidRPr="00374CB2" w:rsidRDefault="00420048" w:rsidP="00D5212F">
      <w:pPr>
        <w:pStyle w:val="Heading1"/>
        <w:numPr>
          <w:ilvl w:val="1"/>
          <w:numId w:val="28"/>
        </w:numPr>
        <w:ind w:left="431" w:hanging="431"/>
        <w:rPr>
          <w:rFonts w:ascii="Times New Roman" w:hAnsi="Times New Roman" w:cs="Times New Roman"/>
          <w:color w:val="auto"/>
          <w:sz w:val="24"/>
          <w:szCs w:val="24"/>
        </w:rPr>
      </w:pPr>
      <w:bookmarkStart w:id="41" w:name="_Ref29976598"/>
      <w:r>
        <w:rPr>
          <w:rFonts w:ascii="Times New Roman" w:hAnsi="Times New Roman" w:cs="Times New Roman"/>
          <w:b w:val="0"/>
          <w:i/>
          <w:color w:val="auto"/>
          <w:sz w:val="24"/>
          <w:szCs w:val="24"/>
        </w:rPr>
        <w:t>Non-standard and social enterprise nature of BMSs</w:t>
      </w:r>
      <w:bookmarkEnd w:id="41"/>
    </w:p>
    <w:p w14:paraId="3612E802" w14:textId="34E448C5" w:rsidR="005E385E" w:rsidRDefault="00D5212F" w:rsidP="00932B1F">
      <w:pPr>
        <w:spacing w:after="240"/>
        <w:jc w:val="both"/>
      </w:pPr>
      <w:r>
        <w:t>As suggested in Part</w:t>
      </w:r>
      <w:r w:rsidR="00FF31B1">
        <w:t xml:space="preserve">s </w:t>
      </w:r>
      <w:r w:rsidR="00FF31B1">
        <w:fldChar w:fldCharType="begin"/>
      </w:r>
      <w:r w:rsidR="00FF31B1">
        <w:instrText xml:space="preserve"> REF _Ref42768690 \r \h </w:instrText>
      </w:r>
      <w:r w:rsidR="00FF31B1">
        <w:fldChar w:fldCharType="separate"/>
      </w:r>
      <w:r w:rsidR="00D70136">
        <w:t>2.1</w:t>
      </w:r>
      <w:r w:rsidR="00FF31B1">
        <w:fldChar w:fldCharType="end"/>
      </w:r>
      <w:r w:rsidR="00FF31B1">
        <w:t xml:space="preserve"> and</w:t>
      </w:r>
      <w:r>
        <w:t xml:space="preserve"> </w:t>
      </w:r>
      <w:r>
        <w:fldChar w:fldCharType="begin"/>
      </w:r>
      <w:r>
        <w:instrText xml:space="preserve"> REF _Ref29567881 \n \h </w:instrText>
      </w:r>
      <w:r>
        <w:fldChar w:fldCharType="separate"/>
      </w:r>
      <w:r w:rsidR="00D70136">
        <w:t>3.2</w:t>
      </w:r>
      <w:r>
        <w:fldChar w:fldCharType="end"/>
      </w:r>
      <w:r>
        <w:t xml:space="preserve">, the entities that form part of a BMS are highly customised. </w:t>
      </w:r>
      <w:r w:rsidR="00FF31B1">
        <w:t>Indeed, the Pilbara BMSs examined by Murray, Fardin and O’Hara typically involved trusts with trust deeds of around 125 pages, plus associated sub-fund agreements which attached additional conditions as contemplated by the trust deeds.</w:t>
      </w:r>
      <w:r w:rsidR="00FF31B1">
        <w:rPr>
          <w:rStyle w:val="FootnoteReference"/>
        </w:rPr>
        <w:footnoteReference w:id="75"/>
      </w:r>
      <w:r w:rsidR="00FF31B1">
        <w:t xml:space="preserve"> The trusts envisaged a quasi-membership role for Indigenous community members and provided for a range of different oversight and decision-making committees. </w:t>
      </w:r>
      <w:r>
        <w:t>This poses issue</w:t>
      </w:r>
      <w:r w:rsidR="00F23EDF">
        <w:t>s</w:t>
      </w:r>
      <w:r>
        <w:t xml:space="preserve"> for the degree to which regulators understand the arrangements and the extent of application of their regulatory powers; as well as the degree to which officeholders understand their BMS powers and duties.</w:t>
      </w:r>
    </w:p>
    <w:p w14:paraId="57274E77" w14:textId="778884B2" w:rsidR="00FF31B1" w:rsidRDefault="00D5212F" w:rsidP="00FF31B1">
      <w:pPr>
        <w:spacing w:after="240"/>
        <w:jc w:val="both"/>
        <w:rPr>
          <w:lang w:val="en-US"/>
        </w:rPr>
      </w:pPr>
      <w:r>
        <w:t xml:space="preserve">To some degree this reflects the need to </w:t>
      </w:r>
      <w:r w:rsidR="00CA45C3">
        <w:t xml:space="preserve">satisfy the law and culture of Indigenous communities as well as the Australian legal system. However, </w:t>
      </w:r>
      <w:r w:rsidR="00086FD7">
        <w:t xml:space="preserve">as has been discussed by Young, Murray, Fardin and O’Hara, </w:t>
      </w:r>
      <w:r w:rsidR="00CA45C3">
        <w:t xml:space="preserve">it also </w:t>
      </w:r>
      <w:r w:rsidR="00F21B2C">
        <w:t xml:space="preserve">frequently </w:t>
      </w:r>
      <w:r w:rsidR="00CA45C3">
        <w:t xml:space="preserve">reflects the nature of BMSs as social enterprises that pursue </w:t>
      </w:r>
      <w:r w:rsidR="00086FD7">
        <w:t xml:space="preserve">community </w:t>
      </w:r>
      <w:r w:rsidR="00CA45C3">
        <w:t>purposes as well as asset pools that are intended to achieve and distribute financial returns to community members.</w:t>
      </w:r>
      <w:bookmarkStart w:id="42" w:name="_Ref43893946"/>
      <w:r w:rsidR="00F21B2C">
        <w:rPr>
          <w:rStyle w:val="FootnoteReference"/>
        </w:rPr>
        <w:footnoteReference w:id="76"/>
      </w:r>
      <w:bookmarkEnd w:id="42"/>
      <w:r w:rsidR="00CA45C3">
        <w:t xml:space="preserve"> The lack of settled and well-understood legal </w:t>
      </w:r>
      <w:r w:rsidR="00903D0B">
        <w:t xml:space="preserve">mechanisms or </w:t>
      </w:r>
      <w:r w:rsidR="00CA45C3">
        <w:t>form</w:t>
      </w:r>
      <w:r w:rsidR="00903D0B">
        <w:t>s</w:t>
      </w:r>
      <w:r w:rsidR="00CA45C3">
        <w:t xml:space="preserve"> </w:t>
      </w:r>
      <w:r w:rsidR="004023A3">
        <w:t xml:space="preserve">that help to guide how to balance these competing objectives </w:t>
      </w:r>
      <w:r w:rsidR="00CA45C3">
        <w:t xml:space="preserve">is </w:t>
      </w:r>
      <w:r w:rsidR="00903D0B">
        <w:t>a</w:t>
      </w:r>
      <w:r w:rsidR="00FA377F">
        <w:t>n issue</w:t>
      </w:r>
      <w:r w:rsidR="00CA45C3">
        <w:t xml:space="preserve"> in the social enterprise space</w:t>
      </w:r>
      <w:r w:rsidR="00FA377F">
        <w:t>, albeit views differ as to whether certainty can be obtained through new standardised uses of existing forms or new forms.</w:t>
      </w:r>
      <w:r w:rsidR="004023A3">
        <w:rPr>
          <w:rStyle w:val="FootnoteReference"/>
        </w:rPr>
        <w:footnoteReference w:id="77"/>
      </w:r>
      <w:r w:rsidR="00CA45C3">
        <w:t xml:space="preserve"> </w:t>
      </w:r>
      <w:r w:rsidR="00B06614">
        <w:t>A</w:t>
      </w:r>
      <w:r w:rsidR="00E6526D">
        <w:t xml:space="preserve">ttempts to resolve this tension </w:t>
      </w:r>
      <w:r w:rsidR="00CA45C3">
        <w:t>h</w:t>
      </w:r>
      <w:r w:rsidR="00E6526D">
        <w:t xml:space="preserve">ave </w:t>
      </w:r>
      <w:r w:rsidR="00CA45C3">
        <w:t xml:space="preserve">seen legislative amendment in </w:t>
      </w:r>
      <w:r w:rsidR="00CA45C3" w:rsidRPr="00742210">
        <w:t xml:space="preserve">jurisdictions </w:t>
      </w:r>
      <w:r w:rsidR="00CA45C3" w:rsidRPr="00742210">
        <w:lastRenderedPageBreak/>
        <w:t xml:space="preserve">such as </w:t>
      </w:r>
      <w:r w:rsidR="00742210" w:rsidRPr="00742210">
        <w:t>England and Wales</w:t>
      </w:r>
      <w:r w:rsidR="00CA45C3" w:rsidRPr="00742210">
        <w:t xml:space="preserve">, as well as in various parts of </w:t>
      </w:r>
      <w:r w:rsidR="00086FD7" w:rsidRPr="00742210">
        <w:t xml:space="preserve">Canada and </w:t>
      </w:r>
      <w:r w:rsidR="00CA45C3" w:rsidRPr="00742210">
        <w:t xml:space="preserve">the </w:t>
      </w:r>
      <w:r w:rsidR="002E7443">
        <w:t>US</w:t>
      </w:r>
      <w:r w:rsidR="00CA45C3" w:rsidRPr="00742210">
        <w:t>.</w:t>
      </w:r>
      <w:bookmarkStart w:id="43" w:name="_Ref43727916"/>
      <w:r w:rsidR="005739E1" w:rsidRPr="00742210">
        <w:rPr>
          <w:rStyle w:val="FootnoteReference"/>
        </w:rPr>
        <w:footnoteReference w:id="78"/>
      </w:r>
      <w:bookmarkEnd w:id="43"/>
      <w:r w:rsidR="00FF31B1">
        <w:t xml:space="preserve"> </w:t>
      </w:r>
      <w:r w:rsidR="009D63DD">
        <w:t>The legislative responses focus</w:t>
      </w:r>
      <w:r w:rsidR="008B18CC">
        <w:t>, to differing degrees,</w:t>
      </w:r>
      <w:r w:rsidR="009D63DD">
        <w:t xml:space="preserve"> on </w:t>
      </w:r>
      <w:r w:rsidR="008B18CC">
        <w:t xml:space="preserve">clearly articulated </w:t>
      </w:r>
      <w:r w:rsidR="00D3728D">
        <w:t xml:space="preserve">- </w:t>
      </w:r>
      <w:r w:rsidR="008B18CC">
        <w:t xml:space="preserve">and </w:t>
      </w:r>
      <w:r w:rsidR="00D3728D">
        <w:t xml:space="preserve">potentially </w:t>
      </w:r>
      <w:r w:rsidR="008B18CC">
        <w:t>prioritised</w:t>
      </w:r>
      <w:r w:rsidR="00D3728D">
        <w:t xml:space="preserve"> -</w:t>
      </w:r>
      <w:r w:rsidR="008B18CC">
        <w:t xml:space="preserve"> duties of charity controllers in relation to pursuit of social purposes and distribution of profits; restrictions on alteration of social purposes; restrictions on profit distributions; and </w:t>
      </w:r>
      <w:r w:rsidR="00D3728D">
        <w:t xml:space="preserve">more extensive </w:t>
      </w:r>
      <w:r w:rsidR="008B18CC">
        <w:t xml:space="preserve">reporting </w:t>
      </w:r>
      <w:r w:rsidR="00D3728D">
        <w:t xml:space="preserve">and disclosure </w:t>
      </w:r>
      <w:r w:rsidR="008B18CC">
        <w:t>requirements</w:t>
      </w:r>
      <w:r w:rsidR="00D3728D">
        <w:t xml:space="preserve"> in relation to the achievement of social purposes</w:t>
      </w:r>
      <w:r w:rsidR="008B18CC">
        <w:t>.</w:t>
      </w:r>
      <w:r w:rsidR="00D3728D">
        <w:rPr>
          <w:rStyle w:val="FootnoteReference"/>
        </w:rPr>
        <w:footnoteReference w:id="79"/>
      </w:r>
    </w:p>
    <w:p w14:paraId="43BC1864" w14:textId="769BADB6" w:rsidR="007A7000" w:rsidRPr="00374CB2" w:rsidRDefault="007A7000" w:rsidP="007A7000">
      <w:pPr>
        <w:pStyle w:val="Heading1"/>
        <w:numPr>
          <w:ilvl w:val="0"/>
          <w:numId w:val="28"/>
        </w:numPr>
        <w:rPr>
          <w:rFonts w:ascii="Times New Roman" w:hAnsi="Times New Roman" w:cs="Times New Roman"/>
          <w:color w:val="auto"/>
          <w:sz w:val="24"/>
          <w:szCs w:val="24"/>
        </w:rPr>
      </w:pPr>
      <w:bookmarkStart w:id="44" w:name="_Ref29555010"/>
      <w:r>
        <w:rPr>
          <w:rFonts w:ascii="Times New Roman" w:hAnsi="Times New Roman" w:cs="Times New Roman"/>
          <w:color w:val="auto"/>
          <w:sz w:val="24"/>
          <w:szCs w:val="24"/>
        </w:rPr>
        <w:t>Potential responses</w:t>
      </w:r>
      <w:bookmarkEnd w:id="44"/>
      <w:r w:rsidRPr="00374CB2">
        <w:rPr>
          <w:rFonts w:ascii="Times New Roman" w:hAnsi="Times New Roman" w:cs="Times New Roman"/>
          <w:color w:val="auto"/>
          <w:sz w:val="24"/>
          <w:szCs w:val="24"/>
        </w:rPr>
        <w:t xml:space="preserve"> </w:t>
      </w:r>
    </w:p>
    <w:p w14:paraId="283CD40D" w14:textId="0B7298CB" w:rsidR="00830319" w:rsidRDefault="00880182" w:rsidP="00F21DDC">
      <w:pPr>
        <w:spacing w:after="240"/>
        <w:jc w:val="both"/>
      </w:pPr>
      <w:r>
        <w:t>T</w:t>
      </w:r>
      <w:r w:rsidR="00204482">
        <w:t xml:space="preserve">his Part </w:t>
      </w:r>
      <w:r w:rsidR="007A7000">
        <w:t xml:space="preserve">examines several proposed </w:t>
      </w:r>
      <w:r w:rsidR="00204482" w:rsidRPr="00204482">
        <w:t xml:space="preserve">responses to the challenges </w:t>
      </w:r>
      <w:r w:rsidR="00204482">
        <w:t>explored in Part</w:t>
      </w:r>
      <w:r w:rsidR="007A7000">
        <w:t xml:space="preserve"> </w:t>
      </w:r>
      <w:r w:rsidR="007A7000">
        <w:fldChar w:fldCharType="begin"/>
      </w:r>
      <w:r w:rsidR="007A7000">
        <w:instrText xml:space="preserve"> REF _Ref29550589 \n \h </w:instrText>
      </w:r>
      <w:r w:rsidR="007A7000">
        <w:fldChar w:fldCharType="separate"/>
      </w:r>
      <w:r w:rsidR="00D70136">
        <w:t>3</w:t>
      </w:r>
      <w:r w:rsidR="007A7000">
        <w:fldChar w:fldCharType="end"/>
      </w:r>
      <w:r>
        <w:t>, with particular emphasis on BMSs as social enterprises</w:t>
      </w:r>
      <w:r w:rsidR="004A7660">
        <w:t>.</w:t>
      </w:r>
    </w:p>
    <w:p w14:paraId="1B777EDE" w14:textId="7B81CD3C" w:rsidR="002166B7" w:rsidRPr="00374CB2" w:rsidRDefault="002166B7" w:rsidP="002166B7">
      <w:pPr>
        <w:pStyle w:val="Heading1"/>
        <w:numPr>
          <w:ilvl w:val="1"/>
          <w:numId w:val="28"/>
        </w:numPr>
        <w:ind w:left="431" w:hanging="431"/>
        <w:rPr>
          <w:rFonts w:ascii="Times New Roman" w:hAnsi="Times New Roman" w:cs="Times New Roman"/>
          <w:color w:val="auto"/>
          <w:sz w:val="24"/>
          <w:szCs w:val="24"/>
        </w:rPr>
      </w:pPr>
      <w:r>
        <w:rPr>
          <w:rFonts w:ascii="Times New Roman" w:hAnsi="Times New Roman" w:cs="Times New Roman"/>
          <w:b w:val="0"/>
          <w:i/>
          <w:color w:val="auto"/>
          <w:sz w:val="24"/>
          <w:szCs w:val="24"/>
        </w:rPr>
        <w:t>Remove the discretionary trust and broaden the charitable trust role</w:t>
      </w:r>
    </w:p>
    <w:p w14:paraId="24C6A2EF" w14:textId="74A4981A" w:rsidR="00653FC8" w:rsidRDefault="00DF3166" w:rsidP="00932B1F">
      <w:pPr>
        <w:spacing w:after="240"/>
        <w:jc w:val="both"/>
      </w:pPr>
      <w:r w:rsidRPr="00A76F50">
        <w:t xml:space="preserve">There has been </w:t>
      </w:r>
      <w:r w:rsidR="00653FC8" w:rsidRPr="00A76F50">
        <w:t>some questioning of the continued need for discretionary trusts (</w:t>
      </w:r>
      <w:r w:rsidR="00A76F50" w:rsidRPr="00A76F50">
        <w:t xml:space="preserve">in addition to </w:t>
      </w:r>
      <w:r w:rsidR="00653FC8" w:rsidRPr="00A76F50">
        <w:t>BMS charities),</w:t>
      </w:r>
      <w:r w:rsidR="00653FC8" w:rsidRPr="00A76F50">
        <w:rPr>
          <w:rStyle w:val="FootnoteReference"/>
        </w:rPr>
        <w:footnoteReference w:id="80"/>
      </w:r>
      <w:r w:rsidR="00653FC8" w:rsidRPr="00A76F50">
        <w:t xml:space="preserve"> particularly as</w:t>
      </w:r>
      <w:r w:rsidR="009458AB">
        <w:t xml:space="preserve"> Australian</w:t>
      </w:r>
      <w:r w:rsidR="00653FC8" w:rsidRPr="00A76F50">
        <w:t xml:space="preserve"> taxation reforms</w:t>
      </w:r>
      <w:r w:rsidR="009458AB">
        <w:t xml:space="preserve"> </w:t>
      </w:r>
      <w:r w:rsidR="00653FC8" w:rsidRPr="00A76F50">
        <w:t>in 2013 m</w:t>
      </w:r>
      <w:r w:rsidRPr="00A76F50">
        <w:t>ean that land use payments can</w:t>
      </w:r>
      <w:r w:rsidR="00653FC8" w:rsidRPr="00A76F50">
        <w:t xml:space="preserve"> frequently now</w:t>
      </w:r>
      <w:r w:rsidR="00653FC8" w:rsidRPr="007B0547">
        <w:t xml:space="preserve"> be made directly t</w:t>
      </w:r>
      <w:r w:rsidR="00E51C22">
        <w:t>o native title holders in a tax-</w:t>
      </w:r>
      <w:r w:rsidR="00653FC8" w:rsidRPr="007B0547">
        <w:t>free manner,</w:t>
      </w:r>
      <w:r w:rsidR="00653FC8" w:rsidRPr="007B0547">
        <w:rPr>
          <w:vertAlign w:val="superscript"/>
        </w:rPr>
        <w:footnoteReference w:id="81"/>
      </w:r>
      <w:r w:rsidR="00653FC8" w:rsidRPr="007B0547">
        <w:t xml:space="preserve"> to be used for economic development or other activities.</w:t>
      </w:r>
      <w:r w:rsidR="00653FC8">
        <w:t xml:space="preserve"> </w:t>
      </w:r>
      <w:r w:rsidR="00A76F50">
        <w:t>As well, o</w:t>
      </w:r>
      <w:r w:rsidR="00653FC8">
        <w:t>ver the last decade, charity law has developed such that it is now more likely that a native title group will be considered a sufficient section of the community</w:t>
      </w:r>
      <w:r w:rsidR="009458AB">
        <w:t xml:space="preserve"> (Part </w:t>
      </w:r>
      <w:r w:rsidR="009458AB">
        <w:fldChar w:fldCharType="begin"/>
      </w:r>
      <w:r w:rsidR="009458AB">
        <w:instrText xml:space="preserve"> REF _Ref42076861 \r \h </w:instrText>
      </w:r>
      <w:r w:rsidR="009458AB">
        <w:fldChar w:fldCharType="separate"/>
      </w:r>
      <w:r w:rsidR="00D70136">
        <w:t>3.1</w:t>
      </w:r>
      <w:r w:rsidR="009458AB">
        <w:fldChar w:fldCharType="end"/>
      </w:r>
      <w:r w:rsidR="009458AB">
        <w:t xml:space="preserve">), </w:t>
      </w:r>
      <w:r w:rsidR="00653FC8">
        <w:t>reducing the need for a discretionary trust focussed solely on the native title group</w:t>
      </w:r>
      <w:r w:rsidR="009458AB">
        <w:t xml:space="preserve">. Case law has also confirmed that charities can undertake business activities (Part </w:t>
      </w:r>
      <w:r w:rsidR="009458AB">
        <w:fldChar w:fldCharType="begin"/>
      </w:r>
      <w:r w:rsidR="009458AB">
        <w:instrText xml:space="preserve"> REF _Ref42076861 \r \h </w:instrText>
      </w:r>
      <w:r w:rsidR="009458AB">
        <w:fldChar w:fldCharType="separate"/>
      </w:r>
      <w:r w:rsidR="00D70136">
        <w:t>3.1</w:t>
      </w:r>
      <w:r w:rsidR="009458AB">
        <w:fldChar w:fldCharType="end"/>
      </w:r>
      <w:r w:rsidR="009458AB">
        <w:t>).</w:t>
      </w:r>
    </w:p>
    <w:p w14:paraId="26ED1E1A" w14:textId="77777777" w:rsidR="005638C6" w:rsidRDefault="00462ED8" w:rsidP="003E659A">
      <w:pPr>
        <w:spacing w:after="240"/>
        <w:jc w:val="both"/>
      </w:pPr>
      <w:r>
        <w:t xml:space="preserve">There </w:t>
      </w:r>
      <w:r w:rsidR="003E659A" w:rsidRPr="003E659A">
        <w:t>may</w:t>
      </w:r>
      <w:r w:rsidR="009278A5">
        <w:t xml:space="preserve"> thus</w:t>
      </w:r>
      <w:r w:rsidR="003E659A" w:rsidRPr="003E659A">
        <w:t xml:space="preserve"> be scope to consider replacing some or all of the </w:t>
      </w:r>
      <w:bookmarkStart w:id="45" w:name="discrettrustreplacedbycharit"/>
      <w:r w:rsidR="003E659A" w:rsidRPr="003E659A">
        <w:t xml:space="preserve">discretionary trust’s </w:t>
      </w:r>
      <w:bookmarkEnd w:id="45"/>
      <w:r w:rsidR="003E659A" w:rsidRPr="003E659A">
        <w:t>functions through an expansion of the charitable trust’s role and direct payments to individual community members</w:t>
      </w:r>
      <w:r w:rsidR="009278A5">
        <w:t>.</w:t>
      </w:r>
      <w:r w:rsidR="009A117F">
        <w:t xml:space="preserve"> </w:t>
      </w:r>
      <w:r w:rsidR="005638C6">
        <w:t xml:space="preserve">Potentially, this could </w:t>
      </w:r>
      <w:r w:rsidR="002166B7">
        <w:t xml:space="preserve">materially reduce the complexity posed by BMSs. </w:t>
      </w:r>
    </w:p>
    <w:p w14:paraId="18EA308A" w14:textId="2CF31E68" w:rsidR="003E659A" w:rsidRDefault="002166B7" w:rsidP="003E659A">
      <w:pPr>
        <w:spacing w:after="240"/>
        <w:jc w:val="both"/>
      </w:pPr>
      <w:r>
        <w:t xml:space="preserve">However, </w:t>
      </w:r>
      <w:r>
        <w:rPr>
          <w:rFonts w:cs="Arial"/>
        </w:rPr>
        <w:t>direct payments to community members would be a relatively radical departure from some stakeholder perspectives about the benefit of an intermediary to help manage funds, maintain relationships and achieve good governance.</w:t>
      </w:r>
      <w:r w:rsidR="005638C6">
        <w:rPr>
          <w:rStyle w:val="FootnoteReference"/>
          <w:rFonts w:cs="Arial"/>
        </w:rPr>
        <w:footnoteReference w:id="82"/>
      </w:r>
      <w:r>
        <w:rPr>
          <w:rFonts w:cs="Arial"/>
        </w:rPr>
        <w:t xml:space="preserve"> </w:t>
      </w:r>
      <w:r w:rsidR="005638C6">
        <w:rPr>
          <w:rFonts w:cs="Arial"/>
        </w:rPr>
        <w:t>If the charitable trust or BMS corporation is envisaged as adopting this intermediary funds management role, t</w:t>
      </w:r>
      <w:r>
        <w:t xml:space="preserve">his </w:t>
      </w:r>
      <w:r w:rsidR="003E659A" w:rsidRPr="003E659A">
        <w:t>would</w:t>
      </w:r>
      <w:r>
        <w:t xml:space="preserve"> </w:t>
      </w:r>
      <w:r w:rsidR="003E659A" w:rsidRPr="003E659A">
        <w:t xml:space="preserve">require investigation of the technical and practical bounds on the trustee of </w:t>
      </w:r>
      <w:r w:rsidR="005638C6">
        <w:t xml:space="preserve">a </w:t>
      </w:r>
      <w:r w:rsidR="003E659A" w:rsidRPr="003E659A">
        <w:t>charitable trust or the BMS corporation playing a funds management facilitation role for the funds paid directly to community members.</w:t>
      </w:r>
      <w:r>
        <w:t xml:space="preserve"> That said, </w:t>
      </w:r>
      <w:r w:rsidR="00FA792E">
        <w:t xml:space="preserve">such </w:t>
      </w:r>
      <w:r>
        <w:rPr>
          <w:rFonts w:cs="Arial"/>
        </w:rPr>
        <w:t>a funds management facilitation role</w:t>
      </w:r>
      <w:r w:rsidR="00FA792E">
        <w:rPr>
          <w:rFonts w:cs="Arial"/>
        </w:rPr>
        <w:t xml:space="preserve"> is potentially consistent with charity status </w:t>
      </w:r>
      <w:r>
        <w:rPr>
          <w:rFonts w:cs="Arial"/>
        </w:rPr>
        <w:t xml:space="preserve">as </w:t>
      </w:r>
      <w:r w:rsidR="00FA792E">
        <w:rPr>
          <w:lang w:val="en-US"/>
        </w:rPr>
        <w:t xml:space="preserve">it </w:t>
      </w:r>
      <w:r w:rsidRPr="002166B7">
        <w:rPr>
          <w:lang w:val="en-US"/>
        </w:rPr>
        <w:t xml:space="preserve">is arguably within the </w:t>
      </w:r>
      <w:r w:rsidRPr="002166B7">
        <w:rPr>
          <w:lang w:val="en-US"/>
        </w:rPr>
        <w:lastRenderedPageBreak/>
        <w:t>type of economic development activities accepted in the promotion of commerce and relieving Indigenous disadvantage cases.</w:t>
      </w:r>
      <w:r>
        <w:rPr>
          <w:rStyle w:val="FootnoteReference"/>
        </w:rPr>
        <w:footnoteReference w:id="83"/>
      </w:r>
      <w:r>
        <w:t xml:space="preserve"> </w:t>
      </w:r>
    </w:p>
    <w:p w14:paraId="31B3BB90" w14:textId="0E2C5EB6" w:rsidR="002166B7" w:rsidRDefault="00FA792E" w:rsidP="00FA792E">
      <w:pPr>
        <w:spacing w:after="240"/>
        <w:jc w:val="both"/>
        <w:rPr>
          <w:rFonts w:cs="Arial"/>
        </w:rPr>
      </w:pPr>
      <w:r>
        <w:t>If the charitable trust is to expand its role into economic development activities, the</w:t>
      </w:r>
      <w:r w:rsidR="005638C6" w:rsidRPr="003E659A">
        <w:t xml:space="preserve"> technical and practical issues with economic development </w:t>
      </w:r>
      <w:r>
        <w:t xml:space="preserve">discussed in Part </w:t>
      </w:r>
      <w:r>
        <w:fldChar w:fldCharType="begin"/>
      </w:r>
      <w:r>
        <w:instrText xml:space="preserve"> REF _Ref42076861 \r \h </w:instrText>
      </w:r>
      <w:r>
        <w:fldChar w:fldCharType="separate"/>
      </w:r>
      <w:r w:rsidR="00D70136">
        <w:t>3.1</w:t>
      </w:r>
      <w:r>
        <w:fldChar w:fldCharType="end"/>
      </w:r>
      <w:r>
        <w:t xml:space="preserve"> remain and would need to be resolved. </w:t>
      </w:r>
      <w:r>
        <w:rPr>
          <w:rFonts w:cs="Arial"/>
        </w:rPr>
        <w:t xml:space="preserve">Further, </w:t>
      </w:r>
      <w:r w:rsidR="00DB7C59">
        <w:rPr>
          <w:rFonts w:cs="Arial"/>
        </w:rPr>
        <w:t xml:space="preserve">an expanded role for the charitable trust </w:t>
      </w:r>
      <w:r>
        <w:rPr>
          <w:rFonts w:cs="Arial"/>
        </w:rPr>
        <w:t xml:space="preserve">might only deliver some of the hoped for </w:t>
      </w:r>
      <w:r w:rsidR="00DB7C59">
        <w:rPr>
          <w:rFonts w:cs="Arial"/>
        </w:rPr>
        <w:t xml:space="preserve">simplicity </w:t>
      </w:r>
      <w:r w:rsidR="002166B7">
        <w:rPr>
          <w:rFonts w:cs="Arial"/>
        </w:rPr>
        <w:t>gains</w:t>
      </w:r>
      <w:r>
        <w:rPr>
          <w:rFonts w:cs="Arial"/>
        </w:rPr>
        <w:t>, in that added functions will require their own administrative supports and processes.</w:t>
      </w:r>
      <w:r w:rsidR="002166B7">
        <w:rPr>
          <w:rStyle w:val="FootnoteReference"/>
          <w:rFonts w:cs="Arial"/>
        </w:rPr>
        <w:footnoteReference w:id="84"/>
      </w:r>
      <w:r>
        <w:rPr>
          <w:rFonts w:cs="Arial"/>
        </w:rPr>
        <w:t xml:space="preserve"> </w:t>
      </w:r>
      <w:r w:rsidR="0073330C">
        <w:rPr>
          <w:rFonts w:cs="Arial"/>
        </w:rPr>
        <w:t xml:space="preserve">Nevertheless, there should be some gains in that using the for-purpose charity form should provide guidance that the primary orientation of duties and purpose is toward the charitable </w:t>
      </w:r>
      <w:r w:rsidR="00C6172D">
        <w:rPr>
          <w:rFonts w:cs="Arial"/>
        </w:rPr>
        <w:t xml:space="preserve">community </w:t>
      </w:r>
      <w:r w:rsidR="00DB7C59">
        <w:rPr>
          <w:rFonts w:cs="Arial"/>
        </w:rPr>
        <w:t xml:space="preserve">purpose </w:t>
      </w:r>
      <w:r w:rsidR="0073330C">
        <w:rPr>
          <w:rFonts w:cs="Arial"/>
        </w:rPr>
        <w:t>rather than asset management and distribution.</w:t>
      </w:r>
      <w:r w:rsidR="0024068C">
        <w:rPr>
          <w:rFonts w:cs="Arial"/>
        </w:rPr>
        <w:t xml:space="preserve"> </w:t>
      </w:r>
      <w:r w:rsidR="00C6172D">
        <w:rPr>
          <w:rFonts w:cs="Arial"/>
        </w:rPr>
        <w:t>However, t</w:t>
      </w:r>
      <w:r w:rsidR="0024068C">
        <w:rPr>
          <w:rFonts w:cs="Arial"/>
        </w:rPr>
        <w:t>his gain is likely to be affected by the relatively unique role being filled by such a charitable trust, which may mean that the precise duties of various committee members are difficult to articulate.</w:t>
      </w:r>
    </w:p>
    <w:p w14:paraId="7260AA3F" w14:textId="5F0E40E2" w:rsidR="00E96EB6" w:rsidRPr="00374CB2" w:rsidRDefault="00E96EB6" w:rsidP="00E96EB6">
      <w:pPr>
        <w:pStyle w:val="Heading1"/>
        <w:numPr>
          <w:ilvl w:val="1"/>
          <w:numId w:val="28"/>
        </w:numPr>
        <w:ind w:left="431" w:hanging="431"/>
        <w:rPr>
          <w:rFonts w:ascii="Times New Roman" w:hAnsi="Times New Roman" w:cs="Times New Roman"/>
          <w:color w:val="auto"/>
          <w:sz w:val="24"/>
          <w:szCs w:val="24"/>
        </w:rPr>
      </w:pPr>
      <w:r>
        <w:rPr>
          <w:rFonts w:ascii="Times New Roman" w:hAnsi="Times New Roman" w:cs="Times New Roman"/>
          <w:b w:val="0"/>
          <w:i/>
          <w:color w:val="auto"/>
          <w:sz w:val="24"/>
          <w:szCs w:val="24"/>
        </w:rPr>
        <w:t>PBC Economic Vehicle Status</w:t>
      </w:r>
    </w:p>
    <w:p w14:paraId="575AF180" w14:textId="377B8F15" w:rsidR="002166B7" w:rsidRDefault="00D725B0" w:rsidP="003E659A">
      <w:pPr>
        <w:spacing w:after="240"/>
        <w:jc w:val="both"/>
        <w:rPr>
          <w:lang w:val="en-US"/>
        </w:rPr>
      </w:pPr>
      <w:r>
        <w:t>Recognising the need to pursue both asset investment and distribution functions, along with the pursuit of a broad range of purposes (including economic development), the National Native Title Council and Minerals Council of Australia have made several reform proposals over the last decade. In 2010, they proposed an Indigenous Community Development Corporation</w:t>
      </w:r>
      <w:r w:rsidR="00E82C93">
        <w:t xml:space="preserve"> (</w:t>
      </w:r>
      <w:r w:rsidR="00E82C93" w:rsidRPr="00E82C93">
        <w:rPr>
          <w:b/>
        </w:rPr>
        <w:t>ICDC</w:t>
      </w:r>
      <w:r w:rsidR="00E82C93">
        <w:t>)</w:t>
      </w:r>
      <w:r>
        <w:t xml:space="preserve">, with this basic model being endorsed by the then </w:t>
      </w:r>
      <w:r w:rsidR="009B6C61">
        <w:rPr>
          <w:lang w:val="en-US"/>
        </w:rPr>
        <w:t xml:space="preserve">Labor </w:t>
      </w:r>
      <w:r w:rsidRPr="006110E1">
        <w:rPr>
          <w:lang w:val="en-US"/>
        </w:rPr>
        <w:t>Government</w:t>
      </w:r>
      <w:r>
        <w:rPr>
          <w:lang w:val="en-US"/>
        </w:rPr>
        <w:t xml:space="preserve">’s </w:t>
      </w:r>
      <w:r w:rsidRPr="006110E1">
        <w:rPr>
          <w:lang w:val="en-US"/>
        </w:rPr>
        <w:t>Native Title &amp; Tax Working Group</w:t>
      </w:r>
      <w:r w:rsidR="009B6C61">
        <w:rPr>
          <w:lang w:val="en-US"/>
        </w:rPr>
        <w:t>.</w:t>
      </w:r>
      <w:r w:rsidRPr="006110E1">
        <w:rPr>
          <w:vertAlign w:val="superscript"/>
          <w:lang w:val="en-US"/>
        </w:rPr>
        <w:footnoteReference w:id="85"/>
      </w:r>
    </w:p>
    <w:p w14:paraId="533A7CB4" w14:textId="72CBD97E" w:rsidR="009B6C61" w:rsidRDefault="009B6C61" w:rsidP="009B6C61">
      <w:pPr>
        <w:tabs>
          <w:tab w:val="num" w:pos="1406"/>
        </w:tabs>
      </w:pPr>
      <w:r>
        <w:t xml:space="preserve">The ICDC was </w:t>
      </w:r>
      <w:r w:rsidRPr="003E3360">
        <w:t>to be a new tax concession category and not necessarily a new legal entity</w:t>
      </w:r>
      <w:r w:rsidR="00F20946">
        <w:t>, so that, despite its name, the category could potentially apply to trusts as well as incorporated bodies</w:t>
      </w:r>
      <w:r w:rsidRPr="003E3360">
        <w:t>.</w:t>
      </w:r>
      <w:r w:rsidRPr="003E3360">
        <w:rPr>
          <w:rStyle w:val="FootnoteReference"/>
        </w:rPr>
        <w:footnoteReference w:id="86"/>
      </w:r>
      <w:r w:rsidRPr="003E3360">
        <w:t xml:space="preserve"> </w:t>
      </w:r>
      <w:r w:rsidR="0045008E">
        <w:t xml:space="preserve">ICDC status </w:t>
      </w:r>
      <w:r w:rsidR="00CC11AC">
        <w:t xml:space="preserve">was </w:t>
      </w:r>
      <w:r w:rsidR="0045008E">
        <w:t xml:space="preserve">intended to come with </w:t>
      </w:r>
      <w:r w:rsidR="00CC11AC">
        <w:t xml:space="preserve">a raft of sui generis </w:t>
      </w:r>
      <w:r w:rsidR="00CC11AC" w:rsidRPr="006110E1">
        <w:t>governance and regulatory requirements.</w:t>
      </w:r>
      <w:r w:rsidR="00CC11AC">
        <w:rPr>
          <w:rStyle w:val="FootnoteReference"/>
        </w:rPr>
        <w:footnoteReference w:id="87"/>
      </w:r>
      <w:r w:rsidR="00CC11AC">
        <w:t xml:space="preserve"> </w:t>
      </w:r>
      <w:r w:rsidR="00F20946">
        <w:t xml:space="preserve">The requirements included that </w:t>
      </w:r>
      <w:r>
        <w:t>an ICDC</w:t>
      </w:r>
      <w:r w:rsidR="00F20946">
        <w:t xml:space="preserve"> </w:t>
      </w:r>
      <w:r>
        <w:t>be not-for-profit and have purposes of promoting sustainable Indigenous community and socio-economic development.</w:t>
      </w:r>
      <w:r>
        <w:rPr>
          <w:rStyle w:val="FootnoteReference"/>
        </w:rPr>
        <w:footnoteReference w:id="88"/>
      </w:r>
      <w:r>
        <w:t xml:space="preserve"> </w:t>
      </w:r>
      <w:r w:rsidR="00C6172D">
        <w:t>A</w:t>
      </w:r>
      <w:r w:rsidR="00DA117C">
        <w:t xml:space="preserve">n ICDC </w:t>
      </w:r>
      <w:r w:rsidR="00C6172D">
        <w:t xml:space="preserve">was intended to </w:t>
      </w:r>
      <w:r>
        <w:t xml:space="preserve">have </w:t>
      </w:r>
      <w:r w:rsidRPr="006110E1">
        <w:t xml:space="preserve">a </w:t>
      </w:r>
      <w:r>
        <w:t>wider</w:t>
      </w:r>
      <w:r w:rsidRPr="006110E1">
        <w:t xml:space="preserve"> range of purposes than a charity </w:t>
      </w:r>
      <w:r>
        <w:t>due to a change in focus from ‘charity and welfare’ to ‘community and socio-economic development’.</w:t>
      </w:r>
      <w:bookmarkStart w:id="46" w:name="_Ref289441184"/>
      <w:r>
        <w:rPr>
          <w:rStyle w:val="FootnoteReference"/>
        </w:rPr>
        <w:footnoteReference w:id="89"/>
      </w:r>
      <w:bookmarkEnd w:id="46"/>
      <w:r>
        <w:t xml:space="preserve"> In particular, this would permit ‘c</w:t>
      </w:r>
      <w:r w:rsidRPr="00D243ED">
        <w:t>ommunity-focused</w:t>
      </w:r>
      <w:r>
        <w:t>’ economic</w:t>
      </w:r>
      <w:r w:rsidRPr="00D243ED">
        <w:t xml:space="preserve"> development</w:t>
      </w:r>
      <w:r>
        <w:t xml:space="preserve"> and</w:t>
      </w:r>
      <w:r w:rsidRPr="00D243ED">
        <w:t xml:space="preserve"> </w:t>
      </w:r>
      <w:r>
        <w:t>‘</w:t>
      </w:r>
      <w:r w:rsidRPr="00D243ED">
        <w:t>support and promotion of individual Indigenous entrepreneurs</w:t>
      </w:r>
      <w:r>
        <w:t>’.</w:t>
      </w:r>
      <w:r>
        <w:rPr>
          <w:rStyle w:val="FootnoteReference"/>
        </w:rPr>
        <w:footnoteReference w:id="90"/>
      </w:r>
      <w:r>
        <w:t xml:space="preserve"> </w:t>
      </w:r>
      <w:r w:rsidR="00DA117C">
        <w:t xml:space="preserve">Further, </w:t>
      </w:r>
      <w:r>
        <w:t xml:space="preserve">the ICDC </w:t>
      </w:r>
      <w:r w:rsidR="00CC11AC">
        <w:t>wa</w:t>
      </w:r>
      <w:r>
        <w:t xml:space="preserve">s </w:t>
      </w:r>
      <w:r w:rsidR="00DA117C">
        <w:t xml:space="preserve">intended </w:t>
      </w:r>
      <w:r>
        <w:t>to have an express ability to accumulate native title payments for the long-term benefit of an Indigenous community.</w:t>
      </w:r>
      <w:r>
        <w:rPr>
          <w:rStyle w:val="FootnoteReference"/>
        </w:rPr>
        <w:footnoteReference w:id="91"/>
      </w:r>
      <w:r>
        <w:t xml:space="preserve"> </w:t>
      </w:r>
      <w:r w:rsidR="00DA117C">
        <w:t xml:space="preserve">Given the expanded purposes and ability to accumulate, it </w:t>
      </w:r>
      <w:r>
        <w:t xml:space="preserve">was also hoped that use of an ICDC might permit fewer entities and hence a reduction in the complexity of </w:t>
      </w:r>
      <w:r w:rsidR="00DA117C">
        <w:t>BMS</w:t>
      </w:r>
      <w:r>
        <w:t>s.</w:t>
      </w:r>
      <w:r>
        <w:rPr>
          <w:rStyle w:val="FootnoteReference"/>
        </w:rPr>
        <w:footnoteReference w:id="92"/>
      </w:r>
      <w:r>
        <w:t xml:space="preserve"> </w:t>
      </w:r>
    </w:p>
    <w:p w14:paraId="1163BCC0" w14:textId="77777777" w:rsidR="00121C6A" w:rsidRPr="006110E1" w:rsidRDefault="00121C6A" w:rsidP="009B6C61">
      <w:pPr>
        <w:tabs>
          <w:tab w:val="num" w:pos="1406"/>
        </w:tabs>
      </w:pPr>
    </w:p>
    <w:p w14:paraId="7E14C381" w14:textId="30A5D638" w:rsidR="00D725B0" w:rsidRDefault="00D725B0" w:rsidP="003E659A">
      <w:pPr>
        <w:spacing w:after="240"/>
        <w:jc w:val="both"/>
      </w:pPr>
      <w:r>
        <w:t xml:space="preserve">In 2019, the ICDC proposal was refined to PBC </w:t>
      </w:r>
      <w:r w:rsidR="00E82C93">
        <w:t>‘e</w:t>
      </w:r>
      <w:r>
        <w:t xml:space="preserve">conomic </w:t>
      </w:r>
      <w:r w:rsidR="00E82C93">
        <w:t>v</w:t>
      </w:r>
      <w:r>
        <w:t xml:space="preserve">ehicle </w:t>
      </w:r>
      <w:r w:rsidR="00E82C93">
        <w:t>s</w:t>
      </w:r>
      <w:r>
        <w:t>tatus’</w:t>
      </w:r>
      <w:r w:rsidR="00E82C93">
        <w:t xml:space="preserve"> (</w:t>
      </w:r>
      <w:r w:rsidR="00E82C93" w:rsidRPr="00E82C93">
        <w:rPr>
          <w:b/>
        </w:rPr>
        <w:t>PBC EVS</w:t>
      </w:r>
      <w:r w:rsidR="00E82C93">
        <w:t>), applying only to PBCs</w:t>
      </w:r>
      <w:r>
        <w:t>.</w:t>
      </w:r>
      <w:r w:rsidR="00E82C93">
        <w:rPr>
          <w:rStyle w:val="FootnoteReference"/>
        </w:rPr>
        <w:footnoteReference w:id="93"/>
      </w:r>
      <w:r w:rsidR="00CC11AC">
        <w:t xml:space="preserve"> </w:t>
      </w:r>
      <w:proofErr w:type="gramStart"/>
      <w:r w:rsidR="00CC11AC">
        <w:t>Th</w:t>
      </w:r>
      <w:r w:rsidR="00E82C93">
        <w:t>e</w:t>
      </w:r>
      <w:proofErr w:type="gramEnd"/>
      <w:r w:rsidR="00E82C93">
        <w:t xml:space="preserve"> refined approach </w:t>
      </w:r>
      <w:r w:rsidR="00CC11AC">
        <w:t xml:space="preserve">is somewhat narrower than the ICDC. It involves amending existing legislation (the </w:t>
      </w:r>
      <w:r w:rsidR="00E82C93" w:rsidRPr="00E82C93">
        <w:t>CATSI Act</w:t>
      </w:r>
      <w:r w:rsidR="00CC11AC">
        <w:t xml:space="preserve">) to introduce an additional schedule of governance and reporting requirements </w:t>
      </w:r>
      <w:r w:rsidR="00E82C93">
        <w:t xml:space="preserve">for PBCs, </w:t>
      </w:r>
      <w:r w:rsidR="00CC11AC">
        <w:t xml:space="preserve">rather than </w:t>
      </w:r>
      <w:r w:rsidR="00E82C93">
        <w:t xml:space="preserve">seeking to apply a suite </w:t>
      </w:r>
      <w:r w:rsidR="00CC11AC">
        <w:t xml:space="preserve">of governance requirements to a range of different legal forms. Like the ICDC though, the model would involve a broader range of permitted purposes and activities (than </w:t>
      </w:r>
      <w:r w:rsidR="00121C6A">
        <w:t>for charities</w:t>
      </w:r>
      <w:r w:rsidR="00CC11AC">
        <w:t xml:space="preserve">), expressly including economic development to address Indigenous disadvantage through </w:t>
      </w:r>
      <w:r w:rsidR="00E82C93">
        <w:t xml:space="preserve">provision of </w:t>
      </w:r>
      <w:r w:rsidR="00CC11AC">
        <w:t xml:space="preserve">finance to businesses. </w:t>
      </w:r>
      <w:r w:rsidR="00B4012E">
        <w:t>This would involve amending</w:t>
      </w:r>
      <w:r w:rsidR="00B4012E" w:rsidRPr="00CD2F24">
        <w:t xml:space="preserve"> the </w:t>
      </w:r>
      <w:r w:rsidR="00B4012E" w:rsidRPr="00B4012E">
        <w:t>CATSI Act</w:t>
      </w:r>
      <w:r w:rsidR="00B4012E" w:rsidRPr="00CD2F24">
        <w:t xml:space="preserve"> and PBC reg</w:t>
      </w:r>
      <w:r w:rsidR="00B4012E">
        <w:t>ulation</w:t>
      </w:r>
      <w:r w:rsidR="00B4012E" w:rsidRPr="00CD2F24">
        <w:t xml:space="preserve">s </w:t>
      </w:r>
      <w:r w:rsidR="00B4012E">
        <w:t>and a</w:t>
      </w:r>
      <w:r w:rsidR="00B4012E" w:rsidRPr="00CD2F24">
        <w:t xml:space="preserve"> model constitution, or model provisions to be inserted into a </w:t>
      </w:r>
      <w:r w:rsidR="00B4012E">
        <w:t xml:space="preserve">PBC </w:t>
      </w:r>
      <w:r w:rsidR="00B4012E" w:rsidRPr="00CD2F24">
        <w:t>constitution</w:t>
      </w:r>
      <w:r w:rsidR="00121C6A">
        <w:t>,</w:t>
      </w:r>
      <w:r w:rsidR="00B4012E" w:rsidRPr="00CD2F24">
        <w:t xml:space="preserve"> would help with this process.</w:t>
      </w:r>
      <w:r w:rsidR="00B4012E">
        <w:t xml:space="preserve"> </w:t>
      </w:r>
      <w:r w:rsidR="00CC11AC">
        <w:t>The PBC EVS would also require legislation at the state and federal level to:</w:t>
      </w:r>
    </w:p>
    <w:p w14:paraId="1BE65617" w14:textId="737AB18F" w:rsidR="00CC11AC" w:rsidRDefault="00CC11AC" w:rsidP="00CC11AC">
      <w:pPr>
        <w:pStyle w:val="ListParagraph"/>
        <w:numPr>
          <w:ilvl w:val="0"/>
          <w:numId w:val="30"/>
        </w:numPr>
        <w:spacing w:after="240"/>
        <w:jc w:val="both"/>
      </w:pPr>
      <w:r>
        <w:t>Provide for a new income tax exemption category.</w:t>
      </w:r>
    </w:p>
    <w:p w14:paraId="112A3F81" w14:textId="6A2BC910" w:rsidR="00CC11AC" w:rsidRDefault="00CC11AC" w:rsidP="00CC11AC">
      <w:pPr>
        <w:pStyle w:val="ListParagraph"/>
        <w:numPr>
          <w:ilvl w:val="0"/>
          <w:numId w:val="30"/>
        </w:numPr>
        <w:spacing w:after="240"/>
        <w:jc w:val="both"/>
      </w:pPr>
      <w:r>
        <w:t>Provide for some input tax concessions (eg on employee taxes)</w:t>
      </w:r>
      <w:r w:rsidR="00E82C93">
        <w:t>.</w:t>
      </w:r>
    </w:p>
    <w:p w14:paraId="7AB19ABD" w14:textId="5BAB0036" w:rsidR="00CC11AC" w:rsidRDefault="00CC11AC" w:rsidP="00CC11AC">
      <w:pPr>
        <w:pStyle w:val="ListParagraph"/>
        <w:numPr>
          <w:ilvl w:val="0"/>
          <w:numId w:val="30"/>
        </w:numPr>
        <w:spacing w:after="240"/>
        <w:jc w:val="both"/>
      </w:pPr>
      <w:r>
        <w:t xml:space="preserve">Deal with legacy structures, ie rolling </w:t>
      </w:r>
      <w:r w:rsidR="00A76E53">
        <w:t xml:space="preserve">pre-existing </w:t>
      </w:r>
      <w:r>
        <w:t>charitable trusts and charitable corporations into the PBC EVS.</w:t>
      </w:r>
    </w:p>
    <w:p w14:paraId="76BEA05A" w14:textId="672569F6" w:rsidR="00880182" w:rsidRPr="00880182" w:rsidRDefault="00880182" w:rsidP="00DA4464">
      <w:pPr>
        <w:spacing w:after="240"/>
        <w:jc w:val="both"/>
        <w:rPr>
          <w:i/>
        </w:rPr>
      </w:pPr>
      <w:r>
        <w:rPr>
          <w:i/>
        </w:rPr>
        <w:t xml:space="preserve">Addressing the Part 3 </w:t>
      </w:r>
      <w:r w:rsidRPr="00880182">
        <w:rPr>
          <w:i/>
        </w:rPr>
        <w:t>challenges</w:t>
      </w:r>
    </w:p>
    <w:p w14:paraId="607A3BDB" w14:textId="38846CCE" w:rsidR="009A117F" w:rsidRDefault="00333F0D" w:rsidP="00DA4464">
      <w:pPr>
        <w:spacing w:after="240"/>
        <w:jc w:val="both"/>
      </w:pPr>
      <w:r>
        <w:t xml:space="preserve">By providing a legislative response, the </w:t>
      </w:r>
      <w:r w:rsidR="00880182">
        <w:t xml:space="preserve">PBC EVS could largely address the </w:t>
      </w:r>
      <w:r w:rsidR="004A57F0">
        <w:t xml:space="preserve">technical charity law and administrative practice issues </w:t>
      </w:r>
      <w:r>
        <w:t xml:space="preserve">experienced by </w:t>
      </w:r>
      <w:r w:rsidR="004A57F0">
        <w:t>charities engaging in economic development acti</w:t>
      </w:r>
      <w:r w:rsidR="00880182">
        <w:t>vities,</w:t>
      </w:r>
      <w:r w:rsidR="00C96724">
        <w:rPr>
          <w:rStyle w:val="FootnoteReference"/>
        </w:rPr>
        <w:footnoteReference w:id="94"/>
      </w:r>
      <w:r w:rsidR="00880182">
        <w:t xml:space="preserve"> </w:t>
      </w:r>
      <w:r w:rsidR="008F7D8A">
        <w:t xml:space="preserve">though </w:t>
      </w:r>
      <w:r w:rsidR="00880182">
        <w:t xml:space="preserve">rolling over funds from </w:t>
      </w:r>
      <w:r w:rsidR="008F7D8A">
        <w:t xml:space="preserve">legacy </w:t>
      </w:r>
      <w:r w:rsidR="00880182">
        <w:t xml:space="preserve">charity </w:t>
      </w:r>
      <w:r w:rsidR="008F7D8A">
        <w:t xml:space="preserve">structures would also require additional steps (see below). </w:t>
      </w:r>
      <w:r w:rsidR="009A117F">
        <w:t>At the same time, many of the key benefits from using a charity could be retained</w:t>
      </w:r>
      <w:r w:rsidR="00121C6A">
        <w:t>,</w:t>
      </w:r>
      <w:r w:rsidR="009A117F">
        <w:t xml:space="preserve"> such as the existence of a robust governance structure and the ability to accumulate income exempt from tax. </w:t>
      </w:r>
    </w:p>
    <w:p w14:paraId="31C904B5" w14:textId="5B11115C" w:rsidR="00FF4465" w:rsidRDefault="009A117F" w:rsidP="00DA4464">
      <w:pPr>
        <w:spacing w:after="240"/>
        <w:jc w:val="both"/>
      </w:pPr>
      <w:r>
        <w:t xml:space="preserve">A further </w:t>
      </w:r>
      <w:r w:rsidR="008F7D8A">
        <w:t xml:space="preserve">benefit is </w:t>
      </w:r>
      <w:r w:rsidR="00121C6A">
        <w:t xml:space="preserve">the </w:t>
      </w:r>
      <w:r w:rsidR="008F7D8A">
        <w:t xml:space="preserve">move away from the language of ‘charity’ to </w:t>
      </w:r>
      <w:r w:rsidR="00121C6A">
        <w:t>‘</w:t>
      </w:r>
      <w:r w:rsidR="008F7D8A">
        <w:t>development</w:t>
      </w:r>
      <w:r w:rsidR="00121C6A">
        <w:t>’</w:t>
      </w:r>
      <w:r w:rsidR="008F7D8A">
        <w:t>.</w:t>
      </w:r>
      <w:r w:rsidR="000120D4">
        <w:rPr>
          <w:rStyle w:val="FootnoteReference"/>
        </w:rPr>
        <w:footnoteReference w:id="95"/>
      </w:r>
      <w:r w:rsidR="008F7D8A">
        <w:t xml:space="preserve"> </w:t>
      </w:r>
      <w:r w:rsidR="00FF4465">
        <w:t>While the Productivity Commission has suggested that there is no real issue since Indigenous communities may freely choose whether to use charities or non-charities to manage benefits,</w:t>
      </w:r>
      <w:r w:rsidR="000120D4">
        <w:rPr>
          <w:rStyle w:val="FootnoteReference"/>
        </w:rPr>
        <w:footnoteReference w:id="96"/>
      </w:r>
      <w:r w:rsidR="00FF4465">
        <w:t xml:space="preserve"> this misses two fundamental points. First, as noted above, resource proponents have historically negotiated very strongly for the use of charitable trusts due to their perceived robust governance controls; such that an alternate governance structure is potentially necessary. Second, charities are currently and</w:t>
      </w:r>
      <w:r w:rsidR="00121C6A">
        <w:t>,</w:t>
      </w:r>
      <w:r w:rsidR="00FF4465">
        <w:t xml:space="preserve"> given accumulation tax concessions</w:t>
      </w:r>
      <w:r w:rsidR="00121C6A">
        <w:t>,</w:t>
      </w:r>
      <w:r w:rsidR="00FF4465">
        <w:t xml:space="preserve"> likely to continue to be very widely used by native title groups. Yet, as every elementary textbook </w:t>
      </w:r>
      <w:r w:rsidR="00FF4465" w:rsidRPr="00333F0D">
        <w:t>on charity law</w:t>
      </w:r>
      <w:r w:rsidR="00121C6A">
        <w:t xml:space="preserve"> notes</w:t>
      </w:r>
      <w:r w:rsidR="00FF4465" w:rsidRPr="00333F0D">
        <w:t>,</w:t>
      </w:r>
      <w:r w:rsidR="00FF4465" w:rsidRPr="00333F0D">
        <w:rPr>
          <w:rStyle w:val="FootnoteReference"/>
        </w:rPr>
        <w:footnoteReference w:id="97"/>
      </w:r>
      <w:r w:rsidR="00FF4465" w:rsidRPr="00333F0D">
        <w:t xml:space="preserve"> the </w:t>
      </w:r>
      <w:r w:rsidR="00C17A3C" w:rsidRPr="00333F0D">
        <w:t xml:space="preserve">popular </w:t>
      </w:r>
      <w:r w:rsidR="00FF4465" w:rsidRPr="00333F0D">
        <w:t xml:space="preserve">meaning of ‘charity’ does not accord with its technical legal meaning. The </w:t>
      </w:r>
      <w:r w:rsidR="00C17A3C" w:rsidRPr="00333F0D">
        <w:t>popular</w:t>
      </w:r>
      <w:r w:rsidR="00FF4465" w:rsidRPr="00333F0D">
        <w:t xml:space="preserve"> meaning of charity is aptly set out in the Macquarie Dictionary</w:t>
      </w:r>
      <w:r w:rsidR="005B77F4" w:rsidRPr="00333F0D">
        <w:t xml:space="preserve"> (online</w:t>
      </w:r>
      <w:r w:rsidR="005B77F4">
        <w:t>)</w:t>
      </w:r>
      <w:r w:rsidR="00FF4465">
        <w:t>:</w:t>
      </w:r>
    </w:p>
    <w:p w14:paraId="73F61C42" w14:textId="1DD7B356" w:rsidR="00FF4465" w:rsidRPr="00B42AA8" w:rsidRDefault="00FF4465" w:rsidP="00FF4465">
      <w:pPr>
        <w:spacing w:after="240"/>
        <w:ind w:left="720"/>
        <w:jc w:val="both"/>
        <w:rPr>
          <w:sz w:val="22"/>
          <w:szCs w:val="22"/>
        </w:rPr>
      </w:pPr>
      <w:r w:rsidRPr="00B42AA8">
        <w:rPr>
          <w:sz w:val="22"/>
          <w:szCs w:val="22"/>
        </w:rPr>
        <w:t>almsgiving; the private or public relief of unfortunate or needy persons; benevolence</w:t>
      </w:r>
    </w:p>
    <w:p w14:paraId="0435DBD5" w14:textId="0A14266F" w:rsidR="00DA4464" w:rsidRDefault="008358EE" w:rsidP="00DA4464">
      <w:pPr>
        <w:spacing w:after="240"/>
        <w:jc w:val="both"/>
      </w:pPr>
      <w:r>
        <w:lastRenderedPageBreak/>
        <w:t xml:space="preserve">A perception of almsgiving </w:t>
      </w:r>
      <w:r w:rsidR="00B42AA8">
        <w:t xml:space="preserve">is likely to be </w:t>
      </w:r>
      <w:r>
        <w:t xml:space="preserve">the way that </w:t>
      </w:r>
      <w:r w:rsidR="00B42AA8">
        <w:t xml:space="preserve">BMS charities </w:t>
      </w:r>
      <w:r>
        <w:t xml:space="preserve">are viewed </w:t>
      </w:r>
      <w:r w:rsidR="00B42AA8">
        <w:t>by Indigenous and non-Indigenous Australians</w:t>
      </w:r>
      <w:r>
        <w:t>, rather than mechanisms that empower Indigenous communities and help celebrate their cultures.</w:t>
      </w:r>
      <w:r w:rsidR="00B42AA8">
        <w:rPr>
          <w:rStyle w:val="FootnoteReference"/>
        </w:rPr>
        <w:footnoteReference w:id="98"/>
      </w:r>
      <w:r w:rsidR="00121C6A">
        <w:t xml:space="preserve"> </w:t>
      </w:r>
      <w:r w:rsidR="008F7D8A">
        <w:t>Th</w:t>
      </w:r>
      <w:r w:rsidR="00FF4465">
        <w:t>us, th</w:t>
      </w:r>
      <w:r w:rsidR="008F7D8A">
        <w:t xml:space="preserve">is is a key advantage </w:t>
      </w:r>
      <w:r w:rsidR="00121C6A">
        <w:t xml:space="preserve">as compared with merely </w:t>
      </w:r>
      <w:r w:rsidR="00333F0D">
        <w:t xml:space="preserve">providing certainty for a broader </w:t>
      </w:r>
      <w:r w:rsidR="008F7D8A">
        <w:t>range of charity activities.</w:t>
      </w:r>
      <w:r w:rsidR="00DA4464">
        <w:t xml:space="preserve"> </w:t>
      </w:r>
    </w:p>
    <w:p w14:paraId="2EEF559E" w14:textId="6D4ACB56" w:rsidR="008F7D8A" w:rsidRDefault="008F7D8A" w:rsidP="00D57767">
      <w:pPr>
        <w:spacing w:after="240"/>
        <w:jc w:val="both"/>
      </w:pPr>
      <w:r>
        <w:t xml:space="preserve">If a PBC EVS is able to pursue both asset investment and distribution as well as a range of purposes (including economic development), then it should </w:t>
      </w:r>
      <w:r w:rsidR="00610F5F">
        <w:t xml:space="preserve">also </w:t>
      </w:r>
      <w:r>
        <w:t xml:space="preserve">be possible to use one entity rather than multiple entities, </w:t>
      </w:r>
      <w:r w:rsidR="00610F5F">
        <w:t xml:space="preserve">reducing the complexity discussed in Part </w:t>
      </w:r>
      <w:r w:rsidR="00610F5F">
        <w:fldChar w:fldCharType="begin"/>
      </w:r>
      <w:r w:rsidR="00610F5F">
        <w:instrText xml:space="preserve"> REF _Ref43477321 \r \h </w:instrText>
      </w:r>
      <w:r w:rsidR="00610F5F">
        <w:fldChar w:fldCharType="separate"/>
      </w:r>
      <w:r w:rsidR="00D70136">
        <w:t>3.2</w:t>
      </w:r>
      <w:r w:rsidR="00610F5F">
        <w:fldChar w:fldCharType="end"/>
      </w:r>
      <w:r>
        <w:t xml:space="preserve">. </w:t>
      </w:r>
    </w:p>
    <w:p w14:paraId="5D7CED60" w14:textId="7C298416" w:rsidR="009D2C04" w:rsidRDefault="008F7D8A" w:rsidP="00B8154A">
      <w:pPr>
        <w:spacing w:after="240"/>
        <w:jc w:val="both"/>
      </w:pPr>
      <w:r>
        <w:t xml:space="preserve">However, </w:t>
      </w:r>
      <w:r w:rsidR="00610F5F">
        <w:t>t</w:t>
      </w:r>
      <w:r>
        <w:t>he unique</w:t>
      </w:r>
      <w:r w:rsidR="00610F5F">
        <w:t>, social enterprise</w:t>
      </w:r>
      <w:r>
        <w:t xml:space="preserve"> nature of the </w:t>
      </w:r>
      <w:r w:rsidR="00610F5F">
        <w:t>BMS remain</w:t>
      </w:r>
      <w:r w:rsidR="00B84833">
        <w:t>s and is only partially addressed by the PBC EVS proposal</w:t>
      </w:r>
      <w:r>
        <w:t>.</w:t>
      </w:r>
      <w:r w:rsidR="002601EF">
        <w:rPr>
          <w:rStyle w:val="FootnoteReference"/>
        </w:rPr>
        <w:footnoteReference w:id="99"/>
      </w:r>
      <w:r>
        <w:t xml:space="preserve"> </w:t>
      </w:r>
      <w:r w:rsidR="00B84833">
        <w:t xml:space="preserve">The issue here is </w:t>
      </w:r>
      <w:r w:rsidR="00DC0080">
        <w:t xml:space="preserve">trust </w:t>
      </w:r>
      <w:r w:rsidR="00B84833">
        <w:t>on the part of</w:t>
      </w:r>
      <w:r w:rsidR="00DC0080">
        <w:t xml:space="preserve"> stakeholders in </w:t>
      </w:r>
      <w:r w:rsidR="00610F5F">
        <w:t xml:space="preserve">a </w:t>
      </w:r>
      <w:r w:rsidR="00DC0080">
        <w:t xml:space="preserve">PBC EVS that it will meaningfully pursue its </w:t>
      </w:r>
      <w:r w:rsidR="00610F5F">
        <w:t xml:space="preserve">Indigenous community and socio-economic development </w:t>
      </w:r>
      <w:r w:rsidR="00DC0080">
        <w:t>mission</w:t>
      </w:r>
      <w:r w:rsidR="0081174E">
        <w:t>;</w:t>
      </w:r>
      <w:r w:rsidR="00DC0080">
        <w:t xml:space="preserve"> ie not change its purposes away from that mission or distribute assets in a way that does not support the mission.</w:t>
      </w:r>
      <w:r w:rsidR="00DC0080">
        <w:rPr>
          <w:rStyle w:val="FootnoteReference"/>
        </w:rPr>
        <w:footnoteReference w:id="100"/>
      </w:r>
      <w:r w:rsidR="00DC0080">
        <w:t xml:space="preserve"> </w:t>
      </w:r>
      <w:r>
        <w:t xml:space="preserve">It is true that </w:t>
      </w:r>
      <w:r w:rsidR="00F44BDC">
        <w:t>PBCs have a regulator</w:t>
      </w:r>
      <w:r w:rsidR="00C2303A">
        <w:t>, ORIC,</w:t>
      </w:r>
      <w:r w:rsidR="00F44BDC">
        <w:t xml:space="preserve"> with a focus</w:t>
      </w:r>
      <w:r w:rsidR="00992978">
        <w:t xml:space="preserve"> on</w:t>
      </w:r>
      <w:r w:rsidR="00F44BDC">
        <w:t xml:space="preserve"> and </w:t>
      </w:r>
      <w:r w:rsidR="00187A1B">
        <w:t xml:space="preserve">modest </w:t>
      </w:r>
      <w:r w:rsidR="00F44BDC">
        <w:t xml:space="preserve">resource </w:t>
      </w:r>
      <w:r w:rsidR="00C2303A">
        <w:t>b</w:t>
      </w:r>
      <w:r w:rsidR="00187A1B">
        <w:t>ase for regulating PBCs,</w:t>
      </w:r>
      <w:bookmarkStart w:id="47" w:name="_Ref43899871"/>
      <w:r w:rsidR="00187A1B">
        <w:rPr>
          <w:rStyle w:val="FootnoteReference"/>
        </w:rPr>
        <w:footnoteReference w:id="101"/>
      </w:r>
      <w:bookmarkEnd w:id="47"/>
      <w:r w:rsidR="00187A1B">
        <w:t xml:space="preserve"> as well as </w:t>
      </w:r>
      <w:r>
        <w:t xml:space="preserve">a </w:t>
      </w:r>
      <w:r w:rsidR="00187A1B">
        <w:t xml:space="preserve">relatively </w:t>
      </w:r>
      <w:r>
        <w:t>clear set of duties</w:t>
      </w:r>
      <w:r w:rsidR="00B8154A">
        <w:t xml:space="preserve"> and a degree of accountability to members and the broader public</w:t>
      </w:r>
      <w:r w:rsidR="00187A1B">
        <w:t>.</w:t>
      </w:r>
      <w:r w:rsidR="00187A1B">
        <w:rPr>
          <w:rStyle w:val="FootnoteReference"/>
        </w:rPr>
        <w:footnoteReference w:id="102"/>
      </w:r>
      <w:r w:rsidR="00187A1B">
        <w:t xml:space="preserve"> </w:t>
      </w:r>
      <w:r w:rsidR="00B8154A">
        <w:t xml:space="preserve">However, </w:t>
      </w:r>
      <w:r w:rsidR="009D2C04">
        <w:t xml:space="preserve">the </w:t>
      </w:r>
      <w:r w:rsidR="009D2C04" w:rsidRPr="00B8154A">
        <w:t>CATSI Act</w:t>
      </w:r>
      <w:r w:rsidR="009D2C04">
        <w:t xml:space="preserve"> regime </w:t>
      </w:r>
      <w:r w:rsidR="003315D5">
        <w:t>is subject to a range of criticisms about whether it sufficiently meets</w:t>
      </w:r>
      <w:r w:rsidR="009D2C04">
        <w:t xml:space="preserve"> aspirations</w:t>
      </w:r>
      <w:r w:rsidR="00B8154A">
        <w:t xml:space="preserve"> for good governance and accountability</w:t>
      </w:r>
      <w:r w:rsidR="003315D5">
        <w:t>, whilst also permitting customisation to the cultural and other circumstances of each Indigenous community</w:t>
      </w:r>
      <w:r w:rsidR="009D2C04">
        <w:t>.</w:t>
      </w:r>
      <w:r w:rsidR="00F34248">
        <w:rPr>
          <w:rStyle w:val="FootnoteReference"/>
        </w:rPr>
        <w:footnoteReference w:id="103"/>
      </w:r>
      <w:r w:rsidR="009D2C04">
        <w:t xml:space="preserve"> </w:t>
      </w:r>
      <w:r w:rsidR="00F34248">
        <w:t xml:space="preserve">Several reviews had culminated in </w:t>
      </w:r>
      <w:r w:rsidR="003315D5">
        <w:t>proposed amendments to the CATSI Act that would increase accountability and transparency, yet simultaneously ‘reduc[e] regulatory burden’</w:t>
      </w:r>
      <w:r w:rsidR="00F34248">
        <w:t>,</w:t>
      </w:r>
      <w:r w:rsidR="003315D5">
        <w:rPr>
          <w:rStyle w:val="FootnoteReference"/>
        </w:rPr>
        <w:footnoteReference w:id="104"/>
      </w:r>
      <w:r w:rsidR="003315D5">
        <w:t xml:space="preserve"> </w:t>
      </w:r>
      <w:r w:rsidR="00F34248">
        <w:t xml:space="preserve">but those changes have now been put on hold pending </w:t>
      </w:r>
      <w:r w:rsidR="009D2C04">
        <w:t xml:space="preserve">a </w:t>
      </w:r>
      <w:r w:rsidR="00F34248">
        <w:t xml:space="preserve">more </w:t>
      </w:r>
      <w:r w:rsidR="009D2C04">
        <w:t xml:space="preserve">comprehensive review of the </w:t>
      </w:r>
      <w:r w:rsidR="009D2C04" w:rsidRPr="00B8154A">
        <w:t>CATSI Act,</w:t>
      </w:r>
      <w:r w:rsidR="009D2C04">
        <w:t xml:space="preserve"> which includes </w:t>
      </w:r>
      <w:r w:rsidR="00F34248">
        <w:t xml:space="preserve">examining </w:t>
      </w:r>
      <w:r w:rsidR="009D2C04">
        <w:t>‘</w:t>
      </w:r>
      <w:r w:rsidR="009D2C04" w:rsidRPr="009D2C04">
        <w:t xml:space="preserve">whether </w:t>
      </w:r>
      <w:r w:rsidR="009D2C04">
        <w:t>i</w:t>
      </w:r>
      <w:r w:rsidR="009D2C04" w:rsidRPr="009D2C04">
        <w:t>t can better support economic and community development opportunities</w:t>
      </w:r>
      <w:r w:rsidR="009D2C04">
        <w:t>’ for Indigenous Australians.</w:t>
      </w:r>
      <w:r w:rsidR="009D2C04">
        <w:rPr>
          <w:rStyle w:val="FootnoteReference"/>
        </w:rPr>
        <w:footnoteReference w:id="105"/>
      </w:r>
    </w:p>
    <w:p w14:paraId="0F74F32A" w14:textId="2BF6AFCB" w:rsidR="008F7D8A" w:rsidRDefault="00B8154A" w:rsidP="00B8154A">
      <w:pPr>
        <w:spacing w:after="240"/>
        <w:jc w:val="both"/>
      </w:pPr>
      <w:r>
        <w:t xml:space="preserve">It is unclear how the PBC EVS rules will help guide directors about the priority to be accorded </w:t>
      </w:r>
      <w:r w:rsidR="00510AA2">
        <w:t xml:space="preserve">community purposes versus asset management and distribution; unlike the </w:t>
      </w:r>
      <w:r w:rsidR="008F7D8A">
        <w:t xml:space="preserve">charity form </w:t>
      </w:r>
      <w:r w:rsidR="00510AA2">
        <w:t xml:space="preserve">which </w:t>
      </w:r>
      <w:r w:rsidR="008F7D8A">
        <w:t xml:space="preserve">gives a </w:t>
      </w:r>
      <w:r w:rsidR="00DC0080">
        <w:t xml:space="preserve">primary focus to community purpose </w:t>
      </w:r>
      <w:r w:rsidR="00510AA2">
        <w:t>goals.</w:t>
      </w:r>
      <w:r w:rsidR="00DC0080">
        <w:t xml:space="preserve"> </w:t>
      </w:r>
      <w:r w:rsidR="00510AA2">
        <w:t>The lack of a clear prioritisation mechanism is</w:t>
      </w:r>
      <w:r w:rsidR="00DC0080">
        <w:t xml:space="preserve"> contrary to the recommendations of Brakman-Reiser and Dean and contrary to the approach for </w:t>
      </w:r>
      <w:r w:rsidR="00510AA2">
        <w:t>several of the new social-enterprise veh</w:t>
      </w:r>
      <w:r w:rsidR="00796CD2">
        <w:t>i</w:t>
      </w:r>
      <w:r w:rsidR="00510AA2">
        <w:t>cles noted above, such as c</w:t>
      </w:r>
      <w:r w:rsidR="00DC0080">
        <w:t xml:space="preserve">ommunity </w:t>
      </w:r>
      <w:r w:rsidR="00510AA2">
        <w:t>i</w:t>
      </w:r>
      <w:r w:rsidR="00DC0080">
        <w:t xml:space="preserve">nterest </w:t>
      </w:r>
      <w:r w:rsidR="00510AA2">
        <w:t>c</w:t>
      </w:r>
      <w:r w:rsidR="00DC0080">
        <w:t xml:space="preserve">ompanies </w:t>
      </w:r>
      <w:r w:rsidR="00510AA2">
        <w:t>and low-profit limited liability companies</w:t>
      </w:r>
      <w:r w:rsidR="00DC0080">
        <w:t>.</w:t>
      </w:r>
      <w:r w:rsidR="00DC0080">
        <w:rPr>
          <w:rStyle w:val="FootnoteReference"/>
        </w:rPr>
        <w:footnoteReference w:id="106"/>
      </w:r>
      <w:r w:rsidR="00510AA2">
        <w:t xml:space="preserve"> </w:t>
      </w:r>
      <w:r w:rsidR="00796CD2">
        <w:t xml:space="preserve">Relying solely on reporting and transparency to act as the mechanism for </w:t>
      </w:r>
      <w:r w:rsidR="00796CD2">
        <w:lastRenderedPageBreak/>
        <w:t xml:space="preserve">prioritising different purposes has proven difficult for </w:t>
      </w:r>
      <w:r w:rsidR="00D07D85">
        <w:t>benefit</w:t>
      </w:r>
      <w:r w:rsidR="00796CD2">
        <w:t xml:space="preserve"> corporations in the </w:t>
      </w:r>
      <w:r w:rsidR="00D07D85">
        <w:t>US</w:t>
      </w:r>
      <w:r w:rsidR="00D07D85">
        <w:rPr>
          <w:rStyle w:val="FootnoteReference"/>
        </w:rPr>
        <w:footnoteReference w:id="107"/>
      </w:r>
      <w:r w:rsidR="00796CD2">
        <w:t xml:space="preserve"> and, </w:t>
      </w:r>
      <w:r w:rsidR="00796CD2" w:rsidRPr="008358EE">
        <w:t xml:space="preserve">relatedly, for </w:t>
      </w:r>
      <w:r w:rsidR="00D07D85" w:rsidRPr="008358EE">
        <w:t xml:space="preserve">standard companies in the UK, for which section 172(1) </w:t>
      </w:r>
      <w:r w:rsidR="00D07D85" w:rsidRPr="008358EE">
        <w:rPr>
          <w:iCs/>
        </w:rPr>
        <w:t>of the</w:t>
      </w:r>
      <w:r w:rsidR="00D07D85" w:rsidRPr="008358EE">
        <w:t xml:space="preserve"> </w:t>
      </w:r>
      <w:r w:rsidR="00D07D85" w:rsidRPr="008358EE">
        <w:rPr>
          <w:iCs/>
        </w:rPr>
        <w:t xml:space="preserve">Companies Act 2006 </w:t>
      </w:r>
      <w:r w:rsidR="00D07D85" w:rsidRPr="008358EE">
        <w:t>(UK)</w:t>
      </w:r>
      <w:r w:rsidR="00D07D85">
        <w:t xml:space="preserve"> c46 requires directors to consider a range of stakeholder interests</w:t>
      </w:r>
      <w:r w:rsidR="00D07D85" w:rsidRPr="00D07D85">
        <w:t>.</w:t>
      </w:r>
      <w:r w:rsidR="00D07D85">
        <w:rPr>
          <w:rStyle w:val="FootnoteReference"/>
        </w:rPr>
        <w:footnoteReference w:id="108"/>
      </w:r>
    </w:p>
    <w:p w14:paraId="581BC48E" w14:textId="7AC6CB42" w:rsidR="00DC0080" w:rsidRDefault="00510AA2" w:rsidP="00510AA2">
      <w:pPr>
        <w:spacing w:after="240"/>
        <w:jc w:val="both"/>
      </w:pPr>
      <w:r>
        <w:t>Further, w</w:t>
      </w:r>
      <w:r w:rsidR="00DC0080">
        <w:t xml:space="preserve">hile the PBC EVS </w:t>
      </w:r>
      <w:r>
        <w:t xml:space="preserve">proposal would presumably </w:t>
      </w:r>
      <w:r w:rsidR="00DC0080">
        <w:t>provide a form of mission-lock</w:t>
      </w:r>
      <w:r w:rsidR="00761545">
        <w:t xml:space="preserve"> </w:t>
      </w:r>
      <w:r>
        <w:t xml:space="preserve">(it appears that PBCs would elect into the regime by adopting Indigenous community and socio-economic development purposes, which would then </w:t>
      </w:r>
      <w:r w:rsidRPr="00B32B10">
        <w:t>be protected by the additional governance requirements)</w:t>
      </w:r>
      <w:r w:rsidR="00DC0080" w:rsidRPr="00B32B10">
        <w:t xml:space="preserve">, it does not </w:t>
      </w:r>
      <w:r w:rsidRPr="00B32B10">
        <w:t xml:space="preserve">appear to </w:t>
      </w:r>
      <w:r w:rsidR="00DC0080" w:rsidRPr="00B32B10">
        <w:t>contain an asset-lock</w:t>
      </w:r>
      <w:r w:rsidRPr="00B32B10">
        <w:t xml:space="preserve">. </w:t>
      </w:r>
      <w:r w:rsidR="00B20AD8" w:rsidRPr="00B32B10">
        <w:t>That is because PBCs are currently permitted to make</w:t>
      </w:r>
      <w:r w:rsidRPr="00B32B10">
        <w:t xml:space="preserve"> distributions </w:t>
      </w:r>
      <w:r w:rsidR="00B20AD8" w:rsidRPr="00B32B10">
        <w:t>to m</w:t>
      </w:r>
      <w:r w:rsidR="00B20AD8">
        <w:t>embers</w:t>
      </w:r>
      <w:r w:rsidR="00B20AD8">
        <w:rPr>
          <w:rStyle w:val="FootnoteReference"/>
        </w:rPr>
        <w:footnoteReference w:id="109"/>
      </w:r>
      <w:r w:rsidR="00B20AD8">
        <w:t xml:space="preserve"> and the PBC EVS approach does not ap</w:t>
      </w:r>
      <w:r w:rsidR="002E7443">
        <w:t>pear to contain any constraints,</w:t>
      </w:r>
      <w:r w:rsidR="00B20AD8">
        <w:t xml:space="preserve"> such as</w:t>
      </w:r>
      <w:r w:rsidR="00B01079" w:rsidRPr="00B32B10">
        <w:t xml:space="preserve"> </w:t>
      </w:r>
      <w:r w:rsidR="00B32B10" w:rsidRPr="00B32B10">
        <w:t xml:space="preserve">capping </w:t>
      </w:r>
      <w:r w:rsidR="00B01079" w:rsidRPr="00B32B10">
        <w:t xml:space="preserve">distributions to </w:t>
      </w:r>
      <w:r w:rsidR="00B01079" w:rsidRPr="006B28B1">
        <w:t xml:space="preserve">members </w:t>
      </w:r>
      <w:r w:rsidR="00B32B10" w:rsidRPr="006B28B1">
        <w:t xml:space="preserve">at </w:t>
      </w:r>
      <w:r w:rsidR="006B28B1" w:rsidRPr="006B28B1">
        <w:t xml:space="preserve">a </w:t>
      </w:r>
      <w:r w:rsidR="00B32B10" w:rsidRPr="006B28B1">
        <w:t xml:space="preserve">percentage </w:t>
      </w:r>
      <w:r w:rsidR="006B28B1" w:rsidRPr="006B28B1">
        <w:t xml:space="preserve">of surplus or profits </w:t>
      </w:r>
      <w:r w:rsidR="00B32B10" w:rsidRPr="006B28B1">
        <w:t>as for</w:t>
      </w:r>
      <w:r w:rsidR="00B32B10" w:rsidRPr="00B32B10">
        <w:t xml:space="preserve"> </w:t>
      </w:r>
      <w:r w:rsidR="004B3EA0">
        <w:t xml:space="preserve">some of the social enterprise legal forms in </w:t>
      </w:r>
      <w:r w:rsidR="00F63B9D">
        <w:t>England and Wales</w:t>
      </w:r>
      <w:r w:rsidR="004B3EA0">
        <w:t xml:space="preserve"> and Canada</w:t>
      </w:r>
      <w:r w:rsidR="00DC0080">
        <w:t>.</w:t>
      </w:r>
      <w:r w:rsidR="006B28B1">
        <w:rPr>
          <w:rStyle w:val="FootnoteReference"/>
        </w:rPr>
        <w:footnoteReference w:id="110"/>
      </w:r>
    </w:p>
    <w:p w14:paraId="4C8E63B9" w14:textId="21AD96BA" w:rsidR="00D57767" w:rsidRDefault="00D57767" w:rsidP="00D57767">
      <w:pPr>
        <w:spacing w:after="240"/>
        <w:jc w:val="both"/>
        <w:rPr>
          <w:i/>
        </w:rPr>
      </w:pPr>
      <w:r w:rsidRPr="00D57767">
        <w:rPr>
          <w:i/>
        </w:rPr>
        <w:t>Legacy structures</w:t>
      </w:r>
    </w:p>
    <w:p w14:paraId="1B7C23C8" w14:textId="1CD47529" w:rsidR="00D57767" w:rsidRDefault="006733C1" w:rsidP="00D57767">
      <w:pPr>
        <w:spacing w:after="240"/>
        <w:jc w:val="both"/>
      </w:pPr>
      <w:r>
        <w:t>Adopti</w:t>
      </w:r>
      <w:r w:rsidR="002A3F33">
        <w:t>n</w:t>
      </w:r>
      <w:r>
        <w:t>g</w:t>
      </w:r>
      <w:r w:rsidR="002A3F33">
        <w:t xml:space="preserve"> </w:t>
      </w:r>
      <w:r>
        <w:t xml:space="preserve">the </w:t>
      </w:r>
      <w:r w:rsidR="002A3F33">
        <w:t xml:space="preserve">PBC EVS </w:t>
      </w:r>
      <w:r>
        <w:t>proposal may</w:t>
      </w:r>
      <w:r w:rsidR="002A3F33">
        <w:t xml:space="preserve"> ease challenges for new structures, </w:t>
      </w:r>
      <w:r>
        <w:t xml:space="preserve">but </w:t>
      </w:r>
      <w:r w:rsidR="002A3F33">
        <w:t xml:space="preserve">there </w:t>
      </w:r>
      <w:r>
        <w:t xml:space="preserve">remains </w:t>
      </w:r>
      <w:r w:rsidR="002A3F33">
        <w:t xml:space="preserve">the matter of the large number of existing BMSs. </w:t>
      </w:r>
      <w:r w:rsidR="00F2575C">
        <w:t xml:space="preserve">There are likely to be two key dimensions to this issue: first, </w:t>
      </w:r>
      <w:r w:rsidR="00CD2F24" w:rsidRPr="00CD2F24">
        <w:t>transfer</w:t>
      </w:r>
      <w:r w:rsidR="00F2575C">
        <w:t>ring</w:t>
      </w:r>
      <w:r w:rsidR="00CD2F24" w:rsidRPr="00CD2F24">
        <w:t xml:space="preserve"> funds from legacy </w:t>
      </w:r>
      <w:r w:rsidR="00F2575C">
        <w:t xml:space="preserve">charitable </w:t>
      </w:r>
      <w:r w:rsidR="00CD2F24" w:rsidRPr="00CD2F24">
        <w:t xml:space="preserve">trusts to </w:t>
      </w:r>
      <w:r w:rsidR="00F2575C">
        <w:t xml:space="preserve">a </w:t>
      </w:r>
      <w:r w:rsidR="00CD2F24" w:rsidRPr="00CD2F24">
        <w:t xml:space="preserve">new PBC </w:t>
      </w:r>
      <w:r w:rsidR="00CD2F24">
        <w:t>EVS</w:t>
      </w:r>
      <w:r w:rsidR="00F2575C">
        <w:t xml:space="preserve">; and, second, permitting </w:t>
      </w:r>
      <w:r w:rsidR="00CD2F24" w:rsidRPr="00CD2F24">
        <w:t xml:space="preserve">existing PBCs to transition into the PBC </w:t>
      </w:r>
      <w:r w:rsidR="00CD2F24">
        <w:t xml:space="preserve">EVS </w:t>
      </w:r>
      <w:r w:rsidR="00F2575C">
        <w:t>arrangements</w:t>
      </w:r>
      <w:r w:rsidR="00CD2F24" w:rsidRPr="00CD2F24">
        <w:t>.</w:t>
      </w:r>
    </w:p>
    <w:p w14:paraId="15E76648" w14:textId="2DB5E5BD" w:rsidR="00CD2F24" w:rsidRPr="00CD2F24" w:rsidRDefault="00CD2F24" w:rsidP="00CD2F24">
      <w:pPr>
        <w:spacing w:after="240"/>
        <w:jc w:val="both"/>
      </w:pPr>
      <w:r>
        <w:t xml:space="preserve">Transfer of funds from a legacy charitable trust to a PBC EVS raises the complication that </w:t>
      </w:r>
      <w:r w:rsidR="00F2575C">
        <w:t xml:space="preserve">trustees are </w:t>
      </w:r>
      <w:r>
        <w:t>obli</w:t>
      </w:r>
      <w:r w:rsidRPr="00CD2F24">
        <w:t xml:space="preserve">ged to apply </w:t>
      </w:r>
      <w:r w:rsidR="00F2575C">
        <w:t xml:space="preserve">charitable trust </w:t>
      </w:r>
      <w:r w:rsidRPr="00CD2F24">
        <w:t xml:space="preserve">assets for </w:t>
      </w:r>
      <w:r w:rsidR="00F2575C">
        <w:t xml:space="preserve">the </w:t>
      </w:r>
      <w:r w:rsidRPr="00CD2F24">
        <w:t xml:space="preserve">charitable purposes </w:t>
      </w:r>
      <w:r w:rsidR="00F2575C">
        <w:t xml:space="preserve">of the trust </w:t>
      </w:r>
      <w:r w:rsidRPr="00CD2F24">
        <w:t xml:space="preserve">and not for broader PBC </w:t>
      </w:r>
      <w:r>
        <w:t>EVS</w:t>
      </w:r>
      <w:r w:rsidRPr="00CD2F24">
        <w:t xml:space="preserve"> purposes.</w:t>
      </w:r>
      <w:r w:rsidR="00F2575C">
        <w:rPr>
          <w:rStyle w:val="FootnoteReference"/>
        </w:rPr>
        <w:footnoteReference w:id="111"/>
      </w:r>
      <w:r w:rsidRPr="00CD2F24">
        <w:t xml:space="preserve"> </w:t>
      </w:r>
      <w:r w:rsidR="001504B3">
        <w:t>Without legislative amendment, a</w:t>
      </w:r>
      <w:r w:rsidRPr="00CD2F24">
        <w:t xml:space="preserve">ny asset transfer would need to be on the basis that the assets would be used for </w:t>
      </w:r>
      <w:r w:rsidR="001504B3">
        <w:t xml:space="preserve">the trust’s </w:t>
      </w:r>
      <w:r w:rsidRPr="00CD2F24">
        <w:t xml:space="preserve">charitable purposes by the PBC </w:t>
      </w:r>
      <w:r>
        <w:t>EVS</w:t>
      </w:r>
      <w:r w:rsidRPr="00CD2F24">
        <w:t xml:space="preserve">. This would detract from the </w:t>
      </w:r>
      <w:r w:rsidR="006733C1">
        <w:t xml:space="preserve">benefits of the </w:t>
      </w:r>
      <w:r w:rsidRPr="00CD2F24">
        <w:t xml:space="preserve">PBC </w:t>
      </w:r>
      <w:r>
        <w:t>EVS</w:t>
      </w:r>
      <w:r w:rsidRPr="00CD2F24">
        <w:t xml:space="preserve"> and would </w:t>
      </w:r>
      <w:r w:rsidR="001504B3">
        <w:t xml:space="preserve">likely </w:t>
      </w:r>
      <w:r w:rsidRPr="00CD2F24">
        <w:t>require the charitable trust to remain in existence to monitor and enforce the contract or other basis for the asset transfer.</w:t>
      </w:r>
    </w:p>
    <w:p w14:paraId="15AB0FD3" w14:textId="3A6D645C" w:rsidR="00CD2F24" w:rsidRPr="00CD2F24" w:rsidRDefault="001504B3" w:rsidP="00CD2F24">
      <w:pPr>
        <w:spacing w:after="240"/>
        <w:jc w:val="both"/>
      </w:pPr>
      <w:r>
        <w:t>As c</w:t>
      </w:r>
      <w:r w:rsidR="00CD2F24" w:rsidRPr="00CD2F24">
        <w:t>haritable tr</w:t>
      </w:r>
      <w:r>
        <w:t xml:space="preserve">usts are created under state law, legislative amendment would </w:t>
      </w:r>
      <w:r w:rsidR="001B6A98">
        <w:t>generally</w:t>
      </w:r>
      <w:r w:rsidR="001B6A98">
        <w:rPr>
          <w:rStyle w:val="FootnoteReference"/>
        </w:rPr>
        <w:footnoteReference w:id="112"/>
      </w:r>
      <w:r w:rsidR="001B6A98">
        <w:t xml:space="preserve"> </w:t>
      </w:r>
      <w:r>
        <w:t xml:space="preserve">have to occur at the state level to permit the </w:t>
      </w:r>
      <w:r w:rsidR="00CD2F24" w:rsidRPr="00CD2F24">
        <w:t xml:space="preserve">transfer </w:t>
      </w:r>
      <w:r>
        <w:t xml:space="preserve">of </w:t>
      </w:r>
      <w:r w:rsidR="00CD2F24" w:rsidRPr="00CD2F24">
        <w:t>assets to a non-charity to be used for non-charitable purposes</w:t>
      </w:r>
      <w:r>
        <w:t xml:space="preserve">. For instance, </w:t>
      </w:r>
      <w:r w:rsidR="00CD2F24" w:rsidRPr="00CD2F24">
        <w:t>in W</w:t>
      </w:r>
      <w:r>
        <w:t xml:space="preserve">estern </w:t>
      </w:r>
      <w:r w:rsidR="00CD2F24" w:rsidRPr="00CD2F24">
        <w:t>A</w:t>
      </w:r>
      <w:r>
        <w:t>ustralia</w:t>
      </w:r>
      <w:r w:rsidR="00CD2F24" w:rsidRPr="00CD2F24">
        <w:t xml:space="preserve">, an amendment to the </w:t>
      </w:r>
      <w:r w:rsidR="00CD2F24" w:rsidRPr="008358EE">
        <w:rPr>
          <w:iCs/>
        </w:rPr>
        <w:t>Charitable Trusts Act 1962</w:t>
      </w:r>
      <w:r w:rsidR="00CD2F24" w:rsidRPr="008358EE">
        <w:t xml:space="preserve"> (</w:t>
      </w:r>
      <w:r w:rsidR="00CD2F24" w:rsidRPr="00CD2F24">
        <w:t>WA)).</w:t>
      </w:r>
      <w:r w:rsidR="00301B8A">
        <w:rPr>
          <w:rStyle w:val="FootnoteReference"/>
        </w:rPr>
        <w:footnoteReference w:id="113"/>
      </w:r>
      <w:r w:rsidR="00CD2F24" w:rsidRPr="00CD2F24">
        <w:t xml:space="preserve"> </w:t>
      </w:r>
      <w:r w:rsidR="006733C1">
        <w:t>Such</w:t>
      </w:r>
      <w:r w:rsidR="00BB3B5A">
        <w:t xml:space="preserve"> legislative amendment</w:t>
      </w:r>
      <w:r w:rsidR="006733C1">
        <w:t>s</w:t>
      </w:r>
      <w:r w:rsidR="00BB3B5A">
        <w:t xml:space="preserve"> should also enlarge </w:t>
      </w:r>
      <w:r w:rsidR="00BB3B5A">
        <w:lastRenderedPageBreak/>
        <w:t xml:space="preserve">the scope of any </w:t>
      </w:r>
      <w:r w:rsidR="00CD2F24" w:rsidRPr="00CD2F24">
        <w:t xml:space="preserve">winding-up clause in </w:t>
      </w:r>
      <w:r w:rsidR="00BB3B5A">
        <w:t xml:space="preserve">Indigenous </w:t>
      </w:r>
      <w:r w:rsidR="00CD2F24" w:rsidRPr="00CD2F24">
        <w:t xml:space="preserve">charitable trust </w:t>
      </w:r>
      <w:r w:rsidR="00BB3B5A">
        <w:t xml:space="preserve">deeds </w:t>
      </w:r>
      <w:r w:rsidR="00CD2F24" w:rsidRPr="00CD2F24">
        <w:t xml:space="preserve">that </w:t>
      </w:r>
      <w:r w:rsidR="00BB3B5A">
        <w:t xml:space="preserve">might otherwise require </w:t>
      </w:r>
      <w:r w:rsidR="00CD2F24" w:rsidRPr="00CD2F24">
        <w:t xml:space="preserve">assets to be distributed </w:t>
      </w:r>
      <w:r w:rsidR="00BB3B5A">
        <w:t xml:space="preserve">only </w:t>
      </w:r>
      <w:r w:rsidR="00CD2F24" w:rsidRPr="00CD2F24">
        <w:t>to another charity.</w:t>
      </w:r>
    </w:p>
    <w:p w14:paraId="2F956E43" w14:textId="677E7370" w:rsidR="00CD2F24" w:rsidRPr="00CD2F24" w:rsidRDefault="00BB3B5A" w:rsidP="00CD2F24">
      <w:pPr>
        <w:spacing w:after="240"/>
        <w:jc w:val="both"/>
      </w:pPr>
      <w:r>
        <w:t>Many charitable trusts are also registered at the federal level with the ACNC. T</w:t>
      </w:r>
      <w:r w:rsidR="00CD2F24" w:rsidRPr="00CD2F24">
        <w:t xml:space="preserve">here ought to be no need to </w:t>
      </w:r>
      <w:r w:rsidR="00CD2F24" w:rsidRPr="008E5DE9">
        <w:t>amend the ACNC</w:t>
      </w:r>
      <w:r w:rsidR="008E5DE9" w:rsidRPr="008E5DE9">
        <w:t xml:space="preserve"> legislation</w:t>
      </w:r>
      <w:r w:rsidR="00CD2F24" w:rsidRPr="00CD2F24">
        <w:t xml:space="preserve"> </w:t>
      </w:r>
      <w:r>
        <w:t xml:space="preserve">provided the ACNC Commissioner </w:t>
      </w:r>
      <w:proofErr w:type="gramStart"/>
      <w:r>
        <w:t>grants</w:t>
      </w:r>
      <w:proofErr w:type="gramEnd"/>
      <w:r>
        <w:t xml:space="preserve"> permission for legacy charitable trusts to </w:t>
      </w:r>
      <w:r w:rsidR="00CD2F24" w:rsidRPr="00CD2F24">
        <w:t xml:space="preserve">deregister immediately before transferring assets to the PBC </w:t>
      </w:r>
      <w:r w:rsidR="00CD2F24">
        <w:t>EVS</w:t>
      </w:r>
      <w:r w:rsidR="00CD2F24" w:rsidRPr="00CD2F24">
        <w:t>.</w:t>
      </w:r>
      <w:r w:rsidR="008E5DE9">
        <w:rPr>
          <w:rStyle w:val="FootnoteReference"/>
        </w:rPr>
        <w:footnoteReference w:id="114"/>
      </w:r>
      <w:r w:rsidR="00CD2F24" w:rsidRPr="00CD2F24">
        <w:t xml:space="preserve"> </w:t>
      </w:r>
      <w:r w:rsidR="004B2730">
        <w:t>While there is no general income tax claw-back for a charity that deregisters</w:t>
      </w:r>
      <w:r w:rsidR="00B4012E">
        <w:t>, t</w:t>
      </w:r>
      <w:r w:rsidR="00CD2F24" w:rsidRPr="00CD2F24">
        <w:t xml:space="preserve">here would likely need to be amendments to state and federal tax legislation to ensure that </w:t>
      </w:r>
      <w:r w:rsidR="004B2730">
        <w:t xml:space="preserve">non-cash </w:t>
      </w:r>
      <w:r w:rsidR="00CD2F24" w:rsidRPr="00CD2F24">
        <w:t xml:space="preserve">asset transfers do not crystallise </w:t>
      </w:r>
      <w:r w:rsidR="004B2730">
        <w:t xml:space="preserve">tax </w:t>
      </w:r>
      <w:r w:rsidR="00CD2F24" w:rsidRPr="00CD2F24">
        <w:t xml:space="preserve">liabilities. </w:t>
      </w:r>
      <w:r w:rsidR="004B2730">
        <w:t xml:space="preserve">For instance, this might arise </w:t>
      </w:r>
      <w:r w:rsidR="004B2730" w:rsidRPr="004B2730">
        <w:t>because a deregistered charitable trust that is no longer income tax exempt is deemed to realise transferred property at its market value under generally applicable capital gains tax rules,</w:t>
      </w:r>
      <w:r w:rsidR="004B2730">
        <w:rPr>
          <w:rStyle w:val="FootnoteReference"/>
        </w:rPr>
        <w:footnoteReference w:id="115"/>
      </w:r>
      <w:r w:rsidR="004B2730" w:rsidRPr="004B2730">
        <w:t xml:space="preserve"> or b</w:t>
      </w:r>
      <w:r w:rsidR="004B2730">
        <w:t xml:space="preserve">ecause a new PBC EVS does not qualify for exemption from state stamp </w:t>
      </w:r>
      <w:r w:rsidR="00CD2F24" w:rsidRPr="00CD2F24">
        <w:t xml:space="preserve">duties legislation </w:t>
      </w:r>
      <w:r w:rsidR="004B2730">
        <w:t>on acquisition of such property</w:t>
      </w:r>
      <w:r w:rsidR="00CD2F24" w:rsidRPr="00CD2F24">
        <w:t>.</w:t>
      </w:r>
      <w:r w:rsidR="004B2730">
        <w:rPr>
          <w:rStyle w:val="FootnoteReference"/>
        </w:rPr>
        <w:footnoteReference w:id="116"/>
      </w:r>
    </w:p>
    <w:p w14:paraId="117939ED" w14:textId="0602DED9" w:rsidR="00CD2F24" w:rsidRDefault="00CD2F24" w:rsidP="00CD2F24">
      <w:pPr>
        <w:spacing w:after="240"/>
        <w:jc w:val="both"/>
      </w:pPr>
      <w:r w:rsidRPr="00CD2F24">
        <w:t xml:space="preserve">If the legacy trust is a discretionary trust, it might be anticipated that the PBC being converted to the PBC </w:t>
      </w:r>
      <w:r>
        <w:t>EVS</w:t>
      </w:r>
      <w:r w:rsidRPr="00CD2F24">
        <w:t xml:space="preserve"> is already a discretionary object and so it should be possible to distribute assets to it. If the PBC </w:t>
      </w:r>
      <w:r>
        <w:t>EVS</w:t>
      </w:r>
      <w:r w:rsidRPr="00CD2F24">
        <w:t xml:space="preserve"> needs to be added as a new object, </w:t>
      </w:r>
      <w:r w:rsidR="006733C1">
        <w:t xml:space="preserve">consideration will be required to </w:t>
      </w:r>
      <w:r w:rsidRPr="00CD2F24">
        <w:t xml:space="preserve">ensure that this does not cause a </w:t>
      </w:r>
      <w:r w:rsidR="006C3D7D">
        <w:t xml:space="preserve">trust resettlement and corresponding </w:t>
      </w:r>
      <w:r w:rsidRPr="00CD2F24">
        <w:t>tax</w:t>
      </w:r>
      <w:r w:rsidR="006C3D7D">
        <w:t>ation</w:t>
      </w:r>
      <w:r w:rsidRPr="00CD2F24">
        <w:t xml:space="preserve"> event.</w:t>
      </w:r>
      <w:r w:rsidR="006C3D7D">
        <w:rPr>
          <w:rStyle w:val="FootnoteReference"/>
        </w:rPr>
        <w:footnoteReference w:id="117"/>
      </w:r>
      <w:r w:rsidR="00840677">
        <w:t xml:space="preserve"> </w:t>
      </w:r>
    </w:p>
    <w:p w14:paraId="6204E62F" w14:textId="1088C92D" w:rsidR="00CD2F24" w:rsidRPr="00CD2F24" w:rsidRDefault="00CD2F24" w:rsidP="00F03C7D">
      <w:pPr>
        <w:spacing w:after="240"/>
        <w:jc w:val="both"/>
      </w:pPr>
      <w:r>
        <w:t xml:space="preserve">Transitioning a current PBC to a PBC EVS </w:t>
      </w:r>
      <w:r w:rsidR="00F03C7D">
        <w:t xml:space="preserve">involves some alternative issues. </w:t>
      </w:r>
      <w:r w:rsidR="00800479">
        <w:t>W</w:t>
      </w:r>
      <w:r w:rsidRPr="00CD2F24">
        <w:t xml:space="preserve">hile the </w:t>
      </w:r>
      <w:r w:rsidRPr="00800479">
        <w:t>CATSI Act</w:t>
      </w:r>
      <w:r w:rsidRPr="00CD2F24">
        <w:t xml:space="preserve"> </w:t>
      </w:r>
      <w:r w:rsidR="00800479">
        <w:t xml:space="preserve">already </w:t>
      </w:r>
      <w:r w:rsidRPr="00CD2F24">
        <w:t xml:space="preserve">permits </w:t>
      </w:r>
      <w:r w:rsidR="005C1CB4">
        <w:t xml:space="preserve">amendment of </w:t>
      </w:r>
      <w:r w:rsidR="00800479">
        <w:t xml:space="preserve">a PBC </w:t>
      </w:r>
      <w:r w:rsidRPr="00CD2F24">
        <w:t>constitution,</w:t>
      </w:r>
      <w:r w:rsidR="00800479">
        <w:rPr>
          <w:rStyle w:val="FootnoteReference"/>
        </w:rPr>
        <w:footnoteReference w:id="118"/>
      </w:r>
      <w:r w:rsidRPr="00CD2F24">
        <w:t xml:space="preserve"> </w:t>
      </w:r>
      <w:r w:rsidR="00800479">
        <w:t xml:space="preserve">if the PBC is a charity, then any proposal to change </w:t>
      </w:r>
      <w:r w:rsidRPr="00CD2F24">
        <w:t xml:space="preserve">its purposes to include non-charitable purposes </w:t>
      </w:r>
      <w:r w:rsidR="00800479">
        <w:t xml:space="preserve">potentially involves </w:t>
      </w:r>
      <w:r w:rsidRPr="00CD2F24">
        <w:t>the directors breach</w:t>
      </w:r>
      <w:r w:rsidR="00800479">
        <w:t>ing</w:t>
      </w:r>
      <w:r w:rsidRPr="00CD2F24">
        <w:t xml:space="preserve"> their statutory or fiduciary duties</w:t>
      </w:r>
      <w:r w:rsidR="00800479">
        <w:t>.</w:t>
      </w:r>
      <w:r w:rsidR="005C1CB4">
        <w:rPr>
          <w:rStyle w:val="FootnoteReference"/>
        </w:rPr>
        <w:footnoteReference w:id="119"/>
      </w:r>
      <w:r w:rsidR="00800479">
        <w:t xml:space="preserve"> Further, it is unclear whether attorney-general or </w:t>
      </w:r>
      <w:r w:rsidRPr="00CD2F24">
        <w:t>court approval might be required</w:t>
      </w:r>
      <w:r w:rsidR="00800479">
        <w:t>,</w:t>
      </w:r>
      <w:r w:rsidR="00800479">
        <w:rPr>
          <w:rStyle w:val="FootnoteReference"/>
        </w:rPr>
        <w:footnoteReference w:id="120"/>
      </w:r>
      <w:r w:rsidR="00800479">
        <w:t xml:space="preserve"> but certain that </w:t>
      </w:r>
      <w:r w:rsidR="00A633D6">
        <w:t>ACNC</w:t>
      </w:r>
      <w:r w:rsidRPr="00CD2F24">
        <w:t xml:space="preserve"> permission </w:t>
      </w:r>
      <w:r w:rsidR="00A633D6">
        <w:t xml:space="preserve">would be required </w:t>
      </w:r>
      <w:r w:rsidRPr="00CD2F24">
        <w:t>to deregister.</w:t>
      </w:r>
      <w:r w:rsidR="00800479">
        <w:t xml:space="preserve"> </w:t>
      </w:r>
      <w:r w:rsidR="00A633D6">
        <w:t xml:space="preserve">As PBCs are federally created entities, these issues could be resolved by </w:t>
      </w:r>
      <w:r w:rsidRPr="00CD2F24">
        <w:t xml:space="preserve">way of </w:t>
      </w:r>
      <w:r w:rsidRPr="00F03C7D">
        <w:t>federal legislation</w:t>
      </w:r>
      <w:r w:rsidRPr="00CD2F24">
        <w:t xml:space="preserve"> that expressly permits a charitable PBC to opt into the PBC </w:t>
      </w:r>
      <w:r w:rsidR="00F03C7D">
        <w:t>EVS</w:t>
      </w:r>
      <w:r w:rsidRPr="00CD2F24">
        <w:t xml:space="preserve"> and to cease being a charity</w:t>
      </w:r>
      <w:r w:rsidR="00A633D6">
        <w:t>, confirming that this does not cause directors to breach their duties</w:t>
      </w:r>
      <w:r w:rsidRPr="00CD2F24">
        <w:t>.</w:t>
      </w:r>
      <w:r w:rsidR="00A633D6">
        <w:rPr>
          <w:rStyle w:val="FootnoteReference"/>
        </w:rPr>
        <w:footnoteReference w:id="121"/>
      </w:r>
    </w:p>
    <w:p w14:paraId="18B44ED5" w14:textId="3B2BBEC3" w:rsidR="00462ED8" w:rsidRPr="00374CB2" w:rsidRDefault="00E96EB6" w:rsidP="00462ED8">
      <w:pPr>
        <w:pStyle w:val="Heading1"/>
        <w:numPr>
          <w:ilvl w:val="0"/>
          <w:numId w:val="28"/>
        </w:numPr>
        <w:rPr>
          <w:rFonts w:ascii="Times New Roman" w:hAnsi="Times New Roman" w:cs="Times New Roman"/>
          <w:color w:val="auto"/>
          <w:sz w:val="24"/>
          <w:szCs w:val="24"/>
        </w:rPr>
      </w:pPr>
      <w:r>
        <w:rPr>
          <w:rFonts w:ascii="Times New Roman" w:hAnsi="Times New Roman" w:cs="Times New Roman"/>
          <w:color w:val="auto"/>
          <w:sz w:val="24"/>
          <w:szCs w:val="24"/>
        </w:rPr>
        <w:t>Conclusion</w:t>
      </w:r>
      <w:r w:rsidR="00462ED8" w:rsidRPr="00374CB2">
        <w:rPr>
          <w:rFonts w:ascii="Times New Roman" w:hAnsi="Times New Roman" w:cs="Times New Roman"/>
          <w:color w:val="auto"/>
          <w:sz w:val="24"/>
          <w:szCs w:val="24"/>
        </w:rPr>
        <w:t xml:space="preserve"> </w:t>
      </w:r>
    </w:p>
    <w:p w14:paraId="4A1261C0" w14:textId="7C120422" w:rsidR="00420048" w:rsidRDefault="00BB7472" w:rsidP="00420048">
      <w:pPr>
        <w:spacing w:after="240"/>
        <w:jc w:val="both"/>
      </w:pPr>
      <w:r>
        <w:t xml:space="preserve">BMSs are typically established to </w:t>
      </w:r>
      <w:r w:rsidR="00DA4464">
        <w:t xml:space="preserve">enable management and distribution of funds to Indigenous communities whose land rights are affected by resource and agricultural developments, as well as to </w:t>
      </w:r>
      <w:r>
        <w:t xml:space="preserve">pursue </w:t>
      </w:r>
      <w:r w:rsidR="00E0124A">
        <w:t xml:space="preserve">socially important </w:t>
      </w:r>
      <w:r w:rsidR="00C94340">
        <w:t>purposes such as</w:t>
      </w:r>
      <w:r>
        <w:t xml:space="preserve"> </w:t>
      </w:r>
      <w:r w:rsidR="00DE3008">
        <w:t>supporting autonomy and self-determination</w:t>
      </w:r>
      <w:r w:rsidR="00C94340">
        <w:t>, as well as</w:t>
      </w:r>
      <w:r w:rsidR="00DE3008">
        <w:t xml:space="preserve"> enhancing social, economic and cultural development for Indigenous communities</w:t>
      </w:r>
      <w:r w:rsidR="005E3A9A">
        <w:t>.</w:t>
      </w:r>
      <w:r w:rsidR="00420048">
        <w:t xml:space="preserve"> </w:t>
      </w:r>
      <w:r w:rsidR="00DA4464">
        <w:t xml:space="preserve">Pursuing economic development highlights the tension between pursuing </w:t>
      </w:r>
      <w:r w:rsidR="006733C1">
        <w:t xml:space="preserve">a </w:t>
      </w:r>
      <w:r w:rsidR="00DA4464">
        <w:t xml:space="preserve">social mission and providing funds to individuals </w:t>
      </w:r>
      <w:r w:rsidR="00C94340">
        <w:t xml:space="preserve">by way of distribution of </w:t>
      </w:r>
      <w:r w:rsidR="00DA4464">
        <w:t>amounts received for acts affecting Indigenous land rights</w:t>
      </w:r>
      <w:r w:rsidR="00420048">
        <w:t>.</w:t>
      </w:r>
      <w:r w:rsidR="00C94340">
        <w:t xml:space="preserve"> Existing legal frameworks provide some response to this challenge, but leave material uncertainty and complexity in place.</w:t>
      </w:r>
    </w:p>
    <w:p w14:paraId="0EC68ACE" w14:textId="6647677A" w:rsidR="000768D7" w:rsidRPr="00C94340" w:rsidRDefault="00DA4464" w:rsidP="000768D7">
      <w:pPr>
        <w:spacing w:after="240"/>
        <w:jc w:val="both"/>
        <w:rPr>
          <w:b/>
          <w:color w:val="000000" w:themeColor="text1"/>
        </w:rPr>
      </w:pPr>
      <w:r>
        <w:lastRenderedPageBreak/>
        <w:t>The PBC EVS would go some way to expressly permitting economic development and the pursuit of dual purposes as it would eliminate unresolved charity law questions and remove the need to obtain administrative certainty in these grey areas. It would also</w:t>
      </w:r>
      <w:r w:rsidR="00B01079">
        <w:t xml:space="preserve"> reduce </w:t>
      </w:r>
      <w:r w:rsidR="00C94340">
        <w:t xml:space="preserve">ongoing </w:t>
      </w:r>
      <w:r w:rsidR="00B01079">
        <w:t xml:space="preserve">complexity </w:t>
      </w:r>
      <w:r w:rsidR="00C94340">
        <w:t xml:space="preserve">(although legacy issues would arise) </w:t>
      </w:r>
      <w:r w:rsidR="00B01079">
        <w:t>and provide a degree of mission-lock. It</w:t>
      </w:r>
      <w:r w:rsidR="001E7347">
        <w:t>s current form</w:t>
      </w:r>
      <w:r w:rsidR="00B01079">
        <w:t xml:space="preserve"> would not, however, provide PBC EVS controllers with direction </w:t>
      </w:r>
      <w:r w:rsidR="001E7347">
        <w:t xml:space="preserve">about whether they should prioritise the </w:t>
      </w:r>
      <w:r w:rsidR="00B01079">
        <w:t xml:space="preserve">social mission </w:t>
      </w:r>
      <w:r w:rsidR="001E7347">
        <w:t xml:space="preserve">or </w:t>
      </w:r>
      <w:r w:rsidR="00B01079">
        <w:t xml:space="preserve">economic development for the benefit of individuals. </w:t>
      </w:r>
      <w:r w:rsidR="00C94340">
        <w:t>This lack of guidance is accentuated by the lack of any asset lock under the PBC EVS model. Without further refinement, t</w:t>
      </w:r>
      <w:r w:rsidR="006733C1">
        <w:t>his</w:t>
      </w:r>
      <w:r w:rsidR="00B01079">
        <w:t xml:space="preserve"> is an area where using a charity to pursue economic development in pursuit of the social mission</w:t>
      </w:r>
      <w:r w:rsidR="001E7347">
        <w:t xml:space="preserve"> </w:t>
      </w:r>
      <w:r w:rsidR="00B01079">
        <w:t xml:space="preserve">has some advantages in that </w:t>
      </w:r>
      <w:r w:rsidR="0024068C">
        <w:t xml:space="preserve">priorities </w:t>
      </w:r>
      <w:r w:rsidR="00C94340">
        <w:t xml:space="preserve">are clearer. Nevertheless, the </w:t>
      </w:r>
      <w:r w:rsidR="0024068C">
        <w:t xml:space="preserve">continued existence of </w:t>
      </w:r>
      <w:r w:rsidR="00C94340">
        <w:t>technical and administrative issues for charities</w:t>
      </w:r>
      <w:r w:rsidR="0024068C">
        <w:t>, the complexity of multiple entities and the sui generis nature of omnibus BMS charitable trusts</w:t>
      </w:r>
      <w:r w:rsidR="001E7347">
        <w:t>,</w:t>
      </w:r>
      <w:r w:rsidR="0024068C">
        <w:t xml:space="preserve"> means that there is value in seeking to use and refine the PBC EVS model.</w:t>
      </w:r>
    </w:p>
    <w:sectPr w:rsidR="000768D7" w:rsidRPr="00C94340" w:rsidSect="00217951">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E61AA" w14:textId="77777777" w:rsidR="00D70136" w:rsidRDefault="00D70136" w:rsidP="00D7364F">
      <w:r>
        <w:separator/>
      </w:r>
    </w:p>
  </w:endnote>
  <w:endnote w:type="continuationSeparator" w:id="0">
    <w:p w14:paraId="429D220C" w14:textId="77777777" w:rsidR="00D70136" w:rsidRDefault="00D70136" w:rsidP="00D7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BC2FE" w14:textId="77777777" w:rsidR="00D70136" w:rsidRDefault="00D701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317253"/>
      <w:docPartObj>
        <w:docPartGallery w:val="Page Numbers (Bottom of Page)"/>
        <w:docPartUnique/>
      </w:docPartObj>
    </w:sdtPr>
    <w:sdtEndPr>
      <w:rPr>
        <w:noProof/>
      </w:rPr>
    </w:sdtEndPr>
    <w:sdtContent>
      <w:p w14:paraId="48B2B6A5" w14:textId="64A6C19D" w:rsidR="00D70136" w:rsidRDefault="00D70136">
        <w:pPr>
          <w:pStyle w:val="Footer"/>
          <w:jc w:val="right"/>
        </w:pPr>
        <w:r>
          <w:fldChar w:fldCharType="begin"/>
        </w:r>
        <w:r>
          <w:instrText xml:space="preserve"> PAGE   \* MERGEFORMAT </w:instrText>
        </w:r>
        <w:r>
          <w:fldChar w:fldCharType="separate"/>
        </w:r>
        <w:r w:rsidR="00C84D63">
          <w:rPr>
            <w:noProof/>
          </w:rPr>
          <w:t>1</w:t>
        </w:r>
        <w:r>
          <w:rPr>
            <w:noProof/>
          </w:rPr>
          <w:fldChar w:fldCharType="end"/>
        </w:r>
      </w:p>
    </w:sdtContent>
  </w:sdt>
  <w:p w14:paraId="0B15A233" w14:textId="77777777" w:rsidR="00D70136" w:rsidRDefault="00D701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B07EE" w14:textId="77777777" w:rsidR="00D70136" w:rsidRDefault="00D70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ED949" w14:textId="77777777" w:rsidR="00D70136" w:rsidRDefault="00D70136" w:rsidP="00D7364F">
      <w:r>
        <w:separator/>
      </w:r>
    </w:p>
  </w:footnote>
  <w:footnote w:type="continuationSeparator" w:id="0">
    <w:p w14:paraId="661356CB" w14:textId="77777777" w:rsidR="00D70136" w:rsidRDefault="00D70136" w:rsidP="00D7364F">
      <w:r>
        <w:continuationSeparator/>
      </w:r>
    </w:p>
  </w:footnote>
  <w:footnote w:id="1">
    <w:p w14:paraId="3E5870C2" w14:textId="77777777" w:rsidR="00D70136" w:rsidRPr="00753C6B" w:rsidRDefault="00D70136" w:rsidP="00A600E1">
      <w:pPr>
        <w:pStyle w:val="FootnoteText"/>
        <w:rPr>
          <w:sz w:val="18"/>
          <w:szCs w:val="18"/>
        </w:rPr>
      </w:pPr>
      <w:r w:rsidRPr="00690E79">
        <w:rPr>
          <w:rStyle w:val="FootnoteReference"/>
          <w:sz w:val="18"/>
          <w:szCs w:val="18"/>
        </w:rPr>
        <w:sym w:font="Symbol" w:char="F02A"/>
      </w:r>
      <w:r w:rsidRPr="00690E79">
        <w:rPr>
          <w:sz w:val="18"/>
          <w:szCs w:val="18"/>
        </w:rPr>
        <w:t xml:space="preserve"> Associate Professor, University of Western Australia Law School. </w:t>
      </w:r>
      <w:r>
        <w:rPr>
          <w:sz w:val="18"/>
          <w:szCs w:val="18"/>
        </w:rPr>
        <w:t xml:space="preserve">While this article is separate from an earlier University of Western Australia research project examining </w:t>
      </w:r>
      <w:r w:rsidRPr="00690E79">
        <w:rPr>
          <w:sz w:val="18"/>
          <w:szCs w:val="18"/>
        </w:rPr>
        <w:t>BMSs</w:t>
      </w:r>
      <w:r>
        <w:rPr>
          <w:sz w:val="18"/>
          <w:szCs w:val="18"/>
        </w:rPr>
        <w:t>, thanks are due to the numerous stakeholders and participants in that earlier project for their insights that continue to illuminate this research. My t</w:t>
      </w:r>
      <w:r w:rsidRPr="00690E79">
        <w:rPr>
          <w:sz w:val="18"/>
          <w:szCs w:val="18"/>
        </w:rPr>
        <w:t xml:space="preserve">hanks also to </w:t>
      </w:r>
      <w:r>
        <w:rPr>
          <w:sz w:val="18"/>
          <w:szCs w:val="18"/>
        </w:rPr>
        <w:t xml:space="preserve">participants at </w:t>
      </w:r>
      <w:r w:rsidRPr="00690E79">
        <w:rPr>
          <w:sz w:val="18"/>
          <w:szCs w:val="18"/>
        </w:rPr>
        <w:t>the Melbourne University Native Title – Industry Invitation Seminar Series 2019</w:t>
      </w:r>
      <w:r>
        <w:rPr>
          <w:sz w:val="18"/>
          <w:szCs w:val="18"/>
        </w:rPr>
        <w:t xml:space="preserve">; the San Diego 2019 Law Reform for Indigenous Economic Growth workshop; and the Honolulu 2020 Law Reform for Indigenous Economic Growth </w:t>
      </w:r>
      <w:r w:rsidRPr="00753C6B">
        <w:rPr>
          <w:sz w:val="18"/>
          <w:szCs w:val="18"/>
        </w:rPr>
        <w:t>conference.</w:t>
      </w:r>
    </w:p>
  </w:footnote>
  <w:footnote w:id="2">
    <w:p w14:paraId="483E1448" w14:textId="71B8F49E" w:rsidR="00D70136" w:rsidRPr="007C1A3B" w:rsidRDefault="00D70136">
      <w:pPr>
        <w:pStyle w:val="FootnoteText"/>
        <w:rPr>
          <w:sz w:val="18"/>
          <w:szCs w:val="18"/>
        </w:rPr>
      </w:pPr>
      <w:r w:rsidRPr="00753C6B">
        <w:rPr>
          <w:rStyle w:val="FootnoteReference"/>
          <w:sz w:val="18"/>
          <w:szCs w:val="18"/>
        </w:rPr>
        <w:footnoteRef/>
      </w:r>
      <w:r w:rsidRPr="00753C6B">
        <w:rPr>
          <w:sz w:val="18"/>
          <w:szCs w:val="18"/>
        </w:rPr>
        <w:t xml:space="preserve"> See, </w:t>
      </w:r>
      <w:proofErr w:type="spellStart"/>
      <w:r w:rsidRPr="00753C6B">
        <w:rPr>
          <w:sz w:val="18"/>
          <w:szCs w:val="18"/>
        </w:rPr>
        <w:t>eg</w:t>
      </w:r>
      <w:proofErr w:type="spellEnd"/>
      <w:r w:rsidRPr="00753C6B">
        <w:rPr>
          <w:sz w:val="18"/>
          <w:szCs w:val="18"/>
        </w:rPr>
        <w:t xml:space="preserve">, Ciaran </w:t>
      </w:r>
      <w:proofErr w:type="spellStart"/>
      <w:r w:rsidRPr="00753C6B">
        <w:rPr>
          <w:sz w:val="18"/>
          <w:szCs w:val="18"/>
          <w:shd w:val="clear" w:color="auto" w:fill="FFFFFF"/>
        </w:rPr>
        <w:t>O’Faircheallaigh</w:t>
      </w:r>
      <w:proofErr w:type="spellEnd"/>
      <w:r w:rsidRPr="00753C6B">
        <w:rPr>
          <w:sz w:val="18"/>
          <w:szCs w:val="18"/>
          <w:shd w:val="clear" w:color="auto" w:fill="FFFFFF"/>
        </w:rPr>
        <w:t>, </w:t>
      </w:r>
      <w:r w:rsidRPr="00753C6B">
        <w:rPr>
          <w:i/>
          <w:iCs/>
          <w:sz w:val="18"/>
          <w:szCs w:val="18"/>
          <w:shd w:val="clear" w:color="auto" w:fill="FFFFFF"/>
        </w:rPr>
        <w:t>Negotiations in the Indigenous World : Aboriginal Peoples and the Extractive Industry in Australia and Canada</w:t>
      </w:r>
      <w:r>
        <w:rPr>
          <w:sz w:val="18"/>
          <w:szCs w:val="18"/>
          <w:shd w:val="clear" w:color="auto" w:fill="FFFFFF"/>
        </w:rPr>
        <w:t> (Taylor and Francis</w:t>
      </w:r>
      <w:r w:rsidRPr="00753C6B">
        <w:rPr>
          <w:sz w:val="18"/>
          <w:szCs w:val="18"/>
          <w:shd w:val="clear" w:color="auto" w:fill="FFFFFF"/>
        </w:rPr>
        <w:t xml:space="preserve"> 2015); </w:t>
      </w:r>
      <w:r>
        <w:rPr>
          <w:sz w:val="18"/>
          <w:szCs w:val="18"/>
          <w:shd w:val="clear" w:color="auto" w:fill="FFFFFF"/>
        </w:rPr>
        <w:t xml:space="preserve">M </w:t>
      </w:r>
      <w:r w:rsidRPr="00753C6B">
        <w:rPr>
          <w:sz w:val="18"/>
          <w:szCs w:val="18"/>
          <w:lang w:val="en-US"/>
        </w:rPr>
        <w:t>Limerick</w:t>
      </w:r>
      <w:r>
        <w:rPr>
          <w:sz w:val="18"/>
          <w:szCs w:val="18"/>
          <w:lang w:val="en-US"/>
        </w:rPr>
        <w:t xml:space="preserve">, K </w:t>
      </w:r>
      <w:r w:rsidRPr="001D7AB3">
        <w:rPr>
          <w:sz w:val="18"/>
          <w:szCs w:val="18"/>
        </w:rPr>
        <w:t xml:space="preserve">Tomlinson., </w:t>
      </w:r>
      <w:r>
        <w:rPr>
          <w:sz w:val="18"/>
          <w:szCs w:val="18"/>
        </w:rPr>
        <w:t xml:space="preserve">R </w:t>
      </w:r>
      <w:proofErr w:type="spellStart"/>
      <w:r>
        <w:rPr>
          <w:sz w:val="18"/>
          <w:szCs w:val="18"/>
        </w:rPr>
        <w:t>Taufatofua</w:t>
      </w:r>
      <w:proofErr w:type="spellEnd"/>
      <w:r w:rsidRPr="001D7AB3">
        <w:rPr>
          <w:sz w:val="18"/>
          <w:szCs w:val="18"/>
        </w:rPr>
        <w:t xml:space="preserve">, </w:t>
      </w:r>
      <w:r>
        <w:rPr>
          <w:sz w:val="18"/>
          <w:szCs w:val="18"/>
        </w:rPr>
        <w:t>R Barnes</w:t>
      </w:r>
      <w:r w:rsidRPr="001D7AB3">
        <w:rPr>
          <w:sz w:val="18"/>
          <w:szCs w:val="18"/>
        </w:rPr>
        <w:t xml:space="preserve"> and</w:t>
      </w:r>
      <w:r>
        <w:rPr>
          <w:sz w:val="18"/>
          <w:szCs w:val="18"/>
        </w:rPr>
        <w:t xml:space="preserve"> D Brereton</w:t>
      </w:r>
      <w:r w:rsidRPr="00DB1907">
        <w:rPr>
          <w:rFonts w:cs="Arial"/>
          <w:sz w:val="18"/>
          <w:szCs w:val="18"/>
          <w:lang w:val="en-US"/>
        </w:rPr>
        <w:t xml:space="preserve">, </w:t>
      </w:r>
      <w:r w:rsidRPr="00DB1907">
        <w:rPr>
          <w:rFonts w:cs="Arial"/>
          <w:i/>
          <w:sz w:val="18"/>
          <w:szCs w:val="18"/>
          <w:lang w:val="en-US"/>
        </w:rPr>
        <w:t>Agreement-making with Indigenous Groups</w:t>
      </w:r>
      <w:r w:rsidRPr="00DB1907">
        <w:rPr>
          <w:rFonts w:cs="Arial"/>
          <w:sz w:val="18"/>
          <w:szCs w:val="18"/>
          <w:lang w:val="en-US"/>
        </w:rPr>
        <w:t xml:space="preserve">: </w:t>
      </w:r>
      <w:r w:rsidRPr="00DB1907">
        <w:rPr>
          <w:rFonts w:cs="Arial"/>
          <w:i/>
          <w:sz w:val="18"/>
          <w:szCs w:val="18"/>
          <w:lang w:val="en-US"/>
        </w:rPr>
        <w:t>Oil and Gas Development in Australia</w:t>
      </w:r>
      <w:r w:rsidRPr="00DB1907">
        <w:rPr>
          <w:rFonts w:cs="Arial"/>
          <w:sz w:val="18"/>
          <w:szCs w:val="18"/>
          <w:lang w:val="en-US"/>
        </w:rPr>
        <w:t xml:space="preserve"> (Centre for Social Responsibility in Mining, University of Queensland 2012); </w:t>
      </w:r>
      <w:r w:rsidRPr="00DB1907">
        <w:rPr>
          <w:rFonts w:cs="Arial"/>
          <w:sz w:val="18"/>
          <w:szCs w:val="18"/>
        </w:rPr>
        <w:t>Marcia Langton, ‘From Conflict to Cooperation’</w:t>
      </w:r>
      <w:r>
        <w:rPr>
          <w:rFonts w:cs="Arial"/>
          <w:sz w:val="18"/>
          <w:szCs w:val="18"/>
        </w:rPr>
        <w:t xml:space="preserve"> (Minerals Council of Australia</w:t>
      </w:r>
      <w:r w:rsidRPr="00DB1907">
        <w:rPr>
          <w:rFonts w:cs="Arial"/>
          <w:sz w:val="18"/>
          <w:szCs w:val="18"/>
        </w:rPr>
        <w:t xml:space="preserve"> 2015); Rio Tinto</w:t>
      </w:r>
      <w:r w:rsidRPr="007C1A3B">
        <w:rPr>
          <w:rFonts w:cs="Arial"/>
          <w:sz w:val="18"/>
          <w:szCs w:val="18"/>
        </w:rPr>
        <w:t xml:space="preserve">, </w:t>
      </w:r>
      <w:r w:rsidRPr="007C1A3B">
        <w:rPr>
          <w:rFonts w:cs="Arial"/>
          <w:i/>
          <w:sz w:val="18"/>
          <w:szCs w:val="18"/>
        </w:rPr>
        <w:t>Why Agreements Matter A Resource Guide for Integrating Agreements into Communities and Social Performance work at Rio Tinto</w:t>
      </w:r>
      <w:r w:rsidRPr="007C1A3B">
        <w:rPr>
          <w:rFonts w:cs="Arial"/>
          <w:sz w:val="18"/>
          <w:szCs w:val="18"/>
        </w:rPr>
        <w:t xml:space="preserve"> (Rio Tinto 2016); Marcia Langton and Odette Mazel, ‘Poverty in the Midst of Plenty: Aboriginal People, the Resource Curse and the Mining Boom’ (2008) 26(1) Journal of Energy &amp; Natural Resources Law</w:t>
      </w:r>
      <w:r w:rsidRPr="007C1A3B">
        <w:rPr>
          <w:rFonts w:cs="Arial"/>
          <w:i/>
          <w:sz w:val="18"/>
          <w:szCs w:val="18"/>
        </w:rPr>
        <w:t xml:space="preserve"> </w:t>
      </w:r>
      <w:r w:rsidRPr="007C1A3B">
        <w:rPr>
          <w:rFonts w:cs="Arial"/>
          <w:sz w:val="18"/>
          <w:szCs w:val="18"/>
        </w:rPr>
        <w:t>31.</w:t>
      </w:r>
    </w:p>
  </w:footnote>
  <w:footnote w:id="3">
    <w:p w14:paraId="220795EB" w14:textId="0FEF545F" w:rsidR="00D70136" w:rsidRPr="007C1A3B" w:rsidRDefault="00D70136">
      <w:pPr>
        <w:pStyle w:val="FootnoteText"/>
        <w:rPr>
          <w:sz w:val="18"/>
          <w:szCs w:val="18"/>
        </w:rPr>
      </w:pPr>
      <w:r w:rsidRPr="007C1A3B">
        <w:rPr>
          <w:rStyle w:val="FootnoteReference"/>
          <w:sz w:val="18"/>
          <w:szCs w:val="18"/>
        </w:rPr>
        <w:footnoteRef/>
      </w:r>
      <w:r w:rsidRPr="007C1A3B">
        <w:rPr>
          <w:sz w:val="18"/>
          <w:szCs w:val="18"/>
        </w:rPr>
        <w:t xml:space="preserve"> Cf Ian Murray, Joe Fardin and James O’Hara, </w:t>
      </w:r>
      <w:r w:rsidRPr="007C1A3B">
        <w:rPr>
          <w:i/>
          <w:sz w:val="18"/>
          <w:szCs w:val="18"/>
        </w:rPr>
        <w:t>Co-designing Benefits Management Structures</w:t>
      </w:r>
      <w:r w:rsidRPr="007C1A3B">
        <w:rPr>
          <w:sz w:val="18"/>
          <w:szCs w:val="18"/>
        </w:rPr>
        <w:t xml:space="preserve"> (UWA Centre for Mining, Energy and Natural Resources Law 2019) 18-19.</w:t>
      </w:r>
    </w:p>
  </w:footnote>
  <w:footnote w:id="4">
    <w:p w14:paraId="2A47FBB3" w14:textId="45CCB292" w:rsidR="00D70136" w:rsidRPr="00BE3CF0" w:rsidRDefault="00D70136" w:rsidP="00D6139B">
      <w:pPr>
        <w:pStyle w:val="FootnoteText"/>
        <w:rPr>
          <w:sz w:val="18"/>
          <w:szCs w:val="18"/>
        </w:rPr>
      </w:pPr>
      <w:r w:rsidRPr="008267A0">
        <w:rPr>
          <w:rStyle w:val="FootnoteReference"/>
          <w:sz w:val="18"/>
          <w:szCs w:val="18"/>
        </w:rPr>
        <w:footnoteRef/>
      </w:r>
      <w:r w:rsidRPr="008267A0">
        <w:rPr>
          <w:sz w:val="18"/>
          <w:szCs w:val="18"/>
        </w:rPr>
        <w:t xml:space="preserve"> UWA </w:t>
      </w:r>
      <w:r w:rsidRPr="00BE3CF0">
        <w:rPr>
          <w:sz w:val="18"/>
          <w:szCs w:val="18"/>
        </w:rPr>
        <w:t xml:space="preserve">Project findings are available at: </w:t>
      </w:r>
      <w:hyperlink r:id="rId1" w:history="1">
        <w:r w:rsidRPr="00BE3CF0">
          <w:rPr>
            <w:rStyle w:val="Hyperlink"/>
            <w:sz w:val="18"/>
            <w:szCs w:val="18"/>
          </w:rPr>
          <w:t>https://www.uwa.edu.au/able/research/cmenrl</w:t>
        </w:r>
      </w:hyperlink>
      <w:r w:rsidRPr="00BE3CF0">
        <w:rPr>
          <w:sz w:val="18"/>
          <w:szCs w:val="18"/>
        </w:rPr>
        <w:t>. The project involved theoretical, doctrinal and empirical research and included a series of interviews and focus groups with relevant stakeholders being Aboriginal community members and corporation executives, trustee officers, resource proponents and professional advisers.</w:t>
      </w:r>
    </w:p>
  </w:footnote>
  <w:footnote w:id="5">
    <w:p w14:paraId="2A2A5133" w14:textId="4D5FFBB4" w:rsidR="00D70136" w:rsidRPr="00BE3CF0" w:rsidRDefault="00D70136" w:rsidP="00BB295F">
      <w:pPr>
        <w:pStyle w:val="FootnoteText"/>
        <w:keepNext/>
        <w:jc w:val="both"/>
        <w:rPr>
          <w:rFonts w:cs="Arial"/>
          <w:sz w:val="18"/>
          <w:szCs w:val="18"/>
        </w:rPr>
      </w:pPr>
      <w:r w:rsidRPr="00BE3CF0">
        <w:rPr>
          <w:rStyle w:val="FootnoteReference"/>
          <w:rFonts w:cs="Arial"/>
          <w:sz w:val="18"/>
          <w:szCs w:val="18"/>
        </w:rPr>
        <w:footnoteRef/>
      </w:r>
      <w:r w:rsidRPr="00BE3CF0">
        <w:rPr>
          <w:rFonts w:cs="Arial"/>
          <w:sz w:val="18"/>
          <w:szCs w:val="18"/>
        </w:rPr>
        <w:t xml:space="preserve"> </w:t>
      </w:r>
      <w:r w:rsidRPr="00BE3CF0">
        <w:rPr>
          <w:rFonts w:cs="Arial"/>
          <w:sz w:val="18"/>
          <w:szCs w:val="18"/>
          <w:lang w:val="en-US"/>
        </w:rPr>
        <w:t xml:space="preserve">Miranda Stewart, Maureen </w:t>
      </w:r>
      <w:proofErr w:type="spellStart"/>
      <w:r w:rsidRPr="00BE3CF0">
        <w:rPr>
          <w:rFonts w:cs="Arial"/>
          <w:sz w:val="18"/>
          <w:szCs w:val="18"/>
          <w:lang w:val="en-US"/>
        </w:rPr>
        <w:t>Tehan</w:t>
      </w:r>
      <w:proofErr w:type="spellEnd"/>
      <w:r w:rsidRPr="00BE3CF0">
        <w:rPr>
          <w:rFonts w:cs="Arial"/>
          <w:sz w:val="18"/>
          <w:szCs w:val="18"/>
          <w:lang w:val="en-US"/>
        </w:rPr>
        <w:t xml:space="preserve"> and </w:t>
      </w:r>
      <w:proofErr w:type="spellStart"/>
      <w:r w:rsidRPr="00BE3CF0">
        <w:rPr>
          <w:rFonts w:cs="Arial"/>
          <w:sz w:val="18"/>
          <w:szCs w:val="18"/>
          <w:lang w:val="en-US"/>
        </w:rPr>
        <w:t>Emille</w:t>
      </w:r>
      <w:proofErr w:type="spellEnd"/>
      <w:r w:rsidRPr="00BE3CF0">
        <w:rPr>
          <w:rFonts w:cs="Arial"/>
          <w:sz w:val="18"/>
          <w:szCs w:val="18"/>
          <w:lang w:val="en-US"/>
        </w:rPr>
        <w:t xml:space="preserve"> </w:t>
      </w:r>
      <w:proofErr w:type="spellStart"/>
      <w:r w:rsidRPr="00BE3CF0">
        <w:rPr>
          <w:rFonts w:cs="Arial"/>
          <w:sz w:val="18"/>
          <w:szCs w:val="18"/>
          <w:lang w:val="en-US"/>
        </w:rPr>
        <w:t>Boulot</w:t>
      </w:r>
      <w:proofErr w:type="spellEnd"/>
      <w:r w:rsidRPr="00BE3CF0">
        <w:rPr>
          <w:rFonts w:cs="Arial"/>
          <w:sz w:val="18"/>
          <w:szCs w:val="18"/>
          <w:lang w:val="en-US"/>
        </w:rPr>
        <w:t>, ‘Transparency in Resource Agreements with Indigenous People in Australia’ (2015) ATNS Working Paper Series No. 4/2015, 17-20 &lt;</w:t>
      </w:r>
      <w:hyperlink r:id="rId2" w:history="1">
        <w:r w:rsidRPr="00BE3CF0">
          <w:rPr>
            <w:rStyle w:val="Hyperlink"/>
            <w:rFonts w:cs="Arial"/>
            <w:sz w:val="18"/>
            <w:szCs w:val="18"/>
          </w:rPr>
          <w:t>https://www.atns.net.au/atns/references/attachments/atnswp4_2015_stewarttehanboulot.pdf</w:t>
        </w:r>
      </w:hyperlink>
      <w:r w:rsidRPr="00BE3CF0">
        <w:rPr>
          <w:rFonts w:cs="Arial"/>
          <w:sz w:val="18"/>
          <w:szCs w:val="18"/>
          <w:lang w:val="en-US"/>
        </w:rPr>
        <w:t>&gt; accessed 24 June 2020.</w:t>
      </w:r>
    </w:p>
  </w:footnote>
  <w:footnote w:id="6">
    <w:p w14:paraId="2F23BB05" w14:textId="436EB399" w:rsidR="00D70136" w:rsidRPr="00BE3CF0" w:rsidRDefault="00D70136">
      <w:pPr>
        <w:pStyle w:val="FootnoteText"/>
        <w:rPr>
          <w:sz w:val="18"/>
          <w:szCs w:val="18"/>
        </w:rPr>
      </w:pPr>
      <w:r w:rsidRPr="00BE3CF0">
        <w:rPr>
          <w:rStyle w:val="FootnoteReference"/>
          <w:sz w:val="18"/>
          <w:szCs w:val="18"/>
        </w:rPr>
        <w:footnoteRef/>
      </w:r>
      <w:r w:rsidRPr="00BE3CF0">
        <w:rPr>
          <w:sz w:val="18"/>
          <w:szCs w:val="18"/>
        </w:rPr>
        <w:t xml:space="preserve"> Murray, Fardin and O’Hara (n </w:t>
      </w:r>
      <w:r w:rsidRPr="00BE3CF0">
        <w:rPr>
          <w:sz w:val="18"/>
          <w:szCs w:val="18"/>
        </w:rPr>
        <w:fldChar w:fldCharType="begin"/>
      </w:r>
      <w:r w:rsidRPr="00BE3CF0">
        <w:rPr>
          <w:sz w:val="18"/>
          <w:szCs w:val="18"/>
        </w:rPr>
        <w:instrText xml:space="preserve"> NOTEREF _Ref43891040 \h </w:instrText>
      </w:r>
      <w:r>
        <w:rPr>
          <w:sz w:val="18"/>
          <w:szCs w:val="18"/>
        </w:rPr>
        <w:instrText xml:space="preserve"> \* MERGEFORMAT </w:instrText>
      </w:r>
      <w:r w:rsidRPr="00BE3CF0">
        <w:rPr>
          <w:sz w:val="18"/>
          <w:szCs w:val="18"/>
        </w:rPr>
      </w:r>
      <w:r w:rsidRPr="00BE3CF0">
        <w:rPr>
          <w:sz w:val="18"/>
          <w:szCs w:val="18"/>
        </w:rPr>
        <w:fldChar w:fldCharType="separate"/>
      </w:r>
      <w:r>
        <w:rPr>
          <w:sz w:val="18"/>
          <w:szCs w:val="18"/>
        </w:rPr>
        <w:t>2</w:t>
      </w:r>
      <w:r w:rsidRPr="00BE3CF0">
        <w:rPr>
          <w:sz w:val="18"/>
          <w:szCs w:val="18"/>
        </w:rPr>
        <w:fldChar w:fldCharType="end"/>
      </w:r>
      <w:r w:rsidRPr="00BE3CF0">
        <w:rPr>
          <w:sz w:val="18"/>
          <w:szCs w:val="18"/>
        </w:rPr>
        <w:t xml:space="preserve">) </w:t>
      </w:r>
      <w:proofErr w:type="spellStart"/>
      <w:r w:rsidRPr="00BE3CF0">
        <w:rPr>
          <w:sz w:val="18"/>
          <w:szCs w:val="18"/>
        </w:rPr>
        <w:t>ch</w:t>
      </w:r>
      <w:proofErr w:type="spellEnd"/>
      <w:r w:rsidRPr="00BE3CF0">
        <w:rPr>
          <w:sz w:val="18"/>
          <w:szCs w:val="18"/>
        </w:rPr>
        <w:t xml:space="preserve"> 2.</w:t>
      </w:r>
    </w:p>
  </w:footnote>
  <w:footnote w:id="7">
    <w:p w14:paraId="6A41295A" w14:textId="2527975F" w:rsidR="00D70136" w:rsidRPr="00DB1907" w:rsidRDefault="00D70136" w:rsidP="00DC1E64">
      <w:pPr>
        <w:pStyle w:val="FootnoteText"/>
        <w:rPr>
          <w:rFonts w:cs="Arial"/>
          <w:sz w:val="18"/>
          <w:szCs w:val="18"/>
        </w:rPr>
      </w:pPr>
      <w:r w:rsidRPr="00BE3CF0">
        <w:rPr>
          <w:rStyle w:val="FootnoteReference"/>
          <w:rFonts w:cs="Arial"/>
          <w:sz w:val="18"/>
          <w:szCs w:val="18"/>
        </w:rPr>
        <w:footnoteRef/>
      </w:r>
      <w:r w:rsidRPr="00BE3CF0">
        <w:rPr>
          <w:rFonts w:cs="Arial"/>
          <w:sz w:val="18"/>
          <w:szCs w:val="18"/>
        </w:rPr>
        <w:t xml:space="preserve"> </w:t>
      </w:r>
      <w:r w:rsidRPr="00BE3CF0">
        <w:rPr>
          <w:sz w:val="18"/>
          <w:szCs w:val="18"/>
        </w:rPr>
        <w:t xml:space="preserve">For convenience, the term PBC </w:t>
      </w:r>
      <w:r>
        <w:rPr>
          <w:sz w:val="18"/>
          <w:szCs w:val="18"/>
        </w:rPr>
        <w:t xml:space="preserve">is </w:t>
      </w:r>
      <w:r w:rsidRPr="00BE3CF0">
        <w:rPr>
          <w:sz w:val="18"/>
          <w:szCs w:val="18"/>
        </w:rPr>
        <w:t xml:space="preserve">used in this </w:t>
      </w:r>
      <w:r>
        <w:rPr>
          <w:sz w:val="18"/>
          <w:szCs w:val="18"/>
        </w:rPr>
        <w:t xml:space="preserve">article </w:t>
      </w:r>
      <w:r w:rsidRPr="00BE3CF0">
        <w:rPr>
          <w:sz w:val="18"/>
          <w:szCs w:val="18"/>
        </w:rPr>
        <w:t>to cover both PBCs and registered native title body corporates (RNTBC).</w:t>
      </w:r>
      <w:r w:rsidRPr="00BE3CF0">
        <w:rPr>
          <w:rFonts w:cs="Arial"/>
          <w:sz w:val="18"/>
          <w:szCs w:val="18"/>
        </w:rPr>
        <w:t xml:space="preserve"> </w:t>
      </w:r>
      <w:r w:rsidRPr="00DB1907">
        <w:rPr>
          <w:rFonts w:cs="Arial"/>
          <w:sz w:val="18"/>
          <w:szCs w:val="18"/>
        </w:rPr>
        <w:t xml:space="preserve">A PBC becomes </w:t>
      </w:r>
      <w:r>
        <w:rPr>
          <w:rFonts w:cs="Arial"/>
          <w:sz w:val="18"/>
          <w:szCs w:val="18"/>
        </w:rPr>
        <w:t xml:space="preserve">an </w:t>
      </w:r>
      <w:r>
        <w:t>RNTBC</w:t>
      </w:r>
      <w:r w:rsidRPr="00DB1907">
        <w:rPr>
          <w:rFonts w:cs="Arial"/>
          <w:sz w:val="18"/>
          <w:szCs w:val="18"/>
        </w:rPr>
        <w:t xml:space="preserve"> when it is entered onto the National Native Title Register. As to the use of prescribed bodies corporate in </w:t>
      </w:r>
      <w:r>
        <w:rPr>
          <w:rFonts w:cs="Arial"/>
          <w:sz w:val="18"/>
          <w:szCs w:val="18"/>
        </w:rPr>
        <w:t>BMSs</w:t>
      </w:r>
      <w:r w:rsidRPr="00DB1907">
        <w:rPr>
          <w:rFonts w:cs="Arial"/>
          <w:sz w:val="18"/>
          <w:szCs w:val="18"/>
        </w:rPr>
        <w:t>, see, eg, Andrew Morgan, Plan B, ‘Native Title Trusts’ (Legalwise Native Title Conference, Perth, 13 June 2014) 7-10.</w:t>
      </w:r>
    </w:p>
  </w:footnote>
  <w:footnote w:id="8">
    <w:p w14:paraId="60DC577B" w14:textId="77777777" w:rsidR="00D70136" w:rsidRPr="00DB1907" w:rsidRDefault="00D70136" w:rsidP="00DC1E64">
      <w:pPr>
        <w:pStyle w:val="FootnoteText"/>
        <w:keepNext/>
        <w:jc w:val="both"/>
        <w:rPr>
          <w:rFonts w:cs="Arial"/>
          <w:sz w:val="18"/>
          <w:szCs w:val="18"/>
        </w:rPr>
      </w:pPr>
      <w:r w:rsidRPr="00DB1907">
        <w:rPr>
          <w:rStyle w:val="FootnoteReference"/>
          <w:rFonts w:cs="Arial"/>
          <w:sz w:val="18"/>
          <w:szCs w:val="18"/>
        </w:rPr>
        <w:footnoteRef/>
      </w:r>
      <w:r w:rsidRPr="00DB1907">
        <w:rPr>
          <w:rFonts w:cs="Arial"/>
          <w:sz w:val="18"/>
          <w:szCs w:val="18"/>
        </w:rPr>
        <w:t xml:space="preserve"> </w:t>
      </w:r>
      <w:r w:rsidRPr="00FF15FF">
        <w:rPr>
          <w:rFonts w:cs="Arial"/>
          <w:sz w:val="18"/>
          <w:szCs w:val="18"/>
        </w:rPr>
        <w:t xml:space="preserve">NTA </w:t>
      </w:r>
      <w:r w:rsidRPr="00DB1907">
        <w:rPr>
          <w:rFonts w:cs="Arial"/>
          <w:sz w:val="18"/>
          <w:szCs w:val="18"/>
        </w:rPr>
        <w:t xml:space="preserve">s 56; </w:t>
      </w:r>
      <w:r w:rsidRPr="003F329F">
        <w:rPr>
          <w:rFonts w:cs="Arial"/>
          <w:sz w:val="18"/>
          <w:szCs w:val="18"/>
        </w:rPr>
        <w:t>Native Title (Prescribed Bodies Corporate) Regulations 1999 (Cth)</w:t>
      </w:r>
      <w:r w:rsidRPr="00DB1907">
        <w:rPr>
          <w:rFonts w:cs="Arial"/>
          <w:sz w:val="18"/>
          <w:szCs w:val="18"/>
        </w:rPr>
        <w:t xml:space="preserve"> r 6. </w:t>
      </w:r>
    </w:p>
  </w:footnote>
  <w:footnote w:id="9">
    <w:p w14:paraId="0014F835" w14:textId="77777777" w:rsidR="00D70136" w:rsidRPr="00DB1907" w:rsidRDefault="00D70136" w:rsidP="00DC1E64">
      <w:pPr>
        <w:pStyle w:val="FootnoteText"/>
        <w:keepNext/>
        <w:jc w:val="both"/>
        <w:rPr>
          <w:rFonts w:cs="Arial"/>
          <w:sz w:val="18"/>
          <w:szCs w:val="18"/>
        </w:rPr>
      </w:pPr>
      <w:r w:rsidRPr="00DB1907">
        <w:rPr>
          <w:rStyle w:val="FootnoteReference"/>
          <w:rFonts w:cs="Arial"/>
          <w:sz w:val="18"/>
          <w:szCs w:val="18"/>
        </w:rPr>
        <w:footnoteRef/>
      </w:r>
      <w:r w:rsidRPr="00DB1907">
        <w:rPr>
          <w:rFonts w:cs="Arial"/>
          <w:sz w:val="18"/>
          <w:szCs w:val="18"/>
        </w:rPr>
        <w:t xml:space="preserve"> </w:t>
      </w:r>
      <w:r w:rsidRPr="00FF15FF">
        <w:rPr>
          <w:rFonts w:cs="Arial"/>
          <w:sz w:val="18"/>
          <w:szCs w:val="18"/>
        </w:rPr>
        <w:t>NTA</w:t>
      </w:r>
      <w:r w:rsidRPr="00DB1907">
        <w:rPr>
          <w:rFonts w:cs="Arial"/>
          <w:sz w:val="18"/>
          <w:szCs w:val="18"/>
        </w:rPr>
        <w:t xml:space="preserve"> s 57;</w:t>
      </w:r>
      <w:r w:rsidRPr="003F329F">
        <w:rPr>
          <w:rFonts w:cs="Arial"/>
          <w:sz w:val="18"/>
          <w:szCs w:val="18"/>
        </w:rPr>
        <w:t xml:space="preserve"> Native Title (Prescribed Bodies Corporate) Regulations 1999 (Cth)</w:t>
      </w:r>
      <w:r w:rsidRPr="00DB1907">
        <w:rPr>
          <w:rFonts w:cs="Arial"/>
          <w:sz w:val="18"/>
          <w:szCs w:val="18"/>
        </w:rPr>
        <w:t xml:space="preserve"> r 7.</w:t>
      </w:r>
    </w:p>
  </w:footnote>
  <w:footnote w:id="10">
    <w:p w14:paraId="2FE9B11A" w14:textId="0016B2A5" w:rsidR="00D70136" w:rsidRDefault="00D70136">
      <w:pPr>
        <w:pStyle w:val="FootnoteText"/>
      </w:pPr>
      <w:r>
        <w:rPr>
          <w:rStyle w:val="FootnoteReference"/>
        </w:rPr>
        <w:footnoteRef/>
      </w:r>
      <w:r>
        <w:t xml:space="preserve"> </w:t>
      </w:r>
      <w:r w:rsidRPr="00BE3CF0">
        <w:rPr>
          <w:sz w:val="18"/>
          <w:szCs w:val="18"/>
        </w:rPr>
        <w:t xml:space="preserve">Murray, Fardin and O’Hara (n </w:t>
      </w:r>
      <w:r w:rsidRPr="00BE3CF0">
        <w:rPr>
          <w:sz w:val="18"/>
          <w:szCs w:val="18"/>
        </w:rPr>
        <w:fldChar w:fldCharType="begin"/>
      </w:r>
      <w:r w:rsidRPr="00BE3CF0">
        <w:rPr>
          <w:sz w:val="18"/>
          <w:szCs w:val="18"/>
        </w:rPr>
        <w:instrText xml:space="preserve"> NOTEREF _Ref43891040 \h </w:instrText>
      </w:r>
      <w:r>
        <w:rPr>
          <w:sz w:val="18"/>
          <w:szCs w:val="18"/>
        </w:rPr>
        <w:instrText xml:space="preserve"> \* MERGEFORMAT </w:instrText>
      </w:r>
      <w:r w:rsidRPr="00BE3CF0">
        <w:rPr>
          <w:sz w:val="18"/>
          <w:szCs w:val="18"/>
        </w:rPr>
      </w:r>
      <w:r w:rsidRPr="00BE3CF0">
        <w:rPr>
          <w:sz w:val="18"/>
          <w:szCs w:val="18"/>
        </w:rPr>
        <w:fldChar w:fldCharType="separate"/>
      </w:r>
      <w:r>
        <w:rPr>
          <w:sz w:val="18"/>
          <w:szCs w:val="18"/>
        </w:rPr>
        <w:t>2</w:t>
      </w:r>
      <w:r w:rsidRPr="00BE3CF0">
        <w:rPr>
          <w:sz w:val="18"/>
          <w:szCs w:val="18"/>
        </w:rPr>
        <w:fldChar w:fldCharType="end"/>
      </w:r>
      <w:r w:rsidRPr="00BE3CF0">
        <w:rPr>
          <w:sz w:val="18"/>
          <w:szCs w:val="18"/>
        </w:rPr>
        <w:t xml:space="preserve">) </w:t>
      </w:r>
      <w:r>
        <w:t>8.</w:t>
      </w:r>
    </w:p>
  </w:footnote>
  <w:footnote w:id="11">
    <w:p w14:paraId="72DFB608" w14:textId="5F6B34F7" w:rsidR="00D70136" w:rsidRPr="00BB7472" w:rsidRDefault="00D70136" w:rsidP="00374CB2">
      <w:pPr>
        <w:pStyle w:val="FootnoteText"/>
        <w:rPr>
          <w:sz w:val="18"/>
          <w:szCs w:val="18"/>
        </w:rPr>
      </w:pPr>
      <w:r w:rsidRPr="00BB7472">
        <w:rPr>
          <w:rStyle w:val="FootnoteReference"/>
          <w:sz w:val="18"/>
          <w:szCs w:val="18"/>
        </w:rPr>
        <w:footnoteRef/>
      </w:r>
      <w:r w:rsidRPr="00BB7472">
        <w:rPr>
          <w:sz w:val="18"/>
          <w:szCs w:val="18"/>
        </w:rPr>
        <w:t xml:space="preserve"> The BMSs </w:t>
      </w:r>
      <w:r>
        <w:rPr>
          <w:sz w:val="18"/>
          <w:szCs w:val="18"/>
        </w:rPr>
        <w:t>reviewed</w:t>
      </w:r>
      <w:r w:rsidRPr="00BB7472">
        <w:rPr>
          <w:sz w:val="18"/>
          <w:szCs w:val="18"/>
        </w:rPr>
        <w:t xml:space="preserve"> were those of the </w:t>
      </w:r>
      <w:proofErr w:type="spellStart"/>
      <w:r w:rsidRPr="00BB7472">
        <w:rPr>
          <w:sz w:val="18"/>
          <w:szCs w:val="18"/>
        </w:rPr>
        <w:t>Banjima</w:t>
      </w:r>
      <w:proofErr w:type="spellEnd"/>
      <w:r w:rsidRPr="00BB7472">
        <w:rPr>
          <w:sz w:val="18"/>
          <w:szCs w:val="18"/>
        </w:rPr>
        <w:t xml:space="preserve">, Eastern </w:t>
      </w:r>
      <w:proofErr w:type="spellStart"/>
      <w:r w:rsidRPr="00BB7472">
        <w:rPr>
          <w:sz w:val="18"/>
          <w:szCs w:val="18"/>
        </w:rPr>
        <w:t>Guruma</w:t>
      </w:r>
      <w:proofErr w:type="spellEnd"/>
      <w:r w:rsidRPr="00BB7472">
        <w:rPr>
          <w:sz w:val="18"/>
          <w:szCs w:val="18"/>
        </w:rPr>
        <w:t xml:space="preserve">, </w:t>
      </w:r>
      <w:proofErr w:type="spellStart"/>
      <w:r w:rsidRPr="00BB7472">
        <w:rPr>
          <w:sz w:val="18"/>
          <w:szCs w:val="18"/>
          <w:lang w:val="en-GB"/>
        </w:rPr>
        <w:t>Kuruma</w:t>
      </w:r>
      <w:proofErr w:type="spellEnd"/>
      <w:r w:rsidRPr="00BB7472">
        <w:rPr>
          <w:sz w:val="18"/>
          <w:szCs w:val="18"/>
          <w:lang w:val="en-GB"/>
        </w:rPr>
        <w:t xml:space="preserve"> </w:t>
      </w:r>
      <w:proofErr w:type="spellStart"/>
      <w:r w:rsidRPr="00BB7472">
        <w:rPr>
          <w:sz w:val="18"/>
          <w:szCs w:val="18"/>
          <w:lang w:val="en-GB"/>
        </w:rPr>
        <w:t>Marthudunera</w:t>
      </w:r>
      <w:proofErr w:type="spellEnd"/>
      <w:r w:rsidRPr="00BB7472">
        <w:rPr>
          <w:sz w:val="18"/>
          <w:szCs w:val="18"/>
          <w:lang w:val="en-GB"/>
        </w:rPr>
        <w:t xml:space="preserve">, </w:t>
      </w:r>
      <w:proofErr w:type="spellStart"/>
      <w:r w:rsidRPr="00BB7472">
        <w:rPr>
          <w:sz w:val="18"/>
          <w:szCs w:val="18"/>
          <w:lang w:val="en-GB"/>
        </w:rPr>
        <w:t>Ngarlawangga</w:t>
      </w:r>
      <w:proofErr w:type="spellEnd"/>
      <w:r w:rsidRPr="00BB7472">
        <w:rPr>
          <w:sz w:val="18"/>
          <w:szCs w:val="18"/>
          <w:lang w:val="en-GB"/>
        </w:rPr>
        <w:t xml:space="preserve">, </w:t>
      </w:r>
      <w:proofErr w:type="spellStart"/>
      <w:r w:rsidRPr="00BB7472">
        <w:rPr>
          <w:sz w:val="18"/>
          <w:szCs w:val="18"/>
          <w:lang w:val="en-GB"/>
        </w:rPr>
        <w:t>Ngarluma</w:t>
      </w:r>
      <w:proofErr w:type="spellEnd"/>
      <w:r w:rsidRPr="00BB7472">
        <w:rPr>
          <w:sz w:val="18"/>
          <w:szCs w:val="18"/>
          <w:lang w:val="en-GB"/>
        </w:rPr>
        <w:t xml:space="preserve">, </w:t>
      </w:r>
      <w:proofErr w:type="spellStart"/>
      <w:r w:rsidRPr="00BB7472">
        <w:rPr>
          <w:sz w:val="18"/>
          <w:szCs w:val="18"/>
          <w:lang w:val="en-GB"/>
        </w:rPr>
        <w:t>Nyiyaparli</w:t>
      </w:r>
      <w:proofErr w:type="spellEnd"/>
      <w:r w:rsidRPr="00BB7472">
        <w:rPr>
          <w:sz w:val="18"/>
          <w:szCs w:val="18"/>
          <w:lang w:val="en-GB"/>
        </w:rPr>
        <w:t xml:space="preserve">, </w:t>
      </w:r>
      <w:proofErr w:type="spellStart"/>
      <w:r w:rsidRPr="00BB7472">
        <w:rPr>
          <w:sz w:val="18"/>
          <w:szCs w:val="18"/>
          <w:lang w:val="en-GB"/>
        </w:rPr>
        <w:t>Puutu</w:t>
      </w:r>
      <w:proofErr w:type="spellEnd"/>
      <w:r w:rsidRPr="00BB7472">
        <w:rPr>
          <w:sz w:val="18"/>
          <w:szCs w:val="18"/>
          <w:lang w:val="en-GB"/>
        </w:rPr>
        <w:t xml:space="preserve"> </w:t>
      </w:r>
      <w:proofErr w:type="spellStart"/>
      <w:r w:rsidRPr="00BB7472">
        <w:rPr>
          <w:sz w:val="18"/>
          <w:szCs w:val="18"/>
          <w:lang w:val="en-GB"/>
        </w:rPr>
        <w:t>Kunti</w:t>
      </w:r>
      <w:proofErr w:type="spellEnd"/>
      <w:r w:rsidRPr="00BB7472">
        <w:rPr>
          <w:sz w:val="18"/>
          <w:szCs w:val="18"/>
          <w:lang w:val="en-GB"/>
        </w:rPr>
        <w:t xml:space="preserve"> </w:t>
      </w:r>
      <w:proofErr w:type="spellStart"/>
      <w:r w:rsidRPr="00BB7472">
        <w:rPr>
          <w:sz w:val="18"/>
          <w:szCs w:val="18"/>
          <w:lang w:val="en-GB"/>
        </w:rPr>
        <w:t>Kurrama</w:t>
      </w:r>
      <w:proofErr w:type="spellEnd"/>
      <w:r w:rsidRPr="00BB7472">
        <w:rPr>
          <w:sz w:val="18"/>
          <w:szCs w:val="18"/>
          <w:lang w:val="en-GB"/>
        </w:rPr>
        <w:t xml:space="preserve"> and </w:t>
      </w:r>
      <w:proofErr w:type="spellStart"/>
      <w:r w:rsidRPr="00BB7472">
        <w:rPr>
          <w:sz w:val="18"/>
          <w:szCs w:val="18"/>
          <w:lang w:val="en-GB"/>
        </w:rPr>
        <w:t>Pinikura</w:t>
      </w:r>
      <w:proofErr w:type="spellEnd"/>
      <w:r w:rsidRPr="00BB7472">
        <w:rPr>
          <w:sz w:val="18"/>
          <w:szCs w:val="18"/>
          <w:lang w:val="en-GB"/>
        </w:rPr>
        <w:t xml:space="preserve">, </w:t>
      </w:r>
      <w:proofErr w:type="spellStart"/>
      <w:r w:rsidRPr="00BB7472">
        <w:rPr>
          <w:sz w:val="18"/>
          <w:szCs w:val="18"/>
          <w:lang w:val="en-GB"/>
        </w:rPr>
        <w:t>Yinhawangka</w:t>
      </w:r>
      <w:proofErr w:type="spellEnd"/>
      <w:r w:rsidRPr="00BB7472">
        <w:rPr>
          <w:sz w:val="18"/>
          <w:szCs w:val="18"/>
          <w:lang w:val="en-GB"/>
        </w:rPr>
        <w:t xml:space="preserve"> and </w:t>
      </w:r>
      <w:proofErr w:type="spellStart"/>
      <w:r w:rsidRPr="00BB7472">
        <w:rPr>
          <w:sz w:val="18"/>
          <w:szCs w:val="18"/>
          <w:lang w:val="en-GB"/>
        </w:rPr>
        <w:t>Yindjibarndi</w:t>
      </w:r>
      <w:proofErr w:type="spellEnd"/>
      <w:r w:rsidRPr="00BB7472">
        <w:rPr>
          <w:sz w:val="18"/>
          <w:szCs w:val="18"/>
          <w:lang w:val="en-GB"/>
        </w:rPr>
        <w:t xml:space="preserve"> traditional owner groups.</w:t>
      </w:r>
      <w:r w:rsidRPr="00BB7472">
        <w:rPr>
          <w:rFonts w:cs="Arial"/>
          <w:sz w:val="18"/>
          <w:szCs w:val="18"/>
        </w:rPr>
        <w:t xml:space="preserve"> </w:t>
      </w:r>
    </w:p>
  </w:footnote>
  <w:footnote w:id="12">
    <w:p w14:paraId="4FF03A0D" w14:textId="191D17D4" w:rsidR="00D70136" w:rsidRPr="009264F4" w:rsidRDefault="00D70136" w:rsidP="009264F4">
      <w:pPr>
        <w:pStyle w:val="FootnoteText"/>
        <w:rPr>
          <w:sz w:val="18"/>
          <w:szCs w:val="18"/>
          <w:lang w:val="en-US"/>
        </w:rPr>
      </w:pPr>
      <w:r w:rsidRPr="00753C6B">
        <w:rPr>
          <w:rStyle w:val="FootnoteReference"/>
          <w:sz w:val="18"/>
          <w:szCs w:val="18"/>
        </w:rPr>
        <w:footnoteRef/>
      </w:r>
      <w:r w:rsidRPr="00753C6B">
        <w:rPr>
          <w:sz w:val="18"/>
          <w:szCs w:val="18"/>
        </w:rPr>
        <w:t xml:space="preserve"> NTA and </w:t>
      </w:r>
      <w:r w:rsidRPr="003F329F">
        <w:rPr>
          <w:sz w:val="18"/>
          <w:szCs w:val="18"/>
        </w:rPr>
        <w:t>Native Title (Prescribed Bodies Corporate) Regulations 1999</w:t>
      </w:r>
      <w:r w:rsidRPr="009264F4">
        <w:rPr>
          <w:sz w:val="18"/>
          <w:szCs w:val="18"/>
        </w:rPr>
        <w:t xml:space="preserve"> (Cth) functions include: </w:t>
      </w:r>
      <w:r w:rsidRPr="009264F4">
        <w:rPr>
          <w:sz w:val="18"/>
          <w:szCs w:val="18"/>
          <w:vertAlign w:val="superscript"/>
        </w:rPr>
        <w:t xml:space="preserve"> </w:t>
      </w:r>
      <w:r w:rsidRPr="009264F4">
        <w:rPr>
          <w:sz w:val="18"/>
          <w:szCs w:val="18"/>
        </w:rPr>
        <w:t xml:space="preserve">receiving future act notices; exercising procedural rights under the NTA; negotiating, implementing and monitoring native title land use agreements; and bringing native title compensation applications and revised determination applications in the Federal Court. </w:t>
      </w:r>
      <w:r>
        <w:rPr>
          <w:sz w:val="18"/>
          <w:szCs w:val="18"/>
        </w:rPr>
        <w:t xml:space="preserve">See, </w:t>
      </w:r>
      <w:proofErr w:type="spellStart"/>
      <w:r>
        <w:rPr>
          <w:sz w:val="18"/>
          <w:szCs w:val="18"/>
        </w:rPr>
        <w:t>eg</w:t>
      </w:r>
      <w:proofErr w:type="spellEnd"/>
      <w:r>
        <w:rPr>
          <w:sz w:val="18"/>
          <w:szCs w:val="18"/>
        </w:rPr>
        <w:t xml:space="preserve">, </w:t>
      </w:r>
      <w:r w:rsidRPr="009264F4">
        <w:rPr>
          <w:rFonts w:cs="Arial"/>
          <w:sz w:val="18"/>
          <w:szCs w:val="18"/>
        </w:rPr>
        <w:t xml:space="preserve">Lisa </w:t>
      </w:r>
      <w:proofErr w:type="spellStart"/>
      <w:r w:rsidRPr="009264F4">
        <w:rPr>
          <w:rFonts w:cs="Arial"/>
          <w:sz w:val="18"/>
          <w:szCs w:val="18"/>
        </w:rPr>
        <w:t>Strelein</w:t>
      </w:r>
      <w:proofErr w:type="spellEnd"/>
      <w:r w:rsidRPr="009264F4">
        <w:rPr>
          <w:rFonts w:cs="Arial"/>
          <w:sz w:val="18"/>
          <w:szCs w:val="18"/>
        </w:rPr>
        <w:t xml:space="preserve"> and </w:t>
      </w:r>
      <w:r>
        <w:rPr>
          <w:rFonts w:cs="Arial"/>
          <w:sz w:val="18"/>
          <w:szCs w:val="18"/>
        </w:rPr>
        <w:t xml:space="preserve">Tran </w:t>
      </w:r>
      <w:proofErr w:type="spellStart"/>
      <w:r w:rsidRPr="009264F4">
        <w:rPr>
          <w:rFonts w:cs="Arial"/>
          <w:sz w:val="18"/>
          <w:szCs w:val="18"/>
        </w:rPr>
        <w:t>Tran</w:t>
      </w:r>
      <w:proofErr w:type="spellEnd"/>
      <w:r w:rsidRPr="009264F4">
        <w:rPr>
          <w:rFonts w:cs="Arial"/>
          <w:sz w:val="18"/>
          <w:szCs w:val="18"/>
        </w:rPr>
        <w:t>, ‘Native Title Representative Bodies and Prescribed Bodies Corporate: Native Title in a Post Determination Environment’ (</w:t>
      </w:r>
      <w:r>
        <w:rPr>
          <w:rFonts w:cs="Arial"/>
          <w:sz w:val="18"/>
          <w:szCs w:val="18"/>
        </w:rPr>
        <w:t xml:space="preserve">2007) </w:t>
      </w:r>
      <w:r w:rsidRPr="009264F4">
        <w:rPr>
          <w:rFonts w:cs="Arial"/>
          <w:sz w:val="18"/>
          <w:szCs w:val="18"/>
        </w:rPr>
        <w:t>AIATSIS Native Title Research Report 2/2007</w:t>
      </w:r>
      <w:r>
        <w:rPr>
          <w:rFonts w:cs="Arial"/>
          <w:sz w:val="18"/>
          <w:szCs w:val="18"/>
        </w:rPr>
        <w:t xml:space="preserve">, </w:t>
      </w:r>
      <w:r w:rsidRPr="009264F4">
        <w:rPr>
          <w:rFonts w:cs="Arial"/>
          <w:sz w:val="18"/>
          <w:szCs w:val="18"/>
        </w:rPr>
        <w:t xml:space="preserve">Appendix 2, 29; Attorney-General’s Department, </w:t>
      </w:r>
      <w:r w:rsidRPr="009264F4">
        <w:rPr>
          <w:rFonts w:cs="Arial"/>
          <w:i/>
          <w:sz w:val="18"/>
          <w:szCs w:val="18"/>
        </w:rPr>
        <w:t>Structures and Processes of Prescribed Bodies Corporate</w:t>
      </w:r>
      <w:r w:rsidRPr="009264F4">
        <w:rPr>
          <w:rFonts w:cs="Arial"/>
          <w:sz w:val="18"/>
          <w:szCs w:val="18"/>
        </w:rPr>
        <w:t xml:space="preserve"> (</w:t>
      </w:r>
      <w:r>
        <w:rPr>
          <w:rFonts w:cs="Arial"/>
          <w:sz w:val="18"/>
          <w:szCs w:val="18"/>
        </w:rPr>
        <w:t>Commonwealth of Australia 2006)</w:t>
      </w:r>
      <w:r w:rsidRPr="009264F4">
        <w:rPr>
          <w:rFonts w:cs="Arial"/>
          <w:sz w:val="18"/>
          <w:szCs w:val="18"/>
        </w:rPr>
        <w:t xml:space="preserve"> [4.3]-[4.8].</w:t>
      </w:r>
    </w:p>
  </w:footnote>
  <w:footnote w:id="13">
    <w:p w14:paraId="0DB6E3AB" w14:textId="5581004A" w:rsidR="00D70136" w:rsidRPr="009264F4" w:rsidRDefault="00D70136" w:rsidP="009264F4">
      <w:pPr>
        <w:pStyle w:val="FootnoteText"/>
        <w:rPr>
          <w:rFonts w:cs="Arial"/>
          <w:sz w:val="18"/>
          <w:szCs w:val="18"/>
        </w:rPr>
      </w:pPr>
      <w:r w:rsidRPr="009264F4">
        <w:rPr>
          <w:rStyle w:val="FootnoteReference"/>
          <w:rFonts w:cs="Arial"/>
          <w:sz w:val="18"/>
          <w:szCs w:val="18"/>
        </w:rPr>
        <w:footnoteRef/>
      </w:r>
      <w:r w:rsidRPr="009264F4">
        <w:rPr>
          <w:rFonts w:cs="Arial"/>
          <w:sz w:val="18"/>
          <w:szCs w:val="18"/>
        </w:rPr>
        <w:t xml:space="preserve"> As to the role of advisory trustees, see, eg, </w:t>
      </w:r>
      <w:r w:rsidRPr="003F329F">
        <w:rPr>
          <w:rFonts w:cs="Arial"/>
          <w:sz w:val="18"/>
          <w:szCs w:val="18"/>
        </w:rPr>
        <w:t>Trustees Act 1962</w:t>
      </w:r>
      <w:r w:rsidRPr="009264F4">
        <w:rPr>
          <w:rFonts w:cs="Arial"/>
          <w:sz w:val="18"/>
          <w:szCs w:val="18"/>
        </w:rPr>
        <w:t xml:space="preserve"> (WA) s</w:t>
      </w:r>
      <w:r>
        <w:rPr>
          <w:rFonts w:cs="Arial"/>
          <w:sz w:val="18"/>
          <w:szCs w:val="18"/>
        </w:rPr>
        <w:t xml:space="preserve"> </w:t>
      </w:r>
      <w:r w:rsidRPr="009264F4">
        <w:rPr>
          <w:rFonts w:cs="Arial"/>
          <w:sz w:val="18"/>
          <w:szCs w:val="18"/>
        </w:rPr>
        <w:t xml:space="preserve">14; </w:t>
      </w:r>
      <w:r w:rsidRPr="009264F4">
        <w:rPr>
          <w:sz w:val="18"/>
          <w:szCs w:val="18"/>
        </w:rPr>
        <w:t xml:space="preserve">Adam Levin, ‘Observations on the Development of Native Title Trusts in Australia’ (2016) 22(2) </w:t>
      </w:r>
      <w:r w:rsidRPr="00787C3A">
        <w:rPr>
          <w:sz w:val="18"/>
          <w:szCs w:val="18"/>
        </w:rPr>
        <w:t>Trusts &amp; Trustees</w:t>
      </w:r>
      <w:r w:rsidRPr="009264F4">
        <w:rPr>
          <w:i/>
          <w:sz w:val="18"/>
          <w:szCs w:val="18"/>
        </w:rPr>
        <w:t xml:space="preserve"> </w:t>
      </w:r>
      <w:r w:rsidRPr="009264F4">
        <w:rPr>
          <w:sz w:val="18"/>
          <w:szCs w:val="18"/>
        </w:rPr>
        <w:t>241,</w:t>
      </w:r>
      <w:r w:rsidRPr="009264F4">
        <w:rPr>
          <w:rFonts w:cs="Arial"/>
          <w:sz w:val="18"/>
          <w:szCs w:val="18"/>
        </w:rPr>
        <w:t xml:space="preserve"> 251.</w:t>
      </w:r>
    </w:p>
  </w:footnote>
  <w:footnote w:id="14">
    <w:p w14:paraId="1D6B6ACA" w14:textId="0FCF0639" w:rsidR="00D70136" w:rsidRPr="00DB1907" w:rsidRDefault="00D70136" w:rsidP="009264F4">
      <w:pPr>
        <w:pStyle w:val="FootnoteText"/>
        <w:rPr>
          <w:rFonts w:cs="Arial"/>
          <w:sz w:val="18"/>
          <w:szCs w:val="18"/>
        </w:rPr>
      </w:pPr>
      <w:r w:rsidRPr="009264F4">
        <w:rPr>
          <w:rStyle w:val="FootnoteReference"/>
          <w:rFonts w:cs="Arial"/>
          <w:sz w:val="18"/>
          <w:szCs w:val="18"/>
        </w:rPr>
        <w:footnoteRef/>
      </w:r>
      <w:r w:rsidRPr="009264F4">
        <w:rPr>
          <w:rFonts w:cs="Arial"/>
          <w:sz w:val="18"/>
          <w:szCs w:val="18"/>
        </w:rPr>
        <w:t xml:space="preserve"> Ciaran O’Faircheallaigh, ‘Registered Native Title Bodies Corporate and mining agreements: capacities and structures’ in </w:t>
      </w:r>
      <w:r w:rsidRPr="00F52B22">
        <w:rPr>
          <w:rFonts w:cs="Arial"/>
          <w:sz w:val="18"/>
          <w:szCs w:val="18"/>
        </w:rPr>
        <w:t>Toni Bauman, Lisa Strelein and Jessica Weir</w:t>
      </w:r>
      <w:r>
        <w:rPr>
          <w:rFonts w:cs="Arial"/>
          <w:sz w:val="18"/>
          <w:szCs w:val="18"/>
        </w:rPr>
        <w:t xml:space="preserve"> (</w:t>
      </w:r>
      <w:proofErr w:type="gramStart"/>
      <w:r>
        <w:rPr>
          <w:rFonts w:cs="Arial"/>
          <w:sz w:val="18"/>
          <w:szCs w:val="18"/>
        </w:rPr>
        <w:t>eds</w:t>
      </w:r>
      <w:proofErr w:type="gramEnd"/>
      <w:r>
        <w:rPr>
          <w:rFonts w:cs="Arial"/>
          <w:sz w:val="18"/>
          <w:szCs w:val="18"/>
        </w:rPr>
        <w:t>)</w:t>
      </w:r>
      <w:r w:rsidRPr="00F52B22">
        <w:rPr>
          <w:rFonts w:cs="Arial"/>
          <w:i/>
          <w:sz w:val="18"/>
          <w:szCs w:val="18"/>
        </w:rPr>
        <w:t>, Living with Native Title: The Experiences of Registered Native Title Corporations</w:t>
      </w:r>
      <w:r w:rsidRPr="00F52B22">
        <w:rPr>
          <w:rFonts w:cs="Arial"/>
          <w:sz w:val="18"/>
          <w:szCs w:val="18"/>
        </w:rPr>
        <w:t xml:space="preserve"> (AIATSIS 2013)</w:t>
      </w:r>
      <w:r w:rsidRPr="009264F4">
        <w:rPr>
          <w:rFonts w:cs="Arial"/>
          <w:sz w:val="18"/>
          <w:szCs w:val="18"/>
        </w:rPr>
        <w:t xml:space="preserve"> 283-8.</w:t>
      </w:r>
    </w:p>
  </w:footnote>
  <w:footnote w:id="15">
    <w:p w14:paraId="1CDDEBDD" w14:textId="23EBFA67" w:rsidR="00D70136" w:rsidRPr="00DB1907" w:rsidRDefault="00D70136" w:rsidP="00DC1E64">
      <w:pPr>
        <w:pStyle w:val="FootnoteText"/>
        <w:rPr>
          <w:rFonts w:cs="Arial"/>
          <w:sz w:val="18"/>
          <w:szCs w:val="18"/>
        </w:rPr>
      </w:pPr>
      <w:r w:rsidRPr="00DB1907">
        <w:rPr>
          <w:rStyle w:val="FootnoteReference"/>
          <w:rFonts w:cs="Arial"/>
          <w:sz w:val="18"/>
          <w:szCs w:val="18"/>
        </w:rPr>
        <w:footnoteRef/>
      </w:r>
      <w:r w:rsidRPr="00DB1907">
        <w:rPr>
          <w:rFonts w:cs="Arial"/>
          <w:sz w:val="18"/>
          <w:szCs w:val="18"/>
        </w:rPr>
        <w:t xml:space="preserve"> See, </w:t>
      </w:r>
      <w:proofErr w:type="spellStart"/>
      <w:r w:rsidRPr="00DB1907">
        <w:rPr>
          <w:rFonts w:cs="Arial"/>
          <w:sz w:val="18"/>
          <w:szCs w:val="18"/>
        </w:rPr>
        <w:t>eg</w:t>
      </w:r>
      <w:proofErr w:type="spellEnd"/>
      <w:r w:rsidRPr="00DB1907">
        <w:rPr>
          <w:rFonts w:cs="Arial"/>
          <w:sz w:val="18"/>
          <w:szCs w:val="18"/>
        </w:rPr>
        <w:t xml:space="preserve">, </w:t>
      </w:r>
      <w:r w:rsidRPr="009264F4">
        <w:rPr>
          <w:sz w:val="18"/>
          <w:szCs w:val="18"/>
        </w:rPr>
        <w:t>Levin</w:t>
      </w:r>
      <w:r>
        <w:rPr>
          <w:sz w:val="18"/>
          <w:szCs w:val="18"/>
        </w:rPr>
        <w:t xml:space="preserve"> (n </w:t>
      </w:r>
      <w:r>
        <w:rPr>
          <w:sz w:val="18"/>
          <w:szCs w:val="18"/>
        </w:rPr>
        <w:fldChar w:fldCharType="begin"/>
      </w:r>
      <w:r>
        <w:rPr>
          <w:sz w:val="18"/>
          <w:szCs w:val="18"/>
        </w:rPr>
        <w:instrText xml:space="preserve"> NOTEREF _Ref22728572 \h </w:instrText>
      </w:r>
      <w:r>
        <w:rPr>
          <w:sz w:val="18"/>
          <w:szCs w:val="18"/>
        </w:rPr>
      </w:r>
      <w:r>
        <w:rPr>
          <w:sz w:val="18"/>
          <w:szCs w:val="18"/>
        </w:rPr>
        <w:fldChar w:fldCharType="separate"/>
      </w:r>
      <w:r>
        <w:rPr>
          <w:sz w:val="18"/>
          <w:szCs w:val="18"/>
        </w:rPr>
        <w:t>12</w:t>
      </w:r>
      <w:r>
        <w:rPr>
          <w:sz w:val="18"/>
          <w:szCs w:val="18"/>
        </w:rPr>
        <w:fldChar w:fldCharType="end"/>
      </w:r>
      <w:r>
        <w:rPr>
          <w:sz w:val="18"/>
          <w:szCs w:val="18"/>
        </w:rPr>
        <w:t>)</w:t>
      </w:r>
      <w:r w:rsidRPr="009264F4">
        <w:rPr>
          <w:rFonts w:cs="Arial"/>
          <w:sz w:val="18"/>
          <w:szCs w:val="18"/>
        </w:rPr>
        <w:t xml:space="preserve"> </w:t>
      </w:r>
      <w:r w:rsidRPr="00DB1907">
        <w:rPr>
          <w:rFonts w:cs="Arial"/>
          <w:sz w:val="18"/>
          <w:szCs w:val="18"/>
        </w:rPr>
        <w:t>255-6.</w:t>
      </w:r>
    </w:p>
  </w:footnote>
  <w:footnote w:id="16">
    <w:p w14:paraId="57D5CCA9" w14:textId="18D0DF51" w:rsidR="00D70136" w:rsidRPr="00DB1907" w:rsidRDefault="00D70136" w:rsidP="00B1532E">
      <w:pPr>
        <w:pStyle w:val="FootnoteText"/>
        <w:rPr>
          <w:rFonts w:cs="Arial"/>
          <w:sz w:val="18"/>
          <w:szCs w:val="18"/>
          <w:lang w:val="en-US"/>
        </w:rPr>
      </w:pPr>
      <w:r w:rsidRPr="00DB1907">
        <w:rPr>
          <w:rStyle w:val="FootnoteReference"/>
          <w:rFonts w:cs="Arial"/>
          <w:sz w:val="18"/>
          <w:szCs w:val="18"/>
        </w:rPr>
        <w:footnoteRef/>
      </w:r>
      <w:r w:rsidRPr="00DB1907">
        <w:rPr>
          <w:rFonts w:cs="Arial"/>
          <w:sz w:val="18"/>
          <w:szCs w:val="18"/>
        </w:rPr>
        <w:t xml:space="preserve"> See </w:t>
      </w:r>
      <w:proofErr w:type="spellStart"/>
      <w:r w:rsidRPr="00DB1907">
        <w:rPr>
          <w:rFonts w:cs="Arial"/>
          <w:sz w:val="18"/>
          <w:szCs w:val="18"/>
        </w:rPr>
        <w:t>n</w:t>
      </w:r>
      <w:proofErr w:type="spellEnd"/>
      <w:r w:rsidRPr="00DB1907">
        <w:rPr>
          <w:rFonts w:cs="Arial"/>
          <w:sz w:val="18"/>
          <w:szCs w:val="18"/>
        </w:rPr>
        <w:t xml:space="preserve"> </w:t>
      </w:r>
      <w:r>
        <w:rPr>
          <w:rFonts w:cs="Arial"/>
          <w:sz w:val="18"/>
          <w:szCs w:val="18"/>
        </w:rPr>
        <w:fldChar w:fldCharType="begin"/>
      </w:r>
      <w:r>
        <w:rPr>
          <w:rFonts w:cs="Arial"/>
          <w:sz w:val="18"/>
          <w:szCs w:val="18"/>
        </w:rPr>
        <w:instrText xml:space="preserve"> NOTEREF _Ref22724433 \h </w:instrText>
      </w:r>
      <w:r>
        <w:rPr>
          <w:rFonts w:cs="Arial"/>
          <w:sz w:val="18"/>
          <w:szCs w:val="18"/>
        </w:rPr>
      </w:r>
      <w:r>
        <w:rPr>
          <w:rFonts w:cs="Arial"/>
          <w:sz w:val="18"/>
          <w:szCs w:val="18"/>
        </w:rPr>
        <w:fldChar w:fldCharType="separate"/>
      </w:r>
      <w:r>
        <w:rPr>
          <w:rFonts w:cs="Arial"/>
          <w:sz w:val="18"/>
          <w:szCs w:val="18"/>
        </w:rPr>
        <w:t>11</w:t>
      </w:r>
      <w:r>
        <w:rPr>
          <w:rFonts w:cs="Arial"/>
          <w:sz w:val="18"/>
          <w:szCs w:val="18"/>
        </w:rPr>
        <w:fldChar w:fldCharType="end"/>
      </w:r>
      <w:r w:rsidRPr="00DB1907">
        <w:rPr>
          <w:rFonts w:cs="Arial"/>
          <w:sz w:val="18"/>
          <w:szCs w:val="18"/>
        </w:rPr>
        <w:t>.</w:t>
      </w:r>
    </w:p>
  </w:footnote>
  <w:footnote w:id="17">
    <w:p w14:paraId="401966FB" w14:textId="108F010D" w:rsidR="00D70136" w:rsidRPr="00DB1907" w:rsidRDefault="00D70136" w:rsidP="00B1532E">
      <w:pPr>
        <w:pStyle w:val="FootnoteText"/>
        <w:rPr>
          <w:rFonts w:cs="Arial"/>
          <w:sz w:val="18"/>
          <w:szCs w:val="18"/>
          <w:lang w:val="en-US"/>
        </w:rPr>
      </w:pPr>
      <w:r w:rsidRPr="00DB1907">
        <w:rPr>
          <w:rStyle w:val="FootnoteReference"/>
          <w:rFonts w:cs="Arial"/>
          <w:sz w:val="18"/>
          <w:szCs w:val="18"/>
        </w:rPr>
        <w:footnoteRef/>
      </w:r>
      <w:r w:rsidRPr="00DB1907">
        <w:rPr>
          <w:rFonts w:cs="Arial"/>
          <w:sz w:val="18"/>
          <w:szCs w:val="18"/>
        </w:rPr>
        <w:t xml:space="preserve"> </w:t>
      </w:r>
      <w:r>
        <w:rPr>
          <w:rFonts w:cs="Arial"/>
          <w:sz w:val="18"/>
          <w:szCs w:val="18"/>
        </w:rPr>
        <w:t xml:space="preserve">For a discussion of charitable trusts in a native title setting, see, eg, </w:t>
      </w:r>
      <w:r w:rsidRPr="00DB1907">
        <w:rPr>
          <w:rFonts w:cs="Arial"/>
          <w:sz w:val="18"/>
          <w:szCs w:val="18"/>
        </w:rPr>
        <w:t xml:space="preserve">Miranda Stewart, ‘The Income Taxation of Native Title Agreements’ (2011) 39(3) </w:t>
      </w:r>
      <w:r w:rsidRPr="00402FA1">
        <w:rPr>
          <w:rFonts w:cs="Arial"/>
          <w:sz w:val="18"/>
          <w:szCs w:val="18"/>
        </w:rPr>
        <w:t>Federal Law Review</w:t>
      </w:r>
      <w:r w:rsidRPr="00DB1907">
        <w:rPr>
          <w:rFonts w:cs="Arial"/>
          <w:sz w:val="18"/>
          <w:szCs w:val="18"/>
        </w:rPr>
        <w:t xml:space="preserve"> 361, 391-2.</w:t>
      </w:r>
    </w:p>
  </w:footnote>
  <w:footnote w:id="18">
    <w:p w14:paraId="3707F2CD" w14:textId="35983936" w:rsidR="00D70136" w:rsidRDefault="00D70136">
      <w:pPr>
        <w:pStyle w:val="FootnoteText"/>
      </w:pPr>
      <w:r>
        <w:rPr>
          <w:rStyle w:val="FootnoteReference"/>
        </w:rPr>
        <w:footnoteRef/>
      </w:r>
      <w:r>
        <w:t xml:space="preserve"> </w:t>
      </w:r>
      <w:r w:rsidRPr="00BE3CF0">
        <w:rPr>
          <w:sz w:val="18"/>
          <w:szCs w:val="18"/>
        </w:rPr>
        <w:t xml:space="preserve">Murray, Fardin and O’Hara (n </w:t>
      </w:r>
      <w:r w:rsidRPr="00BE3CF0">
        <w:rPr>
          <w:sz w:val="18"/>
          <w:szCs w:val="18"/>
        </w:rPr>
        <w:fldChar w:fldCharType="begin"/>
      </w:r>
      <w:r w:rsidRPr="00BE3CF0">
        <w:rPr>
          <w:sz w:val="18"/>
          <w:szCs w:val="18"/>
        </w:rPr>
        <w:instrText xml:space="preserve"> NOTEREF _Ref43891040 \h </w:instrText>
      </w:r>
      <w:r>
        <w:rPr>
          <w:sz w:val="18"/>
          <w:szCs w:val="18"/>
        </w:rPr>
        <w:instrText xml:space="preserve"> \* MERGEFORMAT </w:instrText>
      </w:r>
      <w:r w:rsidRPr="00BE3CF0">
        <w:rPr>
          <w:sz w:val="18"/>
          <w:szCs w:val="18"/>
        </w:rPr>
      </w:r>
      <w:r w:rsidRPr="00BE3CF0">
        <w:rPr>
          <w:sz w:val="18"/>
          <w:szCs w:val="18"/>
        </w:rPr>
        <w:fldChar w:fldCharType="separate"/>
      </w:r>
      <w:r>
        <w:rPr>
          <w:sz w:val="18"/>
          <w:szCs w:val="18"/>
        </w:rPr>
        <w:t>2</w:t>
      </w:r>
      <w:r w:rsidRPr="00BE3CF0">
        <w:rPr>
          <w:sz w:val="18"/>
          <w:szCs w:val="18"/>
        </w:rPr>
        <w:fldChar w:fldCharType="end"/>
      </w:r>
      <w:r w:rsidRPr="00BE3CF0">
        <w:rPr>
          <w:sz w:val="18"/>
          <w:szCs w:val="18"/>
        </w:rPr>
        <w:t xml:space="preserve">) </w:t>
      </w:r>
      <w:r>
        <w:t>16-19.</w:t>
      </w:r>
    </w:p>
  </w:footnote>
  <w:footnote w:id="19">
    <w:p w14:paraId="72F4F6CE" w14:textId="259FA215" w:rsidR="00D70136" w:rsidRPr="00DB1907" w:rsidRDefault="00D70136" w:rsidP="00B1532E">
      <w:pPr>
        <w:pStyle w:val="FootnoteText"/>
        <w:rPr>
          <w:rFonts w:cs="Arial"/>
          <w:sz w:val="18"/>
          <w:szCs w:val="18"/>
          <w:lang w:val="en-US"/>
        </w:rPr>
      </w:pPr>
      <w:r w:rsidRPr="00DB1907">
        <w:rPr>
          <w:rStyle w:val="FootnoteReference"/>
          <w:rFonts w:cs="Arial"/>
          <w:sz w:val="18"/>
          <w:szCs w:val="18"/>
        </w:rPr>
        <w:footnoteRef/>
      </w:r>
      <w:r w:rsidRPr="00DB1907">
        <w:rPr>
          <w:rFonts w:cs="Arial"/>
          <w:sz w:val="18"/>
          <w:szCs w:val="18"/>
        </w:rPr>
        <w:t xml:space="preserve"> </w:t>
      </w:r>
      <w:r w:rsidRPr="0010240A">
        <w:rPr>
          <w:i/>
        </w:rPr>
        <w:t>Ibid</w:t>
      </w:r>
      <w:r>
        <w:t xml:space="preserve"> 17-19</w:t>
      </w:r>
      <w:r w:rsidRPr="00DB1907">
        <w:rPr>
          <w:rFonts w:cs="Arial"/>
          <w:sz w:val="18"/>
          <w:szCs w:val="18"/>
          <w:lang w:val="en-US"/>
        </w:rPr>
        <w:t>.</w:t>
      </w:r>
    </w:p>
  </w:footnote>
  <w:footnote w:id="20">
    <w:p w14:paraId="76951154" w14:textId="00C3A2CB" w:rsidR="00D70136" w:rsidRPr="00DB1907" w:rsidRDefault="00D70136" w:rsidP="00B1532E">
      <w:pPr>
        <w:pStyle w:val="FootnoteText"/>
        <w:rPr>
          <w:rFonts w:cs="Arial"/>
          <w:sz w:val="18"/>
          <w:szCs w:val="18"/>
          <w:lang w:val="en-US"/>
        </w:rPr>
      </w:pPr>
      <w:r w:rsidRPr="00DB1907">
        <w:rPr>
          <w:rStyle w:val="FootnoteReference"/>
          <w:rFonts w:cs="Arial"/>
          <w:sz w:val="18"/>
          <w:szCs w:val="18"/>
        </w:rPr>
        <w:footnoteRef/>
      </w:r>
      <w:r w:rsidRPr="00DB1907">
        <w:rPr>
          <w:rFonts w:cs="Arial"/>
          <w:sz w:val="18"/>
          <w:szCs w:val="18"/>
        </w:rPr>
        <w:t xml:space="preserve"> </w:t>
      </w:r>
      <w:r w:rsidRPr="0010240A">
        <w:rPr>
          <w:i/>
        </w:rPr>
        <w:t>Ibid</w:t>
      </w:r>
      <w:r>
        <w:t xml:space="preserve"> 18</w:t>
      </w:r>
      <w:r w:rsidRPr="00DB1907">
        <w:rPr>
          <w:rFonts w:cs="Arial"/>
          <w:sz w:val="18"/>
          <w:szCs w:val="18"/>
        </w:rPr>
        <w:t>.</w:t>
      </w:r>
    </w:p>
  </w:footnote>
  <w:footnote w:id="21">
    <w:p w14:paraId="178B98CD" w14:textId="369E4B9E" w:rsidR="00D70136" w:rsidRPr="00DB1907" w:rsidRDefault="00D70136" w:rsidP="00B1532E">
      <w:pPr>
        <w:pStyle w:val="FootnoteText"/>
        <w:rPr>
          <w:rFonts w:cs="Arial"/>
          <w:sz w:val="18"/>
          <w:szCs w:val="18"/>
          <w:lang w:val="en-US"/>
        </w:rPr>
      </w:pPr>
      <w:r w:rsidRPr="00DB1907">
        <w:rPr>
          <w:rStyle w:val="FootnoteReference"/>
          <w:rFonts w:cs="Arial"/>
          <w:sz w:val="18"/>
          <w:szCs w:val="18"/>
        </w:rPr>
        <w:footnoteRef/>
      </w:r>
      <w:r w:rsidRPr="00DB1907">
        <w:rPr>
          <w:rFonts w:cs="Arial"/>
          <w:sz w:val="18"/>
          <w:szCs w:val="18"/>
        </w:rPr>
        <w:t xml:space="preserve"> </w:t>
      </w:r>
      <w:r w:rsidRPr="0010240A">
        <w:rPr>
          <w:i/>
        </w:rPr>
        <w:t>Ibid</w:t>
      </w:r>
      <w:r w:rsidRPr="00DB1907">
        <w:rPr>
          <w:rFonts w:cs="Arial"/>
          <w:sz w:val="18"/>
          <w:szCs w:val="18"/>
        </w:rPr>
        <w:t>.</w:t>
      </w:r>
      <w:r>
        <w:rPr>
          <w:rFonts w:cs="Arial"/>
          <w:sz w:val="18"/>
          <w:szCs w:val="18"/>
        </w:rPr>
        <w:t xml:space="preserve"> International best practice is reflected in: International Council on Mining &amp; Metals, </w:t>
      </w:r>
      <w:r w:rsidRPr="004E19D2">
        <w:rPr>
          <w:rFonts w:cs="Arial"/>
          <w:i/>
          <w:sz w:val="18"/>
          <w:szCs w:val="18"/>
        </w:rPr>
        <w:t>Indigenous Peoples and Mining:</w:t>
      </w:r>
      <w:r>
        <w:rPr>
          <w:rFonts w:cs="Arial"/>
          <w:sz w:val="18"/>
          <w:szCs w:val="18"/>
        </w:rPr>
        <w:t xml:space="preserve"> </w:t>
      </w:r>
      <w:r w:rsidRPr="004E19D2">
        <w:rPr>
          <w:rFonts w:cs="Arial"/>
          <w:i/>
          <w:sz w:val="18"/>
          <w:szCs w:val="18"/>
        </w:rPr>
        <w:t>Good Practice Guide</w:t>
      </w:r>
      <w:r>
        <w:rPr>
          <w:rFonts w:cs="Arial"/>
          <w:sz w:val="18"/>
          <w:szCs w:val="18"/>
        </w:rPr>
        <w:t xml:space="preserve"> (2</w:t>
      </w:r>
      <w:r w:rsidRPr="00405705">
        <w:rPr>
          <w:rFonts w:cs="Arial"/>
          <w:sz w:val="18"/>
          <w:szCs w:val="18"/>
          <w:vertAlign w:val="superscript"/>
        </w:rPr>
        <w:t>nd</w:t>
      </w:r>
      <w:r>
        <w:rPr>
          <w:rFonts w:cs="Arial"/>
          <w:sz w:val="18"/>
          <w:szCs w:val="18"/>
        </w:rPr>
        <w:t xml:space="preserve"> </w:t>
      </w:r>
      <w:proofErr w:type="spellStart"/>
      <w:r>
        <w:rPr>
          <w:rFonts w:cs="Arial"/>
          <w:sz w:val="18"/>
          <w:szCs w:val="18"/>
        </w:rPr>
        <w:t>edn</w:t>
      </w:r>
      <w:proofErr w:type="spellEnd"/>
      <w:r>
        <w:rPr>
          <w:rFonts w:cs="Arial"/>
          <w:sz w:val="18"/>
          <w:szCs w:val="18"/>
        </w:rPr>
        <w:t>, 2015).</w:t>
      </w:r>
    </w:p>
  </w:footnote>
  <w:footnote w:id="22">
    <w:p w14:paraId="2252E3A5" w14:textId="48EB53A0" w:rsidR="00D70136" w:rsidRPr="00FC5729" w:rsidRDefault="00D70136">
      <w:pPr>
        <w:pStyle w:val="FootnoteText"/>
        <w:rPr>
          <w:sz w:val="18"/>
          <w:szCs w:val="18"/>
        </w:rPr>
      </w:pPr>
      <w:r w:rsidRPr="00FC5729">
        <w:rPr>
          <w:rStyle w:val="FootnoteReference"/>
          <w:sz w:val="18"/>
          <w:szCs w:val="18"/>
        </w:rPr>
        <w:footnoteRef/>
      </w:r>
      <w:r w:rsidRPr="00FC5729">
        <w:rPr>
          <w:sz w:val="18"/>
          <w:szCs w:val="18"/>
        </w:rPr>
        <w:t xml:space="preserve"> See, especially, </w:t>
      </w:r>
      <w:r w:rsidRPr="00BE3CF0">
        <w:rPr>
          <w:sz w:val="18"/>
          <w:szCs w:val="18"/>
        </w:rPr>
        <w:t xml:space="preserve">Murray, Fardin and O’Hara (n </w:t>
      </w:r>
      <w:r w:rsidRPr="00BE3CF0">
        <w:rPr>
          <w:sz w:val="18"/>
          <w:szCs w:val="18"/>
        </w:rPr>
        <w:fldChar w:fldCharType="begin"/>
      </w:r>
      <w:r w:rsidRPr="00BE3CF0">
        <w:rPr>
          <w:sz w:val="18"/>
          <w:szCs w:val="18"/>
        </w:rPr>
        <w:instrText xml:space="preserve"> NOTEREF _Ref43891040 \h </w:instrText>
      </w:r>
      <w:r>
        <w:rPr>
          <w:sz w:val="18"/>
          <w:szCs w:val="18"/>
        </w:rPr>
        <w:instrText xml:space="preserve"> \* MERGEFORMAT </w:instrText>
      </w:r>
      <w:r w:rsidRPr="00BE3CF0">
        <w:rPr>
          <w:sz w:val="18"/>
          <w:szCs w:val="18"/>
        </w:rPr>
      </w:r>
      <w:r w:rsidRPr="00BE3CF0">
        <w:rPr>
          <w:sz w:val="18"/>
          <w:szCs w:val="18"/>
        </w:rPr>
        <w:fldChar w:fldCharType="separate"/>
      </w:r>
      <w:r>
        <w:rPr>
          <w:sz w:val="18"/>
          <w:szCs w:val="18"/>
        </w:rPr>
        <w:t>2</w:t>
      </w:r>
      <w:r w:rsidRPr="00BE3CF0">
        <w:rPr>
          <w:sz w:val="18"/>
          <w:szCs w:val="18"/>
        </w:rPr>
        <w:fldChar w:fldCharType="end"/>
      </w:r>
      <w:r w:rsidRPr="00BE3CF0">
        <w:rPr>
          <w:sz w:val="18"/>
          <w:szCs w:val="18"/>
        </w:rPr>
        <w:t xml:space="preserve">) </w:t>
      </w:r>
      <w:proofErr w:type="spellStart"/>
      <w:r>
        <w:t>ch</w:t>
      </w:r>
      <w:proofErr w:type="spellEnd"/>
      <w:r>
        <w:t xml:space="preserve"> 4; </w:t>
      </w:r>
      <w:r w:rsidRPr="00FC5729">
        <w:rPr>
          <w:sz w:val="18"/>
          <w:szCs w:val="18"/>
        </w:rPr>
        <w:t>Sarah Prout</w:t>
      </w:r>
      <w:r>
        <w:rPr>
          <w:sz w:val="18"/>
          <w:szCs w:val="18"/>
        </w:rPr>
        <w:t xml:space="preserve"> Quicke, Alfred Michael Dockery and</w:t>
      </w:r>
      <w:r w:rsidRPr="00FC5729">
        <w:rPr>
          <w:sz w:val="18"/>
          <w:szCs w:val="18"/>
        </w:rPr>
        <w:t xml:space="preserve"> Aileen Hoath, </w:t>
      </w:r>
      <w:r w:rsidRPr="0020005A">
        <w:rPr>
          <w:i/>
          <w:sz w:val="18"/>
          <w:szCs w:val="18"/>
        </w:rPr>
        <w:t>Aboriginal Assets? The Impact of Major Agreements Associated with Native Title in Western Australia</w:t>
      </w:r>
      <w:r>
        <w:rPr>
          <w:sz w:val="18"/>
          <w:szCs w:val="18"/>
        </w:rPr>
        <w:t xml:space="preserve"> (Report</w:t>
      </w:r>
      <w:r w:rsidRPr="00FC5729">
        <w:rPr>
          <w:sz w:val="18"/>
          <w:szCs w:val="18"/>
        </w:rPr>
        <w:t xml:space="preserve"> 2017)</w:t>
      </w:r>
      <w:r>
        <w:rPr>
          <w:sz w:val="18"/>
          <w:szCs w:val="18"/>
        </w:rPr>
        <w:t>;</w:t>
      </w:r>
      <w:r w:rsidRPr="00FC5729">
        <w:rPr>
          <w:sz w:val="18"/>
          <w:szCs w:val="18"/>
        </w:rPr>
        <w:t xml:space="preserve"> Benedict Scambary, </w:t>
      </w:r>
      <w:r w:rsidRPr="00FC5729">
        <w:rPr>
          <w:i/>
          <w:sz w:val="18"/>
          <w:szCs w:val="18"/>
        </w:rPr>
        <w:t xml:space="preserve">My Country, </w:t>
      </w:r>
      <w:r w:rsidRPr="0020005A">
        <w:rPr>
          <w:i/>
          <w:sz w:val="18"/>
          <w:szCs w:val="18"/>
        </w:rPr>
        <w:t xml:space="preserve">Mine Country: Indigenous People, Mining and Development Contestation in Remote Australia </w:t>
      </w:r>
      <w:r w:rsidRPr="0020005A">
        <w:rPr>
          <w:sz w:val="18"/>
          <w:szCs w:val="18"/>
        </w:rPr>
        <w:t xml:space="preserve">(ANU E Press 2013); Rob Heferen et al, </w:t>
      </w:r>
      <w:r w:rsidRPr="0020005A">
        <w:rPr>
          <w:i/>
          <w:sz w:val="18"/>
          <w:szCs w:val="18"/>
        </w:rPr>
        <w:t>Taxation of Native Title and Traditional Owner Benefits and Governance Working Group: Report to Government</w:t>
      </w:r>
      <w:r w:rsidRPr="0020005A">
        <w:rPr>
          <w:sz w:val="18"/>
          <w:szCs w:val="18"/>
        </w:rPr>
        <w:t xml:space="preserve"> (Treasury 2013)</w:t>
      </w:r>
      <w:r w:rsidRPr="0020005A">
        <w:rPr>
          <w:rFonts w:cs="Arial"/>
          <w:sz w:val="18"/>
          <w:szCs w:val="18"/>
        </w:rPr>
        <w:t xml:space="preserve">; Langton and Mazel (n </w:t>
      </w:r>
      <w:r w:rsidRPr="0020005A">
        <w:rPr>
          <w:rFonts w:cs="Arial"/>
          <w:sz w:val="18"/>
          <w:szCs w:val="18"/>
        </w:rPr>
        <w:fldChar w:fldCharType="begin"/>
      </w:r>
      <w:r w:rsidRPr="0020005A">
        <w:rPr>
          <w:rFonts w:cs="Arial"/>
          <w:sz w:val="18"/>
          <w:szCs w:val="18"/>
        </w:rPr>
        <w:instrText xml:space="preserve"> NOTEREF _Ref43891671 \h </w:instrText>
      </w:r>
      <w:r>
        <w:rPr>
          <w:rFonts w:cs="Arial"/>
          <w:sz w:val="18"/>
          <w:szCs w:val="18"/>
        </w:rPr>
        <w:instrText xml:space="preserve"> \* MERGEFORMAT </w:instrText>
      </w:r>
      <w:r w:rsidRPr="0020005A">
        <w:rPr>
          <w:rFonts w:cs="Arial"/>
          <w:sz w:val="18"/>
          <w:szCs w:val="18"/>
        </w:rPr>
      </w:r>
      <w:r w:rsidRPr="0020005A">
        <w:rPr>
          <w:rFonts w:cs="Arial"/>
          <w:sz w:val="18"/>
          <w:szCs w:val="18"/>
        </w:rPr>
        <w:fldChar w:fldCharType="separate"/>
      </w:r>
      <w:r>
        <w:rPr>
          <w:rFonts w:cs="Arial"/>
          <w:sz w:val="18"/>
          <w:szCs w:val="18"/>
        </w:rPr>
        <w:t>1</w:t>
      </w:r>
      <w:r w:rsidRPr="0020005A">
        <w:rPr>
          <w:rFonts w:cs="Arial"/>
          <w:sz w:val="18"/>
          <w:szCs w:val="18"/>
        </w:rPr>
        <w:fldChar w:fldCharType="end"/>
      </w:r>
      <w:r w:rsidRPr="0020005A">
        <w:rPr>
          <w:rFonts w:cs="Arial"/>
          <w:sz w:val="18"/>
          <w:szCs w:val="18"/>
        </w:rPr>
        <w:t xml:space="preserve">); </w:t>
      </w:r>
      <w:r w:rsidRPr="0020005A">
        <w:rPr>
          <w:rFonts w:cs="Arial"/>
          <w:sz w:val="18"/>
          <w:szCs w:val="18"/>
          <w:lang w:val="en-US"/>
        </w:rPr>
        <w:t xml:space="preserve">Christos </w:t>
      </w:r>
      <w:r w:rsidRPr="0020005A">
        <w:rPr>
          <w:rFonts w:cs="Arial"/>
          <w:sz w:val="18"/>
          <w:szCs w:val="18"/>
        </w:rPr>
        <w:t xml:space="preserve">Mantziaris and David Martin, </w:t>
      </w:r>
      <w:r w:rsidRPr="0020005A">
        <w:rPr>
          <w:rFonts w:cs="Arial"/>
          <w:i/>
          <w:sz w:val="18"/>
          <w:szCs w:val="18"/>
        </w:rPr>
        <w:t>Native Title Corporations</w:t>
      </w:r>
      <w:r w:rsidRPr="00FC5729">
        <w:rPr>
          <w:rFonts w:cs="Arial"/>
          <w:i/>
          <w:sz w:val="18"/>
          <w:szCs w:val="18"/>
        </w:rPr>
        <w:t xml:space="preserve">: a Legal and Anthropological Analysis </w:t>
      </w:r>
      <w:r w:rsidRPr="00FC5729">
        <w:rPr>
          <w:rFonts w:cs="Arial"/>
          <w:sz w:val="18"/>
          <w:szCs w:val="18"/>
        </w:rPr>
        <w:t xml:space="preserve">(The Federation Press, 2000); Ian Murray and Stephen Wright, ‘The Taxation of Native Title Payments for Indigenous Groups and Resource Proponents: Convergence, Divergence and Reform’ (2015) 39(2) </w:t>
      </w:r>
      <w:r w:rsidRPr="00726B08">
        <w:rPr>
          <w:rFonts w:cs="Arial"/>
          <w:sz w:val="18"/>
          <w:szCs w:val="18"/>
        </w:rPr>
        <w:t>University of Western Australia Law Review</w:t>
      </w:r>
      <w:r w:rsidRPr="00FC5729">
        <w:rPr>
          <w:rFonts w:cs="Arial"/>
          <w:i/>
          <w:sz w:val="18"/>
          <w:szCs w:val="18"/>
        </w:rPr>
        <w:t xml:space="preserve"> </w:t>
      </w:r>
      <w:r w:rsidRPr="00FC5729">
        <w:rPr>
          <w:rFonts w:cs="Arial"/>
          <w:sz w:val="18"/>
          <w:szCs w:val="18"/>
        </w:rPr>
        <w:t>99.</w:t>
      </w:r>
    </w:p>
  </w:footnote>
  <w:footnote w:id="23">
    <w:p w14:paraId="508E7497" w14:textId="5BB88754" w:rsidR="00D70136" w:rsidRPr="003B5C8D" w:rsidRDefault="00D70136">
      <w:pPr>
        <w:pStyle w:val="FootnoteText"/>
        <w:rPr>
          <w:sz w:val="18"/>
          <w:szCs w:val="18"/>
        </w:rPr>
      </w:pPr>
      <w:r w:rsidRPr="00624813">
        <w:rPr>
          <w:rStyle w:val="FootnoteReference"/>
          <w:sz w:val="18"/>
          <w:szCs w:val="18"/>
        </w:rPr>
        <w:footnoteRef/>
      </w:r>
      <w:r w:rsidRPr="00624813">
        <w:rPr>
          <w:sz w:val="18"/>
          <w:szCs w:val="18"/>
        </w:rPr>
        <w:t xml:space="preserve"> </w:t>
      </w:r>
      <w:r w:rsidRPr="00BE3CF0">
        <w:rPr>
          <w:sz w:val="18"/>
          <w:szCs w:val="18"/>
        </w:rPr>
        <w:t>Murray</w:t>
      </w:r>
      <w:r w:rsidRPr="003B5C8D">
        <w:rPr>
          <w:sz w:val="18"/>
          <w:szCs w:val="18"/>
        </w:rPr>
        <w:t xml:space="preserve">, Fardin and O’Hara (n </w:t>
      </w:r>
      <w:r w:rsidRPr="003B5C8D">
        <w:rPr>
          <w:sz w:val="18"/>
          <w:szCs w:val="18"/>
        </w:rPr>
        <w:fldChar w:fldCharType="begin"/>
      </w:r>
      <w:r w:rsidRPr="003B5C8D">
        <w:rPr>
          <w:sz w:val="18"/>
          <w:szCs w:val="18"/>
        </w:rPr>
        <w:instrText xml:space="preserve"> NOTEREF _Ref43891040 \h  \* MERGEFORMAT </w:instrText>
      </w:r>
      <w:r w:rsidRPr="003B5C8D">
        <w:rPr>
          <w:sz w:val="18"/>
          <w:szCs w:val="18"/>
        </w:rPr>
      </w:r>
      <w:r w:rsidRPr="003B5C8D">
        <w:rPr>
          <w:sz w:val="18"/>
          <w:szCs w:val="18"/>
        </w:rPr>
        <w:fldChar w:fldCharType="separate"/>
      </w:r>
      <w:r>
        <w:rPr>
          <w:sz w:val="18"/>
          <w:szCs w:val="18"/>
        </w:rPr>
        <w:t>2</w:t>
      </w:r>
      <w:r w:rsidRPr="003B5C8D">
        <w:rPr>
          <w:sz w:val="18"/>
          <w:szCs w:val="18"/>
        </w:rPr>
        <w:fldChar w:fldCharType="end"/>
      </w:r>
      <w:r w:rsidRPr="003B5C8D">
        <w:rPr>
          <w:sz w:val="18"/>
          <w:szCs w:val="18"/>
        </w:rPr>
        <w:t>).</w:t>
      </w:r>
    </w:p>
  </w:footnote>
  <w:footnote w:id="24">
    <w:p w14:paraId="3B97DC15" w14:textId="1DF47FEF" w:rsidR="00D70136" w:rsidRPr="003B5C8D" w:rsidRDefault="00D70136">
      <w:pPr>
        <w:pStyle w:val="FootnoteText"/>
        <w:rPr>
          <w:sz w:val="18"/>
          <w:szCs w:val="18"/>
        </w:rPr>
      </w:pPr>
      <w:r w:rsidRPr="0035539D">
        <w:rPr>
          <w:rStyle w:val="FootnoteReference"/>
          <w:sz w:val="18"/>
          <w:szCs w:val="18"/>
        </w:rPr>
        <w:footnoteRef/>
      </w:r>
      <w:r w:rsidRPr="0035539D">
        <w:rPr>
          <w:sz w:val="18"/>
          <w:szCs w:val="18"/>
        </w:rPr>
        <w:t xml:space="preserve"> Productivity Commission, </w:t>
      </w:r>
      <w:r w:rsidRPr="0035539D">
        <w:rPr>
          <w:i/>
          <w:sz w:val="18"/>
          <w:szCs w:val="18"/>
        </w:rPr>
        <w:t xml:space="preserve">Resources Sector Regulation </w:t>
      </w:r>
      <w:r w:rsidRPr="0035539D">
        <w:rPr>
          <w:sz w:val="18"/>
          <w:szCs w:val="18"/>
        </w:rPr>
        <w:t>(Draft Report, March 2020) 298-305.</w:t>
      </w:r>
    </w:p>
  </w:footnote>
  <w:footnote w:id="25">
    <w:p w14:paraId="433AE71F" w14:textId="3484CCB6" w:rsidR="00D70136" w:rsidRPr="003B5C8D" w:rsidRDefault="00D70136" w:rsidP="007B0547">
      <w:pPr>
        <w:pStyle w:val="FootnoteText"/>
        <w:rPr>
          <w:rFonts w:cs="Arial"/>
          <w:sz w:val="18"/>
          <w:szCs w:val="18"/>
        </w:rPr>
      </w:pPr>
      <w:r w:rsidRPr="003B5C8D">
        <w:rPr>
          <w:rStyle w:val="FootnoteReference"/>
          <w:rFonts w:cs="Arial"/>
          <w:sz w:val="18"/>
          <w:szCs w:val="18"/>
        </w:rPr>
        <w:footnoteRef/>
      </w:r>
      <w:r w:rsidRPr="003B5C8D">
        <w:rPr>
          <w:rFonts w:cs="Arial"/>
          <w:sz w:val="18"/>
          <w:szCs w:val="18"/>
        </w:rPr>
        <w:t xml:space="preserve"> See, </w:t>
      </w:r>
      <w:proofErr w:type="spellStart"/>
      <w:r w:rsidRPr="003B5C8D">
        <w:rPr>
          <w:rFonts w:cs="Arial"/>
          <w:sz w:val="18"/>
          <w:szCs w:val="18"/>
        </w:rPr>
        <w:t>eg</w:t>
      </w:r>
      <w:proofErr w:type="spellEnd"/>
      <w:r w:rsidRPr="003B5C8D">
        <w:rPr>
          <w:rFonts w:cs="Arial"/>
          <w:sz w:val="18"/>
          <w:szCs w:val="18"/>
        </w:rPr>
        <w:t xml:space="preserve">, Stewart (n </w:t>
      </w:r>
      <w:r w:rsidRPr="003B5C8D">
        <w:rPr>
          <w:rFonts w:cs="Arial"/>
          <w:sz w:val="18"/>
          <w:szCs w:val="18"/>
        </w:rPr>
        <w:fldChar w:fldCharType="begin"/>
      </w:r>
      <w:r w:rsidRPr="003B5C8D">
        <w:rPr>
          <w:rFonts w:cs="Arial"/>
          <w:sz w:val="18"/>
          <w:szCs w:val="18"/>
        </w:rPr>
        <w:instrText xml:space="preserve"> NOTEREF _Ref43892349 \h </w:instrText>
      </w:r>
      <w:r>
        <w:rPr>
          <w:rFonts w:cs="Arial"/>
          <w:sz w:val="18"/>
          <w:szCs w:val="18"/>
        </w:rPr>
        <w:instrText xml:space="preserve"> \* MERGEFORMAT </w:instrText>
      </w:r>
      <w:r w:rsidRPr="003B5C8D">
        <w:rPr>
          <w:rFonts w:cs="Arial"/>
          <w:sz w:val="18"/>
          <w:szCs w:val="18"/>
        </w:rPr>
      </w:r>
      <w:r w:rsidRPr="003B5C8D">
        <w:rPr>
          <w:rFonts w:cs="Arial"/>
          <w:sz w:val="18"/>
          <w:szCs w:val="18"/>
        </w:rPr>
        <w:fldChar w:fldCharType="separate"/>
      </w:r>
      <w:r>
        <w:rPr>
          <w:rFonts w:cs="Arial"/>
          <w:sz w:val="18"/>
          <w:szCs w:val="18"/>
        </w:rPr>
        <w:t>16</w:t>
      </w:r>
      <w:r w:rsidRPr="003B5C8D">
        <w:rPr>
          <w:rFonts w:cs="Arial"/>
          <w:sz w:val="18"/>
          <w:szCs w:val="18"/>
        </w:rPr>
        <w:fldChar w:fldCharType="end"/>
      </w:r>
      <w:r w:rsidRPr="003B5C8D">
        <w:rPr>
          <w:rFonts w:cs="Arial"/>
          <w:sz w:val="18"/>
          <w:szCs w:val="18"/>
        </w:rPr>
        <w:t xml:space="preserve">) 369; </w:t>
      </w:r>
      <w:r w:rsidRPr="003B5C8D">
        <w:rPr>
          <w:rFonts w:cs="Arial"/>
          <w:sz w:val="18"/>
          <w:szCs w:val="18"/>
          <w:lang w:val="en-US"/>
        </w:rPr>
        <w:t xml:space="preserve">Adam Levin, Jim O’Donnell and David Murphy, ‘Tax and Native Title’ (Tax Institute National Resources Tax Conference, Perth, 14-15 October 2008) </w:t>
      </w:r>
      <w:r w:rsidRPr="003B5C8D">
        <w:rPr>
          <w:rFonts w:cs="Arial"/>
          <w:sz w:val="18"/>
          <w:szCs w:val="18"/>
        </w:rPr>
        <w:t xml:space="preserve">22; Treasury (Cth), </w:t>
      </w:r>
      <w:r w:rsidRPr="000A7340">
        <w:rPr>
          <w:rFonts w:cs="Arial"/>
          <w:i/>
          <w:sz w:val="18"/>
          <w:szCs w:val="18"/>
        </w:rPr>
        <w:t>Native Title, Indigenous Economic Development and Tax</w:t>
      </w:r>
      <w:r w:rsidRPr="003B5C8D">
        <w:rPr>
          <w:rFonts w:cs="Arial"/>
          <w:sz w:val="18"/>
          <w:szCs w:val="18"/>
        </w:rPr>
        <w:t xml:space="preserve"> (Consultation Paper, October 2010) 2, 5-6; </w:t>
      </w:r>
      <w:r w:rsidRPr="003B5C8D">
        <w:rPr>
          <w:rFonts w:cs="Arial"/>
          <w:sz w:val="18"/>
          <w:szCs w:val="18"/>
          <w:lang w:val="en-US"/>
        </w:rPr>
        <w:t xml:space="preserve">Lisa Strelein, </w:t>
      </w:r>
      <w:r>
        <w:rPr>
          <w:rFonts w:cs="Arial"/>
          <w:sz w:val="18"/>
          <w:szCs w:val="18"/>
          <w:lang w:val="en-US"/>
        </w:rPr>
        <w:t>‘</w:t>
      </w:r>
      <w:r w:rsidRPr="003B5C8D">
        <w:rPr>
          <w:rFonts w:cs="Arial"/>
          <w:sz w:val="18"/>
          <w:szCs w:val="18"/>
          <w:lang w:val="en-US"/>
        </w:rPr>
        <w:t>Taxa</w:t>
      </w:r>
      <w:r>
        <w:rPr>
          <w:rFonts w:cs="Arial"/>
          <w:sz w:val="18"/>
          <w:szCs w:val="18"/>
          <w:lang w:val="en-US"/>
        </w:rPr>
        <w:t>tion of Native Title Agreements’</w:t>
      </w:r>
      <w:r w:rsidRPr="003B5C8D">
        <w:rPr>
          <w:rFonts w:cs="Arial"/>
          <w:sz w:val="18"/>
          <w:szCs w:val="18"/>
          <w:lang w:val="en-US"/>
        </w:rPr>
        <w:t xml:space="preserve"> (</w:t>
      </w:r>
      <w:r>
        <w:rPr>
          <w:rFonts w:cs="Arial"/>
          <w:sz w:val="18"/>
          <w:szCs w:val="18"/>
          <w:lang w:val="en-US"/>
        </w:rPr>
        <w:t xml:space="preserve">2008) AIATSIS </w:t>
      </w:r>
      <w:r w:rsidRPr="003B5C8D">
        <w:rPr>
          <w:rFonts w:cs="Arial"/>
          <w:sz w:val="18"/>
          <w:szCs w:val="18"/>
          <w:lang w:val="en-US"/>
        </w:rPr>
        <w:t>Native Title Research Monograph No 1/2008</w:t>
      </w:r>
      <w:r>
        <w:rPr>
          <w:rFonts w:cs="Arial"/>
          <w:sz w:val="18"/>
          <w:szCs w:val="18"/>
          <w:lang w:val="en-US"/>
        </w:rPr>
        <w:t>,</w:t>
      </w:r>
      <w:r w:rsidRPr="003B5C8D">
        <w:rPr>
          <w:rFonts w:cs="Arial"/>
          <w:sz w:val="18"/>
          <w:szCs w:val="18"/>
        </w:rPr>
        <w:t xml:space="preserve"> 32.</w:t>
      </w:r>
    </w:p>
  </w:footnote>
  <w:footnote w:id="26">
    <w:p w14:paraId="45C15EDD" w14:textId="78158198" w:rsidR="00D70136" w:rsidRPr="003B5C8D" w:rsidRDefault="00D70136" w:rsidP="007B0547">
      <w:pPr>
        <w:pStyle w:val="FootnoteText"/>
        <w:keepNext/>
        <w:jc w:val="both"/>
        <w:rPr>
          <w:rFonts w:cs="Arial"/>
          <w:sz w:val="18"/>
          <w:szCs w:val="18"/>
        </w:rPr>
      </w:pPr>
      <w:r w:rsidRPr="003B5C8D">
        <w:rPr>
          <w:rStyle w:val="FootnoteReference"/>
          <w:rFonts w:cs="Arial"/>
          <w:sz w:val="18"/>
          <w:szCs w:val="18"/>
        </w:rPr>
        <w:footnoteRef/>
      </w:r>
      <w:r w:rsidRPr="003B5C8D">
        <w:rPr>
          <w:rFonts w:cs="Arial"/>
          <w:sz w:val="18"/>
          <w:szCs w:val="18"/>
        </w:rPr>
        <w:t xml:space="preserve"> </w:t>
      </w:r>
      <w:r w:rsidRPr="00726B08">
        <w:rPr>
          <w:rFonts w:cs="Arial"/>
          <w:sz w:val="18"/>
          <w:szCs w:val="18"/>
        </w:rPr>
        <w:t xml:space="preserve">Murray and Wright (n </w:t>
      </w:r>
      <w:r>
        <w:rPr>
          <w:rFonts w:cs="Arial"/>
          <w:sz w:val="18"/>
          <w:szCs w:val="18"/>
        </w:rPr>
        <w:fldChar w:fldCharType="begin"/>
      </w:r>
      <w:r>
        <w:rPr>
          <w:rFonts w:cs="Arial"/>
          <w:sz w:val="18"/>
          <w:szCs w:val="18"/>
        </w:rPr>
        <w:instrText xml:space="preserve"> NOTEREF _Ref22729333 \h </w:instrText>
      </w:r>
      <w:r>
        <w:rPr>
          <w:rFonts w:cs="Arial"/>
          <w:sz w:val="18"/>
          <w:szCs w:val="18"/>
        </w:rPr>
      </w:r>
      <w:r>
        <w:rPr>
          <w:rFonts w:cs="Arial"/>
          <w:sz w:val="18"/>
          <w:szCs w:val="18"/>
        </w:rPr>
        <w:fldChar w:fldCharType="separate"/>
      </w:r>
      <w:r>
        <w:rPr>
          <w:rFonts w:cs="Arial"/>
          <w:sz w:val="18"/>
          <w:szCs w:val="18"/>
        </w:rPr>
        <w:t>21</w:t>
      </w:r>
      <w:r>
        <w:rPr>
          <w:rFonts w:cs="Arial"/>
          <w:sz w:val="18"/>
          <w:szCs w:val="18"/>
        </w:rPr>
        <w:fldChar w:fldCharType="end"/>
      </w:r>
      <w:r w:rsidRPr="00726B08">
        <w:rPr>
          <w:rFonts w:cs="Arial"/>
          <w:sz w:val="18"/>
          <w:szCs w:val="18"/>
        </w:rPr>
        <w:t>)</w:t>
      </w:r>
      <w:r w:rsidRPr="003B5C8D">
        <w:rPr>
          <w:rFonts w:cs="Arial"/>
          <w:sz w:val="18"/>
          <w:szCs w:val="18"/>
          <w:lang w:val="en-US"/>
        </w:rPr>
        <w:t xml:space="preserve"> 106. </w:t>
      </w:r>
      <w:r w:rsidRPr="003B5C8D">
        <w:rPr>
          <w:rFonts w:cs="Arial"/>
          <w:sz w:val="18"/>
          <w:szCs w:val="18"/>
        </w:rPr>
        <w:t xml:space="preserve">Indeed, Levin notes that resource companies </w:t>
      </w:r>
      <w:r w:rsidRPr="003B5C8D">
        <w:rPr>
          <w:rFonts w:cs="Arial"/>
          <w:sz w:val="18"/>
          <w:szCs w:val="18"/>
          <w:lang w:val="en-US"/>
        </w:rPr>
        <w:t>tend to require that a portion of payments be made to a charitable trust</w:t>
      </w:r>
      <w:r w:rsidRPr="003B5C8D">
        <w:rPr>
          <w:rFonts w:cs="Arial"/>
          <w:sz w:val="18"/>
          <w:szCs w:val="18"/>
        </w:rPr>
        <w:t xml:space="preserve"> </w:t>
      </w:r>
      <w:r>
        <w:rPr>
          <w:sz w:val="18"/>
          <w:szCs w:val="18"/>
        </w:rPr>
        <w:t xml:space="preserve">(n </w:t>
      </w:r>
      <w:r>
        <w:rPr>
          <w:sz w:val="18"/>
          <w:szCs w:val="18"/>
        </w:rPr>
        <w:fldChar w:fldCharType="begin"/>
      </w:r>
      <w:r>
        <w:rPr>
          <w:sz w:val="18"/>
          <w:szCs w:val="18"/>
        </w:rPr>
        <w:instrText xml:space="preserve"> NOTEREF _Ref22728572 \h </w:instrText>
      </w:r>
      <w:r>
        <w:rPr>
          <w:sz w:val="18"/>
          <w:szCs w:val="18"/>
        </w:rPr>
      </w:r>
      <w:r>
        <w:rPr>
          <w:sz w:val="18"/>
          <w:szCs w:val="18"/>
        </w:rPr>
        <w:fldChar w:fldCharType="separate"/>
      </w:r>
      <w:r>
        <w:rPr>
          <w:sz w:val="18"/>
          <w:szCs w:val="18"/>
        </w:rPr>
        <w:t>12</w:t>
      </w:r>
      <w:r>
        <w:rPr>
          <w:sz w:val="18"/>
          <w:szCs w:val="18"/>
        </w:rPr>
        <w:fldChar w:fldCharType="end"/>
      </w:r>
      <w:r>
        <w:rPr>
          <w:sz w:val="18"/>
          <w:szCs w:val="18"/>
        </w:rPr>
        <w:t xml:space="preserve">) </w:t>
      </w:r>
      <w:r w:rsidRPr="003B5C8D">
        <w:rPr>
          <w:rFonts w:cs="Arial"/>
          <w:sz w:val="18"/>
          <w:szCs w:val="18"/>
        </w:rPr>
        <w:t>245.</w:t>
      </w:r>
    </w:p>
  </w:footnote>
  <w:footnote w:id="27">
    <w:p w14:paraId="26610C85" w14:textId="2E0D9D42" w:rsidR="00D70136" w:rsidRPr="003B5C8D" w:rsidRDefault="00D70136" w:rsidP="007B0547">
      <w:pPr>
        <w:pStyle w:val="FootnoteText"/>
        <w:rPr>
          <w:rFonts w:cs="Arial"/>
          <w:sz w:val="18"/>
          <w:szCs w:val="18"/>
        </w:rPr>
      </w:pPr>
      <w:r w:rsidRPr="003B5C8D">
        <w:rPr>
          <w:rStyle w:val="FootnoteReference"/>
          <w:rFonts w:cs="Arial"/>
          <w:sz w:val="18"/>
          <w:szCs w:val="18"/>
        </w:rPr>
        <w:footnoteRef/>
      </w:r>
      <w:r w:rsidRPr="003B5C8D">
        <w:rPr>
          <w:rFonts w:cs="Arial"/>
          <w:sz w:val="18"/>
          <w:szCs w:val="18"/>
        </w:rPr>
        <w:t xml:space="preserve"> Fiona Martin, </w:t>
      </w:r>
      <w:r w:rsidRPr="003B5C8D">
        <w:rPr>
          <w:rFonts w:cs="Arial"/>
          <w:i/>
          <w:sz w:val="18"/>
          <w:szCs w:val="18"/>
        </w:rPr>
        <w:t>Income Tax, Native Title and Mining Payments</w:t>
      </w:r>
      <w:r w:rsidRPr="003B5C8D">
        <w:rPr>
          <w:rFonts w:cs="Arial"/>
          <w:sz w:val="18"/>
          <w:szCs w:val="18"/>
        </w:rPr>
        <w:t xml:space="preserve"> (CCH 2014) [5.1.1]; </w:t>
      </w:r>
      <w:r w:rsidRPr="00726B08">
        <w:rPr>
          <w:rFonts w:cs="Arial"/>
          <w:sz w:val="18"/>
          <w:szCs w:val="18"/>
        </w:rPr>
        <w:t xml:space="preserve">Murray and Wright (n </w:t>
      </w:r>
      <w:r>
        <w:rPr>
          <w:rFonts w:cs="Arial"/>
          <w:sz w:val="18"/>
          <w:szCs w:val="18"/>
        </w:rPr>
        <w:fldChar w:fldCharType="begin"/>
      </w:r>
      <w:r>
        <w:rPr>
          <w:rFonts w:cs="Arial"/>
          <w:sz w:val="18"/>
          <w:szCs w:val="18"/>
        </w:rPr>
        <w:instrText xml:space="preserve"> NOTEREF _Ref22729333 \h </w:instrText>
      </w:r>
      <w:r>
        <w:rPr>
          <w:rFonts w:cs="Arial"/>
          <w:sz w:val="18"/>
          <w:szCs w:val="18"/>
        </w:rPr>
      </w:r>
      <w:r>
        <w:rPr>
          <w:rFonts w:cs="Arial"/>
          <w:sz w:val="18"/>
          <w:szCs w:val="18"/>
        </w:rPr>
        <w:fldChar w:fldCharType="separate"/>
      </w:r>
      <w:r>
        <w:rPr>
          <w:rFonts w:cs="Arial"/>
          <w:sz w:val="18"/>
          <w:szCs w:val="18"/>
        </w:rPr>
        <w:t>21</w:t>
      </w:r>
      <w:r>
        <w:rPr>
          <w:rFonts w:cs="Arial"/>
          <w:sz w:val="18"/>
          <w:szCs w:val="18"/>
        </w:rPr>
        <w:fldChar w:fldCharType="end"/>
      </w:r>
      <w:r w:rsidRPr="00726B08">
        <w:rPr>
          <w:rFonts w:cs="Arial"/>
          <w:sz w:val="18"/>
          <w:szCs w:val="18"/>
        </w:rPr>
        <w:t>)</w:t>
      </w:r>
      <w:r w:rsidRPr="003B5C8D">
        <w:rPr>
          <w:rFonts w:cs="Arial"/>
          <w:sz w:val="18"/>
          <w:szCs w:val="18"/>
          <w:lang w:val="en-US"/>
        </w:rPr>
        <w:t xml:space="preserve"> 106.</w:t>
      </w:r>
    </w:p>
  </w:footnote>
  <w:footnote w:id="28">
    <w:p w14:paraId="36FFF4F7" w14:textId="2B5B0E7F" w:rsidR="00D70136" w:rsidRPr="003B5C8D" w:rsidRDefault="00D70136">
      <w:pPr>
        <w:pStyle w:val="FootnoteText"/>
        <w:rPr>
          <w:sz w:val="18"/>
          <w:szCs w:val="18"/>
        </w:rPr>
      </w:pPr>
      <w:r w:rsidRPr="003B5C8D">
        <w:rPr>
          <w:rStyle w:val="FootnoteReference"/>
          <w:sz w:val="18"/>
          <w:szCs w:val="18"/>
        </w:rPr>
        <w:footnoteRef/>
      </w:r>
      <w:r w:rsidRPr="003B5C8D">
        <w:rPr>
          <w:sz w:val="18"/>
          <w:szCs w:val="18"/>
        </w:rPr>
        <w:t xml:space="preserve"> The input concessions take the form of a capped fringe benefits exemption on a range of benefits provided to employees in place of wages. See, eg, Productivity Commission</w:t>
      </w:r>
      <w:r>
        <w:rPr>
          <w:sz w:val="18"/>
          <w:szCs w:val="18"/>
        </w:rPr>
        <w:t xml:space="preserve"> (n </w:t>
      </w:r>
      <w:r>
        <w:rPr>
          <w:sz w:val="18"/>
          <w:szCs w:val="18"/>
        </w:rPr>
        <w:fldChar w:fldCharType="begin"/>
      </w:r>
      <w:r>
        <w:rPr>
          <w:sz w:val="18"/>
          <w:szCs w:val="18"/>
        </w:rPr>
        <w:instrText xml:space="preserve"> NOTEREF _Ref43894904 \h </w:instrText>
      </w:r>
      <w:r>
        <w:rPr>
          <w:sz w:val="18"/>
          <w:szCs w:val="18"/>
        </w:rPr>
      </w:r>
      <w:r>
        <w:rPr>
          <w:sz w:val="18"/>
          <w:szCs w:val="18"/>
        </w:rPr>
        <w:fldChar w:fldCharType="separate"/>
      </w:r>
      <w:r>
        <w:rPr>
          <w:sz w:val="18"/>
          <w:szCs w:val="18"/>
        </w:rPr>
        <w:t>23</w:t>
      </w:r>
      <w:r>
        <w:rPr>
          <w:sz w:val="18"/>
          <w:szCs w:val="18"/>
        </w:rPr>
        <w:fldChar w:fldCharType="end"/>
      </w:r>
      <w:r>
        <w:rPr>
          <w:sz w:val="18"/>
          <w:szCs w:val="18"/>
        </w:rPr>
        <w:t>)</w:t>
      </w:r>
      <w:r w:rsidRPr="003B5C8D">
        <w:rPr>
          <w:sz w:val="18"/>
          <w:szCs w:val="18"/>
        </w:rPr>
        <w:t xml:space="preserve"> 299-300.</w:t>
      </w:r>
    </w:p>
  </w:footnote>
  <w:footnote w:id="29">
    <w:p w14:paraId="2323111A" w14:textId="2357C640" w:rsidR="00D70136" w:rsidRPr="003B5C8D" w:rsidRDefault="00D70136">
      <w:pPr>
        <w:pStyle w:val="FootnoteText"/>
        <w:rPr>
          <w:sz w:val="18"/>
          <w:szCs w:val="18"/>
        </w:rPr>
      </w:pPr>
      <w:r w:rsidRPr="003B5C8D">
        <w:rPr>
          <w:rStyle w:val="FootnoteReference"/>
          <w:sz w:val="18"/>
          <w:szCs w:val="18"/>
        </w:rPr>
        <w:footnoteRef/>
      </w:r>
      <w:r w:rsidRPr="003B5C8D">
        <w:rPr>
          <w:sz w:val="18"/>
          <w:szCs w:val="18"/>
        </w:rPr>
        <w:t xml:space="preserve"> Cf Martin, </w:t>
      </w:r>
      <w:r w:rsidRPr="003B5C8D">
        <w:rPr>
          <w:rFonts w:cs="Arial"/>
          <w:i/>
          <w:sz w:val="18"/>
          <w:szCs w:val="18"/>
        </w:rPr>
        <w:t xml:space="preserve">Income Tax </w:t>
      </w:r>
      <w:r w:rsidRPr="003B5C8D">
        <w:rPr>
          <w:rFonts w:cs="Arial"/>
          <w:sz w:val="18"/>
          <w:szCs w:val="18"/>
        </w:rPr>
        <w:t xml:space="preserve">(n </w:t>
      </w:r>
      <w:r w:rsidRPr="003B5C8D">
        <w:rPr>
          <w:rFonts w:cs="Arial"/>
          <w:sz w:val="18"/>
          <w:szCs w:val="18"/>
        </w:rPr>
        <w:fldChar w:fldCharType="begin"/>
      </w:r>
      <w:r w:rsidRPr="003B5C8D">
        <w:rPr>
          <w:rFonts w:cs="Arial"/>
          <w:sz w:val="18"/>
          <w:szCs w:val="18"/>
        </w:rPr>
        <w:instrText xml:space="preserve"> NOTEREF _Ref43893816 \h  \* MERGEFORMAT </w:instrText>
      </w:r>
      <w:r w:rsidRPr="003B5C8D">
        <w:rPr>
          <w:rFonts w:cs="Arial"/>
          <w:sz w:val="18"/>
          <w:szCs w:val="18"/>
        </w:rPr>
      </w:r>
      <w:r w:rsidRPr="003B5C8D">
        <w:rPr>
          <w:rFonts w:cs="Arial"/>
          <w:sz w:val="18"/>
          <w:szCs w:val="18"/>
        </w:rPr>
        <w:fldChar w:fldCharType="separate"/>
      </w:r>
      <w:r>
        <w:rPr>
          <w:rFonts w:cs="Arial"/>
          <w:sz w:val="18"/>
          <w:szCs w:val="18"/>
        </w:rPr>
        <w:t>26</w:t>
      </w:r>
      <w:r w:rsidRPr="003B5C8D">
        <w:rPr>
          <w:rFonts w:cs="Arial"/>
          <w:sz w:val="18"/>
          <w:szCs w:val="18"/>
        </w:rPr>
        <w:fldChar w:fldCharType="end"/>
      </w:r>
      <w:r w:rsidRPr="003B5C8D">
        <w:rPr>
          <w:rFonts w:cs="Arial"/>
          <w:sz w:val="18"/>
          <w:szCs w:val="18"/>
        </w:rPr>
        <w:t xml:space="preserve">) [5.1.12]; </w:t>
      </w:r>
      <w:r w:rsidRPr="003B5C8D">
        <w:rPr>
          <w:sz w:val="18"/>
          <w:szCs w:val="18"/>
        </w:rPr>
        <w:t xml:space="preserve">Murray, </w:t>
      </w:r>
      <w:proofErr w:type="spellStart"/>
      <w:r w:rsidRPr="003B5C8D">
        <w:rPr>
          <w:sz w:val="18"/>
          <w:szCs w:val="18"/>
        </w:rPr>
        <w:t>Fardin</w:t>
      </w:r>
      <w:proofErr w:type="spellEnd"/>
      <w:r w:rsidRPr="003B5C8D">
        <w:rPr>
          <w:sz w:val="18"/>
          <w:szCs w:val="18"/>
        </w:rPr>
        <w:t xml:space="preserve"> and O’Hara (n </w:t>
      </w:r>
      <w:r w:rsidRPr="003B5C8D">
        <w:rPr>
          <w:sz w:val="18"/>
          <w:szCs w:val="18"/>
        </w:rPr>
        <w:fldChar w:fldCharType="begin"/>
      </w:r>
      <w:r w:rsidRPr="003B5C8D">
        <w:rPr>
          <w:sz w:val="18"/>
          <w:szCs w:val="18"/>
        </w:rPr>
        <w:instrText xml:space="preserve"> NOTEREF _Ref43891040 \h  \* MERGEFORMAT </w:instrText>
      </w:r>
      <w:r w:rsidRPr="003B5C8D">
        <w:rPr>
          <w:sz w:val="18"/>
          <w:szCs w:val="18"/>
        </w:rPr>
      </w:r>
      <w:r w:rsidRPr="003B5C8D">
        <w:rPr>
          <w:sz w:val="18"/>
          <w:szCs w:val="18"/>
        </w:rPr>
        <w:fldChar w:fldCharType="separate"/>
      </w:r>
      <w:r>
        <w:rPr>
          <w:sz w:val="18"/>
          <w:szCs w:val="18"/>
        </w:rPr>
        <w:t>2</w:t>
      </w:r>
      <w:r w:rsidRPr="003B5C8D">
        <w:rPr>
          <w:sz w:val="18"/>
          <w:szCs w:val="18"/>
        </w:rPr>
        <w:fldChar w:fldCharType="end"/>
      </w:r>
      <w:r w:rsidRPr="003B5C8D">
        <w:rPr>
          <w:sz w:val="18"/>
          <w:szCs w:val="18"/>
        </w:rPr>
        <w:t xml:space="preserve">) </w:t>
      </w:r>
      <w:r w:rsidRPr="003B5C8D">
        <w:rPr>
          <w:rFonts w:cs="Arial"/>
          <w:sz w:val="18"/>
          <w:szCs w:val="18"/>
        </w:rPr>
        <w:t>123-9, 199-204.</w:t>
      </w:r>
    </w:p>
  </w:footnote>
  <w:footnote w:id="30">
    <w:p w14:paraId="1C4559EC" w14:textId="4A1403E8" w:rsidR="00D70136" w:rsidRPr="00E318DD" w:rsidRDefault="00D70136">
      <w:pPr>
        <w:pStyle w:val="FootnoteText"/>
        <w:rPr>
          <w:sz w:val="18"/>
          <w:szCs w:val="18"/>
        </w:rPr>
      </w:pPr>
      <w:r w:rsidRPr="00E318DD">
        <w:rPr>
          <w:rStyle w:val="FootnoteReference"/>
          <w:sz w:val="18"/>
          <w:szCs w:val="18"/>
        </w:rPr>
        <w:footnoteRef/>
      </w:r>
      <w:r w:rsidRPr="00E318DD">
        <w:rPr>
          <w:sz w:val="18"/>
          <w:szCs w:val="18"/>
        </w:rPr>
        <w:t xml:space="preserve"> </w:t>
      </w:r>
      <w:r w:rsidRPr="00E318DD">
        <w:rPr>
          <w:i/>
          <w:sz w:val="18"/>
          <w:szCs w:val="18"/>
          <w:lang w:val="en-GB"/>
        </w:rPr>
        <w:t>FCT v</w:t>
      </w:r>
      <w:r w:rsidRPr="00E318DD">
        <w:rPr>
          <w:sz w:val="18"/>
          <w:szCs w:val="18"/>
          <w:lang w:val="en-GB"/>
        </w:rPr>
        <w:t xml:space="preserve"> </w:t>
      </w:r>
      <w:r w:rsidRPr="00E318DD">
        <w:rPr>
          <w:i/>
          <w:sz w:val="18"/>
          <w:szCs w:val="18"/>
          <w:lang w:val="en-GB"/>
        </w:rPr>
        <w:t xml:space="preserve">Word Investments Ltd </w:t>
      </w:r>
      <w:r w:rsidRPr="00E318DD">
        <w:rPr>
          <w:sz w:val="18"/>
          <w:szCs w:val="18"/>
          <w:lang w:val="en-GB"/>
        </w:rPr>
        <w:t xml:space="preserve">(2008) </w:t>
      </w:r>
      <w:r w:rsidRPr="00E318DD">
        <w:rPr>
          <w:sz w:val="18"/>
          <w:szCs w:val="18"/>
        </w:rPr>
        <w:t>236 CLR 204 (HCA)</w:t>
      </w:r>
      <w:r w:rsidRPr="00E318DD">
        <w:rPr>
          <w:sz w:val="18"/>
          <w:szCs w:val="18"/>
          <w:lang w:val="en-GB"/>
        </w:rPr>
        <w:t xml:space="preserve"> [17]-[18], [25]-[26]</w:t>
      </w:r>
      <w:r w:rsidRPr="00E318DD">
        <w:rPr>
          <w:sz w:val="18"/>
          <w:szCs w:val="18"/>
        </w:rPr>
        <w:t>; Charities Act 2013</w:t>
      </w:r>
      <w:r w:rsidRPr="00E318DD">
        <w:rPr>
          <w:i/>
          <w:sz w:val="18"/>
          <w:szCs w:val="18"/>
        </w:rPr>
        <w:t xml:space="preserve"> </w:t>
      </w:r>
      <w:r w:rsidRPr="00E318DD">
        <w:rPr>
          <w:sz w:val="18"/>
          <w:szCs w:val="18"/>
        </w:rPr>
        <w:t>(Cth) note 1 to s 5(b).</w:t>
      </w:r>
    </w:p>
  </w:footnote>
  <w:footnote w:id="31">
    <w:p w14:paraId="45662950" w14:textId="6F34729E" w:rsidR="00D70136" w:rsidRPr="00E318DD" w:rsidRDefault="00D70136">
      <w:pPr>
        <w:pStyle w:val="FootnoteText"/>
        <w:rPr>
          <w:sz w:val="18"/>
          <w:szCs w:val="18"/>
        </w:rPr>
      </w:pPr>
      <w:r w:rsidRPr="00E318DD">
        <w:rPr>
          <w:rStyle w:val="FootnoteReference"/>
          <w:sz w:val="18"/>
          <w:szCs w:val="18"/>
        </w:rPr>
        <w:footnoteRef/>
      </w:r>
      <w:r w:rsidRPr="00E318DD">
        <w:rPr>
          <w:sz w:val="18"/>
          <w:szCs w:val="18"/>
        </w:rPr>
        <w:t xml:space="preserve"> Chia and Stewart describe these categories as ‘</w:t>
      </w:r>
      <w:r w:rsidRPr="00E318DD">
        <w:rPr>
          <w:i/>
          <w:sz w:val="18"/>
          <w:szCs w:val="18"/>
        </w:rPr>
        <w:t>core business</w:t>
      </w:r>
      <w:r w:rsidRPr="00E318DD">
        <w:rPr>
          <w:sz w:val="18"/>
          <w:szCs w:val="18"/>
        </w:rPr>
        <w:t>: where the charitable purpose itself involves the provision of goods or services’ and ‘</w:t>
      </w:r>
      <w:r w:rsidRPr="00E318DD">
        <w:rPr>
          <w:i/>
          <w:sz w:val="18"/>
          <w:szCs w:val="18"/>
        </w:rPr>
        <w:t>business as a mechanism for charity</w:t>
      </w:r>
      <w:r w:rsidRPr="00E318DD">
        <w:rPr>
          <w:sz w:val="18"/>
          <w:szCs w:val="18"/>
        </w:rPr>
        <w:t xml:space="preserve">: where the charitable purpose is advanced through business activity’: Joyce Chia and Miranda Stewart, ‘Doing Business to do Good: Should we Tax the Business Profits of Not-for-profits?’ (2012) 33 Adelaide Law Review 335, 350-1. Cf </w:t>
      </w:r>
      <w:r w:rsidRPr="00E318DD">
        <w:rPr>
          <w:i/>
          <w:sz w:val="18"/>
          <w:szCs w:val="18"/>
        </w:rPr>
        <w:t>Gull Bay Development Corp v R</w:t>
      </w:r>
      <w:r w:rsidRPr="00E318DD">
        <w:rPr>
          <w:sz w:val="18"/>
          <w:szCs w:val="18"/>
        </w:rPr>
        <w:t xml:space="preserve"> [1984] 2 FC 3, in which lumber mill activities were undertaken to provide employment and training to Indigenous community members, as well as to raise funds for socio-economic purposes, with the corporation being held to be charitable. </w:t>
      </w:r>
    </w:p>
  </w:footnote>
  <w:footnote w:id="32">
    <w:p w14:paraId="333C8ADF" w14:textId="0A6131B5" w:rsidR="00D70136" w:rsidRPr="00E318DD" w:rsidRDefault="00D70136">
      <w:pPr>
        <w:pStyle w:val="FootnoteText"/>
        <w:rPr>
          <w:sz w:val="18"/>
          <w:szCs w:val="18"/>
        </w:rPr>
      </w:pPr>
      <w:r w:rsidRPr="00E318DD">
        <w:rPr>
          <w:rStyle w:val="FootnoteReference"/>
          <w:sz w:val="18"/>
          <w:szCs w:val="18"/>
        </w:rPr>
        <w:footnoteRef/>
      </w:r>
      <w:r w:rsidRPr="00E318DD">
        <w:rPr>
          <w:sz w:val="18"/>
          <w:szCs w:val="18"/>
        </w:rPr>
        <w:t xml:space="preserve"> Chia and Stewart (n </w:t>
      </w:r>
      <w:r w:rsidRPr="00E318DD">
        <w:rPr>
          <w:sz w:val="18"/>
          <w:szCs w:val="18"/>
        </w:rPr>
        <w:fldChar w:fldCharType="begin"/>
      </w:r>
      <w:r w:rsidRPr="00E318DD">
        <w:rPr>
          <w:sz w:val="18"/>
          <w:szCs w:val="18"/>
        </w:rPr>
        <w:instrText xml:space="preserve"> NOTEREF _Ref43896156 \h </w:instrText>
      </w:r>
      <w:r>
        <w:rPr>
          <w:sz w:val="18"/>
          <w:szCs w:val="18"/>
        </w:rPr>
        <w:instrText xml:space="preserve"> \* MERGEFORMAT </w:instrText>
      </w:r>
      <w:r w:rsidRPr="00E318DD">
        <w:rPr>
          <w:sz w:val="18"/>
          <w:szCs w:val="18"/>
        </w:rPr>
      </w:r>
      <w:r w:rsidRPr="00E318DD">
        <w:rPr>
          <w:sz w:val="18"/>
          <w:szCs w:val="18"/>
        </w:rPr>
        <w:fldChar w:fldCharType="separate"/>
      </w:r>
      <w:r>
        <w:rPr>
          <w:sz w:val="18"/>
          <w:szCs w:val="18"/>
        </w:rPr>
        <w:t>30</w:t>
      </w:r>
      <w:r w:rsidRPr="00E318DD">
        <w:rPr>
          <w:sz w:val="18"/>
          <w:szCs w:val="18"/>
        </w:rPr>
        <w:fldChar w:fldCharType="end"/>
      </w:r>
      <w:r w:rsidRPr="00E318DD">
        <w:rPr>
          <w:sz w:val="18"/>
          <w:szCs w:val="18"/>
        </w:rPr>
        <w:t>), 350-1.</w:t>
      </w:r>
    </w:p>
  </w:footnote>
  <w:footnote w:id="33">
    <w:p w14:paraId="214A9D89" w14:textId="5ADFAC23" w:rsidR="00D70136" w:rsidRPr="00E318DD" w:rsidRDefault="00D70136">
      <w:pPr>
        <w:pStyle w:val="FootnoteText"/>
        <w:rPr>
          <w:sz w:val="18"/>
          <w:szCs w:val="18"/>
        </w:rPr>
      </w:pPr>
      <w:r w:rsidRPr="00E318DD">
        <w:rPr>
          <w:rStyle w:val="FootnoteReference"/>
          <w:sz w:val="18"/>
          <w:szCs w:val="18"/>
        </w:rPr>
        <w:footnoteRef/>
      </w:r>
      <w:r w:rsidRPr="00E318DD">
        <w:rPr>
          <w:sz w:val="18"/>
          <w:szCs w:val="18"/>
        </w:rPr>
        <w:t xml:space="preserve"> </w:t>
      </w:r>
      <w:r w:rsidRPr="00E318DD">
        <w:rPr>
          <w:i/>
          <w:sz w:val="18"/>
          <w:szCs w:val="18"/>
          <w:lang w:val="en-GB"/>
        </w:rPr>
        <w:t xml:space="preserve">Word Investments </w:t>
      </w:r>
      <w:r w:rsidRPr="00E318DD">
        <w:rPr>
          <w:sz w:val="18"/>
          <w:szCs w:val="18"/>
          <w:lang w:val="en-GB"/>
        </w:rPr>
        <w:t xml:space="preserve">(n </w:t>
      </w:r>
      <w:r w:rsidRPr="00E318DD">
        <w:rPr>
          <w:sz w:val="18"/>
          <w:szCs w:val="18"/>
          <w:lang w:val="en-GB"/>
        </w:rPr>
        <w:fldChar w:fldCharType="begin"/>
      </w:r>
      <w:r w:rsidRPr="00E318DD">
        <w:rPr>
          <w:sz w:val="18"/>
          <w:szCs w:val="18"/>
          <w:lang w:val="en-GB"/>
        </w:rPr>
        <w:instrText xml:space="preserve"> NOTEREF _Ref43896366 \h </w:instrText>
      </w:r>
      <w:r>
        <w:rPr>
          <w:sz w:val="18"/>
          <w:szCs w:val="18"/>
          <w:lang w:val="en-GB"/>
        </w:rPr>
        <w:instrText xml:space="preserve"> \* MERGEFORMAT </w:instrText>
      </w:r>
      <w:r w:rsidRPr="00E318DD">
        <w:rPr>
          <w:sz w:val="18"/>
          <w:szCs w:val="18"/>
          <w:lang w:val="en-GB"/>
        </w:rPr>
      </w:r>
      <w:r w:rsidRPr="00E318DD">
        <w:rPr>
          <w:sz w:val="18"/>
          <w:szCs w:val="18"/>
          <w:lang w:val="en-GB"/>
        </w:rPr>
        <w:fldChar w:fldCharType="separate"/>
      </w:r>
      <w:r>
        <w:rPr>
          <w:sz w:val="18"/>
          <w:szCs w:val="18"/>
          <w:lang w:val="en-GB"/>
        </w:rPr>
        <w:t>29</w:t>
      </w:r>
      <w:r w:rsidRPr="00E318DD">
        <w:rPr>
          <w:sz w:val="18"/>
          <w:szCs w:val="18"/>
          <w:lang w:val="en-GB"/>
        </w:rPr>
        <w:fldChar w:fldCharType="end"/>
      </w:r>
      <w:r w:rsidRPr="00E318DD">
        <w:rPr>
          <w:sz w:val="18"/>
          <w:szCs w:val="18"/>
          <w:lang w:val="en-GB"/>
        </w:rPr>
        <w:t>)</w:t>
      </w:r>
      <w:r w:rsidRPr="00E318DD">
        <w:rPr>
          <w:sz w:val="18"/>
          <w:szCs w:val="18"/>
        </w:rPr>
        <w:t xml:space="preserve">. </w:t>
      </w:r>
    </w:p>
  </w:footnote>
  <w:footnote w:id="34">
    <w:p w14:paraId="5382C091" w14:textId="6F71A22B" w:rsidR="00D70136" w:rsidRPr="00E318DD" w:rsidRDefault="00D70136">
      <w:pPr>
        <w:pStyle w:val="FootnoteText"/>
        <w:rPr>
          <w:sz w:val="18"/>
          <w:szCs w:val="18"/>
        </w:rPr>
      </w:pPr>
      <w:r w:rsidRPr="00E318DD">
        <w:rPr>
          <w:rStyle w:val="FootnoteReference"/>
          <w:sz w:val="18"/>
          <w:szCs w:val="18"/>
        </w:rPr>
        <w:footnoteRef/>
      </w:r>
      <w:r w:rsidRPr="00E318DD">
        <w:rPr>
          <w:sz w:val="18"/>
          <w:szCs w:val="18"/>
        </w:rPr>
        <w:t xml:space="preserve"> Cf Productivity Commission (n </w:t>
      </w:r>
      <w:r w:rsidRPr="00E318DD">
        <w:rPr>
          <w:sz w:val="18"/>
          <w:szCs w:val="18"/>
        </w:rPr>
        <w:fldChar w:fldCharType="begin"/>
      </w:r>
      <w:r w:rsidRPr="00E318DD">
        <w:rPr>
          <w:sz w:val="18"/>
          <w:szCs w:val="18"/>
        </w:rPr>
        <w:instrText xml:space="preserve"> NOTEREF _Ref43894904 \h </w:instrText>
      </w:r>
      <w:r>
        <w:rPr>
          <w:sz w:val="18"/>
          <w:szCs w:val="18"/>
        </w:rPr>
        <w:instrText xml:space="preserve"> \* MERGEFORMAT </w:instrText>
      </w:r>
      <w:r w:rsidRPr="00E318DD">
        <w:rPr>
          <w:sz w:val="18"/>
          <w:szCs w:val="18"/>
        </w:rPr>
      </w:r>
      <w:r w:rsidRPr="00E318DD">
        <w:rPr>
          <w:sz w:val="18"/>
          <w:szCs w:val="18"/>
        </w:rPr>
        <w:fldChar w:fldCharType="separate"/>
      </w:r>
      <w:r>
        <w:rPr>
          <w:sz w:val="18"/>
          <w:szCs w:val="18"/>
        </w:rPr>
        <w:t>23</w:t>
      </w:r>
      <w:r w:rsidRPr="00E318DD">
        <w:rPr>
          <w:sz w:val="18"/>
          <w:szCs w:val="18"/>
        </w:rPr>
        <w:fldChar w:fldCharType="end"/>
      </w:r>
      <w:r w:rsidRPr="00E318DD">
        <w:rPr>
          <w:sz w:val="18"/>
          <w:szCs w:val="18"/>
        </w:rPr>
        <w:t>) 301.</w:t>
      </w:r>
    </w:p>
  </w:footnote>
  <w:footnote w:id="35">
    <w:p w14:paraId="31305CCC" w14:textId="26139451" w:rsidR="00D70136" w:rsidRPr="00E318DD" w:rsidRDefault="00D70136" w:rsidP="00A25A68">
      <w:pPr>
        <w:pStyle w:val="FootnoteText"/>
        <w:rPr>
          <w:sz w:val="18"/>
          <w:szCs w:val="18"/>
        </w:rPr>
      </w:pPr>
      <w:r w:rsidRPr="00E318DD">
        <w:rPr>
          <w:rStyle w:val="FootnoteReference"/>
          <w:sz w:val="18"/>
          <w:szCs w:val="18"/>
        </w:rPr>
        <w:footnoteRef/>
      </w:r>
      <w:r w:rsidRPr="00E318DD">
        <w:rPr>
          <w:sz w:val="18"/>
          <w:szCs w:val="18"/>
        </w:rPr>
        <w:t xml:space="preserve"> Under the Charities Act 2013</w:t>
      </w:r>
      <w:r w:rsidRPr="00E318DD">
        <w:rPr>
          <w:i/>
          <w:sz w:val="18"/>
          <w:szCs w:val="18"/>
        </w:rPr>
        <w:t xml:space="preserve"> </w:t>
      </w:r>
      <w:r w:rsidRPr="00E318DD">
        <w:rPr>
          <w:sz w:val="18"/>
          <w:szCs w:val="18"/>
        </w:rPr>
        <w:t>(Cth),</w:t>
      </w:r>
      <w:r w:rsidRPr="00E318DD">
        <w:rPr>
          <w:i/>
          <w:sz w:val="18"/>
          <w:szCs w:val="18"/>
        </w:rPr>
        <w:t xml:space="preserve"> </w:t>
      </w:r>
      <w:r w:rsidRPr="00E318DD">
        <w:rPr>
          <w:sz w:val="18"/>
          <w:szCs w:val="18"/>
        </w:rPr>
        <w:t>charitable purposes have been reworded under 12 heads of charity that broadly reflect the scope of the general law heads. The reworded heads include, amongst others, advancing health, advancing education, advancing social or public welfare, advancing religion and advancing culture: s12(1).</w:t>
      </w:r>
    </w:p>
  </w:footnote>
  <w:footnote w:id="36">
    <w:p w14:paraId="2764CC90" w14:textId="6B534C50" w:rsidR="00D70136" w:rsidRPr="00E318DD" w:rsidRDefault="00D70136" w:rsidP="00A25A68">
      <w:pPr>
        <w:pStyle w:val="FootnoteText"/>
        <w:rPr>
          <w:sz w:val="18"/>
          <w:szCs w:val="18"/>
          <w:lang w:val="en-US"/>
        </w:rPr>
      </w:pPr>
      <w:r w:rsidRPr="00E318DD">
        <w:rPr>
          <w:rStyle w:val="FootnoteReference"/>
          <w:sz w:val="18"/>
          <w:szCs w:val="18"/>
        </w:rPr>
        <w:footnoteRef/>
      </w:r>
      <w:r w:rsidRPr="00E318DD">
        <w:rPr>
          <w:sz w:val="18"/>
          <w:szCs w:val="18"/>
        </w:rPr>
        <w:t xml:space="preserve"> </w:t>
      </w:r>
      <w:r w:rsidRPr="00E318DD">
        <w:rPr>
          <w:sz w:val="18"/>
          <w:szCs w:val="18"/>
          <w:lang w:val="en-US"/>
        </w:rPr>
        <w:t xml:space="preserve">Charities Act </w:t>
      </w:r>
      <w:r w:rsidRPr="00E318DD">
        <w:rPr>
          <w:sz w:val="18"/>
          <w:szCs w:val="18"/>
        </w:rPr>
        <w:t>2013</w:t>
      </w:r>
      <w:r w:rsidRPr="00E318DD">
        <w:rPr>
          <w:i/>
          <w:sz w:val="18"/>
          <w:szCs w:val="18"/>
        </w:rPr>
        <w:t xml:space="preserve"> </w:t>
      </w:r>
      <w:r w:rsidRPr="00E318DD">
        <w:rPr>
          <w:sz w:val="18"/>
          <w:szCs w:val="18"/>
        </w:rPr>
        <w:t>(</w:t>
      </w:r>
      <w:proofErr w:type="spellStart"/>
      <w:r w:rsidRPr="00E318DD">
        <w:rPr>
          <w:sz w:val="18"/>
          <w:szCs w:val="18"/>
        </w:rPr>
        <w:t>Cth</w:t>
      </w:r>
      <w:proofErr w:type="spellEnd"/>
      <w:r w:rsidRPr="00E318DD">
        <w:rPr>
          <w:sz w:val="18"/>
          <w:szCs w:val="18"/>
        </w:rPr>
        <w:t>)</w:t>
      </w:r>
      <w:r w:rsidRPr="00E318DD">
        <w:rPr>
          <w:sz w:val="18"/>
          <w:szCs w:val="18"/>
          <w:lang w:val="en-US"/>
        </w:rPr>
        <w:t xml:space="preserve"> </w:t>
      </w:r>
      <w:proofErr w:type="spellStart"/>
      <w:r w:rsidRPr="00E318DD">
        <w:rPr>
          <w:sz w:val="18"/>
          <w:szCs w:val="18"/>
          <w:lang w:val="en-US"/>
        </w:rPr>
        <w:t>ss</w:t>
      </w:r>
      <w:proofErr w:type="spellEnd"/>
      <w:r w:rsidRPr="00E318DD">
        <w:rPr>
          <w:sz w:val="18"/>
          <w:szCs w:val="18"/>
          <w:lang w:val="en-US"/>
        </w:rPr>
        <w:t xml:space="preserve"> 5, 6; </w:t>
      </w:r>
      <w:r w:rsidRPr="00E318DD">
        <w:rPr>
          <w:rFonts w:cs="Arial"/>
          <w:i/>
          <w:sz w:val="18"/>
          <w:szCs w:val="18"/>
        </w:rPr>
        <w:t xml:space="preserve">Aid/Watch Incorporated v FCT </w:t>
      </w:r>
      <w:r w:rsidRPr="00E318DD">
        <w:rPr>
          <w:rFonts w:cs="Arial"/>
          <w:sz w:val="18"/>
          <w:szCs w:val="18"/>
        </w:rPr>
        <w:t>(2010) 241 CLR 539 (HCA), [18]</w:t>
      </w:r>
      <w:r w:rsidRPr="00E318DD">
        <w:rPr>
          <w:sz w:val="18"/>
          <w:szCs w:val="18"/>
          <w:lang w:val="en-US"/>
        </w:rPr>
        <w:t xml:space="preserve">. The entity must also not have any disqualifying purposes, such as purposes that are unlawful or contrary to public policy: Charities Act </w:t>
      </w:r>
      <w:r w:rsidRPr="00E318DD">
        <w:rPr>
          <w:sz w:val="18"/>
          <w:szCs w:val="18"/>
        </w:rPr>
        <w:t>2013</w:t>
      </w:r>
      <w:r w:rsidRPr="00E318DD">
        <w:rPr>
          <w:i/>
          <w:sz w:val="18"/>
          <w:szCs w:val="18"/>
        </w:rPr>
        <w:t xml:space="preserve"> </w:t>
      </w:r>
      <w:r w:rsidRPr="00E318DD">
        <w:rPr>
          <w:sz w:val="18"/>
          <w:szCs w:val="18"/>
        </w:rPr>
        <w:t xml:space="preserve">(Cth) </w:t>
      </w:r>
      <w:r w:rsidRPr="00E318DD">
        <w:rPr>
          <w:sz w:val="18"/>
          <w:szCs w:val="18"/>
          <w:lang w:val="en-US"/>
        </w:rPr>
        <w:t xml:space="preserve">s 11; </w:t>
      </w:r>
      <w:r w:rsidRPr="00E318DD">
        <w:rPr>
          <w:rFonts w:cs="Arial"/>
          <w:i/>
          <w:sz w:val="18"/>
          <w:szCs w:val="18"/>
        </w:rPr>
        <w:t>Royal North Shore Hospital of Sydney v A-G</w:t>
      </w:r>
      <w:r w:rsidRPr="00E318DD">
        <w:rPr>
          <w:rFonts w:cs="Arial"/>
          <w:sz w:val="18"/>
          <w:szCs w:val="18"/>
        </w:rPr>
        <w:t xml:space="preserve"> </w:t>
      </w:r>
      <w:r w:rsidRPr="00E318DD">
        <w:rPr>
          <w:rFonts w:cs="Arial"/>
          <w:i/>
          <w:sz w:val="18"/>
          <w:szCs w:val="18"/>
        </w:rPr>
        <w:t>(NSW)</w:t>
      </w:r>
      <w:r w:rsidRPr="00E318DD">
        <w:rPr>
          <w:rFonts w:cs="Arial"/>
          <w:sz w:val="18"/>
          <w:szCs w:val="18"/>
        </w:rPr>
        <w:t xml:space="preserve"> (1938) 60 CLR 396 (HCA), 426 (Dixon J).</w:t>
      </w:r>
    </w:p>
  </w:footnote>
  <w:footnote w:id="37">
    <w:p w14:paraId="7DAC4574" w14:textId="173C2ABF" w:rsidR="00D70136" w:rsidRPr="00E318DD" w:rsidRDefault="00D70136">
      <w:pPr>
        <w:pStyle w:val="FootnoteText"/>
        <w:rPr>
          <w:sz w:val="18"/>
          <w:szCs w:val="18"/>
        </w:rPr>
      </w:pPr>
      <w:r w:rsidRPr="00E318DD">
        <w:rPr>
          <w:rStyle w:val="FootnoteReference"/>
          <w:sz w:val="18"/>
          <w:szCs w:val="18"/>
        </w:rPr>
        <w:footnoteRef/>
      </w:r>
      <w:r w:rsidRPr="00E318DD">
        <w:rPr>
          <w:sz w:val="18"/>
          <w:szCs w:val="18"/>
        </w:rPr>
        <w:t xml:space="preserve"> See, eg, G E Dal Pont, </w:t>
      </w:r>
      <w:r w:rsidRPr="00E318DD">
        <w:rPr>
          <w:i/>
          <w:sz w:val="18"/>
          <w:szCs w:val="18"/>
        </w:rPr>
        <w:t>Law of Charity</w:t>
      </w:r>
      <w:r w:rsidRPr="00E318DD">
        <w:rPr>
          <w:sz w:val="18"/>
          <w:szCs w:val="18"/>
        </w:rPr>
        <w:t xml:space="preserve"> (2</w:t>
      </w:r>
      <w:r w:rsidRPr="00E318DD">
        <w:rPr>
          <w:sz w:val="18"/>
          <w:szCs w:val="18"/>
          <w:vertAlign w:val="superscript"/>
        </w:rPr>
        <w:t>nd</w:t>
      </w:r>
      <w:r w:rsidRPr="00E318DD">
        <w:rPr>
          <w:sz w:val="18"/>
          <w:szCs w:val="18"/>
        </w:rPr>
        <w:t xml:space="preserve"> </w:t>
      </w:r>
      <w:proofErr w:type="spellStart"/>
      <w:r w:rsidRPr="00E318DD">
        <w:rPr>
          <w:sz w:val="18"/>
          <w:szCs w:val="18"/>
        </w:rPr>
        <w:t>edn</w:t>
      </w:r>
      <w:proofErr w:type="spellEnd"/>
      <w:r w:rsidRPr="00E318DD">
        <w:rPr>
          <w:sz w:val="18"/>
          <w:szCs w:val="18"/>
        </w:rPr>
        <w:t>, LexisNexis 2017) [11.10], [11.45]; Charities Act 2013 (</w:t>
      </w:r>
      <w:proofErr w:type="spellStart"/>
      <w:r w:rsidRPr="00E318DD">
        <w:rPr>
          <w:sz w:val="18"/>
          <w:szCs w:val="18"/>
        </w:rPr>
        <w:t>Cth</w:t>
      </w:r>
      <w:proofErr w:type="spellEnd"/>
      <w:r w:rsidRPr="00E318DD">
        <w:rPr>
          <w:sz w:val="18"/>
          <w:szCs w:val="18"/>
        </w:rPr>
        <w:t xml:space="preserve">) </w:t>
      </w:r>
      <w:proofErr w:type="spellStart"/>
      <w:r w:rsidRPr="00E318DD">
        <w:rPr>
          <w:sz w:val="18"/>
          <w:szCs w:val="18"/>
        </w:rPr>
        <w:t>ss</w:t>
      </w:r>
      <w:proofErr w:type="spellEnd"/>
      <w:r w:rsidRPr="00E318DD">
        <w:rPr>
          <w:sz w:val="18"/>
          <w:szCs w:val="18"/>
        </w:rPr>
        <w:t xml:space="preserve"> 12(1</w:t>
      </w:r>
      <w:proofErr w:type="gramStart"/>
      <w:r w:rsidRPr="00E318DD">
        <w:rPr>
          <w:sz w:val="18"/>
          <w:szCs w:val="18"/>
        </w:rPr>
        <w:t>)(</w:t>
      </w:r>
      <w:proofErr w:type="gramEnd"/>
      <w:r w:rsidRPr="00E318DD">
        <w:rPr>
          <w:sz w:val="18"/>
          <w:szCs w:val="18"/>
        </w:rPr>
        <w:t xml:space="preserve">k), 15(1)(a) (relieving distress or disadvantage as a means of advancing social or public welfare); Martin, </w:t>
      </w:r>
      <w:r w:rsidRPr="00E318DD">
        <w:rPr>
          <w:rFonts w:cs="Arial"/>
          <w:i/>
          <w:sz w:val="18"/>
          <w:szCs w:val="18"/>
        </w:rPr>
        <w:t xml:space="preserve">Income Tax </w:t>
      </w:r>
      <w:r w:rsidRPr="00E318DD">
        <w:rPr>
          <w:rFonts w:cs="Arial"/>
          <w:sz w:val="18"/>
          <w:szCs w:val="18"/>
        </w:rPr>
        <w:t xml:space="preserve">(n </w:t>
      </w:r>
      <w:r w:rsidRPr="00E318DD">
        <w:rPr>
          <w:rFonts w:cs="Arial"/>
          <w:sz w:val="18"/>
          <w:szCs w:val="18"/>
        </w:rPr>
        <w:fldChar w:fldCharType="begin"/>
      </w:r>
      <w:r w:rsidRPr="00E318DD">
        <w:rPr>
          <w:rFonts w:cs="Arial"/>
          <w:sz w:val="18"/>
          <w:szCs w:val="18"/>
        </w:rPr>
        <w:instrText xml:space="preserve"> NOTEREF _Ref43893816 \h  \* MERGEFORMAT </w:instrText>
      </w:r>
      <w:r w:rsidRPr="00E318DD">
        <w:rPr>
          <w:rFonts w:cs="Arial"/>
          <w:sz w:val="18"/>
          <w:szCs w:val="18"/>
        </w:rPr>
      </w:r>
      <w:r w:rsidRPr="00E318DD">
        <w:rPr>
          <w:rFonts w:cs="Arial"/>
          <w:sz w:val="18"/>
          <w:szCs w:val="18"/>
        </w:rPr>
        <w:fldChar w:fldCharType="separate"/>
      </w:r>
      <w:r>
        <w:rPr>
          <w:rFonts w:cs="Arial"/>
          <w:sz w:val="18"/>
          <w:szCs w:val="18"/>
        </w:rPr>
        <w:t>26</w:t>
      </w:r>
      <w:r w:rsidRPr="00E318DD">
        <w:rPr>
          <w:rFonts w:cs="Arial"/>
          <w:sz w:val="18"/>
          <w:szCs w:val="18"/>
        </w:rPr>
        <w:fldChar w:fldCharType="end"/>
      </w:r>
      <w:r w:rsidRPr="00E318DD">
        <w:rPr>
          <w:rFonts w:cs="Arial"/>
          <w:sz w:val="18"/>
          <w:szCs w:val="18"/>
        </w:rPr>
        <w:t>)</w:t>
      </w:r>
      <w:r w:rsidRPr="00E318DD">
        <w:rPr>
          <w:sz w:val="18"/>
          <w:szCs w:val="18"/>
        </w:rPr>
        <w:t xml:space="preserve"> [6.5].</w:t>
      </w:r>
    </w:p>
  </w:footnote>
  <w:footnote w:id="38">
    <w:p w14:paraId="0E7129A0" w14:textId="3E6A6B4A" w:rsidR="00D70136" w:rsidRPr="00E318DD" w:rsidRDefault="00D70136">
      <w:pPr>
        <w:pStyle w:val="FootnoteText"/>
        <w:rPr>
          <w:sz w:val="18"/>
          <w:szCs w:val="18"/>
        </w:rPr>
      </w:pPr>
      <w:r w:rsidRPr="00E318DD">
        <w:rPr>
          <w:rStyle w:val="FootnoteReference"/>
          <w:sz w:val="18"/>
          <w:szCs w:val="18"/>
        </w:rPr>
        <w:footnoteRef/>
      </w:r>
      <w:r w:rsidRPr="00E318DD">
        <w:rPr>
          <w:sz w:val="18"/>
          <w:szCs w:val="18"/>
        </w:rPr>
        <w:t xml:space="preserve"> Dal Pont (n </w:t>
      </w:r>
      <w:r w:rsidRPr="00E318DD">
        <w:rPr>
          <w:sz w:val="18"/>
          <w:szCs w:val="18"/>
        </w:rPr>
        <w:fldChar w:fldCharType="begin"/>
      </w:r>
      <w:r w:rsidRPr="00E318DD">
        <w:rPr>
          <w:sz w:val="18"/>
          <w:szCs w:val="18"/>
        </w:rPr>
        <w:instrText xml:space="preserve"> NOTEREF _Ref43896552 \h  \* MERGEFORMAT </w:instrText>
      </w:r>
      <w:r w:rsidRPr="00E318DD">
        <w:rPr>
          <w:sz w:val="18"/>
          <w:szCs w:val="18"/>
        </w:rPr>
      </w:r>
      <w:r w:rsidRPr="00E318DD">
        <w:rPr>
          <w:sz w:val="18"/>
          <w:szCs w:val="18"/>
        </w:rPr>
        <w:fldChar w:fldCharType="separate"/>
      </w:r>
      <w:r>
        <w:rPr>
          <w:sz w:val="18"/>
          <w:szCs w:val="18"/>
        </w:rPr>
        <w:t>36</w:t>
      </w:r>
      <w:r w:rsidRPr="00E318DD">
        <w:rPr>
          <w:sz w:val="18"/>
          <w:szCs w:val="18"/>
        </w:rPr>
        <w:fldChar w:fldCharType="end"/>
      </w:r>
      <w:r w:rsidRPr="00E318DD">
        <w:rPr>
          <w:sz w:val="18"/>
          <w:szCs w:val="18"/>
        </w:rPr>
        <w:t xml:space="preserve">) [11.11]. Cf Martin, </w:t>
      </w:r>
      <w:r w:rsidRPr="00E318DD">
        <w:rPr>
          <w:rFonts w:cs="Arial"/>
          <w:i/>
          <w:sz w:val="18"/>
          <w:szCs w:val="18"/>
        </w:rPr>
        <w:t xml:space="preserve">Income Tax </w:t>
      </w:r>
      <w:r w:rsidRPr="00E318DD">
        <w:rPr>
          <w:rFonts w:cs="Arial"/>
          <w:sz w:val="18"/>
          <w:szCs w:val="18"/>
        </w:rPr>
        <w:t xml:space="preserve">(n </w:t>
      </w:r>
      <w:r w:rsidRPr="00E318DD">
        <w:rPr>
          <w:rFonts w:cs="Arial"/>
          <w:sz w:val="18"/>
          <w:szCs w:val="18"/>
        </w:rPr>
        <w:fldChar w:fldCharType="begin"/>
      </w:r>
      <w:r w:rsidRPr="00E318DD">
        <w:rPr>
          <w:rFonts w:cs="Arial"/>
          <w:sz w:val="18"/>
          <w:szCs w:val="18"/>
        </w:rPr>
        <w:instrText xml:space="preserve"> NOTEREF _Ref43893816 \h  \* MERGEFORMAT </w:instrText>
      </w:r>
      <w:r w:rsidRPr="00E318DD">
        <w:rPr>
          <w:rFonts w:cs="Arial"/>
          <w:sz w:val="18"/>
          <w:szCs w:val="18"/>
        </w:rPr>
      </w:r>
      <w:r w:rsidRPr="00E318DD">
        <w:rPr>
          <w:rFonts w:cs="Arial"/>
          <w:sz w:val="18"/>
          <w:szCs w:val="18"/>
        </w:rPr>
        <w:fldChar w:fldCharType="separate"/>
      </w:r>
      <w:r>
        <w:rPr>
          <w:rFonts w:cs="Arial"/>
          <w:sz w:val="18"/>
          <w:szCs w:val="18"/>
        </w:rPr>
        <w:t>26</w:t>
      </w:r>
      <w:r w:rsidRPr="00E318DD">
        <w:rPr>
          <w:rFonts w:cs="Arial"/>
          <w:sz w:val="18"/>
          <w:szCs w:val="18"/>
        </w:rPr>
        <w:fldChar w:fldCharType="end"/>
      </w:r>
      <w:r w:rsidRPr="00E318DD">
        <w:rPr>
          <w:rFonts w:cs="Arial"/>
          <w:sz w:val="18"/>
          <w:szCs w:val="18"/>
        </w:rPr>
        <w:t xml:space="preserve">) </w:t>
      </w:r>
      <w:r w:rsidRPr="00E318DD">
        <w:rPr>
          <w:sz w:val="18"/>
          <w:szCs w:val="18"/>
        </w:rPr>
        <w:t>[6.3.2], [6.4.2], who opines that some of the cases potentially permit a broader range of purposes for the advancement of Indigenous Australians.</w:t>
      </w:r>
    </w:p>
  </w:footnote>
  <w:footnote w:id="39">
    <w:p w14:paraId="3C3AA0D7" w14:textId="59270D22" w:rsidR="00D70136" w:rsidRPr="00E318DD" w:rsidRDefault="00D70136">
      <w:pPr>
        <w:pStyle w:val="FootnoteText"/>
        <w:rPr>
          <w:sz w:val="18"/>
          <w:szCs w:val="18"/>
        </w:rPr>
      </w:pPr>
      <w:r w:rsidRPr="00E318DD">
        <w:rPr>
          <w:rStyle w:val="FootnoteReference"/>
          <w:sz w:val="18"/>
          <w:szCs w:val="18"/>
        </w:rPr>
        <w:footnoteRef/>
      </w:r>
      <w:r w:rsidRPr="00E318DD">
        <w:rPr>
          <w:sz w:val="18"/>
          <w:szCs w:val="18"/>
        </w:rPr>
        <w:t xml:space="preserve"> </w:t>
      </w:r>
      <w:r w:rsidRPr="00E318DD">
        <w:rPr>
          <w:i/>
          <w:iCs/>
          <w:sz w:val="18"/>
          <w:szCs w:val="18"/>
        </w:rPr>
        <w:t xml:space="preserve">Aboriginal Hostels Ltd v Darwin City Council </w:t>
      </w:r>
      <w:r w:rsidRPr="00E318DD">
        <w:rPr>
          <w:sz w:val="18"/>
          <w:szCs w:val="18"/>
        </w:rPr>
        <w:t>(1985) 33 NTR 1 (NTSC), 16–18 (Nader J).</w:t>
      </w:r>
    </w:p>
  </w:footnote>
  <w:footnote w:id="40">
    <w:p w14:paraId="00C9A715" w14:textId="4F766BB7" w:rsidR="00D70136" w:rsidRDefault="00D70136">
      <w:pPr>
        <w:pStyle w:val="FootnoteText"/>
      </w:pPr>
      <w:r w:rsidRPr="00E318DD">
        <w:rPr>
          <w:rStyle w:val="FootnoteReference"/>
          <w:sz w:val="18"/>
          <w:szCs w:val="18"/>
        </w:rPr>
        <w:footnoteRef/>
      </w:r>
      <w:r w:rsidRPr="00E318DD">
        <w:rPr>
          <w:sz w:val="18"/>
          <w:szCs w:val="18"/>
        </w:rPr>
        <w:t xml:space="preserve"> </w:t>
      </w:r>
      <w:r w:rsidRPr="00E318DD">
        <w:rPr>
          <w:i/>
          <w:iCs/>
          <w:sz w:val="18"/>
          <w:szCs w:val="18"/>
        </w:rPr>
        <w:t xml:space="preserve">Re Bryning </w:t>
      </w:r>
      <w:r w:rsidRPr="00E318DD">
        <w:rPr>
          <w:sz w:val="18"/>
          <w:szCs w:val="18"/>
        </w:rPr>
        <w:t>[1976] VR 100 (VSC), 101 (Lush J).</w:t>
      </w:r>
    </w:p>
  </w:footnote>
  <w:footnote w:id="41">
    <w:p w14:paraId="27B21EB1" w14:textId="4D004CEA" w:rsidR="00D70136" w:rsidRPr="00C0531E" w:rsidRDefault="00D70136" w:rsidP="00A25A68">
      <w:pPr>
        <w:pStyle w:val="FootnoteText"/>
        <w:rPr>
          <w:sz w:val="18"/>
          <w:szCs w:val="18"/>
          <w:lang w:val="en-US"/>
        </w:rPr>
      </w:pPr>
      <w:r w:rsidRPr="00405705">
        <w:rPr>
          <w:rStyle w:val="FootnoteReference"/>
          <w:sz w:val="18"/>
          <w:szCs w:val="18"/>
        </w:rPr>
        <w:footnoteRef/>
      </w:r>
      <w:r w:rsidRPr="00405705">
        <w:rPr>
          <w:sz w:val="18"/>
          <w:szCs w:val="18"/>
        </w:rPr>
        <w:t xml:space="preserve"> ACNC, ‘Aboriginal and Torres Strait Islander Corporations – Applying for Charity Registration with the ACNC’ (</w:t>
      </w:r>
      <w:r w:rsidRPr="00C0531E">
        <w:rPr>
          <w:sz w:val="18"/>
          <w:szCs w:val="18"/>
        </w:rPr>
        <w:t>Factsheet, 20 May 2019) &lt;www.acnc.gov.au/tools/factsheets/aboriginal-and-torres-strait-islander-corporations-applying-charity-registration&gt; accessed 24 June 2020.</w:t>
      </w:r>
    </w:p>
  </w:footnote>
  <w:footnote w:id="42">
    <w:p w14:paraId="7750343B" w14:textId="7F623B95" w:rsidR="00D70136" w:rsidRPr="00C0531E" w:rsidRDefault="00D70136" w:rsidP="00A25A68">
      <w:pPr>
        <w:pStyle w:val="FootnoteText"/>
        <w:rPr>
          <w:sz w:val="18"/>
          <w:szCs w:val="18"/>
          <w:lang w:val="en-US"/>
        </w:rPr>
      </w:pPr>
      <w:r w:rsidRPr="00C0531E">
        <w:rPr>
          <w:rStyle w:val="FootnoteReference"/>
          <w:sz w:val="18"/>
          <w:szCs w:val="18"/>
        </w:rPr>
        <w:footnoteRef/>
      </w:r>
      <w:r w:rsidRPr="00C0531E">
        <w:rPr>
          <w:sz w:val="18"/>
          <w:szCs w:val="18"/>
        </w:rPr>
        <w:t xml:space="preserve"> As to addressing Indigenous disadvantage, see, eg, </w:t>
      </w:r>
      <w:r w:rsidRPr="00C0531E">
        <w:rPr>
          <w:i/>
          <w:sz w:val="18"/>
          <w:szCs w:val="18"/>
        </w:rPr>
        <w:t xml:space="preserve">Shire of Derby/West Kimberley v </w:t>
      </w:r>
      <w:proofErr w:type="spellStart"/>
      <w:r w:rsidRPr="00C0531E">
        <w:rPr>
          <w:i/>
          <w:sz w:val="18"/>
          <w:szCs w:val="18"/>
        </w:rPr>
        <w:t>Yungngora</w:t>
      </w:r>
      <w:proofErr w:type="spellEnd"/>
      <w:r w:rsidRPr="00C0531E">
        <w:rPr>
          <w:i/>
          <w:sz w:val="18"/>
          <w:szCs w:val="18"/>
        </w:rPr>
        <w:t xml:space="preserve"> Association </w:t>
      </w:r>
      <w:proofErr w:type="spellStart"/>
      <w:r w:rsidRPr="00C0531E">
        <w:rPr>
          <w:i/>
          <w:sz w:val="18"/>
          <w:szCs w:val="18"/>
        </w:rPr>
        <w:t>Inc</w:t>
      </w:r>
      <w:proofErr w:type="spellEnd"/>
      <w:r w:rsidRPr="00C0531E">
        <w:rPr>
          <w:i/>
          <w:sz w:val="18"/>
          <w:szCs w:val="18"/>
        </w:rPr>
        <w:t xml:space="preserve"> </w:t>
      </w:r>
      <w:r w:rsidRPr="00C0531E">
        <w:rPr>
          <w:sz w:val="18"/>
          <w:szCs w:val="18"/>
        </w:rPr>
        <w:t xml:space="preserve">(2007) 157 LGERA 238 (WASCA), 252-3; (PBI cases are also relevant in that PBIs are a subset of charities) </w:t>
      </w:r>
      <w:r w:rsidRPr="00C0531E">
        <w:rPr>
          <w:i/>
          <w:iCs/>
          <w:sz w:val="18"/>
          <w:szCs w:val="18"/>
        </w:rPr>
        <w:t xml:space="preserve">Trustees of the Indigenous Barristers’ Trust v FCT </w:t>
      </w:r>
      <w:r w:rsidRPr="00C0531E">
        <w:rPr>
          <w:iCs/>
          <w:sz w:val="18"/>
          <w:szCs w:val="18"/>
        </w:rPr>
        <w:t>(2002) 127 FCR 63</w:t>
      </w:r>
      <w:r>
        <w:rPr>
          <w:iCs/>
          <w:sz w:val="18"/>
          <w:szCs w:val="18"/>
        </w:rPr>
        <w:t xml:space="preserve"> (FCA)</w:t>
      </w:r>
      <w:r w:rsidRPr="00C0531E">
        <w:rPr>
          <w:iCs/>
          <w:sz w:val="18"/>
          <w:szCs w:val="18"/>
        </w:rPr>
        <w:t>, 67, 79 (Gyles J);</w:t>
      </w:r>
      <w:r w:rsidRPr="00C0531E">
        <w:rPr>
          <w:i/>
          <w:iCs/>
          <w:sz w:val="18"/>
          <w:szCs w:val="18"/>
        </w:rPr>
        <w:t xml:space="preserve"> Northern Land Council v Commissioner of Taxes </w:t>
      </w:r>
      <w:r w:rsidRPr="00C0531E">
        <w:rPr>
          <w:sz w:val="18"/>
          <w:szCs w:val="18"/>
        </w:rPr>
        <w:t xml:space="preserve">[2002] ATC 5117 (NTCA), 5126 (Mildren J). As to promotion of commerce, see, eg, </w:t>
      </w:r>
      <w:r w:rsidRPr="00C0531E">
        <w:rPr>
          <w:i/>
          <w:sz w:val="18"/>
          <w:szCs w:val="18"/>
          <w:lang w:val="en-US"/>
        </w:rPr>
        <w:t>Tasmanian Electronic Commerce Centre Pty Ltd v FCT</w:t>
      </w:r>
      <w:r w:rsidRPr="00C0531E">
        <w:rPr>
          <w:sz w:val="18"/>
          <w:szCs w:val="18"/>
          <w:lang w:val="en-US"/>
        </w:rPr>
        <w:t xml:space="preserve"> [2005] FCA 439; </w:t>
      </w:r>
      <w:r w:rsidRPr="00C0531E">
        <w:rPr>
          <w:i/>
          <w:sz w:val="18"/>
          <w:szCs w:val="18"/>
          <w:lang w:val="en-US"/>
        </w:rPr>
        <w:t xml:space="preserve">FCT v Triton Foundation </w:t>
      </w:r>
      <w:r w:rsidRPr="00C0531E">
        <w:rPr>
          <w:sz w:val="18"/>
          <w:szCs w:val="18"/>
          <w:lang w:val="en-US"/>
        </w:rPr>
        <w:t>[</w:t>
      </w:r>
      <w:r>
        <w:rPr>
          <w:sz w:val="18"/>
          <w:szCs w:val="18"/>
          <w:lang w:val="en-US"/>
        </w:rPr>
        <w:t>2005]</w:t>
      </w:r>
      <w:r w:rsidRPr="00C0531E">
        <w:rPr>
          <w:sz w:val="18"/>
          <w:szCs w:val="18"/>
          <w:lang w:val="en-US"/>
        </w:rPr>
        <w:t xml:space="preserve"> FC</w:t>
      </w:r>
      <w:r>
        <w:rPr>
          <w:sz w:val="18"/>
          <w:szCs w:val="18"/>
          <w:lang w:val="en-US"/>
        </w:rPr>
        <w:t>A 1319</w:t>
      </w:r>
      <w:r w:rsidRPr="00C0531E">
        <w:rPr>
          <w:sz w:val="18"/>
          <w:szCs w:val="18"/>
          <w:lang w:val="en-US"/>
        </w:rPr>
        <w:t xml:space="preserve">; </w:t>
      </w:r>
      <w:r w:rsidRPr="00C0531E">
        <w:rPr>
          <w:i/>
          <w:iCs/>
          <w:sz w:val="18"/>
          <w:szCs w:val="18"/>
        </w:rPr>
        <w:t xml:space="preserve">Chamber of Commerce and Industry of Western Australia (Inc) v Commissioner of State Revenue </w:t>
      </w:r>
      <w:r w:rsidRPr="00C0531E">
        <w:rPr>
          <w:sz w:val="18"/>
          <w:szCs w:val="18"/>
        </w:rPr>
        <w:t>[2012] WASAT 146</w:t>
      </w:r>
      <w:r>
        <w:rPr>
          <w:sz w:val="18"/>
          <w:szCs w:val="18"/>
        </w:rPr>
        <w:t xml:space="preserve"> (‘</w:t>
      </w:r>
      <w:r w:rsidRPr="00386C3E">
        <w:rPr>
          <w:i/>
          <w:sz w:val="18"/>
          <w:szCs w:val="18"/>
        </w:rPr>
        <w:t>CCIWA</w:t>
      </w:r>
      <w:r>
        <w:rPr>
          <w:sz w:val="18"/>
          <w:szCs w:val="18"/>
        </w:rPr>
        <w:t>’), [98]</w:t>
      </w:r>
      <w:r w:rsidRPr="00C0531E">
        <w:rPr>
          <w:sz w:val="18"/>
          <w:szCs w:val="18"/>
        </w:rPr>
        <w:t xml:space="preserve">. </w:t>
      </w:r>
      <w:r w:rsidRPr="00C0531E">
        <w:rPr>
          <w:sz w:val="18"/>
          <w:szCs w:val="18"/>
          <w:lang w:val="en-US"/>
        </w:rPr>
        <w:t xml:space="preserve">See also, </w:t>
      </w:r>
      <w:r w:rsidRPr="00C0531E">
        <w:rPr>
          <w:rFonts w:cs="Arial"/>
          <w:sz w:val="18"/>
          <w:szCs w:val="18"/>
        </w:rPr>
        <w:t>Ian Murray, ‘Public Benevolent Institutions for Native Title Groups: an Underappreciated Model?’ (2015) 43 Federal Law Review</w:t>
      </w:r>
      <w:r w:rsidRPr="00C0531E">
        <w:rPr>
          <w:rFonts w:cs="Arial"/>
          <w:i/>
          <w:sz w:val="18"/>
          <w:szCs w:val="18"/>
        </w:rPr>
        <w:t xml:space="preserve"> </w:t>
      </w:r>
      <w:r w:rsidRPr="00C0531E">
        <w:rPr>
          <w:rFonts w:cs="Arial"/>
          <w:sz w:val="18"/>
          <w:szCs w:val="18"/>
        </w:rPr>
        <w:t xml:space="preserve">424.  </w:t>
      </w:r>
    </w:p>
  </w:footnote>
  <w:footnote w:id="43">
    <w:p w14:paraId="5AF0A3A8" w14:textId="77777777" w:rsidR="00D70136" w:rsidRPr="00C0531E" w:rsidRDefault="00D70136" w:rsidP="00A25A68">
      <w:pPr>
        <w:pStyle w:val="FootnoteText"/>
        <w:rPr>
          <w:sz w:val="18"/>
          <w:szCs w:val="18"/>
          <w:lang w:val="en-US"/>
        </w:rPr>
      </w:pPr>
      <w:r w:rsidRPr="00C0531E">
        <w:rPr>
          <w:rStyle w:val="FootnoteReference"/>
          <w:sz w:val="18"/>
          <w:szCs w:val="18"/>
        </w:rPr>
        <w:footnoteRef/>
      </w:r>
      <w:r w:rsidRPr="00C0531E">
        <w:rPr>
          <w:sz w:val="18"/>
          <w:szCs w:val="18"/>
        </w:rPr>
        <w:t xml:space="preserve"> </w:t>
      </w:r>
      <w:r w:rsidRPr="00C0531E">
        <w:rPr>
          <w:sz w:val="18"/>
          <w:szCs w:val="18"/>
          <w:lang w:val="en-US"/>
        </w:rPr>
        <w:t xml:space="preserve">See, eg, </w:t>
      </w:r>
      <w:r w:rsidRPr="00C0531E">
        <w:rPr>
          <w:i/>
          <w:sz w:val="18"/>
          <w:szCs w:val="18"/>
          <w:lang w:val="en-US"/>
        </w:rPr>
        <w:t>Flynn v Mamarika</w:t>
      </w:r>
      <w:r w:rsidRPr="00C0531E">
        <w:rPr>
          <w:sz w:val="18"/>
          <w:szCs w:val="18"/>
          <w:lang w:val="en-US"/>
        </w:rPr>
        <w:t xml:space="preserve"> [1996] NTSC 16.</w:t>
      </w:r>
    </w:p>
  </w:footnote>
  <w:footnote w:id="44">
    <w:p w14:paraId="00837787" w14:textId="71067C59" w:rsidR="00D70136" w:rsidRPr="00C0531E" w:rsidRDefault="00D70136">
      <w:pPr>
        <w:pStyle w:val="FootnoteText"/>
        <w:rPr>
          <w:sz w:val="18"/>
          <w:szCs w:val="18"/>
        </w:rPr>
      </w:pPr>
      <w:r w:rsidRPr="00C0531E">
        <w:rPr>
          <w:rStyle w:val="FootnoteReference"/>
          <w:sz w:val="18"/>
          <w:szCs w:val="18"/>
        </w:rPr>
        <w:footnoteRef/>
      </w:r>
      <w:r w:rsidRPr="00C0531E">
        <w:rPr>
          <w:sz w:val="18"/>
          <w:szCs w:val="18"/>
        </w:rPr>
        <w:t xml:space="preserve"> </w:t>
      </w:r>
      <w:r w:rsidRPr="00C0531E">
        <w:rPr>
          <w:i/>
          <w:sz w:val="18"/>
          <w:szCs w:val="18"/>
          <w:lang w:val="en-US"/>
        </w:rPr>
        <w:t xml:space="preserve">Tasmanian Electronic Commerce </w:t>
      </w:r>
      <w:r w:rsidRPr="00C0531E">
        <w:rPr>
          <w:sz w:val="18"/>
          <w:szCs w:val="18"/>
          <w:lang w:val="en-US"/>
        </w:rPr>
        <w:t xml:space="preserve">(n </w:t>
      </w:r>
      <w:r w:rsidRPr="00C0531E">
        <w:rPr>
          <w:sz w:val="18"/>
          <w:szCs w:val="18"/>
          <w:lang w:val="en-US"/>
        </w:rPr>
        <w:fldChar w:fldCharType="begin"/>
      </w:r>
      <w:r w:rsidRPr="00C0531E">
        <w:rPr>
          <w:sz w:val="18"/>
          <w:szCs w:val="18"/>
          <w:lang w:val="en-US"/>
        </w:rPr>
        <w:instrText xml:space="preserve"> NOTEREF _Ref43897310 \h </w:instrText>
      </w:r>
      <w:r>
        <w:rPr>
          <w:sz w:val="18"/>
          <w:szCs w:val="18"/>
          <w:lang w:val="en-US"/>
        </w:rPr>
        <w:instrText xml:space="preserve"> \* MERGEFORMAT </w:instrText>
      </w:r>
      <w:r w:rsidRPr="00C0531E">
        <w:rPr>
          <w:sz w:val="18"/>
          <w:szCs w:val="18"/>
          <w:lang w:val="en-US"/>
        </w:rPr>
      </w:r>
      <w:r w:rsidRPr="00C0531E">
        <w:rPr>
          <w:sz w:val="18"/>
          <w:szCs w:val="18"/>
          <w:lang w:val="en-US"/>
        </w:rPr>
        <w:fldChar w:fldCharType="separate"/>
      </w:r>
      <w:r>
        <w:rPr>
          <w:sz w:val="18"/>
          <w:szCs w:val="18"/>
          <w:lang w:val="en-US"/>
        </w:rPr>
        <w:t>41</w:t>
      </w:r>
      <w:r w:rsidRPr="00C0531E">
        <w:rPr>
          <w:sz w:val="18"/>
          <w:szCs w:val="18"/>
          <w:lang w:val="en-US"/>
        </w:rPr>
        <w:fldChar w:fldCharType="end"/>
      </w:r>
      <w:r w:rsidRPr="00C0531E">
        <w:rPr>
          <w:sz w:val="18"/>
          <w:szCs w:val="18"/>
          <w:lang w:val="en-US"/>
        </w:rPr>
        <w:t xml:space="preserve">); </w:t>
      </w:r>
      <w:r w:rsidRPr="00C0531E">
        <w:rPr>
          <w:i/>
          <w:sz w:val="18"/>
          <w:szCs w:val="18"/>
          <w:lang w:val="en-US"/>
        </w:rPr>
        <w:t xml:space="preserve">Triton Foundation </w:t>
      </w:r>
      <w:r w:rsidRPr="00C0531E">
        <w:rPr>
          <w:sz w:val="18"/>
          <w:szCs w:val="18"/>
          <w:lang w:val="en-US"/>
        </w:rPr>
        <w:t xml:space="preserve">(n </w:t>
      </w:r>
      <w:r w:rsidRPr="00C0531E">
        <w:rPr>
          <w:sz w:val="18"/>
          <w:szCs w:val="18"/>
          <w:lang w:val="en-US"/>
        </w:rPr>
        <w:fldChar w:fldCharType="begin"/>
      </w:r>
      <w:r w:rsidRPr="00C0531E">
        <w:rPr>
          <w:sz w:val="18"/>
          <w:szCs w:val="18"/>
          <w:lang w:val="en-US"/>
        </w:rPr>
        <w:instrText xml:space="preserve"> NOTEREF _Ref43897310 \h </w:instrText>
      </w:r>
      <w:r>
        <w:rPr>
          <w:sz w:val="18"/>
          <w:szCs w:val="18"/>
          <w:lang w:val="en-US"/>
        </w:rPr>
        <w:instrText xml:space="preserve"> \* MERGEFORMAT </w:instrText>
      </w:r>
      <w:r w:rsidRPr="00C0531E">
        <w:rPr>
          <w:sz w:val="18"/>
          <w:szCs w:val="18"/>
          <w:lang w:val="en-US"/>
        </w:rPr>
      </w:r>
      <w:r w:rsidRPr="00C0531E">
        <w:rPr>
          <w:sz w:val="18"/>
          <w:szCs w:val="18"/>
          <w:lang w:val="en-US"/>
        </w:rPr>
        <w:fldChar w:fldCharType="separate"/>
      </w:r>
      <w:r>
        <w:rPr>
          <w:sz w:val="18"/>
          <w:szCs w:val="18"/>
          <w:lang w:val="en-US"/>
        </w:rPr>
        <w:t>41</w:t>
      </w:r>
      <w:r w:rsidRPr="00C0531E">
        <w:rPr>
          <w:sz w:val="18"/>
          <w:szCs w:val="18"/>
          <w:lang w:val="en-US"/>
        </w:rPr>
        <w:fldChar w:fldCharType="end"/>
      </w:r>
      <w:r>
        <w:rPr>
          <w:sz w:val="18"/>
          <w:szCs w:val="18"/>
          <w:lang w:val="en-US"/>
        </w:rPr>
        <w:t>)</w:t>
      </w:r>
      <w:r w:rsidRPr="00C0531E">
        <w:rPr>
          <w:sz w:val="18"/>
          <w:szCs w:val="18"/>
          <w:lang w:val="en-US"/>
        </w:rPr>
        <w:t>.</w:t>
      </w:r>
    </w:p>
  </w:footnote>
  <w:footnote w:id="45">
    <w:p w14:paraId="51B40A9A" w14:textId="1BD191C8" w:rsidR="00D70136" w:rsidRPr="00C0531E" w:rsidRDefault="00D70136">
      <w:pPr>
        <w:pStyle w:val="FootnoteText"/>
        <w:rPr>
          <w:sz w:val="18"/>
          <w:szCs w:val="18"/>
        </w:rPr>
      </w:pPr>
      <w:r w:rsidRPr="00C0531E">
        <w:rPr>
          <w:rStyle w:val="FootnoteReference"/>
          <w:sz w:val="18"/>
          <w:szCs w:val="18"/>
        </w:rPr>
        <w:footnoteRef/>
      </w:r>
      <w:r w:rsidRPr="00C0531E">
        <w:rPr>
          <w:sz w:val="18"/>
          <w:szCs w:val="18"/>
        </w:rPr>
        <w:t xml:space="preserve"> </w:t>
      </w:r>
      <w:r w:rsidRPr="00C0531E">
        <w:rPr>
          <w:sz w:val="18"/>
          <w:szCs w:val="18"/>
          <w:lang w:val="en-US"/>
        </w:rPr>
        <w:t>[2010] NZ</w:t>
      </w:r>
      <w:r>
        <w:rPr>
          <w:sz w:val="18"/>
          <w:szCs w:val="18"/>
          <w:lang w:val="en-US"/>
        </w:rPr>
        <w:t>HC 331</w:t>
      </w:r>
      <w:r w:rsidRPr="00C0531E">
        <w:rPr>
          <w:sz w:val="18"/>
          <w:szCs w:val="18"/>
          <w:lang w:val="en-US"/>
        </w:rPr>
        <w:t>, [66]-[68], [84] (start-up funding as well as advice and general support).</w:t>
      </w:r>
    </w:p>
  </w:footnote>
  <w:footnote w:id="46">
    <w:p w14:paraId="2D70C8BA" w14:textId="7905E3D9" w:rsidR="00D70136" w:rsidRPr="00C0531E" w:rsidRDefault="00D70136" w:rsidP="00261031">
      <w:pPr>
        <w:pStyle w:val="FootnoteText"/>
        <w:rPr>
          <w:sz w:val="18"/>
          <w:szCs w:val="18"/>
          <w:lang w:val="en-US"/>
        </w:rPr>
      </w:pPr>
      <w:r w:rsidRPr="00C0531E">
        <w:rPr>
          <w:rStyle w:val="FootnoteReference"/>
          <w:sz w:val="18"/>
          <w:szCs w:val="18"/>
        </w:rPr>
        <w:footnoteRef/>
      </w:r>
      <w:r w:rsidRPr="00C0531E">
        <w:rPr>
          <w:sz w:val="18"/>
          <w:szCs w:val="18"/>
        </w:rPr>
        <w:t xml:space="preserve"> </w:t>
      </w:r>
      <w:r w:rsidRPr="00C0531E">
        <w:rPr>
          <w:sz w:val="18"/>
          <w:szCs w:val="18"/>
          <w:lang w:val="en-US"/>
        </w:rPr>
        <w:t xml:space="preserve">Charity Commission for England and Wales, </w:t>
      </w:r>
      <w:proofErr w:type="gramStart"/>
      <w:r w:rsidRPr="00C0531E">
        <w:rPr>
          <w:i/>
          <w:sz w:val="18"/>
          <w:szCs w:val="18"/>
          <w:lang w:val="en-US"/>
        </w:rPr>
        <w:t>The</w:t>
      </w:r>
      <w:proofErr w:type="gramEnd"/>
      <w:r w:rsidRPr="00C0531E">
        <w:rPr>
          <w:i/>
          <w:sz w:val="18"/>
          <w:szCs w:val="18"/>
          <w:lang w:val="en-US"/>
        </w:rPr>
        <w:t xml:space="preserve"> Promotion of Community Capacity Building</w:t>
      </w:r>
      <w:r w:rsidRPr="00C0531E">
        <w:rPr>
          <w:sz w:val="18"/>
          <w:szCs w:val="18"/>
          <w:lang w:val="en-US"/>
        </w:rPr>
        <w:t xml:space="preserve"> </w:t>
      </w:r>
      <w:r>
        <w:rPr>
          <w:sz w:val="18"/>
          <w:szCs w:val="18"/>
          <w:lang w:val="en-US"/>
        </w:rPr>
        <w:t>(</w:t>
      </w:r>
      <w:r w:rsidRPr="00C0531E">
        <w:rPr>
          <w:sz w:val="18"/>
          <w:szCs w:val="18"/>
          <w:lang w:val="en-US"/>
        </w:rPr>
        <w:t>RR5, November 2000</w:t>
      </w:r>
      <w:r>
        <w:rPr>
          <w:sz w:val="18"/>
          <w:szCs w:val="18"/>
          <w:lang w:val="en-US"/>
        </w:rPr>
        <w:t>)</w:t>
      </w:r>
      <w:r w:rsidRPr="00C0531E">
        <w:rPr>
          <w:sz w:val="18"/>
          <w:szCs w:val="18"/>
          <w:lang w:val="en-US"/>
        </w:rPr>
        <w:t xml:space="preserve"> 7-9. </w:t>
      </w:r>
    </w:p>
  </w:footnote>
  <w:footnote w:id="47">
    <w:p w14:paraId="71E6298D" w14:textId="685930AB" w:rsidR="00D70136" w:rsidRPr="00CB782C" w:rsidRDefault="00D70136">
      <w:pPr>
        <w:pStyle w:val="FootnoteText"/>
        <w:rPr>
          <w:sz w:val="18"/>
          <w:szCs w:val="18"/>
        </w:rPr>
      </w:pPr>
      <w:r w:rsidRPr="00ED64F6">
        <w:rPr>
          <w:rStyle w:val="FootnoteReference"/>
          <w:sz w:val="18"/>
          <w:szCs w:val="18"/>
        </w:rPr>
        <w:footnoteRef/>
      </w:r>
      <w:r w:rsidRPr="00ED64F6">
        <w:rPr>
          <w:sz w:val="18"/>
          <w:szCs w:val="18"/>
        </w:rPr>
        <w:t xml:space="preserve"> A fairly </w:t>
      </w:r>
      <w:r w:rsidRPr="00C254CB">
        <w:rPr>
          <w:sz w:val="18"/>
          <w:szCs w:val="18"/>
        </w:rPr>
        <w:t xml:space="preserve">permissive view of the degree of targeting has been adopted in some cases such as </w:t>
      </w:r>
      <w:r w:rsidRPr="00C254CB">
        <w:rPr>
          <w:i/>
          <w:sz w:val="18"/>
          <w:szCs w:val="18"/>
        </w:rPr>
        <w:t>Northern Land Council</w:t>
      </w:r>
      <w:r w:rsidRPr="00C254CB">
        <w:rPr>
          <w:sz w:val="18"/>
          <w:szCs w:val="18"/>
        </w:rPr>
        <w:t xml:space="preserve"> </w:t>
      </w:r>
      <w:r>
        <w:rPr>
          <w:sz w:val="18"/>
          <w:szCs w:val="18"/>
        </w:rPr>
        <w:t xml:space="preserve">(n </w:t>
      </w:r>
      <w:r>
        <w:rPr>
          <w:sz w:val="18"/>
          <w:szCs w:val="18"/>
        </w:rPr>
        <w:fldChar w:fldCharType="begin"/>
      </w:r>
      <w:r>
        <w:rPr>
          <w:sz w:val="18"/>
          <w:szCs w:val="18"/>
        </w:rPr>
        <w:instrText xml:space="preserve"> NOTEREF _Ref43897310 \h </w:instrText>
      </w:r>
      <w:r>
        <w:rPr>
          <w:sz w:val="18"/>
          <w:szCs w:val="18"/>
        </w:rPr>
      </w:r>
      <w:r>
        <w:rPr>
          <w:sz w:val="18"/>
          <w:szCs w:val="18"/>
        </w:rPr>
        <w:fldChar w:fldCharType="separate"/>
      </w:r>
      <w:r>
        <w:rPr>
          <w:sz w:val="18"/>
          <w:szCs w:val="18"/>
        </w:rPr>
        <w:t>41</w:t>
      </w:r>
      <w:r>
        <w:rPr>
          <w:sz w:val="18"/>
          <w:szCs w:val="18"/>
        </w:rPr>
        <w:fldChar w:fldCharType="end"/>
      </w:r>
      <w:r>
        <w:rPr>
          <w:sz w:val="18"/>
          <w:szCs w:val="18"/>
        </w:rPr>
        <w:t>)</w:t>
      </w:r>
      <w:r w:rsidRPr="00C254CB">
        <w:rPr>
          <w:sz w:val="18"/>
          <w:szCs w:val="18"/>
        </w:rPr>
        <w:t xml:space="preserve">; </w:t>
      </w:r>
      <w:r w:rsidRPr="006D3755">
        <w:rPr>
          <w:i/>
          <w:sz w:val="18"/>
          <w:szCs w:val="18"/>
        </w:rPr>
        <w:t xml:space="preserve">Maclean Shire </w:t>
      </w:r>
      <w:r w:rsidRPr="00CB782C">
        <w:rPr>
          <w:i/>
          <w:sz w:val="18"/>
          <w:szCs w:val="18"/>
        </w:rPr>
        <w:t>Council v Nungera Cooperative Society Ltd</w:t>
      </w:r>
      <w:r w:rsidRPr="00CB782C">
        <w:rPr>
          <w:sz w:val="18"/>
          <w:szCs w:val="18"/>
        </w:rPr>
        <w:t xml:space="preserve"> (1994) 84 LGERA 139 (NSWCA) (acknowledging that these are public benevolent institution cases, involving a potentially stricter test).</w:t>
      </w:r>
    </w:p>
  </w:footnote>
  <w:footnote w:id="48">
    <w:p w14:paraId="4D2833BB" w14:textId="005E1563" w:rsidR="00D70136" w:rsidRPr="00CB782C" w:rsidRDefault="00D70136">
      <w:pPr>
        <w:pStyle w:val="FootnoteText"/>
        <w:rPr>
          <w:sz w:val="18"/>
          <w:szCs w:val="18"/>
        </w:rPr>
      </w:pPr>
      <w:r w:rsidRPr="00CB782C">
        <w:rPr>
          <w:rStyle w:val="FootnoteReference"/>
          <w:sz w:val="18"/>
          <w:szCs w:val="18"/>
        </w:rPr>
        <w:footnoteRef/>
      </w:r>
      <w:r w:rsidRPr="00CB782C">
        <w:rPr>
          <w:sz w:val="18"/>
          <w:szCs w:val="18"/>
        </w:rPr>
        <w:t xml:space="preserve"> [2011] NZHC 617.</w:t>
      </w:r>
    </w:p>
  </w:footnote>
  <w:footnote w:id="49">
    <w:p w14:paraId="01F4D1A7" w14:textId="493B7EA1" w:rsidR="00D70136" w:rsidRPr="00CB782C" w:rsidRDefault="00D70136" w:rsidP="00ED64F6">
      <w:pPr>
        <w:rPr>
          <w:sz w:val="18"/>
          <w:szCs w:val="18"/>
        </w:rPr>
      </w:pPr>
      <w:r w:rsidRPr="00CB782C">
        <w:rPr>
          <w:rStyle w:val="FootnoteReference"/>
          <w:sz w:val="18"/>
          <w:szCs w:val="18"/>
        </w:rPr>
        <w:footnoteRef/>
      </w:r>
      <w:r w:rsidRPr="00CB782C">
        <w:rPr>
          <w:sz w:val="18"/>
          <w:szCs w:val="18"/>
        </w:rPr>
        <w:t xml:space="preserve"> </w:t>
      </w:r>
      <w:r w:rsidRPr="00CB782C">
        <w:rPr>
          <w:i/>
          <w:sz w:val="18"/>
          <w:szCs w:val="18"/>
          <w:lang w:val="en-GB"/>
        </w:rPr>
        <w:t xml:space="preserve">Word Investments </w:t>
      </w:r>
      <w:r w:rsidRPr="00CB782C">
        <w:rPr>
          <w:sz w:val="18"/>
          <w:szCs w:val="18"/>
          <w:lang w:val="en-GB"/>
        </w:rPr>
        <w:t xml:space="preserve">(n </w:t>
      </w:r>
      <w:r w:rsidRPr="00CB782C">
        <w:rPr>
          <w:sz w:val="18"/>
          <w:szCs w:val="18"/>
          <w:lang w:val="en-GB"/>
        </w:rPr>
        <w:fldChar w:fldCharType="begin"/>
      </w:r>
      <w:r w:rsidRPr="00CB782C">
        <w:rPr>
          <w:sz w:val="18"/>
          <w:szCs w:val="18"/>
          <w:lang w:val="en-GB"/>
        </w:rPr>
        <w:instrText xml:space="preserve"> NOTEREF _Ref43896366 \h  \* MERGEFORMAT </w:instrText>
      </w:r>
      <w:r w:rsidRPr="00CB782C">
        <w:rPr>
          <w:sz w:val="18"/>
          <w:szCs w:val="18"/>
          <w:lang w:val="en-GB"/>
        </w:rPr>
      </w:r>
      <w:r w:rsidRPr="00CB782C">
        <w:rPr>
          <w:sz w:val="18"/>
          <w:szCs w:val="18"/>
          <w:lang w:val="en-GB"/>
        </w:rPr>
        <w:fldChar w:fldCharType="separate"/>
      </w:r>
      <w:r>
        <w:rPr>
          <w:sz w:val="18"/>
          <w:szCs w:val="18"/>
          <w:lang w:val="en-GB"/>
        </w:rPr>
        <w:t>29</w:t>
      </w:r>
      <w:r w:rsidRPr="00CB782C">
        <w:rPr>
          <w:sz w:val="18"/>
          <w:szCs w:val="18"/>
          <w:lang w:val="en-GB"/>
        </w:rPr>
        <w:fldChar w:fldCharType="end"/>
      </w:r>
      <w:r w:rsidRPr="00CB782C">
        <w:rPr>
          <w:sz w:val="18"/>
          <w:szCs w:val="18"/>
          <w:lang w:val="en-GB"/>
        </w:rPr>
        <w:t>)</w:t>
      </w:r>
      <w:r w:rsidRPr="00CB782C">
        <w:rPr>
          <w:sz w:val="18"/>
          <w:szCs w:val="18"/>
        </w:rPr>
        <w:t xml:space="preserve"> [38].</w:t>
      </w:r>
    </w:p>
  </w:footnote>
  <w:footnote w:id="50">
    <w:p w14:paraId="156E26CF" w14:textId="1DB7C55C" w:rsidR="00D70136" w:rsidRPr="00CB782C" w:rsidRDefault="00D70136" w:rsidP="00A43D72">
      <w:pPr>
        <w:rPr>
          <w:sz w:val="18"/>
          <w:szCs w:val="18"/>
        </w:rPr>
      </w:pPr>
      <w:r w:rsidRPr="00CB782C">
        <w:rPr>
          <w:rStyle w:val="FootnoteReference"/>
          <w:sz w:val="18"/>
          <w:szCs w:val="18"/>
        </w:rPr>
        <w:footnoteRef/>
      </w:r>
      <w:r w:rsidRPr="00CB782C">
        <w:rPr>
          <w:sz w:val="18"/>
          <w:szCs w:val="18"/>
        </w:rPr>
        <w:t xml:space="preserve"> </w:t>
      </w:r>
      <w:r w:rsidRPr="00CB782C">
        <w:rPr>
          <w:i/>
          <w:sz w:val="18"/>
          <w:szCs w:val="18"/>
          <w:lang w:val="en-GB"/>
        </w:rPr>
        <w:t>Ibid</w:t>
      </w:r>
      <w:r w:rsidRPr="00CB782C">
        <w:rPr>
          <w:sz w:val="18"/>
          <w:szCs w:val="18"/>
        </w:rPr>
        <w:t xml:space="preserve"> [26]. See also Ian Murray, ‘Looking at the Charitable Purposes/Activities Distinction through a Political Advocacy Lens: A Trans-Tasman Perspective’ (2019) 19(1) Oxford University Commonwealth Law Journal 30, 36-8.</w:t>
      </w:r>
    </w:p>
  </w:footnote>
  <w:footnote w:id="51">
    <w:p w14:paraId="41E419AA" w14:textId="77777777" w:rsidR="00D70136" w:rsidRPr="00CB782C" w:rsidRDefault="00D70136" w:rsidP="00932B1F">
      <w:pPr>
        <w:pStyle w:val="FootnoteText"/>
        <w:rPr>
          <w:sz w:val="18"/>
          <w:szCs w:val="18"/>
        </w:rPr>
      </w:pPr>
      <w:r w:rsidRPr="00CB782C">
        <w:rPr>
          <w:rStyle w:val="FootnoteReference"/>
          <w:sz w:val="18"/>
          <w:szCs w:val="18"/>
        </w:rPr>
        <w:footnoteRef/>
      </w:r>
      <w:r w:rsidRPr="00CB782C">
        <w:rPr>
          <w:sz w:val="18"/>
          <w:szCs w:val="18"/>
        </w:rPr>
        <w:t xml:space="preserve"> </w:t>
      </w:r>
      <w:r w:rsidRPr="00CB782C">
        <w:rPr>
          <w:i/>
          <w:sz w:val="18"/>
          <w:szCs w:val="18"/>
        </w:rPr>
        <w:t>South Australian Employers' Chamber of Commerce and Industry Incorporated v Commissioner of State Taxation</w:t>
      </w:r>
      <w:r w:rsidRPr="00CB782C">
        <w:rPr>
          <w:sz w:val="18"/>
          <w:szCs w:val="18"/>
        </w:rPr>
        <w:t xml:space="preserve"> [2019] SASCFC 125, [254].</w:t>
      </w:r>
    </w:p>
  </w:footnote>
  <w:footnote w:id="52">
    <w:p w14:paraId="757C3335" w14:textId="60356125" w:rsidR="00D70136" w:rsidRPr="00386C3E" w:rsidRDefault="00D70136">
      <w:pPr>
        <w:pStyle w:val="FootnoteText"/>
        <w:rPr>
          <w:sz w:val="18"/>
          <w:szCs w:val="18"/>
        </w:rPr>
      </w:pPr>
      <w:r w:rsidRPr="00386C3E">
        <w:rPr>
          <w:rStyle w:val="FootnoteReference"/>
          <w:sz w:val="18"/>
          <w:szCs w:val="18"/>
        </w:rPr>
        <w:footnoteRef/>
      </w:r>
      <w:r w:rsidRPr="00386C3E">
        <w:rPr>
          <w:sz w:val="18"/>
          <w:szCs w:val="18"/>
        </w:rPr>
        <w:t xml:space="preserve"> C</w:t>
      </w:r>
      <w:r>
        <w:rPr>
          <w:sz w:val="18"/>
          <w:szCs w:val="18"/>
        </w:rPr>
        <w:t>f</w:t>
      </w:r>
      <w:r w:rsidRPr="00386C3E">
        <w:rPr>
          <w:sz w:val="18"/>
          <w:szCs w:val="18"/>
        </w:rPr>
        <w:t xml:space="preserve"> </w:t>
      </w:r>
      <w:r>
        <w:rPr>
          <w:i/>
          <w:sz w:val="18"/>
          <w:szCs w:val="18"/>
        </w:rPr>
        <w:t>ibid</w:t>
      </w:r>
      <w:r w:rsidRPr="00386C3E">
        <w:rPr>
          <w:sz w:val="18"/>
          <w:szCs w:val="18"/>
        </w:rPr>
        <w:t xml:space="preserve">; </w:t>
      </w:r>
      <w:r>
        <w:rPr>
          <w:i/>
          <w:iCs/>
          <w:sz w:val="18"/>
          <w:szCs w:val="18"/>
        </w:rPr>
        <w:t>CCIWA</w:t>
      </w:r>
      <w:r>
        <w:rPr>
          <w:iCs/>
          <w:sz w:val="18"/>
          <w:szCs w:val="18"/>
        </w:rPr>
        <w:t xml:space="preserve"> (n </w:t>
      </w:r>
      <w:r>
        <w:rPr>
          <w:iCs/>
          <w:sz w:val="18"/>
          <w:szCs w:val="18"/>
        </w:rPr>
        <w:fldChar w:fldCharType="begin"/>
      </w:r>
      <w:r>
        <w:rPr>
          <w:iCs/>
          <w:sz w:val="18"/>
          <w:szCs w:val="18"/>
        </w:rPr>
        <w:instrText xml:space="preserve"> NOTEREF _Ref43897310 \h </w:instrText>
      </w:r>
      <w:r>
        <w:rPr>
          <w:iCs/>
          <w:sz w:val="18"/>
          <w:szCs w:val="18"/>
        </w:rPr>
      </w:r>
      <w:r>
        <w:rPr>
          <w:iCs/>
          <w:sz w:val="18"/>
          <w:szCs w:val="18"/>
        </w:rPr>
        <w:fldChar w:fldCharType="separate"/>
      </w:r>
      <w:r>
        <w:rPr>
          <w:iCs/>
          <w:sz w:val="18"/>
          <w:szCs w:val="18"/>
        </w:rPr>
        <w:t>41</w:t>
      </w:r>
      <w:r>
        <w:rPr>
          <w:iCs/>
          <w:sz w:val="18"/>
          <w:szCs w:val="18"/>
        </w:rPr>
        <w:fldChar w:fldCharType="end"/>
      </w:r>
      <w:r>
        <w:rPr>
          <w:iCs/>
          <w:sz w:val="18"/>
          <w:szCs w:val="18"/>
        </w:rPr>
        <w:t>)</w:t>
      </w:r>
      <w:r w:rsidRPr="00386C3E">
        <w:rPr>
          <w:sz w:val="18"/>
          <w:szCs w:val="18"/>
        </w:rPr>
        <w:t>.</w:t>
      </w:r>
    </w:p>
  </w:footnote>
  <w:footnote w:id="53">
    <w:p w14:paraId="2A3F8B5C" w14:textId="7D9F21B2" w:rsidR="00D70136" w:rsidRPr="00386C3E" w:rsidRDefault="00D70136">
      <w:pPr>
        <w:pStyle w:val="FootnoteText"/>
        <w:rPr>
          <w:sz w:val="18"/>
          <w:szCs w:val="18"/>
        </w:rPr>
      </w:pPr>
      <w:r w:rsidRPr="00386C3E">
        <w:rPr>
          <w:rStyle w:val="FootnoteReference"/>
          <w:sz w:val="18"/>
          <w:szCs w:val="18"/>
        </w:rPr>
        <w:footnoteRef/>
      </w:r>
      <w:r w:rsidRPr="00386C3E">
        <w:rPr>
          <w:sz w:val="18"/>
          <w:szCs w:val="18"/>
        </w:rPr>
        <w:t xml:space="preserve"> </w:t>
      </w:r>
      <w:r w:rsidRPr="00386C3E">
        <w:rPr>
          <w:rFonts w:cs="Arial"/>
          <w:sz w:val="18"/>
          <w:szCs w:val="18"/>
        </w:rPr>
        <w:t xml:space="preserve">Murray and Wright (n </w:t>
      </w:r>
      <w:r w:rsidRPr="00386C3E">
        <w:rPr>
          <w:rFonts w:cs="Arial"/>
          <w:sz w:val="18"/>
          <w:szCs w:val="18"/>
        </w:rPr>
        <w:fldChar w:fldCharType="begin"/>
      </w:r>
      <w:r w:rsidRPr="00386C3E">
        <w:rPr>
          <w:rFonts w:cs="Arial"/>
          <w:sz w:val="18"/>
          <w:szCs w:val="18"/>
        </w:rPr>
        <w:instrText xml:space="preserve"> NOTEREF _Ref22729333 \h </w:instrText>
      </w:r>
      <w:r>
        <w:rPr>
          <w:rFonts w:cs="Arial"/>
          <w:sz w:val="18"/>
          <w:szCs w:val="18"/>
        </w:rPr>
        <w:instrText xml:space="preserve"> \* MERGEFORMAT </w:instrText>
      </w:r>
      <w:r w:rsidRPr="00386C3E">
        <w:rPr>
          <w:rFonts w:cs="Arial"/>
          <w:sz w:val="18"/>
          <w:szCs w:val="18"/>
        </w:rPr>
      </w:r>
      <w:r w:rsidRPr="00386C3E">
        <w:rPr>
          <w:rFonts w:cs="Arial"/>
          <w:sz w:val="18"/>
          <w:szCs w:val="18"/>
        </w:rPr>
        <w:fldChar w:fldCharType="separate"/>
      </w:r>
      <w:r>
        <w:rPr>
          <w:rFonts w:cs="Arial"/>
          <w:sz w:val="18"/>
          <w:szCs w:val="18"/>
        </w:rPr>
        <w:t>21</w:t>
      </w:r>
      <w:r w:rsidRPr="00386C3E">
        <w:rPr>
          <w:rFonts w:cs="Arial"/>
          <w:sz w:val="18"/>
          <w:szCs w:val="18"/>
        </w:rPr>
        <w:fldChar w:fldCharType="end"/>
      </w:r>
      <w:r w:rsidRPr="00386C3E">
        <w:rPr>
          <w:rFonts w:cs="Arial"/>
          <w:sz w:val="18"/>
          <w:szCs w:val="18"/>
        </w:rPr>
        <w:t xml:space="preserve">) </w:t>
      </w:r>
      <w:r w:rsidRPr="00386C3E">
        <w:rPr>
          <w:sz w:val="18"/>
          <w:szCs w:val="18"/>
        </w:rPr>
        <w:t xml:space="preserve">107; Murray, </w:t>
      </w:r>
      <w:proofErr w:type="spellStart"/>
      <w:r w:rsidRPr="00386C3E">
        <w:rPr>
          <w:sz w:val="18"/>
          <w:szCs w:val="18"/>
        </w:rPr>
        <w:t>Fardin</w:t>
      </w:r>
      <w:proofErr w:type="spellEnd"/>
      <w:r w:rsidRPr="00386C3E">
        <w:rPr>
          <w:sz w:val="18"/>
          <w:szCs w:val="18"/>
        </w:rPr>
        <w:t xml:space="preserve"> and O’Hara (n </w:t>
      </w:r>
      <w:r w:rsidRPr="00386C3E">
        <w:rPr>
          <w:sz w:val="18"/>
          <w:szCs w:val="18"/>
        </w:rPr>
        <w:fldChar w:fldCharType="begin"/>
      </w:r>
      <w:r w:rsidRPr="00386C3E">
        <w:rPr>
          <w:sz w:val="18"/>
          <w:szCs w:val="18"/>
        </w:rPr>
        <w:instrText xml:space="preserve"> NOTEREF _Ref43891040 \h  \* MERGEFORMAT </w:instrText>
      </w:r>
      <w:r w:rsidRPr="00386C3E">
        <w:rPr>
          <w:sz w:val="18"/>
          <w:szCs w:val="18"/>
        </w:rPr>
      </w:r>
      <w:r w:rsidRPr="00386C3E">
        <w:rPr>
          <w:sz w:val="18"/>
          <w:szCs w:val="18"/>
        </w:rPr>
        <w:fldChar w:fldCharType="separate"/>
      </w:r>
      <w:r>
        <w:rPr>
          <w:sz w:val="18"/>
          <w:szCs w:val="18"/>
        </w:rPr>
        <w:t>2</w:t>
      </w:r>
      <w:r w:rsidRPr="00386C3E">
        <w:rPr>
          <w:sz w:val="18"/>
          <w:szCs w:val="18"/>
        </w:rPr>
        <w:fldChar w:fldCharType="end"/>
      </w:r>
      <w:r w:rsidRPr="00386C3E">
        <w:rPr>
          <w:sz w:val="18"/>
          <w:szCs w:val="18"/>
        </w:rPr>
        <w:t>) 9-10, 13, 55-6, 148.</w:t>
      </w:r>
    </w:p>
  </w:footnote>
  <w:footnote w:id="54">
    <w:p w14:paraId="4C426998" w14:textId="249D89CD" w:rsidR="00D70136" w:rsidRPr="00386C3E" w:rsidRDefault="00D70136" w:rsidP="00AA4DB2">
      <w:pPr>
        <w:pStyle w:val="FootnoteText"/>
        <w:rPr>
          <w:rFonts w:cs="Arial"/>
          <w:sz w:val="18"/>
          <w:szCs w:val="18"/>
        </w:rPr>
      </w:pPr>
      <w:r w:rsidRPr="00386C3E">
        <w:rPr>
          <w:rStyle w:val="FootnoteReference"/>
          <w:rFonts w:cs="Arial"/>
          <w:sz w:val="18"/>
          <w:szCs w:val="18"/>
        </w:rPr>
        <w:footnoteRef/>
      </w:r>
      <w:r w:rsidRPr="00386C3E">
        <w:rPr>
          <w:rFonts w:cs="Arial"/>
          <w:sz w:val="18"/>
          <w:szCs w:val="18"/>
        </w:rPr>
        <w:t xml:space="preserve"> There are exceptions in some circumstances, for instance, for charities for the relief of poverty or of necessitous circumstances. However, BMS charities would typically be for a broader range of purposes.</w:t>
      </w:r>
    </w:p>
  </w:footnote>
  <w:footnote w:id="55">
    <w:p w14:paraId="2AD9DD36" w14:textId="18270E9B" w:rsidR="00D70136" w:rsidRPr="00386C3E" w:rsidRDefault="00D70136" w:rsidP="00AA4DB2">
      <w:pPr>
        <w:pStyle w:val="FootnoteText"/>
        <w:rPr>
          <w:rFonts w:cs="Arial"/>
          <w:sz w:val="18"/>
          <w:szCs w:val="18"/>
        </w:rPr>
      </w:pPr>
      <w:r w:rsidRPr="00386C3E">
        <w:rPr>
          <w:rStyle w:val="FootnoteReference"/>
          <w:rFonts w:cs="Arial"/>
          <w:sz w:val="18"/>
          <w:szCs w:val="18"/>
        </w:rPr>
        <w:footnoteRef/>
      </w:r>
      <w:r w:rsidRPr="00386C3E">
        <w:rPr>
          <w:rFonts w:cs="Arial"/>
          <w:sz w:val="18"/>
          <w:szCs w:val="18"/>
        </w:rPr>
        <w:t xml:space="preserve"> Charities Act 2013 (Cth) s 9. For a discussion of the relevant provisions and the common law, see, eg, Murray, ‘Public Benevolent Institutions’ (</w:t>
      </w:r>
      <w:r w:rsidRPr="00386C3E">
        <w:rPr>
          <w:sz w:val="18"/>
          <w:szCs w:val="18"/>
          <w:lang w:val="en-US"/>
        </w:rPr>
        <w:t xml:space="preserve">n </w:t>
      </w:r>
      <w:r w:rsidRPr="00386C3E">
        <w:rPr>
          <w:sz w:val="18"/>
          <w:szCs w:val="18"/>
          <w:lang w:val="en-US"/>
        </w:rPr>
        <w:fldChar w:fldCharType="begin"/>
      </w:r>
      <w:r w:rsidRPr="00386C3E">
        <w:rPr>
          <w:sz w:val="18"/>
          <w:szCs w:val="18"/>
          <w:lang w:val="en-US"/>
        </w:rPr>
        <w:instrText xml:space="preserve"> NOTEREF _Ref43897310 \h  \* MERGEFORMAT </w:instrText>
      </w:r>
      <w:r w:rsidRPr="00386C3E">
        <w:rPr>
          <w:sz w:val="18"/>
          <w:szCs w:val="18"/>
          <w:lang w:val="en-US"/>
        </w:rPr>
      </w:r>
      <w:r w:rsidRPr="00386C3E">
        <w:rPr>
          <w:sz w:val="18"/>
          <w:szCs w:val="18"/>
          <w:lang w:val="en-US"/>
        </w:rPr>
        <w:fldChar w:fldCharType="separate"/>
      </w:r>
      <w:r>
        <w:rPr>
          <w:sz w:val="18"/>
          <w:szCs w:val="18"/>
          <w:lang w:val="en-US"/>
        </w:rPr>
        <w:t>41</w:t>
      </w:r>
      <w:r w:rsidRPr="00386C3E">
        <w:rPr>
          <w:sz w:val="18"/>
          <w:szCs w:val="18"/>
          <w:lang w:val="en-US"/>
        </w:rPr>
        <w:fldChar w:fldCharType="end"/>
      </w:r>
      <w:r w:rsidRPr="00386C3E">
        <w:rPr>
          <w:rFonts w:cs="Arial"/>
          <w:sz w:val="18"/>
          <w:szCs w:val="18"/>
        </w:rPr>
        <w:t xml:space="preserve">) 435-40; Fiona Martin, ‘Convergence and Divergence with the Common Law: The Public Benefit Test and Charities for Indigenous Peoples’ in Matthew </w:t>
      </w:r>
      <w:r w:rsidRPr="00386C3E">
        <w:rPr>
          <w:rFonts w:cs="Arial"/>
          <w:sz w:val="18"/>
          <w:szCs w:val="18"/>
          <w:lang w:val="en"/>
        </w:rPr>
        <w:t xml:space="preserve">Harding, Ann O'Connell and Miranda Stewart (eds), </w:t>
      </w:r>
      <w:r w:rsidRPr="00386C3E">
        <w:rPr>
          <w:rFonts w:cs="Arial"/>
          <w:i/>
          <w:sz w:val="18"/>
          <w:szCs w:val="18"/>
          <w:lang w:val="en"/>
        </w:rPr>
        <w:t>Not-for-Profit Law: Theoretical and Comparative Perspectives</w:t>
      </w:r>
      <w:r w:rsidRPr="00386C3E">
        <w:rPr>
          <w:rFonts w:cs="Arial"/>
          <w:sz w:val="18"/>
          <w:szCs w:val="18"/>
          <w:lang w:val="en"/>
        </w:rPr>
        <w:t xml:space="preserve"> (</w:t>
      </w:r>
      <w:r>
        <w:rPr>
          <w:rFonts w:cs="Arial"/>
          <w:sz w:val="18"/>
          <w:szCs w:val="18"/>
          <w:lang w:val="en"/>
        </w:rPr>
        <w:t>CUP</w:t>
      </w:r>
      <w:r w:rsidRPr="00386C3E">
        <w:rPr>
          <w:rFonts w:cs="Arial"/>
          <w:sz w:val="18"/>
          <w:szCs w:val="18"/>
          <w:lang w:val="en"/>
        </w:rPr>
        <w:t xml:space="preserve"> 2014) 159; </w:t>
      </w:r>
      <w:r w:rsidRPr="00386C3E">
        <w:rPr>
          <w:rFonts w:cs="Arial"/>
          <w:sz w:val="18"/>
          <w:szCs w:val="18"/>
        </w:rPr>
        <w:t xml:space="preserve">ACNC, </w:t>
      </w:r>
      <w:r w:rsidRPr="00386C3E">
        <w:rPr>
          <w:rFonts w:cs="Arial"/>
          <w:i/>
          <w:sz w:val="18"/>
          <w:szCs w:val="18"/>
        </w:rPr>
        <w:t xml:space="preserve">Commissioner’s Interpretation Statement: Indigenous Charities </w:t>
      </w:r>
      <w:r w:rsidRPr="00386C3E">
        <w:rPr>
          <w:rFonts w:cs="Arial"/>
          <w:sz w:val="18"/>
          <w:szCs w:val="18"/>
        </w:rPr>
        <w:t>(CIS 2013/02, 19 May 2015).</w:t>
      </w:r>
    </w:p>
  </w:footnote>
  <w:footnote w:id="56">
    <w:p w14:paraId="0308372A" w14:textId="09C7EECF" w:rsidR="00D70136" w:rsidRPr="00386C3E" w:rsidRDefault="00D70136" w:rsidP="00AA4DB2">
      <w:pPr>
        <w:pStyle w:val="FootnoteText"/>
        <w:rPr>
          <w:sz w:val="18"/>
          <w:szCs w:val="18"/>
          <w:lang w:val="en-US"/>
        </w:rPr>
      </w:pPr>
      <w:r w:rsidRPr="00386C3E">
        <w:rPr>
          <w:rStyle w:val="FootnoteReference"/>
          <w:sz w:val="18"/>
          <w:szCs w:val="18"/>
        </w:rPr>
        <w:footnoteRef/>
      </w:r>
      <w:r w:rsidRPr="00386C3E">
        <w:rPr>
          <w:sz w:val="18"/>
          <w:szCs w:val="18"/>
        </w:rPr>
        <w:t xml:space="preserve"> </w:t>
      </w:r>
      <w:r w:rsidRPr="00386C3E">
        <w:rPr>
          <w:sz w:val="18"/>
          <w:szCs w:val="18"/>
          <w:lang w:val="en-US"/>
        </w:rPr>
        <w:t xml:space="preserve">See, eg, </w:t>
      </w:r>
      <w:r w:rsidRPr="00386C3E">
        <w:rPr>
          <w:rFonts w:cs="Arial"/>
          <w:sz w:val="18"/>
          <w:szCs w:val="18"/>
        </w:rPr>
        <w:t>Murray, ‘Public Benevolent Institutions’ (</w:t>
      </w:r>
      <w:r w:rsidRPr="00386C3E">
        <w:rPr>
          <w:sz w:val="18"/>
          <w:szCs w:val="18"/>
          <w:lang w:val="en-US"/>
        </w:rPr>
        <w:t xml:space="preserve">n </w:t>
      </w:r>
      <w:r w:rsidRPr="00386C3E">
        <w:rPr>
          <w:sz w:val="18"/>
          <w:szCs w:val="18"/>
          <w:lang w:val="en-US"/>
        </w:rPr>
        <w:fldChar w:fldCharType="begin"/>
      </w:r>
      <w:r w:rsidRPr="00386C3E">
        <w:rPr>
          <w:sz w:val="18"/>
          <w:szCs w:val="18"/>
          <w:lang w:val="en-US"/>
        </w:rPr>
        <w:instrText xml:space="preserve"> NOTEREF _Ref43897310 \h  \* MERGEFORMAT </w:instrText>
      </w:r>
      <w:r w:rsidRPr="00386C3E">
        <w:rPr>
          <w:sz w:val="18"/>
          <w:szCs w:val="18"/>
          <w:lang w:val="en-US"/>
        </w:rPr>
      </w:r>
      <w:r w:rsidRPr="00386C3E">
        <w:rPr>
          <w:sz w:val="18"/>
          <w:szCs w:val="18"/>
          <w:lang w:val="en-US"/>
        </w:rPr>
        <w:fldChar w:fldCharType="separate"/>
      </w:r>
      <w:r>
        <w:rPr>
          <w:sz w:val="18"/>
          <w:szCs w:val="18"/>
          <w:lang w:val="en-US"/>
        </w:rPr>
        <w:t>41</w:t>
      </w:r>
      <w:r w:rsidRPr="00386C3E">
        <w:rPr>
          <w:sz w:val="18"/>
          <w:szCs w:val="18"/>
          <w:lang w:val="en-US"/>
        </w:rPr>
        <w:fldChar w:fldCharType="end"/>
      </w:r>
      <w:r w:rsidRPr="00386C3E">
        <w:rPr>
          <w:rFonts w:cs="Arial"/>
          <w:sz w:val="18"/>
          <w:szCs w:val="18"/>
        </w:rPr>
        <w:t xml:space="preserve">) 435-40; </w:t>
      </w:r>
      <w:r w:rsidRPr="00386C3E">
        <w:rPr>
          <w:rFonts w:cs="Arial"/>
          <w:i/>
          <w:sz w:val="18"/>
          <w:szCs w:val="18"/>
        </w:rPr>
        <w:t>Groote Eylandt Aboriginal Trust Inc v Deloitte, Touche Tohmatsu</w:t>
      </w:r>
      <w:r w:rsidRPr="00386C3E">
        <w:rPr>
          <w:rFonts w:cs="Arial"/>
          <w:sz w:val="18"/>
          <w:szCs w:val="18"/>
        </w:rPr>
        <w:t xml:space="preserve"> (No 2) [2017] NTSC 4, [153]-[155], [202], [222]-[227], [239]-[243] (14 clans descended from apical ancestors, comprising in total 800 to 1500 people); cf </w:t>
      </w:r>
      <w:r w:rsidRPr="00386C3E">
        <w:rPr>
          <w:rFonts w:cs="Arial"/>
          <w:i/>
          <w:sz w:val="18"/>
          <w:szCs w:val="18"/>
        </w:rPr>
        <w:t xml:space="preserve">Plan B Trustees Ltd v Parker </w:t>
      </w:r>
      <w:r w:rsidRPr="00386C3E">
        <w:rPr>
          <w:rFonts w:cs="Arial"/>
          <w:sz w:val="18"/>
          <w:szCs w:val="18"/>
        </w:rPr>
        <w:t>(No 2) [2013] WASC 216 [118]–[119] (single native title claim group)</w:t>
      </w:r>
      <w:r>
        <w:rPr>
          <w:rFonts w:cs="Arial"/>
          <w:sz w:val="18"/>
          <w:szCs w:val="18"/>
        </w:rPr>
        <w:t>.</w:t>
      </w:r>
    </w:p>
  </w:footnote>
  <w:footnote w:id="57">
    <w:p w14:paraId="6D38F1DD" w14:textId="51701B5F" w:rsidR="00D70136" w:rsidRPr="00386C3E" w:rsidRDefault="00D70136" w:rsidP="00AA4DB2">
      <w:pPr>
        <w:pStyle w:val="FootnoteText"/>
        <w:rPr>
          <w:sz w:val="18"/>
          <w:szCs w:val="18"/>
          <w:lang w:val="en-US"/>
        </w:rPr>
      </w:pPr>
      <w:r w:rsidRPr="00386C3E">
        <w:rPr>
          <w:rStyle w:val="FootnoteReference"/>
          <w:sz w:val="18"/>
          <w:szCs w:val="18"/>
        </w:rPr>
        <w:footnoteRef/>
      </w:r>
      <w:r w:rsidRPr="00386C3E">
        <w:rPr>
          <w:sz w:val="18"/>
          <w:szCs w:val="18"/>
        </w:rPr>
        <w:t xml:space="preserve"> </w:t>
      </w:r>
      <w:r w:rsidRPr="00386C3E">
        <w:rPr>
          <w:sz w:val="18"/>
          <w:szCs w:val="18"/>
          <w:lang w:val="en-US"/>
        </w:rPr>
        <w:t xml:space="preserve">See, eg, </w:t>
      </w:r>
      <w:r w:rsidRPr="00386C3E">
        <w:rPr>
          <w:rFonts w:cs="Arial"/>
          <w:i/>
          <w:sz w:val="18"/>
          <w:szCs w:val="18"/>
        </w:rPr>
        <w:t xml:space="preserve">Plan B Trustees </w:t>
      </w:r>
      <w:r w:rsidRPr="00386C3E">
        <w:rPr>
          <w:rFonts w:cs="Arial"/>
          <w:sz w:val="18"/>
          <w:szCs w:val="18"/>
        </w:rPr>
        <w:t>(</w:t>
      </w:r>
      <w:r>
        <w:rPr>
          <w:rFonts w:cs="Arial"/>
          <w:sz w:val="18"/>
          <w:szCs w:val="18"/>
        </w:rPr>
        <w:t xml:space="preserve">n </w:t>
      </w:r>
      <w:r>
        <w:rPr>
          <w:rFonts w:cs="Arial"/>
          <w:sz w:val="18"/>
          <w:szCs w:val="18"/>
        </w:rPr>
        <w:fldChar w:fldCharType="begin"/>
      </w:r>
      <w:r>
        <w:rPr>
          <w:rFonts w:cs="Arial"/>
          <w:sz w:val="18"/>
          <w:szCs w:val="18"/>
        </w:rPr>
        <w:instrText xml:space="preserve"> NOTEREF _Ref43898717 \h </w:instrText>
      </w:r>
      <w:r>
        <w:rPr>
          <w:rFonts w:cs="Arial"/>
          <w:sz w:val="18"/>
          <w:szCs w:val="18"/>
        </w:rPr>
      </w:r>
      <w:r>
        <w:rPr>
          <w:rFonts w:cs="Arial"/>
          <w:sz w:val="18"/>
          <w:szCs w:val="18"/>
        </w:rPr>
        <w:fldChar w:fldCharType="separate"/>
      </w:r>
      <w:r>
        <w:rPr>
          <w:rFonts w:cs="Arial"/>
          <w:sz w:val="18"/>
          <w:szCs w:val="18"/>
        </w:rPr>
        <w:t>55</w:t>
      </w:r>
      <w:r>
        <w:rPr>
          <w:rFonts w:cs="Arial"/>
          <w:sz w:val="18"/>
          <w:szCs w:val="18"/>
        </w:rPr>
        <w:fldChar w:fldCharType="end"/>
      </w:r>
      <w:r w:rsidRPr="00386C3E">
        <w:rPr>
          <w:rFonts w:cs="Arial"/>
          <w:sz w:val="18"/>
          <w:szCs w:val="18"/>
        </w:rPr>
        <w:t>).</w:t>
      </w:r>
    </w:p>
  </w:footnote>
  <w:footnote w:id="58">
    <w:p w14:paraId="3CA3A08D" w14:textId="5714B23B" w:rsidR="00D70136" w:rsidRPr="003A5E8E" w:rsidRDefault="00D70136" w:rsidP="00AA4DB2">
      <w:pPr>
        <w:pStyle w:val="FootnoteText"/>
        <w:rPr>
          <w:rFonts w:cs="Arial"/>
          <w:sz w:val="18"/>
          <w:szCs w:val="18"/>
        </w:rPr>
      </w:pPr>
      <w:r w:rsidRPr="00386C3E">
        <w:rPr>
          <w:rStyle w:val="FootnoteReference"/>
          <w:rFonts w:cs="Arial"/>
          <w:sz w:val="18"/>
          <w:szCs w:val="18"/>
        </w:rPr>
        <w:footnoteRef/>
      </w:r>
      <w:r w:rsidRPr="00386C3E">
        <w:rPr>
          <w:rFonts w:cs="Arial"/>
          <w:sz w:val="18"/>
          <w:szCs w:val="18"/>
        </w:rPr>
        <w:t xml:space="preserve"> See, </w:t>
      </w:r>
      <w:proofErr w:type="spellStart"/>
      <w:r w:rsidRPr="00386C3E">
        <w:rPr>
          <w:rFonts w:cs="Arial"/>
          <w:sz w:val="18"/>
          <w:szCs w:val="18"/>
        </w:rPr>
        <w:t>eg</w:t>
      </w:r>
      <w:proofErr w:type="spellEnd"/>
      <w:r w:rsidRPr="00386C3E">
        <w:rPr>
          <w:rFonts w:cs="Arial"/>
          <w:sz w:val="18"/>
          <w:szCs w:val="18"/>
        </w:rPr>
        <w:t xml:space="preserve">, </w:t>
      </w:r>
      <w:proofErr w:type="spellStart"/>
      <w:r w:rsidRPr="00386C3E">
        <w:rPr>
          <w:rFonts w:cs="Arial"/>
          <w:sz w:val="18"/>
          <w:szCs w:val="18"/>
        </w:rPr>
        <w:t>Strelein</w:t>
      </w:r>
      <w:proofErr w:type="spellEnd"/>
      <w:r w:rsidRPr="00386C3E">
        <w:rPr>
          <w:rFonts w:cs="Arial"/>
          <w:sz w:val="18"/>
          <w:szCs w:val="18"/>
        </w:rPr>
        <w:t xml:space="preserve"> (n </w:t>
      </w:r>
      <w:r w:rsidRPr="00386C3E">
        <w:rPr>
          <w:rFonts w:cs="Arial"/>
          <w:sz w:val="18"/>
          <w:szCs w:val="18"/>
        </w:rPr>
        <w:fldChar w:fldCharType="begin"/>
      </w:r>
      <w:r w:rsidRPr="00386C3E">
        <w:rPr>
          <w:rFonts w:cs="Arial"/>
          <w:sz w:val="18"/>
          <w:szCs w:val="18"/>
        </w:rPr>
        <w:instrText xml:space="preserve"> NOTEREF _Ref402260169 \h  \* MERGEFORMAT </w:instrText>
      </w:r>
      <w:r w:rsidRPr="00386C3E">
        <w:rPr>
          <w:rFonts w:cs="Arial"/>
          <w:sz w:val="18"/>
          <w:szCs w:val="18"/>
        </w:rPr>
      </w:r>
      <w:r w:rsidRPr="00386C3E">
        <w:rPr>
          <w:rFonts w:cs="Arial"/>
          <w:sz w:val="18"/>
          <w:szCs w:val="18"/>
        </w:rPr>
        <w:fldChar w:fldCharType="separate"/>
      </w:r>
      <w:r>
        <w:rPr>
          <w:rFonts w:cs="Arial"/>
          <w:sz w:val="18"/>
          <w:szCs w:val="18"/>
        </w:rPr>
        <w:t>24</w:t>
      </w:r>
      <w:r w:rsidRPr="00386C3E">
        <w:rPr>
          <w:rFonts w:cs="Arial"/>
          <w:sz w:val="18"/>
          <w:szCs w:val="18"/>
        </w:rPr>
        <w:fldChar w:fldCharType="end"/>
      </w:r>
      <w:r w:rsidRPr="00386C3E">
        <w:rPr>
          <w:rFonts w:cs="Arial"/>
          <w:sz w:val="18"/>
          <w:szCs w:val="18"/>
        </w:rPr>
        <w:t>) 33.</w:t>
      </w:r>
    </w:p>
  </w:footnote>
  <w:footnote w:id="59">
    <w:p w14:paraId="67CBE9CC" w14:textId="21C55D20" w:rsidR="00D70136" w:rsidRPr="00E54991" w:rsidRDefault="00D70136">
      <w:pPr>
        <w:pStyle w:val="FootnoteText"/>
        <w:rPr>
          <w:sz w:val="18"/>
          <w:szCs w:val="18"/>
        </w:rPr>
      </w:pPr>
      <w:r w:rsidRPr="00E54991">
        <w:rPr>
          <w:rStyle w:val="FootnoteReference"/>
          <w:sz w:val="18"/>
          <w:szCs w:val="18"/>
        </w:rPr>
        <w:footnoteRef/>
      </w:r>
      <w:r w:rsidRPr="00E54991">
        <w:rPr>
          <w:sz w:val="18"/>
          <w:szCs w:val="18"/>
        </w:rPr>
        <w:t xml:space="preserve"> Charities Act 2013</w:t>
      </w:r>
      <w:r w:rsidRPr="00E54991">
        <w:rPr>
          <w:i/>
          <w:sz w:val="18"/>
          <w:szCs w:val="18"/>
        </w:rPr>
        <w:t xml:space="preserve"> </w:t>
      </w:r>
      <w:r w:rsidRPr="00E54991">
        <w:rPr>
          <w:sz w:val="18"/>
          <w:szCs w:val="18"/>
        </w:rPr>
        <w:t xml:space="preserve">(Cth) s 6(3); </w:t>
      </w:r>
      <w:r w:rsidRPr="00E54991">
        <w:rPr>
          <w:i/>
          <w:sz w:val="18"/>
          <w:szCs w:val="18"/>
        </w:rPr>
        <w:t>Re Resch’s Will Trusts</w:t>
      </w:r>
      <w:r w:rsidRPr="00E54991">
        <w:rPr>
          <w:sz w:val="18"/>
          <w:szCs w:val="18"/>
        </w:rPr>
        <w:t xml:space="preserve"> [1969] 1 AC 514, 540-1 (PC); Dal Pont (n </w:t>
      </w:r>
      <w:r w:rsidRPr="00E54991">
        <w:rPr>
          <w:sz w:val="18"/>
          <w:szCs w:val="18"/>
        </w:rPr>
        <w:fldChar w:fldCharType="begin"/>
      </w:r>
      <w:r w:rsidRPr="00E54991">
        <w:rPr>
          <w:sz w:val="18"/>
          <w:szCs w:val="18"/>
        </w:rPr>
        <w:instrText xml:space="preserve"> NOTEREF _Ref43896552 \h  \* MERGEFORMAT </w:instrText>
      </w:r>
      <w:r w:rsidRPr="00E54991">
        <w:rPr>
          <w:sz w:val="18"/>
          <w:szCs w:val="18"/>
        </w:rPr>
      </w:r>
      <w:r w:rsidRPr="00E54991">
        <w:rPr>
          <w:sz w:val="18"/>
          <w:szCs w:val="18"/>
        </w:rPr>
        <w:fldChar w:fldCharType="separate"/>
      </w:r>
      <w:r>
        <w:rPr>
          <w:sz w:val="18"/>
          <w:szCs w:val="18"/>
        </w:rPr>
        <w:t>36</w:t>
      </w:r>
      <w:r w:rsidRPr="00E54991">
        <w:rPr>
          <w:sz w:val="18"/>
          <w:szCs w:val="18"/>
        </w:rPr>
        <w:fldChar w:fldCharType="end"/>
      </w:r>
      <w:r w:rsidRPr="00E54991">
        <w:rPr>
          <w:sz w:val="18"/>
          <w:szCs w:val="18"/>
        </w:rPr>
        <w:t xml:space="preserve">) [3.23]-[3.24]. See also, </w:t>
      </w:r>
      <w:r w:rsidRPr="00E54991">
        <w:rPr>
          <w:i/>
          <w:sz w:val="18"/>
          <w:szCs w:val="18"/>
        </w:rPr>
        <w:t>Re Delius</w:t>
      </w:r>
      <w:r w:rsidRPr="00E54991">
        <w:rPr>
          <w:sz w:val="18"/>
          <w:szCs w:val="18"/>
        </w:rPr>
        <w:t xml:space="preserve"> [1957] Ch 299, 308; </w:t>
      </w:r>
      <w:r w:rsidRPr="00E54991">
        <w:rPr>
          <w:i/>
          <w:sz w:val="18"/>
          <w:szCs w:val="18"/>
        </w:rPr>
        <w:t>Lloyd v FCT</w:t>
      </w:r>
      <w:r w:rsidRPr="00E54991">
        <w:rPr>
          <w:sz w:val="18"/>
          <w:szCs w:val="18"/>
        </w:rPr>
        <w:t xml:space="preserve"> (1955) 93 CLR 645</w:t>
      </w:r>
      <w:r>
        <w:rPr>
          <w:sz w:val="18"/>
          <w:szCs w:val="18"/>
        </w:rPr>
        <w:t xml:space="preserve"> (HCA)</w:t>
      </w:r>
      <w:r w:rsidRPr="00E54991">
        <w:rPr>
          <w:sz w:val="18"/>
          <w:szCs w:val="18"/>
        </w:rPr>
        <w:t xml:space="preserve">, 670-1 (Kitto J). Cf </w:t>
      </w:r>
      <w:r w:rsidRPr="00E54991">
        <w:rPr>
          <w:i/>
          <w:sz w:val="18"/>
          <w:szCs w:val="18"/>
        </w:rPr>
        <w:t>IRC v Oldham Training and Enterprise Council</w:t>
      </w:r>
      <w:r w:rsidRPr="00E54991">
        <w:rPr>
          <w:sz w:val="18"/>
          <w:szCs w:val="18"/>
        </w:rPr>
        <w:t xml:space="preserve"> (1996) 69 TC 231, 250 (Lightman J, referring to ‘members’).</w:t>
      </w:r>
    </w:p>
  </w:footnote>
  <w:footnote w:id="60">
    <w:p w14:paraId="6D48451F" w14:textId="255B2609" w:rsidR="00D70136" w:rsidRPr="00E54991" w:rsidRDefault="00D70136">
      <w:pPr>
        <w:pStyle w:val="FootnoteText"/>
        <w:rPr>
          <w:sz w:val="18"/>
          <w:szCs w:val="18"/>
        </w:rPr>
      </w:pPr>
      <w:r w:rsidRPr="00E54991">
        <w:rPr>
          <w:rStyle w:val="FootnoteReference"/>
          <w:sz w:val="18"/>
          <w:szCs w:val="18"/>
        </w:rPr>
        <w:footnoteRef/>
      </w:r>
      <w:r w:rsidRPr="00E54991">
        <w:rPr>
          <w:sz w:val="18"/>
          <w:szCs w:val="18"/>
        </w:rPr>
        <w:t xml:space="preserve"> </w:t>
      </w:r>
      <w:r w:rsidRPr="00E54991">
        <w:rPr>
          <w:i/>
          <w:sz w:val="18"/>
          <w:szCs w:val="18"/>
        </w:rPr>
        <w:t>Latimer v IRC</w:t>
      </w:r>
      <w:r w:rsidRPr="00E54991">
        <w:rPr>
          <w:sz w:val="18"/>
          <w:szCs w:val="18"/>
        </w:rPr>
        <w:t xml:space="preserve"> [2004] 1 WLR 1466, [34] (PC).</w:t>
      </w:r>
    </w:p>
  </w:footnote>
  <w:footnote w:id="61">
    <w:p w14:paraId="6D91BE10" w14:textId="295197AD" w:rsidR="00D70136" w:rsidRPr="00E54991" w:rsidRDefault="00D70136">
      <w:pPr>
        <w:pStyle w:val="FootnoteText"/>
        <w:rPr>
          <w:sz w:val="18"/>
          <w:szCs w:val="18"/>
        </w:rPr>
      </w:pPr>
      <w:r w:rsidRPr="00E54991">
        <w:rPr>
          <w:rStyle w:val="FootnoteReference"/>
          <w:sz w:val="18"/>
          <w:szCs w:val="18"/>
        </w:rPr>
        <w:footnoteRef/>
      </w:r>
      <w:r w:rsidRPr="00E54991">
        <w:rPr>
          <w:sz w:val="18"/>
          <w:szCs w:val="18"/>
        </w:rPr>
        <w:t xml:space="preserve"> The Productivity Commission notes only the latter: (n </w:t>
      </w:r>
      <w:r w:rsidRPr="00E54991">
        <w:rPr>
          <w:sz w:val="18"/>
          <w:szCs w:val="18"/>
        </w:rPr>
        <w:fldChar w:fldCharType="begin"/>
      </w:r>
      <w:r w:rsidRPr="00E54991">
        <w:rPr>
          <w:sz w:val="18"/>
          <w:szCs w:val="18"/>
        </w:rPr>
        <w:instrText xml:space="preserve"> NOTEREF _Ref43894904 \h </w:instrText>
      </w:r>
      <w:r>
        <w:rPr>
          <w:sz w:val="18"/>
          <w:szCs w:val="18"/>
        </w:rPr>
        <w:instrText xml:space="preserve"> \* MERGEFORMAT </w:instrText>
      </w:r>
      <w:r w:rsidRPr="00E54991">
        <w:rPr>
          <w:sz w:val="18"/>
          <w:szCs w:val="18"/>
        </w:rPr>
      </w:r>
      <w:r w:rsidRPr="00E54991">
        <w:rPr>
          <w:sz w:val="18"/>
          <w:szCs w:val="18"/>
        </w:rPr>
        <w:fldChar w:fldCharType="separate"/>
      </w:r>
      <w:r>
        <w:rPr>
          <w:sz w:val="18"/>
          <w:szCs w:val="18"/>
        </w:rPr>
        <w:t>23</w:t>
      </w:r>
      <w:r w:rsidRPr="00E54991">
        <w:rPr>
          <w:sz w:val="18"/>
          <w:szCs w:val="18"/>
        </w:rPr>
        <w:fldChar w:fldCharType="end"/>
      </w:r>
      <w:r w:rsidRPr="00E54991">
        <w:rPr>
          <w:sz w:val="18"/>
          <w:szCs w:val="18"/>
        </w:rPr>
        <w:t>) 301.</w:t>
      </w:r>
    </w:p>
  </w:footnote>
  <w:footnote w:id="62">
    <w:p w14:paraId="017CB2AB" w14:textId="56D5AA9E" w:rsidR="00D70136" w:rsidRDefault="00D70136">
      <w:pPr>
        <w:pStyle w:val="FootnoteText"/>
      </w:pPr>
      <w:r w:rsidRPr="00E54991">
        <w:rPr>
          <w:rStyle w:val="FootnoteReference"/>
          <w:sz w:val="18"/>
          <w:szCs w:val="18"/>
        </w:rPr>
        <w:footnoteRef/>
      </w:r>
      <w:r w:rsidRPr="00E54991">
        <w:rPr>
          <w:sz w:val="18"/>
          <w:szCs w:val="18"/>
        </w:rPr>
        <w:t xml:space="preserve"> ACNC, </w:t>
      </w:r>
      <w:r w:rsidRPr="00E54991">
        <w:rPr>
          <w:i/>
          <w:sz w:val="18"/>
          <w:szCs w:val="18"/>
        </w:rPr>
        <w:t>Commissioner’s Interpretation Statement: Provision of Housing by Charities</w:t>
      </w:r>
      <w:r w:rsidRPr="00E54991">
        <w:rPr>
          <w:sz w:val="18"/>
          <w:szCs w:val="18"/>
        </w:rPr>
        <w:t xml:space="preserve"> (CIS 2014/02, 1 December 2004) 12.</w:t>
      </w:r>
    </w:p>
  </w:footnote>
  <w:footnote w:id="63">
    <w:p w14:paraId="556D8936" w14:textId="7E3D8389" w:rsidR="00D70136" w:rsidRPr="00006E8A" w:rsidRDefault="00D70136">
      <w:pPr>
        <w:pStyle w:val="FootnoteText"/>
        <w:rPr>
          <w:sz w:val="18"/>
          <w:szCs w:val="18"/>
        </w:rPr>
      </w:pPr>
      <w:r w:rsidRPr="00006E8A">
        <w:rPr>
          <w:rStyle w:val="FootnoteReference"/>
          <w:sz w:val="18"/>
          <w:szCs w:val="18"/>
        </w:rPr>
        <w:footnoteRef/>
      </w:r>
      <w:r w:rsidRPr="00006E8A">
        <w:rPr>
          <w:sz w:val="18"/>
          <w:szCs w:val="18"/>
        </w:rPr>
        <w:t xml:space="preserve"> For instance, </w:t>
      </w:r>
      <w:r w:rsidRPr="00006E8A">
        <w:rPr>
          <w:i/>
          <w:sz w:val="18"/>
          <w:szCs w:val="18"/>
          <w:lang w:val="en-GB"/>
        </w:rPr>
        <w:t xml:space="preserve">Word Investments </w:t>
      </w:r>
      <w:r w:rsidRPr="00006E8A">
        <w:rPr>
          <w:sz w:val="18"/>
          <w:szCs w:val="18"/>
          <w:lang w:val="en-GB"/>
        </w:rPr>
        <w:t xml:space="preserve">(n </w:t>
      </w:r>
      <w:r w:rsidRPr="00006E8A">
        <w:rPr>
          <w:sz w:val="18"/>
          <w:szCs w:val="18"/>
          <w:lang w:val="en-GB"/>
        </w:rPr>
        <w:fldChar w:fldCharType="begin"/>
      </w:r>
      <w:r w:rsidRPr="00006E8A">
        <w:rPr>
          <w:sz w:val="18"/>
          <w:szCs w:val="18"/>
          <w:lang w:val="en-GB"/>
        </w:rPr>
        <w:instrText xml:space="preserve"> NOTEREF _Ref43896366 \h </w:instrText>
      </w:r>
      <w:r>
        <w:rPr>
          <w:sz w:val="18"/>
          <w:szCs w:val="18"/>
          <w:lang w:val="en-GB"/>
        </w:rPr>
        <w:instrText xml:space="preserve"> \* MERGEFORMAT </w:instrText>
      </w:r>
      <w:r w:rsidRPr="00006E8A">
        <w:rPr>
          <w:sz w:val="18"/>
          <w:szCs w:val="18"/>
          <w:lang w:val="en-GB"/>
        </w:rPr>
      </w:r>
      <w:r w:rsidRPr="00006E8A">
        <w:rPr>
          <w:sz w:val="18"/>
          <w:szCs w:val="18"/>
          <w:lang w:val="en-GB"/>
        </w:rPr>
        <w:fldChar w:fldCharType="separate"/>
      </w:r>
      <w:r>
        <w:rPr>
          <w:sz w:val="18"/>
          <w:szCs w:val="18"/>
          <w:lang w:val="en-GB"/>
        </w:rPr>
        <w:t>29</w:t>
      </w:r>
      <w:r w:rsidRPr="00006E8A">
        <w:rPr>
          <w:sz w:val="18"/>
          <w:szCs w:val="18"/>
          <w:lang w:val="en-GB"/>
        </w:rPr>
        <w:fldChar w:fldCharType="end"/>
      </w:r>
      <w:r w:rsidRPr="00006E8A">
        <w:rPr>
          <w:sz w:val="18"/>
          <w:szCs w:val="18"/>
          <w:lang w:val="en-GB"/>
        </w:rPr>
        <w:t>)</w:t>
      </w:r>
      <w:r w:rsidRPr="00006E8A">
        <w:rPr>
          <w:sz w:val="18"/>
          <w:szCs w:val="18"/>
        </w:rPr>
        <w:t xml:space="preserve">; </w:t>
      </w:r>
      <w:r w:rsidRPr="00006E8A">
        <w:rPr>
          <w:i/>
          <w:sz w:val="18"/>
          <w:szCs w:val="18"/>
        </w:rPr>
        <w:t xml:space="preserve">Aid/Watch </w:t>
      </w:r>
      <w:r w:rsidRPr="00006E8A">
        <w:rPr>
          <w:sz w:val="18"/>
          <w:szCs w:val="18"/>
        </w:rPr>
        <w:t xml:space="preserve">(n </w:t>
      </w:r>
      <w:r w:rsidRPr="00006E8A">
        <w:rPr>
          <w:sz w:val="18"/>
          <w:szCs w:val="18"/>
        </w:rPr>
        <w:fldChar w:fldCharType="begin"/>
      </w:r>
      <w:r w:rsidRPr="00006E8A">
        <w:rPr>
          <w:sz w:val="18"/>
          <w:szCs w:val="18"/>
        </w:rPr>
        <w:instrText xml:space="preserve"> NOTEREF _Ref43896844 \h </w:instrText>
      </w:r>
      <w:r>
        <w:rPr>
          <w:sz w:val="18"/>
          <w:szCs w:val="18"/>
        </w:rPr>
        <w:instrText xml:space="preserve"> \* MERGEFORMAT </w:instrText>
      </w:r>
      <w:r w:rsidRPr="00006E8A">
        <w:rPr>
          <w:sz w:val="18"/>
          <w:szCs w:val="18"/>
        </w:rPr>
      </w:r>
      <w:r w:rsidRPr="00006E8A">
        <w:rPr>
          <w:sz w:val="18"/>
          <w:szCs w:val="18"/>
        </w:rPr>
        <w:fldChar w:fldCharType="separate"/>
      </w:r>
      <w:r>
        <w:rPr>
          <w:sz w:val="18"/>
          <w:szCs w:val="18"/>
        </w:rPr>
        <w:t>35</w:t>
      </w:r>
      <w:r w:rsidRPr="00006E8A">
        <w:rPr>
          <w:sz w:val="18"/>
          <w:szCs w:val="18"/>
        </w:rPr>
        <w:fldChar w:fldCharType="end"/>
      </w:r>
      <w:r w:rsidRPr="00006E8A">
        <w:rPr>
          <w:sz w:val="18"/>
          <w:szCs w:val="18"/>
        </w:rPr>
        <w:t xml:space="preserve">); </w:t>
      </w:r>
      <w:r w:rsidRPr="00006E8A">
        <w:rPr>
          <w:i/>
          <w:sz w:val="18"/>
          <w:szCs w:val="18"/>
        </w:rPr>
        <w:t>FCT v</w:t>
      </w:r>
      <w:r w:rsidRPr="00006E8A">
        <w:rPr>
          <w:sz w:val="18"/>
          <w:szCs w:val="18"/>
        </w:rPr>
        <w:t xml:space="preserve"> </w:t>
      </w:r>
      <w:r w:rsidRPr="00006E8A">
        <w:rPr>
          <w:i/>
          <w:sz w:val="18"/>
          <w:szCs w:val="18"/>
        </w:rPr>
        <w:t xml:space="preserve">Hunger Project Australia </w:t>
      </w:r>
      <w:r w:rsidRPr="00006E8A">
        <w:rPr>
          <w:sz w:val="18"/>
          <w:szCs w:val="18"/>
        </w:rPr>
        <w:t>(2014) 221 FCR 302 (FFC).</w:t>
      </w:r>
    </w:p>
  </w:footnote>
  <w:footnote w:id="64">
    <w:p w14:paraId="6E91F4A7" w14:textId="4FDB7B72" w:rsidR="00D70136" w:rsidRPr="00006E8A" w:rsidRDefault="00D70136">
      <w:pPr>
        <w:pStyle w:val="FootnoteText"/>
        <w:rPr>
          <w:sz w:val="18"/>
          <w:szCs w:val="18"/>
        </w:rPr>
      </w:pPr>
      <w:r w:rsidRPr="00006E8A">
        <w:rPr>
          <w:rStyle w:val="FootnoteReference"/>
          <w:sz w:val="18"/>
          <w:szCs w:val="18"/>
        </w:rPr>
        <w:footnoteRef/>
      </w:r>
      <w:r w:rsidRPr="00006E8A">
        <w:rPr>
          <w:sz w:val="18"/>
          <w:szCs w:val="18"/>
        </w:rPr>
        <w:t xml:space="preserve"> Patrick McClure, Greg Hammond, Su </w:t>
      </w:r>
      <w:proofErr w:type="spellStart"/>
      <w:r w:rsidRPr="00006E8A">
        <w:rPr>
          <w:sz w:val="18"/>
          <w:szCs w:val="18"/>
        </w:rPr>
        <w:t>McCluskey</w:t>
      </w:r>
      <w:proofErr w:type="spellEnd"/>
      <w:r w:rsidRPr="00006E8A">
        <w:rPr>
          <w:sz w:val="18"/>
          <w:szCs w:val="18"/>
        </w:rPr>
        <w:t xml:space="preserve"> and Matthew </w:t>
      </w:r>
      <w:proofErr w:type="spellStart"/>
      <w:r w:rsidRPr="00006E8A">
        <w:rPr>
          <w:sz w:val="18"/>
          <w:szCs w:val="18"/>
        </w:rPr>
        <w:t>Turnour</w:t>
      </w:r>
      <w:proofErr w:type="spellEnd"/>
      <w:r w:rsidRPr="00006E8A">
        <w:rPr>
          <w:sz w:val="18"/>
          <w:szCs w:val="18"/>
        </w:rPr>
        <w:t xml:space="preserve">, </w:t>
      </w:r>
      <w:r w:rsidRPr="00006E8A">
        <w:rPr>
          <w:i/>
          <w:sz w:val="18"/>
          <w:szCs w:val="18"/>
        </w:rPr>
        <w:t>Strengthening for Purpose: Australian Charities and Not-for-profits Commission Legislation Review 2018</w:t>
      </w:r>
      <w:r w:rsidRPr="00006E8A">
        <w:rPr>
          <w:sz w:val="18"/>
          <w:szCs w:val="18"/>
        </w:rPr>
        <w:t xml:space="preserve"> (Report and Recommendations, Treasury 2018) 82-3.</w:t>
      </w:r>
    </w:p>
  </w:footnote>
  <w:footnote w:id="65">
    <w:p w14:paraId="7CFF4FF7" w14:textId="334DCD34" w:rsidR="00D70136" w:rsidRPr="00006E8A" w:rsidRDefault="00D70136">
      <w:pPr>
        <w:pStyle w:val="FootnoteText"/>
        <w:rPr>
          <w:sz w:val="18"/>
          <w:szCs w:val="18"/>
        </w:rPr>
      </w:pPr>
      <w:r w:rsidRPr="00006E8A">
        <w:rPr>
          <w:rStyle w:val="FootnoteReference"/>
          <w:sz w:val="18"/>
          <w:szCs w:val="18"/>
        </w:rPr>
        <w:footnoteRef/>
      </w:r>
      <w:r w:rsidRPr="00006E8A">
        <w:rPr>
          <w:sz w:val="18"/>
          <w:szCs w:val="18"/>
        </w:rPr>
        <w:t xml:space="preserve"> Commonwealth of Australia, </w:t>
      </w:r>
      <w:r w:rsidRPr="00006E8A">
        <w:rPr>
          <w:i/>
          <w:sz w:val="18"/>
          <w:szCs w:val="18"/>
        </w:rPr>
        <w:t>Government Response to the Australian Charities and Not-for-profits Commission Legislation Review 2018</w:t>
      </w:r>
      <w:r w:rsidRPr="00006E8A">
        <w:rPr>
          <w:sz w:val="18"/>
          <w:szCs w:val="18"/>
        </w:rPr>
        <w:t xml:space="preserve"> (Treasury, March 2020) 16.</w:t>
      </w:r>
    </w:p>
  </w:footnote>
  <w:footnote w:id="66">
    <w:p w14:paraId="1A18F235" w14:textId="35E00308" w:rsidR="00D70136" w:rsidRPr="00006E8A" w:rsidRDefault="00D70136" w:rsidP="00B049A1">
      <w:pPr>
        <w:pStyle w:val="FootnoteText"/>
        <w:rPr>
          <w:sz w:val="18"/>
          <w:szCs w:val="18"/>
        </w:rPr>
      </w:pPr>
      <w:r w:rsidRPr="00006E8A">
        <w:rPr>
          <w:rStyle w:val="FootnoteReference"/>
          <w:sz w:val="18"/>
          <w:szCs w:val="18"/>
        </w:rPr>
        <w:footnoteRef/>
      </w:r>
      <w:r w:rsidRPr="00006E8A">
        <w:rPr>
          <w:sz w:val="18"/>
          <w:szCs w:val="18"/>
        </w:rPr>
        <w:t xml:space="preserve"> See, eg, Productivity Commission (n </w:t>
      </w:r>
      <w:r w:rsidRPr="00006E8A">
        <w:rPr>
          <w:sz w:val="18"/>
          <w:szCs w:val="18"/>
        </w:rPr>
        <w:fldChar w:fldCharType="begin"/>
      </w:r>
      <w:r w:rsidRPr="00006E8A">
        <w:rPr>
          <w:sz w:val="18"/>
          <w:szCs w:val="18"/>
        </w:rPr>
        <w:instrText xml:space="preserve"> NOTEREF _Ref43894904 \h </w:instrText>
      </w:r>
      <w:r>
        <w:rPr>
          <w:sz w:val="18"/>
          <w:szCs w:val="18"/>
        </w:rPr>
        <w:instrText xml:space="preserve"> \* MERGEFORMAT </w:instrText>
      </w:r>
      <w:r w:rsidRPr="00006E8A">
        <w:rPr>
          <w:sz w:val="18"/>
          <w:szCs w:val="18"/>
        </w:rPr>
      </w:r>
      <w:r w:rsidRPr="00006E8A">
        <w:rPr>
          <w:sz w:val="18"/>
          <w:szCs w:val="18"/>
        </w:rPr>
        <w:fldChar w:fldCharType="separate"/>
      </w:r>
      <w:r>
        <w:rPr>
          <w:sz w:val="18"/>
          <w:szCs w:val="18"/>
        </w:rPr>
        <w:t>23</w:t>
      </w:r>
      <w:r w:rsidRPr="00006E8A">
        <w:rPr>
          <w:sz w:val="18"/>
          <w:szCs w:val="18"/>
        </w:rPr>
        <w:fldChar w:fldCharType="end"/>
      </w:r>
      <w:r w:rsidRPr="00006E8A">
        <w:rPr>
          <w:sz w:val="18"/>
          <w:szCs w:val="18"/>
        </w:rPr>
        <w:t>) 301, 303.</w:t>
      </w:r>
    </w:p>
  </w:footnote>
  <w:footnote w:id="67">
    <w:p w14:paraId="75176B21" w14:textId="706A5076" w:rsidR="00D70136" w:rsidRPr="00006E8A" w:rsidRDefault="00D70136">
      <w:pPr>
        <w:pStyle w:val="FootnoteText"/>
        <w:rPr>
          <w:sz w:val="18"/>
          <w:szCs w:val="18"/>
        </w:rPr>
      </w:pPr>
      <w:r w:rsidRPr="00006E8A">
        <w:rPr>
          <w:rStyle w:val="FootnoteReference"/>
          <w:sz w:val="18"/>
          <w:szCs w:val="18"/>
        </w:rPr>
        <w:footnoteRef/>
      </w:r>
      <w:r w:rsidRPr="00006E8A">
        <w:rPr>
          <w:sz w:val="18"/>
          <w:szCs w:val="18"/>
        </w:rPr>
        <w:t xml:space="preserve"> </w:t>
      </w:r>
      <w:r w:rsidRPr="00006E8A">
        <w:rPr>
          <w:rFonts w:cs="Arial"/>
          <w:sz w:val="18"/>
          <w:szCs w:val="18"/>
        </w:rPr>
        <w:t xml:space="preserve">ACNC, </w:t>
      </w:r>
      <w:r w:rsidRPr="00006E8A">
        <w:rPr>
          <w:rFonts w:cs="Arial"/>
          <w:i/>
          <w:sz w:val="18"/>
          <w:szCs w:val="18"/>
        </w:rPr>
        <w:t xml:space="preserve">Commissioner’s Interpretation Statement: Indigenous Charities </w:t>
      </w:r>
      <w:r w:rsidRPr="00006E8A">
        <w:rPr>
          <w:rFonts w:cs="Arial"/>
          <w:sz w:val="18"/>
          <w:szCs w:val="18"/>
        </w:rPr>
        <w:t xml:space="preserve">(n </w:t>
      </w:r>
      <w:r w:rsidRPr="00006E8A">
        <w:rPr>
          <w:rFonts w:cs="Arial"/>
          <w:sz w:val="18"/>
          <w:szCs w:val="18"/>
        </w:rPr>
        <w:fldChar w:fldCharType="begin"/>
      </w:r>
      <w:r w:rsidRPr="00006E8A">
        <w:rPr>
          <w:rFonts w:cs="Arial"/>
          <w:sz w:val="18"/>
          <w:szCs w:val="18"/>
        </w:rPr>
        <w:instrText xml:space="preserve"> NOTEREF _Ref43898919 \h </w:instrText>
      </w:r>
      <w:r>
        <w:rPr>
          <w:rFonts w:cs="Arial"/>
          <w:sz w:val="18"/>
          <w:szCs w:val="18"/>
        </w:rPr>
        <w:instrText xml:space="preserve"> \* MERGEFORMAT </w:instrText>
      </w:r>
      <w:r w:rsidRPr="00006E8A">
        <w:rPr>
          <w:rFonts w:cs="Arial"/>
          <w:sz w:val="18"/>
          <w:szCs w:val="18"/>
        </w:rPr>
      </w:r>
      <w:r w:rsidRPr="00006E8A">
        <w:rPr>
          <w:rFonts w:cs="Arial"/>
          <w:sz w:val="18"/>
          <w:szCs w:val="18"/>
        </w:rPr>
        <w:fldChar w:fldCharType="separate"/>
      </w:r>
      <w:r>
        <w:rPr>
          <w:rFonts w:cs="Arial"/>
          <w:sz w:val="18"/>
          <w:szCs w:val="18"/>
        </w:rPr>
        <w:t>54</w:t>
      </w:r>
      <w:r w:rsidRPr="00006E8A">
        <w:rPr>
          <w:rFonts w:cs="Arial"/>
          <w:sz w:val="18"/>
          <w:szCs w:val="18"/>
        </w:rPr>
        <w:fldChar w:fldCharType="end"/>
      </w:r>
      <w:r w:rsidRPr="00006E8A">
        <w:rPr>
          <w:rFonts w:cs="Arial"/>
          <w:sz w:val="18"/>
          <w:szCs w:val="18"/>
        </w:rPr>
        <w:t>).</w:t>
      </w:r>
    </w:p>
  </w:footnote>
  <w:footnote w:id="68">
    <w:p w14:paraId="25D58611" w14:textId="54316A9C" w:rsidR="00D70136" w:rsidRPr="00006E8A" w:rsidRDefault="00D70136">
      <w:pPr>
        <w:pStyle w:val="FootnoteText"/>
        <w:rPr>
          <w:sz w:val="18"/>
          <w:szCs w:val="18"/>
        </w:rPr>
      </w:pPr>
      <w:r w:rsidRPr="00006E8A">
        <w:rPr>
          <w:rStyle w:val="FootnoteReference"/>
          <w:sz w:val="18"/>
          <w:szCs w:val="18"/>
        </w:rPr>
        <w:footnoteRef/>
      </w:r>
      <w:r w:rsidRPr="00006E8A">
        <w:rPr>
          <w:sz w:val="18"/>
          <w:szCs w:val="18"/>
        </w:rPr>
        <w:t xml:space="preserve"> See, eg, Robin Creyke</w:t>
      </w:r>
      <w:r>
        <w:rPr>
          <w:sz w:val="18"/>
          <w:szCs w:val="18"/>
        </w:rPr>
        <w:t xml:space="preserve">, Matthew Groves, </w:t>
      </w:r>
      <w:r w:rsidRPr="00006E8A">
        <w:rPr>
          <w:sz w:val="18"/>
          <w:szCs w:val="18"/>
        </w:rPr>
        <w:t>John McMillan</w:t>
      </w:r>
      <w:r>
        <w:rPr>
          <w:sz w:val="18"/>
          <w:szCs w:val="18"/>
        </w:rPr>
        <w:t xml:space="preserve"> and Mark Smyth</w:t>
      </w:r>
      <w:r w:rsidRPr="00006E8A">
        <w:rPr>
          <w:sz w:val="18"/>
          <w:szCs w:val="18"/>
        </w:rPr>
        <w:t xml:space="preserve">, </w:t>
      </w:r>
      <w:r w:rsidRPr="00006E8A">
        <w:rPr>
          <w:i/>
          <w:sz w:val="18"/>
          <w:szCs w:val="18"/>
        </w:rPr>
        <w:t>Control of Government Action</w:t>
      </w:r>
      <w:r w:rsidRPr="00006E8A">
        <w:rPr>
          <w:sz w:val="18"/>
          <w:szCs w:val="18"/>
        </w:rPr>
        <w:t xml:space="preserve"> (</w:t>
      </w:r>
      <w:r>
        <w:rPr>
          <w:sz w:val="18"/>
          <w:szCs w:val="18"/>
        </w:rPr>
        <w:t>5</w:t>
      </w:r>
      <w:r w:rsidRPr="002958F2">
        <w:rPr>
          <w:sz w:val="18"/>
          <w:szCs w:val="18"/>
          <w:vertAlign w:val="superscript"/>
        </w:rPr>
        <w:t>th</w:t>
      </w:r>
      <w:r>
        <w:rPr>
          <w:sz w:val="18"/>
          <w:szCs w:val="18"/>
        </w:rPr>
        <w:t xml:space="preserve"> </w:t>
      </w:r>
      <w:proofErr w:type="spellStart"/>
      <w:r>
        <w:rPr>
          <w:sz w:val="18"/>
          <w:szCs w:val="18"/>
        </w:rPr>
        <w:t>edn</w:t>
      </w:r>
      <w:proofErr w:type="spellEnd"/>
      <w:r>
        <w:rPr>
          <w:sz w:val="18"/>
          <w:szCs w:val="18"/>
        </w:rPr>
        <w:t>, L</w:t>
      </w:r>
      <w:r w:rsidRPr="00006E8A">
        <w:rPr>
          <w:sz w:val="18"/>
          <w:szCs w:val="18"/>
        </w:rPr>
        <w:t>exisNexis</w:t>
      </w:r>
      <w:r>
        <w:rPr>
          <w:sz w:val="18"/>
          <w:szCs w:val="18"/>
        </w:rPr>
        <w:t xml:space="preserve"> </w:t>
      </w:r>
      <w:r w:rsidRPr="00006E8A">
        <w:rPr>
          <w:sz w:val="18"/>
          <w:szCs w:val="18"/>
        </w:rPr>
        <w:t>20</w:t>
      </w:r>
      <w:r>
        <w:rPr>
          <w:sz w:val="18"/>
          <w:szCs w:val="18"/>
        </w:rPr>
        <w:t>18</w:t>
      </w:r>
      <w:r w:rsidRPr="00006E8A">
        <w:rPr>
          <w:sz w:val="18"/>
          <w:szCs w:val="18"/>
        </w:rPr>
        <w:t>)</w:t>
      </w:r>
      <w:r>
        <w:rPr>
          <w:sz w:val="18"/>
          <w:szCs w:val="18"/>
        </w:rPr>
        <w:t xml:space="preserve"> </w:t>
      </w:r>
      <w:r w:rsidRPr="00006E8A">
        <w:rPr>
          <w:sz w:val="18"/>
          <w:szCs w:val="18"/>
        </w:rPr>
        <w:t>[1</w:t>
      </w:r>
      <w:r>
        <w:rPr>
          <w:sz w:val="18"/>
          <w:szCs w:val="18"/>
        </w:rPr>
        <w:t>2</w:t>
      </w:r>
      <w:r w:rsidRPr="00006E8A">
        <w:rPr>
          <w:sz w:val="18"/>
          <w:szCs w:val="18"/>
        </w:rPr>
        <w:t>.6.1]-[1</w:t>
      </w:r>
      <w:r>
        <w:rPr>
          <w:sz w:val="18"/>
          <w:szCs w:val="18"/>
        </w:rPr>
        <w:t>2</w:t>
      </w:r>
      <w:r w:rsidRPr="00006E8A">
        <w:rPr>
          <w:sz w:val="18"/>
          <w:szCs w:val="18"/>
        </w:rPr>
        <w:t>.6.1</w:t>
      </w:r>
      <w:r>
        <w:rPr>
          <w:sz w:val="18"/>
          <w:szCs w:val="18"/>
        </w:rPr>
        <w:t>3</w:t>
      </w:r>
      <w:r w:rsidRPr="00006E8A">
        <w:rPr>
          <w:sz w:val="18"/>
          <w:szCs w:val="18"/>
        </w:rPr>
        <w:t>]. However, Commissioner’s Interpretation Statements may give rise t</w:t>
      </w:r>
      <w:r>
        <w:rPr>
          <w:sz w:val="18"/>
          <w:szCs w:val="18"/>
        </w:rPr>
        <w:t>o natural justice requirements.</w:t>
      </w:r>
    </w:p>
  </w:footnote>
  <w:footnote w:id="69">
    <w:p w14:paraId="181A7E99" w14:textId="36E93784" w:rsidR="00D70136" w:rsidRPr="00006E8A" w:rsidRDefault="00D70136">
      <w:pPr>
        <w:pStyle w:val="FootnoteText"/>
        <w:rPr>
          <w:sz w:val="18"/>
          <w:szCs w:val="18"/>
        </w:rPr>
      </w:pPr>
      <w:r w:rsidRPr="00006E8A">
        <w:rPr>
          <w:rStyle w:val="FootnoteReference"/>
          <w:sz w:val="18"/>
          <w:szCs w:val="18"/>
        </w:rPr>
        <w:footnoteRef/>
      </w:r>
      <w:r w:rsidRPr="00006E8A">
        <w:rPr>
          <w:sz w:val="18"/>
          <w:szCs w:val="18"/>
        </w:rPr>
        <w:t xml:space="preserve"> Taxation Administration Act 1953 (Cth) sch 1, pt 5-5.</w:t>
      </w:r>
    </w:p>
  </w:footnote>
  <w:footnote w:id="70">
    <w:p w14:paraId="409F97D9" w14:textId="738FA918" w:rsidR="00D70136" w:rsidRPr="00DB1907" w:rsidRDefault="00D70136" w:rsidP="008B40B0">
      <w:pPr>
        <w:pStyle w:val="FootnoteText"/>
        <w:rPr>
          <w:rFonts w:cs="Arial"/>
          <w:sz w:val="18"/>
          <w:szCs w:val="18"/>
        </w:rPr>
      </w:pPr>
      <w:r w:rsidRPr="00006E8A">
        <w:rPr>
          <w:rStyle w:val="FootnoteReference"/>
          <w:rFonts w:cs="Arial"/>
          <w:sz w:val="18"/>
          <w:szCs w:val="18"/>
        </w:rPr>
        <w:footnoteRef/>
      </w:r>
      <w:r w:rsidRPr="00006E8A">
        <w:rPr>
          <w:rFonts w:cs="Arial"/>
          <w:sz w:val="18"/>
          <w:szCs w:val="18"/>
        </w:rPr>
        <w:t xml:space="preserve"> Murray and Wright (n </w:t>
      </w:r>
      <w:r w:rsidRPr="00006E8A">
        <w:rPr>
          <w:rFonts w:cs="Arial"/>
          <w:sz w:val="18"/>
          <w:szCs w:val="18"/>
        </w:rPr>
        <w:fldChar w:fldCharType="begin"/>
      </w:r>
      <w:r w:rsidRPr="00006E8A">
        <w:rPr>
          <w:rFonts w:cs="Arial"/>
          <w:sz w:val="18"/>
          <w:szCs w:val="18"/>
        </w:rPr>
        <w:instrText xml:space="preserve"> NOTEREF _Ref22729333 \h </w:instrText>
      </w:r>
      <w:r>
        <w:rPr>
          <w:rFonts w:cs="Arial"/>
          <w:sz w:val="18"/>
          <w:szCs w:val="18"/>
        </w:rPr>
        <w:instrText xml:space="preserve"> \* MERGEFORMAT </w:instrText>
      </w:r>
      <w:r w:rsidRPr="00006E8A">
        <w:rPr>
          <w:rFonts w:cs="Arial"/>
          <w:sz w:val="18"/>
          <w:szCs w:val="18"/>
        </w:rPr>
      </w:r>
      <w:r w:rsidRPr="00006E8A">
        <w:rPr>
          <w:rFonts w:cs="Arial"/>
          <w:sz w:val="18"/>
          <w:szCs w:val="18"/>
        </w:rPr>
        <w:fldChar w:fldCharType="separate"/>
      </w:r>
      <w:r>
        <w:rPr>
          <w:rFonts w:cs="Arial"/>
          <w:sz w:val="18"/>
          <w:szCs w:val="18"/>
        </w:rPr>
        <w:t>21</w:t>
      </w:r>
      <w:r w:rsidRPr="00006E8A">
        <w:rPr>
          <w:rFonts w:cs="Arial"/>
          <w:sz w:val="18"/>
          <w:szCs w:val="18"/>
        </w:rPr>
        <w:fldChar w:fldCharType="end"/>
      </w:r>
      <w:r w:rsidRPr="00006E8A">
        <w:rPr>
          <w:rFonts w:cs="Arial"/>
          <w:sz w:val="18"/>
          <w:szCs w:val="18"/>
        </w:rPr>
        <w:t xml:space="preserve">) </w:t>
      </w:r>
      <w:r w:rsidRPr="00006E8A">
        <w:rPr>
          <w:rFonts w:cs="Arial"/>
          <w:sz w:val="18"/>
          <w:szCs w:val="18"/>
          <w:lang w:val="en-US"/>
        </w:rPr>
        <w:t>107-8.</w:t>
      </w:r>
    </w:p>
  </w:footnote>
  <w:footnote w:id="71">
    <w:p w14:paraId="00C72308" w14:textId="47780E01" w:rsidR="00D70136" w:rsidRPr="00A53AF7" w:rsidRDefault="00D70136">
      <w:pPr>
        <w:pStyle w:val="FootnoteText"/>
        <w:rPr>
          <w:sz w:val="18"/>
          <w:szCs w:val="18"/>
        </w:rPr>
      </w:pPr>
      <w:r w:rsidRPr="00A53AF7">
        <w:rPr>
          <w:rStyle w:val="FootnoteReference"/>
          <w:sz w:val="18"/>
          <w:szCs w:val="18"/>
        </w:rPr>
        <w:footnoteRef/>
      </w:r>
      <w:r w:rsidRPr="00A53AF7">
        <w:rPr>
          <w:sz w:val="18"/>
          <w:szCs w:val="18"/>
        </w:rPr>
        <w:t xml:space="preserve"> Murray, Fardin and O’Hara (n </w:t>
      </w:r>
      <w:r w:rsidRPr="00A53AF7">
        <w:rPr>
          <w:sz w:val="18"/>
          <w:szCs w:val="18"/>
        </w:rPr>
        <w:fldChar w:fldCharType="begin"/>
      </w:r>
      <w:r w:rsidRPr="00A53AF7">
        <w:rPr>
          <w:sz w:val="18"/>
          <w:szCs w:val="18"/>
        </w:rPr>
        <w:instrText xml:space="preserve"> NOTEREF _Ref43891040 \h  \* MERGEFORMAT </w:instrText>
      </w:r>
      <w:r w:rsidRPr="00A53AF7">
        <w:rPr>
          <w:sz w:val="18"/>
          <w:szCs w:val="18"/>
        </w:rPr>
      </w:r>
      <w:r w:rsidRPr="00A53AF7">
        <w:rPr>
          <w:sz w:val="18"/>
          <w:szCs w:val="18"/>
        </w:rPr>
        <w:fldChar w:fldCharType="separate"/>
      </w:r>
      <w:r>
        <w:rPr>
          <w:sz w:val="18"/>
          <w:szCs w:val="18"/>
        </w:rPr>
        <w:t>2</w:t>
      </w:r>
      <w:r w:rsidRPr="00A53AF7">
        <w:rPr>
          <w:sz w:val="18"/>
          <w:szCs w:val="18"/>
        </w:rPr>
        <w:fldChar w:fldCharType="end"/>
      </w:r>
      <w:r w:rsidRPr="00A53AF7">
        <w:rPr>
          <w:sz w:val="18"/>
          <w:szCs w:val="18"/>
        </w:rPr>
        <w:t>) 52-3.</w:t>
      </w:r>
    </w:p>
  </w:footnote>
  <w:footnote w:id="72">
    <w:p w14:paraId="2D5E2678" w14:textId="0EDB8577" w:rsidR="00D70136" w:rsidRPr="00A53AF7" w:rsidRDefault="00D70136">
      <w:pPr>
        <w:pStyle w:val="FootnoteText"/>
        <w:rPr>
          <w:sz w:val="18"/>
          <w:szCs w:val="18"/>
        </w:rPr>
      </w:pPr>
      <w:r w:rsidRPr="00A53AF7">
        <w:rPr>
          <w:rStyle w:val="FootnoteReference"/>
          <w:sz w:val="18"/>
          <w:szCs w:val="18"/>
        </w:rPr>
        <w:footnoteRef/>
      </w:r>
      <w:r w:rsidRPr="00A53AF7">
        <w:rPr>
          <w:sz w:val="18"/>
          <w:szCs w:val="18"/>
        </w:rPr>
        <w:t xml:space="preserve"> Cf </w:t>
      </w:r>
      <w:r w:rsidRPr="00A53AF7">
        <w:rPr>
          <w:i/>
          <w:sz w:val="18"/>
          <w:szCs w:val="18"/>
        </w:rPr>
        <w:t>ibid</w:t>
      </w:r>
      <w:r w:rsidRPr="00A53AF7">
        <w:rPr>
          <w:sz w:val="18"/>
          <w:szCs w:val="18"/>
        </w:rPr>
        <w:t xml:space="preserve"> 52-3, 160.</w:t>
      </w:r>
    </w:p>
  </w:footnote>
  <w:footnote w:id="73">
    <w:p w14:paraId="6C87EA6B" w14:textId="13D927E3" w:rsidR="00D70136" w:rsidRPr="00A53AF7" w:rsidRDefault="00D70136">
      <w:pPr>
        <w:pStyle w:val="FootnoteText"/>
        <w:rPr>
          <w:sz w:val="18"/>
          <w:szCs w:val="18"/>
        </w:rPr>
      </w:pPr>
      <w:r w:rsidRPr="00A53AF7">
        <w:rPr>
          <w:rStyle w:val="FootnoteReference"/>
          <w:sz w:val="18"/>
          <w:szCs w:val="18"/>
        </w:rPr>
        <w:footnoteRef/>
      </w:r>
      <w:r w:rsidRPr="00A53AF7">
        <w:rPr>
          <w:sz w:val="18"/>
          <w:szCs w:val="18"/>
        </w:rPr>
        <w:t xml:space="preserve"> Cf </w:t>
      </w:r>
      <w:r w:rsidRPr="00A53AF7">
        <w:rPr>
          <w:i/>
          <w:sz w:val="18"/>
          <w:szCs w:val="18"/>
        </w:rPr>
        <w:t>ibid</w:t>
      </w:r>
      <w:r w:rsidRPr="00A53AF7">
        <w:rPr>
          <w:sz w:val="18"/>
          <w:szCs w:val="18"/>
        </w:rPr>
        <w:t xml:space="preserve"> 72-9.</w:t>
      </w:r>
    </w:p>
  </w:footnote>
  <w:footnote w:id="74">
    <w:p w14:paraId="740A7262" w14:textId="2B6B1DE7" w:rsidR="00D70136" w:rsidRPr="00A53AF7" w:rsidRDefault="00D70136">
      <w:pPr>
        <w:pStyle w:val="FootnoteText"/>
        <w:rPr>
          <w:sz w:val="18"/>
          <w:szCs w:val="18"/>
        </w:rPr>
      </w:pPr>
      <w:r w:rsidRPr="00A53AF7">
        <w:rPr>
          <w:rStyle w:val="FootnoteReference"/>
          <w:sz w:val="18"/>
          <w:szCs w:val="18"/>
        </w:rPr>
        <w:footnoteRef/>
      </w:r>
      <w:r w:rsidRPr="00A53AF7">
        <w:rPr>
          <w:sz w:val="18"/>
          <w:szCs w:val="18"/>
        </w:rPr>
        <w:t xml:space="preserve"> See, eg, </w:t>
      </w:r>
      <w:r w:rsidRPr="00A53AF7">
        <w:rPr>
          <w:i/>
          <w:sz w:val="18"/>
          <w:szCs w:val="18"/>
        </w:rPr>
        <w:t>ibid</w:t>
      </w:r>
      <w:r w:rsidRPr="00A53AF7">
        <w:rPr>
          <w:sz w:val="18"/>
          <w:szCs w:val="18"/>
        </w:rPr>
        <w:t xml:space="preserve"> 61-7, 72-81, 191; Alan Sefton, ‘Report on Njamal People’s Trust’ (Inquiry under Section 20 of the </w:t>
      </w:r>
      <w:r w:rsidRPr="00076A30">
        <w:rPr>
          <w:sz w:val="18"/>
          <w:szCs w:val="18"/>
        </w:rPr>
        <w:t xml:space="preserve">Charitable Trusts Act 1962 </w:t>
      </w:r>
      <w:r w:rsidRPr="00A53AF7">
        <w:rPr>
          <w:sz w:val="18"/>
          <w:szCs w:val="18"/>
        </w:rPr>
        <w:t>(WA), 1 November 2018) 477-81.</w:t>
      </w:r>
    </w:p>
  </w:footnote>
  <w:footnote w:id="75">
    <w:p w14:paraId="1EB3C88B" w14:textId="0DFC3F5A" w:rsidR="00D70136" w:rsidRPr="00A53AF7" w:rsidRDefault="00D70136">
      <w:pPr>
        <w:pStyle w:val="FootnoteText"/>
        <w:rPr>
          <w:sz w:val="18"/>
          <w:szCs w:val="18"/>
        </w:rPr>
      </w:pPr>
      <w:r w:rsidRPr="00A53AF7">
        <w:rPr>
          <w:rStyle w:val="FootnoteReference"/>
          <w:sz w:val="18"/>
          <w:szCs w:val="18"/>
        </w:rPr>
        <w:footnoteRef/>
      </w:r>
      <w:r w:rsidRPr="00A53AF7">
        <w:rPr>
          <w:sz w:val="18"/>
          <w:szCs w:val="18"/>
        </w:rPr>
        <w:t xml:space="preserve"> Murray, Fardin and O’Hara (n </w:t>
      </w:r>
      <w:r w:rsidRPr="00A53AF7">
        <w:rPr>
          <w:sz w:val="18"/>
          <w:szCs w:val="18"/>
        </w:rPr>
        <w:fldChar w:fldCharType="begin"/>
      </w:r>
      <w:r w:rsidRPr="00A53AF7">
        <w:rPr>
          <w:sz w:val="18"/>
          <w:szCs w:val="18"/>
        </w:rPr>
        <w:instrText xml:space="preserve"> NOTEREF _Ref43891040 \h  \* MERGEFORMAT </w:instrText>
      </w:r>
      <w:r w:rsidRPr="00A53AF7">
        <w:rPr>
          <w:sz w:val="18"/>
          <w:szCs w:val="18"/>
        </w:rPr>
      </w:r>
      <w:r w:rsidRPr="00A53AF7">
        <w:rPr>
          <w:sz w:val="18"/>
          <w:szCs w:val="18"/>
        </w:rPr>
        <w:fldChar w:fldCharType="separate"/>
      </w:r>
      <w:r>
        <w:rPr>
          <w:sz w:val="18"/>
          <w:szCs w:val="18"/>
        </w:rPr>
        <w:t>2</w:t>
      </w:r>
      <w:r w:rsidRPr="00A53AF7">
        <w:rPr>
          <w:sz w:val="18"/>
          <w:szCs w:val="18"/>
        </w:rPr>
        <w:fldChar w:fldCharType="end"/>
      </w:r>
      <w:r w:rsidRPr="00A53AF7">
        <w:rPr>
          <w:sz w:val="18"/>
          <w:szCs w:val="18"/>
        </w:rPr>
        <w:t>) 141-58, 183-4.</w:t>
      </w:r>
    </w:p>
  </w:footnote>
  <w:footnote w:id="76">
    <w:p w14:paraId="79A62CF4" w14:textId="0D10B31E" w:rsidR="00D70136" w:rsidRDefault="00D70136">
      <w:pPr>
        <w:pStyle w:val="FootnoteText"/>
      </w:pPr>
      <w:r w:rsidRPr="00A53AF7">
        <w:rPr>
          <w:rStyle w:val="FootnoteReference"/>
          <w:sz w:val="18"/>
          <w:szCs w:val="18"/>
        </w:rPr>
        <w:footnoteRef/>
      </w:r>
      <w:r w:rsidRPr="00A53AF7">
        <w:rPr>
          <w:sz w:val="18"/>
          <w:szCs w:val="18"/>
        </w:rPr>
        <w:t xml:space="preserve"> Frankie Young, ‘Indigenous Economic Development and Sustainability: Maintaining the Integrity of Indigenous Culture in Corporate Governance’ (2020) McGill International Journal of Sustainable Development Law and Policy (forthcoming); Murray, Fardin and O’Hara (n </w:t>
      </w:r>
      <w:r w:rsidRPr="00A53AF7">
        <w:rPr>
          <w:sz w:val="18"/>
          <w:szCs w:val="18"/>
        </w:rPr>
        <w:fldChar w:fldCharType="begin"/>
      </w:r>
      <w:r w:rsidRPr="00A53AF7">
        <w:rPr>
          <w:sz w:val="18"/>
          <w:szCs w:val="18"/>
        </w:rPr>
        <w:instrText xml:space="preserve"> NOTEREF _Ref43891040 \h  \* MERGEFORMAT </w:instrText>
      </w:r>
      <w:r w:rsidRPr="00A53AF7">
        <w:rPr>
          <w:sz w:val="18"/>
          <w:szCs w:val="18"/>
        </w:rPr>
      </w:r>
      <w:r w:rsidRPr="00A53AF7">
        <w:rPr>
          <w:sz w:val="18"/>
          <w:szCs w:val="18"/>
        </w:rPr>
        <w:fldChar w:fldCharType="separate"/>
      </w:r>
      <w:r>
        <w:rPr>
          <w:sz w:val="18"/>
          <w:szCs w:val="18"/>
        </w:rPr>
        <w:t>2</w:t>
      </w:r>
      <w:r w:rsidRPr="00A53AF7">
        <w:rPr>
          <w:sz w:val="18"/>
          <w:szCs w:val="18"/>
        </w:rPr>
        <w:fldChar w:fldCharType="end"/>
      </w:r>
      <w:r w:rsidRPr="00A53AF7">
        <w:rPr>
          <w:sz w:val="18"/>
          <w:szCs w:val="18"/>
        </w:rPr>
        <w:t>) 93, 123-9.</w:t>
      </w:r>
    </w:p>
  </w:footnote>
  <w:footnote w:id="77">
    <w:p w14:paraId="057BBC55" w14:textId="6DF3FE8D" w:rsidR="00D70136" w:rsidRPr="00A34A8E" w:rsidRDefault="00D70136">
      <w:pPr>
        <w:pStyle w:val="FootnoteText"/>
        <w:rPr>
          <w:sz w:val="18"/>
          <w:szCs w:val="18"/>
        </w:rPr>
      </w:pPr>
      <w:r w:rsidRPr="00A34A8E">
        <w:rPr>
          <w:rStyle w:val="FootnoteReference"/>
          <w:sz w:val="18"/>
          <w:szCs w:val="18"/>
        </w:rPr>
        <w:footnoteRef/>
      </w:r>
      <w:r w:rsidRPr="00A34A8E">
        <w:rPr>
          <w:sz w:val="18"/>
          <w:szCs w:val="18"/>
        </w:rPr>
        <w:t xml:space="preserve"> Dana Brakman</w:t>
      </w:r>
      <w:r>
        <w:rPr>
          <w:sz w:val="18"/>
          <w:szCs w:val="18"/>
        </w:rPr>
        <w:t>-</w:t>
      </w:r>
      <w:r w:rsidRPr="00A34A8E">
        <w:rPr>
          <w:sz w:val="18"/>
          <w:szCs w:val="18"/>
        </w:rPr>
        <w:t xml:space="preserve">Reiser and Steven Dean, ‘The Social Enterprise Life Cycle’ in Benjamin Means and Joseph Yockey (eds), </w:t>
      </w:r>
      <w:r w:rsidRPr="00A34A8E">
        <w:rPr>
          <w:i/>
          <w:sz w:val="18"/>
          <w:szCs w:val="18"/>
        </w:rPr>
        <w:t>The Cambridge Handbook of Social Enterprise Law</w:t>
      </w:r>
      <w:r w:rsidRPr="00A34A8E">
        <w:rPr>
          <w:sz w:val="18"/>
          <w:szCs w:val="18"/>
        </w:rPr>
        <w:t xml:space="preserve"> (</w:t>
      </w:r>
      <w:r>
        <w:rPr>
          <w:sz w:val="18"/>
          <w:szCs w:val="18"/>
        </w:rPr>
        <w:t>CUP</w:t>
      </w:r>
      <w:r w:rsidRPr="00A34A8E">
        <w:rPr>
          <w:sz w:val="18"/>
          <w:szCs w:val="18"/>
        </w:rPr>
        <w:t xml:space="preserve"> 2019) 223; Bronwen Morgan, ‘Transcending the Corporation: Social Enterprise, Corporations and Commons-based Governance’ in Thomas Clarke, Justin O’Brien and Charles O’Kelley (eds), </w:t>
      </w:r>
      <w:r w:rsidRPr="00A34A8E">
        <w:rPr>
          <w:i/>
          <w:sz w:val="18"/>
          <w:szCs w:val="18"/>
        </w:rPr>
        <w:t>The Oxford Handbook of the Corporation</w:t>
      </w:r>
      <w:r w:rsidRPr="00A34A8E">
        <w:rPr>
          <w:sz w:val="18"/>
          <w:szCs w:val="18"/>
        </w:rPr>
        <w:t xml:space="preserve"> (</w:t>
      </w:r>
      <w:r>
        <w:rPr>
          <w:sz w:val="18"/>
          <w:szCs w:val="18"/>
        </w:rPr>
        <w:t>OUP</w:t>
      </w:r>
      <w:r w:rsidRPr="00A34A8E">
        <w:rPr>
          <w:sz w:val="18"/>
          <w:szCs w:val="18"/>
        </w:rPr>
        <w:t xml:space="preserve"> 2019) 667, 671 </w:t>
      </w:r>
      <w:r w:rsidRPr="00A34A8E">
        <w:rPr>
          <w:sz w:val="18"/>
          <w:szCs w:val="18"/>
          <w:lang w:val="en-US"/>
        </w:rPr>
        <w:t xml:space="preserve">Johanna Mair, ‘Social Entrepreneurship: Research as Disciplined Exploration’ in </w:t>
      </w:r>
      <w:r w:rsidRPr="00A34A8E">
        <w:rPr>
          <w:sz w:val="18"/>
          <w:szCs w:val="18"/>
        </w:rPr>
        <w:t xml:space="preserve">Walter W Powell and Patricia Bromley (eds), </w:t>
      </w:r>
      <w:r w:rsidRPr="00A34A8E">
        <w:rPr>
          <w:i/>
          <w:sz w:val="18"/>
          <w:szCs w:val="18"/>
        </w:rPr>
        <w:t>The Nonprofit Sector: A Research Handbook</w:t>
      </w:r>
      <w:r w:rsidRPr="00A34A8E">
        <w:rPr>
          <w:sz w:val="18"/>
          <w:szCs w:val="18"/>
        </w:rPr>
        <w:t xml:space="preserve"> (</w:t>
      </w:r>
      <w:r>
        <w:rPr>
          <w:sz w:val="18"/>
          <w:szCs w:val="18"/>
        </w:rPr>
        <w:t>3</w:t>
      </w:r>
      <w:r w:rsidRPr="00A34A8E">
        <w:rPr>
          <w:sz w:val="18"/>
          <w:szCs w:val="18"/>
          <w:vertAlign w:val="superscript"/>
        </w:rPr>
        <w:t>rd</w:t>
      </w:r>
      <w:r>
        <w:rPr>
          <w:sz w:val="18"/>
          <w:szCs w:val="18"/>
        </w:rPr>
        <w:t xml:space="preserve"> </w:t>
      </w:r>
      <w:proofErr w:type="spellStart"/>
      <w:r>
        <w:rPr>
          <w:sz w:val="18"/>
          <w:szCs w:val="18"/>
        </w:rPr>
        <w:t>edn</w:t>
      </w:r>
      <w:proofErr w:type="spellEnd"/>
      <w:r>
        <w:rPr>
          <w:sz w:val="18"/>
          <w:szCs w:val="18"/>
        </w:rPr>
        <w:t xml:space="preserve">, </w:t>
      </w:r>
      <w:r w:rsidRPr="00A34A8E">
        <w:rPr>
          <w:sz w:val="18"/>
          <w:szCs w:val="18"/>
        </w:rPr>
        <w:t>Stanford University Press</w:t>
      </w:r>
      <w:r>
        <w:rPr>
          <w:sz w:val="18"/>
          <w:szCs w:val="18"/>
        </w:rPr>
        <w:t xml:space="preserve"> </w:t>
      </w:r>
      <w:r w:rsidRPr="00A34A8E">
        <w:rPr>
          <w:sz w:val="18"/>
          <w:szCs w:val="18"/>
        </w:rPr>
        <w:t>2020)</w:t>
      </w:r>
      <w:r w:rsidRPr="00A34A8E">
        <w:rPr>
          <w:sz w:val="18"/>
          <w:szCs w:val="18"/>
          <w:lang w:val="en-US"/>
        </w:rPr>
        <w:t xml:space="preserve"> 333, 340.</w:t>
      </w:r>
    </w:p>
  </w:footnote>
  <w:footnote w:id="78">
    <w:p w14:paraId="25D49EF7" w14:textId="48259B70" w:rsidR="00D70136" w:rsidRPr="00A34A8E" w:rsidRDefault="00D70136">
      <w:pPr>
        <w:pStyle w:val="FootnoteText"/>
        <w:rPr>
          <w:sz w:val="18"/>
          <w:szCs w:val="18"/>
        </w:rPr>
      </w:pPr>
      <w:r w:rsidRPr="00A34A8E">
        <w:rPr>
          <w:rStyle w:val="FootnoteReference"/>
          <w:sz w:val="18"/>
          <w:szCs w:val="18"/>
        </w:rPr>
        <w:footnoteRef/>
      </w:r>
      <w:r w:rsidRPr="00A34A8E">
        <w:rPr>
          <w:sz w:val="18"/>
          <w:szCs w:val="18"/>
        </w:rPr>
        <w:t xml:space="preserve"> Community interest companies in England and Wales (Companies (Audit, Investigations and Community Enterprise) Act 2004 (UK) c 27, </w:t>
      </w:r>
      <w:r>
        <w:rPr>
          <w:sz w:val="18"/>
          <w:szCs w:val="18"/>
        </w:rPr>
        <w:t>pt</w:t>
      </w:r>
      <w:r w:rsidRPr="00A34A8E">
        <w:rPr>
          <w:sz w:val="18"/>
          <w:szCs w:val="18"/>
        </w:rPr>
        <w:t xml:space="preserve"> 2); low-profit limited liability companies in a few US states (eg 11 VSA </w:t>
      </w:r>
      <w:r w:rsidRPr="00A34A8E">
        <w:rPr>
          <w:color w:val="000000"/>
          <w:sz w:val="18"/>
          <w:szCs w:val="18"/>
        </w:rPr>
        <w:t>§§4161-4163</w:t>
      </w:r>
      <w:r w:rsidRPr="00A34A8E">
        <w:rPr>
          <w:sz w:val="18"/>
          <w:szCs w:val="18"/>
        </w:rPr>
        <w:t xml:space="preserve">); benefit corporations in many US states (typically based on Model Benefit Corporation Legislation available at https://benefitcorp.net/attorneys/model-legislation); and in several Canadian provinces, community interest companies (Community Interest Companies Act, SNS 2012, c38) and community contribution companies (Business Corporations Act, SBC 2002, c57 pt 2.2). For a discussion of several of the various legislative models, see, eg, Dana Brakman-Reiser and Steven Dean, </w:t>
      </w:r>
      <w:r w:rsidRPr="00A34A8E">
        <w:rPr>
          <w:i/>
          <w:sz w:val="18"/>
          <w:szCs w:val="18"/>
        </w:rPr>
        <w:t>Social Enterprise Law: Trust, Public Benefit and Capital Markets</w:t>
      </w:r>
      <w:r w:rsidRPr="00A34A8E">
        <w:rPr>
          <w:sz w:val="18"/>
          <w:szCs w:val="18"/>
        </w:rPr>
        <w:t xml:space="preserve"> (OUP 2017).</w:t>
      </w:r>
    </w:p>
  </w:footnote>
  <w:footnote w:id="79">
    <w:p w14:paraId="3A0BC110" w14:textId="461E0D84" w:rsidR="00D70136" w:rsidRPr="00A34A8E" w:rsidRDefault="00D70136">
      <w:pPr>
        <w:pStyle w:val="FootnoteText"/>
        <w:rPr>
          <w:sz w:val="18"/>
          <w:szCs w:val="18"/>
        </w:rPr>
      </w:pPr>
      <w:r w:rsidRPr="00A34A8E">
        <w:rPr>
          <w:rStyle w:val="FootnoteReference"/>
          <w:sz w:val="18"/>
          <w:szCs w:val="18"/>
        </w:rPr>
        <w:footnoteRef/>
      </w:r>
      <w:r w:rsidRPr="00A34A8E">
        <w:rPr>
          <w:sz w:val="18"/>
          <w:szCs w:val="18"/>
        </w:rPr>
        <w:t xml:space="preserve"> For a useful overview, see, eg, Brakman-Reiser and Dean, </w:t>
      </w:r>
      <w:r w:rsidRPr="00A34A8E">
        <w:rPr>
          <w:i/>
          <w:sz w:val="18"/>
          <w:szCs w:val="18"/>
        </w:rPr>
        <w:t>Social Enterprise Law</w:t>
      </w:r>
      <w:r w:rsidRPr="00A34A8E">
        <w:rPr>
          <w:sz w:val="18"/>
          <w:szCs w:val="18"/>
        </w:rPr>
        <w:t xml:space="preserve"> (n </w:t>
      </w:r>
      <w:r w:rsidRPr="00A34A8E">
        <w:rPr>
          <w:sz w:val="18"/>
          <w:szCs w:val="18"/>
        </w:rPr>
        <w:fldChar w:fldCharType="begin"/>
      </w:r>
      <w:r w:rsidRPr="00A34A8E">
        <w:rPr>
          <w:sz w:val="18"/>
          <w:szCs w:val="18"/>
        </w:rPr>
        <w:instrText xml:space="preserve"> NOTEREF _Ref43727916 \h </w:instrText>
      </w:r>
      <w:r>
        <w:rPr>
          <w:sz w:val="18"/>
          <w:szCs w:val="18"/>
        </w:rPr>
        <w:instrText xml:space="preserve"> \* MERGEFORMAT </w:instrText>
      </w:r>
      <w:r w:rsidRPr="00A34A8E">
        <w:rPr>
          <w:sz w:val="18"/>
          <w:szCs w:val="18"/>
        </w:rPr>
      </w:r>
      <w:r w:rsidRPr="00A34A8E">
        <w:rPr>
          <w:sz w:val="18"/>
          <w:szCs w:val="18"/>
        </w:rPr>
        <w:fldChar w:fldCharType="separate"/>
      </w:r>
      <w:r>
        <w:rPr>
          <w:sz w:val="18"/>
          <w:szCs w:val="18"/>
        </w:rPr>
        <w:t>77</w:t>
      </w:r>
      <w:r w:rsidRPr="00A34A8E">
        <w:rPr>
          <w:sz w:val="18"/>
          <w:szCs w:val="18"/>
        </w:rPr>
        <w:fldChar w:fldCharType="end"/>
      </w:r>
      <w:r w:rsidRPr="00A34A8E">
        <w:rPr>
          <w:sz w:val="18"/>
          <w:szCs w:val="18"/>
        </w:rPr>
        <w:t xml:space="preserve">) 52-76; Young (n </w:t>
      </w:r>
      <w:r w:rsidRPr="00A34A8E">
        <w:rPr>
          <w:sz w:val="18"/>
          <w:szCs w:val="18"/>
        </w:rPr>
        <w:fldChar w:fldCharType="begin"/>
      </w:r>
      <w:r w:rsidRPr="00A34A8E">
        <w:rPr>
          <w:sz w:val="18"/>
          <w:szCs w:val="18"/>
        </w:rPr>
        <w:instrText xml:space="preserve"> NOTEREF _Ref43893946 \h  \* MERGEFORMAT </w:instrText>
      </w:r>
      <w:r w:rsidRPr="00A34A8E">
        <w:rPr>
          <w:sz w:val="18"/>
          <w:szCs w:val="18"/>
        </w:rPr>
      </w:r>
      <w:r w:rsidRPr="00A34A8E">
        <w:rPr>
          <w:sz w:val="18"/>
          <w:szCs w:val="18"/>
        </w:rPr>
        <w:fldChar w:fldCharType="separate"/>
      </w:r>
      <w:r>
        <w:rPr>
          <w:sz w:val="18"/>
          <w:szCs w:val="18"/>
        </w:rPr>
        <w:t>75</w:t>
      </w:r>
      <w:r w:rsidRPr="00A34A8E">
        <w:rPr>
          <w:sz w:val="18"/>
          <w:szCs w:val="18"/>
        </w:rPr>
        <w:fldChar w:fldCharType="end"/>
      </w:r>
      <w:r w:rsidRPr="00A34A8E">
        <w:rPr>
          <w:sz w:val="18"/>
          <w:szCs w:val="18"/>
        </w:rPr>
        <w:t>).</w:t>
      </w:r>
    </w:p>
  </w:footnote>
  <w:footnote w:id="80">
    <w:p w14:paraId="61911571" w14:textId="3F957E7A" w:rsidR="00D70136" w:rsidRPr="00A34A8E" w:rsidRDefault="00D70136" w:rsidP="00653FC8">
      <w:pPr>
        <w:pStyle w:val="FootnoteText"/>
        <w:rPr>
          <w:sz w:val="18"/>
          <w:szCs w:val="18"/>
        </w:rPr>
      </w:pPr>
      <w:r w:rsidRPr="00A34A8E">
        <w:rPr>
          <w:rStyle w:val="FootnoteReference"/>
          <w:sz w:val="18"/>
          <w:szCs w:val="18"/>
        </w:rPr>
        <w:footnoteRef/>
      </w:r>
      <w:r w:rsidRPr="00A34A8E">
        <w:rPr>
          <w:sz w:val="18"/>
          <w:szCs w:val="18"/>
        </w:rPr>
        <w:t xml:space="preserve"> Law firm professional adviser cited in Murray, Fardin and O’Hara (n </w:t>
      </w:r>
      <w:r w:rsidRPr="00A34A8E">
        <w:rPr>
          <w:sz w:val="18"/>
          <w:szCs w:val="18"/>
        </w:rPr>
        <w:fldChar w:fldCharType="begin"/>
      </w:r>
      <w:r w:rsidRPr="00A34A8E">
        <w:rPr>
          <w:sz w:val="18"/>
          <w:szCs w:val="18"/>
        </w:rPr>
        <w:instrText xml:space="preserve"> NOTEREF _Ref43891040 \h  \* MERGEFORMAT </w:instrText>
      </w:r>
      <w:r w:rsidRPr="00A34A8E">
        <w:rPr>
          <w:sz w:val="18"/>
          <w:szCs w:val="18"/>
        </w:rPr>
      </w:r>
      <w:r w:rsidRPr="00A34A8E">
        <w:rPr>
          <w:sz w:val="18"/>
          <w:szCs w:val="18"/>
        </w:rPr>
        <w:fldChar w:fldCharType="separate"/>
      </w:r>
      <w:r>
        <w:rPr>
          <w:sz w:val="18"/>
          <w:szCs w:val="18"/>
        </w:rPr>
        <w:t>2</w:t>
      </w:r>
      <w:r w:rsidRPr="00A34A8E">
        <w:rPr>
          <w:sz w:val="18"/>
          <w:szCs w:val="18"/>
        </w:rPr>
        <w:fldChar w:fldCharType="end"/>
      </w:r>
      <w:r w:rsidRPr="00A34A8E">
        <w:rPr>
          <w:sz w:val="18"/>
          <w:szCs w:val="18"/>
        </w:rPr>
        <w:t>) 191.</w:t>
      </w:r>
    </w:p>
  </w:footnote>
  <w:footnote w:id="81">
    <w:p w14:paraId="15F080E5" w14:textId="053053B0" w:rsidR="00D70136" w:rsidRPr="00A34A8E" w:rsidRDefault="00D70136" w:rsidP="00653FC8">
      <w:pPr>
        <w:pStyle w:val="FootnoteText"/>
        <w:rPr>
          <w:sz w:val="18"/>
          <w:szCs w:val="18"/>
        </w:rPr>
      </w:pPr>
      <w:r w:rsidRPr="00A34A8E">
        <w:rPr>
          <w:rStyle w:val="FootnoteReference"/>
          <w:sz w:val="18"/>
          <w:szCs w:val="18"/>
        </w:rPr>
        <w:footnoteRef/>
      </w:r>
      <w:r w:rsidRPr="00A34A8E">
        <w:rPr>
          <w:sz w:val="18"/>
          <w:szCs w:val="18"/>
        </w:rPr>
        <w:t xml:space="preserve"> Tax Laws Amendment (2012 Measures No 6) Act 2013 (Cth); </w:t>
      </w:r>
      <w:r w:rsidRPr="00A34A8E">
        <w:rPr>
          <w:rFonts w:cs="Arial"/>
          <w:sz w:val="18"/>
          <w:szCs w:val="18"/>
        </w:rPr>
        <w:t xml:space="preserve">Murray and Wright (n </w:t>
      </w:r>
      <w:r w:rsidRPr="00A34A8E">
        <w:rPr>
          <w:rFonts w:cs="Arial"/>
          <w:sz w:val="18"/>
          <w:szCs w:val="18"/>
        </w:rPr>
        <w:fldChar w:fldCharType="begin"/>
      </w:r>
      <w:r w:rsidRPr="00A34A8E">
        <w:rPr>
          <w:rFonts w:cs="Arial"/>
          <w:sz w:val="18"/>
          <w:szCs w:val="18"/>
        </w:rPr>
        <w:instrText xml:space="preserve"> NOTEREF _Ref22729333 \h  \* MERGEFORMAT </w:instrText>
      </w:r>
      <w:r w:rsidRPr="00A34A8E">
        <w:rPr>
          <w:rFonts w:cs="Arial"/>
          <w:sz w:val="18"/>
          <w:szCs w:val="18"/>
        </w:rPr>
      </w:r>
      <w:r w:rsidRPr="00A34A8E">
        <w:rPr>
          <w:rFonts w:cs="Arial"/>
          <w:sz w:val="18"/>
          <w:szCs w:val="18"/>
        </w:rPr>
        <w:fldChar w:fldCharType="separate"/>
      </w:r>
      <w:r>
        <w:rPr>
          <w:rFonts w:cs="Arial"/>
          <w:sz w:val="18"/>
          <w:szCs w:val="18"/>
        </w:rPr>
        <w:t>21</w:t>
      </w:r>
      <w:r w:rsidRPr="00A34A8E">
        <w:rPr>
          <w:rFonts w:cs="Arial"/>
          <w:sz w:val="18"/>
          <w:szCs w:val="18"/>
        </w:rPr>
        <w:fldChar w:fldCharType="end"/>
      </w:r>
      <w:r w:rsidRPr="00A34A8E">
        <w:rPr>
          <w:rFonts w:cs="Arial"/>
          <w:sz w:val="18"/>
          <w:szCs w:val="18"/>
        </w:rPr>
        <w:t>)</w:t>
      </w:r>
      <w:r w:rsidRPr="00A34A8E">
        <w:rPr>
          <w:rFonts w:cs="Arial"/>
          <w:sz w:val="18"/>
          <w:szCs w:val="18"/>
          <w:lang w:val="en-US"/>
        </w:rPr>
        <w:t xml:space="preserve"> 135-42. As to non-charities acting as intermediary recipients of native title benefits, cf </w:t>
      </w:r>
      <w:r w:rsidRPr="00A34A8E">
        <w:rPr>
          <w:sz w:val="18"/>
          <w:szCs w:val="18"/>
        </w:rPr>
        <w:t xml:space="preserve">Productivity Commission (n </w:t>
      </w:r>
      <w:r w:rsidRPr="00A34A8E">
        <w:rPr>
          <w:sz w:val="18"/>
          <w:szCs w:val="18"/>
        </w:rPr>
        <w:fldChar w:fldCharType="begin"/>
      </w:r>
      <w:r w:rsidRPr="00A34A8E">
        <w:rPr>
          <w:sz w:val="18"/>
          <w:szCs w:val="18"/>
        </w:rPr>
        <w:instrText xml:space="preserve"> NOTEREF _Ref43894904 \h  \* MERGEFORMAT </w:instrText>
      </w:r>
      <w:r w:rsidRPr="00A34A8E">
        <w:rPr>
          <w:sz w:val="18"/>
          <w:szCs w:val="18"/>
        </w:rPr>
      </w:r>
      <w:r w:rsidRPr="00A34A8E">
        <w:rPr>
          <w:sz w:val="18"/>
          <w:szCs w:val="18"/>
        </w:rPr>
        <w:fldChar w:fldCharType="separate"/>
      </w:r>
      <w:r>
        <w:rPr>
          <w:sz w:val="18"/>
          <w:szCs w:val="18"/>
        </w:rPr>
        <w:t>23</w:t>
      </w:r>
      <w:r w:rsidRPr="00A34A8E">
        <w:rPr>
          <w:sz w:val="18"/>
          <w:szCs w:val="18"/>
        </w:rPr>
        <w:fldChar w:fldCharType="end"/>
      </w:r>
      <w:r w:rsidRPr="00A34A8E">
        <w:rPr>
          <w:sz w:val="18"/>
          <w:szCs w:val="18"/>
        </w:rPr>
        <w:t>) 303.</w:t>
      </w:r>
    </w:p>
  </w:footnote>
  <w:footnote w:id="82">
    <w:p w14:paraId="593925EC" w14:textId="5F483A72" w:rsidR="00D70136" w:rsidRPr="00A34A8E" w:rsidRDefault="00D70136">
      <w:pPr>
        <w:pStyle w:val="FootnoteText"/>
        <w:rPr>
          <w:sz w:val="18"/>
          <w:szCs w:val="18"/>
        </w:rPr>
      </w:pPr>
      <w:r w:rsidRPr="00A34A8E">
        <w:rPr>
          <w:rStyle w:val="FootnoteReference"/>
          <w:sz w:val="18"/>
          <w:szCs w:val="18"/>
        </w:rPr>
        <w:footnoteRef/>
      </w:r>
      <w:r w:rsidRPr="00A34A8E">
        <w:rPr>
          <w:sz w:val="18"/>
          <w:szCs w:val="18"/>
        </w:rPr>
        <w:t xml:space="preserve"> Murray, Fardin and O’Hara (n </w:t>
      </w:r>
      <w:r w:rsidRPr="00A34A8E">
        <w:rPr>
          <w:sz w:val="18"/>
          <w:szCs w:val="18"/>
        </w:rPr>
        <w:fldChar w:fldCharType="begin"/>
      </w:r>
      <w:r w:rsidRPr="00A34A8E">
        <w:rPr>
          <w:sz w:val="18"/>
          <w:szCs w:val="18"/>
        </w:rPr>
        <w:instrText xml:space="preserve"> NOTEREF _Ref43891040 \h  \* MERGEFORMAT </w:instrText>
      </w:r>
      <w:r w:rsidRPr="00A34A8E">
        <w:rPr>
          <w:sz w:val="18"/>
          <w:szCs w:val="18"/>
        </w:rPr>
      </w:r>
      <w:r w:rsidRPr="00A34A8E">
        <w:rPr>
          <w:sz w:val="18"/>
          <w:szCs w:val="18"/>
        </w:rPr>
        <w:fldChar w:fldCharType="separate"/>
      </w:r>
      <w:r>
        <w:rPr>
          <w:sz w:val="18"/>
          <w:szCs w:val="18"/>
        </w:rPr>
        <w:t>2</w:t>
      </w:r>
      <w:r w:rsidRPr="00A34A8E">
        <w:rPr>
          <w:sz w:val="18"/>
          <w:szCs w:val="18"/>
        </w:rPr>
        <w:fldChar w:fldCharType="end"/>
      </w:r>
      <w:r w:rsidRPr="00A34A8E">
        <w:rPr>
          <w:sz w:val="18"/>
          <w:szCs w:val="18"/>
        </w:rPr>
        <w:t xml:space="preserve">) 191. See also Part </w:t>
      </w:r>
      <w:r w:rsidRPr="00A34A8E">
        <w:rPr>
          <w:sz w:val="18"/>
          <w:szCs w:val="18"/>
          <w:highlight w:val="green"/>
        </w:rPr>
        <w:fldChar w:fldCharType="begin"/>
      </w:r>
      <w:r w:rsidRPr="00A34A8E">
        <w:rPr>
          <w:sz w:val="18"/>
          <w:szCs w:val="18"/>
        </w:rPr>
        <w:instrText xml:space="preserve"> REF _Ref22654258 \r \h </w:instrText>
      </w:r>
      <w:r>
        <w:rPr>
          <w:sz w:val="18"/>
          <w:szCs w:val="18"/>
          <w:highlight w:val="green"/>
        </w:rPr>
        <w:instrText xml:space="preserve"> \* MERGEFORMAT </w:instrText>
      </w:r>
      <w:r w:rsidRPr="00A34A8E">
        <w:rPr>
          <w:sz w:val="18"/>
          <w:szCs w:val="18"/>
          <w:highlight w:val="green"/>
        </w:rPr>
      </w:r>
      <w:r w:rsidRPr="00A34A8E">
        <w:rPr>
          <w:sz w:val="18"/>
          <w:szCs w:val="18"/>
          <w:highlight w:val="green"/>
        </w:rPr>
        <w:fldChar w:fldCharType="separate"/>
      </w:r>
      <w:r>
        <w:rPr>
          <w:sz w:val="18"/>
          <w:szCs w:val="18"/>
        </w:rPr>
        <w:t>2.2</w:t>
      </w:r>
      <w:r w:rsidRPr="00A34A8E">
        <w:rPr>
          <w:sz w:val="18"/>
          <w:szCs w:val="18"/>
          <w:highlight w:val="green"/>
        </w:rPr>
        <w:fldChar w:fldCharType="end"/>
      </w:r>
      <w:r>
        <w:rPr>
          <w:sz w:val="18"/>
          <w:szCs w:val="18"/>
        </w:rPr>
        <w:t>.</w:t>
      </w:r>
    </w:p>
  </w:footnote>
  <w:footnote w:id="83">
    <w:p w14:paraId="22B12019" w14:textId="39A6225F" w:rsidR="00D70136" w:rsidRPr="00D6496F" w:rsidRDefault="00D70136">
      <w:pPr>
        <w:pStyle w:val="FootnoteText"/>
        <w:rPr>
          <w:sz w:val="18"/>
          <w:szCs w:val="18"/>
        </w:rPr>
      </w:pPr>
      <w:r w:rsidRPr="00D6496F">
        <w:rPr>
          <w:rStyle w:val="FootnoteReference"/>
          <w:sz w:val="18"/>
          <w:szCs w:val="18"/>
        </w:rPr>
        <w:footnoteRef/>
      </w:r>
      <w:r w:rsidRPr="00D6496F">
        <w:rPr>
          <w:sz w:val="18"/>
          <w:szCs w:val="18"/>
        </w:rPr>
        <w:t xml:space="preserve"> </w:t>
      </w:r>
      <w:r w:rsidRPr="00D6496F">
        <w:rPr>
          <w:sz w:val="18"/>
          <w:szCs w:val="18"/>
          <w:lang w:val="en-US"/>
        </w:rPr>
        <w:t xml:space="preserve">See, especially, </w:t>
      </w:r>
      <w:r w:rsidRPr="00D6496F">
        <w:rPr>
          <w:i/>
          <w:sz w:val="18"/>
          <w:szCs w:val="18"/>
          <w:lang w:val="en-US"/>
        </w:rPr>
        <w:t xml:space="preserve">Tasmanian Electronic Commerce </w:t>
      </w:r>
      <w:r w:rsidRPr="00D6496F">
        <w:rPr>
          <w:sz w:val="18"/>
          <w:szCs w:val="18"/>
          <w:lang w:val="en-US"/>
        </w:rPr>
        <w:t xml:space="preserve">(n </w:t>
      </w:r>
      <w:r w:rsidRPr="00D6496F">
        <w:rPr>
          <w:sz w:val="18"/>
          <w:szCs w:val="18"/>
          <w:lang w:val="en-US"/>
        </w:rPr>
        <w:fldChar w:fldCharType="begin"/>
      </w:r>
      <w:r w:rsidRPr="00D6496F">
        <w:rPr>
          <w:sz w:val="18"/>
          <w:szCs w:val="18"/>
          <w:lang w:val="en-US"/>
        </w:rPr>
        <w:instrText xml:space="preserve"> NOTEREF _Ref43897310 \h  \* MERGEFORMAT </w:instrText>
      </w:r>
      <w:r w:rsidRPr="00D6496F">
        <w:rPr>
          <w:sz w:val="18"/>
          <w:szCs w:val="18"/>
          <w:lang w:val="en-US"/>
        </w:rPr>
      </w:r>
      <w:r w:rsidRPr="00D6496F">
        <w:rPr>
          <w:sz w:val="18"/>
          <w:szCs w:val="18"/>
          <w:lang w:val="en-US"/>
        </w:rPr>
        <w:fldChar w:fldCharType="separate"/>
      </w:r>
      <w:r>
        <w:rPr>
          <w:sz w:val="18"/>
          <w:szCs w:val="18"/>
          <w:lang w:val="en-US"/>
        </w:rPr>
        <w:t>41</w:t>
      </w:r>
      <w:r w:rsidRPr="00D6496F">
        <w:rPr>
          <w:sz w:val="18"/>
          <w:szCs w:val="18"/>
          <w:lang w:val="en-US"/>
        </w:rPr>
        <w:fldChar w:fldCharType="end"/>
      </w:r>
      <w:r w:rsidRPr="00D6496F">
        <w:rPr>
          <w:sz w:val="18"/>
          <w:szCs w:val="18"/>
          <w:lang w:val="en-US"/>
        </w:rPr>
        <w:t xml:space="preserve">); </w:t>
      </w:r>
      <w:r w:rsidRPr="00D6496F">
        <w:rPr>
          <w:i/>
          <w:sz w:val="18"/>
          <w:szCs w:val="18"/>
        </w:rPr>
        <w:t>Northern Land Council</w:t>
      </w:r>
      <w:r w:rsidRPr="00D6496F">
        <w:rPr>
          <w:sz w:val="18"/>
          <w:szCs w:val="18"/>
        </w:rPr>
        <w:t xml:space="preserve"> (n </w:t>
      </w:r>
      <w:r w:rsidRPr="00D6496F">
        <w:rPr>
          <w:sz w:val="18"/>
          <w:szCs w:val="18"/>
        </w:rPr>
        <w:fldChar w:fldCharType="begin"/>
      </w:r>
      <w:r w:rsidRPr="00D6496F">
        <w:rPr>
          <w:sz w:val="18"/>
          <w:szCs w:val="18"/>
        </w:rPr>
        <w:instrText xml:space="preserve"> NOTEREF _Ref43897310 \h </w:instrText>
      </w:r>
      <w:r>
        <w:rPr>
          <w:sz w:val="18"/>
          <w:szCs w:val="18"/>
        </w:rPr>
        <w:instrText xml:space="preserve"> \* MERGEFORMAT </w:instrText>
      </w:r>
      <w:r w:rsidRPr="00D6496F">
        <w:rPr>
          <w:sz w:val="18"/>
          <w:szCs w:val="18"/>
        </w:rPr>
      </w:r>
      <w:r w:rsidRPr="00D6496F">
        <w:rPr>
          <w:sz w:val="18"/>
          <w:szCs w:val="18"/>
        </w:rPr>
        <w:fldChar w:fldCharType="separate"/>
      </w:r>
      <w:r>
        <w:rPr>
          <w:sz w:val="18"/>
          <w:szCs w:val="18"/>
        </w:rPr>
        <w:t>41</w:t>
      </w:r>
      <w:r w:rsidRPr="00D6496F">
        <w:rPr>
          <w:sz w:val="18"/>
          <w:szCs w:val="18"/>
        </w:rPr>
        <w:fldChar w:fldCharType="end"/>
      </w:r>
      <w:r w:rsidRPr="00D6496F">
        <w:rPr>
          <w:sz w:val="18"/>
          <w:szCs w:val="18"/>
        </w:rPr>
        <w:t>)</w:t>
      </w:r>
      <w:r w:rsidRPr="00D6496F">
        <w:rPr>
          <w:rFonts w:cs="Arial"/>
          <w:sz w:val="18"/>
          <w:szCs w:val="18"/>
          <w:lang w:val="en-US"/>
        </w:rPr>
        <w:t xml:space="preserve"> </w:t>
      </w:r>
      <w:r w:rsidRPr="00D6496F">
        <w:rPr>
          <w:sz w:val="18"/>
          <w:szCs w:val="18"/>
          <w:lang w:val="en-US"/>
        </w:rPr>
        <w:t xml:space="preserve">5133-4 (Thomas J). And in the context of ‘community service’ organisations, see </w:t>
      </w:r>
      <w:r w:rsidRPr="00D6496F">
        <w:rPr>
          <w:i/>
          <w:sz w:val="18"/>
          <w:szCs w:val="18"/>
          <w:lang w:val="en-US"/>
        </w:rPr>
        <w:t>FCT v Wentworth District Capital Ltd</w:t>
      </w:r>
      <w:r w:rsidRPr="00D6496F">
        <w:rPr>
          <w:sz w:val="18"/>
          <w:szCs w:val="18"/>
          <w:lang w:val="en-US"/>
        </w:rPr>
        <w:t xml:space="preserve"> [2011] FCAFC 42 (facilitation of banking services).</w:t>
      </w:r>
    </w:p>
  </w:footnote>
  <w:footnote w:id="84">
    <w:p w14:paraId="36BEEA20" w14:textId="42F39088" w:rsidR="00D70136" w:rsidRPr="00D6496F" w:rsidRDefault="00D70136" w:rsidP="002166B7">
      <w:pPr>
        <w:pStyle w:val="FootnoteText"/>
        <w:rPr>
          <w:sz w:val="18"/>
          <w:szCs w:val="18"/>
          <w:lang w:val="en-US"/>
        </w:rPr>
      </w:pPr>
      <w:r w:rsidRPr="00D6496F">
        <w:rPr>
          <w:rStyle w:val="FootnoteReference"/>
          <w:sz w:val="18"/>
          <w:szCs w:val="18"/>
        </w:rPr>
        <w:footnoteRef/>
      </w:r>
      <w:r w:rsidRPr="00D6496F">
        <w:rPr>
          <w:sz w:val="18"/>
          <w:szCs w:val="18"/>
        </w:rPr>
        <w:t xml:space="preserve"> </w:t>
      </w:r>
      <w:r w:rsidRPr="00D6496F">
        <w:rPr>
          <w:sz w:val="18"/>
          <w:szCs w:val="18"/>
          <w:lang w:val="en-US"/>
        </w:rPr>
        <w:t xml:space="preserve">As to the potential administrative costs of attempting to provide benefits and services to individuals rather than delivering community projects, see </w:t>
      </w:r>
      <w:r w:rsidRPr="00D6496F">
        <w:rPr>
          <w:sz w:val="18"/>
          <w:szCs w:val="18"/>
        </w:rPr>
        <w:t xml:space="preserve">Law firm professional adviser cited in Murray, Fardin and O’Hara (n </w:t>
      </w:r>
      <w:r w:rsidRPr="00D6496F">
        <w:rPr>
          <w:sz w:val="18"/>
          <w:szCs w:val="18"/>
        </w:rPr>
        <w:fldChar w:fldCharType="begin"/>
      </w:r>
      <w:r w:rsidRPr="00D6496F">
        <w:rPr>
          <w:sz w:val="18"/>
          <w:szCs w:val="18"/>
        </w:rPr>
        <w:instrText xml:space="preserve"> NOTEREF _Ref43891040 \h  \* MERGEFORMAT </w:instrText>
      </w:r>
      <w:r w:rsidRPr="00D6496F">
        <w:rPr>
          <w:sz w:val="18"/>
          <w:szCs w:val="18"/>
        </w:rPr>
      </w:r>
      <w:r w:rsidRPr="00D6496F">
        <w:rPr>
          <w:sz w:val="18"/>
          <w:szCs w:val="18"/>
        </w:rPr>
        <w:fldChar w:fldCharType="separate"/>
      </w:r>
      <w:r>
        <w:rPr>
          <w:sz w:val="18"/>
          <w:szCs w:val="18"/>
        </w:rPr>
        <w:t>2</w:t>
      </w:r>
      <w:r w:rsidRPr="00D6496F">
        <w:rPr>
          <w:sz w:val="18"/>
          <w:szCs w:val="18"/>
        </w:rPr>
        <w:fldChar w:fldCharType="end"/>
      </w:r>
      <w:r w:rsidRPr="00D6496F">
        <w:rPr>
          <w:sz w:val="18"/>
          <w:szCs w:val="18"/>
        </w:rPr>
        <w:t xml:space="preserve">) </w:t>
      </w:r>
      <w:r w:rsidRPr="00D6496F">
        <w:rPr>
          <w:sz w:val="18"/>
          <w:szCs w:val="18"/>
          <w:lang w:val="en-US"/>
        </w:rPr>
        <w:t>191.</w:t>
      </w:r>
    </w:p>
  </w:footnote>
  <w:footnote w:id="85">
    <w:p w14:paraId="7859127E" w14:textId="348E430E" w:rsidR="00D70136" w:rsidRPr="00D6496F" w:rsidRDefault="00D70136" w:rsidP="00D725B0">
      <w:pPr>
        <w:pStyle w:val="FootnoteText"/>
        <w:rPr>
          <w:sz w:val="18"/>
          <w:szCs w:val="18"/>
        </w:rPr>
      </w:pPr>
      <w:r w:rsidRPr="00D6496F">
        <w:rPr>
          <w:rStyle w:val="FootnoteReference"/>
          <w:sz w:val="18"/>
          <w:szCs w:val="18"/>
        </w:rPr>
        <w:footnoteRef/>
      </w:r>
      <w:r w:rsidRPr="00D6496F">
        <w:rPr>
          <w:sz w:val="18"/>
          <w:szCs w:val="18"/>
        </w:rPr>
        <w:t xml:space="preserve"> </w:t>
      </w:r>
      <w:proofErr w:type="spellStart"/>
      <w:r w:rsidRPr="00D6496F">
        <w:rPr>
          <w:sz w:val="18"/>
          <w:szCs w:val="18"/>
        </w:rPr>
        <w:t>Heferen</w:t>
      </w:r>
      <w:proofErr w:type="spellEnd"/>
      <w:r w:rsidRPr="00D6496F">
        <w:rPr>
          <w:sz w:val="18"/>
          <w:szCs w:val="18"/>
        </w:rPr>
        <w:t xml:space="preserve"> (n </w:t>
      </w:r>
      <w:r w:rsidRPr="00D6496F">
        <w:rPr>
          <w:sz w:val="18"/>
          <w:szCs w:val="18"/>
        </w:rPr>
        <w:fldChar w:fldCharType="begin"/>
      </w:r>
      <w:r w:rsidRPr="00D6496F">
        <w:rPr>
          <w:sz w:val="18"/>
          <w:szCs w:val="18"/>
        </w:rPr>
        <w:instrText xml:space="preserve"> NOTEREF _Ref22729333 \h </w:instrText>
      </w:r>
      <w:r>
        <w:rPr>
          <w:sz w:val="18"/>
          <w:szCs w:val="18"/>
        </w:rPr>
        <w:instrText xml:space="preserve"> \* MERGEFORMAT </w:instrText>
      </w:r>
      <w:r w:rsidRPr="00D6496F">
        <w:rPr>
          <w:sz w:val="18"/>
          <w:szCs w:val="18"/>
        </w:rPr>
      </w:r>
      <w:r w:rsidRPr="00D6496F">
        <w:rPr>
          <w:sz w:val="18"/>
          <w:szCs w:val="18"/>
        </w:rPr>
        <w:fldChar w:fldCharType="separate"/>
      </w:r>
      <w:r>
        <w:rPr>
          <w:sz w:val="18"/>
          <w:szCs w:val="18"/>
        </w:rPr>
        <w:t>21</w:t>
      </w:r>
      <w:r w:rsidRPr="00D6496F">
        <w:rPr>
          <w:sz w:val="18"/>
          <w:szCs w:val="18"/>
        </w:rPr>
        <w:fldChar w:fldCharType="end"/>
      </w:r>
      <w:r w:rsidRPr="00D6496F">
        <w:rPr>
          <w:sz w:val="18"/>
          <w:szCs w:val="18"/>
        </w:rPr>
        <w:t>).</w:t>
      </w:r>
    </w:p>
  </w:footnote>
  <w:footnote w:id="86">
    <w:p w14:paraId="05CEF530" w14:textId="676D5064" w:rsidR="00D70136" w:rsidRPr="00D6496F" w:rsidRDefault="00D70136" w:rsidP="009B6C61">
      <w:pPr>
        <w:pStyle w:val="FootnoteText"/>
        <w:rPr>
          <w:sz w:val="18"/>
          <w:szCs w:val="18"/>
          <w:lang w:val="en-US"/>
        </w:rPr>
      </w:pPr>
      <w:r w:rsidRPr="00D6496F">
        <w:rPr>
          <w:rStyle w:val="FootnoteReference"/>
          <w:sz w:val="18"/>
          <w:szCs w:val="18"/>
        </w:rPr>
        <w:footnoteRef/>
      </w:r>
      <w:r w:rsidRPr="00D6496F">
        <w:rPr>
          <w:sz w:val="18"/>
          <w:szCs w:val="18"/>
        </w:rPr>
        <w:t xml:space="preserve"> </w:t>
      </w:r>
      <w:r w:rsidRPr="00D6496F">
        <w:rPr>
          <w:i/>
          <w:sz w:val="18"/>
          <w:szCs w:val="18"/>
        </w:rPr>
        <w:t>Ibid</w:t>
      </w:r>
      <w:r w:rsidRPr="00D6496F">
        <w:rPr>
          <w:sz w:val="18"/>
          <w:szCs w:val="18"/>
        </w:rPr>
        <w:t xml:space="preserve"> 25, 28-9.</w:t>
      </w:r>
    </w:p>
  </w:footnote>
  <w:footnote w:id="87">
    <w:p w14:paraId="14AE9E8E" w14:textId="79508A5A" w:rsidR="00D70136" w:rsidRPr="00D6496F" w:rsidRDefault="00D70136" w:rsidP="00CC11AC">
      <w:pPr>
        <w:pStyle w:val="FootnoteText"/>
        <w:rPr>
          <w:sz w:val="18"/>
          <w:szCs w:val="18"/>
          <w:lang w:val="en-US"/>
        </w:rPr>
      </w:pPr>
      <w:r w:rsidRPr="00D6496F">
        <w:rPr>
          <w:rStyle w:val="FootnoteReference"/>
          <w:sz w:val="18"/>
          <w:szCs w:val="18"/>
        </w:rPr>
        <w:footnoteRef/>
      </w:r>
      <w:r w:rsidRPr="00D6496F">
        <w:rPr>
          <w:sz w:val="18"/>
          <w:szCs w:val="18"/>
        </w:rPr>
        <w:t xml:space="preserve"> </w:t>
      </w:r>
      <w:r w:rsidRPr="00D6496F">
        <w:rPr>
          <w:i/>
          <w:sz w:val="18"/>
          <w:szCs w:val="18"/>
        </w:rPr>
        <w:t>Ibid</w:t>
      </w:r>
      <w:r w:rsidRPr="00D6496F">
        <w:rPr>
          <w:sz w:val="18"/>
          <w:szCs w:val="18"/>
        </w:rPr>
        <w:t xml:space="preserve"> 27-9.</w:t>
      </w:r>
    </w:p>
  </w:footnote>
  <w:footnote w:id="88">
    <w:p w14:paraId="6FA0E636" w14:textId="4E08D0F6" w:rsidR="00D70136" w:rsidRPr="00D6496F" w:rsidRDefault="00D70136" w:rsidP="009B6C61">
      <w:pPr>
        <w:pStyle w:val="FootnoteText"/>
        <w:rPr>
          <w:sz w:val="18"/>
          <w:szCs w:val="18"/>
          <w:lang w:val="en-US"/>
        </w:rPr>
      </w:pPr>
      <w:r w:rsidRPr="00D6496F">
        <w:rPr>
          <w:rStyle w:val="FootnoteReference"/>
          <w:sz w:val="18"/>
          <w:szCs w:val="18"/>
        </w:rPr>
        <w:footnoteRef/>
      </w:r>
      <w:r w:rsidRPr="00D6496F">
        <w:rPr>
          <w:sz w:val="18"/>
          <w:szCs w:val="18"/>
        </w:rPr>
        <w:t xml:space="preserve"> </w:t>
      </w:r>
      <w:r w:rsidRPr="00D6496F">
        <w:rPr>
          <w:i/>
          <w:sz w:val="18"/>
          <w:szCs w:val="18"/>
        </w:rPr>
        <w:t>Ibid</w:t>
      </w:r>
      <w:r w:rsidRPr="00D6496F">
        <w:rPr>
          <w:sz w:val="18"/>
          <w:szCs w:val="18"/>
        </w:rPr>
        <w:t xml:space="preserve"> 9, 15, 25.</w:t>
      </w:r>
    </w:p>
  </w:footnote>
  <w:footnote w:id="89">
    <w:p w14:paraId="0AAC932A" w14:textId="5E44715A" w:rsidR="00D70136" w:rsidRPr="002927DE" w:rsidRDefault="00D70136" w:rsidP="009B6C61">
      <w:pPr>
        <w:pStyle w:val="FootnoteText"/>
        <w:rPr>
          <w:sz w:val="18"/>
          <w:szCs w:val="18"/>
          <w:lang w:val="en-US"/>
        </w:rPr>
      </w:pPr>
      <w:r w:rsidRPr="00D6496F">
        <w:rPr>
          <w:rStyle w:val="FootnoteReference"/>
          <w:sz w:val="18"/>
          <w:szCs w:val="18"/>
        </w:rPr>
        <w:footnoteRef/>
      </w:r>
      <w:r w:rsidRPr="00D6496F">
        <w:rPr>
          <w:sz w:val="18"/>
          <w:szCs w:val="18"/>
        </w:rPr>
        <w:t xml:space="preserve"> </w:t>
      </w:r>
      <w:r w:rsidRPr="00D6496F">
        <w:rPr>
          <w:i/>
          <w:sz w:val="18"/>
          <w:szCs w:val="18"/>
        </w:rPr>
        <w:t>Ibid</w:t>
      </w:r>
      <w:r w:rsidRPr="00D6496F">
        <w:rPr>
          <w:sz w:val="18"/>
          <w:szCs w:val="18"/>
        </w:rPr>
        <w:t xml:space="preserve"> 5, 25. </w:t>
      </w:r>
      <w:r w:rsidRPr="002927DE">
        <w:rPr>
          <w:sz w:val="18"/>
          <w:szCs w:val="18"/>
        </w:rPr>
        <w:t>Although difficult to reconcile with not-for-profit status, it also appeared that an ICDC was to have a limited ability to make non-purpose, direct payments to individuals: at 27.</w:t>
      </w:r>
    </w:p>
  </w:footnote>
  <w:footnote w:id="90">
    <w:p w14:paraId="19967B51" w14:textId="7EB3A703" w:rsidR="00D70136" w:rsidRPr="002927DE" w:rsidRDefault="00D70136" w:rsidP="009B6C61">
      <w:pPr>
        <w:pStyle w:val="FootnoteText"/>
        <w:rPr>
          <w:sz w:val="18"/>
          <w:szCs w:val="18"/>
          <w:lang w:val="en-US"/>
        </w:rPr>
      </w:pPr>
      <w:r w:rsidRPr="002927DE">
        <w:rPr>
          <w:rStyle w:val="FootnoteReference"/>
          <w:sz w:val="18"/>
          <w:szCs w:val="18"/>
        </w:rPr>
        <w:footnoteRef/>
      </w:r>
      <w:r w:rsidRPr="002927DE">
        <w:rPr>
          <w:sz w:val="18"/>
          <w:szCs w:val="18"/>
        </w:rPr>
        <w:t xml:space="preserve"> </w:t>
      </w:r>
      <w:r w:rsidRPr="002927DE">
        <w:rPr>
          <w:i/>
          <w:sz w:val="18"/>
          <w:szCs w:val="18"/>
        </w:rPr>
        <w:t>Ibid</w:t>
      </w:r>
      <w:r w:rsidRPr="002927DE">
        <w:rPr>
          <w:sz w:val="18"/>
          <w:szCs w:val="18"/>
        </w:rPr>
        <w:t xml:space="preserve"> 9. See also at 15, 21.</w:t>
      </w:r>
    </w:p>
  </w:footnote>
  <w:footnote w:id="91">
    <w:p w14:paraId="356652AB" w14:textId="2E716C1B" w:rsidR="00D70136" w:rsidRPr="002927DE" w:rsidRDefault="00D70136" w:rsidP="009B6C61">
      <w:pPr>
        <w:pStyle w:val="FootnoteText"/>
        <w:rPr>
          <w:sz w:val="18"/>
          <w:szCs w:val="18"/>
          <w:lang w:val="en-US"/>
        </w:rPr>
      </w:pPr>
      <w:r w:rsidRPr="002927DE">
        <w:rPr>
          <w:rStyle w:val="FootnoteReference"/>
          <w:sz w:val="18"/>
          <w:szCs w:val="18"/>
        </w:rPr>
        <w:footnoteRef/>
      </w:r>
      <w:r w:rsidRPr="002927DE">
        <w:rPr>
          <w:sz w:val="18"/>
          <w:szCs w:val="18"/>
        </w:rPr>
        <w:t xml:space="preserve"> </w:t>
      </w:r>
      <w:r w:rsidRPr="002927DE">
        <w:rPr>
          <w:i/>
          <w:sz w:val="18"/>
          <w:szCs w:val="18"/>
        </w:rPr>
        <w:t>Ibid</w:t>
      </w:r>
      <w:r w:rsidRPr="002927DE">
        <w:rPr>
          <w:sz w:val="18"/>
          <w:szCs w:val="18"/>
        </w:rPr>
        <w:t xml:space="preserve"> 5, 15.</w:t>
      </w:r>
    </w:p>
  </w:footnote>
  <w:footnote w:id="92">
    <w:p w14:paraId="317E4B74" w14:textId="0E924F3C" w:rsidR="00D70136" w:rsidRPr="002927DE" w:rsidRDefault="00D70136" w:rsidP="009B6C61">
      <w:pPr>
        <w:pStyle w:val="FootnoteText"/>
        <w:rPr>
          <w:sz w:val="18"/>
          <w:szCs w:val="18"/>
          <w:lang w:val="en-US"/>
        </w:rPr>
      </w:pPr>
      <w:r w:rsidRPr="002927DE">
        <w:rPr>
          <w:rStyle w:val="FootnoteReference"/>
          <w:sz w:val="18"/>
          <w:szCs w:val="18"/>
        </w:rPr>
        <w:footnoteRef/>
      </w:r>
      <w:r w:rsidRPr="002927DE">
        <w:rPr>
          <w:sz w:val="18"/>
          <w:szCs w:val="18"/>
        </w:rPr>
        <w:t xml:space="preserve"> </w:t>
      </w:r>
      <w:r w:rsidRPr="002927DE">
        <w:rPr>
          <w:i/>
          <w:sz w:val="18"/>
          <w:szCs w:val="18"/>
        </w:rPr>
        <w:t>Ibid</w:t>
      </w:r>
      <w:r w:rsidRPr="002927DE">
        <w:rPr>
          <w:sz w:val="18"/>
          <w:szCs w:val="18"/>
        </w:rPr>
        <w:t xml:space="preserve"> 10, 14.</w:t>
      </w:r>
    </w:p>
  </w:footnote>
  <w:footnote w:id="93">
    <w:p w14:paraId="654688A7" w14:textId="0ED81D7B" w:rsidR="00D70136" w:rsidRPr="002927DE" w:rsidRDefault="00D70136">
      <w:pPr>
        <w:pStyle w:val="FootnoteText"/>
        <w:rPr>
          <w:sz w:val="18"/>
          <w:szCs w:val="18"/>
        </w:rPr>
      </w:pPr>
      <w:r w:rsidRPr="002927DE">
        <w:rPr>
          <w:rStyle w:val="FootnoteReference"/>
          <w:sz w:val="18"/>
          <w:szCs w:val="18"/>
        </w:rPr>
        <w:footnoteRef/>
      </w:r>
      <w:r w:rsidRPr="002927DE">
        <w:rPr>
          <w:sz w:val="18"/>
          <w:szCs w:val="18"/>
        </w:rPr>
        <w:t xml:space="preserve"> Matthew Storey, ‘Economic Vehicle Status for Prescribed Bodies Corporate’ (National Native Title Council, Minerals Council of Australia and University of Melbourne Native Title Seminar Series, Melbourne</w:t>
      </w:r>
      <w:r>
        <w:rPr>
          <w:sz w:val="18"/>
          <w:szCs w:val="18"/>
        </w:rPr>
        <w:t xml:space="preserve">, </w:t>
      </w:r>
      <w:r w:rsidRPr="002927DE">
        <w:rPr>
          <w:sz w:val="18"/>
          <w:szCs w:val="18"/>
        </w:rPr>
        <w:t>9 April 201</w:t>
      </w:r>
      <w:r>
        <w:rPr>
          <w:sz w:val="18"/>
          <w:szCs w:val="18"/>
        </w:rPr>
        <w:t>9</w:t>
      </w:r>
      <w:r w:rsidRPr="002927DE">
        <w:rPr>
          <w:sz w:val="18"/>
          <w:szCs w:val="18"/>
        </w:rPr>
        <w:t>).</w:t>
      </w:r>
    </w:p>
  </w:footnote>
  <w:footnote w:id="94">
    <w:p w14:paraId="71E35DE6" w14:textId="25C77190" w:rsidR="00D70136" w:rsidRPr="002927DE" w:rsidRDefault="00D70136">
      <w:pPr>
        <w:pStyle w:val="FootnoteText"/>
        <w:rPr>
          <w:sz w:val="18"/>
          <w:szCs w:val="18"/>
        </w:rPr>
      </w:pPr>
      <w:r w:rsidRPr="002927DE">
        <w:rPr>
          <w:rStyle w:val="FootnoteReference"/>
          <w:sz w:val="18"/>
          <w:szCs w:val="18"/>
        </w:rPr>
        <w:footnoteRef/>
      </w:r>
      <w:r w:rsidRPr="002927DE">
        <w:rPr>
          <w:sz w:val="18"/>
          <w:szCs w:val="18"/>
        </w:rPr>
        <w:t xml:space="preserve"> Note that generally applicable, rather than Indigenous community-focussed, social enterprise legal forms have not always resolved the section of the public issue discussed in Part </w:t>
      </w:r>
      <w:r w:rsidRPr="002927DE">
        <w:rPr>
          <w:sz w:val="18"/>
          <w:szCs w:val="18"/>
        </w:rPr>
        <w:fldChar w:fldCharType="begin"/>
      </w:r>
      <w:r w:rsidRPr="002927DE">
        <w:rPr>
          <w:sz w:val="18"/>
          <w:szCs w:val="18"/>
        </w:rPr>
        <w:instrText xml:space="preserve"> REF _Ref42076861 \n \h </w:instrText>
      </w:r>
      <w:r>
        <w:rPr>
          <w:sz w:val="18"/>
          <w:szCs w:val="18"/>
        </w:rPr>
        <w:instrText xml:space="preserve"> \* MERGEFORMAT </w:instrText>
      </w:r>
      <w:r w:rsidRPr="002927DE">
        <w:rPr>
          <w:sz w:val="18"/>
          <w:szCs w:val="18"/>
        </w:rPr>
      </w:r>
      <w:r w:rsidRPr="002927DE">
        <w:rPr>
          <w:sz w:val="18"/>
          <w:szCs w:val="18"/>
        </w:rPr>
        <w:fldChar w:fldCharType="separate"/>
      </w:r>
      <w:r>
        <w:rPr>
          <w:sz w:val="18"/>
          <w:szCs w:val="18"/>
        </w:rPr>
        <w:t>3.1</w:t>
      </w:r>
      <w:r w:rsidRPr="002927DE">
        <w:rPr>
          <w:sz w:val="18"/>
          <w:szCs w:val="18"/>
        </w:rPr>
        <w:fldChar w:fldCharType="end"/>
      </w:r>
      <w:r w:rsidRPr="002927DE">
        <w:rPr>
          <w:sz w:val="18"/>
          <w:szCs w:val="18"/>
        </w:rPr>
        <w:t xml:space="preserve">. See, eg, Community Interest Companies Act, SNS 2012, c38, </w:t>
      </w:r>
      <w:proofErr w:type="gramStart"/>
      <w:r w:rsidRPr="002927DE">
        <w:rPr>
          <w:sz w:val="18"/>
          <w:szCs w:val="18"/>
        </w:rPr>
        <w:t>s2(</w:t>
      </w:r>
      <w:proofErr w:type="gramEnd"/>
      <w:r w:rsidRPr="002927DE">
        <w:rPr>
          <w:sz w:val="18"/>
          <w:szCs w:val="18"/>
        </w:rPr>
        <w:t xml:space="preserve">1)(c); Young (n </w:t>
      </w:r>
      <w:r w:rsidRPr="002927DE">
        <w:rPr>
          <w:sz w:val="18"/>
          <w:szCs w:val="18"/>
        </w:rPr>
        <w:fldChar w:fldCharType="begin"/>
      </w:r>
      <w:r w:rsidRPr="002927DE">
        <w:rPr>
          <w:sz w:val="18"/>
          <w:szCs w:val="18"/>
        </w:rPr>
        <w:instrText xml:space="preserve"> NOTEREF _Ref43893946 \h </w:instrText>
      </w:r>
      <w:r>
        <w:rPr>
          <w:sz w:val="18"/>
          <w:szCs w:val="18"/>
        </w:rPr>
        <w:instrText xml:space="preserve"> \* MERGEFORMAT </w:instrText>
      </w:r>
      <w:r w:rsidRPr="002927DE">
        <w:rPr>
          <w:sz w:val="18"/>
          <w:szCs w:val="18"/>
        </w:rPr>
      </w:r>
      <w:r w:rsidRPr="002927DE">
        <w:rPr>
          <w:sz w:val="18"/>
          <w:szCs w:val="18"/>
        </w:rPr>
        <w:fldChar w:fldCharType="separate"/>
      </w:r>
      <w:r>
        <w:rPr>
          <w:sz w:val="18"/>
          <w:szCs w:val="18"/>
        </w:rPr>
        <w:t>75</w:t>
      </w:r>
      <w:r w:rsidRPr="002927DE">
        <w:rPr>
          <w:sz w:val="18"/>
          <w:szCs w:val="18"/>
        </w:rPr>
        <w:fldChar w:fldCharType="end"/>
      </w:r>
      <w:r w:rsidRPr="002927DE">
        <w:rPr>
          <w:sz w:val="18"/>
          <w:szCs w:val="18"/>
        </w:rPr>
        <w:t>).</w:t>
      </w:r>
    </w:p>
  </w:footnote>
  <w:footnote w:id="95">
    <w:p w14:paraId="1A895BC9" w14:textId="0AB3BB2E" w:rsidR="00D70136" w:rsidRPr="002927DE" w:rsidRDefault="00D70136">
      <w:pPr>
        <w:pStyle w:val="FootnoteText"/>
        <w:rPr>
          <w:sz w:val="18"/>
          <w:szCs w:val="18"/>
        </w:rPr>
      </w:pPr>
      <w:r w:rsidRPr="002927DE">
        <w:rPr>
          <w:rStyle w:val="FootnoteReference"/>
          <w:sz w:val="18"/>
          <w:szCs w:val="18"/>
        </w:rPr>
        <w:footnoteRef/>
      </w:r>
      <w:r w:rsidRPr="002927DE">
        <w:rPr>
          <w:sz w:val="18"/>
          <w:szCs w:val="18"/>
        </w:rPr>
        <w:t xml:space="preserve"> </w:t>
      </w:r>
      <w:proofErr w:type="spellStart"/>
      <w:r w:rsidRPr="002927DE">
        <w:rPr>
          <w:sz w:val="18"/>
          <w:szCs w:val="18"/>
        </w:rPr>
        <w:t>Cf</w:t>
      </w:r>
      <w:proofErr w:type="spellEnd"/>
      <w:r w:rsidRPr="002927DE">
        <w:rPr>
          <w:sz w:val="18"/>
          <w:szCs w:val="18"/>
        </w:rPr>
        <w:t xml:space="preserve"> </w:t>
      </w:r>
      <w:proofErr w:type="spellStart"/>
      <w:r w:rsidRPr="002927DE">
        <w:rPr>
          <w:sz w:val="18"/>
          <w:szCs w:val="18"/>
        </w:rPr>
        <w:t>Heferen</w:t>
      </w:r>
      <w:proofErr w:type="spellEnd"/>
      <w:r w:rsidRPr="002927DE">
        <w:rPr>
          <w:sz w:val="18"/>
          <w:szCs w:val="18"/>
        </w:rPr>
        <w:t xml:space="preserve"> (n </w:t>
      </w:r>
      <w:r w:rsidRPr="002927DE">
        <w:rPr>
          <w:sz w:val="18"/>
          <w:szCs w:val="18"/>
        </w:rPr>
        <w:fldChar w:fldCharType="begin"/>
      </w:r>
      <w:r w:rsidRPr="002927DE">
        <w:rPr>
          <w:sz w:val="18"/>
          <w:szCs w:val="18"/>
        </w:rPr>
        <w:instrText xml:space="preserve"> NOTEREF _Ref22729333 \h </w:instrText>
      </w:r>
      <w:r>
        <w:rPr>
          <w:sz w:val="18"/>
          <w:szCs w:val="18"/>
        </w:rPr>
        <w:instrText xml:space="preserve"> \* MERGEFORMAT </w:instrText>
      </w:r>
      <w:r w:rsidRPr="002927DE">
        <w:rPr>
          <w:sz w:val="18"/>
          <w:szCs w:val="18"/>
        </w:rPr>
      </w:r>
      <w:r w:rsidRPr="002927DE">
        <w:rPr>
          <w:sz w:val="18"/>
          <w:szCs w:val="18"/>
        </w:rPr>
        <w:fldChar w:fldCharType="separate"/>
      </w:r>
      <w:r>
        <w:rPr>
          <w:sz w:val="18"/>
          <w:szCs w:val="18"/>
        </w:rPr>
        <w:t>21</w:t>
      </w:r>
      <w:r w:rsidRPr="002927DE">
        <w:rPr>
          <w:sz w:val="18"/>
          <w:szCs w:val="18"/>
        </w:rPr>
        <w:fldChar w:fldCharType="end"/>
      </w:r>
      <w:r w:rsidRPr="002927DE">
        <w:rPr>
          <w:sz w:val="18"/>
          <w:szCs w:val="18"/>
        </w:rPr>
        <w:t xml:space="preserve">) 15, 25; Martin, </w:t>
      </w:r>
      <w:r w:rsidRPr="002927DE">
        <w:rPr>
          <w:rFonts w:cs="Arial"/>
          <w:i/>
          <w:sz w:val="18"/>
          <w:szCs w:val="18"/>
        </w:rPr>
        <w:t xml:space="preserve">Income Tax </w:t>
      </w:r>
      <w:r w:rsidRPr="002927DE">
        <w:rPr>
          <w:rFonts w:cs="Arial"/>
          <w:sz w:val="18"/>
          <w:szCs w:val="18"/>
        </w:rPr>
        <w:t xml:space="preserve">(n </w:t>
      </w:r>
      <w:r w:rsidRPr="002927DE">
        <w:rPr>
          <w:rFonts w:cs="Arial"/>
          <w:sz w:val="18"/>
          <w:szCs w:val="18"/>
        </w:rPr>
        <w:fldChar w:fldCharType="begin"/>
      </w:r>
      <w:r w:rsidRPr="002927DE">
        <w:rPr>
          <w:rFonts w:cs="Arial"/>
          <w:sz w:val="18"/>
          <w:szCs w:val="18"/>
        </w:rPr>
        <w:instrText xml:space="preserve"> NOTEREF _Ref43893816 \h  \* MERGEFORMAT </w:instrText>
      </w:r>
      <w:r w:rsidRPr="002927DE">
        <w:rPr>
          <w:rFonts w:cs="Arial"/>
          <w:sz w:val="18"/>
          <w:szCs w:val="18"/>
        </w:rPr>
      </w:r>
      <w:r w:rsidRPr="002927DE">
        <w:rPr>
          <w:rFonts w:cs="Arial"/>
          <w:sz w:val="18"/>
          <w:szCs w:val="18"/>
        </w:rPr>
        <w:fldChar w:fldCharType="separate"/>
      </w:r>
      <w:r>
        <w:rPr>
          <w:rFonts w:cs="Arial"/>
          <w:sz w:val="18"/>
          <w:szCs w:val="18"/>
        </w:rPr>
        <w:t>26</w:t>
      </w:r>
      <w:r w:rsidRPr="002927DE">
        <w:rPr>
          <w:rFonts w:cs="Arial"/>
          <w:sz w:val="18"/>
          <w:szCs w:val="18"/>
        </w:rPr>
        <w:fldChar w:fldCharType="end"/>
      </w:r>
      <w:r w:rsidRPr="002927DE">
        <w:rPr>
          <w:rFonts w:cs="Arial"/>
          <w:sz w:val="18"/>
          <w:szCs w:val="18"/>
        </w:rPr>
        <w:t>) [7.4.1.5]</w:t>
      </w:r>
      <w:r w:rsidRPr="002927DE">
        <w:rPr>
          <w:sz w:val="18"/>
          <w:szCs w:val="18"/>
        </w:rPr>
        <w:t>.</w:t>
      </w:r>
    </w:p>
  </w:footnote>
  <w:footnote w:id="96">
    <w:p w14:paraId="06C4DBF4" w14:textId="788CFB7C" w:rsidR="00D70136" w:rsidRPr="002927DE" w:rsidRDefault="00D70136">
      <w:pPr>
        <w:pStyle w:val="FootnoteText"/>
        <w:rPr>
          <w:sz w:val="18"/>
          <w:szCs w:val="18"/>
        </w:rPr>
      </w:pPr>
      <w:r w:rsidRPr="002927DE">
        <w:rPr>
          <w:rStyle w:val="FootnoteReference"/>
          <w:sz w:val="18"/>
          <w:szCs w:val="18"/>
        </w:rPr>
        <w:footnoteRef/>
      </w:r>
      <w:r w:rsidRPr="002927DE">
        <w:rPr>
          <w:sz w:val="18"/>
          <w:szCs w:val="18"/>
        </w:rPr>
        <w:t xml:space="preserve"> Productivity Commission (n </w:t>
      </w:r>
      <w:r w:rsidRPr="002927DE">
        <w:rPr>
          <w:sz w:val="18"/>
          <w:szCs w:val="18"/>
        </w:rPr>
        <w:fldChar w:fldCharType="begin"/>
      </w:r>
      <w:r w:rsidRPr="002927DE">
        <w:rPr>
          <w:sz w:val="18"/>
          <w:szCs w:val="18"/>
        </w:rPr>
        <w:instrText xml:space="preserve"> NOTEREF _Ref43894904 \h </w:instrText>
      </w:r>
      <w:r>
        <w:rPr>
          <w:sz w:val="18"/>
          <w:szCs w:val="18"/>
        </w:rPr>
        <w:instrText xml:space="preserve"> \* MERGEFORMAT </w:instrText>
      </w:r>
      <w:r w:rsidRPr="002927DE">
        <w:rPr>
          <w:sz w:val="18"/>
          <w:szCs w:val="18"/>
        </w:rPr>
      </w:r>
      <w:r w:rsidRPr="002927DE">
        <w:rPr>
          <w:sz w:val="18"/>
          <w:szCs w:val="18"/>
        </w:rPr>
        <w:fldChar w:fldCharType="separate"/>
      </w:r>
      <w:r>
        <w:rPr>
          <w:sz w:val="18"/>
          <w:szCs w:val="18"/>
        </w:rPr>
        <w:t>23</w:t>
      </w:r>
      <w:r w:rsidRPr="002927DE">
        <w:rPr>
          <w:sz w:val="18"/>
          <w:szCs w:val="18"/>
        </w:rPr>
        <w:fldChar w:fldCharType="end"/>
      </w:r>
      <w:r w:rsidRPr="002927DE">
        <w:rPr>
          <w:sz w:val="18"/>
          <w:szCs w:val="18"/>
        </w:rPr>
        <w:t>) 303-4.</w:t>
      </w:r>
    </w:p>
  </w:footnote>
  <w:footnote w:id="97">
    <w:p w14:paraId="1ACFACEE" w14:textId="23EA7CD0" w:rsidR="00D70136" w:rsidRPr="00531353" w:rsidRDefault="00D70136">
      <w:pPr>
        <w:pStyle w:val="FootnoteText"/>
        <w:rPr>
          <w:sz w:val="18"/>
          <w:szCs w:val="18"/>
        </w:rPr>
      </w:pPr>
      <w:r w:rsidRPr="002927DE">
        <w:rPr>
          <w:rStyle w:val="FootnoteReference"/>
          <w:sz w:val="18"/>
          <w:szCs w:val="18"/>
        </w:rPr>
        <w:footnoteRef/>
      </w:r>
      <w:r w:rsidRPr="002927DE">
        <w:rPr>
          <w:sz w:val="18"/>
          <w:szCs w:val="18"/>
        </w:rPr>
        <w:t xml:space="preserve"> Dal Pont (n </w:t>
      </w:r>
      <w:r w:rsidRPr="002927DE">
        <w:rPr>
          <w:sz w:val="18"/>
          <w:szCs w:val="18"/>
        </w:rPr>
        <w:fldChar w:fldCharType="begin"/>
      </w:r>
      <w:r w:rsidRPr="002927DE">
        <w:rPr>
          <w:sz w:val="18"/>
          <w:szCs w:val="18"/>
        </w:rPr>
        <w:instrText xml:space="preserve"> NOTEREF _Ref43896552 \h  \* MERGEFORMAT </w:instrText>
      </w:r>
      <w:r w:rsidRPr="002927DE">
        <w:rPr>
          <w:sz w:val="18"/>
          <w:szCs w:val="18"/>
        </w:rPr>
      </w:r>
      <w:r w:rsidRPr="002927DE">
        <w:rPr>
          <w:sz w:val="18"/>
          <w:szCs w:val="18"/>
        </w:rPr>
        <w:fldChar w:fldCharType="separate"/>
      </w:r>
      <w:r>
        <w:rPr>
          <w:sz w:val="18"/>
          <w:szCs w:val="18"/>
        </w:rPr>
        <w:t>36</w:t>
      </w:r>
      <w:r w:rsidRPr="002927DE">
        <w:rPr>
          <w:sz w:val="18"/>
          <w:szCs w:val="18"/>
        </w:rPr>
        <w:fldChar w:fldCharType="end"/>
      </w:r>
      <w:r w:rsidRPr="002927DE">
        <w:rPr>
          <w:sz w:val="18"/>
          <w:szCs w:val="18"/>
        </w:rPr>
        <w:t>) [1.5]-[1.6].</w:t>
      </w:r>
    </w:p>
  </w:footnote>
  <w:footnote w:id="98">
    <w:p w14:paraId="78A572E2" w14:textId="6A4B2CF4" w:rsidR="00D70136" w:rsidRPr="008358EE" w:rsidRDefault="00D70136">
      <w:pPr>
        <w:pStyle w:val="FootnoteText"/>
        <w:rPr>
          <w:sz w:val="18"/>
          <w:szCs w:val="18"/>
        </w:rPr>
      </w:pPr>
      <w:r w:rsidRPr="008358EE">
        <w:rPr>
          <w:rStyle w:val="FootnoteReference"/>
          <w:sz w:val="18"/>
          <w:szCs w:val="18"/>
        </w:rPr>
        <w:footnoteRef/>
      </w:r>
      <w:r w:rsidRPr="008358EE">
        <w:rPr>
          <w:sz w:val="18"/>
          <w:szCs w:val="18"/>
        </w:rPr>
        <w:t xml:space="preserve"> Allowing that state of affairs to remain on foot when something could be done about it is inconsistent with the most recent intergovernmental statement on closing the gap for Indigenous Australians: Council of Australian Governments, </w:t>
      </w:r>
      <w:r w:rsidRPr="008358EE">
        <w:rPr>
          <w:i/>
          <w:sz w:val="18"/>
          <w:szCs w:val="18"/>
        </w:rPr>
        <w:t>COAG Statement on the Closing the Gap Refresh</w:t>
      </w:r>
      <w:r w:rsidRPr="008358EE">
        <w:rPr>
          <w:sz w:val="18"/>
          <w:szCs w:val="18"/>
        </w:rPr>
        <w:t xml:space="preserve"> (12 December 2018) 2.</w:t>
      </w:r>
    </w:p>
  </w:footnote>
  <w:footnote w:id="99">
    <w:p w14:paraId="5291159A" w14:textId="552C68DC" w:rsidR="00D70136" w:rsidRPr="00531353" w:rsidRDefault="00D70136">
      <w:pPr>
        <w:pStyle w:val="FootnoteText"/>
        <w:rPr>
          <w:sz w:val="18"/>
          <w:szCs w:val="18"/>
        </w:rPr>
      </w:pPr>
      <w:r w:rsidRPr="008358EE">
        <w:rPr>
          <w:rStyle w:val="FootnoteReference"/>
          <w:sz w:val="18"/>
          <w:szCs w:val="18"/>
        </w:rPr>
        <w:footnoteRef/>
      </w:r>
      <w:r w:rsidRPr="008358EE">
        <w:rPr>
          <w:sz w:val="18"/>
          <w:szCs w:val="18"/>
        </w:rPr>
        <w:t xml:space="preserve"> As to difficulties for Canadian Indigenous peoples in utilising several hybrid social enterprise legal structures in Canada, see, </w:t>
      </w:r>
      <w:proofErr w:type="spellStart"/>
      <w:r w:rsidRPr="008358EE">
        <w:rPr>
          <w:sz w:val="18"/>
          <w:szCs w:val="18"/>
        </w:rPr>
        <w:t>eg</w:t>
      </w:r>
      <w:proofErr w:type="spellEnd"/>
      <w:r w:rsidRPr="008358EE">
        <w:rPr>
          <w:sz w:val="18"/>
          <w:szCs w:val="18"/>
        </w:rPr>
        <w:t xml:space="preserve">, Young (n </w:t>
      </w:r>
      <w:r w:rsidRPr="008358EE">
        <w:rPr>
          <w:sz w:val="18"/>
          <w:szCs w:val="18"/>
        </w:rPr>
        <w:fldChar w:fldCharType="begin"/>
      </w:r>
      <w:r w:rsidRPr="008358EE">
        <w:rPr>
          <w:sz w:val="18"/>
          <w:szCs w:val="18"/>
        </w:rPr>
        <w:instrText xml:space="preserve"> NOTEREF _Ref43893946 \h  \* MERGEFORMAT </w:instrText>
      </w:r>
      <w:r w:rsidRPr="008358EE">
        <w:rPr>
          <w:sz w:val="18"/>
          <w:szCs w:val="18"/>
        </w:rPr>
      </w:r>
      <w:r w:rsidRPr="008358EE">
        <w:rPr>
          <w:sz w:val="18"/>
          <w:szCs w:val="18"/>
        </w:rPr>
        <w:fldChar w:fldCharType="separate"/>
      </w:r>
      <w:r>
        <w:rPr>
          <w:sz w:val="18"/>
          <w:szCs w:val="18"/>
        </w:rPr>
        <w:t>75</w:t>
      </w:r>
      <w:r w:rsidRPr="008358EE">
        <w:rPr>
          <w:sz w:val="18"/>
          <w:szCs w:val="18"/>
        </w:rPr>
        <w:fldChar w:fldCharType="end"/>
      </w:r>
      <w:r w:rsidRPr="008358EE">
        <w:rPr>
          <w:sz w:val="18"/>
          <w:szCs w:val="18"/>
        </w:rPr>
        <w:t>).</w:t>
      </w:r>
    </w:p>
  </w:footnote>
  <w:footnote w:id="100">
    <w:p w14:paraId="5087DEB4" w14:textId="09C81083" w:rsidR="00D70136" w:rsidRPr="00531353" w:rsidRDefault="00D70136">
      <w:pPr>
        <w:pStyle w:val="FootnoteText"/>
        <w:rPr>
          <w:sz w:val="18"/>
          <w:szCs w:val="18"/>
        </w:rPr>
      </w:pPr>
      <w:r w:rsidRPr="00531353">
        <w:rPr>
          <w:rStyle w:val="FootnoteReference"/>
          <w:sz w:val="18"/>
          <w:szCs w:val="18"/>
        </w:rPr>
        <w:footnoteRef/>
      </w:r>
      <w:r w:rsidRPr="00531353">
        <w:rPr>
          <w:sz w:val="18"/>
          <w:szCs w:val="18"/>
        </w:rPr>
        <w:t xml:space="preserve"> As to the role of trust and the use of mission and asset-locks, along with reporting and disclosure, to achieve trust, see, eg, Brakman-Reiser and Dean, </w:t>
      </w:r>
      <w:r w:rsidRPr="00531353">
        <w:rPr>
          <w:i/>
          <w:sz w:val="18"/>
          <w:szCs w:val="18"/>
        </w:rPr>
        <w:t>Social Enterprise Law</w:t>
      </w:r>
      <w:r w:rsidRPr="00531353">
        <w:rPr>
          <w:sz w:val="18"/>
          <w:szCs w:val="18"/>
        </w:rPr>
        <w:t xml:space="preserve"> (n </w:t>
      </w:r>
      <w:r w:rsidRPr="00531353">
        <w:rPr>
          <w:sz w:val="18"/>
          <w:szCs w:val="18"/>
        </w:rPr>
        <w:fldChar w:fldCharType="begin"/>
      </w:r>
      <w:r w:rsidRPr="00531353">
        <w:rPr>
          <w:sz w:val="18"/>
          <w:szCs w:val="18"/>
        </w:rPr>
        <w:instrText xml:space="preserve"> NOTEREF _Ref43727916 \h </w:instrText>
      </w:r>
      <w:r>
        <w:rPr>
          <w:sz w:val="18"/>
          <w:szCs w:val="18"/>
        </w:rPr>
        <w:instrText xml:space="preserve"> \* MERGEFORMAT </w:instrText>
      </w:r>
      <w:r w:rsidRPr="00531353">
        <w:rPr>
          <w:sz w:val="18"/>
          <w:szCs w:val="18"/>
        </w:rPr>
      </w:r>
      <w:r w:rsidRPr="00531353">
        <w:rPr>
          <w:sz w:val="18"/>
          <w:szCs w:val="18"/>
        </w:rPr>
        <w:fldChar w:fldCharType="separate"/>
      </w:r>
      <w:r>
        <w:rPr>
          <w:sz w:val="18"/>
          <w:szCs w:val="18"/>
        </w:rPr>
        <w:t>77</w:t>
      </w:r>
      <w:r w:rsidRPr="00531353">
        <w:rPr>
          <w:sz w:val="18"/>
          <w:szCs w:val="18"/>
        </w:rPr>
        <w:fldChar w:fldCharType="end"/>
      </w:r>
      <w:r w:rsidRPr="00531353">
        <w:rPr>
          <w:sz w:val="18"/>
          <w:szCs w:val="18"/>
        </w:rPr>
        <w:t>).</w:t>
      </w:r>
    </w:p>
  </w:footnote>
  <w:footnote w:id="101">
    <w:p w14:paraId="2430DE0B" w14:textId="07D730CD" w:rsidR="00D70136" w:rsidRPr="002927DE" w:rsidRDefault="00D70136">
      <w:pPr>
        <w:pStyle w:val="FootnoteText"/>
        <w:rPr>
          <w:sz w:val="18"/>
          <w:szCs w:val="18"/>
        </w:rPr>
      </w:pPr>
      <w:r w:rsidRPr="00531353">
        <w:rPr>
          <w:rStyle w:val="FootnoteReference"/>
          <w:sz w:val="18"/>
          <w:szCs w:val="18"/>
        </w:rPr>
        <w:footnoteRef/>
      </w:r>
      <w:r w:rsidRPr="00531353">
        <w:rPr>
          <w:sz w:val="18"/>
          <w:szCs w:val="18"/>
        </w:rPr>
        <w:t xml:space="preserve"> KPMG, </w:t>
      </w:r>
      <w:r w:rsidRPr="00531353">
        <w:rPr>
          <w:i/>
          <w:sz w:val="18"/>
          <w:szCs w:val="18"/>
        </w:rPr>
        <w:t>Regulating Indigenous Corporations</w:t>
      </w:r>
      <w:r w:rsidRPr="00531353">
        <w:rPr>
          <w:sz w:val="18"/>
          <w:szCs w:val="18"/>
        </w:rPr>
        <w:t xml:space="preserve"> (Final Report, 15 December 2016); Australian National Audit Office, </w:t>
      </w:r>
      <w:r w:rsidRPr="00531353">
        <w:rPr>
          <w:i/>
          <w:sz w:val="18"/>
          <w:szCs w:val="18"/>
        </w:rPr>
        <w:t>Supporting Good Governance in Indigenous Corporations</w:t>
      </w:r>
      <w:r w:rsidRPr="00531353">
        <w:rPr>
          <w:sz w:val="18"/>
          <w:szCs w:val="18"/>
        </w:rPr>
        <w:t xml:space="preserve"> (Report No 3 201</w:t>
      </w:r>
      <w:r>
        <w:rPr>
          <w:sz w:val="18"/>
          <w:szCs w:val="18"/>
        </w:rPr>
        <w:t>7-18, Commonwealth of Australia</w:t>
      </w:r>
      <w:r w:rsidRPr="00531353">
        <w:rPr>
          <w:sz w:val="18"/>
          <w:szCs w:val="18"/>
        </w:rPr>
        <w:t xml:space="preserve"> 2017) 7-8; Nigel Scullion, Minister for Indigenous Affairs, ‘</w:t>
      </w:r>
      <w:r w:rsidRPr="00531353">
        <w:rPr>
          <w:bCs/>
          <w:sz w:val="18"/>
          <w:szCs w:val="18"/>
        </w:rPr>
        <w:t>Extra $4 million for ORIC to increase support for Indigenous corporations</w:t>
      </w:r>
      <w:r w:rsidRPr="00531353">
        <w:rPr>
          <w:sz w:val="18"/>
          <w:szCs w:val="18"/>
        </w:rPr>
        <w:t>’ (Media Release, 5 July 2017) &lt;https://ministers.pmc.gov.au/scullion/2017/extra-4-million-oric-increase-support-</w:t>
      </w:r>
      <w:r w:rsidRPr="002927DE">
        <w:rPr>
          <w:sz w:val="18"/>
          <w:szCs w:val="18"/>
        </w:rPr>
        <w:t>indigenous-corporations&gt;.</w:t>
      </w:r>
    </w:p>
  </w:footnote>
  <w:footnote w:id="102">
    <w:p w14:paraId="549883D3" w14:textId="7E88D3AD" w:rsidR="00D70136" w:rsidRPr="002927DE" w:rsidRDefault="00D70136">
      <w:pPr>
        <w:pStyle w:val="FootnoteText"/>
        <w:rPr>
          <w:sz w:val="18"/>
          <w:szCs w:val="18"/>
        </w:rPr>
      </w:pPr>
      <w:r w:rsidRPr="002927DE">
        <w:rPr>
          <w:rStyle w:val="FootnoteReference"/>
          <w:sz w:val="18"/>
          <w:szCs w:val="18"/>
        </w:rPr>
        <w:footnoteRef/>
      </w:r>
      <w:r w:rsidRPr="002927DE">
        <w:rPr>
          <w:sz w:val="18"/>
          <w:szCs w:val="18"/>
        </w:rPr>
        <w:t xml:space="preserve"> KPMG (n </w:t>
      </w:r>
      <w:r w:rsidRPr="002927DE">
        <w:rPr>
          <w:sz w:val="18"/>
          <w:szCs w:val="18"/>
        </w:rPr>
        <w:fldChar w:fldCharType="begin"/>
      </w:r>
      <w:r w:rsidRPr="002927DE">
        <w:rPr>
          <w:sz w:val="18"/>
          <w:szCs w:val="18"/>
        </w:rPr>
        <w:instrText xml:space="preserve"> NOTEREF _Ref43899871 \h </w:instrText>
      </w:r>
      <w:r>
        <w:rPr>
          <w:sz w:val="18"/>
          <w:szCs w:val="18"/>
        </w:rPr>
        <w:instrText xml:space="preserve"> \* MERGEFORMAT </w:instrText>
      </w:r>
      <w:r w:rsidRPr="002927DE">
        <w:rPr>
          <w:sz w:val="18"/>
          <w:szCs w:val="18"/>
        </w:rPr>
      </w:r>
      <w:r w:rsidRPr="002927DE">
        <w:rPr>
          <w:sz w:val="18"/>
          <w:szCs w:val="18"/>
        </w:rPr>
        <w:fldChar w:fldCharType="separate"/>
      </w:r>
      <w:r>
        <w:rPr>
          <w:sz w:val="18"/>
          <w:szCs w:val="18"/>
        </w:rPr>
        <w:t>100</w:t>
      </w:r>
      <w:r w:rsidRPr="002927DE">
        <w:rPr>
          <w:sz w:val="18"/>
          <w:szCs w:val="18"/>
        </w:rPr>
        <w:fldChar w:fldCharType="end"/>
      </w:r>
      <w:r w:rsidRPr="002927DE">
        <w:rPr>
          <w:sz w:val="18"/>
          <w:szCs w:val="18"/>
        </w:rPr>
        <w:t xml:space="preserve">) 63-6; Australian National Audit Office (n </w:t>
      </w:r>
      <w:r w:rsidRPr="002927DE">
        <w:rPr>
          <w:sz w:val="18"/>
          <w:szCs w:val="18"/>
        </w:rPr>
        <w:fldChar w:fldCharType="begin"/>
      </w:r>
      <w:r w:rsidRPr="002927DE">
        <w:rPr>
          <w:sz w:val="18"/>
          <w:szCs w:val="18"/>
        </w:rPr>
        <w:instrText xml:space="preserve"> NOTEREF _Ref43899871 \h </w:instrText>
      </w:r>
      <w:r>
        <w:rPr>
          <w:sz w:val="18"/>
          <w:szCs w:val="18"/>
        </w:rPr>
        <w:instrText xml:space="preserve"> \* MERGEFORMAT </w:instrText>
      </w:r>
      <w:r w:rsidRPr="002927DE">
        <w:rPr>
          <w:sz w:val="18"/>
          <w:szCs w:val="18"/>
        </w:rPr>
      </w:r>
      <w:r w:rsidRPr="002927DE">
        <w:rPr>
          <w:sz w:val="18"/>
          <w:szCs w:val="18"/>
        </w:rPr>
        <w:fldChar w:fldCharType="separate"/>
      </w:r>
      <w:r>
        <w:rPr>
          <w:sz w:val="18"/>
          <w:szCs w:val="18"/>
        </w:rPr>
        <w:t>100</w:t>
      </w:r>
      <w:r w:rsidRPr="002927DE">
        <w:rPr>
          <w:sz w:val="18"/>
          <w:szCs w:val="18"/>
        </w:rPr>
        <w:fldChar w:fldCharType="end"/>
      </w:r>
      <w:r w:rsidRPr="002927DE">
        <w:rPr>
          <w:sz w:val="18"/>
          <w:szCs w:val="18"/>
        </w:rPr>
        <w:t>) 7-10.</w:t>
      </w:r>
    </w:p>
  </w:footnote>
  <w:footnote w:id="103">
    <w:p w14:paraId="13D7D3AF" w14:textId="6C7841ED" w:rsidR="00D70136" w:rsidRPr="002927DE" w:rsidRDefault="00D70136">
      <w:pPr>
        <w:pStyle w:val="FootnoteText"/>
        <w:rPr>
          <w:sz w:val="18"/>
          <w:szCs w:val="18"/>
        </w:rPr>
      </w:pPr>
      <w:r w:rsidRPr="002927DE">
        <w:rPr>
          <w:rStyle w:val="FootnoteReference"/>
          <w:sz w:val="18"/>
          <w:szCs w:val="18"/>
        </w:rPr>
        <w:footnoteRef/>
      </w:r>
      <w:r w:rsidRPr="002927DE">
        <w:rPr>
          <w:sz w:val="18"/>
          <w:szCs w:val="18"/>
        </w:rPr>
        <w:t xml:space="preserve"> Murray, Fardin and O’Hara (n </w:t>
      </w:r>
      <w:r w:rsidRPr="002927DE">
        <w:rPr>
          <w:sz w:val="18"/>
          <w:szCs w:val="18"/>
        </w:rPr>
        <w:fldChar w:fldCharType="begin"/>
      </w:r>
      <w:r w:rsidRPr="002927DE">
        <w:rPr>
          <w:sz w:val="18"/>
          <w:szCs w:val="18"/>
        </w:rPr>
        <w:instrText xml:space="preserve"> NOTEREF _Ref43891040 \h  \* MERGEFORMAT </w:instrText>
      </w:r>
      <w:r w:rsidRPr="002927DE">
        <w:rPr>
          <w:sz w:val="18"/>
          <w:szCs w:val="18"/>
        </w:rPr>
      </w:r>
      <w:r w:rsidRPr="002927DE">
        <w:rPr>
          <w:sz w:val="18"/>
          <w:szCs w:val="18"/>
        </w:rPr>
        <w:fldChar w:fldCharType="separate"/>
      </w:r>
      <w:r>
        <w:rPr>
          <w:sz w:val="18"/>
          <w:szCs w:val="18"/>
        </w:rPr>
        <w:t>2</w:t>
      </w:r>
      <w:r w:rsidRPr="002927DE">
        <w:rPr>
          <w:sz w:val="18"/>
          <w:szCs w:val="18"/>
        </w:rPr>
        <w:fldChar w:fldCharType="end"/>
      </w:r>
      <w:r w:rsidRPr="002927DE">
        <w:rPr>
          <w:sz w:val="18"/>
          <w:szCs w:val="18"/>
        </w:rPr>
        <w:t xml:space="preserve">) 21-5; KPMG (n </w:t>
      </w:r>
      <w:r w:rsidRPr="002927DE">
        <w:rPr>
          <w:sz w:val="18"/>
          <w:szCs w:val="18"/>
        </w:rPr>
        <w:fldChar w:fldCharType="begin"/>
      </w:r>
      <w:r w:rsidRPr="002927DE">
        <w:rPr>
          <w:sz w:val="18"/>
          <w:szCs w:val="18"/>
        </w:rPr>
        <w:instrText xml:space="preserve"> NOTEREF _Ref43899871 \h </w:instrText>
      </w:r>
      <w:r>
        <w:rPr>
          <w:sz w:val="18"/>
          <w:szCs w:val="18"/>
        </w:rPr>
        <w:instrText xml:space="preserve"> \* MERGEFORMAT </w:instrText>
      </w:r>
      <w:r w:rsidRPr="002927DE">
        <w:rPr>
          <w:sz w:val="18"/>
          <w:szCs w:val="18"/>
        </w:rPr>
      </w:r>
      <w:r w:rsidRPr="002927DE">
        <w:rPr>
          <w:sz w:val="18"/>
          <w:szCs w:val="18"/>
        </w:rPr>
        <w:fldChar w:fldCharType="separate"/>
      </w:r>
      <w:r>
        <w:rPr>
          <w:sz w:val="18"/>
          <w:szCs w:val="18"/>
        </w:rPr>
        <w:t>100</w:t>
      </w:r>
      <w:r w:rsidRPr="002927DE">
        <w:rPr>
          <w:sz w:val="18"/>
          <w:szCs w:val="18"/>
        </w:rPr>
        <w:fldChar w:fldCharType="end"/>
      </w:r>
      <w:r w:rsidRPr="002927DE">
        <w:rPr>
          <w:sz w:val="18"/>
          <w:szCs w:val="18"/>
        </w:rPr>
        <w:t>) 65-6.</w:t>
      </w:r>
    </w:p>
  </w:footnote>
  <w:footnote w:id="104">
    <w:p w14:paraId="19EE3248" w14:textId="6E154DE7" w:rsidR="00D70136" w:rsidRPr="002927DE" w:rsidRDefault="00D70136" w:rsidP="003315D5">
      <w:pPr>
        <w:pStyle w:val="FootnoteText"/>
        <w:rPr>
          <w:sz w:val="18"/>
          <w:szCs w:val="18"/>
          <w:lang w:val="en-US"/>
        </w:rPr>
      </w:pPr>
      <w:r w:rsidRPr="002927DE">
        <w:rPr>
          <w:rStyle w:val="FootnoteReference"/>
          <w:sz w:val="18"/>
          <w:szCs w:val="18"/>
        </w:rPr>
        <w:footnoteRef/>
      </w:r>
      <w:r w:rsidRPr="002927DE">
        <w:rPr>
          <w:sz w:val="18"/>
          <w:szCs w:val="18"/>
        </w:rPr>
        <w:t xml:space="preserve"> Corporations (Aboriginal and Torres Strait Islander) Amendment (Strengthening Governance and Transparency) Bill 2018 (Cth) (lapsed due to proroguing of Parliament for the 2019 election</w:t>
      </w:r>
      <w:r>
        <w:rPr>
          <w:sz w:val="18"/>
          <w:szCs w:val="18"/>
        </w:rPr>
        <w:t xml:space="preserve"> and not yet reintroduced</w:t>
      </w:r>
      <w:r w:rsidRPr="002927DE">
        <w:rPr>
          <w:sz w:val="18"/>
          <w:szCs w:val="18"/>
        </w:rPr>
        <w:t>)</w:t>
      </w:r>
      <w:r w:rsidRPr="002927DE">
        <w:rPr>
          <w:sz w:val="18"/>
          <w:szCs w:val="18"/>
          <w:lang w:val="en-US"/>
        </w:rPr>
        <w:t>.</w:t>
      </w:r>
    </w:p>
  </w:footnote>
  <w:footnote w:id="105">
    <w:p w14:paraId="4ACA8ACC" w14:textId="6D429076" w:rsidR="00D70136" w:rsidRPr="002927DE" w:rsidRDefault="00D70136">
      <w:pPr>
        <w:pStyle w:val="FootnoteText"/>
        <w:rPr>
          <w:sz w:val="18"/>
          <w:szCs w:val="18"/>
        </w:rPr>
      </w:pPr>
      <w:r w:rsidRPr="002927DE">
        <w:rPr>
          <w:rStyle w:val="FootnoteReference"/>
          <w:sz w:val="18"/>
          <w:szCs w:val="18"/>
        </w:rPr>
        <w:footnoteRef/>
      </w:r>
      <w:r w:rsidRPr="002927DE">
        <w:rPr>
          <w:sz w:val="18"/>
          <w:szCs w:val="18"/>
        </w:rPr>
        <w:t xml:space="preserve"> National Indigenous Australians Ag</w:t>
      </w:r>
      <w:r>
        <w:rPr>
          <w:sz w:val="18"/>
          <w:szCs w:val="18"/>
        </w:rPr>
        <w:t>ency, ‘Review of the CATSI Act’</w:t>
      </w:r>
      <w:r w:rsidRPr="002927DE">
        <w:rPr>
          <w:sz w:val="18"/>
          <w:szCs w:val="18"/>
        </w:rPr>
        <w:t xml:space="preserve"> </w:t>
      </w:r>
      <w:r>
        <w:rPr>
          <w:sz w:val="18"/>
          <w:szCs w:val="18"/>
        </w:rPr>
        <w:t>&lt;</w:t>
      </w:r>
      <w:hyperlink r:id="rId3" w:history="1">
        <w:r w:rsidRPr="0028338F">
          <w:rPr>
            <w:rStyle w:val="Hyperlink"/>
            <w:sz w:val="18"/>
            <w:szCs w:val="18"/>
          </w:rPr>
          <w:t>www.niaa.gov.au/indigenous-affairs/economic-development/review-catsi-act</w:t>
        </w:r>
      </w:hyperlink>
      <w:r>
        <w:rPr>
          <w:sz w:val="18"/>
          <w:szCs w:val="18"/>
        </w:rPr>
        <w:t>&gt; accessed 24 June 2020</w:t>
      </w:r>
      <w:r w:rsidRPr="002927DE">
        <w:rPr>
          <w:sz w:val="18"/>
          <w:szCs w:val="18"/>
        </w:rPr>
        <w:t>.</w:t>
      </w:r>
    </w:p>
  </w:footnote>
  <w:footnote w:id="106">
    <w:p w14:paraId="5CEB832B" w14:textId="0CB83969" w:rsidR="00D70136" w:rsidRPr="002927DE" w:rsidRDefault="00D70136">
      <w:pPr>
        <w:pStyle w:val="FootnoteText"/>
        <w:rPr>
          <w:sz w:val="18"/>
          <w:szCs w:val="18"/>
        </w:rPr>
      </w:pPr>
      <w:r w:rsidRPr="002927DE">
        <w:rPr>
          <w:rStyle w:val="FootnoteReference"/>
          <w:sz w:val="18"/>
          <w:szCs w:val="18"/>
        </w:rPr>
        <w:footnoteRef/>
      </w:r>
      <w:r w:rsidRPr="002927DE">
        <w:rPr>
          <w:sz w:val="18"/>
          <w:szCs w:val="18"/>
        </w:rPr>
        <w:t xml:space="preserve"> Brakman-Reiser and Dean, </w:t>
      </w:r>
      <w:r w:rsidRPr="002927DE">
        <w:rPr>
          <w:i/>
          <w:sz w:val="18"/>
          <w:szCs w:val="18"/>
        </w:rPr>
        <w:t>Social Enterprise Law</w:t>
      </w:r>
      <w:r w:rsidRPr="002927DE">
        <w:rPr>
          <w:sz w:val="18"/>
          <w:szCs w:val="18"/>
        </w:rPr>
        <w:t xml:space="preserve"> (n </w:t>
      </w:r>
      <w:r w:rsidRPr="002927DE">
        <w:rPr>
          <w:sz w:val="18"/>
          <w:szCs w:val="18"/>
        </w:rPr>
        <w:fldChar w:fldCharType="begin"/>
      </w:r>
      <w:r w:rsidRPr="002927DE">
        <w:rPr>
          <w:sz w:val="18"/>
          <w:szCs w:val="18"/>
        </w:rPr>
        <w:instrText xml:space="preserve"> NOTEREF _Ref43727916 \h </w:instrText>
      </w:r>
      <w:r>
        <w:rPr>
          <w:sz w:val="18"/>
          <w:szCs w:val="18"/>
        </w:rPr>
        <w:instrText xml:space="preserve"> \* MERGEFORMAT </w:instrText>
      </w:r>
      <w:r w:rsidRPr="002927DE">
        <w:rPr>
          <w:sz w:val="18"/>
          <w:szCs w:val="18"/>
        </w:rPr>
      </w:r>
      <w:r w:rsidRPr="002927DE">
        <w:rPr>
          <w:sz w:val="18"/>
          <w:szCs w:val="18"/>
        </w:rPr>
        <w:fldChar w:fldCharType="separate"/>
      </w:r>
      <w:r>
        <w:rPr>
          <w:sz w:val="18"/>
          <w:szCs w:val="18"/>
        </w:rPr>
        <w:t>77</w:t>
      </w:r>
      <w:r w:rsidRPr="002927DE">
        <w:rPr>
          <w:sz w:val="18"/>
          <w:szCs w:val="18"/>
        </w:rPr>
        <w:fldChar w:fldCharType="end"/>
      </w:r>
      <w:r w:rsidRPr="002927DE">
        <w:rPr>
          <w:sz w:val="18"/>
          <w:szCs w:val="18"/>
        </w:rPr>
        <w:t xml:space="preserve">); n </w:t>
      </w:r>
      <w:r w:rsidRPr="002927DE">
        <w:rPr>
          <w:sz w:val="18"/>
          <w:szCs w:val="18"/>
        </w:rPr>
        <w:fldChar w:fldCharType="begin"/>
      </w:r>
      <w:r w:rsidRPr="002927DE">
        <w:rPr>
          <w:sz w:val="18"/>
          <w:szCs w:val="18"/>
        </w:rPr>
        <w:instrText xml:space="preserve"> NOTEREF _Ref43727916 \h </w:instrText>
      </w:r>
      <w:r>
        <w:rPr>
          <w:sz w:val="18"/>
          <w:szCs w:val="18"/>
        </w:rPr>
        <w:instrText xml:space="preserve"> \* MERGEFORMAT </w:instrText>
      </w:r>
      <w:r w:rsidRPr="002927DE">
        <w:rPr>
          <w:sz w:val="18"/>
          <w:szCs w:val="18"/>
        </w:rPr>
      </w:r>
      <w:r w:rsidRPr="002927DE">
        <w:rPr>
          <w:sz w:val="18"/>
          <w:szCs w:val="18"/>
        </w:rPr>
        <w:fldChar w:fldCharType="separate"/>
      </w:r>
      <w:r>
        <w:rPr>
          <w:sz w:val="18"/>
          <w:szCs w:val="18"/>
        </w:rPr>
        <w:t>77</w:t>
      </w:r>
      <w:r w:rsidRPr="002927DE">
        <w:rPr>
          <w:sz w:val="18"/>
          <w:szCs w:val="18"/>
        </w:rPr>
        <w:fldChar w:fldCharType="end"/>
      </w:r>
      <w:r w:rsidRPr="002927DE">
        <w:rPr>
          <w:sz w:val="18"/>
          <w:szCs w:val="18"/>
        </w:rPr>
        <w:t>.</w:t>
      </w:r>
    </w:p>
  </w:footnote>
  <w:footnote w:id="107">
    <w:p w14:paraId="1B44E54A" w14:textId="323C9E7A" w:rsidR="00D70136" w:rsidRPr="002927DE" w:rsidRDefault="00D70136">
      <w:pPr>
        <w:pStyle w:val="FootnoteText"/>
        <w:rPr>
          <w:sz w:val="18"/>
          <w:szCs w:val="18"/>
        </w:rPr>
      </w:pPr>
      <w:r w:rsidRPr="002927DE">
        <w:rPr>
          <w:rStyle w:val="FootnoteReference"/>
          <w:sz w:val="18"/>
          <w:szCs w:val="18"/>
        </w:rPr>
        <w:footnoteRef/>
      </w:r>
      <w:r w:rsidRPr="002927DE">
        <w:rPr>
          <w:sz w:val="18"/>
          <w:szCs w:val="18"/>
        </w:rPr>
        <w:t xml:space="preserve"> Brakman-Reiser and Dean, </w:t>
      </w:r>
      <w:r w:rsidRPr="002927DE">
        <w:rPr>
          <w:i/>
          <w:sz w:val="18"/>
          <w:szCs w:val="18"/>
        </w:rPr>
        <w:t>Social Enterprise Law</w:t>
      </w:r>
      <w:r w:rsidRPr="002927DE">
        <w:rPr>
          <w:sz w:val="18"/>
          <w:szCs w:val="18"/>
        </w:rPr>
        <w:t xml:space="preserve"> (n </w:t>
      </w:r>
      <w:r w:rsidRPr="002927DE">
        <w:rPr>
          <w:sz w:val="18"/>
          <w:szCs w:val="18"/>
        </w:rPr>
        <w:fldChar w:fldCharType="begin"/>
      </w:r>
      <w:r w:rsidRPr="002927DE">
        <w:rPr>
          <w:sz w:val="18"/>
          <w:szCs w:val="18"/>
        </w:rPr>
        <w:instrText xml:space="preserve"> NOTEREF _Ref43727916 \h </w:instrText>
      </w:r>
      <w:r>
        <w:rPr>
          <w:sz w:val="18"/>
          <w:szCs w:val="18"/>
        </w:rPr>
        <w:instrText xml:space="preserve"> \* MERGEFORMAT </w:instrText>
      </w:r>
      <w:r w:rsidRPr="002927DE">
        <w:rPr>
          <w:sz w:val="18"/>
          <w:szCs w:val="18"/>
        </w:rPr>
      </w:r>
      <w:r w:rsidRPr="002927DE">
        <w:rPr>
          <w:sz w:val="18"/>
          <w:szCs w:val="18"/>
        </w:rPr>
        <w:fldChar w:fldCharType="separate"/>
      </w:r>
      <w:r>
        <w:rPr>
          <w:sz w:val="18"/>
          <w:szCs w:val="18"/>
        </w:rPr>
        <w:t>77</w:t>
      </w:r>
      <w:r w:rsidRPr="002927DE">
        <w:rPr>
          <w:sz w:val="18"/>
          <w:szCs w:val="18"/>
        </w:rPr>
        <w:fldChar w:fldCharType="end"/>
      </w:r>
      <w:r w:rsidRPr="002927DE">
        <w:rPr>
          <w:sz w:val="18"/>
          <w:szCs w:val="18"/>
        </w:rPr>
        <w:t>) 59-61.</w:t>
      </w:r>
    </w:p>
  </w:footnote>
  <w:footnote w:id="108">
    <w:p w14:paraId="443B5979" w14:textId="5E46F1A5" w:rsidR="00D70136" w:rsidRPr="002927DE" w:rsidRDefault="00D70136">
      <w:pPr>
        <w:pStyle w:val="FootnoteText"/>
        <w:rPr>
          <w:sz w:val="18"/>
          <w:szCs w:val="18"/>
        </w:rPr>
      </w:pPr>
      <w:r w:rsidRPr="002927DE">
        <w:rPr>
          <w:rStyle w:val="FootnoteReference"/>
          <w:sz w:val="18"/>
          <w:szCs w:val="18"/>
        </w:rPr>
        <w:footnoteRef/>
      </w:r>
      <w:r w:rsidRPr="002927DE">
        <w:rPr>
          <w:sz w:val="18"/>
          <w:szCs w:val="18"/>
        </w:rPr>
        <w:t xml:space="preserve"> Department for Business, Energy &amp; Industrial Strategy</w:t>
      </w:r>
      <w:r>
        <w:rPr>
          <w:sz w:val="18"/>
          <w:szCs w:val="18"/>
        </w:rPr>
        <w:t xml:space="preserve">, </w:t>
      </w:r>
      <w:r w:rsidRPr="00E36F1F">
        <w:rPr>
          <w:i/>
          <w:iCs/>
          <w:sz w:val="18"/>
          <w:szCs w:val="18"/>
        </w:rPr>
        <w:t>Corporate Governance Reform: The Government response to the green paper consultation</w:t>
      </w:r>
      <w:r w:rsidRPr="002927DE">
        <w:rPr>
          <w:i/>
          <w:iCs/>
          <w:sz w:val="18"/>
          <w:szCs w:val="18"/>
        </w:rPr>
        <w:t xml:space="preserve"> </w:t>
      </w:r>
      <w:r w:rsidRPr="002927DE">
        <w:rPr>
          <w:sz w:val="18"/>
          <w:szCs w:val="18"/>
        </w:rPr>
        <w:t>(</w:t>
      </w:r>
      <w:r>
        <w:rPr>
          <w:sz w:val="18"/>
          <w:szCs w:val="18"/>
        </w:rPr>
        <w:t xml:space="preserve">UK Government </w:t>
      </w:r>
      <w:r w:rsidRPr="002927DE">
        <w:rPr>
          <w:sz w:val="18"/>
          <w:szCs w:val="18"/>
        </w:rPr>
        <w:t>2017) 4-5, 24-35.</w:t>
      </w:r>
    </w:p>
  </w:footnote>
  <w:footnote w:id="109">
    <w:p w14:paraId="7301A5B2" w14:textId="72C36F15" w:rsidR="00D70136" w:rsidRPr="002927DE" w:rsidRDefault="00D70136">
      <w:pPr>
        <w:pStyle w:val="FootnoteText"/>
        <w:rPr>
          <w:sz w:val="18"/>
          <w:szCs w:val="18"/>
        </w:rPr>
      </w:pPr>
      <w:r w:rsidRPr="002927DE">
        <w:rPr>
          <w:rStyle w:val="FootnoteReference"/>
          <w:sz w:val="18"/>
          <w:szCs w:val="18"/>
        </w:rPr>
        <w:footnoteRef/>
      </w:r>
      <w:r w:rsidRPr="002927DE">
        <w:rPr>
          <w:sz w:val="18"/>
          <w:szCs w:val="18"/>
        </w:rPr>
        <w:t xml:space="preserve"> Office of the Registrar of Indigenous Corporations, </w:t>
      </w:r>
      <w:proofErr w:type="gramStart"/>
      <w:r w:rsidRPr="002927DE">
        <w:rPr>
          <w:i/>
          <w:sz w:val="18"/>
          <w:szCs w:val="18"/>
        </w:rPr>
        <w:t>The</w:t>
      </w:r>
      <w:proofErr w:type="gramEnd"/>
      <w:r w:rsidRPr="002927DE">
        <w:rPr>
          <w:i/>
          <w:sz w:val="18"/>
          <w:szCs w:val="18"/>
        </w:rPr>
        <w:t xml:space="preserve"> CATSI Act and the Corporations Act – Some Differences</w:t>
      </w:r>
      <w:r w:rsidRPr="002927DE">
        <w:rPr>
          <w:sz w:val="18"/>
          <w:szCs w:val="18"/>
        </w:rPr>
        <w:t xml:space="preserve"> (Commonwealth of Australia 2010) 2.</w:t>
      </w:r>
    </w:p>
  </w:footnote>
  <w:footnote w:id="110">
    <w:p w14:paraId="5DC89C40" w14:textId="41ABBEE7" w:rsidR="00D70136" w:rsidRPr="002927DE" w:rsidRDefault="00D70136">
      <w:pPr>
        <w:pStyle w:val="FootnoteText"/>
        <w:rPr>
          <w:sz w:val="18"/>
          <w:szCs w:val="18"/>
        </w:rPr>
      </w:pPr>
      <w:r w:rsidRPr="002927DE">
        <w:rPr>
          <w:rStyle w:val="FootnoteReference"/>
          <w:sz w:val="18"/>
          <w:szCs w:val="18"/>
        </w:rPr>
        <w:footnoteRef/>
      </w:r>
      <w:r w:rsidRPr="002927DE">
        <w:rPr>
          <w:sz w:val="18"/>
          <w:szCs w:val="18"/>
        </w:rPr>
        <w:t xml:space="preserve"> </w:t>
      </w:r>
      <w:r w:rsidRPr="00E36F1F">
        <w:rPr>
          <w:sz w:val="18"/>
          <w:szCs w:val="18"/>
        </w:rPr>
        <w:t>The Community Interest Company Regulations 2005</w:t>
      </w:r>
      <w:r w:rsidRPr="002927DE">
        <w:rPr>
          <w:sz w:val="18"/>
          <w:szCs w:val="18"/>
        </w:rPr>
        <w:t xml:space="preserve"> (UK) SI 2005/1788, r</w:t>
      </w:r>
      <w:r>
        <w:rPr>
          <w:sz w:val="18"/>
          <w:szCs w:val="18"/>
        </w:rPr>
        <w:t xml:space="preserve"> </w:t>
      </w:r>
      <w:r w:rsidRPr="002927DE">
        <w:rPr>
          <w:sz w:val="18"/>
          <w:szCs w:val="18"/>
        </w:rPr>
        <w:t xml:space="preserve">22 (the percentage cap is 35% of distributable profits); </w:t>
      </w:r>
      <w:r w:rsidRPr="00E36F1F">
        <w:rPr>
          <w:sz w:val="18"/>
          <w:szCs w:val="18"/>
        </w:rPr>
        <w:t>Community Interest Companies Act</w:t>
      </w:r>
      <w:r w:rsidRPr="002927DE">
        <w:rPr>
          <w:sz w:val="18"/>
          <w:szCs w:val="18"/>
        </w:rPr>
        <w:t xml:space="preserve"> SNS 2012, c38, s</w:t>
      </w:r>
      <w:r>
        <w:rPr>
          <w:sz w:val="18"/>
          <w:szCs w:val="18"/>
        </w:rPr>
        <w:t xml:space="preserve"> </w:t>
      </w:r>
      <w:r w:rsidRPr="002927DE">
        <w:rPr>
          <w:sz w:val="18"/>
          <w:szCs w:val="18"/>
        </w:rPr>
        <w:t xml:space="preserve">15(1); </w:t>
      </w:r>
      <w:r w:rsidRPr="00E36F1F">
        <w:rPr>
          <w:sz w:val="18"/>
          <w:szCs w:val="18"/>
        </w:rPr>
        <w:t>Community Interest Companies Regulations</w:t>
      </w:r>
      <w:r w:rsidRPr="002927DE">
        <w:rPr>
          <w:sz w:val="18"/>
          <w:szCs w:val="18"/>
        </w:rPr>
        <w:t xml:space="preserve"> </w:t>
      </w:r>
      <w:r w:rsidRPr="002927DE">
        <w:rPr>
          <w:bCs/>
          <w:sz w:val="18"/>
          <w:szCs w:val="18"/>
        </w:rPr>
        <w:t>NS Reg 121/2016</w:t>
      </w:r>
      <w:r w:rsidRPr="002927DE">
        <w:rPr>
          <w:sz w:val="18"/>
          <w:szCs w:val="18"/>
        </w:rPr>
        <w:t xml:space="preserve"> r</w:t>
      </w:r>
      <w:r>
        <w:rPr>
          <w:sz w:val="18"/>
          <w:szCs w:val="18"/>
        </w:rPr>
        <w:t xml:space="preserve"> </w:t>
      </w:r>
      <w:r w:rsidRPr="002927DE">
        <w:rPr>
          <w:sz w:val="18"/>
          <w:szCs w:val="18"/>
        </w:rPr>
        <w:t xml:space="preserve">5 (percentage cap of 40% of distributable profits); </w:t>
      </w:r>
      <w:r w:rsidRPr="00E36F1F">
        <w:rPr>
          <w:sz w:val="18"/>
          <w:szCs w:val="18"/>
        </w:rPr>
        <w:t>Community Contribution Company Regulation</w:t>
      </w:r>
      <w:r w:rsidRPr="002927DE">
        <w:rPr>
          <w:sz w:val="18"/>
          <w:szCs w:val="18"/>
        </w:rPr>
        <w:t xml:space="preserve"> BC Reg 63/2013 r</w:t>
      </w:r>
      <w:r>
        <w:rPr>
          <w:sz w:val="18"/>
          <w:szCs w:val="18"/>
        </w:rPr>
        <w:t xml:space="preserve"> </w:t>
      </w:r>
      <w:r w:rsidRPr="002927DE">
        <w:rPr>
          <w:sz w:val="18"/>
          <w:szCs w:val="18"/>
        </w:rPr>
        <w:t>4 (percentage cap of 40% of distributable profits).</w:t>
      </w:r>
    </w:p>
  </w:footnote>
  <w:footnote w:id="111">
    <w:p w14:paraId="11C0DB3A" w14:textId="2D9B6B7D" w:rsidR="00D70136" w:rsidRPr="002927DE" w:rsidRDefault="00D70136">
      <w:pPr>
        <w:pStyle w:val="FootnoteText"/>
        <w:rPr>
          <w:sz w:val="18"/>
          <w:szCs w:val="18"/>
        </w:rPr>
      </w:pPr>
      <w:r w:rsidRPr="002927DE">
        <w:rPr>
          <w:rStyle w:val="FootnoteReference"/>
          <w:sz w:val="18"/>
          <w:szCs w:val="18"/>
        </w:rPr>
        <w:footnoteRef/>
      </w:r>
      <w:r w:rsidRPr="002927DE">
        <w:rPr>
          <w:sz w:val="18"/>
          <w:szCs w:val="18"/>
        </w:rPr>
        <w:t xml:space="preserve"> For a recent, high profile, case about the need to apply assets solely for charitable trust purposes see, eg, </w:t>
      </w:r>
      <w:r w:rsidRPr="002927DE">
        <w:rPr>
          <w:i/>
          <w:sz w:val="18"/>
          <w:szCs w:val="18"/>
        </w:rPr>
        <w:t xml:space="preserve">Re </w:t>
      </w:r>
      <w:r w:rsidRPr="002927DE">
        <w:rPr>
          <w:bCs/>
          <w:i/>
          <w:sz w:val="18"/>
          <w:szCs w:val="18"/>
        </w:rPr>
        <w:t>New South Wales Rural Fire Service &amp; Brigades Donations Fund</w:t>
      </w:r>
      <w:r w:rsidRPr="002927DE">
        <w:rPr>
          <w:bCs/>
          <w:sz w:val="18"/>
          <w:szCs w:val="18"/>
        </w:rPr>
        <w:t xml:space="preserve"> [2020] NSWSC 604.</w:t>
      </w:r>
    </w:p>
  </w:footnote>
  <w:footnote w:id="112">
    <w:p w14:paraId="12C89C72" w14:textId="6FD4C9E8" w:rsidR="00D70136" w:rsidRPr="002927DE" w:rsidRDefault="00D70136" w:rsidP="001B6A98">
      <w:pPr>
        <w:pStyle w:val="FootnoteText"/>
        <w:rPr>
          <w:sz w:val="18"/>
          <w:szCs w:val="18"/>
        </w:rPr>
      </w:pPr>
      <w:r w:rsidRPr="002927DE">
        <w:rPr>
          <w:rStyle w:val="FootnoteReference"/>
          <w:sz w:val="18"/>
          <w:szCs w:val="18"/>
        </w:rPr>
        <w:footnoteRef/>
      </w:r>
      <w:r w:rsidRPr="002927DE">
        <w:rPr>
          <w:sz w:val="18"/>
          <w:szCs w:val="18"/>
        </w:rPr>
        <w:t xml:space="preserve"> The Australian Federal Parliament has a head of power that may potentially be applicable. The ‘races power’ under the </w:t>
      </w:r>
      <w:r w:rsidRPr="002927DE">
        <w:rPr>
          <w:i/>
          <w:sz w:val="18"/>
          <w:szCs w:val="18"/>
        </w:rPr>
        <w:t>Australian Constitution</w:t>
      </w:r>
      <w:r w:rsidRPr="002927DE">
        <w:rPr>
          <w:sz w:val="18"/>
          <w:szCs w:val="18"/>
        </w:rPr>
        <w:t xml:space="preserve"> s</w:t>
      </w:r>
      <w:r>
        <w:rPr>
          <w:sz w:val="18"/>
          <w:szCs w:val="18"/>
        </w:rPr>
        <w:t xml:space="preserve">ection </w:t>
      </w:r>
      <w:r w:rsidRPr="002927DE">
        <w:rPr>
          <w:sz w:val="18"/>
          <w:szCs w:val="18"/>
        </w:rPr>
        <w:t xml:space="preserve">51(xxvi) permits the Federal Parliament to pass laws with respect to </w:t>
      </w:r>
      <w:r>
        <w:rPr>
          <w:sz w:val="18"/>
          <w:szCs w:val="18"/>
        </w:rPr>
        <w:t xml:space="preserve">people of any race, including </w:t>
      </w:r>
      <w:r w:rsidRPr="002927DE">
        <w:rPr>
          <w:sz w:val="18"/>
          <w:szCs w:val="18"/>
        </w:rPr>
        <w:t xml:space="preserve">Indigenous Australians, but its precise ambit is </w:t>
      </w:r>
      <w:r>
        <w:rPr>
          <w:sz w:val="18"/>
          <w:szCs w:val="18"/>
        </w:rPr>
        <w:t>the subject of ongoing debate</w:t>
      </w:r>
      <w:r w:rsidRPr="002927DE">
        <w:rPr>
          <w:sz w:val="18"/>
          <w:szCs w:val="18"/>
        </w:rPr>
        <w:t xml:space="preserve">: George Williams, Sean Brennan and Andrew Lynch, </w:t>
      </w:r>
      <w:r w:rsidRPr="002927DE">
        <w:rPr>
          <w:i/>
          <w:sz w:val="18"/>
          <w:szCs w:val="18"/>
        </w:rPr>
        <w:t>Australian Constitutional Law and Theory</w:t>
      </w:r>
      <w:r w:rsidRPr="002927DE">
        <w:rPr>
          <w:sz w:val="18"/>
          <w:szCs w:val="18"/>
        </w:rPr>
        <w:t xml:space="preserve"> (</w:t>
      </w:r>
      <w:r>
        <w:rPr>
          <w:sz w:val="18"/>
          <w:szCs w:val="18"/>
        </w:rPr>
        <w:t>7</w:t>
      </w:r>
      <w:r w:rsidRPr="00C33B45">
        <w:rPr>
          <w:sz w:val="18"/>
          <w:szCs w:val="18"/>
          <w:vertAlign w:val="superscript"/>
        </w:rPr>
        <w:t>th</w:t>
      </w:r>
      <w:r>
        <w:rPr>
          <w:sz w:val="18"/>
          <w:szCs w:val="18"/>
        </w:rPr>
        <w:t xml:space="preserve"> </w:t>
      </w:r>
      <w:proofErr w:type="spellStart"/>
      <w:r>
        <w:rPr>
          <w:sz w:val="18"/>
          <w:szCs w:val="18"/>
        </w:rPr>
        <w:t>edn</w:t>
      </w:r>
      <w:proofErr w:type="spellEnd"/>
      <w:r>
        <w:rPr>
          <w:sz w:val="18"/>
          <w:szCs w:val="18"/>
        </w:rPr>
        <w:t xml:space="preserve">, </w:t>
      </w:r>
      <w:r w:rsidRPr="002927DE">
        <w:rPr>
          <w:sz w:val="18"/>
          <w:szCs w:val="18"/>
        </w:rPr>
        <w:t>Federation Press 2018) ch 23.</w:t>
      </w:r>
    </w:p>
  </w:footnote>
  <w:footnote w:id="113">
    <w:p w14:paraId="3E48EC9B" w14:textId="37EADEA1" w:rsidR="00D70136" w:rsidRPr="002927DE" w:rsidRDefault="00D70136">
      <w:pPr>
        <w:pStyle w:val="FootnoteText"/>
        <w:rPr>
          <w:sz w:val="18"/>
          <w:szCs w:val="18"/>
        </w:rPr>
      </w:pPr>
      <w:r w:rsidRPr="002927DE">
        <w:rPr>
          <w:rStyle w:val="FootnoteReference"/>
          <w:sz w:val="18"/>
          <w:szCs w:val="18"/>
        </w:rPr>
        <w:footnoteRef/>
      </w:r>
      <w:r w:rsidRPr="002927DE">
        <w:rPr>
          <w:sz w:val="18"/>
          <w:szCs w:val="18"/>
        </w:rPr>
        <w:t xml:space="preserve"> For exemplar provisions see, eg,</w:t>
      </w:r>
      <w:r w:rsidRPr="002927DE">
        <w:rPr>
          <w:i/>
          <w:iCs/>
          <w:sz w:val="18"/>
          <w:szCs w:val="18"/>
        </w:rPr>
        <w:t xml:space="preserve"> </w:t>
      </w:r>
      <w:r w:rsidRPr="00C33B45">
        <w:rPr>
          <w:iCs/>
          <w:sz w:val="18"/>
          <w:szCs w:val="18"/>
        </w:rPr>
        <w:t>Charitable Trusts Act 1962</w:t>
      </w:r>
      <w:r w:rsidRPr="002927DE">
        <w:rPr>
          <w:sz w:val="18"/>
          <w:szCs w:val="18"/>
        </w:rPr>
        <w:t xml:space="preserve"> (WA) pt </w:t>
      </w:r>
      <w:proofErr w:type="gramStart"/>
      <w:r w:rsidRPr="002927DE">
        <w:rPr>
          <w:sz w:val="18"/>
          <w:szCs w:val="18"/>
        </w:rPr>
        <w:t>VA .</w:t>
      </w:r>
      <w:proofErr w:type="gramEnd"/>
      <w:r w:rsidRPr="002927DE">
        <w:rPr>
          <w:sz w:val="18"/>
          <w:szCs w:val="18"/>
        </w:rPr>
        <w:t xml:space="preserve"> See also Rural Fires Amendment (NSW RFS and Brigades Donations Fund) Bill 2020 (NSW).</w:t>
      </w:r>
    </w:p>
  </w:footnote>
  <w:footnote w:id="114">
    <w:p w14:paraId="791F80D3" w14:textId="10211D4C" w:rsidR="00D70136" w:rsidRPr="002927DE" w:rsidRDefault="00D70136">
      <w:pPr>
        <w:pStyle w:val="FootnoteText"/>
        <w:rPr>
          <w:sz w:val="18"/>
          <w:szCs w:val="18"/>
        </w:rPr>
      </w:pPr>
      <w:r w:rsidRPr="002927DE">
        <w:rPr>
          <w:rStyle w:val="FootnoteReference"/>
          <w:sz w:val="18"/>
          <w:szCs w:val="18"/>
        </w:rPr>
        <w:footnoteRef/>
      </w:r>
      <w:r w:rsidRPr="002927DE">
        <w:rPr>
          <w:sz w:val="18"/>
          <w:szCs w:val="18"/>
        </w:rPr>
        <w:t xml:space="preserve"> </w:t>
      </w:r>
      <w:r w:rsidRPr="00C33B45">
        <w:rPr>
          <w:sz w:val="18"/>
          <w:szCs w:val="18"/>
        </w:rPr>
        <w:t>Australian Charities and Not-for-profits Commission Act 2012</w:t>
      </w:r>
      <w:r w:rsidRPr="002927DE">
        <w:rPr>
          <w:sz w:val="18"/>
          <w:szCs w:val="18"/>
        </w:rPr>
        <w:t xml:space="preserve"> (Cth) s</w:t>
      </w:r>
      <w:r>
        <w:rPr>
          <w:sz w:val="18"/>
          <w:szCs w:val="18"/>
        </w:rPr>
        <w:t xml:space="preserve"> </w:t>
      </w:r>
      <w:r w:rsidRPr="002927DE">
        <w:rPr>
          <w:sz w:val="18"/>
          <w:szCs w:val="18"/>
        </w:rPr>
        <w:t>35-10(1</w:t>
      </w:r>
      <w:proofErr w:type="gramStart"/>
      <w:r w:rsidRPr="002927DE">
        <w:rPr>
          <w:sz w:val="18"/>
          <w:szCs w:val="18"/>
        </w:rPr>
        <w:t>)(</w:t>
      </w:r>
      <w:proofErr w:type="gramEnd"/>
      <w:r w:rsidRPr="002927DE">
        <w:rPr>
          <w:sz w:val="18"/>
          <w:szCs w:val="18"/>
        </w:rPr>
        <w:t>e).</w:t>
      </w:r>
    </w:p>
  </w:footnote>
  <w:footnote w:id="115">
    <w:p w14:paraId="6F427B57" w14:textId="790CDDC5" w:rsidR="00D70136" w:rsidRPr="002927DE" w:rsidRDefault="00D70136">
      <w:pPr>
        <w:pStyle w:val="FootnoteText"/>
        <w:rPr>
          <w:sz w:val="18"/>
          <w:szCs w:val="18"/>
        </w:rPr>
      </w:pPr>
      <w:r w:rsidRPr="002927DE">
        <w:rPr>
          <w:rStyle w:val="FootnoteReference"/>
          <w:sz w:val="18"/>
          <w:szCs w:val="18"/>
        </w:rPr>
        <w:footnoteRef/>
      </w:r>
      <w:r w:rsidRPr="002927DE">
        <w:rPr>
          <w:sz w:val="18"/>
          <w:szCs w:val="18"/>
        </w:rPr>
        <w:t xml:space="preserve"> </w:t>
      </w:r>
      <w:r w:rsidRPr="00C33B45">
        <w:rPr>
          <w:sz w:val="18"/>
          <w:szCs w:val="18"/>
        </w:rPr>
        <w:t>Income Tax Assessment Act 1997</w:t>
      </w:r>
      <w:r w:rsidRPr="002927DE">
        <w:rPr>
          <w:sz w:val="18"/>
          <w:szCs w:val="18"/>
        </w:rPr>
        <w:t xml:space="preserve"> (Cth) s116-30.</w:t>
      </w:r>
    </w:p>
  </w:footnote>
  <w:footnote w:id="116">
    <w:p w14:paraId="291A3D63" w14:textId="5D30534A" w:rsidR="00D70136" w:rsidRPr="002927DE" w:rsidRDefault="00D70136">
      <w:pPr>
        <w:pStyle w:val="FootnoteText"/>
        <w:rPr>
          <w:sz w:val="18"/>
          <w:szCs w:val="18"/>
        </w:rPr>
      </w:pPr>
      <w:r w:rsidRPr="002927DE">
        <w:rPr>
          <w:rStyle w:val="FootnoteReference"/>
          <w:sz w:val="18"/>
          <w:szCs w:val="18"/>
        </w:rPr>
        <w:footnoteRef/>
      </w:r>
      <w:r w:rsidRPr="002927DE">
        <w:rPr>
          <w:sz w:val="18"/>
          <w:szCs w:val="18"/>
        </w:rPr>
        <w:t xml:space="preserve"> See, eg, </w:t>
      </w:r>
      <w:r w:rsidRPr="00C33B45">
        <w:rPr>
          <w:sz w:val="18"/>
          <w:szCs w:val="18"/>
        </w:rPr>
        <w:t>Duties Act 2008</w:t>
      </w:r>
      <w:r w:rsidRPr="002927DE">
        <w:rPr>
          <w:sz w:val="18"/>
          <w:szCs w:val="18"/>
        </w:rPr>
        <w:t xml:space="preserve"> (WA) ch 2.</w:t>
      </w:r>
    </w:p>
  </w:footnote>
  <w:footnote w:id="117">
    <w:p w14:paraId="52DCAE47" w14:textId="2E06C57F" w:rsidR="00D70136" w:rsidRPr="002927DE" w:rsidRDefault="00D70136">
      <w:pPr>
        <w:pStyle w:val="FootnoteText"/>
        <w:rPr>
          <w:sz w:val="18"/>
          <w:szCs w:val="18"/>
        </w:rPr>
      </w:pPr>
      <w:r w:rsidRPr="002927DE">
        <w:rPr>
          <w:rStyle w:val="FootnoteReference"/>
          <w:sz w:val="18"/>
          <w:szCs w:val="18"/>
        </w:rPr>
        <w:footnoteRef/>
      </w:r>
      <w:r w:rsidRPr="002927DE">
        <w:rPr>
          <w:sz w:val="18"/>
          <w:szCs w:val="18"/>
        </w:rPr>
        <w:t xml:space="preserve"> See, eg, ATO, </w:t>
      </w:r>
      <w:r w:rsidRPr="002927DE">
        <w:rPr>
          <w:i/>
          <w:sz w:val="18"/>
          <w:szCs w:val="18"/>
        </w:rPr>
        <w:t>Taxation Determination TD 2012/21</w:t>
      </w:r>
      <w:r w:rsidRPr="002927DE">
        <w:rPr>
          <w:sz w:val="18"/>
          <w:szCs w:val="18"/>
        </w:rPr>
        <w:t xml:space="preserve"> (31 August 2016).</w:t>
      </w:r>
    </w:p>
  </w:footnote>
  <w:footnote w:id="118">
    <w:p w14:paraId="03FC34D2" w14:textId="4D89FA68" w:rsidR="00D70136" w:rsidRPr="002927DE" w:rsidRDefault="00D70136">
      <w:pPr>
        <w:pStyle w:val="FootnoteText"/>
        <w:rPr>
          <w:sz w:val="18"/>
          <w:szCs w:val="18"/>
        </w:rPr>
      </w:pPr>
      <w:r w:rsidRPr="002927DE">
        <w:rPr>
          <w:rStyle w:val="FootnoteReference"/>
          <w:sz w:val="18"/>
          <w:szCs w:val="18"/>
        </w:rPr>
        <w:footnoteRef/>
      </w:r>
      <w:r w:rsidRPr="002927DE">
        <w:rPr>
          <w:sz w:val="18"/>
          <w:szCs w:val="18"/>
        </w:rPr>
        <w:t xml:space="preserve"> CATSI Act subdiv 69-B.</w:t>
      </w:r>
    </w:p>
  </w:footnote>
  <w:footnote w:id="119">
    <w:p w14:paraId="7475D542" w14:textId="29B1F2CD" w:rsidR="00D70136" w:rsidRPr="002927DE" w:rsidRDefault="00D70136">
      <w:pPr>
        <w:pStyle w:val="FootnoteText"/>
        <w:rPr>
          <w:sz w:val="18"/>
          <w:szCs w:val="18"/>
        </w:rPr>
      </w:pPr>
      <w:r w:rsidRPr="002927DE">
        <w:rPr>
          <w:rStyle w:val="FootnoteReference"/>
          <w:sz w:val="18"/>
          <w:szCs w:val="18"/>
        </w:rPr>
        <w:footnoteRef/>
      </w:r>
      <w:r w:rsidRPr="002927DE">
        <w:rPr>
          <w:sz w:val="18"/>
          <w:szCs w:val="18"/>
        </w:rPr>
        <w:t xml:space="preserve"> Dal Pont (n </w:t>
      </w:r>
      <w:r w:rsidRPr="002927DE">
        <w:rPr>
          <w:sz w:val="18"/>
          <w:szCs w:val="18"/>
        </w:rPr>
        <w:fldChar w:fldCharType="begin"/>
      </w:r>
      <w:r w:rsidRPr="002927DE">
        <w:rPr>
          <w:sz w:val="18"/>
          <w:szCs w:val="18"/>
        </w:rPr>
        <w:instrText xml:space="preserve"> NOTEREF _Ref43896552 \h  \* MERGEFORMAT </w:instrText>
      </w:r>
      <w:r w:rsidRPr="002927DE">
        <w:rPr>
          <w:sz w:val="18"/>
          <w:szCs w:val="18"/>
        </w:rPr>
      </w:r>
      <w:r w:rsidRPr="002927DE">
        <w:rPr>
          <w:sz w:val="18"/>
          <w:szCs w:val="18"/>
        </w:rPr>
        <w:fldChar w:fldCharType="separate"/>
      </w:r>
      <w:r>
        <w:rPr>
          <w:sz w:val="18"/>
          <w:szCs w:val="18"/>
        </w:rPr>
        <w:t>36</w:t>
      </w:r>
      <w:r w:rsidRPr="002927DE">
        <w:rPr>
          <w:sz w:val="18"/>
          <w:szCs w:val="18"/>
        </w:rPr>
        <w:fldChar w:fldCharType="end"/>
      </w:r>
      <w:r w:rsidRPr="002927DE">
        <w:rPr>
          <w:sz w:val="18"/>
          <w:szCs w:val="18"/>
        </w:rPr>
        <w:t>) [17.67]-[17.72].</w:t>
      </w:r>
    </w:p>
  </w:footnote>
  <w:footnote w:id="120">
    <w:p w14:paraId="26B92AEA" w14:textId="03768806" w:rsidR="00D70136" w:rsidRPr="002927DE" w:rsidRDefault="00D70136">
      <w:pPr>
        <w:pStyle w:val="FootnoteText"/>
        <w:rPr>
          <w:sz w:val="18"/>
          <w:szCs w:val="18"/>
        </w:rPr>
      </w:pPr>
      <w:r w:rsidRPr="002927DE">
        <w:rPr>
          <w:rStyle w:val="FootnoteReference"/>
          <w:sz w:val="18"/>
          <w:szCs w:val="18"/>
        </w:rPr>
        <w:footnoteRef/>
      </w:r>
      <w:r w:rsidRPr="002927DE">
        <w:rPr>
          <w:sz w:val="18"/>
          <w:szCs w:val="18"/>
        </w:rPr>
        <w:t xml:space="preserve"> </w:t>
      </w:r>
      <w:r w:rsidRPr="002927DE">
        <w:rPr>
          <w:i/>
          <w:sz w:val="18"/>
          <w:szCs w:val="18"/>
        </w:rPr>
        <w:t>Ibid</w:t>
      </w:r>
      <w:r w:rsidRPr="002927DE">
        <w:rPr>
          <w:sz w:val="18"/>
          <w:szCs w:val="18"/>
        </w:rPr>
        <w:t>.</w:t>
      </w:r>
    </w:p>
  </w:footnote>
  <w:footnote w:id="121">
    <w:p w14:paraId="3065C866" w14:textId="262D49F7" w:rsidR="00D70136" w:rsidRPr="002927DE" w:rsidRDefault="00D70136">
      <w:pPr>
        <w:pStyle w:val="FootnoteText"/>
        <w:rPr>
          <w:sz w:val="18"/>
          <w:szCs w:val="18"/>
        </w:rPr>
      </w:pPr>
      <w:r w:rsidRPr="002927DE">
        <w:rPr>
          <w:rStyle w:val="FootnoteReference"/>
          <w:sz w:val="18"/>
          <w:szCs w:val="18"/>
        </w:rPr>
        <w:footnoteRef/>
      </w:r>
      <w:r w:rsidRPr="002927DE">
        <w:rPr>
          <w:sz w:val="18"/>
          <w:szCs w:val="18"/>
        </w:rPr>
        <w:t xml:space="preserve"> </w:t>
      </w:r>
      <w:r>
        <w:rPr>
          <w:sz w:val="18"/>
          <w:szCs w:val="18"/>
        </w:rPr>
        <w:t>If</w:t>
      </w:r>
      <w:r w:rsidRPr="002927DE">
        <w:rPr>
          <w:sz w:val="18"/>
          <w:szCs w:val="18"/>
        </w:rPr>
        <w:t xml:space="preserve"> the PBC holds BMS assets on charitable trust, then the </w:t>
      </w:r>
      <w:r>
        <w:rPr>
          <w:sz w:val="18"/>
          <w:szCs w:val="18"/>
        </w:rPr>
        <w:t xml:space="preserve">legacy trusts </w:t>
      </w:r>
      <w:r w:rsidRPr="002927DE">
        <w:rPr>
          <w:sz w:val="18"/>
          <w:szCs w:val="18"/>
        </w:rPr>
        <w:t>discussion is pertinent.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3469B" w14:textId="489E6A71" w:rsidR="00D70136" w:rsidRDefault="00D701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A0654" w14:textId="00663F21" w:rsidR="00D70136" w:rsidRDefault="00D701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872C6" w14:textId="33A12893" w:rsidR="00D70136" w:rsidRDefault="00D701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427B"/>
    <w:multiLevelType w:val="hybridMultilevel"/>
    <w:tmpl w:val="36E2E246"/>
    <w:lvl w:ilvl="0" w:tplc="512A12FE">
      <w:start w:val="1"/>
      <w:numFmt w:val="bullet"/>
      <w:lvlText w:val="•"/>
      <w:lvlJc w:val="left"/>
      <w:pPr>
        <w:tabs>
          <w:tab w:val="num" w:pos="720"/>
        </w:tabs>
        <w:ind w:left="720" w:hanging="360"/>
      </w:pPr>
      <w:rPr>
        <w:rFonts w:ascii="Arial" w:hAnsi="Arial" w:hint="default"/>
      </w:rPr>
    </w:lvl>
    <w:lvl w:ilvl="1" w:tplc="F64416C4">
      <w:start w:val="1"/>
      <w:numFmt w:val="bullet"/>
      <w:lvlText w:val="•"/>
      <w:lvlJc w:val="left"/>
      <w:pPr>
        <w:tabs>
          <w:tab w:val="num" w:pos="1440"/>
        </w:tabs>
        <w:ind w:left="1440" w:hanging="360"/>
      </w:pPr>
      <w:rPr>
        <w:rFonts w:ascii="Arial" w:hAnsi="Arial" w:hint="default"/>
      </w:rPr>
    </w:lvl>
    <w:lvl w:ilvl="2" w:tplc="D1F65000" w:tentative="1">
      <w:start w:val="1"/>
      <w:numFmt w:val="bullet"/>
      <w:lvlText w:val="•"/>
      <w:lvlJc w:val="left"/>
      <w:pPr>
        <w:tabs>
          <w:tab w:val="num" w:pos="2160"/>
        </w:tabs>
        <w:ind w:left="2160" w:hanging="360"/>
      </w:pPr>
      <w:rPr>
        <w:rFonts w:ascii="Arial" w:hAnsi="Arial" w:hint="default"/>
      </w:rPr>
    </w:lvl>
    <w:lvl w:ilvl="3" w:tplc="99D0679E" w:tentative="1">
      <w:start w:val="1"/>
      <w:numFmt w:val="bullet"/>
      <w:lvlText w:val="•"/>
      <w:lvlJc w:val="left"/>
      <w:pPr>
        <w:tabs>
          <w:tab w:val="num" w:pos="2880"/>
        </w:tabs>
        <w:ind w:left="2880" w:hanging="360"/>
      </w:pPr>
      <w:rPr>
        <w:rFonts w:ascii="Arial" w:hAnsi="Arial" w:hint="default"/>
      </w:rPr>
    </w:lvl>
    <w:lvl w:ilvl="4" w:tplc="7750D7FC" w:tentative="1">
      <w:start w:val="1"/>
      <w:numFmt w:val="bullet"/>
      <w:lvlText w:val="•"/>
      <w:lvlJc w:val="left"/>
      <w:pPr>
        <w:tabs>
          <w:tab w:val="num" w:pos="3600"/>
        </w:tabs>
        <w:ind w:left="3600" w:hanging="360"/>
      </w:pPr>
      <w:rPr>
        <w:rFonts w:ascii="Arial" w:hAnsi="Arial" w:hint="default"/>
      </w:rPr>
    </w:lvl>
    <w:lvl w:ilvl="5" w:tplc="5860AC6A" w:tentative="1">
      <w:start w:val="1"/>
      <w:numFmt w:val="bullet"/>
      <w:lvlText w:val="•"/>
      <w:lvlJc w:val="left"/>
      <w:pPr>
        <w:tabs>
          <w:tab w:val="num" w:pos="4320"/>
        </w:tabs>
        <w:ind w:left="4320" w:hanging="360"/>
      </w:pPr>
      <w:rPr>
        <w:rFonts w:ascii="Arial" w:hAnsi="Arial" w:hint="default"/>
      </w:rPr>
    </w:lvl>
    <w:lvl w:ilvl="6" w:tplc="FB9880C0" w:tentative="1">
      <w:start w:val="1"/>
      <w:numFmt w:val="bullet"/>
      <w:lvlText w:val="•"/>
      <w:lvlJc w:val="left"/>
      <w:pPr>
        <w:tabs>
          <w:tab w:val="num" w:pos="5040"/>
        </w:tabs>
        <w:ind w:left="5040" w:hanging="360"/>
      </w:pPr>
      <w:rPr>
        <w:rFonts w:ascii="Arial" w:hAnsi="Arial" w:hint="default"/>
      </w:rPr>
    </w:lvl>
    <w:lvl w:ilvl="7" w:tplc="B6C8CFA2" w:tentative="1">
      <w:start w:val="1"/>
      <w:numFmt w:val="bullet"/>
      <w:lvlText w:val="•"/>
      <w:lvlJc w:val="left"/>
      <w:pPr>
        <w:tabs>
          <w:tab w:val="num" w:pos="5760"/>
        </w:tabs>
        <w:ind w:left="5760" w:hanging="360"/>
      </w:pPr>
      <w:rPr>
        <w:rFonts w:ascii="Arial" w:hAnsi="Arial" w:hint="default"/>
      </w:rPr>
    </w:lvl>
    <w:lvl w:ilvl="8" w:tplc="0EC643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253F6E"/>
    <w:multiLevelType w:val="hybridMultilevel"/>
    <w:tmpl w:val="25A0B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74AD4"/>
    <w:multiLevelType w:val="hybridMultilevel"/>
    <w:tmpl w:val="B374E6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BD4F37"/>
    <w:multiLevelType w:val="hybridMultilevel"/>
    <w:tmpl w:val="5F6C2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2A68F1"/>
    <w:multiLevelType w:val="hybridMultilevel"/>
    <w:tmpl w:val="660EC0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1AD593E"/>
    <w:multiLevelType w:val="hybridMultilevel"/>
    <w:tmpl w:val="D9A41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236F95"/>
    <w:multiLevelType w:val="hybridMultilevel"/>
    <w:tmpl w:val="F3F0C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944657"/>
    <w:multiLevelType w:val="hybridMultilevel"/>
    <w:tmpl w:val="58D68E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A165B46"/>
    <w:multiLevelType w:val="hybridMultilevel"/>
    <w:tmpl w:val="BE566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C3A4F"/>
    <w:multiLevelType w:val="hybridMultilevel"/>
    <w:tmpl w:val="748ED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01645C"/>
    <w:multiLevelType w:val="hybridMultilevel"/>
    <w:tmpl w:val="CC00AC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F4364C1"/>
    <w:multiLevelType w:val="hybridMultilevel"/>
    <w:tmpl w:val="01BAA15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FB91A40"/>
    <w:multiLevelType w:val="hybridMultilevel"/>
    <w:tmpl w:val="79E81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5D213B"/>
    <w:multiLevelType w:val="hybridMultilevel"/>
    <w:tmpl w:val="29FE64A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9D3799"/>
    <w:multiLevelType w:val="multilevel"/>
    <w:tmpl w:val="E9B6AACA"/>
    <w:lvl w:ilvl="0">
      <w:start w:val="6"/>
      <w:numFmt w:val="decimal"/>
      <w:lvlText w:val="%1."/>
      <w:lvlJc w:val="left"/>
      <w:pPr>
        <w:ind w:left="360" w:hanging="360"/>
      </w:pPr>
      <w:rPr>
        <w:rFonts w:hint="default"/>
      </w:rPr>
    </w:lvl>
    <w:lvl w:ilvl="1">
      <w:start w:val="1"/>
      <w:numFmt w:val="lowerRoman"/>
      <w:lvlText w:val="(%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DE2131B"/>
    <w:multiLevelType w:val="hybridMultilevel"/>
    <w:tmpl w:val="4A62F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D67B34"/>
    <w:multiLevelType w:val="hybridMultilevel"/>
    <w:tmpl w:val="6E7AC802"/>
    <w:lvl w:ilvl="0" w:tplc="9C4443A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17121D6"/>
    <w:multiLevelType w:val="hybridMultilevel"/>
    <w:tmpl w:val="7EEA768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F3762"/>
    <w:multiLevelType w:val="hybridMultilevel"/>
    <w:tmpl w:val="C4547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946710"/>
    <w:multiLevelType w:val="hybridMultilevel"/>
    <w:tmpl w:val="C284B9D0"/>
    <w:lvl w:ilvl="0" w:tplc="0518C080">
      <w:start w:val="1"/>
      <w:numFmt w:val="decimal"/>
      <w:lvlText w:val="%1."/>
      <w:lvlJc w:val="left"/>
      <w:pPr>
        <w:ind w:left="360" w:hanging="360"/>
      </w:pPr>
      <w:rPr>
        <w:rFonts w:asciiTheme="minorHAnsi" w:hAnsiTheme="minorHAnsi" w:cstheme="minorHAnsi"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5FF6B31"/>
    <w:multiLevelType w:val="hybridMultilevel"/>
    <w:tmpl w:val="284C6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D57347"/>
    <w:multiLevelType w:val="hybridMultilevel"/>
    <w:tmpl w:val="52E81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3A22EA"/>
    <w:multiLevelType w:val="hybridMultilevel"/>
    <w:tmpl w:val="6A4C6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AA2727"/>
    <w:multiLevelType w:val="hybridMultilevel"/>
    <w:tmpl w:val="710A2E10"/>
    <w:lvl w:ilvl="0" w:tplc="0C090001">
      <w:start w:val="1"/>
      <w:numFmt w:val="bullet"/>
      <w:lvlText w:val=""/>
      <w:lvlJc w:val="left"/>
      <w:pPr>
        <w:ind w:left="771" w:hanging="360"/>
      </w:pPr>
      <w:rPr>
        <w:rFonts w:ascii="Symbol" w:hAnsi="Symbol" w:hint="default"/>
      </w:rPr>
    </w:lvl>
    <w:lvl w:ilvl="1" w:tplc="0C090003">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4" w15:restartNumberingAfterBreak="0">
    <w:nsid w:val="5E4A0E34"/>
    <w:multiLevelType w:val="hybridMultilevel"/>
    <w:tmpl w:val="29FE64A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161860"/>
    <w:multiLevelType w:val="hybridMultilevel"/>
    <w:tmpl w:val="BEC64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736757"/>
    <w:multiLevelType w:val="hybridMultilevel"/>
    <w:tmpl w:val="29FE64A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AF5ED5"/>
    <w:multiLevelType w:val="hybridMultilevel"/>
    <w:tmpl w:val="BC28B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1C0FA5"/>
    <w:multiLevelType w:val="hybridMultilevel"/>
    <w:tmpl w:val="C1A8D80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4D4423"/>
    <w:multiLevelType w:val="hybridMultilevel"/>
    <w:tmpl w:val="DDEAE668"/>
    <w:lvl w:ilvl="0" w:tplc="BCCC72CE">
      <w:start w:val="1"/>
      <w:numFmt w:val="upperRoman"/>
      <w:suff w:val="space"/>
      <w:lvlText w:val="%1."/>
      <w:lvlJc w:val="righ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7880A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D054C2"/>
    <w:multiLevelType w:val="hybridMultilevel"/>
    <w:tmpl w:val="D0607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1F3123"/>
    <w:multiLevelType w:val="hybridMultilevel"/>
    <w:tmpl w:val="29FE64A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431506"/>
    <w:multiLevelType w:val="hybridMultilevel"/>
    <w:tmpl w:val="245C32C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102CF8"/>
    <w:multiLevelType w:val="hybridMultilevel"/>
    <w:tmpl w:val="FB22EBF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EB6C87"/>
    <w:multiLevelType w:val="hybridMultilevel"/>
    <w:tmpl w:val="BF7C67DE"/>
    <w:lvl w:ilvl="0" w:tplc="F718198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25"/>
  </w:num>
  <w:num w:numId="4">
    <w:abstractNumId w:val="3"/>
  </w:num>
  <w:num w:numId="5">
    <w:abstractNumId w:val="14"/>
  </w:num>
  <w:num w:numId="6">
    <w:abstractNumId w:val="5"/>
  </w:num>
  <w:num w:numId="7">
    <w:abstractNumId w:val="29"/>
  </w:num>
  <w:num w:numId="8">
    <w:abstractNumId w:val="34"/>
  </w:num>
  <w:num w:numId="9">
    <w:abstractNumId w:val="4"/>
  </w:num>
  <w:num w:numId="10">
    <w:abstractNumId w:val="16"/>
  </w:num>
  <w:num w:numId="11">
    <w:abstractNumId w:val="9"/>
  </w:num>
  <w:num w:numId="12">
    <w:abstractNumId w:val="27"/>
  </w:num>
  <w:num w:numId="13">
    <w:abstractNumId w:val="20"/>
  </w:num>
  <w:num w:numId="14">
    <w:abstractNumId w:val="6"/>
  </w:num>
  <w:num w:numId="15">
    <w:abstractNumId w:val="11"/>
  </w:num>
  <w:num w:numId="16">
    <w:abstractNumId w:val="33"/>
  </w:num>
  <w:num w:numId="17">
    <w:abstractNumId w:val="13"/>
  </w:num>
  <w:num w:numId="18">
    <w:abstractNumId w:val="35"/>
  </w:num>
  <w:num w:numId="19">
    <w:abstractNumId w:val="8"/>
  </w:num>
  <w:num w:numId="20">
    <w:abstractNumId w:val="19"/>
  </w:num>
  <w:num w:numId="21">
    <w:abstractNumId w:val="24"/>
  </w:num>
  <w:num w:numId="22">
    <w:abstractNumId w:val="26"/>
  </w:num>
  <w:num w:numId="23">
    <w:abstractNumId w:val="32"/>
  </w:num>
  <w:num w:numId="24">
    <w:abstractNumId w:val="23"/>
  </w:num>
  <w:num w:numId="25">
    <w:abstractNumId w:val="31"/>
  </w:num>
  <w:num w:numId="26">
    <w:abstractNumId w:val="28"/>
  </w:num>
  <w:num w:numId="27">
    <w:abstractNumId w:val="17"/>
  </w:num>
  <w:num w:numId="28">
    <w:abstractNumId w:val="30"/>
  </w:num>
  <w:num w:numId="29">
    <w:abstractNumId w:val="0"/>
  </w:num>
  <w:num w:numId="30">
    <w:abstractNumId w:val="12"/>
  </w:num>
  <w:num w:numId="31">
    <w:abstractNumId w:val="10"/>
  </w:num>
  <w:num w:numId="32">
    <w:abstractNumId w:val="7"/>
  </w:num>
  <w:num w:numId="33">
    <w:abstractNumId w:val="15"/>
  </w:num>
  <w:num w:numId="34">
    <w:abstractNumId w:val="21"/>
  </w:num>
  <w:num w:numId="35">
    <w:abstractNumId w:val="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D0"/>
    <w:rsid w:val="000009CD"/>
    <w:rsid w:val="00000EB9"/>
    <w:rsid w:val="00006E8A"/>
    <w:rsid w:val="00007D91"/>
    <w:rsid w:val="00010FD0"/>
    <w:rsid w:val="00011EDA"/>
    <w:rsid w:val="000120D4"/>
    <w:rsid w:val="00012805"/>
    <w:rsid w:val="00025C7F"/>
    <w:rsid w:val="000261CC"/>
    <w:rsid w:val="00027314"/>
    <w:rsid w:val="00027AFE"/>
    <w:rsid w:val="00034EBD"/>
    <w:rsid w:val="00044164"/>
    <w:rsid w:val="000536BA"/>
    <w:rsid w:val="0005772E"/>
    <w:rsid w:val="00060A66"/>
    <w:rsid w:val="00064C2A"/>
    <w:rsid w:val="00066EA8"/>
    <w:rsid w:val="00070E25"/>
    <w:rsid w:val="00074E40"/>
    <w:rsid w:val="00074F29"/>
    <w:rsid w:val="000753A1"/>
    <w:rsid w:val="000760E9"/>
    <w:rsid w:val="000768D7"/>
    <w:rsid w:val="00076A30"/>
    <w:rsid w:val="00085CAE"/>
    <w:rsid w:val="00086FD7"/>
    <w:rsid w:val="000A2BD4"/>
    <w:rsid w:val="000A4C81"/>
    <w:rsid w:val="000A7340"/>
    <w:rsid w:val="000B5B9F"/>
    <w:rsid w:val="000F38A6"/>
    <w:rsid w:val="000F64EA"/>
    <w:rsid w:val="00100614"/>
    <w:rsid w:val="0010240A"/>
    <w:rsid w:val="00110664"/>
    <w:rsid w:val="001144D4"/>
    <w:rsid w:val="00114CE8"/>
    <w:rsid w:val="00121C6A"/>
    <w:rsid w:val="0012695D"/>
    <w:rsid w:val="00133BE0"/>
    <w:rsid w:val="001357C0"/>
    <w:rsid w:val="001368DF"/>
    <w:rsid w:val="001375BF"/>
    <w:rsid w:val="00144E71"/>
    <w:rsid w:val="00146565"/>
    <w:rsid w:val="00146E2A"/>
    <w:rsid w:val="001504B3"/>
    <w:rsid w:val="00153AA0"/>
    <w:rsid w:val="0015469A"/>
    <w:rsid w:val="001555A9"/>
    <w:rsid w:val="0016609A"/>
    <w:rsid w:val="001757E6"/>
    <w:rsid w:val="00176B86"/>
    <w:rsid w:val="001775D5"/>
    <w:rsid w:val="00177DFC"/>
    <w:rsid w:val="001853D6"/>
    <w:rsid w:val="00187A1B"/>
    <w:rsid w:val="00193537"/>
    <w:rsid w:val="001A0BEC"/>
    <w:rsid w:val="001A1D70"/>
    <w:rsid w:val="001B31C5"/>
    <w:rsid w:val="001B3672"/>
    <w:rsid w:val="001B5914"/>
    <w:rsid w:val="001B6A98"/>
    <w:rsid w:val="001C1388"/>
    <w:rsid w:val="001D6089"/>
    <w:rsid w:val="001D6C76"/>
    <w:rsid w:val="001D7AB3"/>
    <w:rsid w:val="001E5223"/>
    <w:rsid w:val="001E5A5B"/>
    <w:rsid w:val="001E7347"/>
    <w:rsid w:val="001F34D0"/>
    <w:rsid w:val="001F643F"/>
    <w:rsid w:val="001F7221"/>
    <w:rsid w:val="001F7643"/>
    <w:rsid w:val="0020005A"/>
    <w:rsid w:val="00201B0A"/>
    <w:rsid w:val="00204482"/>
    <w:rsid w:val="00205A5E"/>
    <w:rsid w:val="00206CDE"/>
    <w:rsid w:val="00207124"/>
    <w:rsid w:val="00210511"/>
    <w:rsid w:val="00215A9A"/>
    <w:rsid w:val="002166B7"/>
    <w:rsid w:val="0021701B"/>
    <w:rsid w:val="00217951"/>
    <w:rsid w:val="002267F3"/>
    <w:rsid w:val="00227E2E"/>
    <w:rsid w:val="00230A49"/>
    <w:rsid w:val="002373C5"/>
    <w:rsid w:val="0024068C"/>
    <w:rsid w:val="00242DC6"/>
    <w:rsid w:val="00244F97"/>
    <w:rsid w:val="00245996"/>
    <w:rsid w:val="00245C7F"/>
    <w:rsid w:val="00253EB8"/>
    <w:rsid w:val="002601EF"/>
    <w:rsid w:val="00261031"/>
    <w:rsid w:val="002634E3"/>
    <w:rsid w:val="0027036E"/>
    <w:rsid w:val="002712AD"/>
    <w:rsid w:val="00271432"/>
    <w:rsid w:val="00272C04"/>
    <w:rsid w:val="00272DC3"/>
    <w:rsid w:val="00276D3F"/>
    <w:rsid w:val="002803C5"/>
    <w:rsid w:val="00280783"/>
    <w:rsid w:val="0028372A"/>
    <w:rsid w:val="0028582A"/>
    <w:rsid w:val="00286943"/>
    <w:rsid w:val="00290D3F"/>
    <w:rsid w:val="002927DE"/>
    <w:rsid w:val="00293832"/>
    <w:rsid w:val="002958F2"/>
    <w:rsid w:val="00296E54"/>
    <w:rsid w:val="002A3F33"/>
    <w:rsid w:val="002A563E"/>
    <w:rsid w:val="002B3246"/>
    <w:rsid w:val="002B4200"/>
    <w:rsid w:val="002C05DD"/>
    <w:rsid w:val="002D1911"/>
    <w:rsid w:val="002D300C"/>
    <w:rsid w:val="002D4851"/>
    <w:rsid w:val="002E7443"/>
    <w:rsid w:val="002F136B"/>
    <w:rsid w:val="00300A9F"/>
    <w:rsid w:val="00301605"/>
    <w:rsid w:val="00301B8A"/>
    <w:rsid w:val="00313D50"/>
    <w:rsid w:val="00321158"/>
    <w:rsid w:val="0032263B"/>
    <w:rsid w:val="0032666A"/>
    <w:rsid w:val="003315D5"/>
    <w:rsid w:val="00331FEA"/>
    <w:rsid w:val="00333F0D"/>
    <w:rsid w:val="00336238"/>
    <w:rsid w:val="003464B3"/>
    <w:rsid w:val="0035539D"/>
    <w:rsid w:val="00356AAE"/>
    <w:rsid w:val="0036195F"/>
    <w:rsid w:val="00362B38"/>
    <w:rsid w:val="00366211"/>
    <w:rsid w:val="00367A64"/>
    <w:rsid w:val="00374CB2"/>
    <w:rsid w:val="0037617B"/>
    <w:rsid w:val="00377316"/>
    <w:rsid w:val="003806C1"/>
    <w:rsid w:val="003837D9"/>
    <w:rsid w:val="00386C3E"/>
    <w:rsid w:val="00393893"/>
    <w:rsid w:val="0039790E"/>
    <w:rsid w:val="003A5E8E"/>
    <w:rsid w:val="003B59F9"/>
    <w:rsid w:val="003B5C8D"/>
    <w:rsid w:val="003C27DC"/>
    <w:rsid w:val="003C30F1"/>
    <w:rsid w:val="003C5E7C"/>
    <w:rsid w:val="003C6B84"/>
    <w:rsid w:val="003C6DA7"/>
    <w:rsid w:val="003D1D9C"/>
    <w:rsid w:val="003E154B"/>
    <w:rsid w:val="003E659A"/>
    <w:rsid w:val="003E72C6"/>
    <w:rsid w:val="003F329F"/>
    <w:rsid w:val="003F5EAC"/>
    <w:rsid w:val="003F65B9"/>
    <w:rsid w:val="00400B0A"/>
    <w:rsid w:val="004023A3"/>
    <w:rsid w:val="00402FA1"/>
    <w:rsid w:val="00403BFD"/>
    <w:rsid w:val="00406519"/>
    <w:rsid w:val="00416250"/>
    <w:rsid w:val="00420048"/>
    <w:rsid w:val="00420374"/>
    <w:rsid w:val="00420E38"/>
    <w:rsid w:val="004360B4"/>
    <w:rsid w:val="004422EA"/>
    <w:rsid w:val="00442F8A"/>
    <w:rsid w:val="004435F6"/>
    <w:rsid w:val="0044429B"/>
    <w:rsid w:val="0045008E"/>
    <w:rsid w:val="00454694"/>
    <w:rsid w:val="004559C8"/>
    <w:rsid w:val="00461CCC"/>
    <w:rsid w:val="00462ED8"/>
    <w:rsid w:val="00465DA3"/>
    <w:rsid w:val="00471F32"/>
    <w:rsid w:val="0047605F"/>
    <w:rsid w:val="00484042"/>
    <w:rsid w:val="00484633"/>
    <w:rsid w:val="004916EE"/>
    <w:rsid w:val="00492E3F"/>
    <w:rsid w:val="00492ECE"/>
    <w:rsid w:val="00495F9C"/>
    <w:rsid w:val="004A02FC"/>
    <w:rsid w:val="004A085D"/>
    <w:rsid w:val="004A0C9B"/>
    <w:rsid w:val="004A57F0"/>
    <w:rsid w:val="004A7660"/>
    <w:rsid w:val="004B2730"/>
    <w:rsid w:val="004B3714"/>
    <w:rsid w:val="004B3EA0"/>
    <w:rsid w:val="004C5B93"/>
    <w:rsid w:val="004C682B"/>
    <w:rsid w:val="004D53AE"/>
    <w:rsid w:val="004E19D2"/>
    <w:rsid w:val="004E1C08"/>
    <w:rsid w:val="004E5958"/>
    <w:rsid w:val="004F02F1"/>
    <w:rsid w:val="004F0C85"/>
    <w:rsid w:val="004F6E89"/>
    <w:rsid w:val="00506060"/>
    <w:rsid w:val="00510AA2"/>
    <w:rsid w:val="005145C0"/>
    <w:rsid w:val="00523354"/>
    <w:rsid w:val="00524012"/>
    <w:rsid w:val="0052540D"/>
    <w:rsid w:val="005267A1"/>
    <w:rsid w:val="00531264"/>
    <w:rsid w:val="00531353"/>
    <w:rsid w:val="00533366"/>
    <w:rsid w:val="005337EF"/>
    <w:rsid w:val="0054459B"/>
    <w:rsid w:val="00544E1E"/>
    <w:rsid w:val="005464CD"/>
    <w:rsid w:val="00552419"/>
    <w:rsid w:val="005538D0"/>
    <w:rsid w:val="005638C6"/>
    <w:rsid w:val="00565516"/>
    <w:rsid w:val="00570F41"/>
    <w:rsid w:val="00572085"/>
    <w:rsid w:val="005739E1"/>
    <w:rsid w:val="0058094E"/>
    <w:rsid w:val="00580C1C"/>
    <w:rsid w:val="00581C6D"/>
    <w:rsid w:val="00581C6F"/>
    <w:rsid w:val="00582127"/>
    <w:rsid w:val="00583FE6"/>
    <w:rsid w:val="00585080"/>
    <w:rsid w:val="00585956"/>
    <w:rsid w:val="005919F9"/>
    <w:rsid w:val="00591FFE"/>
    <w:rsid w:val="005A3D81"/>
    <w:rsid w:val="005A60DE"/>
    <w:rsid w:val="005B4433"/>
    <w:rsid w:val="005B5306"/>
    <w:rsid w:val="005B73C3"/>
    <w:rsid w:val="005B77F4"/>
    <w:rsid w:val="005C1CB4"/>
    <w:rsid w:val="005C6085"/>
    <w:rsid w:val="005C6CA6"/>
    <w:rsid w:val="005D3836"/>
    <w:rsid w:val="005E2ACA"/>
    <w:rsid w:val="005E3117"/>
    <w:rsid w:val="005E34A3"/>
    <w:rsid w:val="005E385E"/>
    <w:rsid w:val="005E3A9A"/>
    <w:rsid w:val="005E4198"/>
    <w:rsid w:val="005E61AB"/>
    <w:rsid w:val="005F228D"/>
    <w:rsid w:val="005F3CD3"/>
    <w:rsid w:val="00601DF2"/>
    <w:rsid w:val="006037EB"/>
    <w:rsid w:val="0060608D"/>
    <w:rsid w:val="00606E3B"/>
    <w:rsid w:val="0060755E"/>
    <w:rsid w:val="00610F5F"/>
    <w:rsid w:val="006112F5"/>
    <w:rsid w:val="0061166E"/>
    <w:rsid w:val="00613655"/>
    <w:rsid w:val="006179DF"/>
    <w:rsid w:val="006217AA"/>
    <w:rsid w:val="0062342C"/>
    <w:rsid w:val="00624813"/>
    <w:rsid w:val="006259E4"/>
    <w:rsid w:val="00626DBF"/>
    <w:rsid w:val="00636BCA"/>
    <w:rsid w:val="006467A8"/>
    <w:rsid w:val="006528A7"/>
    <w:rsid w:val="00653FC8"/>
    <w:rsid w:val="006552C1"/>
    <w:rsid w:val="00656183"/>
    <w:rsid w:val="0065797C"/>
    <w:rsid w:val="00664CD8"/>
    <w:rsid w:val="006733C1"/>
    <w:rsid w:val="00673846"/>
    <w:rsid w:val="0068504C"/>
    <w:rsid w:val="006852E4"/>
    <w:rsid w:val="00690E79"/>
    <w:rsid w:val="006968F1"/>
    <w:rsid w:val="006A1A99"/>
    <w:rsid w:val="006A4372"/>
    <w:rsid w:val="006B0273"/>
    <w:rsid w:val="006B11F3"/>
    <w:rsid w:val="006B1C00"/>
    <w:rsid w:val="006B28B1"/>
    <w:rsid w:val="006B3D20"/>
    <w:rsid w:val="006C124E"/>
    <w:rsid w:val="006C3D7D"/>
    <w:rsid w:val="006C6AEB"/>
    <w:rsid w:val="006C7F14"/>
    <w:rsid w:val="006D2C28"/>
    <w:rsid w:val="006D3755"/>
    <w:rsid w:val="006E4D09"/>
    <w:rsid w:val="006E6AF6"/>
    <w:rsid w:val="006E7812"/>
    <w:rsid w:val="006F2E75"/>
    <w:rsid w:val="006F361D"/>
    <w:rsid w:val="006F49B4"/>
    <w:rsid w:val="007041EA"/>
    <w:rsid w:val="00704BEB"/>
    <w:rsid w:val="00714DF7"/>
    <w:rsid w:val="00716DB8"/>
    <w:rsid w:val="00721415"/>
    <w:rsid w:val="00725432"/>
    <w:rsid w:val="00726B08"/>
    <w:rsid w:val="007306D0"/>
    <w:rsid w:val="0073330C"/>
    <w:rsid w:val="00734908"/>
    <w:rsid w:val="007354E2"/>
    <w:rsid w:val="00742210"/>
    <w:rsid w:val="00742A24"/>
    <w:rsid w:val="007466B2"/>
    <w:rsid w:val="00750718"/>
    <w:rsid w:val="0075188D"/>
    <w:rsid w:val="00753C6B"/>
    <w:rsid w:val="007552D1"/>
    <w:rsid w:val="007579DC"/>
    <w:rsid w:val="00761545"/>
    <w:rsid w:val="007622F0"/>
    <w:rsid w:val="00762DFC"/>
    <w:rsid w:val="00764901"/>
    <w:rsid w:val="00770695"/>
    <w:rsid w:val="007749BA"/>
    <w:rsid w:val="007754FC"/>
    <w:rsid w:val="007873BD"/>
    <w:rsid w:val="00787C3A"/>
    <w:rsid w:val="00792E33"/>
    <w:rsid w:val="0079353F"/>
    <w:rsid w:val="00796CD2"/>
    <w:rsid w:val="007A1086"/>
    <w:rsid w:val="007A52E1"/>
    <w:rsid w:val="007A7000"/>
    <w:rsid w:val="007B0547"/>
    <w:rsid w:val="007B0614"/>
    <w:rsid w:val="007B255D"/>
    <w:rsid w:val="007B2B99"/>
    <w:rsid w:val="007B4E6C"/>
    <w:rsid w:val="007B6F5D"/>
    <w:rsid w:val="007C1A3B"/>
    <w:rsid w:val="007C69C5"/>
    <w:rsid w:val="007D348D"/>
    <w:rsid w:val="007D3B43"/>
    <w:rsid w:val="007E0C2C"/>
    <w:rsid w:val="007E11C0"/>
    <w:rsid w:val="007E1ADA"/>
    <w:rsid w:val="007E2E04"/>
    <w:rsid w:val="007E51B0"/>
    <w:rsid w:val="007F6D2D"/>
    <w:rsid w:val="00800479"/>
    <w:rsid w:val="00803855"/>
    <w:rsid w:val="008038B9"/>
    <w:rsid w:val="008077BC"/>
    <w:rsid w:val="00810801"/>
    <w:rsid w:val="00810C9F"/>
    <w:rsid w:val="0081174E"/>
    <w:rsid w:val="008143F8"/>
    <w:rsid w:val="0081497F"/>
    <w:rsid w:val="008159E2"/>
    <w:rsid w:val="00816FB8"/>
    <w:rsid w:val="00824C83"/>
    <w:rsid w:val="008267A0"/>
    <w:rsid w:val="0082729D"/>
    <w:rsid w:val="00827D40"/>
    <w:rsid w:val="00830319"/>
    <w:rsid w:val="008311FD"/>
    <w:rsid w:val="00832901"/>
    <w:rsid w:val="00833350"/>
    <w:rsid w:val="008358EE"/>
    <w:rsid w:val="00840677"/>
    <w:rsid w:val="00840AF8"/>
    <w:rsid w:val="00853BB0"/>
    <w:rsid w:val="008567FC"/>
    <w:rsid w:val="00863057"/>
    <w:rsid w:val="008630CA"/>
    <w:rsid w:val="00863E3D"/>
    <w:rsid w:val="008752E0"/>
    <w:rsid w:val="008757BB"/>
    <w:rsid w:val="00880182"/>
    <w:rsid w:val="008808F2"/>
    <w:rsid w:val="00883D31"/>
    <w:rsid w:val="00885148"/>
    <w:rsid w:val="00885F87"/>
    <w:rsid w:val="00891171"/>
    <w:rsid w:val="008919D5"/>
    <w:rsid w:val="00891C8F"/>
    <w:rsid w:val="00893616"/>
    <w:rsid w:val="008A1544"/>
    <w:rsid w:val="008A516D"/>
    <w:rsid w:val="008A7659"/>
    <w:rsid w:val="008B18CC"/>
    <w:rsid w:val="008B330C"/>
    <w:rsid w:val="008B40B0"/>
    <w:rsid w:val="008B788D"/>
    <w:rsid w:val="008C1849"/>
    <w:rsid w:val="008C25C2"/>
    <w:rsid w:val="008C55F1"/>
    <w:rsid w:val="008D2967"/>
    <w:rsid w:val="008D2D8D"/>
    <w:rsid w:val="008D786E"/>
    <w:rsid w:val="008E199A"/>
    <w:rsid w:val="008E3416"/>
    <w:rsid w:val="008E4954"/>
    <w:rsid w:val="008E4E7A"/>
    <w:rsid w:val="008E5DE9"/>
    <w:rsid w:val="008E66C0"/>
    <w:rsid w:val="008E6947"/>
    <w:rsid w:val="008E7231"/>
    <w:rsid w:val="008F1F59"/>
    <w:rsid w:val="008F53FA"/>
    <w:rsid w:val="008F63BB"/>
    <w:rsid w:val="008F7D8A"/>
    <w:rsid w:val="009007E9"/>
    <w:rsid w:val="00903D0B"/>
    <w:rsid w:val="00905EB6"/>
    <w:rsid w:val="009075BD"/>
    <w:rsid w:val="009167B1"/>
    <w:rsid w:val="009167D4"/>
    <w:rsid w:val="00923492"/>
    <w:rsid w:val="009264F4"/>
    <w:rsid w:val="009278A5"/>
    <w:rsid w:val="0093035C"/>
    <w:rsid w:val="0093268B"/>
    <w:rsid w:val="00932B1F"/>
    <w:rsid w:val="00934C0D"/>
    <w:rsid w:val="00936AEE"/>
    <w:rsid w:val="0093700D"/>
    <w:rsid w:val="0094003D"/>
    <w:rsid w:val="009435B6"/>
    <w:rsid w:val="009458AB"/>
    <w:rsid w:val="009467BF"/>
    <w:rsid w:val="00951E90"/>
    <w:rsid w:val="00955D9D"/>
    <w:rsid w:val="0096011D"/>
    <w:rsid w:val="00962DD5"/>
    <w:rsid w:val="00962F1C"/>
    <w:rsid w:val="009634B6"/>
    <w:rsid w:val="00964FB1"/>
    <w:rsid w:val="00970DB8"/>
    <w:rsid w:val="00971CC4"/>
    <w:rsid w:val="00972630"/>
    <w:rsid w:val="00974FC4"/>
    <w:rsid w:val="00985354"/>
    <w:rsid w:val="009868B3"/>
    <w:rsid w:val="00992978"/>
    <w:rsid w:val="00992FD6"/>
    <w:rsid w:val="009958B6"/>
    <w:rsid w:val="00996984"/>
    <w:rsid w:val="009A117F"/>
    <w:rsid w:val="009A1B04"/>
    <w:rsid w:val="009A6E0F"/>
    <w:rsid w:val="009A6EA9"/>
    <w:rsid w:val="009B0C19"/>
    <w:rsid w:val="009B6A35"/>
    <w:rsid w:val="009B6C61"/>
    <w:rsid w:val="009C27D1"/>
    <w:rsid w:val="009C3CCA"/>
    <w:rsid w:val="009C5A7A"/>
    <w:rsid w:val="009C758A"/>
    <w:rsid w:val="009D2C04"/>
    <w:rsid w:val="009D63DD"/>
    <w:rsid w:val="009E152D"/>
    <w:rsid w:val="009E3BBE"/>
    <w:rsid w:val="009E497E"/>
    <w:rsid w:val="009E53C3"/>
    <w:rsid w:val="009E615E"/>
    <w:rsid w:val="009E6926"/>
    <w:rsid w:val="009E7C47"/>
    <w:rsid w:val="009F06B6"/>
    <w:rsid w:val="009F28B6"/>
    <w:rsid w:val="00A05B39"/>
    <w:rsid w:val="00A1694E"/>
    <w:rsid w:val="00A1779B"/>
    <w:rsid w:val="00A20836"/>
    <w:rsid w:val="00A25A3D"/>
    <w:rsid w:val="00A25A68"/>
    <w:rsid w:val="00A25F70"/>
    <w:rsid w:val="00A272F8"/>
    <w:rsid w:val="00A27AA2"/>
    <w:rsid w:val="00A316AB"/>
    <w:rsid w:val="00A34A8E"/>
    <w:rsid w:val="00A43D72"/>
    <w:rsid w:val="00A51E28"/>
    <w:rsid w:val="00A53AF7"/>
    <w:rsid w:val="00A60050"/>
    <w:rsid w:val="00A600E1"/>
    <w:rsid w:val="00A61770"/>
    <w:rsid w:val="00A62EEA"/>
    <w:rsid w:val="00A633D6"/>
    <w:rsid w:val="00A63529"/>
    <w:rsid w:val="00A64B78"/>
    <w:rsid w:val="00A669CC"/>
    <w:rsid w:val="00A70DDA"/>
    <w:rsid w:val="00A71B18"/>
    <w:rsid w:val="00A72328"/>
    <w:rsid w:val="00A76E53"/>
    <w:rsid w:val="00A76F50"/>
    <w:rsid w:val="00A7739B"/>
    <w:rsid w:val="00A81D78"/>
    <w:rsid w:val="00A86F85"/>
    <w:rsid w:val="00A90C5C"/>
    <w:rsid w:val="00AA0713"/>
    <w:rsid w:val="00AA4DB2"/>
    <w:rsid w:val="00AB14A8"/>
    <w:rsid w:val="00AC1602"/>
    <w:rsid w:val="00AD11C0"/>
    <w:rsid w:val="00AD2191"/>
    <w:rsid w:val="00AD21BE"/>
    <w:rsid w:val="00AD4FD8"/>
    <w:rsid w:val="00AD5056"/>
    <w:rsid w:val="00AE2221"/>
    <w:rsid w:val="00AF06B5"/>
    <w:rsid w:val="00AF3DB9"/>
    <w:rsid w:val="00B01079"/>
    <w:rsid w:val="00B049A1"/>
    <w:rsid w:val="00B0659B"/>
    <w:rsid w:val="00B06614"/>
    <w:rsid w:val="00B1187E"/>
    <w:rsid w:val="00B11A16"/>
    <w:rsid w:val="00B12AF7"/>
    <w:rsid w:val="00B15132"/>
    <w:rsid w:val="00B1532E"/>
    <w:rsid w:val="00B16021"/>
    <w:rsid w:val="00B1698C"/>
    <w:rsid w:val="00B16E7F"/>
    <w:rsid w:val="00B20AD8"/>
    <w:rsid w:val="00B32B10"/>
    <w:rsid w:val="00B33F29"/>
    <w:rsid w:val="00B353CB"/>
    <w:rsid w:val="00B4012E"/>
    <w:rsid w:val="00B413DF"/>
    <w:rsid w:val="00B42AA8"/>
    <w:rsid w:val="00B46E86"/>
    <w:rsid w:val="00B472FE"/>
    <w:rsid w:val="00B5347D"/>
    <w:rsid w:val="00B547F8"/>
    <w:rsid w:val="00B572B7"/>
    <w:rsid w:val="00B64250"/>
    <w:rsid w:val="00B701A0"/>
    <w:rsid w:val="00B732B9"/>
    <w:rsid w:val="00B77462"/>
    <w:rsid w:val="00B774D4"/>
    <w:rsid w:val="00B8154A"/>
    <w:rsid w:val="00B81B04"/>
    <w:rsid w:val="00B84833"/>
    <w:rsid w:val="00BA44EC"/>
    <w:rsid w:val="00BB185B"/>
    <w:rsid w:val="00BB295F"/>
    <w:rsid w:val="00BB3B5A"/>
    <w:rsid w:val="00BB67D3"/>
    <w:rsid w:val="00BB7472"/>
    <w:rsid w:val="00BB7F22"/>
    <w:rsid w:val="00BC28BA"/>
    <w:rsid w:val="00BD0F7A"/>
    <w:rsid w:val="00BD1690"/>
    <w:rsid w:val="00BD3033"/>
    <w:rsid w:val="00BD3883"/>
    <w:rsid w:val="00BE3192"/>
    <w:rsid w:val="00BE3CF0"/>
    <w:rsid w:val="00BE5292"/>
    <w:rsid w:val="00BE7869"/>
    <w:rsid w:val="00C0216E"/>
    <w:rsid w:val="00C037A7"/>
    <w:rsid w:val="00C0531E"/>
    <w:rsid w:val="00C05CD7"/>
    <w:rsid w:val="00C17A3C"/>
    <w:rsid w:val="00C2303A"/>
    <w:rsid w:val="00C254CB"/>
    <w:rsid w:val="00C26320"/>
    <w:rsid w:val="00C32B4A"/>
    <w:rsid w:val="00C33B45"/>
    <w:rsid w:val="00C37055"/>
    <w:rsid w:val="00C37424"/>
    <w:rsid w:val="00C37683"/>
    <w:rsid w:val="00C53503"/>
    <w:rsid w:val="00C5474F"/>
    <w:rsid w:val="00C6172D"/>
    <w:rsid w:val="00C659EF"/>
    <w:rsid w:val="00C66FA0"/>
    <w:rsid w:val="00C77D7C"/>
    <w:rsid w:val="00C80277"/>
    <w:rsid w:val="00C80506"/>
    <w:rsid w:val="00C84D63"/>
    <w:rsid w:val="00C8688B"/>
    <w:rsid w:val="00C86930"/>
    <w:rsid w:val="00C9056E"/>
    <w:rsid w:val="00C90621"/>
    <w:rsid w:val="00C917AE"/>
    <w:rsid w:val="00C94340"/>
    <w:rsid w:val="00C9514B"/>
    <w:rsid w:val="00C96724"/>
    <w:rsid w:val="00CA138B"/>
    <w:rsid w:val="00CA45C3"/>
    <w:rsid w:val="00CB524F"/>
    <w:rsid w:val="00CB782C"/>
    <w:rsid w:val="00CC11AC"/>
    <w:rsid w:val="00CC5EDA"/>
    <w:rsid w:val="00CC608F"/>
    <w:rsid w:val="00CD2039"/>
    <w:rsid w:val="00CD2F24"/>
    <w:rsid w:val="00CD2F5A"/>
    <w:rsid w:val="00CD4F1E"/>
    <w:rsid w:val="00CE2A95"/>
    <w:rsid w:val="00CE48C3"/>
    <w:rsid w:val="00CE65AD"/>
    <w:rsid w:val="00CE6F6B"/>
    <w:rsid w:val="00CF115B"/>
    <w:rsid w:val="00CF4ACA"/>
    <w:rsid w:val="00CF643C"/>
    <w:rsid w:val="00CF742D"/>
    <w:rsid w:val="00D00A5C"/>
    <w:rsid w:val="00D02AC6"/>
    <w:rsid w:val="00D07D85"/>
    <w:rsid w:val="00D07ECE"/>
    <w:rsid w:val="00D127A7"/>
    <w:rsid w:val="00D161D6"/>
    <w:rsid w:val="00D2058A"/>
    <w:rsid w:val="00D209AA"/>
    <w:rsid w:val="00D22FBA"/>
    <w:rsid w:val="00D31645"/>
    <w:rsid w:val="00D33E91"/>
    <w:rsid w:val="00D34BAE"/>
    <w:rsid w:val="00D350AB"/>
    <w:rsid w:val="00D3728D"/>
    <w:rsid w:val="00D377BA"/>
    <w:rsid w:val="00D40A40"/>
    <w:rsid w:val="00D413DF"/>
    <w:rsid w:val="00D43423"/>
    <w:rsid w:val="00D45544"/>
    <w:rsid w:val="00D45914"/>
    <w:rsid w:val="00D468DF"/>
    <w:rsid w:val="00D474C3"/>
    <w:rsid w:val="00D51E08"/>
    <w:rsid w:val="00D5212F"/>
    <w:rsid w:val="00D53C7B"/>
    <w:rsid w:val="00D57767"/>
    <w:rsid w:val="00D6139B"/>
    <w:rsid w:val="00D622C2"/>
    <w:rsid w:val="00D63B41"/>
    <w:rsid w:val="00D6496F"/>
    <w:rsid w:val="00D70136"/>
    <w:rsid w:val="00D725B0"/>
    <w:rsid w:val="00D72868"/>
    <w:rsid w:val="00D7364F"/>
    <w:rsid w:val="00D76D4D"/>
    <w:rsid w:val="00D80266"/>
    <w:rsid w:val="00D90E32"/>
    <w:rsid w:val="00D93F6C"/>
    <w:rsid w:val="00D955FD"/>
    <w:rsid w:val="00DA117C"/>
    <w:rsid w:val="00DA1F26"/>
    <w:rsid w:val="00DA4464"/>
    <w:rsid w:val="00DA6764"/>
    <w:rsid w:val="00DB7C59"/>
    <w:rsid w:val="00DC0080"/>
    <w:rsid w:val="00DC1E64"/>
    <w:rsid w:val="00DC5343"/>
    <w:rsid w:val="00DC6A34"/>
    <w:rsid w:val="00DD38EB"/>
    <w:rsid w:val="00DD71D1"/>
    <w:rsid w:val="00DE0301"/>
    <w:rsid w:val="00DE2722"/>
    <w:rsid w:val="00DE3008"/>
    <w:rsid w:val="00DE45C5"/>
    <w:rsid w:val="00DE6F03"/>
    <w:rsid w:val="00DF3166"/>
    <w:rsid w:val="00DF43CA"/>
    <w:rsid w:val="00DF4CB0"/>
    <w:rsid w:val="00E0124A"/>
    <w:rsid w:val="00E03AFD"/>
    <w:rsid w:val="00E075DA"/>
    <w:rsid w:val="00E10989"/>
    <w:rsid w:val="00E12057"/>
    <w:rsid w:val="00E20702"/>
    <w:rsid w:val="00E318DD"/>
    <w:rsid w:val="00E34593"/>
    <w:rsid w:val="00E36F1F"/>
    <w:rsid w:val="00E37D6B"/>
    <w:rsid w:val="00E413F9"/>
    <w:rsid w:val="00E45120"/>
    <w:rsid w:val="00E4696F"/>
    <w:rsid w:val="00E51C22"/>
    <w:rsid w:val="00E54991"/>
    <w:rsid w:val="00E5519F"/>
    <w:rsid w:val="00E6102E"/>
    <w:rsid w:val="00E6526D"/>
    <w:rsid w:val="00E66ECE"/>
    <w:rsid w:val="00E66EEC"/>
    <w:rsid w:val="00E70878"/>
    <w:rsid w:val="00E764FE"/>
    <w:rsid w:val="00E80B86"/>
    <w:rsid w:val="00E80C3F"/>
    <w:rsid w:val="00E82C93"/>
    <w:rsid w:val="00E84D5D"/>
    <w:rsid w:val="00E86ED7"/>
    <w:rsid w:val="00E91B84"/>
    <w:rsid w:val="00E92FDA"/>
    <w:rsid w:val="00E95FBF"/>
    <w:rsid w:val="00E96EB6"/>
    <w:rsid w:val="00EA0FD0"/>
    <w:rsid w:val="00EB0C82"/>
    <w:rsid w:val="00EB10D2"/>
    <w:rsid w:val="00EB182E"/>
    <w:rsid w:val="00EB20AA"/>
    <w:rsid w:val="00EB3681"/>
    <w:rsid w:val="00EB67AA"/>
    <w:rsid w:val="00EC7188"/>
    <w:rsid w:val="00ED64F6"/>
    <w:rsid w:val="00EE5E71"/>
    <w:rsid w:val="00EE6DF0"/>
    <w:rsid w:val="00EF7BDD"/>
    <w:rsid w:val="00EF7E39"/>
    <w:rsid w:val="00F03C7D"/>
    <w:rsid w:val="00F067F9"/>
    <w:rsid w:val="00F132D9"/>
    <w:rsid w:val="00F173DD"/>
    <w:rsid w:val="00F20946"/>
    <w:rsid w:val="00F21B2C"/>
    <w:rsid w:val="00F21DDC"/>
    <w:rsid w:val="00F23EDF"/>
    <w:rsid w:val="00F2575C"/>
    <w:rsid w:val="00F26831"/>
    <w:rsid w:val="00F33AEC"/>
    <w:rsid w:val="00F34248"/>
    <w:rsid w:val="00F35352"/>
    <w:rsid w:val="00F35C16"/>
    <w:rsid w:val="00F3648A"/>
    <w:rsid w:val="00F3687A"/>
    <w:rsid w:val="00F4009E"/>
    <w:rsid w:val="00F44BDC"/>
    <w:rsid w:val="00F45C3C"/>
    <w:rsid w:val="00F52B22"/>
    <w:rsid w:val="00F63B9D"/>
    <w:rsid w:val="00F66CAB"/>
    <w:rsid w:val="00F67F2A"/>
    <w:rsid w:val="00F735DC"/>
    <w:rsid w:val="00F82E9D"/>
    <w:rsid w:val="00F84373"/>
    <w:rsid w:val="00F85995"/>
    <w:rsid w:val="00F87F92"/>
    <w:rsid w:val="00F97780"/>
    <w:rsid w:val="00FA377F"/>
    <w:rsid w:val="00FA4FA0"/>
    <w:rsid w:val="00FA792E"/>
    <w:rsid w:val="00FB1EC1"/>
    <w:rsid w:val="00FB3A55"/>
    <w:rsid w:val="00FB3C0C"/>
    <w:rsid w:val="00FB7752"/>
    <w:rsid w:val="00FB7805"/>
    <w:rsid w:val="00FB7844"/>
    <w:rsid w:val="00FC5729"/>
    <w:rsid w:val="00FC6BD8"/>
    <w:rsid w:val="00FD1B78"/>
    <w:rsid w:val="00FD5BBC"/>
    <w:rsid w:val="00FE2181"/>
    <w:rsid w:val="00FE5430"/>
    <w:rsid w:val="00FE6B70"/>
    <w:rsid w:val="00FF31B1"/>
    <w:rsid w:val="00FF4465"/>
    <w:rsid w:val="00FF55F9"/>
    <w:rsid w:val="00FF76D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7F6DE75"/>
  <w15:docId w15:val="{BAF6457A-5A4E-487F-93E4-086229D9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13"/>
  </w:style>
  <w:style w:type="paragraph" w:styleId="Heading1">
    <w:name w:val="heading 1"/>
    <w:basedOn w:val="Normal"/>
    <w:next w:val="Normal"/>
    <w:link w:val="Heading1Char"/>
    <w:uiPriority w:val="9"/>
    <w:qFormat/>
    <w:rsid w:val="009075B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075B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3"/>
    <w:unhideWhenUsed/>
    <w:rsid w:val="006A4372"/>
    <w:pPr>
      <w:spacing w:after="200" w:line="276" w:lineRule="auto"/>
      <w:outlineLvl w:val="3"/>
    </w:pPr>
    <w:rPr>
      <w:rFonts w:ascii="Arial" w:hAnsi="Arial" w:cstheme="minorBidi"/>
      <w:b/>
      <w:color w:val="21409A"/>
      <w:sz w:val="20"/>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223"/>
    <w:pPr>
      <w:ind w:left="720"/>
      <w:contextualSpacing/>
    </w:pPr>
  </w:style>
  <w:style w:type="paragraph" w:styleId="Header">
    <w:name w:val="header"/>
    <w:basedOn w:val="Normal"/>
    <w:link w:val="HeaderChar"/>
    <w:uiPriority w:val="99"/>
    <w:unhideWhenUsed/>
    <w:rsid w:val="00D7364F"/>
    <w:pPr>
      <w:tabs>
        <w:tab w:val="center" w:pos="4513"/>
        <w:tab w:val="right" w:pos="9026"/>
      </w:tabs>
    </w:pPr>
  </w:style>
  <w:style w:type="character" w:customStyle="1" w:styleId="HeaderChar">
    <w:name w:val="Header Char"/>
    <w:basedOn w:val="DefaultParagraphFont"/>
    <w:link w:val="Header"/>
    <w:uiPriority w:val="99"/>
    <w:rsid w:val="00D7364F"/>
  </w:style>
  <w:style w:type="paragraph" w:styleId="Footer">
    <w:name w:val="footer"/>
    <w:basedOn w:val="Normal"/>
    <w:link w:val="FooterChar"/>
    <w:uiPriority w:val="99"/>
    <w:unhideWhenUsed/>
    <w:rsid w:val="00D7364F"/>
    <w:pPr>
      <w:tabs>
        <w:tab w:val="center" w:pos="4513"/>
        <w:tab w:val="right" w:pos="9026"/>
      </w:tabs>
    </w:pPr>
  </w:style>
  <w:style w:type="character" w:customStyle="1" w:styleId="FooterChar">
    <w:name w:val="Footer Char"/>
    <w:basedOn w:val="DefaultParagraphFont"/>
    <w:link w:val="Footer"/>
    <w:uiPriority w:val="99"/>
    <w:rsid w:val="00D7364F"/>
  </w:style>
  <w:style w:type="paragraph" w:styleId="BalloonText">
    <w:name w:val="Balloon Text"/>
    <w:basedOn w:val="Normal"/>
    <w:link w:val="BalloonTextChar"/>
    <w:uiPriority w:val="99"/>
    <w:semiHidden/>
    <w:unhideWhenUsed/>
    <w:rsid w:val="007466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6B2"/>
    <w:rPr>
      <w:rFonts w:ascii="Segoe UI" w:hAnsi="Segoe UI" w:cs="Segoe UI"/>
      <w:sz w:val="18"/>
      <w:szCs w:val="18"/>
    </w:rPr>
  </w:style>
  <w:style w:type="paragraph" w:styleId="FootnoteText">
    <w:name w:val="footnote text"/>
    <w:aliases w:val="Footnote Text Char Char Char Char Char Char,Footnote Text Char Char,Footnote Text Char1 Char Char,Footnote Text Char Char Char Char,Footnote Text Char1 Char Char Char,f,LJ Footnote Text,FA Char,FA ,FA,ft"/>
    <w:basedOn w:val="Normal"/>
    <w:link w:val="FootnoteTextChar"/>
    <w:unhideWhenUsed/>
    <w:qFormat/>
    <w:rsid w:val="00D377BA"/>
    <w:rPr>
      <w:sz w:val="20"/>
      <w:szCs w:val="20"/>
    </w:rPr>
  </w:style>
  <w:style w:type="character" w:customStyle="1" w:styleId="FootnoteTextChar">
    <w:name w:val="Footnote Text Char"/>
    <w:aliases w:val="Footnote Text Char Char Char Char Char Char Char,Footnote Text Char Char Char,Footnote Text Char1 Char Char Char1,Footnote Text Char Char Char Char Char,Footnote Text Char1 Char Char Char Char,f Char,LJ Footnote Text Char,FA Char Char"/>
    <w:basedOn w:val="DefaultParagraphFont"/>
    <w:link w:val="FootnoteText"/>
    <w:rsid w:val="00D377BA"/>
    <w:rPr>
      <w:sz w:val="20"/>
      <w:szCs w:val="20"/>
    </w:rPr>
  </w:style>
  <w:style w:type="character" w:styleId="FootnoteReference">
    <w:name w:val="footnote reference"/>
    <w:aliases w:val="footnote ref,Footnotes refss,Footnote,16 Point,Superscript 6 Point"/>
    <w:basedOn w:val="DefaultParagraphFont"/>
    <w:uiPriority w:val="99"/>
    <w:unhideWhenUsed/>
    <w:qFormat/>
    <w:rsid w:val="00D377BA"/>
    <w:rPr>
      <w:vertAlign w:val="superscript"/>
    </w:rPr>
  </w:style>
  <w:style w:type="paragraph" w:styleId="BodyText">
    <w:name w:val="Body Text"/>
    <w:basedOn w:val="Normal"/>
    <w:link w:val="BodyTextChar"/>
    <w:unhideWhenUsed/>
    <w:qFormat/>
    <w:rsid w:val="00DC6A34"/>
    <w:pPr>
      <w:spacing w:after="200" w:line="276" w:lineRule="auto"/>
    </w:pPr>
    <w:rPr>
      <w:rFonts w:ascii="Arial" w:hAnsi="Arial" w:cstheme="minorBidi"/>
      <w:color w:val="000000" w:themeColor="text1"/>
      <w:sz w:val="20"/>
      <w:szCs w:val="22"/>
    </w:rPr>
  </w:style>
  <w:style w:type="character" w:customStyle="1" w:styleId="BodyTextChar">
    <w:name w:val="Body Text Char"/>
    <w:basedOn w:val="DefaultParagraphFont"/>
    <w:link w:val="BodyText"/>
    <w:rsid w:val="00DC6A34"/>
    <w:rPr>
      <w:rFonts w:ascii="Arial" w:hAnsi="Arial" w:cstheme="minorBidi"/>
      <w:color w:val="000000" w:themeColor="text1"/>
      <w:sz w:val="20"/>
      <w:szCs w:val="22"/>
    </w:rPr>
  </w:style>
  <w:style w:type="table" w:styleId="TableGrid">
    <w:name w:val="Table Grid"/>
    <w:basedOn w:val="TableNormal"/>
    <w:uiPriority w:val="59"/>
    <w:rsid w:val="00DC6A34"/>
    <w:rPr>
      <w:rFonts w:asciiTheme="minorHAnsi" w:hAnsiTheme="minorHAnsi" w:cstheme="minorBidi"/>
      <w:sz w:val="22"/>
      <w:szCs w:val="22"/>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character" w:styleId="Hyperlink">
    <w:name w:val="Hyperlink"/>
    <w:basedOn w:val="DefaultParagraphFont"/>
    <w:uiPriority w:val="99"/>
    <w:unhideWhenUsed/>
    <w:rsid w:val="00DC6A34"/>
    <w:rPr>
      <w:color w:val="0563C1" w:themeColor="hyperlink"/>
      <w:u w:val="single"/>
    </w:rPr>
  </w:style>
  <w:style w:type="paragraph" w:styleId="PlainText">
    <w:name w:val="Plain Text"/>
    <w:basedOn w:val="Normal"/>
    <w:link w:val="PlainTextChar"/>
    <w:uiPriority w:val="99"/>
    <w:unhideWhenUsed/>
    <w:rsid w:val="00DC6A34"/>
    <w:pPr>
      <w:spacing w:line="276" w:lineRule="auto"/>
    </w:pPr>
    <w:rPr>
      <w:rFonts w:ascii="Consolas" w:hAnsi="Consolas" w:cs="Consolas"/>
      <w:color w:val="000000" w:themeColor="text1"/>
      <w:sz w:val="21"/>
      <w:szCs w:val="21"/>
    </w:rPr>
  </w:style>
  <w:style w:type="character" w:customStyle="1" w:styleId="PlainTextChar">
    <w:name w:val="Plain Text Char"/>
    <w:basedOn w:val="DefaultParagraphFont"/>
    <w:link w:val="PlainText"/>
    <w:uiPriority w:val="99"/>
    <w:rsid w:val="00DC6A34"/>
    <w:rPr>
      <w:rFonts w:ascii="Consolas" w:hAnsi="Consolas" w:cs="Consolas"/>
      <w:color w:val="000000" w:themeColor="text1"/>
      <w:sz w:val="21"/>
      <w:szCs w:val="21"/>
    </w:rPr>
  </w:style>
  <w:style w:type="table" w:customStyle="1" w:styleId="TableGrid1">
    <w:name w:val="Table Grid1"/>
    <w:basedOn w:val="TableNormal"/>
    <w:next w:val="TableGrid"/>
    <w:uiPriority w:val="59"/>
    <w:rsid w:val="0037617B"/>
    <w:rPr>
      <w:rFonts w:ascii="Calibri" w:hAnsi="Calibri" w:cs="Arial"/>
      <w:sz w:val="22"/>
      <w:szCs w:val="22"/>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character" w:styleId="CommentReference">
    <w:name w:val="annotation reference"/>
    <w:basedOn w:val="DefaultParagraphFont"/>
    <w:uiPriority w:val="99"/>
    <w:unhideWhenUsed/>
    <w:rsid w:val="00A63529"/>
    <w:rPr>
      <w:sz w:val="16"/>
      <w:szCs w:val="16"/>
    </w:rPr>
  </w:style>
  <w:style w:type="paragraph" w:styleId="CommentText">
    <w:name w:val="annotation text"/>
    <w:basedOn w:val="Normal"/>
    <w:link w:val="CommentTextChar"/>
    <w:uiPriority w:val="99"/>
    <w:semiHidden/>
    <w:unhideWhenUsed/>
    <w:rsid w:val="00A63529"/>
    <w:rPr>
      <w:sz w:val="20"/>
      <w:szCs w:val="20"/>
    </w:rPr>
  </w:style>
  <w:style w:type="character" w:customStyle="1" w:styleId="CommentTextChar">
    <w:name w:val="Comment Text Char"/>
    <w:basedOn w:val="DefaultParagraphFont"/>
    <w:link w:val="CommentText"/>
    <w:uiPriority w:val="99"/>
    <w:semiHidden/>
    <w:rsid w:val="00A63529"/>
    <w:rPr>
      <w:sz w:val="20"/>
      <w:szCs w:val="20"/>
    </w:rPr>
  </w:style>
  <w:style w:type="paragraph" w:styleId="CommentSubject">
    <w:name w:val="annotation subject"/>
    <w:basedOn w:val="CommentText"/>
    <w:next w:val="CommentText"/>
    <w:link w:val="CommentSubjectChar"/>
    <w:uiPriority w:val="99"/>
    <w:semiHidden/>
    <w:unhideWhenUsed/>
    <w:rsid w:val="00A63529"/>
    <w:rPr>
      <w:b/>
      <w:bCs/>
    </w:rPr>
  </w:style>
  <w:style w:type="character" w:customStyle="1" w:styleId="CommentSubjectChar">
    <w:name w:val="Comment Subject Char"/>
    <w:basedOn w:val="CommentTextChar"/>
    <w:link w:val="CommentSubject"/>
    <w:uiPriority w:val="99"/>
    <w:semiHidden/>
    <w:rsid w:val="00A63529"/>
    <w:rPr>
      <w:b/>
      <w:bCs/>
      <w:sz w:val="20"/>
      <w:szCs w:val="20"/>
    </w:rPr>
  </w:style>
  <w:style w:type="character" w:customStyle="1" w:styleId="Heading4Char">
    <w:name w:val="Heading 4 Char"/>
    <w:basedOn w:val="DefaultParagraphFont"/>
    <w:link w:val="Heading4"/>
    <w:uiPriority w:val="3"/>
    <w:rsid w:val="006A4372"/>
    <w:rPr>
      <w:rFonts w:ascii="Arial" w:hAnsi="Arial" w:cstheme="minorBidi"/>
      <w:b/>
      <w:color w:val="21409A"/>
      <w:sz w:val="20"/>
      <w:szCs w:val="22"/>
      <w:lang w:val="en-US"/>
    </w:rPr>
  </w:style>
  <w:style w:type="character" w:customStyle="1" w:styleId="Heading1Char">
    <w:name w:val="Heading 1 Char"/>
    <w:basedOn w:val="DefaultParagraphFont"/>
    <w:link w:val="Heading1"/>
    <w:uiPriority w:val="9"/>
    <w:rsid w:val="009075B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075BD"/>
    <w:rPr>
      <w:rFonts w:asciiTheme="majorHAnsi" w:eastAsiaTheme="majorEastAsia" w:hAnsiTheme="majorHAnsi" w:cstheme="majorBidi"/>
      <w:b/>
      <w:bCs/>
      <w:color w:val="5B9BD5" w:themeColor="accent1"/>
      <w:sz w:val="26"/>
      <w:szCs w:val="26"/>
    </w:rPr>
  </w:style>
  <w:style w:type="paragraph" w:styleId="TOCHeading">
    <w:name w:val="TOC Heading"/>
    <w:basedOn w:val="Heading1"/>
    <w:next w:val="Normal"/>
    <w:uiPriority w:val="39"/>
    <w:semiHidden/>
    <w:unhideWhenUsed/>
    <w:qFormat/>
    <w:rsid w:val="008E66C0"/>
    <w:pPr>
      <w:spacing w:line="276" w:lineRule="auto"/>
      <w:outlineLvl w:val="9"/>
    </w:pPr>
    <w:rPr>
      <w:lang w:val="en-US" w:eastAsia="ja-JP"/>
    </w:rPr>
  </w:style>
  <w:style w:type="paragraph" w:styleId="TOC1">
    <w:name w:val="toc 1"/>
    <w:basedOn w:val="Normal"/>
    <w:next w:val="Normal"/>
    <w:autoRedefine/>
    <w:uiPriority w:val="39"/>
    <w:unhideWhenUsed/>
    <w:rsid w:val="008E66C0"/>
    <w:pPr>
      <w:spacing w:after="100"/>
    </w:pPr>
  </w:style>
  <w:style w:type="paragraph" w:styleId="TOC2">
    <w:name w:val="toc 2"/>
    <w:basedOn w:val="Normal"/>
    <w:next w:val="Normal"/>
    <w:autoRedefine/>
    <w:uiPriority w:val="39"/>
    <w:unhideWhenUsed/>
    <w:rsid w:val="008E66C0"/>
    <w:pPr>
      <w:spacing w:after="100"/>
      <w:ind w:left="240"/>
    </w:pPr>
  </w:style>
  <w:style w:type="character" w:customStyle="1" w:styleId="normaltextrun">
    <w:name w:val="normaltextrun"/>
    <w:basedOn w:val="DefaultParagraphFont"/>
    <w:rsid w:val="005E3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1398">
      <w:bodyDiv w:val="1"/>
      <w:marLeft w:val="0"/>
      <w:marRight w:val="0"/>
      <w:marTop w:val="0"/>
      <w:marBottom w:val="0"/>
      <w:divBdr>
        <w:top w:val="none" w:sz="0" w:space="0" w:color="auto"/>
        <w:left w:val="none" w:sz="0" w:space="0" w:color="auto"/>
        <w:bottom w:val="none" w:sz="0" w:space="0" w:color="auto"/>
        <w:right w:val="none" w:sz="0" w:space="0" w:color="auto"/>
      </w:divBdr>
      <w:divsChild>
        <w:div w:id="684138685">
          <w:marLeft w:val="1714"/>
          <w:marRight w:val="0"/>
          <w:marTop w:val="0"/>
          <w:marBottom w:val="0"/>
          <w:divBdr>
            <w:top w:val="none" w:sz="0" w:space="0" w:color="auto"/>
            <w:left w:val="none" w:sz="0" w:space="0" w:color="auto"/>
            <w:bottom w:val="none" w:sz="0" w:space="0" w:color="auto"/>
            <w:right w:val="none" w:sz="0" w:space="0" w:color="auto"/>
          </w:divBdr>
        </w:div>
      </w:divsChild>
    </w:div>
    <w:div w:id="47344691">
      <w:bodyDiv w:val="1"/>
      <w:marLeft w:val="0"/>
      <w:marRight w:val="0"/>
      <w:marTop w:val="0"/>
      <w:marBottom w:val="0"/>
      <w:divBdr>
        <w:top w:val="none" w:sz="0" w:space="0" w:color="auto"/>
        <w:left w:val="none" w:sz="0" w:space="0" w:color="auto"/>
        <w:bottom w:val="none" w:sz="0" w:space="0" w:color="auto"/>
        <w:right w:val="none" w:sz="0" w:space="0" w:color="auto"/>
      </w:divBdr>
    </w:div>
    <w:div w:id="559246337">
      <w:bodyDiv w:val="1"/>
      <w:marLeft w:val="0"/>
      <w:marRight w:val="0"/>
      <w:marTop w:val="0"/>
      <w:marBottom w:val="0"/>
      <w:divBdr>
        <w:top w:val="none" w:sz="0" w:space="0" w:color="auto"/>
        <w:left w:val="none" w:sz="0" w:space="0" w:color="auto"/>
        <w:bottom w:val="none" w:sz="0" w:space="0" w:color="auto"/>
        <w:right w:val="none" w:sz="0" w:space="0" w:color="auto"/>
      </w:divBdr>
      <w:divsChild>
        <w:div w:id="90049618">
          <w:marLeft w:val="1714"/>
          <w:marRight w:val="0"/>
          <w:marTop w:val="0"/>
          <w:marBottom w:val="0"/>
          <w:divBdr>
            <w:top w:val="none" w:sz="0" w:space="0" w:color="auto"/>
            <w:left w:val="none" w:sz="0" w:space="0" w:color="auto"/>
            <w:bottom w:val="none" w:sz="0" w:space="0" w:color="auto"/>
            <w:right w:val="none" w:sz="0" w:space="0" w:color="auto"/>
          </w:divBdr>
        </w:div>
      </w:divsChild>
    </w:div>
    <w:div w:id="676736885">
      <w:bodyDiv w:val="1"/>
      <w:marLeft w:val="0"/>
      <w:marRight w:val="0"/>
      <w:marTop w:val="0"/>
      <w:marBottom w:val="0"/>
      <w:divBdr>
        <w:top w:val="none" w:sz="0" w:space="0" w:color="auto"/>
        <w:left w:val="none" w:sz="0" w:space="0" w:color="auto"/>
        <w:bottom w:val="none" w:sz="0" w:space="0" w:color="auto"/>
        <w:right w:val="none" w:sz="0" w:space="0" w:color="auto"/>
      </w:divBdr>
      <w:divsChild>
        <w:div w:id="455875056">
          <w:marLeft w:val="0"/>
          <w:marRight w:val="0"/>
          <w:marTop w:val="0"/>
          <w:marBottom w:val="0"/>
          <w:divBdr>
            <w:top w:val="none" w:sz="0" w:space="0" w:color="auto"/>
            <w:left w:val="none" w:sz="0" w:space="0" w:color="auto"/>
            <w:bottom w:val="none" w:sz="0" w:space="0" w:color="auto"/>
            <w:right w:val="none" w:sz="0" w:space="0" w:color="auto"/>
          </w:divBdr>
          <w:divsChild>
            <w:div w:id="458379098">
              <w:marLeft w:val="0"/>
              <w:marRight w:val="0"/>
              <w:marTop w:val="0"/>
              <w:marBottom w:val="0"/>
              <w:divBdr>
                <w:top w:val="none" w:sz="0" w:space="0" w:color="auto"/>
                <w:left w:val="none" w:sz="0" w:space="0" w:color="auto"/>
                <w:bottom w:val="none" w:sz="0" w:space="0" w:color="auto"/>
                <w:right w:val="none" w:sz="0" w:space="0" w:color="auto"/>
              </w:divBdr>
            </w:div>
            <w:div w:id="13389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2975">
      <w:bodyDiv w:val="1"/>
      <w:marLeft w:val="0"/>
      <w:marRight w:val="0"/>
      <w:marTop w:val="0"/>
      <w:marBottom w:val="0"/>
      <w:divBdr>
        <w:top w:val="none" w:sz="0" w:space="0" w:color="auto"/>
        <w:left w:val="none" w:sz="0" w:space="0" w:color="auto"/>
        <w:bottom w:val="none" w:sz="0" w:space="0" w:color="auto"/>
        <w:right w:val="none" w:sz="0" w:space="0" w:color="auto"/>
      </w:divBdr>
    </w:div>
    <w:div w:id="1036124825">
      <w:bodyDiv w:val="1"/>
      <w:marLeft w:val="0"/>
      <w:marRight w:val="0"/>
      <w:marTop w:val="0"/>
      <w:marBottom w:val="0"/>
      <w:divBdr>
        <w:top w:val="none" w:sz="0" w:space="0" w:color="auto"/>
        <w:left w:val="none" w:sz="0" w:space="0" w:color="auto"/>
        <w:bottom w:val="none" w:sz="0" w:space="0" w:color="auto"/>
        <w:right w:val="none" w:sz="0" w:space="0" w:color="auto"/>
      </w:divBdr>
    </w:div>
    <w:div w:id="1322155925">
      <w:bodyDiv w:val="1"/>
      <w:marLeft w:val="0"/>
      <w:marRight w:val="0"/>
      <w:marTop w:val="0"/>
      <w:marBottom w:val="0"/>
      <w:divBdr>
        <w:top w:val="none" w:sz="0" w:space="0" w:color="auto"/>
        <w:left w:val="none" w:sz="0" w:space="0" w:color="auto"/>
        <w:bottom w:val="none" w:sz="0" w:space="0" w:color="auto"/>
        <w:right w:val="none" w:sz="0" w:space="0" w:color="auto"/>
      </w:divBdr>
    </w:div>
    <w:div w:id="1456485595">
      <w:bodyDiv w:val="1"/>
      <w:marLeft w:val="0"/>
      <w:marRight w:val="0"/>
      <w:marTop w:val="0"/>
      <w:marBottom w:val="0"/>
      <w:divBdr>
        <w:top w:val="none" w:sz="0" w:space="0" w:color="auto"/>
        <w:left w:val="none" w:sz="0" w:space="0" w:color="auto"/>
        <w:bottom w:val="none" w:sz="0" w:space="0" w:color="auto"/>
        <w:right w:val="none" w:sz="0" w:space="0" w:color="auto"/>
      </w:divBdr>
    </w:div>
    <w:div w:id="1511145239">
      <w:bodyDiv w:val="1"/>
      <w:marLeft w:val="0"/>
      <w:marRight w:val="0"/>
      <w:marTop w:val="0"/>
      <w:marBottom w:val="0"/>
      <w:divBdr>
        <w:top w:val="none" w:sz="0" w:space="0" w:color="auto"/>
        <w:left w:val="none" w:sz="0" w:space="0" w:color="auto"/>
        <w:bottom w:val="none" w:sz="0" w:space="0" w:color="auto"/>
        <w:right w:val="none" w:sz="0" w:space="0" w:color="auto"/>
      </w:divBdr>
    </w:div>
    <w:div w:id="1650599285">
      <w:bodyDiv w:val="1"/>
      <w:marLeft w:val="0"/>
      <w:marRight w:val="0"/>
      <w:marTop w:val="0"/>
      <w:marBottom w:val="0"/>
      <w:divBdr>
        <w:top w:val="none" w:sz="0" w:space="0" w:color="auto"/>
        <w:left w:val="none" w:sz="0" w:space="0" w:color="auto"/>
        <w:bottom w:val="none" w:sz="0" w:space="0" w:color="auto"/>
        <w:right w:val="none" w:sz="0" w:space="0" w:color="auto"/>
      </w:divBdr>
      <w:divsChild>
        <w:div w:id="2121795828">
          <w:marLeft w:val="994"/>
          <w:marRight w:val="0"/>
          <w:marTop w:val="0"/>
          <w:marBottom w:val="0"/>
          <w:divBdr>
            <w:top w:val="none" w:sz="0" w:space="0" w:color="auto"/>
            <w:left w:val="none" w:sz="0" w:space="0" w:color="auto"/>
            <w:bottom w:val="none" w:sz="0" w:space="0" w:color="auto"/>
            <w:right w:val="none" w:sz="0" w:space="0" w:color="auto"/>
          </w:divBdr>
        </w:div>
        <w:div w:id="180434438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niaa.gov.au/indigenous-affairs/economic-development/review-catsi-act" TargetMode="External"/><Relationship Id="rId2" Type="http://schemas.openxmlformats.org/officeDocument/2006/relationships/hyperlink" Target="https://www.atns.net.au/atns/references/attachments/atnswp4_2015_stewarttehanboulot.pdf" TargetMode="External"/><Relationship Id="rId1" Type="http://schemas.openxmlformats.org/officeDocument/2006/relationships/hyperlink" Target="https://www.uwa.edu.au/able/research/cmen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34143-9C68-4ED5-89CF-F867D3EC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286A9D74.dotm</Template>
  <TotalTime>29</TotalTime>
  <Pages>20</Pages>
  <Words>7211</Words>
  <Characters>41108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Submission DR69 - Attachment: Indigenous Benefits Management Structures (BMS) as Social Enterprises - University of WA; Centre for Mining Energy and Natural Resources Law - Resources Sector Regulation - Commissioned study</vt:lpstr>
    </vt:vector>
  </TitlesOfParts>
  <Company>University of WA; Centre for Mining Energy and Natural Resources Law</Company>
  <LinksUpToDate>false</LinksUpToDate>
  <CharactersWithSpaces>48223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DR69 - Attachment: Indigenous Benefits Management Structures (BMS) as Social Enterprises - University of WA; Centre for Mining Energy and Natural Resources Law - Resources Sector Regulation - Commissioned study</dc:title>
  <dc:creator>University of WA;Centre for Mining Energy and Natural Resources Law</dc:creator>
  <cp:lastModifiedBy>Productivity Commission</cp:lastModifiedBy>
  <cp:revision>5</cp:revision>
  <cp:lastPrinted>2020-08-13T02:32:00Z</cp:lastPrinted>
  <dcterms:created xsi:type="dcterms:W3CDTF">2020-08-04T08:18:00Z</dcterms:created>
  <dcterms:modified xsi:type="dcterms:W3CDTF">2020-08-13T02:58:00Z</dcterms:modified>
</cp:coreProperties>
</file>