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29BA" w14:textId="67ABFB62" w:rsidR="00416735" w:rsidRDefault="00074738" w:rsidP="00510F1D">
      <w:pPr>
        <w:jc w:val="both"/>
      </w:pPr>
      <w:r>
        <w:t>NSW Treasury support</w:t>
      </w:r>
      <w:r w:rsidR="00597DED">
        <w:t>s</w:t>
      </w:r>
      <w:r>
        <w:t xml:space="preserve"> the development of an Indigenous Evaluation Strategy </w:t>
      </w:r>
      <w:r w:rsidR="00A522F0">
        <w:t>and</w:t>
      </w:r>
      <w:r w:rsidR="00E1676A">
        <w:t xml:space="preserve"> the emphasis on using evaluation to </w:t>
      </w:r>
      <w:r w:rsidR="00AD08BD">
        <w:t>identify and improve the effectiveness</w:t>
      </w:r>
      <w:r w:rsidR="00A522F0">
        <w:t xml:space="preserve"> </w:t>
      </w:r>
      <w:r w:rsidR="00AD08BD">
        <w:t xml:space="preserve">of policies </w:t>
      </w:r>
      <w:r w:rsidR="00951963">
        <w:t>and program</w:t>
      </w:r>
      <w:r w:rsidR="00C451CD">
        <w:t>s</w:t>
      </w:r>
      <w:r w:rsidR="00951963">
        <w:t xml:space="preserve"> </w:t>
      </w:r>
      <w:r w:rsidR="0046338A">
        <w:t>to improve</w:t>
      </w:r>
      <w:r w:rsidR="00951963">
        <w:t xml:space="preserve"> the welfare of </w:t>
      </w:r>
      <w:r w:rsidR="008D61E7">
        <w:t xml:space="preserve">Aboriginal and Torres Strait Islander </w:t>
      </w:r>
      <w:r w:rsidR="00FE1144">
        <w:t>p</w:t>
      </w:r>
      <w:r w:rsidR="008D61E7">
        <w:t>eople</w:t>
      </w:r>
      <w:r w:rsidR="0393C22D">
        <w:t>s</w:t>
      </w:r>
      <w:r w:rsidR="008D61E7">
        <w:t>.</w:t>
      </w:r>
    </w:p>
    <w:p w14:paraId="6823130B" w14:textId="14F85DB4" w:rsidR="00752DD4" w:rsidRDefault="0046338A" w:rsidP="00510F1D">
      <w:pPr>
        <w:jc w:val="both"/>
      </w:pPr>
      <w:r>
        <w:t>T</w:t>
      </w:r>
      <w:r w:rsidR="00844AE3">
        <w:t xml:space="preserve">he </w:t>
      </w:r>
      <w:r w:rsidR="00527DF4">
        <w:t xml:space="preserve">emphasis on achieving </w:t>
      </w:r>
      <w:r w:rsidR="00D72679">
        <w:t xml:space="preserve">these </w:t>
      </w:r>
      <w:r w:rsidR="00527DF4">
        <w:t>outcomes by</w:t>
      </w:r>
      <w:r w:rsidR="00D94576">
        <w:t xml:space="preserve"> p</w:t>
      </w:r>
      <w:r w:rsidR="00752DD4">
        <w:t>utting Aboriginal and Torres Strait Islander</w:t>
      </w:r>
      <w:r w:rsidR="4AA320A2">
        <w:t xml:space="preserve"> peoples</w:t>
      </w:r>
      <w:r w:rsidR="00A0575F">
        <w:t xml:space="preserve"> at the centre</w:t>
      </w:r>
      <w:r w:rsidR="00B86346">
        <w:t xml:space="preserve"> of th</w:t>
      </w:r>
      <w:r w:rsidR="003155AE">
        <w:t>e</w:t>
      </w:r>
      <w:r w:rsidR="00B86346">
        <w:t xml:space="preserve"> </w:t>
      </w:r>
      <w:r w:rsidR="00930E7E">
        <w:t>S</w:t>
      </w:r>
      <w:r w:rsidR="00B86346">
        <w:t>trategy by</w:t>
      </w:r>
      <w:r w:rsidR="002F44AA">
        <w:t xml:space="preserve"> recognising:</w:t>
      </w:r>
      <w:r w:rsidR="00494F93">
        <w:t xml:space="preserve"> their lived experience,</w:t>
      </w:r>
      <w:r w:rsidR="0059713F">
        <w:t xml:space="preserve"> their expertise,</w:t>
      </w:r>
      <w:r w:rsidR="00494F93">
        <w:t xml:space="preserve"> and the</w:t>
      </w:r>
      <w:r w:rsidR="0059713F">
        <w:t xml:space="preserve"> outcomes that they value</w:t>
      </w:r>
      <w:r>
        <w:t xml:space="preserve"> is welcomed.</w:t>
      </w:r>
    </w:p>
    <w:p w14:paraId="6B07E857" w14:textId="4009796B" w:rsidR="00E216BD" w:rsidRDefault="005E52B7" w:rsidP="00510F1D">
      <w:pPr>
        <w:jc w:val="both"/>
      </w:pPr>
      <w:r>
        <w:t xml:space="preserve">NSW Treasury </w:t>
      </w:r>
      <w:r w:rsidR="00F92038">
        <w:t>recently</w:t>
      </w:r>
      <w:r w:rsidR="00A522F0">
        <w:t xml:space="preserve"> established an </w:t>
      </w:r>
      <w:r w:rsidR="001C2B49">
        <w:t xml:space="preserve">Aboriginal Economic Wellbeing </w:t>
      </w:r>
      <w:r w:rsidR="15A956D4">
        <w:t>Branch</w:t>
      </w:r>
      <w:r w:rsidR="00597DED">
        <w:t>. Th</w:t>
      </w:r>
      <w:r w:rsidR="000A42F2">
        <w:t>e</w:t>
      </w:r>
      <w:r w:rsidR="00597DED">
        <w:t xml:space="preserve"> </w:t>
      </w:r>
      <w:r w:rsidR="00F070F5">
        <w:t>Branch</w:t>
      </w:r>
      <w:r w:rsidR="00597DED">
        <w:t xml:space="preserve"> </w:t>
      </w:r>
      <w:r w:rsidR="00A522F0">
        <w:t>is responsible for developing and rolling out</w:t>
      </w:r>
      <w:r w:rsidR="000A42F2">
        <w:t xml:space="preserve"> — across the NSW Government</w:t>
      </w:r>
      <w:r w:rsidR="00A522F0">
        <w:t xml:space="preserve"> </w:t>
      </w:r>
      <w:r w:rsidR="000A42F2">
        <w:t xml:space="preserve">— </w:t>
      </w:r>
      <w:r w:rsidR="00A522F0">
        <w:t>an evidence-based and effective framework for including Aboriginal cultural values in cost-benefit analysis</w:t>
      </w:r>
      <w:r w:rsidR="00985A4A">
        <w:t xml:space="preserve"> (CBA)</w:t>
      </w:r>
      <w:r w:rsidR="00A522F0">
        <w:t xml:space="preserve"> and </w:t>
      </w:r>
      <w:r w:rsidR="00E61EF1">
        <w:t xml:space="preserve">policy </w:t>
      </w:r>
      <w:r w:rsidR="00A522F0">
        <w:t>evaluation</w:t>
      </w:r>
      <w:r w:rsidR="0085504D">
        <w:t xml:space="preserve"> more broadly</w:t>
      </w:r>
      <w:r w:rsidR="00361035">
        <w:t xml:space="preserve">, with the objective of identifying </w:t>
      </w:r>
      <w:r w:rsidR="00DD54B9">
        <w:t>policy initiatives that will most effectively close the Gap for Indigenous Australia</w:t>
      </w:r>
      <w:r w:rsidR="00E61EF1">
        <w:t>ns and improv</w:t>
      </w:r>
      <w:r w:rsidR="00985A4A">
        <w:t>e</w:t>
      </w:r>
      <w:r w:rsidR="00E61EF1">
        <w:t xml:space="preserve"> their </w:t>
      </w:r>
      <w:r w:rsidR="008C6B79">
        <w:t>lives</w:t>
      </w:r>
      <w:r w:rsidR="00DD54B9">
        <w:t>.</w:t>
      </w:r>
    </w:p>
    <w:p w14:paraId="6BC261B7" w14:textId="5AB5BEB0" w:rsidR="008959E5" w:rsidRDefault="0046338A" w:rsidP="00510F1D">
      <w:pPr>
        <w:jc w:val="both"/>
      </w:pPr>
      <w:r>
        <w:t>The</w:t>
      </w:r>
      <w:r w:rsidR="0072241D">
        <w:t xml:space="preserve"> Aboriginal Economic Wellbeing</w:t>
      </w:r>
      <w:r w:rsidR="008959E5">
        <w:t xml:space="preserve"> </w:t>
      </w:r>
      <w:r w:rsidR="6FC1DC75">
        <w:t>Branch</w:t>
      </w:r>
      <w:r w:rsidR="008959E5">
        <w:t xml:space="preserve"> was established in response to</w:t>
      </w:r>
      <w:r w:rsidR="00DF77E8">
        <w:t xml:space="preserve"> m</w:t>
      </w:r>
      <w:r w:rsidR="00DF77E8" w:rsidRPr="00BD6AF3">
        <w:t xml:space="preserve">ultiple reviews </w:t>
      </w:r>
      <w:r w:rsidR="00F20C43">
        <w:t xml:space="preserve">that identified </w:t>
      </w:r>
      <w:r w:rsidR="00DF77E8" w:rsidRPr="00BD6AF3">
        <w:t>impediment</w:t>
      </w:r>
      <w:r w:rsidR="00F20C43">
        <w:t>s</w:t>
      </w:r>
      <w:r w:rsidR="00DF77E8" w:rsidRPr="00BD6AF3">
        <w:t xml:space="preserve"> to progress</w:t>
      </w:r>
      <w:r w:rsidR="008C6B79">
        <w:t>ing</w:t>
      </w:r>
      <w:r w:rsidR="00DF77E8" w:rsidRPr="00BD6AF3">
        <w:t xml:space="preserve"> </w:t>
      </w:r>
      <w:r w:rsidR="008C6B79">
        <w:t xml:space="preserve">the </w:t>
      </w:r>
      <w:r w:rsidR="00DF77E8" w:rsidRPr="00BD6AF3">
        <w:t xml:space="preserve">NSW Government’s commitments to enhance </w:t>
      </w:r>
      <w:r w:rsidR="008C6B79">
        <w:t xml:space="preserve">the </w:t>
      </w:r>
      <w:r w:rsidR="00DF77E8" w:rsidRPr="00BD6AF3">
        <w:t>First Peoples economic prosperity</w:t>
      </w:r>
      <w:r w:rsidR="00F20C43">
        <w:t xml:space="preserve"> and Closing the Gap</w:t>
      </w:r>
      <w:r w:rsidR="00DF77E8" w:rsidRPr="00BD6AF3">
        <w:t>.</w:t>
      </w:r>
      <w:r w:rsidR="00D5435F">
        <w:t xml:space="preserve"> The</w:t>
      </w:r>
      <w:r w:rsidR="0085504D">
        <w:t xml:space="preserve"> identified</w:t>
      </w:r>
      <w:r w:rsidR="00D5435F">
        <w:t xml:space="preserve"> impediments include:</w:t>
      </w:r>
    </w:p>
    <w:p w14:paraId="7EFC7C4C" w14:textId="0808E40A" w:rsidR="00D90A3C" w:rsidRPr="00BD6AF3" w:rsidRDefault="008959E5" w:rsidP="00905957">
      <w:pPr>
        <w:pStyle w:val="ListParagraph"/>
        <w:numPr>
          <w:ilvl w:val="0"/>
          <w:numId w:val="3"/>
        </w:numPr>
        <w:jc w:val="both"/>
      </w:pPr>
      <w:r w:rsidRPr="00BD6AF3">
        <w:t xml:space="preserve">initiatives targeted at Closing the Gap </w:t>
      </w:r>
      <w:r w:rsidR="008C6B79">
        <w:t xml:space="preserve">failing to </w:t>
      </w:r>
      <w:r w:rsidRPr="00BD6AF3">
        <w:t>recognis</w:t>
      </w:r>
      <w:r w:rsidR="008C6B79">
        <w:t>e</w:t>
      </w:r>
      <w:r w:rsidR="00905957">
        <w:t xml:space="preserve"> Aboriginal</w:t>
      </w:r>
      <w:r w:rsidRPr="00BD6AF3">
        <w:t xml:space="preserve"> </w:t>
      </w:r>
      <w:r w:rsidR="00905957">
        <w:t>C</w:t>
      </w:r>
      <w:r w:rsidRPr="00BD6AF3">
        <w:t xml:space="preserve">ulture as an integral component for the economic and social development of </w:t>
      </w:r>
      <w:r w:rsidR="00F3671E">
        <w:t>Aboriginal</w:t>
      </w:r>
      <w:r w:rsidRPr="00BD6AF3">
        <w:t xml:space="preserve"> </w:t>
      </w:r>
      <w:r w:rsidR="00F3671E">
        <w:t>C</w:t>
      </w:r>
      <w:r w:rsidRPr="00BD6AF3">
        <w:t>ommunities</w:t>
      </w:r>
      <w:r w:rsidR="00373D47">
        <w:t>;</w:t>
      </w:r>
      <w:r w:rsidR="00F3671E">
        <w:t xml:space="preserve"> </w:t>
      </w:r>
    </w:p>
    <w:p w14:paraId="65C1950C" w14:textId="3A3B5594" w:rsidR="00D90A3C" w:rsidRPr="00D90A3C" w:rsidRDefault="00F3671E" w:rsidP="00D90A3C">
      <w:pPr>
        <w:pStyle w:val="ListParagraph"/>
        <w:numPr>
          <w:ilvl w:val="0"/>
          <w:numId w:val="3"/>
        </w:numPr>
        <w:jc w:val="both"/>
      </w:pPr>
      <w:r>
        <w:t>g</w:t>
      </w:r>
      <w:r w:rsidR="00D90A3C" w:rsidRPr="00D90A3C">
        <w:t xml:space="preserve">aps in methodologies </w:t>
      </w:r>
      <w:r>
        <w:t xml:space="preserve">for evaluating </w:t>
      </w:r>
      <w:r w:rsidR="00D90A3C" w:rsidRPr="00D90A3C">
        <w:t>programs</w:t>
      </w:r>
      <w:r w:rsidR="006239C1">
        <w:t xml:space="preserve"> </w:t>
      </w:r>
      <w:r w:rsidR="026B1E76">
        <w:t>impacting Aboriginal peoples</w:t>
      </w:r>
      <w:r w:rsidR="006239C1">
        <w:t xml:space="preserve"> and the value of Aboriginal Culture</w:t>
      </w:r>
      <w:r w:rsidR="00D90A3C">
        <w:t xml:space="preserve">; </w:t>
      </w:r>
    </w:p>
    <w:p w14:paraId="4E10EC7C" w14:textId="199A6B3C" w:rsidR="008959E5" w:rsidRPr="00BD6AF3" w:rsidRDefault="00373D47" w:rsidP="00510F1D">
      <w:pPr>
        <w:pStyle w:val="ListParagraph"/>
        <w:numPr>
          <w:ilvl w:val="0"/>
          <w:numId w:val="3"/>
        </w:numPr>
        <w:jc w:val="both"/>
      </w:pPr>
      <w:r>
        <w:t>a l</w:t>
      </w:r>
      <w:r w:rsidR="008959E5" w:rsidRPr="00BD6AF3">
        <w:t xml:space="preserve">ack of reliable instruments for effective policy making and funding decisions </w:t>
      </w:r>
      <w:r w:rsidR="00306FE5" w:rsidRPr="00BD6AF3">
        <w:t xml:space="preserve">in </w:t>
      </w:r>
      <w:r w:rsidR="00306FE5">
        <w:t>policies</w:t>
      </w:r>
      <w:r w:rsidR="006239C1">
        <w:t xml:space="preserve"> and </w:t>
      </w:r>
      <w:r w:rsidR="00306FE5">
        <w:t>p</w:t>
      </w:r>
      <w:r w:rsidR="006239C1">
        <w:t>rograms</w:t>
      </w:r>
      <w:r w:rsidR="222D7A6A">
        <w:t xml:space="preserve"> affecting Aboriginal peoples</w:t>
      </w:r>
      <w:r>
        <w:t xml:space="preserve">; </w:t>
      </w:r>
      <w:r w:rsidR="001D0B62">
        <w:t>and</w:t>
      </w:r>
    </w:p>
    <w:p w14:paraId="2F87D0A5" w14:textId="77777777" w:rsidR="00AB14A8" w:rsidRDefault="00DF77E8" w:rsidP="00510F1D">
      <w:pPr>
        <w:pStyle w:val="ListParagraph"/>
        <w:numPr>
          <w:ilvl w:val="0"/>
          <w:numId w:val="3"/>
        </w:numPr>
        <w:jc w:val="both"/>
      </w:pPr>
      <w:r>
        <w:t xml:space="preserve">inadequate </w:t>
      </w:r>
      <w:r w:rsidR="008959E5" w:rsidRPr="00BD6AF3">
        <w:t xml:space="preserve">central government oversight and authorization to lift work in this area as a matter of priority. </w:t>
      </w:r>
    </w:p>
    <w:p w14:paraId="06673150" w14:textId="5420355B" w:rsidR="00A522F0" w:rsidRDefault="00A522F0" w:rsidP="00AB14A8">
      <w:pPr>
        <w:jc w:val="both"/>
      </w:pPr>
      <w:r>
        <w:t xml:space="preserve">The Aboriginal Economic Wellbeing </w:t>
      </w:r>
      <w:r w:rsidR="1278F4BD">
        <w:t xml:space="preserve">Branch </w:t>
      </w:r>
      <w:r w:rsidR="000478DD">
        <w:t>i</w:t>
      </w:r>
      <w:r>
        <w:t>s working towards achieving th</w:t>
      </w:r>
      <w:r w:rsidR="008959E5">
        <w:t>ese objectives</w:t>
      </w:r>
      <w:r>
        <w:t xml:space="preserve"> by: </w:t>
      </w:r>
    </w:p>
    <w:p w14:paraId="751F8C11" w14:textId="2F2F27E6" w:rsidR="00A522F0" w:rsidRDefault="00A522F0" w:rsidP="00510F1D">
      <w:pPr>
        <w:pStyle w:val="ListParagraph"/>
        <w:numPr>
          <w:ilvl w:val="0"/>
          <w:numId w:val="1"/>
        </w:numPr>
        <w:jc w:val="both"/>
      </w:pPr>
      <w:r>
        <w:t>lead</w:t>
      </w:r>
      <w:r w:rsidR="003D220F">
        <w:t>ing</w:t>
      </w:r>
      <w:r>
        <w:t xml:space="preserve"> the development of an </w:t>
      </w:r>
      <w:r w:rsidRPr="00DF2E6A">
        <w:rPr>
          <w:i/>
          <w:iCs/>
        </w:rPr>
        <w:t>Aboriginal Economic Prosperity Outcomes Framework</w:t>
      </w:r>
      <w:r>
        <w:t xml:space="preserve"> (AEPOF)</w:t>
      </w:r>
      <w:r w:rsidR="00014F80">
        <w:t xml:space="preserve"> —</w:t>
      </w:r>
      <w:r>
        <w:t xml:space="preserve"> with Aboriginal Affairs NSW’s support</w:t>
      </w:r>
      <w:r w:rsidR="00ED16AB">
        <w:t xml:space="preserve">; </w:t>
      </w:r>
    </w:p>
    <w:p w14:paraId="507222AC" w14:textId="5052D196" w:rsidR="00A522F0" w:rsidRDefault="00A522F0" w:rsidP="00510F1D">
      <w:pPr>
        <w:pStyle w:val="ListParagraph"/>
        <w:numPr>
          <w:ilvl w:val="0"/>
          <w:numId w:val="1"/>
        </w:numPr>
        <w:jc w:val="both"/>
      </w:pPr>
      <w:r>
        <w:t>d</w:t>
      </w:r>
      <w:r w:rsidRPr="00B15BCE">
        <w:t>evelop</w:t>
      </w:r>
      <w:r>
        <w:t>ing</w:t>
      </w:r>
      <w:r w:rsidRPr="00B15BCE">
        <w:t xml:space="preserve"> a </w:t>
      </w:r>
      <w:r w:rsidR="001D0B62">
        <w:t>cost-benefit analysis (CBA)</w:t>
      </w:r>
      <w:r w:rsidRPr="00B15BCE">
        <w:t xml:space="preserve"> </w:t>
      </w:r>
      <w:r w:rsidR="001D0B62">
        <w:t>f</w:t>
      </w:r>
      <w:r w:rsidRPr="00B15BCE">
        <w:t xml:space="preserve">ramework </w:t>
      </w:r>
      <w:r>
        <w:t xml:space="preserve">that will </w:t>
      </w:r>
      <w:r w:rsidRPr="00B15BCE">
        <w:t xml:space="preserve">integrate </w:t>
      </w:r>
      <w:r w:rsidR="00014F80">
        <w:t xml:space="preserve">Aboriginal </w:t>
      </w:r>
      <w:r w:rsidR="00D74DFD">
        <w:t>C</w:t>
      </w:r>
      <w:r w:rsidRPr="00B15BCE">
        <w:t>ultural values</w:t>
      </w:r>
      <w:r w:rsidRPr="002D5F28">
        <w:t xml:space="preserve"> </w:t>
      </w:r>
      <w:r w:rsidRPr="00BD442F">
        <w:t xml:space="preserve">to improve the effectiveness of initiatives </w:t>
      </w:r>
      <w:r w:rsidR="00014F80">
        <w:t xml:space="preserve">aimed </w:t>
      </w:r>
      <w:r w:rsidRPr="00BD442F">
        <w:t xml:space="preserve">at achieving the outcomes and economic prosperity required for </w:t>
      </w:r>
      <w:r w:rsidR="00014F80">
        <w:t>Aboriginal C</w:t>
      </w:r>
      <w:r>
        <w:t>ommunit</w:t>
      </w:r>
      <w:r w:rsidR="6836BE22">
        <w:t>ies</w:t>
      </w:r>
      <w:r w:rsidR="00ED16AB">
        <w:t xml:space="preserve">; </w:t>
      </w:r>
    </w:p>
    <w:p w14:paraId="04C5667B" w14:textId="62DFDECD" w:rsidR="00806DFC" w:rsidRPr="00806DFC" w:rsidRDefault="00806DFC" w:rsidP="00806DFC">
      <w:pPr>
        <w:pStyle w:val="ListParagraph"/>
        <w:numPr>
          <w:ilvl w:val="0"/>
          <w:numId w:val="1"/>
        </w:numPr>
        <w:jc w:val="both"/>
      </w:pPr>
      <w:r>
        <w:t>d</w:t>
      </w:r>
      <w:r w:rsidRPr="00806DFC">
        <w:t>evelop</w:t>
      </w:r>
      <w:r w:rsidR="0064327F">
        <w:t>ing</w:t>
      </w:r>
      <w:r w:rsidRPr="00806DFC">
        <w:t xml:space="preserve"> and publish</w:t>
      </w:r>
      <w:r w:rsidR="0064327F">
        <w:t>ing</w:t>
      </w:r>
      <w:r w:rsidRPr="00806DFC">
        <w:t xml:space="preserve"> periodic ‘</w:t>
      </w:r>
      <w:r w:rsidR="00DF2E6A">
        <w:t>S</w:t>
      </w:r>
      <w:r w:rsidRPr="00806DFC">
        <w:t xml:space="preserve">tate of the NSW Aboriginal </w:t>
      </w:r>
      <w:r w:rsidR="00DF2E6A">
        <w:t>B</w:t>
      </w:r>
      <w:r w:rsidRPr="00806DFC">
        <w:t xml:space="preserve">usiness </w:t>
      </w:r>
      <w:r w:rsidR="00DF2E6A">
        <w:t>S</w:t>
      </w:r>
      <w:r w:rsidRPr="00806DFC">
        <w:t>ector’ profile</w:t>
      </w:r>
      <w:r w:rsidR="00DF2E6A">
        <w:t>s</w:t>
      </w:r>
      <w:r>
        <w:t xml:space="preserve">; </w:t>
      </w:r>
      <w:r w:rsidR="00020137">
        <w:t>and</w:t>
      </w:r>
    </w:p>
    <w:p w14:paraId="11C4E1A3" w14:textId="4719BFC0" w:rsidR="00806DFC" w:rsidRDefault="009E542E" w:rsidP="00020137">
      <w:pPr>
        <w:pStyle w:val="ListParagraph"/>
        <w:numPr>
          <w:ilvl w:val="0"/>
          <w:numId w:val="1"/>
        </w:numPr>
        <w:jc w:val="both"/>
      </w:pPr>
      <w:r>
        <w:t>s</w:t>
      </w:r>
      <w:r w:rsidRPr="00806DFC">
        <w:t>upport</w:t>
      </w:r>
      <w:r>
        <w:t>ing</w:t>
      </w:r>
      <w:r w:rsidRPr="00806DFC">
        <w:t xml:space="preserve"> A</w:t>
      </w:r>
      <w:r>
        <w:t xml:space="preserve">boriginal Affairs </w:t>
      </w:r>
      <w:r w:rsidRPr="00806DFC">
        <w:t xml:space="preserve">NSW in developing </w:t>
      </w:r>
      <w:r w:rsidR="5D05C41A">
        <w:t xml:space="preserve">a </w:t>
      </w:r>
      <w:r w:rsidRPr="00806DFC">
        <w:t xml:space="preserve">new </w:t>
      </w:r>
      <w:r w:rsidRPr="00806DFC">
        <w:rPr>
          <w:i/>
          <w:iCs/>
        </w:rPr>
        <w:t xml:space="preserve">Aboriginal Economic Prosperity Framework </w:t>
      </w:r>
      <w:r w:rsidRPr="00806DFC">
        <w:t>(AEPF)</w:t>
      </w:r>
      <w:r>
        <w:t>.</w:t>
      </w:r>
    </w:p>
    <w:p w14:paraId="49781358" w14:textId="19DFDD24" w:rsidR="008959E5" w:rsidRDefault="003D220F" w:rsidP="00510F1D">
      <w:pPr>
        <w:jc w:val="both"/>
      </w:pPr>
      <w:r>
        <w:t>NSW Treasury hopes that these work</w:t>
      </w:r>
      <w:r w:rsidR="006F11C3">
        <w:t>stream</w:t>
      </w:r>
      <w:r w:rsidR="007E1F77">
        <w:t>s</w:t>
      </w:r>
      <w:r w:rsidR="006F11C3">
        <w:t xml:space="preserve"> will create </w:t>
      </w:r>
      <w:r w:rsidR="008959E5" w:rsidRPr="004B4B4A">
        <w:t>an evidence base for appraising and evaluating initiatives</w:t>
      </w:r>
      <w:r w:rsidR="001157C4">
        <w:t xml:space="preserve"> as part of </w:t>
      </w:r>
      <w:r w:rsidR="008959E5" w:rsidRPr="004B4B4A">
        <w:t>Treasury’s Outcome Budgeting</w:t>
      </w:r>
      <w:r w:rsidR="00063CE0">
        <w:t xml:space="preserve"> Framework</w:t>
      </w:r>
      <w:r w:rsidR="00F9319B">
        <w:t>,</w:t>
      </w:r>
      <w:r w:rsidR="00510F1D">
        <w:t xml:space="preserve"> with the </w:t>
      </w:r>
      <w:r w:rsidR="00146D07">
        <w:t xml:space="preserve">aim </w:t>
      </w:r>
      <w:r w:rsidR="00510F1D">
        <w:t xml:space="preserve">of </w:t>
      </w:r>
      <w:r w:rsidR="008959E5" w:rsidRPr="004B4B4A">
        <w:t>improv</w:t>
      </w:r>
      <w:r w:rsidR="00510F1D">
        <w:t>ing</w:t>
      </w:r>
      <w:r w:rsidR="008959E5" w:rsidRPr="004B4B4A">
        <w:t xml:space="preserve"> outcomes </w:t>
      </w:r>
      <w:r w:rsidR="00510F1D">
        <w:t xml:space="preserve">for </w:t>
      </w:r>
      <w:r w:rsidR="00146D07">
        <w:t>Aboriginal C</w:t>
      </w:r>
      <w:r w:rsidR="008959E5" w:rsidRPr="004B4B4A">
        <w:t>ommunities.</w:t>
      </w:r>
    </w:p>
    <w:p w14:paraId="2A1947FF" w14:textId="75C944D6" w:rsidR="00F62DA0" w:rsidRDefault="00AB14A8" w:rsidP="00510F1D">
      <w:pPr>
        <w:jc w:val="both"/>
      </w:pPr>
      <w:r>
        <w:t>NSW Treasury</w:t>
      </w:r>
      <w:r w:rsidR="00C451CD">
        <w:t xml:space="preserve"> anticipates that its </w:t>
      </w:r>
      <w:r w:rsidR="00F85467">
        <w:t xml:space="preserve"> work in this area will likely assist the work of the </w:t>
      </w:r>
      <w:r w:rsidR="00F85467" w:rsidRPr="00AB14A8">
        <w:t>Office of Indigenous Policy Evaluation (OIPE) </w:t>
      </w:r>
      <w:r w:rsidR="00F62DA0">
        <w:t xml:space="preserve">and </w:t>
      </w:r>
      <w:r w:rsidR="002955D9">
        <w:t>the Indigenous Evaluation Council</w:t>
      </w:r>
      <w:r w:rsidR="00146D07">
        <w:t xml:space="preserve"> </w:t>
      </w:r>
      <w:r w:rsidR="009F4BD2" w:rsidRPr="00AB14A8">
        <w:t>proposed in the Draft Strategy</w:t>
      </w:r>
      <w:r w:rsidR="00C809E8">
        <w:t xml:space="preserve"> — i</w:t>
      </w:r>
      <w:r w:rsidR="00D45360">
        <w:t>n particular th</w:t>
      </w:r>
      <w:r w:rsidR="00C809E8">
        <w:t xml:space="preserve">e creation of a </w:t>
      </w:r>
      <w:r w:rsidR="00F62DA0" w:rsidRPr="00C809E8">
        <w:t xml:space="preserve">central clearinghouse </w:t>
      </w:r>
      <w:r w:rsidR="00C809E8" w:rsidRPr="00C809E8">
        <w:t xml:space="preserve">of </w:t>
      </w:r>
      <w:r w:rsidR="00F62DA0" w:rsidRPr="00C809E8">
        <w:t>evidence on the effectiveness of policies and programs affecting Aboriginal and Torres Strait Islander people</w:t>
      </w:r>
      <w:r w:rsidR="00C809E8" w:rsidRPr="00C809E8">
        <w:t>s.</w:t>
      </w:r>
      <w:r w:rsidR="00F62DA0" w:rsidRPr="00C809E8">
        <w:t xml:space="preserve"> </w:t>
      </w:r>
    </w:p>
    <w:p w14:paraId="2A55CD32" w14:textId="77777777" w:rsidR="008959E5" w:rsidRPr="00BD442F" w:rsidRDefault="008959E5" w:rsidP="008959E5">
      <w:pPr>
        <w:jc w:val="both"/>
      </w:pPr>
    </w:p>
    <w:p w14:paraId="7A98A220" w14:textId="77777777" w:rsidR="00A522F0" w:rsidRDefault="00A522F0" w:rsidP="00A522F0"/>
    <w:sectPr w:rsidR="00A52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EDA"/>
    <w:multiLevelType w:val="hybridMultilevel"/>
    <w:tmpl w:val="9098AB66"/>
    <w:lvl w:ilvl="0" w:tplc="E028D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0F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8ED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83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E9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040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E4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A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640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C4288"/>
    <w:multiLevelType w:val="hybridMultilevel"/>
    <w:tmpl w:val="0A302222"/>
    <w:lvl w:ilvl="0" w:tplc="521C7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56A80"/>
    <w:multiLevelType w:val="hybridMultilevel"/>
    <w:tmpl w:val="0100A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D2501"/>
    <w:multiLevelType w:val="hybridMultilevel"/>
    <w:tmpl w:val="E4AA0C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5F333A"/>
    <w:multiLevelType w:val="hybridMultilevel"/>
    <w:tmpl w:val="DBC80704"/>
    <w:lvl w:ilvl="0" w:tplc="A4E201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90F5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A82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C7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A01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2A3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C46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B223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8EA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BD"/>
    <w:rsid w:val="00014F80"/>
    <w:rsid w:val="00020137"/>
    <w:rsid w:val="000478DD"/>
    <w:rsid w:val="00063CE0"/>
    <w:rsid w:val="00074738"/>
    <w:rsid w:val="000A42F2"/>
    <w:rsid w:val="000A745E"/>
    <w:rsid w:val="000E7F03"/>
    <w:rsid w:val="001157C4"/>
    <w:rsid w:val="001357EB"/>
    <w:rsid w:val="00146D07"/>
    <w:rsid w:val="001A6021"/>
    <w:rsid w:val="001B65D4"/>
    <w:rsid w:val="001C2B49"/>
    <w:rsid w:val="001D0B62"/>
    <w:rsid w:val="00213C2B"/>
    <w:rsid w:val="00275491"/>
    <w:rsid w:val="00281248"/>
    <w:rsid w:val="002955D9"/>
    <w:rsid w:val="002F44AA"/>
    <w:rsid w:val="00301895"/>
    <w:rsid w:val="00306FE5"/>
    <w:rsid w:val="003155AE"/>
    <w:rsid w:val="00361035"/>
    <w:rsid w:val="00373D47"/>
    <w:rsid w:val="003D220F"/>
    <w:rsid w:val="00416735"/>
    <w:rsid w:val="00443082"/>
    <w:rsid w:val="00445071"/>
    <w:rsid w:val="0046338A"/>
    <w:rsid w:val="00494F93"/>
    <w:rsid w:val="00501958"/>
    <w:rsid w:val="00510F1D"/>
    <w:rsid w:val="005240C2"/>
    <w:rsid w:val="00527DF4"/>
    <w:rsid w:val="005438E7"/>
    <w:rsid w:val="00554AB0"/>
    <w:rsid w:val="0059713F"/>
    <w:rsid w:val="00597DED"/>
    <w:rsid w:val="005E52B7"/>
    <w:rsid w:val="006239C1"/>
    <w:rsid w:val="0064327F"/>
    <w:rsid w:val="006F11C3"/>
    <w:rsid w:val="00714D6C"/>
    <w:rsid w:val="0072241D"/>
    <w:rsid w:val="0073120A"/>
    <w:rsid w:val="00752DD4"/>
    <w:rsid w:val="007E1F77"/>
    <w:rsid w:val="00806DFC"/>
    <w:rsid w:val="00844AE3"/>
    <w:rsid w:val="0085504D"/>
    <w:rsid w:val="008959E5"/>
    <w:rsid w:val="008C4501"/>
    <w:rsid w:val="008C5CFC"/>
    <w:rsid w:val="008C6B79"/>
    <w:rsid w:val="008D61E7"/>
    <w:rsid w:val="008F5DB5"/>
    <w:rsid w:val="00905957"/>
    <w:rsid w:val="00930E7E"/>
    <w:rsid w:val="0093111D"/>
    <w:rsid w:val="00951963"/>
    <w:rsid w:val="00985A4A"/>
    <w:rsid w:val="009E542E"/>
    <w:rsid w:val="009F4BD2"/>
    <w:rsid w:val="00A04864"/>
    <w:rsid w:val="00A0575F"/>
    <w:rsid w:val="00A1136D"/>
    <w:rsid w:val="00A522F0"/>
    <w:rsid w:val="00AB14A8"/>
    <w:rsid w:val="00AD08BD"/>
    <w:rsid w:val="00B86346"/>
    <w:rsid w:val="00C451CD"/>
    <w:rsid w:val="00C809E8"/>
    <w:rsid w:val="00CC4A6C"/>
    <w:rsid w:val="00D02484"/>
    <w:rsid w:val="00D45360"/>
    <w:rsid w:val="00D5435F"/>
    <w:rsid w:val="00D72679"/>
    <w:rsid w:val="00D74DFD"/>
    <w:rsid w:val="00D90A3C"/>
    <w:rsid w:val="00D94576"/>
    <w:rsid w:val="00DB2D2E"/>
    <w:rsid w:val="00DD54B9"/>
    <w:rsid w:val="00DF2E6A"/>
    <w:rsid w:val="00DF77E8"/>
    <w:rsid w:val="00E1676A"/>
    <w:rsid w:val="00E216BD"/>
    <w:rsid w:val="00E25222"/>
    <w:rsid w:val="00E61EF1"/>
    <w:rsid w:val="00EC3C34"/>
    <w:rsid w:val="00ED16AB"/>
    <w:rsid w:val="00F070F5"/>
    <w:rsid w:val="00F20C43"/>
    <w:rsid w:val="00F3671E"/>
    <w:rsid w:val="00F62DA0"/>
    <w:rsid w:val="00F85467"/>
    <w:rsid w:val="00F86AD1"/>
    <w:rsid w:val="00F92038"/>
    <w:rsid w:val="00F9319B"/>
    <w:rsid w:val="00FE1144"/>
    <w:rsid w:val="026B1E76"/>
    <w:rsid w:val="0393C22D"/>
    <w:rsid w:val="058B9F25"/>
    <w:rsid w:val="0ACC6E64"/>
    <w:rsid w:val="0F8E17FD"/>
    <w:rsid w:val="1278F4BD"/>
    <w:rsid w:val="15A42D68"/>
    <w:rsid w:val="15A956D4"/>
    <w:rsid w:val="16DBD770"/>
    <w:rsid w:val="222D7A6A"/>
    <w:rsid w:val="2538E556"/>
    <w:rsid w:val="324CAEF1"/>
    <w:rsid w:val="3952FC1E"/>
    <w:rsid w:val="39E4AEB7"/>
    <w:rsid w:val="3B6C76F3"/>
    <w:rsid w:val="3E35A021"/>
    <w:rsid w:val="43D37A15"/>
    <w:rsid w:val="467BC4C3"/>
    <w:rsid w:val="4AA320A2"/>
    <w:rsid w:val="4C28BE75"/>
    <w:rsid w:val="4D2EB454"/>
    <w:rsid w:val="4FD732B6"/>
    <w:rsid w:val="50BDB0FD"/>
    <w:rsid w:val="59800219"/>
    <w:rsid w:val="5D05C41A"/>
    <w:rsid w:val="65A881E9"/>
    <w:rsid w:val="6733421E"/>
    <w:rsid w:val="6836BE22"/>
    <w:rsid w:val="6B1F5CD6"/>
    <w:rsid w:val="6C16ED37"/>
    <w:rsid w:val="6FC1DC75"/>
    <w:rsid w:val="72E8EFED"/>
    <w:rsid w:val="7FF1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52C7"/>
  <w15:chartTrackingRefBased/>
  <w15:docId w15:val="{40089BBB-F2B4-4014-BF44-54D05572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B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5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6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BDE1CD57AAA4299C7F0B5ADFE68F4" ma:contentTypeVersion="4" ma:contentTypeDescription="Create a new document." ma:contentTypeScope="" ma:versionID="ca88a018cdb50066c8ee5b0b48f05bcb">
  <xsd:schema xmlns:xsd="http://www.w3.org/2001/XMLSchema" xmlns:xs="http://www.w3.org/2001/XMLSchema" xmlns:p="http://schemas.microsoft.com/office/2006/metadata/properties" xmlns:ns3="82b6e5cb-3b31-4e62-a14c-a007b29088d8" targetNamespace="http://schemas.microsoft.com/office/2006/metadata/properties" ma:root="true" ma:fieldsID="57ba81186e9e0b2c976dcb4d6736d3b7" ns3:_="">
    <xsd:import namespace="82b6e5cb-3b31-4e62-a14c-a007b29088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6e5cb-3b31-4e62-a14c-a007b2908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9EC54-236C-42B2-B0D7-13082452B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D02BC-69EE-4A74-AB32-61C0858DC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A910E-61BA-47A4-9F6E-7A53BC0CD5AB}">
  <ds:schemaRefs>
    <ds:schemaRef ds:uri="http://purl.org/dc/terms/"/>
    <ds:schemaRef ds:uri="http://purl.org/dc/dcmitype/"/>
    <ds:schemaRef ds:uri="http://schemas.microsoft.com/office/2006/documentManagement/types"/>
    <ds:schemaRef ds:uri="82b6e5cb-3b31-4e62-a14c-a007b29088d8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4D5216-0FF3-4949-8292-2C087BA7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6e5cb-3b31-4e62-a14c-a007b2908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DR180 - Indigenous Evaluation Strategy - Project</vt:lpstr>
    </vt:vector>
  </TitlesOfParts>
  <Company>NSW Treasury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DR180 - Indigenous Evaluation Strategy - Project</dc:title>
  <dc:subject/>
  <dc:creator>NSW Treasury</dc:creator>
  <cp:keywords/>
  <dc:description/>
  <cp:lastModifiedBy>Productivity Commission</cp:lastModifiedBy>
  <cp:revision>3</cp:revision>
  <dcterms:created xsi:type="dcterms:W3CDTF">2020-10-02T07:41:00Z</dcterms:created>
  <dcterms:modified xsi:type="dcterms:W3CDTF">2020-10-05T23:28:00Z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0x0101007B2BDE1CD57AAA4299C7F0B5ADFE68F4</vt:lpwstr>
  </property>
</Properties>
</file>