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E71C8" w14:textId="44B6FCBA" w:rsidR="00316BF2" w:rsidRDefault="00316BF2" w:rsidP="004B22DB">
      <w:pPr>
        <w:jc w:val="both"/>
      </w:pPr>
    </w:p>
    <w:p w14:paraId="2FFCE34B" w14:textId="77777777" w:rsidR="00166B43" w:rsidRDefault="00166B43" w:rsidP="005C56B9"/>
    <w:p w14:paraId="42C4B1A9" w14:textId="77777777" w:rsidR="00166B43" w:rsidRDefault="00166B43" w:rsidP="005C56B9"/>
    <w:p w14:paraId="20E84D85" w14:textId="13A88360" w:rsidR="005C56B9" w:rsidRDefault="005C56B9" w:rsidP="005C56B9">
      <w:pPr>
        <w:rPr>
          <w:color w:val="313131"/>
          <w:shd w:val="clear" w:color="auto" w:fill="FFFFFF"/>
        </w:rPr>
      </w:pPr>
      <w:r>
        <w:t xml:space="preserve">Ms Yvette Goss </w:t>
      </w:r>
    </w:p>
    <w:p w14:paraId="41C5DE64" w14:textId="77777777" w:rsidR="005C56B9" w:rsidRDefault="005C56B9" w:rsidP="005C56B9">
      <w:pPr>
        <w:rPr>
          <w:color w:val="313131"/>
          <w:shd w:val="clear" w:color="auto" w:fill="FFFFFF"/>
        </w:rPr>
      </w:pPr>
      <w:r>
        <w:rPr>
          <w:color w:val="313131"/>
          <w:shd w:val="clear" w:color="auto" w:fill="FFFFFF"/>
        </w:rPr>
        <w:t xml:space="preserve">Right to Repair </w:t>
      </w:r>
    </w:p>
    <w:p w14:paraId="2B7EC011" w14:textId="77777777" w:rsidR="005C56B9" w:rsidRDefault="005C56B9" w:rsidP="005C56B9">
      <w:pPr>
        <w:rPr>
          <w:color w:val="313131"/>
          <w:shd w:val="clear" w:color="auto" w:fill="FFFFFF"/>
        </w:rPr>
      </w:pPr>
      <w:r>
        <w:rPr>
          <w:color w:val="313131"/>
          <w:shd w:val="clear" w:color="auto" w:fill="FFFFFF"/>
        </w:rPr>
        <w:t xml:space="preserve">Productivity Commission </w:t>
      </w:r>
    </w:p>
    <w:p w14:paraId="6F3975E3" w14:textId="77777777" w:rsidR="005C56B9" w:rsidRDefault="005C56B9" w:rsidP="005C56B9">
      <w:pPr>
        <w:rPr>
          <w:color w:val="313131"/>
          <w:shd w:val="clear" w:color="auto" w:fill="FFFFFF"/>
        </w:rPr>
      </w:pPr>
      <w:r>
        <w:rPr>
          <w:color w:val="313131"/>
          <w:shd w:val="clear" w:color="auto" w:fill="FFFFFF"/>
        </w:rPr>
        <w:t>4 National Circuit</w:t>
      </w:r>
    </w:p>
    <w:p w14:paraId="39105A18" w14:textId="77777777" w:rsidR="005C56B9" w:rsidRDefault="005C56B9" w:rsidP="005C56B9">
      <w:pPr>
        <w:rPr>
          <w:color w:val="313131"/>
          <w:shd w:val="clear" w:color="auto" w:fill="FFFFFF"/>
        </w:rPr>
      </w:pPr>
      <w:r>
        <w:rPr>
          <w:color w:val="313131"/>
          <w:shd w:val="clear" w:color="auto" w:fill="FFFFFF"/>
        </w:rPr>
        <w:t>Barton ACT 2600</w:t>
      </w:r>
    </w:p>
    <w:p w14:paraId="71A169A9" w14:textId="257DBFDB" w:rsidR="005C56B9" w:rsidRDefault="005C56B9" w:rsidP="005C56B9">
      <w:pPr>
        <w:rPr>
          <w:color w:val="313131"/>
          <w:shd w:val="clear" w:color="auto" w:fill="FFFFFF"/>
        </w:rPr>
      </w:pPr>
      <w:r>
        <w:rPr>
          <w:color w:val="313131"/>
          <w:shd w:val="clear" w:color="auto" w:fill="FFFFFF"/>
        </w:rPr>
        <w:t xml:space="preserve">Australia </w:t>
      </w:r>
    </w:p>
    <w:p w14:paraId="6435F585" w14:textId="0EE06FEF" w:rsidR="005C56B9" w:rsidRDefault="005C56B9" w:rsidP="005C56B9">
      <w:pPr>
        <w:rPr>
          <w:color w:val="3B3838"/>
          <w:bdr w:val="none" w:sz="0" w:space="0" w:color="auto" w:frame="1"/>
        </w:rPr>
      </w:pPr>
    </w:p>
    <w:p w14:paraId="5332E336" w14:textId="62438214" w:rsidR="00166B43" w:rsidRDefault="00166B43" w:rsidP="005C56B9">
      <w:pPr>
        <w:rPr>
          <w:color w:val="3B3838"/>
          <w:bdr w:val="none" w:sz="0" w:space="0" w:color="auto" w:frame="1"/>
        </w:rPr>
      </w:pPr>
    </w:p>
    <w:p w14:paraId="52E235F2" w14:textId="4B3C6858" w:rsidR="00166B43" w:rsidRDefault="00166B43" w:rsidP="005C56B9">
      <w:pPr>
        <w:rPr>
          <w:color w:val="3B3838"/>
          <w:bdr w:val="none" w:sz="0" w:space="0" w:color="auto" w:frame="1"/>
        </w:rPr>
      </w:pPr>
    </w:p>
    <w:p w14:paraId="677BD33B" w14:textId="77777777" w:rsidR="00166B43" w:rsidRPr="00BF08CB" w:rsidRDefault="00166B43" w:rsidP="005C56B9">
      <w:pPr>
        <w:rPr>
          <w:color w:val="3B3838"/>
          <w:bdr w:val="none" w:sz="0" w:space="0" w:color="auto" w:frame="1"/>
        </w:rPr>
      </w:pPr>
    </w:p>
    <w:p w14:paraId="585F699C" w14:textId="439CF753" w:rsidR="005C56B9" w:rsidRDefault="005C56B9" w:rsidP="005C56B9">
      <w:pPr>
        <w:pStyle w:val="xmsonormal"/>
        <w:shd w:val="clear" w:color="auto" w:fill="FFFFFF"/>
        <w:spacing w:before="0" w:beforeAutospacing="0" w:after="0" w:afterAutospacing="0" w:line="360" w:lineRule="auto"/>
        <w:rPr>
          <w:i/>
          <w:iCs/>
          <w:color w:val="3B3838"/>
          <w:bdr w:val="none" w:sz="0" w:space="0" w:color="auto" w:frame="1"/>
        </w:rPr>
      </w:pPr>
      <w:r>
        <w:rPr>
          <w:i/>
          <w:iCs/>
          <w:color w:val="3B3838"/>
          <w:bdr w:val="none" w:sz="0" w:space="0" w:color="auto" w:frame="1"/>
        </w:rPr>
        <w:t>7 February 202</w:t>
      </w:r>
      <w:r w:rsidR="00166B43">
        <w:rPr>
          <w:i/>
          <w:iCs/>
          <w:color w:val="3B3838"/>
          <w:bdr w:val="none" w:sz="0" w:space="0" w:color="auto" w:frame="1"/>
        </w:rPr>
        <w:t>1</w:t>
      </w:r>
    </w:p>
    <w:p w14:paraId="5F637131" w14:textId="77777777" w:rsidR="005C56B9" w:rsidRDefault="005C56B9" w:rsidP="005C56B9">
      <w:pPr>
        <w:pStyle w:val="xmsonormal"/>
        <w:shd w:val="clear" w:color="auto" w:fill="FFFFFF"/>
        <w:spacing w:before="0" w:beforeAutospacing="0" w:after="0" w:afterAutospacing="0" w:line="360" w:lineRule="auto"/>
        <w:rPr>
          <w:i/>
          <w:iCs/>
          <w:color w:val="3B3838"/>
          <w:bdr w:val="none" w:sz="0" w:space="0" w:color="auto" w:frame="1"/>
        </w:rPr>
      </w:pPr>
    </w:p>
    <w:p w14:paraId="603D9829" w14:textId="77C9007E" w:rsidR="005C56B9" w:rsidRDefault="005C56B9" w:rsidP="00166B43">
      <w:pPr>
        <w:pStyle w:val="xmsonormal"/>
        <w:shd w:val="clear" w:color="auto" w:fill="FFFFFF"/>
        <w:spacing w:before="0" w:beforeAutospacing="0" w:after="0" w:afterAutospacing="0" w:line="360" w:lineRule="auto"/>
        <w:ind w:left="720" w:hanging="720"/>
        <w:rPr>
          <w:i/>
          <w:iCs/>
          <w:color w:val="3B3838"/>
          <w:bdr w:val="none" w:sz="0" w:space="0" w:color="auto" w:frame="1"/>
        </w:rPr>
      </w:pPr>
      <w:r>
        <w:rPr>
          <w:i/>
          <w:iCs/>
          <w:color w:val="3B3838"/>
          <w:bdr w:val="none" w:sz="0" w:space="0" w:color="auto" w:frame="1"/>
        </w:rPr>
        <w:t xml:space="preserve">Re: </w:t>
      </w:r>
      <w:r>
        <w:rPr>
          <w:i/>
          <w:iCs/>
          <w:color w:val="3B3838"/>
          <w:bdr w:val="none" w:sz="0" w:space="0" w:color="auto" w:frame="1"/>
        </w:rPr>
        <w:tab/>
        <w:t>Submission on the Right to Repair in response to the  Productivity Commission’s Issues Paper December 2020</w:t>
      </w:r>
    </w:p>
    <w:p w14:paraId="7524DDB4" w14:textId="225A2D04" w:rsidR="00166B43" w:rsidRDefault="00166B43" w:rsidP="00166B43">
      <w:pPr>
        <w:pStyle w:val="xmsonormal"/>
        <w:shd w:val="clear" w:color="auto" w:fill="FFFFFF"/>
        <w:spacing w:before="0" w:beforeAutospacing="0" w:after="0" w:afterAutospacing="0" w:line="360" w:lineRule="auto"/>
        <w:ind w:left="720" w:hanging="720"/>
        <w:rPr>
          <w:i/>
          <w:iCs/>
          <w:color w:val="3B3838"/>
          <w:bdr w:val="none" w:sz="0" w:space="0" w:color="auto" w:frame="1"/>
        </w:rPr>
      </w:pPr>
    </w:p>
    <w:p w14:paraId="787DB835" w14:textId="77777777" w:rsidR="00166B43" w:rsidRPr="00166B43" w:rsidRDefault="00166B43" w:rsidP="00166B43">
      <w:pPr>
        <w:pStyle w:val="xmsonormal"/>
        <w:shd w:val="clear" w:color="auto" w:fill="FFFFFF"/>
        <w:spacing w:before="0" w:beforeAutospacing="0" w:after="0" w:afterAutospacing="0" w:line="360" w:lineRule="auto"/>
        <w:ind w:left="720" w:hanging="720"/>
        <w:rPr>
          <w:i/>
          <w:iCs/>
          <w:color w:val="3B3838"/>
          <w:bdr w:val="none" w:sz="0" w:space="0" w:color="auto" w:frame="1"/>
        </w:rPr>
      </w:pPr>
    </w:p>
    <w:p w14:paraId="6A2F9A76" w14:textId="77777777" w:rsidR="00166B43" w:rsidRDefault="005C56B9" w:rsidP="00166B43">
      <w:pPr>
        <w:jc w:val="both"/>
        <w:rPr>
          <w:i/>
          <w:iCs/>
          <w:color w:val="000000" w:themeColor="text1"/>
          <w:bdr w:val="none" w:sz="0" w:space="0" w:color="auto" w:frame="1"/>
        </w:rPr>
      </w:pPr>
      <w:r w:rsidRPr="00166B43">
        <w:rPr>
          <w:color w:val="000000" w:themeColor="text1"/>
          <w:bdr w:val="none" w:sz="0" w:space="0" w:color="auto" w:frame="1"/>
        </w:rPr>
        <w:t xml:space="preserve">Thank you for the opportunity to make a submission to the </w:t>
      </w:r>
      <w:r w:rsidRPr="00166B43">
        <w:rPr>
          <w:i/>
          <w:iCs/>
          <w:color w:val="000000" w:themeColor="text1"/>
          <w:bdr w:val="none" w:sz="0" w:space="0" w:color="auto" w:frame="1"/>
        </w:rPr>
        <w:t>Issues Paper</w:t>
      </w:r>
      <w:r w:rsidRPr="00166B43">
        <w:rPr>
          <w:color w:val="000000" w:themeColor="text1"/>
          <w:bdr w:val="none" w:sz="0" w:space="0" w:color="auto" w:frame="1"/>
        </w:rPr>
        <w:t xml:space="preserve"> on the Right to Repair</w:t>
      </w:r>
      <w:r w:rsidRPr="00166B43">
        <w:rPr>
          <w:i/>
          <w:iCs/>
          <w:color w:val="000000" w:themeColor="text1"/>
          <w:bdr w:val="none" w:sz="0" w:space="0" w:color="auto" w:frame="1"/>
        </w:rPr>
        <w:t>.</w:t>
      </w:r>
      <w:r w:rsidR="00166B43">
        <w:rPr>
          <w:i/>
          <w:iCs/>
          <w:color w:val="000000" w:themeColor="text1"/>
          <w:bdr w:val="none" w:sz="0" w:space="0" w:color="auto" w:frame="1"/>
        </w:rPr>
        <w:t xml:space="preserve"> </w:t>
      </w:r>
    </w:p>
    <w:p w14:paraId="6D5DBFEA" w14:textId="77777777" w:rsidR="00166B43" w:rsidRDefault="00166B43" w:rsidP="00166B43">
      <w:pPr>
        <w:jc w:val="both"/>
        <w:rPr>
          <w:i/>
          <w:iCs/>
          <w:color w:val="000000" w:themeColor="text1"/>
          <w:bdr w:val="none" w:sz="0" w:space="0" w:color="auto" w:frame="1"/>
        </w:rPr>
      </w:pPr>
    </w:p>
    <w:p w14:paraId="4B9BCBEB" w14:textId="3F45A1D2" w:rsidR="005C56B9" w:rsidRPr="00166B43" w:rsidRDefault="005C56B9" w:rsidP="00166B43">
      <w:pPr>
        <w:jc w:val="both"/>
        <w:rPr>
          <w:i/>
          <w:iCs/>
          <w:color w:val="000000" w:themeColor="text1"/>
          <w:bdr w:val="none" w:sz="0" w:space="0" w:color="auto" w:frame="1"/>
        </w:rPr>
      </w:pPr>
      <w:r w:rsidRPr="00166B43">
        <w:rPr>
          <w:color w:val="000000" w:themeColor="text1"/>
          <w:shd w:val="clear" w:color="auto" w:fill="FFFFFF"/>
        </w:rPr>
        <w:t xml:space="preserve">We note that the Commission has been asked to assess the costs and benefits of a right to repair in Australia and the impact that regulatory or policy changes could have on market offerings for repair services and replacement products. We note further that in </w:t>
      </w:r>
      <w:r w:rsidRPr="00166B43">
        <w:rPr>
          <w:color w:val="000000" w:themeColor="text1"/>
          <w:spacing w:val="6"/>
        </w:rPr>
        <w:t>undertaking the inquiry, the Commission should consider:</w:t>
      </w:r>
    </w:p>
    <w:p w14:paraId="32EAC3FF" w14:textId="77777777" w:rsidR="005C56B9" w:rsidRPr="00166B43" w:rsidRDefault="005C56B9" w:rsidP="000D72DE">
      <w:pPr>
        <w:numPr>
          <w:ilvl w:val="0"/>
          <w:numId w:val="6"/>
        </w:numPr>
        <w:shd w:val="clear" w:color="auto" w:fill="FFFFFF"/>
        <w:spacing w:before="100" w:beforeAutospacing="1" w:after="100" w:afterAutospacing="1"/>
        <w:ind w:right="-52"/>
        <w:jc w:val="both"/>
        <w:rPr>
          <w:i/>
          <w:iCs/>
          <w:color w:val="000000" w:themeColor="text1"/>
          <w:spacing w:val="6"/>
        </w:rPr>
      </w:pPr>
      <w:r w:rsidRPr="00166B43">
        <w:rPr>
          <w:i/>
          <w:iCs/>
          <w:color w:val="000000" w:themeColor="text1"/>
          <w:spacing w:val="6"/>
        </w:rPr>
        <w:t>The legislative arrangements that govern repairs of goods and services, and whether regulatory barriers exist that prevent consumers from sourcing competitive repairs;</w:t>
      </w:r>
    </w:p>
    <w:p w14:paraId="736DEE5E" w14:textId="77777777" w:rsidR="005C56B9" w:rsidRPr="00166B43" w:rsidRDefault="005C56B9" w:rsidP="000D72DE">
      <w:pPr>
        <w:numPr>
          <w:ilvl w:val="0"/>
          <w:numId w:val="6"/>
        </w:numPr>
        <w:shd w:val="clear" w:color="auto" w:fill="FFFFFF"/>
        <w:spacing w:before="100" w:beforeAutospacing="1" w:after="100" w:afterAutospacing="1"/>
        <w:ind w:right="-52"/>
        <w:jc w:val="both"/>
        <w:rPr>
          <w:i/>
          <w:iCs/>
          <w:color w:val="000000" w:themeColor="text1"/>
          <w:spacing w:val="6"/>
        </w:rPr>
      </w:pPr>
      <w:r w:rsidRPr="00166B43">
        <w:rPr>
          <w:i/>
          <w:iCs/>
          <w:color w:val="000000" w:themeColor="text1"/>
          <w:spacing w:val="6"/>
        </w:rPr>
        <w:t>The barriers and enablers to competition in repair markets, including analysing any manufacturer-imposed barriers, and the costs and benefits associated with broader application of regulated approaches to right of repair and facilitating legal access to embedded software in consumer and other goods;</w:t>
      </w:r>
    </w:p>
    <w:p w14:paraId="5B5E7918" w14:textId="77777777" w:rsidR="005C56B9" w:rsidRPr="00166B43" w:rsidRDefault="005C56B9" w:rsidP="000D72DE">
      <w:pPr>
        <w:numPr>
          <w:ilvl w:val="0"/>
          <w:numId w:val="6"/>
        </w:numPr>
        <w:shd w:val="clear" w:color="auto" w:fill="FFFFFF"/>
        <w:spacing w:before="100" w:beforeAutospacing="1" w:after="100" w:afterAutospacing="1"/>
        <w:ind w:right="-52"/>
        <w:jc w:val="both"/>
        <w:rPr>
          <w:i/>
          <w:iCs/>
          <w:color w:val="000000" w:themeColor="text1"/>
          <w:spacing w:val="6"/>
        </w:rPr>
      </w:pPr>
      <w:r w:rsidRPr="00166B43">
        <w:rPr>
          <w:i/>
          <w:iCs/>
          <w:color w:val="000000" w:themeColor="text1"/>
          <w:spacing w:val="6"/>
        </w:rPr>
        <w:t>The impact of digital rights management on third-party repairers and consumers, and how intellectual property rights or commercially-sensitive knowledge would interact with a right to repair;</w:t>
      </w:r>
    </w:p>
    <w:p w14:paraId="52586BC1" w14:textId="77777777" w:rsidR="005C56B9" w:rsidRPr="00166B43" w:rsidRDefault="005C56B9" w:rsidP="000D72DE">
      <w:pPr>
        <w:numPr>
          <w:ilvl w:val="0"/>
          <w:numId w:val="6"/>
        </w:numPr>
        <w:shd w:val="clear" w:color="auto" w:fill="FFFFFF"/>
        <w:spacing w:before="100" w:beforeAutospacing="1" w:after="100" w:afterAutospacing="1"/>
        <w:ind w:right="-52"/>
        <w:jc w:val="both"/>
        <w:rPr>
          <w:i/>
          <w:iCs/>
          <w:color w:val="000000" w:themeColor="text1"/>
          <w:spacing w:val="6"/>
        </w:rPr>
      </w:pPr>
      <w:r w:rsidRPr="00166B43">
        <w:rPr>
          <w:i/>
          <w:iCs/>
          <w:color w:val="000000" w:themeColor="text1"/>
          <w:spacing w:val="6"/>
        </w:rPr>
        <w:t>The effectiveness of current arrangements for preventing premature or planned product obsolescence and the proliferation of e</w:t>
      </w:r>
      <w:r w:rsidRPr="00166B43">
        <w:rPr>
          <w:i/>
          <w:iCs/>
          <w:color w:val="000000" w:themeColor="text1"/>
          <w:spacing w:val="6"/>
        </w:rPr>
        <w:noBreakHyphen/>
        <w:t>waste, and further means of reducing e</w:t>
      </w:r>
      <w:r w:rsidRPr="00166B43">
        <w:rPr>
          <w:i/>
          <w:iCs/>
          <w:color w:val="000000" w:themeColor="text1"/>
          <w:spacing w:val="6"/>
        </w:rPr>
        <w:noBreakHyphen/>
        <w:t>waste through improved access to repairs and increased competition in repair markets; and</w:t>
      </w:r>
    </w:p>
    <w:p w14:paraId="6503A01A" w14:textId="0C455034" w:rsidR="000D72DE" w:rsidRPr="00166B43" w:rsidRDefault="005C56B9" w:rsidP="000D72DE">
      <w:pPr>
        <w:numPr>
          <w:ilvl w:val="0"/>
          <w:numId w:val="6"/>
        </w:numPr>
        <w:shd w:val="clear" w:color="auto" w:fill="FFFFFF"/>
        <w:spacing w:before="100" w:beforeAutospacing="1" w:after="100" w:afterAutospacing="1"/>
        <w:ind w:right="-52"/>
        <w:jc w:val="both"/>
        <w:rPr>
          <w:i/>
          <w:iCs/>
          <w:color w:val="000000" w:themeColor="text1"/>
          <w:spacing w:val="6"/>
        </w:rPr>
      </w:pPr>
      <w:r w:rsidRPr="00166B43">
        <w:rPr>
          <w:i/>
          <w:iCs/>
          <w:color w:val="000000" w:themeColor="text1"/>
          <w:spacing w:val="6"/>
        </w:rPr>
        <w:t>The impact on market offerings, should firms have their control over repair removed.</w:t>
      </w:r>
    </w:p>
    <w:p w14:paraId="72BBF955" w14:textId="3B0D5609" w:rsidR="000D72DE" w:rsidRDefault="00166B43" w:rsidP="00166B43">
      <w:pPr>
        <w:jc w:val="both"/>
        <w:rPr>
          <w:rFonts w:ascii="Open Sans" w:hAnsi="Open Sans"/>
          <w:color w:val="000000"/>
          <w:spacing w:val="6"/>
          <w:sz w:val="23"/>
          <w:szCs w:val="23"/>
          <w:shd w:val="clear" w:color="auto" w:fill="EFEFEF"/>
        </w:rPr>
      </w:pPr>
      <w:r>
        <w:t xml:space="preserve">We appreciate the broad and complex multi-disciplinary issues raised in the </w:t>
      </w:r>
      <w:r w:rsidR="000D72DE">
        <w:t>Terms of Reference for this 12 month Inquiry and</w:t>
      </w:r>
      <w:r>
        <w:t xml:space="preserve"> note that</w:t>
      </w:r>
      <w:r w:rsidR="000D72DE">
        <w:t xml:space="preserve"> our </w:t>
      </w:r>
      <w:r w:rsidR="000D72DE" w:rsidRPr="000D72DE">
        <w:t xml:space="preserve">submission </w:t>
      </w:r>
      <w:r w:rsidR="000D72DE">
        <w:t xml:space="preserve">will </w:t>
      </w:r>
      <w:r>
        <w:t xml:space="preserve">only touch on some of the </w:t>
      </w:r>
      <w:r w:rsidR="000D72DE">
        <w:t>issues raised</w:t>
      </w:r>
      <w:r>
        <w:t>, given the time constraints. W</w:t>
      </w:r>
      <w:r w:rsidR="000D72DE">
        <w:t xml:space="preserve">e look forward to the opportunity to provide further submissions when the Productivity Commission releases its draft Report in June 2021. </w:t>
      </w:r>
    </w:p>
    <w:p w14:paraId="7F098F03" w14:textId="2CC05CC7" w:rsidR="000D72DE" w:rsidRDefault="000D72DE" w:rsidP="000D72DE">
      <w:pPr>
        <w:rPr>
          <w:rFonts w:ascii="Open Sans" w:hAnsi="Open Sans"/>
          <w:color w:val="000000"/>
          <w:spacing w:val="6"/>
          <w:sz w:val="23"/>
          <w:szCs w:val="23"/>
          <w:shd w:val="clear" w:color="auto" w:fill="EFEFEF"/>
        </w:rPr>
      </w:pPr>
    </w:p>
    <w:p w14:paraId="4172A920" w14:textId="7C92ED8A" w:rsidR="005D0581" w:rsidRPr="00E55AED" w:rsidRDefault="005D0581" w:rsidP="005D0581">
      <w:pPr>
        <w:pStyle w:val="xmsonormal"/>
        <w:shd w:val="clear" w:color="auto" w:fill="FFFFFF"/>
        <w:spacing w:before="0" w:beforeAutospacing="0" w:after="0" w:afterAutospacing="0"/>
        <w:jc w:val="both"/>
        <w:rPr>
          <w:color w:val="212121"/>
          <w:sz w:val="20"/>
          <w:szCs w:val="20"/>
        </w:rPr>
      </w:pPr>
      <w:r>
        <w:rPr>
          <w:color w:val="3B3838"/>
          <w:bdr w:val="none" w:sz="0" w:space="0" w:color="auto" w:frame="1"/>
        </w:rPr>
        <w:t xml:space="preserve">We are </w:t>
      </w:r>
      <w:r w:rsidRPr="00BF08CB">
        <w:rPr>
          <w:color w:val="3B3838"/>
          <w:bdr w:val="none" w:sz="0" w:space="0" w:color="auto" w:frame="1"/>
        </w:rPr>
        <w:t xml:space="preserve">Intellectual Property Law </w:t>
      </w:r>
      <w:r>
        <w:rPr>
          <w:color w:val="3B3838"/>
          <w:bdr w:val="none" w:sz="0" w:space="0" w:color="auto" w:frame="1"/>
        </w:rPr>
        <w:t xml:space="preserve">academics </w:t>
      </w:r>
      <w:r w:rsidRPr="00BF08CB">
        <w:rPr>
          <w:color w:val="3B3838"/>
          <w:bdr w:val="none" w:sz="0" w:space="0" w:color="auto" w:frame="1"/>
        </w:rPr>
        <w:t xml:space="preserve">at </w:t>
      </w:r>
      <w:r>
        <w:rPr>
          <w:color w:val="3B3838"/>
          <w:bdr w:val="none" w:sz="0" w:space="0" w:color="auto" w:frame="1"/>
        </w:rPr>
        <w:t>Griffith University with a strong interest in the International Right to Repair movement.  We</w:t>
      </w:r>
      <w:r w:rsidRPr="00BF08CB">
        <w:rPr>
          <w:color w:val="3B3838"/>
          <w:bdr w:val="none" w:sz="0" w:space="0" w:color="auto" w:frame="1"/>
        </w:rPr>
        <w:t xml:space="preserve"> </w:t>
      </w:r>
      <w:r w:rsidR="00D81D1C">
        <w:rPr>
          <w:color w:val="3B3838"/>
          <w:bdr w:val="none" w:sz="0" w:space="0" w:color="auto" w:frame="1"/>
        </w:rPr>
        <w:t xml:space="preserve">are researching </w:t>
      </w:r>
      <w:r w:rsidRPr="00BF08CB">
        <w:rPr>
          <w:color w:val="3B3838"/>
          <w:bdr w:val="none" w:sz="0" w:space="0" w:color="auto" w:frame="1"/>
        </w:rPr>
        <w:t xml:space="preserve">the intersection between Intellectual Property </w:t>
      </w:r>
      <w:r>
        <w:rPr>
          <w:color w:val="3B3838"/>
          <w:bdr w:val="none" w:sz="0" w:space="0" w:color="auto" w:frame="1"/>
        </w:rPr>
        <w:t xml:space="preserve">law, consumer and competition law </w:t>
      </w:r>
      <w:r w:rsidRPr="00BF08CB">
        <w:rPr>
          <w:color w:val="3B3838"/>
          <w:bdr w:val="none" w:sz="0" w:space="0" w:color="auto" w:frame="1"/>
        </w:rPr>
        <w:t xml:space="preserve">and the international Right to Repair movement. </w:t>
      </w:r>
      <w:r w:rsidRPr="004D6B25">
        <w:rPr>
          <w:color w:val="3B3838"/>
          <w:bdr w:val="none" w:sz="0" w:space="0" w:color="auto" w:frame="1"/>
        </w:rPr>
        <w:t xml:space="preserve">We </w:t>
      </w:r>
      <w:r>
        <w:rPr>
          <w:color w:val="3B3838"/>
          <w:bdr w:val="none" w:sz="0" w:space="0" w:color="auto" w:frame="1"/>
        </w:rPr>
        <w:t>we</w:t>
      </w:r>
      <w:r w:rsidRPr="004D6B25">
        <w:rPr>
          <w:color w:val="3B3838"/>
          <w:bdr w:val="none" w:sz="0" w:space="0" w:color="auto" w:frame="1"/>
        </w:rPr>
        <w:t xml:space="preserve">re also guest editors of the special edition of the 2020 </w:t>
      </w:r>
      <w:r w:rsidRPr="004D6B25">
        <w:rPr>
          <w:i/>
          <w:iCs/>
          <w:color w:val="3B3838"/>
          <w:bdr w:val="none" w:sz="0" w:space="0" w:color="auto" w:frame="1"/>
        </w:rPr>
        <w:t xml:space="preserve">Australian Intellectual Property Journal: </w:t>
      </w:r>
      <w:r w:rsidRPr="004D6B25">
        <w:rPr>
          <w:color w:val="212121"/>
          <w:shd w:val="clear" w:color="auto" w:fill="FFFFFF"/>
        </w:rPr>
        <w:t xml:space="preserve">entitled: </w:t>
      </w:r>
      <w:r w:rsidRPr="004D6B25">
        <w:rPr>
          <w:i/>
          <w:iCs/>
          <w:color w:val="212121"/>
          <w:shd w:val="clear" w:color="auto" w:fill="FFFFFF"/>
        </w:rPr>
        <w:t>‘Unlocking the Interface between IP and the Right to Repair’</w:t>
      </w:r>
      <w:r w:rsidRPr="004D6B25">
        <w:rPr>
          <w:rStyle w:val="FootnoteReference"/>
          <w:color w:val="3B3838"/>
          <w:bdr w:val="none" w:sz="0" w:space="0" w:color="auto" w:frame="1"/>
        </w:rPr>
        <w:footnoteReference w:id="1"/>
      </w:r>
      <w:r>
        <w:rPr>
          <w:i/>
          <w:iCs/>
          <w:color w:val="212121"/>
          <w:shd w:val="clear" w:color="auto" w:fill="FFFFFF"/>
        </w:rPr>
        <w:t xml:space="preserve">, </w:t>
      </w:r>
      <w:r>
        <w:rPr>
          <w:color w:val="212121"/>
          <w:shd w:val="clear" w:color="auto" w:fill="FFFFFF"/>
        </w:rPr>
        <w:t xml:space="preserve"> which </w:t>
      </w:r>
      <w:r w:rsidRPr="00955B33">
        <w:rPr>
          <w:color w:val="212121"/>
          <w:shd w:val="clear" w:color="auto" w:fill="FFFFFF"/>
        </w:rPr>
        <w:t>includes</w:t>
      </w:r>
      <w:r>
        <w:rPr>
          <w:color w:val="212121"/>
          <w:shd w:val="clear" w:color="auto" w:fill="FFFFFF"/>
        </w:rPr>
        <w:t xml:space="preserve"> a series of </w:t>
      </w:r>
      <w:r w:rsidR="00166B43">
        <w:rPr>
          <w:color w:val="212121"/>
          <w:shd w:val="clear" w:color="auto" w:fill="FFFFFF"/>
        </w:rPr>
        <w:t xml:space="preserve">journal </w:t>
      </w:r>
      <w:r>
        <w:rPr>
          <w:color w:val="212121"/>
          <w:shd w:val="clear" w:color="auto" w:fill="FFFFFF"/>
        </w:rPr>
        <w:t xml:space="preserve">articles </w:t>
      </w:r>
      <w:r w:rsidR="00166B43">
        <w:rPr>
          <w:color w:val="212121"/>
          <w:shd w:val="clear" w:color="auto" w:fill="FFFFFF"/>
        </w:rPr>
        <w:t>that</w:t>
      </w:r>
      <w:r>
        <w:rPr>
          <w:color w:val="212121"/>
          <w:shd w:val="clear" w:color="auto" w:fill="FFFFFF"/>
        </w:rPr>
        <w:t xml:space="preserve"> </w:t>
      </w:r>
      <w:r w:rsidRPr="00955B33">
        <w:rPr>
          <w:color w:val="212121"/>
          <w:shd w:val="clear" w:color="auto" w:fill="FFFFFF"/>
        </w:rPr>
        <w:t>provide</w:t>
      </w:r>
      <w:r>
        <w:rPr>
          <w:color w:val="212121"/>
          <w:shd w:val="clear" w:color="auto" w:fill="FFFFFF"/>
        </w:rPr>
        <w:t xml:space="preserve"> an in-depth analysis of </w:t>
      </w:r>
      <w:r w:rsidR="00166B43">
        <w:rPr>
          <w:color w:val="212121"/>
          <w:shd w:val="clear" w:color="auto" w:fill="FFFFFF"/>
        </w:rPr>
        <w:t xml:space="preserve">Australian </w:t>
      </w:r>
      <w:r>
        <w:rPr>
          <w:color w:val="212121"/>
          <w:shd w:val="clear" w:color="auto" w:fill="FFFFFF"/>
        </w:rPr>
        <w:t>IP laws, as both barriers and enablers</w:t>
      </w:r>
      <w:r w:rsidR="00D81D1C">
        <w:rPr>
          <w:color w:val="212121"/>
          <w:shd w:val="clear" w:color="auto" w:fill="FFFFFF"/>
        </w:rPr>
        <w:t>,</w:t>
      </w:r>
      <w:r>
        <w:rPr>
          <w:color w:val="212121"/>
          <w:shd w:val="clear" w:color="auto" w:fill="FFFFFF"/>
        </w:rPr>
        <w:t xml:space="preserve"> of the Right to Repair</w:t>
      </w:r>
      <w:r w:rsidR="00166B43">
        <w:rPr>
          <w:color w:val="212121"/>
          <w:shd w:val="clear" w:color="auto" w:fill="FFFFFF"/>
        </w:rPr>
        <w:t xml:space="preserve">. It includes contributions on the US and EU regulatory responses to the Right to Repair. </w:t>
      </w:r>
    </w:p>
    <w:p w14:paraId="4B3B5EEB" w14:textId="77777777" w:rsidR="000D72DE" w:rsidRDefault="000D72DE" w:rsidP="000D72DE"/>
    <w:p w14:paraId="0DD10D2E" w14:textId="0AA761F4" w:rsidR="000D72DE" w:rsidRDefault="000D72DE" w:rsidP="000D72DE">
      <w:r w:rsidRPr="000D72DE">
        <w:t xml:space="preserve">Please feel free to contact us for further discussion. </w:t>
      </w:r>
    </w:p>
    <w:p w14:paraId="52658FBA" w14:textId="77777777" w:rsidR="000D72DE" w:rsidRDefault="000D72DE" w:rsidP="000D72DE"/>
    <w:p w14:paraId="28BA45C5" w14:textId="0D136279" w:rsidR="000D72DE" w:rsidRDefault="000D72DE" w:rsidP="000D72DE"/>
    <w:p w14:paraId="3BB56F82" w14:textId="0F9D7693" w:rsidR="000D72DE" w:rsidRDefault="000D72DE" w:rsidP="000D72DE">
      <w:r>
        <w:t>Professor Leanne Wiseman</w:t>
      </w:r>
      <w:r>
        <w:tab/>
      </w:r>
      <w:r>
        <w:tab/>
      </w:r>
      <w:r>
        <w:tab/>
      </w:r>
      <w:r>
        <w:tab/>
      </w:r>
      <w:r>
        <w:tab/>
        <w:t>Dr Kanchana Kariyawasam</w:t>
      </w:r>
    </w:p>
    <w:p w14:paraId="1F06F775" w14:textId="69501194" w:rsidR="000D72DE" w:rsidRDefault="000D72DE" w:rsidP="000D72DE">
      <w:r>
        <w:t>Griffith Law School</w:t>
      </w:r>
      <w:r>
        <w:tab/>
      </w:r>
      <w:r>
        <w:tab/>
      </w:r>
      <w:r>
        <w:tab/>
      </w:r>
      <w:r>
        <w:tab/>
      </w:r>
      <w:r>
        <w:tab/>
      </w:r>
      <w:r>
        <w:tab/>
        <w:t>Griffith Business School</w:t>
      </w:r>
    </w:p>
    <w:p w14:paraId="71F3B0B2" w14:textId="004EE248" w:rsidR="000D72DE" w:rsidRDefault="000D72DE" w:rsidP="000D72DE">
      <w:r>
        <w:t>Griffith University</w:t>
      </w:r>
      <w:r w:rsidR="00354AAE">
        <w:tab/>
      </w:r>
      <w:r>
        <w:tab/>
      </w:r>
      <w:r>
        <w:tab/>
      </w:r>
      <w:r>
        <w:tab/>
      </w:r>
      <w:r>
        <w:tab/>
      </w:r>
      <w:r>
        <w:tab/>
        <w:t>Griffith University</w:t>
      </w:r>
    </w:p>
    <w:p w14:paraId="6D4B9F1F" w14:textId="5C1C0F09" w:rsidR="00354AAE" w:rsidRDefault="00354AAE" w:rsidP="00354AAE"/>
    <w:p w14:paraId="40BDA49F" w14:textId="77777777" w:rsidR="00354AAE" w:rsidRPr="000D72DE" w:rsidRDefault="00354AAE" w:rsidP="00354AAE"/>
    <w:p w14:paraId="400D7390" w14:textId="2CCE8A96" w:rsidR="000D72DE" w:rsidRPr="000D72DE" w:rsidRDefault="000D72DE" w:rsidP="000D72DE"/>
    <w:p w14:paraId="3451F07E" w14:textId="09E39BEA" w:rsidR="005C56B9" w:rsidRDefault="005C56B9" w:rsidP="005C56B9">
      <w:pPr>
        <w:spacing w:line="360" w:lineRule="auto"/>
      </w:pPr>
    </w:p>
    <w:p w14:paraId="7BE121DE" w14:textId="06DD34E4" w:rsidR="000D72DE" w:rsidRDefault="000D72DE" w:rsidP="005C56B9">
      <w:pPr>
        <w:spacing w:line="360" w:lineRule="auto"/>
      </w:pPr>
    </w:p>
    <w:p w14:paraId="6F42D063" w14:textId="714163B1" w:rsidR="000D72DE" w:rsidRDefault="000D72DE" w:rsidP="005C56B9">
      <w:pPr>
        <w:spacing w:line="360" w:lineRule="auto"/>
      </w:pPr>
    </w:p>
    <w:p w14:paraId="749A75B5" w14:textId="64A29D0F" w:rsidR="000D72DE" w:rsidRDefault="000D72DE" w:rsidP="005C56B9">
      <w:pPr>
        <w:spacing w:line="360" w:lineRule="auto"/>
      </w:pPr>
    </w:p>
    <w:p w14:paraId="4D702F7A" w14:textId="63DA2BCB" w:rsidR="000D72DE" w:rsidRDefault="000D72DE" w:rsidP="005C56B9">
      <w:pPr>
        <w:spacing w:line="360" w:lineRule="auto"/>
      </w:pPr>
    </w:p>
    <w:p w14:paraId="43CEE7BB" w14:textId="739CDABB" w:rsidR="000D72DE" w:rsidRDefault="000D72DE" w:rsidP="005C56B9">
      <w:pPr>
        <w:spacing w:line="360" w:lineRule="auto"/>
      </w:pPr>
    </w:p>
    <w:p w14:paraId="6380240E" w14:textId="77777777" w:rsidR="000D72DE" w:rsidRPr="00BF08CB" w:rsidRDefault="000D72DE" w:rsidP="005C56B9">
      <w:pPr>
        <w:spacing w:line="360" w:lineRule="auto"/>
      </w:pPr>
    </w:p>
    <w:p w14:paraId="4683DA01" w14:textId="35ACCE49" w:rsidR="005C56B9" w:rsidRPr="00E55AED" w:rsidRDefault="005C56B9" w:rsidP="005C56B9">
      <w:pPr>
        <w:pStyle w:val="xmsonormal"/>
        <w:shd w:val="clear" w:color="auto" w:fill="FFFFFF"/>
        <w:spacing w:before="0" w:beforeAutospacing="0" w:after="0" w:afterAutospacing="0" w:line="360" w:lineRule="auto"/>
        <w:jc w:val="both"/>
        <w:rPr>
          <w:color w:val="212121"/>
          <w:sz w:val="20"/>
          <w:szCs w:val="20"/>
        </w:rPr>
      </w:pPr>
    </w:p>
    <w:p w14:paraId="30BF67A3" w14:textId="77777777" w:rsidR="005C56B9" w:rsidRPr="004B22DB" w:rsidRDefault="005C56B9" w:rsidP="004B22DB">
      <w:pPr>
        <w:jc w:val="both"/>
      </w:pPr>
    </w:p>
    <w:p w14:paraId="1A600A48" w14:textId="09AA7250" w:rsidR="00316BF2" w:rsidRDefault="00316BF2" w:rsidP="004B22DB">
      <w:pPr>
        <w:jc w:val="both"/>
      </w:pPr>
    </w:p>
    <w:p w14:paraId="6AF00EC6" w14:textId="1673A61D" w:rsidR="00166B43" w:rsidRDefault="00166B43" w:rsidP="004B22DB">
      <w:pPr>
        <w:jc w:val="both"/>
      </w:pPr>
    </w:p>
    <w:p w14:paraId="6DB85477" w14:textId="538D4055" w:rsidR="00166B43" w:rsidRDefault="00166B43" w:rsidP="004B22DB">
      <w:pPr>
        <w:jc w:val="both"/>
      </w:pPr>
    </w:p>
    <w:p w14:paraId="6CE9D451" w14:textId="618326A7" w:rsidR="00166B43" w:rsidRDefault="00166B43" w:rsidP="004B22DB">
      <w:pPr>
        <w:jc w:val="both"/>
      </w:pPr>
    </w:p>
    <w:p w14:paraId="7F6EBEFD" w14:textId="56A1E672" w:rsidR="00166B43" w:rsidRDefault="00166B43" w:rsidP="004B22DB">
      <w:pPr>
        <w:jc w:val="both"/>
      </w:pPr>
    </w:p>
    <w:p w14:paraId="1C128B0B" w14:textId="0E6CE07E" w:rsidR="00166B43" w:rsidRDefault="00166B43" w:rsidP="004B22DB">
      <w:pPr>
        <w:jc w:val="both"/>
      </w:pPr>
    </w:p>
    <w:p w14:paraId="01ECFDCC" w14:textId="7BD11B2D" w:rsidR="00166B43" w:rsidRDefault="00166B43" w:rsidP="004B22DB">
      <w:pPr>
        <w:jc w:val="both"/>
      </w:pPr>
    </w:p>
    <w:p w14:paraId="200C83AA" w14:textId="1B23D3F9" w:rsidR="00166B43" w:rsidRDefault="00166B43" w:rsidP="004B22DB">
      <w:pPr>
        <w:jc w:val="both"/>
      </w:pPr>
    </w:p>
    <w:p w14:paraId="4887A84F" w14:textId="1750C906" w:rsidR="00166B43" w:rsidRDefault="00166B43" w:rsidP="004B22DB">
      <w:pPr>
        <w:jc w:val="both"/>
      </w:pPr>
    </w:p>
    <w:p w14:paraId="113CBB5B" w14:textId="61EC532B" w:rsidR="00166B43" w:rsidRDefault="00166B43" w:rsidP="004B22DB">
      <w:pPr>
        <w:jc w:val="both"/>
      </w:pPr>
    </w:p>
    <w:p w14:paraId="423F92E7" w14:textId="1BF3928B" w:rsidR="00166B43" w:rsidRDefault="00166B43" w:rsidP="004B22DB">
      <w:pPr>
        <w:jc w:val="both"/>
      </w:pPr>
    </w:p>
    <w:p w14:paraId="6A49A42D" w14:textId="262C4FB4" w:rsidR="00166B43" w:rsidRDefault="00166B43" w:rsidP="004B22DB">
      <w:pPr>
        <w:jc w:val="both"/>
      </w:pPr>
    </w:p>
    <w:p w14:paraId="0CFA81D0" w14:textId="0152BEBD" w:rsidR="00166B43" w:rsidRDefault="00166B43" w:rsidP="004B22DB">
      <w:pPr>
        <w:jc w:val="both"/>
      </w:pPr>
    </w:p>
    <w:p w14:paraId="004966A5" w14:textId="1AF36DB5" w:rsidR="00166B43" w:rsidRDefault="00166B43" w:rsidP="004B22DB">
      <w:pPr>
        <w:jc w:val="both"/>
      </w:pPr>
    </w:p>
    <w:p w14:paraId="65441E1D" w14:textId="77777777" w:rsidR="00166B43" w:rsidRPr="004B22DB" w:rsidRDefault="00166B43" w:rsidP="004B22DB">
      <w:pPr>
        <w:jc w:val="both"/>
      </w:pPr>
    </w:p>
    <w:p w14:paraId="7177331C" w14:textId="77777777" w:rsidR="00BE25B8" w:rsidRPr="004B22DB" w:rsidRDefault="009B6FBF" w:rsidP="004B22DB">
      <w:pPr>
        <w:jc w:val="both"/>
      </w:pPr>
      <w:r w:rsidRPr="004B22DB">
        <w:lastRenderedPageBreak/>
        <w:t xml:space="preserve">Submission to </w:t>
      </w:r>
      <w:r w:rsidR="00316BF2" w:rsidRPr="004B22DB">
        <w:t xml:space="preserve">Australian </w:t>
      </w:r>
      <w:r w:rsidRPr="004B22DB">
        <w:t>Productivity Commission’s I</w:t>
      </w:r>
      <w:r w:rsidR="00316BF2" w:rsidRPr="004B22DB">
        <w:t xml:space="preserve">ssues Paper </w:t>
      </w:r>
      <w:r w:rsidRPr="004B22DB">
        <w:t xml:space="preserve">on </w:t>
      </w:r>
      <w:r w:rsidR="00316BF2" w:rsidRPr="004B22DB">
        <w:t xml:space="preserve">the </w:t>
      </w:r>
      <w:r w:rsidRPr="004B22DB">
        <w:t>Right to Repair</w:t>
      </w:r>
    </w:p>
    <w:p w14:paraId="221888CB" w14:textId="77777777" w:rsidR="009B6FBF" w:rsidRPr="004B22DB" w:rsidRDefault="009B6FBF" w:rsidP="004B22DB">
      <w:pPr>
        <w:jc w:val="both"/>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0"/>
      </w:tblGrid>
      <w:tr w:rsidR="00FB3409" w:rsidRPr="004B22DB" w14:paraId="3D76DFAD" w14:textId="77777777" w:rsidTr="00BE25B8">
        <w:trPr>
          <w:tblHeader/>
        </w:trPr>
        <w:tc>
          <w:tcPr>
            <w:tcW w:w="5000" w:type="pct"/>
            <w:tcBorders>
              <w:top w:val="single" w:sz="6" w:space="0" w:color="78A22F"/>
              <w:left w:val="nil"/>
              <w:bottom w:val="nil"/>
              <w:right w:val="nil"/>
            </w:tcBorders>
            <w:shd w:val="clear" w:color="auto" w:fill="auto"/>
          </w:tcPr>
          <w:p w14:paraId="22449E3A" w14:textId="77777777" w:rsidR="00FB3409" w:rsidRPr="004B22DB" w:rsidRDefault="00FB3409" w:rsidP="004B22DB">
            <w:pPr>
              <w:pStyle w:val="InformationRequestTitle"/>
              <w:spacing w:before="120"/>
              <w:rPr>
                <w:rFonts w:ascii="Times New Roman" w:hAnsi="Times New Roman"/>
                <w:color w:val="0070C0"/>
                <w:sz w:val="24"/>
                <w:szCs w:val="24"/>
              </w:rPr>
            </w:pPr>
            <w:r w:rsidRPr="004B22DB">
              <w:rPr>
                <w:rFonts w:ascii="Times New Roman" w:hAnsi="Times New Roman"/>
                <w:color w:val="0070C0"/>
                <w:sz w:val="24"/>
                <w:szCs w:val="24"/>
              </w:rPr>
              <w:t>Information request 1</w:t>
            </w:r>
          </w:p>
        </w:tc>
      </w:tr>
      <w:tr w:rsidR="00FB3409" w:rsidRPr="004B22DB" w14:paraId="1FA795F7" w14:textId="77777777" w:rsidTr="00BE25B8">
        <w:tc>
          <w:tcPr>
            <w:tcW w:w="5000" w:type="pct"/>
            <w:tcBorders>
              <w:top w:val="nil"/>
              <w:left w:val="nil"/>
              <w:bottom w:val="nil"/>
              <w:right w:val="nil"/>
            </w:tcBorders>
            <w:shd w:val="clear" w:color="auto" w:fill="auto"/>
          </w:tcPr>
          <w:p w14:paraId="146FCA10" w14:textId="77777777" w:rsidR="00FB3409" w:rsidRPr="004B22DB" w:rsidRDefault="00FB3409" w:rsidP="004B22DB">
            <w:pPr>
              <w:pStyle w:val="InformationRequest"/>
              <w:keepNext/>
              <w:rPr>
                <w:rFonts w:ascii="Times New Roman" w:hAnsi="Times New Roman"/>
                <w:color w:val="0070C0"/>
                <w:sz w:val="24"/>
                <w:szCs w:val="24"/>
              </w:rPr>
            </w:pPr>
            <w:r w:rsidRPr="004B22DB">
              <w:rPr>
                <w:rFonts w:ascii="Times New Roman" w:hAnsi="Times New Roman"/>
                <w:color w:val="0070C0"/>
                <w:sz w:val="24"/>
                <w:szCs w:val="24"/>
              </w:rPr>
              <w:t>What would a ‘right to repair’ entail in an Australian context? How should it be defined?</w:t>
            </w:r>
          </w:p>
        </w:tc>
      </w:tr>
    </w:tbl>
    <w:p w14:paraId="7B30E983" w14:textId="77777777" w:rsidR="00316BF2" w:rsidRPr="004B22DB" w:rsidRDefault="00316BF2" w:rsidP="004B22DB">
      <w:pPr>
        <w:jc w:val="both"/>
      </w:pPr>
    </w:p>
    <w:p w14:paraId="1E7B3D0E" w14:textId="3406CC8B" w:rsidR="00316BF2" w:rsidRDefault="00FA5A26" w:rsidP="004B22DB">
      <w:pPr>
        <w:jc w:val="both"/>
      </w:pPr>
      <w:r w:rsidRPr="004B22DB">
        <w:t xml:space="preserve">An Australian ‘Right to Repair’ </w:t>
      </w:r>
      <w:r w:rsidR="00FB3409" w:rsidRPr="004B22DB">
        <w:t>need</w:t>
      </w:r>
      <w:r w:rsidR="00BE25B8">
        <w:t>s</w:t>
      </w:r>
      <w:r w:rsidR="00FB3409" w:rsidRPr="004B22DB">
        <w:t xml:space="preserve"> to </w:t>
      </w:r>
      <w:r w:rsidR="00BE25B8">
        <w:t xml:space="preserve">consist of a series of </w:t>
      </w:r>
      <w:r w:rsidRPr="004B22DB">
        <w:t>unique</w:t>
      </w:r>
      <w:r w:rsidR="00BE25B8">
        <w:t xml:space="preserve"> legal, regulatory and</w:t>
      </w:r>
      <w:r w:rsidRPr="004B22DB">
        <w:t xml:space="preserve"> </w:t>
      </w:r>
      <w:r w:rsidR="00FB3409" w:rsidRPr="004B22DB">
        <w:t xml:space="preserve">policy </w:t>
      </w:r>
      <w:r w:rsidRPr="004B22DB">
        <w:t>response</w:t>
      </w:r>
      <w:r w:rsidR="00BE25B8">
        <w:t>s</w:t>
      </w:r>
      <w:r w:rsidRPr="004B22DB">
        <w:t xml:space="preserve"> to the </w:t>
      </w:r>
      <w:r w:rsidR="00B33D01">
        <w:t xml:space="preserve">broad </w:t>
      </w:r>
      <w:r w:rsidR="00354AAE">
        <w:t xml:space="preserve">range of </w:t>
      </w:r>
      <w:r w:rsidR="00B33D01">
        <w:t xml:space="preserve">issues </w:t>
      </w:r>
      <w:r w:rsidRPr="004B22DB">
        <w:t xml:space="preserve">identified in the Commission’s </w:t>
      </w:r>
      <w:r w:rsidR="00FB3409" w:rsidRPr="004B22DB">
        <w:t>Issues paper.</w:t>
      </w:r>
    </w:p>
    <w:p w14:paraId="78E1FC4D" w14:textId="77777777" w:rsidR="005900B3" w:rsidRDefault="005900B3" w:rsidP="004B22DB">
      <w:pPr>
        <w:jc w:val="both"/>
      </w:pPr>
    </w:p>
    <w:p w14:paraId="1FBE619E" w14:textId="17D4DE34" w:rsidR="00B33D01" w:rsidRPr="004B22DB" w:rsidRDefault="00B73B82" w:rsidP="00B33D01">
      <w:pPr>
        <w:jc w:val="both"/>
      </w:pPr>
      <w:r>
        <w:t>While there are a myriad of different definitions of what the expression ‘Right to Repair’ means in different contexts and different countries, p</w:t>
      </w:r>
      <w:r w:rsidR="00354AAE">
        <w:t xml:space="preserve">ut simply, </w:t>
      </w:r>
      <w:r>
        <w:t xml:space="preserve">at the heart of the Right to Repair movement is recognition of the fact that legal, regulatory and policy reform is needed to </w:t>
      </w:r>
      <w:r w:rsidR="00354AAE">
        <w:t>rebalanc</w:t>
      </w:r>
      <w:r>
        <w:t>e</w:t>
      </w:r>
      <w:r w:rsidR="00354AAE">
        <w:t xml:space="preserve"> the relationship between global and national manufacturers </w:t>
      </w:r>
      <w:r>
        <w:t xml:space="preserve">of digital </w:t>
      </w:r>
      <w:r w:rsidR="00B33D01">
        <w:t>(</w:t>
      </w:r>
      <w:r>
        <w:t>or smart</w:t>
      </w:r>
      <w:r w:rsidR="00B33D01">
        <w:t>)</w:t>
      </w:r>
      <w:r>
        <w:t xml:space="preserve"> goods and machinery </w:t>
      </w:r>
      <w:r w:rsidR="00354AAE">
        <w:t>and the customers who buy th</w:t>
      </w:r>
      <w:r>
        <w:t xml:space="preserve">ose goods </w:t>
      </w:r>
      <w:r w:rsidR="00354AAE">
        <w:t xml:space="preserve">to ensure that </w:t>
      </w:r>
      <w:r>
        <w:t xml:space="preserve">those </w:t>
      </w:r>
      <w:r w:rsidR="00354AAE">
        <w:t>consumers</w:t>
      </w:r>
      <w:r>
        <w:t xml:space="preserve"> </w:t>
      </w:r>
      <w:r w:rsidR="00354AAE">
        <w:t xml:space="preserve">have </w:t>
      </w:r>
      <w:r w:rsidR="00B33D01">
        <w:t xml:space="preserve">reasonable </w:t>
      </w:r>
      <w:r w:rsidR="00354AAE">
        <w:t xml:space="preserve">access to </w:t>
      </w:r>
      <w:r>
        <w:t xml:space="preserve">the </w:t>
      </w:r>
      <w:r w:rsidR="00354AAE">
        <w:t>repair information and services, spare parts</w:t>
      </w:r>
      <w:r>
        <w:t xml:space="preserve"> and tools</w:t>
      </w:r>
      <w:r w:rsidR="00354AAE">
        <w:t xml:space="preserve"> </w:t>
      </w:r>
      <w:r>
        <w:t xml:space="preserve">that are necessary to keep those goods in good working order for reasonable product life spans. It also recognises that the inability to repair that consumers are currently experiencing is </w:t>
      </w:r>
      <w:r w:rsidRPr="009D7B0A">
        <w:t xml:space="preserve">increasingly and globally important as countries transition to Circular Economies. </w:t>
      </w:r>
      <w:r w:rsidR="005900B3">
        <w:t xml:space="preserve">However, what is important to note that in an Australian context, a right to repair will need to be incorporated into a range of regulatory </w:t>
      </w:r>
      <w:r w:rsidR="009745FF">
        <w:t>responses</w:t>
      </w:r>
      <w:r w:rsidR="003A2EF6">
        <w:t xml:space="preserve"> at </w:t>
      </w:r>
      <w:r w:rsidR="00B33D01">
        <w:t>l</w:t>
      </w:r>
      <w:r w:rsidR="003A2EF6">
        <w:t>ocal</w:t>
      </w:r>
      <w:r w:rsidR="00B33D01">
        <w:t>,</w:t>
      </w:r>
      <w:r w:rsidR="003A2EF6">
        <w:t xml:space="preserve"> </w:t>
      </w:r>
      <w:r w:rsidR="00B33D01">
        <w:t>s</w:t>
      </w:r>
      <w:r w:rsidR="003A2EF6">
        <w:t xml:space="preserve">tate and </w:t>
      </w:r>
      <w:r w:rsidR="00B33D01">
        <w:t>f</w:t>
      </w:r>
      <w:r w:rsidR="003A2EF6">
        <w:t xml:space="preserve">ederal levels. </w:t>
      </w:r>
      <w:r w:rsidR="00F54737">
        <w:t xml:space="preserve">A Right to Repair cannot be thought of in isolation. </w:t>
      </w:r>
      <w:r w:rsidR="00B33D01" w:rsidRPr="004B22DB">
        <w:t xml:space="preserve">There are many different responses that </w:t>
      </w:r>
      <w:r w:rsidR="00B33D01">
        <w:t xml:space="preserve">will need to be </w:t>
      </w:r>
      <w:r w:rsidR="00B33D01" w:rsidRPr="004B22DB">
        <w:t>developed across a range of regulatory regimes</w:t>
      </w:r>
      <w:r w:rsidR="00B33D01">
        <w:t>: competition and consumer law, intellectual property laws, environmental laws, taxation and insurance laws.  The comprehensive submission by iFixit (Kyle Wiens) sets out  a range of features that should be encompassed in Right to Repair regulatory responses. We support these arguments</w:t>
      </w:r>
      <w:r w:rsidR="00A47B82">
        <w:t xml:space="preserve"> and believe that the experiences and knowledge shared in this submission highlight the similarity of challenges that US and Australian consumers face.</w:t>
      </w:r>
    </w:p>
    <w:p w14:paraId="30BDAD12" w14:textId="77777777" w:rsidR="00B33D01" w:rsidRDefault="00B33D01" w:rsidP="004B22DB">
      <w:pPr>
        <w:jc w:val="both"/>
      </w:pPr>
    </w:p>
    <w:p w14:paraId="586CA448" w14:textId="77777777" w:rsidR="00B33D01" w:rsidRDefault="00F54737" w:rsidP="007263D7">
      <w:pPr>
        <w:jc w:val="both"/>
      </w:pPr>
      <w:r>
        <w:t xml:space="preserve">Along with a </w:t>
      </w:r>
      <w:r w:rsidR="003A2EF6">
        <w:t>R</w:t>
      </w:r>
      <w:r>
        <w:t xml:space="preserve">ight to </w:t>
      </w:r>
      <w:r w:rsidR="003A2EF6">
        <w:t>R</w:t>
      </w:r>
      <w:r>
        <w:t xml:space="preserve">epair, </w:t>
      </w:r>
      <w:r w:rsidR="003A2EF6">
        <w:t xml:space="preserve">consideration must be paid to the need for regulatory responses to </w:t>
      </w:r>
      <w:r w:rsidR="00800B14">
        <w:t xml:space="preserve">the </w:t>
      </w:r>
      <w:r w:rsidR="003A2EF6">
        <w:t>increasingly use of the unfair terms in consumer contracts that are accompany</w:t>
      </w:r>
      <w:r w:rsidR="00800B14">
        <w:t>ing</w:t>
      </w:r>
      <w:r w:rsidR="003A2EF6">
        <w:t xml:space="preserve"> software enabled products, devices and machinery. </w:t>
      </w:r>
      <w:r w:rsidR="00800B14">
        <w:t>T</w:t>
      </w:r>
      <w:r w:rsidR="003A2EF6">
        <w:t xml:space="preserve">here needs to be recognition </w:t>
      </w:r>
      <w:r w:rsidR="00800B14">
        <w:t xml:space="preserve">and action taken </w:t>
      </w:r>
      <w:r w:rsidR="003A2EF6">
        <w:t xml:space="preserve">by regulators </w:t>
      </w:r>
      <w:r w:rsidR="00800B14">
        <w:t xml:space="preserve">to address </w:t>
      </w:r>
      <w:r w:rsidR="003A2EF6">
        <w:t>the power imbalance between consumers and manufacturer</w:t>
      </w:r>
      <w:r w:rsidR="00800B14">
        <w:t>s,  as was been shown by the 23 recommendations made by the ACCC, in its 2019 Digital Platform’s Inquiry Report</w:t>
      </w:r>
      <w:r w:rsidR="00800B14">
        <w:rPr>
          <w:rStyle w:val="FootnoteReference"/>
        </w:rPr>
        <w:footnoteReference w:id="2"/>
      </w:r>
      <w:r w:rsidR="00800B14">
        <w:t xml:space="preserve"> to ensure that Australian consumers are treated fairly and that their privacy is respected. </w:t>
      </w:r>
    </w:p>
    <w:p w14:paraId="7453382F" w14:textId="77777777" w:rsidR="00B33D01" w:rsidRDefault="00B33D01" w:rsidP="007263D7">
      <w:pPr>
        <w:jc w:val="both"/>
      </w:pPr>
    </w:p>
    <w:p w14:paraId="57496DE6" w14:textId="3417AFB4" w:rsidR="007263D7" w:rsidRDefault="00800B14" w:rsidP="007263D7">
      <w:pPr>
        <w:jc w:val="both"/>
      </w:pPr>
      <w:r>
        <w:t>When thinking about consumer’s inability to repair their own goods</w:t>
      </w:r>
      <w:r w:rsidR="00B33D01">
        <w:t xml:space="preserve"> that is often imposed by end use licence agreements (EULAs)</w:t>
      </w:r>
      <w:r>
        <w:t xml:space="preserve">, it is fundamentally important for regulators recognise the general inequity of the Australian Consumer Law’s approach of placing the </w:t>
      </w:r>
      <w:r w:rsidR="003A2EF6">
        <w:t>onus</w:t>
      </w:r>
      <w:r>
        <w:t xml:space="preserve"> (and significant costs) onto individual consumers</w:t>
      </w:r>
      <w:r w:rsidR="003A2EF6">
        <w:t xml:space="preserve"> to </w:t>
      </w:r>
      <w:r>
        <w:t xml:space="preserve">prove the existence of </w:t>
      </w:r>
      <w:r w:rsidR="003A2EF6">
        <w:t xml:space="preserve">unfair terms </w:t>
      </w:r>
      <w:r>
        <w:t xml:space="preserve">and </w:t>
      </w:r>
      <w:r w:rsidR="00B33D01">
        <w:t>to instigate legal actions to pursue a remedy. I</w:t>
      </w:r>
      <w:r>
        <w:t xml:space="preserve">nstead, </w:t>
      </w:r>
      <w:r w:rsidR="00B33D01">
        <w:t xml:space="preserve">regulators should examine policy response that </w:t>
      </w:r>
      <w:r w:rsidR="003A2EF6">
        <w:t>plac</w:t>
      </w:r>
      <w:r w:rsidR="00B33D01">
        <w:t>e</w:t>
      </w:r>
      <w:r w:rsidR="003A2EF6">
        <w:t xml:space="preserve"> positive obligations on manufacturers to make their commercial </w:t>
      </w:r>
      <w:r>
        <w:t xml:space="preserve">dealings </w:t>
      </w:r>
      <w:r w:rsidR="00B33D01">
        <w:t xml:space="preserve">with their customers </w:t>
      </w:r>
      <w:r>
        <w:t>more transparent and equitable.</w:t>
      </w:r>
      <w:r w:rsidR="006B5951">
        <w:t xml:space="preserve"> </w:t>
      </w:r>
      <w:r>
        <w:t xml:space="preserve">This shift in onus would make positive inroads to ensuring consumers are adequately informed when making choices about product choice. </w:t>
      </w:r>
    </w:p>
    <w:p w14:paraId="37533E55" w14:textId="77777777" w:rsidR="007263D7" w:rsidRDefault="007263D7" w:rsidP="007263D7">
      <w:pPr>
        <w:jc w:val="both"/>
      </w:pPr>
    </w:p>
    <w:p w14:paraId="65D55440" w14:textId="31690ADB" w:rsidR="007263D7" w:rsidRPr="004B22DB" w:rsidRDefault="007263D7" w:rsidP="007263D7">
      <w:pPr>
        <w:jc w:val="both"/>
      </w:pPr>
      <w:r>
        <w:t xml:space="preserve">With increasing concern over Australia’s environmental future, it is not only consumers who have a role to play in reducing their consumption by reuse, repair and recycling their goods but </w:t>
      </w:r>
      <w:r>
        <w:lastRenderedPageBreak/>
        <w:t xml:space="preserve">also </w:t>
      </w:r>
      <w:r w:rsidR="003A2EF6">
        <w:t xml:space="preserve">manufacturers </w:t>
      </w:r>
      <w:r>
        <w:t xml:space="preserve">who have an important role to play by </w:t>
      </w:r>
      <w:r w:rsidR="003A2EF6">
        <w:t>accept</w:t>
      </w:r>
      <w:r>
        <w:t>ing</w:t>
      </w:r>
      <w:r w:rsidR="003A2EF6">
        <w:t xml:space="preserve"> more </w:t>
      </w:r>
      <w:r>
        <w:t>responsibility</w:t>
      </w:r>
      <w:r w:rsidR="00F54737">
        <w:t xml:space="preserve"> for ensuring the longevity of their products and how their products will be disposed of responsib</w:t>
      </w:r>
      <w:r w:rsidR="003A2EF6">
        <w:t>ly</w:t>
      </w:r>
      <w:r w:rsidR="00F54737">
        <w:t xml:space="preserve"> </w:t>
      </w:r>
      <w:r w:rsidR="003A2EF6">
        <w:t xml:space="preserve">at </w:t>
      </w:r>
      <w:r w:rsidR="00F54737">
        <w:t>their end of life.</w:t>
      </w:r>
      <w:r w:rsidRPr="007263D7">
        <w:t xml:space="preserve"> </w:t>
      </w:r>
      <w:r>
        <w:t xml:space="preserve">Broader community education about </w:t>
      </w:r>
      <w:r w:rsidR="00B33D01">
        <w:t xml:space="preserve">encouraging reuse and repair of existing products and reinforcing the </w:t>
      </w:r>
      <w:r w:rsidR="002A143B">
        <w:t xml:space="preserve">roles and responsibilities that both </w:t>
      </w:r>
      <w:r>
        <w:t xml:space="preserve">manufacturers and consumers </w:t>
      </w:r>
      <w:r w:rsidR="002A143B">
        <w:t xml:space="preserve">have in </w:t>
      </w:r>
      <w:r w:rsidR="00907DCC">
        <w:t xml:space="preserve">contributing to Australia’s </w:t>
      </w:r>
      <w:r>
        <w:t>environmental future should also be undertaken.</w:t>
      </w:r>
    </w:p>
    <w:p w14:paraId="396CAFCD" w14:textId="77777777" w:rsidR="00316BF2" w:rsidRPr="004B22DB" w:rsidRDefault="00316BF2" w:rsidP="004B22DB">
      <w:pPr>
        <w:jc w:val="both"/>
      </w:pPr>
    </w:p>
    <w:p w14:paraId="19A126F6" w14:textId="77777777" w:rsidR="00FB3409" w:rsidRPr="004B22DB" w:rsidRDefault="00FB3409" w:rsidP="004B22DB">
      <w:pPr>
        <w:jc w:val="both"/>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0"/>
      </w:tblGrid>
      <w:tr w:rsidR="00F07ADB" w:rsidRPr="004B22DB" w14:paraId="4EA40248" w14:textId="77777777" w:rsidTr="00BE25B8">
        <w:trPr>
          <w:tblHeader/>
        </w:trPr>
        <w:tc>
          <w:tcPr>
            <w:tcW w:w="5000" w:type="pct"/>
            <w:tcBorders>
              <w:top w:val="single" w:sz="6" w:space="0" w:color="4472C4" w:themeColor="accent1"/>
              <w:left w:val="nil"/>
              <w:bottom w:val="nil"/>
              <w:right w:val="nil"/>
            </w:tcBorders>
            <w:shd w:val="clear" w:color="auto" w:fill="auto"/>
          </w:tcPr>
          <w:p w14:paraId="56607CE3" w14:textId="77777777" w:rsidR="00FB3409" w:rsidRPr="004B22DB" w:rsidRDefault="00FB3409" w:rsidP="004B22DB">
            <w:pPr>
              <w:pStyle w:val="InformationRequestTitle"/>
              <w:spacing w:before="120"/>
              <w:rPr>
                <w:rFonts w:ascii="Times New Roman" w:hAnsi="Times New Roman"/>
                <w:color w:val="0070C0"/>
                <w:sz w:val="24"/>
                <w:szCs w:val="24"/>
              </w:rPr>
            </w:pPr>
            <w:r w:rsidRPr="004B22DB">
              <w:rPr>
                <w:rFonts w:ascii="Times New Roman" w:hAnsi="Times New Roman"/>
                <w:color w:val="0070C0"/>
                <w:sz w:val="24"/>
                <w:szCs w:val="24"/>
              </w:rPr>
              <w:t>Information request 2</w:t>
            </w:r>
          </w:p>
        </w:tc>
      </w:tr>
      <w:tr w:rsidR="00F07ADB" w:rsidRPr="004B22DB" w14:paraId="51393075" w14:textId="77777777" w:rsidTr="00BE25B8">
        <w:tc>
          <w:tcPr>
            <w:tcW w:w="5000" w:type="pct"/>
            <w:tcBorders>
              <w:top w:val="nil"/>
              <w:left w:val="nil"/>
              <w:bottom w:val="nil"/>
              <w:right w:val="nil"/>
            </w:tcBorders>
            <w:shd w:val="clear" w:color="auto" w:fill="auto"/>
          </w:tcPr>
          <w:p w14:paraId="04F85AA1" w14:textId="77777777" w:rsidR="00FB3409" w:rsidRPr="004B22DB" w:rsidRDefault="00FB3409" w:rsidP="004B22DB">
            <w:pPr>
              <w:pStyle w:val="InformationRequest"/>
              <w:ind w:left="284" w:hanging="284"/>
              <w:rPr>
                <w:rFonts w:ascii="Times New Roman" w:hAnsi="Times New Roman"/>
                <w:color w:val="0070C0"/>
                <w:sz w:val="24"/>
                <w:szCs w:val="24"/>
              </w:rPr>
            </w:pPr>
            <w:r w:rsidRPr="004B22DB">
              <w:rPr>
                <w:rFonts w:ascii="Times New Roman" w:hAnsi="Times New Roman"/>
                <w:color w:val="0070C0"/>
                <w:sz w:val="24"/>
                <w:szCs w:val="24"/>
              </w:rPr>
              <w:t>a)</w:t>
            </w:r>
            <w:r w:rsidRPr="004B22DB">
              <w:rPr>
                <w:rFonts w:ascii="Times New Roman" w:hAnsi="Times New Roman"/>
                <w:color w:val="0070C0"/>
                <w:sz w:val="24"/>
                <w:szCs w:val="24"/>
              </w:rPr>
              <w:tab/>
              <w:t xml:space="preserve">What types of products and repair markets should the Commission focus on? </w:t>
            </w:r>
          </w:p>
          <w:p w14:paraId="46B97721" w14:textId="77777777" w:rsidR="00FB3409" w:rsidRPr="004B22DB" w:rsidRDefault="00FB3409" w:rsidP="004B22DB">
            <w:pPr>
              <w:pStyle w:val="InformationRequest"/>
              <w:ind w:left="284" w:hanging="284"/>
              <w:rPr>
                <w:rFonts w:ascii="Times New Roman" w:hAnsi="Times New Roman"/>
                <w:color w:val="0070C0"/>
                <w:sz w:val="24"/>
                <w:szCs w:val="24"/>
              </w:rPr>
            </w:pPr>
            <w:r w:rsidRPr="004B22DB">
              <w:rPr>
                <w:rFonts w:ascii="Times New Roman" w:hAnsi="Times New Roman"/>
                <w:color w:val="0070C0"/>
                <w:sz w:val="24"/>
                <w:szCs w:val="24"/>
              </w:rPr>
              <w:t>b)</w:t>
            </w:r>
            <w:r w:rsidRPr="004B22DB">
              <w:rPr>
                <w:rFonts w:ascii="Times New Roman" w:hAnsi="Times New Roman"/>
                <w:color w:val="0070C0"/>
                <w:sz w:val="24"/>
                <w:szCs w:val="24"/>
              </w:rPr>
              <w:tab/>
              <w:t>Are there common characteristics that these products share (such as embedded technology and software or a high/low degree of product durability), and which characteristics would allow policy issues to be considered more broadly?</w:t>
            </w:r>
          </w:p>
          <w:p w14:paraId="541C0002" w14:textId="77777777" w:rsidR="00FB3409" w:rsidRPr="004B22DB" w:rsidRDefault="00FB3409" w:rsidP="004B22DB">
            <w:pPr>
              <w:pStyle w:val="InformationRequest"/>
              <w:ind w:left="284" w:hanging="284"/>
              <w:rPr>
                <w:rFonts w:ascii="Times New Roman" w:hAnsi="Times New Roman"/>
                <w:color w:val="0070C0"/>
                <w:sz w:val="24"/>
                <w:szCs w:val="24"/>
              </w:rPr>
            </w:pPr>
            <w:r w:rsidRPr="004B22DB">
              <w:rPr>
                <w:rFonts w:ascii="Times New Roman" w:hAnsi="Times New Roman"/>
                <w:color w:val="0070C0"/>
                <w:sz w:val="24"/>
                <w:szCs w:val="24"/>
              </w:rPr>
              <w:t>c)</w:t>
            </w:r>
            <w:r w:rsidRPr="004B22DB">
              <w:rPr>
                <w:rFonts w:ascii="Times New Roman" w:hAnsi="Times New Roman"/>
                <w:color w:val="0070C0"/>
                <w:sz w:val="24"/>
                <w:szCs w:val="24"/>
              </w:rPr>
              <w:tab/>
              <w:t>If there are particular products that the Commission should focus on, what are the unique issues in those product repair markets that support such a focus?</w:t>
            </w:r>
          </w:p>
        </w:tc>
      </w:tr>
    </w:tbl>
    <w:p w14:paraId="1A04C947" w14:textId="309859A3" w:rsidR="00FB3409" w:rsidRDefault="00FB3409" w:rsidP="004B22DB">
      <w:pPr>
        <w:jc w:val="both"/>
        <w:rPr>
          <w:color w:val="0070C0"/>
        </w:rPr>
      </w:pPr>
    </w:p>
    <w:p w14:paraId="41BE67A2" w14:textId="72AB38B0" w:rsidR="006E2D65" w:rsidRDefault="006E2D65" w:rsidP="006E2D65">
      <w:pPr>
        <w:ind w:left="426"/>
        <w:jc w:val="both"/>
      </w:pPr>
      <w:r>
        <w:t>Given the breadth of the categories of consumer goods and machinery that are software enabled, we suggest that t</w:t>
      </w:r>
      <w:r w:rsidRPr="004B22DB">
        <w:t>he Commission should not attempt to narrow the category of goods when examining barriers to repair</w:t>
      </w:r>
      <w:r>
        <w:t>. There are so many categories of products that now have proprietorial software embedded within them that to focus on one or two categories of goods would deny the breadth of the problem that confronts Australian consumers. It is not only consumer goods such as ref</w:t>
      </w:r>
      <w:r w:rsidRPr="004B22DB">
        <w:t>riger</w:t>
      </w:r>
      <w:r>
        <w:t>ators</w:t>
      </w:r>
      <w:r w:rsidRPr="004B22DB">
        <w:t xml:space="preserve">, washing machines, lighting, </w:t>
      </w:r>
      <w:r>
        <w:t xml:space="preserve">tools, phones, computers, kitchen appliances such as toasters, coffee machines, almost every modern wearable devices made for the person such as </w:t>
      </w:r>
      <w:r w:rsidR="00AC764D">
        <w:t>F</w:t>
      </w:r>
      <w:r>
        <w:t>itbits, smart watches and i</w:t>
      </w:r>
      <w:r w:rsidR="00AC764D">
        <w:t>P</w:t>
      </w:r>
      <w:r>
        <w:t xml:space="preserve">hones. It is not only personal and household appliances and devices that </w:t>
      </w:r>
      <w:r w:rsidRPr="004B22DB">
        <w:t>contain embedded software that can be locked and controlled by the OEM</w:t>
      </w:r>
      <w:r>
        <w:t>s. This problem extends far broader into industries such as medicine (with the Covid 19 crisis highlighting the life threatening situations caused by the inability to repair medical devices such as ventilators)</w:t>
      </w:r>
      <w:r>
        <w:rPr>
          <w:rStyle w:val="FootnoteReference"/>
          <w:color w:val="333333"/>
          <w:shd w:val="clear" w:color="auto" w:fill="FFFFFF"/>
        </w:rPr>
        <w:footnoteReference w:id="3"/>
      </w:r>
      <w:r>
        <w:t xml:space="preserve">, agriculture and mining. </w:t>
      </w:r>
    </w:p>
    <w:p w14:paraId="4AC6A540" w14:textId="77777777" w:rsidR="006E2D65" w:rsidRPr="004B22DB" w:rsidRDefault="006E2D65" w:rsidP="004B22DB">
      <w:pPr>
        <w:jc w:val="both"/>
        <w:rPr>
          <w:color w:val="0070C0"/>
        </w:rPr>
      </w:pPr>
    </w:p>
    <w:p w14:paraId="44AA7B4A" w14:textId="6A86C9E7" w:rsidR="00FC5F74" w:rsidRPr="00F43446" w:rsidRDefault="00F07ADB" w:rsidP="00F43446">
      <w:pPr>
        <w:pStyle w:val="ListParagraph"/>
        <w:ind w:left="360"/>
        <w:jc w:val="both"/>
        <w:rPr>
          <w:color w:val="363535"/>
        </w:rPr>
      </w:pPr>
      <w:r w:rsidRPr="005900B3">
        <w:t xml:space="preserve">Given </w:t>
      </w:r>
      <w:r w:rsidR="00907DCC">
        <w:t xml:space="preserve">Treasury </w:t>
      </w:r>
      <w:r w:rsidRPr="005900B3">
        <w:t xml:space="preserve">has already released draft legislation introducing a </w:t>
      </w:r>
      <w:r w:rsidRPr="00907DCC">
        <w:rPr>
          <w:i/>
          <w:iCs/>
        </w:rPr>
        <w:t xml:space="preserve">Mandatory Scheme for </w:t>
      </w:r>
      <w:r w:rsidR="006540CE" w:rsidRPr="00907DCC">
        <w:rPr>
          <w:i/>
          <w:iCs/>
        </w:rPr>
        <w:t xml:space="preserve">Sharing of Motor Vehicle Service and </w:t>
      </w:r>
      <w:r w:rsidRPr="00907DCC">
        <w:rPr>
          <w:i/>
          <w:iCs/>
        </w:rPr>
        <w:t>Repair Information</w:t>
      </w:r>
      <w:r w:rsidR="006540CE" w:rsidRPr="005900B3">
        <w:t>,</w:t>
      </w:r>
      <w:r w:rsidR="006540CE" w:rsidRPr="004B22DB">
        <w:rPr>
          <w:rStyle w:val="FootnoteReference"/>
        </w:rPr>
        <w:footnoteReference w:id="4"/>
      </w:r>
      <w:r w:rsidR="006540CE" w:rsidRPr="005900B3">
        <w:t xml:space="preserve"> </w:t>
      </w:r>
      <w:r w:rsidR="005900B3" w:rsidRPr="005900B3">
        <w:t>we beli</w:t>
      </w:r>
      <w:r w:rsidR="00FC5F74">
        <w:t>e</w:t>
      </w:r>
      <w:r w:rsidR="005900B3" w:rsidRPr="005900B3">
        <w:t xml:space="preserve">ve </w:t>
      </w:r>
      <w:r w:rsidR="006540CE" w:rsidRPr="005900B3">
        <w:t>it is unnecessary for</w:t>
      </w:r>
      <w:r w:rsidRPr="005900B3">
        <w:t xml:space="preserve"> </w:t>
      </w:r>
      <w:r w:rsidR="006540CE" w:rsidRPr="005900B3">
        <w:t xml:space="preserve">the Productivity Commission to concern itself </w:t>
      </w:r>
      <w:r w:rsidR="00907DCC">
        <w:t xml:space="preserve">specifically </w:t>
      </w:r>
      <w:r w:rsidR="006540CE" w:rsidRPr="005900B3">
        <w:t xml:space="preserve">with the </w:t>
      </w:r>
      <w:r w:rsidR="00907DCC">
        <w:t xml:space="preserve">sharing of car </w:t>
      </w:r>
      <w:r w:rsidR="006540CE" w:rsidRPr="005900B3">
        <w:t>repair</w:t>
      </w:r>
      <w:r w:rsidR="00907DCC">
        <w:t xml:space="preserve"> and service information</w:t>
      </w:r>
      <w:r w:rsidR="006540CE" w:rsidRPr="005900B3">
        <w:t xml:space="preserve"> of Motor Vehicles. However</w:t>
      </w:r>
      <w:r w:rsidR="005900B3" w:rsidRPr="005900B3">
        <w:t>,</w:t>
      </w:r>
      <w:r w:rsidR="006540CE" w:rsidRPr="005900B3">
        <w:t xml:space="preserve"> as there are a number of exclusions from this legislation, attention should be paid to th</w:t>
      </w:r>
      <w:r w:rsidR="00B33D01">
        <w:t xml:space="preserve">e exclusions from the Scheme such as </w:t>
      </w:r>
      <w:r w:rsidR="00F43446">
        <w:t>automatic vehicles, telemetry in vehicles and</w:t>
      </w:r>
      <w:r w:rsidR="006540CE" w:rsidRPr="005900B3">
        <w:t xml:space="preserve"> agricultural machinery. </w:t>
      </w:r>
    </w:p>
    <w:p w14:paraId="524E88A9" w14:textId="735A6A0F" w:rsidR="00F43446" w:rsidRDefault="00F43446" w:rsidP="00F43446">
      <w:pPr>
        <w:jc w:val="both"/>
        <w:rPr>
          <w:color w:val="363535"/>
        </w:rPr>
      </w:pPr>
    </w:p>
    <w:p w14:paraId="45D0B9B5" w14:textId="03CA3DAF" w:rsidR="00F43446" w:rsidRPr="005900B3" w:rsidRDefault="002D75B1" w:rsidP="00F43446">
      <w:pPr>
        <w:ind w:left="360"/>
        <w:jc w:val="both"/>
      </w:pPr>
      <w:r>
        <w:t>S</w:t>
      </w:r>
      <w:r w:rsidR="00F43446">
        <w:t>pecifically exclud</w:t>
      </w:r>
      <w:r>
        <w:t>ing</w:t>
      </w:r>
      <w:r w:rsidR="00F43446">
        <w:t xml:space="preserve"> automatic vehicles and telemetry from th</w:t>
      </w:r>
      <w:r>
        <w:t>is</w:t>
      </w:r>
      <w:r w:rsidR="00F43446">
        <w:t xml:space="preserve"> </w:t>
      </w:r>
      <w:r>
        <w:t>S</w:t>
      </w:r>
      <w:r w:rsidR="00F43446">
        <w:t>cheme</w:t>
      </w:r>
      <w:r>
        <w:t xml:space="preserve"> will limit the</w:t>
      </w:r>
      <w:r w:rsidR="00F43446">
        <w:t xml:space="preserve"> effectiveness of this scheme. Telemetry is used in many motor vehicles now and to exclude </w:t>
      </w:r>
      <w:r w:rsidR="00F43446">
        <w:lastRenderedPageBreak/>
        <w:t>th</w:t>
      </w:r>
      <w:r>
        <w:t>is</w:t>
      </w:r>
      <w:r w:rsidR="00F43446">
        <w:t xml:space="preserve"> from the scope of the Scheme is a lost opportunity. Motor vehicle diagnostics and information that is sent directly to the manufacturer (and that no longer remains on board the motor vehicle) will </w:t>
      </w:r>
      <w:r>
        <w:t xml:space="preserve">be excluded from the sharing arrangements and thus </w:t>
      </w:r>
      <w:r w:rsidR="00F43446">
        <w:t xml:space="preserve">tip the balance of access to information that enables repair too much in favour of the manufacturer and places the consumer and the independent repair industry at a severe disadvantage.  </w:t>
      </w:r>
    </w:p>
    <w:p w14:paraId="73712F31" w14:textId="77777777" w:rsidR="00F43446" w:rsidRDefault="00F43446" w:rsidP="00F43446">
      <w:pPr>
        <w:jc w:val="both"/>
      </w:pPr>
    </w:p>
    <w:p w14:paraId="540102AE" w14:textId="3158DA05" w:rsidR="00F43446" w:rsidRPr="00F43446" w:rsidRDefault="00F43446" w:rsidP="00F43446">
      <w:pPr>
        <w:ind w:left="426" w:hanging="11"/>
        <w:jc w:val="both"/>
      </w:pPr>
      <w:r>
        <w:t xml:space="preserve">Concerns over data security and privacy are often one of the arguments that manufacturers and their agents use to oppose the idea of a consumer’s right to repair.  To argue that consumer data security is one of the reasons to restrict repairs overlooks the fact that consumers, who are able to control and access </w:t>
      </w:r>
      <w:r w:rsidR="002D75B1">
        <w:t xml:space="preserve">the content in </w:t>
      </w:r>
      <w:r>
        <w:t>their own products, would be able to delete or move the data on their phones, tablets or computers, thus ensuring that data remains private and is not available to others.</w:t>
      </w:r>
    </w:p>
    <w:p w14:paraId="15C5B0CC" w14:textId="77777777" w:rsidR="00FC5F74" w:rsidRPr="00FC5F74" w:rsidRDefault="00FC5F74" w:rsidP="00907DCC">
      <w:pPr>
        <w:jc w:val="both"/>
        <w:rPr>
          <w:color w:val="363535"/>
        </w:rPr>
      </w:pPr>
    </w:p>
    <w:p w14:paraId="09C89270" w14:textId="07B27F00" w:rsidR="00F7248B" w:rsidRDefault="005900B3" w:rsidP="00FC5F74">
      <w:pPr>
        <w:ind w:left="360"/>
        <w:jc w:val="both"/>
      </w:pPr>
      <w:r w:rsidRPr="005900B3">
        <w:t xml:space="preserve">The inability of farmers to repair their tractors has attracted much attention and it is pleasing to see that the </w:t>
      </w:r>
      <w:r w:rsidR="006540CE" w:rsidRPr="005900B3">
        <w:t xml:space="preserve">concerns over the lack of access to reasonable repair services </w:t>
      </w:r>
      <w:r w:rsidRPr="005900B3">
        <w:t xml:space="preserve">for agricultural machinery </w:t>
      </w:r>
      <w:r w:rsidR="006540CE" w:rsidRPr="005900B3">
        <w:t xml:space="preserve">are already the subject of examination by the ACCC in the </w:t>
      </w:r>
      <w:r w:rsidR="006540CE" w:rsidRPr="00FC5F74">
        <w:rPr>
          <w:i/>
          <w:iCs/>
        </w:rPr>
        <w:t>Agricultural Machinery: Aftersales Markets</w:t>
      </w:r>
      <w:r w:rsidR="004121F8" w:rsidRPr="00FC5F74">
        <w:rPr>
          <w:i/>
          <w:iCs/>
        </w:rPr>
        <w:t xml:space="preserve"> Inquiry</w:t>
      </w:r>
      <w:r w:rsidR="006540CE" w:rsidRPr="005900B3">
        <w:t>.</w:t>
      </w:r>
      <w:r w:rsidR="00907DCC">
        <w:rPr>
          <w:rStyle w:val="FootnoteReference"/>
        </w:rPr>
        <w:footnoteReference w:id="5"/>
      </w:r>
      <w:r w:rsidRPr="005900B3">
        <w:t xml:space="preserve"> </w:t>
      </w:r>
      <w:r w:rsidR="00F7248B">
        <w:t xml:space="preserve"> Farmers have long complained about the excessive costs charged by local dealerships for repair that they</w:t>
      </w:r>
      <w:r w:rsidR="00DD61B5">
        <w:t>, or their local mechanics,</w:t>
      </w:r>
      <w:r w:rsidR="00F7248B">
        <w:t xml:space="preserve"> could simply do themselves, if they were able</w:t>
      </w:r>
      <w:r w:rsidR="00DD61B5">
        <w:t xml:space="preserve"> to access the necessary information and software that is needed</w:t>
      </w:r>
      <w:r w:rsidR="00F7248B">
        <w:t>.</w:t>
      </w:r>
      <w:r w:rsidR="00907DCC">
        <w:rPr>
          <w:rStyle w:val="FootnoteReference"/>
        </w:rPr>
        <w:footnoteReference w:id="6"/>
      </w:r>
      <w:r w:rsidR="00F7248B">
        <w:t xml:space="preserve"> It cost</w:t>
      </w:r>
      <w:r w:rsidR="005C6637">
        <w:t>s</w:t>
      </w:r>
      <w:r w:rsidR="00F7248B">
        <w:t xml:space="preserve"> $1000s for </w:t>
      </w:r>
      <w:r w:rsidR="00DD61B5">
        <w:t xml:space="preserve">farmers </w:t>
      </w:r>
      <w:r w:rsidR="00581A31">
        <w:t>and</w:t>
      </w:r>
      <w:r w:rsidR="00DD61B5">
        <w:t xml:space="preserve"> local </w:t>
      </w:r>
      <w:r w:rsidR="00F7248B">
        <w:t>mechanics in rural and remote Australia to access the computer software needed to diagnose problems with agricultural machinery</w:t>
      </w:r>
      <w:r w:rsidR="00DD61B5">
        <w:t xml:space="preserve"> thus preventing </w:t>
      </w:r>
      <w:r w:rsidR="00581A31">
        <w:t xml:space="preserve">farmers from fixing their tractors when needed or </w:t>
      </w:r>
      <w:r w:rsidR="00DD61B5">
        <w:t xml:space="preserve">local </w:t>
      </w:r>
      <w:r w:rsidR="00F7248B">
        <w:t xml:space="preserve">mechanics </w:t>
      </w:r>
      <w:r w:rsidR="00DD61B5">
        <w:t xml:space="preserve">from providing mechanical </w:t>
      </w:r>
      <w:r w:rsidR="00F7248B">
        <w:t>services to their farming communities</w:t>
      </w:r>
      <w:r w:rsidR="00E968FD">
        <w:t>. Agricultural dealerships have a monopoly on repair information forcing farmers to pay higher costs for repair and restricting the choice of repairers.</w:t>
      </w:r>
    </w:p>
    <w:p w14:paraId="7E63DEE1" w14:textId="77777777" w:rsidR="00F7248B" w:rsidRDefault="00F7248B" w:rsidP="00DD61B5">
      <w:pPr>
        <w:jc w:val="both"/>
      </w:pPr>
    </w:p>
    <w:p w14:paraId="7A821C37" w14:textId="42263B77" w:rsidR="00E968FD" w:rsidRDefault="005900B3" w:rsidP="00FC5F74">
      <w:pPr>
        <w:ind w:left="360"/>
        <w:jc w:val="both"/>
      </w:pPr>
      <w:r w:rsidRPr="005900B3">
        <w:t xml:space="preserve">Importantly, </w:t>
      </w:r>
      <w:r w:rsidR="004121F8">
        <w:t xml:space="preserve">as part of its examination into the </w:t>
      </w:r>
      <w:r w:rsidR="004121F8" w:rsidRPr="00FC5F74">
        <w:rPr>
          <w:color w:val="363535"/>
        </w:rPr>
        <w:t xml:space="preserve">issues which may be harmful to competition and to purchasers of agricultural machinery, the ACCC is also examining issues concerning </w:t>
      </w:r>
      <w:r w:rsidR="004121F8" w:rsidRPr="00A47B82">
        <w:rPr>
          <w:i/>
          <w:iCs/>
          <w:color w:val="363535"/>
        </w:rPr>
        <w:t>data ownership and management</w:t>
      </w:r>
      <w:r w:rsidR="004121F8" w:rsidRPr="002D75B1">
        <w:rPr>
          <w:b/>
          <w:bCs/>
          <w:color w:val="363535"/>
        </w:rPr>
        <w:t xml:space="preserve"> </w:t>
      </w:r>
      <w:r w:rsidR="004121F8" w:rsidRPr="00FC5F74">
        <w:rPr>
          <w:color w:val="363535"/>
        </w:rPr>
        <w:t>within the agricultural industry, rightfully identifying that these issues raise significant privacy and competition concerns for farmers.</w:t>
      </w:r>
      <w:r>
        <w:t xml:space="preserve"> </w:t>
      </w:r>
      <w:r w:rsidR="00E968FD">
        <w:t xml:space="preserve"> </w:t>
      </w:r>
      <w:r w:rsidR="00581A31">
        <w:t>Many of t</w:t>
      </w:r>
      <w:r w:rsidR="00634DCD">
        <w:t xml:space="preserve">he technology providers’ data ownership provisions in the </w:t>
      </w:r>
      <w:r w:rsidR="002D75B1">
        <w:t xml:space="preserve">EULAs and </w:t>
      </w:r>
      <w:r w:rsidR="00634DCD">
        <w:t xml:space="preserve">data licences that accompany the new digital agricultural machinery prevent farmers from accessing their data, thus restricting their ability to change from one technology provider to another. Inability to access their farm data </w:t>
      </w:r>
      <w:r w:rsidR="00E968FD">
        <w:t xml:space="preserve">has </w:t>
      </w:r>
      <w:r w:rsidR="00634DCD">
        <w:t xml:space="preserve">potentially </w:t>
      </w:r>
      <w:r w:rsidR="00E968FD">
        <w:t>serious competition issues.</w:t>
      </w:r>
    </w:p>
    <w:p w14:paraId="38AE8308" w14:textId="77777777" w:rsidR="00E968FD" w:rsidRDefault="00E968FD" w:rsidP="00FC5F74">
      <w:pPr>
        <w:ind w:left="360"/>
        <w:jc w:val="both"/>
      </w:pPr>
    </w:p>
    <w:p w14:paraId="55707C8A" w14:textId="3B62FAA1" w:rsidR="007A47F2" w:rsidRDefault="007A47F2" w:rsidP="007A47F2">
      <w:pPr>
        <w:ind w:left="360"/>
        <w:jc w:val="both"/>
      </w:pPr>
      <w:r>
        <w:t>T</w:t>
      </w:r>
      <w:r w:rsidR="00634DCD">
        <w:t xml:space="preserve">he </w:t>
      </w:r>
      <w:r>
        <w:t xml:space="preserve">full </w:t>
      </w:r>
      <w:r w:rsidR="00634DCD">
        <w:t xml:space="preserve">consequences of </w:t>
      </w:r>
      <w:r w:rsidR="007B2BBE">
        <w:t xml:space="preserve">the lack of ownership, </w:t>
      </w:r>
      <w:r w:rsidR="005900B3">
        <w:t xml:space="preserve">control and access to machine </w:t>
      </w:r>
      <w:r w:rsidR="00FC5F74">
        <w:t>(</w:t>
      </w:r>
      <w:r w:rsidR="005900B3">
        <w:t>and agricultural</w:t>
      </w:r>
      <w:r w:rsidR="00FC5F74">
        <w:t>)</w:t>
      </w:r>
      <w:r w:rsidR="005900B3">
        <w:t xml:space="preserve"> data </w:t>
      </w:r>
      <w:r w:rsidR="007B2BBE">
        <w:t xml:space="preserve">that farmers </w:t>
      </w:r>
      <w:r>
        <w:t xml:space="preserve">are experiencing </w:t>
      </w:r>
      <w:r w:rsidR="007B2BBE">
        <w:t xml:space="preserve">are </w:t>
      </w:r>
      <w:r>
        <w:t xml:space="preserve">yet to be fully explored and understood by regulators. However, it is not only farmers that are </w:t>
      </w:r>
      <w:r w:rsidR="007B2BBE">
        <w:t xml:space="preserve">experiencing </w:t>
      </w:r>
      <w:r>
        <w:t>a loss of control of their data but also the consumers who adopt and engage with software</w:t>
      </w:r>
      <w:r w:rsidR="002D75B1">
        <w:t>-</w:t>
      </w:r>
      <w:r>
        <w:t xml:space="preserve">enabled goods. Many ‘smart’ wearable consumer goods, such as smart watches and iPhones, generate large amounts of data that is shared with manufacturers but </w:t>
      </w:r>
      <w:r w:rsidR="006E2D65">
        <w:t xml:space="preserve">not with the </w:t>
      </w:r>
      <w:r>
        <w:t xml:space="preserve">consumers </w:t>
      </w:r>
      <w:r w:rsidR="006E2D65">
        <w:t xml:space="preserve">who own those goods and many consumers </w:t>
      </w:r>
      <w:r>
        <w:t xml:space="preserve">are often seemingly unaware of this fact. </w:t>
      </w:r>
    </w:p>
    <w:p w14:paraId="1738D2C2" w14:textId="77777777" w:rsidR="007A47F2" w:rsidRDefault="007A47F2" w:rsidP="007A47F2">
      <w:pPr>
        <w:ind w:left="360"/>
        <w:jc w:val="both"/>
      </w:pPr>
    </w:p>
    <w:p w14:paraId="01CED7A9" w14:textId="5C5D1DC5" w:rsidR="006E2D65" w:rsidRDefault="007A47F2" w:rsidP="006E2D65">
      <w:pPr>
        <w:ind w:left="415"/>
        <w:jc w:val="both"/>
      </w:pPr>
      <w:r>
        <w:t xml:space="preserve">We suggest that the issues arising from the lack of ownership, control and access to data that consumers experience when using a broad range of digital goods </w:t>
      </w:r>
      <w:r w:rsidR="00634DCD">
        <w:t xml:space="preserve">is an issue that the Productivity Commission </w:t>
      </w:r>
      <w:r w:rsidR="005900B3">
        <w:t>should also concern itself</w:t>
      </w:r>
      <w:r w:rsidR="007B2BBE">
        <w:t xml:space="preserve"> when examining the </w:t>
      </w:r>
      <w:r>
        <w:t xml:space="preserve">broader issues </w:t>
      </w:r>
      <w:r>
        <w:lastRenderedPageBreak/>
        <w:t>relating to the in</w:t>
      </w:r>
      <w:r w:rsidR="007B2BBE">
        <w:t>ability of consumers to access repair and service information for the goods that they own</w:t>
      </w:r>
      <w:r w:rsidR="005900B3">
        <w:t xml:space="preserve">. </w:t>
      </w:r>
    </w:p>
    <w:p w14:paraId="7B4C0733" w14:textId="77777777" w:rsidR="00A47B82" w:rsidRDefault="00A47B82" w:rsidP="006E2D65">
      <w:pPr>
        <w:ind w:left="415"/>
        <w:jc w:val="both"/>
      </w:pPr>
    </w:p>
    <w:p w14:paraId="12D5D8DD" w14:textId="2DAAAE53" w:rsidR="00350D88" w:rsidRPr="00F43446" w:rsidRDefault="00F43446" w:rsidP="00AC764D">
      <w:pPr>
        <w:ind w:left="284"/>
        <w:jc w:val="both"/>
      </w:pPr>
      <w:r>
        <w:t xml:space="preserve">We note </w:t>
      </w:r>
      <w:r w:rsidR="00581A31">
        <w:t xml:space="preserve">that </w:t>
      </w:r>
      <w:r>
        <w:t>the national Consumer Data Right (CDR)</w:t>
      </w:r>
      <w:r w:rsidR="00581A31">
        <w:rPr>
          <w:rStyle w:val="FootnoteReference"/>
          <w:color w:val="363535"/>
          <w:shd w:val="clear" w:color="auto" w:fill="FFFFFF"/>
        </w:rPr>
        <w:footnoteReference w:id="7"/>
      </w:r>
      <w:r>
        <w:t xml:space="preserve"> has been introduced into </w:t>
      </w:r>
      <w:r w:rsidR="00581A31">
        <w:t xml:space="preserve">the </w:t>
      </w:r>
      <w:r>
        <w:t>banking</w:t>
      </w:r>
      <w:r w:rsidR="00581A31">
        <w:t xml:space="preserve"> sector</w:t>
      </w:r>
      <w:r>
        <w:t>, and will soon, be expanded into other industries</w:t>
      </w:r>
      <w:r w:rsidR="00581A31">
        <w:t>. This right</w:t>
      </w:r>
      <w:r>
        <w:t xml:space="preserve"> </w:t>
      </w:r>
      <w:r w:rsidR="00581A31" w:rsidRPr="00AB4632">
        <w:rPr>
          <w:color w:val="363535"/>
          <w:shd w:val="clear" w:color="auto" w:fill="FFFFFF"/>
        </w:rPr>
        <w:t>give</w:t>
      </w:r>
      <w:r w:rsidR="00581A31">
        <w:rPr>
          <w:color w:val="363535"/>
          <w:shd w:val="clear" w:color="auto" w:fill="FFFFFF"/>
        </w:rPr>
        <w:t>s</w:t>
      </w:r>
      <w:r w:rsidR="00581A31" w:rsidRPr="00AB4632">
        <w:rPr>
          <w:color w:val="363535"/>
          <w:shd w:val="clear" w:color="auto" w:fill="FFFFFF"/>
        </w:rPr>
        <w:t xml:space="preserve"> consumers greater access to and control over their data </w:t>
      </w:r>
      <w:r w:rsidR="00581A31">
        <w:rPr>
          <w:color w:val="363535"/>
          <w:shd w:val="clear" w:color="auto" w:fill="FFFFFF"/>
        </w:rPr>
        <w:t xml:space="preserve">and </w:t>
      </w:r>
      <w:r>
        <w:t>seeks to address many of the concerns facing consumers over management and use of their personal data</w:t>
      </w:r>
      <w:r w:rsidR="00581A31">
        <w:t xml:space="preserve">. </w:t>
      </w:r>
      <w:r w:rsidR="00B613C7" w:rsidRPr="00AB4632">
        <w:rPr>
          <w:color w:val="363535"/>
          <w:shd w:val="clear" w:color="auto" w:fill="FFFFFF"/>
        </w:rPr>
        <w:t xml:space="preserve">It </w:t>
      </w:r>
      <w:r w:rsidR="00B613C7">
        <w:rPr>
          <w:color w:val="363535"/>
          <w:shd w:val="clear" w:color="auto" w:fill="FFFFFF"/>
        </w:rPr>
        <w:t xml:space="preserve">aims to </w:t>
      </w:r>
      <w:r w:rsidR="00B613C7" w:rsidRPr="00AB4632">
        <w:rPr>
          <w:color w:val="363535"/>
          <w:shd w:val="clear" w:color="auto" w:fill="FFFFFF"/>
        </w:rPr>
        <w:t xml:space="preserve">improve consumers’ ability to compare and switch between products and services, and </w:t>
      </w:r>
      <w:r w:rsidR="00B613C7">
        <w:rPr>
          <w:color w:val="363535"/>
          <w:shd w:val="clear" w:color="auto" w:fill="FFFFFF"/>
        </w:rPr>
        <w:t xml:space="preserve">should </w:t>
      </w:r>
      <w:r w:rsidR="00B613C7" w:rsidRPr="00AB4632">
        <w:rPr>
          <w:color w:val="363535"/>
          <w:shd w:val="clear" w:color="auto" w:fill="FFFFFF"/>
        </w:rPr>
        <w:t>encourage competition between service providers</w:t>
      </w:r>
      <w:r w:rsidR="00B613C7">
        <w:rPr>
          <w:color w:val="363535"/>
          <w:shd w:val="clear" w:color="auto" w:fill="FFFFFF"/>
        </w:rPr>
        <w:t xml:space="preserve">. While this holds much promise for consumers, </w:t>
      </w:r>
      <w:r>
        <w:t xml:space="preserve">it is not </w:t>
      </w:r>
      <w:r w:rsidR="00581A31">
        <w:t xml:space="preserve">yet </w:t>
      </w:r>
      <w:r>
        <w:t xml:space="preserve">clear </w:t>
      </w:r>
      <w:r w:rsidR="00581A31">
        <w:t xml:space="preserve">whether or </w:t>
      </w:r>
      <w:r>
        <w:t>how this right will impact more generally on consumer</w:t>
      </w:r>
      <w:r w:rsidR="00581A31">
        <w:t>s who</w:t>
      </w:r>
      <w:r>
        <w:t xml:space="preserve"> purchase software enabled good</w:t>
      </w:r>
      <w:r w:rsidR="00581A31">
        <w:t>s that generate data about their usage</w:t>
      </w:r>
      <w:r>
        <w:t xml:space="preserve">. </w:t>
      </w:r>
    </w:p>
    <w:p w14:paraId="2D2784BC" w14:textId="77777777" w:rsidR="00FB3409" w:rsidRPr="004B22DB" w:rsidRDefault="00FB3409" w:rsidP="004B22DB">
      <w:pPr>
        <w:jc w:val="both"/>
      </w:pPr>
    </w:p>
    <w:p w14:paraId="77D68B6D" w14:textId="77777777" w:rsidR="008453B8" w:rsidRPr="004B22DB" w:rsidRDefault="008453B8" w:rsidP="004B22DB">
      <w:pPr>
        <w:jc w:val="both"/>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0"/>
      </w:tblGrid>
      <w:tr w:rsidR="00FB3409" w:rsidRPr="004B22DB" w14:paraId="33BDF1FC" w14:textId="77777777" w:rsidTr="00BE25B8">
        <w:trPr>
          <w:tblHeader/>
        </w:trPr>
        <w:tc>
          <w:tcPr>
            <w:tcW w:w="5000" w:type="pct"/>
            <w:tcBorders>
              <w:top w:val="single" w:sz="6" w:space="0" w:color="78A22F"/>
              <w:left w:val="nil"/>
              <w:bottom w:val="nil"/>
              <w:right w:val="nil"/>
            </w:tcBorders>
            <w:shd w:val="clear" w:color="auto" w:fill="auto"/>
          </w:tcPr>
          <w:p w14:paraId="573BFF4C" w14:textId="77777777" w:rsidR="00FB3409" w:rsidRPr="00BE25B8" w:rsidRDefault="00FB3409" w:rsidP="004B22DB">
            <w:pPr>
              <w:pStyle w:val="InformationRequestTitle"/>
              <w:spacing w:before="120"/>
              <w:rPr>
                <w:rFonts w:ascii="Times New Roman" w:hAnsi="Times New Roman"/>
                <w:color w:val="0070C0"/>
                <w:sz w:val="24"/>
                <w:szCs w:val="24"/>
              </w:rPr>
            </w:pPr>
            <w:r w:rsidRPr="00BE25B8">
              <w:rPr>
                <w:rFonts w:ascii="Times New Roman" w:hAnsi="Times New Roman"/>
                <w:color w:val="0070C0"/>
                <w:sz w:val="24"/>
                <w:szCs w:val="24"/>
              </w:rPr>
              <w:t>Information request 3</w:t>
            </w:r>
          </w:p>
        </w:tc>
      </w:tr>
      <w:tr w:rsidR="00FB3409" w:rsidRPr="004B22DB" w14:paraId="4072079F" w14:textId="77777777" w:rsidTr="00BE25B8">
        <w:tc>
          <w:tcPr>
            <w:tcW w:w="5000" w:type="pct"/>
            <w:tcBorders>
              <w:top w:val="nil"/>
              <w:left w:val="nil"/>
              <w:bottom w:val="nil"/>
              <w:right w:val="nil"/>
            </w:tcBorders>
            <w:shd w:val="clear" w:color="auto" w:fill="auto"/>
          </w:tcPr>
          <w:p w14:paraId="18F90F31" w14:textId="77777777" w:rsidR="00FB3409" w:rsidRPr="00BE25B8" w:rsidRDefault="00FB3409" w:rsidP="004B22DB">
            <w:pPr>
              <w:pStyle w:val="InformationRequestBullet"/>
              <w:keepNext/>
              <w:ind w:left="284" w:hanging="284"/>
              <w:rPr>
                <w:rFonts w:ascii="Times New Roman" w:hAnsi="Times New Roman"/>
                <w:color w:val="0070C0"/>
                <w:sz w:val="24"/>
                <w:szCs w:val="24"/>
              </w:rPr>
            </w:pPr>
            <w:r w:rsidRPr="00BE25B8">
              <w:rPr>
                <w:rFonts w:ascii="Times New Roman" w:hAnsi="Times New Roman"/>
                <w:iCs/>
                <w:color w:val="0070C0"/>
                <w:sz w:val="24"/>
                <w:szCs w:val="24"/>
              </w:rPr>
              <w:t>a)</w:t>
            </w:r>
            <w:r w:rsidRPr="00BE25B8">
              <w:rPr>
                <w:rFonts w:ascii="Times New Roman" w:hAnsi="Times New Roman"/>
                <w:color w:val="0070C0"/>
                <w:sz w:val="24"/>
                <w:szCs w:val="24"/>
              </w:rPr>
              <w:tab/>
              <w:t>Do the consumer guarantees under the ACL provide adequate access to repair remedies for defective goods? If not, what changes could be made to improve access to repair remedies? Are there barriers to repairing products purchased using new forms of payment technologies, such as ‘buy now pay later’?</w:t>
            </w:r>
          </w:p>
          <w:p w14:paraId="25C87895" w14:textId="77777777" w:rsidR="00FB3409" w:rsidRPr="00BE25B8" w:rsidRDefault="00FB3409" w:rsidP="004B22DB">
            <w:pPr>
              <w:pStyle w:val="InformationRequest"/>
              <w:ind w:left="284" w:hanging="284"/>
              <w:rPr>
                <w:rFonts w:ascii="Times New Roman" w:hAnsi="Times New Roman"/>
                <w:color w:val="0070C0"/>
                <w:sz w:val="24"/>
                <w:szCs w:val="24"/>
              </w:rPr>
            </w:pPr>
            <w:r w:rsidRPr="00BE25B8">
              <w:rPr>
                <w:rFonts w:ascii="Times New Roman" w:hAnsi="Times New Roman"/>
                <w:color w:val="0070C0"/>
                <w:sz w:val="24"/>
                <w:szCs w:val="24"/>
              </w:rPr>
              <w:t>b)</w:t>
            </w:r>
            <w:r w:rsidRPr="00BE25B8">
              <w:rPr>
                <w:rFonts w:ascii="Times New Roman" w:hAnsi="Times New Roman"/>
                <w:color w:val="0070C0"/>
                <w:sz w:val="24"/>
                <w:szCs w:val="24"/>
              </w:rPr>
              <w:tab/>
              <w:t>Is the guarantee of available repair facilities and spare parts effective in providing access to repair services and parts? Or is the opt</w:t>
            </w:r>
            <w:r w:rsidRPr="00BE25B8">
              <w:rPr>
                <w:rFonts w:ascii="Times New Roman" w:hAnsi="Times New Roman"/>
                <w:color w:val="0070C0"/>
                <w:sz w:val="24"/>
                <w:szCs w:val="24"/>
              </w:rPr>
              <w:noBreakHyphen/>
              <w:t>out clause being widely used, making the guarantee ineffective?</w:t>
            </w:r>
          </w:p>
          <w:p w14:paraId="16C6C54C" w14:textId="77777777" w:rsidR="00FB3409" w:rsidRPr="00BE25B8" w:rsidRDefault="00FB3409" w:rsidP="004B22DB">
            <w:pPr>
              <w:pStyle w:val="InformationRequest"/>
              <w:keepNext/>
              <w:ind w:left="284" w:hanging="284"/>
              <w:rPr>
                <w:rFonts w:ascii="Times New Roman" w:hAnsi="Times New Roman"/>
                <w:color w:val="0070C0"/>
                <w:sz w:val="24"/>
                <w:szCs w:val="24"/>
              </w:rPr>
            </w:pPr>
            <w:r w:rsidRPr="00BE25B8">
              <w:rPr>
                <w:rFonts w:ascii="Times New Roman" w:hAnsi="Times New Roman"/>
                <w:color w:val="0070C0"/>
                <w:sz w:val="24"/>
                <w:szCs w:val="24"/>
              </w:rPr>
              <w:t>c)</w:t>
            </w:r>
            <w:r w:rsidRPr="00BE25B8">
              <w:rPr>
                <w:rFonts w:ascii="Times New Roman" w:hAnsi="Times New Roman"/>
                <w:color w:val="0070C0"/>
                <w:sz w:val="24"/>
                <w:szCs w:val="24"/>
              </w:rPr>
              <w:tab/>
              <w:t>Should consumer guarantees seek to balance the broader societal costs of remedy choices (such as the environmental impacts of replacements) with consumer rights, and if so how? For example, should repairs be favoured as a remedy?</w:t>
            </w:r>
          </w:p>
          <w:p w14:paraId="628BADEE" w14:textId="77777777" w:rsidR="00FB3409" w:rsidRPr="00BE25B8" w:rsidRDefault="00FB3409" w:rsidP="004B22DB">
            <w:pPr>
              <w:pStyle w:val="InformationRequest"/>
              <w:ind w:left="284" w:hanging="284"/>
              <w:rPr>
                <w:rFonts w:ascii="Times New Roman" w:hAnsi="Times New Roman"/>
                <w:color w:val="0070C0"/>
                <w:sz w:val="24"/>
                <w:szCs w:val="24"/>
              </w:rPr>
            </w:pPr>
            <w:r w:rsidRPr="00BE25B8">
              <w:rPr>
                <w:rFonts w:ascii="Times New Roman" w:hAnsi="Times New Roman"/>
                <w:color w:val="0070C0"/>
                <w:sz w:val="24"/>
                <w:szCs w:val="24"/>
              </w:rPr>
              <w:t>d)</w:t>
            </w:r>
            <w:r w:rsidRPr="00BE25B8">
              <w:rPr>
                <w:rFonts w:ascii="Times New Roman" w:hAnsi="Times New Roman"/>
                <w:color w:val="0070C0"/>
                <w:sz w:val="24"/>
                <w:szCs w:val="24"/>
              </w:rPr>
              <w:tab/>
              <w:t>Are consumers sufficiently aware of the remedies that are available to them, including the option to repair faulty products, under the ACL’s consumer guarantees?</w:t>
            </w:r>
          </w:p>
          <w:p w14:paraId="239C5B94" w14:textId="77777777" w:rsidR="00FB3409" w:rsidRPr="00BE25B8" w:rsidRDefault="00FB3409" w:rsidP="004B22DB">
            <w:pPr>
              <w:pStyle w:val="InformationRequestBullet"/>
              <w:ind w:left="454" w:hanging="170"/>
              <w:rPr>
                <w:rFonts w:ascii="Times New Roman" w:hAnsi="Times New Roman"/>
                <w:color w:val="0070C0"/>
                <w:sz w:val="24"/>
                <w:szCs w:val="24"/>
              </w:rPr>
            </w:pPr>
            <w:r w:rsidRPr="00BE25B8">
              <w:rPr>
                <w:rFonts w:ascii="Times New Roman" w:hAnsi="Times New Roman"/>
                <w:color w:val="0070C0"/>
                <w:sz w:val="24"/>
                <w:szCs w:val="24"/>
              </w:rPr>
              <w:t>If not, would more information and education be a cost</w:t>
            </w:r>
            <w:r w:rsidRPr="00BE25B8">
              <w:rPr>
                <w:rFonts w:ascii="Times New Roman" w:hAnsi="Times New Roman"/>
                <w:color w:val="0070C0"/>
                <w:sz w:val="24"/>
                <w:szCs w:val="24"/>
              </w:rPr>
              <w:noBreakHyphen/>
              <w:t xml:space="preserve">effective measure to assist consumers understand and enforce guarantees? What would be the best way to deliver this information? What other measures would be more effective? </w:t>
            </w:r>
          </w:p>
        </w:tc>
      </w:tr>
    </w:tbl>
    <w:p w14:paraId="73242288" w14:textId="5059580C" w:rsidR="00CB7B7C" w:rsidRDefault="00D1160B" w:rsidP="00B11DD4">
      <w:pPr>
        <w:pStyle w:val="NoSpacing"/>
      </w:pPr>
      <w:r>
        <w:tab/>
      </w:r>
    </w:p>
    <w:p w14:paraId="2E161E89" w14:textId="03C19E44" w:rsidR="000D72DE" w:rsidRDefault="00CB7B7C" w:rsidP="006E2D65">
      <w:pPr>
        <w:pStyle w:val="BodyText1"/>
        <w:spacing w:line="240" w:lineRule="auto"/>
        <w:ind w:right="-52"/>
      </w:pPr>
      <w:r>
        <w:t>It is important to note at the outset that the c</w:t>
      </w:r>
      <w:r w:rsidRPr="006960EA">
        <w:t xml:space="preserve">onsumer protection laws </w:t>
      </w:r>
      <w:r w:rsidR="009460CB">
        <w:t xml:space="preserve">in the ACL </w:t>
      </w:r>
      <w:r w:rsidRPr="006960EA">
        <w:t xml:space="preserve">emphasise the importance of the repair that the </w:t>
      </w:r>
      <w:r w:rsidRPr="00CB7B7C">
        <w:rPr>
          <w:i/>
          <w:iCs w:val="0"/>
        </w:rPr>
        <w:t>supplier of goods conducts</w:t>
      </w:r>
      <w:r w:rsidRPr="006960EA">
        <w:t xml:space="preserve">. </w:t>
      </w:r>
      <w:r w:rsidR="006E2D65">
        <w:t>However, t</w:t>
      </w:r>
      <w:r w:rsidRPr="006960EA">
        <w:t>he consumer guarantees, supplier warranties and consumer remedies</w:t>
      </w:r>
      <w:r w:rsidR="006E2D65">
        <w:t xml:space="preserve"> </w:t>
      </w:r>
      <w:r w:rsidRPr="006960EA">
        <w:t xml:space="preserve">emphasise the right of repair that the </w:t>
      </w:r>
      <w:r w:rsidRPr="00CB7B7C">
        <w:rPr>
          <w:i/>
          <w:iCs w:val="0"/>
        </w:rPr>
        <w:t>original manufacturer or an authorised service provider</w:t>
      </w:r>
      <w:r w:rsidRPr="006960EA">
        <w:t xml:space="preserve"> conducts.</w:t>
      </w:r>
    </w:p>
    <w:p w14:paraId="0DD3E4BE" w14:textId="4D9479E9" w:rsidR="000D72DE" w:rsidRDefault="006E2D65" w:rsidP="006E2D65">
      <w:pPr>
        <w:ind w:right="-52"/>
        <w:jc w:val="both"/>
      </w:pPr>
      <w:r>
        <w:t xml:space="preserve">In terms of assessing the effectives of the consumer guarantees in relation to repair, it is difficult to assess as there appears to be </w:t>
      </w:r>
      <w:r w:rsidR="009460CB">
        <w:t xml:space="preserve">little evidence of the number of </w:t>
      </w:r>
      <w:r w:rsidR="00B11DD4">
        <w:t xml:space="preserve">incidences or </w:t>
      </w:r>
      <w:r w:rsidR="009460CB">
        <w:t>actions brought under the ACL’s consumer guarantees with respect to repairs.</w:t>
      </w:r>
      <w:r w:rsidR="00B11DD4">
        <w:t xml:space="preserve"> It is therefore difficult to</w:t>
      </w:r>
      <w:r w:rsidR="0023069D">
        <w:t xml:space="preserve"> comment on how well these provisions are working in practice.</w:t>
      </w:r>
    </w:p>
    <w:p w14:paraId="2BDDBDB6" w14:textId="74C3CC1A" w:rsidR="009460CB" w:rsidRDefault="009460CB" w:rsidP="006E2D65">
      <w:pPr>
        <w:ind w:right="-52"/>
        <w:jc w:val="both"/>
      </w:pPr>
    </w:p>
    <w:p w14:paraId="3D22E947" w14:textId="2DCD1148" w:rsidR="00877F7B" w:rsidRPr="00877F7B" w:rsidRDefault="00B11DD4" w:rsidP="006E2D65">
      <w:pPr>
        <w:ind w:right="-52"/>
        <w:jc w:val="both"/>
        <w:rPr>
          <w:color w:val="000000" w:themeColor="text1"/>
        </w:rPr>
      </w:pPr>
      <w:r w:rsidRPr="00B11DD4">
        <w:t>One particular improvement to the overall operation of the consumer protection provisions would be to amend the definition of ‘consumer’ for the purposes of the ACL.</w:t>
      </w:r>
      <w:r w:rsidRPr="00B11DD4">
        <w:rPr>
          <w:color w:val="202124"/>
          <w:shd w:val="clear" w:color="auto" w:fill="FFFFFF"/>
        </w:rPr>
        <w:t xml:space="preserve"> The </w:t>
      </w:r>
      <w:r w:rsidRPr="006E2D65">
        <w:rPr>
          <w:color w:val="202124"/>
          <w:shd w:val="clear" w:color="auto" w:fill="FFFFFF"/>
        </w:rPr>
        <w:t xml:space="preserve">definition of 'consumer' </w:t>
      </w:r>
      <w:r w:rsidRPr="00B11DD4">
        <w:rPr>
          <w:color w:val="202124"/>
          <w:shd w:val="clear" w:color="auto" w:fill="FFFFFF"/>
        </w:rPr>
        <w:t xml:space="preserve">under the ACL currently captures any person who acquires goods or services </w:t>
      </w:r>
      <w:r w:rsidRPr="00877F7B">
        <w:rPr>
          <w:color w:val="000000" w:themeColor="text1"/>
          <w:shd w:val="clear" w:color="auto" w:fill="FFFFFF"/>
        </w:rPr>
        <w:t>for an amount not exceeding $40,000 (or where the goods were acquired for personal, domestic or household use)</w:t>
      </w:r>
      <w:r w:rsidR="00877F7B" w:rsidRPr="00877F7B">
        <w:rPr>
          <w:color w:val="000000" w:themeColor="text1"/>
          <w:shd w:val="clear" w:color="auto" w:fill="FFFFFF"/>
        </w:rPr>
        <w:t xml:space="preserve">. The new threshold of </w:t>
      </w:r>
      <w:r w:rsidR="00877F7B" w:rsidRPr="00877F7B">
        <w:rPr>
          <w:color w:val="000000" w:themeColor="text1"/>
        </w:rPr>
        <w:t xml:space="preserve">$100 000 coming into effect on 1 July 2021 will still leave many large pieces of machinery outside the scope of the consumer protection provisions. </w:t>
      </w:r>
      <w:r w:rsidR="00877F7B" w:rsidRPr="00877F7B">
        <w:rPr>
          <w:color w:val="000000" w:themeColor="text1"/>
        </w:rPr>
        <w:lastRenderedPageBreak/>
        <w:t>For example, farmers who purchase large pieces of agricultural equipment, such as tractors or combine harvesters, whose costs far exceed the $100,000 threshold will never have the protections of the consumer guarantee provisions</w:t>
      </w:r>
      <w:r w:rsidR="006E2D65">
        <w:rPr>
          <w:color w:val="000000" w:themeColor="text1"/>
        </w:rPr>
        <w:t xml:space="preserve"> nor the ACL’ unfair terms provisions.</w:t>
      </w:r>
      <w:r w:rsidR="006E2D65">
        <w:rPr>
          <w:rStyle w:val="FootnoteReference"/>
          <w:color w:val="000000" w:themeColor="text1"/>
        </w:rPr>
        <w:footnoteReference w:id="8"/>
      </w:r>
      <w:r w:rsidR="00877F7B" w:rsidRPr="00877F7B">
        <w:rPr>
          <w:color w:val="000000" w:themeColor="text1"/>
        </w:rPr>
        <w:t xml:space="preserve">  This exposes farmers </w:t>
      </w:r>
      <w:r w:rsidR="0023069D">
        <w:rPr>
          <w:color w:val="000000" w:themeColor="text1"/>
        </w:rPr>
        <w:t xml:space="preserve">as they are unable to access remedies under the consumer guarantees or under the </w:t>
      </w:r>
      <w:r w:rsidR="00877F7B" w:rsidRPr="00877F7B">
        <w:rPr>
          <w:color w:val="000000" w:themeColor="text1"/>
        </w:rPr>
        <w:t xml:space="preserve">unfair terms </w:t>
      </w:r>
      <w:r w:rsidR="0023069D">
        <w:rPr>
          <w:color w:val="000000" w:themeColor="text1"/>
        </w:rPr>
        <w:t xml:space="preserve">provisions for those terms </w:t>
      </w:r>
      <w:r w:rsidR="0023069D" w:rsidRPr="00877F7B">
        <w:rPr>
          <w:color w:val="000000" w:themeColor="text1"/>
        </w:rPr>
        <w:t xml:space="preserve">in their software contracts </w:t>
      </w:r>
      <w:r w:rsidR="00877F7B" w:rsidRPr="00877F7B">
        <w:rPr>
          <w:color w:val="000000" w:themeColor="text1"/>
        </w:rPr>
        <w:t>that restrict their ability to repair or access repair information and services</w:t>
      </w:r>
      <w:r w:rsidR="0023069D">
        <w:rPr>
          <w:color w:val="000000" w:themeColor="text1"/>
        </w:rPr>
        <w:t>.</w:t>
      </w:r>
      <w:r w:rsidR="00877F7B" w:rsidRPr="00877F7B">
        <w:rPr>
          <w:color w:val="000000" w:themeColor="text1"/>
        </w:rPr>
        <w:t xml:space="preserve"> Th</w:t>
      </w:r>
      <w:r w:rsidR="0023069D">
        <w:rPr>
          <w:color w:val="000000" w:themeColor="text1"/>
        </w:rPr>
        <w:t xml:space="preserve">e fact that </w:t>
      </w:r>
      <w:r w:rsidR="00877F7B" w:rsidRPr="00877F7B">
        <w:rPr>
          <w:color w:val="000000" w:themeColor="text1"/>
        </w:rPr>
        <w:t xml:space="preserve">farmers are not considered ‘consumers’ </w:t>
      </w:r>
      <w:r w:rsidR="0023069D">
        <w:rPr>
          <w:color w:val="000000" w:themeColor="text1"/>
        </w:rPr>
        <w:t xml:space="preserve">for the purposes of the ACL provisions more generally </w:t>
      </w:r>
      <w:r w:rsidR="00877F7B" w:rsidRPr="00877F7B">
        <w:rPr>
          <w:color w:val="000000" w:themeColor="text1"/>
        </w:rPr>
        <w:t>has been raised with the ACCC in</w:t>
      </w:r>
      <w:r w:rsidR="0023069D">
        <w:rPr>
          <w:color w:val="000000" w:themeColor="text1"/>
        </w:rPr>
        <w:t xml:space="preserve"> general</w:t>
      </w:r>
      <w:r w:rsidR="00877F7B" w:rsidRPr="00877F7B">
        <w:rPr>
          <w:color w:val="000000" w:themeColor="text1"/>
        </w:rPr>
        <w:t xml:space="preserve"> consultations about the introduction of the Consumer Data Right into new industries such as agriculture.</w:t>
      </w:r>
    </w:p>
    <w:p w14:paraId="1679EB3F" w14:textId="2EBD1A4D" w:rsidR="009460CB" w:rsidRDefault="009460CB" w:rsidP="000D72DE"/>
    <w:p w14:paraId="674F1226" w14:textId="4CAE27A3" w:rsidR="00A47B82" w:rsidRPr="00A47B82" w:rsidRDefault="00A47B82" w:rsidP="00A47B82">
      <w:pPr>
        <w:jc w:val="both"/>
        <w:rPr>
          <w:color w:val="000000"/>
          <w:bdr w:val="none" w:sz="0" w:space="0" w:color="auto" w:frame="1"/>
        </w:rPr>
      </w:pPr>
      <w:r w:rsidRPr="00A47B82">
        <w:t xml:space="preserve">Another point to highlight is that </w:t>
      </w:r>
      <w:r w:rsidRPr="00A47B82">
        <w:rPr>
          <w:color w:val="000000"/>
          <w:bdr w:val="none" w:sz="0" w:space="0" w:color="auto" w:frame="1"/>
        </w:rPr>
        <w:t>the consumer guarantees do not apply to goods or services costing more than $40 000 (soon to be $100,000) that are normally used for business purposes (for example, installing industrial air conditioning to an office or a factory premises).</w:t>
      </w:r>
      <w:r w:rsidRPr="00A47B82">
        <w:rPr>
          <w:color w:val="000000"/>
          <w:bdr w:val="none" w:sz="0" w:space="0" w:color="auto" w:frame="1"/>
          <w:shd w:val="clear" w:color="auto" w:fill="FFFFFF"/>
        </w:rPr>
        <w:t xml:space="preserve"> On the other hand, business vehicles and trailers are also covered, </w:t>
      </w:r>
      <w:r w:rsidRPr="00A47B82">
        <w:rPr>
          <w:i/>
          <w:iCs/>
          <w:color w:val="000000"/>
          <w:bdr w:val="none" w:sz="0" w:space="0" w:color="auto" w:frame="1"/>
          <w:shd w:val="clear" w:color="auto" w:fill="FFFFFF"/>
        </w:rPr>
        <w:t>irrespective of cost</w:t>
      </w:r>
      <w:r w:rsidRPr="00A47B82">
        <w:rPr>
          <w:color w:val="000000"/>
          <w:bdr w:val="none" w:sz="0" w:space="0" w:color="auto" w:frame="1"/>
          <w:shd w:val="clear" w:color="auto" w:fill="FFFFFF"/>
        </w:rPr>
        <w:t xml:space="preserve"> under consumer guarantees, provided they are used </w:t>
      </w:r>
      <w:r w:rsidRPr="00A47B82">
        <w:rPr>
          <w:i/>
          <w:iCs/>
          <w:color w:val="000000"/>
          <w:bdr w:val="none" w:sz="0" w:space="0" w:color="auto" w:frame="1"/>
          <w:shd w:val="clear" w:color="auto" w:fill="FFFFFF"/>
        </w:rPr>
        <w:t>mainly to transport goods.</w:t>
      </w:r>
      <w:r w:rsidRPr="00A47B82">
        <w:rPr>
          <w:color w:val="000000"/>
          <w:bdr w:val="none" w:sz="0" w:space="0" w:color="auto" w:frame="1"/>
        </w:rPr>
        <w:t>  The Act clearly states that rights to a repair do not apply to items worth more than $40 000 (soon to be $100,000) purely for business use, such as machinery or farming equipment. </w:t>
      </w:r>
    </w:p>
    <w:p w14:paraId="220A9141" w14:textId="77777777" w:rsidR="00A47B82" w:rsidRPr="00B11DD4" w:rsidRDefault="00A47B82" w:rsidP="000D72DE"/>
    <w:p w14:paraId="1BC55F47" w14:textId="2F1CD56B" w:rsidR="00D1160B" w:rsidRDefault="00D1160B" w:rsidP="0023069D">
      <w:pPr>
        <w:pStyle w:val="BodyText1"/>
        <w:spacing w:line="240" w:lineRule="auto"/>
        <w:ind w:right="-52"/>
      </w:pPr>
      <w:r w:rsidRPr="0023069D">
        <w:t>The repairability of products by the original manufacturer or an authorised dealer has been of limited value to consumers for a number of reasons.</w:t>
      </w:r>
      <w:r w:rsidRPr="00F645F2">
        <w:rPr>
          <w:rStyle w:val="FootnoteReference"/>
          <w:bCs/>
        </w:rPr>
        <w:footnoteReference w:id="9"/>
      </w:r>
      <w:r w:rsidRPr="00F645F2">
        <w:rPr>
          <w:bCs/>
        </w:rPr>
        <w:t xml:space="preserve"> </w:t>
      </w:r>
      <w:r>
        <w:rPr>
          <w:bCs/>
        </w:rPr>
        <w:t>Recently, p</w:t>
      </w:r>
      <w:r w:rsidRPr="00F645F2">
        <w:rPr>
          <w:bCs/>
        </w:rPr>
        <w:t>rohibitive costs,</w:t>
      </w:r>
      <w:r w:rsidRPr="00F645F2">
        <w:rPr>
          <w:bCs/>
          <w:vertAlign w:val="superscript"/>
        </w:rPr>
        <w:footnoteReference w:id="10"/>
      </w:r>
      <w:r w:rsidRPr="00F645F2">
        <w:rPr>
          <w:bCs/>
        </w:rPr>
        <w:t xml:space="preserve"> manufacturers</w:t>
      </w:r>
      <w:r>
        <w:rPr>
          <w:bCs/>
        </w:rPr>
        <w:t xml:space="preserve">’ </w:t>
      </w:r>
      <w:r w:rsidRPr="00F645F2">
        <w:rPr>
          <w:bCs/>
        </w:rPr>
        <w:t>unfair monopoly over the parts repair market</w:t>
      </w:r>
      <w:r>
        <w:rPr>
          <w:bCs/>
        </w:rPr>
        <w:t>,</w:t>
      </w:r>
      <w:r w:rsidRPr="00F645F2">
        <w:rPr>
          <w:rStyle w:val="FootnoteReference"/>
          <w:bCs/>
        </w:rPr>
        <w:footnoteReference w:id="11"/>
      </w:r>
      <w:r w:rsidRPr="00F645F2">
        <w:rPr>
          <w:bCs/>
        </w:rPr>
        <w:t xml:space="preserve"> </w:t>
      </w:r>
      <w:r>
        <w:rPr>
          <w:bCs/>
        </w:rPr>
        <w:t>and</w:t>
      </w:r>
      <w:r w:rsidRPr="00F645F2">
        <w:rPr>
          <w:bCs/>
        </w:rPr>
        <w:t xml:space="preserve"> time and effort have discouraged consumers from p</w:t>
      </w:r>
      <w:r w:rsidR="00CB7B7C">
        <w:rPr>
          <w:bCs/>
        </w:rPr>
        <w:t xml:space="preserve">ursuing </w:t>
      </w:r>
      <w:r>
        <w:rPr>
          <w:bCs/>
        </w:rPr>
        <w:t>R</w:t>
      </w:r>
      <w:r w:rsidRPr="00F645F2">
        <w:rPr>
          <w:bCs/>
        </w:rPr>
        <w:t xml:space="preserve">ight to </w:t>
      </w:r>
      <w:r>
        <w:rPr>
          <w:bCs/>
        </w:rPr>
        <w:t>R</w:t>
      </w:r>
      <w:r w:rsidRPr="00F645F2">
        <w:rPr>
          <w:bCs/>
        </w:rPr>
        <w:t>epair as a consumer remedy.</w:t>
      </w:r>
      <w:r w:rsidRPr="00F645F2">
        <w:rPr>
          <w:rStyle w:val="FootnoteReference"/>
          <w:bCs/>
        </w:rPr>
        <w:footnoteReference w:id="12"/>
      </w:r>
    </w:p>
    <w:p w14:paraId="2392FD7C" w14:textId="12E01E1F" w:rsidR="009460CB" w:rsidRDefault="00D1160B" w:rsidP="0023069D">
      <w:pPr>
        <w:ind w:right="-52"/>
        <w:jc w:val="both"/>
        <w:rPr>
          <w:iCs/>
          <w:color w:val="000000"/>
        </w:rPr>
      </w:pPr>
      <w:r w:rsidRPr="00574470">
        <w:t xml:space="preserve">In 2018, a landmark decision </w:t>
      </w:r>
      <w:r w:rsidR="009460CB">
        <w:t xml:space="preserve">of the </w:t>
      </w:r>
      <w:r w:rsidRPr="00632E81">
        <w:rPr>
          <w:i/>
        </w:rPr>
        <w:t>Australian Competition and Consumer Commission v Apple Pty Ltd</w:t>
      </w:r>
      <w:r w:rsidRPr="00632E81">
        <w:rPr>
          <w:vertAlign w:val="superscript"/>
        </w:rPr>
        <w:footnoteReference w:id="13"/>
      </w:r>
      <w:r w:rsidRPr="00632E81">
        <w:t xml:space="preserve"> (‘the Apple case’)</w:t>
      </w:r>
      <w:r w:rsidR="009460CB">
        <w:t xml:space="preserve"> </w:t>
      </w:r>
      <w:r w:rsidR="009460CB" w:rsidRPr="00304247">
        <w:rPr>
          <w:iCs/>
          <w:color w:val="000000"/>
        </w:rPr>
        <w:t>confirm</w:t>
      </w:r>
      <w:r w:rsidR="009460CB">
        <w:rPr>
          <w:iCs/>
          <w:color w:val="000000"/>
        </w:rPr>
        <w:t xml:space="preserve">ed </w:t>
      </w:r>
      <w:r w:rsidR="009460CB" w:rsidRPr="00304247">
        <w:rPr>
          <w:iCs/>
          <w:color w:val="000000"/>
        </w:rPr>
        <w:t xml:space="preserve">that </w:t>
      </w:r>
      <w:r w:rsidR="009460CB">
        <w:rPr>
          <w:iCs/>
          <w:color w:val="000000"/>
        </w:rPr>
        <w:t xml:space="preserve">manufacturers who </w:t>
      </w:r>
      <w:r w:rsidR="009460CB" w:rsidRPr="00304247">
        <w:rPr>
          <w:iCs/>
          <w:color w:val="000000"/>
        </w:rPr>
        <w:t>tel</w:t>
      </w:r>
      <w:r w:rsidR="009460CB">
        <w:rPr>
          <w:iCs/>
          <w:color w:val="000000"/>
        </w:rPr>
        <w:t>l</w:t>
      </w:r>
      <w:r w:rsidR="009460CB" w:rsidRPr="00304247">
        <w:rPr>
          <w:iCs/>
          <w:color w:val="000000"/>
        </w:rPr>
        <w:t xml:space="preserve"> consumers </w:t>
      </w:r>
      <w:r w:rsidR="009460CB">
        <w:rPr>
          <w:iCs/>
          <w:color w:val="000000"/>
        </w:rPr>
        <w:t xml:space="preserve">that </w:t>
      </w:r>
      <w:r w:rsidR="009460CB" w:rsidRPr="00304247">
        <w:rPr>
          <w:iCs/>
          <w:color w:val="000000"/>
        </w:rPr>
        <w:t xml:space="preserve">their warranty would not be honoured if they  took their </w:t>
      </w:r>
      <w:r w:rsidR="009460CB">
        <w:rPr>
          <w:iCs/>
          <w:color w:val="000000"/>
        </w:rPr>
        <w:t xml:space="preserve">goods </w:t>
      </w:r>
      <w:r w:rsidR="009460CB" w:rsidRPr="00304247">
        <w:rPr>
          <w:iCs/>
          <w:color w:val="000000"/>
        </w:rPr>
        <w:t xml:space="preserve">to a third-party repairer was a breach </w:t>
      </w:r>
      <w:r w:rsidR="009460CB" w:rsidRPr="00304247">
        <w:rPr>
          <w:iCs/>
          <w:color w:val="000000"/>
        </w:rPr>
        <w:lastRenderedPageBreak/>
        <w:t>of the Australian Consumer Guarantees in the ACL</w:t>
      </w:r>
      <w:r>
        <w:rPr>
          <w:iCs/>
          <w:color w:val="000000"/>
        </w:rPr>
        <w:t xml:space="preserve"> </w:t>
      </w:r>
      <w:r w:rsidRPr="00304247">
        <w:rPr>
          <w:iCs/>
          <w:color w:val="000000"/>
        </w:rPr>
        <w:t>sent a strong message to the community that manufacturers should not be controlling the aftermarket to the exclusion of others.</w:t>
      </w:r>
      <w:r>
        <w:rPr>
          <w:iCs/>
          <w:color w:val="000000"/>
        </w:rPr>
        <w:t xml:space="preserve"> </w:t>
      </w:r>
      <w:r w:rsidR="008C2B0F">
        <w:rPr>
          <w:iCs/>
          <w:color w:val="000000"/>
        </w:rPr>
        <w:t>While this case was a landmark case from a consumer’s point of view, despite this, anecdotally, some consumers are still under the impression that in some cases, third party repair could invalidate their warranty.</w:t>
      </w:r>
    </w:p>
    <w:p w14:paraId="541FC828" w14:textId="77777777" w:rsidR="009460CB" w:rsidRDefault="009460CB" w:rsidP="004B22DB">
      <w:pPr>
        <w:jc w:val="both"/>
        <w:rPr>
          <w:iCs/>
          <w:color w:val="000000"/>
        </w:rPr>
      </w:pPr>
    </w:p>
    <w:p w14:paraId="751CE372" w14:textId="1AC15B8D" w:rsidR="0023069D" w:rsidRDefault="0023069D" w:rsidP="0023069D">
      <w:pPr>
        <w:jc w:val="both"/>
        <w:rPr>
          <w:b/>
          <w:bCs/>
        </w:rPr>
      </w:pPr>
      <w:r w:rsidRPr="00877F7B">
        <w:rPr>
          <w:b/>
          <w:bCs/>
        </w:rPr>
        <w:t>Consumers’ awareness of their legal rights under the ACL</w:t>
      </w:r>
      <w:r w:rsidR="00AC764D">
        <w:rPr>
          <w:b/>
          <w:bCs/>
        </w:rPr>
        <w:t>’s</w:t>
      </w:r>
      <w:r w:rsidRPr="00877F7B">
        <w:rPr>
          <w:b/>
          <w:bCs/>
        </w:rPr>
        <w:t xml:space="preserve"> </w:t>
      </w:r>
      <w:r w:rsidR="00AC764D">
        <w:rPr>
          <w:b/>
          <w:bCs/>
        </w:rPr>
        <w:t>C</w:t>
      </w:r>
      <w:r w:rsidRPr="00877F7B">
        <w:rPr>
          <w:b/>
          <w:bCs/>
        </w:rPr>
        <w:t xml:space="preserve">onsumer </w:t>
      </w:r>
      <w:r w:rsidR="00AC764D">
        <w:rPr>
          <w:b/>
          <w:bCs/>
        </w:rPr>
        <w:t>G</w:t>
      </w:r>
      <w:r w:rsidRPr="00877F7B">
        <w:rPr>
          <w:b/>
          <w:bCs/>
        </w:rPr>
        <w:t xml:space="preserve">uarantees. </w:t>
      </w:r>
    </w:p>
    <w:p w14:paraId="0FA0A4B8" w14:textId="77777777" w:rsidR="0023069D" w:rsidRPr="00877F7B" w:rsidRDefault="0023069D" w:rsidP="0023069D">
      <w:pPr>
        <w:jc w:val="both"/>
        <w:rPr>
          <w:b/>
          <w:bCs/>
        </w:rPr>
      </w:pPr>
    </w:p>
    <w:p w14:paraId="78D6C4B7" w14:textId="77777777" w:rsidR="008C2B0F" w:rsidRDefault="008C2B0F" w:rsidP="004B22DB">
      <w:pPr>
        <w:jc w:val="both"/>
      </w:pPr>
      <w:r>
        <w:t>I</w:t>
      </w:r>
      <w:r w:rsidR="0023069D">
        <w:t xml:space="preserve">t </w:t>
      </w:r>
      <w:r w:rsidR="00F2702E">
        <w:t xml:space="preserve">is </w:t>
      </w:r>
      <w:r>
        <w:t xml:space="preserve">often </w:t>
      </w:r>
      <w:r w:rsidR="00F2702E">
        <w:t xml:space="preserve">difficult for consumers to find out about their </w:t>
      </w:r>
      <w:r>
        <w:t xml:space="preserve">full warranty rights or </w:t>
      </w:r>
      <w:r w:rsidR="00F2702E">
        <w:t>repair options with respect to the goods that they own, particularly their ‘smart’ goods</w:t>
      </w:r>
      <w:r w:rsidR="0023069D">
        <w:t>, as there is often little or no contractual paperwork that accompany these goods, with the products’ terms of service often being hosted on manufacturers’ websites</w:t>
      </w:r>
      <w:r w:rsidR="00F2702E">
        <w:t>.</w:t>
      </w:r>
      <w:r w:rsidR="0023069D">
        <w:t xml:space="preserve"> </w:t>
      </w:r>
    </w:p>
    <w:p w14:paraId="22E4BA53" w14:textId="77777777" w:rsidR="008C2B0F" w:rsidRDefault="008C2B0F" w:rsidP="004B22DB">
      <w:pPr>
        <w:jc w:val="both"/>
      </w:pPr>
    </w:p>
    <w:p w14:paraId="49181A53" w14:textId="77777777" w:rsidR="008C2B0F" w:rsidRDefault="00877F7B" w:rsidP="008C2B0F">
      <w:pPr>
        <w:jc w:val="both"/>
        <w:rPr>
          <w:lang w:eastAsia="en-AU"/>
        </w:rPr>
      </w:pPr>
      <w:r>
        <w:t>There is little doubt that c</w:t>
      </w:r>
      <w:r w:rsidR="00F2702E">
        <w:t>onsumers are generally unaware of their legal rights under the ACL consumer guarantees.</w:t>
      </w:r>
      <w:r w:rsidR="008C2B0F">
        <w:t xml:space="preserve">  </w:t>
      </w:r>
      <w:r w:rsidR="00342930">
        <w:rPr>
          <w:lang w:eastAsia="en-AU"/>
        </w:rPr>
        <w:t>In December 2020, w</w:t>
      </w:r>
      <w:r w:rsidR="00A76017" w:rsidRPr="004B22DB">
        <w:rPr>
          <w:lang w:eastAsia="en-AU"/>
        </w:rPr>
        <w:t>e conducted a</w:t>
      </w:r>
      <w:r w:rsidR="00342930">
        <w:rPr>
          <w:lang w:eastAsia="en-AU"/>
        </w:rPr>
        <w:t>n online</w:t>
      </w:r>
      <w:r w:rsidR="00A76017" w:rsidRPr="004B22DB">
        <w:rPr>
          <w:lang w:eastAsia="en-AU"/>
        </w:rPr>
        <w:t xml:space="preserve"> survey of Australian Consumers’ understanding of the ACL repair provisions and the right to repair movement</w:t>
      </w:r>
      <w:r w:rsidR="007A7008">
        <w:rPr>
          <w:lang w:eastAsia="en-AU"/>
        </w:rPr>
        <w:t>.</w:t>
      </w:r>
      <w:r w:rsidR="00A76017" w:rsidRPr="004B22DB">
        <w:rPr>
          <w:rStyle w:val="FootnoteReference"/>
          <w:lang w:eastAsia="en-AU"/>
        </w:rPr>
        <w:footnoteReference w:id="14"/>
      </w:r>
      <w:r w:rsidR="00A76017" w:rsidRPr="004B22DB">
        <w:rPr>
          <w:lang w:eastAsia="en-AU"/>
        </w:rPr>
        <w:t xml:space="preserve"> </w:t>
      </w:r>
    </w:p>
    <w:p w14:paraId="4A3706DC" w14:textId="77777777" w:rsidR="008C2B0F" w:rsidRDefault="008C2B0F" w:rsidP="008C2B0F">
      <w:pPr>
        <w:jc w:val="both"/>
        <w:rPr>
          <w:lang w:eastAsia="en-AU"/>
        </w:rPr>
      </w:pPr>
    </w:p>
    <w:p w14:paraId="25F5325B" w14:textId="3D0BEEFF" w:rsidR="00FB3409" w:rsidRDefault="00AC764D" w:rsidP="008C2B0F">
      <w:pPr>
        <w:jc w:val="both"/>
        <w:rPr>
          <w:rStyle w:val="normaltextrun"/>
          <w:lang w:eastAsia="en-AU"/>
        </w:rPr>
      </w:pPr>
      <w:r>
        <w:rPr>
          <w:lang w:eastAsia="en-AU"/>
        </w:rPr>
        <w:t xml:space="preserve">This survey examined a range of issues but for the purposes of this submission, we will focus on those responses concerning consumer understandings of their rights under the ACL, </w:t>
      </w:r>
      <w:r w:rsidR="00342930">
        <w:rPr>
          <w:lang w:eastAsia="en-AU"/>
        </w:rPr>
        <w:t xml:space="preserve">From the results of this survey, it was </w:t>
      </w:r>
      <w:r w:rsidR="00F2702E">
        <w:t>revealed that</w:t>
      </w:r>
      <w:r w:rsidR="0026112B">
        <w:t xml:space="preserve"> i</w:t>
      </w:r>
      <w:r w:rsidR="0026112B">
        <w:rPr>
          <w:rStyle w:val="normaltextrun"/>
        </w:rPr>
        <w:t xml:space="preserve">n terms of awareness and understanding of </w:t>
      </w:r>
      <w:r w:rsidR="00342930">
        <w:rPr>
          <w:rStyle w:val="normaltextrun"/>
        </w:rPr>
        <w:t xml:space="preserve">the </w:t>
      </w:r>
      <w:r w:rsidR="0026112B">
        <w:rPr>
          <w:rStyle w:val="normaltextrun"/>
        </w:rPr>
        <w:t xml:space="preserve">ACL, </w:t>
      </w:r>
      <w:r w:rsidR="00342930">
        <w:rPr>
          <w:rStyle w:val="normaltextrun"/>
        </w:rPr>
        <w:t xml:space="preserve">that </w:t>
      </w:r>
      <w:r w:rsidR="00342930">
        <w:rPr>
          <w:rStyle w:val="normaltextrun"/>
          <w:lang w:eastAsia="en-AU"/>
        </w:rPr>
        <w:t xml:space="preserve">most consumers (82%) were </w:t>
      </w:r>
      <w:r w:rsidR="00342930" w:rsidRPr="0076497C">
        <w:rPr>
          <w:rStyle w:val="normaltextrun"/>
          <w:lang w:eastAsia="en-AU"/>
        </w:rPr>
        <w:t xml:space="preserve">aware that laws exist to protect </w:t>
      </w:r>
      <w:r w:rsidR="00342930">
        <w:rPr>
          <w:rStyle w:val="normaltextrun"/>
          <w:lang w:eastAsia="en-AU"/>
        </w:rPr>
        <w:t>their</w:t>
      </w:r>
      <w:r w:rsidR="00342930" w:rsidRPr="0076497C">
        <w:rPr>
          <w:rStyle w:val="normaltextrun"/>
          <w:lang w:eastAsia="en-AU"/>
        </w:rPr>
        <w:t xml:space="preserve"> </w:t>
      </w:r>
      <w:r w:rsidR="00342930">
        <w:rPr>
          <w:rStyle w:val="normaltextrun"/>
          <w:lang w:eastAsia="en-AU"/>
        </w:rPr>
        <w:t xml:space="preserve">basic consumer </w:t>
      </w:r>
      <w:r w:rsidR="00342930" w:rsidRPr="0076497C">
        <w:rPr>
          <w:rStyle w:val="normaltextrun"/>
          <w:lang w:eastAsia="en-AU"/>
        </w:rPr>
        <w:t xml:space="preserve">rights </w:t>
      </w:r>
      <w:r w:rsidR="00342930">
        <w:rPr>
          <w:rStyle w:val="normaltextrun"/>
          <w:lang w:eastAsia="en-AU"/>
        </w:rPr>
        <w:t xml:space="preserve">under the ACL </w:t>
      </w:r>
      <w:r w:rsidR="00342930" w:rsidRPr="0076497C">
        <w:rPr>
          <w:rStyle w:val="normaltextrun"/>
          <w:lang w:eastAsia="en-AU"/>
        </w:rPr>
        <w:t>when purchasing electrical or electronic goods</w:t>
      </w:r>
      <w:r w:rsidR="00342930">
        <w:rPr>
          <w:rStyle w:val="normaltextrun"/>
          <w:lang w:eastAsia="en-AU"/>
        </w:rPr>
        <w:t xml:space="preserve">. </w:t>
      </w:r>
      <w:r w:rsidR="00342930">
        <w:rPr>
          <w:rStyle w:val="normaltextrun"/>
        </w:rPr>
        <w:t xml:space="preserve"> </w:t>
      </w:r>
      <w:r w:rsidR="00342930">
        <w:rPr>
          <w:rStyle w:val="normaltextrun"/>
          <w:lang w:eastAsia="en-AU"/>
        </w:rPr>
        <w:t>However, by way of contrast,  56% were not aware of their ability to have their electronic goods repaired under the ACL</w:t>
      </w:r>
      <w:r w:rsidR="00342930">
        <w:rPr>
          <w:rStyle w:val="normaltextrun"/>
        </w:rPr>
        <w:t>.</w:t>
      </w:r>
      <w:r w:rsidR="0026112B">
        <w:rPr>
          <w:rStyle w:val="normaltextrun"/>
        </w:rPr>
        <w:t xml:space="preserve"> </w:t>
      </w:r>
      <w:r w:rsidR="00342930">
        <w:rPr>
          <w:rStyle w:val="normaltextrun"/>
        </w:rPr>
        <w:t xml:space="preserve"> It was also found that </w:t>
      </w:r>
      <w:r w:rsidR="0026112B">
        <w:rPr>
          <w:rStyle w:val="normaltextrun"/>
        </w:rPr>
        <w:t xml:space="preserve">a high percentage of consumers had minor to no understanding of their consumer rights.  </w:t>
      </w:r>
      <w:r w:rsidR="00F2702E">
        <w:rPr>
          <w:rStyle w:val="normaltextrun"/>
          <w:lang w:eastAsia="en-AU"/>
        </w:rPr>
        <w:t>Additionally, 45% of participants had only an average understanding of their consumer rights under the ACL, while a high percentage of 38% had minor to no understanding of their consumer rights.</w:t>
      </w:r>
      <w:r w:rsidR="007A7008" w:rsidRPr="004B22DB">
        <w:rPr>
          <w:rStyle w:val="FootnoteReference"/>
          <w:lang w:eastAsia="en-AU"/>
        </w:rPr>
        <w:footnoteReference w:id="15"/>
      </w:r>
    </w:p>
    <w:p w14:paraId="2437C761" w14:textId="77777777" w:rsidR="008C2B0F" w:rsidRPr="004B22DB" w:rsidRDefault="008C2B0F" w:rsidP="008C2B0F">
      <w:pPr>
        <w:jc w:val="both"/>
      </w:pPr>
    </w:p>
    <w:p w14:paraId="4A99998F" w14:textId="5F0FE906" w:rsidR="00FD2AF1" w:rsidRDefault="007A7008" w:rsidP="004B22DB">
      <w:pPr>
        <w:jc w:val="both"/>
      </w:pPr>
      <w:r>
        <w:t>We understand that t</w:t>
      </w:r>
      <w:r w:rsidR="0026112B">
        <w:t xml:space="preserve">here is already a lot of information about </w:t>
      </w:r>
      <w:r>
        <w:t xml:space="preserve">the ACL’s </w:t>
      </w:r>
      <w:r w:rsidR="0026112B">
        <w:t xml:space="preserve">consumer </w:t>
      </w:r>
      <w:r>
        <w:t xml:space="preserve">protections </w:t>
      </w:r>
      <w:r w:rsidR="0026112B">
        <w:t xml:space="preserve">available through consumer organisations or Government, </w:t>
      </w:r>
      <w:r w:rsidR="00400A75">
        <w:t>so it is not nece</w:t>
      </w:r>
      <w:r w:rsidR="00FD2AF1">
        <w:t xml:space="preserve">ssarily the case that more information about the ACL is needed. However, what is needed is a broader education </w:t>
      </w:r>
      <w:r w:rsidR="00342930">
        <w:t xml:space="preserve">and engagement </w:t>
      </w:r>
      <w:r w:rsidR="00FD2AF1">
        <w:t xml:space="preserve">campaign within the community </w:t>
      </w:r>
      <w:r w:rsidR="00A45A10">
        <w:t xml:space="preserve">(perhaps </w:t>
      </w:r>
      <w:r w:rsidR="00FD2AF1">
        <w:t>via media and social media</w:t>
      </w:r>
      <w:r w:rsidR="00A45A10">
        <w:t>)</w:t>
      </w:r>
      <w:r w:rsidR="00FD2AF1">
        <w:t xml:space="preserve"> of </w:t>
      </w:r>
      <w:r w:rsidR="00342930">
        <w:t xml:space="preserve">the </w:t>
      </w:r>
      <w:r>
        <w:t xml:space="preserve">need for better understanding of the </w:t>
      </w:r>
      <w:r w:rsidR="00FD2AF1">
        <w:t>rights that consumers have</w:t>
      </w:r>
      <w:r>
        <w:t xml:space="preserve"> under the ACL. However, anecdotally, consumers feel overwhelmed at the thought of the costs associated with having to seek legal advice or take action over a dispute with a large companies. </w:t>
      </w:r>
    </w:p>
    <w:p w14:paraId="01A4EE40" w14:textId="77777777" w:rsidR="00FB3409" w:rsidRDefault="00FB3409" w:rsidP="004B22DB">
      <w:pPr>
        <w:jc w:val="both"/>
      </w:pPr>
    </w:p>
    <w:p w14:paraId="2F54C4EC" w14:textId="43C3B818" w:rsidR="00FD2AF1" w:rsidRDefault="00FD2AF1" w:rsidP="004B22DB">
      <w:pPr>
        <w:jc w:val="both"/>
      </w:pPr>
      <w:r>
        <w:t xml:space="preserve">Public repair events and organisations, such as </w:t>
      </w:r>
      <w:r w:rsidRPr="00AD3A4A">
        <w:rPr>
          <w:i/>
          <w:iCs/>
        </w:rPr>
        <w:t>Repair Cafes and Associations</w:t>
      </w:r>
      <w:r w:rsidR="00AD3A4A">
        <w:rPr>
          <w:i/>
          <w:iCs/>
        </w:rPr>
        <w:t xml:space="preserve"> and individual repairers (such as Mend it Australia)</w:t>
      </w:r>
      <w:r>
        <w:t xml:space="preserve">, serve a vital role in the community to increase awareness of </w:t>
      </w:r>
      <w:r w:rsidR="00342930">
        <w:t xml:space="preserve">the importance of </w:t>
      </w:r>
      <w:r>
        <w:t>repair</w:t>
      </w:r>
      <w:r w:rsidR="00342930">
        <w:t xml:space="preserve"> to reducing E</w:t>
      </w:r>
      <w:r w:rsidR="000C2128">
        <w:t>-</w:t>
      </w:r>
      <w:r w:rsidR="00342930">
        <w:t>waste</w:t>
      </w:r>
      <w:r w:rsidR="00AD3A4A">
        <w:t xml:space="preserve"> and in turn, environmental sustainability</w:t>
      </w:r>
      <w:r>
        <w:t xml:space="preserve">. Local, State and Federal Government support for such organisations would increase the </w:t>
      </w:r>
      <w:r w:rsidR="00AD3A4A">
        <w:t xml:space="preserve">numbers, strength, </w:t>
      </w:r>
      <w:r>
        <w:t xml:space="preserve">patronage </w:t>
      </w:r>
      <w:r w:rsidR="00342930">
        <w:t xml:space="preserve">and availability </w:t>
      </w:r>
      <w:r>
        <w:t>of these services. A co-ordinated approach to these organisations could be support</w:t>
      </w:r>
      <w:r w:rsidR="00AD3A4A">
        <w:t>ed</w:t>
      </w:r>
      <w:r>
        <w:t xml:space="preserve"> through appropriate </w:t>
      </w:r>
      <w:r w:rsidR="00AD3A4A">
        <w:t xml:space="preserve">various levels of </w:t>
      </w:r>
      <w:r>
        <w:t xml:space="preserve">Government funding, which in turn, would reap benefits of reduction of </w:t>
      </w:r>
      <w:r w:rsidR="00342930">
        <w:t xml:space="preserve">‘smart’ and physical </w:t>
      </w:r>
      <w:r>
        <w:t xml:space="preserve">goods </w:t>
      </w:r>
      <w:r w:rsidR="00342930">
        <w:t xml:space="preserve">ending up </w:t>
      </w:r>
      <w:r>
        <w:t>in landfill.</w:t>
      </w:r>
    </w:p>
    <w:p w14:paraId="62136A00" w14:textId="77777777" w:rsidR="00FD2AF1" w:rsidRDefault="00FD2AF1" w:rsidP="004B22DB">
      <w:pPr>
        <w:jc w:val="both"/>
      </w:pPr>
    </w:p>
    <w:p w14:paraId="1DD6664B" w14:textId="7002D6BC" w:rsidR="00FD2AF1" w:rsidRPr="004B22DB" w:rsidRDefault="00FD2AF1" w:rsidP="004B22DB">
      <w:pPr>
        <w:jc w:val="both"/>
      </w:pPr>
      <w:r>
        <w:lastRenderedPageBreak/>
        <w:t xml:space="preserve">There are a number of challenges faced by these voluntary </w:t>
      </w:r>
      <w:r w:rsidR="00342930">
        <w:t xml:space="preserve">repair </w:t>
      </w:r>
      <w:r>
        <w:t xml:space="preserve">organisations: </w:t>
      </w:r>
      <w:r w:rsidR="00AD3A4A">
        <w:t xml:space="preserve">including </w:t>
      </w:r>
      <w:r>
        <w:t xml:space="preserve">complexities </w:t>
      </w:r>
      <w:r w:rsidR="00342930">
        <w:t xml:space="preserve">and uncertainties </w:t>
      </w:r>
      <w:r>
        <w:t xml:space="preserve">around </w:t>
      </w:r>
      <w:r w:rsidR="00342930">
        <w:t xml:space="preserve">the lack of a national approach to regulating </w:t>
      </w:r>
      <w:r>
        <w:t xml:space="preserve">the repair of electrical </w:t>
      </w:r>
      <w:r w:rsidR="00342930">
        <w:t xml:space="preserve">or digital </w:t>
      </w:r>
      <w:r>
        <w:t>equipment</w:t>
      </w:r>
      <w:r w:rsidR="007A7008">
        <w:t xml:space="preserve">; </w:t>
      </w:r>
      <w:r w:rsidR="00342930">
        <w:t>challenge</w:t>
      </w:r>
      <w:r w:rsidR="007A7008">
        <w:t xml:space="preserve">s </w:t>
      </w:r>
      <w:r w:rsidR="00342930">
        <w:t>i</w:t>
      </w:r>
      <w:r w:rsidR="007A7008">
        <w:t>n</w:t>
      </w:r>
      <w:r w:rsidR="00342930">
        <w:t xml:space="preserve"> </w:t>
      </w:r>
      <w:r w:rsidR="00B21CA2">
        <w:t>access</w:t>
      </w:r>
      <w:r w:rsidR="007A7008">
        <w:t>ing</w:t>
      </w:r>
      <w:r w:rsidR="00B21CA2">
        <w:t xml:space="preserve"> and the costs associated with </w:t>
      </w:r>
      <w:r w:rsidR="00342930">
        <w:t xml:space="preserve">appropriate insurance coverage for their activities. </w:t>
      </w:r>
      <w:r w:rsidR="000C2128">
        <w:t>We understand a number of Repair Cafes and associations have also made submissions to the Commission about the repair work they do and the challenges that they face</w:t>
      </w:r>
      <w:r w:rsidR="00AD3A4A">
        <w:t xml:space="preserve"> and it is important for the Commission to understand the great work they are doing and the results they are achieving within their local communities.</w:t>
      </w:r>
    </w:p>
    <w:p w14:paraId="6B97BFA1" w14:textId="77777777" w:rsidR="00FB3409" w:rsidRPr="004B22DB" w:rsidRDefault="00FB3409" w:rsidP="004B22DB">
      <w:pPr>
        <w:jc w:val="both"/>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0"/>
      </w:tblGrid>
      <w:tr w:rsidR="00FB3409" w:rsidRPr="004B22DB" w14:paraId="7A58B3FA" w14:textId="77777777" w:rsidTr="00BE25B8">
        <w:trPr>
          <w:tblHeader/>
        </w:trPr>
        <w:tc>
          <w:tcPr>
            <w:tcW w:w="5000" w:type="pct"/>
            <w:tcBorders>
              <w:top w:val="single" w:sz="6" w:space="0" w:color="78A22F"/>
              <w:left w:val="nil"/>
              <w:bottom w:val="nil"/>
              <w:right w:val="nil"/>
            </w:tcBorders>
            <w:shd w:val="clear" w:color="auto" w:fill="auto"/>
          </w:tcPr>
          <w:p w14:paraId="379F6E56" w14:textId="77777777" w:rsidR="00FB3409" w:rsidRPr="0049235C" w:rsidRDefault="00FB3409" w:rsidP="004B22DB">
            <w:pPr>
              <w:pStyle w:val="InformationRequestTitle"/>
              <w:spacing w:before="120"/>
              <w:rPr>
                <w:rFonts w:ascii="Times New Roman" w:hAnsi="Times New Roman"/>
                <w:color w:val="0070C0"/>
                <w:sz w:val="24"/>
                <w:szCs w:val="24"/>
              </w:rPr>
            </w:pPr>
            <w:r w:rsidRPr="0049235C">
              <w:rPr>
                <w:rFonts w:ascii="Times New Roman" w:hAnsi="Times New Roman"/>
                <w:color w:val="0070C0"/>
                <w:sz w:val="24"/>
                <w:szCs w:val="24"/>
              </w:rPr>
              <w:t>Information request 5</w:t>
            </w:r>
          </w:p>
        </w:tc>
      </w:tr>
      <w:tr w:rsidR="00FB3409" w:rsidRPr="004B22DB" w14:paraId="3D1A5D25" w14:textId="77777777" w:rsidTr="00BE25B8">
        <w:tc>
          <w:tcPr>
            <w:tcW w:w="5000" w:type="pct"/>
            <w:tcBorders>
              <w:top w:val="nil"/>
              <w:left w:val="nil"/>
              <w:bottom w:val="nil"/>
              <w:right w:val="nil"/>
            </w:tcBorders>
            <w:shd w:val="clear" w:color="auto" w:fill="auto"/>
          </w:tcPr>
          <w:p w14:paraId="37FD7CC0" w14:textId="77777777" w:rsidR="00FB3409" w:rsidRPr="0049235C" w:rsidRDefault="00FB3409" w:rsidP="004B22DB">
            <w:pPr>
              <w:pStyle w:val="InformationRequest"/>
              <w:ind w:left="284" w:hanging="284"/>
              <w:rPr>
                <w:rFonts w:ascii="Times New Roman" w:hAnsi="Times New Roman"/>
                <w:color w:val="0070C0"/>
                <w:sz w:val="24"/>
                <w:szCs w:val="24"/>
              </w:rPr>
            </w:pPr>
            <w:r w:rsidRPr="0049235C">
              <w:rPr>
                <w:rFonts w:ascii="Times New Roman" w:hAnsi="Times New Roman"/>
                <w:color w:val="0070C0"/>
                <w:sz w:val="24"/>
                <w:szCs w:val="24"/>
              </w:rPr>
              <w:t>a)</w:t>
            </w:r>
            <w:r w:rsidRPr="0049235C">
              <w:rPr>
                <w:rFonts w:ascii="Times New Roman" w:hAnsi="Times New Roman"/>
                <w:color w:val="0070C0"/>
                <w:sz w:val="24"/>
                <w:szCs w:val="24"/>
              </w:rPr>
              <w:tab/>
              <w:t>To what extent do current IP laws already facilitate repairs by consumers or independent third parties (e.g. the spare parts defence under the Design Act)?</w:t>
            </w:r>
          </w:p>
          <w:p w14:paraId="12A7A034" w14:textId="77777777" w:rsidR="00FB3409" w:rsidRPr="0049235C" w:rsidRDefault="00FB3409" w:rsidP="004B22DB">
            <w:pPr>
              <w:pStyle w:val="InformationRequest"/>
              <w:ind w:left="284" w:hanging="284"/>
              <w:rPr>
                <w:rFonts w:ascii="Times New Roman" w:hAnsi="Times New Roman"/>
                <w:color w:val="0070C0"/>
                <w:sz w:val="24"/>
                <w:szCs w:val="24"/>
              </w:rPr>
            </w:pPr>
            <w:r w:rsidRPr="0049235C">
              <w:rPr>
                <w:rFonts w:ascii="Times New Roman" w:hAnsi="Times New Roman"/>
                <w:color w:val="0070C0"/>
                <w:sz w:val="24"/>
                <w:szCs w:val="24"/>
              </w:rPr>
              <w:t>b)</w:t>
            </w:r>
            <w:r w:rsidRPr="0049235C">
              <w:rPr>
                <w:rFonts w:ascii="Times New Roman" w:hAnsi="Times New Roman"/>
                <w:color w:val="0070C0"/>
                <w:sz w:val="24"/>
                <w:szCs w:val="24"/>
              </w:rPr>
              <w:tab/>
              <w:t>Are there any aspects of IP laws where consumers’ rights with respect to repairs are uncertain?</w:t>
            </w:r>
          </w:p>
          <w:p w14:paraId="43B9A52F" w14:textId="77777777" w:rsidR="00FB3409" w:rsidRPr="0049235C" w:rsidRDefault="00FB3409" w:rsidP="004B22DB">
            <w:pPr>
              <w:pStyle w:val="InformationRequest"/>
              <w:ind w:left="284" w:hanging="284"/>
              <w:rPr>
                <w:rFonts w:ascii="Times New Roman" w:hAnsi="Times New Roman"/>
                <w:color w:val="0070C0"/>
                <w:sz w:val="24"/>
                <w:szCs w:val="24"/>
              </w:rPr>
            </w:pPr>
            <w:r w:rsidRPr="0049235C">
              <w:rPr>
                <w:rFonts w:ascii="Times New Roman" w:hAnsi="Times New Roman"/>
                <w:color w:val="0070C0"/>
                <w:sz w:val="24"/>
                <w:szCs w:val="24"/>
              </w:rPr>
              <w:t>c)</w:t>
            </w:r>
            <w:r w:rsidRPr="0049235C">
              <w:rPr>
                <w:rFonts w:ascii="Times New Roman" w:hAnsi="Times New Roman"/>
                <w:color w:val="0070C0"/>
                <w:sz w:val="24"/>
                <w:szCs w:val="24"/>
              </w:rPr>
              <w:tab/>
              <w:t>Do current IP protections (e.g. intellectual property rights, technological protection measures, end</w:t>
            </w:r>
            <w:r w:rsidRPr="0049235C">
              <w:rPr>
                <w:rFonts w:ascii="Times New Roman" w:hAnsi="Times New Roman"/>
                <w:color w:val="0070C0"/>
                <w:sz w:val="24"/>
                <w:szCs w:val="24"/>
              </w:rPr>
              <w:noBreakHyphen/>
              <w:t>user licencing agreements) pose a significant barrier to repair in Australia? If yes, please comment on any or all of the following:</w:t>
            </w:r>
          </w:p>
          <w:p w14:paraId="4402E20D" w14:textId="77777777" w:rsidR="00FB3409" w:rsidRPr="0049235C" w:rsidRDefault="00FB3409" w:rsidP="004B22DB">
            <w:pPr>
              <w:pStyle w:val="InformationRequestBullet"/>
              <w:ind w:left="454" w:hanging="170"/>
              <w:rPr>
                <w:rFonts w:ascii="Times New Roman" w:hAnsi="Times New Roman"/>
                <w:color w:val="0070C0"/>
                <w:sz w:val="24"/>
                <w:szCs w:val="24"/>
              </w:rPr>
            </w:pPr>
            <w:r w:rsidRPr="0049235C">
              <w:rPr>
                <w:rFonts w:ascii="Times New Roman" w:hAnsi="Times New Roman"/>
                <w:color w:val="0070C0"/>
                <w:sz w:val="24"/>
                <w:szCs w:val="24"/>
              </w:rPr>
              <w:t>the specific IP protections that prevent consumers from sourcing competitive repairs and/or inhibit competition in repair markets</w:t>
            </w:r>
          </w:p>
          <w:p w14:paraId="3DA6EEBB" w14:textId="77777777" w:rsidR="00FB3409" w:rsidRPr="0049235C" w:rsidRDefault="00FB3409" w:rsidP="004B22DB">
            <w:pPr>
              <w:pStyle w:val="InformationRequestBullet"/>
              <w:ind w:left="454" w:hanging="170"/>
              <w:rPr>
                <w:rFonts w:ascii="Times New Roman" w:hAnsi="Times New Roman"/>
                <w:color w:val="0070C0"/>
                <w:sz w:val="24"/>
                <w:szCs w:val="24"/>
              </w:rPr>
            </w:pPr>
            <w:r w:rsidRPr="0049235C">
              <w:rPr>
                <w:rFonts w:ascii="Times New Roman" w:hAnsi="Times New Roman"/>
                <w:color w:val="0070C0"/>
                <w:sz w:val="24"/>
                <w:szCs w:val="24"/>
              </w:rPr>
              <w:t xml:space="preserve">the types of products or repair markets these barriers mainly affect </w:t>
            </w:r>
          </w:p>
          <w:p w14:paraId="482145E3" w14:textId="77777777" w:rsidR="00FB3409" w:rsidRPr="0049235C" w:rsidRDefault="00FB3409" w:rsidP="004B22DB">
            <w:pPr>
              <w:pStyle w:val="InformationRequestBullet"/>
              <w:ind w:left="454" w:hanging="170"/>
              <w:rPr>
                <w:rFonts w:ascii="Times New Roman" w:hAnsi="Times New Roman"/>
                <w:color w:val="0070C0"/>
                <w:sz w:val="24"/>
                <w:szCs w:val="24"/>
              </w:rPr>
            </w:pPr>
            <w:r w:rsidRPr="0049235C">
              <w:rPr>
                <w:rFonts w:ascii="Times New Roman" w:hAnsi="Times New Roman"/>
                <w:color w:val="0070C0"/>
                <w:sz w:val="24"/>
                <w:szCs w:val="24"/>
              </w:rPr>
              <w:t xml:space="preserve">the prevalence of these barriers </w:t>
            </w:r>
          </w:p>
          <w:p w14:paraId="3F82FA05" w14:textId="77777777" w:rsidR="00FB3409" w:rsidRPr="0049235C" w:rsidRDefault="00FB3409" w:rsidP="004B22DB">
            <w:pPr>
              <w:pStyle w:val="InformationRequestBullet"/>
              <w:ind w:left="454" w:hanging="170"/>
              <w:rPr>
                <w:rFonts w:ascii="Times New Roman" w:hAnsi="Times New Roman"/>
                <w:color w:val="0070C0"/>
                <w:sz w:val="24"/>
                <w:szCs w:val="24"/>
              </w:rPr>
            </w:pPr>
            <w:r w:rsidRPr="0049235C">
              <w:rPr>
                <w:rFonts w:ascii="Times New Roman" w:hAnsi="Times New Roman"/>
                <w:color w:val="0070C0"/>
                <w:sz w:val="24"/>
                <w:szCs w:val="24"/>
              </w:rPr>
              <w:t>the impacts of these barriers on third party repairers and consumers (e.g. financial cost, poorer quality repairs)</w:t>
            </w:r>
          </w:p>
          <w:p w14:paraId="1EBE6284" w14:textId="77777777" w:rsidR="00FB3409" w:rsidRPr="0049235C" w:rsidRDefault="00FB3409" w:rsidP="004B22DB">
            <w:pPr>
              <w:pStyle w:val="Continued"/>
              <w:spacing w:before="120"/>
              <w:jc w:val="both"/>
              <w:rPr>
                <w:rFonts w:ascii="Times New Roman" w:hAnsi="Times New Roman"/>
                <w:color w:val="0070C0"/>
                <w:sz w:val="24"/>
                <w:szCs w:val="24"/>
              </w:rPr>
            </w:pPr>
            <w:r w:rsidRPr="0049235C">
              <w:rPr>
                <w:rFonts w:ascii="Times New Roman" w:hAnsi="Times New Roman"/>
                <w:color w:val="0070C0"/>
                <w:sz w:val="24"/>
                <w:szCs w:val="24"/>
              </w:rPr>
              <w:t>(continued next page)</w:t>
            </w:r>
          </w:p>
          <w:p w14:paraId="08D62D7C" w14:textId="77777777" w:rsidR="00FB3409" w:rsidRPr="0049235C" w:rsidRDefault="00FB3409" w:rsidP="004B22DB">
            <w:pPr>
              <w:pStyle w:val="InformationRequestBullet"/>
              <w:ind w:left="454" w:hanging="170"/>
              <w:rPr>
                <w:rFonts w:ascii="Times New Roman" w:hAnsi="Times New Roman"/>
                <w:color w:val="0070C0"/>
                <w:sz w:val="24"/>
                <w:szCs w:val="24"/>
              </w:rPr>
            </w:pPr>
            <w:r w:rsidRPr="0049235C">
              <w:rPr>
                <w:rFonts w:ascii="Times New Roman" w:hAnsi="Times New Roman"/>
                <w:color w:val="0070C0"/>
                <w:sz w:val="24"/>
                <w:szCs w:val="24"/>
              </w:rPr>
              <w:t xml:space="preserve">options for reducing these barriers and their associated benefits, costs and risks (including potential impact on market offerings). </w:t>
            </w:r>
          </w:p>
          <w:p w14:paraId="1B9BA51F" w14:textId="77777777" w:rsidR="00FB3409" w:rsidRPr="0049235C" w:rsidRDefault="00FB3409" w:rsidP="004B22DB">
            <w:pPr>
              <w:pStyle w:val="InformationRequest"/>
              <w:keepNext/>
              <w:ind w:left="284" w:hanging="284"/>
              <w:rPr>
                <w:rFonts w:ascii="Times New Roman" w:hAnsi="Times New Roman"/>
                <w:color w:val="0070C0"/>
                <w:sz w:val="24"/>
                <w:szCs w:val="24"/>
              </w:rPr>
            </w:pPr>
            <w:r w:rsidRPr="0049235C" w:rsidDel="007E290A">
              <w:rPr>
                <w:rFonts w:ascii="Times New Roman" w:hAnsi="Times New Roman"/>
                <w:color w:val="0070C0"/>
                <w:sz w:val="24"/>
                <w:szCs w:val="24"/>
              </w:rPr>
              <w:t>d</w:t>
            </w:r>
            <w:r w:rsidRPr="0049235C">
              <w:rPr>
                <w:rFonts w:ascii="Times New Roman" w:hAnsi="Times New Roman"/>
                <w:color w:val="0070C0"/>
                <w:sz w:val="24"/>
                <w:szCs w:val="24"/>
              </w:rPr>
              <w:t>)</w:t>
            </w:r>
            <w:r w:rsidRPr="0049235C">
              <w:rPr>
                <w:rFonts w:ascii="Times New Roman" w:hAnsi="Times New Roman"/>
                <w:color w:val="0070C0"/>
                <w:sz w:val="24"/>
                <w:szCs w:val="24"/>
              </w:rPr>
              <w:tab/>
              <w:t xml:space="preserve">In what ways might government facilitate legal access to embedded software in consumer and other goods for the purpose of repairs? What are the pros and cons of these approaches? </w:t>
            </w:r>
          </w:p>
        </w:tc>
      </w:tr>
    </w:tbl>
    <w:p w14:paraId="377427D6" w14:textId="77777777" w:rsidR="00FB3409" w:rsidRDefault="00FB3409" w:rsidP="004B22DB">
      <w:pPr>
        <w:jc w:val="both"/>
      </w:pPr>
    </w:p>
    <w:p w14:paraId="39BF2DD6" w14:textId="6C514D5B" w:rsidR="000C2128" w:rsidRPr="00AD3A4A" w:rsidRDefault="00B73B82" w:rsidP="000C2128">
      <w:pPr>
        <w:jc w:val="both"/>
        <w:rPr>
          <w:shd w:val="clear" w:color="auto" w:fill="FFFFFF"/>
        </w:rPr>
      </w:pPr>
      <w:r w:rsidRPr="0021525A">
        <w:rPr>
          <w:shd w:val="clear" w:color="auto" w:fill="FFFFFF"/>
        </w:rPr>
        <w:t>At the heart of the legal and regulatory barriers to repair is the IP law regime</w:t>
      </w:r>
      <w:r w:rsidRPr="0021525A">
        <w:t xml:space="preserve">. </w:t>
      </w:r>
      <w:r w:rsidRPr="0021525A">
        <w:rPr>
          <w:shd w:val="clear" w:color="auto" w:fill="FFFFFF"/>
        </w:rPr>
        <w:t xml:space="preserve">Manufacturers of digitally enabled goods use the IP in the computer software to ‘lock’ up the goods, </w:t>
      </w:r>
      <w:r w:rsidR="000C2128">
        <w:rPr>
          <w:shd w:val="clear" w:color="auto" w:fill="FFFFFF"/>
        </w:rPr>
        <w:t xml:space="preserve">and service and repair information, </w:t>
      </w:r>
      <w:r w:rsidRPr="0021525A">
        <w:rPr>
          <w:shd w:val="clear" w:color="auto" w:fill="FFFFFF"/>
        </w:rPr>
        <w:t>which, in effect ‘tethers’</w:t>
      </w:r>
      <w:r w:rsidR="009C03C6">
        <w:rPr>
          <w:rStyle w:val="FootnoteReference"/>
          <w:shd w:val="clear" w:color="auto" w:fill="FFFFFF"/>
        </w:rPr>
        <w:footnoteReference w:id="16"/>
      </w:r>
      <w:r w:rsidRPr="0021525A">
        <w:rPr>
          <w:shd w:val="clear" w:color="auto" w:fill="FFFFFF"/>
        </w:rPr>
        <w:t xml:space="preserve"> consumers to the manufacturers for repair and service. Manufacturers rely upon the copyright scheme of technological protection measures (TPMs) developed in the 1990s to protect music and other copyright content online, to prohibit access to the underlying software programs that are now embedded in everyday smart appliances, cars and machinery. </w:t>
      </w:r>
      <w:r w:rsidR="00AD3A4A">
        <w:rPr>
          <w:shd w:val="clear" w:color="auto" w:fill="FFFFFF"/>
        </w:rPr>
        <w:t xml:space="preserve"> </w:t>
      </w:r>
      <w:r w:rsidRPr="0021525A">
        <w:rPr>
          <w:shd w:val="clear" w:color="auto" w:fill="FFFFFF"/>
        </w:rPr>
        <w:t xml:space="preserve">It is not only copyright and TPMs over the embedded software that are being used to prevent access and repair but also contributing to the problem are the copyright </w:t>
      </w:r>
      <w:r w:rsidR="000C2128">
        <w:rPr>
          <w:shd w:val="clear" w:color="auto" w:fill="FFFFFF"/>
        </w:rPr>
        <w:t xml:space="preserve">end use </w:t>
      </w:r>
      <w:r w:rsidRPr="0021525A">
        <w:rPr>
          <w:shd w:val="clear" w:color="auto" w:fill="FFFFFF"/>
        </w:rPr>
        <w:t>licence</w:t>
      </w:r>
      <w:r w:rsidR="000C2128">
        <w:rPr>
          <w:shd w:val="clear" w:color="auto" w:fill="FFFFFF"/>
        </w:rPr>
        <w:t xml:space="preserve"> agreements (EULAs) </w:t>
      </w:r>
      <w:r w:rsidRPr="0021525A">
        <w:rPr>
          <w:shd w:val="clear" w:color="auto" w:fill="FFFFFF"/>
        </w:rPr>
        <w:t>that restrict access to the technology and the repair information in service manuals</w:t>
      </w:r>
      <w:r>
        <w:rPr>
          <w:shd w:val="clear" w:color="auto" w:fill="FFFFFF"/>
        </w:rPr>
        <w:t>.</w:t>
      </w:r>
      <w:r w:rsidRPr="0021525A">
        <w:rPr>
          <w:shd w:val="clear" w:color="auto" w:fill="FFFFFF"/>
        </w:rPr>
        <w:t xml:space="preserve"> Patents, trademarks, designs, and confidentiality in the hardware, software, spare parts and repair manuals are also being used to control the aftermarket of spare parts, repairs and servicing. </w:t>
      </w:r>
      <w:r w:rsidR="000C2128">
        <w:t xml:space="preserve">Intellectual Property law is one of the key </w:t>
      </w:r>
      <w:r w:rsidR="000C2128">
        <w:lastRenderedPageBreak/>
        <w:t>ways used by manufacturers to restrict access to not only repair and service information but also diagnostic programs and spare parts.</w:t>
      </w:r>
    </w:p>
    <w:p w14:paraId="3BF92DA4" w14:textId="77777777" w:rsidR="00BD6DF8" w:rsidRDefault="00BD6DF8" w:rsidP="004B22DB">
      <w:pPr>
        <w:jc w:val="both"/>
      </w:pPr>
    </w:p>
    <w:p w14:paraId="0A4878D0" w14:textId="16EA68B2" w:rsidR="00B80723" w:rsidRDefault="0074547C" w:rsidP="004B22DB">
      <w:pPr>
        <w:jc w:val="both"/>
      </w:pPr>
      <w:r>
        <w:t>As Kyle Wiens from iFixit highlights: ‘</w:t>
      </w:r>
      <w:r w:rsidR="00B80723">
        <w:t xml:space="preserve">Repairing modern appliances and machinery requires ‘access to diagnostic codes, circuit layouts and replacement parts that manufacturers zealously protect. And refurbishing can require access to proprietary tools that manufacturers have been historically </w:t>
      </w:r>
      <w:r>
        <w:t>reticent</w:t>
      </w:r>
      <w:r w:rsidR="00B80723">
        <w:t xml:space="preserve"> to share.</w:t>
      </w:r>
      <w:r w:rsidR="00B80723">
        <w:rPr>
          <w:rStyle w:val="FootnoteReference"/>
        </w:rPr>
        <w:footnoteReference w:id="17"/>
      </w:r>
      <w:r>
        <w:t xml:space="preserve"> </w:t>
      </w:r>
    </w:p>
    <w:p w14:paraId="194F71A5" w14:textId="27A692B0" w:rsidR="0074547C" w:rsidRDefault="0074547C" w:rsidP="004B22DB">
      <w:pPr>
        <w:jc w:val="both"/>
      </w:pPr>
    </w:p>
    <w:p w14:paraId="3C563D68" w14:textId="5B3F3CDB" w:rsidR="00BD6DF8" w:rsidRDefault="00C14AD4" w:rsidP="004B22DB">
      <w:pPr>
        <w:jc w:val="both"/>
      </w:pPr>
      <w:r>
        <w:t>However at the outset, it is important to note that m</w:t>
      </w:r>
      <w:r w:rsidR="00BD6DF8">
        <w:t xml:space="preserve">any </w:t>
      </w:r>
      <w:r w:rsidR="000C2128">
        <w:t xml:space="preserve">smart </w:t>
      </w:r>
      <w:r w:rsidR="00BD6DF8">
        <w:t>goods</w:t>
      </w:r>
      <w:r w:rsidR="000C2128">
        <w:t xml:space="preserve"> and machinery</w:t>
      </w:r>
      <w:r w:rsidR="00BD6DF8">
        <w:t xml:space="preserve"> that require repairing do not directly interfere with the intellectual property of the manufacturers. </w:t>
      </w:r>
      <w:r>
        <w:t xml:space="preserve">Despite this, manufacturers continue to cite protection of the ‘Intellectual Property’ as one of the key reasons for their opposition to the Right to Repair. </w:t>
      </w:r>
      <w:r w:rsidR="00BD6DF8">
        <w:t xml:space="preserve">Repair does not necessarily involve the duplication of copyright works, nor the making of a patented article nor the reproduction of a registered design. </w:t>
      </w:r>
      <w:r w:rsidR="000C2128">
        <w:t xml:space="preserve">Basic information about how a product works and how that product functions is not necessarily the subject matter of intellectual property law. </w:t>
      </w:r>
    </w:p>
    <w:p w14:paraId="12E63C15" w14:textId="259BB1B2" w:rsidR="00A127C2" w:rsidRDefault="00A127C2" w:rsidP="004B22DB">
      <w:pPr>
        <w:jc w:val="both"/>
      </w:pPr>
    </w:p>
    <w:p w14:paraId="60FCB8C1" w14:textId="765E748B" w:rsidR="00A127C2" w:rsidRDefault="00A127C2" w:rsidP="004B22DB">
      <w:pPr>
        <w:jc w:val="both"/>
      </w:pPr>
      <w:r>
        <w:t xml:space="preserve">Intellectual Property Laws should not be operating to prevent a smart </w:t>
      </w:r>
      <w:r w:rsidR="00AD3A4A">
        <w:t xml:space="preserve">consumer </w:t>
      </w:r>
      <w:r>
        <w:t xml:space="preserve">product </w:t>
      </w:r>
      <w:r w:rsidR="00AD3A4A">
        <w:t xml:space="preserve">or good </w:t>
      </w:r>
      <w:r>
        <w:t>from working or from being repaired. Amendments to Intellectual Property laws should be considered that prevents the with-holding or non-disclosure of crucial repair and service information that would ensure that the products remain in use for longer and that they do not end up in landfill.</w:t>
      </w:r>
      <w:r w:rsidR="000C2128">
        <w:t xml:space="preserve"> For example, under the </w:t>
      </w:r>
      <w:r w:rsidR="000C2128" w:rsidRPr="00907DCC">
        <w:rPr>
          <w:i/>
          <w:iCs/>
        </w:rPr>
        <w:t>Mandatory Scheme for Sharing of Motor Vehicle Service and Repair Information</w:t>
      </w:r>
      <w:r w:rsidR="000C2128" w:rsidRPr="005900B3">
        <w:t>,</w:t>
      </w:r>
      <w:r w:rsidR="000C2128" w:rsidRPr="004B22DB">
        <w:rPr>
          <w:rStyle w:val="FootnoteReference"/>
        </w:rPr>
        <w:footnoteReference w:id="18"/>
      </w:r>
      <w:r w:rsidR="000C2128" w:rsidRPr="005900B3">
        <w:t xml:space="preserve"> </w:t>
      </w:r>
      <w:r w:rsidR="00AD3A4A">
        <w:t xml:space="preserve">repair and service information </w:t>
      </w:r>
      <w:r w:rsidR="000C2128">
        <w:t xml:space="preserve">protected by copyright are the subject of the mandatory sharing scheme. This approach could be adopted for broader categories of goods, other than motor vehicles. </w:t>
      </w:r>
    </w:p>
    <w:p w14:paraId="5FAF7ABB" w14:textId="77777777" w:rsidR="00BD6DF8" w:rsidRPr="004B22DB" w:rsidRDefault="00BD6DF8" w:rsidP="004B22DB">
      <w:pPr>
        <w:jc w:val="both"/>
      </w:pPr>
    </w:p>
    <w:p w14:paraId="2534DCCE" w14:textId="77777777" w:rsidR="00AD3A4A" w:rsidRDefault="0049235C" w:rsidP="00803627">
      <w:r>
        <w:t xml:space="preserve">With respect to way in which Intellectual Property Laws facilitate </w:t>
      </w:r>
      <w:r w:rsidR="00AD3A4A">
        <w:t xml:space="preserve">(or inhibit) </w:t>
      </w:r>
      <w:r>
        <w:t xml:space="preserve">repair, it is necessary to examine the Patents Act, the Designs Act, the Trade Marks Act, and the Copyright Act. Each of these different forms of Intellectual Property </w:t>
      </w:r>
      <w:r w:rsidR="00C14AD4">
        <w:t xml:space="preserve">both facilitate and inhibit </w:t>
      </w:r>
      <w:r>
        <w:t>repair in a different way.</w:t>
      </w:r>
      <w:r>
        <w:rPr>
          <w:rStyle w:val="FootnoteReference"/>
        </w:rPr>
        <w:footnoteReference w:id="19"/>
      </w:r>
      <w:r w:rsidR="00C14AD4">
        <w:t xml:space="preserve"> </w:t>
      </w:r>
    </w:p>
    <w:p w14:paraId="57931A89" w14:textId="77777777" w:rsidR="00AD3A4A" w:rsidRDefault="00AD3A4A" w:rsidP="00803627"/>
    <w:p w14:paraId="17C7959E" w14:textId="3AFF320F" w:rsidR="00FB3409" w:rsidRPr="00803627" w:rsidRDefault="00803627" w:rsidP="0050194B">
      <w:pPr>
        <w:jc w:val="both"/>
        <w:rPr>
          <w:color w:val="000000" w:themeColor="text1"/>
        </w:rPr>
      </w:pPr>
      <w:r>
        <w:t>However, t</w:t>
      </w:r>
      <w:r w:rsidR="00C14AD4">
        <w:t xml:space="preserve">he complexities and practical application of each of the IP regimes when it comes to thinking about a right to repair, requires further research. Australia is party to a number of international treaties and bilateral trade agreements </w:t>
      </w:r>
      <w:r w:rsidR="00381ED5">
        <w:t>that cover the full range of intellectual property laws and accordingly, a full and detailed understanding of</w:t>
      </w:r>
      <w:r>
        <w:t xml:space="preserve"> Australia’s </w:t>
      </w:r>
      <w:r w:rsidRPr="00803627">
        <w:rPr>
          <w:color w:val="000000" w:themeColor="text1"/>
        </w:rPr>
        <w:t xml:space="preserve">international and national IP laws is necessary to understand how a right to repair </w:t>
      </w:r>
      <w:r w:rsidR="00AD3A4A">
        <w:rPr>
          <w:color w:val="000000" w:themeColor="text1"/>
        </w:rPr>
        <w:t>c</w:t>
      </w:r>
      <w:r w:rsidRPr="00803627">
        <w:rPr>
          <w:color w:val="000000" w:themeColor="text1"/>
        </w:rPr>
        <w:t>ould interact with Australia’s intellectual property laws.</w:t>
      </w:r>
    </w:p>
    <w:p w14:paraId="5EC39D99" w14:textId="77777777" w:rsidR="00F04DFC" w:rsidRPr="00803627" w:rsidRDefault="00F04DFC" w:rsidP="00803627">
      <w:pPr>
        <w:rPr>
          <w:b/>
          <w:bCs/>
          <w:color w:val="000000" w:themeColor="text1"/>
        </w:rPr>
      </w:pPr>
    </w:p>
    <w:p w14:paraId="41B5E267" w14:textId="615919E5" w:rsidR="00A3289B" w:rsidRDefault="0050194B" w:rsidP="00AC764D">
      <w:pPr>
        <w:pStyle w:val="Heading2"/>
        <w:pBdr>
          <w:bottom w:val="dotted" w:sz="6" w:space="0" w:color="CCCCCC"/>
        </w:pBdr>
        <w:shd w:val="clear" w:color="auto" w:fill="FFFFFF"/>
        <w:spacing w:before="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lastRenderedPageBreak/>
        <w:t>Put simply, w</w:t>
      </w:r>
      <w:r w:rsidR="00F04DFC" w:rsidRPr="00803627">
        <w:rPr>
          <w:rFonts w:ascii="Times New Roman" w:hAnsi="Times New Roman" w:cs="Times New Roman"/>
          <w:color w:val="000000" w:themeColor="text1"/>
          <w:sz w:val="24"/>
          <w:szCs w:val="24"/>
        </w:rPr>
        <w:t xml:space="preserve">ith respect to </w:t>
      </w:r>
      <w:r w:rsidR="00F04DFC" w:rsidRPr="00803627">
        <w:rPr>
          <w:rFonts w:ascii="Times New Roman" w:hAnsi="Times New Roman" w:cs="Times New Roman"/>
          <w:b/>
          <w:bCs/>
          <w:color w:val="000000" w:themeColor="text1"/>
          <w:sz w:val="24"/>
          <w:szCs w:val="24"/>
        </w:rPr>
        <w:t>Patent Law</w:t>
      </w:r>
      <w:r w:rsidR="00F04DFC" w:rsidRPr="00803627">
        <w:rPr>
          <w:rFonts w:ascii="Times New Roman" w:hAnsi="Times New Roman" w:cs="Times New Roman"/>
          <w:color w:val="000000" w:themeColor="text1"/>
          <w:sz w:val="24"/>
          <w:szCs w:val="24"/>
        </w:rPr>
        <w:t>, t</w:t>
      </w:r>
      <w:r w:rsidR="00A3289B" w:rsidRPr="00803627">
        <w:rPr>
          <w:rFonts w:ascii="Times New Roman" w:hAnsi="Times New Roman" w:cs="Times New Roman"/>
          <w:color w:val="000000" w:themeColor="text1"/>
          <w:sz w:val="24"/>
          <w:szCs w:val="24"/>
        </w:rPr>
        <w:t xml:space="preserve">he recent High Court decision in </w:t>
      </w:r>
      <w:r w:rsidR="00803627" w:rsidRPr="00803627">
        <w:rPr>
          <w:rFonts w:ascii="Times New Roman" w:eastAsia="Times New Roman" w:hAnsi="Times New Roman" w:cs="Times New Roman"/>
          <w:i/>
          <w:iCs/>
          <w:color w:val="000000" w:themeColor="text1"/>
          <w:sz w:val="24"/>
          <w:szCs w:val="24"/>
        </w:rPr>
        <w:t>Calidad Pty Ltd &amp; Ors v. Seiko Epson Corporation &amp; Anor</w:t>
      </w:r>
      <w:r w:rsidR="00A3289B" w:rsidRPr="00803627">
        <w:rPr>
          <w:rStyle w:val="FootnoteReference"/>
          <w:rFonts w:ascii="Times New Roman" w:hAnsi="Times New Roman" w:cs="Times New Roman"/>
          <w:color w:val="000000" w:themeColor="text1"/>
          <w:sz w:val="24"/>
          <w:szCs w:val="24"/>
        </w:rPr>
        <w:footnoteReference w:id="20"/>
      </w:r>
      <w:r w:rsidR="00F04DFC" w:rsidRPr="00803627">
        <w:rPr>
          <w:rFonts w:ascii="Times New Roman" w:hAnsi="Times New Roman" w:cs="Times New Roman"/>
          <w:color w:val="000000" w:themeColor="text1"/>
          <w:sz w:val="24"/>
          <w:szCs w:val="24"/>
        </w:rPr>
        <w:t xml:space="preserve"> </w:t>
      </w:r>
      <w:r w:rsidR="00A3289B" w:rsidRPr="00803627">
        <w:rPr>
          <w:rFonts w:ascii="Times New Roman" w:hAnsi="Times New Roman" w:cs="Times New Roman"/>
          <w:color w:val="000000" w:themeColor="text1"/>
          <w:sz w:val="24"/>
          <w:szCs w:val="24"/>
          <w:shd w:val="clear" w:color="auto" w:fill="FFFFFF"/>
        </w:rPr>
        <w:t>‘</w:t>
      </w:r>
      <w:r w:rsidR="00F04DFC" w:rsidRPr="00803627">
        <w:rPr>
          <w:rFonts w:ascii="Times New Roman" w:hAnsi="Times New Roman" w:cs="Times New Roman"/>
          <w:color w:val="000000" w:themeColor="text1"/>
          <w:sz w:val="24"/>
          <w:szCs w:val="24"/>
          <w:shd w:val="clear" w:color="auto" w:fill="FFFFFF"/>
        </w:rPr>
        <w:t xml:space="preserve">has </w:t>
      </w:r>
      <w:r w:rsidR="00A3289B" w:rsidRPr="00803627">
        <w:rPr>
          <w:rFonts w:ascii="Times New Roman" w:hAnsi="Times New Roman" w:cs="Times New Roman"/>
          <w:color w:val="000000" w:themeColor="text1"/>
          <w:sz w:val="24"/>
          <w:szCs w:val="24"/>
          <w:shd w:val="clear" w:color="auto" w:fill="FFFFFF"/>
        </w:rPr>
        <w:t>provide</w:t>
      </w:r>
      <w:r w:rsidR="00F04DFC" w:rsidRPr="00803627">
        <w:rPr>
          <w:rFonts w:ascii="Times New Roman" w:hAnsi="Times New Roman" w:cs="Times New Roman"/>
          <w:color w:val="000000" w:themeColor="text1"/>
          <w:sz w:val="24"/>
          <w:szCs w:val="24"/>
          <w:shd w:val="clear" w:color="auto" w:fill="FFFFFF"/>
        </w:rPr>
        <w:t>d</w:t>
      </w:r>
      <w:r w:rsidR="00A3289B" w:rsidRPr="00803627">
        <w:rPr>
          <w:rFonts w:ascii="Times New Roman" w:hAnsi="Times New Roman" w:cs="Times New Roman"/>
          <w:color w:val="000000" w:themeColor="text1"/>
          <w:sz w:val="24"/>
          <w:szCs w:val="24"/>
          <w:shd w:val="clear" w:color="auto" w:fill="FFFFFF"/>
        </w:rPr>
        <w:t xml:space="preserve"> a very important clarification of the rights of users of products to enable them to be repaired and reused patented products. By accepting the doctrine of exhaustion in Australia, for the first time in 112 years, the High Court has given consumers the opportunity to increasingly recycle and reuse, rather than to discard, products when they have the potential for further use.’</w:t>
      </w:r>
      <w:r w:rsidR="00A3289B" w:rsidRPr="00803627">
        <w:rPr>
          <w:rStyle w:val="FootnoteReference"/>
          <w:rFonts w:ascii="Times New Roman" w:hAnsi="Times New Roman" w:cs="Times New Roman"/>
          <w:color w:val="000000" w:themeColor="text1"/>
          <w:sz w:val="24"/>
          <w:szCs w:val="24"/>
          <w:shd w:val="clear" w:color="auto" w:fill="FFFFFF"/>
        </w:rPr>
        <w:footnoteReference w:id="21"/>
      </w:r>
      <w:r w:rsidR="00F04DFC" w:rsidRPr="00803627">
        <w:rPr>
          <w:rFonts w:ascii="Times New Roman" w:hAnsi="Times New Roman" w:cs="Times New Roman"/>
          <w:color w:val="000000" w:themeColor="text1"/>
          <w:sz w:val="24"/>
          <w:szCs w:val="24"/>
          <w:shd w:val="clear" w:color="auto" w:fill="FFFFFF"/>
        </w:rPr>
        <w:t xml:space="preserve"> Thus Australian Patent Law now recognises and facilitates the right to repair patented goods.</w:t>
      </w:r>
    </w:p>
    <w:p w14:paraId="32434ABF" w14:textId="77777777" w:rsidR="00AC764D" w:rsidRPr="00AC764D" w:rsidRDefault="00AC764D" w:rsidP="00AC764D"/>
    <w:p w14:paraId="5E1D9244" w14:textId="19D3F3FB" w:rsidR="000A4D92" w:rsidRPr="000A4D92" w:rsidRDefault="00CE4347" w:rsidP="00AC764D">
      <w:pPr>
        <w:pStyle w:val="NormalWeb"/>
        <w:spacing w:before="0" w:beforeAutospacing="0" w:after="0" w:afterAutospacing="0"/>
        <w:jc w:val="both"/>
        <w:rPr>
          <w:color w:val="000000"/>
        </w:rPr>
      </w:pPr>
      <w:r>
        <w:t xml:space="preserve">With respect to </w:t>
      </w:r>
      <w:r w:rsidRPr="00C14AD4">
        <w:rPr>
          <w:b/>
          <w:bCs/>
        </w:rPr>
        <w:t>Designs Law</w:t>
      </w:r>
      <w:r>
        <w:t xml:space="preserve">, </w:t>
      </w:r>
      <w:r w:rsidR="00B54FAE">
        <w:t xml:space="preserve">while there is an existing repair defence, </w:t>
      </w:r>
      <w:r w:rsidR="0050194B">
        <w:t>w</w:t>
      </w:r>
      <w:r w:rsidR="0050194B" w:rsidRPr="000A4D92">
        <w:t>e have highlighted the inadequacies and the limitation of th</w:t>
      </w:r>
      <w:r w:rsidR="0050194B">
        <w:t>is</w:t>
      </w:r>
      <w:r w:rsidR="0050194B" w:rsidRPr="000A4D92">
        <w:t xml:space="preserve"> </w:t>
      </w:r>
      <w:r w:rsidR="0050194B">
        <w:t>r</w:t>
      </w:r>
      <w:r w:rsidR="0050194B" w:rsidRPr="000A4D92">
        <w:t>epair defence in ‘</w:t>
      </w:r>
      <w:r w:rsidR="0050194B" w:rsidRPr="000A4D92">
        <w:rPr>
          <w:color w:val="000000"/>
        </w:rPr>
        <w:t>Revisiting the Repair Defence in the Designs Act (2003) in Light of the Right to Repair Movement and the Circular Economy’</w:t>
      </w:r>
      <w:r w:rsidR="0050194B">
        <w:rPr>
          <w:color w:val="000000"/>
        </w:rPr>
        <w:t>.</w:t>
      </w:r>
      <w:r w:rsidR="0050194B">
        <w:rPr>
          <w:rStyle w:val="FootnoteReference"/>
          <w:color w:val="000000"/>
        </w:rPr>
        <w:footnoteReference w:id="22"/>
      </w:r>
      <w:r w:rsidR="0050194B">
        <w:rPr>
          <w:color w:val="000000"/>
        </w:rPr>
        <w:t xml:space="preserve"> W</w:t>
      </w:r>
      <w:r w:rsidR="00B54FAE">
        <w:t xml:space="preserve">e suggest that </w:t>
      </w:r>
      <w:r>
        <w:t xml:space="preserve">there is need to further review </w:t>
      </w:r>
      <w:r w:rsidR="0050194B">
        <w:t xml:space="preserve">not only </w:t>
      </w:r>
      <w:r>
        <w:t>the Designs Act’</w:t>
      </w:r>
      <w:r w:rsidR="00B54FAE">
        <w:t>s</w:t>
      </w:r>
      <w:r>
        <w:t xml:space="preserve"> repair defence</w:t>
      </w:r>
      <w:r w:rsidR="0050194B">
        <w:t xml:space="preserve">, as </w:t>
      </w:r>
      <w:r>
        <w:t xml:space="preserve">despite what some may think, this defence </w:t>
      </w:r>
      <w:r w:rsidR="00B54FAE">
        <w:t xml:space="preserve">does </w:t>
      </w:r>
      <w:r>
        <w:t xml:space="preserve">not </w:t>
      </w:r>
      <w:r w:rsidR="0050194B">
        <w:t xml:space="preserve">give </w:t>
      </w:r>
      <w:r>
        <w:t xml:space="preserve">consumers </w:t>
      </w:r>
      <w:r w:rsidR="0050194B">
        <w:t xml:space="preserve">a </w:t>
      </w:r>
      <w:r>
        <w:t>general to repair ‘smart’ goods that are protected by design protection.</w:t>
      </w:r>
      <w:r>
        <w:rPr>
          <w:rStyle w:val="FootnoteReference"/>
        </w:rPr>
        <w:footnoteReference w:id="23"/>
      </w:r>
      <w:r w:rsidR="0050194B">
        <w:rPr>
          <w:color w:val="000000"/>
        </w:rPr>
        <w:t xml:space="preserve"> </w:t>
      </w:r>
      <w:r w:rsidR="00D302F5">
        <w:rPr>
          <w:color w:val="000000"/>
        </w:rPr>
        <w:t>Designs Law</w:t>
      </w:r>
      <w:r w:rsidR="00AC6407">
        <w:rPr>
          <w:color w:val="000000"/>
        </w:rPr>
        <w:t>, rather than focussing solely on the visual appearance of the product or article,</w:t>
      </w:r>
      <w:r w:rsidR="00D302F5">
        <w:rPr>
          <w:color w:val="000000"/>
        </w:rPr>
        <w:t xml:space="preserve"> could be used to incenti</w:t>
      </w:r>
      <w:r w:rsidR="00AC6407">
        <w:rPr>
          <w:color w:val="000000"/>
        </w:rPr>
        <w:t xml:space="preserve">vise repairability. </w:t>
      </w:r>
      <w:r w:rsidR="00B54FAE">
        <w:rPr>
          <w:color w:val="000000"/>
        </w:rPr>
        <w:t xml:space="preserve">There are many ways for this to happen, yet of course, the full implication for design owners and design users would need </w:t>
      </w:r>
      <w:r w:rsidR="0050194B">
        <w:rPr>
          <w:color w:val="000000"/>
        </w:rPr>
        <w:t xml:space="preserve">further research </w:t>
      </w:r>
      <w:r w:rsidR="00B54FAE">
        <w:rPr>
          <w:color w:val="000000"/>
        </w:rPr>
        <w:t xml:space="preserve">to </w:t>
      </w:r>
      <w:r w:rsidR="0050194B">
        <w:rPr>
          <w:color w:val="000000"/>
        </w:rPr>
        <w:t xml:space="preserve">examine the full impact upon both the rightsholders and the consumers. </w:t>
      </w:r>
      <w:r w:rsidR="00B54FAE">
        <w:rPr>
          <w:color w:val="000000"/>
        </w:rPr>
        <w:t xml:space="preserve">One </w:t>
      </w:r>
      <w:r w:rsidR="00AC6407">
        <w:rPr>
          <w:color w:val="000000"/>
        </w:rPr>
        <w:t>example</w:t>
      </w:r>
      <w:r w:rsidR="00B54FAE">
        <w:rPr>
          <w:color w:val="000000"/>
        </w:rPr>
        <w:t xml:space="preserve"> might be for </w:t>
      </w:r>
      <w:r w:rsidR="0050194B">
        <w:rPr>
          <w:color w:val="000000"/>
        </w:rPr>
        <w:t xml:space="preserve">a fee discount to be offered to </w:t>
      </w:r>
      <w:r w:rsidR="00AC6407">
        <w:rPr>
          <w:color w:val="000000"/>
        </w:rPr>
        <w:t xml:space="preserve">applicants seeking design registration for their products </w:t>
      </w:r>
      <w:r w:rsidR="0050194B">
        <w:rPr>
          <w:color w:val="000000"/>
        </w:rPr>
        <w:t>where th</w:t>
      </w:r>
      <w:r w:rsidR="00AC6407">
        <w:rPr>
          <w:color w:val="000000"/>
        </w:rPr>
        <w:t>ose designs are eco-friendly or wh</w:t>
      </w:r>
      <w:r w:rsidR="0050194B">
        <w:rPr>
          <w:color w:val="000000"/>
        </w:rPr>
        <w:t xml:space="preserve">ere the </w:t>
      </w:r>
      <w:r w:rsidR="00AC6407">
        <w:rPr>
          <w:color w:val="000000"/>
        </w:rPr>
        <w:t>design encourage</w:t>
      </w:r>
      <w:r w:rsidR="0050194B">
        <w:rPr>
          <w:color w:val="000000"/>
        </w:rPr>
        <w:t>s</w:t>
      </w:r>
      <w:r w:rsidR="00AC6407">
        <w:rPr>
          <w:color w:val="000000"/>
        </w:rPr>
        <w:t xml:space="preserve"> or facilitate</w:t>
      </w:r>
      <w:r w:rsidR="0050194B">
        <w:rPr>
          <w:color w:val="000000"/>
        </w:rPr>
        <w:t>s</w:t>
      </w:r>
      <w:r w:rsidR="00AC6407">
        <w:rPr>
          <w:color w:val="000000"/>
        </w:rPr>
        <w:t xml:space="preserve"> repair. Suggestions such as these require further investigation and research however, Designs Law, like other IP regimes, </w:t>
      </w:r>
      <w:r w:rsidR="00B54FAE">
        <w:rPr>
          <w:color w:val="000000"/>
        </w:rPr>
        <w:t xml:space="preserve">should be reviewed </w:t>
      </w:r>
      <w:r w:rsidR="0050194B">
        <w:rPr>
          <w:color w:val="000000"/>
        </w:rPr>
        <w:t xml:space="preserve">more broadly </w:t>
      </w:r>
      <w:r w:rsidR="00B54FAE">
        <w:rPr>
          <w:color w:val="000000"/>
        </w:rPr>
        <w:t xml:space="preserve">to </w:t>
      </w:r>
      <w:r w:rsidR="00AC6407">
        <w:rPr>
          <w:color w:val="000000"/>
        </w:rPr>
        <w:t xml:space="preserve">take into account the </w:t>
      </w:r>
      <w:r w:rsidR="0050194B">
        <w:rPr>
          <w:color w:val="000000"/>
        </w:rPr>
        <w:t>broader social and environmental goals, inspired by Australia’s commitment to the UN Sustainable Development Goals.</w:t>
      </w:r>
    </w:p>
    <w:p w14:paraId="09AF9FA0" w14:textId="77777777" w:rsidR="005E6B5C" w:rsidRDefault="005E6B5C" w:rsidP="004B22DB">
      <w:pPr>
        <w:jc w:val="both"/>
      </w:pPr>
    </w:p>
    <w:p w14:paraId="318B630A" w14:textId="1CA352EB" w:rsidR="005E6B5C" w:rsidRDefault="005E6B5C" w:rsidP="004B22DB">
      <w:pPr>
        <w:jc w:val="both"/>
        <w:rPr>
          <w:b/>
          <w:bCs/>
        </w:rPr>
      </w:pPr>
      <w:r w:rsidRPr="005E6B5C">
        <w:rPr>
          <w:b/>
          <w:bCs/>
        </w:rPr>
        <w:t>Copyright</w:t>
      </w:r>
    </w:p>
    <w:p w14:paraId="40B0B6F2" w14:textId="77777777" w:rsidR="00EF2EF2" w:rsidRPr="005E6B5C" w:rsidRDefault="00EF2EF2" w:rsidP="004B22DB">
      <w:pPr>
        <w:jc w:val="both"/>
        <w:rPr>
          <w:b/>
          <w:bCs/>
        </w:rPr>
      </w:pPr>
    </w:p>
    <w:p w14:paraId="58280B2B" w14:textId="4BBCA70A" w:rsidR="00EF2EF2" w:rsidRDefault="004E5C90" w:rsidP="004B22DB">
      <w:pPr>
        <w:jc w:val="both"/>
      </w:pPr>
      <w:r>
        <w:t xml:space="preserve">While </w:t>
      </w:r>
      <w:r w:rsidR="00AC6407">
        <w:t>Copyright</w:t>
      </w:r>
      <w:r>
        <w:t xml:space="preserve"> law</w:t>
      </w:r>
      <w:r w:rsidR="00AC6407">
        <w:t xml:space="preserve"> </w:t>
      </w:r>
      <w:r>
        <w:t xml:space="preserve">is a right to prevent the unlawful copying of copyright works, copyright is one of the key forms of intellectual property being relied upon by manufacturers to restrict access to </w:t>
      </w:r>
      <w:r w:rsidR="00AC6407">
        <w:t xml:space="preserve">repair </w:t>
      </w:r>
      <w:r w:rsidR="00EF2EF2">
        <w:t xml:space="preserve">and service information </w:t>
      </w:r>
      <w:r>
        <w:t xml:space="preserve">for </w:t>
      </w:r>
      <w:r w:rsidR="00EF2EF2">
        <w:t xml:space="preserve">software enabled devices and machinery. The combination </w:t>
      </w:r>
      <w:r>
        <w:t>of copyright in the instruction manuals, along with E</w:t>
      </w:r>
      <w:r w:rsidR="00EF2EF2">
        <w:t xml:space="preserve">nd </w:t>
      </w:r>
      <w:r>
        <w:t>U</w:t>
      </w:r>
      <w:r w:rsidR="00EF2EF2">
        <w:t xml:space="preserve">se </w:t>
      </w:r>
      <w:r>
        <w:t>L</w:t>
      </w:r>
      <w:r w:rsidR="00EF2EF2">
        <w:t xml:space="preserve">icence agreements, </w:t>
      </w:r>
      <w:r>
        <w:t>t</w:t>
      </w:r>
      <w:r w:rsidR="00EF2EF2">
        <w:t>echnological protection measures</w:t>
      </w:r>
      <w:r>
        <w:t xml:space="preserve"> (TPMs)</w:t>
      </w:r>
      <w:r w:rsidR="00EF2EF2">
        <w:t xml:space="preserve"> and digital rights management</w:t>
      </w:r>
      <w:r>
        <w:t xml:space="preserve">s being used in software-enabled goods, </w:t>
      </w:r>
      <w:r w:rsidR="00EF2EF2">
        <w:t xml:space="preserve">consumers </w:t>
      </w:r>
      <w:r>
        <w:t xml:space="preserve">are finding themselves locked out the products they own but also from accessing basic product information in many instances. </w:t>
      </w:r>
    </w:p>
    <w:p w14:paraId="1BF2DAD6" w14:textId="77777777" w:rsidR="00F7248B" w:rsidRDefault="00F7248B" w:rsidP="004B22DB">
      <w:pPr>
        <w:jc w:val="both"/>
      </w:pPr>
    </w:p>
    <w:p w14:paraId="25BD5E80" w14:textId="77777777" w:rsidR="004E5C90" w:rsidRDefault="00EF2EF2" w:rsidP="00B54FAE">
      <w:pPr>
        <w:jc w:val="both"/>
      </w:pPr>
      <w:r>
        <w:t>Under Australian Copyright law</w:t>
      </w:r>
      <w:r w:rsidR="00B54FAE">
        <w:t>,</w:t>
      </w:r>
      <w:r>
        <w:t xml:space="preserve"> there is no recognised defence of repair. The fair dealing defences </w:t>
      </w:r>
      <w:r w:rsidR="00BD6DF8">
        <w:t>are purpose specific and repair could never be argued to be a fair dealing of a copyright work in Australia.</w:t>
      </w:r>
      <w:r w:rsidR="00B54FAE">
        <w:t xml:space="preserve"> None of Australia’s current permitted fair dealing purposes (criticism and review, research and study, reporting the news, judicial proceedings, parody and satire, disability rights) would cover repairs. </w:t>
      </w:r>
      <w:r w:rsidR="004E5C90">
        <w:t xml:space="preserve">To allow consumers or third party repairers to </w:t>
      </w:r>
      <w:r w:rsidR="004E5C90" w:rsidRPr="004E5C90">
        <w:rPr>
          <w:u w:val="single"/>
        </w:rPr>
        <w:t>access</w:t>
      </w:r>
      <w:r w:rsidR="004E5C90">
        <w:t xml:space="preserve"> to repair information, o</w:t>
      </w:r>
      <w:r w:rsidR="00B54FAE">
        <w:t xml:space="preserve">ne option would be to add a further defence of fair dealing in </w:t>
      </w:r>
      <w:r w:rsidR="00B54FAE">
        <w:lastRenderedPageBreak/>
        <w:t xml:space="preserve">respect of the right of repair. </w:t>
      </w:r>
      <w:r w:rsidR="004E5C90">
        <w:t xml:space="preserve"> It should be noted clearly that mere reading of the repair or service manual does not involve a breach of copyright. </w:t>
      </w:r>
      <w:r w:rsidR="00B54FAE">
        <w:t xml:space="preserve"> </w:t>
      </w:r>
    </w:p>
    <w:p w14:paraId="48551909" w14:textId="77777777" w:rsidR="004E5C90" w:rsidRDefault="004E5C90" w:rsidP="00B54FAE">
      <w:pPr>
        <w:jc w:val="both"/>
      </w:pPr>
    </w:p>
    <w:p w14:paraId="4AB3F321" w14:textId="1FDABA78" w:rsidR="00B54FAE" w:rsidRDefault="00B54FAE" w:rsidP="00B54FAE">
      <w:pPr>
        <w:jc w:val="both"/>
      </w:pPr>
      <w:r>
        <w:t>The Productivity Commission has already recommended the adoption of a US style Fair Use in Australia, which could arguabl</w:t>
      </w:r>
      <w:r w:rsidR="004E5C90">
        <w:t>y</w:t>
      </w:r>
      <w:r>
        <w:t xml:space="preserve"> allow for repair as a potential defence to an action for copyright infringement. </w:t>
      </w:r>
    </w:p>
    <w:p w14:paraId="56656C6F" w14:textId="77777777" w:rsidR="00B54FAE" w:rsidRDefault="00B54FAE" w:rsidP="004B22DB">
      <w:pPr>
        <w:jc w:val="both"/>
      </w:pPr>
    </w:p>
    <w:p w14:paraId="4B634D06" w14:textId="177D617C" w:rsidR="005E6B5C" w:rsidRPr="00E40F18" w:rsidRDefault="005E6B5C" w:rsidP="004B22DB">
      <w:pPr>
        <w:jc w:val="both"/>
        <w:rPr>
          <w:b/>
          <w:bCs/>
        </w:rPr>
      </w:pPr>
      <w:r w:rsidRPr="00E40F18">
        <w:rPr>
          <w:b/>
          <w:bCs/>
        </w:rPr>
        <w:t>Technological Protection Measures</w:t>
      </w:r>
    </w:p>
    <w:p w14:paraId="3B8EC994" w14:textId="4A8CFD67" w:rsidR="005E6B5C" w:rsidRDefault="005E6B5C" w:rsidP="004B22DB">
      <w:pPr>
        <w:jc w:val="both"/>
      </w:pPr>
    </w:p>
    <w:p w14:paraId="156B3595" w14:textId="6AE804CF" w:rsidR="00E40F18" w:rsidRDefault="00E40F18" w:rsidP="00E40F18">
      <w:pPr>
        <w:jc w:val="both"/>
      </w:pPr>
      <w:r>
        <w:t xml:space="preserve">Manufacturers’ use of technological protection measures (TPMs) or digital locks over software enabled goods </w:t>
      </w:r>
      <w:r w:rsidR="004E5C90">
        <w:t xml:space="preserve">are </w:t>
      </w:r>
      <w:r w:rsidR="00787A57">
        <w:t>also</w:t>
      </w:r>
      <w:r w:rsidR="004E5C90">
        <w:t xml:space="preserve"> one of the key </w:t>
      </w:r>
      <w:r>
        <w:t xml:space="preserve">barriers to repairability. As </w:t>
      </w:r>
      <w:r w:rsidR="004E5C90">
        <w:t xml:space="preserve">Graeme </w:t>
      </w:r>
      <w:r>
        <w:t>Austin notes: ‘Right to Repair advocates claim that legal prohibitions against circumventing TPMs that control access to copyright-protected works impose barriers to repairing these goods.’</w:t>
      </w:r>
      <w:r>
        <w:rPr>
          <w:rStyle w:val="FootnoteReference"/>
        </w:rPr>
        <w:footnoteReference w:id="24"/>
      </w:r>
      <w:r>
        <w:t xml:space="preserve"> Recognition of this problem has led to exceptions to anticircumvention prohibition regimes.</w:t>
      </w:r>
      <w:r w:rsidR="00787A57">
        <w:rPr>
          <w:rStyle w:val="FootnoteReference"/>
        </w:rPr>
        <w:footnoteReference w:id="25"/>
      </w:r>
      <w:r>
        <w:t xml:space="preserve"> </w:t>
      </w:r>
      <w:r w:rsidR="004E5C90">
        <w:t xml:space="preserve">Austin </w:t>
      </w:r>
      <w:r>
        <w:t xml:space="preserve">argues that these initiatives overlook a key question: whether, in the context of copyright-protected computer programs, the concept of a </w:t>
      </w:r>
      <w:r w:rsidR="004E5C90">
        <w:t xml:space="preserve">[copyright] </w:t>
      </w:r>
      <w:r>
        <w:t xml:space="preserve">“work” includes the function performed by those programs. </w:t>
      </w:r>
      <w:r w:rsidR="004E5C90">
        <w:t>He argues that ‘d</w:t>
      </w:r>
      <w:r>
        <w:t>isaggregating “function” from the “work” requires a closer look at basic copyright principles</w:t>
      </w:r>
      <w:r w:rsidR="004E5C90">
        <w:t xml:space="preserve"> and his </w:t>
      </w:r>
      <w:r>
        <w:t>analysis suggests that, far from being the enemy of the right to repair, basic copyright principles can be enlisted in its cause.</w:t>
      </w:r>
      <w:r w:rsidR="004E5C90">
        <w:t>’</w:t>
      </w:r>
      <w:r w:rsidR="00787A57" w:rsidRPr="00787A57">
        <w:rPr>
          <w:rStyle w:val="FootnoteReference"/>
        </w:rPr>
        <w:t xml:space="preserve"> </w:t>
      </w:r>
      <w:r w:rsidR="00787A57">
        <w:rPr>
          <w:rStyle w:val="FootnoteReference"/>
        </w:rPr>
        <w:footnoteReference w:id="26"/>
      </w:r>
      <w:r w:rsidR="004E5C90">
        <w:t xml:space="preserve"> We </w:t>
      </w:r>
      <w:r w:rsidR="007641D6">
        <w:t>support and agree with this hypothesis that copyright and TPMs protect copyright works in computer enabled goods from copying and are not</w:t>
      </w:r>
      <w:r w:rsidR="0050194B">
        <w:t>, and should not be,</w:t>
      </w:r>
      <w:r w:rsidR="007641D6">
        <w:t xml:space="preserve"> about protecting the </w:t>
      </w:r>
      <w:r w:rsidR="0050194B">
        <w:t xml:space="preserve">actual </w:t>
      </w:r>
      <w:r w:rsidR="007641D6">
        <w:t>function</w:t>
      </w:r>
      <w:r w:rsidR="0050194B">
        <w:t>ing</w:t>
      </w:r>
      <w:r w:rsidR="007641D6">
        <w:t xml:space="preserve"> of a good or product.</w:t>
      </w:r>
    </w:p>
    <w:p w14:paraId="7192225F" w14:textId="0E3D9D76" w:rsidR="00E40F18" w:rsidRDefault="00E40F18" w:rsidP="004B22DB">
      <w:pPr>
        <w:jc w:val="both"/>
      </w:pPr>
    </w:p>
    <w:p w14:paraId="087CB661" w14:textId="77777777" w:rsidR="00E40F18" w:rsidRDefault="00E40F18" w:rsidP="00E40F18">
      <w:pPr>
        <w:jc w:val="both"/>
      </w:pPr>
      <w:r w:rsidRPr="00E40F18">
        <w:rPr>
          <w:b/>
          <w:bCs/>
        </w:rPr>
        <w:t>End Use Licence agreements</w:t>
      </w:r>
    </w:p>
    <w:p w14:paraId="04329C2F" w14:textId="77777777" w:rsidR="00E40F18" w:rsidRDefault="00E40F18" w:rsidP="00E40F18">
      <w:pPr>
        <w:jc w:val="both"/>
      </w:pPr>
    </w:p>
    <w:p w14:paraId="73AFEF33" w14:textId="3AE958E1" w:rsidR="00E40F18" w:rsidRDefault="00E40F18" w:rsidP="00E40F18">
      <w:pPr>
        <w:jc w:val="both"/>
      </w:pPr>
      <w:r w:rsidRPr="00CE4347">
        <w:t>End Use Licence agreements</w:t>
      </w:r>
      <w:r>
        <w:t xml:space="preserve"> originated with the sale of shrink wrapped media such as floppy disks, CD and DVDs.  These ensured that the copyright content of that product was protected from copying. </w:t>
      </w:r>
      <w:r w:rsidR="00787A57">
        <w:t xml:space="preserve">However, they are now being used for all software enabled goods. These contracts are non-negotiable and </w:t>
      </w:r>
      <w:r w:rsidR="007641D6">
        <w:t xml:space="preserve">generally appear on the websites of the manufacturers and </w:t>
      </w:r>
      <w:r w:rsidR="00787A57">
        <w:t xml:space="preserve">often </w:t>
      </w:r>
      <w:r w:rsidR="007641D6">
        <w:t xml:space="preserve">in language that highly skilled lawyers are trained to read, not everyday consumers. </w:t>
      </w:r>
    </w:p>
    <w:p w14:paraId="0F978EA8" w14:textId="4AB36CEC" w:rsidR="00E40F18" w:rsidRPr="004B22DB" w:rsidRDefault="00E40F18" w:rsidP="00E40F18">
      <w:pPr>
        <w:jc w:val="both"/>
      </w:pPr>
    </w:p>
    <w:p w14:paraId="09191B84" w14:textId="4100CF70" w:rsidR="00CE4347" w:rsidRDefault="0050194B" w:rsidP="00E40F18">
      <w:pPr>
        <w:jc w:val="both"/>
      </w:pPr>
      <w:r>
        <w:t>To use the use of EULAs in agriculture as an example, it</w:t>
      </w:r>
      <w:r w:rsidR="004A0DC5">
        <w:t xml:space="preserve"> has been argued by some agricultural manufactures and their agents that farmers are in fact businesses and thus should not be given the protections of consumer law. However, this fails to recognise the huge bargaining imbalances between farmers and their farming enterprises and the huge multinational corporations who are the agricultural technology providers, such as John Deere. It appears to be suggested that </w:t>
      </w:r>
      <w:r w:rsidR="00E40F18" w:rsidRPr="004B22DB">
        <w:t xml:space="preserve">farmers </w:t>
      </w:r>
      <w:r w:rsidR="00E40F18">
        <w:t>willingly accept the terms of service</w:t>
      </w:r>
      <w:r>
        <w:t xml:space="preserve"> when turning on their tractors and machinery</w:t>
      </w:r>
      <w:r w:rsidR="00E40F18" w:rsidRPr="004B22DB">
        <w:t xml:space="preserve">. </w:t>
      </w:r>
      <w:r w:rsidR="00CE4347">
        <w:t xml:space="preserve">However, there is little or no evidence to </w:t>
      </w:r>
      <w:r w:rsidR="00E40F18">
        <w:t xml:space="preserve">support those claims. </w:t>
      </w:r>
      <w:r w:rsidR="00CE4347">
        <w:t xml:space="preserve"> </w:t>
      </w:r>
      <w:r w:rsidR="00E40F18">
        <w:t xml:space="preserve">Having worked </w:t>
      </w:r>
      <w:r w:rsidR="007641D6">
        <w:t xml:space="preserve">closely </w:t>
      </w:r>
      <w:r w:rsidR="00E40F18">
        <w:t xml:space="preserve">with farmers on a range of challenges associated with the introduction of digital </w:t>
      </w:r>
      <w:r w:rsidR="00E40F18">
        <w:lastRenderedPageBreak/>
        <w:t>technologies on farm, including concerns over data ownership, control and access, we</w:t>
      </w:r>
      <w:r w:rsidR="00E40F18" w:rsidRPr="004B22DB">
        <w:t xml:space="preserve"> strongly disagree.</w:t>
      </w:r>
      <w:r w:rsidR="007641D6">
        <w:rPr>
          <w:rStyle w:val="FootnoteReference"/>
        </w:rPr>
        <w:footnoteReference w:id="27"/>
      </w:r>
      <w:r w:rsidR="00E40F18" w:rsidRPr="004B22DB">
        <w:t xml:space="preserve"> </w:t>
      </w:r>
    </w:p>
    <w:p w14:paraId="1913A3AE" w14:textId="77777777" w:rsidR="00CE4347" w:rsidRDefault="00CE4347" w:rsidP="00E40F18">
      <w:pPr>
        <w:jc w:val="both"/>
      </w:pPr>
    </w:p>
    <w:p w14:paraId="6386E7EC" w14:textId="7CE9BA2E" w:rsidR="00E40F18" w:rsidRPr="00CE4347" w:rsidRDefault="00E40F18" w:rsidP="00E40F18">
      <w:pPr>
        <w:jc w:val="both"/>
      </w:pPr>
      <w:r w:rsidRPr="004B22DB">
        <w:t xml:space="preserve">Research conducted in 2015-2016  </w:t>
      </w:r>
      <w:r>
        <w:t xml:space="preserve">as part of a Federally funded research project on the barriers to the adoption of digital agriculture in the Australian agricultural industries, </w:t>
      </w:r>
      <w:r w:rsidRPr="00E527BB">
        <w:rPr>
          <w:i/>
          <w:iCs/>
        </w:rPr>
        <w:t>Accelerating Precision Agriculture to Decision Agriculture</w:t>
      </w:r>
      <w:r w:rsidR="00052607">
        <w:rPr>
          <w:i/>
          <w:iCs/>
        </w:rPr>
        <w:t xml:space="preserve"> (P2D)</w:t>
      </w:r>
      <w:r>
        <w:t>,</w:t>
      </w:r>
      <w:r>
        <w:rPr>
          <w:rStyle w:val="FootnoteReference"/>
        </w:rPr>
        <w:footnoteReference w:id="28"/>
      </w:r>
      <w:r>
        <w:t xml:space="preserve"> revealed not only a lack of trust in the way in which their data was being collected, stored and managed by agricultural technology providers but also the fact that </w:t>
      </w:r>
      <w:r w:rsidR="004A0DC5">
        <w:t xml:space="preserve">more generally </w:t>
      </w:r>
      <w:r w:rsidRPr="00BC71D5">
        <w:rPr>
          <w:i/>
          <w:iCs/>
        </w:rPr>
        <w:t xml:space="preserve">farmers were </w:t>
      </w:r>
      <w:r w:rsidR="00EF2957">
        <w:rPr>
          <w:i/>
          <w:iCs/>
        </w:rPr>
        <w:t xml:space="preserve">generally </w:t>
      </w:r>
      <w:r w:rsidRPr="00BC71D5">
        <w:rPr>
          <w:i/>
          <w:iCs/>
        </w:rPr>
        <w:t>unaware of the terms of the software licences that accompanied the new digital equipment that was being adopted on their farms.</w:t>
      </w:r>
      <w:r w:rsidRPr="00966C7C">
        <w:rPr>
          <w:b/>
          <w:bCs/>
        </w:rPr>
        <w:t xml:space="preserve"> </w:t>
      </w:r>
      <w:r w:rsidR="00052607">
        <w:rPr>
          <w:b/>
          <w:bCs/>
        </w:rPr>
        <w:t xml:space="preserve"> </w:t>
      </w:r>
    </w:p>
    <w:p w14:paraId="497C305C" w14:textId="77777777" w:rsidR="00E40F18" w:rsidRPr="00966C7C" w:rsidRDefault="00E40F18" w:rsidP="00E40F18">
      <w:pPr>
        <w:jc w:val="both"/>
        <w:rPr>
          <w:b/>
          <w:bCs/>
        </w:rPr>
      </w:pPr>
    </w:p>
    <w:p w14:paraId="3C581B47" w14:textId="7DF1B95B" w:rsidR="00E40F18" w:rsidRDefault="00E40F18" w:rsidP="00E40F18">
      <w:pPr>
        <w:jc w:val="both"/>
      </w:pPr>
      <w:r w:rsidRPr="00FA5A26">
        <w:t>The Producer Survey</w:t>
      </w:r>
      <w:r w:rsidRPr="004B22DB">
        <w:rPr>
          <w:rStyle w:val="FootnoteReference"/>
        </w:rPr>
        <w:footnoteReference w:id="29"/>
      </w:r>
      <w:r w:rsidRPr="00FA5A26">
        <w:t xml:space="preserve"> that was conducted as part of the P2D project revealed that </w:t>
      </w:r>
      <w:r w:rsidRPr="00BC71D5">
        <w:rPr>
          <w:i/>
          <w:iCs/>
        </w:rPr>
        <w:t>47% of primary producers surveyed say they have no understanding and an additional 27% said they have little understanding of the terms and conditions of  licence agreements before signing up to a new software or service, particularly where the service is provided online</w:t>
      </w:r>
      <w:r w:rsidRPr="00BC71D5">
        <w:t>.”</w:t>
      </w:r>
    </w:p>
    <w:p w14:paraId="029F65C9" w14:textId="77777777" w:rsidR="00E40F18" w:rsidRDefault="00E40F18" w:rsidP="00E40F18">
      <w:pPr>
        <w:jc w:val="both"/>
      </w:pPr>
    </w:p>
    <w:p w14:paraId="3810799B" w14:textId="6F820C1C" w:rsidR="00E40F18" w:rsidRDefault="00052607" w:rsidP="00E40F18">
      <w:pPr>
        <w:jc w:val="both"/>
      </w:pPr>
      <w:r>
        <w:t xml:space="preserve">We concluded that: </w:t>
      </w:r>
      <w:r w:rsidR="00E40F18">
        <w:t>“</w:t>
      </w:r>
      <w:r>
        <w:t>t</w:t>
      </w:r>
      <w:r w:rsidR="00E40F18" w:rsidRPr="00C80307">
        <w:t>he fact that so many producers are unaware of the terms that govern the ownership and use of, and access to, their data indicates that there appears to be very little discussion about issues relating to data ownership or access prior to entering a contract for agricultural technology or services. As producers do not understand the implications of what they are signing, they are often unaware of how much control the service provider is asserting over their data or the extent to which their data is being shared and traded. This has significant consequence for the agricultural industry as a whole, as it forms the basis for the lack of trust that producers have towards some of the new digital services and products on offer.</w:t>
      </w:r>
      <w:r w:rsidR="00E40F18">
        <w:t>”</w:t>
      </w:r>
      <w:r w:rsidR="00E40F18">
        <w:rPr>
          <w:rStyle w:val="FootnoteReference"/>
        </w:rPr>
        <w:footnoteReference w:id="30"/>
      </w:r>
    </w:p>
    <w:p w14:paraId="6B1793D7" w14:textId="1EC3C227" w:rsidR="004E6D7C" w:rsidRDefault="004E6D7C" w:rsidP="00E40F18">
      <w:pPr>
        <w:jc w:val="both"/>
      </w:pPr>
    </w:p>
    <w:p w14:paraId="56FC15E7" w14:textId="033FB376" w:rsidR="004E6D7C" w:rsidRDefault="004E6D7C" w:rsidP="00E40F18">
      <w:pPr>
        <w:jc w:val="both"/>
      </w:pPr>
      <w:r>
        <w:t>To allay the mistrust that farmers have with the agricultural technology providers’ terms of service for their agricultural machinery, the USA, NZ, EU and now Australia have developed Codes of Conduct that encourage best practice in data management and contracting principles for agricultural technology providers when dealing with farmers.</w:t>
      </w:r>
      <w:r>
        <w:rPr>
          <w:rStyle w:val="FootnoteReference"/>
        </w:rPr>
        <w:footnoteReference w:id="31"/>
      </w:r>
    </w:p>
    <w:p w14:paraId="4F27A8F5" w14:textId="3F89A85A" w:rsidR="00052607" w:rsidRDefault="00052607" w:rsidP="00E40F18">
      <w:pPr>
        <w:jc w:val="both"/>
      </w:pPr>
    </w:p>
    <w:p w14:paraId="1F0C6D5F" w14:textId="61E6D4E4" w:rsidR="00052607" w:rsidRPr="00C80307" w:rsidRDefault="00052607" w:rsidP="00E40F18">
      <w:pPr>
        <w:jc w:val="both"/>
      </w:pPr>
      <w:r>
        <w:t>This research, including</w:t>
      </w:r>
      <w:r w:rsidR="00566B99">
        <w:t xml:space="preserve"> identifying the restrictions imposed on farmers’ ability to repair their machinery,</w:t>
      </w:r>
      <w:r>
        <w:t xml:space="preserve"> has created interest and been adopted by </w:t>
      </w:r>
      <w:r w:rsidR="004E6D7C">
        <w:t xml:space="preserve">national and international </w:t>
      </w:r>
      <w:r>
        <w:t>agricultural policy makers who are developing policy responses for the impact of digitalisation on farmers and agricultural industries.</w:t>
      </w:r>
      <w:r w:rsidR="004E6D7C">
        <w:rPr>
          <w:rStyle w:val="FootnoteReference"/>
        </w:rPr>
        <w:footnoteReference w:id="32"/>
      </w:r>
    </w:p>
    <w:p w14:paraId="6B1601E1" w14:textId="77777777" w:rsidR="00E40F18" w:rsidRDefault="00E40F18" w:rsidP="00E40F18">
      <w:pPr>
        <w:jc w:val="both"/>
      </w:pPr>
    </w:p>
    <w:p w14:paraId="7B01229C" w14:textId="32F0CCF4" w:rsidR="00E40F18" w:rsidRDefault="004A0DC5" w:rsidP="00E40F18">
      <w:pPr>
        <w:jc w:val="both"/>
      </w:pPr>
      <w:r>
        <w:t xml:space="preserve">This very issue </w:t>
      </w:r>
      <w:r w:rsidR="004E6D7C">
        <w:t xml:space="preserve">of mistrust of technology providers and of their terms of use </w:t>
      </w:r>
      <w:r>
        <w:t>is not restricted to farmers</w:t>
      </w:r>
      <w:r w:rsidR="00AB3F6A">
        <w:t xml:space="preserve"> nor is it restricted to data.  It was recognised that </w:t>
      </w:r>
      <w:r w:rsidR="004E6D7C">
        <w:t>with</w:t>
      </w:r>
      <w:r w:rsidR="00AB3F6A">
        <w:t xml:space="preserve">in agriculture the sophisticated agricultural machinery comes with equally sophisticated and complex software contracts that not only restrict </w:t>
      </w:r>
      <w:r w:rsidR="004E6D7C">
        <w:t>farmers’</w:t>
      </w:r>
      <w:r w:rsidR="00AB3F6A">
        <w:t xml:space="preserve"> right</w:t>
      </w:r>
      <w:r w:rsidR="004E6D7C">
        <w:t>s</w:t>
      </w:r>
      <w:r w:rsidR="00AB3F6A">
        <w:t xml:space="preserve"> to repair their tractors but also force</w:t>
      </w:r>
      <w:r w:rsidR="004E6D7C">
        <w:t>s</w:t>
      </w:r>
      <w:r w:rsidR="00AB3F6A">
        <w:t xml:space="preserve"> them to use only authorised repairers.</w:t>
      </w:r>
      <w:r w:rsidR="00AB3F6A">
        <w:rPr>
          <w:rStyle w:val="FootnoteReference"/>
        </w:rPr>
        <w:footnoteReference w:id="33"/>
      </w:r>
      <w:r w:rsidR="000874B6">
        <w:t xml:space="preserve"> </w:t>
      </w:r>
      <w:r w:rsidR="00E40F18">
        <w:t xml:space="preserve">Recommendations were made to </w:t>
      </w:r>
      <w:r w:rsidR="000874B6">
        <w:t xml:space="preserve">Government and Agricultural Industry stakeholders that with respect to technology agreements, policies should be developed to </w:t>
      </w:r>
      <w:r w:rsidR="00E40F18">
        <w:t xml:space="preserve">ensure that there was more transparency </w:t>
      </w:r>
      <w:r w:rsidR="000874B6">
        <w:t xml:space="preserve">by agricultural technology providers that </w:t>
      </w:r>
      <w:r w:rsidR="00E40F18">
        <w:t>the terms of the licences that bound farmers</w:t>
      </w:r>
      <w:r w:rsidR="000874B6">
        <w:t xml:space="preserve"> should be clearly explained and made available to farmers</w:t>
      </w:r>
      <w:r w:rsidR="00E40F18">
        <w:t>.</w:t>
      </w:r>
      <w:r w:rsidR="00E40F18" w:rsidRPr="004B22DB">
        <w:rPr>
          <w:rStyle w:val="FootnoteReference"/>
        </w:rPr>
        <w:footnoteReference w:id="34"/>
      </w:r>
      <w:r w:rsidR="000874B6">
        <w:t xml:space="preserve"> </w:t>
      </w:r>
    </w:p>
    <w:p w14:paraId="2452A454" w14:textId="77777777" w:rsidR="00E40F18" w:rsidRDefault="00E40F18" w:rsidP="00E40F18">
      <w:pPr>
        <w:jc w:val="both"/>
      </w:pPr>
    </w:p>
    <w:p w14:paraId="36629BB3" w14:textId="1E206680" w:rsidR="00E40F18" w:rsidRDefault="00E40F18" w:rsidP="00E40F18">
      <w:pPr>
        <w:jc w:val="both"/>
      </w:pPr>
      <w:r>
        <w:t>This</w:t>
      </w:r>
      <w:r w:rsidR="000874B6">
        <w:t xml:space="preserve"> issues that confront farmers who adopt new technologies on farm are </w:t>
      </w:r>
      <w:r>
        <w:t xml:space="preserve">no different to </w:t>
      </w:r>
      <w:r w:rsidR="000874B6">
        <w:t xml:space="preserve">the issues facing </w:t>
      </w:r>
      <w:r>
        <w:t xml:space="preserve">consumers who are buying everyday </w:t>
      </w:r>
      <w:r w:rsidR="000874B6">
        <w:t xml:space="preserve">software enabled </w:t>
      </w:r>
      <w:r>
        <w:t>goods.</w:t>
      </w:r>
      <w:r w:rsidR="000874B6">
        <w:t xml:space="preserve"> </w:t>
      </w:r>
      <w:r>
        <w:t>When buying goods with software embedded within it, consumers are assumed to have read through ‘voluminous, nonnegotiable documents, written to benefit corporations in exchange for access to their services.’</w:t>
      </w:r>
      <w:r w:rsidRPr="00D0652B">
        <w:rPr>
          <w:rStyle w:val="FootnoteReference"/>
        </w:rPr>
        <w:t xml:space="preserve"> </w:t>
      </w:r>
      <w:r>
        <w:rPr>
          <w:rStyle w:val="FootnoteReference"/>
        </w:rPr>
        <w:footnoteReference w:id="35"/>
      </w:r>
      <w:r w:rsidR="004E6D7C">
        <w:t xml:space="preserve"> There is general mistrust</w:t>
      </w:r>
      <w:r w:rsidR="00426496">
        <w:t xml:space="preserve"> by consumers of the effect of the expansive terms of service that they are generally obliges to sign up to. </w:t>
      </w:r>
    </w:p>
    <w:p w14:paraId="7FFBE143" w14:textId="77777777" w:rsidR="00E40F18" w:rsidRDefault="00E40F18" w:rsidP="00E40F18">
      <w:pPr>
        <w:jc w:val="both"/>
      </w:pPr>
    </w:p>
    <w:p w14:paraId="7CFDD33A" w14:textId="73AB30FE" w:rsidR="00E40F18" w:rsidRDefault="00426496" w:rsidP="00E40F18">
      <w:pPr>
        <w:jc w:val="both"/>
      </w:pPr>
      <w:r>
        <w:t xml:space="preserve">As the New York Times opined: </w:t>
      </w:r>
      <w:r w:rsidR="00E40F18">
        <w:t xml:space="preserve">‘Technology companies will assert that none of their policies are mandatory – if customers don’t want to accept them, they can close their account to decline to sign up in the first place. But many companies have made their services so essential that opting out is not a feasible option, and customers are often presented with new terms at the moment they most need to use a service. Consider how difficult it would be to avoid signing </w:t>
      </w:r>
      <w:r w:rsidR="00E40F18">
        <w:lastRenderedPageBreak/>
        <w:t>up for a single Google product, let alone retrieve saved emails or photos , if the account has to be closed quickly.’</w:t>
      </w:r>
      <w:r w:rsidR="00E40F18">
        <w:rPr>
          <w:rStyle w:val="FootnoteReference"/>
        </w:rPr>
        <w:footnoteReference w:id="36"/>
      </w:r>
    </w:p>
    <w:p w14:paraId="309D5D12" w14:textId="77777777" w:rsidR="00E40F18" w:rsidRDefault="00E40F18" w:rsidP="00E40F18">
      <w:pPr>
        <w:jc w:val="both"/>
      </w:pPr>
    </w:p>
    <w:p w14:paraId="20083EE7" w14:textId="77777777" w:rsidR="00E40F18" w:rsidRPr="004D4E4C" w:rsidRDefault="00E40F18" w:rsidP="00E40F18">
      <w:r w:rsidRPr="004D4E4C">
        <w:rPr>
          <w:color w:val="221F1F"/>
          <w:shd w:val="clear" w:color="auto" w:fill="FFFFFF"/>
        </w:rPr>
        <w:t>“We have become so beaten down by this that we just accept it,” he said. “The idea that anyone should be expected to read these terms of service is preposterous — they are written to discourage people from reading them.”</w:t>
      </w:r>
      <w:r w:rsidRPr="004D4E4C">
        <w:rPr>
          <w:rStyle w:val="FootnoteReference"/>
        </w:rPr>
        <w:t xml:space="preserve"> </w:t>
      </w:r>
      <w:r>
        <w:rPr>
          <w:rStyle w:val="FootnoteReference"/>
        </w:rPr>
        <w:footnoteReference w:id="37"/>
      </w:r>
    </w:p>
    <w:p w14:paraId="7761E2B4" w14:textId="77777777" w:rsidR="00E40F18" w:rsidRDefault="00E40F18" w:rsidP="00E40F18">
      <w:pPr>
        <w:jc w:val="both"/>
      </w:pPr>
    </w:p>
    <w:p w14:paraId="01431BD7" w14:textId="05515A71" w:rsidR="00E40F18" w:rsidRDefault="00426496" w:rsidP="00E40F18">
      <w:pPr>
        <w:jc w:val="both"/>
      </w:pPr>
      <w:r>
        <w:t>R</w:t>
      </w:r>
      <w:r w:rsidR="00E40F18">
        <w:t xml:space="preserve">ules that require corporations to provide greater transparency around their terms of service are required. The onus should be placed on manufacturers and corporations providing digital services that are linked to physical goods to provide simple explanations in plain English (or relevant languages) about key terms in their software licences, around </w:t>
      </w:r>
      <w:r>
        <w:t xml:space="preserve">a range of topics including the </w:t>
      </w:r>
      <w:r w:rsidR="00E40F18">
        <w:t>data collection</w:t>
      </w:r>
      <w:r>
        <w:t xml:space="preserve"> and management</w:t>
      </w:r>
      <w:r w:rsidR="00E40F18">
        <w:t>, repairability, avenues for dispute resolution</w:t>
      </w:r>
      <w:r w:rsidR="007D20BF">
        <w:t xml:space="preserve">. Where </w:t>
      </w:r>
      <w:r w:rsidR="00E40F18">
        <w:t>products are</w:t>
      </w:r>
      <w:r w:rsidR="007D20BF">
        <w:t xml:space="preserve"> particularly</w:t>
      </w:r>
      <w:r w:rsidR="00E40F18">
        <w:t xml:space="preserve"> aimed at teenagers or young adults, the terms of service need to be written in such a way that is appropriate for the age of the purchaser of those goods. For example, a digital product or service that is aimed at 15 year old should be written in a way that a 15 year old can understand.</w:t>
      </w:r>
    </w:p>
    <w:p w14:paraId="7AAA2920" w14:textId="6CF8A283" w:rsidR="00614C9C" w:rsidRDefault="00614C9C" w:rsidP="00E40F18">
      <w:pPr>
        <w:jc w:val="both"/>
      </w:pPr>
    </w:p>
    <w:p w14:paraId="197F7F64" w14:textId="148EE67B" w:rsidR="00614C9C" w:rsidRDefault="00F462DA" w:rsidP="00E40F18">
      <w:pPr>
        <w:jc w:val="both"/>
      </w:pPr>
      <w:r>
        <w:t xml:space="preserve">Examining </w:t>
      </w:r>
      <w:r w:rsidR="00E2529B">
        <w:t xml:space="preserve">some of the restrictive non-negotiated terms that contained within and the </w:t>
      </w:r>
      <w:r w:rsidR="00614C9C">
        <w:t xml:space="preserve">way in which these EULAs </w:t>
      </w:r>
      <w:r w:rsidR="00E2529B">
        <w:t>bind purchasers of software</w:t>
      </w:r>
      <w:r w:rsidR="00426496">
        <w:t>-</w:t>
      </w:r>
      <w:r w:rsidR="00E2529B">
        <w:t xml:space="preserve">enabled goods, often when the products are </w:t>
      </w:r>
      <w:r>
        <w:t xml:space="preserve">merely </w:t>
      </w:r>
      <w:r w:rsidR="00E2529B">
        <w:t xml:space="preserve">switched on, raises the issue of whether these </w:t>
      </w:r>
      <w:r w:rsidR="00426496">
        <w:t xml:space="preserve">terms could potentially fall within the </w:t>
      </w:r>
      <w:r>
        <w:t xml:space="preserve">scope </w:t>
      </w:r>
      <w:r w:rsidR="00426496">
        <w:t xml:space="preserve">of </w:t>
      </w:r>
      <w:r>
        <w:t xml:space="preserve"> the </w:t>
      </w:r>
      <w:r w:rsidR="00E2529B">
        <w:t xml:space="preserve">‘unfair terms’ </w:t>
      </w:r>
      <w:r>
        <w:t xml:space="preserve">provisions of the </w:t>
      </w:r>
      <w:r w:rsidR="00E2529B">
        <w:t>Australian Consumer Law.</w:t>
      </w:r>
      <w:r w:rsidR="00E2529B">
        <w:rPr>
          <w:rStyle w:val="FootnoteReference"/>
        </w:rPr>
        <w:footnoteReference w:id="38"/>
      </w:r>
    </w:p>
    <w:p w14:paraId="6FD809E8" w14:textId="77777777" w:rsidR="005E6B5C" w:rsidRPr="004B22DB" w:rsidRDefault="005E6B5C" w:rsidP="004B22DB">
      <w:pPr>
        <w:jc w:val="both"/>
      </w:pPr>
    </w:p>
    <w:p w14:paraId="4E00ECA3" w14:textId="77777777" w:rsidR="00FB3409" w:rsidRPr="005E6B5C" w:rsidRDefault="00FD2AF1" w:rsidP="004B22DB">
      <w:pPr>
        <w:jc w:val="both"/>
        <w:rPr>
          <w:b/>
          <w:bCs/>
        </w:rPr>
      </w:pPr>
      <w:r w:rsidRPr="005E6B5C">
        <w:rPr>
          <w:b/>
          <w:bCs/>
        </w:rPr>
        <w:t xml:space="preserve">Trade Marks </w:t>
      </w:r>
    </w:p>
    <w:p w14:paraId="6EC2886A" w14:textId="6F6390AD" w:rsidR="00E2529B" w:rsidRPr="00F462DA" w:rsidRDefault="00E2529B" w:rsidP="00426496">
      <w:pPr>
        <w:jc w:val="both"/>
      </w:pPr>
      <w:r>
        <w:t xml:space="preserve">While manufacturers have used their trade marks to protect their spare parts and </w:t>
      </w:r>
      <w:r w:rsidR="00426496">
        <w:t xml:space="preserve">thus </w:t>
      </w:r>
      <w:r>
        <w:t xml:space="preserve">prevent use in </w:t>
      </w:r>
      <w:r w:rsidR="00426496">
        <w:t xml:space="preserve">unauthorised </w:t>
      </w:r>
      <w:r>
        <w:t xml:space="preserve">repair, Trade Marks can also be used </w:t>
      </w:r>
      <w:r w:rsidR="00426496">
        <w:t xml:space="preserve">in ways that could </w:t>
      </w:r>
      <w:r>
        <w:t xml:space="preserve">facilitate repair. Again, further research needs to be conducted to examine the way in which Trade Marks are being used to encourage and incentives repair. For example, trade marks could be used to inform consumers in a positive way of those businesses who can conduct quality repairs or that </w:t>
      </w:r>
      <w:r w:rsidR="00FD2AF1">
        <w:t>stock repaired</w:t>
      </w:r>
      <w:r w:rsidR="00F462DA">
        <w:t>.</w:t>
      </w:r>
      <w:r w:rsidR="00FD2AF1">
        <w:rPr>
          <w:rStyle w:val="FootnoteReference"/>
        </w:rPr>
        <w:footnoteReference w:id="39"/>
      </w:r>
      <w:r>
        <w:t xml:space="preserve"> </w:t>
      </w:r>
      <w:r w:rsidR="00F462DA" w:rsidRPr="00F462DA">
        <w:rPr>
          <w:color w:val="000000" w:themeColor="text1"/>
        </w:rPr>
        <w:t xml:space="preserve">Sanderson and Henriksen’s </w:t>
      </w:r>
      <w:r w:rsidR="00F462DA">
        <w:rPr>
          <w:color w:val="000000" w:themeColor="text1"/>
        </w:rPr>
        <w:t xml:space="preserve">in their </w:t>
      </w:r>
      <w:r w:rsidR="00F462DA" w:rsidRPr="00F462DA">
        <w:rPr>
          <w:color w:val="000000" w:themeColor="text1"/>
        </w:rPr>
        <w:t xml:space="preserve">article, </w:t>
      </w:r>
      <w:r w:rsidR="00F462DA" w:rsidRPr="00F462DA">
        <w:rPr>
          <w:color w:val="000000" w:themeColor="text1"/>
          <w:shd w:val="clear" w:color="auto" w:fill="FFFFFF"/>
        </w:rPr>
        <w:t>“Certified Repairable: Using </w:t>
      </w:r>
      <w:r w:rsidR="00F462DA" w:rsidRPr="00F462DA">
        <w:rPr>
          <w:rStyle w:val="Emphasis"/>
          <w:i w:val="0"/>
          <w:iCs w:val="0"/>
          <w:color w:val="000000" w:themeColor="text1"/>
          <w:shd w:val="clear" w:color="auto" w:fill="FFFFFF"/>
        </w:rPr>
        <w:t>Trade Marks</w:t>
      </w:r>
      <w:r w:rsidR="00F462DA" w:rsidRPr="00F462DA">
        <w:rPr>
          <w:color w:val="000000" w:themeColor="text1"/>
          <w:shd w:val="clear" w:color="auto" w:fill="FFFFFF"/>
        </w:rPr>
        <w:t> to Distinguish, Signal and Encourage Repair”</w:t>
      </w:r>
      <w:r w:rsidR="00F462DA">
        <w:rPr>
          <w:color w:val="000000" w:themeColor="text1"/>
          <w:shd w:val="clear" w:color="auto" w:fill="FFFFFF"/>
        </w:rPr>
        <w:t xml:space="preserve"> provide an analysis and example of how Trade Marks could be used to encourage and facilitate repair services.</w:t>
      </w:r>
      <w:r w:rsidR="00F462DA">
        <w:rPr>
          <w:rStyle w:val="FootnoteReference"/>
          <w:color w:val="000000" w:themeColor="text1"/>
          <w:shd w:val="clear" w:color="auto" w:fill="FFFFFF"/>
        </w:rPr>
        <w:footnoteReference w:id="40"/>
      </w:r>
    </w:p>
    <w:p w14:paraId="339780BD" w14:textId="37F8453E" w:rsidR="00FD2AF1" w:rsidRDefault="00FD2AF1" w:rsidP="00E2529B">
      <w:pPr>
        <w:jc w:val="both"/>
      </w:pPr>
    </w:p>
    <w:p w14:paraId="5632AC46" w14:textId="77777777" w:rsidR="0074547C" w:rsidRPr="00A3289B" w:rsidRDefault="0074547C" w:rsidP="004B22DB">
      <w:pPr>
        <w:jc w:val="both"/>
        <w:rPr>
          <w:b/>
          <w:bCs/>
        </w:rPr>
      </w:pPr>
    </w:p>
    <w:p w14:paraId="7107EAF2" w14:textId="77777777" w:rsidR="0074547C" w:rsidRDefault="0074547C" w:rsidP="004B22DB">
      <w:pPr>
        <w:jc w:val="both"/>
        <w:rPr>
          <w:b/>
          <w:bCs/>
        </w:rPr>
      </w:pPr>
      <w:r w:rsidRPr="00A3289B">
        <w:rPr>
          <w:b/>
          <w:bCs/>
        </w:rPr>
        <w:t>Trade Secrets</w:t>
      </w:r>
    </w:p>
    <w:p w14:paraId="57CD26DF" w14:textId="77777777" w:rsidR="00A3289B" w:rsidRDefault="00A3289B" w:rsidP="004B22DB">
      <w:pPr>
        <w:jc w:val="both"/>
        <w:rPr>
          <w:b/>
          <w:bCs/>
        </w:rPr>
      </w:pPr>
    </w:p>
    <w:p w14:paraId="745914A5" w14:textId="3E9A0B91" w:rsidR="00A3289B" w:rsidRDefault="00A3289B" w:rsidP="004B22DB">
      <w:pPr>
        <w:jc w:val="both"/>
      </w:pPr>
      <w:r w:rsidRPr="00A3289B">
        <w:t>Manufacturers often argue that a right to repair would impinge upon their trade secrets as repair information requires disclosure of proprietary information.</w:t>
      </w:r>
      <w:r>
        <w:t xml:space="preserve"> In some cases, even the contracts between the technology provider and consumer are argued to be confidential. </w:t>
      </w:r>
      <w:r w:rsidR="00F462DA">
        <w:t xml:space="preserve">However, unlike </w:t>
      </w:r>
      <w:r w:rsidR="00F462DA">
        <w:lastRenderedPageBreak/>
        <w:t>the US, Australia protects trade secrets through the equitable action of breach of confidence and in many cases, basic product information would not be likely to be the subject of confidentiality. However, again as with all form of Intellectual Property regimes, further research and analysis is needed to full understand the tensions between consumer rights of repair and IP owners’ rights and how those tensions could be resolved to ensure a balancing of rights between IP owners and consumers</w:t>
      </w:r>
    </w:p>
    <w:p w14:paraId="36BA9B02" w14:textId="77777777" w:rsidR="00F462DA" w:rsidRDefault="00F462DA" w:rsidP="004B22DB">
      <w:pPr>
        <w:jc w:val="both"/>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0"/>
      </w:tblGrid>
      <w:tr w:rsidR="00DB6F91" w:rsidRPr="004B22DB" w14:paraId="06D319CD" w14:textId="77777777" w:rsidTr="00BE25B8">
        <w:trPr>
          <w:tblHeader/>
        </w:trPr>
        <w:tc>
          <w:tcPr>
            <w:tcW w:w="5000" w:type="pct"/>
            <w:tcBorders>
              <w:top w:val="single" w:sz="6" w:space="0" w:color="78A22F"/>
              <w:left w:val="nil"/>
              <w:bottom w:val="nil"/>
              <w:right w:val="nil"/>
            </w:tcBorders>
            <w:shd w:val="clear" w:color="auto" w:fill="auto"/>
          </w:tcPr>
          <w:p w14:paraId="5E3087B5" w14:textId="77777777" w:rsidR="00DB6F91" w:rsidRPr="004B22DB" w:rsidRDefault="00DB6F91" w:rsidP="004B22DB">
            <w:pPr>
              <w:pStyle w:val="InformationRequestTitle"/>
              <w:spacing w:before="120"/>
              <w:rPr>
                <w:rFonts w:ascii="Times New Roman" w:hAnsi="Times New Roman"/>
                <w:color w:val="0070C0"/>
                <w:sz w:val="24"/>
                <w:szCs w:val="24"/>
              </w:rPr>
            </w:pPr>
            <w:r w:rsidRPr="004B22DB">
              <w:rPr>
                <w:rFonts w:ascii="Times New Roman" w:hAnsi="Times New Roman"/>
                <w:color w:val="0070C0"/>
                <w:sz w:val="24"/>
                <w:szCs w:val="24"/>
              </w:rPr>
              <w:t>Information request 8</w:t>
            </w:r>
          </w:p>
        </w:tc>
      </w:tr>
      <w:tr w:rsidR="00DB6F91" w:rsidRPr="004B22DB" w14:paraId="6672CC3E" w14:textId="77777777" w:rsidTr="00BE25B8">
        <w:tc>
          <w:tcPr>
            <w:tcW w:w="5000" w:type="pct"/>
            <w:tcBorders>
              <w:top w:val="nil"/>
              <w:left w:val="nil"/>
              <w:bottom w:val="nil"/>
              <w:right w:val="nil"/>
            </w:tcBorders>
            <w:shd w:val="clear" w:color="auto" w:fill="auto"/>
          </w:tcPr>
          <w:p w14:paraId="6B91884A" w14:textId="77777777" w:rsidR="00DB6F91" w:rsidRPr="004B22DB" w:rsidRDefault="00DB6F91" w:rsidP="004B22DB">
            <w:pPr>
              <w:pStyle w:val="InformationRequest"/>
              <w:keepNext/>
              <w:ind w:left="284" w:hanging="284"/>
              <w:rPr>
                <w:rFonts w:ascii="Times New Roman" w:hAnsi="Times New Roman"/>
                <w:color w:val="0070C0"/>
                <w:sz w:val="24"/>
                <w:szCs w:val="24"/>
              </w:rPr>
            </w:pPr>
            <w:r w:rsidRPr="004B22DB">
              <w:rPr>
                <w:rFonts w:ascii="Times New Roman" w:hAnsi="Times New Roman"/>
                <w:iCs/>
                <w:color w:val="0070C0"/>
                <w:sz w:val="24"/>
                <w:szCs w:val="24"/>
              </w:rPr>
              <w:t>a)</w:t>
            </w:r>
            <w:r w:rsidRPr="004B22DB">
              <w:rPr>
                <w:rFonts w:ascii="Times New Roman" w:hAnsi="Times New Roman"/>
                <w:color w:val="0070C0"/>
                <w:sz w:val="24"/>
                <w:szCs w:val="24"/>
              </w:rPr>
              <w:tab/>
              <w:t xml:space="preserve">What policy reforms or suite of policies (if any) are necessary to facilitate a ‘right to repair’ in Australia? </w:t>
            </w:r>
          </w:p>
          <w:p w14:paraId="49266F46" w14:textId="77777777" w:rsidR="00D83BED" w:rsidRPr="0025009E" w:rsidRDefault="00DB6F91" w:rsidP="0025009E">
            <w:pPr>
              <w:pStyle w:val="InformationRequest"/>
              <w:keepNext/>
              <w:ind w:left="284" w:hanging="284"/>
              <w:rPr>
                <w:rFonts w:ascii="Times New Roman" w:hAnsi="Times New Roman"/>
                <w:color w:val="0070C0"/>
                <w:sz w:val="24"/>
                <w:szCs w:val="24"/>
              </w:rPr>
            </w:pPr>
            <w:r w:rsidRPr="004B22DB">
              <w:rPr>
                <w:rFonts w:ascii="Times New Roman" w:hAnsi="Times New Roman"/>
                <w:color w:val="0070C0"/>
                <w:sz w:val="24"/>
                <w:szCs w:val="24"/>
              </w:rPr>
              <w:t>b)</w:t>
            </w:r>
            <w:r w:rsidRPr="004B22DB">
              <w:rPr>
                <w:rFonts w:ascii="Times New Roman" w:hAnsi="Times New Roman"/>
                <w:color w:val="0070C0"/>
                <w:sz w:val="24"/>
                <w:szCs w:val="24"/>
              </w:rPr>
              <w:tab/>
              <w:t>Are there any other barriers to repair and/or policy responses that the Commission should consider?</w:t>
            </w:r>
          </w:p>
          <w:p w14:paraId="6287BBF3" w14:textId="77777777" w:rsidR="00DB6F91" w:rsidRPr="004B22DB" w:rsidRDefault="00DB6F91" w:rsidP="004B22DB">
            <w:pPr>
              <w:pStyle w:val="InformationRequest"/>
              <w:keepNext/>
              <w:ind w:left="284" w:hanging="284"/>
              <w:rPr>
                <w:rFonts w:ascii="Times New Roman" w:hAnsi="Times New Roman"/>
                <w:color w:val="0070C0"/>
                <w:sz w:val="24"/>
                <w:szCs w:val="24"/>
              </w:rPr>
            </w:pPr>
            <w:r w:rsidRPr="004B22DB">
              <w:rPr>
                <w:rFonts w:ascii="Times New Roman" w:hAnsi="Times New Roman"/>
                <w:color w:val="0070C0"/>
                <w:sz w:val="24"/>
                <w:szCs w:val="24"/>
              </w:rPr>
              <w:t>c)</w:t>
            </w:r>
            <w:r w:rsidRPr="004B22DB">
              <w:rPr>
                <w:rFonts w:ascii="Times New Roman" w:hAnsi="Times New Roman"/>
                <w:color w:val="0070C0"/>
                <w:sz w:val="24"/>
                <w:szCs w:val="24"/>
              </w:rPr>
              <w:tab/>
              <w:t>What are the costs and the benefits of the various policy responses that have been proposed to facilitate repair (such as those outlined in table 1)?</w:t>
            </w:r>
          </w:p>
          <w:p w14:paraId="0C424C39" w14:textId="77777777" w:rsidR="00DB6F91" w:rsidRPr="004B22DB" w:rsidRDefault="00DB6F91" w:rsidP="004B22DB">
            <w:pPr>
              <w:pStyle w:val="InformationRequest"/>
              <w:ind w:left="284" w:hanging="284"/>
              <w:rPr>
                <w:rFonts w:ascii="Times New Roman" w:hAnsi="Times New Roman"/>
                <w:color w:val="0070C0"/>
                <w:sz w:val="24"/>
                <w:szCs w:val="24"/>
              </w:rPr>
            </w:pPr>
            <w:r w:rsidRPr="004B22DB">
              <w:rPr>
                <w:rFonts w:ascii="Times New Roman" w:hAnsi="Times New Roman"/>
                <w:color w:val="0070C0"/>
                <w:sz w:val="24"/>
                <w:szCs w:val="24"/>
              </w:rPr>
              <w:t>d)</w:t>
            </w:r>
            <w:r w:rsidRPr="004B22DB">
              <w:rPr>
                <w:rFonts w:ascii="Times New Roman" w:hAnsi="Times New Roman"/>
                <w:color w:val="0070C0"/>
                <w:sz w:val="24"/>
                <w:szCs w:val="24"/>
              </w:rPr>
              <w:tab/>
            </w:r>
            <w:r w:rsidRPr="004B22DB">
              <w:rPr>
                <w:rFonts w:ascii="Times New Roman" w:hAnsi="Times New Roman"/>
                <w:color w:val="0070C0"/>
                <w:spacing w:val="-2"/>
                <w:sz w:val="24"/>
                <w:szCs w:val="24"/>
              </w:rPr>
              <w:t>Are there other international policy measures or proposals that the Commission should consider as part of this inquiry?</w:t>
            </w:r>
          </w:p>
        </w:tc>
      </w:tr>
    </w:tbl>
    <w:p w14:paraId="5D1266CD" w14:textId="77777777" w:rsidR="00DB6F91" w:rsidRPr="004B22DB" w:rsidRDefault="00DB6F91" w:rsidP="004B22DB">
      <w:pPr>
        <w:ind w:left="720"/>
        <w:jc w:val="both"/>
      </w:pPr>
    </w:p>
    <w:p w14:paraId="56B9A024" w14:textId="19C0907C" w:rsidR="00FC01E3" w:rsidRDefault="00555AF3" w:rsidP="000A4D92">
      <w:pPr>
        <w:jc w:val="both"/>
        <w:rPr>
          <w:color w:val="000000" w:themeColor="text1"/>
          <w:shd w:val="clear" w:color="auto" w:fill="FFFFFF"/>
        </w:rPr>
      </w:pPr>
      <w:r w:rsidRPr="004B22DB">
        <w:t>There are a myriad of international policy approaches</w:t>
      </w:r>
      <w:r w:rsidR="00C6492C">
        <w:rPr>
          <w:rStyle w:val="FootnoteReference"/>
        </w:rPr>
        <w:footnoteReference w:id="41"/>
      </w:r>
      <w:r w:rsidRPr="004B22DB">
        <w:t xml:space="preserve"> being adopted to respond to </w:t>
      </w:r>
      <w:r w:rsidR="00F462DA">
        <w:t>c</w:t>
      </w:r>
      <w:r w:rsidRPr="004B22DB">
        <w:t>onsumer’s inability to repair</w:t>
      </w:r>
      <w:r w:rsidR="00C6492C">
        <w:t xml:space="preserve">, </w:t>
      </w:r>
      <w:r w:rsidRPr="004B22DB">
        <w:t xml:space="preserve"> and the increasing problem of product obsolescence,</w:t>
      </w:r>
      <w:r w:rsidR="00FA20A0" w:rsidRPr="004B22DB">
        <w:t xml:space="preserve"> </w:t>
      </w:r>
      <w:r w:rsidR="00F462DA">
        <w:t xml:space="preserve">the increasing </w:t>
      </w:r>
      <w:r w:rsidR="00FA20A0" w:rsidRPr="004B22DB">
        <w:t xml:space="preserve">Ewaste and the consequential environmental harm. </w:t>
      </w:r>
      <w:r w:rsidR="00BE6B90">
        <w:t xml:space="preserve">The Commission has already identified the need for </w:t>
      </w:r>
      <w:r w:rsidR="00D83BED" w:rsidRPr="009460CB">
        <w:t xml:space="preserve">a range of policy responses </w:t>
      </w:r>
      <w:r w:rsidR="00BE6B90">
        <w:t xml:space="preserve">to </w:t>
      </w:r>
      <w:r w:rsidR="00D83BED" w:rsidRPr="009460CB">
        <w:t>be investigated</w:t>
      </w:r>
      <w:r w:rsidR="00BE6B90">
        <w:t xml:space="preserve"> when examining how a Right to Repair may fit within Australia’s legal and regulatory framework.  </w:t>
      </w:r>
      <w:r w:rsidR="000A4D92" w:rsidRPr="009460CB">
        <w:rPr>
          <w:color w:val="000000" w:themeColor="text1"/>
          <w:shd w:val="clear" w:color="auto" w:fill="FFFFFF"/>
        </w:rPr>
        <w:t xml:space="preserve">Lessons can be learned from the </w:t>
      </w:r>
      <w:r w:rsidR="00BE6B90">
        <w:rPr>
          <w:color w:val="000000" w:themeColor="text1"/>
          <w:shd w:val="clear" w:color="auto" w:fill="FFFFFF"/>
        </w:rPr>
        <w:t xml:space="preserve">US consumer rights approach </w:t>
      </w:r>
      <w:r w:rsidR="00FC01E3">
        <w:rPr>
          <w:color w:val="000000" w:themeColor="text1"/>
          <w:shd w:val="clear" w:color="auto" w:fill="FFFFFF"/>
        </w:rPr>
        <w:t xml:space="preserve">as well as the </w:t>
      </w:r>
      <w:r w:rsidR="000A4D92" w:rsidRPr="009460CB">
        <w:rPr>
          <w:color w:val="000000" w:themeColor="text1"/>
          <w:shd w:val="clear" w:color="auto" w:fill="FFFFFF"/>
        </w:rPr>
        <w:t xml:space="preserve">EU </w:t>
      </w:r>
      <w:r w:rsidR="00FC01E3">
        <w:rPr>
          <w:color w:val="000000" w:themeColor="text1"/>
          <w:shd w:val="clear" w:color="auto" w:fill="FFFFFF"/>
        </w:rPr>
        <w:t xml:space="preserve">environmental </w:t>
      </w:r>
      <w:r w:rsidR="000D751A" w:rsidRPr="009460CB">
        <w:rPr>
          <w:color w:val="000000" w:themeColor="text1"/>
          <w:shd w:val="clear" w:color="auto" w:fill="FFFFFF"/>
        </w:rPr>
        <w:t>approach</w:t>
      </w:r>
      <w:r w:rsidR="00FC01E3">
        <w:rPr>
          <w:color w:val="000000" w:themeColor="text1"/>
          <w:shd w:val="clear" w:color="auto" w:fill="FFFFFF"/>
        </w:rPr>
        <w:t xml:space="preserve"> requiring manufacturers to take more responsibility for the products that they produce. </w:t>
      </w:r>
    </w:p>
    <w:p w14:paraId="283F566B" w14:textId="77777777" w:rsidR="00FC01E3" w:rsidRDefault="00FC01E3" w:rsidP="000A4D92">
      <w:pPr>
        <w:jc w:val="both"/>
        <w:rPr>
          <w:color w:val="000000" w:themeColor="text1"/>
          <w:shd w:val="clear" w:color="auto" w:fill="FFFFFF"/>
        </w:rPr>
      </w:pPr>
    </w:p>
    <w:p w14:paraId="47CCF090" w14:textId="3386BAE5" w:rsidR="000A4D92" w:rsidRPr="00FC01E3" w:rsidRDefault="00FC01E3" w:rsidP="000A4D92">
      <w:pPr>
        <w:jc w:val="both"/>
      </w:pPr>
      <w:r>
        <w:rPr>
          <w:color w:val="000000" w:themeColor="text1"/>
          <w:shd w:val="clear" w:color="auto" w:fill="FFFFFF"/>
        </w:rPr>
        <w:t xml:space="preserve">Interestingly, the EU is </w:t>
      </w:r>
      <w:r w:rsidR="000D751A" w:rsidRPr="009460CB">
        <w:rPr>
          <w:color w:val="000000" w:themeColor="text1"/>
          <w:shd w:val="clear" w:color="auto" w:fill="FFFFFF"/>
        </w:rPr>
        <w:t xml:space="preserve">implementing </w:t>
      </w:r>
      <w:r w:rsidR="000A4D92" w:rsidRPr="009460CB">
        <w:rPr>
          <w:color w:val="000000" w:themeColor="text1"/>
          <w:shd w:val="clear" w:color="auto" w:fill="FFFFFF"/>
        </w:rPr>
        <w:t>a Right to Repair regime through the </w:t>
      </w:r>
      <w:r w:rsidR="000A4D92" w:rsidRPr="009460CB">
        <w:rPr>
          <w:i/>
          <w:iCs/>
          <w:color w:val="000000" w:themeColor="text1"/>
          <w:bdr w:val="none" w:sz="0" w:space="0" w:color="auto" w:frame="1"/>
          <w:shd w:val="clear" w:color="auto" w:fill="FFFFFF"/>
        </w:rPr>
        <w:t>EU EcoDesign Directive</w:t>
      </w:r>
      <w:r w:rsidR="000A4D92" w:rsidRPr="009460CB">
        <w:rPr>
          <w:color w:val="000000" w:themeColor="text1"/>
          <w:shd w:val="clear" w:color="auto" w:fill="FFFFFF"/>
        </w:rPr>
        <w:t xml:space="preserve">, which comes into force in 2021 and requires manufacturers to create repairable goods and provide spare parts for up to 10 years. </w:t>
      </w:r>
      <w:r>
        <w:t xml:space="preserve"> </w:t>
      </w:r>
      <w:r w:rsidR="009460CB">
        <w:rPr>
          <w:color w:val="000000" w:themeColor="text1"/>
          <w:shd w:val="clear" w:color="auto" w:fill="FFFFFF"/>
        </w:rPr>
        <w:t xml:space="preserve">In addition, on </w:t>
      </w:r>
      <w:r w:rsidR="000A4D92" w:rsidRPr="009460CB">
        <w:rPr>
          <w:color w:val="000000" w:themeColor="text1"/>
          <w:shd w:val="clear" w:color="auto" w:fill="FFFFFF"/>
        </w:rPr>
        <w:t>25 November 2020, Members of the European Parliament called for the EU Commission to "develop and introduce mandatory labelling, to provide clear, immediately visible and easy to understand information to consumers on the estimated lifetime and repairability of a product at the time of purchase".</w:t>
      </w:r>
      <w:r w:rsidR="000D751A" w:rsidRPr="009460CB">
        <w:rPr>
          <w:rStyle w:val="FootnoteReference"/>
          <w:color w:val="000000" w:themeColor="text1"/>
          <w:shd w:val="clear" w:color="auto" w:fill="FFFFFF"/>
        </w:rPr>
        <w:footnoteReference w:id="42"/>
      </w:r>
      <w:r>
        <w:rPr>
          <w:color w:val="000000" w:themeColor="text1"/>
          <w:bdr w:val="none" w:sz="0" w:space="0" w:color="auto" w:frame="1"/>
          <w:shd w:val="clear" w:color="auto" w:fill="FFFFFF"/>
        </w:rPr>
        <w:t xml:space="preserve"> </w:t>
      </w:r>
      <w:r w:rsidR="000A4D92" w:rsidRPr="009460CB">
        <w:rPr>
          <w:color w:val="000000" w:themeColor="text1"/>
          <w:shd w:val="clear" w:color="auto" w:fill="FFFFFF"/>
        </w:rPr>
        <w:t xml:space="preserve">These are but two of a raft of EU regulatory responses that </w:t>
      </w:r>
      <w:r w:rsidR="009460CB">
        <w:rPr>
          <w:color w:val="000000" w:themeColor="text1"/>
          <w:shd w:val="clear" w:color="auto" w:fill="FFFFFF"/>
        </w:rPr>
        <w:t xml:space="preserve">are useful to examine as possible regulatory responses. </w:t>
      </w:r>
    </w:p>
    <w:p w14:paraId="52513533" w14:textId="77777777" w:rsidR="007F5894" w:rsidRPr="004B22DB" w:rsidRDefault="007F5894" w:rsidP="004B22DB">
      <w:pPr>
        <w:jc w:val="both"/>
      </w:pPr>
    </w:p>
    <w:p w14:paraId="1072B9FA" w14:textId="0EACA995" w:rsidR="00D83BED" w:rsidRDefault="007F5894" w:rsidP="004B22DB">
      <w:pPr>
        <w:jc w:val="both"/>
        <w:rPr>
          <w:color w:val="212529"/>
        </w:rPr>
      </w:pPr>
      <w:r w:rsidRPr="004B22DB">
        <w:t xml:space="preserve">The </w:t>
      </w:r>
      <w:r w:rsidR="00FC01E3">
        <w:t xml:space="preserve">recent </w:t>
      </w:r>
      <w:r w:rsidRPr="004B22DB">
        <w:t xml:space="preserve">introduction of the </w:t>
      </w:r>
      <w:r w:rsidRPr="0025009E">
        <w:rPr>
          <w:i/>
          <w:iCs/>
        </w:rPr>
        <w:t>French Repairability Index</w:t>
      </w:r>
      <w:r w:rsidRPr="004B22DB">
        <w:t xml:space="preserve">, while not without </w:t>
      </w:r>
      <w:r w:rsidR="00D83BED" w:rsidRPr="004B22DB">
        <w:t>weaknesses, shows that by placing more responsibility on manufacturers to be honest about the quality and expected lifespan of their products, will in turn, enable consumer</w:t>
      </w:r>
      <w:r w:rsidR="009460CB">
        <w:t>s</w:t>
      </w:r>
      <w:r w:rsidR="00D83BED" w:rsidRPr="004B22DB">
        <w:t xml:space="preserve"> to make more informed choices. </w:t>
      </w:r>
      <w:r w:rsidR="00FC01E3">
        <w:t xml:space="preserve"> </w:t>
      </w:r>
      <w:r w:rsidR="00D83BED" w:rsidRPr="004B22DB">
        <w:t xml:space="preserve">We have seen evidence of this with the introduction of the Energy </w:t>
      </w:r>
      <w:r w:rsidR="00D83BED" w:rsidRPr="00D83BED">
        <w:rPr>
          <w:color w:val="212529"/>
        </w:rPr>
        <w:t xml:space="preserve">rating labels </w:t>
      </w:r>
      <w:r w:rsidR="00D83BED" w:rsidRPr="004B22DB">
        <w:rPr>
          <w:color w:val="212529"/>
        </w:rPr>
        <w:t xml:space="preserve">which </w:t>
      </w:r>
      <w:r w:rsidR="00D83BED" w:rsidRPr="00D83BED">
        <w:rPr>
          <w:color w:val="212529"/>
        </w:rPr>
        <w:lastRenderedPageBreak/>
        <w:t>provide consumers with information on the energy efficiency of a range of appliances. The more stars, the more energy efficient the product is compared to other models in its category. The Australian Government</w:t>
      </w:r>
      <w:r w:rsidR="00D83BED" w:rsidRPr="004B22DB">
        <w:rPr>
          <w:color w:val="212529"/>
        </w:rPr>
        <w:t xml:space="preserve"> worked </w:t>
      </w:r>
      <w:r w:rsidR="00D83BED" w:rsidRPr="00D83BED">
        <w:rPr>
          <w:color w:val="212529"/>
        </w:rPr>
        <w:t xml:space="preserve">with industry and state and territory governments </w:t>
      </w:r>
      <w:r w:rsidR="00D83BED" w:rsidRPr="004B22DB">
        <w:rPr>
          <w:color w:val="212529"/>
        </w:rPr>
        <w:t xml:space="preserve">to introduce this system and also to </w:t>
      </w:r>
      <w:r w:rsidR="00D83BED" w:rsidRPr="00D83BED">
        <w:rPr>
          <w:color w:val="212529"/>
        </w:rPr>
        <w:t>extend the Energy Rating Label to include heating appliances, such as gas heaters and electric heaters.</w:t>
      </w:r>
    </w:p>
    <w:p w14:paraId="10F277C6" w14:textId="40E994B6" w:rsidR="0094318F" w:rsidRDefault="0094318F" w:rsidP="004B22DB">
      <w:pPr>
        <w:jc w:val="both"/>
        <w:rPr>
          <w:color w:val="212529"/>
        </w:rPr>
      </w:pPr>
    </w:p>
    <w:p w14:paraId="5BFAE348" w14:textId="1E4D8F98" w:rsidR="0094318F" w:rsidRPr="00FC01E3" w:rsidRDefault="0094318F" w:rsidP="004B22DB">
      <w:pPr>
        <w:jc w:val="both"/>
      </w:pPr>
      <w:r>
        <w:rPr>
          <w:color w:val="212529"/>
        </w:rPr>
        <w:t>Canada is also making inroads into a Right to Repair and given some similarities in our regulatory regimes, it would be useful for the Commission to examine their regulatory approaches.</w:t>
      </w:r>
      <w:r>
        <w:rPr>
          <w:rStyle w:val="FootnoteReference"/>
          <w:color w:val="212529"/>
        </w:rPr>
        <w:footnoteReference w:id="43"/>
      </w:r>
    </w:p>
    <w:p w14:paraId="02EFD9D7" w14:textId="77777777" w:rsidR="00101744" w:rsidRPr="00D83BED" w:rsidRDefault="00101744" w:rsidP="004B22DB">
      <w:pPr>
        <w:jc w:val="both"/>
      </w:pPr>
    </w:p>
    <w:p w14:paraId="6F4155C4" w14:textId="36D22D01" w:rsidR="00D83BED" w:rsidRPr="004B22DB" w:rsidRDefault="00FC01E3" w:rsidP="00FC01E3">
      <w:pPr>
        <w:pStyle w:val="BodyText"/>
        <w:jc w:val="both"/>
      </w:pPr>
      <w:r>
        <w:rPr>
          <w:lang w:eastAsia="en-AU"/>
        </w:rPr>
        <w:t xml:space="preserve">As has been noted above, Australia has a strong regulatory response, within the Unfair Terms provisions of the ACL, to the inherent unfairness experienced by consumers and small business when contracting with corporations who use non-negotiated, pre-printed standard form contracts. </w:t>
      </w:r>
      <w:r w:rsidR="0025009E" w:rsidRPr="004B22DB">
        <w:rPr>
          <w:lang w:eastAsia="en-AU"/>
        </w:rPr>
        <w:t xml:space="preserve">The Commission should </w:t>
      </w:r>
      <w:r>
        <w:rPr>
          <w:lang w:eastAsia="en-AU"/>
        </w:rPr>
        <w:t xml:space="preserve">take into account the actual terms of use of some of the contracts that are accompanying computer enabled consumer goods, not only with respect to the ability of consumers to access reasonable repair information and services but also to take into </w:t>
      </w:r>
      <w:r w:rsidR="0025009E" w:rsidRPr="004B22DB">
        <w:rPr>
          <w:lang w:eastAsia="en-AU"/>
        </w:rPr>
        <w:t xml:space="preserve">consideration </w:t>
      </w:r>
      <w:r>
        <w:rPr>
          <w:lang w:eastAsia="en-AU"/>
        </w:rPr>
        <w:t xml:space="preserve">issues arising from the loss of control of the data that is generated by these devices.  </w:t>
      </w:r>
      <w:r w:rsidR="0094318F">
        <w:rPr>
          <w:lang w:eastAsia="en-AU"/>
        </w:rPr>
        <w:t xml:space="preserve">The introduction and expansion of </w:t>
      </w:r>
      <w:r>
        <w:rPr>
          <w:lang w:eastAsia="en-AU"/>
        </w:rPr>
        <w:t xml:space="preserve">Australia’s Consumer Data Right </w:t>
      </w:r>
      <w:r w:rsidR="0094318F">
        <w:rPr>
          <w:lang w:eastAsia="en-AU"/>
        </w:rPr>
        <w:t xml:space="preserve">should also be the subject of consideration as protecting consumers’ rights, their data and their personal privacy are all intertwined when thinking about a potential Right to Repair for Australian consumers. </w:t>
      </w:r>
    </w:p>
    <w:p w14:paraId="3884244F" w14:textId="77777777" w:rsidR="00555AF3" w:rsidRPr="004B22DB" w:rsidRDefault="00555AF3" w:rsidP="004B22DB">
      <w:pPr>
        <w:ind w:left="720"/>
        <w:jc w:val="both"/>
      </w:pPr>
    </w:p>
    <w:p w14:paraId="6055A418" w14:textId="6AA9C9B9" w:rsidR="0094318F" w:rsidRDefault="0094318F" w:rsidP="0094318F">
      <w:pPr>
        <w:jc w:val="both"/>
      </w:pPr>
      <w:r>
        <w:t xml:space="preserve">We commend the Commission in examining such a broad range of issues when considered what an Australian right to repair may look like. We particularly commend the examination of the broader environmental issues arising from product obsolescence and E-waste. </w:t>
      </w:r>
    </w:p>
    <w:p w14:paraId="1B5C21FC" w14:textId="77777777" w:rsidR="0094318F" w:rsidRDefault="0094318F" w:rsidP="0094318F">
      <w:pPr>
        <w:jc w:val="both"/>
      </w:pPr>
    </w:p>
    <w:p w14:paraId="65D393A3" w14:textId="651B7D7B" w:rsidR="00311759" w:rsidRPr="0094318F" w:rsidRDefault="0094318F" w:rsidP="0094318F">
      <w:pPr>
        <w:jc w:val="both"/>
      </w:pPr>
      <w:r>
        <w:t xml:space="preserve">We reiterate the </w:t>
      </w:r>
      <w:r w:rsidRPr="00311759">
        <w:rPr>
          <w:color w:val="303030"/>
          <w:shd w:val="clear" w:color="auto" w:fill="FFFFFF"/>
        </w:rPr>
        <w:t>importance that the role of repair and reuse of digital and electronic goods can play in achieving a circular economy in Australia.</w:t>
      </w:r>
      <w:r>
        <w:t xml:space="preserve"> </w:t>
      </w:r>
      <w:r w:rsidR="00311759" w:rsidRPr="00311759">
        <w:rPr>
          <w:color w:val="303030"/>
          <w:shd w:val="clear" w:color="auto" w:fill="FFFFFF"/>
        </w:rPr>
        <w:t xml:space="preserve">As E-Waste Watch observe: </w:t>
      </w:r>
      <w:r w:rsidR="00101744" w:rsidRPr="00311759">
        <w:rPr>
          <w:color w:val="303030"/>
          <w:shd w:val="clear" w:color="auto" w:fill="FFFFFF"/>
        </w:rPr>
        <w:t xml:space="preserve">“The circular economy, in its various definitions, is receiving increased attention in Australia due to its potential to address the negative impacts of waste. Yet without adopting strong regulatory measures for the production of optimally durable products, there is a real risk that a circular economy will perpetuate the myth that recycling alone will stop us from destroying our life support systems and health as we continue to increase our consumption of material goods.” </w:t>
      </w:r>
      <w:r>
        <w:rPr>
          <w:rStyle w:val="FootnoteReference"/>
          <w:color w:val="303030"/>
          <w:shd w:val="clear" w:color="auto" w:fill="FFFFFF"/>
        </w:rPr>
        <w:footnoteReference w:id="44"/>
      </w:r>
      <w:r w:rsidR="00D81D1C" w:rsidRPr="00311759">
        <w:rPr>
          <w:color w:val="303030"/>
          <w:shd w:val="clear" w:color="auto" w:fill="FFFFFF"/>
        </w:rPr>
        <w:t xml:space="preserve"> </w:t>
      </w:r>
    </w:p>
    <w:p w14:paraId="56ABDF85" w14:textId="77777777" w:rsidR="00311759" w:rsidRPr="00311759" w:rsidRDefault="00311759" w:rsidP="00101744">
      <w:pPr>
        <w:rPr>
          <w:color w:val="303030"/>
          <w:shd w:val="clear" w:color="auto" w:fill="FFFFFF"/>
        </w:rPr>
      </w:pPr>
    </w:p>
    <w:p w14:paraId="2B0B7C4A" w14:textId="77777777" w:rsidR="00907DCC" w:rsidRDefault="00907DCC" w:rsidP="00907DCC">
      <w:pPr>
        <w:jc w:val="both"/>
      </w:pPr>
    </w:p>
    <w:p w14:paraId="72ABF9B9" w14:textId="77777777" w:rsidR="00907DCC" w:rsidRDefault="00907DCC" w:rsidP="00907DCC">
      <w:pPr>
        <w:jc w:val="both"/>
      </w:pPr>
    </w:p>
    <w:p w14:paraId="1EA4379E" w14:textId="77777777" w:rsidR="00907DCC" w:rsidRPr="004B22DB" w:rsidRDefault="00907DCC" w:rsidP="00101744">
      <w:pPr>
        <w:jc w:val="both"/>
      </w:pPr>
    </w:p>
    <w:sectPr w:rsidR="00907DCC" w:rsidRPr="004B22DB" w:rsidSect="000E72B4">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286BF" w14:textId="77777777" w:rsidR="00ED0585" w:rsidRDefault="00ED0585" w:rsidP="001A58B1">
      <w:r>
        <w:separator/>
      </w:r>
    </w:p>
  </w:endnote>
  <w:endnote w:type="continuationSeparator" w:id="0">
    <w:p w14:paraId="53265BC8" w14:textId="77777777" w:rsidR="00ED0585" w:rsidRDefault="00ED0585" w:rsidP="001A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20809228"/>
      <w:docPartObj>
        <w:docPartGallery w:val="Page Numbers (Bottom of Page)"/>
        <w:docPartUnique/>
      </w:docPartObj>
    </w:sdtPr>
    <w:sdtEndPr>
      <w:rPr>
        <w:rStyle w:val="PageNumber"/>
      </w:rPr>
    </w:sdtEndPr>
    <w:sdtContent>
      <w:p w14:paraId="22DBF2A8" w14:textId="77777777" w:rsidR="004E5C90" w:rsidRDefault="004E5C90" w:rsidP="00BE25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F8EC5F" w14:textId="77777777" w:rsidR="004E5C90" w:rsidRDefault="004E5C90" w:rsidP="00BE7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23377080"/>
      <w:docPartObj>
        <w:docPartGallery w:val="Page Numbers (Bottom of Page)"/>
        <w:docPartUnique/>
      </w:docPartObj>
    </w:sdtPr>
    <w:sdtEndPr>
      <w:rPr>
        <w:rStyle w:val="PageNumber"/>
      </w:rPr>
    </w:sdtEndPr>
    <w:sdtContent>
      <w:p w14:paraId="55FE7DAC" w14:textId="77777777" w:rsidR="004E5C90" w:rsidRDefault="004E5C90" w:rsidP="00BE25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281B89" w14:textId="77777777" w:rsidR="004E5C90" w:rsidRDefault="004E5C90" w:rsidP="00BE77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25F05" w14:textId="77777777" w:rsidR="00ED0585" w:rsidRDefault="00ED0585" w:rsidP="001A58B1">
      <w:r>
        <w:separator/>
      </w:r>
    </w:p>
  </w:footnote>
  <w:footnote w:type="continuationSeparator" w:id="0">
    <w:p w14:paraId="58B09C91" w14:textId="77777777" w:rsidR="00ED0585" w:rsidRDefault="00ED0585" w:rsidP="001A58B1">
      <w:r>
        <w:continuationSeparator/>
      </w:r>
    </w:p>
  </w:footnote>
  <w:footnote w:id="1">
    <w:p w14:paraId="66CF0BF6" w14:textId="77777777" w:rsidR="004E5C90" w:rsidRPr="00566B99" w:rsidRDefault="004E5C90" w:rsidP="005D0581">
      <w:pPr>
        <w:pStyle w:val="FootnoteText"/>
        <w:ind w:left="720" w:hanging="720"/>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t>http://sites.thomsonreuters.com.au/journals/2020/12/29/australian-intellectual-property-journal-update-vol-31-pt-2/</w:t>
      </w:r>
    </w:p>
    <w:p w14:paraId="300AC651" w14:textId="77777777" w:rsidR="004E5C90" w:rsidRPr="00566B99" w:rsidRDefault="004E5C90" w:rsidP="005D0581">
      <w:pPr>
        <w:pStyle w:val="FootnoteText"/>
        <w:rPr>
          <w:color w:val="000000" w:themeColor="text1"/>
        </w:rPr>
      </w:pPr>
    </w:p>
  </w:footnote>
  <w:footnote w:id="2">
    <w:p w14:paraId="7C4AE016" w14:textId="11C0B402" w:rsidR="004E5C90" w:rsidRPr="00566B99" w:rsidRDefault="004E5C90" w:rsidP="00800B14">
      <w:pPr>
        <w:pStyle w:val="FootnoteText"/>
        <w:ind w:left="720" w:hanging="720"/>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t>https://www.accc.gov.au/about-us/tools-resources/social-media/transcripts/accc-digital-platforms-inquiry</w:t>
      </w:r>
    </w:p>
    <w:p w14:paraId="1A42C7ED" w14:textId="77777777" w:rsidR="004E5C90" w:rsidRPr="00566B99" w:rsidRDefault="004E5C90">
      <w:pPr>
        <w:pStyle w:val="FootnoteText"/>
        <w:rPr>
          <w:color w:val="000000" w:themeColor="text1"/>
        </w:rPr>
      </w:pPr>
    </w:p>
  </w:footnote>
  <w:footnote w:id="3">
    <w:p w14:paraId="3C8B4D0E" w14:textId="77777777" w:rsidR="004E5C90" w:rsidRPr="00566B99" w:rsidRDefault="004E5C90" w:rsidP="006E2D65">
      <w:pPr>
        <w:pStyle w:val="FootnoteText"/>
        <w:rPr>
          <w:color w:val="000000" w:themeColor="text1"/>
        </w:rPr>
      </w:pPr>
    </w:p>
    <w:p w14:paraId="4717E5C8" w14:textId="77777777" w:rsidR="004E5C90" w:rsidRPr="00566B99" w:rsidRDefault="004E5C90" w:rsidP="006E2D65">
      <w:pPr>
        <w:pStyle w:val="FootnoteText"/>
        <w:ind w:left="720" w:hanging="720"/>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r>
      <w:hyperlink r:id="rId1" w:history="1">
        <w:r w:rsidRPr="00566B99">
          <w:rPr>
            <w:rStyle w:val="Hyperlink"/>
            <w:color w:val="000000" w:themeColor="text1"/>
          </w:rPr>
          <w:t>https://uspirg.org/news/usp/new-senate-right-repair-bill-reduce-barriers-fixing-medical-equipment-including-ventilators</w:t>
        </w:r>
      </w:hyperlink>
      <w:r w:rsidRPr="00566B99">
        <w:rPr>
          <w:color w:val="000000" w:themeColor="text1"/>
        </w:rPr>
        <w:t xml:space="preserve">. Specific legislation, </w:t>
      </w:r>
      <w:r w:rsidRPr="00566B99">
        <w:rPr>
          <w:i/>
          <w:iCs/>
          <w:color w:val="000000" w:themeColor="text1"/>
          <w:shd w:val="clear" w:color="auto" w:fill="FFFFFF"/>
        </w:rPr>
        <w:t>The Critical Medical Infrastructure Right-to-Repair Act of 2020,</w:t>
      </w:r>
      <w:r w:rsidRPr="00566B99">
        <w:rPr>
          <w:color w:val="000000" w:themeColor="text1"/>
          <w:shd w:val="clear" w:color="auto" w:fill="FFFFFF"/>
        </w:rPr>
        <w:t xml:space="preserve"> was introduced to allow ‘trained repair technicians to more easily access information and tools required to complete maintenance and repair of critical medical infrastructure in preparation for and as part of a response to the current COVID-19 crisis.’</w:t>
      </w:r>
      <w:r w:rsidRPr="00566B99">
        <w:rPr>
          <w:color w:val="000000" w:themeColor="text1"/>
        </w:rPr>
        <w:t>https://www.wyden.senate.gov/news/press-releases/wyden-and-clarke-introduce-bill-to-eliminate-barriers-to-fixing-critical-medical-equipment-during-the-pandemic-</w:t>
      </w:r>
    </w:p>
    <w:p w14:paraId="7AD6FF5F" w14:textId="77777777" w:rsidR="004E5C90" w:rsidRPr="00566B99" w:rsidRDefault="004E5C90" w:rsidP="006E2D65">
      <w:pPr>
        <w:pStyle w:val="FootnoteText"/>
        <w:rPr>
          <w:color w:val="000000" w:themeColor="text1"/>
        </w:rPr>
      </w:pPr>
    </w:p>
  </w:footnote>
  <w:footnote w:id="4">
    <w:p w14:paraId="1250BF21" w14:textId="5C8D6FBD" w:rsidR="004E5C90" w:rsidRPr="00566B99" w:rsidRDefault="004E5C90">
      <w:pPr>
        <w:pStyle w:val="FootnoteText"/>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t xml:space="preserve">Available at </w:t>
      </w:r>
      <w:hyperlink r:id="rId2" w:history="1">
        <w:r w:rsidRPr="00566B99">
          <w:rPr>
            <w:rStyle w:val="Hyperlink"/>
            <w:color w:val="000000" w:themeColor="text1"/>
          </w:rPr>
          <w:t>https://treasury.gov.au/consultation/c2020-128289</w:t>
        </w:r>
      </w:hyperlink>
    </w:p>
    <w:p w14:paraId="67CC3FFF" w14:textId="77777777" w:rsidR="004E5C90" w:rsidRPr="00566B99" w:rsidRDefault="004E5C90">
      <w:pPr>
        <w:pStyle w:val="FootnoteText"/>
        <w:rPr>
          <w:color w:val="000000" w:themeColor="text1"/>
        </w:rPr>
      </w:pPr>
    </w:p>
  </w:footnote>
  <w:footnote w:id="5">
    <w:p w14:paraId="216CE697" w14:textId="6956D075" w:rsidR="004E5C90" w:rsidRPr="00566B99" w:rsidRDefault="004E5C90" w:rsidP="00907DCC">
      <w:pPr>
        <w:pStyle w:val="FootnoteText"/>
        <w:ind w:left="720" w:hanging="720"/>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t xml:space="preserve">Available at </w:t>
      </w:r>
      <w:hyperlink r:id="rId3" w:history="1">
        <w:r w:rsidRPr="00566B99">
          <w:rPr>
            <w:rStyle w:val="Hyperlink"/>
            <w:color w:val="000000" w:themeColor="text1"/>
          </w:rPr>
          <w:t>https://www.accc.gov.au/focus-areas/agriculture/agricultural-machinery-after-sales-markets</w:t>
        </w:r>
      </w:hyperlink>
    </w:p>
    <w:p w14:paraId="136D1399" w14:textId="77777777" w:rsidR="004E5C90" w:rsidRPr="00566B99" w:rsidRDefault="004E5C90" w:rsidP="00907DCC">
      <w:pPr>
        <w:pStyle w:val="FootnoteText"/>
        <w:ind w:left="720" w:hanging="720"/>
        <w:rPr>
          <w:color w:val="000000" w:themeColor="text1"/>
        </w:rPr>
      </w:pPr>
    </w:p>
  </w:footnote>
  <w:footnote w:id="6">
    <w:p w14:paraId="2D4E0C74" w14:textId="7FE0D3D5" w:rsidR="004E5C90" w:rsidRPr="00566B99" w:rsidRDefault="004E5C90">
      <w:pPr>
        <w:pStyle w:val="FootnoteText"/>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t>https://news.griffith.edu.au/2018/11/23/do-australian-farmers-need-a-right-to-repair/</w:t>
      </w:r>
    </w:p>
  </w:footnote>
  <w:footnote w:id="7">
    <w:p w14:paraId="2AB96C89" w14:textId="77777777" w:rsidR="004E5C90" w:rsidRPr="00566B99" w:rsidRDefault="004E5C90" w:rsidP="00581A31">
      <w:pPr>
        <w:pStyle w:val="FootnoteText"/>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t>https://www.accc.gov.au/focus-areas/consumer-data-right-cdr-0</w:t>
      </w:r>
    </w:p>
  </w:footnote>
  <w:footnote w:id="8">
    <w:p w14:paraId="14CF6BF8" w14:textId="5BF9C151" w:rsidR="004E5C90" w:rsidRPr="00566B99" w:rsidRDefault="004E5C90" w:rsidP="006E2D65">
      <w:pPr>
        <w:pStyle w:val="FootnoteText"/>
        <w:ind w:left="720" w:hanging="720"/>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t xml:space="preserve">Leanne Wiseman, Changes to Contract Laws could give small farming businesses more control over farmers </w:t>
      </w:r>
      <w:hyperlink r:id="rId4" w:history="1">
        <w:r w:rsidRPr="00566B99">
          <w:rPr>
            <w:rStyle w:val="Hyperlink"/>
            <w:color w:val="000000" w:themeColor="text1"/>
          </w:rPr>
          <w:t>https://theconversation.com/changes-to-contract-laws-could-give-small-farming-businesses-more-control-of-data-and-innovation-69275</w:t>
        </w:r>
      </w:hyperlink>
    </w:p>
    <w:p w14:paraId="79906AA6" w14:textId="77777777" w:rsidR="004E5C90" w:rsidRPr="00566B99" w:rsidRDefault="004E5C90" w:rsidP="006E2D65">
      <w:pPr>
        <w:pStyle w:val="FootnoteText"/>
        <w:ind w:left="720" w:hanging="720"/>
        <w:rPr>
          <w:color w:val="000000" w:themeColor="text1"/>
        </w:rPr>
      </w:pPr>
    </w:p>
  </w:footnote>
  <w:footnote w:id="9">
    <w:p w14:paraId="64B0C871" w14:textId="74D24B7A" w:rsidR="004E5C90" w:rsidRPr="00566B99" w:rsidRDefault="004E5C90" w:rsidP="00AC764D">
      <w:pPr>
        <w:pStyle w:val="FootnoteText"/>
        <w:ind w:left="720" w:right="521" w:hanging="720"/>
        <w:jc w:val="both"/>
        <w:rPr>
          <w:color w:val="000000" w:themeColor="text1"/>
        </w:rPr>
      </w:pPr>
      <w:r w:rsidRPr="00566B99">
        <w:rPr>
          <w:rStyle w:val="FootnoteReference"/>
          <w:color w:val="000000" w:themeColor="text1"/>
        </w:rPr>
        <w:footnoteRef/>
      </w:r>
      <w:r w:rsidRPr="00566B99">
        <w:rPr>
          <w:color w:val="000000" w:themeColor="text1"/>
        </w:rPr>
        <w:t xml:space="preserve"> </w:t>
      </w:r>
      <w:r w:rsidR="00E2529B" w:rsidRPr="00566B99">
        <w:rPr>
          <w:color w:val="000000" w:themeColor="text1"/>
        </w:rPr>
        <w:tab/>
      </w:r>
      <w:r w:rsidRPr="00566B99">
        <w:rPr>
          <w:color w:val="000000" w:themeColor="text1"/>
        </w:rPr>
        <w:t>Pascal Durand, ‘Draft Report on a Longer Lifetime for Products: Benefits for Consumers and Companies (2016/2272(INI))’ (2016/2272(INI), European Parliament-Committee on the Internal Market and Consumer Protection, 22 December 2016) 12, 9. The identified reasons include  ‘lack of access to spare parts, and their excessive cost, the cost of labour with respect to low-cost, imported products, the lack of appropriate information on how to carry out repairs and maintenance, the price and procedure involved, the increasing complexity of software and electronics, barriers to entry for independent repairers and self-repairers, the low reparability of products and their components, the insufficiency of replacement services for goods while they are being repaired’</w:t>
      </w:r>
    </w:p>
    <w:p w14:paraId="42A67E9B" w14:textId="77777777" w:rsidR="00E2529B" w:rsidRPr="00566B99" w:rsidRDefault="00E2529B" w:rsidP="00E2529B">
      <w:pPr>
        <w:pStyle w:val="FootnoteText"/>
        <w:ind w:left="720" w:right="521" w:hanging="720"/>
        <w:rPr>
          <w:color w:val="000000" w:themeColor="text1"/>
        </w:rPr>
      </w:pPr>
    </w:p>
  </w:footnote>
  <w:footnote w:id="10">
    <w:p w14:paraId="6D069321" w14:textId="541719A8" w:rsidR="004E5C90" w:rsidRPr="00566B99" w:rsidRDefault="004E5C90" w:rsidP="00E2529B">
      <w:pPr>
        <w:pStyle w:val="FootnoteText"/>
        <w:ind w:left="720" w:right="521" w:hanging="720"/>
        <w:rPr>
          <w:color w:val="000000" w:themeColor="text1"/>
        </w:rPr>
      </w:pPr>
      <w:r w:rsidRPr="00566B99">
        <w:rPr>
          <w:rStyle w:val="FootnoteReference"/>
          <w:color w:val="000000" w:themeColor="text1"/>
        </w:rPr>
        <w:footnoteRef/>
      </w:r>
      <w:r w:rsidRPr="00566B99">
        <w:rPr>
          <w:color w:val="000000" w:themeColor="text1"/>
        </w:rPr>
        <w:t xml:space="preserve"> </w:t>
      </w:r>
      <w:r w:rsidR="00E2529B" w:rsidRPr="00566B99">
        <w:rPr>
          <w:color w:val="000000" w:themeColor="text1"/>
        </w:rPr>
        <w:tab/>
      </w:r>
      <w:r w:rsidRPr="00566B99">
        <w:rPr>
          <w:color w:val="000000" w:themeColor="text1"/>
        </w:rPr>
        <w:fldChar w:fldCharType="begin"/>
      </w:r>
      <w:r w:rsidRPr="00566B99">
        <w:rPr>
          <w:color w:val="000000" w:themeColor="text1"/>
        </w:rPr>
        <w:instrText xml:space="preserve"> ADDIN ZOTERO_ITEM CSL_CITATION {"citationID":"Qc6osglh","properties":{"formattedCitation":"Radio New Zealand, above n 7; Radio New Zealand, \\uc0\\u8216{}Right to Repair in NZ\\uc0\\u8217{}, {\\i{}Radio New Zealand}, 16 January 2019 &lt;https://www.radionz.co.nz/national/programmes/summer-days/audio/2018678566/right-to-repair-in-nz&gt;.","plainCitation":"Radio New Zealand, above n 7; Radio New Zealand, ‘Right to Repair in NZ’, Radio New Zealand, 16 January 2019 &lt;https://www.radionz.co.nz/national/programmes/summer-days/audio/2018678566/right-to-repair-in-nz&gt;.","noteIndex":24},"citationItems":[{"id":6139,"uris":["http://zotero.org/users/4699991/items/LFIPT36Y"],"uri":["http://zotero.org/users/4699991/items/LFIPT36Y"],"itemData":{"id":6139,"type":"broadcast","title":"'People are sick of the take, make, dispose economy'","container-title":"Summer Times","publisher":"Radio New Zealand","publisher-place":"New Zealand","dimensions":"13.20","event-place":"New Zealand","abstract":"Citizens in the EU and parts of the USA will soon get a \"right to repair\" - of sorts. This consists of a series of proposals from European environment ministers to force manufacturers to make goods that last longer and are easier to mend.","URL":"https://www.radionz.co.nz/national/programmes/summer-days/audio/2018678453/the-right-to-repair-consumer-goods","language":"en-nz","issued":{"date-parts":[["2019",1,15]]},"accessed":{"date-parts":[["2019",2,7]]}},"label":"page"},{"id":6137,"uris":["http://zotero.org/users/4699991/items/ABZRLWQJ"],"uri":["http://zotero.org/users/4699991/items/ABZRLWQJ"],"itemData":{"id":6137,"type":"broadcast","title":"Right to repair in NZ","container-title":"Radio New Zealand","publisher":"Radio New Zealand","publisher-place":"New Zealand","dimensions":"9","event-place":"New Zealand","abstract":"Consumer NZ's head of research Jessica Wilson on consumer rights here, and whether New Zealand could use right to repair legislation itself.","URL":"https://www.radionz.co.nz/national/programmes/summer-days/audio/2018678566/right-to-repair-in-nz","language":"en-nz","issued":{"date-parts":[["2019",1,16]]},"accessed":{"date-parts":[["2019",2,7]]}},"label":"page"}],"schema":"https://github.com/citation-style-language/schema/raw/master/csl-citation.json"} </w:instrText>
      </w:r>
      <w:r w:rsidRPr="00566B99">
        <w:rPr>
          <w:color w:val="000000" w:themeColor="text1"/>
        </w:rPr>
        <w:fldChar w:fldCharType="separate"/>
      </w:r>
      <w:r w:rsidRPr="00566B99">
        <w:rPr>
          <w:color w:val="000000" w:themeColor="text1"/>
        </w:rPr>
        <w:t xml:space="preserve">Radio New Zealand, ‘Right to Repair in NZ’, </w:t>
      </w:r>
      <w:r w:rsidRPr="00566B99">
        <w:rPr>
          <w:i/>
          <w:iCs/>
          <w:color w:val="000000" w:themeColor="text1"/>
        </w:rPr>
        <w:t>Radio New Zealand</w:t>
      </w:r>
      <w:r w:rsidRPr="00566B99">
        <w:rPr>
          <w:color w:val="000000" w:themeColor="text1"/>
        </w:rPr>
        <w:t>, 16 January 2019 &lt;https://www.radionz.co.nz/national/programmes/summer-days/audio/2018678566/right-to-repair-in-nz&gt;.</w:t>
      </w:r>
      <w:r w:rsidRPr="00566B99">
        <w:rPr>
          <w:color w:val="000000" w:themeColor="text1"/>
        </w:rPr>
        <w:fldChar w:fldCharType="end"/>
      </w:r>
    </w:p>
    <w:p w14:paraId="30474917" w14:textId="77777777" w:rsidR="00E2529B" w:rsidRPr="00566B99" w:rsidRDefault="00E2529B" w:rsidP="00E2529B">
      <w:pPr>
        <w:pStyle w:val="FootnoteText"/>
        <w:ind w:left="720" w:right="521" w:hanging="720"/>
        <w:rPr>
          <w:color w:val="000000" w:themeColor="text1"/>
        </w:rPr>
      </w:pPr>
    </w:p>
  </w:footnote>
  <w:footnote w:id="11">
    <w:p w14:paraId="30475166" w14:textId="5898BA31" w:rsidR="004E5C90" w:rsidRPr="00566B99" w:rsidRDefault="004E5C90" w:rsidP="00AC764D">
      <w:pPr>
        <w:pStyle w:val="FootnoteText"/>
        <w:ind w:left="720" w:right="521" w:hanging="720"/>
        <w:jc w:val="both"/>
        <w:rPr>
          <w:color w:val="000000" w:themeColor="text1"/>
        </w:rPr>
      </w:pPr>
      <w:r w:rsidRPr="00566B99">
        <w:rPr>
          <w:rStyle w:val="FootnoteReference"/>
          <w:color w:val="000000" w:themeColor="text1"/>
        </w:rPr>
        <w:footnoteRef/>
      </w:r>
      <w:r w:rsidRPr="00566B99">
        <w:rPr>
          <w:color w:val="000000" w:themeColor="text1"/>
        </w:rPr>
        <w:t xml:space="preserve"> </w:t>
      </w:r>
      <w:r w:rsidR="00E2529B" w:rsidRPr="00566B99">
        <w:rPr>
          <w:color w:val="000000" w:themeColor="text1"/>
        </w:rPr>
        <w:tab/>
      </w:r>
      <w:r w:rsidRPr="00566B99">
        <w:rPr>
          <w:color w:val="000000" w:themeColor="text1"/>
        </w:rPr>
        <w:fldChar w:fldCharType="begin"/>
      </w:r>
      <w:r w:rsidRPr="00566B99">
        <w:rPr>
          <w:color w:val="000000" w:themeColor="text1"/>
        </w:rPr>
        <w:instrText xml:space="preserve"> ADDIN ZOTERO_ITEM CSL_CITATION {"citationID":"lcwFmJmp","properties":{"formattedCitation":"Christina Purcell, \\uc0\\u8216{}The Impact of \\uc0\\u8220{}Right to Repair\\uc0\\u8221{} Legislation on Innovation and Intellectual Property in the Automotive Industry\\uc0\\u8217{} 38, 21; Henrik Riisgaard, Mette Mosgaard and Kristina Overgaard Zacho, \\uc0\\u8216{}Local Circles in a Circular Economy \\uc0\\u8211{} the Case of Smartphone Repair in Denmark\\uc0\\u8217{} (2016) 5(1) {\\i{}European Journal of Sustainable Development} 109.","plainCitation":"Christina Purcell, ‘The Impact of “Right to Repair” Legislation on Innovation and Intellectual Property in the Automotive Industry’ 38, 21; Henrik Riisgaard, Mette Mosgaard and Kristina Overgaard Zacho, ‘Local Circles in a Circular Economy – the Case of Smartphone Repair in Denmark’ (2016) 5(1) European Journal of Sustainable Development 109.","noteIndex":25},"citationItems":[{"id":6251,"uris":["http://zotero.org/users/4699991/items/WMUZZKIQ"],"uri":["http://zotero.org/users/4699991/items/WMUZZKIQ"],"itemData":{"id":6251,"type":"article-journal","title":"The Impact of “Right to Repair” Legislation on Innovation and Intellectual Property in the Automotive Industry","page":"38","source":"Zotero","abstract":"With the advancements of new technologies and the necessity to comply with governmental regulations the automotive industry is producing increasingly complicated advanced vehicle systems. Along with the complexity of these vehicles comes the complexity of repairing them. The issue regarding who should have access to the information necessary to make these repairs has been debated since the early 1990s and continues to be of concern. The “Right to Repair” legislation suggests that independent repair shops, with no manufacturer affiliation, are prohibited from accessing this information and need more assistance to repair cars than what is already in place. My thesis will examine the issues associated with “Right to Repair” and show how various forms of its legislation would infringe on intellectual property rights and decrease innovation in the automotive industry.","language":"en","author":[{"family":"Purcell","given":"Christina"}]},"locator":"21","label":"page"},{"id":6244,"uris":["http://zotero.org/users/4699991/items/679MVLN3"],"uri":["http://zotero.org/users/4699991/items/679MVLN3"],"itemData":{"id":6244,"type":"article-journal","title":"Local Circles in a Circular Economy – the Case of Smartphone Repair in Denmark","container-title":"European Journal of Sustainable Development","page":"109-124-124","volume":"5","issue":"1","source":"ecsdev.org","abstract":"Abstract Circular economy has gained increasing attention the last decade, and more often the main focus is on the large  global circles addressing recycling of materials rather than the “inner circles” that address maintenance/repair and reuse. In this article we investigate one such inner circle ofthe circular economy namely repair of smartphones which extends the lifetime of products and adds to a local economy. Local repair of smartphones has increased in the resent years in Denmark. These loop-closing businesses not only extend the useful lifetime of smartphones; they also entail both environmental benefits and economic value creation. We map the extent ofthe repair sector and investigate the drivers and barriers for its emergence. The study builds on desk studies for identification of repair companiesand telephone interviews with 33 out of 90 identified companies. The mapping of the businessesshows that the repair of smartphones constitute viable business opportunities, and that the main driversarerelated to the economic business potentials as well as motivated entrepreneurs who spot a market potential.The study concludes that the local circular economy within smartphone repair is due to large consumer willingness-to-pay for repair and maintenance services, and this can extend the lifetime of the smartphones. There are some special characteristics that limit the possibility to apply the results directly to other product groups, but further analysis of how to facilitate repair shops within other product groups are interesting in order to facilitate the development of local circles in a circular economy not only in Denmark but also in other countries.   Keywords: Circular economy; Smartphone;Repair; Remanufacturing.","DOI":"10.14207/ejsd.2016.v5n1p109","ISSN":"2239-6101","language":"en","author":[{"family":"Riisgaard","given":"Henrik"},{"family":"Mosgaard","given":"Mette"},{"family":"Zacho","given":"Kristina Overgaard"}],"issued":{"date-parts":[["2016"]]}},"label":"page"}],"schema":"https://github.com/citation-style-language/schema/raw/master/csl-citation.json"} </w:instrText>
      </w:r>
      <w:r w:rsidRPr="00566B99">
        <w:rPr>
          <w:color w:val="000000" w:themeColor="text1"/>
        </w:rPr>
        <w:fldChar w:fldCharType="separate"/>
      </w:r>
      <w:r w:rsidRPr="00566B99">
        <w:rPr>
          <w:color w:val="000000" w:themeColor="text1"/>
        </w:rPr>
        <w:t xml:space="preserve">Christina Purcell, ‘The Impact of “Right to Repair” Legislation on Innovation and Intellectual Property in the Automotive Industry’ 38, 21; Henrik Riisgaard, Mette Mosgaard and Kristina Overgaard Zacho, ‘Local Circles in a Circular Economy – the Case of Smartphone Repair in Denmark’ (2016) 5(1) </w:t>
      </w:r>
      <w:r w:rsidRPr="00566B99">
        <w:rPr>
          <w:i/>
          <w:iCs/>
          <w:color w:val="000000" w:themeColor="text1"/>
        </w:rPr>
        <w:t>European Journal of Sustainable Development</w:t>
      </w:r>
      <w:r w:rsidRPr="00566B99">
        <w:rPr>
          <w:color w:val="000000" w:themeColor="text1"/>
        </w:rPr>
        <w:t xml:space="preserve"> 109.</w:t>
      </w:r>
      <w:r w:rsidRPr="00566B99">
        <w:rPr>
          <w:color w:val="000000" w:themeColor="text1"/>
        </w:rPr>
        <w:fldChar w:fldCharType="end"/>
      </w:r>
    </w:p>
    <w:p w14:paraId="762BD1F3" w14:textId="77777777" w:rsidR="00E2529B" w:rsidRPr="00566B99" w:rsidRDefault="00E2529B" w:rsidP="00E2529B">
      <w:pPr>
        <w:pStyle w:val="FootnoteText"/>
        <w:ind w:left="720" w:right="521" w:hanging="720"/>
        <w:rPr>
          <w:color w:val="000000" w:themeColor="text1"/>
        </w:rPr>
      </w:pPr>
    </w:p>
  </w:footnote>
  <w:footnote w:id="12">
    <w:p w14:paraId="3B0A8C00" w14:textId="0C9CBF2B" w:rsidR="004E5C90" w:rsidRPr="00566B99" w:rsidRDefault="004E5C90" w:rsidP="00E2529B">
      <w:pPr>
        <w:pStyle w:val="FootnoteText"/>
        <w:ind w:left="720" w:right="521" w:hanging="720"/>
        <w:rPr>
          <w:color w:val="000000" w:themeColor="text1"/>
        </w:rPr>
      </w:pPr>
      <w:r w:rsidRPr="00566B99">
        <w:rPr>
          <w:rStyle w:val="FootnoteReference"/>
          <w:color w:val="000000" w:themeColor="text1"/>
        </w:rPr>
        <w:footnoteRef/>
      </w:r>
      <w:r w:rsidRPr="00566B99">
        <w:rPr>
          <w:color w:val="000000" w:themeColor="text1"/>
        </w:rPr>
        <w:t xml:space="preserve"> </w:t>
      </w:r>
      <w:r w:rsidR="00E2529B" w:rsidRPr="00566B99">
        <w:rPr>
          <w:color w:val="000000" w:themeColor="text1"/>
        </w:rPr>
        <w:tab/>
      </w:r>
      <w:r w:rsidRPr="00566B99">
        <w:rPr>
          <w:color w:val="000000" w:themeColor="text1"/>
        </w:rPr>
        <w:fldChar w:fldCharType="begin"/>
      </w:r>
      <w:r w:rsidRPr="00566B99">
        <w:rPr>
          <w:color w:val="000000" w:themeColor="text1"/>
        </w:rPr>
        <w:instrText xml:space="preserve"> ADDIN ZOTERO_ITEM CSL_CITATION {"citationID":"XnqHyPAW","properties":{"formattedCitation":"Mostafa Sabbaghi et al, \\uc0\\u8216{}The Current Status of the Consumer Electronics Repair Industry in the U.S.: A Survey-Based Study\\uc0\\u8217{} (2017) 116 {\\i{}Resources, Conservation and Recycling} 137.","plainCitation":"Mostafa Sabbaghi et al, ‘The Current Status of the Consumer Electronics Repair Industry in the U.S.: A Survey-Based Study’ (2017) 116 Resources, Conservation and Recycling 137.","noteIndex":26},"citationItems":[{"id":6256,"uris":["http://zotero.org/users/4699991/items/7YJMYUYN"],"uri":["http://zotero.org/users/4699991/items/7YJMYUYN"],"itemData":{"id":6256,"type":"article-journal","title":"The current status of the consumer electronics repair industry in the U.S.: A survey-based study","container-title":"Resources, Conservation and Recycling","page":"137-151","volume":"116","source":"ScienceDirect","abstract":"Consumer electronics are turning into consumable devices nowadays, and consumers generally show little inclination to repair broken products due to the lack of repair infrastructures and relative high repair costs. On the other hand, technical, operational, and economic barriers impede the growth of repair businesses. In this paper, we provide a look into the repair industry through an analysis of a survey conducted by a third-party repair service provider. 2170 repair technicians have participated in a survey consisting of 23 questions about repair challenges in their profession. At first, we take a look at the economic barriers that dissuade consumers from repairing products. Next, a demand-based repair service pricing framework is introduced. The optimal pricing levels are found based on the consumers’ repair demand. Finally, other aspects of repair businesses, e.g. repairability degree of consumer electronics and consumer expectations of repair services, are thoroughly investigated. As an example of findings, different types of consumer electronics are clustered based on the associated repair difficulties. Moreover, some insights are provided to promote the repair businesses.","DOI":"10.1016/j.resconrec.2016.09.013","ISSN":"0921-3449","shortTitle":"The current status of the consumer electronics repair industry in the U.S.","journalAbbreviation":"Resources, Conservation and Recycling","author":[{"family":"Sabbaghi","given":"Mostafa"},{"family":"Cade","given":"Willie"},{"family":"Behdad","given":"Sara"},{"family":"Bisantz","given":"Ann M."}],"issued":{"date-parts":[["2017",1,1]]}}}],"schema":"https://github.com/citation-style-language/schema/raw/master/csl-citation.json"} </w:instrText>
      </w:r>
      <w:r w:rsidRPr="00566B99">
        <w:rPr>
          <w:color w:val="000000" w:themeColor="text1"/>
        </w:rPr>
        <w:fldChar w:fldCharType="separate"/>
      </w:r>
      <w:r w:rsidRPr="00566B99">
        <w:rPr>
          <w:color w:val="000000" w:themeColor="text1"/>
        </w:rPr>
        <w:t xml:space="preserve">Mostafa Sabbaghi et al, ‘The Current Status of the Consumer Electronics Repair Industry in the U.S.: A Survey-Based Study’ (2017) 116 </w:t>
      </w:r>
      <w:r w:rsidRPr="00566B99">
        <w:rPr>
          <w:i/>
          <w:iCs/>
          <w:color w:val="000000" w:themeColor="text1"/>
        </w:rPr>
        <w:t>Resources, Conservation and Recycling</w:t>
      </w:r>
      <w:r w:rsidRPr="00566B99">
        <w:rPr>
          <w:color w:val="000000" w:themeColor="text1"/>
        </w:rPr>
        <w:t xml:space="preserve"> 137.</w:t>
      </w:r>
      <w:r w:rsidRPr="00566B99">
        <w:rPr>
          <w:color w:val="000000" w:themeColor="text1"/>
        </w:rPr>
        <w:fldChar w:fldCharType="end"/>
      </w:r>
    </w:p>
    <w:p w14:paraId="745E9821" w14:textId="77777777" w:rsidR="00E2529B" w:rsidRPr="00566B99" w:rsidRDefault="00E2529B" w:rsidP="00E2529B">
      <w:pPr>
        <w:pStyle w:val="FootnoteText"/>
        <w:ind w:left="720" w:right="521" w:hanging="720"/>
        <w:rPr>
          <w:color w:val="000000" w:themeColor="text1"/>
        </w:rPr>
      </w:pPr>
    </w:p>
  </w:footnote>
  <w:footnote w:id="13">
    <w:p w14:paraId="1EA99C97" w14:textId="3C8D1CF5" w:rsidR="004E5C90" w:rsidRPr="00566B99" w:rsidRDefault="004E5C90" w:rsidP="00D1160B">
      <w:pPr>
        <w:pStyle w:val="FootnoteText"/>
        <w:rPr>
          <w:color w:val="000000" w:themeColor="text1"/>
          <w:bdr w:val="none" w:sz="0" w:space="0" w:color="auto" w:frame="1"/>
          <w:shd w:val="clear" w:color="auto" w:fill="FFFFFF"/>
        </w:rPr>
      </w:pPr>
      <w:r w:rsidRPr="00566B99">
        <w:rPr>
          <w:rStyle w:val="FootnoteReference"/>
          <w:color w:val="000000" w:themeColor="text1"/>
        </w:rPr>
        <w:footnoteRef/>
      </w:r>
      <w:r w:rsidRPr="00566B99">
        <w:rPr>
          <w:color w:val="000000" w:themeColor="text1"/>
        </w:rPr>
        <w:t xml:space="preserve"> </w:t>
      </w:r>
      <w:r w:rsidR="00E2529B" w:rsidRPr="00566B99">
        <w:rPr>
          <w:color w:val="000000" w:themeColor="text1"/>
        </w:rPr>
        <w:tab/>
      </w:r>
      <w:r w:rsidRPr="00566B99">
        <w:rPr>
          <w:color w:val="000000" w:themeColor="text1"/>
          <w:bdr w:val="none" w:sz="0" w:space="0" w:color="auto" w:frame="1"/>
          <w:shd w:val="clear" w:color="auto" w:fill="FFFFFF"/>
        </w:rPr>
        <w:t>(No 4) [2018] FCA 617.</w:t>
      </w:r>
    </w:p>
    <w:p w14:paraId="3BFEE467" w14:textId="77777777" w:rsidR="00E2529B" w:rsidRPr="00566B99" w:rsidRDefault="00E2529B" w:rsidP="00D1160B">
      <w:pPr>
        <w:pStyle w:val="FootnoteText"/>
        <w:rPr>
          <w:color w:val="000000" w:themeColor="text1"/>
        </w:rPr>
      </w:pPr>
    </w:p>
  </w:footnote>
  <w:footnote w:id="14">
    <w:p w14:paraId="773917F4" w14:textId="10BDF9C6" w:rsidR="004E5C90" w:rsidRPr="00566B99" w:rsidRDefault="004E5C90" w:rsidP="007A7008">
      <w:pPr>
        <w:pStyle w:val="paragraph"/>
        <w:spacing w:before="0" w:beforeAutospacing="0" w:after="0" w:afterAutospacing="0"/>
        <w:ind w:left="720" w:hanging="720"/>
        <w:textAlignment w:val="baseline"/>
        <w:rPr>
          <w:rStyle w:val="normaltextrun"/>
          <w:color w:val="000000" w:themeColor="text1"/>
          <w:sz w:val="20"/>
          <w:szCs w:val="20"/>
        </w:rPr>
      </w:pPr>
      <w:r w:rsidRPr="00566B99">
        <w:rPr>
          <w:rStyle w:val="FootnoteReference"/>
          <w:color w:val="000000" w:themeColor="text1"/>
          <w:sz w:val="20"/>
          <w:szCs w:val="20"/>
        </w:rPr>
        <w:footnoteRef/>
      </w:r>
      <w:r w:rsidRPr="00566B99">
        <w:rPr>
          <w:color w:val="000000" w:themeColor="text1"/>
          <w:sz w:val="20"/>
          <w:szCs w:val="20"/>
        </w:rPr>
        <w:t xml:space="preserve"> </w:t>
      </w:r>
      <w:r w:rsidRPr="00566B99">
        <w:rPr>
          <w:color w:val="000000" w:themeColor="text1"/>
          <w:sz w:val="20"/>
          <w:szCs w:val="20"/>
        </w:rPr>
        <w:tab/>
      </w:r>
      <w:r w:rsidRPr="00566B99">
        <w:rPr>
          <w:rStyle w:val="normaltextrun"/>
          <w:color w:val="000000" w:themeColor="text1"/>
          <w:sz w:val="20"/>
          <w:szCs w:val="20"/>
        </w:rPr>
        <w:t xml:space="preserve">Leanne Wiseman, Kanchana Kariyawasam, Pamela Saleme, Australian Consumers’ Right to Repair Survey Dec 2020, Quantitative Analysis Report, Griffith University, Feb 2021 </w:t>
      </w:r>
    </w:p>
    <w:p w14:paraId="6458DDFB" w14:textId="77777777" w:rsidR="004E5C90" w:rsidRPr="00566B99" w:rsidRDefault="004E5C90" w:rsidP="00A76017">
      <w:pPr>
        <w:pStyle w:val="FootnoteText"/>
        <w:rPr>
          <w:color w:val="000000" w:themeColor="text1"/>
        </w:rPr>
      </w:pPr>
    </w:p>
  </w:footnote>
  <w:footnote w:id="15">
    <w:p w14:paraId="77702878" w14:textId="024D14E3" w:rsidR="004E5C90" w:rsidRPr="00566B99" w:rsidRDefault="004E5C90" w:rsidP="00AD3A4A">
      <w:pPr>
        <w:pStyle w:val="paragraph"/>
        <w:spacing w:before="0" w:beforeAutospacing="0" w:after="0" w:afterAutospacing="0"/>
        <w:ind w:left="720" w:hanging="720"/>
        <w:textAlignment w:val="baseline"/>
        <w:rPr>
          <w:rStyle w:val="normaltextrun"/>
          <w:color w:val="000000" w:themeColor="text1"/>
          <w:sz w:val="20"/>
          <w:szCs w:val="20"/>
        </w:rPr>
      </w:pPr>
      <w:r w:rsidRPr="00566B99">
        <w:rPr>
          <w:rStyle w:val="FootnoteReference"/>
          <w:color w:val="000000" w:themeColor="text1"/>
          <w:sz w:val="20"/>
          <w:szCs w:val="20"/>
        </w:rPr>
        <w:footnoteRef/>
      </w:r>
      <w:r w:rsidRPr="00566B99">
        <w:rPr>
          <w:color w:val="000000" w:themeColor="text1"/>
          <w:sz w:val="20"/>
          <w:szCs w:val="20"/>
        </w:rPr>
        <w:t xml:space="preserve"> </w:t>
      </w:r>
      <w:r w:rsidRPr="00566B99">
        <w:rPr>
          <w:color w:val="000000" w:themeColor="text1"/>
          <w:sz w:val="20"/>
          <w:szCs w:val="20"/>
        </w:rPr>
        <w:tab/>
      </w:r>
      <w:r w:rsidR="00AD3A4A">
        <w:rPr>
          <w:color w:val="000000" w:themeColor="text1"/>
          <w:sz w:val="20"/>
          <w:szCs w:val="20"/>
        </w:rPr>
        <w:t>Ibid.</w:t>
      </w:r>
      <w:r w:rsidR="00AD3A4A" w:rsidRPr="00566B99">
        <w:rPr>
          <w:rStyle w:val="normaltextrun"/>
          <w:color w:val="000000" w:themeColor="text1"/>
          <w:sz w:val="20"/>
          <w:szCs w:val="20"/>
        </w:rPr>
        <w:t xml:space="preserve"> </w:t>
      </w:r>
    </w:p>
    <w:p w14:paraId="24CD8B97" w14:textId="77777777" w:rsidR="004E5C90" w:rsidRPr="00566B99" w:rsidRDefault="004E5C90" w:rsidP="007A7008">
      <w:pPr>
        <w:pStyle w:val="FootnoteText"/>
        <w:rPr>
          <w:color w:val="000000" w:themeColor="text1"/>
        </w:rPr>
      </w:pPr>
    </w:p>
  </w:footnote>
  <w:footnote w:id="16">
    <w:p w14:paraId="523FE087" w14:textId="78E8E76A" w:rsidR="004E5C90" w:rsidRPr="00566B99" w:rsidRDefault="004E5C90" w:rsidP="00803627">
      <w:pPr>
        <w:shd w:val="clear" w:color="auto" w:fill="FFFFFF"/>
        <w:ind w:left="720" w:hanging="720"/>
        <w:jc w:val="both"/>
        <w:rPr>
          <w:color w:val="000000" w:themeColor="text1"/>
          <w:sz w:val="20"/>
          <w:szCs w:val="20"/>
          <w:u w:val="single"/>
        </w:rPr>
      </w:pPr>
      <w:r w:rsidRPr="00566B99">
        <w:rPr>
          <w:rStyle w:val="FootnoteReference"/>
          <w:color w:val="000000" w:themeColor="text1"/>
          <w:sz w:val="20"/>
          <w:szCs w:val="20"/>
        </w:rPr>
        <w:footnoteRef/>
      </w:r>
      <w:r w:rsidRPr="00566B99">
        <w:rPr>
          <w:color w:val="000000" w:themeColor="text1"/>
          <w:sz w:val="20"/>
          <w:szCs w:val="20"/>
        </w:rPr>
        <w:t xml:space="preserve"> </w:t>
      </w:r>
      <w:r w:rsidRPr="00566B99">
        <w:rPr>
          <w:color w:val="000000" w:themeColor="text1"/>
          <w:sz w:val="20"/>
          <w:szCs w:val="20"/>
        </w:rPr>
        <w:tab/>
        <w:t xml:space="preserve">Hoofnagle, C., Kesari, A., Perzanowski, A., ‘The Tethered Economy’, (2019) 87 </w:t>
      </w:r>
      <w:r w:rsidRPr="00566B99">
        <w:rPr>
          <w:i/>
          <w:color w:val="000000" w:themeColor="text1"/>
          <w:sz w:val="20"/>
          <w:szCs w:val="20"/>
        </w:rPr>
        <w:t xml:space="preserve">The George Washington Law Review </w:t>
      </w:r>
      <w:r w:rsidRPr="00566B99">
        <w:rPr>
          <w:color w:val="000000" w:themeColor="text1"/>
          <w:sz w:val="20"/>
          <w:szCs w:val="20"/>
        </w:rPr>
        <w:t>783</w:t>
      </w:r>
    </w:p>
    <w:p w14:paraId="4BC8BA64" w14:textId="77777777" w:rsidR="004E5C90" w:rsidRPr="00566B99" w:rsidRDefault="004E5C90">
      <w:pPr>
        <w:pStyle w:val="FootnoteText"/>
        <w:rPr>
          <w:color w:val="000000" w:themeColor="text1"/>
        </w:rPr>
      </w:pPr>
    </w:p>
  </w:footnote>
  <w:footnote w:id="17">
    <w:p w14:paraId="41997517" w14:textId="3B7D96E1" w:rsidR="004E5C90" w:rsidRPr="00566B99" w:rsidRDefault="004E5C90" w:rsidP="00C14AD4">
      <w:pPr>
        <w:pStyle w:val="FootnoteText"/>
        <w:ind w:left="720" w:hanging="720"/>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t xml:space="preserve">Kyle Wiens, ‘Intellectual Property is putting the Circular Economy  in Jeopardy,’ The  Guardian, 3 June 2014,  </w:t>
      </w:r>
      <w:hyperlink r:id="rId5" w:history="1">
        <w:r w:rsidRPr="00566B99">
          <w:rPr>
            <w:rStyle w:val="Hyperlink"/>
            <w:color w:val="000000" w:themeColor="text1"/>
          </w:rPr>
          <w:t>https://www.theguardian.com/sustainable-business/intellectual-property-circular-economy-bmw-apple</w:t>
        </w:r>
      </w:hyperlink>
      <w:r w:rsidRPr="00566B99">
        <w:rPr>
          <w:color w:val="000000" w:themeColor="text1"/>
        </w:rPr>
        <w:t>.   See also Kyle Wiens, Design for Repair, available at https://www.theguardian.com/sustainable-business/design-repair-empowering-consumers-fix-future</w:t>
      </w:r>
    </w:p>
    <w:p w14:paraId="372DBF2F" w14:textId="77777777" w:rsidR="004E5C90" w:rsidRPr="00566B99" w:rsidRDefault="004E5C90">
      <w:pPr>
        <w:pStyle w:val="FootnoteText"/>
        <w:rPr>
          <w:color w:val="000000" w:themeColor="text1"/>
        </w:rPr>
      </w:pPr>
    </w:p>
  </w:footnote>
  <w:footnote w:id="18">
    <w:p w14:paraId="01446009" w14:textId="77777777" w:rsidR="004E5C90" w:rsidRPr="00566B99" w:rsidRDefault="004E5C90" w:rsidP="000C2128">
      <w:pPr>
        <w:pStyle w:val="FootnoteText"/>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t xml:space="preserve">Available at </w:t>
      </w:r>
      <w:hyperlink r:id="rId6" w:history="1">
        <w:r w:rsidRPr="00566B99">
          <w:rPr>
            <w:rStyle w:val="Hyperlink"/>
            <w:color w:val="000000" w:themeColor="text1"/>
          </w:rPr>
          <w:t>https://treasury.gov.au/consultation/c2020-128289</w:t>
        </w:r>
      </w:hyperlink>
    </w:p>
    <w:p w14:paraId="3724E494" w14:textId="77777777" w:rsidR="004E5C90" w:rsidRPr="00566B99" w:rsidRDefault="004E5C90" w:rsidP="000C2128">
      <w:pPr>
        <w:pStyle w:val="FootnoteText"/>
        <w:rPr>
          <w:color w:val="000000" w:themeColor="text1"/>
        </w:rPr>
      </w:pPr>
    </w:p>
  </w:footnote>
  <w:footnote w:id="19">
    <w:p w14:paraId="710C4104" w14:textId="504C8F6F" w:rsidR="004E5C90" w:rsidRPr="00566B99" w:rsidRDefault="004E5C90" w:rsidP="00F04DFC">
      <w:pPr>
        <w:ind w:left="720" w:hanging="720"/>
        <w:rPr>
          <w:color w:val="000000" w:themeColor="text1"/>
          <w:sz w:val="20"/>
          <w:szCs w:val="20"/>
        </w:rPr>
      </w:pPr>
      <w:r w:rsidRPr="00566B99">
        <w:rPr>
          <w:rStyle w:val="FootnoteReference"/>
          <w:color w:val="000000" w:themeColor="text1"/>
          <w:sz w:val="20"/>
          <w:szCs w:val="20"/>
        </w:rPr>
        <w:footnoteRef/>
      </w:r>
      <w:r w:rsidRPr="00566B99">
        <w:rPr>
          <w:color w:val="000000" w:themeColor="text1"/>
          <w:sz w:val="20"/>
          <w:szCs w:val="20"/>
        </w:rPr>
        <w:t xml:space="preserve"> </w:t>
      </w:r>
      <w:r w:rsidRPr="00566B99">
        <w:rPr>
          <w:color w:val="000000" w:themeColor="text1"/>
          <w:sz w:val="20"/>
          <w:szCs w:val="20"/>
        </w:rPr>
        <w:tab/>
        <w:t>See Christopher Heath and Anselm Kamperman Sanders (eds), ‘Spares, repairs, and intellectual property rights : IEEM international intellectual property programmes, Conference Proceedings,  Kluwer, 2009. See also Leanne Wiseman and Kanchana Kariyawasam (eds),</w:t>
      </w:r>
      <w:r w:rsidRPr="00566B99">
        <w:rPr>
          <w:color w:val="000000" w:themeColor="text1"/>
          <w:sz w:val="20"/>
          <w:szCs w:val="20"/>
          <w:shd w:val="clear" w:color="auto" w:fill="FFFFFF"/>
        </w:rPr>
        <w:t xml:space="preserve"> ‘Unlocking the Interface between IP and the Right to Repair’ Special Edition,</w:t>
      </w:r>
      <w:r w:rsidRPr="00566B99">
        <w:rPr>
          <w:color w:val="000000" w:themeColor="text1"/>
          <w:sz w:val="20"/>
          <w:szCs w:val="20"/>
        </w:rPr>
        <w:t xml:space="preserve"> (2020) 31:2 </w:t>
      </w:r>
      <w:r w:rsidRPr="00566B99">
        <w:rPr>
          <w:i/>
          <w:iCs/>
          <w:color w:val="000000" w:themeColor="text1"/>
          <w:sz w:val="20"/>
          <w:szCs w:val="20"/>
        </w:rPr>
        <w:t>Australian Intellectual Property Journal</w:t>
      </w:r>
      <w:r w:rsidRPr="00566B99">
        <w:rPr>
          <w:color w:val="000000" w:themeColor="text1"/>
          <w:sz w:val="20"/>
          <w:szCs w:val="20"/>
        </w:rPr>
        <w:t xml:space="preserve"> Special Edition. </w:t>
      </w:r>
    </w:p>
    <w:p w14:paraId="7E273993" w14:textId="77777777" w:rsidR="004E5C90" w:rsidRPr="00566B99" w:rsidRDefault="004E5C90">
      <w:pPr>
        <w:pStyle w:val="FootnoteText"/>
        <w:rPr>
          <w:color w:val="000000" w:themeColor="text1"/>
        </w:rPr>
      </w:pPr>
    </w:p>
  </w:footnote>
  <w:footnote w:id="20">
    <w:p w14:paraId="41D8B7CF" w14:textId="77777777" w:rsidR="004E5C90" w:rsidRPr="00566B99" w:rsidRDefault="004E5C90">
      <w:pPr>
        <w:pStyle w:val="FootnoteText"/>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r>
      <w:hyperlink r:id="rId7" w:history="1">
        <w:r w:rsidRPr="00566B99">
          <w:rPr>
            <w:rStyle w:val="Hyperlink"/>
            <w:color w:val="000000" w:themeColor="text1"/>
          </w:rPr>
          <w:t>https://www.hcourt.gov.au/cases/case_s329-2019</w:t>
        </w:r>
      </w:hyperlink>
    </w:p>
    <w:p w14:paraId="32106055" w14:textId="77777777" w:rsidR="004E5C90" w:rsidRPr="00566B99" w:rsidRDefault="004E5C90">
      <w:pPr>
        <w:pStyle w:val="FootnoteText"/>
        <w:rPr>
          <w:color w:val="000000" w:themeColor="text1"/>
        </w:rPr>
      </w:pPr>
    </w:p>
  </w:footnote>
  <w:footnote w:id="21">
    <w:p w14:paraId="394C7871" w14:textId="77777777" w:rsidR="004E5C90" w:rsidRPr="00566B99" w:rsidRDefault="004E5C90" w:rsidP="00A3289B">
      <w:pPr>
        <w:pStyle w:val="FootnoteText"/>
        <w:ind w:left="720" w:hanging="720"/>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t>https://www.gtlaw.com.au/news/gilbert-tobin-client-calidad-succeeds-landmark-high-court-patent-appeal</w:t>
      </w:r>
    </w:p>
  </w:footnote>
  <w:footnote w:id="22">
    <w:p w14:paraId="611AE54C" w14:textId="77777777" w:rsidR="0050194B" w:rsidRPr="00566B99" w:rsidRDefault="0050194B" w:rsidP="0050194B">
      <w:pPr>
        <w:spacing w:before="100" w:beforeAutospacing="1" w:after="100" w:afterAutospacing="1"/>
        <w:ind w:left="720" w:hanging="720"/>
        <w:rPr>
          <w:color w:val="000000" w:themeColor="text1"/>
          <w:sz w:val="20"/>
          <w:szCs w:val="20"/>
        </w:rPr>
      </w:pPr>
      <w:r w:rsidRPr="00566B99">
        <w:rPr>
          <w:rStyle w:val="FootnoteReference"/>
          <w:color w:val="000000" w:themeColor="text1"/>
          <w:sz w:val="20"/>
          <w:szCs w:val="20"/>
        </w:rPr>
        <w:footnoteRef/>
      </w:r>
      <w:r w:rsidRPr="00566B99">
        <w:rPr>
          <w:color w:val="000000" w:themeColor="text1"/>
          <w:sz w:val="20"/>
          <w:szCs w:val="20"/>
        </w:rPr>
        <w:t xml:space="preserve"> </w:t>
      </w:r>
      <w:r w:rsidRPr="00566B99">
        <w:rPr>
          <w:color w:val="000000" w:themeColor="text1"/>
          <w:sz w:val="20"/>
          <w:szCs w:val="20"/>
        </w:rPr>
        <w:tab/>
        <w:t>Leanne Wiseman and Kanchana Kariyawasam, ‘Revisiting the Repair Defence in the Designs Act (2003) in Light of the Right to Repair Movement and the Circular Economy’ in Leanne Wiseman and Kanchana Kariyawasam (eds),</w:t>
      </w:r>
      <w:r w:rsidRPr="00566B99">
        <w:rPr>
          <w:color w:val="000000" w:themeColor="text1"/>
          <w:sz w:val="20"/>
          <w:szCs w:val="20"/>
          <w:shd w:val="clear" w:color="auto" w:fill="FFFFFF"/>
        </w:rPr>
        <w:t xml:space="preserve"> ‘Unlocking the Interface between IP and the Right to Repair’ Special Edition,</w:t>
      </w:r>
      <w:r w:rsidRPr="00566B99">
        <w:rPr>
          <w:color w:val="000000" w:themeColor="text1"/>
          <w:sz w:val="20"/>
          <w:szCs w:val="20"/>
        </w:rPr>
        <w:t xml:space="preserve"> (2020) 31:2 </w:t>
      </w:r>
      <w:r w:rsidRPr="00566B99">
        <w:rPr>
          <w:i/>
          <w:iCs/>
          <w:color w:val="000000" w:themeColor="text1"/>
          <w:sz w:val="20"/>
          <w:szCs w:val="20"/>
        </w:rPr>
        <w:t>Australian Intellectual Property Journal</w:t>
      </w:r>
      <w:r w:rsidRPr="00566B99">
        <w:rPr>
          <w:color w:val="000000" w:themeColor="text1"/>
          <w:sz w:val="20"/>
          <w:szCs w:val="20"/>
        </w:rPr>
        <w:t xml:space="preserve"> 36</w:t>
      </w:r>
    </w:p>
  </w:footnote>
  <w:footnote w:id="23">
    <w:p w14:paraId="306C5503" w14:textId="59EE6037" w:rsidR="004E5C90" w:rsidRPr="00566B99" w:rsidRDefault="004E5C90" w:rsidP="00CE4347">
      <w:pPr>
        <w:pStyle w:val="FootnoteText"/>
        <w:ind w:left="720" w:hanging="720"/>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r>
      <w:r w:rsidR="0050194B">
        <w:rPr>
          <w:color w:val="000000" w:themeColor="text1"/>
        </w:rPr>
        <w:t>Ibid.</w:t>
      </w:r>
    </w:p>
  </w:footnote>
  <w:footnote w:id="24">
    <w:p w14:paraId="6AC25277" w14:textId="79B050AE" w:rsidR="004E5C90" w:rsidRPr="00566B99" w:rsidRDefault="004E5C90" w:rsidP="00E40F18">
      <w:pPr>
        <w:pStyle w:val="FootnoteText"/>
        <w:ind w:left="720" w:hanging="720"/>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t>Graeme Austin, ‘Anti-circumvention provisions and the function of the Work’ in Leanne Wiseman and Kanchana Kariyawasam (eds),</w:t>
      </w:r>
      <w:r w:rsidRPr="00566B99">
        <w:rPr>
          <w:color w:val="000000" w:themeColor="text1"/>
          <w:shd w:val="clear" w:color="auto" w:fill="FFFFFF"/>
        </w:rPr>
        <w:t xml:space="preserve"> ‘Unlocking the Interface between IP and the Right to Repair’ Special Edition,</w:t>
      </w:r>
      <w:r w:rsidRPr="00566B99">
        <w:rPr>
          <w:color w:val="000000" w:themeColor="text1"/>
        </w:rPr>
        <w:t xml:space="preserve"> (2020) 31:2 </w:t>
      </w:r>
      <w:r w:rsidRPr="00566B99">
        <w:rPr>
          <w:i/>
          <w:iCs/>
          <w:color w:val="000000" w:themeColor="text1"/>
        </w:rPr>
        <w:t>Australian Intellectual Property Journal</w:t>
      </w:r>
      <w:r w:rsidRPr="00566B99">
        <w:rPr>
          <w:color w:val="000000" w:themeColor="text1"/>
        </w:rPr>
        <w:t xml:space="preserve"> 92</w:t>
      </w:r>
    </w:p>
    <w:p w14:paraId="0C823FC7" w14:textId="77777777" w:rsidR="004E5C90" w:rsidRPr="00566B99" w:rsidRDefault="004E5C90">
      <w:pPr>
        <w:pStyle w:val="FootnoteText"/>
        <w:rPr>
          <w:color w:val="000000" w:themeColor="text1"/>
        </w:rPr>
      </w:pPr>
    </w:p>
  </w:footnote>
  <w:footnote w:id="25">
    <w:p w14:paraId="78CBBB5B" w14:textId="65521FBE" w:rsidR="004E5C90" w:rsidRPr="00566B99" w:rsidRDefault="004E5C90" w:rsidP="00787A57">
      <w:pPr>
        <w:pStyle w:val="FootnoteText"/>
        <w:ind w:left="720" w:hanging="720"/>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t>In 2018, the US Copyright Office recognised a right of repair as an exception to their scheme of technological protection measures. This exception will be up for review in 2022 as this is part of the three yearly review conducted by the Library of Congress to update and review exceptions to s 1201 of the US Copyright Act.</w:t>
      </w:r>
    </w:p>
    <w:p w14:paraId="1A98A2AE" w14:textId="77777777" w:rsidR="004E5C90" w:rsidRPr="00566B99" w:rsidRDefault="004E5C90" w:rsidP="00787A57">
      <w:pPr>
        <w:pStyle w:val="FootnoteText"/>
        <w:ind w:left="720" w:hanging="720"/>
        <w:rPr>
          <w:color w:val="000000" w:themeColor="text1"/>
        </w:rPr>
      </w:pPr>
    </w:p>
  </w:footnote>
  <w:footnote w:id="26">
    <w:p w14:paraId="2C5AA195" w14:textId="61DB877B" w:rsidR="004E5C90" w:rsidRPr="00566B99" w:rsidRDefault="004E5C90" w:rsidP="00787A57">
      <w:pPr>
        <w:pStyle w:val="FootnoteText"/>
        <w:ind w:left="720" w:hanging="720"/>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t xml:space="preserve">Graeme Austin, </w:t>
      </w:r>
      <w:r w:rsidR="0050194B">
        <w:rPr>
          <w:color w:val="000000" w:themeColor="text1"/>
        </w:rPr>
        <w:t xml:space="preserve">n 24. </w:t>
      </w:r>
    </w:p>
    <w:p w14:paraId="2BF594CA" w14:textId="77777777" w:rsidR="004E5C90" w:rsidRPr="00566B99" w:rsidRDefault="004E5C90" w:rsidP="00787A57">
      <w:pPr>
        <w:pStyle w:val="FootnoteText"/>
        <w:rPr>
          <w:color w:val="000000" w:themeColor="text1"/>
        </w:rPr>
      </w:pPr>
    </w:p>
  </w:footnote>
  <w:footnote w:id="27">
    <w:p w14:paraId="184CB67F" w14:textId="7C4EB04F" w:rsidR="007641D6" w:rsidRPr="00566B99" w:rsidRDefault="007641D6" w:rsidP="007641D6">
      <w:pPr>
        <w:pStyle w:val="FootnoteText"/>
        <w:ind w:left="720" w:hanging="720"/>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t>We both are members of the Australian Centre for Intellectual Property in Agriculture (</w:t>
      </w:r>
      <w:hyperlink r:id="rId8" w:history="1">
        <w:r w:rsidRPr="00566B99">
          <w:rPr>
            <w:rStyle w:val="Hyperlink"/>
            <w:color w:val="000000" w:themeColor="text1"/>
          </w:rPr>
          <w:t>www.acipa.edu.au</w:t>
        </w:r>
      </w:hyperlink>
      <w:r w:rsidRPr="00566B99">
        <w:rPr>
          <w:color w:val="000000" w:themeColor="text1"/>
        </w:rPr>
        <w:t xml:space="preserve">) and </w:t>
      </w:r>
      <w:r w:rsidR="00AC764D">
        <w:rPr>
          <w:color w:val="000000" w:themeColor="text1"/>
        </w:rPr>
        <w:t xml:space="preserve">since 2015, </w:t>
      </w:r>
      <w:r w:rsidRPr="00566B99">
        <w:rPr>
          <w:color w:val="000000" w:themeColor="text1"/>
        </w:rPr>
        <w:t xml:space="preserve">have worked with Australian farmers on a range of challenges arising from the adoption of digital agricultural technologies. A submission has been made on some of these issues to the ACCC’s </w:t>
      </w:r>
      <w:r w:rsidRPr="00566B99">
        <w:rPr>
          <w:i/>
          <w:iCs/>
          <w:color w:val="000000" w:themeColor="text1"/>
        </w:rPr>
        <w:t>Agricultural Machinery: Aftersales Markets Inquiry in 2020.</w:t>
      </w:r>
    </w:p>
    <w:p w14:paraId="59BF16C3" w14:textId="77777777" w:rsidR="007641D6" w:rsidRPr="00566B99" w:rsidRDefault="007641D6">
      <w:pPr>
        <w:pStyle w:val="FootnoteText"/>
        <w:rPr>
          <w:color w:val="000000" w:themeColor="text1"/>
        </w:rPr>
      </w:pPr>
    </w:p>
  </w:footnote>
  <w:footnote w:id="28">
    <w:p w14:paraId="209B7193" w14:textId="19EE8382" w:rsidR="004E5C90" w:rsidRPr="00566B99" w:rsidRDefault="004E5C90" w:rsidP="00E40F18">
      <w:pPr>
        <w:pStyle w:val="FootnoteText"/>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r>
      <w:r w:rsidR="00052607" w:rsidRPr="00566B99">
        <w:rPr>
          <w:color w:val="000000" w:themeColor="text1"/>
        </w:rPr>
        <w:t>https://www.crdc.com.au/precision-to-decision</w:t>
      </w:r>
    </w:p>
    <w:p w14:paraId="0660D25F" w14:textId="77777777" w:rsidR="004E5C90" w:rsidRPr="00566B99" w:rsidRDefault="004E5C90" w:rsidP="00E40F18">
      <w:pPr>
        <w:pStyle w:val="FootnoteText"/>
        <w:rPr>
          <w:color w:val="000000" w:themeColor="text1"/>
        </w:rPr>
      </w:pPr>
    </w:p>
  </w:footnote>
  <w:footnote w:id="29">
    <w:p w14:paraId="4B73424E" w14:textId="019D3BC8" w:rsidR="004E5C90" w:rsidRPr="00566B99" w:rsidRDefault="004E5C90" w:rsidP="00E40F18">
      <w:pPr>
        <w:ind w:left="720" w:hanging="720"/>
        <w:rPr>
          <w:color w:val="000000" w:themeColor="text1"/>
          <w:sz w:val="20"/>
          <w:szCs w:val="20"/>
        </w:rPr>
      </w:pPr>
      <w:r w:rsidRPr="00566B99">
        <w:rPr>
          <w:rStyle w:val="FootnoteReference"/>
          <w:color w:val="000000" w:themeColor="text1"/>
          <w:sz w:val="20"/>
          <w:szCs w:val="20"/>
        </w:rPr>
        <w:footnoteRef/>
      </w:r>
      <w:r w:rsidRPr="00566B99">
        <w:rPr>
          <w:color w:val="000000" w:themeColor="text1"/>
          <w:sz w:val="20"/>
          <w:szCs w:val="20"/>
        </w:rPr>
        <w:t xml:space="preserve"> </w:t>
      </w:r>
      <w:r w:rsidRPr="00566B99">
        <w:rPr>
          <w:color w:val="000000" w:themeColor="text1"/>
          <w:sz w:val="20"/>
          <w:szCs w:val="20"/>
        </w:rPr>
        <w:tab/>
      </w:r>
      <w:r w:rsidRPr="00566B99">
        <w:rPr>
          <w:color w:val="000000" w:themeColor="text1"/>
          <w:sz w:val="20"/>
          <w:szCs w:val="20"/>
          <w:shd w:val="clear" w:color="auto" w:fill="FFFFFF"/>
        </w:rPr>
        <w:t xml:space="preserve">Zhang, A., Baker, I., Jakku, E. and Llewellyn, R. (2017). </w:t>
      </w:r>
      <w:r w:rsidR="004E6D7C">
        <w:rPr>
          <w:color w:val="000000" w:themeColor="text1"/>
          <w:sz w:val="20"/>
          <w:szCs w:val="20"/>
          <w:shd w:val="clear" w:color="auto" w:fill="FFFFFF"/>
        </w:rPr>
        <w:t>‘’</w:t>
      </w:r>
      <w:r w:rsidRPr="00566B99">
        <w:rPr>
          <w:color w:val="000000" w:themeColor="text1"/>
          <w:sz w:val="20"/>
          <w:szCs w:val="20"/>
          <w:shd w:val="clear" w:color="auto" w:fill="FFFFFF"/>
        </w:rPr>
        <w:t>Accelerating precision agriculture to decision agriculture: The needs and drivers for the present and future of digital agriculture in Australia. A cross industries producer survey for the Rural R&amp;D for Profit ‘Precision to Decision’ (P2D) project. CSIRO and Cotton Research and Development Corporation, Australia. Available at https://www.crdc.com.au/sites/default/files/P2D%20producer%20survey%20-%20CSIRO%20Final%20Report.pdf</w:t>
      </w:r>
    </w:p>
    <w:p w14:paraId="1FC3823B" w14:textId="77777777" w:rsidR="004E5C90" w:rsidRPr="00566B99" w:rsidRDefault="004E5C90" w:rsidP="00E40F18">
      <w:pPr>
        <w:pStyle w:val="FootnoteText"/>
        <w:rPr>
          <w:color w:val="000000" w:themeColor="text1"/>
        </w:rPr>
      </w:pPr>
    </w:p>
  </w:footnote>
  <w:footnote w:id="30">
    <w:p w14:paraId="2A67C762" w14:textId="65662C4A" w:rsidR="004E5C90" w:rsidRPr="00566B99" w:rsidRDefault="004E5C90" w:rsidP="00E40F18">
      <w:pPr>
        <w:pStyle w:val="Heading1"/>
        <w:shd w:val="clear" w:color="auto" w:fill="FFFFFF"/>
        <w:spacing w:before="0" w:beforeAutospacing="0" w:after="0" w:afterAutospacing="0"/>
        <w:ind w:left="720" w:hanging="720"/>
        <w:rPr>
          <w:color w:val="000000" w:themeColor="text1"/>
          <w:sz w:val="20"/>
          <w:szCs w:val="20"/>
        </w:rPr>
      </w:pPr>
      <w:r w:rsidRPr="00566B99">
        <w:rPr>
          <w:rStyle w:val="FootnoteReference"/>
          <w:color w:val="000000" w:themeColor="text1"/>
          <w:sz w:val="20"/>
          <w:szCs w:val="20"/>
        </w:rPr>
        <w:footnoteRef/>
      </w:r>
      <w:r w:rsidRPr="00566B99">
        <w:rPr>
          <w:color w:val="000000" w:themeColor="text1"/>
          <w:sz w:val="20"/>
          <w:szCs w:val="20"/>
        </w:rPr>
        <w:t xml:space="preserve"> </w:t>
      </w:r>
      <w:r w:rsidRPr="00566B99">
        <w:rPr>
          <w:color w:val="000000" w:themeColor="text1"/>
          <w:sz w:val="20"/>
          <w:szCs w:val="20"/>
        </w:rPr>
        <w:tab/>
      </w:r>
      <w:r w:rsidRPr="00566B99">
        <w:rPr>
          <w:b w:val="0"/>
          <w:bCs w:val="0"/>
          <w:color w:val="000000" w:themeColor="text1"/>
          <w:sz w:val="20"/>
          <w:szCs w:val="20"/>
        </w:rPr>
        <w:t xml:space="preserve">Wiseman, L and Sanderson J, </w:t>
      </w:r>
      <w:r w:rsidR="004E6D7C">
        <w:rPr>
          <w:b w:val="0"/>
          <w:bCs w:val="0"/>
          <w:color w:val="000000" w:themeColor="text1"/>
          <w:sz w:val="20"/>
          <w:szCs w:val="20"/>
        </w:rPr>
        <w:t>‘</w:t>
      </w:r>
      <w:r w:rsidRPr="00566B99">
        <w:rPr>
          <w:b w:val="0"/>
          <w:bCs w:val="0"/>
          <w:color w:val="000000" w:themeColor="text1"/>
          <w:sz w:val="20"/>
          <w:szCs w:val="20"/>
        </w:rPr>
        <w:t>The Legal Dimensions of Digital Agriculture in Australia: An Examination of the Current and Future State of Data Rules Dealing with Ownership, Access, Privacy and Trust, Accelerating Precision Agriculture to Decision Agriculture, CRDC and Griffith University and USC Australia, 2017.</w:t>
      </w:r>
      <w:r w:rsidRPr="00566B99">
        <w:rPr>
          <w:color w:val="000000" w:themeColor="text1"/>
          <w:sz w:val="20"/>
          <w:szCs w:val="20"/>
        </w:rPr>
        <w:t xml:space="preserve"> </w:t>
      </w:r>
      <w:r w:rsidRPr="00566B99">
        <w:rPr>
          <w:b w:val="0"/>
          <w:bCs w:val="0"/>
          <w:color w:val="000000" w:themeColor="text1"/>
          <w:sz w:val="20"/>
          <w:szCs w:val="20"/>
        </w:rPr>
        <w:t>Available at https://www.crdc.com.au/sites/default/files/P2D%20Legal%20Dimensions%20-%20Griffith%20USC%20Final%20Report.pdf</w:t>
      </w:r>
    </w:p>
    <w:p w14:paraId="6A58CC0C" w14:textId="77777777" w:rsidR="004E5C90" w:rsidRPr="00566B99" w:rsidRDefault="004E5C90" w:rsidP="00E40F18">
      <w:pPr>
        <w:pStyle w:val="FootnoteText"/>
        <w:rPr>
          <w:color w:val="000000" w:themeColor="text1"/>
        </w:rPr>
      </w:pPr>
    </w:p>
  </w:footnote>
  <w:footnote w:id="31">
    <w:p w14:paraId="7497BB5D" w14:textId="49508336" w:rsidR="004E6D7C" w:rsidRPr="004E6D7C" w:rsidRDefault="004E6D7C" w:rsidP="004E6D7C">
      <w:pPr>
        <w:ind w:left="720" w:hanging="720"/>
        <w:rPr>
          <w:sz w:val="20"/>
          <w:szCs w:val="20"/>
        </w:rPr>
      </w:pPr>
      <w:r>
        <w:rPr>
          <w:rStyle w:val="FootnoteReference"/>
        </w:rPr>
        <w:footnoteRef/>
      </w:r>
      <w:r>
        <w:t xml:space="preserve"> </w:t>
      </w:r>
      <w:r>
        <w:tab/>
      </w:r>
      <w:r w:rsidRPr="004E6D7C">
        <w:rPr>
          <w:sz w:val="20"/>
          <w:szCs w:val="20"/>
        </w:rPr>
        <w:t xml:space="preserve">For further explanation of these Data Codes of Conduct, see </w:t>
      </w:r>
      <w:r w:rsidRPr="004E6D7C">
        <w:rPr>
          <w:color w:val="4D5156"/>
          <w:sz w:val="20"/>
          <w:szCs w:val="20"/>
          <w:shd w:val="clear" w:color="auto" w:fill="FFFFFF"/>
        </w:rPr>
        <w:t xml:space="preserve">Jay Sanderson, Leanne Wiseman, Sam Poncini, </w:t>
      </w:r>
      <w:r w:rsidRPr="004E6D7C">
        <w:rPr>
          <w:sz w:val="20"/>
          <w:szCs w:val="20"/>
        </w:rPr>
        <w:t>‘</w:t>
      </w:r>
      <w:r w:rsidRPr="004E6D7C">
        <w:rPr>
          <w:rStyle w:val="Emphasis"/>
          <w:i w:val="0"/>
          <w:iCs w:val="0"/>
          <w:color w:val="5F6368"/>
          <w:sz w:val="20"/>
          <w:szCs w:val="20"/>
          <w:shd w:val="clear" w:color="auto" w:fill="FFFFFF"/>
        </w:rPr>
        <w:t>What's behind the ag</w:t>
      </w:r>
      <w:r w:rsidRPr="004E6D7C">
        <w:rPr>
          <w:color w:val="4D5156"/>
          <w:sz w:val="20"/>
          <w:szCs w:val="20"/>
          <w:shd w:val="clear" w:color="auto" w:fill="FFFFFF"/>
        </w:rPr>
        <w:t>-</w:t>
      </w:r>
      <w:r w:rsidRPr="004E6D7C">
        <w:rPr>
          <w:rStyle w:val="Emphasis"/>
          <w:i w:val="0"/>
          <w:iCs w:val="0"/>
          <w:color w:val="5F6368"/>
          <w:sz w:val="20"/>
          <w:szCs w:val="20"/>
          <w:shd w:val="clear" w:color="auto" w:fill="FFFFFF"/>
        </w:rPr>
        <w:t>data logo</w:t>
      </w:r>
      <w:r w:rsidRPr="004E6D7C">
        <w:rPr>
          <w:color w:val="4D5156"/>
          <w:sz w:val="20"/>
          <w:szCs w:val="20"/>
          <w:shd w:val="clear" w:color="auto" w:fill="FFFFFF"/>
        </w:rPr>
        <w:t xml:space="preserve">? An examination of voluntary agricultural data codes of practice’ (2018) </w:t>
      </w:r>
      <w:r w:rsidRPr="004E6D7C">
        <w:rPr>
          <w:i/>
          <w:iCs/>
          <w:color w:val="4D5156"/>
          <w:sz w:val="20"/>
          <w:szCs w:val="20"/>
          <w:shd w:val="clear" w:color="auto" w:fill="FFFFFF"/>
        </w:rPr>
        <w:t xml:space="preserve">International Journal of Rural Law and Practice, </w:t>
      </w:r>
      <w:r w:rsidRPr="00AC764D">
        <w:rPr>
          <w:color w:val="4D5156"/>
          <w:sz w:val="20"/>
          <w:szCs w:val="20"/>
          <w:shd w:val="clear" w:color="auto" w:fill="FFFFFF"/>
        </w:rPr>
        <w:t>available at</w:t>
      </w:r>
      <w:r w:rsidRPr="004E6D7C">
        <w:rPr>
          <w:i/>
          <w:iCs/>
          <w:color w:val="4D5156"/>
          <w:sz w:val="20"/>
          <w:szCs w:val="20"/>
          <w:shd w:val="clear" w:color="auto" w:fill="FFFFFF"/>
        </w:rPr>
        <w:t xml:space="preserve"> </w:t>
      </w:r>
      <w:hyperlink r:id="rId9" w:history="1">
        <w:r w:rsidRPr="00AC764D">
          <w:rPr>
            <w:rStyle w:val="Hyperlink"/>
            <w:sz w:val="20"/>
            <w:szCs w:val="20"/>
            <w:shd w:val="clear" w:color="auto" w:fill="FFFFFF"/>
          </w:rPr>
          <w:t>https://epress.lib.uts.edu.au/journals/index.php/ijrlp/article/view/6043</w:t>
        </w:r>
      </w:hyperlink>
      <w:r w:rsidRPr="00AC764D">
        <w:rPr>
          <w:sz w:val="20"/>
          <w:szCs w:val="20"/>
        </w:rPr>
        <w:t>.</w:t>
      </w:r>
      <w:r>
        <w:rPr>
          <w:sz w:val="20"/>
          <w:szCs w:val="20"/>
        </w:rPr>
        <w:t xml:space="preserve"> The Australian Farm Data Code is available here: </w:t>
      </w:r>
      <w:r w:rsidRPr="004E6D7C">
        <w:rPr>
          <w:sz w:val="20"/>
          <w:szCs w:val="20"/>
        </w:rPr>
        <w:t>https://nff.org.au/programs/australian-farm-data-code/</w:t>
      </w:r>
      <w:r>
        <w:rPr>
          <w:sz w:val="20"/>
          <w:szCs w:val="20"/>
        </w:rPr>
        <w:t>.</w:t>
      </w:r>
    </w:p>
    <w:p w14:paraId="5C8E7669" w14:textId="77777777" w:rsidR="004E6D7C" w:rsidRDefault="004E6D7C">
      <w:pPr>
        <w:pStyle w:val="FootnoteText"/>
      </w:pPr>
    </w:p>
  </w:footnote>
  <w:footnote w:id="32">
    <w:p w14:paraId="67F29EE1" w14:textId="34B353E8" w:rsidR="004E6D7C" w:rsidRDefault="004E6D7C" w:rsidP="004E6D7C">
      <w:pPr>
        <w:pStyle w:val="FootnoteText"/>
        <w:ind w:left="720" w:hanging="720"/>
        <w:rPr>
          <w:color w:val="000000" w:themeColor="text1"/>
        </w:rPr>
      </w:pPr>
      <w:r>
        <w:rPr>
          <w:rStyle w:val="FootnoteReference"/>
        </w:rPr>
        <w:footnoteRef/>
      </w:r>
      <w:r>
        <w:t xml:space="preserve"> </w:t>
      </w:r>
      <w:r>
        <w:tab/>
      </w:r>
      <w:r w:rsidRPr="00566B99">
        <w:rPr>
          <w:color w:val="000000" w:themeColor="text1"/>
        </w:rPr>
        <w:t xml:space="preserve">Australian Council of Learned Technologies (ACOLA), The Future of Agricultural Technologies, 2020, available at </w:t>
      </w:r>
      <w:hyperlink r:id="rId10" w:history="1">
        <w:r w:rsidRPr="00566B99">
          <w:rPr>
            <w:rStyle w:val="Hyperlink"/>
            <w:color w:val="000000" w:themeColor="text1"/>
          </w:rPr>
          <w:t>https://acola.org/hs6-future-agricultural-technologies/</w:t>
        </w:r>
      </w:hyperlink>
      <w:r w:rsidRPr="00566B99">
        <w:rPr>
          <w:color w:val="000000" w:themeColor="text1"/>
        </w:rPr>
        <w:t>; OECD, Issues around data governance in the digital transformation of agriculture</w:t>
      </w:r>
      <w:r>
        <w:rPr>
          <w:color w:val="000000" w:themeColor="text1"/>
        </w:rPr>
        <w:t xml:space="preserve">, </w:t>
      </w:r>
      <w:r w:rsidRPr="00566B99">
        <w:rPr>
          <w:i/>
          <w:iCs/>
          <w:color w:val="000000" w:themeColor="text1"/>
        </w:rPr>
        <w:t>The farmers’ perspective</w:t>
      </w:r>
      <w:r>
        <w:rPr>
          <w:i/>
          <w:iCs/>
          <w:color w:val="000000" w:themeColor="text1"/>
        </w:rPr>
        <w:t>,</w:t>
      </w:r>
      <w:r>
        <w:rPr>
          <w:b/>
          <w:bCs/>
          <w:i/>
          <w:iCs/>
          <w:color w:val="000000" w:themeColor="text1"/>
        </w:rPr>
        <w:t xml:space="preserve"> </w:t>
      </w:r>
      <w:r>
        <w:rPr>
          <w:color w:val="000000" w:themeColor="text1"/>
        </w:rPr>
        <w:t xml:space="preserve">2020, </w:t>
      </w:r>
      <w:r w:rsidRPr="00566B99">
        <w:rPr>
          <w:color w:val="000000" w:themeColor="text1"/>
        </w:rPr>
        <w:t xml:space="preserve">available at </w:t>
      </w:r>
      <w:hyperlink r:id="rId11" w:history="1">
        <w:r w:rsidR="00426496" w:rsidRPr="00BC4501">
          <w:rPr>
            <w:rStyle w:val="Hyperlink"/>
          </w:rPr>
          <w:t>https://www.oecd-ilibrary.org/agriculture-and-food/issues-around-data-governance-in-the-digital-transformation-of-agriculture_53ecf2ab-en</w:t>
        </w:r>
      </w:hyperlink>
    </w:p>
    <w:p w14:paraId="1271F643" w14:textId="77777777" w:rsidR="00426496" w:rsidRDefault="00426496" w:rsidP="004E6D7C">
      <w:pPr>
        <w:pStyle w:val="FootnoteText"/>
        <w:ind w:left="720" w:hanging="720"/>
      </w:pPr>
    </w:p>
  </w:footnote>
  <w:footnote w:id="33">
    <w:p w14:paraId="3117F30C" w14:textId="739C324A" w:rsidR="00AB3F6A" w:rsidRPr="00566B99" w:rsidRDefault="00AB3F6A" w:rsidP="007D20BF">
      <w:pPr>
        <w:jc w:val="both"/>
        <w:rPr>
          <w:color w:val="000000" w:themeColor="text1"/>
          <w:sz w:val="20"/>
          <w:szCs w:val="20"/>
        </w:rPr>
      </w:pPr>
      <w:r w:rsidRPr="00566B99">
        <w:rPr>
          <w:rStyle w:val="FootnoteReference"/>
          <w:color w:val="000000" w:themeColor="text1"/>
          <w:sz w:val="20"/>
          <w:szCs w:val="20"/>
        </w:rPr>
        <w:footnoteRef/>
      </w:r>
      <w:r w:rsidRPr="00566B99">
        <w:rPr>
          <w:color w:val="000000" w:themeColor="text1"/>
          <w:sz w:val="20"/>
          <w:szCs w:val="20"/>
        </w:rPr>
        <w:t xml:space="preserve"> </w:t>
      </w:r>
      <w:r w:rsidRPr="00566B99">
        <w:rPr>
          <w:color w:val="000000" w:themeColor="text1"/>
          <w:sz w:val="20"/>
          <w:szCs w:val="20"/>
        </w:rPr>
        <w:tab/>
        <w:t xml:space="preserve">This is one example </w:t>
      </w:r>
      <w:r w:rsidR="00052607" w:rsidRPr="00566B99">
        <w:rPr>
          <w:color w:val="000000" w:themeColor="text1"/>
          <w:sz w:val="20"/>
          <w:szCs w:val="20"/>
        </w:rPr>
        <w:t xml:space="preserve">the restriction on accessing repair in </w:t>
      </w:r>
      <w:r w:rsidRPr="00566B99">
        <w:rPr>
          <w:color w:val="000000" w:themeColor="text1"/>
          <w:sz w:val="20"/>
          <w:szCs w:val="20"/>
        </w:rPr>
        <w:t>a John Deere’s technology agreement</w:t>
      </w:r>
    </w:p>
    <w:p w14:paraId="06A7F791" w14:textId="425B0756" w:rsidR="007D20BF" w:rsidRPr="00566B99" w:rsidRDefault="00F17F8D" w:rsidP="007D20BF">
      <w:pPr>
        <w:ind w:left="720"/>
        <w:jc w:val="both"/>
        <w:rPr>
          <w:color w:val="000000" w:themeColor="text1"/>
          <w:sz w:val="20"/>
          <w:szCs w:val="20"/>
        </w:rPr>
      </w:pPr>
      <w:hyperlink r:id="rId12" w:history="1">
        <w:r w:rsidR="00AB3F6A" w:rsidRPr="00566B99">
          <w:rPr>
            <w:rStyle w:val="Hyperlink"/>
            <w:color w:val="000000" w:themeColor="text1"/>
            <w:sz w:val="20"/>
            <w:szCs w:val="20"/>
          </w:rPr>
          <w:t>https://www.deere.com.au/assets/pdfs/region-4/parts-and-service/warranty/warranty-statements/AU_wty_statement.pdf</w:t>
        </w:r>
      </w:hyperlink>
      <w:r w:rsidR="007D20BF" w:rsidRPr="00566B99">
        <w:rPr>
          <w:color w:val="000000" w:themeColor="text1"/>
          <w:sz w:val="20"/>
          <w:szCs w:val="20"/>
        </w:rPr>
        <w:t xml:space="preserve">. Similarly, there are restrictions placed on available repairs on wearable devices: </w:t>
      </w:r>
      <w:r w:rsidR="00052607" w:rsidRPr="00566B99">
        <w:rPr>
          <w:color w:val="000000" w:themeColor="text1"/>
          <w:sz w:val="20"/>
          <w:szCs w:val="20"/>
        </w:rPr>
        <w:t xml:space="preserve">see </w:t>
      </w:r>
      <w:r w:rsidR="007D20BF" w:rsidRPr="00566B99">
        <w:rPr>
          <w:color w:val="000000" w:themeColor="text1"/>
          <w:sz w:val="20"/>
          <w:szCs w:val="20"/>
        </w:rPr>
        <w:t>Garmin Watch Repair and Warranty</w:t>
      </w:r>
    </w:p>
    <w:p w14:paraId="74D12C5F" w14:textId="77777777" w:rsidR="007D20BF" w:rsidRPr="00566B99" w:rsidRDefault="007D20BF" w:rsidP="007D20BF">
      <w:pPr>
        <w:pStyle w:val="Heading2"/>
        <w:shd w:val="clear" w:color="auto" w:fill="FFFFFF"/>
        <w:spacing w:before="0"/>
        <w:ind w:left="720"/>
        <w:rPr>
          <w:rFonts w:ascii="Times New Roman" w:hAnsi="Times New Roman" w:cs="Times New Roman"/>
          <w:color w:val="000000" w:themeColor="text1"/>
          <w:sz w:val="20"/>
          <w:szCs w:val="20"/>
        </w:rPr>
      </w:pPr>
      <w:bookmarkStart w:id="0" w:name="Availability-of-Repair-Facilities"/>
      <w:r w:rsidRPr="00566B99">
        <w:rPr>
          <w:rFonts w:ascii="Times New Roman" w:hAnsi="Times New Roman" w:cs="Times New Roman"/>
          <w:color w:val="000000" w:themeColor="text1"/>
          <w:sz w:val="20"/>
          <w:szCs w:val="20"/>
          <w:u w:val="single"/>
        </w:rPr>
        <w:t>Availability of Repair Facilities &amp; Parts, Including Out of Warranty Service</w:t>
      </w:r>
      <w:bookmarkEnd w:id="0"/>
    </w:p>
    <w:p w14:paraId="17A02948" w14:textId="77777777" w:rsidR="007D20BF" w:rsidRPr="00566B99" w:rsidRDefault="007D20BF" w:rsidP="007D20BF">
      <w:pPr>
        <w:pStyle w:val="NormalWeb"/>
        <w:shd w:val="clear" w:color="auto" w:fill="FFFFFF"/>
        <w:spacing w:before="0" w:beforeAutospacing="0" w:after="0" w:afterAutospacing="0"/>
        <w:ind w:left="720"/>
        <w:rPr>
          <w:color w:val="000000" w:themeColor="text1"/>
          <w:sz w:val="20"/>
          <w:szCs w:val="20"/>
        </w:rPr>
      </w:pPr>
      <w:r w:rsidRPr="00566B99">
        <w:rPr>
          <w:color w:val="000000" w:themeColor="text1"/>
          <w:sz w:val="20"/>
          <w:szCs w:val="20"/>
        </w:rPr>
        <w:t xml:space="preserve">Garmin products, including its wearable products, include complex integrated components. </w:t>
      </w:r>
      <w:r w:rsidRPr="00566B99">
        <w:rPr>
          <w:i/>
          <w:iCs/>
          <w:color w:val="000000" w:themeColor="text1"/>
          <w:sz w:val="20"/>
          <w:szCs w:val="20"/>
        </w:rPr>
        <w:t>Repair of integrated component parts, such as cracked screens or broken integrated bands, may not be possible outside of Garmin factory conditions.</w:t>
      </w:r>
      <w:r w:rsidRPr="00566B99">
        <w:rPr>
          <w:color w:val="000000" w:themeColor="text1"/>
          <w:sz w:val="20"/>
          <w:szCs w:val="20"/>
        </w:rPr>
        <w:t xml:space="preserve"> Therefore, facilities or spare parts may not be available for the repair of such components.</w:t>
      </w:r>
    </w:p>
    <w:p w14:paraId="765C70DE" w14:textId="77777777" w:rsidR="007D20BF" w:rsidRPr="00566B99" w:rsidRDefault="007D20BF" w:rsidP="007D20BF">
      <w:pPr>
        <w:ind w:left="720"/>
        <w:jc w:val="both"/>
        <w:rPr>
          <w:color w:val="000000" w:themeColor="text1"/>
          <w:sz w:val="20"/>
          <w:szCs w:val="20"/>
        </w:rPr>
      </w:pPr>
      <w:r w:rsidRPr="00566B99">
        <w:rPr>
          <w:color w:val="000000" w:themeColor="text1"/>
          <w:sz w:val="20"/>
          <w:szCs w:val="20"/>
        </w:rPr>
        <w:t>https://www.garmin.com/en-AU/legal/consumer-warranty-repairs/</w:t>
      </w:r>
    </w:p>
    <w:p w14:paraId="03FD21CB" w14:textId="77777777" w:rsidR="00AB3F6A" w:rsidRPr="00566B99" w:rsidRDefault="00AB3F6A">
      <w:pPr>
        <w:pStyle w:val="FootnoteText"/>
        <w:rPr>
          <w:color w:val="000000" w:themeColor="text1"/>
        </w:rPr>
      </w:pPr>
    </w:p>
  </w:footnote>
  <w:footnote w:id="34">
    <w:p w14:paraId="6B98D334" w14:textId="0117ED85" w:rsidR="004E5C90" w:rsidRPr="00566B99" w:rsidRDefault="004E5C90" w:rsidP="00E40F18">
      <w:pPr>
        <w:pStyle w:val="Heading1"/>
        <w:shd w:val="clear" w:color="auto" w:fill="FFFFFF"/>
        <w:spacing w:before="0" w:beforeAutospacing="0" w:after="0" w:afterAutospacing="0"/>
        <w:ind w:left="720" w:hanging="720"/>
        <w:rPr>
          <w:color w:val="000000" w:themeColor="text1"/>
          <w:sz w:val="20"/>
          <w:szCs w:val="20"/>
        </w:rPr>
      </w:pPr>
      <w:r w:rsidRPr="00566B99">
        <w:rPr>
          <w:rStyle w:val="FootnoteReference"/>
          <w:color w:val="000000" w:themeColor="text1"/>
          <w:sz w:val="20"/>
          <w:szCs w:val="20"/>
        </w:rPr>
        <w:footnoteRef/>
      </w:r>
      <w:r w:rsidRPr="00566B99">
        <w:rPr>
          <w:color w:val="000000" w:themeColor="text1"/>
          <w:sz w:val="20"/>
          <w:szCs w:val="20"/>
        </w:rPr>
        <w:t xml:space="preserve"> </w:t>
      </w:r>
      <w:r w:rsidRPr="00566B99">
        <w:rPr>
          <w:color w:val="000000" w:themeColor="text1"/>
          <w:sz w:val="20"/>
          <w:szCs w:val="20"/>
        </w:rPr>
        <w:tab/>
      </w:r>
      <w:r w:rsidRPr="00566B99">
        <w:rPr>
          <w:b w:val="0"/>
          <w:bCs w:val="0"/>
          <w:color w:val="000000" w:themeColor="text1"/>
          <w:sz w:val="20"/>
          <w:szCs w:val="20"/>
        </w:rPr>
        <w:t xml:space="preserve">Wiseman, L and Sanderson J, </w:t>
      </w:r>
      <w:r w:rsidR="0050194B">
        <w:rPr>
          <w:b w:val="0"/>
          <w:bCs w:val="0"/>
          <w:color w:val="000000" w:themeColor="text1"/>
          <w:sz w:val="20"/>
          <w:szCs w:val="20"/>
        </w:rPr>
        <w:t>note 30.</w:t>
      </w:r>
    </w:p>
    <w:p w14:paraId="60EB72D7" w14:textId="77777777" w:rsidR="004E5C90" w:rsidRPr="00566B99" w:rsidRDefault="004E5C90" w:rsidP="00E40F18">
      <w:pPr>
        <w:pStyle w:val="FootnoteText"/>
        <w:rPr>
          <w:color w:val="000000" w:themeColor="text1"/>
        </w:rPr>
      </w:pPr>
    </w:p>
  </w:footnote>
  <w:footnote w:id="35">
    <w:p w14:paraId="43A1932C" w14:textId="2CFFEA61" w:rsidR="004E5C90" w:rsidRPr="00566B99" w:rsidRDefault="004E5C90" w:rsidP="00E40F18">
      <w:pPr>
        <w:pStyle w:val="FootnoteText"/>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t xml:space="preserve">Editorial Board, ‘What happens when you click ‘Agree?’, </w:t>
      </w:r>
      <w:r w:rsidR="0050194B">
        <w:rPr>
          <w:color w:val="000000" w:themeColor="text1"/>
        </w:rPr>
        <w:t>2021</w:t>
      </w:r>
    </w:p>
    <w:p w14:paraId="2897DC7F" w14:textId="77777777" w:rsidR="004E5C90" w:rsidRPr="00566B99" w:rsidRDefault="004E5C90" w:rsidP="00E40F18">
      <w:pPr>
        <w:pStyle w:val="FootnoteText"/>
        <w:ind w:firstLine="720"/>
        <w:rPr>
          <w:color w:val="000000" w:themeColor="text1"/>
        </w:rPr>
      </w:pPr>
      <w:r w:rsidRPr="00566B99">
        <w:rPr>
          <w:color w:val="000000" w:themeColor="text1"/>
        </w:rPr>
        <w:t xml:space="preserve"> </w:t>
      </w:r>
      <w:hyperlink r:id="rId13" w:history="1">
        <w:r w:rsidRPr="00566B99">
          <w:rPr>
            <w:rStyle w:val="Hyperlink"/>
            <w:color w:val="000000" w:themeColor="text1"/>
          </w:rPr>
          <w:t>https://www.nytimes.com/2021/01/23/opinion/sunday/online-terms-of-service.html</w:t>
        </w:r>
      </w:hyperlink>
    </w:p>
    <w:p w14:paraId="64F2C1FC" w14:textId="77777777" w:rsidR="004E5C90" w:rsidRPr="00566B99" w:rsidRDefault="004E5C90" w:rsidP="00E40F18">
      <w:pPr>
        <w:pStyle w:val="FootnoteText"/>
        <w:rPr>
          <w:color w:val="000000" w:themeColor="text1"/>
        </w:rPr>
      </w:pPr>
    </w:p>
  </w:footnote>
  <w:footnote w:id="36">
    <w:p w14:paraId="5008D62F" w14:textId="3FDFE320" w:rsidR="00AC764D" w:rsidRPr="00566B99" w:rsidRDefault="004E5C90" w:rsidP="00AC764D">
      <w:pPr>
        <w:pStyle w:val="FootnoteText"/>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r>
      <w:r w:rsidR="00AC764D">
        <w:rPr>
          <w:color w:val="000000" w:themeColor="text1"/>
        </w:rPr>
        <w:t xml:space="preserve">Ibid. </w:t>
      </w:r>
    </w:p>
    <w:p w14:paraId="6D32710A" w14:textId="77777777" w:rsidR="004E5C90" w:rsidRPr="00566B99" w:rsidRDefault="004E5C90" w:rsidP="00E40F18">
      <w:pPr>
        <w:pStyle w:val="FootnoteText"/>
        <w:rPr>
          <w:color w:val="000000" w:themeColor="text1"/>
        </w:rPr>
      </w:pPr>
    </w:p>
  </w:footnote>
  <w:footnote w:id="37">
    <w:p w14:paraId="432772C3" w14:textId="52DF1BA6" w:rsidR="00AC764D" w:rsidRPr="00566B99" w:rsidRDefault="004E5C90" w:rsidP="00AC764D">
      <w:pPr>
        <w:pStyle w:val="FootnoteText"/>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r>
      <w:r w:rsidR="00AC764D">
        <w:rPr>
          <w:color w:val="000000" w:themeColor="text1"/>
        </w:rPr>
        <w:t xml:space="preserve">Ibid. </w:t>
      </w:r>
    </w:p>
    <w:p w14:paraId="1CD10CD2" w14:textId="77777777" w:rsidR="004E5C90" w:rsidRPr="00566B99" w:rsidRDefault="004E5C90" w:rsidP="00E40F18">
      <w:pPr>
        <w:pStyle w:val="FootnoteText"/>
        <w:rPr>
          <w:color w:val="000000" w:themeColor="text1"/>
        </w:rPr>
      </w:pPr>
    </w:p>
  </w:footnote>
  <w:footnote w:id="38">
    <w:p w14:paraId="7A3E35E0" w14:textId="1E165803" w:rsidR="00E2529B" w:rsidRPr="00566B99" w:rsidRDefault="00E2529B" w:rsidP="00E2529B">
      <w:pPr>
        <w:pStyle w:val="FootnoteText"/>
        <w:ind w:left="720" w:hanging="720"/>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t xml:space="preserve">Leanne Wiseman, </w:t>
      </w:r>
      <w:r w:rsidR="00AC764D">
        <w:rPr>
          <w:color w:val="000000" w:themeColor="text1"/>
        </w:rPr>
        <w:t xml:space="preserve">note 8. </w:t>
      </w:r>
    </w:p>
    <w:p w14:paraId="5292A804" w14:textId="77777777" w:rsidR="00E2529B" w:rsidRPr="00566B99" w:rsidRDefault="00E2529B">
      <w:pPr>
        <w:pStyle w:val="FootnoteText"/>
        <w:rPr>
          <w:color w:val="000000" w:themeColor="text1"/>
        </w:rPr>
      </w:pPr>
    </w:p>
  </w:footnote>
  <w:footnote w:id="39">
    <w:p w14:paraId="7A950058" w14:textId="62FE5316" w:rsidR="004E5C90" w:rsidRPr="00566B99" w:rsidRDefault="004E5C90" w:rsidP="00E2529B">
      <w:pPr>
        <w:pStyle w:val="FootnoteText"/>
        <w:ind w:left="720" w:hanging="720"/>
        <w:rPr>
          <w:color w:val="000000" w:themeColor="text1"/>
        </w:rPr>
      </w:pPr>
      <w:r w:rsidRPr="00566B99">
        <w:rPr>
          <w:rStyle w:val="FootnoteReference"/>
          <w:color w:val="000000" w:themeColor="text1"/>
        </w:rPr>
        <w:footnoteRef/>
      </w:r>
      <w:r w:rsidRPr="00566B99">
        <w:rPr>
          <w:color w:val="000000" w:themeColor="text1"/>
        </w:rPr>
        <w:t xml:space="preserve"> </w:t>
      </w:r>
      <w:r w:rsidRPr="00566B99">
        <w:rPr>
          <w:color w:val="000000" w:themeColor="text1"/>
        </w:rPr>
        <w:tab/>
        <w:t xml:space="preserve">Revolve logo and label: </w:t>
      </w:r>
      <w:hyperlink r:id="rId14" w:history="1">
        <w:r w:rsidR="00E2529B" w:rsidRPr="00566B99">
          <w:rPr>
            <w:rStyle w:val="Hyperlink"/>
            <w:color w:val="000000" w:themeColor="text1"/>
          </w:rPr>
          <w:t>https://www.zerowastescotland.org.uk/content/revolve-certification</w:t>
        </w:r>
      </w:hyperlink>
      <w:r w:rsidR="00E2529B" w:rsidRPr="00566B99">
        <w:rPr>
          <w:color w:val="000000" w:themeColor="text1"/>
        </w:rPr>
        <w:t xml:space="preserve">. </w:t>
      </w:r>
    </w:p>
  </w:footnote>
  <w:footnote w:id="40">
    <w:p w14:paraId="20B65155" w14:textId="77777777" w:rsidR="00F462DA" w:rsidRDefault="00F462DA">
      <w:pPr>
        <w:pStyle w:val="FootnoteText"/>
      </w:pPr>
    </w:p>
    <w:p w14:paraId="704AACA5" w14:textId="79E1B589" w:rsidR="00F462DA" w:rsidRDefault="00F462DA" w:rsidP="00F462DA">
      <w:pPr>
        <w:pStyle w:val="FootnoteText"/>
        <w:ind w:left="720" w:hanging="720"/>
      </w:pPr>
      <w:r>
        <w:rPr>
          <w:rStyle w:val="FootnoteReference"/>
        </w:rPr>
        <w:footnoteRef/>
      </w:r>
      <w:r>
        <w:t xml:space="preserve">  </w:t>
      </w:r>
      <w:r>
        <w:tab/>
      </w:r>
      <w:r w:rsidRPr="00566B99">
        <w:rPr>
          <w:color w:val="000000" w:themeColor="text1"/>
        </w:rPr>
        <w:t xml:space="preserve">Sanderson and Henriksen’s article, </w:t>
      </w:r>
      <w:r w:rsidRPr="00566B99">
        <w:rPr>
          <w:color w:val="000000" w:themeColor="text1"/>
          <w:shd w:val="clear" w:color="auto" w:fill="FFFFFF"/>
        </w:rPr>
        <w:t>“Certified Repairable: Using </w:t>
      </w:r>
      <w:r w:rsidRPr="00F462DA">
        <w:rPr>
          <w:rStyle w:val="Emphasis"/>
          <w:i w:val="0"/>
          <w:iCs w:val="0"/>
          <w:color w:val="000000" w:themeColor="text1"/>
          <w:shd w:val="clear" w:color="auto" w:fill="FFFFFF"/>
        </w:rPr>
        <w:t>Trade Marks</w:t>
      </w:r>
      <w:r w:rsidRPr="00566B99">
        <w:rPr>
          <w:color w:val="000000" w:themeColor="text1"/>
          <w:shd w:val="clear" w:color="auto" w:fill="FFFFFF"/>
        </w:rPr>
        <w:t> to Distinguish, Signal and Encourage Repair”</w:t>
      </w:r>
      <w:r w:rsidRPr="00F462DA">
        <w:rPr>
          <w:color w:val="000000" w:themeColor="text1"/>
          <w:shd w:val="clear" w:color="auto" w:fill="FFFFFF"/>
        </w:rPr>
        <w:t xml:space="preserve"> </w:t>
      </w:r>
      <w:r w:rsidRPr="00566B99">
        <w:rPr>
          <w:color w:val="000000" w:themeColor="text1"/>
          <w:shd w:val="clear" w:color="auto" w:fill="FFFFFF"/>
        </w:rPr>
        <w:t xml:space="preserve">in </w:t>
      </w:r>
      <w:r w:rsidRPr="00566B99">
        <w:rPr>
          <w:color w:val="000000" w:themeColor="text1"/>
        </w:rPr>
        <w:t>Leanne Wiseman and Kanchana Kariyawasam (eds),</w:t>
      </w:r>
      <w:r w:rsidRPr="00566B99">
        <w:rPr>
          <w:color w:val="000000" w:themeColor="text1"/>
          <w:shd w:val="clear" w:color="auto" w:fill="FFFFFF"/>
        </w:rPr>
        <w:t xml:space="preserve"> ‘Unlocking the Interface between IP and the Right to Repair’ Special Edition,</w:t>
      </w:r>
      <w:r w:rsidRPr="00566B99">
        <w:rPr>
          <w:color w:val="000000" w:themeColor="text1"/>
        </w:rPr>
        <w:t xml:space="preserve"> (2020) 31:2 </w:t>
      </w:r>
      <w:r w:rsidRPr="00566B99">
        <w:rPr>
          <w:i/>
          <w:iCs/>
          <w:color w:val="000000" w:themeColor="text1"/>
        </w:rPr>
        <w:t>Australian Intellectual Property Journal</w:t>
      </w:r>
      <w:r w:rsidRPr="00566B99">
        <w:rPr>
          <w:color w:val="000000" w:themeColor="text1"/>
        </w:rPr>
        <w:t xml:space="preserve"> Special Edition.</w:t>
      </w:r>
    </w:p>
    <w:p w14:paraId="718478D6" w14:textId="77777777" w:rsidR="00F462DA" w:rsidRDefault="00F462DA">
      <w:pPr>
        <w:pStyle w:val="FootnoteText"/>
      </w:pPr>
    </w:p>
  </w:footnote>
  <w:footnote w:id="41">
    <w:p w14:paraId="2F5E020C" w14:textId="03A2D667" w:rsidR="00C6492C" w:rsidRPr="00C6492C" w:rsidRDefault="00C6492C" w:rsidP="00C6492C">
      <w:pPr>
        <w:ind w:left="720" w:hanging="720"/>
        <w:jc w:val="both"/>
        <w:rPr>
          <w:sz w:val="20"/>
          <w:szCs w:val="20"/>
        </w:rPr>
      </w:pPr>
      <w:r w:rsidRPr="00AC764D">
        <w:rPr>
          <w:rStyle w:val="FootnoteReference"/>
          <w:sz w:val="20"/>
          <w:szCs w:val="20"/>
        </w:rPr>
        <w:footnoteRef/>
      </w:r>
      <w:r w:rsidRPr="00AC764D">
        <w:rPr>
          <w:sz w:val="20"/>
          <w:szCs w:val="20"/>
        </w:rPr>
        <w:t xml:space="preserve"> </w:t>
      </w:r>
      <w:r w:rsidRPr="00AC764D">
        <w:rPr>
          <w:sz w:val="20"/>
          <w:szCs w:val="20"/>
        </w:rPr>
        <w:tab/>
      </w:r>
      <w:r w:rsidRPr="00C6492C">
        <w:rPr>
          <w:sz w:val="20"/>
          <w:szCs w:val="20"/>
        </w:rPr>
        <w:t xml:space="preserve">See detailed discussion of: the US approach in Leah Chan Grinvald and Ofer Tur-Sinai, ‘The Right to Repair: Perspectives from the United States’; and the EU approach in Taina Pihlajarinne, ‘European Steps to the Right to Repair: Towards a Comprehensive Approach to a Sustainable Lifespan of Products and Materials?’ in </w:t>
      </w:r>
      <w:r w:rsidRPr="00C6492C">
        <w:rPr>
          <w:color w:val="000000" w:themeColor="text1"/>
          <w:sz w:val="20"/>
          <w:szCs w:val="20"/>
        </w:rPr>
        <w:t>Leanne Wiseman and Kanchana Kariyawasam (eds),</w:t>
      </w:r>
      <w:r w:rsidRPr="00C6492C">
        <w:rPr>
          <w:color w:val="000000" w:themeColor="text1"/>
          <w:sz w:val="20"/>
          <w:szCs w:val="20"/>
          <w:shd w:val="clear" w:color="auto" w:fill="FFFFFF"/>
        </w:rPr>
        <w:t xml:space="preserve"> ‘Unlocking the Interface between IP and the Right to Repair’ Special Edition,</w:t>
      </w:r>
      <w:r w:rsidRPr="00C6492C">
        <w:rPr>
          <w:color w:val="000000" w:themeColor="text1"/>
          <w:sz w:val="20"/>
          <w:szCs w:val="20"/>
        </w:rPr>
        <w:t xml:space="preserve"> (2020) 31:2 </w:t>
      </w:r>
      <w:r w:rsidRPr="00C6492C">
        <w:rPr>
          <w:i/>
          <w:iCs/>
          <w:color w:val="000000" w:themeColor="text1"/>
          <w:sz w:val="20"/>
          <w:szCs w:val="20"/>
        </w:rPr>
        <w:t>Australian Intellectual Property Journal</w:t>
      </w:r>
      <w:r w:rsidRPr="00C6492C">
        <w:rPr>
          <w:color w:val="000000" w:themeColor="text1"/>
          <w:sz w:val="20"/>
          <w:szCs w:val="20"/>
        </w:rPr>
        <w:t xml:space="preserve"> Special Edition.</w:t>
      </w:r>
    </w:p>
    <w:p w14:paraId="2A1E0D9B" w14:textId="77777777" w:rsidR="00C6492C" w:rsidRDefault="00C6492C">
      <w:pPr>
        <w:pStyle w:val="FootnoteText"/>
      </w:pPr>
    </w:p>
  </w:footnote>
  <w:footnote w:id="42">
    <w:p w14:paraId="413B2382" w14:textId="77777777" w:rsidR="004E5C90" w:rsidRPr="00566B99" w:rsidRDefault="004E5C90" w:rsidP="000D751A">
      <w:pPr>
        <w:ind w:left="720" w:hanging="720"/>
        <w:rPr>
          <w:color w:val="000000" w:themeColor="text1"/>
          <w:sz w:val="20"/>
          <w:szCs w:val="20"/>
        </w:rPr>
      </w:pPr>
      <w:r w:rsidRPr="00566B99">
        <w:rPr>
          <w:rStyle w:val="FootnoteReference"/>
          <w:color w:val="000000" w:themeColor="text1"/>
          <w:sz w:val="20"/>
          <w:szCs w:val="20"/>
        </w:rPr>
        <w:footnoteRef/>
      </w:r>
      <w:r w:rsidRPr="00566B99">
        <w:rPr>
          <w:color w:val="000000" w:themeColor="text1"/>
          <w:sz w:val="20"/>
          <w:szCs w:val="20"/>
        </w:rPr>
        <w:t xml:space="preserve"> </w:t>
      </w:r>
      <w:r w:rsidRPr="00566B99">
        <w:rPr>
          <w:color w:val="000000" w:themeColor="text1"/>
          <w:sz w:val="20"/>
          <w:szCs w:val="20"/>
        </w:rPr>
        <w:tab/>
      </w:r>
      <w:r w:rsidRPr="00566B99">
        <w:rPr>
          <w:color w:val="000000" w:themeColor="text1"/>
          <w:sz w:val="20"/>
          <w:szCs w:val="20"/>
          <w:shd w:val="clear" w:color="auto" w:fill="FFFFFF"/>
        </w:rPr>
        <w:t>European Parliament, </w:t>
      </w:r>
      <w:r w:rsidRPr="00566B99">
        <w:rPr>
          <w:rStyle w:val="Emphasis1"/>
          <w:i/>
          <w:iCs/>
          <w:color w:val="000000" w:themeColor="text1"/>
          <w:sz w:val="20"/>
          <w:szCs w:val="20"/>
          <w:bdr w:val="none" w:sz="0" w:space="0" w:color="auto" w:frame="1"/>
          <w:shd w:val="clear" w:color="auto" w:fill="FFFFFF"/>
        </w:rPr>
        <w:t>Towards a More Sustainable Single Market for Business and Consumers, (2020/2021) (INI) Report</w:t>
      </w:r>
      <w:r w:rsidRPr="00566B99">
        <w:rPr>
          <w:color w:val="000000" w:themeColor="text1"/>
          <w:sz w:val="20"/>
          <w:szCs w:val="20"/>
          <w:shd w:val="clear" w:color="auto" w:fill="FFFFFF"/>
        </w:rPr>
        <w:t>,</w:t>
      </w:r>
      <w:r w:rsidRPr="00566B99">
        <w:rPr>
          <w:color w:val="000000" w:themeColor="text1"/>
          <w:sz w:val="20"/>
          <w:szCs w:val="20"/>
        </w:rPr>
        <w:t xml:space="preserve"> </w:t>
      </w:r>
      <w:r w:rsidRPr="00566B99">
        <w:rPr>
          <w:color w:val="000000" w:themeColor="text1"/>
          <w:sz w:val="20"/>
          <w:szCs w:val="20"/>
          <w:shd w:val="clear" w:color="auto" w:fill="FFFFFF"/>
        </w:rPr>
        <w:t>&lt;</w:t>
      </w:r>
      <w:hyperlink r:id="rId15" w:history="1">
        <w:r w:rsidRPr="00566B99">
          <w:rPr>
            <w:rStyle w:val="Hyperlink"/>
            <w:color w:val="000000" w:themeColor="text1"/>
            <w:sz w:val="20"/>
            <w:szCs w:val="20"/>
            <w:bdr w:val="none" w:sz="0" w:space="0" w:color="auto" w:frame="1"/>
            <w:shd w:val="clear" w:color="auto" w:fill="FFFFFF"/>
          </w:rPr>
          <w:t>https://www.europarl.europa.eu/doceo/document/A-9-2020-0209_EN.html</w:t>
        </w:r>
      </w:hyperlink>
      <w:r w:rsidRPr="00566B99">
        <w:rPr>
          <w:color w:val="000000" w:themeColor="text1"/>
          <w:sz w:val="20"/>
          <w:szCs w:val="20"/>
          <w:shd w:val="clear" w:color="auto" w:fill="FFFFFF"/>
        </w:rPr>
        <w:t>&gt;.</w:t>
      </w:r>
    </w:p>
    <w:p w14:paraId="14CE0FAA" w14:textId="77777777" w:rsidR="004E5C90" w:rsidRPr="00566B99" w:rsidRDefault="004E5C90">
      <w:pPr>
        <w:pStyle w:val="FootnoteText"/>
        <w:rPr>
          <w:color w:val="000000" w:themeColor="text1"/>
        </w:rPr>
      </w:pPr>
    </w:p>
  </w:footnote>
  <w:footnote w:id="43">
    <w:p w14:paraId="208A89F2" w14:textId="3008EC17" w:rsidR="0094318F" w:rsidRDefault="0094318F">
      <w:pPr>
        <w:pStyle w:val="FootnoteText"/>
      </w:pPr>
      <w:r>
        <w:rPr>
          <w:rStyle w:val="FootnoteReference"/>
        </w:rPr>
        <w:footnoteRef/>
      </w:r>
      <w:r>
        <w:t xml:space="preserve"> </w:t>
      </w:r>
      <w:r>
        <w:tab/>
        <w:t xml:space="preserve">See articles on Repair at </w:t>
      </w:r>
      <w:r w:rsidRPr="0094318F">
        <w:t>https://www.thefifthestate.com.au/tag/right-to-repair/</w:t>
      </w:r>
    </w:p>
    <w:p w14:paraId="659D64DE" w14:textId="77777777" w:rsidR="0094318F" w:rsidRDefault="0094318F">
      <w:pPr>
        <w:pStyle w:val="FootnoteText"/>
      </w:pPr>
    </w:p>
  </w:footnote>
  <w:footnote w:id="44">
    <w:p w14:paraId="517990F8" w14:textId="74F839C2" w:rsidR="0094318F" w:rsidRPr="0094318F" w:rsidRDefault="0094318F" w:rsidP="0094318F">
      <w:pPr>
        <w:pStyle w:val="FootnoteText"/>
        <w:ind w:left="720" w:hanging="720"/>
      </w:pPr>
      <w:r>
        <w:rPr>
          <w:rStyle w:val="FootnoteReference"/>
        </w:rPr>
        <w:footnoteRef/>
      </w:r>
      <w:r>
        <w:t xml:space="preserve"> </w:t>
      </w:r>
      <w:r>
        <w:tab/>
        <w:t xml:space="preserve">E-Waste Watch, </w:t>
      </w:r>
      <w:r w:rsidRPr="0094318F">
        <w:rPr>
          <w:color w:val="000000" w:themeColor="text1"/>
        </w:rPr>
        <w:t>Reforming the Product Stewardship Act to enable a circular economy, https://ewastewatch.com.au/2019/04/10/product-stewardship-act-circular-economy/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17728"/>
    <w:multiLevelType w:val="hybridMultilevel"/>
    <w:tmpl w:val="7554A850"/>
    <w:lvl w:ilvl="0" w:tplc="31B41C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CC70190"/>
    <w:multiLevelType w:val="hybridMultilevel"/>
    <w:tmpl w:val="0DFE2194"/>
    <w:lvl w:ilvl="0" w:tplc="9CFE63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A32514"/>
    <w:multiLevelType w:val="hybridMultilevel"/>
    <w:tmpl w:val="E436AF34"/>
    <w:lvl w:ilvl="0" w:tplc="9CFE6362">
      <w:start w:val="1"/>
      <w:numFmt w:val="lowerLetter"/>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4C2B5347"/>
    <w:multiLevelType w:val="hybridMultilevel"/>
    <w:tmpl w:val="8B002072"/>
    <w:lvl w:ilvl="0" w:tplc="720CA4D2">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5391433"/>
    <w:multiLevelType w:val="multilevel"/>
    <w:tmpl w:val="3C6A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A25F18"/>
    <w:multiLevelType w:val="multilevel"/>
    <w:tmpl w:val="CD26E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BF"/>
    <w:rsid w:val="00052607"/>
    <w:rsid w:val="000874B6"/>
    <w:rsid w:val="000A4D92"/>
    <w:rsid w:val="000C2128"/>
    <w:rsid w:val="000D72DE"/>
    <w:rsid w:val="000D751A"/>
    <w:rsid w:val="000E72B4"/>
    <w:rsid w:val="00101744"/>
    <w:rsid w:val="00166B43"/>
    <w:rsid w:val="00193914"/>
    <w:rsid w:val="001A58B1"/>
    <w:rsid w:val="0023069D"/>
    <w:rsid w:val="0025009E"/>
    <w:rsid w:val="0026112B"/>
    <w:rsid w:val="002A143B"/>
    <w:rsid w:val="002A3DDD"/>
    <w:rsid w:val="002D75B1"/>
    <w:rsid w:val="00311759"/>
    <w:rsid w:val="00316BF2"/>
    <w:rsid w:val="00342930"/>
    <w:rsid w:val="00347F12"/>
    <w:rsid w:val="00350D88"/>
    <w:rsid w:val="00354AAE"/>
    <w:rsid w:val="0036215C"/>
    <w:rsid w:val="00381ED5"/>
    <w:rsid w:val="003A2EF6"/>
    <w:rsid w:val="003C43CF"/>
    <w:rsid w:val="003F0932"/>
    <w:rsid w:val="00400A75"/>
    <w:rsid w:val="00405C03"/>
    <w:rsid w:val="004121F8"/>
    <w:rsid w:val="00426496"/>
    <w:rsid w:val="004355D3"/>
    <w:rsid w:val="0049235C"/>
    <w:rsid w:val="004A0DC5"/>
    <w:rsid w:val="004B22DB"/>
    <w:rsid w:val="004D4E4C"/>
    <w:rsid w:val="004E5C90"/>
    <w:rsid w:val="004E6D7C"/>
    <w:rsid w:val="0050194B"/>
    <w:rsid w:val="00506110"/>
    <w:rsid w:val="00555AF3"/>
    <w:rsid w:val="00566B99"/>
    <w:rsid w:val="00576CDD"/>
    <w:rsid w:val="00581A31"/>
    <w:rsid w:val="005900B3"/>
    <w:rsid w:val="005A0ECE"/>
    <w:rsid w:val="005B105B"/>
    <w:rsid w:val="005C56B9"/>
    <w:rsid w:val="005C6637"/>
    <w:rsid w:val="005D0581"/>
    <w:rsid w:val="005E6B5C"/>
    <w:rsid w:val="00614C9C"/>
    <w:rsid w:val="00634DCD"/>
    <w:rsid w:val="006540CE"/>
    <w:rsid w:val="006B5951"/>
    <w:rsid w:val="006D12DC"/>
    <w:rsid w:val="006E2D65"/>
    <w:rsid w:val="00711470"/>
    <w:rsid w:val="007263D7"/>
    <w:rsid w:val="0074547C"/>
    <w:rsid w:val="007641D6"/>
    <w:rsid w:val="00787A57"/>
    <w:rsid w:val="007A47F2"/>
    <w:rsid w:val="007A7008"/>
    <w:rsid w:val="007B2BBE"/>
    <w:rsid w:val="007D20BF"/>
    <w:rsid w:val="007F5894"/>
    <w:rsid w:val="00800B14"/>
    <w:rsid w:val="00803627"/>
    <w:rsid w:val="008453B8"/>
    <w:rsid w:val="00877F7B"/>
    <w:rsid w:val="008C2B0F"/>
    <w:rsid w:val="008C4DF4"/>
    <w:rsid w:val="008D12CA"/>
    <w:rsid w:val="00907DCC"/>
    <w:rsid w:val="0094318F"/>
    <w:rsid w:val="009460CB"/>
    <w:rsid w:val="00966C7C"/>
    <w:rsid w:val="009745FF"/>
    <w:rsid w:val="009B6FBF"/>
    <w:rsid w:val="009C03C6"/>
    <w:rsid w:val="00A127C2"/>
    <w:rsid w:val="00A3289B"/>
    <w:rsid w:val="00A45A10"/>
    <w:rsid w:val="00A47B82"/>
    <w:rsid w:val="00A76017"/>
    <w:rsid w:val="00AB3F6A"/>
    <w:rsid w:val="00AB4632"/>
    <w:rsid w:val="00AC6407"/>
    <w:rsid w:val="00AC764D"/>
    <w:rsid w:val="00AD3A4A"/>
    <w:rsid w:val="00B11DD4"/>
    <w:rsid w:val="00B21CA2"/>
    <w:rsid w:val="00B33D01"/>
    <w:rsid w:val="00B44A8A"/>
    <w:rsid w:val="00B54FAE"/>
    <w:rsid w:val="00B613C7"/>
    <w:rsid w:val="00B73B82"/>
    <w:rsid w:val="00B80723"/>
    <w:rsid w:val="00BC71D5"/>
    <w:rsid w:val="00BD6DF8"/>
    <w:rsid w:val="00BE25B8"/>
    <w:rsid w:val="00BE6B90"/>
    <w:rsid w:val="00BE771E"/>
    <w:rsid w:val="00C14AD4"/>
    <w:rsid w:val="00C6492C"/>
    <w:rsid w:val="00C80307"/>
    <w:rsid w:val="00CB7807"/>
    <w:rsid w:val="00CB7B7C"/>
    <w:rsid w:val="00CE2598"/>
    <w:rsid w:val="00CE4347"/>
    <w:rsid w:val="00D0652B"/>
    <w:rsid w:val="00D1160B"/>
    <w:rsid w:val="00D302F5"/>
    <w:rsid w:val="00D37041"/>
    <w:rsid w:val="00D653E7"/>
    <w:rsid w:val="00D81D1C"/>
    <w:rsid w:val="00D83BED"/>
    <w:rsid w:val="00DB6F91"/>
    <w:rsid w:val="00DC306B"/>
    <w:rsid w:val="00DD61B5"/>
    <w:rsid w:val="00E2529B"/>
    <w:rsid w:val="00E40F18"/>
    <w:rsid w:val="00E527BB"/>
    <w:rsid w:val="00E5281E"/>
    <w:rsid w:val="00E968FD"/>
    <w:rsid w:val="00ED0585"/>
    <w:rsid w:val="00EF2957"/>
    <w:rsid w:val="00EF2EF2"/>
    <w:rsid w:val="00F04DFC"/>
    <w:rsid w:val="00F07ADB"/>
    <w:rsid w:val="00F17F8D"/>
    <w:rsid w:val="00F2702E"/>
    <w:rsid w:val="00F43446"/>
    <w:rsid w:val="00F462DA"/>
    <w:rsid w:val="00F54737"/>
    <w:rsid w:val="00F7248B"/>
    <w:rsid w:val="00FA20A0"/>
    <w:rsid w:val="00FA5A26"/>
    <w:rsid w:val="00FB3409"/>
    <w:rsid w:val="00FC01E3"/>
    <w:rsid w:val="00FC5F74"/>
    <w:rsid w:val="00FD2A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5DD49"/>
  <w15:chartTrackingRefBased/>
  <w15:docId w15:val="{51E82D1C-DCA3-EF4F-B08C-69E6EBFE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92C"/>
    <w:rPr>
      <w:rFonts w:ascii="Times New Roman" w:eastAsia="Times New Roman" w:hAnsi="Times New Roman" w:cs="Times New Roman"/>
      <w:lang w:eastAsia="en-GB"/>
    </w:rPr>
  </w:style>
  <w:style w:type="paragraph" w:styleId="Heading1">
    <w:name w:val="heading 1"/>
    <w:basedOn w:val="Normal"/>
    <w:link w:val="Heading1Char"/>
    <w:uiPriority w:val="9"/>
    <w:qFormat/>
    <w:rsid w:val="001A58B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405C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66B9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15C"/>
    <w:rPr>
      <w:sz w:val="18"/>
      <w:szCs w:val="18"/>
    </w:rPr>
  </w:style>
  <w:style w:type="character" w:customStyle="1" w:styleId="BalloonTextChar">
    <w:name w:val="Balloon Text Char"/>
    <w:basedOn w:val="DefaultParagraphFont"/>
    <w:link w:val="BalloonText"/>
    <w:uiPriority w:val="99"/>
    <w:semiHidden/>
    <w:rsid w:val="0036215C"/>
    <w:rPr>
      <w:rFonts w:ascii="Times New Roman" w:hAnsi="Times New Roman" w:cs="Times New Roman"/>
      <w:sz w:val="18"/>
      <w:szCs w:val="18"/>
    </w:rPr>
  </w:style>
  <w:style w:type="paragraph" w:styleId="FootnoteText">
    <w:name w:val="footnote text"/>
    <w:basedOn w:val="Normal"/>
    <w:link w:val="FootnoteTextChar"/>
    <w:uiPriority w:val="99"/>
    <w:unhideWhenUsed/>
    <w:rsid w:val="001A58B1"/>
    <w:rPr>
      <w:sz w:val="20"/>
      <w:szCs w:val="20"/>
    </w:rPr>
  </w:style>
  <w:style w:type="character" w:customStyle="1" w:styleId="FootnoteTextChar">
    <w:name w:val="Footnote Text Char"/>
    <w:basedOn w:val="DefaultParagraphFont"/>
    <w:link w:val="FootnoteText"/>
    <w:uiPriority w:val="99"/>
    <w:rsid w:val="001A58B1"/>
    <w:rPr>
      <w:sz w:val="20"/>
      <w:szCs w:val="20"/>
    </w:rPr>
  </w:style>
  <w:style w:type="character" w:styleId="FootnoteReference">
    <w:name w:val="footnote reference"/>
    <w:basedOn w:val="DefaultParagraphFont"/>
    <w:uiPriority w:val="99"/>
    <w:unhideWhenUsed/>
    <w:rsid w:val="001A58B1"/>
    <w:rPr>
      <w:vertAlign w:val="superscript"/>
    </w:rPr>
  </w:style>
  <w:style w:type="character" w:customStyle="1" w:styleId="Heading1Char">
    <w:name w:val="Heading 1 Char"/>
    <w:basedOn w:val="DefaultParagraphFont"/>
    <w:link w:val="Heading1"/>
    <w:uiPriority w:val="9"/>
    <w:rsid w:val="001A58B1"/>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1A58B1"/>
  </w:style>
  <w:style w:type="character" w:customStyle="1" w:styleId="Subtitle1">
    <w:name w:val="Subtitle1"/>
    <w:basedOn w:val="DefaultParagraphFont"/>
    <w:rsid w:val="001A58B1"/>
  </w:style>
  <w:style w:type="character" w:styleId="Hyperlink">
    <w:name w:val="Hyperlink"/>
    <w:basedOn w:val="DefaultParagraphFont"/>
    <w:uiPriority w:val="99"/>
    <w:unhideWhenUsed/>
    <w:rsid w:val="00FB3409"/>
    <w:rPr>
      <w:color w:val="0563C1" w:themeColor="hyperlink"/>
      <w:u w:val="single"/>
    </w:rPr>
  </w:style>
  <w:style w:type="character" w:styleId="UnresolvedMention">
    <w:name w:val="Unresolved Mention"/>
    <w:basedOn w:val="DefaultParagraphFont"/>
    <w:uiPriority w:val="99"/>
    <w:semiHidden/>
    <w:unhideWhenUsed/>
    <w:rsid w:val="00FB3409"/>
    <w:rPr>
      <w:color w:val="605E5C"/>
      <w:shd w:val="clear" w:color="auto" w:fill="E1DFDD"/>
    </w:rPr>
  </w:style>
  <w:style w:type="paragraph" w:customStyle="1" w:styleId="InformationRequest">
    <w:name w:val="Information Request"/>
    <w:basedOn w:val="Normal"/>
    <w:next w:val="BodyText"/>
    <w:rsid w:val="00FB3409"/>
    <w:pPr>
      <w:keepLines/>
      <w:spacing w:before="120" w:line="280" w:lineRule="atLeast"/>
      <w:jc w:val="both"/>
    </w:pPr>
    <w:rPr>
      <w:rFonts w:ascii="Arial" w:hAnsi="Arial"/>
      <w:i/>
      <w:sz w:val="22"/>
      <w:szCs w:val="20"/>
      <w:lang w:eastAsia="en-AU"/>
    </w:rPr>
  </w:style>
  <w:style w:type="paragraph" w:customStyle="1" w:styleId="InformationRequestTitle">
    <w:name w:val="Information Request Title"/>
    <w:basedOn w:val="Normal"/>
    <w:next w:val="InformationRequest"/>
    <w:rsid w:val="00FB3409"/>
    <w:pPr>
      <w:keepNext/>
      <w:keepLines/>
      <w:spacing w:before="240" w:line="280" w:lineRule="atLeast"/>
      <w:jc w:val="both"/>
    </w:pPr>
    <w:rPr>
      <w:rFonts w:ascii="Arial" w:hAnsi="Arial"/>
      <w:i/>
      <w:caps/>
      <w:sz w:val="18"/>
      <w:szCs w:val="20"/>
      <w:lang w:eastAsia="en-AU"/>
    </w:rPr>
  </w:style>
  <w:style w:type="paragraph" w:styleId="BodyText">
    <w:name w:val="Body Text"/>
    <w:basedOn w:val="Normal"/>
    <w:link w:val="BodyTextChar"/>
    <w:uiPriority w:val="99"/>
    <w:unhideWhenUsed/>
    <w:rsid w:val="00FB3409"/>
    <w:pPr>
      <w:spacing w:after="120"/>
    </w:pPr>
  </w:style>
  <w:style w:type="character" w:customStyle="1" w:styleId="BodyTextChar">
    <w:name w:val="Body Text Char"/>
    <w:basedOn w:val="DefaultParagraphFont"/>
    <w:link w:val="BodyText"/>
    <w:uiPriority w:val="99"/>
    <w:rsid w:val="00FB3409"/>
  </w:style>
  <w:style w:type="paragraph" w:customStyle="1" w:styleId="InformationRequestBullet">
    <w:name w:val="Information Request Bullet"/>
    <w:basedOn w:val="ListBullet"/>
    <w:next w:val="BodyText"/>
    <w:rsid w:val="00FB3409"/>
    <w:pPr>
      <w:spacing w:before="80" w:line="280" w:lineRule="atLeast"/>
      <w:contextualSpacing w:val="0"/>
      <w:jc w:val="both"/>
    </w:pPr>
    <w:rPr>
      <w:rFonts w:ascii="Arial" w:hAnsi="Arial"/>
      <w:i/>
      <w:sz w:val="22"/>
      <w:szCs w:val="20"/>
      <w:lang w:eastAsia="en-AU"/>
    </w:rPr>
  </w:style>
  <w:style w:type="paragraph" w:styleId="ListBullet">
    <w:name w:val="List Bullet"/>
    <w:basedOn w:val="Normal"/>
    <w:uiPriority w:val="99"/>
    <w:semiHidden/>
    <w:unhideWhenUsed/>
    <w:rsid w:val="00FB3409"/>
    <w:pPr>
      <w:ind w:left="360" w:hanging="360"/>
      <w:contextualSpacing/>
    </w:pPr>
  </w:style>
  <w:style w:type="paragraph" w:customStyle="1" w:styleId="Continued">
    <w:name w:val="Continued"/>
    <w:basedOn w:val="Normal"/>
    <w:next w:val="BodyText"/>
    <w:rsid w:val="00FB3409"/>
    <w:pPr>
      <w:spacing w:before="180" w:line="220" w:lineRule="exact"/>
      <w:jc w:val="right"/>
    </w:pPr>
    <w:rPr>
      <w:rFonts w:ascii="Arial" w:hAnsi="Arial"/>
      <w:sz w:val="18"/>
      <w:szCs w:val="20"/>
      <w:lang w:eastAsia="en-AU"/>
    </w:rPr>
  </w:style>
  <w:style w:type="paragraph" w:customStyle="1" w:styleId="BoxSpaceBelow">
    <w:name w:val="Box Space Below"/>
    <w:basedOn w:val="Normal"/>
    <w:rsid w:val="00FB3409"/>
    <w:pPr>
      <w:spacing w:before="60" w:after="60" w:line="80" w:lineRule="exact"/>
      <w:jc w:val="both"/>
    </w:pPr>
    <w:rPr>
      <w:rFonts w:ascii="Arial" w:hAnsi="Arial"/>
      <w:sz w:val="14"/>
      <w:szCs w:val="20"/>
      <w:lang w:eastAsia="en-AU"/>
    </w:rPr>
  </w:style>
  <w:style w:type="paragraph" w:customStyle="1" w:styleId="Space">
    <w:name w:val="Space"/>
    <w:basedOn w:val="Normal"/>
    <w:rsid w:val="00FB3409"/>
    <w:pPr>
      <w:keepNext/>
      <w:spacing w:line="120" w:lineRule="exact"/>
      <w:jc w:val="both"/>
    </w:pPr>
    <w:rPr>
      <w:rFonts w:ascii="Arial" w:hAnsi="Arial"/>
      <w:sz w:val="20"/>
      <w:szCs w:val="20"/>
      <w:lang w:eastAsia="en-AU"/>
    </w:rPr>
  </w:style>
  <w:style w:type="paragraph" w:styleId="ListParagraph">
    <w:name w:val="List Paragraph"/>
    <w:basedOn w:val="Normal"/>
    <w:uiPriority w:val="34"/>
    <w:qFormat/>
    <w:rsid w:val="00F07ADB"/>
    <w:pPr>
      <w:ind w:left="720"/>
      <w:contextualSpacing/>
    </w:pPr>
  </w:style>
  <w:style w:type="paragraph" w:styleId="NormalWeb">
    <w:name w:val="Normal (Web)"/>
    <w:basedOn w:val="Normal"/>
    <w:uiPriority w:val="99"/>
    <w:unhideWhenUsed/>
    <w:rsid w:val="00D83BED"/>
    <w:pPr>
      <w:spacing w:before="100" w:beforeAutospacing="1" w:after="100" w:afterAutospacing="1"/>
    </w:pPr>
  </w:style>
  <w:style w:type="paragraph" w:customStyle="1" w:styleId="paragraph">
    <w:name w:val="paragraph"/>
    <w:basedOn w:val="Normal"/>
    <w:rsid w:val="004B22DB"/>
    <w:pPr>
      <w:spacing w:before="100" w:beforeAutospacing="1" w:after="100" w:afterAutospacing="1"/>
    </w:pPr>
    <w:rPr>
      <w:lang w:eastAsia="en-AU"/>
    </w:rPr>
  </w:style>
  <w:style w:type="character" w:customStyle="1" w:styleId="normaltextrun">
    <w:name w:val="normaltextrun"/>
    <w:basedOn w:val="DefaultParagraphFont"/>
    <w:rsid w:val="004B22DB"/>
  </w:style>
  <w:style w:type="paragraph" w:styleId="Footer">
    <w:name w:val="footer"/>
    <w:basedOn w:val="Normal"/>
    <w:link w:val="FooterChar"/>
    <w:uiPriority w:val="99"/>
    <w:unhideWhenUsed/>
    <w:rsid w:val="00BE771E"/>
    <w:pPr>
      <w:tabs>
        <w:tab w:val="center" w:pos="4680"/>
        <w:tab w:val="right" w:pos="9360"/>
      </w:tabs>
    </w:pPr>
  </w:style>
  <w:style w:type="character" w:customStyle="1" w:styleId="FooterChar">
    <w:name w:val="Footer Char"/>
    <w:basedOn w:val="DefaultParagraphFont"/>
    <w:link w:val="Footer"/>
    <w:uiPriority w:val="99"/>
    <w:rsid w:val="00BE771E"/>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BE771E"/>
  </w:style>
  <w:style w:type="character" w:styleId="FollowedHyperlink">
    <w:name w:val="FollowedHyperlink"/>
    <w:basedOn w:val="DefaultParagraphFont"/>
    <w:uiPriority w:val="99"/>
    <w:semiHidden/>
    <w:unhideWhenUsed/>
    <w:rsid w:val="004D4E4C"/>
    <w:rPr>
      <w:color w:val="954F72" w:themeColor="followedHyperlink"/>
      <w:u w:val="single"/>
    </w:rPr>
  </w:style>
  <w:style w:type="character" w:customStyle="1" w:styleId="Emphasis1">
    <w:name w:val="Emphasis1"/>
    <w:basedOn w:val="DefaultParagraphFont"/>
    <w:rsid w:val="000A4D92"/>
  </w:style>
  <w:style w:type="character" w:customStyle="1" w:styleId="mover">
    <w:name w:val="mover"/>
    <w:basedOn w:val="DefaultParagraphFont"/>
    <w:rsid w:val="000A4D92"/>
  </w:style>
  <w:style w:type="paragraph" w:styleId="NoSpacing">
    <w:name w:val="No Spacing"/>
    <w:uiPriority w:val="1"/>
    <w:qFormat/>
    <w:rsid w:val="00D1160B"/>
    <w:rPr>
      <w:sz w:val="22"/>
      <w:szCs w:val="22"/>
    </w:rPr>
  </w:style>
  <w:style w:type="character" w:styleId="CommentReference">
    <w:name w:val="annotation reference"/>
    <w:basedOn w:val="DefaultParagraphFont"/>
    <w:uiPriority w:val="99"/>
    <w:semiHidden/>
    <w:unhideWhenUsed/>
    <w:rsid w:val="00D1160B"/>
    <w:rPr>
      <w:sz w:val="16"/>
      <w:szCs w:val="16"/>
    </w:rPr>
  </w:style>
  <w:style w:type="paragraph" w:styleId="CommentText">
    <w:name w:val="annotation text"/>
    <w:basedOn w:val="Normal"/>
    <w:link w:val="CommentTextChar"/>
    <w:uiPriority w:val="99"/>
    <w:semiHidden/>
    <w:unhideWhenUsed/>
    <w:rsid w:val="00D1160B"/>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D1160B"/>
    <w:rPr>
      <w:sz w:val="20"/>
      <w:szCs w:val="20"/>
    </w:rPr>
  </w:style>
  <w:style w:type="paragraph" w:customStyle="1" w:styleId="BodyText1">
    <w:name w:val="Body Text1"/>
    <w:basedOn w:val="Normal"/>
    <w:qFormat/>
    <w:rsid w:val="00D1160B"/>
    <w:pPr>
      <w:tabs>
        <w:tab w:val="left" w:pos="284"/>
        <w:tab w:val="left" w:pos="567"/>
      </w:tabs>
      <w:spacing w:after="160" w:line="360" w:lineRule="auto"/>
      <w:ind w:right="522"/>
      <w:jc w:val="both"/>
    </w:pPr>
    <w:rPr>
      <w:rFonts w:eastAsiaTheme="minorHAnsi"/>
      <w:iCs/>
      <w:color w:val="000000"/>
      <w:lang w:eastAsia="en-US"/>
    </w:rPr>
  </w:style>
  <w:style w:type="character" w:customStyle="1" w:styleId="Heading2Char">
    <w:name w:val="Heading 2 Char"/>
    <w:basedOn w:val="DefaultParagraphFont"/>
    <w:link w:val="Heading2"/>
    <w:uiPriority w:val="9"/>
    <w:rsid w:val="00405C03"/>
    <w:rPr>
      <w:rFonts w:asciiTheme="majorHAnsi" w:eastAsiaTheme="majorEastAsia" w:hAnsiTheme="majorHAnsi" w:cstheme="majorBidi"/>
      <w:color w:val="2F5496" w:themeColor="accent1" w:themeShade="BF"/>
      <w:sz w:val="26"/>
      <w:szCs w:val="26"/>
      <w:lang w:eastAsia="en-GB"/>
    </w:rPr>
  </w:style>
  <w:style w:type="paragraph" w:customStyle="1" w:styleId="xmsonormal">
    <w:name w:val="x_msonormal"/>
    <w:basedOn w:val="Normal"/>
    <w:rsid w:val="005C56B9"/>
    <w:pPr>
      <w:spacing w:before="100" w:beforeAutospacing="1" w:after="100" w:afterAutospacing="1"/>
    </w:pPr>
  </w:style>
  <w:style w:type="character" w:styleId="Strong">
    <w:name w:val="Strong"/>
    <w:basedOn w:val="DefaultParagraphFont"/>
    <w:uiPriority w:val="22"/>
    <w:qFormat/>
    <w:rsid w:val="000D72DE"/>
    <w:rPr>
      <w:b/>
      <w:bCs/>
    </w:rPr>
  </w:style>
  <w:style w:type="character" w:styleId="Emphasis">
    <w:name w:val="Emphasis"/>
    <w:basedOn w:val="DefaultParagraphFont"/>
    <w:uiPriority w:val="20"/>
    <w:qFormat/>
    <w:rsid w:val="00E2529B"/>
    <w:rPr>
      <w:i/>
      <w:iCs/>
    </w:rPr>
  </w:style>
  <w:style w:type="character" w:customStyle="1" w:styleId="Heading3Char">
    <w:name w:val="Heading 3 Char"/>
    <w:basedOn w:val="DefaultParagraphFont"/>
    <w:link w:val="Heading3"/>
    <w:uiPriority w:val="9"/>
    <w:semiHidden/>
    <w:rsid w:val="00566B99"/>
    <w:rPr>
      <w:rFonts w:asciiTheme="majorHAnsi" w:eastAsiaTheme="majorEastAsia" w:hAnsiTheme="majorHAnsi" w:cstheme="majorBidi"/>
      <w:color w:val="1F3763" w:themeColor="accent1" w:themeShade="7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69530">
      <w:bodyDiv w:val="1"/>
      <w:marLeft w:val="0"/>
      <w:marRight w:val="0"/>
      <w:marTop w:val="0"/>
      <w:marBottom w:val="0"/>
      <w:divBdr>
        <w:top w:val="none" w:sz="0" w:space="0" w:color="auto"/>
        <w:left w:val="none" w:sz="0" w:space="0" w:color="auto"/>
        <w:bottom w:val="none" w:sz="0" w:space="0" w:color="auto"/>
        <w:right w:val="none" w:sz="0" w:space="0" w:color="auto"/>
      </w:divBdr>
    </w:div>
    <w:div w:id="120654790">
      <w:bodyDiv w:val="1"/>
      <w:marLeft w:val="0"/>
      <w:marRight w:val="0"/>
      <w:marTop w:val="0"/>
      <w:marBottom w:val="0"/>
      <w:divBdr>
        <w:top w:val="none" w:sz="0" w:space="0" w:color="auto"/>
        <w:left w:val="none" w:sz="0" w:space="0" w:color="auto"/>
        <w:bottom w:val="none" w:sz="0" w:space="0" w:color="auto"/>
        <w:right w:val="none" w:sz="0" w:space="0" w:color="auto"/>
      </w:divBdr>
    </w:div>
    <w:div w:id="172915129">
      <w:bodyDiv w:val="1"/>
      <w:marLeft w:val="0"/>
      <w:marRight w:val="0"/>
      <w:marTop w:val="0"/>
      <w:marBottom w:val="0"/>
      <w:divBdr>
        <w:top w:val="none" w:sz="0" w:space="0" w:color="auto"/>
        <w:left w:val="none" w:sz="0" w:space="0" w:color="auto"/>
        <w:bottom w:val="none" w:sz="0" w:space="0" w:color="auto"/>
        <w:right w:val="none" w:sz="0" w:space="0" w:color="auto"/>
      </w:divBdr>
    </w:div>
    <w:div w:id="234515725">
      <w:bodyDiv w:val="1"/>
      <w:marLeft w:val="0"/>
      <w:marRight w:val="0"/>
      <w:marTop w:val="0"/>
      <w:marBottom w:val="0"/>
      <w:divBdr>
        <w:top w:val="none" w:sz="0" w:space="0" w:color="auto"/>
        <w:left w:val="none" w:sz="0" w:space="0" w:color="auto"/>
        <w:bottom w:val="none" w:sz="0" w:space="0" w:color="auto"/>
        <w:right w:val="none" w:sz="0" w:space="0" w:color="auto"/>
      </w:divBdr>
      <w:divsChild>
        <w:div w:id="1338196159">
          <w:marLeft w:val="0"/>
          <w:marRight w:val="360"/>
          <w:marTop w:val="75"/>
          <w:marBottom w:val="0"/>
          <w:divBdr>
            <w:top w:val="single" w:sz="6" w:space="0" w:color="CCCCCC"/>
            <w:left w:val="single" w:sz="6" w:space="0" w:color="CCCCCC"/>
            <w:bottom w:val="single" w:sz="6" w:space="0" w:color="CCCCCC"/>
            <w:right w:val="single" w:sz="6" w:space="0" w:color="CCCCCC"/>
          </w:divBdr>
          <w:divsChild>
            <w:div w:id="2037196031">
              <w:marLeft w:val="0"/>
              <w:marRight w:val="0"/>
              <w:marTop w:val="0"/>
              <w:marBottom w:val="0"/>
              <w:divBdr>
                <w:top w:val="none" w:sz="0" w:space="0" w:color="auto"/>
                <w:left w:val="none" w:sz="0" w:space="0" w:color="auto"/>
                <w:bottom w:val="none" w:sz="0" w:space="0" w:color="auto"/>
                <w:right w:val="none" w:sz="0" w:space="0" w:color="auto"/>
              </w:divBdr>
            </w:div>
          </w:divsChild>
        </w:div>
        <w:div w:id="1746292615">
          <w:marLeft w:val="0"/>
          <w:marRight w:val="0"/>
          <w:marTop w:val="0"/>
          <w:marBottom w:val="0"/>
          <w:divBdr>
            <w:top w:val="none" w:sz="0" w:space="0" w:color="auto"/>
            <w:left w:val="none" w:sz="0" w:space="0" w:color="auto"/>
            <w:bottom w:val="none" w:sz="0" w:space="0" w:color="auto"/>
            <w:right w:val="none" w:sz="0" w:space="0" w:color="auto"/>
          </w:divBdr>
        </w:div>
      </w:divsChild>
    </w:div>
    <w:div w:id="512453589">
      <w:bodyDiv w:val="1"/>
      <w:marLeft w:val="0"/>
      <w:marRight w:val="0"/>
      <w:marTop w:val="0"/>
      <w:marBottom w:val="0"/>
      <w:divBdr>
        <w:top w:val="none" w:sz="0" w:space="0" w:color="auto"/>
        <w:left w:val="none" w:sz="0" w:space="0" w:color="auto"/>
        <w:bottom w:val="none" w:sz="0" w:space="0" w:color="auto"/>
        <w:right w:val="none" w:sz="0" w:space="0" w:color="auto"/>
      </w:divBdr>
    </w:div>
    <w:div w:id="564144584">
      <w:bodyDiv w:val="1"/>
      <w:marLeft w:val="0"/>
      <w:marRight w:val="0"/>
      <w:marTop w:val="0"/>
      <w:marBottom w:val="0"/>
      <w:divBdr>
        <w:top w:val="none" w:sz="0" w:space="0" w:color="auto"/>
        <w:left w:val="none" w:sz="0" w:space="0" w:color="auto"/>
        <w:bottom w:val="none" w:sz="0" w:space="0" w:color="auto"/>
        <w:right w:val="none" w:sz="0" w:space="0" w:color="auto"/>
      </w:divBdr>
    </w:div>
    <w:div w:id="577322775">
      <w:bodyDiv w:val="1"/>
      <w:marLeft w:val="0"/>
      <w:marRight w:val="0"/>
      <w:marTop w:val="0"/>
      <w:marBottom w:val="0"/>
      <w:divBdr>
        <w:top w:val="none" w:sz="0" w:space="0" w:color="auto"/>
        <w:left w:val="none" w:sz="0" w:space="0" w:color="auto"/>
        <w:bottom w:val="none" w:sz="0" w:space="0" w:color="auto"/>
        <w:right w:val="none" w:sz="0" w:space="0" w:color="auto"/>
      </w:divBdr>
    </w:div>
    <w:div w:id="861166603">
      <w:bodyDiv w:val="1"/>
      <w:marLeft w:val="0"/>
      <w:marRight w:val="0"/>
      <w:marTop w:val="0"/>
      <w:marBottom w:val="0"/>
      <w:divBdr>
        <w:top w:val="none" w:sz="0" w:space="0" w:color="auto"/>
        <w:left w:val="none" w:sz="0" w:space="0" w:color="auto"/>
        <w:bottom w:val="none" w:sz="0" w:space="0" w:color="auto"/>
        <w:right w:val="none" w:sz="0" w:space="0" w:color="auto"/>
      </w:divBdr>
    </w:div>
    <w:div w:id="900561725">
      <w:bodyDiv w:val="1"/>
      <w:marLeft w:val="0"/>
      <w:marRight w:val="0"/>
      <w:marTop w:val="0"/>
      <w:marBottom w:val="0"/>
      <w:divBdr>
        <w:top w:val="none" w:sz="0" w:space="0" w:color="auto"/>
        <w:left w:val="none" w:sz="0" w:space="0" w:color="auto"/>
        <w:bottom w:val="none" w:sz="0" w:space="0" w:color="auto"/>
        <w:right w:val="none" w:sz="0" w:space="0" w:color="auto"/>
      </w:divBdr>
    </w:div>
    <w:div w:id="966819319">
      <w:bodyDiv w:val="1"/>
      <w:marLeft w:val="0"/>
      <w:marRight w:val="0"/>
      <w:marTop w:val="0"/>
      <w:marBottom w:val="0"/>
      <w:divBdr>
        <w:top w:val="none" w:sz="0" w:space="0" w:color="auto"/>
        <w:left w:val="none" w:sz="0" w:space="0" w:color="auto"/>
        <w:bottom w:val="none" w:sz="0" w:space="0" w:color="auto"/>
        <w:right w:val="none" w:sz="0" w:space="0" w:color="auto"/>
      </w:divBdr>
    </w:div>
    <w:div w:id="981352718">
      <w:bodyDiv w:val="1"/>
      <w:marLeft w:val="0"/>
      <w:marRight w:val="0"/>
      <w:marTop w:val="0"/>
      <w:marBottom w:val="0"/>
      <w:divBdr>
        <w:top w:val="none" w:sz="0" w:space="0" w:color="auto"/>
        <w:left w:val="none" w:sz="0" w:space="0" w:color="auto"/>
        <w:bottom w:val="none" w:sz="0" w:space="0" w:color="auto"/>
        <w:right w:val="none" w:sz="0" w:space="0" w:color="auto"/>
      </w:divBdr>
    </w:div>
    <w:div w:id="984359869">
      <w:bodyDiv w:val="1"/>
      <w:marLeft w:val="0"/>
      <w:marRight w:val="0"/>
      <w:marTop w:val="0"/>
      <w:marBottom w:val="0"/>
      <w:divBdr>
        <w:top w:val="none" w:sz="0" w:space="0" w:color="auto"/>
        <w:left w:val="none" w:sz="0" w:space="0" w:color="auto"/>
        <w:bottom w:val="none" w:sz="0" w:space="0" w:color="auto"/>
        <w:right w:val="none" w:sz="0" w:space="0" w:color="auto"/>
      </w:divBdr>
    </w:div>
    <w:div w:id="1023245131">
      <w:bodyDiv w:val="1"/>
      <w:marLeft w:val="0"/>
      <w:marRight w:val="0"/>
      <w:marTop w:val="0"/>
      <w:marBottom w:val="0"/>
      <w:divBdr>
        <w:top w:val="none" w:sz="0" w:space="0" w:color="auto"/>
        <w:left w:val="none" w:sz="0" w:space="0" w:color="auto"/>
        <w:bottom w:val="none" w:sz="0" w:space="0" w:color="auto"/>
        <w:right w:val="none" w:sz="0" w:space="0" w:color="auto"/>
      </w:divBdr>
    </w:div>
    <w:div w:id="1128476382">
      <w:bodyDiv w:val="1"/>
      <w:marLeft w:val="0"/>
      <w:marRight w:val="0"/>
      <w:marTop w:val="0"/>
      <w:marBottom w:val="0"/>
      <w:divBdr>
        <w:top w:val="none" w:sz="0" w:space="0" w:color="auto"/>
        <w:left w:val="none" w:sz="0" w:space="0" w:color="auto"/>
        <w:bottom w:val="none" w:sz="0" w:space="0" w:color="auto"/>
        <w:right w:val="none" w:sz="0" w:space="0" w:color="auto"/>
      </w:divBdr>
    </w:div>
    <w:div w:id="1139298194">
      <w:bodyDiv w:val="1"/>
      <w:marLeft w:val="0"/>
      <w:marRight w:val="0"/>
      <w:marTop w:val="0"/>
      <w:marBottom w:val="0"/>
      <w:divBdr>
        <w:top w:val="none" w:sz="0" w:space="0" w:color="auto"/>
        <w:left w:val="none" w:sz="0" w:space="0" w:color="auto"/>
        <w:bottom w:val="none" w:sz="0" w:space="0" w:color="auto"/>
        <w:right w:val="none" w:sz="0" w:space="0" w:color="auto"/>
      </w:divBdr>
    </w:div>
    <w:div w:id="1196457669">
      <w:bodyDiv w:val="1"/>
      <w:marLeft w:val="0"/>
      <w:marRight w:val="0"/>
      <w:marTop w:val="0"/>
      <w:marBottom w:val="0"/>
      <w:divBdr>
        <w:top w:val="none" w:sz="0" w:space="0" w:color="auto"/>
        <w:left w:val="none" w:sz="0" w:space="0" w:color="auto"/>
        <w:bottom w:val="none" w:sz="0" w:space="0" w:color="auto"/>
        <w:right w:val="none" w:sz="0" w:space="0" w:color="auto"/>
      </w:divBdr>
    </w:div>
    <w:div w:id="1239629525">
      <w:bodyDiv w:val="1"/>
      <w:marLeft w:val="0"/>
      <w:marRight w:val="0"/>
      <w:marTop w:val="0"/>
      <w:marBottom w:val="0"/>
      <w:divBdr>
        <w:top w:val="none" w:sz="0" w:space="0" w:color="auto"/>
        <w:left w:val="none" w:sz="0" w:space="0" w:color="auto"/>
        <w:bottom w:val="none" w:sz="0" w:space="0" w:color="auto"/>
        <w:right w:val="none" w:sz="0" w:space="0" w:color="auto"/>
      </w:divBdr>
    </w:div>
    <w:div w:id="1285580053">
      <w:bodyDiv w:val="1"/>
      <w:marLeft w:val="0"/>
      <w:marRight w:val="0"/>
      <w:marTop w:val="0"/>
      <w:marBottom w:val="0"/>
      <w:divBdr>
        <w:top w:val="none" w:sz="0" w:space="0" w:color="auto"/>
        <w:left w:val="none" w:sz="0" w:space="0" w:color="auto"/>
        <w:bottom w:val="none" w:sz="0" w:space="0" w:color="auto"/>
        <w:right w:val="none" w:sz="0" w:space="0" w:color="auto"/>
      </w:divBdr>
    </w:div>
    <w:div w:id="1317805752">
      <w:bodyDiv w:val="1"/>
      <w:marLeft w:val="0"/>
      <w:marRight w:val="0"/>
      <w:marTop w:val="0"/>
      <w:marBottom w:val="0"/>
      <w:divBdr>
        <w:top w:val="none" w:sz="0" w:space="0" w:color="auto"/>
        <w:left w:val="none" w:sz="0" w:space="0" w:color="auto"/>
        <w:bottom w:val="none" w:sz="0" w:space="0" w:color="auto"/>
        <w:right w:val="none" w:sz="0" w:space="0" w:color="auto"/>
      </w:divBdr>
    </w:div>
    <w:div w:id="1356692862">
      <w:bodyDiv w:val="1"/>
      <w:marLeft w:val="0"/>
      <w:marRight w:val="0"/>
      <w:marTop w:val="0"/>
      <w:marBottom w:val="0"/>
      <w:divBdr>
        <w:top w:val="none" w:sz="0" w:space="0" w:color="auto"/>
        <w:left w:val="none" w:sz="0" w:space="0" w:color="auto"/>
        <w:bottom w:val="none" w:sz="0" w:space="0" w:color="auto"/>
        <w:right w:val="none" w:sz="0" w:space="0" w:color="auto"/>
      </w:divBdr>
    </w:div>
    <w:div w:id="1435247036">
      <w:bodyDiv w:val="1"/>
      <w:marLeft w:val="0"/>
      <w:marRight w:val="0"/>
      <w:marTop w:val="0"/>
      <w:marBottom w:val="0"/>
      <w:divBdr>
        <w:top w:val="none" w:sz="0" w:space="0" w:color="auto"/>
        <w:left w:val="none" w:sz="0" w:space="0" w:color="auto"/>
        <w:bottom w:val="none" w:sz="0" w:space="0" w:color="auto"/>
        <w:right w:val="none" w:sz="0" w:space="0" w:color="auto"/>
      </w:divBdr>
    </w:div>
    <w:div w:id="1437483229">
      <w:bodyDiv w:val="1"/>
      <w:marLeft w:val="0"/>
      <w:marRight w:val="0"/>
      <w:marTop w:val="0"/>
      <w:marBottom w:val="0"/>
      <w:divBdr>
        <w:top w:val="none" w:sz="0" w:space="0" w:color="auto"/>
        <w:left w:val="none" w:sz="0" w:space="0" w:color="auto"/>
        <w:bottom w:val="none" w:sz="0" w:space="0" w:color="auto"/>
        <w:right w:val="none" w:sz="0" w:space="0" w:color="auto"/>
      </w:divBdr>
    </w:div>
    <w:div w:id="1452627531">
      <w:bodyDiv w:val="1"/>
      <w:marLeft w:val="0"/>
      <w:marRight w:val="0"/>
      <w:marTop w:val="0"/>
      <w:marBottom w:val="0"/>
      <w:divBdr>
        <w:top w:val="none" w:sz="0" w:space="0" w:color="auto"/>
        <w:left w:val="none" w:sz="0" w:space="0" w:color="auto"/>
        <w:bottom w:val="none" w:sz="0" w:space="0" w:color="auto"/>
        <w:right w:val="none" w:sz="0" w:space="0" w:color="auto"/>
      </w:divBdr>
    </w:div>
    <w:div w:id="1455711075">
      <w:bodyDiv w:val="1"/>
      <w:marLeft w:val="0"/>
      <w:marRight w:val="0"/>
      <w:marTop w:val="0"/>
      <w:marBottom w:val="0"/>
      <w:divBdr>
        <w:top w:val="none" w:sz="0" w:space="0" w:color="auto"/>
        <w:left w:val="none" w:sz="0" w:space="0" w:color="auto"/>
        <w:bottom w:val="none" w:sz="0" w:space="0" w:color="auto"/>
        <w:right w:val="none" w:sz="0" w:space="0" w:color="auto"/>
      </w:divBdr>
    </w:div>
    <w:div w:id="1503009731">
      <w:bodyDiv w:val="1"/>
      <w:marLeft w:val="0"/>
      <w:marRight w:val="0"/>
      <w:marTop w:val="0"/>
      <w:marBottom w:val="0"/>
      <w:divBdr>
        <w:top w:val="none" w:sz="0" w:space="0" w:color="auto"/>
        <w:left w:val="none" w:sz="0" w:space="0" w:color="auto"/>
        <w:bottom w:val="none" w:sz="0" w:space="0" w:color="auto"/>
        <w:right w:val="none" w:sz="0" w:space="0" w:color="auto"/>
      </w:divBdr>
    </w:div>
    <w:div w:id="1529904670">
      <w:bodyDiv w:val="1"/>
      <w:marLeft w:val="0"/>
      <w:marRight w:val="0"/>
      <w:marTop w:val="0"/>
      <w:marBottom w:val="0"/>
      <w:divBdr>
        <w:top w:val="none" w:sz="0" w:space="0" w:color="auto"/>
        <w:left w:val="none" w:sz="0" w:space="0" w:color="auto"/>
        <w:bottom w:val="none" w:sz="0" w:space="0" w:color="auto"/>
        <w:right w:val="none" w:sz="0" w:space="0" w:color="auto"/>
      </w:divBdr>
    </w:div>
    <w:div w:id="1617787877">
      <w:bodyDiv w:val="1"/>
      <w:marLeft w:val="0"/>
      <w:marRight w:val="0"/>
      <w:marTop w:val="0"/>
      <w:marBottom w:val="0"/>
      <w:divBdr>
        <w:top w:val="none" w:sz="0" w:space="0" w:color="auto"/>
        <w:left w:val="none" w:sz="0" w:space="0" w:color="auto"/>
        <w:bottom w:val="none" w:sz="0" w:space="0" w:color="auto"/>
        <w:right w:val="none" w:sz="0" w:space="0" w:color="auto"/>
      </w:divBdr>
    </w:div>
    <w:div w:id="1638948651">
      <w:bodyDiv w:val="1"/>
      <w:marLeft w:val="0"/>
      <w:marRight w:val="0"/>
      <w:marTop w:val="0"/>
      <w:marBottom w:val="0"/>
      <w:divBdr>
        <w:top w:val="none" w:sz="0" w:space="0" w:color="auto"/>
        <w:left w:val="none" w:sz="0" w:space="0" w:color="auto"/>
        <w:bottom w:val="none" w:sz="0" w:space="0" w:color="auto"/>
        <w:right w:val="none" w:sz="0" w:space="0" w:color="auto"/>
      </w:divBdr>
    </w:div>
    <w:div w:id="1642535686">
      <w:bodyDiv w:val="1"/>
      <w:marLeft w:val="0"/>
      <w:marRight w:val="0"/>
      <w:marTop w:val="0"/>
      <w:marBottom w:val="0"/>
      <w:divBdr>
        <w:top w:val="none" w:sz="0" w:space="0" w:color="auto"/>
        <w:left w:val="none" w:sz="0" w:space="0" w:color="auto"/>
        <w:bottom w:val="none" w:sz="0" w:space="0" w:color="auto"/>
        <w:right w:val="none" w:sz="0" w:space="0" w:color="auto"/>
      </w:divBdr>
    </w:div>
    <w:div w:id="1691448761">
      <w:bodyDiv w:val="1"/>
      <w:marLeft w:val="0"/>
      <w:marRight w:val="0"/>
      <w:marTop w:val="0"/>
      <w:marBottom w:val="0"/>
      <w:divBdr>
        <w:top w:val="none" w:sz="0" w:space="0" w:color="auto"/>
        <w:left w:val="none" w:sz="0" w:space="0" w:color="auto"/>
        <w:bottom w:val="none" w:sz="0" w:space="0" w:color="auto"/>
        <w:right w:val="none" w:sz="0" w:space="0" w:color="auto"/>
      </w:divBdr>
    </w:div>
    <w:div w:id="1821848194">
      <w:bodyDiv w:val="1"/>
      <w:marLeft w:val="0"/>
      <w:marRight w:val="0"/>
      <w:marTop w:val="0"/>
      <w:marBottom w:val="0"/>
      <w:divBdr>
        <w:top w:val="none" w:sz="0" w:space="0" w:color="auto"/>
        <w:left w:val="none" w:sz="0" w:space="0" w:color="auto"/>
        <w:bottom w:val="none" w:sz="0" w:space="0" w:color="auto"/>
        <w:right w:val="none" w:sz="0" w:space="0" w:color="auto"/>
      </w:divBdr>
    </w:div>
    <w:div w:id="1949043387">
      <w:bodyDiv w:val="1"/>
      <w:marLeft w:val="0"/>
      <w:marRight w:val="0"/>
      <w:marTop w:val="0"/>
      <w:marBottom w:val="0"/>
      <w:divBdr>
        <w:top w:val="none" w:sz="0" w:space="0" w:color="auto"/>
        <w:left w:val="none" w:sz="0" w:space="0" w:color="auto"/>
        <w:bottom w:val="none" w:sz="0" w:space="0" w:color="auto"/>
        <w:right w:val="none" w:sz="0" w:space="0" w:color="auto"/>
      </w:divBdr>
    </w:div>
    <w:div w:id="2010671408">
      <w:bodyDiv w:val="1"/>
      <w:marLeft w:val="0"/>
      <w:marRight w:val="0"/>
      <w:marTop w:val="0"/>
      <w:marBottom w:val="0"/>
      <w:divBdr>
        <w:top w:val="none" w:sz="0" w:space="0" w:color="auto"/>
        <w:left w:val="none" w:sz="0" w:space="0" w:color="auto"/>
        <w:bottom w:val="none" w:sz="0" w:space="0" w:color="auto"/>
        <w:right w:val="none" w:sz="0" w:space="0" w:color="auto"/>
      </w:divBdr>
    </w:div>
    <w:div w:id="2108889513">
      <w:bodyDiv w:val="1"/>
      <w:marLeft w:val="0"/>
      <w:marRight w:val="0"/>
      <w:marTop w:val="0"/>
      <w:marBottom w:val="0"/>
      <w:divBdr>
        <w:top w:val="none" w:sz="0" w:space="0" w:color="auto"/>
        <w:left w:val="none" w:sz="0" w:space="0" w:color="auto"/>
        <w:bottom w:val="none" w:sz="0" w:space="0" w:color="auto"/>
        <w:right w:val="none" w:sz="0" w:space="0" w:color="auto"/>
      </w:divBdr>
    </w:div>
    <w:div w:id="2133479983">
      <w:bodyDiv w:val="1"/>
      <w:marLeft w:val="0"/>
      <w:marRight w:val="0"/>
      <w:marTop w:val="0"/>
      <w:marBottom w:val="0"/>
      <w:divBdr>
        <w:top w:val="none" w:sz="0" w:space="0" w:color="auto"/>
        <w:left w:val="none" w:sz="0" w:space="0" w:color="auto"/>
        <w:bottom w:val="none" w:sz="0" w:space="0" w:color="auto"/>
        <w:right w:val="none" w:sz="0" w:space="0" w:color="auto"/>
      </w:divBdr>
    </w:div>
    <w:div w:id="21388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acipa.edu.au" TargetMode="External"/><Relationship Id="rId13" Type="http://schemas.openxmlformats.org/officeDocument/2006/relationships/hyperlink" Target="https://www.nytimes.com/2021/01/23/opinion/sunday/online-terms-of-service.html" TargetMode="External"/><Relationship Id="rId3" Type="http://schemas.openxmlformats.org/officeDocument/2006/relationships/hyperlink" Target="https://www.accc.gov.au/focus-areas/agriculture/agricultural-machinery-after-sales-markets" TargetMode="External"/><Relationship Id="rId7" Type="http://schemas.openxmlformats.org/officeDocument/2006/relationships/hyperlink" Target="https://www.hcourt.gov.au/cases/case_s329-2019" TargetMode="External"/><Relationship Id="rId12" Type="http://schemas.openxmlformats.org/officeDocument/2006/relationships/hyperlink" Target="https://www.deere.com.au/assets/pdfs/region-4/parts-and-service/warranty/warranty-statements/AU_wty_statement.pdf" TargetMode="External"/><Relationship Id="rId2" Type="http://schemas.openxmlformats.org/officeDocument/2006/relationships/hyperlink" Target="https://treasury.gov.au/consultation/c2020-128289" TargetMode="External"/><Relationship Id="rId1" Type="http://schemas.openxmlformats.org/officeDocument/2006/relationships/hyperlink" Target="https://uspirg.org/news/usp/new-senate-right-repair-bill-reduce-barriers-fixing-medical-equipment-including-ventilators" TargetMode="External"/><Relationship Id="rId6" Type="http://schemas.openxmlformats.org/officeDocument/2006/relationships/hyperlink" Target="https://treasury.gov.au/consultation/c2020-128289" TargetMode="External"/><Relationship Id="rId11" Type="http://schemas.openxmlformats.org/officeDocument/2006/relationships/hyperlink" Target="https://www.oecd-ilibrary.org/agriculture-and-food/issues-around-data-governance-in-the-digital-transformation-of-agriculture_53ecf2ab-en" TargetMode="External"/><Relationship Id="rId5" Type="http://schemas.openxmlformats.org/officeDocument/2006/relationships/hyperlink" Target="https://www.theguardian.com/sustainable-business/intellectual-property-circular-economy-bmw-apple" TargetMode="External"/><Relationship Id="rId15" Type="http://schemas.openxmlformats.org/officeDocument/2006/relationships/hyperlink" Target="https://www.europarl.europa.eu/doceo/document/A-9-2020-0209_EN.html" TargetMode="External"/><Relationship Id="rId10" Type="http://schemas.openxmlformats.org/officeDocument/2006/relationships/hyperlink" Target="https://acola.org/hs6-future-agricultural-technologies/" TargetMode="External"/><Relationship Id="rId4" Type="http://schemas.openxmlformats.org/officeDocument/2006/relationships/hyperlink" Target="https://theconversation.com/changes-to-contract-laws-could-give-small-farming-businesses-more-control-of-data-and-innovation-69275" TargetMode="External"/><Relationship Id="rId9" Type="http://schemas.openxmlformats.org/officeDocument/2006/relationships/hyperlink" Target="https://epress.lib.uts.edu.au/journals/index.php/ijrlp/article/view/6043" TargetMode="External"/><Relationship Id="rId14" Type="http://schemas.openxmlformats.org/officeDocument/2006/relationships/hyperlink" Target="https://www.zerowastescotland.org.uk/content/revolve-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53c4ecf266eff8786a0591cb68fb90f4">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d0a906f88b630d3477081a3ad24447f2"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RREP-2110725275-2181</_dlc_DocId>
    <_dlc_DocIdUrl xmlns="ffbe827b-229f-4d45-a454-c5723c898f52">
      <Url>https://pcgov.sharepoint.com/teams/repair/_layouts/15/DocIdRedir.aspx?ID=RREP-2110725275-2181</Url>
      <Description>RREP-2110725275-2181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49C5E-9DCD-41B2-A681-E39BE3168CC5}">
  <ds:schemaRefs>
    <ds:schemaRef ds:uri="http://schemas.microsoft.com/sharepoint/events"/>
  </ds:schemaRefs>
</ds:datastoreItem>
</file>

<file path=customXml/itemProps2.xml><?xml version="1.0" encoding="utf-8"?>
<ds:datastoreItem xmlns:ds="http://schemas.openxmlformats.org/officeDocument/2006/customXml" ds:itemID="{19B5EE74-41D3-45FA-898B-6205ECF26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10754-BC69-483B-A064-C5BFB87F65A2}">
  <ds:schemaRefs>
    <ds:schemaRef ds:uri="http://purl.org/dc/elements/1.1/"/>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 ds:uri="http://schemas.microsoft.com/office/infopath/2007/PartnerControls"/>
    <ds:schemaRef ds:uri="0ad56286-c3bf-404c-927b-63d63b20e0ba"/>
    <ds:schemaRef ds:uri="ffbe827b-229f-4d45-a454-c5723c898f52"/>
  </ds:schemaRefs>
</ds:datastoreItem>
</file>

<file path=customXml/itemProps4.xml><?xml version="1.0" encoding="utf-8"?>
<ds:datastoreItem xmlns:ds="http://schemas.openxmlformats.org/officeDocument/2006/customXml" ds:itemID="{43B1F540-AC61-4E6C-8FB7-2CEB39BB2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6631</Words>
  <Characters>37801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Submission 105 - Professor Leanne Wiseman and Dr Kanchana Kariyawasam - Right to Repair - Public inquiry</vt:lpstr>
    </vt:vector>
  </TitlesOfParts>
  <Company>Professor Leanne Wiseman and Dr Kanchana Kariyawasam</Company>
  <LinksUpToDate>false</LinksUpToDate>
  <CharactersWithSpaces>44344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105 - Professor Leanne Wiseman and Dr Kanchana Kariyawasam - Right to Repair - Public inquiry</dc:title>
  <dc:subject/>
  <dc:creator>Professor Leanne Wiseman and Dr Kanchana Kariyawasam</dc:creator>
  <cp:keywords/>
  <dc:description/>
  <cp:lastModifiedBy>Alston, Chris</cp:lastModifiedBy>
  <cp:revision>3</cp:revision>
  <dcterms:created xsi:type="dcterms:W3CDTF">2021-02-09T21:00:00Z</dcterms:created>
  <dcterms:modified xsi:type="dcterms:W3CDTF">2021-02-11T01:21:00Z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b7c46301-7359-42e6-9f4c-3abf3369c0eb</vt:lpwstr>
  </property>
</Properties>
</file>