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613E" w14:textId="77777777" w:rsidR="00894CE7" w:rsidRPr="0010453B" w:rsidRDefault="0010453B" w:rsidP="00172180">
      <w:pPr>
        <w:rPr>
          <w:sz w:val="20"/>
          <w:szCs w:val="20"/>
        </w:rPr>
      </w:pPr>
      <w:r>
        <w:rPr>
          <w:sz w:val="20"/>
          <w:szCs w:val="20"/>
        </w:rPr>
        <w:tab/>
      </w:r>
      <w:r>
        <w:rPr>
          <w:sz w:val="20"/>
          <w:szCs w:val="20"/>
        </w:rPr>
        <w:tab/>
      </w:r>
      <w:r>
        <w:rPr>
          <w:sz w:val="20"/>
          <w:szCs w:val="20"/>
        </w:rPr>
        <w:tab/>
        <w:t xml:space="preserve">       </w:t>
      </w:r>
      <w:r w:rsidR="00894CE7" w:rsidRPr="0010453B">
        <w:rPr>
          <w:sz w:val="20"/>
          <w:szCs w:val="20"/>
        </w:rPr>
        <w:t>ARPTI Submission to Productivity Commission 2022 5-year Productivity Inq</w:t>
      </w:r>
      <w:r w:rsidR="008F14B1" w:rsidRPr="0010453B">
        <w:rPr>
          <w:sz w:val="20"/>
          <w:szCs w:val="20"/>
        </w:rPr>
        <w:t>u</w:t>
      </w:r>
      <w:r w:rsidR="00894CE7" w:rsidRPr="0010453B">
        <w:rPr>
          <w:sz w:val="20"/>
          <w:szCs w:val="20"/>
        </w:rPr>
        <w:t>iry Interim Report</w:t>
      </w:r>
    </w:p>
    <w:p w14:paraId="45C5613F" w14:textId="77777777" w:rsidR="00894CE7" w:rsidRDefault="00894CE7" w:rsidP="00172180">
      <w:pPr>
        <w:rPr>
          <w:b/>
          <w:sz w:val="28"/>
          <w:szCs w:val="28"/>
          <w:u w:val="single"/>
        </w:rPr>
      </w:pPr>
    </w:p>
    <w:p w14:paraId="45C56140" w14:textId="77777777" w:rsidR="00172180" w:rsidRPr="007F309A" w:rsidRDefault="00172180" w:rsidP="0010453B">
      <w:pPr>
        <w:jc w:val="center"/>
        <w:rPr>
          <w:rFonts w:ascii="Arial" w:hAnsi="Arial" w:cs="Arial"/>
          <w:b/>
          <w:sz w:val="24"/>
          <w:szCs w:val="24"/>
        </w:rPr>
      </w:pPr>
      <w:r>
        <w:rPr>
          <w:b/>
          <w:sz w:val="28"/>
          <w:szCs w:val="28"/>
          <w:u w:val="single"/>
        </w:rPr>
        <w:t xml:space="preserve">The </w:t>
      </w:r>
      <w:r w:rsidRPr="007F309A">
        <w:rPr>
          <w:b/>
          <w:sz w:val="28"/>
          <w:szCs w:val="28"/>
          <w:u w:val="single"/>
        </w:rPr>
        <w:t>Association of Retired Principals of Technical Institutions, (ARPTI) Victoria</w:t>
      </w:r>
    </w:p>
    <w:p w14:paraId="45C56141" w14:textId="77777777" w:rsidR="0010453B" w:rsidRDefault="0010453B" w:rsidP="0010453B">
      <w:pPr>
        <w:jc w:val="center"/>
        <w:rPr>
          <w:b/>
          <w:sz w:val="24"/>
          <w:szCs w:val="24"/>
        </w:rPr>
      </w:pPr>
      <w:r>
        <w:rPr>
          <w:b/>
          <w:sz w:val="24"/>
          <w:szCs w:val="24"/>
        </w:rPr>
        <w:t>October 2022</w:t>
      </w:r>
    </w:p>
    <w:p w14:paraId="45C56142" w14:textId="77777777" w:rsidR="00172180" w:rsidRPr="0010453B" w:rsidRDefault="0010453B" w:rsidP="0010453B">
      <w:pPr>
        <w:jc w:val="center"/>
        <w:rPr>
          <w:b/>
          <w:sz w:val="28"/>
          <w:szCs w:val="28"/>
        </w:rPr>
      </w:pPr>
      <w:r w:rsidRPr="0010453B">
        <w:rPr>
          <w:b/>
          <w:sz w:val="28"/>
          <w:szCs w:val="28"/>
        </w:rPr>
        <w:t>Submission in response to the Productivity</w:t>
      </w:r>
      <w:r w:rsidR="00172180" w:rsidRPr="0010453B">
        <w:rPr>
          <w:b/>
          <w:sz w:val="28"/>
          <w:szCs w:val="28"/>
        </w:rPr>
        <w:tab/>
      </w:r>
      <w:r>
        <w:rPr>
          <w:b/>
          <w:sz w:val="28"/>
          <w:szCs w:val="28"/>
        </w:rPr>
        <w:t xml:space="preserve"> </w:t>
      </w:r>
      <w:r w:rsidRPr="0010453B">
        <w:rPr>
          <w:b/>
          <w:sz w:val="28"/>
          <w:szCs w:val="28"/>
        </w:rPr>
        <w:t xml:space="preserve">Commission </w:t>
      </w:r>
      <w:r w:rsidR="00AF77D0">
        <w:rPr>
          <w:b/>
          <w:sz w:val="28"/>
          <w:szCs w:val="28"/>
        </w:rPr>
        <w:t xml:space="preserve">2022 </w:t>
      </w:r>
      <w:r w:rsidRPr="0010453B">
        <w:rPr>
          <w:b/>
          <w:sz w:val="28"/>
          <w:szCs w:val="28"/>
        </w:rPr>
        <w:t>Interim</w:t>
      </w:r>
      <w:r w:rsidR="009C0A6E">
        <w:rPr>
          <w:b/>
          <w:sz w:val="28"/>
          <w:szCs w:val="28"/>
        </w:rPr>
        <w:t xml:space="preserve"> 5</w:t>
      </w:r>
      <w:r w:rsidRPr="0010453B">
        <w:rPr>
          <w:b/>
          <w:sz w:val="28"/>
          <w:szCs w:val="28"/>
        </w:rPr>
        <w:t xml:space="preserve"> Report</w:t>
      </w:r>
      <w:r w:rsidRPr="0010453B">
        <w:rPr>
          <w:b/>
          <w:sz w:val="28"/>
          <w:szCs w:val="28"/>
        </w:rPr>
        <w:br/>
        <w:t>Canberra, September</w:t>
      </w:r>
      <w:r w:rsidR="00AF77D0">
        <w:rPr>
          <w:b/>
          <w:sz w:val="28"/>
          <w:szCs w:val="28"/>
        </w:rPr>
        <w:t>.</w:t>
      </w:r>
    </w:p>
    <w:p w14:paraId="45C56143" w14:textId="77777777" w:rsidR="00172180" w:rsidRDefault="00172180" w:rsidP="0010453B">
      <w:pPr>
        <w:autoSpaceDE w:val="0"/>
        <w:autoSpaceDN w:val="0"/>
        <w:adjustRightInd w:val="0"/>
        <w:spacing w:after="0" w:line="240" w:lineRule="auto"/>
        <w:jc w:val="center"/>
        <w:rPr>
          <w:rFonts w:ascii="Arial-Black" w:hAnsi="Arial-Black" w:cs="Arial-Black"/>
          <w:sz w:val="52"/>
          <w:szCs w:val="52"/>
        </w:rPr>
      </w:pPr>
      <w:r>
        <w:rPr>
          <w:rFonts w:ascii="Arial-Black" w:hAnsi="Arial-Black" w:cs="Arial-Black"/>
          <w:sz w:val="52"/>
          <w:szCs w:val="52"/>
        </w:rPr>
        <w:t>5-year Productivity Inquiry:</w:t>
      </w:r>
    </w:p>
    <w:p w14:paraId="45C56144" w14:textId="77777777" w:rsidR="00172180" w:rsidRDefault="00172180" w:rsidP="0010453B">
      <w:pPr>
        <w:autoSpaceDE w:val="0"/>
        <w:autoSpaceDN w:val="0"/>
        <w:adjustRightInd w:val="0"/>
        <w:spacing w:after="0" w:line="240" w:lineRule="auto"/>
        <w:jc w:val="center"/>
        <w:rPr>
          <w:rFonts w:ascii="Arial-Black" w:hAnsi="Arial-Black" w:cs="Arial-Black"/>
          <w:sz w:val="52"/>
          <w:szCs w:val="52"/>
        </w:rPr>
      </w:pPr>
      <w:r>
        <w:rPr>
          <w:rFonts w:ascii="Arial-Black" w:hAnsi="Arial-Black" w:cs="Arial-Black"/>
          <w:sz w:val="52"/>
          <w:szCs w:val="52"/>
        </w:rPr>
        <w:t>From learning to growth</w:t>
      </w:r>
    </w:p>
    <w:p w14:paraId="45C56145" w14:textId="77777777" w:rsidR="00AF77D0" w:rsidRPr="00AF77D0" w:rsidRDefault="00AF77D0" w:rsidP="00172180">
      <w:pPr>
        <w:rPr>
          <w:b/>
          <w:sz w:val="24"/>
          <w:szCs w:val="24"/>
        </w:rPr>
      </w:pPr>
      <w:r w:rsidRPr="00AF77D0">
        <w:rPr>
          <w:b/>
          <w:sz w:val="24"/>
          <w:szCs w:val="24"/>
        </w:rPr>
        <w:t>Introduction</w:t>
      </w:r>
    </w:p>
    <w:p w14:paraId="45C56146" w14:textId="77777777" w:rsidR="00172180" w:rsidRPr="007D217C" w:rsidRDefault="00AF77D0" w:rsidP="00172180">
      <w:pPr>
        <w:rPr>
          <w:rFonts w:cstheme="minorHAnsi"/>
          <w:sz w:val="24"/>
          <w:szCs w:val="24"/>
        </w:rPr>
      </w:pPr>
      <w:r w:rsidRPr="007D217C">
        <w:rPr>
          <w:rFonts w:cstheme="minorHAnsi"/>
          <w:sz w:val="24"/>
          <w:szCs w:val="24"/>
        </w:rPr>
        <w:t xml:space="preserve">The </w:t>
      </w:r>
      <w:r w:rsidRPr="007D217C">
        <w:rPr>
          <w:rFonts w:cstheme="minorHAnsi"/>
          <w:b/>
          <w:sz w:val="24"/>
          <w:szCs w:val="24"/>
        </w:rPr>
        <w:t>ARPTI</w:t>
      </w:r>
      <w:r w:rsidRPr="007D217C">
        <w:rPr>
          <w:rFonts w:cstheme="minorHAnsi"/>
          <w:sz w:val="24"/>
          <w:szCs w:val="24"/>
        </w:rPr>
        <w:t xml:space="preserve"> has been active for over forty years. It has brought together the interests, expertise and wisdom of leadership in the former Victorian Technical Schools Division, and in many cases, current members have only recently fully retired; members have remained closely engaged with developments in the Education Department, schools and local education programs.</w:t>
      </w:r>
    </w:p>
    <w:p w14:paraId="45C56147" w14:textId="77777777" w:rsidR="002B594B" w:rsidRPr="002B594B" w:rsidRDefault="002B594B" w:rsidP="00172180">
      <w:pPr>
        <w:rPr>
          <w:rFonts w:cstheme="minorHAnsi"/>
          <w:b/>
          <w:sz w:val="24"/>
          <w:szCs w:val="24"/>
        </w:rPr>
      </w:pPr>
      <w:r w:rsidRPr="002B594B">
        <w:rPr>
          <w:rFonts w:cstheme="minorHAnsi"/>
          <w:b/>
          <w:sz w:val="24"/>
          <w:szCs w:val="24"/>
        </w:rPr>
        <w:t>Background</w:t>
      </w:r>
    </w:p>
    <w:p w14:paraId="45C56148" w14:textId="77777777" w:rsidR="00AF77D0" w:rsidRPr="007D217C" w:rsidRDefault="00AF77D0" w:rsidP="00172180">
      <w:pPr>
        <w:rPr>
          <w:rFonts w:cstheme="minorHAnsi"/>
          <w:sz w:val="24"/>
          <w:szCs w:val="24"/>
        </w:rPr>
      </w:pPr>
      <w:r w:rsidRPr="007D217C">
        <w:rPr>
          <w:rFonts w:cstheme="minorHAnsi"/>
          <w:sz w:val="24"/>
          <w:szCs w:val="24"/>
        </w:rPr>
        <w:t>The Association has maintained an interest in and concern about the diminishing availability of skilled personnel in the workforce, particularly tradespeople. Our collective member experience, combined with</w:t>
      </w:r>
      <w:r w:rsidR="00836BC3" w:rsidRPr="007D217C">
        <w:rPr>
          <w:rFonts w:cstheme="minorHAnsi"/>
          <w:sz w:val="24"/>
          <w:szCs w:val="24"/>
        </w:rPr>
        <w:t xml:space="preserve"> up</w:t>
      </w:r>
      <w:r w:rsidR="004729C2">
        <w:rPr>
          <w:rFonts w:cstheme="minorHAnsi"/>
          <w:sz w:val="24"/>
          <w:szCs w:val="24"/>
        </w:rPr>
        <w:t>-</w:t>
      </w:r>
      <w:r w:rsidR="00836BC3" w:rsidRPr="007D217C">
        <w:rPr>
          <w:rFonts w:cstheme="minorHAnsi"/>
          <w:sz w:val="24"/>
          <w:szCs w:val="24"/>
        </w:rPr>
        <w:t>to</w:t>
      </w:r>
      <w:r w:rsidR="004729C2">
        <w:rPr>
          <w:rFonts w:cstheme="minorHAnsi"/>
          <w:sz w:val="24"/>
          <w:szCs w:val="24"/>
        </w:rPr>
        <w:t>-</w:t>
      </w:r>
      <w:r w:rsidR="00836BC3" w:rsidRPr="007D217C">
        <w:rPr>
          <w:rFonts w:cstheme="minorHAnsi"/>
          <w:sz w:val="24"/>
          <w:szCs w:val="24"/>
        </w:rPr>
        <w:t>date knowledge of school staffing shortages in the applied learning areas has led to substantial liaison with relevant personnel, and submissions to ‘</w:t>
      </w:r>
      <w:r w:rsidR="00836BC3" w:rsidRPr="00645159">
        <w:rPr>
          <w:rFonts w:cstheme="minorHAnsi"/>
          <w:sz w:val="24"/>
          <w:szCs w:val="24"/>
          <w:u w:val="single"/>
        </w:rPr>
        <w:t>The National Review of Teacher Registration 2018’</w:t>
      </w:r>
      <w:r w:rsidR="00836BC3" w:rsidRPr="007D217C">
        <w:rPr>
          <w:rFonts w:cstheme="minorHAnsi"/>
          <w:sz w:val="24"/>
          <w:szCs w:val="24"/>
        </w:rPr>
        <w:t xml:space="preserve"> </w:t>
      </w:r>
      <w:r w:rsidR="00074242">
        <w:rPr>
          <w:rFonts w:cstheme="minorHAnsi"/>
          <w:sz w:val="24"/>
          <w:szCs w:val="24"/>
        </w:rPr>
        <w:t>which</w:t>
      </w:r>
      <w:r w:rsidR="00836BC3" w:rsidRPr="007D217C">
        <w:rPr>
          <w:rFonts w:cstheme="minorHAnsi"/>
          <w:sz w:val="24"/>
          <w:szCs w:val="24"/>
        </w:rPr>
        <w:t xml:space="preserve"> the Australian Institute for Teaching and School Leadership</w:t>
      </w:r>
      <w:r w:rsidR="00074242">
        <w:rPr>
          <w:rFonts w:cstheme="minorHAnsi"/>
          <w:sz w:val="24"/>
          <w:szCs w:val="24"/>
        </w:rPr>
        <w:t xml:space="preserve"> (AIT</w:t>
      </w:r>
      <w:r w:rsidR="00EB386A">
        <w:rPr>
          <w:rFonts w:cstheme="minorHAnsi"/>
          <w:sz w:val="24"/>
          <w:szCs w:val="24"/>
        </w:rPr>
        <w:t>SL) was tasked with progressing.</w:t>
      </w:r>
      <w:r w:rsidR="00074242">
        <w:rPr>
          <w:rFonts w:cstheme="minorHAnsi"/>
          <w:sz w:val="24"/>
          <w:szCs w:val="24"/>
        </w:rPr>
        <w:t xml:space="preserve"> </w:t>
      </w:r>
    </w:p>
    <w:p w14:paraId="45C56149" w14:textId="77777777" w:rsidR="00171DA0" w:rsidRPr="007D217C" w:rsidRDefault="00836BC3" w:rsidP="00172180">
      <w:pPr>
        <w:rPr>
          <w:rFonts w:cstheme="minorHAnsi"/>
          <w:sz w:val="24"/>
          <w:szCs w:val="24"/>
        </w:rPr>
      </w:pPr>
      <w:r w:rsidRPr="007D217C">
        <w:rPr>
          <w:rFonts w:cstheme="minorHAnsi"/>
          <w:sz w:val="24"/>
          <w:szCs w:val="24"/>
        </w:rPr>
        <w:t xml:space="preserve">We understand that our inputs to the </w:t>
      </w:r>
      <w:r w:rsidR="00EB386A">
        <w:rPr>
          <w:rFonts w:cstheme="minorHAnsi"/>
          <w:sz w:val="24"/>
          <w:szCs w:val="24"/>
        </w:rPr>
        <w:t>National</w:t>
      </w:r>
      <w:r w:rsidRPr="007D217C">
        <w:rPr>
          <w:rFonts w:cstheme="minorHAnsi"/>
          <w:sz w:val="24"/>
          <w:szCs w:val="24"/>
        </w:rPr>
        <w:t xml:space="preserve"> Review </w:t>
      </w:r>
      <w:r w:rsidR="007D217C">
        <w:rPr>
          <w:rFonts w:cstheme="minorHAnsi"/>
          <w:sz w:val="24"/>
          <w:szCs w:val="24"/>
        </w:rPr>
        <w:t>contributed to the resultant</w:t>
      </w:r>
      <w:r w:rsidRPr="007D217C">
        <w:rPr>
          <w:rFonts w:cstheme="minorHAnsi"/>
          <w:sz w:val="24"/>
          <w:szCs w:val="24"/>
        </w:rPr>
        <w:t xml:space="preserve"> </w:t>
      </w:r>
      <w:r w:rsidR="00627D62">
        <w:rPr>
          <w:rFonts w:cstheme="minorHAnsi"/>
          <w:sz w:val="24"/>
          <w:szCs w:val="24"/>
        </w:rPr>
        <w:t xml:space="preserve">AITSL </w:t>
      </w:r>
      <w:r w:rsidRPr="007D217C">
        <w:rPr>
          <w:rFonts w:cstheme="minorHAnsi"/>
          <w:sz w:val="24"/>
          <w:szCs w:val="24"/>
        </w:rPr>
        <w:t xml:space="preserve">publication </w:t>
      </w:r>
      <w:r w:rsidRPr="00645159">
        <w:rPr>
          <w:rFonts w:cstheme="minorHAnsi"/>
          <w:sz w:val="24"/>
          <w:szCs w:val="24"/>
          <w:u w:val="single"/>
        </w:rPr>
        <w:t>‘One Teaching Profession: Teacher Registration in Australia’</w:t>
      </w:r>
      <w:r w:rsidRPr="007D217C">
        <w:rPr>
          <w:rFonts w:cstheme="minorHAnsi"/>
          <w:sz w:val="24"/>
          <w:szCs w:val="24"/>
        </w:rPr>
        <w:t xml:space="preserve">, </w:t>
      </w:r>
      <w:r w:rsidR="00171DA0" w:rsidRPr="007D217C">
        <w:rPr>
          <w:rFonts w:cstheme="minorHAnsi"/>
          <w:sz w:val="24"/>
          <w:szCs w:val="24"/>
        </w:rPr>
        <w:t xml:space="preserve">and </w:t>
      </w:r>
      <w:r w:rsidR="00074242">
        <w:rPr>
          <w:rFonts w:cstheme="minorHAnsi"/>
          <w:sz w:val="24"/>
          <w:szCs w:val="24"/>
        </w:rPr>
        <w:t xml:space="preserve">of particular note </w:t>
      </w:r>
      <w:r w:rsidR="00EB386A">
        <w:rPr>
          <w:rFonts w:cstheme="minorHAnsi"/>
          <w:sz w:val="24"/>
          <w:szCs w:val="24"/>
        </w:rPr>
        <w:t xml:space="preserve">for ‘applied learning’ in the ‘technical school’ sense </w:t>
      </w:r>
      <w:r w:rsidR="00074242">
        <w:rPr>
          <w:rFonts w:cstheme="minorHAnsi"/>
          <w:sz w:val="24"/>
          <w:szCs w:val="24"/>
        </w:rPr>
        <w:t xml:space="preserve">were: </w:t>
      </w:r>
    </w:p>
    <w:p w14:paraId="45C5614A" w14:textId="77777777" w:rsidR="007D217C" w:rsidRPr="007D217C" w:rsidRDefault="00171DA0" w:rsidP="00172180">
      <w:pPr>
        <w:rPr>
          <w:rFonts w:cstheme="minorHAnsi"/>
          <w:sz w:val="24"/>
          <w:szCs w:val="24"/>
        </w:rPr>
      </w:pPr>
      <w:r w:rsidRPr="007D217C">
        <w:rPr>
          <w:rFonts w:cstheme="minorHAnsi"/>
          <w:sz w:val="24"/>
          <w:szCs w:val="24"/>
        </w:rPr>
        <w:t xml:space="preserve"> R</w:t>
      </w:r>
      <w:r w:rsidR="00836BC3" w:rsidRPr="007D217C">
        <w:rPr>
          <w:rFonts w:cstheme="minorHAnsi"/>
          <w:sz w:val="24"/>
          <w:szCs w:val="24"/>
        </w:rPr>
        <w:t xml:space="preserve">ecommendation </w:t>
      </w:r>
      <w:r w:rsidRPr="007D217C">
        <w:rPr>
          <w:rFonts w:cstheme="minorHAnsi"/>
          <w:sz w:val="24"/>
          <w:szCs w:val="24"/>
        </w:rPr>
        <w:t>16:</w:t>
      </w:r>
      <w:r w:rsidR="00074242">
        <w:rPr>
          <w:rFonts w:cstheme="minorHAnsi"/>
          <w:sz w:val="24"/>
          <w:szCs w:val="24"/>
        </w:rPr>
        <w:br/>
        <w:t>‘</w:t>
      </w:r>
      <w:r w:rsidR="007D217C" w:rsidRPr="007D217C">
        <w:rPr>
          <w:rFonts w:cstheme="minorHAnsi"/>
          <w:sz w:val="24"/>
          <w:szCs w:val="24"/>
        </w:rPr>
        <w:t>Teacher employers, teacher regulatory authorities and initial teacher education providers collaborate to develop pathway programs to teaching qualifications that recognise the VET qualifications, prior learning and the experience of the VET trainer/ assessor and make these available to VET trainer/ assessors employed in schools under alternative authorisation to teach arrangements.</w:t>
      </w:r>
      <w:r w:rsidR="00074242">
        <w:rPr>
          <w:rFonts w:cstheme="minorHAnsi"/>
          <w:sz w:val="24"/>
          <w:szCs w:val="24"/>
        </w:rPr>
        <w:t>’</w:t>
      </w:r>
      <w:r w:rsidR="007D217C" w:rsidRPr="007D217C">
        <w:rPr>
          <w:rFonts w:cstheme="minorHAnsi"/>
          <w:sz w:val="24"/>
          <w:szCs w:val="24"/>
        </w:rPr>
        <w:t xml:space="preserve"> </w:t>
      </w:r>
    </w:p>
    <w:p w14:paraId="45C5614B" w14:textId="77777777" w:rsidR="00171DA0" w:rsidRPr="007D217C" w:rsidRDefault="007D217C" w:rsidP="00172180">
      <w:pPr>
        <w:rPr>
          <w:rFonts w:cstheme="minorHAnsi"/>
          <w:sz w:val="24"/>
          <w:szCs w:val="24"/>
        </w:rPr>
      </w:pPr>
      <w:r w:rsidRPr="007D217C">
        <w:rPr>
          <w:rFonts w:cstheme="minorHAnsi"/>
          <w:sz w:val="24"/>
          <w:szCs w:val="24"/>
        </w:rPr>
        <w:t>Recommendation 17</w:t>
      </w:r>
      <w:r>
        <w:rPr>
          <w:rFonts w:cstheme="minorHAnsi"/>
          <w:sz w:val="24"/>
          <w:szCs w:val="24"/>
        </w:rPr>
        <w:t>:</w:t>
      </w:r>
      <w:r w:rsidR="00074242">
        <w:rPr>
          <w:rFonts w:cstheme="minorHAnsi"/>
          <w:sz w:val="24"/>
          <w:szCs w:val="24"/>
        </w:rPr>
        <w:br/>
      </w:r>
      <w:r w:rsidRPr="007D217C">
        <w:rPr>
          <w:rFonts w:cstheme="minorHAnsi"/>
          <w:sz w:val="24"/>
          <w:szCs w:val="24"/>
        </w:rPr>
        <w:t xml:space="preserve">Include consideration of the workforce challenges and complexities under the current arrangements for VET delivered to senior secondary students in the review into the senior secondary curriculum recommended in </w:t>
      </w:r>
      <w:r w:rsidR="00EB386A">
        <w:rPr>
          <w:rFonts w:cstheme="minorHAnsi"/>
          <w:sz w:val="24"/>
          <w:szCs w:val="24"/>
        </w:rPr>
        <w:t>‘</w:t>
      </w:r>
      <w:r w:rsidRPr="007D217C">
        <w:rPr>
          <w:rFonts w:cstheme="minorHAnsi"/>
          <w:sz w:val="24"/>
          <w:szCs w:val="24"/>
        </w:rPr>
        <w:t>Through Growth to Achievement: Report of the Review to Achieve Educational Excellence in Australian Schools</w:t>
      </w:r>
      <w:r w:rsidR="00074242">
        <w:rPr>
          <w:rFonts w:cstheme="minorHAnsi"/>
          <w:sz w:val="24"/>
          <w:szCs w:val="24"/>
        </w:rPr>
        <w:t>.</w:t>
      </w:r>
      <w:r w:rsidR="00EB386A">
        <w:rPr>
          <w:rFonts w:cstheme="minorHAnsi"/>
          <w:sz w:val="24"/>
          <w:szCs w:val="24"/>
        </w:rPr>
        <w:t>’</w:t>
      </w:r>
    </w:p>
    <w:p w14:paraId="45C5614C" w14:textId="77777777" w:rsidR="00171DA0" w:rsidRDefault="00EB386A" w:rsidP="00172180">
      <w:pPr>
        <w:rPr>
          <w:rFonts w:cstheme="minorHAnsi"/>
          <w:sz w:val="24"/>
          <w:szCs w:val="24"/>
        </w:rPr>
      </w:pPr>
      <w:r>
        <w:rPr>
          <w:rFonts w:cstheme="minorHAnsi"/>
          <w:sz w:val="24"/>
          <w:szCs w:val="24"/>
        </w:rPr>
        <w:t xml:space="preserve">Progressing these recommendations and the subsequent </w:t>
      </w:r>
      <w:r w:rsidRPr="007D217C">
        <w:rPr>
          <w:rFonts w:cstheme="minorHAnsi"/>
          <w:sz w:val="24"/>
          <w:szCs w:val="24"/>
        </w:rPr>
        <w:t>consultation ‘Building a high quality and sustainable dual qualified VET workforce’</w:t>
      </w:r>
      <w:r>
        <w:rPr>
          <w:rFonts w:cstheme="minorHAnsi"/>
          <w:sz w:val="24"/>
          <w:szCs w:val="24"/>
        </w:rPr>
        <w:t xml:space="preserve"> </w:t>
      </w:r>
      <w:r w:rsidR="004A4D11">
        <w:rPr>
          <w:rFonts w:cstheme="minorHAnsi"/>
          <w:sz w:val="24"/>
          <w:szCs w:val="24"/>
        </w:rPr>
        <w:t xml:space="preserve">led to </w:t>
      </w:r>
      <w:r w:rsidRPr="00B70854">
        <w:rPr>
          <w:rFonts w:cstheme="minorHAnsi"/>
          <w:sz w:val="24"/>
          <w:szCs w:val="24"/>
          <w:u w:val="single"/>
        </w:rPr>
        <w:t xml:space="preserve">The Final Report, </w:t>
      </w:r>
      <w:r w:rsidR="004A4D11" w:rsidRPr="00B70854">
        <w:rPr>
          <w:rFonts w:cstheme="minorHAnsi"/>
          <w:sz w:val="24"/>
          <w:szCs w:val="24"/>
          <w:u w:val="single"/>
        </w:rPr>
        <w:t xml:space="preserve">AITSL, </w:t>
      </w:r>
      <w:r w:rsidRPr="00B70854">
        <w:rPr>
          <w:rFonts w:cstheme="minorHAnsi"/>
          <w:sz w:val="24"/>
          <w:szCs w:val="24"/>
          <w:u w:val="single"/>
        </w:rPr>
        <w:t>May 2021</w:t>
      </w:r>
      <w:r w:rsidR="004A4D11" w:rsidRPr="00B70854">
        <w:rPr>
          <w:rFonts w:cstheme="minorHAnsi"/>
          <w:sz w:val="24"/>
          <w:szCs w:val="24"/>
          <w:u w:val="single"/>
        </w:rPr>
        <w:t>.</w:t>
      </w:r>
    </w:p>
    <w:p w14:paraId="45C5614D" w14:textId="77777777" w:rsidR="00D6478C" w:rsidRPr="00D6478C" w:rsidRDefault="00D6478C" w:rsidP="00D6478C">
      <w:pPr>
        <w:rPr>
          <w:rFonts w:cstheme="minorHAnsi"/>
          <w:sz w:val="24"/>
          <w:szCs w:val="24"/>
        </w:rPr>
      </w:pPr>
      <w:r w:rsidRPr="00D6478C">
        <w:rPr>
          <w:rFonts w:cstheme="minorHAnsi"/>
          <w:sz w:val="24"/>
          <w:szCs w:val="24"/>
        </w:rPr>
        <w:t>Broadly, the recommendations place the quality of teaching at the centre of implementing reform in the area of ‘supply, development, and retention of dual qualified (secondary and postsecondary) Vocational Education and Training teachers.</w:t>
      </w:r>
    </w:p>
    <w:p w14:paraId="45C5614E" w14:textId="77777777" w:rsidR="00D6478C" w:rsidRDefault="00D6478C" w:rsidP="00D6478C">
      <w:pPr>
        <w:rPr>
          <w:rFonts w:cstheme="minorHAnsi"/>
          <w:sz w:val="24"/>
          <w:szCs w:val="24"/>
        </w:rPr>
      </w:pPr>
      <w:r w:rsidRPr="00D6478C">
        <w:rPr>
          <w:rFonts w:cstheme="minorHAnsi"/>
          <w:sz w:val="24"/>
          <w:szCs w:val="24"/>
        </w:rPr>
        <w:t xml:space="preserve">The need for Initial Teacher Education (ITE) providers to work with the regulation providers is noted. </w:t>
      </w:r>
    </w:p>
    <w:p w14:paraId="45C5614F" w14:textId="77777777" w:rsidR="007E69C6" w:rsidRPr="00D6478C" w:rsidRDefault="00222266" w:rsidP="00D6478C">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r w:rsidR="007E69C6">
        <w:rPr>
          <w:rFonts w:cstheme="minorHAnsi"/>
          <w:sz w:val="24"/>
          <w:szCs w:val="24"/>
        </w:rPr>
        <w:t>/  2</w:t>
      </w:r>
    </w:p>
    <w:p w14:paraId="45C56150" w14:textId="77777777" w:rsidR="007E69C6" w:rsidRPr="007E69C6" w:rsidRDefault="007E69C6" w:rsidP="00D6478C">
      <w:pPr>
        <w:rPr>
          <w:rFonts w:cstheme="minorHAnsi"/>
          <w:b/>
          <w:sz w:val="24"/>
          <w:szCs w:val="24"/>
        </w:rPr>
      </w:pPr>
      <w:r w:rsidRPr="007E69C6">
        <w:rPr>
          <w:rFonts w:cstheme="minorHAnsi"/>
          <w:b/>
          <w:sz w:val="24"/>
          <w:szCs w:val="24"/>
        </w:rPr>
        <w:lastRenderedPageBreak/>
        <w:t>Page 2</w:t>
      </w:r>
    </w:p>
    <w:p w14:paraId="45C56151" w14:textId="77777777" w:rsidR="00D6478C" w:rsidRPr="00B70854" w:rsidRDefault="00D6478C" w:rsidP="00D6478C">
      <w:pPr>
        <w:rPr>
          <w:rFonts w:cstheme="minorHAnsi"/>
          <w:sz w:val="24"/>
          <w:szCs w:val="24"/>
        </w:rPr>
      </w:pPr>
      <w:r w:rsidRPr="00B70854">
        <w:rPr>
          <w:rFonts w:cstheme="minorHAnsi"/>
          <w:sz w:val="24"/>
          <w:szCs w:val="24"/>
        </w:rPr>
        <w:t>While all 9 recommendations in the report are vital, our Association highlights recommendation 4 as pertinent to our special focus:</w:t>
      </w:r>
    </w:p>
    <w:p w14:paraId="45C56152" w14:textId="77777777" w:rsidR="00D6478C" w:rsidRPr="00B70854" w:rsidRDefault="00D6478C" w:rsidP="00D6478C">
      <w:pPr>
        <w:rPr>
          <w:rFonts w:cstheme="minorHAnsi"/>
          <w:sz w:val="24"/>
          <w:szCs w:val="24"/>
        </w:rPr>
      </w:pPr>
      <w:r w:rsidRPr="00B70854">
        <w:rPr>
          <w:rFonts w:cstheme="minorHAnsi"/>
          <w:sz w:val="24"/>
          <w:szCs w:val="24"/>
        </w:rPr>
        <w:t>Recommendation 4 [Final Report Page 6]</w:t>
      </w:r>
    </w:p>
    <w:p w14:paraId="45C56153" w14:textId="77777777" w:rsidR="00D6478C" w:rsidRPr="00B70854" w:rsidRDefault="00D6478C" w:rsidP="00D6478C">
      <w:pPr>
        <w:rPr>
          <w:i/>
          <w:sz w:val="24"/>
          <w:szCs w:val="24"/>
        </w:rPr>
      </w:pPr>
      <w:r w:rsidRPr="00B70854">
        <w:rPr>
          <w:rFonts w:cstheme="minorHAnsi"/>
          <w:i/>
          <w:sz w:val="24"/>
          <w:szCs w:val="24"/>
        </w:rPr>
        <w:t>Systems, sectors, and schools provide supports for industry professionals and VET trainers/assessors to enter and complete ITE for example:</w:t>
      </w:r>
      <w:r w:rsidRPr="00B70854">
        <w:rPr>
          <w:i/>
          <w:sz w:val="24"/>
          <w:szCs w:val="24"/>
        </w:rPr>
        <w:t xml:space="preserve"> </w:t>
      </w:r>
      <w:r w:rsidRPr="00B70854">
        <w:rPr>
          <w:i/>
          <w:sz w:val="24"/>
          <w:szCs w:val="24"/>
        </w:rPr>
        <w:br/>
        <w:t xml:space="preserve">• Establish mentoring arrangements for qualified teachers to mentor VET trainers/assessors seeking teaching qualifications. </w:t>
      </w:r>
      <w:r w:rsidRPr="00B70854">
        <w:rPr>
          <w:i/>
          <w:sz w:val="24"/>
          <w:szCs w:val="24"/>
        </w:rPr>
        <w:br/>
        <w:t xml:space="preserve">• Create and support communities of practice embedding external supports for VET trainers/assessors seeking teaching qualifications. </w:t>
      </w:r>
      <w:r w:rsidRPr="00B70854">
        <w:rPr>
          <w:i/>
          <w:sz w:val="24"/>
          <w:szCs w:val="24"/>
        </w:rPr>
        <w:br/>
        <w:t xml:space="preserve">• Provide varied induction and onboarding that meets the respective context and experience of the industry professionals and VET trainers/assessors. </w:t>
      </w:r>
      <w:r w:rsidRPr="00B70854">
        <w:rPr>
          <w:i/>
          <w:sz w:val="24"/>
          <w:szCs w:val="24"/>
        </w:rPr>
        <w:br/>
        <w:t xml:space="preserve">• Establish scholarships to provide financial support to industry professionals and VET trainers/assessors undertaking ITE programs. </w:t>
      </w:r>
    </w:p>
    <w:p w14:paraId="45C56154" w14:textId="77777777" w:rsidR="00645159" w:rsidRPr="00B70854" w:rsidRDefault="00645159" w:rsidP="00D6478C">
      <w:pPr>
        <w:rPr>
          <w:b/>
          <w:sz w:val="24"/>
          <w:szCs w:val="24"/>
        </w:rPr>
      </w:pPr>
      <w:r w:rsidRPr="00B70854">
        <w:rPr>
          <w:b/>
          <w:sz w:val="24"/>
          <w:szCs w:val="24"/>
        </w:rPr>
        <w:t>Association Focus</w:t>
      </w:r>
    </w:p>
    <w:p w14:paraId="45C56155" w14:textId="77777777" w:rsidR="00F35CCE" w:rsidRPr="00B70854" w:rsidRDefault="00531012" w:rsidP="00F35CCE">
      <w:pPr>
        <w:rPr>
          <w:sz w:val="24"/>
          <w:szCs w:val="24"/>
        </w:rPr>
      </w:pPr>
      <w:r>
        <w:rPr>
          <w:sz w:val="24"/>
          <w:szCs w:val="24"/>
        </w:rPr>
        <w:t>From a productivity point of view, i</w:t>
      </w:r>
      <w:r w:rsidR="004729C2">
        <w:rPr>
          <w:sz w:val="24"/>
          <w:szCs w:val="24"/>
        </w:rPr>
        <w:t xml:space="preserve">t is absolutely apparent </w:t>
      </w:r>
      <w:r>
        <w:rPr>
          <w:sz w:val="24"/>
          <w:szCs w:val="24"/>
        </w:rPr>
        <w:t xml:space="preserve">that there is a current extreme </w:t>
      </w:r>
      <w:r w:rsidR="00641FDC" w:rsidRPr="00B70854">
        <w:rPr>
          <w:sz w:val="24"/>
          <w:szCs w:val="24"/>
        </w:rPr>
        <w:t>shortage of skilled workers in the trades</w:t>
      </w:r>
      <w:r w:rsidR="00627D62">
        <w:rPr>
          <w:sz w:val="24"/>
          <w:szCs w:val="24"/>
        </w:rPr>
        <w:t>, technologies</w:t>
      </w:r>
      <w:r w:rsidR="00641FDC" w:rsidRPr="00B70854">
        <w:rPr>
          <w:sz w:val="24"/>
          <w:szCs w:val="24"/>
        </w:rPr>
        <w:t xml:space="preserve"> and allied applied le</w:t>
      </w:r>
      <w:r w:rsidR="00F35CCE" w:rsidRPr="00B70854">
        <w:rPr>
          <w:sz w:val="24"/>
          <w:szCs w:val="24"/>
        </w:rPr>
        <w:t>arning areas</w:t>
      </w:r>
      <w:r>
        <w:rPr>
          <w:sz w:val="24"/>
          <w:szCs w:val="24"/>
        </w:rPr>
        <w:t xml:space="preserve">. </w:t>
      </w:r>
      <w:r w:rsidR="00F35CCE" w:rsidRPr="00B70854">
        <w:rPr>
          <w:sz w:val="24"/>
          <w:szCs w:val="24"/>
        </w:rPr>
        <w:t xml:space="preserve"> </w:t>
      </w:r>
      <w:r>
        <w:rPr>
          <w:sz w:val="24"/>
          <w:szCs w:val="24"/>
        </w:rPr>
        <w:t>One obvious reason for this is</w:t>
      </w:r>
      <w:r w:rsidR="00F35CCE" w:rsidRPr="00B70854">
        <w:rPr>
          <w:sz w:val="24"/>
          <w:szCs w:val="24"/>
        </w:rPr>
        <w:t xml:space="preserve"> that many of </w:t>
      </w:r>
      <w:r>
        <w:rPr>
          <w:sz w:val="24"/>
          <w:szCs w:val="24"/>
        </w:rPr>
        <w:t>our willing and capable youth</w:t>
      </w:r>
      <w:r w:rsidR="00641FDC" w:rsidRPr="00B70854">
        <w:rPr>
          <w:sz w:val="24"/>
          <w:szCs w:val="24"/>
        </w:rPr>
        <w:t xml:space="preserve"> </w:t>
      </w:r>
      <w:r w:rsidR="00F35CCE" w:rsidRPr="00B70854">
        <w:rPr>
          <w:sz w:val="24"/>
          <w:szCs w:val="24"/>
        </w:rPr>
        <w:t xml:space="preserve">are not </w:t>
      </w:r>
      <w:r w:rsidR="000C3594">
        <w:rPr>
          <w:sz w:val="24"/>
          <w:szCs w:val="24"/>
        </w:rPr>
        <w:t>receiving</w:t>
      </w:r>
      <w:r w:rsidR="00F35CCE" w:rsidRPr="00B70854">
        <w:rPr>
          <w:sz w:val="24"/>
          <w:szCs w:val="24"/>
        </w:rPr>
        <w:t xml:space="preserve"> the encouragement and support to learn </w:t>
      </w:r>
      <w:r>
        <w:rPr>
          <w:sz w:val="24"/>
          <w:szCs w:val="24"/>
        </w:rPr>
        <w:t>the foundation</w:t>
      </w:r>
      <w:r w:rsidR="00F35CCE" w:rsidRPr="00B70854">
        <w:rPr>
          <w:sz w:val="24"/>
          <w:szCs w:val="24"/>
        </w:rPr>
        <w:t xml:space="preserve"> </w:t>
      </w:r>
      <w:r w:rsidR="00627D62">
        <w:rPr>
          <w:sz w:val="24"/>
          <w:szCs w:val="24"/>
        </w:rPr>
        <w:t>skills and competencies</w:t>
      </w:r>
      <w:r w:rsidR="00F35CCE" w:rsidRPr="00B70854">
        <w:rPr>
          <w:sz w:val="24"/>
          <w:szCs w:val="24"/>
        </w:rPr>
        <w:t xml:space="preserve"> from an early stage of their secondary education. A skilled </w:t>
      </w:r>
      <w:r w:rsidR="00627D62">
        <w:rPr>
          <w:sz w:val="24"/>
          <w:szCs w:val="24"/>
        </w:rPr>
        <w:t xml:space="preserve">and productive </w:t>
      </w:r>
      <w:r w:rsidR="00F35CCE" w:rsidRPr="00B70854">
        <w:rPr>
          <w:sz w:val="24"/>
          <w:szCs w:val="24"/>
        </w:rPr>
        <w:t xml:space="preserve">workforce comes from young people being trained, and </w:t>
      </w:r>
      <w:r w:rsidR="00F35CCE" w:rsidRPr="00531012">
        <w:rPr>
          <w:sz w:val="24"/>
          <w:szCs w:val="24"/>
        </w:rPr>
        <w:t>that requires</w:t>
      </w:r>
      <w:r w:rsidR="00F35CCE" w:rsidRPr="00B70854">
        <w:rPr>
          <w:sz w:val="24"/>
          <w:szCs w:val="24"/>
          <w:u w:val="single"/>
        </w:rPr>
        <w:t xml:space="preserve"> suitably qualified teachers in every school</w:t>
      </w:r>
      <w:r w:rsidR="00243F36">
        <w:rPr>
          <w:sz w:val="24"/>
          <w:szCs w:val="24"/>
          <w:u w:val="single"/>
        </w:rPr>
        <w:t xml:space="preserve"> - teachers</w:t>
      </w:r>
      <w:r w:rsidR="00F35CCE" w:rsidRPr="00B70854">
        <w:rPr>
          <w:sz w:val="24"/>
          <w:szCs w:val="24"/>
          <w:u w:val="single"/>
        </w:rPr>
        <w:t xml:space="preserve"> who can motivate and support </w:t>
      </w:r>
      <w:r w:rsidR="00243F36">
        <w:rPr>
          <w:sz w:val="24"/>
          <w:szCs w:val="24"/>
          <w:u w:val="single"/>
        </w:rPr>
        <w:t xml:space="preserve">student </w:t>
      </w:r>
      <w:r w:rsidR="00F35CCE" w:rsidRPr="00B70854">
        <w:rPr>
          <w:sz w:val="24"/>
          <w:szCs w:val="24"/>
          <w:u w:val="single"/>
        </w:rPr>
        <w:t>development in these areas.</w:t>
      </w:r>
      <w:r w:rsidR="00792AF8">
        <w:rPr>
          <w:sz w:val="24"/>
          <w:szCs w:val="24"/>
          <w:u w:val="single"/>
        </w:rPr>
        <w:t xml:space="preserve"> </w:t>
      </w:r>
    </w:p>
    <w:p w14:paraId="45C56156" w14:textId="77777777" w:rsidR="00D6478C" w:rsidRPr="00B70854" w:rsidRDefault="00D6478C" w:rsidP="00D6478C">
      <w:pPr>
        <w:rPr>
          <w:sz w:val="24"/>
          <w:szCs w:val="24"/>
        </w:rPr>
      </w:pPr>
      <w:r w:rsidRPr="00B70854">
        <w:rPr>
          <w:sz w:val="24"/>
          <w:szCs w:val="24"/>
        </w:rPr>
        <w:t xml:space="preserve">The relatively recent development of </w:t>
      </w:r>
      <w:r w:rsidR="00645159" w:rsidRPr="00B70854">
        <w:rPr>
          <w:sz w:val="24"/>
          <w:szCs w:val="24"/>
        </w:rPr>
        <w:t xml:space="preserve">the Victorian Certificate of Applied </w:t>
      </w:r>
      <w:r w:rsidR="00645159" w:rsidRPr="00243F36">
        <w:rPr>
          <w:sz w:val="24"/>
          <w:szCs w:val="24"/>
        </w:rPr>
        <w:t>Learning [VCAL] has provided an avenue for students</w:t>
      </w:r>
      <w:r w:rsidR="00154688" w:rsidRPr="00243F36">
        <w:rPr>
          <w:sz w:val="24"/>
          <w:szCs w:val="24"/>
        </w:rPr>
        <w:t xml:space="preserve"> to move to a course that has a greater focus on ‘applied learning’</w:t>
      </w:r>
      <w:r w:rsidR="000C3594" w:rsidRPr="00243F36">
        <w:rPr>
          <w:sz w:val="24"/>
          <w:szCs w:val="24"/>
        </w:rPr>
        <w:t>. However</w:t>
      </w:r>
      <w:r w:rsidR="00154688" w:rsidRPr="00243F36">
        <w:rPr>
          <w:sz w:val="24"/>
          <w:szCs w:val="24"/>
        </w:rPr>
        <w:t xml:space="preserve"> </w:t>
      </w:r>
      <w:r w:rsidR="00F35CCE" w:rsidRPr="00243F36">
        <w:rPr>
          <w:sz w:val="24"/>
          <w:szCs w:val="24"/>
        </w:rPr>
        <w:t xml:space="preserve">our </w:t>
      </w:r>
      <w:r w:rsidR="00154688" w:rsidRPr="00243F36">
        <w:rPr>
          <w:sz w:val="24"/>
          <w:szCs w:val="24"/>
        </w:rPr>
        <w:t xml:space="preserve">visits to schools indicate that </w:t>
      </w:r>
      <w:r w:rsidR="00243F36">
        <w:rPr>
          <w:sz w:val="24"/>
          <w:szCs w:val="24"/>
        </w:rPr>
        <w:t>t</w:t>
      </w:r>
      <w:r w:rsidR="00154688" w:rsidRPr="00243F36">
        <w:rPr>
          <w:sz w:val="24"/>
          <w:szCs w:val="24"/>
        </w:rPr>
        <w:t>oo often there is a shortage of teachers experienced</w:t>
      </w:r>
      <w:r w:rsidR="00154688" w:rsidRPr="00B70854">
        <w:rPr>
          <w:sz w:val="24"/>
          <w:szCs w:val="24"/>
        </w:rPr>
        <w:t xml:space="preserve"> in the practical nature of much of the applied learning focus. Indeed, due to the shortage of vocationally trained teachers, some </w:t>
      </w:r>
      <w:r w:rsidR="000C3594">
        <w:rPr>
          <w:sz w:val="24"/>
          <w:szCs w:val="24"/>
        </w:rPr>
        <w:t xml:space="preserve">school </w:t>
      </w:r>
      <w:r w:rsidR="00154688" w:rsidRPr="00B70854">
        <w:rPr>
          <w:sz w:val="24"/>
          <w:szCs w:val="24"/>
        </w:rPr>
        <w:t xml:space="preserve">staff </w:t>
      </w:r>
      <w:r w:rsidR="000C3594">
        <w:rPr>
          <w:sz w:val="24"/>
          <w:szCs w:val="24"/>
        </w:rPr>
        <w:t xml:space="preserve">members </w:t>
      </w:r>
      <w:r w:rsidR="00154688" w:rsidRPr="00B70854">
        <w:rPr>
          <w:sz w:val="24"/>
          <w:szCs w:val="24"/>
        </w:rPr>
        <w:t>have been given teaching loads in areas they would prefer not to be</w:t>
      </w:r>
      <w:r w:rsidR="000C3594">
        <w:rPr>
          <w:sz w:val="24"/>
          <w:szCs w:val="24"/>
        </w:rPr>
        <w:t xml:space="preserve">. </w:t>
      </w:r>
      <w:r w:rsidR="008E77E3" w:rsidRPr="00B70854">
        <w:rPr>
          <w:sz w:val="24"/>
          <w:szCs w:val="24"/>
        </w:rPr>
        <w:t>This has been detrimental for both staff and students.</w:t>
      </w:r>
      <w:r w:rsidR="00792AF8">
        <w:rPr>
          <w:sz w:val="24"/>
          <w:szCs w:val="24"/>
        </w:rPr>
        <w:t xml:space="preserve"> The former Technical Schools Division apprentice approach to teacher training was hugely successful in providing </w:t>
      </w:r>
      <w:r w:rsidR="002134B8">
        <w:rPr>
          <w:sz w:val="24"/>
          <w:szCs w:val="24"/>
        </w:rPr>
        <w:t>concurrent</w:t>
      </w:r>
      <w:r w:rsidR="00792AF8">
        <w:rPr>
          <w:sz w:val="24"/>
          <w:szCs w:val="24"/>
        </w:rPr>
        <w:t xml:space="preserve"> ‘in school’ and ‘at teacher’s college’ </w:t>
      </w:r>
      <w:r w:rsidR="0094405C">
        <w:rPr>
          <w:sz w:val="24"/>
          <w:szCs w:val="24"/>
        </w:rPr>
        <w:t xml:space="preserve">training and mentor </w:t>
      </w:r>
      <w:r w:rsidR="00792AF8">
        <w:rPr>
          <w:sz w:val="24"/>
          <w:szCs w:val="24"/>
        </w:rPr>
        <w:t>support.</w:t>
      </w:r>
    </w:p>
    <w:p w14:paraId="45C56157" w14:textId="77777777" w:rsidR="00B70854" w:rsidRDefault="00B70854" w:rsidP="00D6478C">
      <w:pPr>
        <w:rPr>
          <w:sz w:val="24"/>
          <w:szCs w:val="24"/>
        </w:rPr>
      </w:pPr>
      <w:r>
        <w:rPr>
          <w:sz w:val="24"/>
          <w:szCs w:val="24"/>
        </w:rPr>
        <w:t>The move toward integration of the VCAL initiative under the VCE umbrella is to be applauded. A highly likely outcome will be to have more stud</w:t>
      </w:r>
      <w:r w:rsidR="008D3B56">
        <w:rPr>
          <w:sz w:val="24"/>
          <w:szCs w:val="24"/>
        </w:rPr>
        <w:t>ents (and parents) happy for participation in the VCE Vocational Major, and at lower levels the Victorian Pathways Certificate. For ultimate success, more appropriately trained / qualified staff</w:t>
      </w:r>
      <w:r>
        <w:rPr>
          <w:sz w:val="24"/>
          <w:szCs w:val="24"/>
        </w:rPr>
        <w:t xml:space="preserve"> </w:t>
      </w:r>
      <w:r w:rsidR="008D3B56">
        <w:rPr>
          <w:sz w:val="24"/>
          <w:szCs w:val="24"/>
        </w:rPr>
        <w:t>will be needed.</w:t>
      </w:r>
    </w:p>
    <w:p w14:paraId="45C56158" w14:textId="77777777" w:rsidR="00641FDC" w:rsidRPr="00B70854" w:rsidRDefault="00D6478C" w:rsidP="00D6478C">
      <w:pPr>
        <w:rPr>
          <w:sz w:val="24"/>
          <w:szCs w:val="24"/>
        </w:rPr>
      </w:pPr>
      <w:r w:rsidRPr="00B70854">
        <w:rPr>
          <w:sz w:val="24"/>
          <w:szCs w:val="24"/>
        </w:rPr>
        <w:t>Association consultations in schools have led to concern</w:t>
      </w:r>
      <w:r w:rsidR="008E77E3" w:rsidRPr="00B70854">
        <w:rPr>
          <w:sz w:val="24"/>
          <w:szCs w:val="24"/>
        </w:rPr>
        <w:t>s regarding the temporary certif</w:t>
      </w:r>
      <w:r w:rsidRPr="00B70854">
        <w:rPr>
          <w:sz w:val="24"/>
          <w:szCs w:val="24"/>
        </w:rPr>
        <w:t>i</w:t>
      </w:r>
      <w:r w:rsidR="008E77E3" w:rsidRPr="00B70854">
        <w:rPr>
          <w:sz w:val="24"/>
          <w:szCs w:val="24"/>
        </w:rPr>
        <w:t>ca</w:t>
      </w:r>
      <w:r w:rsidRPr="00B70854">
        <w:rPr>
          <w:sz w:val="24"/>
          <w:szCs w:val="24"/>
        </w:rPr>
        <w:t xml:space="preserve">tion of </w:t>
      </w:r>
      <w:r w:rsidR="00F35CCE" w:rsidRPr="00B70854">
        <w:rPr>
          <w:sz w:val="24"/>
          <w:szCs w:val="24"/>
        </w:rPr>
        <w:t xml:space="preserve">TAFE </w:t>
      </w:r>
      <w:r w:rsidRPr="00B70854">
        <w:rPr>
          <w:sz w:val="24"/>
          <w:szCs w:val="24"/>
        </w:rPr>
        <w:t xml:space="preserve">trained trade instructors under </w:t>
      </w:r>
      <w:r w:rsidR="00F35CCE" w:rsidRPr="00B70854">
        <w:rPr>
          <w:sz w:val="24"/>
          <w:szCs w:val="24"/>
        </w:rPr>
        <w:t>the ‘permission to Teach’ certification process -</w:t>
      </w:r>
      <w:r w:rsidRPr="00B70854">
        <w:rPr>
          <w:sz w:val="24"/>
          <w:szCs w:val="24"/>
        </w:rPr>
        <w:t xml:space="preserve"> a temporary passport to teaching in a secondary environment.</w:t>
      </w:r>
      <w:r w:rsidR="008E77E3" w:rsidRPr="00B70854">
        <w:rPr>
          <w:sz w:val="24"/>
          <w:szCs w:val="24"/>
        </w:rPr>
        <w:t xml:space="preserve"> </w:t>
      </w:r>
      <w:r w:rsidR="00641FDC" w:rsidRPr="00B70854">
        <w:rPr>
          <w:sz w:val="24"/>
          <w:szCs w:val="24"/>
        </w:rPr>
        <w:t xml:space="preserve">This is </w:t>
      </w:r>
      <w:r w:rsidR="00CB309B" w:rsidRPr="00B70854">
        <w:rPr>
          <w:sz w:val="24"/>
          <w:szCs w:val="24"/>
        </w:rPr>
        <w:t xml:space="preserve">excellent in some circumstances but </w:t>
      </w:r>
      <w:r w:rsidR="00641FDC" w:rsidRPr="00B70854">
        <w:rPr>
          <w:sz w:val="24"/>
          <w:szCs w:val="24"/>
        </w:rPr>
        <w:t>not long term</w:t>
      </w:r>
      <w:r w:rsidR="00CC753E">
        <w:rPr>
          <w:sz w:val="24"/>
          <w:szCs w:val="24"/>
        </w:rPr>
        <w:t xml:space="preserve">. </w:t>
      </w:r>
      <w:r w:rsidR="00641FDC" w:rsidRPr="00B70854">
        <w:rPr>
          <w:sz w:val="24"/>
          <w:szCs w:val="24"/>
        </w:rPr>
        <w:t xml:space="preserve"> </w:t>
      </w:r>
    </w:p>
    <w:p w14:paraId="45C56159" w14:textId="77777777" w:rsidR="008D3B56" w:rsidRPr="008D3B56" w:rsidRDefault="008D3B56" w:rsidP="00D6478C">
      <w:pPr>
        <w:rPr>
          <w:b/>
          <w:sz w:val="24"/>
          <w:szCs w:val="24"/>
        </w:rPr>
      </w:pPr>
      <w:r w:rsidRPr="008D3B56">
        <w:rPr>
          <w:b/>
          <w:sz w:val="24"/>
          <w:szCs w:val="24"/>
        </w:rPr>
        <w:t xml:space="preserve">Next </w:t>
      </w:r>
      <w:r w:rsidRPr="00243F36">
        <w:rPr>
          <w:b/>
          <w:sz w:val="24"/>
          <w:szCs w:val="24"/>
        </w:rPr>
        <w:t>Steps</w:t>
      </w:r>
    </w:p>
    <w:p w14:paraId="45C5615A" w14:textId="77777777" w:rsidR="00641FDC" w:rsidRPr="00B70854" w:rsidRDefault="00641FDC" w:rsidP="00D6478C">
      <w:pPr>
        <w:rPr>
          <w:sz w:val="24"/>
          <w:szCs w:val="24"/>
        </w:rPr>
      </w:pPr>
      <w:r w:rsidRPr="00B70854">
        <w:rPr>
          <w:sz w:val="24"/>
          <w:szCs w:val="24"/>
          <w:u w:val="single"/>
        </w:rPr>
        <w:t xml:space="preserve">A bottom line requirement is for there to be National </w:t>
      </w:r>
      <w:r w:rsidR="00805263">
        <w:rPr>
          <w:sz w:val="24"/>
          <w:szCs w:val="24"/>
          <w:u w:val="single"/>
        </w:rPr>
        <w:t xml:space="preserve">and State </w:t>
      </w:r>
      <w:r w:rsidRPr="00B70854">
        <w:rPr>
          <w:sz w:val="24"/>
          <w:szCs w:val="24"/>
          <w:u w:val="single"/>
        </w:rPr>
        <w:t xml:space="preserve">funding to support the attraction of young </w:t>
      </w:r>
      <w:r w:rsidR="00792AF8">
        <w:rPr>
          <w:sz w:val="24"/>
          <w:szCs w:val="24"/>
          <w:u w:val="single"/>
        </w:rPr>
        <w:t xml:space="preserve">and mature </w:t>
      </w:r>
      <w:r w:rsidRPr="00B70854">
        <w:rPr>
          <w:sz w:val="24"/>
          <w:szCs w:val="24"/>
          <w:u w:val="single"/>
        </w:rPr>
        <w:t xml:space="preserve">people prepared to undertake study and experience in their chosen </w:t>
      </w:r>
      <w:r w:rsidR="00222266">
        <w:rPr>
          <w:sz w:val="24"/>
          <w:szCs w:val="24"/>
          <w:u w:val="single"/>
        </w:rPr>
        <w:t>field</w:t>
      </w:r>
      <w:r w:rsidR="00B3275C" w:rsidRPr="00B70854">
        <w:rPr>
          <w:sz w:val="24"/>
          <w:szCs w:val="24"/>
          <w:u w:val="single"/>
        </w:rPr>
        <w:t xml:space="preserve"> with a view to ultimately qualifying </w:t>
      </w:r>
      <w:r w:rsidRPr="00B70854">
        <w:rPr>
          <w:sz w:val="24"/>
          <w:szCs w:val="24"/>
          <w:u w:val="single"/>
        </w:rPr>
        <w:t>as a teacher</w:t>
      </w:r>
      <w:r w:rsidR="007E69C6" w:rsidRPr="007E69C6">
        <w:rPr>
          <w:sz w:val="24"/>
          <w:szCs w:val="24"/>
        </w:rPr>
        <w:t xml:space="preserve"> -</w:t>
      </w:r>
      <w:r w:rsidRPr="007E69C6">
        <w:rPr>
          <w:sz w:val="24"/>
          <w:szCs w:val="24"/>
        </w:rPr>
        <w:t xml:space="preserve"> </w:t>
      </w:r>
      <w:r w:rsidR="007E69C6">
        <w:rPr>
          <w:sz w:val="24"/>
          <w:szCs w:val="24"/>
        </w:rPr>
        <w:t>a</w:t>
      </w:r>
      <w:r w:rsidR="00B3275C" w:rsidRPr="00B70854">
        <w:rPr>
          <w:sz w:val="24"/>
          <w:szCs w:val="24"/>
        </w:rPr>
        <w:t xml:space="preserve">nd preferably ‘dual qualified’ for TAFE </w:t>
      </w:r>
      <w:r w:rsidR="007E69C6">
        <w:rPr>
          <w:sz w:val="24"/>
          <w:szCs w:val="24"/>
        </w:rPr>
        <w:t>and</w:t>
      </w:r>
      <w:r w:rsidR="00B3275C" w:rsidRPr="00B70854">
        <w:rPr>
          <w:sz w:val="24"/>
          <w:szCs w:val="24"/>
        </w:rPr>
        <w:t xml:space="preserve"> secondary environments. Early identification of teaching candidates </w:t>
      </w:r>
      <w:r w:rsidRPr="00B70854">
        <w:rPr>
          <w:sz w:val="24"/>
          <w:szCs w:val="24"/>
        </w:rPr>
        <w:t xml:space="preserve">was the Studentship initiative undertaken in Victoria whereby </w:t>
      </w:r>
      <w:r w:rsidR="00805263">
        <w:rPr>
          <w:sz w:val="24"/>
          <w:szCs w:val="24"/>
        </w:rPr>
        <w:t xml:space="preserve">suitable </w:t>
      </w:r>
      <w:r w:rsidRPr="00B70854">
        <w:rPr>
          <w:sz w:val="24"/>
          <w:szCs w:val="24"/>
        </w:rPr>
        <w:t xml:space="preserve">young people were </w:t>
      </w:r>
      <w:r w:rsidR="00222266">
        <w:rPr>
          <w:sz w:val="24"/>
          <w:szCs w:val="24"/>
        </w:rPr>
        <w:t>attracted into teaching</w:t>
      </w:r>
      <w:r w:rsidRPr="00B70854">
        <w:rPr>
          <w:sz w:val="24"/>
          <w:szCs w:val="24"/>
        </w:rPr>
        <w:t xml:space="preserve"> with financial support through their studies, </w:t>
      </w:r>
      <w:r w:rsidR="00B3275C" w:rsidRPr="00B70854">
        <w:rPr>
          <w:sz w:val="24"/>
          <w:szCs w:val="24"/>
        </w:rPr>
        <w:t xml:space="preserve">and their industrial experience </w:t>
      </w:r>
      <w:r w:rsidR="00805263">
        <w:rPr>
          <w:sz w:val="24"/>
          <w:szCs w:val="24"/>
        </w:rPr>
        <w:t xml:space="preserve">knowing they had a </w:t>
      </w:r>
      <w:r w:rsidR="00222266">
        <w:rPr>
          <w:sz w:val="24"/>
          <w:szCs w:val="24"/>
        </w:rPr>
        <w:t xml:space="preserve">certain </w:t>
      </w:r>
      <w:r w:rsidR="00805263">
        <w:rPr>
          <w:sz w:val="24"/>
          <w:szCs w:val="24"/>
        </w:rPr>
        <w:t>pathway l</w:t>
      </w:r>
      <w:r w:rsidRPr="00B70854">
        <w:rPr>
          <w:sz w:val="24"/>
          <w:szCs w:val="24"/>
        </w:rPr>
        <w:t xml:space="preserve">eading to </w:t>
      </w:r>
      <w:r w:rsidR="00222266">
        <w:rPr>
          <w:sz w:val="24"/>
          <w:szCs w:val="24"/>
        </w:rPr>
        <w:t xml:space="preserve">a </w:t>
      </w:r>
      <w:r w:rsidRPr="00B70854">
        <w:rPr>
          <w:sz w:val="24"/>
          <w:szCs w:val="24"/>
        </w:rPr>
        <w:t>teaching</w:t>
      </w:r>
      <w:r w:rsidR="00222266">
        <w:rPr>
          <w:sz w:val="24"/>
          <w:szCs w:val="24"/>
        </w:rPr>
        <w:t xml:space="preserve"> career</w:t>
      </w:r>
      <w:r w:rsidRPr="00B70854">
        <w:rPr>
          <w:sz w:val="24"/>
          <w:szCs w:val="24"/>
        </w:rPr>
        <w:t>.</w:t>
      </w:r>
    </w:p>
    <w:p w14:paraId="45C5615B" w14:textId="77777777" w:rsidR="007E69C6" w:rsidRDefault="007E69C6" w:rsidP="00CB30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w:t>
      </w:r>
    </w:p>
    <w:p w14:paraId="45C5615C" w14:textId="77777777" w:rsidR="007E69C6" w:rsidRDefault="007E69C6" w:rsidP="00CB309B">
      <w:pPr>
        <w:rPr>
          <w:sz w:val="24"/>
          <w:szCs w:val="24"/>
        </w:rPr>
      </w:pPr>
      <w:r>
        <w:rPr>
          <w:sz w:val="24"/>
          <w:szCs w:val="24"/>
        </w:rPr>
        <w:t>Page 3</w:t>
      </w:r>
    </w:p>
    <w:p w14:paraId="45C5615D" w14:textId="77777777" w:rsidR="00AF77D0" w:rsidRPr="00222266" w:rsidRDefault="008E77E3" w:rsidP="00805263">
      <w:pPr>
        <w:rPr>
          <w:rFonts w:cstheme="minorHAnsi"/>
          <w:sz w:val="24"/>
          <w:szCs w:val="24"/>
        </w:rPr>
      </w:pPr>
      <w:r w:rsidRPr="00B70854">
        <w:rPr>
          <w:sz w:val="24"/>
          <w:szCs w:val="24"/>
        </w:rPr>
        <w:t xml:space="preserve">Association representatives have met with senior Deakin University personnel from Warrnambool and </w:t>
      </w:r>
      <w:proofErr w:type="spellStart"/>
      <w:r w:rsidRPr="00B70854">
        <w:rPr>
          <w:sz w:val="24"/>
          <w:szCs w:val="24"/>
        </w:rPr>
        <w:t>Waurn</w:t>
      </w:r>
      <w:proofErr w:type="spellEnd"/>
      <w:r w:rsidRPr="00B70854">
        <w:rPr>
          <w:sz w:val="24"/>
          <w:szCs w:val="24"/>
        </w:rPr>
        <w:t xml:space="preserve"> Ponds. Deakin is in our opinion to be congratulated on their </w:t>
      </w:r>
      <w:r w:rsidR="00B83655" w:rsidRPr="00B70854">
        <w:rPr>
          <w:sz w:val="24"/>
          <w:szCs w:val="24"/>
        </w:rPr>
        <w:t>current delivery of</w:t>
      </w:r>
      <w:r w:rsidR="00CB309B" w:rsidRPr="00B70854">
        <w:rPr>
          <w:sz w:val="24"/>
          <w:szCs w:val="24"/>
        </w:rPr>
        <w:t xml:space="preserve"> the </w:t>
      </w:r>
      <w:r w:rsidR="00C67BB6" w:rsidRPr="00B70854">
        <w:rPr>
          <w:rFonts w:cstheme="minorHAnsi"/>
          <w:sz w:val="24"/>
          <w:szCs w:val="24"/>
          <w:u w:val="single"/>
        </w:rPr>
        <w:t>Graduate Certificate of Adult, Vocational Education and Training</w:t>
      </w:r>
      <w:r w:rsidR="00CB309B" w:rsidRPr="00B70854">
        <w:rPr>
          <w:rFonts w:cstheme="minorHAnsi"/>
          <w:sz w:val="24"/>
          <w:szCs w:val="24"/>
        </w:rPr>
        <w:t xml:space="preserve"> </w:t>
      </w:r>
      <w:r w:rsidR="00B3275C" w:rsidRPr="00B70854">
        <w:rPr>
          <w:rFonts w:cstheme="minorHAnsi"/>
          <w:sz w:val="24"/>
          <w:szCs w:val="24"/>
        </w:rPr>
        <w:t>[</w:t>
      </w:r>
      <w:r w:rsidR="00C67BB6" w:rsidRPr="00B70854">
        <w:rPr>
          <w:rFonts w:cstheme="minorHAnsi"/>
          <w:sz w:val="24"/>
          <w:szCs w:val="24"/>
        </w:rPr>
        <w:t>GCAVET</w:t>
      </w:r>
      <w:r w:rsidR="00B3275C" w:rsidRPr="00B70854">
        <w:rPr>
          <w:rFonts w:cstheme="minorHAnsi"/>
          <w:sz w:val="24"/>
          <w:szCs w:val="24"/>
        </w:rPr>
        <w:t>]</w:t>
      </w:r>
      <w:r w:rsidR="00CB309B" w:rsidRPr="00B70854">
        <w:rPr>
          <w:rFonts w:cstheme="minorHAnsi"/>
          <w:sz w:val="24"/>
          <w:szCs w:val="24"/>
        </w:rPr>
        <w:t xml:space="preserve">. </w:t>
      </w:r>
      <w:r w:rsidR="00B3275C" w:rsidRPr="00B70854">
        <w:rPr>
          <w:rFonts w:cstheme="minorHAnsi"/>
          <w:sz w:val="24"/>
          <w:szCs w:val="24"/>
        </w:rPr>
        <w:t xml:space="preserve">A key motivation of this course </w:t>
      </w:r>
      <w:r w:rsidR="00C67BB6" w:rsidRPr="00B70854">
        <w:rPr>
          <w:rFonts w:cstheme="minorHAnsi"/>
          <w:sz w:val="24"/>
          <w:szCs w:val="24"/>
        </w:rPr>
        <w:t xml:space="preserve">is for a ‘tradie’ with Cert 4 and relevant </w:t>
      </w:r>
      <w:r w:rsidR="00CB309B" w:rsidRPr="00B70854">
        <w:rPr>
          <w:rFonts w:cstheme="minorHAnsi"/>
          <w:sz w:val="24"/>
          <w:szCs w:val="24"/>
        </w:rPr>
        <w:t xml:space="preserve">trade </w:t>
      </w:r>
      <w:r w:rsidR="00C67BB6" w:rsidRPr="00B70854">
        <w:rPr>
          <w:rFonts w:cstheme="minorHAnsi"/>
          <w:sz w:val="24"/>
          <w:szCs w:val="24"/>
        </w:rPr>
        <w:t>experience to break through to secondary teaching in Applied Learning.</w:t>
      </w:r>
      <w:r w:rsidR="00B3275C" w:rsidRPr="00B70854">
        <w:rPr>
          <w:rFonts w:cstheme="minorHAnsi"/>
          <w:sz w:val="24"/>
          <w:szCs w:val="24"/>
        </w:rPr>
        <w:t xml:space="preserve"> </w:t>
      </w:r>
      <w:r w:rsidR="00C67BB6" w:rsidRPr="00B70854">
        <w:rPr>
          <w:rFonts w:cstheme="minorHAnsi"/>
          <w:sz w:val="24"/>
          <w:szCs w:val="24"/>
        </w:rPr>
        <w:t>The GCAVET takes the candidate to entry level (Cert 8) for the</w:t>
      </w:r>
      <w:r w:rsidR="00CB309B" w:rsidRPr="00B70854">
        <w:rPr>
          <w:rFonts w:cstheme="minorHAnsi"/>
          <w:sz w:val="24"/>
          <w:szCs w:val="24"/>
        </w:rPr>
        <w:t xml:space="preserve"> </w:t>
      </w:r>
      <w:r w:rsidR="00C67BB6" w:rsidRPr="00B70854">
        <w:rPr>
          <w:rFonts w:cstheme="minorHAnsi"/>
          <w:sz w:val="24"/>
          <w:szCs w:val="24"/>
          <w:u w:val="single"/>
        </w:rPr>
        <w:t>Master of Applied Learning and Teaching (Secondary)</w:t>
      </w:r>
      <w:r w:rsidR="00CB309B" w:rsidRPr="00B70854">
        <w:rPr>
          <w:rFonts w:cstheme="minorHAnsi"/>
          <w:sz w:val="24"/>
          <w:szCs w:val="24"/>
        </w:rPr>
        <w:t xml:space="preserve"> [MALT], recognised by the Victorian Institute of Teaching. </w:t>
      </w:r>
      <w:r w:rsidR="00C67BB6" w:rsidRPr="00B70854">
        <w:rPr>
          <w:rFonts w:cstheme="minorHAnsi"/>
          <w:sz w:val="24"/>
          <w:szCs w:val="24"/>
        </w:rPr>
        <w:t xml:space="preserve">Graduates then have the qualifications to teach in secondary schools and other youth settings. </w:t>
      </w:r>
      <w:r w:rsidR="00C67BB6" w:rsidRPr="00B70854">
        <w:rPr>
          <w:rFonts w:cstheme="minorHAnsi"/>
          <w:bCs/>
          <w:sz w:val="24"/>
          <w:szCs w:val="24"/>
        </w:rPr>
        <w:t>The course includes professional</w:t>
      </w:r>
      <w:r w:rsidR="00C67BB6" w:rsidRPr="00B70854">
        <w:rPr>
          <w:rFonts w:cstheme="minorHAnsi"/>
          <w:b/>
          <w:bCs/>
          <w:sz w:val="24"/>
          <w:szCs w:val="24"/>
        </w:rPr>
        <w:t xml:space="preserve"> </w:t>
      </w:r>
      <w:r w:rsidR="00CB309B" w:rsidRPr="008D3B56">
        <w:rPr>
          <w:rFonts w:cstheme="minorHAnsi"/>
          <w:sz w:val="24"/>
          <w:szCs w:val="24"/>
        </w:rPr>
        <w:t>experience in schools;</w:t>
      </w:r>
      <w:r w:rsidR="00C67BB6" w:rsidRPr="008D3B56">
        <w:rPr>
          <w:rFonts w:cstheme="minorHAnsi"/>
          <w:sz w:val="24"/>
          <w:szCs w:val="24"/>
        </w:rPr>
        <w:t xml:space="preserve"> Deakin supports school based training mentors in over 100 schools.</w:t>
      </w:r>
      <w:r w:rsidR="00C67BB6" w:rsidRPr="008D3B56">
        <w:rPr>
          <w:rFonts w:ascii="Arial" w:hAnsi="Arial" w:cs="Arial"/>
          <w:color w:val="373636"/>
          <w:sz w:val="24"/>
          <w:szCs w:val="24"/>
        </w:rPr>
        <w:t xml:space="preserve"> </w:t>
      </w:r>
      <w:r w:rsidR="00805263">
        <w:rPr>
          <w:rFonts w:ascii="Arial" w:hAnsi="Arial" w:cs="Arial"/>
          <w:color w:val="373636"/>
          <w:sz w:val="24"/>
          <w:szCs w:val="24"/>
        </w:rPr>
        <w:t>I</w:t>
      </w:r>
      <w:r w:rsidR="008D3B56">
        <w:rPr>
          <w:rFonts w:cstheme="minorHAnsi"/>
          <w:bCs/>
        </w:rPr>
        <w:t xml:space="preserve">t is apparent </w:t>
      </w:r>
      <w:r w:rsidR="008D3B56" w:rsidRPr="00222266">
        <w:rPr>
          <w:rFonts w:cstheme="minorHAnsi"/>
          <w:sz w:val="24"/>
          <w:szCs w:val="24"/>
        </w:rPr>
        <w:t xml:space="preserve">that increased funding entitlements and timeliness would likely increase intake </w:t>
      </w:r>
      <w:r w:rsidR="007E69C6" w:rsidRPr="00222266">
        <w:rPr>
          <w:rFonts w:cstheme="minorHAnsi"/>
          <w:sz w:val="24"/>
          <w:szCs w:val="24"/>
        </w:rPr>
        <w:t>numbers</w:t>
      </w:r>
      <w:r w:rsidR="008D3B56" w:rsidRPr="00222266">
        <w:rPr>
          <w:rFonts w:cstheme="minorHAnsi"/>
          <w:sz w:val="24"/>
          <w:szCs w:val="24"/>
        </w:rPr>
        <w:t>.</w:t>
      </w:r>
    </w:p>
    <w:p w14:paraId="45C5615E" w14:textId="77777777" w:rsidR="00222266" w:rsidRDefault="00222266" w:rsidP="00172180">
      <w:pPr>
        <w:pStyle w:val="Default"/>
        <w:rPr>
          <w:rFonts w:asciiTheme="minorHAnsi" w:hAnsiTheme="minorHAnsi" w:cstheme="minorHAnsi"/>
          <w:b/>
          <w:bCs/>
          <w:color w:val="auto"/>
        </w:rPr>
      </w:pPr>
      <w:r>
        <w:rPr>
          <w:rFonts w:asciiTheme="minorHAnsi" w:hAnsiTheme="minorHAnsi" w:cstheme="minorHAnsi"/>
          <w:b/>
          <w:bCs/>
          <w:color w:val="auto"/>
        </w:rPr>
        <w:t>In Summary</w:t>
      </w:r>
    </w:p>
    <w:p w14:paraId="45C5615F" w14:textId="77777777" w:rsidR="00222266" w:rsidRDefault="00222266" w:rsidP="00172180">
      <w:pPr>
        <w:pStyle w:val="Default"/>
        <w:rPr>
          <w:rFonts w:asciiTheme="minorHAnsi" w:hAnsiTheme="minorHAnsi" w:cstheme="minorHAnsi"/>
          <w:bCs/>
          <w:color w:val="auto"/>
        </w:rPr>
      </w:pPr>
      <w:r>
        <w:rPr>
          <w:rFonts w:asciiTheme="minorHAnsi" w:hAnsiTheme="minorHAnsi" w:cstheme="minorHAnsi"/>
          <w:bCs/>
          <w:color w:val="auto"/>
        </w:rPr>
        <w:t xml:space="preserve">Any substantive improvement in productivity within the school sector will only be achieved through significant government policy and funding. </w:t>
      </w:r>
    </w:p>
    <w:p w14:paraId="45C56160" w14:textId="77777777" w:rsidR="00222266" w:rsidRPr="00222266" w:rsidRDefault="00222266" w:rsidP="00172180">
      <w:pPr>
        <w:pStyle w:val="Default"/>
        <w:rPr>
          <w:rFonts w:asciiTheme="minorHAnsi" w:hAnsiTheme="minorHAnsi" w:cstheme="minorHAnsi"/>
          <w:bCs/>
          <w:color w:val="auto"/>
        </w:rPr>
      </w:pPr>
    </w:p>
    <w:p w14:paraId="45C56161" w14:textId="77777777" w:rsidR="008D3B56" w:rsidRPr="00805263" w:rsidRDefault="00805263" w:rsidP="00172180">
      <w:pPr>
        <w:pStyle w:val="Default"/>
        <w:rPr>
          <w:rFonts w:asciiTheme="minorHAnsi" w:hAnsiTheme="minorHAnsi" w:cstheme="minorHAnsi"/>
          <w:b/>
          <w:bCs/>
          <w:color w:val="auto"/>
        </w:rPr>
      </w:pPr>
      <w:r w:rsidRPr="00805263">
        <w:rPr>
          <w:rFonts w:asciiTheme="minorHAnsi" w:hAnsiTheme="minorHAnsi" w:cstheme="minorHAnsi"/>
          <w:b/>
          <w:bCs/>
          <w:color w:val="auto"/>
        </w:rPr>
        <w:t xml:space="preserve">We </w:t>
      </w:r>
      <w:r w:rsidR="00222266">
        <w:rPr>
          <w:rFonts w:asciiTheme="minorHAnsi" w:hAnsiTheme="minorHAnsi" w:cstheme="minorHAnsi"/>
          <w:b/>
          <w:bCs/>
          <w:color w:val="auto"/>
        </w:rPr>
        <w:t xml:space="preserve">have </w:t>
      </w:r>
      <w:r w:rsidRPr="00805263">
        <w:rPr>
          <w:rFonts w:asciiTheme="minorHAnsi" w:hAnsiTheme="minorHAnsi" w:cstheme="minorHAnsi"/>
          <w:b/>
          <w:bCs/>
          <w:color w:val="auto"/>
        </w:rPr>
        <w:t>appreciat</w:t>
      </w:r>
      <w:r w:rsidR="00222266">
        <w:rPr>
          <w:rFonts w:asciiTheme="minorHAnsi" w:hAnsiTheme="minorHAnsi" w:cstheme="minorHAnsi"/>
          <w:b/>
          <w:bCs/>
          <w:color w:val="auto"/>
        </w:rPr>
        <w:t>ed</w:t>
      </w:r>
      <w:r w:rsidRPr="00805263">
        <w:rPr>
          <w:rFonts w:asciiTheme="minorHAnsi" w:hAnsiTheme="minorHAnsi" w:cstheme="minorHAnsi"/>
          <w:b/>
          <w:bCs/>
          <w:color w:val="auto"/>
        </w:rPr>
        <w:t xml:space="preserve"> the opportunity to contribute to this matter of vital importance.</w:t>
      </w:r>
    </w:p>
    <w:p w14:paraId="45C56162" w14:textId="77777777" w:rsidR="00805263" w:rsidRDefault="00805263" w:rsidP="00172180">
      <w:pPr>
        <w:pStyle w:val="Default"/>
        <w:rPr>
          <w:rFonts w:asciiTheme="minorHAnsi" w:hAnsiTheme="minorHAnsi" w:cstheme="minorHAnsi"/>
          <w:b/>
          <w:bCs/>
          <w:color w:val="auto"/>
        </w:rPr>
      </w:pPr>
      <w:r>
        <w:rPr>
          <w:rFonts w:asciiTheme="minorHAnsi" w:hAnsiTheme="minorHAnsi" w:cstheme="minorHAnsi"/>
          <w:b/>
          <w:bCs/>
          <w:color w:val="auto"/>
        </w:rPr>
        <w:t xml:space="preserve">We would welcome further </w:t>
      </w:r>
      <w:r w:rsidR="00222266">
        <w:rPr>
          <w:rFonts w:asciiTheme="minorHAnsi" w:hAnsiTheme="minorHAnsi" w:cstheme="minorHAnsi"/>
          <w:b/>
          <w:bCs/>
          <w:color w:val="auto"/>
        </w:rPr>
        <w:t>participat</w:t>
      </w:r>
      <w:r w:rsidR="002116CF">
        <w:rPr>
          <w:rFonts w:asciiTheme="minorHAnsi" w:hAnsiTheme="minorHAnsi" w:cstheme="minorHAnsi"/>
          <w:b/>
          <w:bCs/>
          <w:color w:val="auto"/>
        </w:rPr>
        <w:t>ion</w:t>
      </w:r>
      <w:r>
        <w:rPr>
          <w:rFonts w:asciiTheme="minorHAnsi" w:hAnsiTheme="minorHAnsi" w:cstheme="minorHAnsi"/>
          <w:b/>
          <w:bCs/>
          <w:color w:val="auto"/>
        </w:rPr>
        <w:t>.</w:t>
      </w:r>
    </w:p>
    <w:p w14:paraId="45C56163" w14:textId="77777777" w:rsidR="00805263" w:rsidRDefault="00805263" w:rsidP="00172180">
      <w:pPr>
        <w:pStyle w:val="Default"/>
        <w:rPr>
          <w:rFonts w:asciiTheme="minorHAnsi" w:hAnsiTheme="minorHAnsi" w:cstheme="minorHAnsi"/>
          <w:b/>
          <w:bCs/>
          <w:color w:val="auto"/>
        </w:rPr>
      </w:pPr>
    </w:p>
    <w:p w14:paraId="45C56164" w14:textId="77777777" w:rsidR="00805263" w:rsidRPr="00805263" w:rsidRDefault="00805263" w:rsidP="00172180">
      <w:pPr>
        <w:pStyle w:val="Default"/>
        <w:rPr>
          <w:rFonts w:asciiTheme="minorHAnsi" w:hAnsiTheme="minorHAnsi" w:cstheme="minorHAnsi"/>
          <w:b/>
          <w:bCs/>
          <w:color w:val="auto"/>
        </w:rPr>
      </w:pPr>
      <w:r w:rsidRPr="00805263">
        <w:rPr>
          <w:rFonts w:asciiTheme="minorHAnsi" w:hAnsiTheme="minorHAnsi" w:cstheme="minorHAnsi"/>
          <w:b/>
          <w:bCs/>
          <w:color w:val="auto"/>
        </w:rPr>
        <w:t>Graeme Seamer</w:t>
      </w:r>
    </w:p>
    <w:p w14:paraId="45C56165" w14:textId="77777777" w:rsidR="00805263" w:rsidRPr="00805263" w:rsidRDefault="00805263" w:rsidP="00172180">
      <w:pPr>
        <w:pStyle w:val="Default"/>
        <w:rPr>
          <w:rFonts w:asciiTheme="minorHAnsi" w:hAnsiTheme="minorHAnsi" w:cstheme="minorHAnsi"/>
          <w:b/>
          <w:bCs/>
          <w:color w:val="auto"/>
        </w:rPr>
      </w:pPr>
      <w:r w:rsidRPr="00805263">
        <w:rPr>
          <w:rFonts w:asciiTheme="minorHAnsi" w:hAnsiTheme="minorHAnsi" w:cstheme="minorHAnsi"/>
          <w:b/>
          <w:bCs/>
          <w:color w:val="auto"/>
        </w:rPr>
        <w:t>President</w:t>
      </w:r>
    </w:p>
    <w:p w14:paraId="45C56166" w14:textId="77777777" w:rsidR="00805263" w:rsidRPr="00805263" w:rsidRDefault="00805263" w:rsidP="00172180">
      <w:pPr>
        <w:pStyle w:val="Default"/>
        <w:rPr>
          <w:rFonts w:asciiTheme="minorHAnsi" w:hAnsiTheme="minorHAnsi" w:cstheme="minorHAnsi"/>
          <w:b/>
          <w:bCs/>
          <w:color w:val="auto"/>
        </w:rPr>
      </w:pPr>
      <w:r w:rsidRPr="00805263">
        <w:rPr>
          <w:rFonts w:asciiTheme="minorHAnsi" w:hAnsiTheme="minorHAnsi" w:cstheme="minorHAnsi"/>
          <w:b/>
          <w:bCs/>
          <w:color w:val="auto"/>
        </w:rPr>
        <w:t xml:space="preserve">ARPTI </w:t>
      </w:r>
      <w:r>
        <w:rPr>
          <w:rFonts w:asciiTheme="minorHAnsi" w:hAnsiTheme="minorHAnsi" w:cstheme="minorHAnsi"/>
          <w:b/>
          <w:bCs/>
          <w:color w:val="auto"/>
        </w:rPr>
        <w:t xml:space="preserve"> </w:t>
      </w:r>
      <w:r>
        <w:rPr>
          <w:rFonts w:asciiTheme="minorHAnsi" w:hAnsiTheme="minorHAnsi" w:cstheme="minorHAnsi"/>
          <w:b/>
          <w:bCs/>
          <w:color w:val="auto"/>
        </w:rPr>
        <w:tab/>
      </w:r>
      <w:r>
        <w:rPr>
          <w:rFonts w:asciiTheme="minorHAnsi" w:hAnsiTheme="minorHAnsi" w:cstheme="minorHAnsi"/>
          <w:b/>
          <w:bCs/>
          <w:color w:val="auto"/>
        </w:rPr>
        <w:tab/>
      </w:r>
      <w:r>
        <w:rPr>
          <w:rFonts w:asciiTheme="minorHAnsi" w:hAnsiTheme="minorHAnsi" w:cstheme="minorHAnsi"/>
          <w:b/>
          <w:bCs/>
          <w:color w:val="auto"/>
        </w:rPr>
        <w:tab/>
      </w:r>
      <w:r w:rsidR="00DD768D">
        <w:rPr>
          <w:rFonts w:asciiTheme="minorHAnsi" w:hAnsiTheme="minorHAnsi" w:cstheme="minorHAnsi"/>
          <w:b/>
          <w:bCs/>
          <w:color w:val="auto"/>
        </w:rPr>
        <w:t xml:space="preserve"> </w:t>
      </w:r>
    </w:p>
    <w:p w14:paraId="45C56167" w14:textId="77777777" w:rsidR="00F31143" w:rsidRDefault="00F31143" w:rsidP="00172180">
      <w:pPr>
        <w:pStyle w:val="Default"/>
        <w:rPr>
          <w:rFonts w:asciiTheme="minorHAnsi" w:hAnsiTheme="minorHAnsi" w:cstheme="minorHAnsi"/>
          <w:bCs/>
          <w:color w:val="auto"/>
        </w:rPr>
      </w:pPr>
    </w:p>
    <w:p w14:paraId="45C56168" w14:textId="77777777" w:rsidR="00AF77D0" w:rsidRDefault="007E69C6" w:rsidP="00172180">
      <w:pPr>
        <w:pStyle w:val="Default"/>
        <w:rPr>
          <w:rFonts w:asciiTheme="minorHAnsi" w:hAnsiTheme="minorHAnsi" w:cstheme="minorHAnsi"/>
          <w:bCs/>
          <w:color w:val="auto"/>
        </w:rPr>
      </w:pPr>
      <w:r>
        <w:rPr>
          <w:rFonts w:asciiTheme="minorHAnsi" w:hAnsiTheme="minorHAnsi" w:cstheme="minorHAnsi"/>
          <w:bCs/>
          <w:color w:val="auto"/>
        </w:rPr>
        <w:t>Please see t</w:t>
      </w:r>
      <w:r w:rsidR="00FC3958">
        <w:rPr>
          <w:rFonts w:asciiTheme="minorHAnsi" w:hAnsiTheme="minorHAnsi" w:cstheme="minorHAnsi"/>
          <w:bCs/>
          <w:color w:val="auto"/>
        </w:rPr>
        <w:t>he following attachments</w:t>
      </w:r>
      <w:r w:rsidR="00805263">
        <w:rPr>
          <w:rFonts w:asciiTheme="minorHAnsi" w:hAnsiTheme="minorHAnsi" w:cstheme="minorHAnsi"/>
          <w:bCs/>
          <w:color w:val="auto"/>
        </w:rPr>
        <w:t xml:space="preserve"> </w:t>
      </w:r>
      <w:r w:rsidR="009B5861">
        <w:rPr>
          <w:rFonts w:asciiTheme="minorHAnsi" w:hAnsiTheme="minorHAnsi" w:cstheme="minorHAnsi"/>
          <w:bCs/>
          <w:color w:val="auto"/>
        </w:rPr>
        <w:t xml:space="preserve">that have been uploaded in support of this </w:t>
      </w:r>
      <w:r w:rsidR="00805263">
        <w:rPr>
          <w:rFonts w:asciiTheme="minorHAnsi" w:hAnsiTheme="minorHAnsi" w:cstheme="minorHAnsi"/>
          <w:bCs/>
          <w:color w:val="auto"/>
        </w:rPr>
        <w:t>submission</w:t>
      </w:r>
      <w:r>
        <w:rPr>
          <w:rFonts w:asciiTheme="minorHAnsi" w:hAnsiTheme="minorHAnsi" w:cstheme="minorHAnsi"/>
          <w:bCs/>
          <w:color w:val="auto"/>
        </w:rPr>
        <w:t xml:space="preserve">. </w:t>
      </w:r>
      <w:r w:rsidR="00805263">
        <w:rPr>
          <w:rFonts w:asciiTheme="minorHAnsi" w:hAnsiTheme="minorHAnsi" w:cstheme="minorHAnsi"/>
          <w:bCs/>
          <w:color w:val="auto"/>
        </w:rPr>
        <w:t>Each</w:t>
      </w:r>
      <w:r w:rsidR="00FC3958">
        <w:rPr>
          <w:rFonts w:asciiTheme="minorHAnsi" w:hAnsiTheme="minorHAnsi" w:cstheme="minorHAnsi"/>
          <w:bCs/>
          <w:color w:val="auto"/>
        </w:rPr>
        <w:t xml:space="preserve"> provide</w:t>
      </w:r>
      <w:r w:rsidR="00805263">
        <w:rPr>
          <w:rFonts w:asciiTheme="minorHAnsi" w:hAnsiTheme="minorHAnsi" w:cstheme="minorHAnsi"/>
          <w:bCs/>
          <w:color w:val="auto"/>
        </w:rPr>
        <w:t>s</w:t>
      </w:r>
      <w:r w:rsidR="00FC3958">
        <w:rPr>
          <w:rFonts w:asciiTheme="minorHAnsi" w:hAnsiTheme="minorHAnsi" w:cstheme="minorHAnsi"/>
          <w:bCs/>
          <w:color w:val="auto"/>
        </w:rPr>
        <w:t xml:space="preserve"> </w:t>
      </w:r>
      <w:r w:rsidR="00805263">
        <w:rPr>
          <w:rFonts w:asciiTheme="minorHAnsi" w:hAnsiTheme="minorHAnsi" w:cstheme="minorHAnsi"/>
          <w:bCs/>
          <w:color w:val="auto"/>
        </w:rPr>
        <w:t>further</w:t>
      </w:r>
      <w:r w:rsidR="00FC3958">
        <w:rPr>
          <w:rFonts w:asciiTheme="minorHAnsi" w:hAnsiTheme="minorHAnsi" w:cstheme="minorHAnsi"/>
          <w:bCs/>
          <w:color w:val="auto"/>
        </w:rPr>
        <w:t xml:space="preserve"> insight </w:t>
      </w:r>
      <w:r w:rsidR="009B5861">
        <w:rPr>
          <w:rFonts w:asciiTheme="minorHAnsi" w:hAnsiTheme="minorHAnsi" w:cstheme="minorHAnsi"/>
          <w:bCs/>
          <w:color w:val="auto"/>
        </w:rPr>
        <w:t>regarding</w:t>
      </w:r>
      <w:r w:rsidR="00FC3958">
        <w:rPr>
          <w:rFonts w:asciiTheme="minorHAnsi" w:hAnsiTheme="minorHAnsi" w:cstheme="minorHAnsi"/>
          <w:bCs/>
          <w:color w:val="auto"/>
        </w:rPr>
        <w:t xml:space="preserve"> </w:t>
      </w:r>
      <w:r w:rsidR="00805263">
        <w:rPr>
          <w:rFonts w:asciiTheme="minorHAnsi" w:hAnsiTheme="minorHAnsi" w:cstheme="minorHAnsi"/>
          <w:bCs/>
          <w:color w:val="auto"/>
        </w:rPr>
        <w:t xml:space="preserve">our previous recommendations, and </w:t>
      </w:r>
      <w:r w:rsidR="00FC3958">
        <w:rPr>
          <w:rFonts w:asciiTheme="minorHAnsi" w:hAnsiTheme="minorHAnsi" w:cstheme="minorHAnsi"/>
          <w:bCs/>
          <w:color w:val="auto"/>
        </w:rPr>
        <w:t xml:space="preserve">the research undertaken by our Association, including inputs from </w:t>
      </w:r>
      <w:r w:rsidR="00222266">
        <w:rPr>
          <w:rFonts w:asciiTheme="minorHAnsi" w:hAnsiTheme="minorHAnsi" w:cstheme="minorHAnsi"/>
          <w:bCs/>
          <w:color w:val="auto"/>
        </w:rPr>
        <w:t xml:space="preserve">current </w:t>
      </w:r>
      <w:r w:rsidR="00FC3958">
        <w:rPr>
          <w:rFonts w:asciiTheme="minorHAnsi" w:hAnsiTheme="minorHAnsi" w:cstheme="minorHAnsi"/>
          <w:bCs/>
          <w:color w:val="auto"/>
        </w:rPr>
        <w:t xml:space="preserve">school </w:t>
      </w:r>
      <w:r w:rsidR="00F34DB1">
        <w:rPr>
          <w:rFonts w:asciiTheme="minorHAnsi" w:hAnsiTheme="minorHAnsi" w:cstheme="minorHAnsi"/>
          <w:bCs/>
          <w:color w:val="auto"/>
        </w:rPr>
        <w:t>leaders</w:t>
      </w:r>
      <w:r w:rsidR="008E13DE">
        <w:rPr>
          <w:rFonts w:asciiTheme="minorHAnsi" w:hAnsiTheme="minorHAnsi" w:cstheme="minorHAnsi"/>
          <w:bCs/>
          <w:color w:val="auto"/>
        </w:rPr>
        <w:t xml:space="preserve">. </w:t>
      </w:r>
      <w:r w:rsidR="00F34DB1">
        <w:rPr>
          <w:rFonts w:asciiTheme="minorHAnsi" w:hAnsiTheme="minorHAnsi" w:cstheme="minorHAnsi"/>
          <w:bCs/>
          <w:color w:val="auto"/>
        </w:rPr>
        <w:t xml:space="preserve"> </w:t>
      </w:r>
      <w:r w:rsidR="008E13DE">
        <w:rPr>
          <w:rFonts w:asciiTheme="minorHAnsi" w:hAnsiTheme="minorHAnsi" w:cstheme="minorHAnsi"/>
          <w:bCs/>
          <w:color w:val="auto"/>
        </w:rPr>
        <w:t xml:space="preserve"> </w:t>
      </w:r>
    </w:p>
    <w:p w14:paraId="45C56169" w14:textId="77777777" w:rsidR="00F31143" w:rsidRDefault="00F31143" w:rsidP="00172180">
      <w:pPr>
        <w:pStyle w:val="Default"/>
        <w:rPr>
          <w:rFonts w:asciiTheme="minorHAnsi" w:hAnsiTheme="minorHAnsi" w:cstheme="minorHAnsi"/>
          <w:bCs/>
          <w:color w:val="auto"/>
        </w:rPr>
      </w:pPr>
    </w:p>
    <w:p w14:paraId="45C5616A" w14:textId="77777777" w:rsidR="00F31143" w:rsidRPr="00F31143" w:rsidRDefault="00F31143" w:rsidP="00172180">
      <w:pPr>
        <w:pStyle w:val="Default"/>
        <w:rPr>
          <w:rFonts w:asciiTheme="minorHAnsi" w:hAnsiTheme="minorHAnsi" w:cstheme="minorHAnsi"/>
          <w:bCs/>
          <w:color w:val="auto"/>
          <w:u w:val="single"/>
        </w:rPr>
      </w:pPr>
      <w:r w:rsidRPr="00F31143">
        <w:rPr>
          <w:rFonts w:asciiTheme="minorHAnsi" w:hAnsiTheme="minorHAnsi" w:cstheme="minorHAnsi"/>
          <w:bCs/>
          <w:color w:val="auto"/>
          <w:u w:val="single"/>
        </w:rPr>
        <w:t>Attachment 1</w:t>
      </w:r>
    </w:p>
    <w:p w14:paraId="45C5616B" w14:textId="77777777" w:rsidR="00FC3958" w:rsidRDefault="00FC3958" w:rsidP="00172180">
      <w:pPr>
        <w:pStyle w:val="Default"/>
        <w:rPr>
          <w:rFonts w:asciiTheme="minorHAnsi" w:hAnsiTheme="minorHAnsi" w:cstheme="minorHAnsi"/>
          <w:bCs/>
          <w:color w:val="auto"/>
        </w:rPr>
      </w:pPr>
    </w:p>
    <w:p w14:paraId="45C5616C" w14:textId="77777777" w:rsidR="00FC3958" w:rsidRPr="00F31143" w:rsidRDefault="00FC3958" w:rsidP="009F73FA">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31143">
        <w:rPr>
          <w:sz w:val="28"/>
          <w:szCs w:val="28"/>
          <w:u w:val="single"/>
        </w:rPr>
        <w:t>The Association of Retired Principals of Technical Institutions, (ARPTI) Victoria</w:t>
      </w:r>
    </w:p>
    <w:p w14:paraId="45C5616D" w14:textId="77777777" w:rsidR="00FC3958" w:rsidRPr="00FC3958" w:rsidRDefault="00FC3958" w:rsidP="009F73F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sidRPr="00F31143">
        <w:rPr>
          <w:rFonts w:asciiTheme="minorHAnsi" w:hAnsiTheme="minorHAnsi" w:cstheme="minorHAnsi"/>
          <w:b/>
          <w:bCs/>
          <w:color w:val="auto"/>
          <w:sz w:val="28"/>
          <w:szCs w:val="28"/>
        </w:rPr>
        <w:t>Position Paper</w:t>
      </w:r>
      <w:r>
        <w:rPr>
          <w:rFonts w:asciiTheme="minorHAnsi" w:hAnsiTheme="minorHAnsi" w:cstheme="minorHAnsi"/>
          <w:bCs/>
          <w:color w:val="auto"/>
          <w:sz w:val="28"/>
          <w:szCs w:val="28"/>
        </w:rPr>
        <w:t>:</w:t>
      </w:r>
      <w:r>
        <w:rPr>
          <w:rFonts w:asciiTheme="minorHAnsi" w:hAnsiTheme="minorHAnsi" w:cstheme="minorHAnsi"/>
          <w:bCs/>
          <w:color w:val="auto"/>
          <w:sz w:val="28"/>
          <w:szCs w:val="28"/>
        </w:rPr>
        <w:tab/>
      </w:r>
      <w:r w:rsidRPr="00F31143">
        <w:rPr>
          <w:rFonts w:asciiTheme="minorHAnsi" w:hAnsiTheme="minorHAnsi" w:cstheme="minorHAnsi"/>
          <w:b/>
          <w:sz w:val="28"/>
          <w:szCs w:val="28"/>
          <w:u w:val="single"/>
        </w:rPr>
        <w:t>The National Review of Teacher Registration 2018</w:t>
      </w:r>
      <w:r>
        <w:rPr>
          <w:rFonts w:asciiTheme="minorHAnsi" w:hAnsiTheme="minorHAnsi" w:cstheme="minorHAnsi"/>
          <w:sz w:val="28"/>
          <w:szCs w:val="28"/>
          <w:u w:val="single"/>
        </w:rPr>
        <w:br/>
      </w:r>
      <w:r w:rsidRPr="00FC3958">
        <w:rPr>
          <w:rFonts w:asciiTheme="minorHAnsi" w:hAnsiTheme="minorHAnsi" w:cstheme="minorHAnsi"/>
          <w:sz w:val="28"/>
          <w:szCs w:val="28"/>
        </w:rPr>
        <w:t>May 26, 2018</w:t>
      </w:r>
    </w:p>
    <w:p w14:paraId="45C5616E" w14:textId="77777777" w:rsidR="00F31143" w:rsidRPr="00F31143" w:rsidRDefault="00FC3958" w:rsidP="009F73FA">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u w:val="single"/>
        </w:rPr>
      </w:pPr>
      <w:r>
        <w:rPr>
          <w:rFonts w:cstheme="minorHAnsi"/>
          <w:bCs/>
        </w:rPr>
        <w:tab/>
      </w:r>
      <w:r w:rsidRPr="00F31143">
        <w:rPr>
          <w:rFonts w:cstheme="minorHAnsi"/>
          <w:sz w:val="24"/>
          <w:szCs w:val="24"/>
          <w:u w:val="single"/>
        </w:rPr>
        <w:t xml:space="preserve">Of special significance is Appendix A : </w:t>
      </w:r>
    </w:p>
    <w:p w14:paraId="45C5616F" w14:textId="77777777" w:rsidR="00F31143" w:rsidRPr="00F31143" w:rsidRDefault="00F31143" w:rsidP="009F73FA">
      <w:pPr>
        <w:pBdr>
          <w:top w:val="single" w:sz="4" w:space="1" w:color="auto"/>
          <w:left w:val="single" w:sz="4" w:space="4" w:color="auto"/>
          <w:bottom w:val="single" w:sz="4" w:space="1" w:color="auto"/>
          <w:right w:val="single" w:sz="4" w:space="4" w:color="auto"/>
        </w:pBdr>
        <w:spacing w:before="120" w:after="0" w:line="240" w:lineRule="auto"/>
        <w:rPr>
          <w:rFonts w:cstheme="minorHAnsi"/>
          <w:b/>
          <w:sz w:val="24"/>
          <w:szCs w:val="24"/>
        </w:rPr>
      </w:pPr>
      <w:r>
        <w:rPr>
          <w:rFonts w:cstheme="minorHAnsi"/>
          <w:b/>
          <w:sz w:val="24"/>
          <w:szCs w:val="24"/>
        </w:rPr>
        <w:tab/>
      </w:r>
      <w:r w:rsidRPr="00F31143">
        <w:rPr>
          <w:rFonts w:cstheme="minorHAnsi"/>
          <w:b/>
          <w:sz w:val="24"/>
          <w:szCs w:val="24"/>
        </w:rPr>
        <w:t>Notes re Teacher Training for Technical/Practical subjects.</w:t>
      </w:r>
    </w:p>
    <w:p w14:paraId="45C56170" w14:textId="77777777" w:rsidR="00FC3958" w:rsidRPr="007E69C6" w:rsidRDefault="00F31143" w:rsidP="009F73FA">
      <w:pPr>
        <w:pBdr>
          <w:top w:val="single" w:sz="4" w:space="1" w:color="auto"/>
          <w:left w:val="single" w:sz="4" w:space="4" w:color="auto"/>
          <w:bottom w:val="single" w:sz="4" w:space="1" w:color="auto"/>
          <w:right w:val="single" w:sz="4" w:space="4" w:color="auto"/>
        </w:pBdr>
        <w:spacing w:before="120" w:after="0" w:line="240" w:lineRule="auto"/>
        <w:rPr>
          <w:rFonts w:cstheme="minorHAnsi"/>
          <w:b/>
          <w:sz w:val="24"/>
          <w:szCs w:val="24"/>
        </w:rPr>
      </w:pPr>
      <w:r>
        <w:rPr>
          <w:rFonts w:cstheme="minorHAnsi"/>
          <w:sz w:val="24"/>
          <w:szCs w:val="24"/>
        </w:rPr>
        <w:t xml:space="preserve"> </w:t>
      </w:r>
      <w:r>
        <w:rPr>
          <w:rFonts w:cstheme="minorHAnsi"/>
          <w:sz w:val="24"/>
          <w:szCs w:val="24"/>
        </w:rPr>
        <w:tab/>
      </w:r>
      <w:r w:rsidRPr="007E69C6">
        <w:rPr>
          <w:rFonts w:cstheme="minorHAnsi"/>
          <w:b/>
          <w:sz w:val="24"/>
          <w:szCs w:val="24"/>
        </w:rPr>
        <w:t>P</w:t>
      </w:r>
      <w:r w:rsidR="00FC3958" w:rsidRPr="007E69C6">
        <w:rPr>
          <w:rFonts w:cstheme="minorHAnsi"/>
          <w:b/>
          <w:sz w:val="24"/>
          <w:szCs w:val="24"/>
        </w:rPr>
        <w:t>repared by</w:t>
      </w:r>
      <w:r w:rsidRPr="007E69C6">
        <w:rPr>
          <w:rFonts w:cstheme="minorHAnsi"/>
          <w:b/>
          <w:sz w:val="24"/>
          <w:szCs w:val="24"/>
        </w:rPr>
        <w:t xml:space="preserve"> </w:t>
      </w:r>
      <w:r w:rsidR="007E69C6">
        <w:rPr>
          <w:rFonts w:cstheme="minorHAnsi"/>
          <w:b/>
          <w:sz w:val="24"/>
          <w:szCs w:val="24"/>
        </w:rPr>
        <w:t xml:space="preserve">ARPTI </w:t>
      </w:r>
      <w:r w:rsidRPr="007E69C6">
        <w:rPr>
          <w:rFonts w:cstheme="minorHAnsi"/>
          <w:b/>
          <w:sz w:val="24"/>
          <w:szCs w:val="24"/>
        </w:rPr>
        <w:t xml:space="preserve">member: </w:t>
      </w:r>
      <w:r w:rsidR="00FC3958" w:rsidRPr="007E69C6">
        <w:rPr>
          <w:rFonts w:cstheme="minorHAnsi"/>
          <w:b/>
          <w:sz w:val="24"/>
          <w:szCs w:val="24"/>
        </w:rPr>
        <w:t xml:space="preserve"> Ron Ritchie – Former Director of Technical Education, Victoria</w:t>
      </w:r>
    </w:p>
    <w:p w14:paraId="45C56171" w14:textId="77777777" w:rsidR="00FC3958" w:rsidRDefault="00FC3958" w:rsidP="00172180">
      <w:pPr>
        <w:pStyle w:val="Default"/>
        <w:rPr>
          <w:rFonts w:asciiTheme="minorHAnsi" w:hAnsiTheme="minorHAnsi" w:cstheme="minorHAnsi"/>
          <w:bCs/>
          <w:color w:val="auto"/>
        </w:rPr>
      </w:pPr>
    </w:p>
    <w:p w14:paraId="45C56172" w14:textId="77777777" w:rsidR="00F31143" w:rsidRDefault="00F31143" w:rsidP="00172180">
      <w:pPr>
        <w:pStyle w:val="Default"/>
        <w:rPr>
          <w:rFonts w:asciiTheme="minorHAnsi" w:hAnsiTheme="minorHAnsi" w:cstheme="minorHAnsi"/>
          <w:bCs/>
          <w:color w:val="auto"/>
        </w:rPr>
      </w:pPr>
    </w:p>
    <w:p w14:paraId="45C56173" w14:textId="77777777" w:rsidR="009F73FA" w:rsidRDefault="009F73FA" w:rsidP="009F73FA">
      <w:pPr>
        <w:pStyle w:val="Default"/>
        <w:rPr>
          <w:rFonts w:asciiTheme="minorHAnsi" w:hAnsiTheme="minorHAnsi" w:cstheme="minorHAnsi"/>
          <w:bCs/>
          <w:color w:val="auto"/>
          <w:u w:val="single"/>
        </w:rPr>
      </w:pPr>
      <w:r w:rsidRPr="009F73FA">
        <w:rPr>
          <w:rFonts w:asciiTheme="minorHAnsi" w:hAnsiTheme="minorHAnsi" w:cstheme="minorHAnsi"/>
          <w:bCs/>
          <w:color w:val="auto"/>
          <w:u w:val="single"/>
        </w:rPr>
        <w:t>Attachment 2</w:t>
      </w:r>
    </w:p>
    <w:p w14:paraId="45C56174" w14:textId="77777777" w:rsidR="009F73FA" w:rsidRPr="009F73FA" w:rsidRDefault="009F73FA" w:rsidP="009F73FA">
      <w:pPr>
        <w:pStyle w:val="Default"/>
        <w:rPr>
          <w:rFonts w:asciiTheme="minorHAnsi" w:hAnsiTheme="minorHAnsi" w:cstheme="minorHAnsi"/>
          <w:bCs/>
          <w:color w:val="auto"/>
          <w:u w:val="single"/>
        </w:rPr>
      </w:pPr>
    </w:p>
    <w:p w14:paraId="45C56175" w14:textId="77777777" w:rsidR="009F73FA" w:rsidRPr="009F73FA" w:rsidRDefault="009F73FA" w:rsidP="00F34DB1">
      <w:pPr>
        <w:pBdr>
          <w:top w:val="single" w:sz="4" w:space="1" w:color="auto"/>
          <w:left w:val="single" w:sz="4" w:space="4" w:color="auto"/>
          <w:bottom w:val="single" w:sz="4" w:space="1" w:color="auto"/>
          <w:right w:val="single" w:sz="4" w:space="4" w:color="auto"/>
        </w:pBdr>
        <w:jc w:val="center"/>
        <w:rPr>
          <w:sz w:val="28"/>
          <w:szCs w:val="28"/>
          <w:u w:val="single"/>
        </w:rPr>
      </w:pPr>
      <w:r w:rsidRPr="009F73FA">
        <w:rPr>
          <w:sz w:val="28"/>
          <w:szCs w:val="28"/>
          <w:u w:val="single"/>
        </w:rPr>
        <w:t xml:space="preserve">The Association of Retired Principals of Technical Institutions, (ARPTI) Victoria   </w:t>
      </w:r>
    </w:p>
    <w:p w14:paraId="45C56176" w14:textId="77777777" w:rsidR="009F73FA" w:rsidRPr="00F34DB1" w:rsidRDefault="009F73FA" w:rsidP="00F34DB1">
      <w:pPr>
        <w:pBdr>
          <w:top w:val="single" w:sz="4" w:space="1" w:color="auto"/>
          <w:left w:val="single" w:sz="4" w:space="4" w:color="auto"/>
          <w:bottom w:val="single" w:sz="4" w:space="1" w:color="auto"/>
          <w:right w:val="single" w:sz="4" w:space="4" w:color="auto"/>
        </w:pBdr>
        <w:jc w:val="center"/>
        <w:rPr>
          <w:rFonts w:cstheme="minorHAnsi"/>
          <w:b/>
          <w:sz w:val="28"/>
          <w:szCs w:val="28"/>
        </w:rPr>
      </w:pPr>
      <w:r>
        <w:rPr>
          <w:rFonts w:cstheme="minorHAnsi"/>
          <w:b/>
          <w:bCs/>
          <w:sz w:val="28"/>
          <w:szCs w:val="28"/>
        </w:rPr>
        <w:t>Position P</w:t>
      </w:r>
      <w:r w:rsidRPr="009F73FA">
        <w:rPr>
          <w:rFonts w:cstheme="minorHAnsi"/>
          <w:b/>
          <w:bCs/>
          <w:sz w:val="28"/>
          <w:szCs w:val="28"/>
        </w:rPr>
        <w:t>aper</w:t>
      </w:r>
      <w:r w:rsidR="00F34DB1" w:rsidRPr="00F34DB1">
        <w:rPr>
          <w:b/>
          <w:sz w:val="24"/>
          <w:szCs w:val="24"/>
        </w:rPr>
        <w:t xml:space="preserve"> </w:t>
      </w:r>
      <w:r w:rsidR="00F34DB1" w:rsidRPr="00F34DB1">
        <w:rPr>
          <w:rFonts w:cstheme="minorHAnsi"/>
          <w:b/>
          <w:bCs/>
          <w:sz w:val="28"/>
          <w:szCs w:val="28"/>
        </w:rPr>
        <w:t>March 2021</w:t>
      </w:r>
      <w:r>
        <w:rPr>
          <w:rFonts w:cstheme="minorHAnsi"/>
          <w:b/>
          <w:bCs/>
          <w:sz w:val="28"/>
          <w:szCs w:val="28"/>
        </w:rPr>
        <w:t>:</w:t>
      </w:r>
      <w:r w:rsidRPr="009F73FA">
        <w:rPr>
          <w:rFonts w:cstheme="minorHAnsi"/>
          <w:b/>
          <w:bCs/>
          <w:sz w:val="28"/>
          <w:szCs w:val="28"/>
        </w:rPr>
        <w:t xml:space="preserve">  </w:t>
      </w:r>
      <w:r>
        <w:rPr>
          <w:b/>
          <w:sz w:val="24"/>
          <w:szCs w:val="24"/>
        </w:rPr>
        <w:tab/>
      </w:r>
      <w:r w:rsidRPr="009F73FA">
        <w:rPr>
          <w:rFonts w:cstheme="minorHAnsi"/>
          <w:b/>
          <w:bCs/>
          <w:sz w:val="28"/>
          <w:szCs w:val="28"/>
        </w:rPr>
        <w:t xml:space="preserve">     </w:t>
      </w:r>
      <w:r>
        <w:rPr>
          <w:rFonts w:cstheme="minorHAnsi"/>
          <w:b/>
          <w:bCs/>
          <w:sz w:val="28"/>
          <w:szCs w:val="28"/>
        </w:rPr>
        <w:br/>
      </w:r>
      <w:r>
        <w:rPr>
          <w:b/>
          <w:sz w:val="28"/>
          <w:szCs w:val="28"/>
        </w:rPr>
        <w:t>BUILDING A HIGH QUALITY SUSTAINABLE ‘VET IN SCHOOLS’ WORKFORCE</w:t>
      </w:r>
      <w:r w:rsidRPr="009F73FA">
        <w:rPr>
          <w:rFonts w:cstheme="minorHAnsi"/>
          <w:b/>
          <w:bCs/>
          <w:sz w:val="28"/>
          <w:szCs w:val="28"/>
        </w:rPr>
        <w:tab/>
      </w:r>
      <w:r w:rsidRPr="009F73FA">
        <w:rPr>
          <w:rFonts w:cstheme="minorHAnsi"/>
          <w:b/>
          <w:bCs/>
          <w:sz w:val="28"/>
          <w:szCs w:val="28"/>
        </w:rPr>
        <w:tab/>
      </w:r>
      <w:r w:rsidRPr="00F34DB1">
        <w:rPr>
          <w:rFonts w:cstheme="minorHAnsi"/>
          <w:b/>
          <w:sz w:val="28"/>
          <w:szCs w:val="28"/>
        </w:rPr>
        <w:t>Australian Institute for Teaching and School Leadership Nov 2020</w:t>
      </w:r>
    </w:p>
    <w:p w14:paraId="45C56177" w14:textId="77777777" w:rsidR="009F73FA" w:rsidRPr="00F34DB1" w:rsidRDefault="009F73FA" w:rsidP="00F34DB1">
      <w:pPr>
        <w:pBdr>
          <w:top w:val="single" w:sz="4" w:space="1" w:color="auto"/>
          <w:left w:val="single" w:sz="4" w:space="4" w:color="auto"/>
          <w:bottom w:val="single" w:sz="4" w:space="1" w:color="auto"/>
          <w:right w:val="single" w:sz="4" w:space="4" w:color="auto"/>
        </w:pBdr>
        <w:jc w:val="center"/>
        <w:rPr>
          <w:rFonts w:cstheme="minorHAnsi"/>
          <w:b/>
        </w:rPr>
      </w:pPr>
      <w:r w:rsidRPr="00F34DB1">
        <w:rPr>
          <w:rFonts w:cstheme="minorHAnsi"/>
          <w:b/>
        </w:rPr>
        <w:t xml:space="preserve">A consultation arising from the recommendations that followed the </w:t>
      </w:r>
    </w:p>
    <w:p w14:paraId="45C56178" w14:textId="77777777" w:rsidR="009F73FA" w:rsidRPr="00F34DB1" w:rsidRDefault="009F73FA" w:rsidP="00F34DB1">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F34DB1">
        <w:rPr>
          <w:rFonts w:cstheme="minorHAnsi"/>
          <w:b/>
        </w:rPr>
        <w:t>National Review of Teacher Registration 2018</w:t>
      </w:r>
    </w:p>
    <w:p w14:paraId="45C56179" w14:textId="77777777" w:rsidR="00FC3958" w:rsidRPr="00F31143" w:rsidRDefault="00FC3958" w:rsidP="00F31143">
      <w:pPr>
        <w:spacing w:before="120" w:after="0" w:line="240" w:lineRule="auto"/>
        <w:rPr>
          <w:rFonts w:cstheme="minorHAnsi"/>
          <w:bCs/>
          <w:sz w:val="24"/>
          <w:szCs w:val="24"/>
        </w:rPr>
      </w:pPr>
    </w:p>
    <w:sectPr w:rsidR="00FC3958" w:rsidRPr="00F31143" w:rsidSect="00BC21AC">
      <w:pgSz w:w="11906" w:h="16838"/>
      <w:pgMar w:top="567"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72180"/>
    <w:rsid w:val="00074242"/>
    <w:rsid w:val="000C3594"/>
    <w:rsid w:val="0010453B"/>
    <w:rsid w:val="0011239C"/>
    <w:rsid w:val="00154688"/>
    <w:rsid w:val="00171DA0"/>
    <w:rsid w:val="00172180"/>
    <w:rsid w:val="00172B7F"/>
    <w:rsid w:val="001B0150"/>
    <w:rsid w:val="00202C3F"/>
    <w:rsid w:val="002116CF"/>
    <w:rsid w:val="002134B8"/>
    <w:rsid w:val="00222266"/>
    <w:rsid w:val="00234A4B"/>
    <w:rsid w:val="00243F36"/>
    <w:rsid w:val="002B594B"/>
    <w:rsid w:val="00361462"/>
    <w:rsid w:val="003B1914"/>
    <w:rsid w:val="00460D8F"/>
    <w:rsid w:val="004729C2"/>
    <w:rsid w:val="00485D21"/>
    <w:rsid w:val="004A4D11"/>
    <w:rsid w:val="004E0AB4"/>
    <w:rsid w:val="004F057F"/>
    <w:rsid w:val="004F2632"/>
    <w:rsid w:val="00531012"/>
    <w:rsid w:val="00531F44"/>
    <w:rsid w:val="005C25D4"/>
    <w:rsid w:val="00627D62"/>
    <w:rsid w:val="00641FDC"/>
    <w:rsid w:val="00645159"/>
    <w:rsid w:val="006C67AC"/>
    <w:rsid w:val="006D722E"/>
    <w:rsid w:val="00776AAE"/>
    <w:rsid w:val="007858BE"/>
    <w:rsid w:val="00792AF8"/>
    <w:rsid w:val="007C264A"/>
    <w:rsid w:val="007C30DD"/>
    <w:rsid w:val="007D217C"/>
    <w:rsid w:val="007E3BBB"/>
    <w:rsid w:val="007E69C6"/>
    <w:rsid w:val="00805263"/>
    <w:rsid w:val="00833D10"/>
    <w:rsid w:val="00836BC3"/>
    <w:rsid w:val="00892C40"/>
    <w:rsid w:val="00894CE7"/>
    <w:rsid w:val="008B5B84"/>
    <w:rsid w:val="008D3B56"/>
    <w:rsid w:val="008E13DE"/>
    <w:rsid w:val="008E77E3"/>
    <w:rsid w:val="008F14B1"/>
    <w:rsid w:val="008F5F81"/>
    <w:rsid w:val="0091684A"/>
    <w:rsid w:val="0094405C"/>
    <w:rsid w:val="00967054"/>
    <w:rsid w:val="009743DA"/>
    <w:rsid w:val="009B5861"/>
    <w:rsid w:val="009C0A6E"/>
    <w:rsid w:val="009C4BB8"/>
    <w:rsid w:val="009F73FA"/>
    <w:rsid w:val="009F7EBA"/>
    <w:rsid w:val="00A21DE1"/>
    <w:rsid w:val="00A313C3"/>
    <w:rsid w:val="00A75F3F"/>
    <w:rsid w:val="00AD595C"/>
    <w:rsid w:val="00AF07EA"/>
    <w:rsid w:val="00AF77D0"/>
    <w:rsid w:val="00B03D17"/>
    <w:rsid w:val="00B11548"/>
    <w:rsid w:val="00B3163F"/>
    <w:rsid w:val="00B3275C"/>
    <w:rsid w:val="00B62A47"/>
    <w:rsid w:val="00B70854"/>
    <w:rsid w:val="00B83655"/>
    <w:rsid w:val="00BC21AC"/>
    <w:rsid w:val="00BD22B7"/>
    <w:rsid w:val="00C012B9"/>
    <w:rsid w:val="00C60EF2"/>
    <w:rsid w:val="00C67BB6"/>
    <w:rsid w:val="00C80C04"/>
    <w:rsid w:val="00CB309B"/>
    <w:rsid w:val="00CC753E"/>
    <w:rsid w:val="00CF5EBB"/>
    <w:rsid w:val="00D05DCD"/>
    <w:rsid w:val="00D6478C"/>
    <w:rsid w:val="00D97145"/>
    <w:rsid w:val="00DD768D"/>
    <w:rsid w:val="00E87515"/>
    <w:rsid w:val="00E90526"/>
    <w:rsid w:val="00EB386A"/>
    <w:rsid w:val="00EE4C38"/>
    <w:rsid w:val="00F12204"/>
    <w:rsid w:val="00F31143"/>
    <w:rsid w:val="00F34DB1"/>
    <w:rsid w:val="00F35CCE"/>
    <w:rsid w:val="00F61DD0"/>
    <w:rsid w:val="00FC3958"/>
    <w:rsid w:val="00FC795B"/>
    <w:rsid w:val="00FE3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613E"/>
  <w15:docId w15:val="{1C670F91-2916-4983-8070-0725EF9E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80"/>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180"/>
    <w:pPr>
      <w:autoSpaceDE w:val="0"/>
      <w:autoSpaceDN w:val="0"/>
      <w:adjustRightInd w:val="0"/>
      <w:spacing w:before="0" w:after="0"/>
    </w:pPr>
    <w:rPr>
      <w:rFonts w:ascii="Arial" w:hAnsi="Arial" w:cs="Arial"/>
      <w:color w:val="000000"/>
      <w:sz w:val="24"/>
      <w:szCs w:val="24"/>
    </w:rPr>
  </w:style>
  <w:style w:type="character" w:styleId="Strong">
    <w:name w:val="Strong"/>
    <w:basedOn w:val="DefaultParagraphFont"/>
    <w:uiPriority w:val="22"/>
    <w:qFormat/>
    <w:rsid w:val="00C67BB6"/>
    <w:rPr>
      <w:b/>
      <w:bCs/>
    </w:rPr>
  </w:style>
  <w:style w:type="paragraph" w:styleId="NormalWeb">
    <w:name w:val="Normal (Web)"/>
    <w:basedOn w:val="Normal"/>
    <w:uiPriority w:val="99"/>
    <w:unhideWhenUsed/>
    <w:rsid w:val="00C67B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0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95 - Association of Retired Principals of Technical Institutions (ARPTI) - Productivity - Public inquiry</vt:lpstr>
    </vt:vector>
  </TitlesOfParts>
  <Company>Association of Retired Principals of Technical Institutions (ARPTI)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Association of Retired Principals of Technical Institutions (ARPTI) - Productivity - Public inquiry</dc:title>
  <dc:creator>Association of Retired Principals of Technical Institutions (ARPTI) </dc:creator>
  <cp:lastModifiedBy>Chris Alston</cp:lastModifiedBy>
  <cp:revision>22</cp:revision>
  <cp:lastPrinted>2022-10-18T00:48:00Z</cp:lastPrinted>
  <dcterms:created xsi:type="dcterms:W3CDTF">2022-10-16T02:03:00Z</dcterms:created>
  <dcterms:modified xsi:type="dcterms:W3CDTF">2022-10-21T03:06:00Z</dcterms:modified>
</cp:coreProperties>
</file>