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87EE" w14:textId="24F9D57D" w:rsidR="00D86621" w:rsidRPr="00162D8B" w:rsidRDefault="006836A9" w:rsidP="002F66C9">
      <w:pPr>
        <w:tabs>
          <w:tab w:val="center" w:pos="4371"/>
        </w:tabs>
        <w:spacing w:after="160" w:line="264" w:lineRule="auto"/>
        <w:ind w:left="-284"/>
        <w:rPr>
          <w:rFonts w:ascii="Trebuchet MS" w:eastAsia="Times New Roman" w:hAnsi="Trebuchet MS" w:cs="Calibri Light"/>
          <w:b/>
          <w:bCs/>
          <w:color w:val="1C2D57"/>
          <w:lang w:eastAsia="en-AU"/>
        </w:rPr>
      </w:pPr>
      <w:r w:rsidRPr="00162D8B">
        <w:rPr>
          <w:rFonts w:ascii="Trebuchet MS" w:eastAsia="Times New Roman" w:hAnsi="Trebuchet MS" w:cs="Calibri Light"/>
          <w:b/>
          <w:bCs/>
          <w:color w:val="1C2D57"/>
          <w:lang w:eastAsia="en-AU"/>
        </w:rPr>
        <w:tab/>
      </w:r>
      <w:r w:rsidR="009C5FB0" w:rsidRPr="00162D8B">
        <w:rPr>
          <w:rFonts w:ascii="Trebuchet MS" w:eastAsia="Times New Roman" w:hAnsi="Trebuchet MS" w:cs="Calibri Light"/>
          <w:b/>
          <w:bCs/>
          <w:color w:val="1C2D57"/>
          <w:lang w:eastAsia="en-AU"/>
        </w:rPr>
        <w:br/>
      </w:r>
    </w:p>
    <w:p w14:paraId="2358688D" w14:textId="77777777" w:rsidR="00D86621" w:rsidRPr="00162D8B" w:rsidRDefault="00D86621" w:rsidP="00D213AA">
      <w:pPr>
        <w:spacing w:after="160" w:line="264" w:lineRule="auto"/>
        <w:ind w:left="-284"/>
        <w:rPr>
          <w:rFonts w:ascii="Trebuchet MS" w:eastAsia="Times New Roman" w:hAnsi="Trebuchet MS" w:cs="Calibri Light"/>
          <w:b/>
          <w:bCs/>
          <w:color w:val="1C2D57"/>
          <w:lang w:eastAsia="en-AU"/>
        </w:rPr>
      </w:pPr>
    </w:p>
    <w:p w14:paraId="24D51A03" w14:textId="77777777" w:rsidR="00D86621" w:rsidRPr="00162D8B" w:rsidRDefault="00D86621" w:rsidP="00D213AA">
      <w:pPr>
        <w:spacing w:after="160" w:line="264" w:lineRule="auto"/>
        <w:ind w:left="-284"/>
        <w:rPr>
          <w:rFonts w:ascii="Trebuchet MS" w:eastAsia="Times New Roman" w:hAnsi="Trebuchet MS" w:cs="Calibri Light"/>
          <w:b/>
          <w:bCs/>
          <w:color w:val="1C2D57"/>
          <w:lang w:eastAsia="en-AU"/>
        </w:rPr>
      </w:pPr>
    </w:p>
    <w:p w14:paraId="7EF7D998" w14:textId="77777777" w:rsidR="00D86621" w:rsidRPr="00162D8B" w:rsidRDefault="00D86621" w:rsidP="00D213AA">
      <w:pPr>
        <w:spacing w:after="160" w:line="264" w:lineRule="auto"/>
        <w:ind w:left="-284"/>
        <w:rPr>
          <w:rFonts w:ascii="Trebuchet MS" w:eastAsia="Times New Roman" w:hAnsi="Trebuchet MS" w:cs="Calibri Light"/>
          <w:b/>
          <w:bCs/>
          <w:color w:val="1C2D57"/>
          <w:lang w:eastAsia="en-AU"/>
        </w:rPr>
      </w:pPr>
    </w:p>
    <w:p w14:paraId="19D3396B" w14:textId="77777777" w:rsidR="00D86621" w:rsidRPr="00162D8B" w:rsidRDefault="00D86621" w:rsidP="00D213AA">
      <w:pPr>
        <w:spacing w:after="160" w:line="264" w:lineRule="auto"/>
        <w:ind w:left="-284"/>
        <w:rPr>
          <w:rFonts w:ascii="Trebuchet MS" w:eastAsia="Times New Roman" w:hAnsi="Trebuchet MS" w:cs="Calibri Light"/>
          <w:b/>
          <w:bCs/>
          <w:color w:val="1C2D57"/>
          <w:lang w:eastAsia="en-AU"/>
        </w:rPr>
      </w:pPr>
    </w:p>
    <w:p w14:paraId="1D609816" w14:textId="7364C2F1" w:rsidR="007548D3" w:rsidRDefault="00326746" w:rsidP="00B243DE">
      <w:pPr>
        <w:spacing w:after="120" w:line="264" w:lineRule="auto"/>
        <w:ind w:left="-284"/>
        <w:rPr>
          <w:rFonts w:ascii="Trebuchet MS" w:eastAsia="Times New Roman" w:hAnsi="Trebuchet MS" w:cs="Calibri Light"/>
          <w:b/>
          <w:bCs/>
          <w:color w:val="1C2D57"/>
          <w:lang w:eastAsia="en-AU"/>
        </w:rPr>
      </w:pPr>
      <w:r w:rsidRPr="00162D8B">
        <w:rPr>
          <w:rFonts w:ascii="Trebuchet MS" w:eastAsia="Times New Roman" w:hAnsi="Trebuchet MS" w:cs="Calibri Light"/>
          <w:b/>
          <w:bCs/>
          <w:color w:val="1C2D57"/>
          <w:lang w:eastAsia="en-AU"/>
        </w:rPr>
        <w:t>The Australian Constructors Association</w:t>
      </w:r>
      <w:r w:rsidR="00A54E91" w:rsidRPr="00162D8B">
        <w:rPr>
          <w:rFonts w:ascii="Trebuchet MS" w:eastAsia="Times New Roman" w:hAnsi="Trebuchet MS" w:cs="Calibri Light"/>
          <w:b/>
          <w:bCs/>
          <w:color w:val="1C2D57"/>
          <w:lang w:eastAsia="en-AU"/>
        </w:rPr>
        <w:t xml:space="preserve"> </w:t>
      </w:r>
      <w:r w:rsidR="0024035D">
        <w:rPr>
          <w:rFonts w:ascii="Trebuchet MS" w:eastAsia="Times New Roman" w:hAnsi="Trebuchet MS" w:cs="Calibri Light"/>
          <w:b/>
          <w:bCs/>
          <w:color w:val="1C2D57"/>
          <w:lang w:eastAsia="en-AU"/>
        </w:rPr>
        <w:t xml:space="preserve">(ACA) </w:t>
      </w:r>
      <w:r w:rsidR="00A52E2F" w:rsidRPr="00162D8B">
        <w:rPr>
          <w:rFonts w:ascii="Trebuchet MS" w:eastAsia="Times New Roman" w:hAnsi="Trebuchet MS" w:cs="Calibri Light"/>
          <w:b/>
          <w:bCs/>
          <w:color w:val="1C2D57"/>
          <w:lang w:eastAsia="en-AU"/>
        </w:rPr>
        <w:t>welcomes the oppo</w:t>
      </w:r>
      <w:r w:rsidR="00A54E91" w:rsidRPr="00162D8B">
        <w:rPr>
          <w:rFonts w:ascii="Trebuchet MS" w:eastAsia="Times New Roman" w:hAnsi="Trebuchet MS" w:cs="Calibri Light"/>
          <w:b/>
          <w:bCs/>
          <w:color w:val="1C2D57"/>
          <w:lang w:eastAsia="en-AU"/>
        </w:rPr>
        <w:t xml:space="preserve">rtunity to </w:t>
      </w:r>
      <w:r w:rsidR="001A6F8A">
        <w:rPr>
          <w:rFonts w:ascii="Trebuchet MS" w:eastAsia="Times New Roman" w:hAnsi="Trebuchet MS" w:cs="Calibri Light"/>
          <w:b/>
          <w:bCs/>
          <w:color w:val="1C2D57"/>
          <w:lang w:eastAsia="en-AU"/>
        </w:rPr>
        <w:t>provide a final submission to the Productivity Commission</w:t>
      </w:r>
      <w:r w:rsidR="00135172">
        <w:rPr>
          <w:rFonts w:ascii="Trebuchet MS" w:eastAsia="Times New Roman" w:hAnsi="Trebuchet MS" w:cs="Calibri Light"/>
          <w:b/>
          <w:bCs/>
          <w:color w:val="1C2D57"/>
          <w:lang w:eastAsia="en-AU"/>
        </w:rPr>
        <w:t xml:space="preserve"> on it</w:t>
      </w:r>
      <w:r w:rsidR="001A6F8A">
        <w:rPr>
          <w:rFonts w:ascii="Trebuchet MS" w:eastAsia="Times New Roman" w:hAnsi="Trebuchet MS" w:cs="Calibri Light"/>
          <w:b/>
          <w:bCs/>
          <w:color w:val="1C2D57"/>
          <w:lang w:eastAsia="en-AU"/>
        </w:rPr>
        <w:t xml:space="preserve">s </w:t>
      </w:r>
      <w:r w:rsidR="00AA6CDE">
        <w:rPr>
          <w:rFonts w:ascii="Trebuchet MS" w:eastAsia="Times New Roman" w:hAnsi="Trebuchet MS" w:cs="Calibri Light"/>
          <w:b/>
          <w:bCs/>
          <w:color w:val="1C2D57"/>
          <w:lang w:eastAsia="en-AU"/>
        </w:rPr>
        <w:t>5 Year</w:t>
      </w:r>
      <w:r w:rsidR="00B942DF">
        <w:rPr>
          <w:rFonts w:ascii="Trebuchet MS" w:eastAsia="Times New Roman" w:hAnsi="Trebuchet MS" w:cs="Calibri Light"/>
          <w:b/>
          <w:bCs/>
          <w:color w:val="1C2D57"/>
          <w:lang w:eastAsia="en-AU"/>
        </w:rPr>
        <w:t xml:space="preserve"> Productivity Inquiry. </w:t>
      </w:r>
      <w:r w:rsidR="004569E8" w:rsidRPr="00162D8B">
        <w:rPr>
          <w:rFonts w:ascii="Trebuchet MS" w:eastAsia="Times New Roman" w:hAnsi="Trebuchet MS" w:cs="Calibri Light"/>
          <w:b/>
          <w:bCs/>
          <w:color w:val="1C2D57"/>
          <w:lang w:eastAsia="en-AU"/>
        </w:rPr>
        <w:t>We</w:t>
      </w:r>
      <w:r w:rsidRPr="00162D8B">
        <w:rPr>
          <w:rFonts w:ascii="Trebuchet MS" w:eastAsia="Times New Roman" w:hAnsi="Trebuchet MS" w:cs="Calibri Light"/>
          <w:b/>
          <w:bCs/>
          <w:color w:val="1C2D57"/>
          <w:lang w:eastAsia="en-AU"/>
        </w:rPr>
        <w:t xml:space="preserve"> acknowledge</w:t>
      </w:r>
      <w:r w:rsidR="003C3042">
        <w:rPr>
          <w:rFonts w:ascii="Trebuchet MS" w:eastAsia="Times New Roman" w:hAnsi="Trebuchet MS" w:cs="Calibri Light"/>
          <w:b/>
          <w:bCs/>
          <w:color w:val="1C2D57"/>
          <w:lang w:eastAsia="en-AU"/>
        </w:rPr>
        <w:t xml:space="preserve"> </w:t>
      </w:r>
      <w:r w:rsidR="00550184">
        <w:rPr>
          <w:rFonts w:ascii="Trebuchet MS" w:eastAsia="Times New Roman" w:hAnsi="Trebuchet MS" w:cs="Calibri Light"/>
          <w:b/>
          <w:bCs/>
          <w:color w:val="1C2D57"/>
          <w:lang w:eastAsia="en-AU"/>
        </w:rPr>
        <w:t xml:space="preserve">the interim reports </w:t>
      </w:r>
      <w:r w:rsidR="00600CDA">
        <w:rPr>
          <w:rFonts w:ascii="Trebuchet MS" w:eastAsia="Times New Roman" w:hAnsi="Trebuchet MS" w:cs="Calibri Light"/>
          <w:b/>
          <w:bCs/>
          <w:color w:val="1C2D57"/>
          <w:lang w:eastAsia="en-AU"/>
        </w:rPr>
        <w:t>and</w:t>
      </w:r>
      <w:r w:rsidR="00B33EEF">
        <w:rPr>
          <w:rFonts w:ascii="Trebuchet MS" w:eastAsia="Times New Roman" w:hAnsi="Trebuchet MS" w:cs="Calibri Light"/>
          <w:b/>
          <w:bCs/>
          <w:color w:val="1C2D57"/>
          <w:lang w:eastAsia="en-AU"/>
        </w:rPr>
        <w:t xml:space="preserve"> </w:t>
      </w:r>
      <w:r w:rsidR="004B3719">
        <w:rPr>
          <w:rFonts w:ascii="Trebuchet MS" w:eastAsia="Times New Roman" w:hAnsi="Trebuchet MS" w:cs="Calibri Light"/>
          <w:b/>
          <w:bCs/>
          <w:color w:val="1C2D57"/>
          <w:lang w:eastAsia="en-AU"/>
        </w:rPr>
        <w:t>stand ready to work collaboratively to improve</w:t>
      </w:r>
      <w:r w:rsidR="009B3C09">
        <w:rPr>
          <w:rFonts w:ascii="Trebuchet MS" w:eastAsia="Times New Roman" w:hAnsi="Trebuchet MS" w:cs="Calibri Light"/>
          <w:b/>
          <w:bCs/>
          <w:color w:val="1C2D57"/>
          <w:lang w:eastAsia="en-AU"/>
        </w:rPr>
        <w:t xml:space="preserve"> the </w:t>
      </w:r>
      <w:r w:rsidR="00162D8B" w:rsidRPr="00162D8B">
        <w:rPr>
          <w:rFonts w:ascii="Trebuchet MS" w:eastAsia="Times New Roman" w:hAnsi="Trebuchet MS" w:cs="Calibri Light"/>
          <w:b/>
          <w:bCs/>
          <w:color w:val="1C2D57"/>
          <w:lang w:eastAsia="en-AU"/>
        </w:rPr>
        <w:t>productivity</w:t>
      </w:r>
      <w:r w:rsidR="009B3C09">
        <w:rPr>
          <w:rFonts w:ascii="Trebuchet MS" w:eastAsia="Times New Roman" w:hAnsi="Trebuchet MS" w:cs="Calibri Light"/>
          <w:b/>
          <w:bCs/>
          <w:color w:val="1C2D57"/>
          <w:lang w:eastAsia="en-AU"/>
        </w:rPr>
        <w:t xml:space="preserve"> performance of Australia’s construction industry</w:t>
      </w:r>
      <w:r w:rsidRPr="00162D8B">
        <w:rPr>
          <w:rFonts w:ascii="Trebuchet MS" w:eastAsia="Times New Roman" w:hAnsi="Trebuchet MS" w:cs="Calibri Light"/>
          <w:b/>
          <w:bCs/>
          <w:color w:val="1C2D57"/>
          <w:lang w:eastAsia="en-AU"/>
        </w:rPr>
        <w:t>.</w:t>
      </w:r>
    </w:p>
    <w:p w14:paraId="19AF5E92" w14:textId="56BD5961" w:rsidR="007548D3" w:rsidRPr="008B0E9A" w:rsidRDefault="007F4239" w:rsidP="00B243DE">
      <w:pPr>
        <w:spacing w:after="120" w:line="264" w:lineRule="auto"/>
        <w:ind w:left="-284"/>
        <w:rPr>
          <w:rFonts w:ascii="Trebuchet MS" w:eastAsia="Times New Roman" w:hAnsi="Trebuchet MS" w:cs="Calibri Light"/>
          <w:b/>
          <w:bCs/>
          <w:color w:val="00B5AD"/>
          <w:lang w:eastAsia="en-AU"/>
        </w:rPr>
      </w:pPr>
      <w:r w:rsidRPr="008B0E9A">
        <w:rPr>
          <w:rFonts w:ascii="Trebuchet MS" w:eastAsia="Times New Roman" w:hAnsi="Trebuchet MS" w:cs="Calibri Light"/>
          <w:b/>
          <w:bCs/>
          <w:color w:val="00B5AD"/>
          <w:lang w:eastAsia="en-AU"/>
        </w:rPr>
        <w:t>About us</w:t>
      </w:r>
    </w:p>
    <w:p w14:paraId="25984434" w14:textId="742F0467" w:rsidR="00644B60" w:rsidRPr="00644B60" w:rsidRDefault="00644B60" w:rsidP="00B243DE">
      <w:pPr>
        <w:spacing w:after="120" w:line="264" w:lineRule="auto"/>
        <w:ind w:left="-284"/>
        <w:rPr>
          <w:rFonts w:ascii="Trebuchet MS" w:hAnsi="Trebuchet MS" w:cstheme="minorHAnsi"/>
        </w:rPr>
      </w:pPr>
      <w:r w:rsidRPr="00644B60">
        <w:rPr>
          <w:rFonts w:ascii="Trebuchet MS" w:hAnsi="Trebuchet MS" w:cstheme="minorHAnsi"/>
        </w:rPr>
        <w:t>Established in 1994, the Australian Constructors Association (ACA) is a trusted voice for the construction industry. We are the only representative body covering the three key sectors of the industry—vertical, horizontal and services. Collectively, our members construct and service over 90 per cent of the value of major infrastructure projects built in Australia.</w:t>
      </w:r>
    </w:p>
    <w:p w14:paraId="7470CCA1" w14:textId="3F8F792A" w:rsidR="00D34CD8" w:rsidRPr="00162D8B" w:rsidRDefault="00B609E3" w:rsidP="00B243DE">
      <w:pPr>
        <w:spacing w:after="120" w:line="264" w:lineRule="auto"/>
        <w:ind w:left="-284"/>
        <w:rPr>
          <w:rFonts w:ascii="Trebuchet MS" w:eastAsia="Times New Roman" w:hAnsi="Trebuchet MS" w:cs="Calibri Light"/>
          <w:b/>
          <w:bCs/>
          <w:color w:val="00B5AD"/>
          <w:lang w:eastAsia="en-AU"/>
        </w:rPr>
      </w:pPr>
      <w:r>
        <w:rPr>
          <w:rFonts w:ascii="Trebuchet MS" w:eastAsia="Times New Roman" w:hAnsi="Trebuchet MS" w:cs="Calibri Light"/>
          <w:b/>
          <w:bCs/>
          <w:color w:val="00B5AD"/>
          <w:lang w:eastAsia="en-AU"/>
        </w:rPr>
        <w:t>Australia’s productivity laggard</w:t>
      </w:r>
    </w:p>
    <w:p w14:paraId="3447C894" w14:textId="4B06EC28" w:rsidR="00857840" w:rsidRDefault="009A28FD" w:rsidP="00B243DE">
      <w:pPr>
        <w:spacing w:after="120" w:line="264" w:lineRule="auto"/>
        <w:ind w:left="-284"/>
        <w:rPr>
          <w:rFonts w:ascii="Trebuchet MS" w:hAnsi="Trebuchet MS" w:cstheme="minorHAnsi"/>
        </w:rPr>
      </w:pPr>
      <w:r w:rsidRPr="009A28FD">
        <w:rPr>
          <w:rFonts w:ascii="Trebuchet MS" w:hAnsi="Trebuchet MS" w:cstheme="minorHAnsi"/>
        </w:rPr>
        <w:t xml:space="preserve">Construction is Australia’s productivity laggard. Other industries have transformed and improved their productivity performance, yet Australia’s construction industry has gone backwards. Construction productivity today is lower than it was in 1990. </w:t>
      </w:r>
    </w:p>
    <w:p w14:paraId="5E978EA2" w14:textId="639E85E8" w:rsidR="004D5FD2" w:rsidRDefault="004D5FD2" w:rsidP="00B243DE">
      <w:pPr>
        <w:spacing w:after="120" w:line="264" w:lineRule="auto"/>
        <w:ind w:left="-284"/>
        <w:rPr>
          <w:rFonts w:ascii="Trebuchet MS" w:hAnsi="Trebuchet MS" w:cstheme="minorHAnsi"/>
        </w:rPr>
      </w:pPr>
      <w:r w:rsidRPr="00A721B6">
        <w:rPr>
          <w:rFonts w:ascii="Trebuchet MS" w:hAnsi="Trebuchet MS" w:cstheme="minorHAnsi"/>
        </w:rPr>
        <w:t xml:space="preserve">Over the 31 years since 1990, the ‘gap’ between productivity of the construction industry and that of other </w:t>
      </w:r>
      <w:r w:rsidR="009A7235">
        <w:rPr>
          <w:rFonts w:ascii="Trebuchet MS" w:hAnsi="Trebuchet MS" w:cstheme="minorHAnsi"/>
        </w:rPr>
        <w:t xml:space="preserve">major </w:t>
      </w:r>
      <w:r w:rsidRPr="00A721B6">
        <w:rPr>
          <w:rFonts w:ascii="Trebuchet MS" w:hAnsi="Trebuchet MS" w:cstheme="minorHAnsi"/>
        </w:rPr>
        <w:t>industries has grown. Other industries achieved productivity growth of 31.8 per cent since 1990, while construction has seen productivity fall 1.8 per cent over the same period—a differential of 33.6 per cent.</w:t>
      </w:r>
      <w:r w:rsidR="00D53687">
        <w:rPr>
          <w:rFonts w:ascii="Trebuchet MS" w:hAnsi="Trebuchet MS" w:cstheme="minorHAnsi"/>
        </w:rPr>
        <w:t xml:space="preserve"> </w:t>
      </w:r>
    </w:p>
    <w:p w14:paraId="20925D57" w14:textId="480179E5" w:rsidR="002C717F" w:rsidRDefault="002C717F" w:rsidP="002C717F">
      <w:pPr>
        <w:spacing w:after="120" w:line="264" w:lineRule="auto"/>
        <w:ind w:left="-284" w:right="244"/>
        <w:rPr>
          <w:rFonts w:ascii="Trebuchet MS" w:hAnsi="Trebuchet MS" w:cstheme="minorHAnsi"/>
        </w:rPr>
      </w:pPr>
      <w:r w:rsidRPr="009A28FD">
        <w:rPr>
          <w:rFonts w:ascii="Trebuchet MS" w:hAnsi="Trebuchet MS" w:cstheme="minorHAnsi"/>
        </w:rPr>
        <w:t>The industry has failed to innovate and according to global consultant McKinsey</w:t>
      </w:r>
      <w:r>
        <w:rPr>
          <w:rStyle w:val="FootnoteReference"/>
          <w:rFonts w:ascii="Trebuchet MS" w:hAnsi="Trebuchet MS" w:cstheme="minorHAnsi"/>
        </w:rPr>
        <w:footnoteReference w:id="2"/>
      </w:r>
      <w:r w:rsidRPr="009A28FD">
        <w:rPr>
          <w:rFonts w:ascii="Trebuchet MS" w:hAnsi="Trebuchet MS" w:cstheme="minorHAnsi"/>
        </w:rPr>
        <w:t>, only hunting and fishing have a worse track record when it comes to adoption of digital technologies.</w:t>
      </w:r>
      <w:r>
        <w:rPr>
          <w:rFonts w:ascii="Trebuchet MS" w:hAnsi="Trebuchet MS" w:cstheme="minorHAnsi"/>
        </w:rPr>
        <w:t xml:space="preserve"> </w:t>
      </w:r>
    </w:p>
    <w:p w14:paraId="40CF33CB" w14:textId="79301CAA" w:rsidR="008179D7" w:rsidRDefault="008179D7" w:rsidP="00B243DE">
      <w:pPr>
        <w:spacing w:after="120" w:line="264" w:lineRule="auto"/>
        <w:ind w:left="-284"/>
        <w:rPr>
          <w:rFonts w:ascii="Trebuchet MS" w:eastAsia="Times New Roman" w:hAnsi="Trebuchet MS" w:cs="Calibri Light"/>
          <w:b/>
          <w:bCs/>
          <w:color w:val="00B5AD"/>
          <w:lang w:eastAsia="en-AU"/>
        </w:rPr>
      </w:pPr>
      <w:r>
        <w:rPr>
          <w:rFonts w:ascii="Trebuchet MS" w:eastAsia="Times New Roman" w:hAnsi="Trebuchet MS" w:cs="Calibri Light"/>
          <w:b/>
          <w:bCs/>
          <w:color w:val="00B5AD"/>
          <w:lang w:eastAsia="en-AU"/>
        </w:rPr>
        <w:t>National significance</w:t>
      </w:r>
    </w:p>
    <w:p w14:paraId="33896328" w14:textId="59C39D6F" w:rsidR="00250019" w:rsidRDefault="008179D7" w:rsidP="00B243DE">
      <w:pPr>
        <w:spacing w:after="120" w:line="264" w:lineRule="auto"/>
        <w:ind w:left="-284" w:right="244"/>
        <w:rPr>
          <w:rFonts w:ascii="Trebuchet MS" w:hAnsi="Trebuchet MS" w:cstheme="minorHAnsi"/>
        </w:rPr>
      </w:pPr>
      <w:r>
        <w:rPr>
          <w:rFonts w:ascii="Trebuchet MS" w:hAnsi="Trebuchet MS" w:cstheme="minorHAnsi"/>
        </w:rPr>
        <w:t>The construction industry’s poor productivity performance is of national significance.</w:t>
      </w:r>
      <w:r w:rsidR="009C5773">
        <w:rPr>
          <w:rFonts w:ascii="Trebuchet MS" w:hAnsi="Trebuchet MS" w:cstheme="minorHAnsi"/>
        </w:rPr>
        <w:t xml:space="preserve"> </w:t>
      </w:r>
      <w:r w:rsidR="00250019">
        <w:rPr>
          <w:rFonts w:ascii="Trebuchet MS" w:hAnsi="Trebuchet MS" w:cstheme="minorHAnsi"/>
        </w:rPr>
        <w:t xml:space="preserve">This </w:t>
      </w:r>
      <w:r w:rsidR="00250019" w:rsidRPr="00C44B90">
        <w:rPr>
          <w:rFonts w:ascii="Trebuchet MS" w:hAnsi="Trebuchet MS" w:cstheme="minorHAnsi"/>
        </w:rPr>
        <w:t>is the very industry called upon to rebuild Australia’s economy following the COVID pandemic. It is vital to the health of the economy and, importantly, the quality-of-life Australians enjoy.</w:t>
      </w:r>
      <w:r w:rsidR="00250019">
        <w:rPr>
          <w:rFonts w:ascii="Trebuchet MS" w:hAnsi="Trebuchet MS" w:cstheme="minorHAnsi"/>
        </w:rPr>
        <w:t xml:space="preserve"> </w:t>
      </w:r>
      <w:r w:rsidR="009A3508">
        <w:rPr>
          <w:rFonts w:ascii="Trebuchet MS" w:hAnsi="Trebuchet MS" w:cstheme="minorHAnsi"/>
        </w:rPr>
        <w:t>Every dollar spent on construction has a three dollar kick on to the wider economy and the opportunity cost</w:t>
      </w:r>
      <w:r w:rsidR="009A3508">
        <w:rPr>
          <w:rStyle w:val="FootnoteReference"/>
          <w:rFonts w:ascii="Trebuchet MS" w:hAnsi="Trebuchet MS" w:cstheme="minorHAnsi"/>
        </w:rPr>
        <w:footnoteReference w:id="3"/>
      </w:r>
      <w:r w:rsidR="009A3508">
        <w:rPr>
          <w:rFonts w:ascii="Trebuchet MS" w:hAnsi="Trebuchet MS" w:cstheme="minorHAnsi"/>
        </w:rPr>
        <w:t xml:space="preserve"> is enormous.</w:t>
      </w:r>
      <w:r w:rsidR="00D720C9">
        <w:rPr>
          <w:rFonts w:ascii="Trebuchet MS" w:hAnsi="Trebuchet MS" w:cstheme="minorHAnsi"/>
        </w:rPr>
        <w:t xml:space="preserve"> In </w:t>
      </w:r>
      <w:r w:rsidR="00250019" w:rsidRPr="00A721B6">
        <w:rPr>
          <w:rFonts w:ascii="Trebuchet MS" w:hAnsi="Trebuchet MS" w:cstheme="minorHAnsi"/>
        </w:rPr>
        <w:t>FY 2019 alone, the opportunity cost</w:t>
      </w:r>
      <w:r w:rsidR="00250019">
        <w:rPr>
          <w:rFonts w:ascii="Trebuchet MS" w:hAnsi="Trebuchet MS" w:cstheme="minorHAnsi"/>
        </w:rPr>
        <w:t xml:space="preserve"> </w:t>
      </w:r>
      <w:r w:rsidR="00250019" w:rsidRPr="00A721B6">
        <w:rPr>
          <w:rFonts w:ascii="Trebuchet MS" w:hAnsi="Trebuchet MS" w:cstheme="minorHAnsi"/>
        </w:rPr>
        <w:t>was roughly $35 billion</w:t>
      </w:r>
      <w:r w:rsidR="006C2B86">
        <w:rPr>
          <w:rStyle w:val="FootnoteReference"/>
          <w:rFonts w:ascii="Trebuchet MS" w:hAnsi="Trebuchet MS" w:cstheme="minorHAnsi"/>
        </w:rPr>
        <w:footnoteReference w:id="4"/>
      </w:r>
      <w:r w:rsidR="00250019" w:rsidRPr="00A721B6">
        <w:rPr>
          <w:rFonts w:ascii="Trebuchet MS" w:hAnsi="Trebuchet MS" w:cstheme="minorHAnsi"/>
        </w:rPr>
        <w:t xml:space="preserve">. Two years later, </w:t>
      </w:r>
      <w:r w:rsidR="00AE2882">
        <w:rPr>
          <w:rFonts w:ascii="Trebuchet MS" w:hAnsi="Trebuchet MS" w:cstheme="minorHAnsi"/>
        </w:rPr>
        <w:t>it grew</w:t>
      </w:r>
      <w:r w:rsidR="00250019" w:rsidRPr="00A721B6">
        <w:rPr>
          <w:rFonts w:ascii="Trebuchet MS" w:hAnsi="Trebuchet MS" w:cstheme="minorHAnsi"/>
        </w:rPr>
        <w:t xml:space="preserve"> to $47 billion</w:t>
      </w:r>
      <w:r w:rsidR="0014296C">
        <w:rPr>
          <w:rFonts w:ascii="Trebuchet MS" w:hAnsi="Trebuchet MS" w:cstheme="minorHAnsi"/>
        </w:rPr>
        <w:t>—a figure that could be far greater if the industry fails to attract the next generation of workers</w:t>
      </w:r>
      <w:r w:rsidR="00250019" w:rsidRPr="00A721B6">
        <w:rPr>
          <w:rFonts w:ascii="Trebuchet MS" w:hAnsi="Trebuchet MS" w:cstheme="minorHAnsi"/>
        </w:rPr>
        <w:t xml:space="preserve">. </w:t>
      </w:r>
    </w:p>
    <w:p w14:paraId="7B372F6F" w14:textId="77777777" w:rsidR="00CD04C2" w:rsidRDefault="00C16790" w:rsidP="00A8282F">
      <w:pPr>
        <w:spacing w:after="120" w:line="264" w:lineRule="auto"/>
        <w:ind w:left="-284"/>
        <w:rPr>
          <w:rFonts w:ascii="Trebuchet MS" w:hAnsi="Trebuchet MS" w:cstheme="minorHAnsi"/>
        </w:rPr>
      </w:pPr>
      <w:r w:rsidRPr="00404E7B">
        <w:rPr>
          <w:rFonts w:ascii="Trebuchet MS" w:hAnsi="Trebuchet MS" w:cstheme="minorHAnsi"/>
        </w:rPr>
        <w:t xml:space="preserve">In the eyes of the next generation of workers, construction is an industry that is stuck in the past. More businesses fail in construction than any other industry and, as an industry that operates on wafer thin margins, workers are under pressure. They work long hours, suffer high stress levels and are six times more likely to die from suicide than a workplace incident. </w:t>
      </w:r>
      <w:r w:rsidRPr="00404E7B">
        <w:rPr>
          <w:rFonts w:ascii="Trebuchet MS" w:hAnsi="Trebuchet MS" w:cstheme="minorHAnsi"/>
        </w:rPr>
        <w:lastRenderedPageBreak/>
        <w:t>Diversity is low and women make up only 12 per cent of the workforce. In a recent survey less than one third of Gen Z respondents said they would consider a career in the built environment</w:t>
      </w:r>
      <w:r w:rsidR="00404E7B">
        <w:rPr>
          <w:rStyle w:val="FootnoteReference"/>
          <w:rFonts w:ascii="Trebuchet MS" w:hAnsi="Trebuchet MS" w:cstheme="minorHAnsi"/>
        </w:rPr>
        <w:footnoteReference w:id="5"/>
      </w:r>
      <w:r w:rsidR="00404E7B">
        <w:rPr>
          <w:rFonts w:ascii="Trebuchet MS" w:hAnsi="Trebuchet MS" w:cstheme="minorHAnsi"/>
        </w:rPr>
        <w:t>.</w:t>
      </w:r>
      <w:r w:rsidRPr="00404E7B">
        <w:rPr>
          <w:rFonts w:ascii="Trebuchet MS" w:hAnsi="Trebuchet MS" w:cstheme="minorHAnsi"/>
        </w:rPr>
        <w:t xml:space="preserve"> </w:t>
      </w:r>
    </w:p>
    <w:p w14:paraId="70EB8686" w14:textId="3AD77834" w:rsidR="00022A9D" w:rsidRPr="00022A9D" w:rsidRDefault="00022A9D" w:rsidP="006C2B86">
      <w:pPr>
        <w:shd w:val="clear" w:color="auto" w:fill="FFFFFF"/>
        <w:spacing w:after="120" w:line="264" w:lineRule="auto"/>
        <w:ind w:left="-284"/>
        <w:textAlignment w:val="baseline"/>
        <w:rPr>
          <w:rFonts w:ascii="Trebuchet MS" w:hAnsi="Trebuchet MS" w:cstheme="minorHAnsi"/>
        </w:rPr>
      </w:pPr>
      <w:r w:rsidRPr="00022A9D">
        <w:rPr>
          <w:rFonts w:ascii="Trebuchet MS" w:hAnsi="Trebuchet MS" w:cstheme="minorHAnsi"/>
        </w:rPr>
        <w:t>To kickstart an overhaul of the industry’s culture, the Construction Industry Culture Taskforce, a collaboration between the Australian Constructors Association and the governments of NSW and Victoria, has developed a ground-breaking Culture Standard. The Culture Standard is an important step towards improving the culture of the industry</w:t>
      </w:r>
      <w:r w:rsidR="006C2B86">
        <w:rPr>
          <w:rFonts w:ascii="Trebuchet MS" w:hAnsi="Trebuchet MS" w:cstheme="minorHAnsi"/>
        </w:rPr>
        <w:t xml:space="preserve"> bu</w:t>
      </w:r>
      <w:r w:rsidRPr="00022A9D">
        <w:rPr>
          <w:rFonts w:ascii="Trebuchet MS" w:hAnsi="Trebuchet MS" w:cstheme="minorHAnsi"/>
        </w:rPr>
        <w:t xml:space="preserve">t more needs to be done to create an industry of choice. </w:t>
      </w:r>
    </w:p>
    <w:p w14:paraId="78EB634C" w14:textId="38A5C613" w:rsidR="004D5FD2" w:rsidRPr="00961D9C" w:rsidRDefault="00961D9C" w:rsidP="00B243DE">
      <w:pPr>
        <w:spacing w:after="120" w:line="264" w:lineRule="auto"/>
        <w:ind w:left="-284"/>
        <w:rPr>
          <w:rFonts w:ascii="Trebuchet MS" w:eastAsia="Times New Roman" w:hAnsi="Trebuchet MS" w:cs="Calibri Light"/>
          <w:b/>
          <w:bCs/>
          <w:color w:val="00B5AD"/>
          <w:lang w:eastAsia="en-AU"/>
        </w:rPr>
      </w:pPr>
      <w:r w:rsidRPr="00961D9C">
        <w:rPr>
          <w:rFonts w:ascii="Trebuchet MS" w:eastAsia="Times New Roman" w:hAnsi="Trebuchet MS" w:cs="Calibri Light"/>
          <w:b/>
          <w:bCs/>
          <w:color w:val="00B5AD"/>
          <w:lang w:eastAsia="en-AU"/>
        </w:rPr>
        <w:t>Unleashing productivity growth</w:t>
      </w:r>
      <w:r>
        <w:rPr>
          <w:rFonts w:ascii="Trebuchet MS" w:eastAsia="Times New Roman" w:hAnsi="Trebuchet MS" w:cs="Calibri Light"/>
          <w:b/>
          <w:bCs/>
          <w:color w:val="00B5AD"/>
          <w:lang w:eastAsia="en-AU"/>
        </w:rPr>
        <w:t xml:space="preserve"> in construction</w:t>
      </w:r>
    </w:p>
    <w:p w14:paraId="72DD36DE" w14:textId="154F29B1" w:rsidR="00FD01B3" w:rsidRDefault="00FD01B3" w:rsidP="00B243DE">
      <w:pPr>
        <w:spacing w:after="120" w:line="264" w:lineRule="auto"/>
        <w:ind w:left="-284"/>
        <w:rPr>
          <w:rFonts w:ascii="Trebuchet MS" w:hAnsi="Trebuchet MS" w:cstheme="minorHAnsi"/>
        </w:rPr>
      </w:pPr>
      <w:r w:rsidRPr="009E3616">
        <w:rPr>
          <w:rFonts w:ascii="Trebuchet MS" w:hAnsi="Trebuchet MS" w:cstheme="minorHAnsi"/>
        </w:rPr>
        <w:t xml:space="preserve">Productivity improvements offer the critical link to the future success of Australia’s construction industry. </w:t>
      </w:r>
      <w:r w:rsidR="00874464">
        <w:rPr>
          <w:rFonts w:ascii="Trebuchet MS" w:hAnsi="Trebuchet MS" w:cstheme="minorHAnsi"/>
        </w:rPr>
        <w:t>ACA</w:t>
      </w:r>
      <w:r w:rsidRPr="009E3616">
        <w:rPr>
          <w:rFonts w:ascii="Trebuchet MS" w:hAnsi="Trebuchet MS" w:cstheme="minorHAnsi"/>
        </w:rPr>
        <w:t xml:space="preserve"> believe the biggest opportunity to improve industry productivity lies in improving how projects are procured, delivered and governed—essentially white-collar activities. Fortunately, there are many opportunities to improve white-collar productivity quickly whilst blue-collar productivity will likely take more time and, arguably, is reliant on the former. </w:t>
      </w:r>
    </w:p>
    <w:p w14:paraId="1262DAE5" w14:textId="4D9A9409" w:rsidR="00874464" w:rsidRPr="00CE591F" w:rsidRDefault="00874464" w:rsidP="00B243DE">
      <w:pPr>
        <w:spacing w:after="120" w:line="264" w:lineRule="auto"/>
        <w:ind w:left="-284"/>
        <w:rPr>
          <w:rFonts w:ascii="Trebuchet MS" w:hAnsi="Trebuchet MS" w:cstheme="minorHAnsi"/>
        </w:rPr>
      </w:pPr>
      <w:r>
        <w:rPr>
          <w:rFonts w:ascii="Trebuchet MS" w:hAnsi="Trebuchet MS" w:cstheme="minorHAnsi"/>
        </w:rPr>
        <w:t xml:space="preserve">ACA’s submission to the Productivity Commission in </w:t>
      </w:r>
      <w:r w:rsidR="00374DBD">
        <w:rPr>
          <w:rFonts w:ascii="Trebuchet MS" w:hAnsi="Trebuchet MS" w:cstheme="minorHAnsi"/>
        </w:rPr>
        <w:t>June</w:t>
      </w:r>
      <w:r>
        <w:rPr>
          <w:rFonts w:ascii="Trebuchet MS" w:hAnsi="Trebuchet MS" w:cstheme="minorHAnsi"/>
        </w:rPr>
        <w:t xml:space="preserve"> 2022 outlines several solutions</w:t>
      </w:r>
      <w:r w:rsidR="00EF3C93">
        <w:rPr>
          <w:rFonts w:ascii="Trebuchet MS" w:hAnsi="Trebuchet MS" w:cstheme="minorHAnsi"/>
        </w:rPr>
        <w:t xml:space="preserve"> with a focus on </w:t>
      </w:r>
      <w:r>
        <w:rPr>
          <w:rFonts w:ascii="Trebuchet MS" w:hAnsi="Trebuchet MS" w:cstheme="minorHAnsi"/>
        </w:rPr>
        <w:t>more efficient tender processes.</w:t>
      </w:r>
      <w:r w:rsidR="00657DD3">
        <w:rPr>
          <w:rFonts w:ascii="Trebuchet MS" w:hAnsi="Trebuchet MS" w:cstheme="minorHAnsi"/>
        </w:rPr>
        <w:t xml:space="preserve"> </w:t>
      </w:r>
      <w:r w:rsidR="006F5713">
        <w:rPr>
          <w:rFonts w:ascii="Trebuchet MS" w:hAnsi="Trebuchet MS" w:cstheme="minorHAnsi"/>
        </w:rPr>
        <w:t xml:space="preserve">The solutions range from practical </w:t>
      </w:r>
      <w:r w:rsidR="005F0A25">
        <w:rPr>
          <w:rFonts w:ascii="Trebuchet MS" w:hAnsi="Trebuchet MS" w:cstheme="minorHAnsi"/>
        </w:rPr>
        <w:t xml:space="preserve">activities such as those outlined in the </w:t>
      </w:r>
      <w:r w:rsidR="00691E8B">
        <w:rPr>
          <w:rFonts w:ascii="Trebuchet MS" w:hAnsi="Trebuchet MS" w:cstheme="minorHAnsi"/>
        </w:rPr>
        <w:t>‘</w:t>
      </w:r>
      <w:r w:rsidR="005F0A25">
        <w:rPr>
          <w:rFonts w:ascii="Trebuchet MS" w:hAnsi="Trebuchet MS" w:cstheme="minorHAnsi"/>
        </w:rPr>
        <w:t>Partnership for Change</w:t>
      </w:r>
      <w:r w:rsidR="00691E8B">
        <w:rPr>
          <w:rFonts w:ascii="Trebuchet MS" w:hAnsi="Trebuchet MS" w:cstheme="minorHAnsi"/>
        </w:rPr>
        <w:t>’</w:t>
      </w:r>
      <w:r w:rsidR="005F0A25">
        <w:rPr>
          <w:rFonts w:ascii="Trebuchet MS" w:hAnsi="Trebuchet MS" w:cstheme="minorHAnsi"/>
        </w:rPr>
        <w:t xml:space="preserve"> </w:t>
      </w:r>
      <w:r w:rsidR="00550F87">
        <w:rPr>
          <w:rFonts w:ascii="Trebuchet MS" w:hAnsi="Trebuchet MS" w:cstheme="minorHAnsi"/>
        </w:rPr>
        <w:t>initiative</w:t>
      </w:r>
      <w:r w:rsidR="005F0A25">
        <w:rPr>
          <w:rFonts w:ascii="Trebuchet MS" w:hAnsi="Trebuchet MS" w:cstheme="minorHAnsi"/>
        </w:rPr>
        <w:t xml:space="preserve"> to </w:t>
      </w:r>
      <w:r w:rsidR="00550F87" w:rsidRPr="000F1B0B">
        <w:rPr>
          <w:rFonts w:ascii="Trebuchet MS" w:hAnsi="Trebuchet MS" w:cstheme="minorHAnsi"/>
        </w:rPr>
        <w:t>bundling of projects into extended programs of work</w:t>
      </w:r>
      <w:r w:rsidR="004A3468">
        <w:rPr>
          <w:rFonts w:ascii="Trebuchet MS" w:hAnsi="Trebuchet MS" w:cstheme="minorHAnsi"/>
        </w:rPr>
        <w:t xml:space="preserve">. </w:t>
      </w:r>
      <w:r w:rsidR="002C5896">
        <w:rPr>
          <w:rFonts w:ascii="Trebuchet MS" w:hAnsi="Trebuchet MS" w:cstheme="minorHAnsi"/>
        </w:rPr>
        <w:t>Above all, for the industry to become more productive, the current</w:t>
      </w:r>
      <w:r w:rsidR="001860D0">
        <w:rPr>
          <w:rFonts w:ascii="Trebuchet MS" w:hAnsi="Trebuchet MS" w:cstheme="minorHAnsi"/>
        </w:rPr>
        <w:t xml:space="preserve"> </w:t>
      </w:r>
      <w:r w:rsidRPr="00CE591F">
        <w:rPr>
          <w:rFonts w:ascii="Trebuchet MS" w:hAnsi="Trebuchet MS" w:cstheme="minorHAnsi"/>
        </w:rPr>
        <w:t>myopic focus on lowest price at the tender box</w:t>
      </w:r>
      <w:r w:rsidR="002C5896">
        <w:rPr>
          <w:rFonts w:ascii="Trebuchet MS" w:hAnsi="Trebuchet MS" w:cstheme="minorHAnsi"/>
        </w:rPr>
        <w:t xml:space="preserve"> needs to shift</w:t>
      </w:r>
      <w:r w:rsidRPr="00CE591F">
        <w:rPr>
          <w:rFonts w:ascii="Trebuchet MS" w:hAnsi="Trebuchet MS" w:cstheme="minorHAnsi"/>
        </w:rPr>
        <w:t>.</w:t>
      </w:r>
    </w:p>
    <w:p w14:paraId="199E25DD" w14:textId="13002B37" w:rsidR="00FD01B3" w:rsidRPr="00CE591F" w:rsidRDefault="004D010F" w:rsidP="00B243DE">
      <w:pPr>
        <w:spacing w:after="120" w:line="264" w:lineRule="auto"/>
        <w:ind w:left="-284"/>
        <w:rPr>
          <w:rFonts w:ascii="Trebuchet MS" w:hAnsi="Trebuchet MS" w:cstheme="minorHAnsi"/>
        </w:rPr>
      </w:pPr>
      <w:r>
        <w:rPr>
          <w:rFonts w:ascii="Trebuchet MS" w:hAnsi="Trebuchet MS" w:cstheme="minorHAnsi"/>
        </w:rPr>
        <w:t>The</w:t>
      </w:r>
      <w:r w:rsidR="00090AE7">
        <w:rPr>
          <w:rFonts w:ascii="Trebuchet MS" w:hAnsi="Trebuchet MS" w:cstheme="minorHAnsi"/>
        </w:rPr>
        <w:t xml:space="preserve"> focus on lowest cost </w:t>
      </w:r>
      <w:r w:rsidR="00FD01B3" w:rsidRPr="00CE591F">
        <w:rPr>
          <w:rFonts w:ascii="Trebuchet MS" w:hAnsi="Trebuchet MS" w:cstheme="minorHAnsi"/>
        </w:rPr>
        <w:t>has created a race to the bottom which has led to many of the issues faced by the industry today. The prevailing concept that value for money is achieved by the lowest up-front cost is outdated and can be partially blamed for the slow adoption of productivity enhancing technologies and adversarial behaviour in the industry. It is a short-term focus that is not sustainable.</w:t>
      </w:r>
    </w:p>
    <w:p w14:paraId="067E5785" w14:textId="77777777" w:rsidR="007F1A69" w:rsidRPr="007F1A69" w:rsidRDefault="007F1A69" w:rsidP="007F1A69">
      <w:pPr>
        <w:spacing w:after="120" w:line="264" w:lineRule="auto"/>
        <w:ind w:left="-284"/>
        <w:rPr>
          <w:rFonts w:ascii="Trebuchet MS" w:hAnsi="Trebuchet MS" w:cstheme="minorHAnsi"/>
        </w:rPr>
      </w:pPr>
      <w:r w:rsidRPr="007F1A69">
        <w:rPr>
          <w:rFonts w:ascii="Trebuchet MS" w:hAnsi="Trebuchet MS" w:cstheme="minorHAnsi"/>
        </w:rPr>
        <w:t xml:space="preserve">Time and cost are important components of value; however, broader value generated to the community and health of the industry throughout the build and the life of an asset should also be considered. Value should include outcomes such as improving industry sovereign capability, increasing innovation and productivity, reducing the impact on the environment, increasing diversity and inclusion in the workforce and improving industry culture. </w:t>
      </w:r>
    </w:p>
    <w:p w14:paraId="37F03BE5" w14:textId="77777777" w:rsidR="007F1A69" w:rsidRPr="007F1A69" w:rsidRDefault="007F1A69" w:rsidP="007F1A69">
      <w:pPr>
        <w:spacing w:after="120" w:line="264" w:lineRule="auto"/>
        <w:ind w:left="-284"/>
        <w:rPr>
          <w:rFonts w:ascii="Trebuchet MS" w:hAnsi="Trebuchet MS" w:cstheme="minorHAnsi"/>
        </w:rPr>
      </w:pPr>
      <w:r w:rsidRPr="007F1A69">
        <w:rPr>
          <w:rFonts w:ascii="Trebuchet MS" w:hAnsi="Trebuchet MS" w:cstheme="minorHAnsi"/>
        </w:rPr>
        <w:t>Given the volume of construction work procured by governments, delivery agencies are uniquely placed to act as model clients. They are positioned to change the focus of the whole construction network from one focused on staying alive by offsetting risk and litigating to recover losses, to one driven to deliver improved value for all stakeholders.</w:t>
      </w:r>
    </w:p>
    <w:p w14:paraId="3D9DA3C2" w14:textId="73908852" w:rsidR="00D04CA0" w:rsidRPr="00961D9C" w:rsidRDefault="00006BA8" w:rsidP="00B243DE">
      <w:pPr>
        <w:spacing w:after="120" w:line="264" w:lineRule="auto"/>
        <w:ind w:left="-284"/>
        <w:rPr>
          <w:rFonts w:ascii="Trebuchet MS" w:eastAsia="Times New Roman" w:hAnsi="Trebuchet MS" w:cs="Calibri Light"/>
          <w:b/>
          <w:bCs/>
          <w:color w:val="00B5AD"/>
          <w:lang w:eastAsia="en-AU"/>
        </w:rPr>
      </w:pPr>
      <w:r>
        <w:rPr>
          <w:rFonts w:ascii="Trebuchet MS" w:eastAsia="Times New Roman" w:hAnsi="Trebuchet MS" w:cs="Calibri Light"/>
          <w:b/>
          <w:bCs/>
          <w:color w:val="00B5AD"/>
          <w:lang w:eastAsia="en-AU"/>
        </w:rPr>
        <w:t>Disruption over incremental change</w:t>
      </w:r>
    </w:p>
    <w:p w14:paraId="42836C59" w14:textId="5D86C918" w:rsidR="00CE4BD9" w:rsidRDefault="00DF44A9" w:rsidP="00B243DE">
      <w:pPr>
        <w:spacing w:after="120" w:line="264" w:lineRule="auto"/>
        <w:ind w:left="-284"/>
        <w:rPr>
          <w:rFonts w:ascii="Trebuchet MS" w:hAnsi="Trebuchet MS" w:cstheme="minorHAnsi"/>
        </w:rPr>
      </w:pPr>
      <w:r w:rsidRPr="009A28FD">
        <w:rPr>
          <w:rFonts w:ascii="Trebuchet MS" w:hAnsi="Trebuchet MS" w:cstheme="minorHAnsi"/>
        </w:rPr>
        <w:t>Government, industry and unions all agree on the opportunity and, more importantly, the need for change. Incremental change and 10-year horizons are out. To keep the industry alive it must transform, and it must transform now.</w:t>
      </w:r>
      <w:r w:rsidR="00AF701F">
        <w:rPr>
          <w:rFonts w:ascii="Trebuchet MS" w:hAnsi="Trebuchet MS" w:cstheme="minorHAnsi"/>
        </w:rPr>
        <w:t xml:space="preserve"> </w:t>
      </w:r>
      <w:r w:rsidR="00CE4BD9" w:rsidRPr="00CE4BD9">
        <w:rPr>
          <w:rFonts w:ascii="Trebuchet MS" w:hAnsi="Trebuchet MS" w:cstheme="minorHAnsi"/>
        </w:rPr>
        <w:t>Everyone has a part to play, including contractors, but it is the Federal Government, if it chooses to, that has the biggest power to disrupt.</w:t>
      </w:r>
    </w:p>
    <w:p w14:paraId="46E07C21" w14:textId="77777777" w:rsidR="00CE4BD9" w:rsidRPr="00CE4BD9" w:rsidRDefault="00CE4BD9" w:rsidP="00B243DE">
      <w:pPr>
        <w:spacing w:after="120" w:line="264" w:lineRule="auto"/>
        <w:ind w:left="-284"/>
        <w:rPr>
          <w:rFonts w:ascii="Trebuchet MS" w:hAnsi="Trebuchet MS" w:cstheme="minorHAnsi"/>
        </w:rPr>
      </w:pPr>
      <w:r w:rsidRPr="00CE4BD9">
        <w:rPr>
          <w:rFonts w:ascii="Trebuchet MS" w:hAnsi="Trebuchet MS" w:cstheme="minorHAnsi"/>
        </w:rPr>
        <w:t>Government is the nation’s largest infrastructure client. The Federal Government alone has committed a massive $66 billion investment in infrastructure over the next four years, much of which is granted to the states, and yet it imposes few conditions on how that money is spent by the states. If it chose to, it could encourage the states to procure in a way that maximises productivity, reduces the impact of construction on the environment and unleashes innovation.  It could incentivise the states to procure in a way that promotes training and upskilling of the workforce. It could even mandate adoption of initiatives that promote greater participation of women in the industry. The opportunities are endless.</w:t>
      </w:r>
    </w:p>
    <w:p w14:paraId="2D06EA1C" w14:textId="4D1108B0" w:rsidR="00CE4BD9" w:rsidRPr="00CE4BD9" w:rsidRDefault="00CE4BD9" w:rsidP="00B243DE">
      <w:pPr>
        <w:spacing w:after="120" w:line="264" w:lineRule="auto"/>
        <w:ind w:left="-284"/>
        <w:rPr>
          <w:rFonts w:ascii="Trebuchet MS" w:hAnsi="Trebuchet MS" w:cstheme="minorHAnsi"/>
        </w:rPr>
      </w:pPr>
      <w:r w:rsidRPr="00CE4BD9">
        <w:rPr>
          <w:rFonts w:ascii="Trebuchet MS" w:hAnsi="Trebuchet MS" w:cstheme="minorHAnsi"/>
        </w:rPr>
        <w:t xml:space="preserve">To equip the Federal Government for the role of disrupter, </w:t>
      </w:r>
      <w:r w:rsidR="00B243DE">
        <w:rPr>
          <w:rFonts w:ascii="Trebuchet MS" w:hAnsi="Trebuchet MS" w:cstheme="minorHAnsi"/>
        </w:rPr>
        <w:t>ACA</w:t>
      </w:r>
      <w:r w:rsidRPr="00CE4BD9">
        <w:rPr>
          <w:rFonts w:ascii="Trebuchet MS" w:hAnsi="Trebuchet MS" w:cstheme="minorHAnsi"/>
        </w:rPr>
        <w:t xml:space="preserve"> has developed the Future Australian Infrastructure Rating (FAIR). Essentially, FAIR is a mechanism to rate government funded projects on how well they performed against key reform areas such as improved productivity and increased female participation. Federally funded projects undertaken by state government delivery agencies would be given a rating that would be published, leading them to strive for increasingly better outcomes for their stakeholders. The FAIR initiative, or components of it, could be included in the next iteration of the National Partnership Agreement as a requirement for all federally funded projects. </w:t>
      </w:r>
    </w:p>
    <w:p w14:paraId="2038B949" w14:textId="5120177D" w:rsidR="00AF701F" w:rsidRPr="00961D9C" w:rsidRDefault="009978E1" w:rsidP="00B243DE">
      <w:pPr>
        <w:spacing w:after="120" w:line="264" w:lineRule="auto"/>
        <w:ind w:left="-284"/>
        <w:rPr>
          <w:rFonts w:ascii="Trebuchet MS" w:eastAsia="Times New Roman" w:hAnsi="Trebuchet MS" w:cs="Calibri Light"/>
          <w:b/>
          <w:bCs/>
          <w:color w:val="00B5AD"/>
          <w:lang w:eastAsia="en-AU"/>
        </w:rPr>
      </w:pPr>
      <w:r>
        <w:rPr>
          <w:rFonts w:ascii="Trebuchet MS" w:eastAsia="Times New Roman" w:hAnsi="Trebuchet MS" w:cs="Calibri Light"/>
          <w:b/>
          <w:bCs/>
          <w:color w:val="00B5AD"/>
          <w:lang w:eastAsia="en-AU"/>
        </w:rPr>
        <w:t>Act now</w:t>
      </w:r>
    </w:p>
    <w:p w14:paraId="51003FFF" w14:textId="77777777" w:rsidR="0098232B" w:rsidRPr="0098232B" w:rsidRDefault="0098232B" w:rsidP="0098232B">
      <w:pPr>
        <w:spacing w:after="120" w:line="264" w:lineRule="auto"/>
        <w:ind w:left="-284"/>
        <w:rPr>
          <w:rFonts w:ascii="Trebuchet MS" w:hAnsi="Trebuchet MS" w:cstheme="minorHAnsi"/>
        </w:rPr>
      </w:pPr>
      <w:r w:rsidRPr="0098232B">
        <w:rPr>
          <w:rFonts w:ascii="Trebuchet MS" w:hAnsi="Trebuchet MS" w:cstheme="minorHAnsi"/>
        </w:rPr>
        <w:t>The industry needs to collaborate like never before. If it does, construction could be an industry where both projects and workers are free and able to productively work the hours that best suit them. Construction could be an industry of choice and equal opportunity for all genders, nationalities and ages. It could be an industry that constructs resilient infrastructure without damaging the environment. It could be an industry at the forefront of technological advancement. Construction could be a profitable industry that rewards collaboration over conflict and innovation over status quo and an industry prepared to take risks on new ideas rather than unknown ground conditions.</w:t>
      </w:r>
    </w:p>
    <w:p w14:paraId="5D61419D" w14:textId="3014F2CE" w:rsidR="00741A54" w:rsidRDefault="00741A54" w:rsidP="00B243DE">
      <w:pPr>
        <w:spacing w:after="120" w:line="264" w:lineRule="auto"/>
        <w:ind w:left="-284"/>
        <w:rPr>
          <w:rFonts w:ascii="Trebuchet MS" w:hAnsi="Trebuchet MS" w:cstheme="minorHAnsi"/>
        </w:rPr>
      </w:pPr>
      <w:r w:rsidRPr="00741A54">
        <w:rPr>
          <w:rFonts w:ascii="Trebuchet MS" w:hAnsi="Trebuchet MS" w:cstheme="minorHAnsi"/>
        </w:rPr>
        <w:t>Australia’s construction industry could be the envy of the world, delivering high value infrastructure at a greatly reduced cost, for the benefit of all Australians.</w:t>
      </w:r>
      <w:r w:rsidR="000942B0">
        <w:rPr>
          <w:rFonts w:ascii="Trebuchet MS" w:hAnsi="Trebuchet MS" w:cstheme="minorHAnsi"/>
        </w:rPr>
        <w:t xml:space="preserve"> </w:t>
      </w:r>
      <w:r w:rsidR="009978E1">
        <w:rPr>
          <w:rFonts w:ascii="Trebuchet MS" w:hAnsi="Trebuchet MS" w:cstheme="minorHAnsi"/>
        </w:rPr>
        <w:t>The time to act is now.</w:t>
      </w:r>
    </w:p>
    <w:p w14:paraId="44591732" w14:textId="7FC146FC" w:rsidR="002320CB" w:rsidRDefault="002320CB" w:rsidP="00B243DE">
      <w:pPr>
        <w:spacing w:after="120" w:line="264" w:lineRule="auto"/>
        <w:ind w:left="-284"/>
        <w:rPr>
          <w:rFonts w:ascii="Trebuchet MS" w:hAnsi="Trebuchet MS" w:cstheme="minorHAnsi"/>
        </w:rPr>
      </w:pPr>
      <w:r w:rsidRPr="002320CB">
        <w:rPr>
          <w:rFonts w:ascii="Trebuchet MS" w:eastAsia="Times New Roman" w:hAnsi="Trebuchet MS" w:cs="Calibri Light"/>
          <w:b/>
          <w:bCs/>
          <w:color w:val="00B5AD"/>
          <w:lang w:eastAsia="en-AU"/>
        </w:rPr>
        <w:t>Contact</w:t>
      </w:r>
    </w:p>
    <w:p w14:paraId="17830BC4" w14:textId="40A99229" w:rsidR="005674C0" w:rsidRDefault="005674C0" w:rsidP="00B243DE">
      <w:pPr>
        <w:spacing w:after="120" w:line="264" w:lineRule="auto"/>
        <w:ind w:left="-284"/>
        <w:rPr>
          <w:rFonts w:ascii="Trebuchet MS" w:hAnsi="Trebuchet MS" w:cstheme="minorHAnsi"/>
        </w:rPr>
      </w:pPr>
      <w:r>
        <w:rPr>
          <w:rFonts w:ascii="Trebuchet MS" w:hAnsi="Trebuchet MS" w:cstheme="minorHAnsi"/>
        </w:rPr>
        <w:t>Jon Davies</w:t>
      </w:r>
    </w:p>
    <w:p w14:paraId="647EF7E3" w14:textId="7DDEB4EA" w:rsidR="005674C0" w:rsidRDefault="005674C0" w:rsidP="00B243DE">
      <w:pPr>
        <w:spacing w:after="120" w:line="264" w:lineRule="auto"/>
        <w:ind w:left="-284"/>
        <w:rPr>
          <w:rFonts w:ascii="Trebuchet MS" w:hAnsi="Trebuchet MS" w:cstheme="minorHAnsi"/>
        </w:rPr>
      </w:pPr>
      <w:r>
        <w:rPr>
          <w:rFonts w:ascii="Trebuchet MS" w:hAnsi="Trebuchet MS" w:cstheme="minorHAnsi"/>
        </w:rPr>
        <w:t>Chief Executive Officer, Australian Constructors Association</w:t>
      </w:r>
    </w:p>
    <w:p w14:paraId="47D4C04D" w14:textId="418CBD75" w:rsidR="002B7576" w:rsidRPr="00741A54" w:rsidRDefault="002B7576" w:rsidP="00B243DE">
      <w:pPr>
        <w:spacing w:after="120" w:line="264" w:lineRule="auto"/>
        <w:ind w:left="-284"/>
        <w:rPr>
          <w:rFonts w:ascii="Trebuchet MS" w:hAnsi="Trebuchet MS" w:cstheme="minorHAnsi"/>
        </w:rPr>
      </w:pPr>
    </w:p>
    <w:p w14:paraId="6AB71F8A" w14:textId="0165F3C8" w:rsidR="00A279C8" w:rsidRDefault="00A279C8" w:rsidP="002B7576">
      <w:pPr>
        <w:spacing w:after="120" w:line="264" w:lineRule="auto"/>
        <w:ind w:left="-284"/>
        <w:rPr>
          <w:rFonts w:ascii="Trebuchet MS" w:eastAsia="Times New Roman" w:hAnsi="Trebuchet MS" w:cs="Calibri Light"/>
          <w:b/>
          <w:bCs/>
          <w:color w:val="00B5AD"/>
          <w:lang w:eastAsia="en-AU"/>
        </w:rPr>
      </w:pPr>
    </w:p>
    <w:p w14:paraId="66E661E6" w14:textId="59C4AB08" w:rsidR="00EF4D07" w:rsidRDefault="00EF4D07" w:rsidP="00B243DE">
      <w:pPr>
        <w:spacing w:after="120" w:line="264" w:lineRule="auto"/>
        <w:ind w:left="-284"/>
        <w:rPr>
          <w:rFonts w:ascii="Trebuchet MS" w:hAnsi="Trebuchet MS" w:cstheme="minorHAnsi"/>
        </w:rPr>
      </w:pPr>
    </w:p>
    <w:p w14:paraId="1BA19568" w14:textId="462E6C5B" w:rsidR="00EF4D07" w:rsidRPr="00162D8B" w:rsidRDefault="002B7576" w:rsidP="00B243DE">
      <w:pPr>
        <w:spacing w:after="120" w:line="264" w:lineRule="auto"/>
      </w:pPr>
      <w:r>
        <w:rPr>
          <w:noProof/>
        </w:rPr>
        <mc:AlternateContent>
          <mc:Choice Requires="wps">
            <w:drawing>
              <wp:anchor distT="0" distB="0" distL="114300" distR="114300" simplePos="0" relativeHeight="251659264" behindDoc="0" locked="0" layoutInCell="1" allowOverlap="1" wp14:anchorId="6BD00911" wp14:editId="4DB2E80E">
                <wp:simplePos x="0" y="0"/>
                <wp:positionH relativeFrom="column">
                  <wp:posOffset>-914400</wp:posOffset>
                </wp:positionH>
                <wp:positionV relativeFrom="paragraph">
                  <wp:posOffset>2544445</wp:posOffset>
                </wp:positionV>
                <wp:extent cx="7540625" cy="1623408"/>
                <wp:effectExtent l="0" t="0" r="3175" b="6350"/>
                <wp:wrapNone/>
                <wp:docPr id="3" name="Rectangle 3"/>
                <wp:cNvGraphicFramePr/>
                <a:graphic xmlns:a="http://schemas.openxmlformats.org/drawingml/2006/main">
                  <a:graphicData uri="http://schemas.microsoft.com/office/word/2010/wordprocessingShape">
                    <wps:wsp>
                      <wps:cNvSpPr/>
                      <wps:spPr>
                        <a:xfrm>
                          <a:off x="0" y="0"/>
                          <a:ext cx="7540625" cy="1623408"/>
                        </a:xfrm>
                        <a:prstGeom prst="rect">
                          <a:avLst/>
                        </a:prstGeom>
                        <a:solidFill>
                          <a:srgbClr val="1C2D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1C38D" w14:textId="77777777" w:rsidR="002B7576" w:rsidRDefault="002B7576" w:rsidP="002B7576">
                            <w:pPr>
                              <w:jc w:val="center"/>
                            </w:pPr>
                            <w:r>
                              <w:rPr>
                                <w:rFonts w:ascii="Trebuchet MS" w:hAnsi="Trebuchet MS" w:cstheme="minorHAnsi"/>
                                <w:noProof/>
                              </w:rPr>
                              <w:drawing>
                                <wp:inline distT="0" distB="0" distL="0" distR="0" wp14:anchorId="2F97C759" wp14:editId="6CC773FA">
                                  <wp:extent cx="1805049" cy="614165"/>
                                  <wp:effectExtent l="0" t="0" r="5080" b="0"/>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597" cy="6231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0911" id="Rectangle 3" o:spid="_x0000_s1026" style="position:absolute;margin-left:-1in;margin-top:200.35pt;width:593.75pt;height:1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" fillcolor="#1c2d57" stroked="f" strokeweight="1pt">
                <v:textbox>
                  <w:txbxContent>
                    <w:p w14:paraId="4661C38D" w14:textId="77777777" w:rsidR="002B7576" w:rsidRDefault="002B7576" w:rsidP="002B7576">
                      <w:pPr>
                        <w:jc w:val="center"/>
                      </w:pPr>
                      <w:r>
                        <w:rPr>
                          <w:rFonts w:ascii="Trebuchet MS" w:hAnsi="Trebuchet MS" w:cstheme="minorHAnsi"/>
                          <w:noProof/>
                        </w:rPr>
                        <w:drawing>
                          <wp:inline distT="0" distB="0" distL="0" distR="0" wp14:anchorId="2F97C759" wp14:editId="6CC773FA">
                            <wp:extent cx="1805049" cy="614165"/>
                            <wp:effectExtent l="0" t="0" r="5080" b="0"/>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597" cy="623198"/>
                                    </a:xfrm>
                                    <a:prstGeom prst="rect">
                                      <a:avLst/>
                                    </a:prstGeom>
                                    <a:noFill/>
                                    <a:ln>
                                      <a:noFill/>
                                    </a:ln>
                                  </pic:spPr>
                                </pic:pic>
                              </a:graphicData>
                            </a:graphic>
                          </wp:inline>
                        </w:drawing>
                      </w:r>
                    </w:p>
                  </w:txbxContent>
                </v:textbox>
              </v:rect>
            </w:pict>
          </mc:Fallback>
        </mc:AlternateContent>
      </w:r>
    </w:p>
    <w:sectPr w:rsidR="00EF4D07" w:rsidRPr="00162D8B" w:rsidSect="001943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0B53" w14:textId="77777777" w:rsidR="00C46172" w:rsidRDefault="00C46172" w:rsidP="001650DB">
      <w:r>
        <w:separator/>
      </w:r>
    </w:p>
  </w:endnote>
  <w:endnote w:type="continuationSeparator" w:id="0">
    <w:p w14:paraId="0B1B06D8" w14:textId="77777777" w:rsidR="00C46172" w:rsidRDefault="00C46172" w:rsidP="001650DB">
      <w:r>
        <w:continuationSeparator/>
      </w:r>
    </w:p>
  </w:endnote>
  <w:endnote w:type="continuationNotice" w:id="1">
    <w:p w14:paraId="53179D6D" w14:textId="77777777" w:rsidR="00C46172" w:rsidRDefault="00C46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26780"/>
      <w:docPartObj>
        <w:docPartGallery w:val="Page Numbers (Bottom of Page)"/>
        <w:docPartUnique/>
      </w:docPartObj>
    </w:sdtPr>
    <w:sdtEndPr>
      <w:rPr>
        <w:noProof/>
      </w:rPr>
    </w:sdtEndPr>
    <w:sdtContent>
      <w:p w14:paraId="38B89598" w14:textId="6E2111B0" w:rsidR="003D1D1B" w:rsidRDefault="003D1D1B">
        <w:pPr>
          <w:pStyle w:val="Footer"/>
          <w:jc w:val="center"/>
        </w:pPr>
        <w:r>
          <w:rPr>
            <w:noProof/>
          </w:rPr>
          <w:drawing>
            <wp:anchor distT="0" distB="0" distL="114300" distR="114300" simplePos="0" relativeHeight="251665409" behindDoc="1" locked="0" layoutInCell="1" allowOverlap="1" wp14:anchorId="241D29C5" wp14:editId="25EF8FA8">
              <wp:simplePos x="0" y="0"/>
              <wp:positionH relativeFrom="column">
                <wp:posOffset>4650409</wp:posOffset>
              </wp:positionH>
              <wp:positionV relativeFrom="paragraph">
                <wp:posOffset>-198672</wp:posOffset>
              </wp:positionV>
              <wp:extent cx="1122680" cy="381635"/>
              <wp:effectExtent l="0" t="0" r="1270" b="0"/>
              <wp:wrapTight wrapText="bothSides">
                <wp:wrapPolygon edited="0">
                  <wp:start x="0" y="0"/>
                  <wp:lineTo x="0" y="20486"/>
                  <wp:lineTo x="21258" y="20486"/>
                  <wp:lineTo x="21258" y="0"/>
                  <wp:lineTo x="0" y="0"/>
                </wp:wrapPolygon>
              </wp:wrapTight>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680" cy="3816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270AC1D" w14:textId="2FF72E51" w:rsidR="006A4DBD" w:rsidRPr="007B29CE" w:rsidRDefault="006A4DBD" w:rsidP="009C5FB0">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D0B9" w14:textId="67BAA1EB" w:rsidR="009C5FB0" w:rsidRDefault="009C5FB0" w:rsidP="00D213AA">
    <w:pPr>
      <w:pStyle w:val="Footer"/>
    </w:pPr>
    <w:r>
      <w:rPr>
        <w:noProof/>
      </w:rPr>
      <w:drawing>
        <wp:anchor distT="0" distB="0" distL="114300" distR="114300" simplePos="0" relativeHeight="251658240" behindDoc="1" locked="0" layoutInCell="1" allowOverlap="1" wp14:anchorId="20BDA269" wp14:editId="3BBB8B56">
          <wp:simplePos x="0" y="0"/>
          <wp:positionH relativeFrom="column">
            <wp:posOffset>4273550</wp:posOffset>
          </wp:positionH>
          <wp:positionV relativeFrom="paragraph">
            <wp:posOffset>-165100</wp:posOffset>
          </wp:positionV>
          <wp:extent cx="1511300" cy="513715"/>
          <wp:effectExtent l="0" t="0" r="0" b="635"/>
          <wp:wrapTight wrapText="bothSides">
            <wp:wrapPolygon edited="0">
              <wp:start x="0" y="0"/>
              <wp:lineTo x="0" y="20826"/>
              <wp:lineTo x="21237" y="20826"/>
              <wp:lineTo x="21237" y="0"/>
              <wp:lineTo x="0" y="0"/>
            </wp:wrapPolygon>
          </wp:wrapTight>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1300" cy="513715"/>
                  </a:xfrm>
                  <a:prstGeom prst="rect">
                    <a:avLst/>
                  </a:prstGeom>
                </pic:spPr>
              </pic:pic>
            </a:graphicData>
          </a:graphic>
          <wp14:sizeRelH relativeFrom="page">
            <wp14:pctWidth>0</wp14:pctWidth>
          </wp14:sizeRelH>
          <wp14:sizeRelV relativeFrom="page">
            <wp14:pctHeight>0</wp14:pctHeight>
          </wp14:sizeRelV>
        </wp:anchor>
      </w:drawing>
    </w:r>
    <w:r w:rsidR="00DD5F95">
      <w:t xml:space="preserve"> </w:t>
    </w:r>
  </w:p>
  <w:p w14:paraId="77424BA9" w14:textId="77777777" w:rsidR="009C5FB0" w:rsidRDefault="009C5FB0" w:rsidP="00D213AA">
    <w:pPr>
      <w:pStyle w:val="Footer"/>
    </w:pPr>
  </w:p>
  <w:p w14:paraId="09A22ECA" w14:textId="55DC15EF" w:rsidR="009C5FB0" w:rsidRDefault="00DD5F95" w:rsidP="00D213AA">
    <w:pPr>
      <w:pStyle w:val="Footer"/>
    </w:pPr>
    <w:r>
      <w:t xml:space="preserve">     </w:t>
    </w:r>
  </w:p>
  <w:p w14:paraId="18DB2AF8" w14:textId="2F98D152" w:rsidR="00DF2111" w:rsidRPr="00D213AA" w:rsidRDefault="00DD5F95" w:rsidP="00D213AA">
    <w:pPr>
      <w:pStyle w:val="Footer"/>
    </w:pPr>
    <w:r>
      <w:t xml:space="preserve">           </w:t>
    </w:r>
    <w:r w:rsidR="00532826">
      <w:rPr>
        <w:noProof/>
      </w:rPr>
      <w:t xml:space="preserve">        </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53191"/>
      <w:docPartObj>
        <w:docPartGallery w:val="Page Numbers (Bottom of Page)"/>
        <w:docPartUnique/>
      </w:docPartObj>
    </w:sdtPr>
    <w:sdtEndPr>
      <w:rPr>
        <w:noProof/>
      </w:rPr>
    </w:sdtEndPr>
    <w:sdtContent>
      <w:p w14:paraId="25E71479" w14:textId="1A586FCD" w:rsidR="003D1D1B" w:rsidRDefault="003D1D1B">
        <w:pPr>
          <w:pStyle w:val="Footer"/>
          <w:jc w:val="center"/>
        </w:pPr>
        <w:r>
          <w:rPr>
            <w:noProof/>
          </w:rPr>
          <w:drawing>
            <wp:anchor distT="0" distB="0" distL="114300" distR="114300" simplePos="0" relativeHeight="251663361" behindDoc="1" locked="0" layoutInCell="1" allowOverlap="1" wp14:anchorId="22020FFC" wp14:editId="56A12336">
              <wp:simplePos x="0" y="0"/>
              <wp:positionH relativeFrom="column">
                <wp:posOffset>4641850</wp:posOffset>
              </wp:positionH>
              <wp:positionV relativeFrom="paragraph">
                <wp:posOffset>-197789</wp:posOffset>
              </wp:positionV>
              <wp:extent cx="1122680" cy="381635"/>
              <wp:effectExtent l="0" t="0" r="1270" b="0"/>
              <wp:wrapTight wrapText="bothSides">
                <wp:wrapPolygon edited="0">
                  <wp:start x="0" y="0"/>
                  <wp:lineTo x="0" y="20486"/>
                  <wp:lineTo x="21258" y="20486"/>
                  <wp:lineTo x="21258" y="0"/>
                  <wp:lineTo x="0" y="0"/>
                </wp:wrapPolygon>
              </wp:wrapTight>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2680" cy="3816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414EB6" w14:textId="441119CE" w:rsidR="003D1D1B" w:rsidRDefault="003D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9636" w14:textId="77777777" w:rsidR="00C46172" w:rsidRDefault="00C46172" w:rsidP="001650DB">
      <w:r>
        <w:separator/>
      </w:r>
    </w:p>
  </w:footnote>
  <w:footnote w:type="continuationSeparator" w:id="0">
    <w:p w14:paraId="2D3D9545" w14:textId="77777777" w:rsidR="00C46172" w:rsidRDefault="00C46172" w:rsidP="001650DB">
      <w:r>
        <w:continuationSeparator/>
      </w:r>
    </w:p>
  </w:footnote>
  <w:footnote w:type="continuationNotice" w:id="1">
    <w:p w14:paraId="0700B208" w14:textId="77777777" w:rsidR="00C46172" w:rsidRDefault="00C46172"/>
  </w:footnote>
  <w:footnote w:id="2">
    <w:p w14:paraId="6DF4E252" w14:textId="77777777" w:rsidR="002C717F" w:rsidRDefault="002C717F" w:rsidP="002C717F">
      <w:pPr>
        <w:pStyle w:val="FootnoteText"/>
      </w:pPr>
      <w:r>
        <w:rPr>
          <w:rStyle w:val="FootnoteReference"/>
        </w:rPr>
        <w:footnoteRef/>
      </w:r>
      <w:r>
        <w:t xml:space="preserve"> McKinsey Global Institute industry digitization index; 2015 or latest available data</w:t>
      </w:r>
    </w:p>
  </w:footnote>
  <w:footnote w:id="3">
    <w:p w14:paraId="48B762BE" w14:textId="77777777" w:rsidR="009A3508" w:rsidRDefault="009A3508" w:rsidP="009A3508">
      <w:pPr>
        <w:pStyle w:val="FootnoteText"/>
      </w:pPr>
      <w:r>
        <w:rPr>
          <w:rStyle w:val="FootnoteReference"/>
        </w:rPr>
        <w:footnoteRef/>
      </w:r>
      <w:r>
        <w:t xml:space="preserve"> P</w:t>
      </w:r>
      <w:r w:rsidRPr="00437E45">
        <w:t>otential foregone construction output from a 30-year period of relatively weak productivity performance</w:t>
      </w:r>
      <w:r>
        <w:t xml:space="preserve"> encompassing civil infrastructure and mining-related construction.</w:t>
      </w:r>
    </w:p>
  </w:footnote>
  <w:footnote w:id="4">
    <w:p w14:paraId="407B8311" w14:textId="77777777" w:rsidR="006C2B86" w:rsidRDefault="006C2B86" w:rsidP="006C2B86">
      <w:pPr>
        <w:pStyle w:val="FootnoteText"/>
      </w:pPr>
      <w:r>
        <w:rPr>
          <w:rStyle w:val="FootnoteReference"/>
        </w:rPr>
        <w:footnoteRef/>
      </w:r>
      <w:r>
        <w:t xml:space="preserve"> BIS Oxford Economics, ABS data</w:t>
      </w:r>
    </w:p>
  </w:footnote>
  <w:footnote w:id="5">
    <w:p w14:paraId="1E654AE4" w14:textId="74E125DC" w:rsidR="00404E7B" w:rsidRDefault="00404E7B">
      <w:pPr>
        <w:pStyle w:val="FootnoteText"/>
      </w:pPr>
      <w:r>
        <w:rPr>
          <w:rStyle w:val="FootnoteReference"/>
        </w:rPr>
        <w:footnoteRef/>
      </w:r>
      <w:r>
        <w:t xml:space="preserve"> Gleeds, HBD, Morgan Sindall - Are we Gen Z ready? Aug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2B64" w14:textId="058F8655" w:rsidR="00130274" w:rsidRPr="00984AA9" w:rsidRDefault="00130274" w:rsidP="00E16E7F">
    <w:pPr>
      <w:pStyle w:val="Header"/>
      <w:ind w:left="-14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D852" w14:textId="00E4ECF9" w:rsidR="001650DB" w:rsidRPr="00497FC8" w:rsidRDefault="001650DB" w:rsidP="00E16E7F">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7F8" w14:textId="67D69B5B" w:rsidR="00474E2A" w:rsidRDefault="000328D8">
    <w:pPr>
      <w:pStyle w:val="Header"/>
    </w:pPr>
    <w:r>
      <w:rPr>
        <w:noProof/>
      </w:rPr>
      <mc:AlternateContent>
        <mc:Choice Requires="wps">
          <w:drawing>
            <wp:anchor distT="0" distB="0" distL="114300" distR="114300" simplePos="0" relativeHeight="251661313" behindDoc="0" locked="0" layoutInCell="1" allowOverlap="1" wp14:anchorId="7918AB3E" wp14:editId="08B2E0EC">
              <wp:simplePos x="0" y="0"/>
              <wp:positionH relativeFrom="column">
                <wp:posOffset>-901065</wp:posOffset>
              </wp:positionH>
              <wp:positionV relativeFrom="paragraph">
                <wp:posOffset>503555</wp:posOffset>
              </wp:positionV>
              <wp:extent cx="6911975" cy="1847850"/>
              <wp:effectExtent l="0" t="0" r="0" b="0"/>
              <wp:wrapNone/>
              <wp:docPr id="8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1975" cy="1847850"/>
                      </a:xfrm>
                      <a:custGeom>
                        <a:avLst/>
                        <a:gdLst>
                          <a:gd name="T0" fmla="*/ 10618 w 10885"/>
                          <a:gd name="T1" fmla="+- 0 794 794"/>
                          <a:gd name="T2" fmla="*/ 794 h 2910"/>
                          <a:gd name="T3" fmla="*/ 10606 w 10885"/>
                          <a:gd name="T4" fmla="+- 0 794 794"/>
                          <a:gd name="T5" fmla="*/ 794 h 2910"/>
                          <a:gd name="T6" fmla="*/ 10600 w 10885"/>
                          <a:gd name="T7" fmla="+- 0 794 794"/>
                          <a:gd name="T8" fmla="*/ 794 h 2910"/>
                          <a:gd name="T9" fmla="*/ 0 w 10885"/>
                          <a:gd name="T10" fmla="+- 0 1282 794"/>
                          <a:gd name="T11" fmla="*/ 1282 h 2910"/>
                          <a:gd name="T12" fmla="*/ 0 w 10885"/>
                          <a:gd name="T13" fmla="+- 0 3215 794"/>
                          <a:gd name="T14" fmla="*/ 3215 h 2910"/>
                          <a:gd name="T15" fmla="*/ 10599 w 10885"/>
                          <a:gd name="T16" fmla="+- 0 3704 794"/>
                          <a:gd name="T17" fmla="*/ 3704 h 2910"/>
                          <a:gd name="T18" fmla="*/ 10622 w 10885"/>
                          <a:gd name="T19" fmla="+- 0 3704 794"/>
                          <a:gd name="T20" fmla="*/ 3704 h 2910"/>
                          <a:gd name="T21" fmla="*/ 10644 w 10885"/>
                          <a:gd name="T22" fmla="+- 0 3703 794"/>
                          <a:gd name="T23" fmla="*/ 3703 h 2910"/>
                          <a:gd name="T24" fmla="*/ 10707 w 10885"/>
                          <a:gd name="T25" fmla="+- 0 3688 794"/>
                          <a:gd name="T26" fmla="*/ 3688 h 2910"/>
                          <a:gd name="T27" fmla="*/ 10764 w 10885"/>
                          <a:gd name="T28" fmla="+- 0 3660 794"/>
                          <a:gd name="T29" fmla="*/ 3660 h 2910"/>
                          <a:gd name="T30" fmla="*/ 10812 w 10885"/>
                          <a:gd name="T31" fmla="+- 0 3619 794"/>
                          <a:gd name="T32" fmla="*/ 3619 h 2910"/>
                          <a:gd name="T33" fmla="*/ 10850 w 10885"/>
                          <a:gd name="T34" fmla="+- 0 3568 794"/>
                          <a:gd name="T35" fmla="*/ 3568 h 2910"/>
                          <a:gd name="T36" fmla="*/ 10875 w 10885"/>
                          <a:gd name="T37" fmla="+- 0 3509 794"/>
                          <a:gd name="T38" fmla="*/ 3509 h 2910"/>
                          <a:gd name="T39" fmla="*/ 10885 w 10885"/>
                          <a:gd name="T40" fmla="+- 0 3445 794"/>
                          <a:gd name="T41" fmla="*/ 3445 h 2910"/>
                          <a:gd name="T42" fmla="*/ 10885 w 10885"/>
                          <a:gd name="T43" fmla="+- 0 1065 794"/>
                          <a:gd name="T44" fmla="*/ 1065 h 2910"/>
                          <a:gd name="T45" fmla="*/ 10884 w 10885"/>
                          <a:gd name="T46" fmla="+- 0 1042 794"/>
                          <a:gd name="T47" fmla="*/ 1042 h 2910"/>
                          <a:gd name="T48" fmla="*/ 10871 w 10885"/>
                          <a:gd name="T49" fmla="+- 0 977 794"/>
                          <a:gd name="T50" fmla="*/ 977 h 2910"/>
                          <a:gd name="T51" fmla="*/ 10842 w 10885"/>
                          <a:gd name="T52" fmla="+- 0 918 794"/>
                          <a:gd name="T53" fmla="*/ 918 h 2910"/>
                          <a:gd name="T54" fmla="*/ 10801 w 10885"/>
                          <a:gd name="T55" fmla="+- 0 868 794"/>
                          <a:gd name="T56" fmla="*/ 868 h 2910"/>
                          <a:gd name="T57" fmla="*/ 10749 w 10885"/>
                          <a:gd name="T58" fmla="+- 0 829 794"/>
                          <a:gd name="T59" fmla="*/ 829 h 2910"/>
                          <a:gd name="T60" fmla="*/ 10688 w 10885"/>
                          <a:gd name="T61" fmla="+- 0 804 794"/>
                          <a:gd name="T62" fmla="*/ 804 h 2910"/>
                          <a:gd name="T63" fmla="*/ 10621 w 10885"/>
                          <a:gd name="T64" fmla="+- 0 794 794"/>
                          <a:gd name="T65" fmla="*/ 794 h 2910"/>
                          <a:gd name="T66" fmla="*/ 10618 w 10885"/>
                          <a:gd name="T67" fmla="+- 0 794 794"/>
                          <a:gd name="T68" fmla="*/ 794 h 2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10885" h="2910">
                            <a:moveTo>
                              <a:pt x="10618" y="0"/>
                            </a:moveTo>
                            <a:lnTo>
                              <a:pt x="10606" y="0"/>
                            </a:lnTo>
                            <a:lnTo>
                              <a:pt x="10600" y="0"/>
                            </a:lnTo>
                            <a:lnTo>
                              <a:pt x="0" y="488"/>
                            </a:lnTo>
                            <a:lnTo>
                              <a:pt x="0" y="2421"/>
                            </a:lnTo>
                            <a:lnTo>
                              <a:pt x="10599" y="2910"/>
                            </a:lnTo>
                            <a:lnTo>
                              <a:pt x="10622" y="2910"/>
                            </a:lnTo>
                            <a:lnTo>
                              <a:pt x="10644" y="2909"/>
                            </a:lnTo>
                            <a:lnTo>
                              <a:pt x="10707" y="2894"/>
                            </a:lnTo>
                            <a:lnTo>
                              <a:pt x="10764" y="2866"/>
                            </a:lnTo>
                            <a:lnTo>
                              <a:pt x="10812" y="2825"/>
                            </a:lnTo>
                            <a:lnTo>
                              <a:pt x="10850" y="2774"/>
                            </a:lnTo>
                            <a:lnTo>
                              <a:pt x="10875" y="2715"/>
                            </a:lnTo>
                            <a:lnTo>
                              <a:pt x="10885" y="2651"/>
                            </a:lnTo>
                            <a:lnTo>
                              <a:pt x="10885" y="271"/>
                            </a:lnTo>
                            <a:lnTo>
                              <a:pt x="10884" y="248"/>
                            </a:lnTo>
                            <a:lnTo>
                              <a:pt x="10871" y="183"/>
                            </a:lnTo>
                            <a:lnTo>
                              <a:pt x="10842" y="124"/>
                            </a:lnTo>
                            <a:lnTo>
                              <a:pt x="10801" y="74"/>
                            </a:lnTo>
                            <a:lnTo>
                              <a:pt x="10749" y="35"/>
                            </a:lnTo>
                            <a:lnTo>
                              <a:pt x="10688" y="10"/>
                            </a:lnTo>
                            <a:lnTo>
                              <a:pt x="10621" y="0"/>
                            </a:lnTo>
                            <a:lnTo>
                              <a:pt x="10618" y="0"/>
                            </a:lnTo>
                            <a:close/>
                          </a:path>
                        </a:pathLst>
                      </a:custGeom>
                      <a:solidFill>
                        <a:srgbClr val="1C2D5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490403" w14:textId="77777777" w:rsidR="000328D8" w:rsidRDefault="000328D8" w:rsidP="000328D8"/>
                        <w:p w14:paraId="4C2BB95D" w14:textId="77777777" w:rsidR="000328D8" w:rsidRDefault="000328D8" w:rsidP="000328D8"/>
                        <w:p w14:paraId="2AC17A74" w14:textId="4E725E1A" w:rsidR="00A443F3" w:rsidRDefault="000328D8" w:rsidP="000328D8">
                          <w:pPr>
                            <w:ind w:left="993"/>
                            <w:rPr>
                              <w:rFonts w:ascii="Trebuchet MS" w:hAnsi="Trebuchet MS"/>
                              <w:b/>
                              <w:bCs/>
                              <w:color w:val="FFFFFF" w:themeColor="background1"/>
                              <w:sz w:val="44"/>
                              <w:szCs w:val="44"/>
                            </w:rPr>
                          </w:pPr>
                          <w:r w:rsidRPr="007934F7">
                            <w:rPr>
                              <w:rFonts w:ascii="Trebuchet MS" w:hAnsi="Trebuchet MS"/>
                              <w:color w:val="F99D1C"/>
                              <w:sz w:val="4"/>
                              <w:szCs w:val="4"/>
                            </w:rPr>
                            <w:br/>
                          </w:r>
                          <w:r w:rsidRPr="002F66C9">
                            <w:rPr>
                              <w:rFonts w:ascii="Trebuchet MS" w:hAnsi="Trebuchet MS"/>
                              <w:color w:val="F99D1C"/>
                              <w:sz w:val="36"/>
                              <w:szCs w:val="36"/>
                            </w:rPr>
                            <w:t>Australian Constructors Association</w:t>
                          </w:r>
                          <w:r w:rsidRPr="002F66C9">
                            <w:rPr>
                              <w:rFonts w:ascii="Trebuchet MS" w:hAnsi="Trebuchet MS"/>
                              <w:color w:val="F99D1C"/>
                              <w:sz w:val="16"/>
                              <w:szCs w:val="16"/>
                            </w:rPr>
                            <w:br/>
                          </w:r>
                          <w:r w:rsidR="00A443F3">
                            <w:rPr>
                              <w:rFonts w:ascii="Trebuchet MS" w:hAnsi="Trebuchet MS"/>
                              <w:b/>
                              <w:bCs/>
                              <w:color w:val="FFFFFF" w:themeColor="background1"/>
                              <w:sz w:val="44"/>
                              <w:szCs w:val="44"/>
                            </w:rPr>
                            <w:t>5 Year P</w:t>
                          </w:r>
                          <w:r w:rsidR="005E49D3">
                            <w:rPr>
                              <w:rFonts w:ascii="Trebuchet MS" w:hAnsi="Trebuchet MS"/>
                              <w:b/>
                              <w:bCs/>
                              <w:color w:val="FFFFFF" w:themeColor="background1"/>
                              <w:sz w:val="44"/>
                              <w:szCs w:val="44"/>
                            </w:rPr>
                            <w:t xml:space="preserve">roductivity </w:t>
                          </w:r>
                          <w:r w:rsidR="00A443F3">
                            <w:rPr>
                              <w:rFonts w:ascii="Trebuchet MS" w:hAnsi="Trebuchet MS"/>
                              <w:b/>
                              <w:bCs/>
                              <w:color w:val="FFFFFF" w:themeColor="background1"/>
                              <w:sz w:val="44"/>
                              <w:szCs w:val="44"/>
                            </w:rPr>
                            <w:t>I</w:t>
                          </w:r>
                          <w:r w:rsidR="005E49D3">
                            <w:rPr>
                              <w:rFonts w:ascii="Trebuchet MS" w:hAnsi="Trebuchet MS"/>
                              <w:b/>
                              <w:bCs/>
                              <w:color w:val="FFFFFF" w:themeColor="background1"/>
                              <w:sz w:val="44"/>
                              <w:szCs w:val="44"/>
                            </w:rPr>
                            <w:t>nquiry</w:t>
                          </w:r>
                          <w:r w:rsidR="00A443F3">
                            <w:rPr>
                              <w:rFonts w:ascii="Trebuchet MS" w:hAnsi="Trebuchet MS"/>
                              <w:b/>
                              <w:bCs/>
                              <w:color w:val="FFFFFF" w:themeColor="background1"/>
                              <w:sz w:val="44"/>
                              <w:szCs w:val="44"/>
                            </w:rPr>
                            <w:t xml:space="preserve"> submission</w:t>
                          </w:r>
                        </w:p>
                        <w:p w14:paraId="4472F4A9" w14:textId="15E13162" w:rsidR="000328D8" w:rsidRPr="002F66C9" w:rsidRDefault="005E49D3" w:rsidP="000328D8">
                          <w:pPr>
                            <w:ind w:left="993"/>
                            <w:rPr>
                              <w:rFonts w:ascii="Trebuchet MS" w:hAnsi="Trebuchet MS"/>
                              <w:color w:val="F99D1C"/>
                              <w:sz w:val="44"/>
                              <w:szCs w:val="44"/>
                            </w:rPr>
                          </w:pPr>
                          <w:r>
                            <w:rPr>
                              <w:rFonts w:ascii="Trebuchet MS" w:hAnsi="Trebuchet MS"/>
                              <w:color w:val="FFFFFF" w:themeColor="background1"/>
                            </w:rPr>
                            <w:t>October</w:t>
                          </w:r>
                          <w:r w:rsidR="000328D8" w:rsidRPr="002F66C9">
                            <w:rPr>
                              <w:rFonts w:ascii="Trebuchet MS" w:hAnsi="Trebuchet MS"/>
                              <w:color w:val="FFFFFF" w:themeColor="background1"/>
                            </w:rPr>
                            <w:t xml:space="preserve"> 2022</w:t>
                          </w:r>
                        </w:p>
                      </w:txbxContent>
                    </wps:txbx>
                    <wps:bodyPr rot="0" vert="horz" wrap="square" lIns="91440" tIns="45720" rIns="91440" bIns="45720" anchor="t" anchorCtr="0" upright="1">
                      <a:noAutofit/>
                    </wps:bodyPr>
                  </wps:wsp>
                </a:graphicData>
              </a:graphic>
            </wp:anchor>
          </w:drawing>
        </mc:Choice>
        <mc:Fallback>
          <w:pict>
            <v:shape w14:anchorId="7918AB3E" id="Freeform 3" o:spid="_x0000_s1027" style="position:absolute;margin-left:-70.95pt;margin-top:39.65pt;width:544.25pt;height:145.5pt;z-index:251661313;visibility:visible;mso-wrap-style:square;mso-wrap-distance-left:9pt;mso-wrap-distance-top:0;mso-wrap-distance-right:9pt;mso-wrap-distance-bottom:0;mso-position-horizontal:absolute;mso-position-horizontal-relative:text;mso-position-vertical:absolute;mso-position-vertical-relative:text;v-text-anchor:top" coordsize="10885,2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" adj="-11796480,,5400" path="m10618,r-12,l10600,,,488,,2421r10599,489l10622,2910r22,-1l10707,2894r57,-28l10812,2825r38,-51l10875,2715r10,-64l10885,271r-1,-23l10871,183r-29,-59l10801,74r-52,-39l10688,10,10621,r-3,xe" fillcolor="#1c2d56" stroked="f">
              <v:stroke joinstyle="round"/>
              <v:formulas/>
              <v:path arrowok="t" o:connecttype="custom" o:connectlocs="6742430,504190;6734810,504190;6731000,504190;0,814070;0,2041525;6730365,2352040;6744970,2352040;6758940,2351405;6798945,2341880;6835140,2324100;6865620,2298065;6889750,2265680;6905625,2228215;6911975,2187575;6911975,676275;6911340,661670;6903085,620395;6884670,582930;6858635,551180;6825615,526415;6786880,510540;6744335,504190;6742430,504190" o:connectangles="0,0,0,0,0,0,0,0,0,0,0,0,0,0,0,0,0,0,0,0,0,0,0" textboxrect="0,0,10885,2910"/>
              <v:textbox>
                <w:txbxContent>
                  <w:p w14:paraId="40490403" w14:textId="77777777" w:rsidR="000328D8" w:rsidRDefault="000328D8" w:rsidP="000328D8"/>
                  <w:p w14:paraId="4C2BB95D" w14:textId="77777777" w:rsidR="000328D8" w:rsidRDefault="000328D8" w:rsidP="000328D8"/>
                  <w:p w14:paraId="2AC17A74" w14:textId="4E725E1A" w:rsidR="00A443F3" w:rsidRDefault="000328D8" w:rsidP="000328D8">
                    <w:pPr>
                      <w:ind w:left="993"/>
                      <w:rPr>
                        <w:rFonts w:ascii="Trebuchet MS" w:hAnsi="Trebuchet MS"/>
                        <w:b/>
                        <w:bCs/>
                        <w:color w:val="FFFFFF" w:themeColor="background1"/>
                        <w:sz w:val="44"/>
                        <w:szCs w:val="44"/>
                      </w:rPr>
                    </w:pPr>
                    <w:r w:rsidRPr="007934F7">
                      <w:rPr>
                        <w:rFonts w:ascii="Trebuchet MS" w:hAnsi="Trebuchet MS"/>
                        <w:color w:val="F99D1C"/>
                        <w:sz w:val="4"/>
                        <w:szCs w:val="4"/>
                      </w:rPr>
                      <w:br/>
                    </w:r>
                    <w:r w:rsidRPr="002F66C9">
                      <w:rPr>
                        <w:rFonts w:ascii="Trebuchet MS" w:hAnsi="Trebuchet MS"/>
                        <w:color w:val="F99D1C"/>
                        <w:sz w:val="36"/>
                        <w:szCs w:val="36"/>
                      </w:rPr>
                      <w:t>Australian Constructors Association</w:t>
                    </w:r>
                    <w:r w:rsidRPr="002F66C9">
                      <w:rPr>
                        <w:rFonts w:ascii="Trebuchet MS" w:hAnsi="Trebuchet MS"/>
                        <w:color w:val="F99D1C"/>
                        <w:sz w:val="16"/>
                        <w:szCs w:val="16"/>
                      </w:rPr>
                      <w:br/>
                    </w:r>
                    <w:r w:rsidR="00A443F3">
                      <w:rPr>
                        <w:rFonts w:ascii="Trebuchet MS" w:hAnsi="Trebuchet MS"/>
                        <w:b/>
                        <w:bCs/>
                        <w:color w:val="FFFFFF" w:themeColor="background1"/>
                        <w:sz w:val="44"/>
                        <w:szCs w:val="44"/>
                      </w:rPr>
                      <w:t>5 Year P</w:t>
                    </w:r>
                    <w:r w:rsidR="005E49D3">
                      <w:rPr>
                        <w:rFonts w:ascii="Trebuchet MS" w:hAnsi="Trebuchet MS"/>
                        <w:b/>
                        <w:bCs/>
                        <w:color w:val="FFFFFF" w:themeColor="background1"/>
                        <w:sz w:val="44"/>
                        <w:szCs w:val="44"/>
                      </w:rPr>
                      <w:t xml:space="preserve">roductivity </w:t>
                    </w:r>
                    <w:r w:rsidR="00A443F3">
                      <w:rPr>
                        <w:rFonts w:ascii="Trebuchet MS" w:hAnsi="Trebuchet MS"/>
                        <w:b/>
                        <w:bCs/>
                        <w:color w:val="FFFFFF" w:themeColor="background1"/>
                        <w:sz w:val="44"/>
                        <w:szCs w:val="44"/>
                      </w:rPr>
                      <w:t>I</w:t>
                    </w:r>
                    <w:r w:rsidR="005E49D3">
                      <w:rPr>
                        <w:rFonts w:ascii="Trebuchet MS" w:hAnsi="Trebuchet MS"/>
                        <w:b/>
                        <w:bCs/>
                        <w:color w:val="FFFFFF" w:themeColor="background1"/>
                        <w:sz w:val="44"/>
                        <w:szCs w:val="44"/>
                      </w:rPr>
                      <w:t>nquiry</w:t>
                    </w:r>
                    <w:r w:rsidR="00A443F3">
                      <w:rPr>
                        <w:rFonts w:ascii="Trebuchet MS" w:hAnsi="Trebuchet MS"/>
                        <w:b/>
                        <w:bCs/>
                        <w:color w:val="FFFFFF" w:themeColor="background1"/>
                        <w:sz w:val="44"/>
                        <w:szCs w:val="44"/>
                      </w:rPr>
                      <w:t xml:space="preserve"> submission</w:t>
                    </w:r>
                  </w:p>
                  <w:p w14:paraId="4472F4A9" w14:textId="15E13162" w:rsidR="000328D8" w:rsidRPr="002F66C9" w:rsidRDefault="005E49D3" w:rsidP="000328D8">
                    <w:pPr>
                      <w:ind w:left="993"/>
                      <w:rPr>
                        <w:rFonts w:ascii="Trebuchet MS" w:hAnsi="Trebuchet MS"/>
                        <w:color w:val="F99D1C"/>
                        <w:sz w:val="44"/>
                        <w:szCs w:val="44"/>
                      </w:rPr>
                    </w:pPr>
                    <w:r>
                      <w:rPr>
                        <w:rFonts w:ascii="Trebuchet MS" w:hAnsi="Trebuchet MS"/>
                        <w:color w:val="FFFFFF" w:themeColor="background1"/>
                      </w:rPr>
                      <w:t>October</w:t>
                    </w:r>
                    <w:r w:rsidR="000328D8" w:rsidRPr="002F66C9">
                      <w:rPr>
                        <w:rFonts w:ascii="Trebuchet MS" w:hAnsi="Trebuchet MS"/>
                        <w:color w:val="FFFFFF" w:themeColor="background1"/>
                      </w:rPr>
                      <w:t xml:space="preserve"> 2022</w:t>
                    </w:r>
                  </w:p>
                </w:txbxContent>
              </v:textbox>
            </v:shape>
          </w:pict>
        </mc:Fallback>
      </mc:AlternateContent>
    </w:r>
    <w:r>
      <w:rPr>
        <w:noProof/>
      </w:rPr>
      <mc:AlternateContent>
        <mc:Choice Requires="wps">
          <w:drawing>
            <wp:anchor distT="0" distB="0" distL="114300" distR="114300" simplePos="0" relativeHeight="251660289" behindDoc="0" locked="0" layoutInCell="1" allowOverlap="1" wp14:anchorId="48E5950A" wp14:editId="35F4ACD9">
              <wp:simplePos x="0" y="0"/>
              <wp:positionH relativeFrom="column">
                <wp:posOffset>-900752</wp:posOffset>
              </wp:positionH>
              <wp:positionV relativeFrom="paragraph">
                <wp:posOffset>0</wp:posOffset>
              </wp:positionV>
              <wp:extent cx="5212080" cy="615315"/>
              <wp:effectExtent l="0" t="0" r="0" b="0"/>
              <wp:wrapNone/>
              <wp:docPr id="8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2080" cy="615315"/>
                      </a:xfrm>
                      <a:custGeom>
                        <a:avLst/>
                        <a:gdLst>
                          <a:gd name="T0" fmla="*/ 8198 w 8208"/>
                          <a:gd name="T1" fmla="*/ 268 h 969"/>
                          <a:gd name="T2" fmla="*/ 8129 w 8208"/>
                          <a:gd name="T3" fmla="*/ 0 h 969"/>
                          <a:gd name="T4" fmla="*/ 0 w 8208"/>
                          <a:gd name="T5" fmla="*/ 0 h 969"/>
                          <a:gd name="T6" fmla="*/ 0 w 8208"/>
                          <a:gd name="T7" fmla="*/ 969 h 969"/>
                          <a:gd name="T8" fmla="*/ 1718 w 8208"/>
                          <a:gd name="T9" fmla="*/ 881 h 969"/>
                          <a:gd name="T10" fmla="*/ 7983 w 8208"/>
                          <a:gd name="T11" fmla="*/ 560 h 969"/>
                          <a:gd name="T12" fmla="*/ 8006 w 8208"/>
                          <a:gd name="T13" fmla="*/ 558 h 969"/>
                          <a:gd name="T14" fmla="*/ 8029 w 8208"/>
                          <a:gd name="T15" fmla="*/ 555 h 969"/>
                          <a:gd name="T16" fmla="*/ 8050 w 8208"/>
                          <a:gd name="T17" fmla="*/ 549 h 969"/>
                          <a:gd name="T18" fmla="*/ 8071 w 8208"/>
                          <a:gd name="T19" fmla="*/ 542 h 969"/>
                          <a:gd name="T20" fmla="*/ 8091 w 8208"/>
                          <a:gd name="T21" fmla="*/ 532 h 969"/>
                          <a:gd name="T22" fmla="*/ 8109 w 8208"/>
                          <a:gd name="T23" fmla="*/ 521 h 969"/>
                          <a:gd name="T24" fmla="*/ 8127 w 8208"/>
                          <a:gd name="T25" fmla="*/ 508 h 969"/>
                          <a:gd name="T26" fmla="*/ 8143 w 8208"/>
                          <a:gd name="T27" fmla="*/ 493 h 969"/>
                          <a:gd name="T28" fmla="*/ 8157 w 8208"/>
                          <a:gd name="T29" fmla="*/ 477 h 969"/>
                          <a:gd name="T30" fmla="*/ 8170 w 8208"/>
                          <a:gd name="T31" fmla="*/ 459 h 969"/>
                          <a:gd name="T32" fmla="*/ 8181 w 8208"/>
                          <a:gd name="T33" fmla="*/ 441 h 969"/>
                          <a:gd name="T34" fmla="*/ 8191 w 8208"/>
                          <a:gd name="T35" fmla="*/ 421 h 969"/>
                          <a:gd name="T36" fmla="*/ 8198 w 8208"/>
                          <a:gd name="T37" fmla="*/ 400 h 969"/>
                          <a:gd name="T38" fmla="*/ 8204 w 8208"/>
                          <a:gd name="T39" fmla="*/ 378 h 969"/>
                          <a:gd name="T40" fmla="*/ 8207 w 8208"/>
                          <a:gd name="T41" fmla="*/ 356 h 969"/>
                          <a:gd name="T42" fmla="*/ 8208 w 8208"/>
                          <a:gd name="T43" fmla="*/ 334 h 969"/>
                          <a:gd name="T44" fmla="*/ 8207 w 8208"/>
                          <a:gd name="T45" fmla="*/ 314 h 969"/>
                          <a:gd name="T46" fmla="*/ 8204 w 8208"/>
                          <a:gd name="T47" fmla="*/ 294 h 969"/>
                          <a:gd name="T48" fmla="*/ 8200 w 8208"/>
                          <a:gd name="T49" fmla="*/ 274 h 969"/>
                          <a:gd name="T50" fmla="*/ 8198 w 8208"/>
                          <a:gd name="T51" fmla="*/ 268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208" h="969">
                            <a:moveTo>
                              <a:pt x="8198" y="268"/>
                            </a:moveTo>
                            <a:lnTo>
                              <a:pt x="8129" y="0"/>
                            </a:lnTo>
                            <a:lnTo>
                              <a:pt x="0" y="0"/>
                            </a:lnTo>
                            <a:lnTo>
                              <a:pt x="0" y="969"/>
                            </a:lnTo>
                            <a:lnTo>
                              <a:pt x="1718" y="881"/>
                            </a:lnTo>
                            <a:lnTo>
                              <a:pt x="7983" y="560"/>
                            </a:lnTo>
                            <a:lnTo>
                              <a:pt x="8006" y="558"/>
                            </a:lnTo>
                            <a:lnTo>
                              <a:pt x="8029" y="555"/>
                            </a:lnTo>
                            <a:lnTo>
                              <a:pt x="8050" y="549"/>
                            </a:lnTo>
                            <a:lnTo>
                              <a:pt x="8071" y="542"/>
                            </a:lnTo>
                            <a:lnTo>
                              <a:pt x="8091" y="532"/>
                            </a:lnTo>
                            <a:lnTo>
                              <a:pt x="8109" y="521"/>
                            </a:lnTo>
                            <a:lnTo>
                              <a:pt x="8127" y="508"/>
                            </a:lnTo>
                            <a:lnTo>
                              <a:pt x="8143" y="493"/>
                            </a:lnTo>
                            <a:lnTo>
                              <a:pt x="8157" y="477"/>
                            </a:lnTo>
                            <a:lnTo>
                              <a:pt x="8170" y="459"/>
                            </a:lnTo>
                            <a:lnTo>
                              <a:pt x="8181" y="441"/>
                            </a:lnTo>
                            <a:lnTo>
                              <a:pt x="8191" y="421"/>
                            </a:lnTo>
                            <a:lnTo>
                              <a:pt x="8198" y="400"/>
                            </a:lnTo>
                            <a:lnTo>
                              <a:pt x="8204" y="378"/>
                            </a:lnTo>
                            <a:lnTo>
                              <a:pt x="8207" y="356"/>
                            </a:lnTo>
                            <a:lnTo>
                              <a:pt x="8208" y="334"/>
                            </a:lnTo>
                            <a:lnTo>
                              <a:pt x="8207" y="314"/>
                            </a:lnTo>
                            <a:lnTo>
                              <a:pt x="8204" y="294"/>
                            </a:lnTo>
                            <a:lnTo>
                              <a:pt x="8200" y="274"/>
                            </a:lnTo>
                            <a:lnTo>
                              <a:pt x="8198" y="268"/>
                            </a:lnTo>
                            <a:close/>
                          </a:path>
                        </a:pathLst>
                      </a:custGeom>
                      <a:solidFill>
                        <a:srgbClr val="00B5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613A088" id="Freeform 2" o:spid="_x0000_s1026" style="position:absolute;margin-left:-70.95pt;margin-top:0;width:410.4pt;height:48.45pt;z-index:251660289;visibility:visible;mso-wrap-style:square;mso-wrap-distance-left:9pt;mso-wrap-distance-top:0;mso-wrap-distance-right:9pt;mso-wrap-distance-bottom:0;mso-position-horizontal:absolute;mso-position-horizontal-relative:text;mso-position-vertical:absolute;mso-position-vertical-relative:text;v-text-anchor:top" coordsize="820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" path="m8198,268l8129,,,,,969,1718,881,7983,560r23,-2l8029,555r21,-6l8071,542r20,-10l8109,521r18,-13l8143,493r14,-16l8170,459r11,-18l8191,421r7,-21l8204,378r3,-22l8208,334r-1,-20l8204,294r-4,-20l8198,268xe" fillcolor="#00b5ad" stroked="f">
              <v:path arrowok="t" o:connecttype="custom" o:connectlocs="5205730,170180;5161915,0;0,0;0,615315;1090930,559435;5069205,355600;5083810,354330;5098415,352425;5111750,348615;5125085,344170;5137785,337820;5149215,330835;5160645,322580;5170805,313055;5179695,302895;5187950,291465;5194935,280035;5201285,267335;5205730,254000;5209540,240030;5211445,226060;5212080,212090;5211445,199390;5209540,186690;5207000,173990;5205730,170180" o:connectangles="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F7D3B"/>
    <w:multiLevelType w:val="hybridMultilevel"/>
    <w:tmpl w:val="27DC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39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6B"/>
    <w:rsid w:val="00006BA8"/>
    <w:rsid w:val="00007689"/>
    <w:rsid w:val="00013858"/>
    <w:rsid w:val="00022A5E"/>
    <w:rsid w:val="00022A9D"/>
    <w:rsid w:val="000300A1"/>
    <w:rsid w:val="000328D8"/>
    <w:rsid w:val="000422B3"/>
    <w:rsid w:val="000471FC"/>
    <w:rsid w:val="00047F75"/>
    <w:rsid w:val="0006620B"/>
    <w:rsid w:val="00076141"/>
    <w:rsid w:val="00090AE7"/>
    <w:rsid w:val="00093B91"/>
    <w:rsid w:val="000942B0"/>
    <w:rsid w:val="00095C27"/>
    <w:rsid w:val="00097D0A"/>
    <w:rsid w:val="000A3623"/>
    <w:rsid w:val="000C0B77"/>
    <w:rsid w:val="000F1B0B"/>
    <w:rsid w:val="000F2780"/>
    <w:rsid w:val="00101AD1"/>
    <w:rsid w:val="00102BDA"/>
    <w:rsid w:val="00117165"/>
    <w:rsid w:val="00122DF1"/>
    <w:rsid w:val="00130274"/>
    <w:rsid w:val="00135172"/>
    <w:rsid w:val="0014296C"/>
    <w:rsid w:val="00162D8B"/>
    <w:rsid w:val="001650DB"/>
    <w:rsid w:val="00183327"/>
    <w:rsid w:val="00185ADE"/>
    <w:rsid w:val="001860D0"/>
    <w:rsid w:val="0019138A"/>
    <w:rsid w:val="00194360"/>
    <w:rsid w:val="001A6F8A"/>
    <w:rsid w:val="001B22EE"/>
    <w:rsid w:val="001B3283"/>
    <w:rsid w:val="002320CB"/>
    <w:rsid w:val="0023466F"/>
    <w:rsid w:val="0024035D"/>
    <w:rsid w:val="00247DD8"/>
    <w:rsid w:val="00250019"/>
    <w:rsid w:val="00262D83"/>
    <w:rsid w:val="002800B5"/>
    <w:rsid w:val="00294376"/>
    <w:rsid w:val="0029744A"/>
    <w:rsid w:val="002A2E5E"/>
    <w:rsid w:val="002B2E8A"/>
    <w:rsid w:val="002B5C16"/>
    <w:rsid w:val="002B7576"/>
    <w:rsid w:val="002C5896"/>
    <w:rsid w:val="002C717F"/>
    <w:rsid w:val="002C7B45"/>
    <w:rsid w:val="002D73DD"/>
    <w:rsid w:val="002E0909"/>
    <w:rsid w:val="002F66C9"/>
    <w:rsid w:val="002F6EF0"/>
    <w:rsid w:val="00326746"/>
    <w:rsid w:val="003354A8"/>
    <w:rsid w:val="00336F24"/>
    <w:rsid w:val="00355E29"/>
    <w:rsid w:val="0035756F"/>
    <w:rsid w:val="0036146E"/>
    <w:rsid w:val="00374DBD"/>
    <w:rsid w:val="00381BC4"/>
    <w:rsid w:val="00381F5E"/>
    <w:rsid w:val="00383447"/>
    <w:rsid w:val="00385E1F"/>
    <w:rsid w:val="003A0E41"/>
    <w:rsid w:val="003C3042"/>
    <w:rsid w:val="003D1D1B"/>
    <w:rsid w:val="003D3945"/>
    <w:rsid w:val="003D76B8"/>
    <w:rsid w:val="003F4612"/>
    <w:rsid w:val="003F7848"/>
    <w:rsid w:val="0040257B"/>
    <w:rsid w:val="00404E7B"/>
    <w:rsid w:val="004141EE"/>
    <w:rsid w:val="00437E45"/>
    <w:rsid w:val="00452B79"/>
    <w:rsid w:val="004569E8"/>
    <w:rsid w:val="0046162C"/>
    <w:rsid w:val="00464124"/>
    <w:rsid w:val="00474E2A"/>
    <w:rsid w:val="00493254"/>
    <w:rsid w:val="0049388E"/>
    <w:rsid w:val="00494099"/>
    <w:rsid w:val="00497FC8"/>
    <w:rsid w:val="004A13FB"/>
    <w:rsid w:val="004A3468"/>
    <w:rsid w:val="004B3719"/>
    <w:rsid w:val="004B4840"/>
    <w:rsid w:val="004C49D6"/>
    <w:rsid w:val="004D010F"/>
    <w:rsid w:val="004D1993"/>
    <w:rsid w:val="004D5FD2"/>
    <w:rsid w:val="004D79D5"/>
    <w:rsid w:val="004E7FAF"/>
    <w:rsid w:val="005166C3"/>
    <w:rsid w:val="0052036A"/>
    <w:rsid w:val="00521B80"/>
    <w:rsid w:val="00532826"/>
    <w:rsid w:val="00543353"/>
    <w:rsid w:val="00550184"/>
    <w:rsid w:val="00550F87"/>
    <w:rsid w:val="00557A25"/>
    <w:rsid w:val="005674C0"/>
    <w:rsid w:val="0057771D"/>
    <w:rsid w:val="005861D9"/>
    <w:rsid w:val="00593237"/>
    <w:rsid w:val="005B0343"/>
    <w:rsid w:val="005B09DE"/>
    <w:rsid w:val="005B3B66"/>
    <w:rsid w:val="005E2D15"/>
    <w:rsid w:val="005E49D3"/>
    <w:rsid w:val="005F0A25"/>
    <w:rsid w:val="005F5D99"/>
    <w:rsid w:val="00600CDA"/>
    <w:rsid w:val="00601932"/>
    <w:rsid w:val="00630C33"/>
    <w:rsid w:val="00644B60"/>
    <w:rsid w:val="0064592F"/>
    <w:rsid w:val="00657DD3"/>
    <w:rsid w:val="00661855"/>
    <w:rsid w:val="0066792E"/>
    <w:rsid w:val="006836A9"/>
    <w:rsid w:val="00691E8B"/>
    <w:rsid w:val="00695F92"/>
    <w:rsid w:val="00696C2C"/>
    <w:rsid w:val="006A0B78"/>
    <w:rsid w:val="006A4DBD"/>
    <w:rsid w:val="006B11FB"/>
    <w:rsid w:val="006B3E38"/>
    <w:rsid w:val="006B5FCC"/>
    <w:rsid w:val="006C2A7B"/>
    <w:rsid w:val="006C2B86"/>
    <w:rsid w:val="006C77FC"/>
    <w:rsid w:val="006D31CB"/>
    <w:rsid w:val="006D427F"/>
    <w:rsid w:val="006E746A"/>
    <w:rsid w:val="006F1436"/>
    <w:rsid w:val="006F359F"/>
    <w:rsid w:val="006F5713"/>
    <w:rsid w:val="0070539C"/>
    <w:rsid w:val="007064F9"/>
    <w:rsid w:val="00706A8D"/>
    <w:rsid w:val="0071480B"/>
    <w:rsid w:val="00723533"/>
    <w:rsid w:val="007272BF"/>
    <w:rsid w:val="00734D1B"/>
    <w:rsid w:val="00735CAD"/>
    <w:rsid w:val="00741A54"/>
    <w:rsid w:val="00741DA9"/>
    <w:rsid w:val="00744067"/>
    <w:rsid w:val="00747182"/>
    <w:rsid w:val="00751AE4"/>
    <w:rsid w:val="007548D3"/>
    <w:rsid w:val="007934F7"/>
    <w:rsid w:val="007C56DA"/>
    <w:rsid w:val="007C56F4"/>
    <w:rsid w:val="007E0D50"/>
    <w:rsid w:val="007F1A69"/>
    <w:rsid w:val="007F2506"/>
    <w:rsid w:val="007F4239"/>
    <w:rsid w:val="007F748C"/>
    <w:rsid w:val="00806BBC"/>
    <w:rsid w:val="008136D4"/>
    <w:rsid w:val="00816764"/>
    <w:rsid w:val="008179D7"/>
    <w:rsid w:val="00843687"/>
    <w:rsid w:val="00847643"/>
    <w:rsid w:val="00853E88"/>
    <w:rsid w:val="00857840"/>
    <w:rsid w:val="00874464"/>
    <w:rsid w:val="008746EB"/>
    <w:rsid w:val="00895F4B"/>
    <w:rsid w:val="008A236A"/>
    <w:rsid w:val="008A28AB"/>
    <w:rsid w:val="008A3C92"/>
    <w:rsid w:val="008A3CA2"/>
    <w:rsid w:val="008A4622"/>
    <w:rsid w:val="008B0E9A"/>
    <w:rsid w:val="008B28E0"/>
    <w:rsid w:val="008B57FC"/>
    <w:rsid w:val="008B675C"/>
    <w:rsid w:val="008C03BB"/>
    <w:rsid w:val="008D1DB0"/>
    <w:rsid w:val="008E3072"/>
    <w:rsid w:val="0091771C"/>
    <w:rsid w:val="009206F1"/>
    <w:rsid w:val="00925D51"/>
    <w:rsid w:val="00941E11"/>
    <w:rsid w:val="00945C5F"/>
    <w:rsid w:val="00960449"/>
    <w:rsid w:val="00961D9C"/>
    <w:rsid w:val="00964098"/>
    <w:rsid w:val="0096750F"/>
    <w:rsid w:val="009702BF"/>
    <w:rsid w:val="00980872"/>
    <w:rsid w:val="0098232B"/>
    <w:rsid w:val="00984AA9"/>
    <w:rsid w:val="0098558B"/>
    <w:rsid w:val="009978E1"/>
    <w:rsid w:val="009A28FD"/>
    <w:rsid w:val="009A3508"/>
    <w:rsid w:val="009A5F31"/>
    <w:rsid w:val="009A6224"/>
    <w:rsid w:val="009A7235"/>
    <w:rsid w:val="009B3C09"/>
    <w:rsid w:val="009C0529"/>
    <w:rsid w:val="009C5773"/>
    <w:rsid w:val="009C5FB0"/>
    <w:rsid w:val="009C79D4"/>
    <w:rsid w:val="009D1D77"/>
    <w:rsid w:val="009D5910"/>
    <w:rsid w:val="009E1180"/>
    <w:rsid w:val="009E3616"/>
    <w:rsid w:val="009E4172"/>
    <w:rsid w:val="009E5541"/>
    <w:rsid w:val="009F4D76"/>
    <w:rsid w:val="00A10008"/>
    <w:rsid w:val="00A279C8"/>
    <w:rsid w:val="00A443F3"/>
    <w:rsid w:val="00A52E2F"/>
    <w:rsid w:val="00A54E91"/>
    <w:rsid w:val="00A721B6"/>
    <w:rsid w:val="00A77407"/>
    <w:rsid w:val="00A824C6"/>
    <w:rsid w:val="00A8282F"/>
    <w:rsid w:val="00A8543E"/>
    <w:rsid w:val="00A86922"/>
    <w:rsid w:val="00AA1F50"/>
    <w:rsid w:val="00AA6CDE"/>
    <w:rsid w:val="00AB4034"/>
    <w:rsid w:val="00AD4232"/>
    <w:rsid w:val="00AD5687"/>
    <w:rsid w:val="00AD649B"/>
    <w:rsid w:val="00AE146A"/>
    <w:rsid w:val="00AE2882"/>
    <w:rsid w:val="00AF1FA2"/>
    <w:rsid w:val="00AF6D1E"/>
    <w:rsid w:val="00AF701F"/>
    <w:rsid w:val="00B243DE"/>
    <w:rsid w:val="00B25CDA"/>
    <w:rsid w:val="00B26783"/>
    <w:rsid w:val="00B33E04"/>
    <w:rsid w:val="00B33EEF"/>
    <w:rsid w:val="00B350B9"/>
    <w:rsid w:val="00B36D82"/>
    <w:rsid w:val="00B45F98"/>
    <w:rsid w:val="00B460CF"/>
    <w:rsid w:val="00B609E3"/>
    <w:rsid w:val="00B76691"/>
    <w:rsid w:val="00B83429"/>
    <w:rsid w:val="00B8519C"/>
    <w:rsid w:val="00B91147"/>
    <w:rsid w:val="00B937A4"/>
    <w:rsid w:val="00B93FA0"/>
    <w:rsid w:val="00B942DF"/>
    <w:rsid w:val="00BA7092"/>
    <w:rsid w:val="00BB6288"/>
    <w:rsid w:val="00BC5A8E"/>
    <w:rsid w:val="00BD5C40"/>
    <w:rsid w:val="00BE03EA"/>
    <w:rsid w:val="00BF6139"/>
    <w:rsid w:val="00BF786B"/>
    <w:rsid w:val="00C02A6D"/>
    <w:rsid w:val="00C137E1"/>
    <w:rsid w:val="00C16790"/>
    <w:rsid w:val="00C2767E"/>
    <w:rsid w:val="00C40291"/>
    <w:rsid w:val="00C42BEA"/>
    <w:rsid w:val="00C44B90"/>
    <w:rsid w:val="00C46172"/>
    <w:rsid w:val="00C52069"/>
    <w:rsid w:val="00C66DBE"/>
    <w:rsid w:val="00C710AA"/>
    <w:rsid w:val="00C73EC9"/>
    <w:rsid w:val="00C74119"/>
    <w:rsid w:val="00C82247"/>
    <w:rsid w:val="00C832A0"/>
    <w:rsid w:val="00CA1E6E"/>
    <w:rsid w:val="00CA1FFE"/>
    <w:rsid w:val="00CB3B43"/>
    <w:rsid w:val="00CD04C2"/>
    <w:rsid w:val="00CE361F"/>
    <w:rsid w:val="00CE4BD9"/>
    <w:rsid w:val="00CE591F"/>
    <w:rsid w:val="00D04CA0"/>
    <w:rsid w:val="00D15184"/>
    <w:rsid w:val="00D213AA"/>
    <w:rsid w:val="00D226FA"/>
    <w:rsid w:val="00D233D2"/>
    <w:rsid w:val="00D27FA0"/>
    <w:rsid w:val="00D30F3B"/>
    <w:rsid w:val="00D34CD8"/>
    <w:rsid w:val="00D353E8"/>
    <w:rsid w:val="00D45EFC"/>
    <w:rsid w:val="00D51D79"/>
    <w:rsid w:val="00D53687"/>
    <w:rsid w:val="00D600ED"/>
    <w:rsid w:val="00D71F3C"/>
    <w:rsid w:val="00D720C9"/>
    <w:rsid w:val="00D80013"/>
    <w:rsid w:val="00D86621"/>
    <w:rsid w:val="00DD5F95"/>
    <w:rsid w:val="00DE1C01"/>
    <w:rsid w:val="00DF108A"/>
    <w:rsid w:val="00DF2111"/>
    <w:rsid w:val="00DF44A9"/>
    <w:rsid w:val="00E1465E"/>
    <w:rsid w:val="00E16E7F"/>
    <w:rsid w:val="00E2728E"/>
    <w:rsid w:val="00E408BE"/>
    <w:rsid w:val="00E5576C"/>
    <w:rsid w:val="00E60376"/>
    <w:rsid w:val="00E76520"/>
    <w:rsid w:val="00E851CC"/>
    <w:rsid w:val="00E85979"/>
    <w:rsid w:val="00E86F77"/>
    <w:rsid w:val="00EA192A"/>
    <w:rsid w:val="00EA4CC1"/>
    <w:rsid w:val="00EC6DD8"/>
    <w:rsid w:val="00EE1D65"/>
    <w:rsid w:val="00EE6BAD"/>
    <w:rsid w:val="00EF3C93"/>
    <w:rsid w:val="00EF4D07"/>
    <w:rsid w:val="00EF4D14"/>
    <w:rsid w:val="00EF5553"/>
    <w:rsid w:val="00EF5F21"/>
    <w:rsid w:val="00EF6BB9"/>
    <w:rsid w:val="00F033A6"/>
    <w:rsid w:val="00F03928"/>
    <w:rsid w:val="00F06B71"/>
    <w:rsid w:val="00F31093"/>
    <w:rsid w:val="00F35B9D"/>
    <w:rsid w:val="00F4250D"/>
    <w:rsid w:val="00F5035A"/>
    <w:rsid w:val="00F50E9C"/>
    <w:rsid w:val="00F6311B"/>
    <w:rsid w:val="00F6627A"/>
    <w:rsid w:val="00F70DF5"/>
    <w:rsid w:val="00F97ADE"/>
    <w:rsid w:val="00FB5159"/>
    <w:rsid w:val="00FB7706"/>
    <w:rsid w:val="00FC2C51"/>
    <w:rsid w:val="00FC5DB1"/>
    <w:rsid w:val="00FD01B3"/>
    <w:rsid w:val="00FD62D2"/>
    <w:rsid w:val="00FD6F1A"/>
    <w:rsid w:val="00FE4D2C"/>
    <w:rsid w:val="00FF099E"/>
    <w:rsid w:val="00FF1E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7F6B"/>
  <w15:docId w15:val="{C06678C5-F4F4-48F0-9F86-11ADC59C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6B"/>
    <w:pPr>
      <w:spacing w:after="0" w:line="240" w:lineRule="auto"/>
    </w:pPr>
  </w:style>
  <w:style w:type="paragraph" w:styleId="Heading3">
    <w:name w:val="heading 3"/>
    <w:basedOn w:val="Normal"/>
    <w:next w:val="BodyText"/>
    <w:link w:val="Heading3Char"/>
    <w:qFormat/>
    <w:rsid w:val="00BF786B"/>
    <w:pPr>
      <w:keepNext/>
      <w:keepLines/>
      <w:spacing w:before="240" w:after="120"/>
      <w:outlineLvl w:val="2"/>
    </w:pPr>
    <w:rPr>
      <w:rFonts w:asciiTheme="majorHAnsi" w:eastAsia="Times New Roman" w:hAnsiTheme="majorHAnsi" w:cs="Times New Roman"/>
      <w:bCs/>
      <w:color w:val="4472C4" w:themeColor="accent1"/>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786B"/>
    <w:rPr>
      <w:rFonts w:asciiTheme="majorHAnsi" w:eastAsia="Times New Roman" w:hAnsiTheme="majorHAnsi" w:cs="Times New Roman"/>
      <w:bCs/>
      <w:color w:val="4472C4" w:themeColor="accent1"/>
      <w:szCs w:val="24"/>
      <w:lang w:eastAsia="en-AU"/>
    </w:rPr>
  </w:style>
  <w:style w:type="paragraph" w:styleId="BodyText">
    <w:name w:val="Body Text"/>
    <w:basedOn w:val="Normal"/>
    <w:link w:val="BodyTextChar"/>
    <w:uiPriority w:val="99"/>
    <w:semiHidden/>
    <w:unhideWhenUsed/>
    <w:rsid w:val="00BF786B"/>
    <w:pPr>
      <w:spacing w:after="120"/>
    </w:pPr>
  </w:style>
  <w:style w:type="character" w:customStyle="1" w:styleId="BodyTextChar">
    <w:name w:val="Body Text Char"/>
    <w:basedOn w:val="DefaultParagraphFont"/>
    <w:link w:val="BodyText"/>
    <w:uiPriority w:val="99"/>
    <w:semiHidden/>
    <w:rsid w:val="00BF786B"/>
  </w:style>
  <w:style w:type="paragraph" w:styleId="Header">
    <w:name w:val="header"/>
    <w:basedOn w:val="Normal"/>
    <w:link w:val="HeaderChar"/>
    <w:uiPriority w:val="99"/>
    <w:unhideWhenUsed/>
    <w:rsid w:val="001650DB"/>
    <w:pPr>
      <w:tabs>
        <w:tab w:val="center" w:pos="4513"/>
        <w:tab w:val="right" w:pos="9026"/>
      </w:tabs>
    </w:pPr>
  </w:style>
  <w:style w:type="character" w:customStyle="1" w:styleId="HeaderChar">
    <w:name w:val="Header Char"/>
    <w:basedOn w:val="DefaultParagraphFont"/>
    <w:link w:val="Header"/>
    <w:uiPriority w:val="99"/>
    <w:rsid w:val="001650DB"/>
  </w:style>
  <w:style w:type="paragraph" w:styleId="Footer">
    <w:name w:val="footer"/>
    <w:basedOn w:val="Normal"/>
    <w:link w:val="FooterChar"/>
    <w:uiPriority w:val="99"/>
    <w:unhideWhenUsed/>
    <w:rsid w:val="001650DB"/>
    <w:pPr>
      <w:tabs>
        <w:tab w:val="center" w:pos="4513"/>
        <w:tab w:val="right" w:pos="9026"/>
      </w:tabs>
    </w:pPr>
  </w:style>
  <w:style w:type="character" w:customStyle="1" w:styleId="FooterChar">
    <w:name w:val="Footer Char"/>
    <w:basedOn w:val="DefaultParagraphFont"/>
    <w:link w:val="Footer"/>
    <w:uiPriority w:val="99"/>
    <w:rsid w:val="001650DB"/>
  </w:style>
  <w:style w:type="paragraph" w:styleId="Revision">
    <w:name w:val="Revision"/>
    <w:hidden/>
    <w:uiPriority w:val="99"/>
    <w:semiHidden/>
    <w:rsid w:val="00EF5F21"/>
    <w:pPr>
      <w:spacing w:after="0" w:line="240" w:lineRule="auto"/>
    </w:pPr>
  </w:style>
  <w:style w:type="paragraph" w:styleId="NormalWeb">
    <w:name w:val="Normal (Web)"/>
    <w:basedOn w:val="Normal"/>
    <w:uiPriority w:val="99"/>
    <w:unhideWhenUsed/>
    <w:rsid w:val="00843687"/>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548D3"/>
    <w:rPr>
      <w:sz w:val="16"/>
      <w:szCs w:val="16"/>
    </w:rPr>
  </w:style>
  <w:style w:type="paragraph" w:styleId="CommentText">
    <w:name w:val="annotation text"/>
    <w:basedOn w:val="Normal"/>
    <w:link w:val="CommentTextChar"/>
    <w:uiPriority w:val="99"/>
    <w:semiHidden/>
    <w:unhideWhenUsed/>
    <w:rsid w:val="007548D3"/>
    <w:rPr>
      <w:sz w:val="20"/>
      <w:szCs w:val="20"/>
    </w:rPr>
  </w:style>
  <w:style w:type="character" w:customStyle="1" w:styleId="CommentTextChar">
    <w:name w:val="Comment Text Char"/>
    <w:basedOn w:val="DefaultParagraphFont"/>
    <w:link w:val="CommentText"/>
    <w:uiPriority w:val="99"/>
    <w:semiHidden/>
    <w:rsid w:val="007548D3"/>
    <w:rPr>
      <w:sz w:val="20"/>
      <w:szCs w:val="20"/>
    </w:rPr>
  </w:style>
  <w:style w:type="paragraph" w:styleId="CommentSubject">
    <w:name w:val="annotation subject"/>
    <w:basedOn w:val="CommentText"/>
    <w:next w:val="CommentText"/>
    <w:link w:val="CommentSubjectChar"/>
    <w:uiPriority w:val="99"/>
    <w:semiHidden/>
    <w:unhideWhenUsed/>
    <w:rsid w:val="007548D3"/>
    <w:rPr>
      <w:b/>
      <w:bCs/>
    </w:rPr>
  </w:style>
  <w:style w:type="character" w:customStyle="1" w:styleId="CommentSubjectChar">
    <w:name w:val="Comment Subject Char"/>
    <w:basedOn w:val="CommentTextChar"/>
    <w:link w:val="CommentSubject"/>
    <w:uiPriority w:val="99"/>
    <w:semiHidden/>
    <w:rsid w:val="007548D3"/>
    <w:rPr>
      <w:b/>
      <w:bCs/>
      <w:sz w:val="20"/>
      <w:szCs w:val="20"/>
    </w:rPr>
  </w:style>
  <w:style w:type="paragraph" w:styleId="FootnoteText">
    <w:name w:val="footnote text"/>
    <w:basedOn w:val="Normal"/>
    <w:link w:val="FootnoteTextChar"/>
    <w:uiPriority w:val="99"/>
    <w:semiHidden/>
    <w:unhideWhenUsed/>
    <w:rsid w:val="009A28FD"/>
    <w:rPr>
      <w:sz w:val="20"/>
      <w:szCs w:val="20"/>
    </w:rPr>
  </w:style>
  <w:style w:type="character" w:customStyle="1" w:styleId="FootnoteTextChar">
    <w:name w:val="Footnote Text Char"/>
    <w:basedOn w:val="DefaultParagraphFont"/>
    <w:link w:val="FootnoteText"/>
    <w:uiPriority w:val="99"/>
    <w:semiHidden/>
    <w:rsid w:val="009A28FD"/>
    <w:rPr>
      <w:sz w:val="20"/>
      <w:szCs w:val="20"/>
    </w:rPr>
  </w:style>
  <w:style w:type="character" w:styleId="FootnoteReference">
    <w:name w:val="footnote reference"/>
    <w:basedOn w:val="DefaultParagraphFont"/>
    <w:uiPriority w:val="99"/>
    <w:semiHidden/>
    <w:unhideWhenUsed/>
    <w:rsid w:val="009A28FD"/>
    <w:rPr>
      <w:vertAlign w:val="superscript"/>
    </w:rPr>
  </w:style>
  <w:style w:type="paragraph" w:styleId="ListParagraph">
    <w:name w:val="List Paragraph"/>
    <w:basedOn w:val="Normal"/>
    <w:uiPriority w:val="34"/>
    <w:qFormat/>
    <w:rsid w:val="00FD01B3"/>
    <w:pPr>
      <w:spacing w:after="160" w:line="259" w:lineRule="auto"/>
      <w:ind w:left="720"/>
      <w:contextualSpacing/>
    </w:pPr>
  </w:style>
  <w:style w:type="paragraph" w:styleId="NoSpacing">
    <w:name w:val="No Spacing"/>
    <w:link w:val="NoSpacingChar"/>
    <w:uiPriority w:val="1"/>
    <w:qFormat/>
    <w:rsid w:val="00FD01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01B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0A19365C3FB9498006DA76794D3F53" ma:contentTypeVersion="16" ma:contentTypeDescription="Create a new document." ma:contentTypeScope="" ma:versionID="698a2fedc5a38baba6beb6e2304bd602">
  <xsd:schema xmlns:xsd="http://www.w3.org/2001/XMLSchema" xmlns:xs="http://www.w3.org/2001/XMLSchema" xmlns:p="http://schemas.microsoft.com/office/2006/metadata/properties" xmlns:ns2="026c9f7b-58c7-4b99-a567-836191a0de0d" xmlns:ns3="e89607a2-97cd-46ed-907f-add8ed5296db" targetNamespace="http://schemas.microsoft.com/office/2006/metadata/properties" ma:root="true" ma:fieldsID="5afdf4b6da0326c89d04ae8bf864d81d" ns2:_="" ns3:_="">
    <xsd:import namespace="026c9f7b-58c7-4b99-a567-836191a0de0d"/>
    <xsd:import namespace="e89607a2-97cd-46ed-907f-add8ed5296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c9f7b-58c7-4b99-a567-836191a0d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4fc52a-b3f5-407f-a3a7-d6ad2379bda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607a2-97cd-46ed-907f-add8ed5296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9b30fb-057d-4be2-b12e-e46179ebc6d6}" ma:internalName="TaxCatchAll" ma:showField="CatchAllData" ma:web="e89607a2-97cd-46ed-907f-add8ed529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9607a2-97cd-46ed-907f-add8ed5296db">
      <UserInfo>
        <DisplayName>Megan Anderson</DisplayName>
        <AccountId>554</AccountId>
        <AccountType/>
      </UserInfo>
      <UserInfo>
        <DisplayName>Jon Davies</DisplayName>
        <AccountId>538</AccountId>
        <AccountType/>
      </UserInfo>
      <UserInfo>
        <DisplayName>Kate Raymond</DisplayName>
        <AccountId>591</AccountId>
        <AccountType/>
      </UserInfo>
      <UserInfo>
        <DisplayName>Christine Gilfoyle</DisplayName>
        <AccountId>544</AccountId>
        <AccountType/>
      </UserInfo>
    </SharedWithUsers>
    <TaxCatchAll xmlns="e89607a2-97cd-46ed-907f-add8ed5296db" xsi:nil="true"/>
    <lcf76f155ced4ddcb4097134ff3c332f xmlns="026c9f7b-58c7-4b99-a567-836191a0d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4DBCC-DCAF-4148-8791-D01E2BB38B6B}">
  <ds:schemaRefs>
    <ds:schemaRef ds:uri="http://schemas.openxmlformats.org/officeDocument/2006/bibliography"/>
  </ds:schemaRefs>
</ds:datastoreItem>
</file>

<file path=customXml/itemProps2.xml><?xml version="1.0" encoding="utf-8"?>
<ds:datastoreItem xmlns:ds="http://schemas.openxmlformats.org/officeDocument/2006/customXml" ds:itemID="{DE7C915C-B6F9-4890-9C1A-49F13777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c9f7b-58c7-4b99-a567-836191a0de0d"/>
    <ds:schemaRef ds:uri="e89607a2-97cd-46ed-907f-add8ed52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8BD35-63F3-4D31-90A6-054EF0D55580}">
  <ds:schemaRefs>
    <ds:schemaRef ds:uri="http://schemas.microsoft.com/sharepoint/v3/contenttype/forms"/>
  </ds:schemaRefs>
</ds:datastoreItem>
</file>

<file path=customXml/itemProps4.xml><?xml version="1.0" encoding="utf-8"?>
<ds:datastoreItem xmlns:ds="http://schemas.openxmlformats.org/officeDocument/2006/customXml" ds:itemID="{C27F2534-F45E-4538-92D0-2782BD24664C}">
  <ds:schemaRefs>
    <ds:schemaRef ds:uri="http://purl.org/dc/terms/"/>
    <ds:schemaRef ds:uri="http://schemas.microsoft.com/office/2006/metadata/properties"/>
    <ds:schemaRef ds:uri="026c9f7b-58c7-4b99-a567-836191a0de0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89607a2-97cd-46ed-907f-add8ed5296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105 - Australian Constructors Association (ACA) - Productivity - Public inquiry</vt:lpstr>
    </vt:vector>
  </TitlesOfParts>
  <Company>Australian Constructors Association (ACA)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Australian Constructors Association (ACA) - Productivity - Public inquiry</dc:title>
  <dc:subject/>
  <dc:creator>Australian Constructors Association (ACA) </dc:creator>
  <cp:keywords/>
  <dc:description/>
  <cp:lastModifiedBy>Chris Alston</cp:lastModifiedBy>
  <cp:revision>6</cp:revision>
  <cp:lastPrinted>2022-07-14T07:22:00Z</cp:lastPrinted>
  <dcterms:created xsi:type="dcterms:W3CDTF">2022-10-19T23:56:00Z</dcterms:created>
  <dcterms:modified xsi:type="dcterms:W3CDTF">2022-10-24T01:28:00Z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0x010100C40A19365C3FB9498006DA76794D3F53</vt:lpwstr>
  </property>
</Properties>
</file>