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4800789"/>
    <w:p w14:paraId="71E7F697" w14:textId="7559DEC0" w:rsidR="00BD1E6C" w:rsidRPr="00091B51" w:rsidRDefault="005B334F" w:rsidP="00BD1E6C">
      <w:pPr>
        <w:pStyle w:val="NormalWeb"/>
        <w:spacing w:before="0" w:beforeAutospacing="0" w:after="0" w:afterAutospacing="0" w:line="276" w:lineRule="auto"/>
        <w:contextualSpacing/>
        <w:rPr>
          <w:rFonts w:asciiTheme="minorHAnsi" w:hAnsiTheme="minorHAnsi" w:cstheme="minorHAnsi"/>
          <w:bCs/>
          <w:sz w:val="22"/>
          <w:szCs w:val="22"/>
        </w:rPr>
      </w:pPr>
      <w:r w:rsidRPr="00D0609B">
        <w:rPr>
          <w:rFonts w:asciiTheme="minorHAnsi" w:hAnsiTheme="minorHAnsi" w:cstheme="minorHAnsi"/>
          <w:bCs/>
          <w:sz w:val="22"/>
          <w:szCs w:val="22"/>
        </w:rPr>
        <w:fldChar w:fldCharType="begin"/>
      </w:r>
      <w:r w:rsidRPr="00D0609B">
        <w:rPr>
          <w:rFonts w:asciiTheme="minorHAnsi" w:hAnsiTheme="minorHAnsi" w:cstheme="minorHAnsi"/>
          <w:bCs/>
          <w:sz w:val="22"/>
          <w:szCs w:val="22"/>
        </w:rPr>
        <w:instrText xml:space="preserve"> HYPERLINK "https://www.pc.gov.au/about/people-structure/commissioners/lisa-gropp" </w:instrText>
      </w:r>
      <w:r w:rsidRPr="00D0609B">
        <w:rPr>
          <w:rFonts w:asciiTheme="minorHAnsi" w:hAnsiTheme="minorHAnsi" w:cstheme="minorHAnsi"/>
          <w:bCs/>
          <w:sz w:val="22"/>
          <w:szCs w:val="22"/>
        </w:rPr>
      </w:r>
      <w:r w:rsidRPr="00D0609B">
        <w:rPr>
          <w:rFonts w:asciiTheme="minorHAnsi" w:hAnsiTheme="minorHAnsi" w:cstheme="minorHAnsi"/>
          <w:bCs/>
          <w:sz w:val="22"/>
          <w:szCs w:val="22"/>
        </w:rPr>
        <w:fldChar w:fldCharType="separate"/>
      </w:r>
      <w:r w:rsidRPr="00D0609B">
        <w:rPr>
          <w:rFonts w:asciiTheme="minorHAnsi" w:hAnsiTheme="minorHAnsi" w:cstheme="minorHAnsi"/>
          <w:bCs/>
          <w:sz w:val="22"/>
          <w:szCs w:val="22"/>
        </w:rPr>
        <w:t>Lisa Gropp</w:t>
      </w:r>
      <w:r w:rsidRPr="00D0609B">
        <w:rPr>
          <w:rFonts w:asciiTheme="minorHAnsi" w:hAnsiTheme="minorHAnsi" w:cstheme="minorHAnsi"/>
          <w:bCs/>
          <w:sz w:val="22"/>
          <w:szCs w:val="22"/>
        </w:rPr>
        <w:fldChar w:fldCharType="end"/>
      </w:r>
      <w:r w:rsidRPr="00D0609B">
        <w:rPr>
          <w:rFonts w:asciiTheme="minorHAnsi" w:hAnsiTheme="minorHAnsi" w:cstheme="minorHAnsi"/>
          <w:bCs/>
          <w:sz w:val="22"/>
          <w:szCs w:val="22"/>
        </w:rPr>
        <w:t xml:space="preserve">, Martin Stokie, </w:t>
      </w:r>
      <w:r w:rsidR="006A2195" w:rsidRPr="00D0609B">
        <w:rPr>
          <w:rFonts w:asciiTheme="minorHAnsi" w:hAnsiTheme="minorHAnsi" w:cstheme="minorHAnsi"/>
          <w:bCs/>
          <w:sz w:val="22"/>
          <w:szCs w:val="22"/>
        </w:rPr>
        <w:t>Deborah Brennan</w:t>
      </w:r>
    </w:p>
    <w:p w14:paraId="652B5F54" w14:textId="5F0FC612" w:rsidR="00E82C1F" w:rsidRDefault="00205613" w:rsidP="00BC48C5">
      <w:pPr>
        <w:pStyle w:val="NormalWeb"/>
        <w:spacing w:before="0" w:beforeAutospacing="0" w:after="0" w:afterAutospacing="0" w:line="276" w:lineRule="auto"/>
        <w:contextualSpacing/>
        <w:rPr>
          <w:rFonts w:asciiTheme="minorHAnsi" w:hAnsiTheme="minorHAnsi" w:cstheme="minorHAnsi"/>
          <w:bCs/>
          <w:sz w:val="22"/>
          <w:szCs w:val="22"/>
        </w:rPr>
      </w:pPr>
      <w:r w:rsidRPr="00750221">
        <w:rPr>
          <w:rFonts w:asciiTheme="minorHAnsi" w:hAnsiTheme="minorHAnsi" w:cstheme="minorHAnsi"/>
          <w:bCs/>
          <w:sz w:val="22"/>
          <w:szCs w:val="22"/>
        </w:rPr>
        <w:t>Early Childhood Education and Care</w:t>
      </w:r>
      <w:r w:rsidRPr="00750221">
        <w:rPr>
          <w:rFonts w:asciiTheme="minorHAnsi" w:hAnsiTheme="minorHAnsi" w:cstheme="minorHAnsi"/>
          <w:bCs/>
          <w:sz w:val="22"/>
          <w:szCs w:val="22"/>
        </w:rPr>
        <w:br/>
      </w:r>
      <w:r w:rsidR="000848F2">
        <w:rPr>
          <w:rFonts w:asciiTheme="minorHAnsi" w:hAnsiTheme="minorHAnsi" w:cstheme="minorHAnsi"/>
          <w:bCs/>
          <w:sz w:val="22"/>
          <w:szCs w:val="22"/>
        </w:rPr>
        <w:t>Productivity Commission</w:t>
      </w:r>
      <w:r w:rsidR="000848F2">
        <w:rPr>
          <w:rFonts w:asciiTheme="minorHAnsi" w:hAnsiTheme="minorHAnsi" w:cstheme="minorHAnsi"/>
          <w:bCs/>
          <w:sz w:val="22"/>
          <w:szCs w:val="22"/>
        </w:rPr>
        <w:br/>
      </w:r>
      <w:r w:rsidR="00750221" w:rsidRPr="00750221">
        <w:rPr>
          <w:rFonts w:asciiTheme="minorHAnsi" w:hAnsiTheme="minorHAnsi" w:cstheme="minorHAnsi"/>
          <w:bCs/>
          <w:sz w:val="22"/>
          <w:szCs w:val="22"/>
        </w:rPr>
        <w:t>Locked Bag 2, Collins St East</w:t>
      </w:r>
      <w:r w:rsidR="00750221" w:rsidRPr="00750221">
        <w:rPr>
          <w:rFonts w:asciiTheme="minorHAnsi" w:hAnsiTheme="minorHAnsi" w:cstheme="minorHAnsi"/>
          <w:bCs/>
          <w:sz w:val="22"/>
          <w:szCs w:val="22"/>
        </w:rPr>
        <w:br/>
        <w:t>Melbourne V</w:t>
      </w:r>
      <w:r w:rsidR="00750221">
        <w:rPr>
          <w:rFonts w:asciiTheme="minorHAnsi" w:hAnsiTheme="minorHAnsi" w:cstheme="minorHAnsi"/>
          <w:bCs/>
          <w:sz w:val="22"/>
          <w:szCs w:val="22"/>
        </w:rPr>
        <w:t>IC</w:t>
      </w:r>
      <w:r w:rsidR="00750221" w:rsidRPr="00750221">
        <w:rPr>
          <w:rFonts w:asciiTheme="minorHAnsi" w:hAnsiTheme="minorHAnsi" w:cstheme="minorHAnsi"/>
          <w:bCs/>
          <w:sz w:val="22"/>
          <w:szCs w:val="22"/>
        </w:rPr>
        <w:t xml:space="preserve"> 8003</w:t>
      </w:r>
      <w:r w:rsidR="00750221">
        <w:rPr>
          <w:rFonts w:asciiTheme="minorHAnsi" w:hAnsiTheme="minorHAnsi" w:cstheme="minorHAnsi"/>
          <w:bCs/>
          <w:sz w:val="22"/>
          <w:szCs w:val="22"/>
        </w:rPr>
        <w:br/>
      </w:r>
    </w:p>
    <w:p w14:paraId="5E87E37F" w14:textId="6C523699" w:rsidR="00D53D01" w:rsidRPr="00E46591" w:rsidRDefault="00D53D01" w:rsidP="00BC48C5">
      <w:pPr>
        <w:pStyle w:val="NormalWeb"/>
        <w:spacing w:before="0" w:beforeAutospacing="0" w:after="0" w:afterAutospacing="0" w:line="276" w:lineRule="auto"/>
        <w:contextualSpacing/>
        <w:rPr>
          <w:rFonts w:asciiTheme="minorHAnsi" w:hAnsiTheme="minorHAnsi" w:cstheme="minorHAnsi"/>
          <w:bCs/>
          <w:sz w:val="22"/>
          <w:szCs w:val="22"/>
        </w:rPr>
      </w:pPr>
      <w:r w:rsidRPr="00D53D01">
        <w:rPr>
          <w:rFonts w:asciiTheme="minorHAnsi" w:hAnsiTheme="minorHAnsi" w:cstheme="minorHAnsi"/>
          <w:bCs/>
          <w:sz w:val="22"/>
          <w:szCs w:val="22"/>
        </w:rPr>
        <w:fldChar w:fldCharType="begin"/>
      </w:r>
      <w:r w:rsidRPr="00D53D01">
        <w:rPr>
          <w:rFonts w:asciiTheme="minorHAnsi" w:hAnsiTheme="minorHAnsi" w:cstheme="minorHAnsi"/>
          <w:bCs/>
          <w:sz w:val="22"/>
          <w:szCs w:val="22"/>
        </w:rPr>
        <w:instrText xml:space="preserve"> DATE \@ "d MMMM yyyy" </w:instrText>
      </w:r>
      <w:r w:rsidRPr="00D53D01">
        <w:rPr>
          <w:rFonts w:asciiTheme="minorHAnsi" w:hAnsiTheme="minorHAnsi" w:cstheme="minorHAnsi"/>
          <w:bCs/>
          <w:sz w:val="22"/>
          <w:szCs w:val="22"/>
        </w:rPr>
        <w:fldChar w:fldCharType="separate"/>
      </w:r>
      <w:r w:rsidR="00A04182">
        <w:rPr>
          <w:rFonts w:asciiTheme="minorHAnsi" w:hAnsiTheme="minorHAnsi" w:cstheme="minorHAnsi"/>
          <w:bCs/>
          <w:noProof/>
          <w:sz w:val="22"/>
          <w:szCs w:val="22"/>
        </w:rPr>
        <w:t>20 April 2023</w:t>
      </w:r>
      <w:r w:rsidRPr="00D53D01">
        <w:rPr>
          <w:rFonts w:asciiTheme="minorHAnsi" w:hAnsiTheme="minorHAnsi" w:cstheme="minorHAnsi"/>
          <w:bCs/>
          <w:sz w:val="22"/>
          <w:szCs w:val="22"/>
        </w:rPr>
        <w:fldChar w:fldCharType="end"/>
      </w:r>
    </w:p>
    <w:p w14:paraId="45DC7613" w14:textId="77777777" w:rsidR="00E82C1F" w:rsidRDefault="00E82C1F" w:rsidP="00BC48C5">
      <w:pPr>
        <w:pStyle w:val="NormalWeb"/>
        <w:spacing w:before="0" w:beforeAutospacing="0" w:after="0" w:afterAutospacing="0" w:line="276" w:lineRule="auto"/>
        <w:contextualSpacing/>
        <w:rPr>
          <w:rFonts w:asciiTheme="minorHAnsi" w:hAnsiTheme="minorHAnsi" w:cstheme="minorHAnsi"/>
          <w:b/>
          <w:sz w:val="22"/>
          <w:szCs w:val="22"/>
        </w:rPr>
      </w:pPr>
    </w:p>
    <w:p w14:paraId="062A54CC" w14:textId="5542AA90" w:rsidR="00091B51" w:rsidRPr="00091B51" w:rsidRDefault="00091B51" w:rsidP="00BC48C5">
      <w:pPr>
        <w:pStyle w:val="NormalWeb"/>
        <w:spacing w:before="0" w:beforeAutospacing="0" w:after="0" w:afterAutospacing="0" w:line="276" w:lineRule="auto"/>
        <w:contextualSpacing/>
        <w:rPr>
          <w:rFonts w:asciiTheme="minorHAnsi" w:hAnsiTheme="minorHAnsi" w:cstheme="minorHAnsi"/>
          <w:bCs/>
          <w:sz w:val="22"/>
          <w:szCs w:val="22"/>
        </w:rPr>
      </w:pPr>
      <w:r w:rsidRPr="00091B51">
        <w:rPr>
          <w:rFonts w:asciiTheme="minorHAnsi" w:hAnsiTheme="minorHAnsi" w:cstheme="minorHAnsi"/>
          <w:bCs/>
          <w:sz w:val="22"/>
          <w:szCs w:val="22"/>
        </w:rPr>
        <w:t xml:space="preserve">Dear </w:t>
      </w:r>
      <w:r w:rsidR="00BD1E6C">
        <w:rPr>
          <w:rFonts w:asciiTheme="minorHAnsi" w:hAnsiTheme="minorHAnsi" w:cstheme="minorHAnsi"/>
          <w:bCs/>
          <w:sz w:val="22"/>
          <w:szCs w:val="22"/>
        </w:rPr>
        <w:t>Commissioner</w:t>
      </w:r>
      <w:r w:rsidR="004B2E06">
        <w:rPr>
          <w:rFonts w:asciiTheme="minorHAnsi" w:hAnsiTheme="minorHAnsi" w:cstheme="minorHAnsi"/>
          <w:bCs/>
          <w:sz w:val="22"/>
          <w:szCs w:val="22"/>
        </w:rPr>
        <w:t>s</w:t>
      </w:r>
      <w:r w:rsidR="002D1F56">
        <w:rPr>
          <w:rFonts w:asciiTheme="minorHAnsi" w:hAnsiTheme="minorHAnsi" w:cstheme="minorHAnsi"/>
          <w:bCs/>
          <w:sz w:val="22"/>
          <w:szCs w:val="22"/>
        </w:rPr>
        <w:t>,</w:t>
      </w:r>
      <w:r w:rsidR="00BD1E6C">
        <w:rPr>
          <w:rFonts w:asciiTheme="minorHAnsi" w:hAnsiTheme="minorHAnsi" w:cstheme="minorHAnsi"/>
          <w:bCs/>
          <w:sz w:val="22"/>
          <w:szCs w:val="22"/>
        </w:rPr>
        <w:t xml:space="preserve"> </w:t>
      </w:r>
    </w:p>
    <w:p w14:paraId="5BF88CC4" w14:textId="77777777" w:rsidR="00091B51" w:rsidRPr="00BC48C5" w:rsidRDefault="00091B51" w:rsidP="00BC48C5">
      <w:pPr>
        <w:pStyle w:val="NormalWeb"/>
        <w:spacing w:before="0" w:beforeAutospacing="0" w:after="0" w:afterAutospacing="0" w:line="276" w:lineRule="auto"/>
        <w:contextualSpacing/>
        <w:rPr>
          <w:rFonts w:asciiTheme="minorHAnsi" w:hAnsiTheme="minorHAnsi" w:cstheme="minorHAnsi"/>
          <w:b/>
          <w:sz w:val="22"/>
          <w:szCs w:val="22"/>
        </w:rPr>
      </w:pPr>
    </w:p>
    <w:p w14:paraId="61B2BC8D" w14:textId="4EE5B40F" w:rsidR="005557EA" w:rsidRPr="00923B80" w:rsidRDefault="005557EA" w:rsidP="00923B80">
      <w:pPr>
        <w:pStyle w:val="Heading2"/>
      </w:pPr>
      <w:r w:rsidRPr="00BC48C5">
        <w:t xml:space="preserve">RE: Submission </w:t>
      </w:r>
      <w:r w:rsidR="00E12DB3">
        <w:t>on</w:t>
      </w:r>
      <w:r w:rsidR="00E5478F">
        <w:t xml:space="preserve"> the </w:t>
      </w:r>
      <w:r w:rsidR="00EF6224">
        <w:t xml:space="preserve">inquiry into </w:t>
      </w:r>
      <w:r w:rsidR="00EF6224" w:rsidRPr="00750221">
        <w:rPr>
          <w:bCs/>
        </w:rPr>
        <w:t>Early Childhood Education and Care</w:t>
      </w:r>
    </w:p>
    <w:p w14:paraId="20F866FC" w14:textId="44E44C18" w:rsidR="005557EA" w:rsidRPr="003B22C4" w:rsidRDefault="005557EA" w:rsidP="00E967D3">
      <w:pPr>
        <w:spacing w:after="0" w:line="276" w:lineRule="auto"/>
        <w:contextualSpacing/>
        <w:rPr>
          <w:rFonts w:cstheme="minorHAnsi"/>
        </w:rPr>
      </w:pPr>
      <w:r w:rsidRPr="00BC48C5">
        <w:rPr>
          <w:rFonts w:cstheme="minorHAnsi"/>
        </w:rPr>
        <w:t xml:space="preserve">Thank you for the </w:t>
      </w:r>
      <w:r w:rsidR="00ED404F">
        <w:rPr>
          <w:rFonts w:cstheme="minorHAnsi"/>
        </w:rPr>
        <w:t>opportunity</w:t>
      </w:r>
      <w:r w:rsidR="00A757EC">
        <w:rPr>
          <w:rFonts w:cstheme="minorHAnsi"/>
        </w:rPr>
        <w:t xml:space="preserve"> </w:t>
      </w:r>
      <w:r w:rsidRPr="00BC48C5">
        <w:rPr>
          <w:rFonts w:cstheme="minorHAnsi"/>
        </w:rPr>
        <w:t>to</w:t>
      </w:r>
      <w:r w:rsidR="00504E22" w:rsidRPr="00BC48C5">
        <w:rPr>
          <w:rFonts w:cstheme="minorHAnsi"/>
        </w:rPr>
        <w:t xml:space="preserve"> </w:t>
      </w:r>
      <w:r w:rsidR="00A757EC">
        <w:rPr>
          <w:rFonts w:cstheme="minorHAnsi"/>
        </w:rPr>
        <w:t xml:space="preserve">provide a submission as part of </w:t>
      </w:r>
      <w:r w:rsidR="00504E22" w:rsidRPr="00BC48C5">
        <w:rPr>
          <w:rFonts w:cstheme="minorHAnsi"/>
        </w:rPr>
        <w:t xml:space="preserve">the public consultation on the </w:t>
      </w:r>
      <w:r w:rsidR="00EF6224">
        <w:rPr>
          <w:rFonts w:cstheme="minorHAnsi"/>
        </w:rPr>
        <w:t xml:space="preserve">Productivity </w:t>
      </w:r>
      <w:r w:rsidR="000D37E6">
        <w:rPr>
          <w:rFonts w:cstheme="minorHAnsi"/>
        </w:rPr>
        <w:t xml:space="preserve">Commission </w:t>
      </w:r>
      <w:r w:rsidR="00EF6224">
        <w:rPr>
          <w:rFonts w:cstheme="minorHAnsi"/>
        </w:rPr>
        <w:t xml:space="preserve">inquiry </w:t>
      </w:r>
      <w:r w:rsidR="000D37E6">
        <w:rPr>
          <w:rFonts w:cstheme="minorHAnsi"/>
        </w:rPr>
        <w:t xml:space="preserve">into Early Childhood Education </w:t>
      </w:r>
      <w:r w:rsidR="00EF6224">
        <w:rPr>
          <w:rFonts w:cstheme="minorHAnsi"/>
        </w:rPr>
        <w:t>and</w:t>
      </w:r>
      <w:r w:rsidR="000D37E6">
        <w:rPr>
          <w:rFonts w:cstheme="minorHAnsi"/>
        </w:rPr>
        <w:t xml:space="preserve"> Care. </w:t>
      </w:r>
      <w:r w:rsidR="003917D5">
        <w:rPr>
          <w:rFonts w:cstheme="minorHAnsi"/>
        </w:rPr>
        <w:t xml:space="preserve">In line with </w:t>
      </w:r>
      <w:r w:rsidR="00E076AD">
        <w:rPr>
          <w:rFonts w:cstheme="minorHAnsi"/>
        </w:rPr>
        <w:t>the Australian Children’s Education and Care Quality Authority’s (ACECQA</w:t>
      </w:r>
      <w:r w:rsidR="009D379A">
        <w:rPr>
          <w:rFonts w:cstheme="minorHAnsi"/>
        </w:rPr>
        <w:t>’s</w:t>
      </w:r>
      <w:r w:rsidR="00E076AD">
        <w:rPr>
          <w:rFonts w:cstheme="minorHAnsi"/>
        </w:rPr>
        <w:t xml:space="preserve">) remit, this </w:t>
      </w:r>
      <w:r w:rsidR="00E967D3">
        <w:rPr>
          <w:rFonts w:cstheme="minorHAnsi"/>
        </w:rPr>
        <w:t xml:space="preserve">submission </w:t>
      </w:r>
      <w:r w:rsidR="00886A38">
        <w:rPr>
          <w:rFonts w:cstheme="minorHAnsi"/>
        </w:rPr>
        <w:t>focuses on</w:t>
      </w:r>
      <w:r w:rsidR="003B22C4">
        <w:rPr>
          <w:rFonts w:cstheme="minorHAnsi"/>
        </w:rPr>
        <w:t xml:space="preserve"> the </w:t>
      </w:r>
      <w:r w:rsidR="005C45D9">
        <w:rPr>
          <w:rFonts w:cstheme="minorHAnsi"/>
        </w:rPr>
        <w:t xml:space="preserve">aspects of the terms of reference related to </w:t>
      </w:r>
      <w:r w:rsidR="00563BD0">
        <w:rPr>
          <w:rFonts w:cstheme="minorHAnsi"/>
        </w:rPr>
        <w:t xml:space="preserve">high </w:t>
      </w:r>
      <w:r w:rsidR="00345D3E">
        <w:rPr>
          <w:rFonts w:cstheme="minorHAnsi"/>
        </w:rPr>
        <w:t xml:space="preserve">quality practice </w:t>
      </w:r>
      <w:r w:rsidR="006E7F4C">
        <w:rPr>
          <w:rFonts w:cstheme="minorHAnsi"/>
        </w:rPr>
        <w:t xml:space="preserve">in education and care settings, </w:t>
      </w:r>
      <w:r w:rsidR="009E7C41">
        <w:rPr>
          <w:rFonts w:cstheme="minorHAnsi"/>
        </w:rPr>
        <w:t xml:space="preserve">including </w:t>
      </w:r>
      <w:r w:rsidR="009B701D">
        <w:rPr>
          <w:rFonts w:cstheme="minorHAnsi"/>
        </w:rPr>
        <w:t>workforce</w:t>
      </w:r>
      <w:r w:rsidR="00C15E9B">
        <w:rPr>
          <w:rFonts w:cstheme="minorHAnsi"/>
        </w:rPr>
        <w:t xml:space="preserve"> considerations</w:t>
      </w:r>
      <w:r w:rsidR="00504E22" w:rsidRPr="003B22C4">
        <w:rPr>
          <w:rFonts w:cstheme="minorHAnsi"/>
        </w:rPr>
        <w:t>.</w:t>
      </w:r>
    </w:p>
    <w:p w14:paraId="361BAD8E" w14:textId="60404AF9" w:rsidR="009816BF" w:rsidRPr="00E46591" w:rsidRDefault="009816BF" w:rsidP="00E967D3">
      <w:pPr>
        <w:spacing w:after="0" w:line="276" w:lineRule="auto"/>
        <w:contextualSpacing/>
        <w:rPr>
          <w:rFonts w:cstheme="minorHAnsi"/>
        </w:rPr>
      </w:pPr>
    </w:p>
    <w:p w14:paraId="2235D593" w14:textId="68C3AA55" w:rsidR="00D368BD" w:rsidRPr="00B37806" w:rsidRDefault="006E7F4C" w:rsidP="00923B80">
      <w:pPr>
        <w:pStyle w:val="Heading2"/>
      </w:pPr>
      <w:r>
        <w:t>About t</w:t>
      </w:r>
      <w:r w:rsidR="00E85721">
        <w:t>he</w:t>
      </w:r>
      <w:r w:rsidR="00773087">
        <w:t xml:space="preserve"> </w:t>
      </w:r>
      <w:r w:rsidR="00066CEC" w:rsidRPr="00B37806">
        <w:t>National Quality Framework (NQF)</w:t>
      </w:r>
      <w:r w:rsidR="00B8609C">
        <w:t xml:space="preserve"> </w:t>
      </w:r>
      <w:r w:rsidR="00773087">
        <w:t xml:space="preserve"> </w:t>
      </w:r>
    </w:p>
    <w:p w14:paraId="0A962884" w14:textId="26BC6BEF" w:rsidR="0010217B" w:rsidRDefault="0068582B" w:rsidP="00BC48C5">
      <w:pPr>
        <w:spacing w:after="0" w:line="276" w:lineRule="auto"/>
        <w:contextualSpacing/>
        <w:rPr>
          <w:rFonts w:cstheme="minorHAnsi"/>
        </w:rPr>
      </w:pPr>
      <w:r w:rsidRPr="00E60ABF">
        <w:rPr>
          <w:rFonts w:cstheme="minorHAnsi"/>
        </w:rPr>
        <w:t>T</w:t>
      </w:r>
      <w:r w:rsidR="005557EA" w:rsidRPr="00E60ABF">
        <w:rPr>
          <w:rFonts w:cstheme="minorHAnsi"/>
        </w:rPr>
        <w:t xml:space="preserve">he NQF is the </w:t>
      </w:r>
      <w:r w:rsidR="00564749">
        <w:rPr>
          <w:rFonts w:cstheme="minorHAnsi"/>
        </w:rPr>
        <w:t xml:space="preserve">internationally recognised </w:t>
      </w:r>
      <w:r w:rsidR="005557EA" w:rsidRPr="00E60ABF">
        <w:rPr>
          <w:rFonts w:cstheme="minorHAnsi"/>
        </w:rPr>
        <w:t xml:space="preserve">national system for regulating </w:t>
      </w:r>
      <w:r w:rsidR="00CF11F9">
        <w:rPr>
          <w:rFonts w:cstheme="minorHAnsi"/>
        </w:rPr>
        <w:t xml:space="preserve">children’s </w:t>
      </w:r>
      <w:r w:rsidR="005557EA" w:rsidRPr="00E60ABF">
        <w:rPr>
          <w:rFonts w:cstheme="minorHAnsi"/>
        </w:rPr>
        <w:t>education and care services</w:t>
      </w:r>
      <w:r w:rsidR="00564749">
        <w:rPr>
          <w:rFonts w:cstheme="minorHAnsi"/>
        </w:rPr>
        <w:t xml:space="preserve">. Based on empirical evidence of the components of quality practice, the NQF includes </w:t>
      </w:r>
      <w:r w:rsidR="005557EA" w:rsidRPr="00E60ABF">
        <w:rPr>
          <w:rFonts w:cstheme="minorHAnsi"/>
        </w:rPr>
        <w:t>setting</w:t>
      </w:r>
      <w:r w:rsidR="00564749">
        <w:rPr>
          <w:rFonts w:cstheme="minorHAnsi"/>
        </w:rPr>
        <w:t xml:space="preserve">, </w:t>
      </w:r>
      <w:r w:rsidR="00BC3E79">
        <w:rPr>
          <w:rFonts w:cstheme="minorHAnsi"/>
        </w:rPr>
        <w:t xml:space="preserve">assessing </w:t>
      </w:r>
      <w:r w:rsidR="00564749">
        <w:rPr>
          <w:rFonts w:cstheme="minorHAnsi"/>
        </w:rPr>
        <w:t xml:space="preserve">and rating </w:t>
      </w:r>
      <w:r w:rsidR="00BC3E79">
        <w:rPr>
          <w:rFonts w:cstheme="minorHAnsi"/>
        </w:rPr>
        <w:t>performance against</w:t>
      </w:r>
      <w:r w:rsidR="005557EA" w:rsidRPr="00E60ABF">
        <w:rPr>
          <w:rFonts w:cstheme="minorHAnsi"/>
        </w:rPr>
        <w:t xml:space="preserve"> standards for safety and quality</w:t>
      </w:r>
      <w:r w:rsidR="005A4358">
        <w:rPr>
          <w:rFonts w:cstheme="minorHAnsi"/>
        </w:rPr>
        <w:t xml:space="preserve">, with the objective of </w:t>
      </w:r>
      <w:r w:rsidR="002153E9">
        <w:rPr>
          <w:rFonts w:cstheme="minorHAnsi"/>
        </w:rPr>
        <w:t xml:space="preserve">driving </w:t>
      </w:r>
      <w:r w:rsidR="002153E9" w:rsidRPr="00E60ABF">
        <w:rPr>
          <w:rFonts w:cstheme="minorHAnsi"/>
        </w:rPr>
        <w:t>high quality early education and care</w:t>
      </w:r>
      <w:r w:rsidR="005557EA" w:rsidRPr="00E60ABF">
        <w:rPr>
          <w:rFonts w:cstheme="minorHAnsi"/>
        </w:rPr>
        <w:t xml:space="preserve"> </w:t>
      </w:r>
      <w:r w:rsidR="002153E9">
        <w:rPr>
          <w:rFonts w:cstheme="minorHAnsi"/>
        </w:rPr>
        <w:t xml:space="preserve">for </w:t>
      </w:r>
      <w:r w:rsidR="005557EA" w:rsidRPr="00E60ABF">
        <w:rPr>
          <w:rFonts w:cstheme="minorHAnsi"/>
        </w:rPr>
        <w:t xml:space="preserve">all children who attend long day care, preschool/kindergarten, outside school hours care and family day care </w:t>
      </w:r>
      <w:r w:rsidR="00E85721">
        <w:rPr>
          <w:rFonts w:cstheme="minorHAnsi"/>
        </w:rPr>
        <w:t>across Australia</w:t>
      </w:r>
      <w:r w:rsidR="00A706EE" w:rsidRPr="00E60ABF">
        <w:rPr>
          <w:rFonts w:cstheme="minorHAnsi"/>
        </w:rPr>
        <w:t>.</w:t>
      </w:r>
      <w:r w:rsidR="004E5EE6">
        <w:rPr>
          <w:rFonts w:cstheme="minorHAnsi"/>
        </w:rPr>
        <w:t xml:space="preserve"> </w:t>
      </w:r>
      <w:r w:rsidR="00F045AF">
        <w:rPr>
          <w:rFonts w:cstheme="minorHAnsi"/>
        </w:rPr>
        <w:t xml:space="preserve">There are more than 17,000 services approved under the </w:t>
      </w:r>
      <w:r w:rsidR="009F323E">
        <w:rPr>
          <w:rFonts w:cstheme="minorHAnsi"/>
        </w:rPr>
        <w:t>N</w:t>
      </w:r>
      <w:r w:rsidR="00564749">
        <w:rPr>
          <w:rFonts w:cstheme="minorHAnsi"/>
        </w:rPr>
        <w:t>QF</w:t>
      </w:r>
      <w:r w:rsidR="00F045AF">
        <w:rPr>
          <w:rFonts w:cstheme="minorHAnsi"/>
        </w:rPr>
        <w:t xml:space="preserve"> to provide children’s education and care across Australia</w:t>
      </w:r>
      <w:r w:rsidR="009F323E">
        <w:rPr>
          <w:rFonts w:cstheme="minorHAnsi"/>
        </w:rPr>
        <w:t xml:space="preserve">. </w:t>
      </w:r>
      <w:r w:rsidR="00F045AF">
        <w:rPr>
          <w:rFonts w:cstheme="minorHAnsi"/>
        </w:rPr>
        <w:t xml:space="preserve"> </w:t>
      </w:r>
    </w:p>
    <w:p w14:paraId="4CF2551D" w14:textId="77777777" w:rsidR="0010217B" w:rsidRDefault="0010217B" w:rsidP="00BC48C5">
      <w:pPr>
        <w:spacing w:after="0" w:line="276" w:lineRule="auto"/>
        <w:contextualSpacing/>
        <w:rPr>
          <w:rFonts w:cstheme="minorHAnsi"/>
        </w:rPr>
      </w:pPr>
    </w:p>
    <w:p w14:paraId="17A23D7D" w14:textId="77777777" w:rsidR="00564749" w:rsidRDefault="00A706EE" w:rsidP="00BC48C5">
      <w:pPr>
        <w:spacing w:after="0" w:line="276" w:lineRule="auto"/>
        <w:contextualSpacing/>
        <w:rPr>
          <w:rFonts w:cstheme="minorHAnsi"/>
        </w:rPr>
      </w:pPr>
      <w:r w:rsidRPr="00E60ABF">
        <w:rPr>
          <w:rFonts w:cstheme="minorHAnsi"/>
        </w:rPr>
        <w:t>T</w:t>
      </w:r>
      <w:r w:rsidR="005557EA" w:rsidRPr="00E60ABF">
        <w:rPr>
          <w:rFonts w:cstheme="minorHAnsi"/>
        </w:rPr>
        <w:t xml:space="preserve">he NQF </w:t>
      </w:r>
      <w:r w:rsidR="00564749">
        <w:rPr>
          <w:rFonts w:cstheme="minorHAnsi"/>
        </w:rPr>
        <w:t xml:space="preserve">replaced nine regulatory systems and </w:t>
      </w:r>
      <w:r w:rsidR="005557EA" w:rsidRPr="00E60ABF">
        <w:rPr>
          <w:rFonts w:cstheme="minorHAnsi"/>
        </w:rPr>
        <w:t>is jointly governed by the Australian Government and all state and territory governments</w:t>
      </w:r>
      <w:r w:rsidR="009B2E70">
        <w:rPr>
          <w:rFonts w:cstheme="minorHAnsi"/>
        </w:rPr>
        <w:t>,</w:t>
      </w:r>
      <w:r w:rsidR="00C7627D">
        <w:rPr>
          <w:rFonts w:cstheme="minorHAnsi"/>
        </w:rPr>
        <w:t xml:space="preserve"> supported by </w:t>
      </w:r>
      <w:r w:rsidR="006453CD">
        <w:rPr>
          <w:rFonts w:cstheme="minorHAnsi"/>
        </w:rPr>
        <w:t>ACECQA</w:t>
      </w:r>
      <w:r w:rsidR="001C4871">
        <w:rPr>
          <w:rFonts w:cstheme="minorHAnsi"/>
        </w:rPr>
        <w:t>.</w:t>
      </w:r>
      <w:r w:rsidR="0010217B">
        <w:rPr>
          <w:rFonts w:cstheme="minorHAnsi"/>
        </w:rPr>
        <w:t xml:space="preserve"> </w:t>
      </w:r>
    </w:p>
    <w:p w14:paraId="36D5A158" w14:textId="77777777" w:rsidR="00564749" w:rsidRDefault="00564749" w:rsidP="00BC48C5">
      <w:pPr>
        <w:spacing w:after="0" w:line="276" w:lineRule="auto"/>
        <w:contextualSpacing/>
        <w:rPr>
          <w:rFonts w:cstheme="minorHAnsi"/>
        </w:rPr>
      </w:pPr>
    </w:p>
    <w:p w14:paraId="74538D26" w14:textId="22A26F27" w:rsidR="00CB3A9B" w:rsidRDefault="003C1889" w:rsidP="00BC48C5">
      <w:pPr>
        <w:spacing w:after="0" w:line="276" w:lineRule="auto"/>
        <w:contextualSpacing/>
        <w:rPr>
          <w:rFonts w:cstheme="minorHAnsi"/>
        </w:rPr>
      </w:pPr>
      <w:r>
        <w:rPr>
          <w:rFonts w:cstheme="minorHAnsi"/>
        </w:rPr>
        <w:t xml:space="preserve">The NQF </w:t>
      </w:r>
      <w:r w:rsidR="00DE57B8">
        <w:rPr>
          <w:rFonts w:cstheme="minorHAnsi"/>
        </w:rPr>
        <w:t>encompasses</w:t>
      </w:r>
      <w:r w:rsidR="008D7A87">
        <w:rPr>
          <w:rFonts w:cstheme="minorHAnsi"/>
        </w:rPr>
        <w:t xml:space="preserve"> </w:t>
      </w:r>
      <w:r>
        <w:rPr>
          <w:rFonts w:cstheme="minorHAnsi"/>
        </w:rPr>
        <w:t xml:space="preserve">the </w:t>
      </w:r>
      <w:r w:rsidR="008D7A87">
        <w:rPr>
          <w:rFonts w:cstheme="minorHAnsi"/>
        </w:rPr>
        <w:t xml:space="preserve">Education and Care Services </w:t>
      </w:r>
      <w:r>
        <w:rPr>
          <w:rFonts w:cstheme="minorHAnsi"/>
        </w:rPr>
        <w:t xml:space="preserve">National </w:t>
      </w:r>
      <w:r w:rsidR="008D7A87" w:rsidRPr="00B37806">
        <w:rPr>
          <w:rFonts w:cstheme="minorHAnsi"/>
          <w:iCs/>
        </w:rPr>
        <w:t>Law</w:t>
      </w:r>
      <w:r w:rsidR="008D7A87" w:rsidRPr="00B37806">
        <w:rPr>
          <w:rStyle w:val="FootnoteReference"/>
          <w:rFonts w:cstheme="minorHAnsi"/>
          <w:i/>
        </w:rPr>
        <w:footnoteReference w:id="2"/>
      </w:r>
      <w:r w:rsidR="008D7A87" w:rsidRPr="00B37806">
        <w:rPr>
          <w:rFonts w:cstheme="minorHAnsi"/>
        </w:rPr>
        <w:t xml:space="preserve"> </w:t>
      </w:r>
      <w:r w:rsidR="008D7A87">
        <w:rPr>
          <w:rFonts w:cstheme="minorHAnsi"/>
        </w:rPr>
        <w:t xml:space="preserve">(National Law) </w:t>
      </w:r>
      <w:r>
        <w:rPr>
          <w:rFonts w:cstheme="minorHAnsi"/>
        </w:rPr>
        <w:t>and</w:t>
      </w:r>
      <w:r w:rsidR="00E85721">
        <w:rPr>
          <w:rFonts w:cstheme="minorHAnsi"/>
        </w:rPr>
        <w:t xml:space="preserve"> </w:t>
      </w:r>
      <w:r w:rsidR="006E7F4C">
        <w:rPr>
          <w:rFonts w:cstheme="minorHAnsi"/>
        </w:rPr>
        <w:t xml:space="preserve">the </w:t>
      </w:r>
      <w:r w:rsidR="00E85721">
        <w:rPr>
          <w:rFonts w:cstheme="minorHAnsi"/>
        </w:rPr>
        <w:t>Education and Care Services National</w:t>
      </w:r>
      <w:r>
        <w:rPr>
          <w:rFonts w:cstheme="minorHAnsi"/>
        </w:rPr>
        <w:t xml:space="preserve"> Regulations</w:t>
      </w:r>
      <w:r w:rsidR="00E85721">
        <w:rPr>
          <w:rFonts w:cstheme="minorHAnsi"/>
        </w:rPr>
        <w:t xml:space="preserve"> (National Regulations)</w:t>
      </w:r>
      <w:r w:rsidR="00B535D5">
        <w:rPr>
          <w:rFonts w:cstheme="minorHAnsi"/>
        </w:rPr>
        <w:t xml:space="preserve">, </w:t>
      </w:r>
      <w:r w:rsidR="00E87D27">
        <w:rPr>
          <w:rFonts w:cstheme="minorHAnsi"/>
        </w:rPr>
        <w:t xml:space="preserve">which include </w:t>
      </w:r>
      <w:r w:rsidR="00B535D5">
        <w:rPr>
          <w:rFonts w:cstheme="minorHAnsi"/>
        </w:rPr>
        <w:t>the National Quality Standard</w:t>
      </w:r>
      <w:r w:rsidR="00DE57B8">
        <w:rPr>
          <w:rFonts w:cstheme="minorHAnsi"/>
        </w:rPr>
        <w:t xml:space="preserve"> (NQS)</w:t>
      </w:r>
      <w:r w:rsidR="00564749">
        <w:rPr>
          <w:rFonts w:cstheme="minorHAnsi"/>
        </w:rPr>
        <w:t>.</w:t>
      </w:r>
      <w:r w:rsidR="00B535D5">
        <w:rPr>
          <w:rFonts w:cstheme="minorHAnsi"/>
        </w:rPr>
        <w:t xml:space="preserve"> </w:t>
      </w:r>
      <w:r w:rsidR="008D1F76">
        <w:rPr>
          <w:rFonts w:cstheme="minorHAnsi"/>
        </w:rPr>
        <w:t xml:space="preserve">There </w:t>
      </w:r>
      <w:r w:rsidR="00953163">
        <w:rPr>
          <w:rFonts w:cstheme="minorHAnsi"/>
        </w:rPr>
        <w:t>are</w:t>
      </w:r>
      <w:r w:rsidR="008D1F76">
        <w:rPr>
          <w:rFonts w:cstheme="minorHAnsi"/>
        </w:rPr>
        <w:t xml:space="preserve"> two </w:t>
      </w:r>
      <w:r w:rsidR="00564749">
        <w:rPr>
          <w:rFonts w:cstheme="minorHAnsi"/>
        </w:rPr>
        <w:t>curricula (</w:t>
      </w:r>
      <w:r w:rsidR="008D1F76">
        <w:rPr>
          <w:rFonts w:cstheme="minorHAnsi"/>
        </w:rPr>
        <w:t>national learning frameworks</w:t>
      </w:r>
      <w:r w:rsidR="00564749">
        <w:rPr>
          <w:rFonts w:cstheme="minorHAnsi"/>
        </w:rPr>
        <w:t>)</w:t>
      </w:r>
      <w:r w:rsidR="008D1F76">
        <w:rPr>
          <w:rFonts w:cstheme="minorHAnsi"/>
        </w:rPr>
        <w:t xml:space="preserve"> </w:t>
      </w:r>
      <w:r w:rsidR="00083B61">
        <w:rPr>
          <w:rStyle w:val="FootnoteReference"/>
          <w:rFonts w:cstheme="minorHAnsi"/>
        </w:rPr>
        <w:footnoteReference w:id="3"/>
      </w:r>
      <w:r w:rsidR="006E7F4C">
        <w:rPr>
          <w:rFonts w:cstheme="minorHAnsi"/>
        </w:rPr>
        <w:t xml:space="preserve">approved </w:t>
      </w:r>
      <w:r w:rsidR="008D1F76">
        <w:rPr>
          <w:rFonts w:cstheme="minorHAnsi"/>
        </w:rPr>
        <w:t>under the NQF</w:t>
      </w:r>
      <w:r w:rsidR="00CB3A9B">
        <w:rPr>
          <w:rFonts w:cstheme="minorHAnsi"/>
        </w:rPr>
        <w:t xml:space="preserve">: </w:t>
      </w:r>
    </w:p>
    <w:p w14:paraId="2A6755B2" w14:textId="6A716DCE" w:rsidR="00CB3A9B" w:rsidRDefault="00957EAD" w:rsidP="00CB3A9B">
      <w:pPr>
        <w:pStyle w:val="ListParagraph"/>
        <w:numPr>
          <w:ilvl w:val="0"/>
          <w:numId w:val="9"/>
        </w:numPr>
        <w:spacing w:after="0" w:line="276" w:lineRule="auto"/>
        <w:rPr>
          <w:rFonts w:cstheme="minorHAnsi"/>
        </w:rPr>
      </w:pPr>
      <w:r w:rsidRPr="00C201ED">
        <w:rPr>
          <w:rFonts w:cstheme="minorHAnsi"/>
          <w:i/>
          <w:iCs/>
        </w:rPr>
        <w:t>Belonging, Being and Becoming: The Early Years Learning Framework for Australia</w:t>
      </w:r>
      <w:r w:rsidRPr="00CB3A9B">
        <w:rPr>
          <w:rFonts w:cstheme="minorHAnsi"/>
        </w:rPr>
        <w:t xml:space="preserve"> (EYLF)</w:t>
      </w:r>
      <w:r w:rsidR="00C201ED">
        <w:rPr>
          <w:rFonts w:cstheme="minorHAnsi"/>
        </w:rPr>
        <w:t>,</w:t>
      </w:r>
      <w:r w:rsidR="0040335C" w:rsidRPr="00CB3A9B">
        <w:rPr>
          <w:rFonts w:cstheme="minorHAnsi"/>
        </w:rPr>
        <w:t xml:space="preserve"> the </w:t>
      </w:r>
      <w:r w:rsidR="00CB3A9B">
        <w:rPr>
          <w:rFonts w:cstheme="minorHAnsi"/>
        </w:rPr>
        <w:t>n</w:t>
      </w:r>
      <w:r w:rsidR="0040335C" w:rsidRPr="00CB3A9B">
        <w:rPr>
          <w:rFonts w:cstheme="minorHAnsi"/>
        </w:rPr>
        <w:t xml:space="preserve">ational approved learning framework for children from birth to </w:t>
      </w:r>
      <w:r w:rsidR="00953163">
        <w:rPr>
          <w:rFonts w:cstheme="minorHAnsi"/>
        </w:rPr>
        <w:t>five</w:t>
      </w:r>
      <w:r w:rsidR="0040335C" w:rsidRPr="00CB3A9B">
        <w:rPr>
          <w:rFonts w:cstheme="minorHAnsi"/>
        </w:rPr>
        <w:t xml:space="preserve"> years of age</w:t>
      </w:r>
      <w:r w:rsidR="00CB3A9B">
        <w:rPr>
          <w:rFonts w:cstheme="minorHAnsi"/>
        </w:rPr>
        <w:t>, and</w:t>
      </w:r>
      <w:r w:rsidR="006D10BD" w:rsidRPr="00CB3A9B">
        <w:rPr>
          <w:rFonts w:cstheme="minorHAnsi"/>
        </w:rPr>
        <w:t xml:space="preserve"> </w:t>
      </w:r>
    </w:p>
    <w:p w14:paraId="0610F194" w14:textId="1C8E702C" w:rsidR="006D10BD" w:rsidRDefault="006D10BD" w:rsidP="00CB3A9B">
      <w:pPr>
        <w:pStyle w:val="ListParagraph"/>
        <w:numPr>
          <w:ilvl w:val="0"/>
          <w:numId w:val="9"/>
        </w:numPr>
        <w:spacing w:after="0" w:line="276" w:lineRule="auto"/>
        <w:rPr>
          <w:rFonts w:cstheme="minorHAnsi"/>
        </w:rPr>
      </w:pPr>
      <w:r w:rsidRPr="00C201ED">
        <w:rPr>
          <w:rFonts w:cstheme="minorHAnsi"/>
          <w:i/>
          <w:iCs/>
        </w:rPr>
        <w:lastRenderedPageBreak/>
        <w:t>My Time, Our Place: Framework for School Age Care in Australia</w:t>
      </w:r>
      <w:r w:rsidRPr="00CB3A9B">
        <w:rPr>
          <w:rFonts w:cstheme="minorHAnsi"/>
        </w:rPr>
        <w:t xml:space="preserve">, the </w:t>
      </w:r>
      <w:r w:rsidR="00CB3A9B">
        <w:rPr>
          <w:rFonts w:cstheme="minorHAnsi"/>
        </w:rPr>
        <w:t>na</w:t>
      </w:r>
      <w:r w:rsidRPr="00CB3A9B">
        <w:rPr>
          <w:rFonts w:cstheme="minorHAnsi"/>
        </w:rPr>
        <w:t xml:space="preserve">tional approved learning framework for school age children. </w:t>
      </w:r>
    </w:p>
    <w:p w14:paraId="4DC12456" w14:textId="4C36D5A3" w:rsidR="00CB3A9B" w:rsidRDefault="00B1496E" w:rsidP="001529A9">
      <w:pPr>
        <w:spacing w:after="0" w:line="276" w:lineRule="auto"/>
        <w:rPr>
          <w:rFonts w:cstheme="minorHAnsi"/>
        </w:rPr>
      </w:pPr>
      <w:r>
        <w:rPr>
          <w:rFonts w:cstheme="minorHAnsi"/>
        </w:rPr>
        <w:t xml:space="preserve">A review </w:t>
      </w:r>
      <w:r w:rsidR="00DD5379">
        <w:rPr>
          <w:rFonts w:cstheme="minorHAnsi"/>
        </w:rPr>
        <w:t>process</w:t>
      </w:r>
      <w:r w:rsidR="00334E36">
        <w:rPr>
          <w:rFonts w:cstheme="minorHAnsi"/>
        </w:rPr>
        <w:t xml:space="preserve"> </w:t>
      </w:r>
      <w:r w:rsidR="00236F8C">
        <w:rPr>
          <w:rFonts w:cstheme="minorHAnsi"/>
        </w:rPr>
        <w:t xml:space="preserve">to refresh the frameworks </w:t>
      </w:r>
      <w:r>
        <w:rPr>
          <w:rFonts w:cstheme="minorHAnsi"/>
        </w:rPr>
        <w:t xml:space="preserve">took place in 2022 </w:t>
      </w:r>
      <w:r w:rsidR="00DD5379">
        <w:rPr>
          <w:rFonts w:cstheme="minorHAnsi"/>
        </w:rPr>
        <w:t xml:space="preserve">and version 2.0 of each framework was released in early 2023. </w:t>
      </w:r>
    </w:p>
    <w:p w14:paraId="6EAEB071" w14:textId="77777777" w:rsidR="003D2515" w:rsidRPr="00CB3A9B" w:rsidRDefault="003D2515" w:rsidP="001529A9">
      <w:pPr>
        <w:spacing w:after="0" w:line="276" w:lineRule="auto"/>
        <w:rPr>
          <w:rFonts w:cstheme="minorHAnsi"/>
        </w:rPr>
      </w:pPr>
    </w:p>
    <w:p w14:paraId="52A8B23C" w14:textId="0E2A5A01" w:rsidR="003D2515" w:rsidRPr="003D2515" w:rsidRDefault="003D2515" w:rsidP="0010217B">
      <w:pPr>
        <w:spacing w:after="0" w:line="276" w:lineRule="auto"/>
      </w:pPr>
      <w:r w:rsidRPr="003D2515">
        <w:t>Regular reviews of the NQ</w:t>
      </w:r>
      <w:r>
        <w:t>F</w:t>
      </w:r>
      <w:r w:rsidRPr="003D2515">
        <w:t xml:space="preserve"> ensure the regulatory system remains current, achieves its objectives</w:t>
      </w:r>
      <w:r w:rsidR="004A073F">
        <w:t>,</w:t>
      </w:r>
      <w:r w:rsidRPr="003D2515">
        <w:t xml:space="preserve"> and supports Australia’s approved providers and services to provide high quality education and care</w:t>
      </w:r>
      <w:r w:rsidR="00564749">
        <w:t xml:space="preserve"> while minimising regulatory and administrative burden</w:t>
      </w:r>
      <w:r w:rsidRPr="003D2515">
        <w:t xml:space="preserve">. To date, the NQF has undergone two reviews, one in 2014 and one in 2019. </w:t>
      </w:r>
      <w:r w:rsidRPr="008011E1">
        <w:t>The 2019 NQF Review recommended changes to the National Law and National Regulations, as well as producing and making available additional guidance for the sector to enhance children’s health, safety and wellbeing.</w:t>
      </w:r>
      <w:r w:rsidR="004B06C2">
        <w:t xml:space="preserve"> The majority of changes recommended from the 2019 NQF Review </w:t>
      </w:r>
      <w:r w:rsidR="007861AD">
        <w:t xml:space="preserve">will commence from mid-2023. </w:t>
      </w:r>
    </w:p>
    <w:p w14:paraId="36BD944E" w14:textId="066C87AE" w:rsidR="001A169A" w:rsidRDefault="001A169A" w:rsidP="00BC48C5">
      <w:pPr>
        <w:spacing w:after="0" w:line="276" w:lineRule="auto"/>
        <w:contextualSpacing/>
        <w:rPr>
          <w:rFonts w:cstheme="minorHAnsi"/>
        </w:rPr>
      </w:pPr>
    </w:p>
    <w:p w14:paraId="5A59C814" w14:textId="34A0C0A0" w:rsidR="001529A9" w:rsidRPr="006E7F4C" w:rsidRDefault="001529A9" w:rsidP="006E7F4C">
      <w:pPr>
        <w:pStyle w:val="Heading2"/>
      </w:pPr>
      <w:r w:rsidRPr="006E7F4C">
        <w:t>The role of ACECQA</w:t>
      </w:r>
    </w:p>
    <w:p w14:paraId="581A3FC3" w14:textId="5D94C03C" w:rsidR="00937AFE" w:rsidRDefault="00F26EE7" w:rsidP="00900BC6">
      <w:pPr>
        <w:spacing w:after="0" w:line="276" w:lineRule="auto"/>
        <w:contextualSpacing/>
        <w:rPr>
          <w:rFonts w:cstheme="minorHAnsi"/>
        </w:rPr>
      </w:pPr>
      <w:r w:rsidRPr="00B37806">
        <w:rPr>
          <w:rFonts w:cstheme="minorHAnsi"/>
        </w:rPr>
        <w:t xml:space="preserve">ACECQA is the independent national authority established </w:t>
      </w:r>
      <w:r w:rsidR="00900BC6" w:rsidRPr="00E60ABF">
        <w:rPr>
          <w:rFonts w:cstheme="minorHAnsi"/>
        </w:rPr>
        <w:t>under the National Law</w:t>
      </w:r>
      <w:r w:rsidR="00900BC6" w:rsidRPr="00E60ABF">
        <w:rPr>
          <w:rStyle w:val="FootnoteReference"/>
        </w:rPr>
        <w:footnoteReference w:id="4"/>
      </w:r>
      <w:r w:rsidR="00900BC6" w:rsidRPr="00E60ABF">
        <w:rPr>
          <w:rFonts w:cstheme="minorHAnsi"/>
        </w:rPr>
        <w:t xml:space="preserve"> </w:t>
      </w:r>
      <w:r>
        <w:rPr>
          <w:rFonts w:cstheme="minorHAnsi"/>
        </w:rPr>
        <w:t xml:space="preserve">to perform a range of functions, </w:t>
      </w:r>
      <w:r w:rsidR="00900BC6" w:rsidRPr="00E60ABF">
        <w:rPr>
          <w:rFonts w:cstheme="minorHAnsi"/>
        </w:rPr>
        <w:t xml:space="preserve">including </w:t>
      </w:r>
      <w:r w:rsidR="00900BC6">
        <w:rPr>
          <w:rFonts w:cstheme="minorHAnsi"/>
        </w:rPr>
        <w:t>assessing and approving individual and organisation qualifications</w:t>
      </w:r>
      <w:r w:rsidR="00564749">
        <w:rPr>
          <w:rFonts w:cstheme="minorHAnsi"/>
        </w:rPr>
        <w:t>;</w:t>
      </w:r>
      <w:r w:rsidR="00900BC6" w:rsidRPr="00E60ABF">
        <w:rPr>
          <w:rFonts w:cstheme="minorHAnsi"/>
        </w:rPr>
        <w:t xml:space="preserve"> </w:t>
      </w:r>
      <w:r w:rsidR="00900BC6">
        <w:rPr>
          <w:rFonts w:cstheme="minorHAnsi"/>
        </w:rPr>
        <w:t>maintaining national registers of approved providers and services</w:t>
      </w:r>
      <w:r w:rsidR="00564749">
        <w:rPr>
          <w:rFonts w:cstheme="minorHAnsi"/>
        </w:rPr>
        <w:t xml:space="preserve">; reporting to Education Ministers on the implementation of the NQF; </w:t>
      </w:r>
      <w:r w:rsidR="003E4CDC">
        <w:rPr>
          <w:rFonts w:cstheme="minorHAnsi"/>
        </w:rPr>
        <w:t xml:space="preserve"> </w:t>
      </w:r>
      <w:r w:rsidR="00900BC6">
        <w:rPr>
          <w:rFonts w:cstheme="minorHAnsi"/>
        </w:rPr>
        <w:t>training</w:t>
      </w:r>
      <w:r w:rsidR="00564749">
        <w:rPr>
          <w:rFonts w:cstheme="minorHAnsi"/>
        </w:rPr>
        <w:t xml:space="preserve"> and </w:t>
      </w:r>
      <w:r w:rsidR="00900BC6">
        <w:rPr>
          <w:rFonts w:cstheme="minorHAnsi"/>
        </w:rPr>
        <w:t xml:space="preserve">testing </w:t>
      </w:r>
      <w:r w:rsidR="00564749">
        <w:rPr>
          <w:rFonts w:cstheme="minorHAnsi"/>
        </w:rPr>
        <w:t xml:space="preserve">Authorised Officers to undertake assessment and rating; </w:t>
      </w:r>
      <w:r w:rsidR="00900BC6">
        <w:rPr>
          <w:rFonts w:cstheme="minorHAnsi"/>
        </w:rPr>
        <w:t xml:space="preserve">and </w:t>
      </w:r>
      <w:r w:rsidR="00900BC6" w:rsidRPr="00E60ABF">
        <w:rPr>
          <w:rFonts w:cstheme="minorHAnsi"/>
        </w:rPr>
        <w:t xml:space="preserve">publishing guides and resources to support </w:t>
      </w:r>
      <w:r w:rsidR="00900BC6">
        <w:rPr>
          <w:rFonts w:cstheme="minorHAnsi"/>
        </w:rPr>
        <w:t>regulatory</w:t>
      </w:r>
      <w:r w:rsidR="00E870A0">
        <w:rPr>
          <w:rFonts w:cstheme="minorHAnsi"/>
        </w:rPr>
        <w:t xml:space="preserve"> authority</w:t>
      </w:r>
      <w:r w:rsidR="00900BC6">
        <w:rPr>
          <w:rFonts w:cstheme="minorHAnsi"/>
        </w:rPr>
        <w:t xml:space="preserve"> authorised officers</w:t>
      </w:r>
      <w:r w:rsidR="006160E3">
        <w:rPr>
          <w:rFonts w:cstheme="minorHAnsi"/>
        </w:rPr>
        <w:t xml:space="preserve"> and the sector</w:t>
      </w:r>
      <w:r w:rsidR="00564749">
        <w:rPr>
          <w:rFonts w:cstheme="minorHAnsi"/>
        </w:rPr>
        <w:t xml:space="preserve"> to understand the quality framework and achi</w:t>
      </w:r>
      <w:r w:rsidR="00627618">
        <w:rPr>
          <w:rFonts w:cstheme="minorHAnsi"/>
        </w:rPr>
        <w:t>e</w:t>
      </w:r>
      <w:r w:rsidR="00564749">
        <w:rPr>
          <w:rFonts w:cstheme="minorHAnsi"/>
        </w:rPr>
        <w:t>ve its objectives</w:t>
      </w:r>
      <w:r w:rsidR="00900BC6">
        <w:rPr>
          <w:rFonts w:cstheme="minorHAnsi"/>
        </w:rPr>
        <w:t xml:space="preserve">. </w:t>
      </w:r>
    </w:p>
    <w:p w14:paraId="03CFE34C" w14:textId="77777777" w:rsidR="00937AFE" w:rsidRDefault="00937AFE" w:rsidP="00900BC6">
      <w:pPr>
        <w:spacing w:after="0" w:line="276" w:lineRule="auto"/>
        <w:contextualSpacing/>
        <w:rPr>
          <w:rFonts w:cstheme="minorHAnsi"/>
        </w:rPr>
      </w:pPr>
    </w:p>
    <w:p w14:paraId="49C271AC" w14:textId="2E9FA74C" w:rsidR="00937AFE" w:rsidRDefault="00A36F08" w:rsidP="00900BC6">
      <w:pPr>
        <w:spacing w:after="0" w:line="276" w:lineRule="auto"/>
        <w:contextualSpacing/>
        <w:rPr>
          <w:rFonts w:cstheme="minorHAnsi"/>
        </w:rPr>
      </w:pPr>
      <w:r>
        <w:rPr>
          <w:rFonts w:cstheme="minorHAnsi"/>
        </w:rPr>
        <w:t>ACECQA</w:t>
      </w:r>
      <w:r w:rsidR="00937AFE">
        <w:rPr>
          <w:rFonts w:cstheme="minorHAnsi"/>
        </w:rPr>
        <w:t xml:space="preserve"> manages and</w:t>
      </w:r>
      <w:r>
        <w:rPr>
          <w:rFonts w:cstheme="minorHAnsi"/>
        </w:rPr>
        <w:t xml:space="preserve"> hosts the National Quality Agenda IT System (NQA ITS)</w:t>
      </w:r>
      <w:r w:rsidR="00937AFE">
        <w:rPr>
          <w:rFonts w:cstheme="minorHAnsi"/>
        </w:rPr>
        <w:t>,</w:t>
      </w:r>
      <w:r>
        <w:rPr>
          <w:rFonts w:cstheme="minorHAnsi"/>
        </w:rPr>
        <w:t xml:space="preserve"> which contains national data on education and care services and providers</w:t>
      </w:r>
      <w:r w:rsidR="00774620">
        <w:rPr>
          <w:rFonts w:cstheme="minorHAnsi"/>
        </w:rPr>
        <w:t>. The NQA ITS enables</w:t>
      </w:r>
      <w:r>
        <w:rPr>
          <w:rFonts w:cstheme="minorHAnsi"/>
        </w:rPr>
        <w:t xml:space="preserve"> ACECQA to </w:t>
      </w:r>
      <w:r w:rsidR="005E3C6E">
        <w:rPr>
          <w:rFonts w:cstheme="minorHAnsi"/>
        </w:rPr>
        <w:t xml:space="preserve">audit, </w:t>
      </w:r>
      <w:r>
        <w:rPr>
          <w:rFonts w:cstheme="minorHAnsi"/>
        </w:rPr>
        <w:t>report on and provide insight into trends and emerging issues in the sector</w:t>
      </w:r>
      <w:r w:rsidR="00BF6D9C">
        <w:rPr>
          <w:rFonts w:cstheme="minorHAnsi"/>
        </w:rPr>
        <w:t>,</w:t>
      </w:r>
      <w:r>
        <w:rPr>
          <w:rFonts w:cstheme="minorHAnsi"/>
        </w:rPr>
        <w:t xml:space="preserve"> and to provide families with information to be able to choose services that are best for their children and circumstances.</w:t>
      </w:r>
      <w:r w:rsidR="00070C01">
        <w:rPr>
          <w:rFonts w:cstheme="minorHAnsi"/>
        </w:rPr>
        <w:t xml:space="preserve"> </w:t>
      </w:r>
    </w:p>
    <w:p w14:paraId="16D59A5F" w14:textId="77777777" w:rsidR="00937AFE" w:rsidRDefault="00937AFE" w:rsidP="00900BC6">
      <w:pPr>
        <w:spacing w:after="0" w:line="276" w:lineRule="auto"/>
        <w:contextualSpacing/>
        <w:rPr>
          <w:rFonts w:cstheme="minorHAnsi"/>
        </w:rPr>
      </w:pPr>
    </w:p>
    <w:p w14:paraId="0388C23A" w14:textId="49BDAA5A" w:rsidR="00900BC6" w:rsidRDefault="00900BC6" w:rsidP="00900BC6">
      <w:pPr>
        <w:spacing w:after="0" w:line="276" w:lineRule="auto"/>
        <w:contextualSpacing/>
        <w:rPr>
          <w:rFonts w:cstheme="minorHAnsi"/>
        </w:rPr>
      </w:pPr>
      <w:r>
        <w:rPr>
          <w:rFonts w:cstheme="minorHAnsi"/>
        </w:rPr>
        <w:t xml:space="preserve">ACECQA </w:t>
      </w:r>
      <w:r w:rsidR="00DF695A">
        <w:rPr>
          <w:rFonts w:cstheme="minorHAnsi"/>
        </w:rPr>
        <w:t>manages external</w:t>
      </w:r>
      <w:r w:rsidR="00733134">
        <w:rPr>
          <w:rFonts w:cstheme="minorHAnsi"/>
        </w:rPr>
        <w:t xml:space="preserve">, independent </w:t>
      </w:r>
      <w:r>
        <w:rPr>
          <w:rFonts w:cstheme="minorHAnsi"/>
        </w:rPr>
        <w:t>reviews of quality ratings</w:t>
      </w:r>
      <w:r w:rsidR="00733134">
        <w:rPr>
          <w:rFonts w:cstheme="minorHAnsi"/>
        </w:rPr>
        <w:t xml:space="preserve"> (second tier reviews)</w:t>
      </w:r>
      <w:r>
        <w:rPr>
          <w:rFonts w:cstheme="minorHAnsi"/>
        </w:rPr>
        <w:t xml:space="preserve"> and makes determinations regarding the </w:t>
      </w:r>
      <w:r w:rsidR="006E7F4C">
        <w:rPr>
          <w:rFonts w:cstheme="minorHAnsi"/>
        </w:rPr>
        <w:t xml:space="preserve">highest quality rating level (the </w:t>
      </w:r>
      <w:r>
        <w:rPr>
          <w:rFonts w:cstheme="minorHAnsi"/>
        </w:rPr>
        <w:t>Excellent rating</w:t>
      </w:r>
      <w:r w:rsidR="006E7F4C">
        <w:rPr>
          <w:rFonts w:cstheme="minorHAnsi"/>
        </w:rPr>
        <w:t>)</w:t>
      </w:r>
      <w:r>
        <w:rPr>
          <w:rFonts w:cstheme="minorHAnsi"/>
        </w:rPr>
        <w:t xml:space="preserve"> for education and care services. </w:t>
      </w:r>
      <w:r w:rsidRPr="00E60ABF">
        <w:rPr>
          <w:rFonts w:cstheme="minorHAnsi"/>
        </w:rPr>
        <w:t xml:space="preserve">ACECQA’s independence </w:t>
      </w:r>
      <w:r w:rsidR="004517E6">
        <w:rPr>
          <w:rFonts w:cstheme="minorHAnsi"/>
        </w:rPr>
        <w:t xml:space="preserve">and national position </w:t>
      </w:r>
      <w:r w:rsidRPr="00E60ABF">
        <w:rPr>
          <w:rFonts w:cstheme="minorHAnsi"/>
        </w:rPr>
        <w:t xml:space="preserve">allows these important functions to be discharged </w:t>
      </w:r>
      <w:r w:rsidR="00774620">
        <w:rPr>
          <w:rFonts w:cstheme="minorHAnsi"/>
        </w:rPr>
        <w:t xml:space="preserve">efficiently and impartially, ensuring confidence in the integrity of these decisions. </w:t>
      </w:r>
      <w:r w:rsidRPr="00E60ABF">
        <w:rPr>
          <w:rFonts w:cstheme="minorHAnsi"/>
        </w:rPr>
        <w:t xml:space="preserve"> </w:t>
      </w:r>
    </w:p>
    <w:p w14:paraId="64B07C61" w14:textId="77777777" w:rsidR="00900BC6" w:rsidRPr="00E60ABF" w:rsidRDefault="00900BC6" w:rsidP="00900BC6">
      <w:pPr>
        <w:spacing w:after="0" w:line="276" w:lineRule="auto"/>
        <w:contextualSpacing/>
        <w:rPr>
          <w:rFonts w:cstheme="minorHAnsi"/>
        </w:rPr>
      </w:pPr>
    </w:p>
    <w:p w14:paraId="66729B39" w14:textId="2585841F" w:rsidR="004273A3" w:rsidRPr="00E60ABF" w:rsidRDefault="00401E50" w:rsidP="00BC48C5">
      <w:pPr>
        <w:spacing w:after="0" w:line="276" w:lineRule="auto"/>
        <w:contextualSpacing/>
        <w:rPr>
          <w:rFonts w:cstheme="minorHAnsi"/>
        </w:rPr>
      </w:pPr>
      <w:r>
        <w:rPr>
          <w:rFonts w:cstheme="minorHAnsi"/>
        </w:rPr>
        <w:t>ACECQA guides the implementation and administration of the NQF</w:t>
      </w:r>
      <w:r w:rsidR="000C70CE">
        <w:rPr>
          <w:rFonts w:cstheme="minorHAnsi"/>
        </w:rPr>
        <w:t xml:space="preserve"> and </w:t>
      </w:r>
      <w:r w:rsidR="003064BC" w:rsidRPr="00E60ABF">
        <w:rPr>
          <w:rFonts w:cstheme="minorHAnsi"/>
        </w:rPr>
        <w:t>monitor</w:t>
      </w:r>
      <w:r w:rsidR="003064BC">
        <w:rPr>
          <w:rFonts w:cstheme="minorHAnsi"/>
        </w:rPr>
        <w:t xml:space="preserve">s </w:t>
      </w:r>
      <w:r w:rsidR="00A9490A" w:rsidRPr="00E60ABF">
        <w:rPr>
          <w:rFonts w:cstheme="minorHAnsi"/>
        </w:rPr>
        <w:t xml:space="preserve">and </w:t>
      </w:r>
      <w:r w:rsidR="003064BC" w:rsidRPr="00E60ABF">
        <w:rPr>
          <w:rFonts w:cstheme="minorHAnsi"/>
        </w:rPr>
        <w:t>promot</w:t>
      </w:r>
      <w:r w:rsidR="003064BC">
        <w:rPr>
          <w:rFonts w:cstheme="minorHAnsi"/>
        </w:rPr>
        <w:t>es</w:t>
      </w:r>
      <w:r w:rsidR="003064BC" w:rsidRPr="00E60ABF">
        <w:rPr>
          <w:rFonts w:cstheme="minorHAnsi"/>
        </w:rPr>
        <w:t xml:space="preserve"> </w:t>
      </w:r>
      <w:r w:rsidR="00A9490A" w:rsidRPr="00E60ABF">
        <w:rPr>
          <w:rFonts w:cstheme="minorHAnsi"/>
        </w:rPr>
        <w:t xml:space="preserve">consistency in </w:t>
      </w:r>
      <w:r w:rsidR="00604A3F">
        <w:rPr>
          <w:rFonts w:cstheme="minorHAnsi"/>
        </w:rPr>
        <w:t>its</w:t>
      </w:r>
      <w:r w:rsidR="00604A3F" w:rsidRPr="00E60ABF">
        <w:rPr>
          <w:rFonts w:cstheme="minorHAnsi"/>
        </w:rPr>
        <w:t xml:space="preserve"> </w:t>
      </w:r>
      <w:r w:rsidR="00AF6C07" w:rsidRPr="00E60ABF">
        <w:rPr>
          <w:rFonts w:cstheme="minorHAnsi"/>
        </w:rPr>
        <w:t>application</w:t>
      </w:r>
      <w:r w:rsidR="00A9490A" w:rsidRPr="00E60ABF">
        <w:rPr>
          <w:rFonts w:cstheme="minorHAnsi"/>
        </w:rPr>
        <w:t xml:space="preserve"> </w:t>
      </w:r>
      <w:r w:rsidR="00900BC6">
        <w:rPr>
          <w:rFonts w:cstheme="minorHAnsi"/>
        </w:rPr>
        <w:t>across Australia</w:t>
      </w:r>
      <w:r w:rsidR="000C70CE">
        <w:rPr>
          <w:rFonts w:cstheme="minorHAnsi"/>
        </w:rPr>
        <w:t>.</w:t>
      </w:r>
      <w:r w:rsidR="00900BC6">
        <w:rPr>
          <w:rFonts w:cstheme="minorHAnsi"/>
        </w:rPr>
        <w:t xml:space="preserve"> </w:t>
      </w:r>
      <w:r w:rsidR="00E94D57" w:rsidRPr="00E60ABF">
        <w:rPr>
          <w:rFonts w:cstheme="minorHAnsi"/>
        </w:rPr>
        <w:t xml:space="preserve">Being an independent statutory authority </w:t>
      </w:r>
      <w:r w:rsidR="005949EB">
        <w:rPr>
          <w:rFonts w:cstheme="minorHAnsi"/>
        </w:rPr>
        <w:t xml:space="preserve">working closely with </w:t>
      </w:r>
      <w:r w:rsidR="00774620">
        <w:rPr>
          <w:rFonts w:cstheme="minorHAnsi"/>
        </w:rPr>
        <w:t xml:space="preserve">nine </w:t>
      </w:r>
      <w:r w:rsidR="005949EB">
        <w:rPr>
          <w:rFonts w:cstheme="minorHAnsi"/>
        </w:rPr>
        <w:t>regulators</w:t>
      </w:r>
      <w:r w:rsidR="00B741DC">
        <w:rPr>
          <w:rFonts w:cstheme="minorHAnsi"/>
        </w:rPr>
        <w:t xml:space="preserve"> </w:t>
      </w:r>
      <w:r w:rsidR="00B05FE4">
        <w:rPr>
          <w:rFonts w:cstheme="minorHAnsi"/>
        </w:rPr>
        <w:t>and the sector</w:t>
      </w:r>
      <w:r w:rsidR="00774620">
        <w:rPr>
          <w:rFonts w:cstheme="minorHAnsi"/>
        </w:rPr>
        <w:t xml:space="preserve">, </w:t>
      </w:r>
      <w:r w:rsidR="00E94D57" w:rsidRPr="00E60ABF">
        <w:rPr>
          <w:rFonts w:cstheme="minorHAnsi"/>
        </w:rPr>
        <w:t>ACECQA consider</w:t>
      </w:r>
      <w:r w:rsidR="00774620">
        <w:rPr>
          <w:rFonts w:cstheme="minorHAnsi"/>
        </w:rPr>
        <w:t>s</w:t>
      </w:r>
      <w:r w:rsidR="00E94D57" w:rsidRPr="00E60ABF">
        <w:rPr>
          <w:rFonts w:cstheme="minorHAnsi"/>
        </w:rPr>
        <w:t xml:space="preserve"> matters at a </w:t>
      </w:r>
      <w:r w:rsidR="005949EB">
        <w:rPr>
          <w:rFonts w:cstheme="minorHAnsi"/>
        </w:rPr>
        <w:t>‘</w:t>
      </w:r>
      <w:r w:rsidR="00E94D57" w:rsidRPr="00E60ABF">
        <w:rPr>
          <w:rFonts w:cstheme="minorHAnsi"/>
        </w:rPr>
        <w:t>system level</w:t>
      </w:r>
      <w:r w:rsidR="005949EB">
        <w:rPr>
          <w:rFonts w:cstheme="minorHAnsi"/>
        </w:rPr>
        <w:t>’</w:t>
      </w:r>
      <w:r w:rsidR="00376E0D">
        <w:rPr>
          <w:rFonts w:cstheme="minorHAnsi"/>
        </w:rPr>
        <w:t xml:space="preserve">, </w:t>
      </w:r>
      <w:r w:rsidR="005C0C51">
        <w:rPr>
          <w:rFonts w:cstheme="minorHAnsi"/>
        </w:rPr>
        <w:t xml:space="preserve">to </w:t>
      </w:r>
      <w:r w:rsidR="00376E0D">
        <w:rPr>
          <w:rFonts w:cstheme="minorHAnsi"/>
        </w:rPr>
        <w:t xml:space="preserve">manage national projects and </w:t>
      </w:r>
      <w:r w:rsidR="005C0C51">
        <w:rPr>
          <w:rFonts w:cstheme="minorHAnsi"/>
        </w:rPr>
        <w:t xml:space="preserve">communication, </w:t>
      </w:r>
      <w:r w:rsidR="005569B0">
        <w:rPr>
          <w:rFonts w:cstheme="minorHAnsi"/>
        </w:rPr>
        <w:t xml:space="preserve">to </w:t>
      </w:r>
      <w:r w:rsidR="005C0C51">
        <w:rPr>
          <w:rFonts w:cstheme="minorHAnsi"/>
        </w:rPr>
        <w:t>engage with stakeholders nationally</w:t>
      </w:r>
      <w:r w:rsidR="005569B0">
        <w:rPr>
          <w:rFonts w:cstheme="minorHAnsi"/>
        </w:rPr>
        <w:t xml:space="preserve"> </w:t>
      </w:r>
      <w:r w:rsidR="00E94D57" w:rsidRPr="00E60ABF">
        <w:rPr>
          <w:rFonts w:cstheme="minorHAnsi"/>
        </w:rPr>
        <w:t>and make recommendations for improvement</w:t>
      </w:r>
      <w:r w:rsidR="00900BC6">
        <w:rPr>
          <w:rFonts w:cstheme="minorHAnsi"/>
        </w:rPr>
        <w:t xml:space="preserve"> to benefit </w:t>
      </w:r>
      <w:r w:rsidR="00ED1B68">
        <w:rPr>
          <w:rFonts w:cstheme="minorHAnsi"/>
        </w:rPr>
        <w:t xml:space="preserve">all </w:t>
      </w:r>
      <w:r w:rsidR="00900BC6">
        <w:rPr>
          <w:rFonts w:cstheme="minorHAnsi"/>
        </w:rPr>
        <w:t>children</w:t>
      </w:r>
      <w:r w:rsidR="00774620">
        <w:rPr>
          <w:rFonts w:cstheme="minorHAnsi"/>
        </w:rPr>
        <w:t xml:space="preserve"> and reduce complexity for providers</w:t>
      </w:r>
      <w:r w:rsidR="00E94D57" w:rsidRPr="00E60ABF">
        <w:rPr>
          <w:rFonts w:cstheme="minorHAnsi"/>
        </w:rPr>
        <w:t>.</w:t>
      </w:r>
      <w:r w:rsidR="00571C5C">
        <w:rPr>
          <w:rFonts w:cstheme="minorHAnsi"/>
        </w:rPr>
        <w:t xml:space="preserve"> </w:t>
      </w:r>
    </w:p>
    <w:p w14:paraId="7CB73ED9" w14:textId="73A79661" w:rsidR="005557EA" w:rsidRPr="00E60ABF" w:rsidRDefault="005557EA" w:rsidP="00BC48C5">
      <w:pPr>
        <w:spacing w:after="0" w:line="276" w:lineRule="auto"/>
        <w:contextualSpacing/>
        <w:rPr>
          <w:rFonts w:cstheme="minorHAnsi"/>
        </w:rPr>
      </w:pPr>
    </w:p>
    <w:p w14:paraId="0AE53F23" w14:textId="5875768E" w:rsidR="00D368BD" w:rsidRPr="00E60ABF" w:rsidRDefault="00D368BD" w:rsidP="00923B80">
      <w:pPr>
        <w:pStyle w:val="Heading2"/>
      </w:pPr>
      <w:r w:rsidRPr="00E60ABF">
        <w:t xml:space="preserve">Quality education and care provides children </w:t>
      </w:r>
      <w:r w:rsidR="002D5657" w:rsidRPr="00E60ABF">
        <w:t xml:space="preserve">in Australia </w:t>
      </w:r>
      <w:r w:rsidRPr="00E60ABF">
        <w:t>with the best start in life</w:t>
      </w:r>
    </w:p>
    <w:p w14:paraId="4DCCEE61" w14:textId="14A5159A" w:rsidR="00EA5C35" w:rsidRDefault="00790A88" w:rsidP="00EA5C35">
      <w:pPr>
        <w:spacing w:after="0" w:line="276" w:lineRule="auto"/>
        <w:contextualSpacing/>
        <w:rPr>
          <w:rFonts w:cstheme="minorHAnsi"/>
        </w:rPr>
      </w:pPr>
      <w:r w:rsidRPr="00E60ABF">
        <w:rPr>
          <w:rFonts w:cstheme="minorHAnsi"/>
        </w:rPr>
        <w:t xml:space="preserve">Children’s </w:t>
      </w:r>
      <w:r w:rsidR="00481CF3" w:rsidRPr="00E60ABF">
        <w:rPr>
          <w:rFonts w:cstheme="minorHAnsi"/>
        </w:rPr>
        <w:t xml:space="preserve">early </w:t>
      </w:r>
      <w:r w:rsidR="005557EA" w:rsidRPr="00E60ABF">
        <w:rPr>
          <w:rFonts w:cstheme="minorHAnsi"/>
        </w:rPr>
        <w:t xml:space="preserve">education and care is an integral part of the Australian education system and sets the foundations for </w:t>
      </w:r>
      <w:r w:rsidR="00126B93" w:rsidRPr="00E60ABF">
        <w:rPr>
          <w:rFonts w:cstheme="minorHAnsi"/>
        </w:rPr>
        <w:t>lifelong</w:t>
      </w:r>
      <w:r w:rsidR="005557EA" w:rsidRPr="00E60ABF">
        <w:rPr>
          <w:rFonts w:cstheme="minorHAnsi"/>
        </w:rPr>
        <w:t xml:space="preserve"> learning and </w:t>
      </w:r>
      <w:r w:rsidR="00481CF3" w:rsidRPr="00E60ABF">
        <w:rPr>
          <w:rFonts w:cstheme="minorHAnsi"/>
        </w:rPr>
        <w:t xml:space="preserve">skill </w:t>
      </w:r>
      <w:r w:rsidR="005557EA" w:rsidRPr="00E60ABF">
        <w:rPr>
          <w:rFonts w:cstheme="minorHAnsi"/>
        </w:rPr>
        <w:t xml:space="preserve">development. </w:t>
      </w:r>
      <w:r w:rsidR="001209B2" w:rsidRPr="00E60ABF">
        <w:rPr>
          <w:rFonts w:cstheme="minorHAnsi"/>
        </w:rPr>
        <w:t xml:space="preserve">The benefits of </w:t>
      </w:r>
      <w:r w:rsidR="00280E73" w:rsidRPr="00E60ABF">
        <w:rPr>
          <w:rFonts w:cstheme="minorHAnsi"/>
        </w:rPr>
        <w:t xml:space="preserve">quality early education and care are broad. </w:t>
      </w:r>
      <w:r w:rsidR="00912F67" w:rsidRPr="00E60ABF">
        <w:rPr>
          <w:rFonts w:cstheme="minorHAnsi"/>
        </w:rPr>
        <w:t xml:space="preserve">Contemporary research demonstrates that high quality early childhood </w:t>
      </w:r>
      <w:r w:rsidR="00912F67" w:rsidRPr="00E60ABF">
        <w:rPr>
          <w:rFonts w:cstheme="minorHAnsi"/>
        </w:rPr>
        <w:lastRenderedPageBreak/>
        <w:t xml:space="preserve">education and care leads to better health, </w:t>
      </w:r>
      <w:r w:rsidR="00881719" w:rsidRPr="00E60ABF">
        <w:rPr>
          <w:rFonts w:cstheme="minorHAnsi"/>
        </w:rPr>
        <w:t>employment</w:t>
      </w:r>
      <w:r w:rsidR="00912F67" w:rsidRPr="00E60ABF">
        <w:rPr>
          <w:rFonts w:cstheme="minorHAnsi"/>
        </w:rPr>
        <w:t xml:space="preserve"> and educational outcomes, providing significant return-on-investment for governments</w:t>
      </w:r>
      <w:r w:rsidR="00912F67" w:rsidRPr="00E60ABF">
        <w:rPr>
          <w:rStyle w:val="FootnoteReference"/>
          <w:rFonts w:cstheme="minorHAnsi"/>
        </w:rPr>
        <w:footnoteReference w:id="5"/>
      </w:r>
      <w:r w:rsidR="00912F67" w:rsidRPr="00E60ABF">
        <w:rPr>
          <w:rStyle w:val="FootnoteReference"/>
          <w:rFonts w:cstheme="minorHAnsi"/>
        </w:rPr>
        <w:footnoteReference w:id="6"/>
      </w:r>
      <w:r w:rsidR="00951EAD" w:rsidRPr="00E60ABF">
        <w:rPr>
          <w:rFonts w:cstheme="minorHAnsi"/>
        </w:rPr>
        <w:t>.</w:t>
      </w:r>
      <w:r w:rsidR="00280E73" w:rsidRPr="00E60ABF">
        <w:rPr>
          <w:rFonts w:cstheme="minorHAnsi"/>
        </w:rPr>
        <w:t xml:space="preserve"> </w:t>
      </w:r>
    </w:p>
    <w:p w14:paraId="7F4870C6" w14:textId="77777777" w:rsidR="00360DC4" w:rsidRDefault="00360DC4" w:rsidP="00EA5C35">
      <w:pPr>
        <w:spacing w:after="0" w:line="276" w:lineRule="auto"/>
        <w:contextualSpacing/>
        <w:rPr>
          <w:rFonts w:cstheme="minorHAnsi"/>
        </w:rPr>
      </w:pPr>
    </w:p>
    <w:p w14:paraId="441C9EDA" w14:textId="08DBA7DE" w:rsidR="00164418" w:rsidRDefault="00360DC4" w:rsidP="00EA5C35">
      <w:pPr>
        <w:spacing w:after="0" w:line="276" w:lineRule="auto"/>
        <w:contextualSpacing/>
        <w:rPr>
          <w:rFonts w:cstheme="minorHAnsi"/>
        </w:rPr>
      </w:pPr>
      <w:r>
        <w:rPr>
          <w:rFonts w:cstheme="minorHAnsi"/>
        </w:rPr>
        <w:t>Research also demonstrates that c</w:t>
      </w:r>
      <w:r w:rsidR="00EA5C35" w:rsidRPr="00E60ABF">
        <w:rPr>
          <w:rFonts w:cstheme="minorHAnsi"/>
        </w:rPr>
        <w:t>hildren from disadvantaged backgrounds gain the most from high quality education and care</w:t>
      </w:r>
      <w:r w:rsidR="00EA5C35" w:rsidRPr="00E60ABF">
        <w:rPr>
          <w:rStyle w:val="FootnoteReference"/>
          <w:rFonts w:cstheme="minorHAnsi"/>
        </w:rPr>
        <w:footnoteReference w:id="7"/>
      </w:r>
      <w:r>
        <w:rPr>
          <w:rFonts w:cstheme="minorHAnsi"/>
        </w:rPr>
        <w:t xml:space="preserve">. </w:t>
      </w:r>
      <w:r w:rsidR="00164418">
        <w:rPr>
          <w:rFonts w:cstheme="minorHAnsi"/>
        </w:rPr>
        <w:t xml:space="preserve">Children experiencing </w:t>
      </w:r>
      <w:r w:rsidR="005D31F3">
        <w:rPr>
          <w:rFonts w:cstheme="minorHAnsi"/>
        </w:rPr>
        <w:t xml:space="preserve">disadvantage and vulnerability </w:t>
      </w:r>
      <w:r w:rsidR="00A16E2C">
        <w:rPr>
          <w:rFonts w:cstheme="minorHAnsi"/>
        </w:rPr>
        <w:t>who participate in quality e</w:t>
      </w:r>
      <w:r w:rsidR="0033760A">
        <w:rPr>
          <w:rFonts w:cstheme="minorHAnsi"/>
        </w:rPr>
        <w:t xml:space="preserve">ducation and care </w:t>
      </w:r>
      <w:r w:rsidR="003D7E7B">
        <w:rPr>
          <w:rFonts w:cstheme="minorHAnsi"/>
        </w:rPr>
        <w:t>demonstrate gains in cogniti</w:t>
      </w:r>
      <w:r w:rsidR="009B32F0">
        <w:rPr>
          <w:rFonts w:cstheme="minorHAnsi"/>
        </w:rPr>
        <w:t>ve function</w:t>
      </w:r>
      <w:r w:rsidR="00276C20">
        <w:rPr>
          <w:rFonts w:cstheme="minorHAnsi"/>
        </w:rPr>
        <w:t>,</w:t>
      </w:r>
      <w:r w:rsidR="007B3B55">
        <w:rPr>
          <w:rFonts w:cstheme="minorHAnsi"/>
        </w:rPr>
        <w:t xml:space="preserve"> language </w:t>
      </w:r>
      <w:r w:rsidR="00276C20">
        <w:rPr>
          <w:rFonts w:cstheme="minorHAnsi"/>
        </w:rPr>
        <w:t>and</w:t>
      </w:r>
      <w:r w:rsidR="003D7E7B">
        <w:rPr>
          <w:rFonts w:cstheme="minorHAnsi"/>
        </w:rPr>
        <w:t xml:space="preserve"> social</w:t>
      </w:r>
      <w:r w:rsidR="00702EC0">
        <w:rPr>
          <w:rFonts w:cstheme="minorHAnsi"/>
        </w:rPr>
        <w:t xml:space="preserve">-emotional </w:t>
      </w:r>
      <w:r w:rsidR="00276C20">
        <w:rPr>
          <w:rFonts w:cstheme="minorHAnsi"/>
        </w:rPr>
        <w:t>development</w:t>
      </w:r>
      <w:r w:rsidR="009B32F0">
        <w:rPr>
          <w:rFonts w:cstheme="minorHAnsi"/>
        </w:rPr>
        <w:t xml:space="preserve"> as well as </w:t>
      </w:r>
      <w:r w:rsidR="00A733E4">
        <w:rPr>
          <w:rFonts w:cstheme="minorHAnsi"/>
        </w:rPr>
        <w:t>improved long term outcomes</w:t>
      </w:r>
      <w:r w:rsidR="00F045A5" w:rsidRPr="00E82C1F">
        <w:rPr>
          <w:rFonts w:cstheme="minorHAnsi"/>
          <w:vertAlign w:val="superscript"/>
        </w:rPr>
        <w:t>5</w:t>
      </w:r>
      <w:r w:rsidR="00A733E4">
        <w:rPr>
          <w:rFonts w:cstheme="minorHAnsi"/>
        </w:rPr>
        <w:t>.</w:t>
      </w:r>
      <w:r w:rsidR="00B16F7A">
        <w:rPr>
          <w:rFonts w:cstheme="minorHAnsi"/>
        </w:rPr>
        <w:t xml:space="preserve"> Quality education and care experiences </w:t>
      </w:r>
      <w:r w:rsidR="001D6435">
        <w:rPr>
          <w:rFonts w:cstheme="minorHAnsi"/>
        </w:rPr>
        <w:t>provide children with protective factors that</w:t>
      </w:r>
      <w:r w:rsidR="00C17EEE">
        <w:rPr>
          <w:rFonts w:cstheme="minorHAnsi"/>
        </w:rPr>
        <w:t xml:space="preserve"> continue to impact their life for the long ter</w:t>
      </w:r>
      <w:r w:rsidR="001916FE">
        <w:rPr>
          <w:rFonts w:cstheme="minorHAnsi"/>
        </w:rPr>
        <w:t>m</w:t>
      </w:r>
      <w:r w:rsidR="00E241A8">
        <w:rPr>
          <w:rFonts w:cstheme="minorHAnsi"/>
        </w:rPr>
        <w:t>,</w:t>
      </w:r>
      <w:r w:rsidR="001916FE">
        <w:rPr>
          <w:rFonts w:cstheme="minorHAnsi"/>
        </w:rPr>
        <w:t xml:space="preserve"> resulting in </w:t>
      </w:r>
      <w:r w:rsidR="001D0D4B">
        <w:rPr>
          <w:rFonts w:cstheme="minorHAnsi"/>
        </w:rPr>
        <w:t>higher levels</w:t>
      </w:r>
      <w:r w:rsidR="001916FE">
        <w:rPr>
          <w:rFonts w:cstheme="minorHAnsi"/>
        </w:rPr>
        <w:t xml:space="preserve"> </w:t>
      </w:r>
      <w:r w:rsidR="004837CC">
        <w:rPr>
          <w:rFonts w:cstheme="minorHAnsi"/>
        </w:rPr>
        <w:t xml:space="preserve">of </w:t>
      </w:r>
      <w:r w:rsidR="00276C20">
        <w:rPr>
          <w:rFonts w:cstheme="minorHAnsi"/>
        </w:rPr>
        <w:t>educational attainment</w:t>
      </w:r>
      <w:r w:rsidR="002C1FEF">
        <w:rPr>
          <w:rFonts w:cstheme="minorHAnsi"/>
        </w:rPr>
        <w:t xml:space="preserve">, </w:t>
      </w:r>
      <w:r w:rsidR="00C44B86">
        <w:rPr>
          <w:rFonts w:cstheme="minorHAnsi"/>
        </w:rPr>
        <w:t>reduce</w:t>
      </w:r>
      <w:r w:rsidR="00413D98">
        <w:rPr>
          <w:rFonts w:cstheme="minorHAnsi"/>
        </w:rPr>
        <w:t xml:space="preserve">d </w:t>
      </w:r>
      <w:r w:rsidR="00C44B86">
        <w:rPr>
          <w:rFonts w:cstheme="minorHAnsi"/>
        </w:rPr>
        <w:t>dependence</w:t>
      </w:r>
      <w:r w:rsidR="00413D98">
        <w:rPr>
          <w:rFonts w:cstheme="minorHAnsi"/>
        </w:rPr>
        <w:t xml:space="preserve"> on social services</w:t>
      </w:r>
      <w:r w:rsidR="006021C3">
        <w:rPr>
          <w:rFonts w:cstheme="minorHAnsi"/>
        </w:rPr>
        <w:t xml:space="preserve"> and </w:t>
      </w:r>
      <w:r w:rsidR="00B70DAD">
        <w:rPr>
          <w:rFonts w:cstheme="minorHAnsi"/>
        </w:rPr>
        <w:t>lower rates of crim</w:t>
      </w:r>
      <w:r w:rsidR="004837CC">
        <w:rPr>
          <w:rFonts w:cstheme="minorHAnsi"/>
        </w:rPr>
        <w:t>in</w:t>
      </w:r>
      <w:r w:rsidR="00B70DAD">
        <w:rPr>
          <w:rFonts w:cstheme="minorHAnsi"/>
        </w:rPr>
        <w:t>ality</w:t>
      </w:r>
      <w:r w:rsidR="00AC13DA" w:rsidRPr="00AC13DA">
        <w:rPr>
          <w:rFonts w:cstheme="minorHAnsi"/>
          <w:vertAlign w:val="superscript"/>
        </w:rPr>
        <w:t>3</w:t>
      </w:r>
      <w:r w:rsidR="00C44B86">
        <w:rPr>
          <w:rFonts w:cstheme="minorHAnsi"/>
        </w:rPr>
        <w:t xml:space="preserve">. </w:t>
      </w:r>
      <w:r w:rsidR="00EA5C35" w:rsidRPr="00E60ABF">
        <w:rPr>
          <w:rFonts w:cstheme="minorHAnsi"/>
        </w:rPr>
        <w:t xml:space="preserve">Ensuring children from disadvantaged backgrounds can access and attend quality education and care is important in reducing the gap between </w:t>
      </w:r>
      <w:r w:rsidR="00900BC6">
        <w:rPr>
          <w:rFonts w:cstheme="minorHAnsi"/>
        </w:rPr>
        <w:t xml:space="preserve">life outcomes for </w:t>
      </w:r>
      <w:r w:rsidR="00EA5C35" w:rsidRPr="00E60ABF">
        <w:rPr>
          <w:rFonts w:cstheme="minorHAnsi"/>
        </w:rPr>
        <w:t>advantaged and disadvantaged children</w:t>
      </w:r>
      <w:r w:rsidR="003521C6">
        <w:rPr>
          <w:rFonts w:cstheme="minorHAnsi"/>
        </w:rPr>
        <w:t xml:space="preserve">. </w:t>
      </w:r>
      <w:r w:rsidR="008A57C0">
        <w:rPr>
          <w:rFonts w:cstheme="minorHAnsi"/>
        </w:rPr>
        <w:t xml:space="preserve">Increasing the proportion of Aboriginal and Torres Strait Islander children engaged in </w:t>
      </w:r>
      <w:r w:rsidR="00E532F3">
        <w:rPr>
          <w:rFonts w:cstheme="minorHAnsi"/>
        </w:rPr>
        <w:t xml:space="preserve">high quality, culturally appropriate early childhood education is a specific </w:t>
      </w:r>
      <w:r w:rsidR="007B3E6A">
        <w:rPr>
          <w:rFonts w:cstheme="minorHAnsi"/>
        </w:rPr>
        <w:t xml:space="preserve">socio-economic </w:t>
      </w:r>
      <w:r w:rsidR="00E532F3">
        <w:rPr>
          <w:rFonts w:cstheme="minorHAnsi"/>
        </w:rPr>
        <w:t>target</w:t>
      </w:r>
      <w:r w:rsidR="0081409D">
        <w:rPr>
          <w:rFonts w:cstheme="minorHAnsi"/>
        </w:rPr>
        <w:t xml:space="preserve"> of the </w:t>
      </w:r>
      <w:r w:rsidR="0081409D" w:rsidRPr="00DA478F">
        <w:rPr>
          <w:rFonts w:cstheme="minorHAnsi"/>
          <w:i/>
          <w:iCs/>
        </w:rPr>
        <w:t>National Agreement on Closing the Gap</w:t>
      </w:r>
      <w:r w:rsidR="001369D3">
        <w:rPr>
          <w:rFonts w:cstheme="minorHAnsi"/>
        </w:rPr>
        <w:t>,</w:t>
      </w:r>
      <w:r w:rsidR="006911B2">
        <w:rPr>
          <w:rFonts w:cstheme="minorHAnsi"/>
        </w:rPr>
        <w:t xml:space="preserve"> recognising the importance of quality education and care for improving outcomes and reducing </w:t>
      </w:r>
      <w:r w:rsidR="001369D3">
        <w:rPr>
          <w:rFonts w:cstheme="minorHAnsi"/>
        </w:rPr>
        <w:t>disadvantage</w:t>
      </w:r>
      <w:r>
        <w:rPr>
          <w:rStyle w:val="FootnoteReference"/>
          <w:rFonts w:cstheme="minorHAnsi"/>
        </w:rPr>
        <w:footnoteReference w:id="8"/>
      </w:r>
      <w:r>
        <w:rPr>
          <w:rFonts w:cstheme="minorHAnsi"/>
        </w:rPr>
        <w:t>.</w:t>
      </w:r>
      <w:r w:rsidR="00EA5C35" w:rsidRPr="00E60ABF">
        <w:rPr>
          <w:rFonts w:cstheme="minorHAnsi"/>
        </w:rPr>
        <w:t xml:space="preserve">   </w:t>
      </w:r>
    </w:p>
    <w:p w14:paraId="5D8027E0" w14:textId="72F2EF33" w:rsidR="00C27FA1" w:rsidRDefault="00C27FA1" w:rsidP="00EA5C35">
      <w:pPr>
        <w:spacing w:after="0" w:line="276" w:lineRule="auto"/>
        <w:contextualSpacing/>
        <w:rPr>
          <w:rFonts w:cstheme="minorHAnsi"/>
        </w:rPr>
      </w:pPr>
    </w:p>
    <w:p w14:paraId="7ECF80C6" w14:textId="208F09D6" w:rsidR="006A7A0C" w:rsidRPr="00DC2575" w:rsidRDefault="006A7A0C" w:rsidP="00DC2575">
      <w:pPr>
        <w:pStyle w:val="Heading2"/>
      </w:pPr>
      <w:r w:rsidRPr="00DC2575">
        <w:t xml:space="preserve">Enabling access and providing families with choice  </w:t>
      </w:r>
    </w:p>
    <w:p w14:paraId="64756338" w14:textId="4434E357" w:rsidR="003311D3" w:rsidRDefault="00774620" w:rsidP="00C27FA1">
      <w:pPr>
        <w:spacing w:after="0" w:line="276" w:lineRule="auto"/>
        <w:contextualSpacing/>
        <w:rPr>
          <w:rFonts w:cstheme="minorHAnsi"/>
        </w:rPr>
      </w:pPr>
      <w:r>
        <w:rPr>
          <w:rFonts w:cstheme="minorHAnsi"/>
        </w:rPr>
        <w:t>E</w:t>
      </w:r>
      <w:r w:rsidR="00C27FA1" w:rsidRPr="00E60ABF">
        <w:rPr>
          <w:rFonts w:cstheme="minorHAnsi"/>
        </w:rPr>
        <w:t xml:space="preserve">ducation and care </w:t>
      </w:r>
      <w:r>
        <w:rPr>
          <w:rFonts w:cstheme="minorHAnsi"/>
        </w:rPr>
        <w:t xml:space="preserve">services must be of high quality to protect children’s health, safety and wellbeing and to </w:t>
      </w:r>
      <w:r w:rsidR="00C27FA1" w:rsidRPr="00E60ABF">
        <w:rPr>
          <w:rFonts w:cstheme="minorHAnsi"/>
        </w:rPr>
        <w:t xml:space="preserve">improve </w:t>
      </w:r>
      <w:r>
        <w:rPr>
          <w:rFonts w:cstheme="minorHAnsi"/>
        </w:rPr>
        <w:t xml:space="preserve">their developmental and educational </w:t>
      </w:r>
      <w:r w:rsidR="00C27FA1" w:rsidRPr="00E60ABF">
        <w:rPr>
          <w:rFonts w:cstheme="minorHAnsi"/>
        </w:rPr>
        <w:t>outcomes</w:t>
      </w:r>
      <w:r>
        <w:rPr>
          <w:rFonts w:cstheme="minorHAnsi"/>
        </w:rPr>
        <w:t xml:space="preserve">. It is also expected of families </w:t>
      </w:r>
      <w:r w:rsidR="003311D3">
        <w:rPr>
          <w:rFonts w:cstheme="minorHAnsi"/>
        </w:rPr>
        <w:t xml:space="preserve">and enables </w:t>
      </w:r>
      <w:r>
        <w:rPr>
          <w:rFonts w:cstheme="minorHAnsi"/>
        </w:rPr>
        <w:t xml:space="preserve">parents’ and carers’ participation in the </w:t>
      </w:r>
      <w:r w:rsidR="00C27FA1" w:rsidRPr="00E60ABF">
        <w:rPr>
          <w:rFonts w:cstheme="minorHAnsi"/>
        </w:rPr>
        <w:t xml:space="preserve">workforce. </w:t>
      </w:r>
    </w:p>
    <w:p w14:paraId="589429C8" w14:textId="77777777" w:rsidR="003311D3" w:rsidRDefault="003311D3" w:rsidP="00C27FA1">
      <w:pPr>
        <w:spacing w:after="0" w:line="276" w:lineRule="auto"/>
        <w:contextualSpacing/>
        <w:rPr>
          <w:rFonts w:cstheme="minorHAnsi"/>
        </w:rPr>
      </w:pPr>
    </w:p>
    <w:p w14:paraId="35CCF3F9" w14:textId="6529F727" w:rsidR="00C27FA1" w:rsidRPr="00E60ABF" w:rsidRDefault="003311D3" w:rsidP="00C27FA1">
      <w:pPr>
        <w:spacing w:after="0" w:line="276" w:lineRule="auto"/>
        <w:contextualSpacing/>
        <w:rPr>
          <w:rFonts w:cstheme="minorHAnsi"/>
        </w:rPr>
      </w:pPr>
      <w:r>
        <w:rPr>
          <w:rFonts w:cstheme="minorHAnsi"/>
        </w:rPr>
        <w:t>T</w:t>
      </w:r>
      <w:r w:rsidR="00C27FA1" w:rsidRPr="00E60ABF">
        <w:rPr>
          <w:rFonts w:cstheme="minorHAnsi"/>
        </w:rPr>
        <w:t xml:space="preserve">hese aims can only be achieved if families are able to </w:t>
      </w:r>
      <w:r w:rsidR="00C27FA1" w:rsidRPr="00E60ABF">
        <w:rPr>
          <w:rFonts w:cstheme="minorHAnsi"/>
          <w:i/>
          <w:iCs/>
        </w:rPr>
        <w:t xml:space="preserve">access </w:t>
      </w:r>
      <w:r w:rsidR="00C27FA1" w:rsidRPr="00E60ABF">
        <w:rPr>
          <w:rFonts w:cstheme="minorHAnsi"/>
        </w:rPr>
        <w:t xml:space="preserve">education and care </w:t>
      </w:r>
      <w:r w:rsidR="00074FAB" w:rsidRPr="00E60ABF">
        <w:rPr>
          <w:rFonts w:cstheme="minorHAnsi"/>
        </w:rPr>
        <w:t>services,</w:t>
      </w:r>
      <w:r>
        <w:rPr>
          <w:rFonts w:cstheme="minorHAnsi"/>
        </w:rPr>
        <w:t xml:space="preserve"> so it is important that f</w:t>
      </w:r>
      <w:r w:rsidR="00C27FA1" w:rsidRPr="00E60ABF">
        <w:rPr>
          <w:rFonts w:cstheme="minorHAnsi"/>
        </w:rPr>
        <w:t xml:space="preserve">amilies </w:t>
      </w:r>
      <w:r>
        <w:rPr>
          <w:rFonts w:cstheme="minorHAnsi"/>
        </w:rPr>
        <w:t xml:space="preserve">have a wide array of </w:t>
      </w:r>
      <w:r w:rsidR="00C27FA1" w:rsidRPr="00E60ABF">
        <w:rPr>
          <w:rFonts w:cstheme="minorHAnsi"/>
        </w:rPr>
        <w:t xml:space="preserve">options </w:t>
      </w:r>
      <w:r>
        <w:rPr>
          <w:rFonts w:cstheme="minorHAnsi"/>
        </w:rPr>
        <w:t xml:space="preserve">and </w:t>
      </w:r>
      <w:r w:rsidR="00C27FA1" w:rsidRPr="00E60ABF">
        <w:rPr>
          <w:rFonts w:cstheme="minorHAnsi"/>
        </w:rPr>
        <w:t xml:space="preserve">information to help them </w:t>
      </w:r>
      <w:r w:rsidR="007E6794">
        <w:rPr>
          <w:rFonts w:cstheme="minorHAnsi"/>
        </w:rPr>
        <w:t>understand the importance and impact of education and care</w:t>
      </w:r>
      <w:r>
        <w:rPr>
          <w:rFonts w:cstheme="minorHAnsi"/>
        </w:rPr>
        <w:t>,</w:t>
      </w:r>
      <w:r w:rsidR="007E6794">
        <w:rPr>
          <w:rFonts w:cstheme="minorHAnsi"/>
        </w:rPr>
        <w:t xml:space="preserve"> and </w:t>
      </w:r>
      <w:r w:rsidR="00C27FA1" w:rsidRPr="00E60ABF">
        <w:rPr>
          <w:rFonts w:cstheme="minorHAnsi"/>
        </w:rPr>
        <w:t xml:space="preserve">choose </w:t>
      </w:r>
      <w:r>
        <w:rPr>
          <w:rFonts w:cstheme="minorHAnsi"/>
        </w:rPr>
        <w:t>the s</w:t>
      </w:r>
      <w:r w:rsidR="00C27FA1" w:rsidRPr="00E60ABF">
        <w:rPr>
          <w:rFonts w:cstheme="minorHAnsi"/>
        </w:rPr>
        <w:t xml:space="preserve">ervice(s) and service types </w:t>
      </w:r>
      <w:r>
        <w:rPr>
          <w:rFonts w:cstheme="minorHAnsi"/>
        </w:rPr>
        <w:t>that best meet their needs</w:t>
      </w:r>
      <w:r w:rsidR="00C27FA1" w:rsidRPr="00E60ABF">
        <w:rPr>
          <w:rFonts w:cstheme="minorHAnsi"/>
        </w:rPr>
        <w:t>.</w:t>
      </w:r>
    </w:p>
    <w:p w14:paraId="439E5F9C" w14:textId="77777777" w:rsidR="006D1200" w:rsidRPr="00E60ABF" w:rsidRDefault="006D1200" w:rsidP="00EA5C35">
      <w:pPr>
        <w:spacing w:after="0" w:line="276" w:lineRule="auto"/>
        <w:contextualSpacing/>
        <w:rPr>
          <w:rFonts w:cstheme="minorHAnsi"/>
        </w:rPr>
      </w:pPr>
    </w:p>
    <w:p w14:paraId="1CD296E2" w14:textId="55C8A014" w:rsidR="007863A4" w:rsidRDefault="007863A4" w:rsidP="007863A4">
      <w:pPr>
        <w:spacing w:after="0" w:line="276" w:lineRule="auto"/>
        <w:contextualSpacing/>
        <w:rPr>
          <w:rFonts w:cstheme="minorHAnsi"/>
        </w:rPr>
      </w:pPr>
      <w:r w:rsidRPr="00E60ABF">
        <w:rPr>
          <w:rFonts w:cstheme="minorHAnsi"/>
        </w:rPr>
        <w:t xml:space="preserve">One of the objectives of the NQF is to improve public knowledge, and access to information, about the quality of education and care services. Families can use ACECQA’s </w:t>
      </w:r>
      <w:hyperlink r:id="rId11" w:history="1">
        <w:r w:rsidRPr="00E60ABF">
          <w:rPr>
            <w:rStyle w:val="Hyperlink"/>
            <w:rFonts w:cstheme="minorHAnsi"/>
          </w:rPr>
          <w:t>Starting Blocks</w:t>
        </w:r>
      </w:hyperlink>
      <w:r w:rsidRPr="00E60ABF">
        <w:rPr>
          <w:rFonts w:cstheme="minorHAnsi"/>
        </w:rPr>
        <w:t xml:space="preserve"> website to find education and care services in their area, along with details about the quality of services, supporting them to choose services that best suit their child and family circumstances. </w:t>
      </w:r>
      <w:r w:rsidR="00575FC9">
        <w:rPr>
          <w:rFonts w:cstheme="minorHAnsi"/>
        </w:rPr>
        <w:t xml:space="preserve">Following a decision </w:t>
      </w:r>
      <w:r w:rsidR="009D6EEF">
        <w:rPr>
          <w:rFonts w:cstheme="minorHAnsi"/>
        </w:rPr>
        <w:t xml:space="preserve">by </w:t>
      </w:r>
      <w:r w:rsidR="00575FC9">
        <w:rPr>
          <w:rFonts w:cstheme="minorHAnsi"/>
        </w:rPr>
        <w:t xml:space="preserve">the then Australian Government to decommission </w:t>
      </w:r>
      <w:r w:rsidR="0025307E">
        <w:rPr>
          <w:rFonts w:cstheme="minorHAnsi"/>
        </w:rPr>
        <w:t>its</w:t>
      </w:r>
      <w:r w:rsidR="00575FC9">
        <w:rPr>
          <w:rFonts w:cstheme="minorHAnsi"/>
        </w:rPr>
        <w:t xml:space="preserve"> </w:t>
      </w:r>
      <w:proofErr w:type="spellStart"/>
      <w:r w:rsidR="00575FC9">
        <w:rPr>
          <w:rFonts w:cstheme="minorHAnsi"/>
        </w:rPr>
        <w:t>ChildCare</w:t>
      </w:r>
      <w:proofErr w:type="spellEnd"/>
      <w:r w:rsidR="00575FC9">
        <w:rPr>
          <w:rFonts w:cstheme="minorHAnsi"/>
        </w:rPr>
        <w:t xml:space="preserve"> Finder website, </w:t>
      </w:r>
      <w:r w:rsidR="009D6EEF">
        <w:rPr>
          <w:rFonts w:cstheme="minorHAnsi"/>
        </w:rPr>
        <w:t xml:space="preserve">since early 2022, </w:t>
      </w:r>
      <w:r w:rsidR="00477EEA">
        <w:rPr>
          <w:rFonts w:cstheme="minorHAnsi"/>
        </w:rPr>
        <w:t xml:space="preserve">families </w:t>
      </w:r>
      <w:r w:rsidR="0025307E">
        <w:rPr>
          <w:rFonts w:cstheme="minorHAnsi"/>
        </w:rPr>
        <w:t>have</w:t>
      </w:r>
      <w:r w:rsidR="00477EEA">
        <w:rPr>
          <w:rFonts w:cstheme="minorHAnsi"/>
        </w:rPr>
        <w:t xml:space="preserve"> also </w:t>
      </w:r>
      <w:r w:rsidR="0025307E">
        <w:rPr>
          <w:rFonts w:cstheme="minorHAnsi"/>
        </w:rPr>
        <w:t xml:space="preserve">been </w:t>
      </w:r>
      <w:r w:rsidR="00477EEA">
        <w:rPr>
          <w:rFonts w:cstheme="minorHAnsi"/>
        </w:rPr>
        <w:t xml:space="preserve">able to </w:t>
      </w:r>
      <w:r w:rsidR="00575FC9">
        <w:rPr>
          <w:rFonts w:cstheme="minorHAnsi"/>
        </w:rPr>
        <w:t xml:space="preserve">find fee and vacancy information </w:t>
      </w:r>
      <w:r w:rsidR="0025307E">
        <w:rPr>
          <w:rFonts w:cstheme="minorHAnsi"/>
        </w:rPr>
        <w:t>on Sta</w:t>
      </w:r>
      <w:r w:rsidR="005C7A79">
        <w:rPr>
          <w:rFonts w:cstheme="minorHAnsi"/>
        </w:rPr>
        <w:t>r</w:t>
      </w:r>
      <w:r w:rsidR="0025307E">
        <w:rPr>
          <w:rFonts w:cstheme="minorHAnsi"/>
        </w:rPr>
        <w:t>tingblocks.gov.au</w:t>
      </w:r>
      <w:r w:rsidR="005C7A79">
        <w:rPr>
          <w:rFonts w:cstheme="minorHAnsi"/>
        </w:rPr>
        <w:t xml:space="preserve">. </w:t>
      </w:r>
      <w:r w:rsidR="00C77D62">
        <w:rPr>
          <w:rFonts w:cstheme="minorHAnsi"/>
        </w:rPr>
        <w:t xml:space="preserve">This makes </w:t>
      </w:r>
      <w:r w:rsidR="009D6EEF">
        <w:rPr>
          <w:rFonts w:cstheme="minorHAnsi"/>
        </w:rPr>
        <w:t>startingblocks.gov.au</w:t>
      </w:r>
      <w:r w:rsidR="00C77D62">
        <w:rPr>
          <w:rFonts w:cstheme="minorHAnsi"/>
        </w:rPr>
        <w:t xml:space="preserve"> the </w:t>
      </w:r>
      <w:r w:rsidR="00564FF1">
        <w:rPr>
          <w:rFonts w:cstheme="minorHAnsi"/>
        </w:rPr>
        <w:t xml:space="preserve">primary source of government information for families </w:t>
      </w:r>
      <w:r w:rsidR="002B0C92">
        <w:rPr>
          <w:rFonts w:cstheme="minorHAnsi"/>
        </w:rPr>
        <w:t xml:space="preserve">and the </w:t>
      </w:r>
      <w:r w:rsidR="00EA65EE">
        <w:rPr>
          <w:rFonts w:cstheme="minorHAnsi"/>
        </w:rPr>
        <w:t xml:space="preserve">community </w:t>
      </w:r>
      <w:r w:rsidR="00564FF1">
        <w:rPr>
          <w:rFonts w:cstheme="minorHAnsi"/>
        </w:rPr>
        <w:t xml:space="preserve">on the </w:t>
      </w:r>
      <w:r w:rsidR="006D6D00">
        <w:rPr>
          <w:rFonts w:cstheme="minorHAnsi"/>
        </w:rPr>
        <w:t xml:space="preserve">education and care </w:t>
      </w:r>
      <w:r w:rsidR="00564FF1">
        <w:rPr>
          <w:rFonts w:cstheme="minorHAnsi"/>
        </w:rPr>
        <w:t>sector.</w:t>
      </w:r>
    </w:p>
    <w:p w14:paraId="3F5BE13E" w14:textId="77777777" w:rsidR="006D1200" w:rsidRPr="00E60ABF" w:rsidRDefault="006D1200" w:rsidP="006D1200">
      <w:pPr>
        <w:spacing w:after="0" w:line="276" w:lineRule="auto"/>
        <w:contextualSpacing/>
        <w:rPr>
          <w:rFonts w:cstheme="minorHAnsi"/>
        </w:rPr>
      </w:pPr>
    </w:p>
    <w:p w14:paraId="42DCD1ED" w14:textId="0C419030" w:rsidR="006D1200" w:rsidRPr="00E60ABF" w:rsidRDefault="006D1200" w:rsidP="006D1200">
      <w:pPr>
        <w:spacing w:after="0" w:line="276" w:lineRule="auto"/>
        <w:contextualSpacing/>
        <w:rPr>
          <w:rFonts w:cstheme="minorHAnsi"/>
        </w:rPr>
      </w:pPr>
      <w:r w:rsidRPr="00E60ABF">
        <w:rPr>
          <w:rFonts w:cstheme="minorHAnsi"/>
        </w:rPr>
        <w:lastRenderedPageBreak/>
        <w:t xml:space="preserve">The variety of service types </w:t>
      </w:r>
      <w:r w:rsidR="00C12AF4">
        <w:rPr>
          <w:rFonts w:cstheme="minorHAnsi"/>
        </w:rPr>
        <w:t>regulated</w:t>
      </w:r>
      <w:r w:rsidR="00C12AF4" w:rsidRPr="00E60ABF">
        <w:rPr>
          <w:rFonts w:cstheme="minorHAnsi"/>
        </w:rPr>
        <w:t xml:space="preserve"> </w:t>
      </w:r>
      <w:r w:rsidRPr="00E60ABF">
        <w:rPr>
          <w:rFonts w:cstheme="minorHAnsi"/>
        </w:rPr>
        <w:t>under the NQF (long day care, family day care, stand-alone or school-based preschools/kindergartens</w:t>
      </w:r>
      <w:r>
        <w:rPr>
          <w:rFonts w:cstheme="minorHAnsi"/>
        </w:rPr>
        <w:t xml:space="preserve"> and outside of school hours care</w:t>
      </w:r>
      <w:r w:rsidRPr="00E60ABF">
        <w:rPr>
          <w:rFonts w:cstheme="minorHAnsi"/>
        </w:rPr>
        <w:t>) provide</w:t>
      </w:r>
      <w:r w:rsidR="00455F70">
        <w:rPr>
          <w:rFonts w:cstheme="minorHAnsi"/>
        </w:rPr>
        <w:t>s</w:t>
      </w:r>
      <w:r w:rsidRPr="00E60ABF">
        <w:rPr>
          <w:rFonts w:cstheme="minorHAnsi"/>
        </w:rPr>
        <w:t xml:space="preserve"> families with choice. </w:t>
      </w:r>
      <w:r w:rsidR="00DB610A">
        <w:rPr>
          <w:rFonts w:cstheme="minorHAnsi"/>
        </w:rPr>
        <w:t xml:space="preserve">As governments </w:t>
      </w:r>
      <w:r w:rsidR="00305B72">
        <w:rPr>
          <w:rFonts w:cstheme="minorHAnsi"/>
        </w:rPr>
        <w:t>expand access to education and car</w:t>
      </w:r>
      <w:r w:rsidR="00BB0FEE">
        <w:rPr>
          <w:rFonts w:cstheme="minorHAnsi"/>
        </w:rPr>
        <w:t>e, p</w:t>
      </w:r>
      <w:r w:rsidRPr="00E60ABF">
        <w:rPr>
          <w:rFonts w:cstheme="minorHAnsi"/>
        </w:rPr>
        <w:t xml:space="preserve">rovision needs to </w:t>
      </w:r>
      <w:r w:rsidR="00BB0FEE">
        <w:rPr>
          <w:rFonts w:cstheme="minorHAnsi"/>
        </w:rPr>
        <w:t>remain</w:t>
      </w:r>
      <w:r w:rsidRPr="00E60ABF">
        <w:rPr>
          <w:rFonts w:cstheme="minorHAnsi"/>
        </w:rPr>
        <w:t xml:space="preserve"> flexible to ensure services are accessible and available for the hours required to support </w:t>
      </w:r>
      <w:r w:rsidR="004060EE">
        <w:rPr>
          <w:rFonts w:cstheme="minorHAnsi"/>
        </w:rPr>
        <w:t xml:space="preserve">diverse </w:t>
      </w:r>
      <w:r w:rsidRPr="00E60ABF">
        <w:rPr>
          <w:rFonts w:cstheme="minorHAnsi"/>
        </w:rPr>
        <w:t xml:space="preserve">family circumstances and workforce participation. Family day care services, for example, </w:t>
      </w:r>
      <w:r w:rsidR="003311D3">
        <w:rPr>
          <w:rFonts w:cstheme="minorHAnsi"/>
        </w:rPr>
        <w:t xml:space="preserve">have flexible hours and are </w:t>
      </w:r>
      <w:r w:rsidRPr="00E60ABF">
        <w:rPr>
          <w:rFonts w:cstheme="minorHAnsi"/>
        </w:rPr>
        <w:t xml:space="preserve">often </w:t>
      </w:r>
      <w:r w:rsidR="003311D3">
        <w:rPr>
          <w:rFonts w:cstheme="minorHAnsi"/>
        </w:rPr>
        <w:t xml:space="preserve">the best option for </w:t>
      </w:r>
      <w:r w:rsidRPr="00E60ABF">
        <w:rPr>
          <w:rFonts w:cstheme="minorHAnsi"/>
        </w:rPr>
        <w:t>children and families</w:t>
      </w:r>
      <w:r w:rsidR="003311D3">
        <w:rPr>
          <w:rFonts w:cstheme="minorHAnsi"/>
        </w:rPr>
        <w:t xml:space="preserve"> who are seeking a home environment</w:t>
      </w:r>
      <w:r w:rsidR="00455F70">
        <w:rPr>
          <w:rFonts w:cstheme="minorHAnsi"/>
        </w:rPr>
        <w:t>, including shift and emergency workers and those</w:t>
      </w:r>
      <w:r w:rsidR="0008485D">
        <w:rPr>
          <w:rFonts w:cstheme="minorHAnsi"/>
        </w:rPr>
        <w:t xml:space="preserve"> based in regional and remote areas</w:t>
      </w:r>
      <w:r w:rsidR="003311D3">
        <w:rPr>
          <w:rFonts w:cstheme="minorHAnsi"/>
        </w:rPr>
        <w:t xml:space="preserve">. </w:t>
      </w:r>
    </w:p>
    <w:p w14:paraId="3B8EF386" w14:textId="77777777" w:rsidR="00CD1F4E" w:rsidRPr="00E60ABF" w:rsidRDefault="00CD1F4E" w:rsidP="00A32031">
      <w:pPr>
        <w:spacing w:after="0" w:line="276" w:lineRule="auto"/>
        <w:contextualSpacing/>
        <w:rPr>
          <w:rFonts w:cstheme="minorHAnsi"/>
        </w:rPr>
      </w:pPr>
    </w:p>
    <w:p w14:paraId="7AFA7478" w14:textId="109AECF1" w:rsidR="007E1A4A" w:rsidRPr="00E60ABF" w:rsidRDefault="00B273D5" w:rsidP="00923B80">
      <w:pPr>
        <w:pStyle w:val="Heading2"/>
      </w:pPr>
      <w:r w:rsidRPr="00E60ABF">
        <w:t>Children should be able to access quality, NQF</w:t>
      </w:r>
      <w:r w:rsidR="00F53961">
        <w:t>-</w:t>
      </w:r>
      <w:r w:rsidRPr="00E60ABF">
        <w:t>regulated services</w:t>
      </w:r>
    </w:p>
    <w:p w14:paraId="1433CD0C" w14:textId="125E03E6" w:rsidR="00DE1B34" w:rsidRPr="00E60ABF" w:rsidRDefault="003311D3" w:rsidP="00DE1B34">
      <w:pPr>
        <w:spacing w:after="0" w:line="276" w:lineRule="auto"/>
        <w:contextualSpacing/>
        <w:rPr>
          <w:rFonts w:cstheme="minorHAnsi"/>
        </w:rPr>
      </w:pPr>
      <w:r>
        <w:rPr>
          <w:rFonts w:cstheme="minorHAnsi"/>
        </w:rPr>
        <w:t>International research has found that poor quality early childhood education has a long</w:t>
      </w:r>
      <w:r w:rsidR="00627618">
        <w:rPr>
          <w:rFonts w:cstheme="minorHAnsi"/>
        </w:rPr>
        <w:t>-</w:t>
      </w:r>
      <w:r>
        <w:rPr>
          <w:rFonts w:cstheme="minorHAnsi"/>
        </w:rPr>
        <w:t xml:space="preserve">lasting detrimental effect on children’s wellbeing and educational outcomes. </w:t>
      </w:r>
      <w:r w:rsidR="001F2601" w:rsidRPr="00E60ABF">
        <w:rPr>
          <w:rFonts w:cstheme="minorHAnsi"/>
        </w:rPr>
        <w:t xml:space="preserve">ACECQA </w:t>
      </w:r>
      <w:r w:rsidR="00EA7CE8" w:rsidRPr="00E60ABF">
        <w:rPr>
          <w:rFonts w:cstheme="minorHAnsi"/>
        </w:rPr>
        <w:t xml:space="preserve">recommends </w:t>
      </w:r>
      <w:r w:rsidR="001F2601" w:rsidRPr="00E60ABF">
        <w:rPr>
          <w:rFonts w:cstheme="minorHAnsi"/>
        </w:rPr>
        <w:t xml:space="preserve">that all children </w:t>
      </w:r>
      <w:r w:rsidR="0026310D" w:rsidRPr="00E60ABF">
        <w:rPr>
          <w:rFonts w:cstheme="minorHAnsi"/>
        </w:rPr>
        <w:t xml:space="preserve">aged </w:t>
      </w:r>
      <w:r w:rsidR="00DF18E7" w:rsidRPr="00E60ABF">
        <w:rPr>
          <w:rFonts w:cstheme="minorHAnsi"/>
        </w:rPr>
        <w:t xml:space="preserve">from </w:t>
      </w:r>
      <w:r w:rsidR="0026310D" w:rsidRPr="00E60ABF">
        <w:rPr>
          <w:rFonts w:cstheme="minorHAnsi"/>
        </w:rPr>
        <w:t>birth</w:t>
      </w:r>
      <w:r w:rsidR="00DF18E7" w:rsidRPr="00E60ABF">
        <w:rPr>
          <w:rFonts w:cstheme="minorHAnsi"/>
        </w:rPr>
        <w:t xml:space="preserve"> </w:t>
      </w:r>
      <w:r w:rsidR="002759F0" w:rsidRPr="00E60ABF">
        <w:rPr>
          <w:rFonts w:cstheme="minorHAnsi"/>
        </w:rPr>
        <w:t xml:space="preserve">to </w:t>
      </w:r>
      <w:r w:rsidR="00DF18E7" w:rsidRPr="00E60ABF">
        <w:rPr>
          <w:rFonts w:cstheme="minorHAnsi"/>
        </w:rPr>
        <w:t>five</w:t>
      </w:r>
      <w:r w:rsidR="0026310D" w:rsidRPr="00E60ABF">
        <w:rPr>
          <w:rFonts w:cstheme="minorHAnsi"/>
        </w:rPr>
        <w:t xml:space="preserve"> years should have </w:t>
      </w:r>
      <w:r w:rsidR="0068582B" w:rsidRPr="00E60ABF">
        <w:rPr>
          <w:rFonts w:cstheme="minorHAnsi"/>
        </w:rPr>
        <w:t xml:space="preserve">equitable </w:t>
      </w:r>
      <w:r w:rsidR="0026310D" w:rsidRPr="00E60ABF">
        <w:rPr>
          <w:rFonts w:cstheme="minorHAnsi"/>
        </w:rPr>
        <w:t xml:space="preserve">access to </w:t>
      </w:r>
      <w:r>
        <w:rPr>
          <w:rFonts w:cstheme="minorHAnsi"/>
        </w:rPr>
        <w:t xml:space="preserve">high </w:t>
      </w:r>
      <w:r w:rsidR="0026310D" w:rsidRPr="00E60ABF">
        <w:rPr>
          <w:rFonts w:cstheme="minorHAnsi"/>
        </w:rPr>
        <w:t>quality, NQF regulated services</w:t>
      </w:r>
      <w:r>
        <w:rPr>
          <w:rFonts w:cstheme="minorHAnsi"/>
        </w:rPr>
        <w:t xml:space="preserve"> as the NQF ensures </w:t>
      </w:r>
      <w:r w:rsidR="00A374AC" w:rsidRPr="00E60ABF">
        <w:rPr>
          <w:rFonts w:cstheme="minorHAnsi"/>
        </w:rPr>
        <w:t>strong</w:t>
      </w:r>
      <w:r w:rsidR="00B810A9" w:rsidRPr="00E60ABF">
        <w:rPr>
          <w:rFonts w:cstheme="minorHAnsi"/>
        </w:rPr>
        <w:t xml:space="preserve"> </w:t>
      </w:r>
      <w:r w:rsidR="00A374AC" w:rsidRPr="00E60ABF">
        <w:rPr>
          <w:rFonts w:cstheme="minorHAnsi"/>
        </w:rPr>
        <w:t>compliance and quality improvement mechanisms</w:t>
      </w:r>
      <w:r w:rsidR="00036889" w:rsidRPr="00E60ABF">
        <w:rPr>
          <w:rFonts w:cstheme="minorHAnsi"/>
        </w:rPr>
        <w:t xml:space="preserve"> that </w:t>
      </w:r>
      <w:r>
        <w:rPr>
          <w:rFonts w:cstheme="minorHAnsi"/>
        </w:rPr>
        <w:t>reduce risks to children while supporting their physical, social, emotional, language and cognitive development</w:t>
      </w:r>
      <w:r w:rsidR="00A374AC" w:rsidRPr="00E60ABF">
        <w:rPr>
          <w:rFonts w:cstheme="minorHAnsi"/>
        </w:rPr>
        <w:t xml:space="preserve">. </w:t>
      </w:r>
    </w:p>
    <w:p w14:paraId="359D6329" w14:textId="65DA3580" w:rsidR="00DE1B34" w:rsidRPr="00E60ABF" w:rsidRDefault="00DE1B34" w:rsidP="00DE1B34">
      <w:pPr>
        <w:spacing w:after="0" w:line="276" w:lineRule="auto"/>
        <w:contextualSpacing/>
        <w:rPr>
          <w:rFonts w:cstheme="minorHAnsi"/>
        </w:rPr>
      </w:pPr>
    </w:p>
    <w:p w14:paraId="6B84A9B2" w14:textId="65C1EAF6" w:rsidR="00B83D85" w:rsidRPr="00E60ABF" w:rsidRDefault="003311D3" w:rsidP="00BF13B5">
      <w:pPr>
        <w:spacing w:after="0" w:line="276" w:lineRule="auto"/>
        <w:contextualSpacing/>
        <w:rPr>
          <w:rFonts w:cstheme="minorHAnsi"/>
        </w:rPr>
      </w:pPr>
      <w:r>
        <w:rPr>
          <w:rFonts w:cstheme="minorHAnsi"/>
        </w:rPr>
        <w:t>To this end, t</w:t>
      </w:r>
      <w:r w:rsidR="00DE1B34" w:rsidRPr="00E60ABF">
        <w:rPr>
          <w:rFonts w:cstheme="minorHAnsi"/>
        </w:rPr>
        <w:t>he objectives and guiding principles of the NQF</w:t>
      </w:r>
      <w:r w:rsidR="00DE1B34" w:rsidRPr="00E60ABF">
        <w:rPr>
          <w:rStyle w:val="FootnoteReference"/>
          <w:rFonts w:cstheme="minorHAnsi"/>
        </w:rPr>
        <w:footnoteReference w:id="9"/>
      </w:r>
      <w:r w:rsidR="00DE1B34" w:rsidRPr="00E60ABF">
        <w:rPr>
          <w:rFonts w:cstheme="minorHAnsi"/>
        </w:rPr>
        <w:t xml:space="preserve"> </w:t>
      </w:r>
      <w:r w:rsidR="00C51F8C">
        <w:rPr>
          <w:rFonts w:cstheme="minorHAnsi"/>
        </w:rPr>
        <w:t xml:space="preserve">are a safeguard for </w:t>
      </w:r>
      <w:r w:rsidR="00DE1B34" w:rsidRPr="00E60ABF">
        <w:rPr>
          <w:rFonts w:cstheme="minorHAnsi"/>
        </w:rPr>
        <w:t xml:space="preserve">quality and </w:t>
      </w:r>
      <w:r w:rsidR="00C51F8C">
        <w:rPr>
          <w:rFonts w:cstheme="minorHAnsi"/>
        </w:rPr>
        <w:t>inclusive practice within a well</w:t>
      </w:r>
      <w:r w:rsidR="00627618">
        <w:rPr>
          <w:rFonts w:cstheme="minorHAnsi"/>
        </w:rPr>
        <w:t>-</w:t>
      </w:r>
      <w:r w:rsidR="00C51F8C">
        <w:rPr>
          <w:rFonts w:cstheme="minorHAnsi"/>
        </w:rPr>
        <w:t>balanced regulatory framework for families and providers</w:t>
      </w:r>
      <w:r w:rsidR="00DE1B34" w:rsidRPr="00E60ABF">
        <w:rPr>
          <w:rFonts w:cstheme="minorHAnsi"/>
        </w:rPr>
        <w:t xml:space="preserve">. </w:t>
      </w:r>
      <w:r w:rsidR="00BF13B5" w:rsidRPr="00E60ABF">
        <w:rPr>
          <w:rFonts w:cstheme="minorHAnsi"/>
        </w:rPr>
        <w:t>A fundamental aspect of the NQF is the</w:t>
      </w:r>
      <w:r w:rsidR="00F11A33" w:rsidRPr="00E60ABF">
        <w:rPr>
          <w:rFonts w:cstheme="minorHAnsi"/>
        </w:rPr>
        <w:t xml:space="preserve"> </w:t>
      </w:r>
      <w:r w:rsidR="00BF13B5" w:rsidRPr="00E60ABF">
        <w:rPr>
          <w:rFonts w:cstheme="minorHAnsi"/>
        </w:rPr>
        <w:t>assessment and</w:t>
      </w:r>
      <w:r w:rsidR="00F11A33" w:rsidRPr="00E60ABF">
        <w:rPr>
          <w:rFonts w:cstheme="minorHAnsi"/>
        </w:rPr>
        <w:t xml:space="preserve"> </w:t>
      </w:r>
      <w:r w:rsidR="001E260D">
        <w:rPr>
          <w:rFonts w:cstheme="minorHAnsi"/>
        </w:rPr>
        <w:t xml:space="preserve">quality </w:t>
      </w:r>
      <w:r w:rsidR="00BF13B5" w:rsidRPr="00E60ABF">
        <w:rPr>
          <w:rFonts w:cstheme="minorHAnsi"/>
        </w:rPr>
        <w:t>rating of education and care services against the National Quality Standard (NQS).</w:t>
      </w:r>
      <w:r w:rsidR="00DD1965" w:rsidRPr="00E60ABF">
        <w:rPr>
          <w:rFonts w:cstheme="minorHAnsi"/>
        </w:rPr>
        <w:t xml:space="preserve"> The NQS includes seven quality areas that </w:t>
      </w:r>
      <w:r w:rsidR="009F4DF2" w:rsidRPr="00E60ABF">
        <w:rPr>
          <w:rFonts w:cstheme="minorHAnsi"/>
        </w:rPr>
        <w:t xml:space="preserve">contribute </w:t>
      </w:r>
      <w:r w:rsidR="006466DF" w:rsidRPr="00E60ABF">
        <w:rPr>
          <w:rFonts w:cstheme="minorHAnsi"/>
        </w:rPr>
        <w:t>to</w:t>
      </w:r>
      <w:r w:rsidR="00DD1965" w:rsidRPr="00E60ABF">
        <w:rPr>
          <w:rFonts w:cstheme="minorHAnsi"/>
        </w:rPr>
        <w:t xml:space="preserve"> </w:t>
      </w:r>
      <w:r w:rsidR="001B55E2" w:rsidRPr="00E60ABF">
        <w:rPr>
          <w:rFonts w:cstheme="minorHAnsi"/>
        </w:rPr>
        <w:t xml:space="preserve">quality service provision and </w:t>
      </w:r>
      <w:r w:rsidR="009F4DF2" w:rsidRPr="00E60ABF">
        <w:rPr>
          <w:rFonts w:cstheme="minorHAnsi"/>
        </w:rPr>
        <w:t xml:space="preserve">improved </w:t>
      </w:r>
      <w:r w:rsidR="00DD1965" w:rsidRPr="00E60ABF">
        <w:rPr>
          <w:rFonts w:cstheme="minorHAnsi"/>
        </w:rPr>
        <w:t>outcomes for children</w:t>
      </w:r>
      <w:r w:rsidR="00B83D85" w:rsidRPr="00E60ABF">
        <w:rPr>
          <w:rFonts w:cstheme="minorHAnsi"/>
        </w:rPr>
        <w:t>:</w:t>
      </w:r>
    </w:p>
    <w:p w14:paraId="5A50A212"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Educational program and practice</w:t>
      </w:r>
    </w:p>
    <w:p w14:paraId="336853B3"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Children’s health and safety</w:t>
      </w:r>
    </w:p>
    <w:p w14:paraId="0A7E2F4A"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Physical environment</w:t>
      </w:r>
    </w:p>
    <w:p w14:paraId="2116A3F8"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Staffing arrangements</w:t>
      </w:r>
    </w:p>
    <w:p w14:paraId="577B0B0A"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Relationships with children</w:t>
      </w:r>
    </w:p>
    <w:p w14:paraId="1B3439FC"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Collaborative partnerships with families and communities</w:t>
      </w:r>
    </w:p>
    <w:p w14:paraId="564429C8" w14:textId="77777777" w:rsidR="00B83D85" w:rsidRPr="00E60ABF" w:rsidRDefault="006466DF" w:rsidP="00B83D85">
      <w:pPr>
        <w:pStyle w:val="ListParagraph"/>
        <w:numPr>
          <w:ilvl w:val="0"/>
          <w:numId w:val="1"/>
        </w:numPr>
        <w:spacing w:before="120" w:after="0" w:line="276" w:lineRule="auto"/>
        <w:rPr>
          <w:rFonts w:cstheme="minorHAnsi"/>
        </w:rPr>
      </w:pPr>
      <w:r w:rsidRPr="00E60ABF">
        <w:rPr>
          <w:rFonts w:cstheme="minorHAnsi"/>
        </w:rPr>
        <w:t>Governance and leadership.</w:t>
      </w:r>
      <w:r w:rsidR="00BF13B5" w:rsidRPr="00E60ABF">
        <w:rPr>
          <w:rFonts w:cstheme="minorHAnsi"/>
        </w:rPr>
        <w:t xml:space="preserve"> </w:t>
      </w:r>
    </w:p>
    <w:p w14:paraId="598B429E" w14:textId="007FFD52" w:rsidR="00BF13B5" w:rsidRPr="00E60ABF" w:rsidRDefault="00BF13B5" w:rsidP="00B83D85">
      <w:pPr>
        <w:spacing w:before="120" w:after="0" w:line="276" w:lineRule="auto"/>
        <w:rPr>
          <w:rFonts w:cstheme="minorHAnsi"/>
        </w:rPr>
      </w:pPr>
      <w:r w:rsidRPr="00E60ABF">
        <w:rPr>
          <w:rFonts w:cstheme="minorHAnsi"/>
        </w:rPr>
        <w:t xml:space="preserve">The NQS encompasses components of both ‘structural’ quality (for example, educator qualifications, educator to child ratios, </w:t>
      </w:r>
      <w:r w:rsidR="00BA100E" w:rsidRPr="00E60ABF">
        <w:rPr>
          <w:rFonts w:cstheme="minorHAnsi"/>
        </w:rPr>
        <w:t xml:space="preserve">approved </w:t>
      </w:r>
      <w:r w:rsidRPr="00E60ABF">
        <w:rPr>
          <w:rFonts w:cstheme="minorHAnsi"/>
        </w:rPr>
        <w:t>learning frameworks</w:t>
      </w:r>
      <w:r w:rsidR="00BA100E" w:rsidRPr="00E60ABF">
        <w:rPr>
          <w:rFonts w:cstheme="minorHAnsi"/>
        </w:rPr>
        <w:t>,</w:t>
      </w:r>
      <w:r w:rsidRPr="00E60ABF">
        <w:rPr>
          <w:rFonts w:cstheme="minorHAnsi"/>
        </w:rPr>
        <w:t xml:space="preserve"> and professional development and support) and ‘process’ quality (for example, interactions between educators and children).</w:t>
      </w:r>
      <w:r w:rsidR="00EF2B74" w:rsidRPr="00E60ABF">
        <w:rPr>
          <w:rFonts w:cstheme="minorHAnsi"/>
        </w:rPr>
        <w:t xml:space="preserve"> </w:t>
      </w:r>
      <w:r w:rsidR="002D3343" w:rsidRPr="00E60ABF">
        <w:rPr>
          <w:rFonts w:cstheme="minorHAnsi"/>
        </w:rPr>
        <w:t>T</w:t>
      </w:r>
      <w:r w:rsidRPr="00E60ABF">
        <w:rPr>
          <w:rFonts w:cstheme="minorHAnsi"/>
        </w:rPr>
        <w:t>he</w:t>
      </w:r>
      <w:r w:rsidR="008B181F" w:rsidRPr="00E60ABF">
        <w:rPr>
          <w:rFonts w:cstheme="minorHAnsi"/>
        </w:rPr>
        <w:t xml:space="preserve"> NQS also increases the focus</w:t>
      </w:r>
      <w:r w:rsidRPr="00E60ABF">
        <w:rPr>
          <w:rFonts w:cstheme="minorHAnsi"/>
        </w:rPr>
        <w:t xml:space="preserve"> on educators’ </w:t>
      </w:r>
      <w:r w:rsidR="000A5C67" w:rsidRPr="00E60ABF">
        <w:rPr>
          <w:rFonts w:cstheme="minorHAnsi"/>
        </w:rPr>
        <w:t xml:space="preserve">pedagogical </w:t>
      </w:r>
      <w:r w:rsidRPr="00E60ABF">
        <w:rPr>
          <w:rFonts w:cstheme="minorHAnsi"/>
        </w:rPr>
        <w:t>practice, including:</w:t>
      </w:r>
    </w:p>
    <w:p w14:paraId="4E879611"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intentional and responsive teaching</w:t>
      </w:r>
    </w:p>
    <w:p w14:paraId="4294EEE1"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inclusive practice and respect for diversity</w:t>
      </w:r>
    </w:p>
    <w:p w14:paraId="669D0C5F"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assessment for learning and quality improvement planning</w:t>
      </w:r>
    </w:p>
    <w:p w14:paraId="31F08229"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critical reflection</w:t>
      </w:r>
    </w:p>
    <w:p w14:paraId="72BE3D14"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continuity of learning and transitions</w:t>
      </w:r>
    </w:p>
    <w:p w14:paraId="073A0E79" w14:textId="77777777" w:rsidR="00BF13B5" w:rsidRPr="00E60ABF" w:rsidRDefault="00BF13B5" w:rsidP="00BF13B5">
      <w:pPr>
        <w:pStyle w:val="ListParagraph"/>
        <w:numPr>
          <w:ilvl w:val="0"/>
          <w:numId w:val="1"/>
        </w:numPr>
        <w:spacing w:before="120" w:after="0" w:line="276" w:lineRule="auto"/>
        <w:rPr>
          <w:rFonts w:cstheme="minorHAnsi"/>
        </w:rPr>
      </w:pPr>
      <w:r w:rsidRPr="00E60ABF">
        <w:rPr>
          <w:rFonts w:cstheme="minorHAnsi"/>
        </w:rPr>
        <w:t>professional collaboration, standards and development.</w:t>
      </w:r>
    </w:p>
    <w:p w14:paraId="786929D1" w14:textId="0B3E9CC1" w:rsidR="00A82532" w:rsidRPr="00E60ABF" w:rsidRDefault="00A82532" w:rsidP="00A32031">
      <w:pPr>
        <w:spacing w:after="0" w:line="276" w:lineRule="auto"/>
        <w:contextualSpacing/>
        <w:rPr>
          <w:rFonts w:cstheme="minorHAnsi"/>
        </w:rPr>
      </w:pPr>
    </w:p>
    <w:p w14:paraId="6E23E907" w14:textId="7ECD6C20" w:rsidR="00807390" w:rsidRPr="00DC2575" w:rsidRDefault="00E553FA" w:rsidP="00DC2575">
      <w:pPr>
        <w:pStyle w:val="Heading2"/>
      </w:pPr>
      <w:r w:rsidRPr="00DC2575">
        <w:t>Quality r</w:t>
      </w:r>
      <w:r w:rsidR="00A82532" w:rsidRPr="00DC2575">
        <w:t>atings</w:t>
      </w:r>
    </w:p>
    <w:p w14:paraId="4BA762EE" w14:textId="5B5FD00F" w:rsidR="00807390" w:rsidRPr="00E60ABF" w:rsidRDefault="00807390" w:rsidP="00807390">
      <w:pPr>
        <w:spacing w:after="0" w:line="276" w:lineRule="auto"/>
        <w:contextualSpacing/>
        <w:rPr>
          <w:rFonts w:cstheme="minorHAnsi"/>
        </w:rPr>
      </w:pPr>
      <w:r w:rsidRPr="00E60ABF">
        <w:rPr>
          <w:rFonts w:cstheme="minorHAnsi"/>
        </w:rPr>
        <w:lastRenderedPageBreak/>
        <w:t xml:space="preserve">The </w:t>
      </w:r>
      <w:r w:rsidR="00C51F8C">
        <w:rPr>
          <w:rFonts w:cstheme="minorHAnsi"/>
        </w:rPr>
        <w:t xml:space="preserve">NQF is unique in that regulators and providers work together to achieve continuous quality improvement. </w:t>
      </w:r>
      <w:r w:rsidRPr="00E60ABF">
        <w:rPr>
          <w:rFonts w:cstheme="minorHAnsi"/>
        </w:rPr>
        <w:t xml:space="preserve">Sustained improvements in quality across all areas of the NQS can be seen in the data collected since the introduction of the NQF in 2012. When quality ratings were first published in 2013, </w:t>
      </w:r>
      <w:r w:rsidR="008E1691" w:rsidRPr="00E60ABF">
        <w:rPr>
          <w:rFonts w:cstheme="minorHAnsi"/>
        </w:rPr>
        <w:t>5</w:t>
      </w:r>
      <w:r w:rsidR="008E1691">
        <w:rPr>
          <w:rFonts w:cstheme="minorHAnsi"/>
        </w:rPr>
        <w:t>6</w:t>
      </w:r>
      <w:r w:rsidR="008E1691" w:rsidRPr="00E60ABF">
        <w:rPr>
          <w:rFonts w:cstheme="minorHAnsi"/>
        </w:rPr>
        <w:t xml:space="preserve"> </w:t>
      </w:r>
      <w:r w:rsidRPr="00E60ABF">
        <w:rPr>
          <w:rFonts w:cstheme="minorHAnsi"/>
        </w:rPr>
        <w:t xml:space="preserve">per cent of rated services met or exceeded the </w:t>
      </w:r>
      <w:r w:rsidR="007E6794">
        <w:rPr>
          <w:rFonts w:cstheme="minorHAnsi"/>
        </w:rPr>
        <w:t>National Quality S</w:t>
      </w:r>
      <w:r w:rsidRPr="00E60ABF">
        <w:rPr>
          <w:rFonts w:cstheme="minorHAnsi"/>
        </w:rPr>
        <w:t xml:space="preserve">tandard. In </w:t>
      </w:r>
      <w:r w:rsidR="00BA4D6C" w:rsidRPr="00E60ABF">
        <w:rPr>
          <w:rFonts w:cstheme="minorHAnsi"/>
        </w:rPr>
        <w:t>202</w:t>
      </w:r>
      <w:r w:rsidR="00BA4D6C">
        <w:rPr>
          <w:rFonts w:cstheme="minorHAnsi"/>
        </w:rPr>
        <w:t>3</w:t>
      </w:r>
      <w:r w:rsidRPr="00E60ABF">
        <w:rPr>
          <w:rFonts w:cstheme="minorHAnsi"/>
        </w:rPr>
        <w:t xml:space="preserve">, </w:t>
      </w:r>
      <w:r w:rsidR="00BA4D6C" w:rsidRPr="00E60ABF">
        <w:rPr>
          <w:rFonts w:cstheme="minorHAnsi"/>
        </w:rPr>
        <w:t>8</w:t>
      </w:r>
      <w:r w:rsidR="00BA4D6C">
        <w:rPr>
          <w:rFonts w:cstheme="minorHAnsi"/>
        </w:rPr>
        <w:t>9</w:t>
      </w:r>
      <w:r w:rsidR="00BA4D6C" w:rsidRPr="00E60ABF">
        <w:rPr>
          <w:rFonts w:cstheme="minorHAnsi"/>
        </w:rPr>
        <w:t xml:space="preserve"> </w:t>
      </w:r>
      <w:r w:rsidRPr="00E60ABF">
        <w:rPr>
          <w:rFonts w:cstheme="minorHAnsi"/>
        </w:rPr>
        <w:t xml:space="preserve">per cent of services meet or exceed the </w:t>
      </w:r>
      <w:r w:rsidR="007E6794">
        <w:rPr>
          <w:rFonts w:cstheme="minorHAnsi"/>
        </w:rPr>
        <w:t>National Quality S</w:t>
      </w:r>
      <w:r w:rsidRPr="00E60ABF">
        <w:rPr>
          <w:rFonts w:cstheme="minorHAnsi"/>
        </w:rPr>
        <w:t>tandard</w:t>
      </w:r>
      <w:r w:rsidRPr="00E60ABF">
        <w:rPr>
          <w:rStyle w:val="FootnoteReference"/>
          <w:rFonts w:cstheme="minorHAnsi"/>
        </w:rPr>
        <w:footnoteReference w:id="10"/>
      </w:r>
      <w:r w:rsidRPr="00E60ABF">
        <w:rPr>
          <w:rFonts w:cstheme="minorHAnsi"/>
        </w:rPr>
        <w:t>.</w:t>
      </w:r>
    </w:p>
    <w:p w14:paraId="1169CDBE" w14:textId="77777777" w:rsidR="00A82532" w:rsidRPr="00E60ABF" w:rsidRDefault="00A82532" w:rsidP="00A82532">
      <w:pPr>
        <w:spacing w:after="0" w:line="276" w:lineRule="auto"/>
        <w:contextualSpacing/>
        <w:rPr>
          <w:rFonts w:cstheme="minorHAnsi"/>
          <w:b/>
          <w:bCs/>
        </w:rPr>
      </w:pPr>
    </w:p>
    <w:p w14:paraId="2306B1DD" w14:textId="6E0B41DA" w:rsidR="00A82532" w:rsidRPr="00E60ABF" w:rsidRDefault="00AF6C07" w:rsidP="00A82532">
      <w:pPr>
        <w:rPr>
          <w:i/>
          <w:iCs/>
        </w:rPr>
      </w:pPr>
      <w:r>
        <w:rPr>
          <w:i/>
          <w:iCs/>
        </w:rPr>
        <w:t xml:space="preserve">Determining a service’s </w:t>
      </w:r>
      <w:r w:rsidR="00E373CF">
        <w:rPr>
          <w:i/>
          <w:iCs/>
        </w:rPr>
        <w:t xml:space="preserve">quality </w:t>
      </w:r>
      <w:r>
        <w:rPr>
          <w:i/>
          <w:iCs/>
        </w:rPr>
        <w:t>rating</w:t>
      </w:r>
    </w:p>
    <w:p w14:paraId="52E23BD5" w14:textId="229D5815" w:rsidR="00A82532" w:rsidRPr="00E60ABF" w:rsidRDefault="00A82532" w:rsidP="00A82532">
      <w:r w:rsidRPr="00E60ABF">
        <w:t xml:space="preserve">The </w:t>
      </w:r>
      <w:r w:rsidR="005F3BBE">
        <w:t xml:space="preserve">quality </w:t>
      </w:r>
      <w:r w:rsidRPr="00E60ABF">
        <w:t xml:space="preserve">rating for a service is determined by the relevant </w:t>
      </w:r>
      <w:r w:rsidR="00A00888">
        <w:t>state</w:t>
      </w:r>
      <w:r w:rsidR="008D3E0D">
        <w:t xml:space="preserve"> and territory </w:t>
      </w:r>
      <w:r w:rsidRPr="00E60ABF">
        <w:t xml:space="preserve">regulatory authority. Each service is assessed against </w:t>
      </w:r>
      <w:r w:rsidR="00564FBD">
        <w:t>the 4</w:t>
      </w:r>
      <w:r w:rsidR="00C11EF1">
        <w:t>0</w:t>
      </w:r>
      <w:r w:rsidR="00564FBD">
        <w:t xml:space="preserve"> </w:t>
      </w:r>
      <w:r w:rsidR="008D3E0D">
        <w:t xml:space="preserve">quality </w:t>
      </w:r>
      <w:r w:rsidRPr="00E60ABF">
        <w:t>element</w:t>
      </w:r>
      <w:r w:rsidR="00564FBD">
        <w:t>s</w:t>
      </w:r>
      <w:r w:rsidRPr="00E60ABF">
        <w:t xml:space="preserve"> of the NQS as either ‘met’ or ‘not met’.</w:t>
      </w:r>
    </w:p>
    <w:p w14:paraId="4C1E3E55" w14:textId="59393E49" w:rsidR="00A82532" w:rsidRPr="00E60ABF" w:rsidRDefault="00A82532" w:rsidP="00A82532">
      <w:r w:rsidRPr="00E60ABF">
        <w:t xml:space="preserve">After assessing each element, the regulatory authority then rates each standard and quality area. The overall rating is determined based on these results. If any element is </w:t>
      </w:r>
      <w:r w:rsidR="007E6794">
        <w:t>‘</w:t>
      </w:r>
      <w:r w:rsidRPr="00E60ABF">
        <w:t>not met’, the rating for that standard will be ‘Working Towards NQS’</w:t>
      </w:r>
      <w:r w:rsidR="00FA15D1">
        <w:t>, as will the overall quality rating</w:t>
      </w:r>
      <w:r w:rsidRPr="00E60ABF">
        <w:t xml:space="preserve">. </w:t>
      </w:r>
    </w:p>
    <w:p w14:paraId="3F4A288F" w14:textId="076602AA" w:rsidR="00A82532" w:rsidRPr="00E60ABF" w:rsidRDefault="00A82532" w:rsidP="00A82532">
      <w:r w:rsidRPr="00E60ABF">
        <w:t>If all elements are ‘met’, the service will be rated either ‘Meeting NQS’ or ‘Exceeding NQS’. To be rated ‘Exceeding NQS’</w:t>
      </w:r>
      <w:r w:rsidR="00E87E82">
        <w:t xml:space="preserve"> in a Standard</w:t>
      </w:r>
      <w:r w:rsidRPr="00E60ABF">
        <w:t xml:space="preserve">, the following three themes must </w:t>
      </w:r>
      <w:r w:rsidR="007E6794">
        <w:t xml:space="preserve">also </w:t>
      </w:r>
      <w:r w:rsidRPr="00E60ABF">
        <w:t>be demonstrated:</w:t>
      </w:r>
    </w:p>
    <w:p w14:paraId="1B02BC16" w14:textId="77777777" w:rsidR="00A82532" w:rsidRPr="00E60ABF" w:rsidRDefault="00A82532" w:rsidP="00A82532">
      <w:pPr>
        <w:pStyle w:val="ListParagraph"/>
        <w:numPr>
          <w:ilvl w:val="0"/>
          <w:numId w:val="7"/>
        </w:numPr>
      </w:pPr>
      <w:r w:rsidRPr="00E60ABF">
        <w:t>Practice is embedded in service operations</w:t>
      </w:r>
    </w:p>
    <w:p w14:paraId="52F64C11" w14:textId="77777777" w:rsidR="00A82532" w:rsidRPr="00E60ABF" w:rsidRDefault="00A82532" w:rsidP="00A82532">
      <w:pPr>
        <w:pStyle w:val="ListParagraph"/>
        <w:numPr>
          <w:ilvl w:val="0"/>
          <w:numId w:val="7"/>
        </w:numPr>
      </w:pPr>
      <w:r w:rsidRPr="00E60ABF">
        <w:t>Practice is informed by critical reflection</w:t>
      </w:r>
    </w:p>
    <w:p w14:paraId="4DD10B3B" w14:textId="77777777" w:rsidR="00A82532" w:rsidRPr="00E60ABF" w:rsidRDefault="00A82532" w:rsidP="00A82532">
      <w:pPr>
        <w:pStyle w:val="ListParagraph"/>
        <w:numPr>
          <w:ilvl w:val="0"/>
          <w:numId w:val="7"/>
        </w:numPr>
      </w:pPr>
      <w:r w:rsidRPr="00E60ABF">
        <w:t>Practice is shaped by meaningful engagement with families and/or the community</w:t>
      </w:r>
    </w:p>
    <w:p w14:paraId="4E3CF691" w14:textId="2CCEB0C0" w:rsidR="00A82532" w:rsidRPr="00E60ABF" w:rsidRDefault="00A82532" w:rsidP="00A82532">
      <w:r w:rsidRPr="00E60ABF">
        <w:t xml:space="preserve">A service rated ‘Exceeding NQS’ in all quality areas is eligible to apply to ACECQA for the highest (‘Excellent’) </w:t>
      </w:r>
      <w:r w:rsidR="00CF04D9">
        <w:t xml:space="preserve">quality </w:t>
      </w:r>
      <w:r w:rsidRPr="00E60ABF">
        <w:t>rating</w:t>
      </w:r>
      <w:r w:rsidR="00CF04D9">
        <w:t xml:space="preserve"> level</w:t>
      </w:r>
      <w:r w:rsidRPr="00E60ABF">
        <w:t xml:space="preserve">. </w:t>
      </w:r>
    </w:p>
    <w:p w14:paraId="5CEA0BD4" w14:textId="77777777" w:rsidR="00F05032" w:rsidRPr="00E60ABF" w:rsidRDefault="00F05032" w:rsidP="00F05032">
      <w:r>
        <w:t>A</w:t>
      </w:r>
      <w:r w:rsidRPr="00E60ABF">
        <w:t xml:space="preserve"> service rated ‘Working Towards NQS’ may attract this rating due to a single element being graded as ‘not met’, despite there being no evidence of there being a</w:t>
      </w:r>
      <w:r>
        <w:t xml:space="preserve"> concern regarding</w:t>
      </w:r>
      <w:r w:rsidRPr="00E60ABF">
        <w:t xml:space="preserve"> the safety, health and wellbeing of children. </w:t>
      </w:r>
    </w:p>
    <w:p w14:paraId="13CBEE9F" w14:textId="7D2914BF" w:rsidR="00A82532" w:rsidRPr="00E60ABF" w:rsidRDefault="00A82532" w:rsidP="00A82532">
      <w:r w:rsidRPr="00E60ABF">
        <w:t>Where there is a significant risk to the safety, health and wellbeing of any child, a quality area will be rated ‘Significant Improvement Required’. If this occurs for one or more quality areas, the overall rating is ‘Significant Improvement Required’.</w:t>
      </w:r>
      <w:r w:rsidR="000479F6">
        <w:t xml:space="preserve"> Compliance action may be taken in parallel to the assessment and rating process</w:t>
      </w:r>
      <w:r w:rsidR="00C51F8C">
        <w:t>,</w:t>
      </w:r>
      <w:r w:rsidR="000479F6">
        <w:t xml:space="preserve"> and a regulatory authority may engage in monitoring activities </w:t>
      </w:r>
      <w:r w:rsidR="008C6623">
        <w:t xml:space="preserve">to </w:t>
      </w:r>
      <w:r w:rsidR="00657131">
        <w:t xml:space="preserve">check the service is meeting minimum requirements to ensure </w:t>
      </w:r>
      <w:r w:rsidR="00365C98">
        <w:t xml:space="preserve">the </w:t>
      </w:r>
      <w:r w:rsidR="0085479A">
        <w:t xml:space="preserve">health, safety and wellbeing of children and the service’s ongoing compliance. </w:t>
      </w:r>
    </w:p>
    <w:p w14:paraId="112FE834" w14:textId="77777777" w:rsidR="00A82532" w:rsidRPr="00E60ABF" w:rsidRDefault="00A82532" w:rsidP="00A82532">
      <w:pPr>
        <w:rPr>
          <w:i/>
          <w:iCs/>
        </w:rPr>
      </w:pPr>
      <w:r w:rsidRPr="00E60ABF">
        <w:rPr>
          <w:i/>
          <w:iCs/>
        </w:rPr>
        <w:t>Appeals</w:t>
      </w:r>
    </w:p>
    <w:p w14:paraId="75EBCDA2" w14:textId="31C91A1E" w:rsidR="00A82532" w:rsidRPr="00E60ABF" w:rsidRDefault="00A82532" w:rsidP="00A82532">
      <w:r w:rsidRPr="00E60ABF">
        <w:t>An approved provider may appeal a ratings decision by requesting a review by the regulatory authority</w:t>
      </w:r>
      <w:r w:rsidRPr="00E60ABF">
        <w:rPr>
          <w:rStyle w:val="FootnoteReference"/>
        </w:rPr>
        <w:footnoteReference w:id="11"/>
      </w:r>
      <w:r w:rsidRPr="00E60ABF">
        <w:t xml:space="preserve">. Following </w:t>
      </w:r>
      <w:r w:rsidR="005B2017">
        <w:t>this</w:t>
      </w:r>
      <w:r w:rsidR="00B1496E">
        <w:t xml:space="preserve"> </w:t>
      </w:r>
      <w:r w:rsidRPr="00E60ABF">
        <w:t>review, an approved provider may seek a further review on certain grounds by application to ACECQA. ACECQA’s impartiality and independence from regulatory authorities bolsters the integrity of the appeals process.</w:t>
      </w:r>
    </w:p>
    <w:p w14:paraId="723CA946" w14:textId="77192086" w:rsidR="00A82532" w:rsidRPr="00E60ABF" w:rsidRDefault="00A82532" w:rsidP="00A82532">
      <w:pPr>
        <w:rPr>
          <w:i/>
          <w:iCs/>
        </w:rPr>
      </w:pPr>
      <w:r w:rsidRPr="00E60ABF">
        <w:rPr>
          <w:i/>
          <w:iCs/>
        </w:rPr>
        <w:t xml:space="preserve">Assessment and rating </w:t>
      </w:r>
      <w:r w:rsidR="003C7629">
        <w:rPr>
          <w:i/>
          <w:iCs/>
        </w:rPr>
        <w:t>is</w:t>
      </w:r>
      <w:r w:rsidR="003C7629" w:rsidRPr="00E60ABF">
        <w:rPr>
          <w:i/>
          <w:iCs/>
        </w:rPr>
        <w:t xml:space="preserve"> </w:t>
      </w:r>
      <w:r w:rsidRPr="00E60ABF">
        <w:rPr>
          <w:i/>
          <w:iCs/>
        </w:rPr>
        <w:t>one of many tools available to regulators</w:t>
      </w:r>
    </w:p>
    <w:p w14:paraId="1C36D226" w14:textId="0AFBBA8E" w:rsidR="00A82532" w:rsidRPr="00E60ABF" w:rsidRDefault="00A82532" w:rsidP="00A82532">
      <w:r w:rsidRPr="00E60ABF">
        <w:t>Regulatory authorities adopt a risk</w:t>
      </w:r>
      <w:r w:rsidR="001529A9">
        <w:t>-</w:t>
      </w:r>
      <w:r w:rsidRPr="00E60ABF">
        <w:t xml:space="preserve">based approach to regulation. The assessment and </w:t>
      </w:r>
      <w:r w:rsidR="0075360D">
        <w:t xml:space="preserve">quality </w:t>
      </w:r>
      <w:r w:rsidRPr="00E60ABF">
        <w:t>rating process is only one mechanism used by regulatory authorities to monitor and oversee practice within services. There are a range of other mechanisms by which regulators track performance within a service and become apprised of issues that require attention, including</w:t>
      </w:r>
      <w:r w:rsidR="001529A9">
        <w:t>,</w:t>
      </w:r>
      <w:r w:rsidRPr="00E60ABF">
        <w:t xml:space="preserve"> for example</w:t>
      </w:r>
      <w:r w:rsidR="001529A9">
        <w:t>,</w:t>
      </w:r>
      <w:r w:rsidRPr="00E60ABF">
        <w:t xml:space="preserve"> </w:t>
      </w:r>
      <w:r w:rsidR="001529A9">
        <w:lastRenderedPageBreak/>
        <w:t xml:space="preserve">undertaking investigations or monitoring activities to respond to </w:t>
      </w:r>
      <w:r w:rsidRPr="00E60ABF">
        <w:t>complaints</w:t>
      </w:r>
      <w:r w:rsidR="001529A9">
        <w:t xml:space="preserve"> or </w:t>
      </w:r>
      <w:r w:rsidR="001D227E">
        <w:t xml:space="preserve">notifications of </w:t>
      </w:r>
      <w:r w:rsidR="009A5EC9">
        <w:t>incidents and changes to the service</w:t>
      </w:r>
      <w:r w:rsidRPr="00E60ABF">
        <w:t>.</w:t>
      </w:r>
      <w:r w:rsidR="00C32008">
        <w:t xml:space="preserve"> </w:t>
      </w:r>
    </w:p>
    <w:p w14:paraId="7E28CF0C" w14:textId="06CBCBE7" w:rsidR="00A82532" w:rsidRPr="00E60ABF" w:rsidRDefault="00A82532" w:rsidP="00A82532">
      <w:r w:rsidRPr="00E60ABF">
        <w:t xml:space="preserve">Importantly, regulators work with </w:t>
      </w:r>
      <w:r w:rsidR="00A14206">
        <w:t xml:space="preserve">approved </w:t>
      </w:r>
      <w:r w:rsidR="007A3156">
        <w:t xml:space="preserve">providers and their </w:t>
      </w:r>
      <w:r w:rsidRPr="00E60ABF">
        <w:t xml:space="preserve">services to help them on their journey of continuous </w:t>
      </w:r>
      <w:r w:rsidR="00C7608E">
        <w:t xml:space="preserve">quality </w:t>
      </w:r>
      <w:r w:rsidRPr="00E60ABF">
        <w:t>improvement and to support them to work towards achieving best practice</w:t>
      </w:r>
      <w:r w:rsidR="001529A9">
        <w:t xml:space="preserve"> for children</w:t>
      </w:r>
      <w:r w:rsidRPr="00E60ABF">
        <w:t>. ACECQA supports the sector by collaborating with</w:t>
      </w:r>
      <w:r w:rsidR="00F569DF">
        <w:t xml:space="preserve"> regulators</w:t>
      </w:r>
      <w:r w:rsidRPr="00E60ABF">
        <w:t xml:space="preserve"> to </w:t>
      </w:r>
      <w:r w:rsidR="00F84274">
        <w:t xml:space="preserve">develop and </w:t>
      </w:r>
      <w:r w:rsidRPr="00E60ABF">
        <w:t xml:space="preserve">provide a large body of resources to facilitate a greater understanding of the requirements </w:t>
      </w:r>
      <w:r w:rsidR="001529A9">
        <w:t xml:space="preserve">of the NQF, </w:t>
      </w:r>
      <w:r w:rsidRPr="00E60ABF">
        <w:t xml:space="preserve">as well as best practice guidance. </w:t>
      </w:r>
    </w:p>
    <w:p w14:paraId="7E9BF7FE" w14:textId="05BDB07C" w:rsidR="00A82532" w:rsidRPr="00E60ABF" w:rsidRDefault="00A82532" w:rsidP="00A82532">
      <w:r w:rsidRPr="00E60ABF">
        <w:t xml:space="preserve">A range of </w:t>
      </w:r>
      <w:r w:rsidR="00347941">
        <w:t xml:space="preserve">regulatory </w:t>
      </w:r>
      <w:r w:rsidRPr="00E60ABF">
        <w:t xml:space="preserve">tools </w:t>
      </w:r>
      <w:r w:rsidR="00A50CEF">
        <w:t xml:space="preserve">is </w:t>
      </w:r>
      <w:r w:rsidRPr="00E60ABF">
        <w:t xml:space="preserve">available </w:t>
      </w:r>
      <w:r w:rsidR="001529A9">
        <w:t xml:space="preserve">for </w:t>
      </w:r>
      <w:r w:rsidRPr="00E60ABF">
        <w:t>regulators to</w:t>
      </w:r>
      <w:r w:rsidR="001529A9">
        <w:t xml:space="preserve"> support improvements to quality and to</w:t>
      </w:r>
      <w:r w:rsidRPr="00E60ABF">
        <w:t xml:space="preserve"> respond to non-compliance, including</w:t>
      </w:r>
      <w:r w:rsidR="001529A9">
        <w:t>,</w:t>
      </w:r>
      <w:r w:rsidRPr="00E60ABF">
        <w:t xml:space="preserve"> for example</w:t>
      </w:r>
      <w:r w:rsidR="001529A9">
        <w:t>,</w:t>
      </w:r>
      <w:r w:rsidRPr="00E60ABF">
        <w:t xml:space="preserve"> compliance tools (such as emergency action notices and compliance directions), enforceable undertakings (including prohibition notices, prosecutions, and directions to exclude inappropriate persons from service premises), applying conditions to service approvals, suspensions of educators and services, cancellations of service approval, and cancellation of provider approval. The response by the regulator depends on the severity of the problem that has been identified</w:t>
      </w:r>
      <w:r w:rsidR="00A87CA4">
        <w:t>,</w:t>
      </w:r>
      <w:r w:rsidR="00443E43">
        <w:t xml:space="preserve"> </w:t>
      </w:r>
      <w:r w:rsidR="001529A9">
        <w:t xml:space="preserve">the risk to children, and any remedial actions </w:t>
      </w:r>
      <w:r w:rsidR="00443E43">
        <w:t>taken by the approved provider</w:t>
      </w:r>
      <w:r w:rsidR="001529A9">
        <w:t>.</w:t>
      </w:r>
    </w:p>
    <w:p w14:paraId="4A1BB2BB" w14:textId="3775978D" w:rsidR="00622CA7" w:rsidRPr="00E60ABF" w:rsidRDefault="00F9339E" w:rsidP="005855A7">
      <w:pPr>
        <w:pStyle w:val="Heading2"/>
      </w:pPr>
      <w:r w:rsidRPr="00E60ABF">
        <w:t xml:space="preserve">A highly skilled </w:t>
      </w:r>
      <w:r w:rsidR="00CA407E" w:rsidRPr="00E60ABF">
        <w:t>w</w:t>
      </w:r>
      <w:r w:rsidR="00F675ED" w:rsidRPr="00E60ABF">
        <w:t xml:space="preserve">orkforce </w:t>
      </w:r>
      <w:r w:rsidR="006F3C0B" w:rsidRPr="00E60ABF">
        <w:t>underpins quality</w:t>
      </w:r>
    </w:p>
    <w:p w14:paraId="035A6493" w14:textId="70DF2D91" w:rsidR="00633FDC" w:rsidRDefault="000B7E13" w:rsidP="00633FDC">
      <w:pPr>
        <w:spacing w:after="0" w:line="276" w:lineRule="auto"/>
        <w:contextualSpacing/>
      </w:pPr>
      <w:r w:rsidRPr="00E60ABF">
        <w:rPr>
          <w:rFonts w:cstheme="minorHAnsi"/>
        </w:rPr>
        <w:t>O</w:t>
      </w:r>
      <w:r w:rsidR="00633FDC" w:rsidRPr="00E60ABF">
        <w:rPr>
          <w:rFonts w:cstheme="minorHAnsi"/>
        </w:rPr>
        <w:t xml:space="preserve">n behalf of all governments, </w:t>
      </w:r>
      <w:r w:rsidRPr="00E60ABF">
        <w:rPr>
          <w:rFonts w:cstheme="minorHAnsi"/>
        </w:rPr>
        <w:t xml:space="preserve">ACECQA </w:t>
      </w:r>
      <w:r w:rsidR="00D36AE0">
        <w:rPr>
          <w:rFonts w:cstheme="minorHAnsi"/>
        </w:rPr>
        <w:t>coordinated</w:t>
      </w:r>
      <w:r w:rsidR="00633FDC" w:rsidRPr="00E60ABF">
        <w:rPr>
          <w:rFonts w:cstheme="minorHAnsi"/>
        </w:rPr>
        <w:t xml:space="preserve"> the development of </w:t>
      </w:r>
      <w:hyperlink r:id="rId12" w:history="1">
        <w:r w:rsidR="00633FDC" w:rsidRPr="00E60ABF">
          <w:rPr>
            <w:rStyle w:val="Hyperlink"/>
            <w:rFonts w:cstheme="minorHAnsi"/>
          </w:rPr>
          <w:t>Shaping our Future</w:t>
        </w:r>
      </w:hyperlink>
      <w:r w:rsidR="00633FDC" w:rsidRPr="00E60ABF">
        <w:rPr>
          <w:rFonts w:cstheme="minorHAnsi"/>
        </w:rPr>
        <w:t xml:space="preserve">, the </w:t>
      </w:r>
      <w:r w:rsidR="002D5D48">
        <w:rPr>
          <w:rFonts w:cstheme="minorHAnsi"/>
        </w:rPr>
        <w:t>ten-year (2022-</w:t>
      </w:r>
      <w:r w:rsidR="00AD7DF5">
        <w:rPr>
          <w:rFonts w:cstheme="minorHAnsi"/>
        </w:rPr>
        <w:t>20</w:t>
      </w:r>
      <w:r w:rsidR="002D5D48">
        <w:rPr>
          <w:rFonts w:cstheme="minorHAnsi"/>
        </w:rPr>
        <w:t xml:space="preserve">31) </w:t>
      </w:r>
      <w:r w:rsidR="00633FDC" w:rsidRPr="00E60ABF">
        <w:rPr>
          <w:rFonts w:cstheme="minorHAnsi"/>
        </w:rPr>
        <w:t xml:space="preserve">national </w:t>
      </w:r>
      <w:r w:rsidR="008A641B">
        <w:rPr>
          <w:rFonts w:cstheme="minorHAnsi"/>
        </w:rPr>
        <w:t xml:space="preserve">children’s education and care </w:t>
      </w:r>
      <w:r w:rsidR="00633FDC" w:rsidRPr="00E60ABF">
        <w:rPr>
          <w:rFonts w:cstheme="minorHAnsi"/>
        </w:rPr>
        <w:t>workforce strategy</w:t>
      </w:r>
      <w:r w:rsidR="00E20656">
        <w:rPr>
          <w:rFonts w:cstheme="minorHAnsi"/>
        </w:rPr>
        <w:t>,</w:t>
      </w:r>
      <w:r w:rsidR="00633FDC" w:rsidRPr="00E60ABF">
        <w:rPr>
          <w:rFonts w:cstheme="minorHAnsi"/>
        </w:rPr>
        <w:t xml:space="preserve"> which </w:t>
      </w:r>
      <w:r w:rsidR="00A31B44">
        <w:rPr>
          <w:rFonts w:cstheme="minorHAnsi"/>
        </w:rPr>
        <w:t xml:space="preserve">was co-designed with the </w:t>
      </w:r>
      <w:r w:rsidR="00250266">
        <w:rPr>
          <w:rFonts w:cstheme="minorHAnsi"/>
        </w:rPr>
        <w:t>education and care</w:t>
      </w:r>
      <w:r w:rsidR="00E20656">
        <w:rPr>
          <w:rFonts w:cstheme="minorHAnsi"/>
        </w:rPr>
        <w:t xml:space="preserve"> sector, and </w:t>
      </w:r>
      <w:r w:rsidR="00633FDC" w:rsidRPr="00E60ABF">
        <w:rPr>
          <w:rFonts w:cstheme="minorHAnsi"/>
        </w:rPr>
        <w:t xml:space="preserve">responds to persistent workforce concerns around </w:t>
      </w:r>
      <w:r w:rsidR="006A552A" w:rsidRPr="00E60ABF">
        <w:rPr>
          <w:rFonts w:cstheme="minorHAnsi"/>
        </w:rPr>
        <w:t xml:space="preserve">the recruitment and retention of </w:t>
      </w:r>
      <w:r w:rsidR="00633FDC" w:rsidRPr="00E60ABF">
        <w:rPr>
          <w:rFonts w:cstheme="minorHAnsi"/>
        </w:rPr>
        <w:t xml:space="preserve">high quality </w:t>
      </w:r>
      <w:r w:rsidR="00633FDC" w:rsidRPr="00E46591">
        <w:t xml:space="preserve">educators and teachers. </w:t>
      </w:r>
    </w:p>
    <w:p w14:paraId="0D3157DD" w14:textId="6EDB608F" w:rsidR="00C03868" w:rsidRDefault="00C03868" w:rsidP="00633FDC">
      <w:pPr>
        <w:spacing w:after="0" w:line="276" w:lineRule="auto"/>
        <w:contextualSpacing/>
      </w:pPr>
    </w:p>
    <w:p w14:paraId="71144F7F" w14:textId="1BF010DB" w:rsidR="00C03868" w:rsidRDefault="00C03868" w:rsidP="00633FDC">
      <w:pPr>
        <w:spacing w:after="0" w:line="276" w:lineRule="auto"/>
        <w:contextualSpacing/>
      </w:pPr>
      <w:r>
        <w:t>The strategy includes 21 nationally agreed actions to be delivered over the short (by the end of 2024), medium (by the end of 2027) or long term (by the end of 2031)</w:t>
      </w:r>
      <w:r w:rsidR="007635EB">
        <w:t xml:space="preserve">, </w:t>
      </w:r>
      <w:r w:rsidR="00904621">
        <w:t>grouped by six inter-related focus areas:</w:t>
      </w:r>
    </w:p>
    <w:p w14:paraId="63C3637E" w14:textId="7A84DBC9" w:rsidR="00904621" w:rsidRDefault="00D252EE" w:rsidP="00904621">
      <w:pPr>
        <w:pStyle w:val="ListParagraph"/>
        <w:numPr>
          <w:ilvl w:val="0"/>
          <w:numId w:val="14"/>
        </w:numPr>
        <w:spacing w:after="0" w:line="276" w:lineRule="auto"/>
      </w:pPr>
      <w:r>
        <w:t>Professional recognition</w:t>
      </w:r>
    </w:p>
    <w:p w14:paraId="55F0B56A" w14:textId="17E8D354" w:rsidR="00D252EE" w:rsidRDefault="00D252EE" w:rsidP="00904621">
      <w:pPr>
        <w:pStyle w:val="ListParagraph"/>
        <w:numPr>
          <w:ilvl w:val="0"/>
          <w:numId w:val="14"/>
        </w:numPr>
        <w:spacing w:after="0" w:line="276" w:lineRule="auto"/>
      </w:pPr>
      <w:r>
        <w:t>Attraction and retention</w:t>
      </w:r>
    </w:p>
    <w:p w14:paraId="59FFEDEB" w14:textId="3DFD924B" w:rsidR="00D252EE" w:rsidRDefault="00D252EE" w:rsidP="00904621">
      <w:pPr>
        <w:pStyle w:val="ListParagraph"/>
        <w:numPr>
          <w:ilvl w:val="0"/>
          <w:numId w:val="14"/>
        </w:numPr>
        <w:spacing w:after="0" w:line="276" w:lineRule="auto"/>
      </w:pPr>
      <w:r>
        <w:t>Leadership and capability</w:t>
      </w:r>
    </w:p>
    <w:p w14:paraId="43E22F9F" w14:textId="429F79D8" w:rsidR="00D252EE" w:rsidRDefault="00D252EE" w:rsidP="00904621">
      <w:pPr>
        <w:pStyle w:val="ListParagraph"/>
        <w:numPr>
          <w:ilvl w:val="0"/>
          <w:numId w:val="14"/>
        </w:numPr>
        <w:spacing w:after="0" w:line="276" w:lineRule="auto"/>
      </w:pPr>
      <w:r>
        <w:t>Wellbeing</w:t>
      </w:r>
    </w:p>
    <w:p w14:paraId="7B122B0F" w14:textId="42C2973F" w:rsidR="00D252EE" w:rsidRDefault="00D252EE" w:rsidP="00904621">
      <w:pPr>
        <w:pStyle w:val="ListParagraph"/>
        <w:numPr>
          <w:ilvl w:val="0"/>
          <w:numId w:val="14"/>
        </w:numPr>
        <w:spacing w:after="0" w:line="276" w:lineRule="auto"/>
      </w:pPr>
      <w:r>
        <w:t>Qualifications and career pathways</w:t>
      </w:r>
    </w:p>
    <w:p w14:paraId="3E3133B7" w14:textId="2AD701F4" w:rsidR="00D252EE" w:rsidRPr="00E46591" w:rsidRDefault="00D252EE" w:rsidP="001C4871">
      <w:pPr>
        <w:pStyle w:val="ListParagraph"/>
        <w:numPr>
          <w:ilvl w:val="0"/>
          <w:numId w:val="14"/>
        </w:numPr>
        <w:spacing w:after="0" w:line="276" w:lineRule="auto"/>
      </w:pPr>
      <w:r>
        <w:t>Data and evidence</w:t>
      </w:r>
      <w:r w:rsidR="00106868">
        <w:t>.</w:t>
      </w:r>
    </w:p>
    <w:p w14:paraId="77840918" w14:textId="77777777" w:rsidR="00633FDC" w:rsidRPr="00E60ABF" w:rsidRDefault="00633FDC" w:rsidP="00633FDC">
      <w:pPr>
        <w:spacing w:after="0" w:line="276" w:lineRule="auto"/>
        <w:contextualSpacing/>
        <w:rPr>
          <w:rFonts w:cstheme="minorHAnsi"/>
        </w:rPr>
      </w:pPr>
    </w:p>
    <w:p w14:paraId="34FB8727" w14:textId="6C316BB8" w:rsidR="00106868" w:rsidRDefault="00106868" w:rsidP="009648A9">
      <w:pPr>
        <w:spacing w:after="0" w:line="276" w:lineRule="auto"/>
        <w:contextualSpacing/>
        <w:rPr>
          <w:rFonts w:cstheme="minorHAnsi"/>
        </w:rPr>
      </w:pPr>
      <w:r>
        <w:rPr>
          <w:rFonts w:cstheme="minorHAnsi"/>
        </w:rPr>
        <w:t xml:space="preserve">The strategy is complemented by an implementation and evaluation plan, a summary of </w:t>
      </w:r>
      <w:r w:rsidR="00560ABF">
        <w:rPr>
          <w:rFonts w:cstheme="minorHAnsi"/>
        </w:rPr>
        <w:t>workforce related initiatives from across the country, and an online workforce snapshot, all publicly available on A</w:t>
      </w:r>
      <w:r w:rsidR="00272EF2">
        <w:rPr>
          <w:rFonts w:cstheme="minorHAnsi"/>
        </w:rPr>
        <w:t>CECQA’s website.</w:t>
      </w:r>
    </w:p>
    <w:p w14:paraId="635D67E9" w14:textId="77777777" w:rsidR="00106868" w:rsidRDefault="00106868" w:rsidP="009648A9">
      <w:pPr>
        <w:spacing w:after="0" w:line="276" w:lineRule="auto"/>
        <w:contextualSpacing/>
        <w:rPr>
          <w:rFonts w:cstheme="minorHAnsi"/>
        </w:rPr>
      </w:pPr>
    </w:p>
    <w:p w14:paraId="00CD3837" w14:textId="11ED9AEE" w:rsidR="009648A9" w:rsidRPr="00E60ABF" w:rsidRDefault="009648A9" w:rsidP="009648A9">
      <w:pPr>
        <w:spacing w:after="0" w:line="276" w:lineRule="auto"/>
        <w:contextualSpacing/>
        <w:rPr>
          <w:rFonts w:cstheme="minorHAnsi"/>
        </w:rPr>
      </w:pPr>
      <w:r w:rsidRPr="00E60ABF">
        <w:rPr>
          <w:rFonts w:cstheme="minorHAnsi"/>
        </w:rPr>
        <w:t xml:space="preserve">Higher educator qualifications are strongly associated with improved child outcomes, as </w:t>
      </w:r>
      <w:r w:rsidR="00E142E2">
        <w:rPr>
          <w:rFonts w:cstheme="minorHAnsi"/>
        </w:rPr>
        <w:t xml:space="preserve">appropriately </w:t>
      </w:r>
      <w:r w:rsidR="000A1301">
        <w:rPr>
          <w:rFonts w:cstheme="minorHAnsi"/>
        </w:rPr>
        <w:t>qualif</w:t>
      </w:r>
      <w:r w:rsidR="00E142E2">
        <w:rPr>
          <w:rFonts w:cstheme="minorHAnsi"/>
        </w:rPr>
        <w:t xml:space="preserve">ied </w:t>
      </w:r>
      <w:r w:rsidRPr="00E60ABF">
        <w:rPr>
          <w:rFonts w:cstheme="minorHAnsi"/>
        </w:rPr>
        <w:t>educators are better able to involve children, stimulate positive interactions, and use a range of strategies to extend and support their learning. In addition, there is growing evidence linking structural mechanisms in staff workforce development and working conditions to higher quality and more consistent staff-child interactions, as well as to overall gains in child development, learning and well-being</w:t>
      </w:r>
      <w:r w:rsidRPr="00E60ABF">
        <w:rPr>
          <w:rStyle w:val="FootnoteReference"/>
          <w:rFonts w:cstheme="minorHAnsi"/>
        </w:rPr>
        <w:footnoteReference w:id="12"/>
      </w:r>
      <w:r w:rsidRPr="00E60ABF">
        <w:rPr>
          <w:rFonts w:cstheme="minorHAnsi"/>
        </w:rPr>
        <w:t>.</w:t>
      </w:r>
    </w:p>
    <w:p w14:paraId="5A327712" w14:textId="5BF24928" w:rsidR="004E49C3" w:rsidRPr="00E60ABF" w:rsidRDefault="004E49C3" w:rsidP="004E49C3">
      <w:pPr>
        <w:spacing w:after="0" w:line="276" w:lineRule="auto"/>
        <w:contextualSpacing/>
        <w:rPr>
          <w:rFonts w:cstheme="minorHAnsi"/>
        </w:rPr>
      </w:pPr>
    </w:p>
    <w:p w14:paraId="2AEBCD2C" w14:textId="5A3321CE" w:rsidR="004454A5" w:rsidRPr="00E60ABF" w:rsidRDefault="0078344B" w:rsidP="00F9339E">
      <w:pPr>
        <w:spacing w:after="0" w:line="276" w:lineRule="auto"/>
        <w:contextualSpacing/>
        <w:rPr>
          <w:rFonts w:cstheme="minorHAnsi"/>
        </w:rPr>
      </w:pPr>
      <w:r w:rsidRPr="00BC48C5">
        <w:rPr>
          <w:rFonts w:cstheme="minorHAnsi"/>
        </w:rPr>
        <w:t xml:space="preserve">A fundamental feature of the NQF was the introduction of mandatory minimum qualifications for educators and early childhood teachers to build a highly skilled workforce, ensuring educators are equipped to facilitate children’s learning and development. </w:t>
      </w:r>
      <w:r w:rsidR="004E49C3" w:rsidRPr="00E60ABF">
        <w:rPr>
          <w:rFonts w:cstheme="minorHAnsi"/>
        </w:rPr>
        <w:t xml:space="preserve">Since its introduction </w:t>
      </w:r>
      <w:r w:rsidR="00124A7D" w:rsidRPr="00E60ABF">
        <w:rPr>
          <w:rFonts w:cstheme="minorHAnsi"/>
        </w:rPr>
        <w:t>in</w:t>
      </w:r>
      <w:r w:rsidR="004E49C3" w:rsidRPr="00E60ABF">
        <w:rPr>
          <w:rFonts w:cstheme="minorHAnsi"/>
        </w:rPr>
        <w:t xml:space="preserve"> January 2012, the NQF has progressively introduced higher qualification requirements, most notably improved educator to child ratios, a requirement to employ an early childhood teacher in all relevant services, and a requirement for at least half of educators included in relevant ratios to hold, or be actively working towards, an approved diploma level (or higher) qualification. </w:t>
      </w:r>
    </w:p>
    <w:p w14:paraId="278B82DD" w14:textId="77777777" w:rsidR="004454A5" w:rsidRPr="00E60ABF" w:rsidRDefault="004454A5" w:rsidP="00F9339E">
      <w:pPr>
        <w:spacing w:after="0" w:line="276" w:lineRule="auto"/>
        <w:contextualSpacing/>
        <w:rPr>
          <w:rFonts w:cstheme="minorHAnsi"/>
        </w:rPr>
      </w:pPr>
    </w:p>
    <w:p w14:paraId="569A9F1A" w14:textId="280E3D32" w:rsidR="0078344B" w:rsidRPr="00BC48C5" w:rsidRDefault="003F48F9" w:rsidP="0078344B">
      <w:pPr>
        <w:spacing w:after="0" w:line="276" w:lineRule="auto"/>
        <w:contextualSpacing/>
        <w:rPr>
          <w:rFonts w:cstheme="minorHAnsi"/>
        </w:rPr>
      </w:pPr>
      <w:r w:rsidRPr="00E60ABF">
        <w:rPr>
          <w:rFonts w:cstheme="minorHAnsi"/>
        </w:rPr>
        <w:t xml:space="preserve">The important competencies for </w:t>
      </w:r>
      <w:r w:rsidR="00805148" w:rsidRPr="00E60ABF">
        <w:rPr>
          <w:rFonts w:cstheme="minorHAnsi"/>
        </w:rPr>
        <w:t xml:space="preserve">teachers and </w:t>
      </w:r>
      <w:r w:rsidR="00C455B7" w:rsidRPr="00E60ABF">
        <w:rPr>
          <w:rFonts w:cstheme="minorHAnsi"/>
        </w:rPr>
        <w:t xml:space="preserve">educators delivering quality programs are </w:t>
      </w:r>
      <w:r w:rsidR="00EF4EB2" w:rsidRPr="00E60ABF">
        <w:rPr>
          <w:rFonts w:cstheme="minorHAnsi"/>
        </w:rPr>
        <w:t xml:space="preserve">reflected in </w:t>
      </w:r>
      <w:r w:rsidR="00B871EC" w:rsidRPr="00E60ABF">
        <w:rPr>
          <w:rFonts w:cstheme="minorHAnsi"/>
        </w:rPr>
        <w:t xml:space="preserve">the </w:t>
      </w:r>
      <w:r w:rsidR="00633FDC" w:rsidRPr="00E60ABF">
        <w:rPr>
          <w:rFonts w:cstheme="minorHAnsi"/>
        </w:rPr>
        <w:t xml:space="preserve">two nationally </w:t>
      </w:r>
      <w:r w:rsidR="00B871EC" w:rsidRPr="00E60ABF">
        <w:rPr>
          <w:rFonts w:cstheme="minorHAnsi"/>
        </w:rPr>
        <w:t xml:space="preserve">approved learning frameworks which </w:t>
      </w:r>
      <w:r w:rsidR="002D0E1E">
        <w:rPr>
          <w:rFonts w:cstheme="minorHAnsi"/>
        </w:rPr>
        <w:t xml:space="preserve">as mentioned above, </w:t>
      </w:r>
      <w:r w:rsidR="00B871EC" w:rsidRPr="00E60ABF">
        <w:rPr>
          <w:rFonts w:cstheme="minorHAnsi"/>
        </w:rPr>
        <w:t xml:space="preserve">have recently been reviewed for </w:t>
      </w:r>
      <w:r w:rsidR="000D696B" w:rsidRPr="00E60ABF">
        <w:rPr>
          <w:rFonts w:cstheme="minorHAnsi"/>
        </w:rPr>
        <w:t>currency and contemporary application</w:t>
      </w:r>
      <w:r w:rsidR="00DF18CF" w:rsidRPr="00E60ABF">
        <w:rPr>
          <w:rFonts w:cstheme="minorHAnsi"/>
        </w:rPr>
        <w:t>.</w:t>
      </w:r>
      <w:r w:rsidR="0078344B" w:rsidRPr="0078344B">
        <w:rPr>
          <w:rFonts w:cstheme="minorHAnsi"/>
        </w:rPr>
        <w:t xml:space="preserve"> </w:t>
      </w:r>
      <w:r w:rsidR="0078344B" w:rsidRPr="00BC48C5">
        <w:rPr>
          <w:rFonts w:cstheme="minorHAnsi"/>
        </w:rPr>
        <w:t xml:space="preserve">Limited public understanding of the value </w:t>
      </w:r>
      <w:r w:rsidR="0078344B">
        <w:rPr>
          <w:rFonts w:cstheme="minorHAnsi"/>
        </w:rPr>
        <w:t xml:space="preserve">and professional role of qualified educators and teachers in the early years </w:t>
      </w:r>
      <w:r w:rsidR="0078344B" w:rsidRPr="00BC48C5">
        <w:rPr>
          <w:rFonts w:cstheme="minorHAnsi"/>
        </w:rPr>
        <w:t xml:space="preserve">has a negative impact, with educators and teachers in </w:t>
      </w:r>
      <w:r w:rsidR="004F19C3">
        <w:rPr>
          <w:rFonts w:cstheme="minorHAnsi"/>
        </w:rPr>
        <w:t xml:space="preserve">prior to school settings </w:t>
      </w:r>
      <w:r w:rsidR="0078344B" w:rsidRPr="00BC48C5">
        <w:rPr>
          <w:rFonts w:cstheme="minorHAnsi"/>
        </w:rPr>
        <w:t>often feeling undervalued and underappreciated for the essential service that they provide.</w:t>
      </w:r>
    </w:p>
    <w:p w14:paraId="54E74AC7" w14:textId="04D68789" w:rsidR="0078344B" w:rsidRDefault="0078344B" w:rsidP="00F9339E">
      <w:pPr>
        <w:spacing w:after="0" w:line="276" w:lineRule="auto"/>
        <w:contextualSpacing/>
        <w:rPr>
          <w:rFonts w:cstheme="minorHAnsi"/>
        </w:rPr>
      </w:pPr>
    </w:p>
    <w:p w14:paraId="590D896F" w14:textId="6C732E52" w:rsidR="0078344B" w:rsidRPr="00BC48C5" w:rsidRDefault="0078344B" w:rsidP="0078344B">
      <w:pPr>
        <w:spacing w:after="0" w:line="276" w:lineRule="auto"/>
        <w:contextualSpacing/>
        <w:rPr>
          <w:rFonts w:cstheme="minorHAnsi"/>
        </w:rPr>
      </w:pPr>
      <w:r w:rsidRPr="00BC48C5">
        <w:rPr>
          <w:rFonts w:cstheme="minorHAnsi"/>
        </w:rPr>
        <w:t xml:space="preserve">The current and persistent workforce concerns in the </w:t>
      </w:r>
      <w:r>
        <w:rPr>
          <w:rFonts w:cstheme="minorHAnsi"/>
        </w:rPr>
        <w:t xml:space="preserve">children’s </w:t>
      </w:r>
      <w:r w:rsidRPr="00BC48C5">
        <w:rPr>
          <w:rFonts w:cstheme="minorHAnsi"/>
        </w:rPr>
        <w:t xml:space="preserve">education and care sector reflect ongoing challenges around recruiting and retaining high quality educators and teachers, </w:t>
      </w:r>
      <w:r w:rsidR="008D7A87">
        <w:rPr>
          <w:rFonts w:cstheme="minorHAnsi"/>
        </w:rPr>
        <w:t xml:space="preserve">and this is </w:t>
      </w:r>
      <w:r w:rsidRPr="00BC48C5">
        <w:rPr>
          <w:rFonts w:cstheme="minorHAnsi"/>
        </w:rPr>
        <w:t xml:space="preserve">particularly </w:t>
      </w:r>
      <w:r w:rsidR="008D7A87">
        <w:rPr>
          <w:rFonts w:cstheme="minorHAnsi"/>
        </w:rPr>
        <w:t xml:space="preserve">problematic </w:t>
      </w:r>
      <w:r w:rsidRPr="00BC48C5">
        <w:rPr>
          <w:rFonts w:cstheme="minorHAnsi"/>
        </w:rPr>
        <w:t>in the context of a sector that is providing a service critical to supporting increased social and economic benefits for families. The impact of the COVID-19 pandemic has emphasised the critical importance of the sector and its workforce.</w:t>
      </w:r>
    </w:p>
    <w:p w14:paraId="1D85A4E4" w14:textId="77777777" w:rsidR="0078344B" w:rsidRDefault="0078344B" w:rsidP="00F9339E">
      <w:pPr>
        <w:spacing w:after="0" w:line="276" w:lineRule="auto"/>
        <w:contextualSpacing/>
        <w:rPr>
          <w:rFonts w:cstheme="minorHAnsi"/>
        </w:rPr>
      </w:pPr>
    </w:p>
    <w:p w14:paraId="13663796" w14:textId="3CE4062B" w:rsidR="00800119" w:rsidRDefault="007A4153" w:rsidP="00F9339E">
      <w:pPr>
        <w:spacing w:after="0" w:line="276" w:lineRule="auto"/>
        <w:contextualSpacing/>
        <w:rPr>
          <w:rFonts w:cstheme="minorHAnsi"/>
        </w:rPr>
      </w:pPr>
      <w:r w:rsidRPr="00E60ABF">
        <w:rPr>
          <w:rFonts w:cstheme="minorHAnsi"/>
        </w:rPr>
        <w:t xml:space="preserve">Jurisdictional initiatives to increase participation in </w:t>
      </w:r>
      <w:r w:rsidR="00090ABC">
        <w:rPr>
          <w:rFonts w:cstheme="minorHAnsi"/>
        </w:rPr>
        <w:t>prior to school setting</w:t>
      </w:r>
      <w:r w:rsidR="00090ABC" w:rsidRPr="00E60ABF">
        <w:rPr>
          <w:rFonts w:cstheme="minorHAnsi"/>
        </w:rPr>
        <w:t xml:space="preserve"> </w:t>
      </w:r>
      <w:r w:rsidRPr="00E60ABF">
        <w:rPr>
          <w:rFonts w:cstheme="minorHAnsi"/>
        </w:rPr>
        <w:t xml:space="preserve">education </w:t>
      </w:r>
      <w:r w:rsidR="0087323D" w:rsidRPr="00E60ABF">
        <w:rPr>
          <w:rFonts w:cstheme="minorHAnsi"/>
        </w:rPr>
        <w:t xml:space="preserve">and care </w:t>
      </w:r>
      <w:r w:rsidRPr="00E60ABF">
        <w:rPr>
          <w:rFonts w:cstheme="minorHAnsi"/>
        </w:rPr>
        <w:t xml:space="preserve">underway in many </w:t>
      </w:r>
      <w:r w:rsidR="00800119">
        <w:rPr>
          <w:rFonts w:cstheme="minorHAnsi"/>
        </w:rPr>
        <w:t>states and territories</w:t>
      </w:r>
      <w:r w:rsidR="00800119" w:rsidRPr="00E60ABF">
        <w:rPr>
          <w:rFonts w:cstheme="minorHAnsi"/>
        </w:rPr>
        <w:t xml:space="preserve"> </w:t>
      </w:r>
      <w:r w:rsidRPr="00E60ABF">
        <w:rPr>
          <w:rFonts w:cstheme="minorHAnsi"/>
        </w:rPr>
        <w:t>will increase demand for services and, subsequently, impact the demand for service providers and the children’s education and care workforce.</w:t>
      </w:r>
    </w:p>
    <w:p w14:paraId="7948C7B5" w14:textId="77777777" w:rsidR="00AF6C07" w:rsidRDefault="00AF6C07" w:rsidP="00F9339E">
      <w:pPr>
        <w:spacing w:after="0" w:line="276" w:lineRule="auto"/>
        <w:contextualSpacing/>
        <w:rPr>
          <w:rFonts w:cstheme="minorHAnsi"/>
        </w:rPr>
      </w:pPr>
    </w:p>
    <w:p w14:paraId="60A40BDC" w14:textId="6D1E938A" w:rsidR="0078344B" w:rsidRDefault="00AF6C07" w:rsidP="00AF6C07">
      <w:pPr>
        <w:spacing w:after="0" w:line="276" w:lineRule="auto"/>
        <w:rPr>
          <w:rFonts w:cstheme="minorHAnsi"/>
        </w:rPr>
      </w:pPr>
      <w:r>
        <w:t>To</w:t>
      </w:r>
      <w:r w:rsidR="0078344B">
        <w:t xml:space="preserve"> deliver quality education and care, services need to be staffed with a highly skilled workforce</w:t>
      </w:r>
      <w:r w:rsidR="00800119">
        <w:t xml:space="preserve"> and enable equitable access for families through flexibility and choice.</w:t>
      </w:r>
    </w:p>
    <w:p w14:paraId="60023D24" w14:textId="312AA14C" w:rsidR="00471561" w:rsidRDefault="00471561" w:rsidP="00ED4C52">
      <w:pPr>
        <w:spacing w:after="0" w:line="276" w:lineRule="auto"/>
      </w:pPr>
    </w:p>
    <w:p w14:paraId="148E72BC" w14:textId="79060FE2" w:rsidR="00BD6834" w:rsidRPr="009C7433" w:rsidRDefault="005F2C5D" w:rsidP="001C4871">
      <w:pPr>
        <w:pStyle w:val="Default"/>
        <w:spacing w:line="276" w:lineRule="auto"/>
        <w:rPr>
          <w:rFonts w:asciiTheme="minorHAnsi" w:hAnsiTheme="minorHAnsi" w:cstheme="minorHAnsi"/>
          <w:sz w:val="22"/>
          <w:szCs w:val="22"/>
        </w:rPr>
      </w:pPr>
      <w:r w:rsidRPr="009C7433">
        <w:rPr>
          <w:rFonts w:asciiTheme="minorHAnsi" w:hAnsiTheme="minorHAnsi" w:cstheme="minorHAnsi"/>
          <w:sz w:val="22"/>
          <w:szCs w:val="22"/>
        </w:rPr>
        <w:t xml:space="preserve">It is heartening to </w:t>
      </w:r>
      <w:r w:rsidR="009C7433">
        <w:rPr>
          <w:rFonts w:asciiTheme="minorHAnsi" w:hAnsiTheme="minorHAnsi" w:cstheme="minorHAnsi"/>
          <w:sz w:val="22"/>
          <w:szCs w:val="22"/>
        </w:rPr>
        <w:t>note</w:t>
      </w:r>
      <w:r w:rsidRPr="009C7433">
        <w:rPr>
          <w:rFonts w:asciiTheme="minorHAnsi" w:hAnsiTheme="minorHAnsi" w:cstheme="minorHAnsi"/>
          <w:sz w:val="22"/>
          <w:szCs w:val="22"/>
        </w:rPr>
        <w:t xml:space="preserve"> </w:t>
      </w:r>
      <w:r w:rsidR="00BD6834" w:rsidRPr="009C7433">
        <w:rPr>
          <w:rFonts w:asciiTheme="minorHAnsi" w:hAnsiTheme="minorHAnsi" w:cstheme="minorHAnsi"/>
          <w:sz w:val="22"/>
          <w:szCs w:val="22"/>
        </w:rPr>
        <w:t xml:space="preserve">the </w:t>
      </w:r>
      <w:r w:rsidR="001243DF">
        <w:rPr>
          <w:rFonts w:asciiTheme="minorHAnsi" w:hAnsiTheme="minorHAnsi" w:cstheme="minorHAnsi"/>
          <w:sz w:val="22"/>
          <w:szCs w:val="22"/>
        </w:rPr>
        <w:t xml:space="preserve">Review’s </w:t>
      </w:r>
      <w:r w:rsidR="0044647D" w:rsidRPr="009C7433">
        <w:rPr>
          <w:rFonts w:asciiTheme="minorHAnsi" w:hAnsiTheme="minorHAnsi" w:cstheme="minorHAnsi"/>
          <w:sz w:val="22"/>
          <w:szCs w:val="22"/>
        </w:rPr>
        <w:t xml:space="preserve">emphasis </w:t>
      </w:r>
      <w:r w:rsidR="00941677">
        <w:rPr>
          <w:rFonts w:asciiTheme="minorHAnsi" w:hAnsiTheme="minorHAnsi" w:cstheme="minorHAnsi"/>
          <w:sz w:val="22"/>
          <w:szCs w:val="22"/>
        </w:rPr>
        <w:t>on</w:t>
      </w:r>
      <w:r w:rsidR="0044647D" w:rsidRPr="009C7433">
        <w:rPr>
          <w:rFonts w:asciiTheme="minorHAnsi" w:hAnsiTheme="minorHAnsi" w:cstheme="minorHAnsi"/>
          <w:sz w:val="22"/>
          <w:szCs w:val="22"/>
        </w:rPr>
        <w:t xml:space="preserve"> the importance of </w:t>
      </w:r>
      <w:r w:rsidR="00BD6834" w:rsidRPr="009C7433">
        <w:rPr>
          <w:rFonts w:asciiTheme="minorHAnsi" w:hAnsiTheme="minorHAnsi" w:cstheme="minorHAnsi"/>
          <w:color w:val="323232"/>
          <w:sz w:val="22"/>
          <w:szCs w:val="22"/>
        </w:rPr>
        <w:t xml:space="preserve">developmental and educational outcomes for children, </w:t>
      </w:r>
      <w:r w:rsidR="00AC51A7">
        <w:rPr>
          <w:rFonts w:asciiTheme="minorHAnsi" w:hAnsiTheme="minorHAnsi" w:cstheme="minorHAnsi"/>
          <w:color w:val="323232"/>
          <w:sz w:val="22"/>
          <w:szCs w:val="22"/>
        </w:rPr>
        <w:t>including those</w:t>
      </w:r>
      <w:r w:rsidR="00BD6834" w:rsidRPr="009C7433">
        <w:rPr>
          <w:rFonts w:asciiTheme="minorHAnsi" w:hAnsiTheme="minorHAnsi" w:cstheme="minorHAnsi"/>
          <w:color w:val="323232"/>
          <w:sz w:val="22"/>
          <w:szCs w:val="22"/>
        </w:rPr>
        <w:t xml:space="preserve"> experiencing vulnerability and/or disadvantage, First Nations children and families, and children and families </w:t>
      </w:r>
      <w:r w:rsidR="00297760">
        <w:rPr>
          <w:rFonts w:asciiTheme="minorHAnsi" w:hAnsiTheme="minorHAnsi" w:cstheme="minorHAnsi"/>
          <w:color w:val="323232"/>
          <w:sz w:val="22"/>
          <w:szCs w:val="22"/>
        </w:rPr>
        <w:t>with additional needs</w:t>
      </w:r>
      <w:r w:rsidR="00905851">
        <w:rPr>
          <w:rFonts w:asciiTheme="minorHAnsi" w:hAnsiTheme="minorHAnsi" w:cstheme="minorHAnsi"/>
          <w:color w:val="323232"/>
          <w:sz w:val="22"/>
          <w:szCs w:val="22"/>
        </w:rPr>
        <w:t>.</w:t>
      </w:r>
    </w:p>
    <w:p w14:paraId="4B7AA325" w14:textId="0FA87CCA" w:rsidR="005F2C5D" w:rsidRDefault="005F2C5D" w:rsidP="00ED4C52">
      <w:pPr>
        <w:spacing w:after="0" w:line="276" w:lineRule="auto"/>
      </w:pPr>
    </w:p>
    <w:p w14:paraId="4936630F" w14:textId="1697FC6A" w:rsidR="005557EA" w:rsidRDefault="005557EA" w:rsidP="001C4871">
      <w:pPr>
        <w:spacing w:line="276" w:lineRule="auto"/>
      </w:pPr>
      <w:r w:rsidRPr="006D63A0">
        <w:rPr>
          <w:rFonts w:cstheme="minorHAnsi"/>
          <w:color w:val="000000"/>
        </w:rPr>
        <w:t xml:space="preserve">I trust that this information is of assistance in informing this important review. </w:t>
      </w:r>
      <w:r w:rsidR="00D939E1" w:rsidRPr="006D63A0">
        <w:t xml:space="preserve">If you would like to discuss our response, or would like further information </w:t>
      </w:r>
      <w:r w:rsidR="00025E94" w:rsidRPr="006D63A0">
        <w:t xml:space="preserve">please contact </w:t>
      </w:r>
      <w:r w:rsidR="00481CF3" w:rsidRPr="006D63A0">
        <w:t xml:space="preserve">me or </w:t>
      </w:r>
      <w:r w:rsidR="00AE16EB" w:rsidRPr="006D63A0">
        <w:t>Michelle Edwards</w:t>
      </w:r>
      <w:r w:rsidR="00025E94" w:rsidRPr="006D63A0">
        <w:t xml:space="preserve">, </w:t>
      </w:r>
      <w:r w:rsidR="00AE16EB" w:rsidRPr="006D63A0">
        <w:t>A/</w:t>
      </w:r>
      <w:r w:rsidR="00025E94" w:rsidRPr="006D63A0">
        <w:t xml:space="preserve">General Manager, </w:t>
      </w:r>
      <w:r w:rsidR="008C059A" w:rsidRPr="006D63A0">
        <w:t xml:space="preserve">Policy </w:t>
      </w:r>
      <w:r w:rsidR="00025E94" w:rsidRPr="006D63A0">
        <w:t xml:space="preserve">and </w:t>
      </w:r>
      <w:r w:rsidR="008C059A" w:rsidRPr="006D63A0">
        <w:t>Regulatory Systems</w:t>
      </w:r>
      <w:hyperlink r:id="rId13" w:history="1"/>
      <w:r w:rsidR="00025E94" w:rsidRPr="006D63A0">
        <w:t>.</w:t>
      </w:r>
      <w:r w:rsidR="0094528C">
        <w:t xml:space="preserve"> </w:t>
      </w:r>
    </w:p>
    <w:p w14:paraId="7F2A636F" w14:textId="77777777" w:rsidR="003C64C7" w:rsidRPr="00BC48C5" w:rsidRDefault="003C64C7" w:rsidP="00BC48C5">
      <w:pPr>
        <w:autoSpaceDE w:val="0"/>
        <w:autoSpaceDN w:val="0"/>
        <w:adjustRightInd w:val="0"/>
        <w:spacing w:after="0" w:line="276" w:lineRule="auto"/>
        <w:contextualSpacing/>
        <w:rPr>
          <w:rFonts w:cstheme="minorHAnsi"/>
          <w:color w:val="000000"/>
        </w:rPr>
      </w:pPr>
    </w:p>
    <w:p w14:paraId="6435C349" w14:textId="77777777" w:rsidR="00E754BB" w:rsidRPr="00BC48C5" w:rsidRDefault="00E754BB" w:rsidP="00BC48C5">
      <w:pPr>
        <w:spacing w:after="0" w:line="276" w:lineRule="auto"/>
        <w:contextualSpacing/>
        <w:rPr>
          <w:rFonts w:cstheme="minorHAnsi"/>
        </w:rPr>
      </w:pPr>
      <w:r w:rsidRPr="00BC48C5">
        <w:rPr>
          <w:rFonts w:cstheme="minorHAnsi"/>
        </w:rPr>
        <w:t>Yours sincerely</w:t>
      </w:r>
    </w:p>
    <w:p w14:paraId="7D91B6DC" w14:textId="0912260F" w:rsidR="00E754BB" w:rsidRPr="00BC48C5" w:rsidRDefault="00E754BB" w:rsidP="00BC48C5">
      <w:pPr>
        <w:spacing w:after="0" w:line="276" w:lineRule="auto"/>
        <w:contextualSpacing/>
        <w:rPr>
          <w:rFonts w:cstheme="minorHAnsi"/>
          <w:bCs/>
        </w:rPr>
      </w:pPr>
    </w:p>
    <w:p w14:paraId="297FBF0A" w14:textId="03FCCA87" w:rsidR="00696B7C" w:rsidRPr="00BC48C5" w:rsidRDefault="00696B7C" w:rsidP="00BC48C5">
      <w:pPr>
        <w:spacing w:after="0" w:line="276" w:lineRule="auto"/>
        <w:contextualSpacing/>
        <w:rPr>
          <w:rFonts w:cstheme="minorHAnsi"/>
          <w:bCs/>
        </w:rPr>
      </w:pPr>
    </w:p>
    <w:p w14:paraId="7C6CD3FB" w14:textId="77777777" w:rsidR="005F3617" w:rsidRDefault="005F3617" w:rsidP="00BC48C5">
      <w:pPr>
        <w:spacing w:after="0" w:line="276" w:lineRule="auto"/>
        <w:contextualSpacing/>
        <w:rPr>
          <w:rFonts w:cstheme="minorHAnsi"/>
          <w:bCs/>
        </w:rPr>
      </w:pPr>
    </w:p>
    <w:p w14:paraId="632934CD" w14:textId="4A78193B" w:rsidR="005557EA" w:rsidRPr="00BC48C5" w:rsidRDefault="00E754BB" w:rsidP="00BC48C5">
      <w:pPr>
        <w:spacing w:after="0" w:line="276" w:lineRule="auto"/>
        <w:contextualSpacing/>
        <w:rPr>
          <w:rFonts w:cstheme="minorHAnsi"/>
        </w:rPr>
      </w:pPr>
      <w:r w:rsidRPr="00BC48C5">
        <w:rPr>
          <w:rFonts w:cstheme="minorHAnsi"/>
          <w:bCs/>
        </w:rPr>
        <w:t xml:space="preserve">Gabrielle Sinclair </w:t>
      </w:r>
      <w:r w:rsidRPr="00BC48C5">
        <w:rPr>
          <w:rFonts w:cstheme="minorHAnsi"/>
          <w:bCs/>
        </w:rPr>
        <w:br/>
        <w:t>Chief Executive Officer</w:t>
      </w:r>
      <w:bookmarkEnd w:id="0"/>
    </w:p>
    <w:sectPr w:rsidR="005557EA" w:rsidRPr="00BC48C5" w:rsidSect="00E02A19">
      <w:footerReference w:type="default" r:id="rId14"/>
      <w:headerReference w:type="first" r:id="rId15"/>
      <w:footerReference w:type="first" r:id="rId16"/>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3602" w14:textId="77777777" w:rsidR="00251154" w:rsidRDefault="00251154" w:rsidP="005557EA">
      <w:pPr>
        <w:spacing w:after="0" w:line="240" w:lineRule="auto"/>
      </w:pPr>
      <w:r>
        <w:separator/>
      </w:r>
    </w:p>
  </w:endnote>
  <w:endnote w:type="continuationSeparator" w:id="0">
    <w:p w14:paraId="00CD4955" w14:textId="77777777" w:rsidR="00251154" w:rsidRDefault="00251154" w:rsidP="005557EA">
      <w:pPr>
        <w:spacing w:after="0" w:line="240" w:lineRule="auto"/>
      </w:pPr>
      <w:r>
        <w:continuationSeparator/>
      </w:r>
    </w:p>
  </w:endnote>
  <w:endnote w:type="continuationNotice" w:id="1">
    <w:p w14:paraId="63643AB3" w14:textId="77777777" w:rsidR="00251154" w:rsidRDefault="00251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6AAC" w14:textId="71C6F443" w:rsidR="001017E0" w:rsidRPr="001017E0" w:rsidRDefault="001017E0" w:rsidP="001017E0">
    <w:pPr>
      <w:pStyle w:val="Footer"/>
      <w:jc w:val="center"/>
      <w:rPr>
        <w:rFonts w:cs="Calibri"/>
        <w:sz w:val="20"/>
        <w:szCs w:val="20"/>
      </w:rPr>
    </w:pPr>
    <w:r w:rsidRPr="00A46BDA">
      <w:rPr>
        <w:rFonts w:cs="Calibri"/>
        <w:i/>
        <w:iCs/>
        <w:color w:val="7F7F7F"/>
        <w:sz w:val="20"/>
        <w:szCs w:val="20"/>
      </w:rPr>
      <w:t>Children have the best start in life through high quality early childhood education and care</w:t>
    </w:r>
    <w:r w:rsidR="00E967D3">
      <w:rPr>
        <w:rFonts w:cs="Calibri"/>
        <w:i/>
        <w:iCs/>
        <w:color w:val="7F7F7F"/>
        <w:sz w:val="20"/>
        <w:szCs w:val="20"/>
      </w:rPr>
      <w:t xml:space="preserve">      </w:t>
    </w:r>
    <w:r w:rsidR="00E967D3" w:rsidRPr="00E967D3">
      <w:rPr>
        <w:rFonts w:cs="Calibri"/>
        <w:i/>
        <w:iCs/>
        <w:color w:val="7F7F7F"/>
        <w:sz w:val="20"/>
        <w:szCs w:val="20"/>
      </w:rPr>
      <w:t xml:space="preserve">Page </w:t>
    </w:r>
    <w:r w:rsidR="00E967D3" w:rsidRPr="00E967D3">
      <w:rPr>
        <w:rFonts w:cs="Calibri"/>
        <w:b/>
        <w:bCs/>
        <w:i/>
        <w:iCs/>
        <w:color w:val="7F7F7F"/>
        <w:sz w:val="20"/>
        <w:szCs w:val="20"/>
      </w:rPr>
      <w:fldChar w:fldCharType="begin"/>
    </w:r>
    <w:r w:rsidR="00E967D3" w:rsidRPr="00E967D3">
      <w:rPr>
        <w:rFonts w:cs="Calibri"/>
        <w:b/>
        <w:bCs/>
        <w:i/>
        <w:iCs/>
        <w:color w:val="7F7F7F"/>
        <w:sz w:val="20"/>
        <w:szCs w:val="20"/>
      </w:rPr>
      <w:instrText xml:space="preserve"> PAGE  \* Arabic  \* MERGEFORMAT </w:instrText>
    </w:r>
    <w:r w:rsidR="00E967D3" w:rsidRPr="00E967D3">
      <w:rPr>
        <w:rFonts w:cs="Calibri"/>
        <w:b/>
        <w:bCs/>
        <w:i/>
        <w:iCs/>
        <w:color w:val="7F7F7F"/>
        <w:sz w:val="20"/>
        <w:szCs w:val="20"/>
      </w:rPr>
      <w:fldChar w:fldCharType="separate"/>
    </w:r>
    <w:r w:rsidR="00E967D3" w:rsidRPr="00E967D3">
      <w:rPr>
        <w:rFonts w:cs="Calibri"/>
        <w:b/>
        <w:bCs/>
        <w:i/>
        <w:iCs/>
        <w:noProof/>
        <w:color w:val="7F7F7F"/>
        <w:sz w:val="20"/>
        <w:szCs w:val="20"/>
      </w:rPr>
      <w:t>1</w:t>
    </w:r>
    <w:r w:rsidR="00E967D3" w:rsidRPr="00E967D3">
      <w:rPr>
        <w:rFonts w:cs="Calibri"/>
        <w:b/>
        <w:bCs/>
        <w:i/>
        <w:iCs/>
        <w:color w:val="7F7F7F"/>
        <w:sz w:val="20"/>
        <w:szCs w:val="20"/>
      </w:rPr>
      <w:fldChar w:fldCharType="end"/>
    </w:r>
    <w:r w:rsidR="00E967D3" w:rsidRPr="00E967D3">
      <w:rPr>
        <w:rFonts w:cs="Calibri"/>
        <w:i/>
        <w:iCs/>
        <w:color w:val="7F7F7F"/>
        <w:sz w:val="20"/>
        <w:szCs w:val="20"/>
      </w:rPr>
      <w:t xml:space="preserve"> of </w:t>
    </w:r>
    <w:r w:rsidR="00E967D3" w:rsidRPr="00E967D3">
      <w:rPr>
        <w:rFonts w:cs="Calibri"/>
        <w:b/>
        <w:bCs/>
        <w:i/>
        <w:iCs/>
        <w:color w:val="7F7F7F"/>
        <w:sz w:val="20"/>
        <w:szCs w:val="20"/>
      </w:rPr>
      <w:fldChar w:fldCharType="begin"/>
    </w:r>
    <w:r w:rsidR="00E967D3" w:rsidRPr="00E967D3">
      <w:rPr>
        <w:rFonts w:cs="Calibri"/>
        <w:b/>
        <w:bCs/>
        <w:i/>
        <w:iCs/>
        <w:color w:val="7F7F7F"/>
        <w:sz w:val="20"/>
        <w:szCs w:val="20"/>
      </w:rPr>
      <w:instrText xml:space="preserve"> NUMPAGES  \* Arabic  \* MERGEFORMAT </w:instrText>
    </w:r>
    <w:r w:rsidR="00E967D3" w:rsidRPr="00E967D3">
      <w:rPr>
        <w:rFonts w:cs="Calibri"/>
        <w:b/>
        <w:bCs/>
        <w:i/>
        <w:iCs/>
        <w:color w:val="7F7F7F"/>
        <w:sz w:val="20"/>
        <w:szCs w:val="20"/>
      </w:rPr>
      <w:fldChar w:fldCharType="separate"/>
    </w:r>
    <w:r w:rsidR="00E967D3" w:rsidRPr="00E967D3">
      <w:rPr>
        <w:rFonts w:cs="Calibri"/>
        <w:b/>
        <w:bCs/>
        <w:i/>
        <w:iCs/>
        <w:noProof/>
        <w:color w:val="7F7F7F"/>
        <w:sz w:val="20"/>
        <w:szCs w:val="20"/>
      </w:rPr>
      <w:t>2</w:t>
    </w:r>
    <w:r w:rsidR="00E967D3" w:rsidRPr="00E967D3">
      <w:rPr>
        <w:rFonts w:cs="Calibri"/>
        <w:b/>
        <w:bCs/>
        <w:i/>
        <w:iCs/>
        <w:color w:val="7F7F7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5C43" w14:textId="3E992DCE" w:rsidR="001017E0" w:rsidRPr="001017E0" w:rsidRDefault="001017E0" w:rsidP="001017E0">
    <w:pPr>
      <w:pStyle w:val="Footer"/>
      <w:jc w:val="center"/>
      <w:rPr>
        <w:rFonts w:cs="Calibri"/>
        <w:sz w:val="20"/>
        <w:szCs w:val="20"/>
      </w:rPr>
    </w:pPr>
    <w:r w:rsidRPr="00A46BDA">
      <w:rPr>
        <w:rFonts w:cs="Calibri"/>
        <w:i/>
        <w:iCs/>
        <w:color w:val="7F7F7F"/>
        <w:sz w:val="20"/>
        <w:szCs w:val="20"/>
      </w:rPr>
      <w:t>Children have the best start in life through high quality early childhood education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82BF" w14:textId="77777777" w:rsidR="00251154" w:rsidRDefault="00251154" w:rsidP="005557EA">
      <w:pPr>
        <w:spacing w:after="0" w:line="240" w:lineRule="auto"/>
      </w:pPr>
      <w:r>
        <w:separator/>
      </w:r>
    </w:p>
  </w:footnote>
  <w:footnote w:type="continuationSeparator" w:id="0">
    <w:p w14:paraId="3377CAF4" w14:textId="77777777" w:rsidR="00251154" w:rsidRDefault="00251154" w:rsidP="005557EA">
      <w:pPr>
        <w:spacing w:after="0" w:line="240" w:lineRule="auto"/>
      </w:pPr>
      <w:r>
        <w:continuationSeparator/>
      </w:r>
    </w:p>
  </w:footnote>
  <w:footnote w:type="continuationNotice" w:id="1">
    <w:p w14:paraId="60C64EE0" w14:textId="77777777" w:rsidR="00251154" w:rsidRDefault="00251154">
      <w:pPr>
        <w:spacing w:after="0" w:line="240" w:lineRule="auto"/>
      </w:pPr>
    </w:p>
  </w:footnote>
  <w:footnote w:id="2">
    <w:p w14:paraId="41B1E1B8" w14:textId="77777777" w:rsidR="008D7A87" w:rsidRDefault="008D7A87" w:rsidP="008D7A87">
      <w:pPr>
        <w:pStyle w:val="FootnoteText"/>
      </w:pPr>
      <w:r>
        <w:rPr>
          <w:rStyle w:val="FootnoteReference"/>
        </w:rPr>
        <w:footnoteRef/>
      </w:r>
      <w:r>
        <w:t xml:space="preserve"> </w:t>
      </w:r>
      <w:r w:rsidRPr="00EF644E">
        <w:rPr>
          <w:rFonts w:cstheme="minorHAnsi"/>
        </w:rPr>
        <w:t>The National Quality Framework (NQF) operates under an applied law system, comprising the </w:t>
      </w:r>
      <w:r w:rsidRPr="00951EAD">
        <w:rPr>
          <w:rStyle w:val="Emphasis"/>
          <w:rFonts w:cstheme="minorHAnsi"/>
          <w:i w:val="0"/>
          <w:iCs w:val="0"/>
        </w:rPr>
        <w:t>Education and Care Services National Law</w:t>
      </w:r>
      <w:r w:rsidRPr="00951EAD">
        <w:rPr>
          <w:rFonts w:cstheme="minorHAnsi"/>
          <w:i/>
          <w:iCs/>
        </w:rPr>
        <w:t> </w:t>
      </w:r>
      <w:r w:rsidRPr="00EF644E">
        <w:rPr>
          <w:rFonts w:cstheme="minorHAnsi"/>
        </w:rPr>
        <w:t>and the Education and Care Services National Regulations</w:t>
      </w:r>
      <w:r>
        <w:rPr>
          <w:rFonts w:cstheme="minorHAnsi"/>
        </w:rPr>
        <w:t>, except Western Australia which has a corresponding law. The National Law is not a Commonwealth law.</w:t>
      </w:r>
    </w:p>
  </w:footnote>
  <w:footnote w:id="3">
    <w:p w14:paraId="6BF44476" w14:textId="34B2833B" w:rsidR="00083B61" w:rsidRDefault="00083B61">
      <w:pPr>
        <w:pStyle w:val="FootnoteText"/>
      </w:pPr>
      <w:r>
        <w:rPr>
          <w:rStyle w:val="FootnoteReference"/>
        </w:rPr>
        <w:footnoteRef/>
      </w:r>
      <w:r>
        <w:t xml:space="preserve"> </w:t>
      </w:r>
      <w:r w:rsidR="000C4EAC">
        <w:t>There is an approved learning framework specific to Victoria,</w:t>
      </w:r>
      <w:r w:rsidR="000C4EAC" w:rsidRPr="001C4871">
        <w:rPr>
          <w:i/>
          <w:iCs/>
        </w:rPr>
        <w:t xml:space="preserve"> </w:t>
      </w:r>
      <w:r w:rsidR="005319C4" w:rsidRPr="001C4871">
        <w:rPr>
          <w:i/>
          <w:iCs/>
        </w:rPr>
        <w:t>Victorian Early Years Learning and Development Framework</w:t>
      </w:r>
      <w:r w:rsidR="005319C4">
        <w:t xml:space="preserve">. </w:t>
      </w:r>
    </w:p>
  </w:footnote>
  <w:footnote w:id="4">
    <w:p w14:paraId="308FE8E3" w14:textId="7188E3F9" w:rsidR="00900BC6" w:rsidRDefault="00900BC6" w:rsidP="00900BC6">
      <w:pPr>
        <w:pStyle w:val="FootnoteText"/>
      </w:pPr>
      <w:r>
        <w:rPr>
          <w:rStyle w:val="FootnoteReference"/>
        </w:rPr>
        <w:footnoteRef/>
      </w:r>
      <w:r>
        <w:t xml:space="preserve"> Section 225</w:t>
      </w:r>
      <w:r w:rsidR="006E7F4C">
        <w:t xml:space="preserve"> </w:t>
      </w:r>
      <w:r w:rsidR="006E7F4C">
        <w:rPr>
          <w:lang w:val="en-US"/>
        </w:rPr>
        <w:t xml:space="preserve">of the </w:t>
      </w:r>
      <w:hyperlink r:id="rId1" w:history="1">
        <w:r w:rsidR="006E7F4C" w:rsidRPr="00644BD4">
          <w:rPr>
            <w:rStyle w:val="Hyperlink"/>
            <w:lang w:val="en-US"/>
          </w:rPr>
          <w:t>Education and Care Services National Law</w:t>
        </w:r>
      </w:hyperlink>
    </w:p>
  </w:footnote>
  <w:footnote w:id="5">
    <w:p w14:paraId="19227F3D" w14:textId="77777777" w:rsidR="00912F67" w:rsidRDefault="00912F67" w:rsidP="00912F67">
      <w:pPr>
        <w:pStyle w:val="FootnoteText"/>
      </w:pPr>
      <w:r>
        <w:rPr>
          <w:rStyle w:val="FootnoteReference"/>
        </w:rPr>
        <w:footnoteRef/>
      </w:r>
      <w:r>
        <w:t xml:space="preserve"> Heckman, J. Invest in early childhood development: Reduce deficits, strengthen the economy, published December 2012.</w:t>
      </w:r>
    </w:p>
  </w:footnote>
  <w:footnote w:id="6">
    <w:p w14:paraId="5B77F983" w14:textId="77777777" w:rsidR="00912F67" w:rsidRDefault="00912F67" w:rsidP="00912F67">
      <w:pPr>
        <w:pStyle w:val="FootnoteText"/>
      </w:pPr>
      <w:r>
        <w:rPr>
          <w:rStyle w:val="FootnoteReference"/>
        </w:rPr>
        <w:footnoteRef/>
      </w:r>
      <w:r w:rsidRPr="00B63CC5">
        <w:t>OECD</w:t>
      </w:r>
      <w:r>
        <w:t>,</w:t>
      </w:r>
      <w:r w:rsidRPr="00B63CC5">
        <w:t xml:space="preserve"> Starting Strong V: Transitions from Early Childhood Education and Care to Primary Education</w:t>
      </w:r>
      <w:r>
        <w:t>, June 2017.</w:t>
      </w:r>
    </w:p>
  </w:footnote>
  <w:footnote w:id="7">
    <w:p w14:paraId="5DDE8D2A" w14:textId="56450437" w:rsidR="00EA5C35" w:rsidRPr="009D790B" w:rsidRDefault="00EA5C35" w:rsidP="00EA5C35">
      <w:pPr>
        <w:pStyle w:val="FootnoteText"/>
        <w:rPr>
          <w:lang w:val="en-US"/>
        </w:rPr>
      </w:pPr>
      <w:r>
        <w:rPr>
          <w:rStyle w:val="FootnoteReference"/>
        </w:rPr>
        <w:footnoteRef/>
      </w:r>
      <w:r w:rsidR="00670B49">
        <w:t xml:space="preserve"> </w:t>
      </w:r>
      <w:hyperlink r:id="rId2" w:history="1">
        <w:proofErr w:type="spellStart"/>
        <w:r w:rsidRPr="00FC1A37">
          <w:rPr>
            <w:rStyle w:val="Hyperlink"/>
          </w:rPr>
          <w:t>Melhuish</w:t>
        </w:r>
        <w:proofErr w:type="spellEnd"/>
        <w:r w:rsidRPr="00FC1A37">
          <w:rPr>
            <w:rStyle w:val="Hyperlink"/>
          </w:rPr>
          <w:t xml:space="preserve"> E, </w:t>
        </w:r>
        <w:proofErr w:type="spellStart"/>
        <w:r w:rsidRPr="00FC1A37">
          <w:rPr>
            <w:rStyle w:val="Hyperlink"/>
          </w:rPr>
          <w:t>Ereky</w:t>
        </w:r>
        <w:proofErr w:type="spellEnd"/>
        <w:r w:rsidRPr="00FC1A37">
          <w:rPr>
            <w:rStyle w:val="Hyperlink"/>
          </w:rPr>
          <w:t xml:space="preserve">-Stevens K, </w:t>
        </w:r>
        <w:proofErr w:type="spellStart"/>
        <w:r w:rsidRPr="00FC1A37">
          <w:rPr>
            <w:rStyle w:val="Hyperlink"/>
          </w:rPr>
          <w:t>Petrogiannis</w:t>
        </w:r>
        <w:proofErr w:type="spellEnd"/>
        <w:r w:rsidRPr="00FC1A37">
          <w:rPr>
            <w:rStyle w:val="Hyperlink"/>
          </w:rPr>
          <w:t xml:space="preserve"> K, </w:t>
        </w:r>
        <w:proofErr w:type="spellStart"/>
        <w:r w:rsidRPr="00FC1A37">
          <w:rPr>
            <w:rStyle w:val="Hyperlink"/>
          </w:rPr>
          <w:t>Vaharis</w:t>
        </w:r>
        <w:proofErr w:type="spellEnd"/>
        <w:r w:rsidRPr="00FC1A37">
          <w:rPr>
            <w:rStyle w:val="Hyperlink"/>
          </w:rPr>
          <w:t xml:space="preserve"> </w:t>
        </w:r>
        <w:proofErr w:type="spellStart"/>
        <w:r w:rsidRPr="00FC1A37">
          <w:rPr>
            <w:rStyle w:val="Hyperlink"/>
          </w:rPr>
          <w:t>Penderi</w:t>
        </w:r>
        <w:proofErr w:type="spellEnd"/>
        <w:r w:rsidRPr="00FC1A37">
          <w:rPr>
            <w:rStyle w:val="Hyperlink"/>
          </w:rPr>
          <w:t xml:space="preserve"> E, </w:t>
        </w:r>
        <w:proofErr w:type="spellStart"/>
        <w:r w:rsidRPr="00FC1A37">
          <w:rPr>
            <w:rStyle w:val="Hyperlink"/>
          </w:rPr>
          <w:t>Rentzou</w:t>
        </w:r>
        <w:proofErr w:type="spellEnd"/>
        <w:r w:rsidRPr="00FC1A37">
          <w:rPr>
            <w:rStyle w:val="Hyperlink"/>
          </w:rPr>
          <w:t xml:space="preserve"> K, </w:t>
        </w:r>
        <w:proofErr w:type="spellStart"/>
        <w:r w:rsidRPr="00FC1A37">
          <w:rPr>
            <w:rStyle w:val="Hyperlink"/>
          </w:rPr>
          <w:t>Tawell</w:t>
        </w:r>
        <w:proofErr w:type="spellEnd"/>
        <w:r w:rsidRPr="00FC1A37">
          <w:rPr>
            <w:rStyle w:val="Hyperlink"/>
          </w:rPr>
          <w:t xml:space="preserve"> A, </w:t>
        </w:r>
        <w:proofErr w:type="spellStart"/>
        <w:r w:rsidRPr="00FC1A37">
          <w:rPr>
            <w:rStyle w:val="Hyperlink"/>
          </w:rPr>
          <w:t>Broekhuizen</w:t>
        </w:r>
        <w:proofErr w:type="spellEnd"/>
        <w:r w:rsidRPr="00FC1A37">
          <w:rPr>
            <w:rStyle w:val="Hyperlink"/>
          </w:rPr>
          <w:t xml:space="preserve"> M and </w:t>
        </w:r>
        <w:proofErr w:type="spellStart"/>
        <w:r w:rsidRPr="00FC1A37">
          <w:rPr>
            <w:rStyle w:val="Hyperlink"/>
          </w:rPr>
          <w:t>Leseman</w:t>
        </w:r>
        <w:proofErr w:type="spellEnd"/>
        <w:r w:rsidRPr="00FC1A37">
          <w:rPr>
            <w:rStyle w:val="Hyperlink"/>
          </w:rPr>
          <w:t xml:space="preserve"> P (2015) A review of research on the effects of early childhood education and care (ECEC) upon child development. CARE project: Curriculum Quality Analysis and Impact Review of European Early Childhood Education and Care (ECEC).</w:t>
        </w:r>
      </w:hyperlink>
      <w:r>
        <w:t xml:space="preserve"> </w:t>
      </w:r>
    </w:p>
  </w:footnote>
  <w:footnote w:id="8">
    <w:p w14:paraId="244AF671" w14:textId="61C8D51F" w:rsidR="00360DC4" w:rsidRDefault="00360DC4">
      <w:pPr>
        <w:pStyle w:val="FootnoteText"/>
      </w:pPr>
      <w:r>
        <w:rPr>
          <w:rStyle w:val="FootnoteReference"/>
        </w:rPr>
        <w:footnoteRef/>
      </w:r>
      <w:r>
        <w:t xml:space="preserve"> National Agreement on Closing the Gap: </w:t>
      </w:r>
      <w:hyperlink r:id="rId3" w:history="1">
        <w:r w:rsidRPr="001954CA">
          <w:rPr>
            <w:rStyle w:val="Hyperlink"/>
          </w:rPr>
          <w:t>https://www.closingthegap.gov.au/national-agreement</w:t>
        </w:r>
      </w:hyperlink>
      <w:r>
        <w:t>, accessed 29/03/2023.</w:t>
      </w:r>
    </w:p>
  </w:footnote>
  <w:footnote w:id="9">
    <w:p w14:paraId="24FFAEB4" w14:textId="77777777" w:rsidR="00DE1B34" w:rsidRPr="005C49F9" w:rsidRDefault="00DE1B34" w:rsidP="00DE1B34">
      <w:pPr>
        <w:pStyle w:val="FootnoteText"/>
        <w:rPr>
          <w:lang w:val="en-US"/>
        </w:rPr>
      </w:pPr>
      <w:r>
        <w:rPr>
          <w:rStyle w:val="FootnoteReference"/>
        </w:rPr>
        <w:footnoteRef/>
      </w:r>
      <w:r>
        <w:t xml:space="preserve"> </w:t>
      </w:r>
      <w:r>
        <w:rPr>
          <w:lang w:val="en-US"/>
        </w:rPr>
        <w:t xml:space="preserve">Section 3 of the </w:t>
      </w:r>
      <w:hyperlink r:id="rId4" w:history="1">
        <w:r w:rsidRPr="00644BD4">
          <w:rPr>
            <w:rStyle w:val="Hyperlink"/>
            <w:lang w:val="en-US"/>
          </w:rPr>
          <w:t>Education and Care Services National Law</w:t>
        </w:r>
      </w:hyperlink>
    </w:p>
  </w:footnote>
  <w:footnote w:id="10">
    <w:p w14:paraId="6F8B1A7A" w14:textId="789C43D0" w:rsidR="00807390" w:rsidRPr="00191DB8" w:rsidRDefault="00807390" w:rsidP="00807390">
      <w:pPr>
        <w:pStyle w:val="FootnoteText"/>
        <w:rPr>
          <w:lang w:val="en-US"/>
        </w:rPr>
      </w:pPr>
      <w:r>
        <w:rPr>
          <w:rStyle w:val="FootnoteReference"/>
        </w:rPr>
        <w:footnoteRef/>
      </w:r>
      <w:r>
        <w:t xml:space="preserve"> </w:t>
      </w:r>
      <w:r w:rsidR="00033324" w:rsidRPr="00033324">
        <w:t>https://www.acecqa.gov.au/nqf/snapshots</w:t>
      </w:r>
    </w:p>
  </w:footnote>
  <w:footnote w:id="11">
    <w:p w14:paraId="2205C896" w14:textId="618E43F4" w:rsidR="00A82532" w:rsidRDefault="00A82532" w:rsidP="00A82532">
      <w:pPr>
        <w:pStyle w:val="FootnoteText"/>
      </w:pPr>
      <w:r>
        <w:rPr>
          <w:rStyle w:val="FootnoteReference"/>
        </w:rPr>
        <w:footnoteRef/>
      </w:r>
      <w:r>
        <w:t xml:space="preserve"> Section 141</w:t>
      </w:r>
      <w:r w:rsidR="005F6A5C">
        <w:t xml:space="preserve"> </w:t>
      </w:r>
      <w:r w:rsidR="005F6A5C">
        <w:rPr>
          <w:lang w:val="en-US"/>
        </w:rPr>
        <w:t xml:space="preserve">of the </w:t>
      </w:r>
      <w:hyperlink r:id="rId5" w:history="1">
        <w:r w:rsidR="005F6A5C" w:rsidRPr="00644BD4">
          <w:rPr>
            <w:rStyle w:val="Hyperlink"/>
            <w:lang w:val="en-US"/>
          </w:rPr>
          <w:t>Education and Care Services National Law</w:t>
        </w:r>
      </w:hyperlink>
    </w:p>
  </w:footnote>
  <w:footnote w:id="12">
    <w:p w14:paraId="78ED5FB1" w14:textId="77777777" w:rsidR="009648A9" w:rsidRDefault="009648A9" w:rsidP="009648A9">
      <w:pPr>
        <w:pStyle w:val="FootnoteText"/>
      </w:pPr>
      <w:r>
        <w:rPr>
          <w:rStyle w:val="FootnoteReference"/>
        </w:rPr>
        <w:footnoteRef/>
      </w:r>
      <w:r>
        <w:t xml:space="preserve"> OECD, </w:t>
      </w:r>
      <w:r w:rsidRPr="00FF08BA">
        <w:t>Supporting quality early childhood education and care through workforce dev</w:t>
      </w:r>
      <w:r>
        <w:t>elopment and working conditions</w:t>
      </w:r>
      <w:r w:rsidRPr="00FF08BA">
        <w:t>, in Engaging Young Children: Lessons from Research about Quality in Early Childhood Education and Care</w:t>
      </w:r>
      <w:r>
        <w:t>, March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0420" w14:textId="2FFAB7DC" w:rsidR="00434E75" w:rsidRDefault="00434E75">
    <w:pPr>
      <w:pStyle w:val="Header"/>
    </w:pPr>
    <w:r>
      <w:rPr>
        <w:noProof/>
        <w:lang w:eastAsia="en-AU"/>
      </w:rPr>
      <w:drawing>
        <wp:anchor distT="0" distB="0" distL="114300" distR="114300" simplePos="0" relativeHeight="251658240" behindDoc="0" locked="0" layoutInCell="1" allowOverlap="1" wp14:anchorId="406C3323" wp14:editId="241CF5C1">
          <wp:simplePos x="0" y="0"/>
          <wp:positionH relativeFrom="page">
            <wp:align>left</wp:align>
          </wp:positionH>
          <wp:positionV relativeFrom="page">
            <wp:align>top</wp:align>
          </wp:positionV>
          <wp:extent cx="7590790" cy="1612265"/>
          <wp:effectExtent l="0" t="0" r="0" b="6985"/>
          <wp:wrapSquare wrapText="bothSides"/>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0790" cy="1612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5945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B7D6B"/>
    <w:multiLevelType w:val="hybridMultilevel"/>
    <w:tmpl w:val="9E9C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70465"/>
    <w:multiLevelType w:val="hybridMultilevel"/>
    <w:tmpl w:val="A6FE11D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002DC2"/>
    <w:multiLevelType w:val="hybridMultilevel"/>
    <w:tmpl w:val="EEAA9C20"/>
    <w:lvl w:ilvl="0" w:tplc="0C090005">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98D0B13"/>
    <w:multiLevelType w:val="hybridMultilevel"/>
    <w:tmpl w:val="643A5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105C1"/>
    <w:multiLevelType w:val="hybridMultilevel"/>
    <w:tmpl w:val="D0EE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AD453D"/>
    <w:multiLevelType w:val="hybridMultilevel"/>
    <w:tmpl w:val="0B146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984105"/>
    <w:multiLevelType w:val="hybridMultilevel"/>
    <w:tmpl w:val="E5687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4721E"/>
    <w:multiLevelType w:val="hybridMultilevel"/>
    <w:tmpl w:val="86A609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267793"/>
    <w:multiLevelType w:val="hybridMultilevel"/>
    <w:tmpl w:val="9ADEB6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0C0E2A"/>
    <w:multiLevelType w:val="hybridMultilevel"/>
    <w:tmpl w:val="4B52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22C69"/>
    <w:multiLevelType w:val="hybridMultilevel"/>
    <w:tmpl w:val="5708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793F36"/>
    <w:multiLevelType w:val="hybridMultilevel"/>
    <w:tmpl w:val="63AAF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2B7352"/>
    <w:multiLevelType w:val="hybridMultilevel"/>
    <w:tmpl w:val="CF4871A2"/>
    <w:lvl w:ilvl="0" w:tplc="BC9643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855129">
    <w:abstractNumId w:val="4"/>
  </w:num>
  <w:num w:numId="2" w16cid:durableId="1464696793">
    <w:abstractNumId w:val="5"/>
  </w:num>
  <w:num w:numId="3" w16cid:durableId="2108309062">
    <w:abstractNumId w:val="10"/>
  </w:num>
  <w:num w:numId="4" w16cid:durableId="115949600">
    <w:abstractNumId w:val="11"/>
  </w:num>
  <w:num w:numId="5" w16cid:durableId="1663895451">
    <w:abstractNumId w:val="2"/>
  </w:num>
  <w:num w:numId="6" w16cid:durableId="24064796">
    <w:abstractNumId w:val="3"/>
  </w:num>
  <w:num w:numId="7" w16cid:durableId="1286934897">
    <w:abstractNumId w:val="8"/>
  </w:num>
  <w:num w:numId="8" w16cid:durableId="1251161318">
    <w:abstractNumId w:val="9"/>
  </w:num>
  <w:num w:numId="9" w16cid:durableId="1058170693">
    <w:abstractNumId w:val="6"/>
  </w:num>
  <w:num w:numId="10" w16cid:durableId="1113328453">
    <w:abstractNumId w:val="7"/>
  </w:num>
  <w:num w:numId="11" w16cid:durableId="813181780">
    <w:abstractNumId w:val="13"/>
  </w:num>
  <w:num w:numId="12" w16cid:durableId="1585725873">
    <w:abstractNumId w:val="12"/>
  </w:num>
  <w:num w:numId="13" w16cid:durableId="28145554">
    <w:abstractNumId w:val="0"/>
  </w:num>
  <w:num w:numId="14" w16cid:durableId="35338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A0NDWyNDc1MTW1NDdT0lEKTi0uzszPAykwqgUANdgqsCwAAAA="/>
  </w:docVars>
  <w:rsids>
    <w:rsidRoot w:val="005557EA"/>
    <w:rsid w:val="000010D2"/>
    <w:rsid w:val="00001937"/>
    <w:rsid w:val="0000344F"/>
    <w:rsid w:val="00004D42"/>
    <w:rsid w:val="0001244E"/>
    <w:rsid w:val="000136B9"/>
    <w:rsid w:val="00014DD5"/>
    <w:rsid w:val="00016D38"/>
    <w:rsid w:val="000202E7"/>
    <w:rsid w:val="00023543"/>
    <w:rsid w:val="0002357A"/>
    <w:rsid w:val="00023A8D"/>
    <w:rsid w:val="00024AAC"/>
    <w:rsid w:val="000250D1"/>
    <w:rsid w:val="00025E94"/>
    <w:rsid w:val="000277BC"/>
    <w:rsid w:val="00033324"/>
    <w:rsid w:val="0003367C"/>
    <w:rsid w:val="00036889"/>
    <w:rsid w:val="000376D1"/>
    <w:rsid w:val="000414E8"/>
    <w:rsid w:val="0004388C"/>
    <w:rsid w:val="000479F6"/>
    <w:rsid w:val="0005323F"/>
    <w:rsid w:val="00053917"/>
    <w:rsid w:val="00055495"/>
    <w:rsid w:val="00060477"/>
    <w:rsid w:val="00066CEC"/>
    <w:rsid w:val="0007006E"/>
    <w:rsid w:val="000701AF"/>
    <w:rsid w:val="0007081C"/>
    <w:rsid w:val="00070C01"/>
    <w:rsid w:val="00071FF6"/>
    <w:rsid w:val="00072AA2"/>
    <w:rsid w:val="00072C2D"/>
    <w:rsid w:val="00072DAE"/>
    <w:rsid w:val="00073A89"/>
    <w:rsid w:val="00074FAB"/>
    <w:rsid w:val="00080294"/>
    <w:rsid w:val="00081441"/>
    <w:rsid w:val="00081C3C"/>
    <w:rsid w:val="00083B61"/>
    <w:rsid w:val="00083D70"/>
    <w:rsid w:val="0008485D"/>
    <w:rsid w:val="000848F2"/>
    <w:rsid w:val="00086E5A"/>
    <w:rsid w:val="000870CE"/>
    <w:rsid w:val="00090ABC"/>
    <w:rsid w:val="000919AE"/>
    <w:rsid w:val="00091B51"/>
    <w:rsid w:val="000A0164"/>
    <w:rsid w:val="000A1301"/>
    <w:rsid w:val="000A1C26"/>
    <w:rsid w:val="000A4343"/>
    <w:rsid w:val="000A4EA0"/>
    <w:rsid w:val="000A5C67"/>
    <w:rsid w:val="000A5DDC"/>
    <w:rsid w:val="000A5F3F"/>
    <w:rsid w:val="000A64AE"/>
    <w:rsid w:val="000B0355"/>
    <w:rsid w:val="000B3565"/>
    <w:rsid w:val="000B4400"/>
    <w:rsid w:val="000B5EBB"/>
    <w:rsid w:val="000B7E13"/>
    <w:rsid w:val="000C229F"/>
    <w:rsid w:val="000C3B6B"/>
    <w:rsid w:val="000C4263"/>
    <w:rsid w:val="000C4D49"/>
    <w:rsid w:val="000C4EAC"/>
    <w:rsid w:val="000C70CE"/>
    <w:rsid w:val="000C7FF2"/>
    <w:rsid w:val="000D0A0E"/>
    <w:rsid w:val="000D2702"/>
    <w:rsid w:val="000D37E6"/>
    <w:rsid w:val="000D3D1F"/>
    <w:rsid w:val="000D4422"/>
    <w:rsid w:val="000D4E25"/>
    <w:rsid w:val="000D5C47"/>
    <w:rsid w:val="000D696B"/>
    <w:rsid w:val="000D6A81"/>
    <w:rsid w:val="000E0F00"/>
    <w:rsid w:val="000E1E0A"/>
    <w:rsid w:val="000E2351"/>
    <w:rsid w:val="000E2B45"/>
    <w:rsid w:val="000E3E2E"/>
    <w:rsid w:val="000E4A48"/>
    <w:rsid w:val="000E6995"/>
    <w:rsid w:val="000E7D88"/>
    <w:rsid w:val="000F02B6"/>
    <w:rsid w:val="000F1502"/>
    <w:rsid w:val="000F16DD"/>
    <w:rsid w:val="000F27AB"/>
    <w:rsid w:val="000F3D57"/>
    <w:rsid w:val="000F5828"/>
    <w:rsid w:val="000F5B09"/>
    <w:rsid w:val="000F5EF6"/>
    <w:rsid w:val="000F71CB"/>
    <w:rsid w:val="00100516"/>
    <w:rsid w:val="00100CF7"/>
    <w:rsid w:val="001017E0"/>
    <w:rsid w:val="001018C5"/>
    <w:rsid w:val="0010217B"/>
    <w:rsid w:val="0010383B"/>
    <w:rsid w:val="001038D2"/>
    <w:rsid w:val="00103E00"/>
    <w:rsid w:val="00106868"/>
    <w:rsid w:val="0011114B"/>
    <w:rsid w:val="00112566"/>
    <w:rsid w:val="0011300E"/>
    <w:rsid w:val="00115DCB"/>
    <w:rsid w:val="0012016D"/>
    <w:rsid w:val="001209B2"/>
    <w:rsid w:val="00120CCD"/>
    <w:rsid w:val="00121522"/>
    <w:rsid w:val="001243DF"/>
    <w:rsid w:val="00124A7D"/>
    <w:rsid w:val="00125B32"/>
    <w:rsid w:val="001267FA"/>
    <w:rsid w:val="00126B93"/>
    <w:rsid w:val="00127878"/>
    <w:rsid w:val="001309ED"/>
    <w:rsid w:val="00130C77"/>
    <w:rsid w:val="00130DF1"/>
    <w:rsid w:val="0013171A"/>
    <w:rsid w:val="001324F0"/>
    <w:rsid w:val="001369D3"/>
    <w:rsid w:val="0014124C"/>
    <w:rsid w:val="0014212B"/>
    <w:rsid w:val="00144033"/>
    <w:rsid w:val="001529A9"/>
    <w:rsid w:val="00155FD6"/>
    <w:rsid w:val="00157F49"/>
    <w:rsid w:val="00163BA8"/>
    <w:rsid w:val="00164122"/>
    <w:rsid w:val="001641C0"/>
    <w:rsid w:val="00164418"/>
    <w:rsid w:val="0016485A"/>
    <w:rsid w:val="00166E79"/>
    <w:rsid w:val="00170917"/>
    <w:rsid w:val="00171878"/>
    <w:rsid w:val="0017217B"/>
    <w:rsid w:val="00172E6B"/>
    <w:rsid w:val="00173EF5"/>
    <w:rsid w:val="0017456D"/>
    <w:rsid w:val="00180724"/>
    <w:rsid w:val="0018260C"/>
    <w:rsid w:val="00182B5E"/>
    <w:rsid w:val="00185396"/>
    <w:rsid w:val="00185FA8"/>
    <w:rsid w:val="001916FE"/>
    <w:rsid w:val="001917E9"/>
    <w:rsid w:val="00191DB8"/>
    <w:rsid w:val="00194C2E"/>
    <w:rsid w:val="00195FEA"/>
    <w:rsid w:val="00197C21"/>
    <w:rsid w:val="001A0DA6"/>
    <w:rsid w:val="001A169A"/>
    <w:rsid w:val="001A1732"/>
    <w:rsid w:val="001A2D69"/>
    <w:rsid w:val="001A3B2E"/>
    <w:rsid w:val="001A42C9"/>
    <w:rsid w:val="001A66F3"/>
    <w:rsid w:val="001A7037"/>
    <w:rsid w:val="001B1159"/>
    <w:rsid w:val="001B2398"/>
    <w:rsid w:val="001B30E2"/>
    <w:rsid w:val="001B4BF8"/>
    <w:rsid w:val="001B52B4"/>
    <w:rsid w:val="001B55E2"/>
    <w:rsid w:val="001B7312"/>
    <w:rsid w:val="001C01C0"/>
    <w:rsid w:val="001C13A4"/>
    <w:rsid w:val="001C143A"/>
    <w:rsid w:val="001C14D1"/>
    <w:rsid w:val="001C1D1F"/>
    <w:rsid w:val="001C4871"/>
    <w:rsid w:val="001D0D4B"/>
    <w:rsid w:val="001D1F1C"/>
    <w:rsid w:val="001D227E"/>
    <w:rsid w:val="001D2831"/>
    <w:rsid w:val="001D3A13"/>
    <w:rsid w:val="001D494D"/>
    <w:rsid w:val="001D509A"/>
    <w:rsid w:val="001D6435"/>
    <w:rsid w:val="001E260D"/>
    <w:rsid w:val="001E3C68"/>
    <w:rsid w:val="001E4150"/>
    <w:rsid w:val="001E5219"/>
    <w:rsid w:val="001E62C0"/>
    <w:rsid w:val="001E686F"/>
    <w:rsid w:val="001E6CF6"/>
    <w:rsid w:val="001F2433"/>
    <w:rsid w:val="001F2601"/>
    <w:rsid w:val="001F2C9E"/>
    <w:rsid w:val="001F3E2C"/>
    <w:rsid w:val="00201C44"/>
    <w:rsid w:val="00201E53"/>
    <w:rsid w:val="002046D8"/>
    <w:rsid w:val="00205613"/>
    <w:rsid w:val="002061BE"/>
    <w:rsid w:val="00206BAE"/>
    <w:rsid w:val="00206F9C"/>
    <w:rsid w:val="002105C2"/>
    <w:rsid w:val="002153E9"/>
    <w:rsid w:val="00225D22"/>
    <w:rsid w:val="00227203"/>
    <w:rsid w:val="002311A4"/>
    <w:rsid w:val="00232886"/>
    <w:rsid w:val="00232FD0"/>
    <w:rsid w:val="00234205"/>
    <w:rsid w:val="00236F8C"/>
    <w:rsid w:val="00245AD0"/>
    <w:rsid w:val="00246C75"/>
    <w:rsid w:val="00250266"/>
    <w:rsid w:val="00251154"/>
    <w:rsid w:val="0025153C"/>
    <w:rsid w:val="0025307E"/>
    <w:rsid w:val="002540D3"/>
    <w:rsid w:val="00255F95"/>
    <w:rsid w:val="00261504"/>
    <w:rsid w:val="0026310D"/>
    <w:rsid w:val="00266490"/>
    <w:rsid w:val="002667B4"/>
    <w:rsid w:val="00267A84"/>
    <w:rsid w:val="00270977"/>
    <w:rsid w:val="00272EF2"/>
    <w:rsid w:val="00273AD1"/>
    <w:rsid w:val="002747ED"/>
    <w:rsid w:val="002759F0"/>
    <w:rsid w:val="00276A50"/>
    <w:rsid w:val="00276C20"/>
    <w:rsid w:val="00280E73"/>
    <w:rsid w:val="00285BF8"/>
    <w:rsid w:val="00286212"/>
    <w:rsid w:val="00287F14"/>
    <w:rsid w:val="00290500"/>
    <w:rsid w:val="0029138A"/>
    <w:rsid w:val="00293A3E"/>
    <w:rsid w:val="00297760"/>
    <w:rsid w:val="002A0BAD"/>
    <w:rsid w:val="002A0D58"/>
    <w:rsid w:val="002A20E5"/>
    <w:rsid w:val="002A223D"/>
    <w:rsid w:val="002A2597"/>
    <w:rsid w:val="002A2B2D"/>
    <w:rsid w:val="002A4EC0"/>
    <w:rsid w:val="002B0C92"/>
    <w:rsid w:val="002B64B8"/>
    <w:rsid w:val="002B6FA3"/>
    <w:rsid w:val="002B71CF"/>
    <w:rsid w:val="002B71DA"/>
    <w:rsid w:val="002C0BF8"/>
    <w:rsid w:val="002C1556"/>
    <w:rsid w:val="002C1B76"/>
    <w:rsid w:val="002C1FEF"/>
    <w:rsid w:val="002C3966"/>
    <w:rsid w:val="002C416E"/>
    <w:rsid w:val="002C451C"/>
    <w:rsid w:val="002C469B"/>
    <w:rsid w:val="002C63CF"/>
    <w:rsid w:val="002D064B"/>
    <w:rsid w:val="002D0E1E"/>
    <w:rsid w:val="002D12D2"/>
    <w:rsid w:val="002D1F56"/>
    <w:rsid w:val="002D3343"/>
    <w:rsid w:val="002D5657"/>
    <w:rsid w:val="002D5D48"/>
    <w:rsid w:val="002D6FA2"/>
    <w:rsid w:val="002E1002"/>
    <w:rsid w:val="002E2280"/>
    <w:rsid w:val="002E22CF"/>
    <w:rsid w:val="002F0036"/>
    <w:rsid w:val="002F1559"/>
    <w:rsid w:val="002F46BB"/>
    <w:rsid w:val="002F5B4A"/>
    <w:rsid w:val="002F6F3B"/>
    <w:rsid w:val="002F7F41"/>
    <w:rsid w:val="0030116B"/>
    <w:rsid w:val="00301F6B"/>
    <w:rsid w:val="003020B5"/>
    <w:rsid w:val="00305A33"/>
    <w:rsid w:val="00305B72"/>
    <w:rsid w:val="003064BC"/>
    <w:rsid w:val="0030675A"/>
    <w:rsid w:val="00310A6A"/>
    <w:rsid w:val="00311C77"/>
    <w:rsid w:val="00313F88"/>
    <w:rsid w:val="0031484B"/>
    <w:rsid w:val="00314E8E"/>
    <w:rsid w:val="00314F2C"/>
    <w:rsid w:val="00315FA0"/>
    <w:rsid w:val="00317771"/>
    <w:rsid w:val="00320EC0"/>
    <w:rsid w:val="0032142E"/>
    <w:rsid w:val="0032348A"/>
    <w:rsid w:val="003234D6"/>
    <w:rsid w:val="00324275"/>
    <w:rsid w:val="00324E21"/>
    <w:rsid w:val="00324EE5"/>
    <w:rsid w:val="003257C7"/>
    <w:rsid w:val="00325F21"/>
    <w:rsid w:val="00326754"/>
    <w:rsid w:val="00327AC7"/>
    <w:rsid w:val="003311D3"/>
    <w:rsid w:val="003315BB"/>
    <w:rsid w:val="00333E7B"/>
    <w:rsid w:val="00334E36"/>
    <w:rsid w:val="00336645"/>
    <w:rsid w:val="0033760A"/>
    <w:rsid w:val="00342198"/>
    <w:rsid w:val="00342AFB"/>
    <w:rsid w:val="00345104"/>
    <w:rsid w:val="00345D3E"/>
    <w:rsid w:val="00347941"/>
    <w:rsid w:val="00350000"/>
    <w:rsid w:val="00350775"/>
    <w:rsid w:val="003521C6"/>
    <w:rsid w:val="00352322"/>
    <w:rsid w:val="003541C8"/>
    <w:rsid w:val="00355C44"/>
    <w:rsid w:val="00357F7C"/>
    <w:rsid w:val="003600FC"/>
    <w:rsid w:val="003603D0"/>
    <w:rsid w:val="00360DC4"/>
    <w:rsid w:val="00361370"/>
    <w:rsid w:val="003629E5"/>
    <w:rsid w:val="00362E81"/>
    <w:rsid w:val="00363BA0"/>
    <w:rsid w:val="00364AAC"/>
    <w:rsid w:val="00364F10"/>
    <w:rsid w:val="003655A8"/>
    <w:rsid w:val="00365C98"/>
    <w:rsid w:val="00365D52"/>
    <w:rsid w:val="00372A78"/>
    <w:rsid w:val="00372E1D"/>
    <w:rsid w:val="0037398E"/>
    <w:rsid w:val="00373C8A"/>
    <w:rsid w:val="00374679"/>
    <w:rsid w:val="00374B96"/>
    <w:rsid w:val="00374BB1"/>
    <w:rsid w:val="00375A4E"/>
    <w:rsid w:val="00376232"/>
    <w:rsid w:val="00376E0D"/>
    <w:rsid w:val="00381E8F"/>
    <w:rsid w:val="00384B98"/>
    <w:rsid w:val="00391467"/>
    <w:rsid w:val="003917D5"/>
    <w:rsid w:val="003928FF"/>
    <w:rsid w:val="00392ACA"/>
    <w:rsid w:val="003A1133"/>
    <w:rsid w:val="003A1AE9"/>
    <w:rsid w:val="003A35F1"/>
    <w:rsid w:val="003A38DB"/>
    <w:rsid w:val="003A3D9E"/>
    <w:rsid w:val="003A4C70"/>
    <w:rsid w:val="003B0849"/>
    <w:rsid w:val="003B0E6A"/>
    <w:rsid w:val="003B1190"/>
    <w:rsid w:val="003B1E6A"/>
    <w:rsid w:val="003B22C4"/>
    <w:rsid w:val="003B2582"/>
    <w:rsid w:val="003B3A7B"/>
    <w:rsid w:val="003B3D47"/>
    <w:rsid w:val="003B50A9"/>
    <w:rsid w:val="003C1889"/>
    <w:rsid w:val="003C38D5"/>
    <w:rsid w:val="003C64C7"/>
    <w:rsid w:val="003C7629"/>
    <w:rsid w:val="003D2515"/>
    <w:rsid w:val="003D2B96"/>
    <w:rsid w:val="003D7205"/>
    <w:rsid w:val="003D7A59"/>
    <w:rsid w:val="003D7E7B"/>
    <w:rsid w:val="003E1DEE"/>
    <w:rsid w:val="003E3577"/>
    <w:rsid w:val="003E4CDC"/>
    <w:rsid w:val="003E621B"/>
    <w:rsid w:val="003E69C6"/>
    <w:rsid w:val="003F032B"/>
    <w:rsid w:val="003F036A"/>
    <w:rsid w:val="003F1C2E"/>
    <w:rsid w:val="003F48F9"/>
    <w:rsid w:val="003F4F16"/>
    <w:rsid w:val="003F5961"/>
    <w:rsid w:val="003F742B"/>
    <w:rsid w:val="00401E50"/>
    <w:rsid w:val="0040335C"/>
    <w:rsid w:val="00405BA9"/>
    <w:rsid w:val="004060EE"/>
    <w:rsid w:val="00406B9D"/>
    <w:rsid w:val="00406F87"/>
    <w:rsid w:val="0040764D"/>
    <w:rsid w:val="00410C35"/>
    <w:rsid w:val="00413D98"/>
    <w:rsid w:val="0041543D"/>
    <w:rsid w:val="00420504"/>
    <w:rsid w:val="004205E9"/>
    <w:rsid w:val="0042142C"/>
    <w:rsid w:val="004273A3"/>
    <w:rsid w:val="00430208"/>
    <w:rsid w:val="00430D67"/>
    <w:rsid w:val="004319C3"/>
    <w:rsid w:val="00431D1D"/>
    <w:rsid w:val="00432892"/>
    <w:rsid w:val="004332FA"/>
    <w:rsid w:val="00433DB4"/>
    <w:rsid w:val="00434E75"/>
    <w:rsid w:val="0043524B"/>
    <w:rsid w:val="00437882"/>
    <w:rsid w:val="004378F5"/>
    <w:rsid w:val="0044022C"/>
    <w:rsid w:val="00440B17"/>
    <w:rsid w:val="00442568"/>
    <w:rsid w:val="00443E43"/>
    <w:rsid w:val="00444F42"/>
    <w:rsid w:val="004454A5"/>
    <w:rsid w:val="00445713"/>
    <w:rsid w:val="00446462"/>
    <w:rsid w:val="0044647D"/>
    <w:rsid w:val="00451062"/>
    <w:rsid w:val="004517E6"/>
    <w:rsid w:val="00451BB8"/>
    <w:rsid w:val="004538E8"/>
    <w:rsid w:val="004543E5"/>
    <w:rsid w:val="004558B1"/>
    <w:rsid w:val="00455F70"/>
    <w:rsid w:val="004560BD"/>
    <w:rsid w:val="00456325"/>
    <w:rsid w:val="00457BE3"/>
    <w:rsid w:val="00461A40"/>
    <w:rsid w:val="00461DDF"/>
    <w:rsid w:val="00462D2A"/>
    <w:rsid w:val="00464C23"/>
    <w:rsid w:val="00466E24"/>
    <w:rsid w:val="00471561"/>
    <w:rsid w:val="00471959"/>
    <w:rsid w:val="004721E1"/>
    <w:rsid w:val="00473631"/>
    <w:rsid w:val="00474DE5"/>
    <w:rsid w:val="0047512B"/>
    <w:rsid w:val="00476FF7"/>
    <w:rsid w:val="004776A7"/>
    <w:rsid w:val="00477A53"/>
    <w:rsid w:val="00477EEA"/>
    <w:rsid w:val="00480388"/>
    <w:rsid w:val="00480715"/>
    <w:rsid w:val="00481418"/>
    <w:rsid w:val="004817CF"/>
    <w:rsid w:val="00481CF3"/>
    <w:rsid w:val="004821B9"/>
    <w:rsid w:val="004837CC"/>
    <w:rsid w:val="00483D4B"/>
    <w:rsid w:val="0049012F"/>
    <w:rsid w:val="004907A6"/>
    <w:rsid w:val="004915F3"/>
    <w:rsid w:val="004922A4"/>
    <w:rsid w:val="00492811"/>
    <w:rsid w:val="00495F26"/>
    <w:rsid w:val="00496472"/>
    <w:rsid w:val="004965F4"/>
    <w:rsid w:val="004A073F"/>
    <w:rsid w:val="004A0CEA"/>
    <w:rsid w:val="004A10F7"/>
    <w:rsid w:val="004A1CDA"/>
    <w:rsid w:val="004A6023"/>
    <w:rsid w:val="004B06C2"/>
    <w:rsid w:val="004B0D6A"/>
    <w:rsid w:val="004B26B6"/>
    <w:rsid w:val="004B2E06"/>
    <w:rsid w:val="004B51AA"/>
    <w:rsid w:val="004C0A1A"/>
    <w:rsid w:val="004C1BA5"/>
    <w:rsid w:val="004C21B9"/>
    <w:rsid w:val="004C3623"/>
    <w:rsid w:val="004C3C71"/>
    <w:rsid w:val="004C5886"/>
    <w:rsid w:val="004C781C"/>
    <w:rsid w:val="004D0CDA"/>
    <w:rsid w:val="004D200B"/>
    <w:rsid w:val="004D23C9"/>
    <w:rsid w:val="004D3B2E"/>
    <w:rsid w:val="004D3FFC"/>
    <w:rsid w:val="004D4459"/>
    <w:rsid w:val="004D52AF"/>
    <w:rsid w:val="004E00BA"/>
    <w:rsid w:val="004E05A6"/>
    <w:rsid w:val="004E07C3"/>
    <w:rsid w:val="004E49C3"/>
    <w:rsid w:val="004E5470"/>
    <w:rsid w:val="004E5EE6"/>
    <w:rsid w:val="004E6A54"/>
    <w:rsid w:val="004E70FD"/>
    <w:rsid w:val="004E73C9"/>
    <w:rsid w:val="004E7E6C"/>
    <w:rsid w:val="004F0BE6"/>
    <w:rsid w:val="004F1591"/>
    <w:rsid w:val="004F19C3"/>
    <w:rsid w:val="004F54D7"/>
    <w:rsid w:val="004F6E95"/>
    <w:rsid w:val="00500584"/>
    <w:rsid w:val="005017BB"/>
    <w:rsid w:val="005018D0"/>
    <w:rsid w:val="005046BF"/>
    <w:rsid w:val="005049C9"/>
    <w:rsid w:val="00504E22"/>
    <w:rsid w:val="005056A8"/>
    <w:rsid w:val="005076BA"/>
    <w:rsid w:val="0051055A"/>
    <w:rsid w:val="005111F3"/>
    <w:rsid w:val="005134DF"/>
    <w:rsid w:val="00514EC0"/>
    <w:rsid w:val="0051518D"/>
    <w:rsid w:val="005152F6"/>
    <w:rsid w:val="00516668"/>
    <w:rsid w:val="00517EC9"/>
    <w:rsid w:val="0052559B"/>
    <w:rsid w:val="00525C5C"/>
    <w:rsid w:val="005265C0"/>
    <w:rsid w:val="005304A7"/>
    <w:rsid w:val="005319C4"/>
    <w:rsid w:val="00531BD3"/>
    <w:rsid w:val="00533BC3"/>
    <w:rsid w:val="0053582D"/>
    <w:rsid w:val="00535B08"/>
    <w:rsid w:val="00537B1F"/>
    <w:rsid w:val="00540AD8"/>
    <w:rsid w:val="00541CA8"/>
    <w:rsid w:val="00542E38"/>
    <w:rsid w:val="005431B8"/>
    <w:rsid w:val="005438A4"/>
    <w:rsid w:val="00544462"/>
    <w:rsid w:val="00545D2A"/>
    <w:rsid w:val="00546D22"/>
    <w:rsid w:val="00547128"/>
    <w:rsid w:val="00547880"/>
    <w:rsid w:val="00547C53"/>
    <w:rsid w:val="00547F7F"/>
    <w:rsid w:val="005500E1"/>
    <w:rsid w:val="00550ABB"/>
    <w:rsid w:val="0055125C"/>
    <w:rsid w:val="005557EA"/>
    <w:rsid w:val="005569B0"/>
    <w:rsid w:val="005569CA"/>
    <w:rsid w:val="00560ABF"/>
    <w:rsid w:val="00561ACC"/>
    <w:rsid w:val="00561B4D"/>
    <w:rsid w:val="00563BD0"/>
    <w:rsid w:val="00563D5B"/>
    <w:rsid w:val="00564749"/>
    <w:rsid w:val="00564FBD"/>
    <w:rsid w:val="00564FF1"/>
    <w:rsid w:val="005673F8"/>
    <w:rsid w:val="00567BD6"/>
    <w:rsid w:val="00570349"/>
    <w:rsid w:val="00571B12"/>
    <w:rsid w:val="00571C5C"/>
    <w:rsid w:val="00574108"/>
    <w:rsid w:val="00575FC9"/>
    <w:rsid w:val="0057679A"/>
    <w:rsid w:val="005800B2"/>
    <w:rsid w:val="00580C62"/>
    <w:rsid w:val="0058164C"/>
    <w:rsid w:val="005820CB"/>
    <w:rsid w:val="00582C3E"/>
    <w:rsid w:val="00584636"/>
    <w:rsid w:val="005855A7"/>
    <w:rsid w:val="005877D4"/>
    <w:rsid w:val="00590695"/>
    <w:rsid w:val="00591020"/>
    <w:rsid w:val="00592678"/>
    <w:rsid w:val="005949EB"/>
    <w:rsid w:val="00596C77"/>
    <w:rsid w:val="005A0504"/>
    <w:rsid w:val="005A27A6"/>
    <w:rsid w:val="005A4358"/>
    <w:rsid w:val="005A66BA"/>
    <w:rsid w:val="005A7AC3"/>
    <w:rsid w:val="005B0B3F"/>
    <w:rsid w:val="005B0ECE"/>
    <w:rsid w:val="005B2017"/>
    <w:rsid w:val="005B32BD"/>
    <w:rsid w:val="005B334F"/>
    <w:rsid w:val="005B3B0D"/>
    <w:rsid w:val="005B450C"/>
    <w:rsid w:val="005B4A60"/>
    <w:rsid w:val="005B6E3D"/>
    <w:rsid w:val="005C0C48"/>
    <w:rsid w:val="005C0C51"/>
    <w:rsid w:val="005C11A4"/>
    <w:rsid w:val="005C45D9"/>
    <w:rsid w:val="005C49F9"/>
    <w:rsid w:val="005C7A79"/>
    <w:rsid w:val="005C7F3D"/>
    <w:rsid w:val="005D0202"/>
    <w:rsid w:val="005D3111"/>
    <w:rsid w:val="005D31F3"/>
    <w:rsid w:val="005D3FB1"/>
    <w:rsid w:val="005D4350"/>
    <w:rsid w:val="005D44C0"/>
    <w:rsid w:val="005D5E38"/>
    <w:rsid w:val="005D6A0C"/>
    <w:rsid w:val="005E034C"/>
    <w:rsid w:val="005E06CD"/>
    <w:rsid w:val="005E132C"/>
    <w:rsid w:val="005E3C6E"/>
    <w:rsid w:val="005E41F0"/>
    <w:rsid w:val="005E4486"/>
    <w:rsid w:val="005E5165"/>
    <w:rsid w:val="005E68CC"/>
    <w:rsid w:val="005E6D7D"/>
    <w:rsid w:val="005E7C74"/>
    <w:rsid w:val="005E7EEB"/>
    <w:rsid w:val="005F2C5D"/>
    <w:rsid w:val="005F2FFE"/>
    <w:rsid w:val="005F3617"/>
    <w:rsid w:val="005F3BBE"/>
    <w:rsid w:val="005F6A5C"/>
    <w:rsid w:val="006021C3"/>
    <w:rsid w:val="00604A3F"/>
    <w:rsid w:val="006106AC"/>
    <w:rsid w:val="00610ED8"/>
    <w:rsid w:val="0061240D"/>
    <w:rsid w:val="006124B5"/>
    <w:rsid w:val="006124F3"/>
    <w:rsid w:val="006160E3"/>
    <w:rsid w:val="0061719D"/>
    <w:rsid w:val="00620B2C"/>
    <w:rsid w:val="00621E11"/>
    <w:rsid w:val="00622476"/>
    <w:rsid w:val="006225DE"/>
    <w:rsid w:val="00622909"/>
    <w:rsid w:val="00622CA7"/>
    <w:rsid w:val="00623AD6"/>
    <w:rsid w:val="00627618"/>
    <w:rsid w:val="0063082D"/>
    <w:rsid w:val="00630CB9"/>
    <w:rsid w:val="006314AC"/>
    <w:rsid w:val="00632120"/>
    <w:rsid w:val="00633610"/>
    <w:rsid w:val="00633FDC"/>
    <w:rsid w:val="006345AD"/>
    <w:rsid w:val="00636900"/>
    <w:rsid w:val="006403DB"/>
    <w:rsid w:val="00643332"/>
    <w:rsid w:val="00643E19"/>
    <w:rsid w:val="00644BD4"/>
    <w:rsid w:val="006451D1"/>
    <w:rsid w:val="006453CD"/>
    <w:rsid w:val="00645AD8"/>
    <w:rsid w:val="006466DF"/>
    <w:rsid w:val="006469DF"/>
    <w:rsid w:val="00650E7A"/>
    <w:rsid w:val="00651A95"/>
    <w:rsid w:val="0065229F"/>
    <w:rsid w:val="006537CC"/>
    <w:rsid w:val="00655F74"/>
    <w:rsid w:val="00657131"/>
    <w:rsid w:val="00660EEE"/>
    <w:rsid w:val="00661E50"/>
    <w:rsid w:val="00661FF7"/>
    <w:rsid w:val="00662302"/>
    <w:rsid w:val="00663C74"/>
    <w:rsid w:val="00670B49"/>
    <w:rsid w:val="00671386"/>
    <w:rsid w:val="00672914"/>
    <w:rsid w:val="0067298D"/>
    <w:rsid w:val="006733FE"/>
    <w:rsid w:val="00677070"/>
    <w:rsid w:val="00680623"/>
    <w:rsid w:val="00680A76"/>
    <w:rsid w:val="006828A8"/>
    <w:rsid w:val="00683A74"/>
    <w:rsid w:val="00684834"/>
    <w:rsid w:val="006852DF"/>
    <w:rsid w:val="00685476"/>
    <w:rsid w:val="0068582B"/>
    <w:rsid w:val="006867D3"/>
    <w:rsid w:val="00687D55"/>
    <w:rsid w:val="0069081C"/>
    <w:rsid w:val="00690DBD"/>
    <w:rsid w:val="006911B2"/>
    <w:rsid w:val="0069189F"/>
    <w:rsid w:val="00695A14"/>
    <w:rsid w:val="00695E6E"/>
    <w:rsid w:val="00696767"/>
    <w:rsid w:val="00696B7C"/>
    <w:rsid w:val="00697FC7"/>
    <w:rsid w:val="006A1295"/>
    <w:rsid w:val="006A1E81"/>
    <w:rsid w:val="006A2195"/>
    <w:rsid w:val="006A2F8E"/>
    <w:rsid w:val="006A3011"/>
    <w:rsid w:val="006A43AF"/>
    <w:rsid w:val="006A552A"/>
    <w:rsid w:val="006A7A0C"/>
    <w:rsid w:val="006B01EE"/>
    <w:rsid w:val="006B0F60"/>
    <w:rsid w:val="006B1E8A"/>
    <w:rsid w:val="006B5683"/>
    <w:rsid w:val="006B6A2D"/>
    <w:rsid w:val="006B7242"/>
    <w:rsid w:val="006C0DE9"/>
    <w:rsid w:val="006C2653"/>
    <w:rsid w:val="006C5932"/>
    <w:rsid w:val="006C7209"/>
    <w:rsid w:val="006D01E9"/>
    <w:rsid w:val="006D09E6"/>
    <w:rsid w:val="006D10BD"/>
    <w:rsid w:val="006D1200"/>
    <w:rsid w:val="006D299C"/>
    <w:rsid w:val="006D30C2"/>
    <w:rsid w:val="006D6083"/>
    <w:rsid w:val="006D63A0"/>
    <w:rsid w:val="006D6B99"/>
    <w:rsid w:val="006D6D00"/>
    <w:rsid w:val="006D7B75"/>
    <w:rsid w:val="006D7EAA"/>
    <w:rsid w:val="006E2007"/>
    <w:rsid w:val="006E4534"/>
    <w:rsid w:val="006E797A"/>
    <w:rsid w:val="006E7F4C"/>
    <w:rsid w:val="006F2A48"/>
    <w:rsid w:val="006F3C0B"/>
    <w:rsid w:val="006F4BF9"/>
    <w:rsid w:val="006F5551"/>
    <w:rsid w:val="00702EC0"/>
    <w:rsid w:val="00703991"/>
    <w:rsid w:val="0070469C"/>
    <w:rsid w:val="00706201"/>
    <w:rsid w:val="00710B01"/>
    <w:rsid w:val="007113EA"/>
    <w:rsid w:val="00712E98"/>
    <w:rsid w:val="00715803"/>
    <w:rsid w:val="00716355"/>
    <w:rsid w:val="007208B8"/>
    <w:rsid w:val="007225DA"/>
    <w:rsid w:val="00722794"/>
    <w:rsid w:val="007247A1"/>
    <w:rsid w:val="00724D3A"/>
    <w:rsid w:val="00733134"/>
    <w:rsid w:val="00734F24"/>
    <w:rsid w:val="00735190"/>
    <w:rsid w:val="00737ADD"/>
    <w:rsid w:val="00737E25"/>
    <w:rsid w:val="00741D81"/>
    <w:rsid w:val="00743025"/>
    <w:rsid w:val="0074473E"/>
    <w:rsid w:val="00745489"/>
    <w:rsid w:val="00745E36"/>
    <w:rsid w:val="0074762F"/>
    <w:rsid w:val="00750221"/>
    <w:rsid w:val="00750B39"/>
    <w:rsid w:val="00750EEF"/>
    <w:rsid w:val="007519DF"/>
    <w:rsid w:val="007533EA"/>
    <w:rsid w:val="0075360D"/>
    <w:rsid w:val="0075470E"/>
    <w:rsid w:val="0075604E"/>
    <w:rsid w:val="00756633"/>
    <w:rsid w:val="00757A5E"/>
    <w:rsid w:val="00757B45"/>
    <w:rsid w:val="007601E2"/>
    <w:rsid w:val="00762F16"/>
    <w:rsid w:val="007635EB"/>
    <w:rsid w:val="00764BFA"/>
    <w:rsid w:val="007653A7"/>
    <w:rsid w:val="00765B0D"/>
    <w:rsid w:val="00770813"/>
    <w:rsid w:val="00770E8C"/>
    <w:rsid w:val="00773087"/>
    <w:rsid w:val="00774060"/>
    <w:rsid w:val="00774620"/>
    <w:rsid w:val="007754BD"/>
    <w:rsid w:val="00780FA8"/>
    <w:rsid w:val="007815A7"/>
    <w:rsid w:val="00781F82"/>
    <w:rsid w:val="00782842"/>
    <w:rsid w:val="00782F5B"/>
    <w:rsid w:val="0078344B"/>
    <w:rsid w:val="007861AD"/>
    <w:rsid w:val="007863A4"/>
    <w:rsid w:val="00787299"/>
    <w:rsid w:val="00790497"/>
    <w:rsid w:val="00790A88"/>
    <w:rsid w:val="00790E9A"/>
    <w:rsid w:val="00794831"/>
    <w:rsid w:val="007A2379"/>
    <w:rsid w:val="007A3156"/>
    <w:rsid w:val="007A3D0E"/>
    <w:rsid w:val="007A4153"/>
    <w:rsid w:val="007A4B14"/>
    <w:rsid w:val="007A533C"/>
    <w:rsid w:val="007A64E9"/>
    <w:rsid w:val="007B087F"/>
    <w:rsid w:val="007B08CF"/>
    <w:rsid w:val="007B17CE"/>
    <w:rsid w:val="007B3B55"/>
    <w:rsid w:val="007B3E6A"/>
    <w:rsid w:val="007B467A"/>
    <w:rsid w:val="007B4D40"/>
    <w:rsid w:val="007B55DB"/>
    <w:rsid w:val="007B6599"/>
    <w:rsid w:val="007D00B1"/>
    <w:rsid w:val="007D1C1C"/>
    <w:rsid w:val="007D2750"/>
    <w:rsid w:val="007D3E24"/>
    <w:rsid w:val="007D4341"/>
    <w:rsid w:val="007D7368"/>
    <w:rsid w:val="007E1A4A"/>
    <w:rsid w:val="007E24C8"/>
    <w:rsid w:val="007E2EDF"/>
    <w:rsid w:val="007E3876"/>
    <w:rsid w:val="007E6794"/>
    <w:rsid w:val="007F0710"/>
    <w:rsid w:val="007F2CFF"/>
    <w:rsid w:val="007F56D1"/>
    <w:rsid w:val="007F6261"/>
    <w:rsid w:val="007F69DC"/>
    <w:rsid w:val="00800119"/>
    <w:rsid w:val="008017D9"/>
    <w:rsid w:val="00801FCE"/>
    <w:rsid w:val="008021E4"/>
    <w:rsid w:val="00803175"/>
    <w:rsid w:val="00803818"/>
    <w:rsid w:val="00805148"/>
    <w:rsid w:val="00805B2A"/>
    <w:rsid w:val="00805E05"/>
    <w:rsid w:val="00807390"/>
    <w:rsid w:val="00810F68"/>
    <w:rsid w:val="008123A1"/>
    <w:rsid w:val="008123A4"/>
    <w:rsid w:val="00812F94"/>
    <w:rsid w:val="0081409D"/>
    <w:rsid w:val="008162CD"/>
    <w:rsid w:val="00817DE5"/>
    <w:rsid w:val="008203D6"/>
    <w:rsid w:val="00822125"/>
    <w:rsid w:val="008232D1"/>
    <w:rsid w:val="008256F3"/>
    <w:rsid w:val="00826A0D"/>
    <w:rsid w:val="00827F28"/>
    <w:rsid w:val="008300CD"/>
    <w:rsid w:val="00830B04"/>
    <w:rsid w:val="008314DA"/>
    <w:rsid w:val="00831A2A"/>
    <w:rsid w:val="0083622D"/>
    <w:rsid w:val="00836315"/>
    <w:rsid w:val="00836BF4"/>
    <w:rsid w:val="00841BFF"/>
    <w:rsid w:val="00841E82"/>
    <w:rsid w:val="00842B66"/>
    <w:rsid w:val="008448F2"/>
    <w:rsid w:val="00844BAC"/>
    <w:rsid w:val="00845FEB"/>
    <w:rsid w:val="00850324"/>
    <w:rsid w:val="0085083B"/>
    <w:rsid w:val="00850F9F"/>
    <w:rsid w:val="00852463"/>
    <w:rsid w:val="0085299E"/>
    <w:rsid w:val="00852B6D"/>
    <w:rsid w:val="00852E5B"/>
    <w:rsid w:val="008542BE"/>
    <w:rsid w:val="0085479A"/>
    <w:rsid w:val="0085760F"/>
    <w:rsid w:val="00857C98"/>
    <w:rsid w:val="00861B84"/>
    <w:rsid w:val="008623EC"/>
    <w:rsid w:val="00863E33"/>
    <w:rsid w:val="00865F6B"/>
    <w:rsid w:val="00866CF6"/>
    <w:rsid w:val="00867096"/>
    <w:rsid w:val="00867A3A"/>
    <w:rsid w:val="00871655"/>
    <w:rsid w:val="00871A33"/>
    <w:rsid w:val="00871B4C"/>
    <w:rsid w:val="00872195"/>
    <w:rsid w:val="0087323D"/>
    <w:rsid w:val="008735A5"/>
    <w:rsid w:val="00873FCA"/>
    <w:rsid w:val="00876359"/>
    <w:rsid w:val="0088011A"/>
    <w:rsid w:val="00881719"/>
    <w:rsid w:val="00885A09"/>
    <w:rsid w:val="00886A38"/>
    <w:rsid w:val="00887292"/>
    <w:rsid w:val="00891B3C"/>
    <w:rsid w:val="00891FE7"/>
    <w:rsid w:val="0089261B"/>
    <w:rsid w:val="00896CA1"/>
    <w:rsid w:val="00897200"/>
    <w:rsid w:val="00897328"/>
    <w:rsid w:val="008A0AAE"/>
    <w:rsid w:val="008A21C0"/>
    <w:rsid w:val="008A462A"/>
    <w:rsid w:val="008A48CC"/>
    <w:rsid w:val="008A4BB6"/>
    <w:rsid w:val="008A57C0"/>
    <w:rsid w:val="008A5A82"/>
    <w:rsid w:val="008A641B"/>
    <w:rsid w:val="008B0F9F"/>
    <w:rsid w:val="008B181F"/>
    <w:rsid w:val="008B1AD5"/>
    <w:rsid w:val="008B5546"/>
    <w:rsid w:val="008B5744"/>
    <w:rsid w:val="008B6558"/>
    <w:rsid w:val="008C059A"/>
    <w:rsid w:val="008C08F0"/>
    <w:rsid w:val="008C15B4"/>
    <w:rsid w:val="008C5E48"/>
    <w:rsid w:val="008C6623"/>
    <w:rsid w:val="008D1F76"/>
    <w:rsid w:val="008D36A9"/>
    <w:rsid w:val="008D3E0D"/>
    <w:rsid w:val="008D5235"/>
    <w:rsid w:val="008D5432"/>
    <w:rsid w:val="008D5DD1"/>
    <w:rsid w:val="008D6161"/>
    <w:rsid w:val="008D7A87"/>
    <w:rsid w:val="008E15A4"/>
    <w:rsid w:val="008E1628"/>
    <w:rsid w:val="008E1691"/>
    <w:rsid w:val="008E402D"/>
    <w:rsid w:val="008E4817"/>
    <w:rsid w:val="008E5BB7"/>
    <w:rsid w:val="008E731F"/>
    <w:rsid w:val="008E783B"/>
    <w:rsid w:val="008F3556"/>
    <w:rsid w:val="008F5AC4"/>
    <w:rsid w:val="00900BC6"/>
    <w:rsid w:val="009018AF"/>
    <w:rsid w:val="0090266C"/>
    <w:rsid w:val="00904590"/>
    <w:rsid w:val="00904621"/>
    <w:rsid w:val="00905851"/>
    <w:rsid w:val="00906052"/>
    <w:rsid w:val="00906964"/>
    <w:rsid w:val="00910191"/>
    <w:rsid w:val="00911412"/>
    <w:rsid w:val="00912F67"/>
    <w:rsid w:val="009134ED"/>
    <w:rsid w:val="009138E8"/>
    <w:rsid w:val="00921BD9"/>
    <w:rsid w:val="00923B80"/>
    <w:rsid w:val="00924244"/>
    <w:rsid w:val="0092530E"/>
    <w:rsid w:val="009306CD"/>
    <w:rsid w:val="00932503"/>
    <w:rsid w:val="00932C26"/>
    <w:rsid w:val="00934E5D"/>
    <w:rsid w:val="00935937"/>
    <w:rsid w:val="00937AFE"/>
    <w:rsid w:val="00937E97"/>
    <w:rsid w:val="00941677"/>
    <w:rsid w:val="00943CF8"/>
    <w:rsid w:val="00944BAB"/>
    <w:rsid w:val="00944E64"/>
    <w:rsid w:val="0094528C"/>
    <w:rsid w:val="00945B32"/>
    <w:rsid w:val="00945B71"/>
    <w:rsid w:val="00945D7A"/>
    <w:rsid w:val="00945E4F"/>
    <w:rsid w:val="009512FC"/>
    <w:rsid w:val="00951EAD"/>
    <w:rsid w:val="0095312A"/>
    <w:rsid w:val="00953163"/>
    <w:rsid w:val="00953A80"/>
    <w:rsid w:val="00954522"/>
    <w:rsid w:val="0095547E"/>
    <w:rsid w:val="00956A78"/>
    <w:rsid w:val="00957EAD"/>
    <w:rsid w:val="009601DB"/>
    <w:rsid w:val="00961C7C"/>
    <w:rsid w:val="00964030"/>
    <w:rsid w:val="009646DC"/>
    <w:rsid w:val="0096486E"/>
    <w:rsid w:val="009648A9"/>
    <w:rsid w:val="00970575"/>
    <w:rsid w:val="009705A0"/>
    <w:rsid w:val="00975E82"/>
    <w:rsid w:val="009816BF"/>
    <w:rsid w:val="00981CD6"/>
    <w:rsid w:val="00982A9E"/>
    <w:rsid w:val="0098430F"/>
    <w:rsid w:val="00986E51"/>
    <w:rsid w:val="0098781C"/>
    <w:rsid w:val="009917DB"/>
    <w:rsid w:val="00991CC9"/>
    <w:rsid w:val="00991CE1"/>
    <w:rsid w:val="00992C2E"/>
    <w:rsid w:val="00993739"/>
    <w:rsid w:val="00994920"/>
    <w:rsid w:val="00995250"/>
    <w:rsid w:val="00996478"/>
    <w:rsid w:val="009A0CB1"/>
    <w:rsid w:val="009A5D33"/>
    <w:rsid w:val="009A5EC9"/>
    <w:rsid w:val="009B202F"/>
    <w:rsid w:val="009B27D0"/>
    <w:rsid w:val="009B2E70"/>
    <w:rsid w:val="009B32F0"/>
    <w:rsid w:val="009B5096"/>
    <w:rsid w:val="009B5980"/>
    <w:rsid w:val="009B5EAC"/>
    <w:rsid w:val="009B701D"/>
    <w:rsid w:val="009C56F2"/>
    <w:rsid w:val="009C7433"/>
    <w:rsid w:val="009C7A15"/>
    <w:rsid w:val="009D12FC"/>
    <w:rsid w:val="009D1F40"/>
    <w:rsid w:val="009D26C2"/>
    <w:rsid w:val="009D379A"/>
    <w:rsid w:val="009D4BDE"/>
    <w:rsid w:val="009D6EEF"/>
    <w:rsid w:val="009D790B"/>
    <w:rsid w:val="009E044D"/>
    <w:rsid w:val="009E10C0"/>
    <w:rsid w:val="009E28CB"/>
    <w:rsid w:val="009E3C60"/>
    <w:rsid w:val="009E3F7D"/>
    <w:rsid w:val="009E6C76"/>
    <w:rsid w:val="009E7C41"/>
    <w:rsid w:val="009E7EA6"/>
    <w:rsid w:val="009F1106"/>
    <w:rsid w:val="009F28BA"/>
    <w:rsid w:val="009F323E"/>
    <w:rsid w:val="009F38E9"/>
    <w:rsid w:val="009F4DF2"/>
    <w:rsid w:val="009F55F8"/>
    <w:rsid w:val="009F6510"/>
    <w:rsid w:val="009F66F1"/>
    <w:rsid w:val="00A00888"/>
    <w:rsid w:val="00A0177D"/>
    <w:rsid w:val="00A01A9F"/>
    <w:rsid w:val="00A02961"/>
    <w:rsid w:val="00A038CC"/>
    <w:rsid w:val="00A04182"/>
    <w:rsid w:val="00A0724A"/>
    <w:rsid w:val="00A103AC"/>
    <w:rsid w:val="00A14206"/>
    <w:rsid w:val="00A14344"/>
    <w:rsid w:val="00A16088"/>
    <w:rsid w:val="00A16E2C"/>
    <w:rsid w:val="00A1700F"/>
    <w:rsid w:val="00A20ACB"/>
    <w:rsid w:val="00A216A8"/>
    <w:rsid w:val="00A2421B"/>
    <w:rsid w:val="00A25B11"/>
    <w:rsid w:val="00A26B41"/>
    <w:rsid w:val="00A303C5"/>
    <w:rsid w:val="00A31B44"/>
    <w:rsid w:val="00A32031"/>
    <w:rsid w:val="00A32A45"/>
    <w:rsid w:val="00A32BC6"/>
    <w:rsid w:val="00A335E1"/>
    <w:rsid w:val="00A350A9"/>
    <w:rsid w:val="00A3651C"/>
    <w:rsid w:val="00A365B9"/>
    <w:rsid w:val="00A36F08"/>
    <w:rsid w:val="00A374AC"/>
    <w:rsid w:val="00A400DF"/>
    <w:rsid w:val="00A4110D"/>
    <w:rsid w:val="00A44534"/>
    <w:rsid w:val="00A458F7"/>
    <w:rsid w:val="00A5056C"/>
    <w:rsid w:val="00A50CEF"/>
    <w:rsid w:val="00A51EC1"/>
    <w:rsid w:val="00A53CC1"/>
    <w:rsid w:val="00A57695"/>
    <w:rsid w:val="00A60A21"/>
    <w:rsid w:val="00A60D2C"/>
    <w:rsid w:val="00A613CB"/>
    <w:rsid w:val="00A61A57"/>
    <w:rsid w:val="00A62432"/>
    <w:rsid w:val="00A64D52"/>
    <w:rsid w:val="00A6513A"/>
    <w:rsid w:val="00A704B6"/>
    <w:rsid w:val="00A706EE"/>
    <w:rsid w:val="00A72A3B"/>
    <w:rsid w:val="00A72BA4"/>
    <w:rsid w:val="00A733E4"/>
    <w:rsid w:val="00A74F3B"/>
    <w:rsid w:val="00A757EC"/>
    <w:rsid w:val="00A77E61"/>
    <w:rsid w:val="00A80147"/>
    <w:rsid w:val="00A82532"/>
    <w:rsid w:val="00A83818"/>
    <w:rsid w:val="00A87936"/>
    <w:rsid w:val="00A87CA4"/>
    <w:rsid w:val="00A87FA7"/>
    <w:rsid w:val="00A91895"/>
    <w:rsid w:val="00A9290E"/>
    <w:rsid w:val="00A92F9F"/>
    <w:rsid w:val="00A93BF1"/>
    <w:rsid w:val="00A9490A"/>
    <w:rsid w:val="00A9535E"/>
    <w:rsid w:val="00A955F9"/>
    <w:rsid w:val="00AA189E"/>
    <w:rsid w:val="00AA1BFB"/>
    <w:rsid w:val="00AA3392"/>
    <w:rsid w:val="00AA345D"/>
    <w:rsid w:val="00AA3B11"/>
    <w:rsid w:val="00AA4152"/>
    <w:rsid w:val="00AA4633"/>
    <w:rsid w:val="00AB0A98"/>
    <w:rsid w:val="00AB465D"/>
    <w:rsid w:val="00AB4756"/>
    <w:rsid w:val="00AC12AE"/>
    <w:rsid w:val="00AC13DA"/>
    <w:rsid w:val="00AC1A7D"/>
    <w:rsid w:val="00AC1E00"/>
    <w:rsid w:val="00AC26C1"/>
    <w:rsid w:val="00AC2826"/>
    <w:rsid w:val="00AC4254"/>
    <w:rsid w:val="00AC44EA"/>
    <w:rsid w:val="00AC51A7"/>
    <w:rsid w:val="00AC554A"/>
    <w:rsid w:val="00AC5633"/>
    <w:rsid w:val="00AC7B5F"/>
    <w:rsid w:val="00AD251E"/>
    <w:rsid w:val="00AD4CA0"/>
    <w:rsid w:val="00AD5C31"/>
    <w:rsid w:val="00AD6B14"/>
    <w:rsid w:val="00AD7DF5"/>
    <w:rsid w:val="00AE0027"/>
    <w:rsid w:val="00AE0790"/>
    <w:rsid w:val="00AE16EB"/>
    <w:rsid w:val="00AE38D4"/>
    <w:rsid w:val="00AE39C8"/>
    <w:rsid w:val="00AE4538"/>
    <w:rsid w:val="00AE453C"/>
    <w:rsid w:val="00AE5014"/>
    <w:rsid w:val="00AF21C9"/>
    <w:rsid w:val="00AF2483"/>
    <w:rsid w:val="00AF2B16"/>
    <w:rsid w:val="00AF58AE"/>
    <w:rsid w:val="00AF6C07"/>
    <w:rsid w:val="00B01E45"/>
    <w:rsid w:val="00B05FE4"/>
    <w:rsid w:val="00B107F1"/>
    <w:rsid w:val="00B12B5B"/>
    <w:rsid w:val="00B13871"/>
    <w:rsid w:val="00B13C3E"/>
    <w:rsid w:val="00B1496E"/>
    <w:rsid w:val="00B16F7A"/>
    <w:rsid w:val="00B21386"/>
    <w:rsid w:val="00B231B9"/>
    <w:rsid w:val="00B24450"/>
    <w:rsid w:val="00B25AA1"/>
    <w:rsid w:val="00B25ECC"/>
    <w:rsid w:val="00B25FCD"/>
    <w:rsid w:val="00B27094"/>
    <w:rsid w:val="00B273D5"/>
    <w:rsid w:val="00B273DF"/>
    <w:rsid w:val="00B305FD"/>
    <w:rsid w:val="00B3430F"/>
    <w:rsid w:val="00B36878"/>
    <w:rsid w:val="00B37806"/>
    <w:rsid w:val="00B41190"/>
    <w:rsid w:val="00B41C88"/>
    <w:rsid w:val="00B42657"/>
    <w:rsid w:val="00B42D43"/>
    <w:rsid w:val="00B43947"/>
    <w:rsid w:val="00B46717"/>
    <w:rsid w:val="00B5151B"/>
    <w:rsid w:val="00B535D5"/>
    <w:rsid w:val="00B53707"/>
    <w:rsid w:val="00B54B1E"/>
    <w:rsid w:val="00B56368"/>
    <w:rsid w:val="00B6054F"/>
    <w:rsid w:val="00B61356"/>
    <w:rsid w:val="00B61BD3"/>
    <w:rsid w:val="00B63AF6"/>
    <w:rsid w:val="00B649DF"/>
    <w:rsid w:val="00B657FF"/>
    <w:rsid w:val="00B70DAD"/>
    <w:rsid w:val="00B721E4"/>
    <w:rsid w:val="00B728B8"/>
    <w:rsid w:val="00B72E2A"/>
    <w:rsid w:val="00B73D12"/>
    <w:rsid w:val="00B73D69"/>
    <w:rsid w:val="00B741DC"/>
    <w:rsid w:val="00B7623D"/>
    <w:rsid w:val="00B777BE"/>
    <w:rsid w:val="00B77C2A"/>
    <w:rsid w:val="00B77EE8"/>
    <w:rsid w:val="00B810A9"/>
    <w:rsid w:val="00B817F3"/>
    <w:rsid w:val="00B83D85"/>
    <w:rsid w:val="00B85DBD"/>
    <w:rsid w:val="00B8609C"/>
    <w:rsid w:val="00B86725"/>
    <w:rsid w:val="00B871EC"/>
    <w:rsid w:val="00B87350"/>
    <w:rsid w:val="00B9353D"/>
    <w:rsid w:val="00B93A95"/>
    <w:rsid w:val="00B947FF"/>
    <w:rsid w:val="00B95172"/>
    <w:rsid w:val="00B95FF9"/>
    <w:rsid w:val="00B97DE4"/>
    <w:rsid w:val="00BA0692"/>
    <w:rsid w:val="00BA100E"/>
    <w:rsid w:val="00BA1971"/>
    <w:rsid w:val="00BA48E5"/>
    <w:rsid w:val="00BA4D6C"/>
    <w:rsid w:val="00BA5577"/>
    <w:rsid w:val="00BA6356"/>
    <w:rsid w:val="00BA67A9"/>
    <w:rsid w:val="00BA739A"/>
    <w:rsid w:val="00BB0410"/>
    <w:rsid w:val="00BB0FEE"/>
    <w:rsid w:val="00BB1DD0"/>
    <w:rsid w:val="00BB441A"/>
    <w:rsid w:val="00BB45FD"/>
    <w:rsid w:val="00BB5DED"/>
    <w:rsid w:val="00BB645B"/>
    <w:rsid w:val="00BC075E"/>
    <w:rsid w:val="00BC0E15"/>
    <w:rsid w:val="00BC1328"/>
    <w:rsid w:val="00BC326B"/>
    <w:rsid w:val="00BC3E79"/>
    <w:rsid w:val="00BC48C5"/>
    <w:rsid w:val="00BC5C1C"/>
    <w:rsid w:val="00BC6E12"/>
    <w:rsid w:val="00BC7375"/>
    <w:rsid w:val="00BD023C"/>
    <w:rsid w:val="00BD1E6C"/>
    <w:rsid w:val="00BD36AB"/>
    <w:rsid w:val="00BD6834"/>
    <w:rsid w:val="00BD709B"/>
    <w:rsid w:val="00BD7465"/>
    <w:rsid w:val="00BE109C"/>
    <w:rsid w:val="00BE1AEC"/>
    <w:rsid w:val="00BE3172"/>
    <w:rsid w:val="00BE467A"/>
    <w:rsid w:val="00BE5AA9"/>
    <w:rsid w:val="00BE6C37"/>
    <w:rsid w:val="00BF0B4C"/>
    <w:rsid w:val="00BF13B5"/>
    <w:rsid w:val="00BF2DC2"/>
    <w:rsid w:val="00BF4FA1"/>
    <w:rsid w:val="00BF663E"/>
    <w:rsid w:val="00BF6922"/>
    <w:rsid w:val="00BF6D9C"/>
    <w:rsid w:val="00BF7B14"/>
    <w:rsid w:val="00C01537"/>
    <w:rsid w:val="00C02B71"/>
    <w:rsid w:val="00C03868"/>
    <w:rsid w:val="00C03EF8"/>
    <w:rsid w:val="00C04886"/>
    <w:rsid w:val="00C057D5"/>
    <w:rsid w:val="00C06B44"/>
    <w:rsid w:val="00C07B4F"/>
    <w:rsid w:val="00C10D00"/>
    <w:rsid w:val="00C11EF1"/>
    <w:rsid w:val="00C128C1"/>
    <w:rsid w:val="00C12AF4"/>
    <w:rsid w:val="00C14B81"/>
    <w:rsid w:val="00C15E9B"/>
    <w:rsid w:val="00C16A07"/>
    <w:rsid w:val="00C17EEE"/>
    <w:rsid w:val="00C201ED"/>
    <w:rsid w:val="00C25312"/>
    <w:rsid w:val="00C27A4B"/>
    <w:rsid w:val="00C27FA1"/>
    <w:rsid w:val="00C32008"/>
    <w:rsid w:val="00C325C2"/>
    <w:rsid w:val="00C424C2"/>
    <w:rsid w:val="00C42F07"/>
    <w:rsid w:val="00C44B86"/>
    <w:rsid w:val="00C44BA8"/>
    <w:rsid w:val="00C455B7"/>
    <w:rsid w:val="00C45B47"/>
    <w:rsid w:val="00C464D9"/>
    <w:rsid w:val="00C46E34"/>
    <w:rsid w:val="00C51F8C"/>
    <w:rsid w:val="00C51FD2"/>
    <w:rsid w:val="00C54C03"/>
    <w:rsid w:val="00C555A7"/>
    <w:rsid w:val="00C60209"/>
    <w:rsid w:val="00C71DDA"/>
    <w:rsid w:val="00C71E3D"/>
    <w:rsid w:val="00C724C1"/>
    <w:rsid w:val="00C73A47"/>
    <w:rsid w:val="00C7441B"/>
    <w:rsid w:val="00C7579B"/>
    <w:rsid w:val="00C7608E"/>
    <w:rsid w:val="00C7627D"/>
    <w:rsid w:val="00C77CB1"/>
    <w:rsid w:val="00C77D62"/>
    <w:rsid w:val="00C90934"/>
    <w:rsid w:val="00C912CE"/>
    <w:rsid w:val="00C91919"/>
    <w:rsid w:val="00C92F78"/>
    <w:rsid w:val="00C93102"/>
    <w:rsid w:val="00C93191"/>
    <w:rsid w:val="00C9366F"/>
    <w:rsid w:val="00C937D3"/>
    <w:rsid w:val="00C947C3"/>
    <w:rsid w:val="00C9515A"/>
    <w:rsid w:val="00C97A59"/>
    <w:rsid w:val="00CA187F"/>
    <w:rsid w:val="00CA2ABD"/>
    <w:rsid w:val="00CA338A"/>
    <w:rsid w:val="00CA407E"/>
    <w:rsid w:val="00CA7697"/>
    <w:rsid w:val="00CA7774"/>
    <w:rsid w:val="00CA7CA3"/>
    <w:rsid w:val="00CB0332"/>
    <w:rsid w:val="00CB339A"/>
    <w:rsid w:val="00CB3A9B"/>
    <w:rsid w:val="00CB3E22"/>
    <w:rsid w:val="00CB56D6"/>
    <w:rsid w:val="00CC0216"/>
    <w:rsid w:val="00CC07DA"/>
    <w:rsid w:val="00CC1113"/>
    <w:rsid w:val="00CC4CDB"/>
    <w:rsid w:val="00CC5C61"/>
    <w:rsid w:val="00CC703A"/>
    <w:rsid w:val="00CD01AD"/>
    <w:rsid w:val="00CD05F5"/>
    <w:rsid w:val="00CD0A76"/>
    <w:rsid w:val="00CD1F4E"/>
    <w:rsid w:val="00CD425C"/>
    <w:rsid w:val="00CD638C"/>
    <w:rsid w:val="00CD7145"/>
    <w:rsid w:val="00CD775D"/>
    <w:rsid w:val="00CE2994"/>
    <w:rsid w:val="00CE3799"/>
    <w:rsid w:val="00CE3D7C"/>
    <w:rsid w:val="00CE4D36"/>
    <w:rsid w:val="00CF04D9"/>
    <w:rsid w:val="00CF11F9"/>
    <w:rsid w:val="00CF12D0"/>
    <w:rsid w:val="00CF5369"/>
    <w:rsid w:val="00CF67BD"/>
    <w:rsid w:val="00CF79BE"/>
    <w:rsid w:val="00D011CA"/>
    <w:rsid w:val="00D023D8"/>
    <w:rsid w:val="00D03103"/>
    <w:rsid w:val="00D03AF8"/>
    <w:rsid w:val="00D045C8"/>
    <w:rsid w:val="00D0569D"/>
    <w:rsid w:val="00D05B6A"/>
    <w:rsid w:val="00D0609B"/>
    <w:rsid w:val="00D061CD"/>
    <w:rsid w:val="00D06330"/>
    <w:rsid w:val="00D10CC6"/>
    <w:rsid w:val="00D129F8"/>
    <w:rsid w:val="00D1396A"/>
    <w:rsid w:val="00D14292"/>
    <w:rsid w:val="00D16762"/>
    <w:rsid w:val="00D171BF"/>
    <w:rsid w:val="00D22005"/>
    <w:rsid w:val="00D22B12"/>
    <w:rsid w:val="00D2427D"/>
    <w:rsid w:val="00D252EE"/>
    <w:rsid w:val="00D26C09"/>
    <w:rsid w:val="00D368BD"/>
    <w:rsid w:val="00D36AE0"/>
    <w:rsid w:val="00D47716"/>
    <w:rsid w:val="00D47E3B"/>
    <w:rsid w:val="00D53D01"/>
    <w:rsid w:val="00D547A7"/>
    <w:rsid w:val="00D54874"/>
    <w:rsid w:val="00D55258"/>
    <w:rsid w:val="00D674DA"/>
    <w:rsid w:val="00D77474"/>
    <w:rsid w:val="00D83AF6"/>
    <w:rsid w:val="00D83C6C"/>
    <w:rsid w:val="00D85A97"/>
    <w:rsid w:val="00D86040"/>
    <w:rsid w:val="00D86735"/>
    <w:rsid w:val="00D86772"/>
    <w:rsid w:val="00D909E8"/>
    <w:rsid w:val="00D92E5F"/>
    <w:rsid w:val="00D92F94"/>
    <w:rsid w:val="00D939E1"/>
    <w:rsid w:val="00D941AA"/>
    <w:rsid w:val="00D95C70"/>
    <w:rsid w:val="00D95FCB"/>
    <w:rsid w:val="00D97195"/>
    <w:rsid w:val="00DA478F"/>
    <w:rsid w:val="00DB1810"/>
    <w:rsid w:val="00DB206E"/>
    <w:rsid w:val="00DB2374"/>
    <w:rsid w:val="00DB42BA"/>
    <w:rsid w:val="00DB4F07"/>
    <w:rsid w:val="00DB5C40"/>
    <w:rsid w:val="00DB6104"/>
    <w:rsid w:val="00DB610A"/>
    <w:rsid w:val="00DC0E6E"/>
    <w:rsid w:val="00DC2575"/>
    <w:rsid w:val="00DC4D44"/>
    <w:rsid w:val="00DC54F2"/>
    <w:rsid w:val="00DC6A87"/>
    <w:rsid w:val="00DC7E49"/>
    <w:rsid w:val="00DD1965"/>
    <w:rsid w:val="00DD5096"/>
    <w:rsid w:val="00DD5379"/>
    <w:rsid w:val="00DD6D4E"/>
    <w:rsid w:val="00DD74BE"/>
    <w:rsid w:val="00DD7FC1"/>
    <w:rsid w:val="00DE1B34"/>
    <w:rsid w:val="00DE2F0E"/>
    <w:rsid w:val="00DE502D"/>
    <w:rsid w:val="00DE57B8"/>
    <w:rsid w:val="00DF061C"/>
    <w:rsid w:val="00DF18CF"/>
    <w:rsid w:val="00DF18E7"/>
    <w:rsid w:val="00DF1CB8"/>
    <w:rsid w:val="00DF230E"/>
    <w:rsid w:val="00DF3A68"/>
    <w:rsid w:val="00DF4BC6"/>
    <w:rsid w:val="00DF4F32"/>
    <w:rsid w:val="00DF5EA0"/>
    <w:rsid w:val="00DF695A"/>
    <w:rsid w:val="00DF7430"/>
    <w:rsid w:val="00DF75D3"/>
    <w:rsid w:val="00DF7FB8"/>
    <w:rsid w:val="00E00FF1"/>
    <w:rsid w:val="00E015D9"/>
    <w:rsid w:val="00E0208F"/>
    <w:rsid w:val="00E02A19"/>
    <w:rsid w:val="00E05587"/>
    <w:rsid w:val="00E076AD"/>
    <w:rsid w:val="00E076E7"/>
    <w:rsid w:val="00E10804"/>
    <w:rsid w:val="00E12250"/>
    <w:rsid w:val="00E12DB3"/>
    <w:rsid w:val="00E132A9"/>
    <w:rsid w:val="00E142E2"/>
    <w:rsid w:val="00E142FA"/>
    <w:rsid w:val="00E14D5B"/>
    <w:rsid w:val="00E1506B"/>
    <w:rsid w:val="00E1667C"/>
    <w:rsid w:val="00E175A6"/>
    <w:rsid w:val="00E17B46"/>
    <w:rsid w:val="00E20656"/>
    <w:rsid w:val="00E225A3"/>
    <w:rsid w:val="00E22D92"/>
    <w:rsid w:val="00E241A8"/>
    <w:rsid w:val="00E2594C"/>
    <w:rsid w:val="00E27BB5"/>
    <w:rsid w:val="00E324C4"/>
    <w:rsid w:val="00E33926"/>
    <w:rsid w:val="00E3438B"/>
    <w:rsid w:val="00E35439"/>
    <w:rsid w:val="00E373CF"/>
    <w:rsid w:val="00E40FC0"/>
    <w:rsid w:val="00E4155E"/>
    <w:rsid w:val="00E42F3E"/>
    <w:rsid w:val="00E43081"/>
    <w:rsid w:val="00E44237"/>
    <w:rsid w:val="00E45156"/>
    <w:rsid w:val="00E45C42"/>
    <w:rsid w:val="00E46106"/>
    <w:rsid w:val="00E46591"/>
    <w:rsid w:val="00E50C38"/>
    <w:rsid w:val="00E5143F"/>
    <w:rsid w:val="00E532F3"/>
    <w:rsid w:val="00E544B5"/>
    <w:rsid w:val="00E5478F"/>
    <w:rsid w:val="00E553FA"/>
    <w:rsid w:val="00E5560B"/>
    <w:rsid w:val="00E55910"/>
    <w:rsid w:val="00E55F0B"/>
    <w:rsid w:val="00E57218"/>
    <w:rsid w:val="00E60454"/>
    <w:rsid w:val="00E60ABF"/>
    <w:rsid w:val="00E60B72"/>
    <w:rsid w:val="00E62C95"/>
    <w:rsid w:val="00E635FC"/>
    <w:rsid w:val="00E6498F"/>
    <w:rsid w:val="00E649DA"/>
    <w:rsid w:val="00E70AE4"/>
    <w:rsid w:val="00E712CC"/>
    <w:rsid w:val="00E73D13"/>
    <w:rsid w:val="00E754BB"/>
    <w:rsid w:val="00E76EF3"/>
    <w:rsid w:val="00E82C1F"/>
    <w:rsid w:val="00E8512F"/>
    <w:rsid w:val="00E854DB"/>
    <w:rsid w:val="00E8564D"/>
    <w:rsid w:val="00E85721"/>
    <w:rsid w:val="00E85D87"/>
    <w:rsid w:val="00E870A0"/>
    <w:rsid w:val="00E87D27"/>
    <w:rsid w:val="00E87E82"/>
    <w:rsid w:val="00E91B58"/>
    <w:rsid w:val="00E9258C"/>
    <w:rsid w:val="00E930F8"/>
    <w:rsid w:val="00E94D57"/>
    <w:rsid w:val="00E967D3"/>
    <w:rsid w:val="00E97BD6"/>
    <w:rsid w:val="00EA2A80"/>
    <w:rsid w:val="00EA2BB2"/>
    <w:rsid w:val="00EA4017"/>
    <w:rsid w:val="00EA5009"/>
    <w:rsid w:val="00EA5C35"/>
    <w:rsid w:val="00EA65EE"/>
    <w:rsid w:val="00EA6C9A"/>
    <w:rsid w:val="00EA7CE8"/>
    <w:rsid w:val="00EB1697"/>
    <w:rsid w:val="00EB3BF0"/>
    <w:rsid w:val="00EB3C6B"/>
    <w:rsid w:val="00EB3FDA"/>
    <w:rsid w:val="00EB4431"/>
    <w:rsid w:val="00EB4E4D"/>
    <w:rsid w:val="00EB7983"/>
    <w:rsid w:val="00EB7B6A"/>
    <w:rsid w:val="00EB7C37"/>
    <w:rsid w:val="00EC1609"/>
    <w:rsid w:val="00EC2DCC"/>
    <w:rsid w:val="00EC574F"/>
    <w:rsid w:val="00EC5760"/>
    <w:rsid w:val="00EC668D"/>
    <w:rsid w:val="00EC7537"/>
    <w:rsid w:val="00EC786B"/>
    <w:rsid w:val="00ED0D0B"/>
    <w:rsid w:val="00ED1B68"/>
    <w:rsid w:val="00ED404F"/>
    <w:rsid w:val="00ED4C52"/>
    <w:rsid w:val="00ED7FA0"/>
    <w:rsid w:val="00EE17AD"/>
    <w:rsid w:val="00EE2569"/>
    <w:rsid w:val="00EE71C7"/>
    <w:rsid w:val="00EF15D9"/>
    <w:rsid w:val="00EF2B74"/>
    <w:rsid w:val="00EF334E"/>
    <w:rsid w:val="00EF4EB2"/>
    <w:rsid w:val="00EF52ED"/>
    <w:rsid w:val="00EF6224"/>
    <w:rsid w:val="00EF7426"/>
    <w:rsid w:val="00F01F31"/>
    <w:rsid w:val="00F022D6"/>
    <w:rsid w:val="00F02346"/>
    <w:rsid w:val="00F026B2"/>
    <w:rsid w:val="00F03377"/>
    <w:rsid w:val="00F044A3"/>
    <w:rsid w:val="00F045A5"/>
    <w:rsid w:val="00F045AF"/>
    <w:rsid w:val="00F049E5"/>
    <w:rsid w:val="00F05032"/>
    <w:rsid w:val="00F07229"/>
    <w:rsid w:val="00F11A20"/>
    <w:rsid w:val="00F11A33"/>
    <w:rsid w:val="00F124EA"/>
    <w:rsid w:val="00F12F30"/>
    <w:rsid w:val="00F16751"/>
    <w:rsid w:val="00F1795B"/>
    <w:rsid w:val="00F212BF"/>
    <w:rsid w:val="00F22D6C"/>
    <w:rsid w:val="00F25C58"/>
    <w:rsid w:val="00F26EE7"/>
    <w:rsid w:val="00F30C04"/>
    <w:rsid w:val="00F340FE"/>
    <w:rsid w:val="00F369B3"/>
    <w:rsid w:val="00F37411"/>
    <w:rsid w:val="00F41049"/>
    <w:rsid w:val="00F43208"/>
    <w:rsid w:val="00F44C68"/>
    <w:rsid w:val="00F46161"/>
    <w:rsid w:val="00F47972"/>
    <w:rsid w:val="00F51F0C"/>
    <w:rsid w:val="00F522A5"/>
    <w:rsid w:val="00F53961"/>
    <w:rsid w:val="00F53C3D"/>
    <w:rsid w:val="00F54AA7"/>
    <w:rsid w:val="00F54E59"/>
    <w:rsid w:val="00F55BDB"/>
    <w:rsid w:val="00F569DF"/>
    <w:rsid w:val="00F663B4"/>
    <w:rsid w:val="00F66A2D"/>
    <w:rsid w:val="00F675ED"/>
    <w:rsid w:val="00F67954"/>
    <w:rsid w:val="00F72F2C"/>
    <w:rsid w:val="00F747EE"/>
    <w:rsid w:val="00F75D21"/>
    <w:rsid w:val="00F77444"/>
    <w:rsid w:val="00F80E6E"/>
    <w:rsid w:val="00F81E63"/>
    <w:rsid w:val="00F825A3"/>
    <w:rsid w:val="00F84274"/>
    <w:rsid w:val="00F84275"/>
    <w:rsid w:val="00F869D3"/>
    <w:rsid w:val="00F9278D"/>
    <w:rsid w:val="00F9339E"/>
    <w:rsid w:val="00F9549D"/>
    <w:rsid w:val="00F958B1"/>
    <w:rsid w:val="00F969B9"/>
    <w:rsid w:val="00F97DA9"/>
    <w:rsid w:val="00FA0BD3"/>
    <w:rsid w:val="00FA1398"/>
    <w:rsid w:val="00FA13D1"/>
    <w:rsid w:val="00FA15D1"/>
    <w:rsid w:val="00FA22DD"/>
    <w:rsid w:val="00FA2773"/>
    <w:rsid w:val="00FA2B27"/>
    <w:rsid w:val="00FA2CF5"/>
    <w:rsid w:val="00FA5693"/>
    <w:rsid w:val="00FA6C6C"/>
    <w:rsid w:val="00FA7596"/>
    <w:rsid w:val="00FB05F6"/>
    <w:rsid w:val="00FB2D2F"/>
    <w:rsid w:val="00FB70D9"/>
    <w:rsid w:val="00FC0EED"/>
    <w:rsid w:val="00FC1A37"/>
    <w:rsid w:val="00FC1BCF"/>
    <w:rsid w:val="00FC4221"/>
    <w:rsid w:val="00FC5EFC"/>
    <w:rsid w:val="00FC61DD"/>
    <w:rsid w:val="00FC6981"/>
    <w:rsid w:val="00FC7DF8"/>
    <w:rsid w:val="00FD059C"/>
    <w:rsid w:val="00FD0E4C"/>
    <w:rsid w:val="00FD261A"/>
    <w:rsid w:val="00FD290F"/>
    <w:rsid w:val="00FD3146"/>
    <w:rsid w:val="00FD4AB6"/>
    <w:rsid w:val="00FD5504"/>
    <w:rsid w:val="00FD5641"/>
    <w:rsid w:val="00FD56C0"/>
    <w:rsid w:val="00FD69CC"/>
    <w:rsid w:val="00FD7A63"/>
    <w:rsid w:val="00FD7F4C"/>
    <w:rsid w:val="00FE1555"/>
    <w:rsid w:val="00FE2B73"/>
    <w:rsid w:val="00FE7381"/>
    <w:rsid w:val="00FE7D57"/>
    <w:rsid w:val="00FF0A85"/>
    <w:rsid w:val="00FF2044"/>
    <w:rsid w:val="00FF2E4A"/>
    <w:rsid w:val="00FF4011"/>
    <w:rsid w:val="00FF520D"/>
    <w:rsid w:val="00FF5E1E"/>
    <w:rsid w:val="00FF687D"/>
    <w:rsid w:val="00FF7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7D01"/>
  <w15:chartTrackingRefBased/>
  <w15:docId w15:val="{66B9DD06-7B86-4C6B-B82C-D4B2DAB4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200"/>
  </w:style>
  <w:style w:type="paragraph" w:styleId="Heading2">
    <w:name w:val="heading 2"/>
    <w:basedOn w:val="NormalWeb"/>
    <w:next w:val="Normal"/>
    <w:link w:val="Heading2Char"/>
    <w:uiPriority w:val="9"/>
    <w:unhideWhenUsed/>
    <w:qFormat/>
    <w:rsid w:val="00923B80"/>
    <w:pPr>
      <w:spacing w:before="0" w:beforeAutospacing="0" w:after="160" w:afterAutospacing="0" w:line="276" w:lineRule="auto"/>
      <w:contextualSpacing/>
      <w:outlineLvl w:val="1"/>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link w:val="Body"/>
    <w:locked/>
    <w:rsid w:val="005557EA"/>
    <w:rPr>
      <w:rFonts w:ascii="Arial" w:eastAsia="Times New Roman" w:hAnsi="Arial" w:cs="Times New Roman"/>
      <w:sz w:val="20"/>
      <w:szCs w:val="20"/>
    </w:rPr>
  </w:style>
  <w:style w:type="paragraph" w:customStyle="1" w:styleId="Body">
    <w:name w:val="Body"/>
    <w:basedOn w:val="Normal"/>
    <w:link w:val="BodyChar"/>
    <w:qFormat/>
    <w:rsid w:val="005557EA"/>
    <w:pPr>
      <w:spacing w:before="120" w:after="120" w:line="300" w:lineRule="auto"/>
    </w:pPr>
    <w:rPr>
      <w:rFonts w:ascii="Arial" w:eastAsia="Times New Roman" w:hAnsi="Arial" w:cs="Times New Roman"/>
      <w:sz w:val="20"/>
      <w:szCs w:val="20"/>
    </w:rPr>
  </w:style>
  <w:style w:type="paragraph" w:styleId="FootnoteText">
    <w:name w:val="footnote text"/>
    <w:basedOn w:val="Normal"/>
    <w:link w:val="FootnoteTextChar"/>
    <w:uiPriority w:val="99"/>
    <w:unhideWhenUsed/>
    <w:rsid w:val="005557EA"/>
    <w:pPr>
      <w:spacing w:after="0" w:line="240" w:lineRule="auto"/>
    </w:pPr>
    <w:rPr>
      <w:sz w:val="20"/>
      <w:szCs w:val="20"/>
    </w:rPr>
  </w:style>
  <w:style w:type="character" w:customStyle="1" w:styleId="FootnoteTextChar">
    <w:name w:val="Footnote Text Char"/>
    <w:basedOn w:val="DefaultParagraphFont"/>
    <w:link w:val="FootnoteText"/>
    <w:uiPriority w:val="99"/>
    <w:rsid w:val="005557EA"/>
    <w:rPr>
      <w:sz w:val="20"/>
      <w:szCs w:val="20"/>
    </w:rPr>
  </w:style>
  <w:style w:type="character" w:styleId="FootnoteReference">
    <w:name w:val="footnote reference"/>
    <w:basedOn w:val="DefaultParagraphFont"/>
    <w:uiPriority w:val="99"/>
    <w:semiHidden/>
    <w:unhideWhenUsed/>
    <w:rsid w:val="005557EA"/>
    <w:rPr>
      <w:vertAlign w:val="superscript"/>
    </w:rPr>
  </w:style>
  <w:style w:type="paragraph" w:styleId="NormalWeb">
    <w:name w:val="Normal (Web)"/>
    <w:basedOn w:val="Normal"/>
    <w:uiPriority w:val="99"/>
    <w:unhideWhenUsed/>
    <w:rsid w:val="005557EA"/>
    <w:pPr>
      <w:spacing w:before="100" w:beforeAutospacing="1" w:after="100" w:afterAutospacing="1" w:line="240" w:lineRule="auto"/>
    </w:pPr>
    <w:rPr>
      <w:rFonts w:ascii="Times New Roman" w:hAnsi="Times New Roman" w:cs="Times New Roman"/>
      <w:sz w:val="24"/>
      <w:szCs w:val="24"/>
      <w:lang w:eastAsia="en-AU"/>
    </w:rPr>
  </w:style>
  <w:style w:type="character" w:styleId="Hyperlink">
    <w:name w:val="Hyperlink"/>
    <w:basedOn w:val="DefaultParagraphFont"/>
    <w:uiPriority w:val="99"/>
    <w:unhideWhenUsed/>
    <w:rsid w:val="005557EA"/>
    <w:rPr>
      <w:color w:val="0563C1" w:themeColor="hyperlink"/>
      <w:u w:val="single"/>
    </w:rPr>
  </w:style>
  <w:style w:type="paragraph" w:styleId="ListParagraph">
    <w:name w:val="List Paragraph"/>
    <w:aliases w:val="List Paragraph1,Recommendation,List Paragraph11,Content descriptions,L,Bullet point,Bulletr List Paragraph,FooterText,List Paragraph Number,List Paragraph2,List Paragraph21,Listeafsnit1,NFP GP Bulleted List,Paragraphe de liste1,numbered,列"/>
    <w:basedOn w:val="Normal"/>
    <w:link w:val="ListParagraphChar"/>
    <w:uiPriority w:val="34"/>
    <w:qFormat/>
    <w:rsid w:val="005557EA"/>
    <w:pPr>
      <w:ind w:left="720"/>
      <w:contextualSpacing/>
    </w:pPr>
  </w:style>
  <w:style w:type="character" w:styleId="Emphasis">
    <w:name w:val="Emphasis"/>
    <w:basedOn w:val="DefaultParagraphFont"/>
    <w:uiPriority w:val="20"/>
    <w:qFormat/>
    <w:rsid w:val="005557EA"/>
    <w:rPr>
      <w:i/>
      <w:iCs/>
    </w:rPr>
  </w:style>
  <w:style w:type="character" w:styleId="UnresolvedMention">
    <w:name w:val="Unresolved Mention"/>
    <w:basedOn w:val="DefaultParagraphFont"/>
    <w:uiPriority w:val="99"/>
    <w:semiHidden/>
    <w:unhideWhenUsed/>
    <w:rsid w:val="003629E5"/>
    <w:rPr>
      <w:color w:val="605E5C"/>
      <w:shd w:val="clear" w:color="auto" w:fill="E1DFDD"/>
    </w:rPr>
  </w:style>
  <w:style w:type="paragraph" w:styleId="Header">
    <w:name w:val="header"/>
    <w:basedOn w:val="Normal"/>
    <w:link w:val="HeaderChar"/>
    <w:uiPriority w:val="99"/>
    <w:unhideWhenUsed/>
    <w:rsid w:val="00D92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F94"/>
  </w:style>
  <w:style w:type="paragraph" w:styleId="Footer">
    <w:name w:val="footer"/>
    <w:basedOn w:val="Normal"/>
    <w:link w:val="FooterChar"/>
    <w:uiPriority w:val="99"/>
    <w:unhideWhenUsed/>
    <w:rsid w:val="00D92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F94"/>
  </w:style>
  <w:style w:type="paragraph" w:styleId="Revision">
    <w:name w:val="Revision"/>
    <w:hidden/>
    <w:uiPriority w:val="99"/>
    <w:semiHidden/>
    <w:rsid w:val="00B721E4"/>
    <w:pPr>
      <w:spacing w:after="0" w:line="240" w:lineRule="auto"/>
    </w:pPr>
  </w:style>
  <w:style w:type="character" w:styleId="CommentReference">
    <w:name w:val="annotation reference"/>
    <w:basedOn w:val="DefaultParagraphFont"/>
    <w:uiPriority w:val="99"/>
    <w:semiHidden/>
    <w:unhideWhenUsed/>
    <w:rsid w:val="00CD638C"/>
    <w:rPr>
      <w:sz w:val="16"/>
      <w:szCs w:val="16"/>
    </w:rPr>
  </w:style>
  <w:style w:type="paragraph" w:styleId="CommentText">
    <w:name w:val="annotation text"/>
    <w:basedOn w:val="Normal"/>
    <w:link w:val="CommentTextChar"/>
    <w:uiPriority w:val="99"/>
    <w:unhideWhenUsed/>
    <w:rsid w:val="00CD638C"/>
    <w:pPr>
      <w:spacing w:line="240" w:lineRule="auto"/>
    </w:pPr>
    <w:rPr>
      <w:sz w:val="20"/>
      <w:szCs w:val="20"/>
    </w:rPr>
  </w:style>
  <w:style w:type="character" w:customStyle="1" w:styleId="CommentTextChar">
    <w:name w:val="Comment Text Char"/>
    <w:basedOn w:val="DefaultParagraphFont"/>
    <w:link w:val="CommentText"/>
    <w:uiPriority w:val="99"/>
    <w:rsid w:val="00CD638C"/>
    <w:rPr>
      <w:sz w:val="20"/>
      <w:szCs w:val="20"/>
    </w:rPr>
  </w:style>
  <w:style w:type="paragraph" w:styleId="CommentSubject">
    <w:name w:val="annotation subject"/>
    <w:basedOn w:val="CommentText"/>
    <w:next w:val="CommentText"/>
    <w:link w:val="CommentSubjectChar"/>
    <w:uiPriority w:val="99"/>
    <w:semiHidden/>
    <w:unhideWhenUsed/>
    <w:rsid w:val="00CD638C"/>
    <w:rPr>
      <w:b/>
      <w:bCs/>
    </w:rPr>
  </w:style>
  <w:style w:type="character" w:customStyle="1" w:styleId="CommentSubjectChar">
    <w:name w:val="Comment Subject Char"/>
    <w:basedOn w:val="CommentTextChar"/>
    <w:link w:val="CommentSubject"/>
    <w:uiPriority w:val="99"/>
    <w:semiHidden/>
    <w:rsid w:val="00CD638C"/>
    <w:rPr>
      <w:b/>
      <w:bCs/>
      <w:sz w:val="20"/>
      <w:szCs w:val="20"/>
    </w:rPr>
  </w:style>
  <w:style w:type="character" w:styleId="Mention">
    <w:name w:val="Mention"/>
    <w:basedOn w:val="DefaultParagraphFont"/>
    <w:uiPriority w:val="99"/>
    <w:unhideWhenUsed/>
    <w:rsid w:val="001B52B4"/>
    <w:rPr>
      <w:color w:val="2B579A"/>
      <w:shd w:val="clear" w:color="auto" w:fill="E1DFDD"/>
    </w:rPr>
  </w:style>
  <w:style w:type="paragraph" w:customStyle="1" w:styleId="pf0">
    <w:name w:val="pf0"/>
    <w:basedOn w:val="Normal"/>
    <w:rsid w:val="00D061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061CD"/>
    <w:rPr>
      <w:rFonts w:ascii="Segoe UI" w:hAnsi="Segoe UI" w:cs="Segoe UI" w:hint="default"/>
      <w:sz w:val="18"/>
      <w:szCs w:val="18"/>
    </w:rPr>
  </w:style>
  <w:style w:type="character" w:customStyle="1" w:styleId="Heading2Char">
    <w:name w:val="Heading 2 Char"/>
    <w:basedOn w:val="DefaultParagraphFont"/>
    <w:link w:val="Heading2"/>
    <w:uiPriority w:val="9"/>
    <w:rsid w:val="00923B80"/>
    <w:rPr>
      <w:rFonts w:cstheme="minorHAnsi"/>
      <w:b/>
      <w:lang w:eastAsia="en-AU"/>
    </w:rPr>
  </w:style>
  <w:style w:type="character" w:styleId="FollowedHyperlink">
    <w:name w:val="FollowedHyperlink"/>
    <w:basedOn w:val="DefaultParagraphFont"/>
    <w:uiPriority w:val="99"/>
    <w:semiHidden/>
    <w:unhideWhenUsed/>
    <w:rsid w:val="00E225A3"/>
    <w:rPr>
      <w:color w:val="954F72" w:themeColor="followedHyperlink"/>
      <w:u w:val="single"/>
    </w:rPr>
  </w:style>
  <w:style w:type="character" w:styleId="Strong">
    <w:name w:val="Strong"/>
    <w:basedOn w:val="DefaultParagraphFont"/>
    <w:uiPriority w:val="22"/>
    <w:qFormat/>
    <w:rsid w:val="00205613"/>
    <w:rPr>
      <w:b/>
      <w:bCs/>
    </w:rPr>
  </w:style>
  <w:style w:type="character" w:customStyle="1" w:styleId="ListParagraphChar">
    <w:name w:val="List Paragraph Char"/>
    <w:aliases w:val="List Paragraph1 Char,Recommendation Char,List Paragraph11 Char,Content descriptions Char,L Char,Bullet point Char,Bulletr List Paragraph Char,FooterText Char,List Paragraph Number Char,List Paragraph2 Char,List Paragraph21 Char"/>
    <w:basedOn w:val="DefaultParagraphFont"/>
    <w:link w:val="ListParagraph"/>
    <w:uiPriority w:val="34"/>
    <w:qFormat/>
    <w:locked/>
    <w:rsid w:val="00A9535E"/>
  </w:style>
  <w:style w:type="character" w:customStyle="1" w:styleId="ui-provider">
    <w:name w:val="ui-provider"/>
    <w:basedOn w:val="DefaultParagraphFont"/>
    <w:rsid w:val="00FA13D1"/>
  </w:style>
  <w:style w:type="paragraph" w:styleId="PlainText">
    <w:name w:val="Plain Text"/>
    <w:basedOn w:val="Normal"/>
    <w:link w:val="PlainTextChar"/>
    <w:uiPriority w:val="99"/>
    <w:semiHidden/>
    <w:unhideWhenUsed/>
    <w:rsid w:val="005F2C5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2C5D"/>
    <w:rPr>
      <w:rFonts w:ascii="Calibri" w:hAnsi="Calibri"/>
      <w:szCs w:val="21"/>
    </w:rPr>
  </w:style>
  <w:style w:type="paragraph" w:customStyle="1" w:styleId="Default">
    <w:name w:val="Default"/>
    <w:rsid w:val="00BD6834"/>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6750">
      <w:bodyDiv w:val="1"/>
      <w:marLeft w:val="0"/>
      <w:marRight w:val="0"/>
      <w:marTop w:val="0"/>
      <w:marBottom w:val="0"/>
      <w:divBdr>
        <w:top w:val="none" w:sz="0" w:space="0" w:color="auto"/>
        <w:left w:val="none" w:sz="0" w:space="0" w:color="auto"/>
        <w:bottom w:val="none" w:sz="0" w:space="0" w:color="auto"/>
        <w:right w:val="none" w:sz="0" w:space="0" w:color="auto"/>
      </w:divBdr>
    </w:div>
    <w:div w:id="997223543">
      <w:bodyDiv w:val="1"/>
      <w:marLeft w:val="0"/>
      <w:marRight w:val="0"/>
      <w:marTop w:val="0"/>
      <w:marBottom w:val="0"/>
      <w:divBdr>
        <w:top w:val="none" w:sz="0" w:space="0" w:color="auto"/>
        <w:left w:val="none" w:sz="0" w:space="0" w:color="auto"/>
        <w:bottom w:val="none" w:sz="0" w:space="0" w:color="auto"/>
        <w:right w:val="none" w:sz="0" w:space="0" w:color="auto"/>
      </w:divBdr>
    </w:div>
    <w:div w:id="1074857541">
      <w:bodyDiv w:val="1"/>
      <w:marLeft w:val="0"/>
      <w:marRight w:val="0"/>
      <w:marTop w:val="0"/>
      <w:marBottom w:val="0"/>
      <w:divBdr>
        <w:top w:val="none" w:sz="0" w:space="0" w:color="auto"/>
        <w:left w:val="none" w:sz="0" w:space="0" w:color="auto"/>
        <w:bottom w:val="none" w:sz="0" w:space="0" w:color="auto"/>
        <w:right w:val="none" w:sz="0" w:space="0" w:color="auto"/>
      </w:divBdr>
    </w:div>
    <w:div w:id="1148673090">
      <w:bodyDiv w:val="1"/>
      <w:marLeft w:val="0"/>
      <w:marRight w:val="0"/>
      <w:marTop w:val="0"/>
      <w:marBottom w:val="0"/>
      <w:divBdr>
        <w:top w:val="none" w:sz="0" w:space="0" w:color="auto"/>
        <w:left w:val="none" w:sz="0" w:space="0" w:color="auto"/>
        <w:bottom w:val="none" w:sz="0" w:space="0" w:color="auto"/>
        <w:right w:val="none" w:sz="0" w:space="0" w:color="auto"/>
      </w:divBdr>
    </w:div>
    <w:div w:id="152143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ecqa.gov.au/sites/default/files/2021-10/ShapingOurFutureChildrensEducationandCareNationalWorkforceStrategy-September2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rtingblocks.gov.au/?gclid=EAIaIQobChMImYj1-9G-_AIVb5lmAh3LTgRFEAAYASAAEgJO1vD_Bw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losingthegap.gov.au/national-agreement" TargetMode="External"/><Relationship Id="rId2" Type="http://schemas.openxmlformats.org/officeDocument/2006/relationships/hyperlink" Target="https://www.researchgate.net/publication/291970194_A_review_of_research_on_the_effects_of_early_childhood_Education_and_Care_ECEC_upon_child_development_CARE_project" TargetMode="External"/><Relationship Id="rId1" Type="http://schemas.openxmlformats.org/officeDocument/2006/relationships/hyperlink" Target="https://content.legislation.vic.gov.au/sites/default/files/2021-01/10-69aa013%20authorised.pdf" TargetMode="External"/><Relationship Id="rId5" Type="http://schemas.openxmlformats.org/officeDocument/2006/relationships/hyperlink" Target="https://content.legislation.vic.gov.au/sites/default/files/2021-01/10-69aa013%20authorised.pdf" TargetMode="External"/><Relationship Id="rId4" Type="http://schemas.openxmlformats.org/officeDocument/2006/relationships/hyperlink" Target="https://content.legislation.vic.gov.au/sites/default/files/2021-01/10-69aa013%20author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e56a15f58d73081154fea6e4be9b6af1">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8efdf1fd9d6d327bccefe85e4b112cf2"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43BE-C13D-4A1D-A7B9-5F86A286B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870C2-0399-440E-87D6-FA8CC962E287}">
  <ds:schemaRefs>
    <ds:schemaRef ds:uri="http://schemas.microsoft.com/office/2006/metadata/properties"/>
    <ds:schemaRef ds:uri="http://schemas.microsoft.com/office/infopath/2007/PartnerControls"/>
    <ds:schemaRef ds:uri="ec91ab06-9460-473b-bf7c-09335e1bf025"/>
  </ds:schemaRefs>
</ds:datastoreItem>
</file>

<file path=customXml/itemProps3.xml><?xml version="1.0" encoding="utf-8"?>
<ds:datastoreItem xmlns:ds="http://schemas.openxmlformats.org/officeDocument/2006/customXml" ds:itemID="{CC986D2D-41B9-4862-81E9-277A630F0BBF}">
  <ds:schemaRefs>
    <ds:schemaRef ds:uri="http://schemas.microsoft.com/sharepoint/v3/contenttype/forms"/>
  </ds:schemaRefs>
</ds:datastoreItem>
</file>

<file path=customXml/itemProps4.xml><?xml version="1.0" encoding="utf-8"?>
<ds:datastoreItem xmlns:ds="http://schemas.openxmlformats.org/officeDocument/2006/customXml" ds:itemID="{1F115C5D-7C9F-4EA8-B83C-BFA6E862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Submission 6 - Australian Children's Education and Care Quality Authority (ACECQA) - Early Childhood Education and Care - Public inquiry</vt:lpstr>
    </vt:vector>
  </TitlesOfParts>
  <Company>Australian Children's Education and Care Quality Authority (ACECQA)</Company>
  <LinksUpToDate>false</LinksUpToDate>
  <CharactersWithSpaces>19107</CharactersWithSpaces>
  <SharedDoc>false</SharedDoc>
  <HLinks>
    <vt:vector size="54" baseType="variant">
      <vt:variant>
        <vt:i4>6422640</vt:i4>
      </vt:variant>
      <vt:variant>
        <vt:i4>15</vt:i4>
      </vt:variant>
      <vt:variant>
        <vt:i4>0</vt:i4>
      </vt:variant>
      <vt:variant>
        <vt:i4>5</vt:i4>
      </vt:variant>
      <vt:variant>
        <vt:lpwstr>mailto:</vt:lpwstr>
      </vt:variant>
      <vt:variant>
        <vt:lpwstr/>
      </vt:variant>
      <vt:variant>
        <vt:i4>8061003</vt:i4>
      </vt:variant>
      <vt:variant>
        <vt:i4>12</vt:i4>
      </vt:variant>
      <vt:variant>
        <vt:i4>0</vt:i4>
      </vt:variant>
      <vt:variant>
        <vt:i4>5</vt:i4>
      </vt:variant>
      <vt:variant>
        <vt:lpwstr>mailto:Michelle.Edwards@acecqa.gov.au</vt:lpwstr>
      </vt:variant>
      <vt:variant>
        <vt:lpwstr/>
      </vt:variant>
      <vt:variant>
        <vt:i4>5111933</vt:i4>
      </vt:variant>
      <vt:variant>
        <vt:i4>9</vt:i4>
      </vt:variant>
      <vt:variant>
        <vt:i4>0</vt:i4>
      </vt:variant>
      <vt:variant>
        <vt:i4>5</vt:i4>
      </vt:variant>
      <vt:variant>
        <vt:lpwstr>mailto:Gabrielle.Sinclair@acecqa.gov.au</vt:lpwstr>
      </vt:variant>
      <vt:variant>
        <vt:lpwstr/>
      </vt:variant>
      <vt:variant>
        <vt:i4>3735614</vt:i4>
      </vt:variant>
      <vt:variant>
        <vt:i4>6</vt:i4>
      </vt:variant>
      <vt:variant>
        <vt:i4>0</vt:i4>
      </vt:variant>
      <vt:variant>
        <vt:i4>5</vt:i4>
      </vt:variant>
      <vt:variant>
        <vt:lpwstr>https://www.acecqa.gov.au/sites/default/files/2021-10/ShapingOurFutureChildrensEducationandCareNationalWorkforceStrategy-September2021.pdf</vt:lpwstr>
      </vt:variant>
      <vt:variant>
        <vt:lpwstr/>
      </vt:variant>
      <vt:variant>
        <vt:i4>7340132</vt:i4>
      </vt:variant>
      <vt:variant>
        <vt:i4>3</vt:i4>
      </vt:variant>
      <vt:variant>
        <vt:i4>0</vt:i4>
      </vt:variant>
      <vt:variant>
        <vt:i4>5</vt:i4>
      </vt:variant>
      <vt:variant>
        <vt:lpwstr>https://www.startingblocks.gov.au/?gclid=EAIaIQobChMImYj1-9G-_AIVb5lmAh3LTgRFEAAYASAAEgJO1vD_BwE</vt:lpwstr>
      </vt:variant>
      <vt:variant>
        <vt:lpwstr/>
      </vt:variant>
      <vt:variant>
        <vt:i4>1704046</vt:i4>
      </vt:variant>
      <vt:variant>
        <vt:i4>0</vt:i4>
      </vt:variant>
      <vt:variant>
        <vt:i4>0</vt:i4>
      </vt:variant>
      <vt:variant>
        <vt:i4>5</vt:i4>
      </vt:variant>
      <vt:variant>
        <vt:lpwstr>mailto:royalcommissionecec@sa.gov.au</vt:lpwstr>
      </vt:variant>
      <vt:variant>
        <vt:lpwstr/>
      </vt:variant>
      <vt:variant>
        <vt:i4>2359310</vt:i4>
      </vt:variant>
      <vt:variant>
        <vt:i4>6</vt:i4>
      </vt:variant>
      <vt:variant>
        <vt:i4>0</vt:i4>
      </vt:variant>
      <vt:variant>
        <vt:i4>5</vt:i4>
      </vt:variant>
      <vt:variant>
        <vt:lpwstr>https://www.researchgate.net/publication/291970194_A_review_of_research_on_the_effects_of_early_childhood_Education_and_Care_ECEC_upon_child_development_CARE_project</vt:lpwstr>
      </vt:variant>
      <vt:variant>
        <vt:lpwstr/>
      </vt:variant>
      <vt:variant>
        <vt:i4>5505043</vt:i4>
      </vt:variant>
      <vt:variant>
        <vt:i4>3</vt:i4>
      </vt:variant>
      <vt:variant>
        <vt:i4>0</vt:i4>
      </vt:variant>
      <vt:variant>
        <vt:i4>5</vt:i4>
      </vt:variant>
      <vt:variant>
        <vt:lpwstr>https://www.acecqa.gov.au/sites/default/files/2022-07/occasional_paper_8_-_desktop_published_version_6_1.pdf</vt:lpwstr>
      </vt:variant>
      <vt:variant>
        <vt:lpwstr/>
      </vt:variant>
      <vt:variant>
        <vt:i4>4521993</vt:i4>
      </vt:variant>
      <vt:variant>
        <vt:i4>0</vt:i4>
      </vt:variant>
      <vt:variant>
        <vt:i4>0</vt:i4>
      </vt:variant>
      <vt:variant>
        <vt:i4>5</vt:i4>
      </vt:variant>
      <vt:variant>
        <vt:lpwstr>https://content.legislation.vic.gov.au/sites/default/files/2021-01/10-69aa013 authorised.pdf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Australian Children's Education and Care Quality Authority (ACECQA) - Early Childhood Education and Care - Public inquiry</dc:title>
  <dc:subject/>
  <dc:creator>Australian Children's Education and Care Quality Authority (ACECQA)</dc:creator>
  <cp:keywords/>
  <dc:description/>
  <cp:lastModifiedBy>Chris Alston</cp:lastModifiedBy>
  <cp:revision>6</cp:revision>
  <cp:lastPrinted>2023-04-20T00:32:00Z</cp:lastPrinted>
  <dcterms:created xsi:type="dcterms:W3CDTF">2023-04-20T00:15:00Z</dcterms:created>
  <dcterms:modified xsi:type="dcterms:W3CDTF">2023-04-20T00:33:00Z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