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E511" w14:textId="77777777" w:rsidR="005A1B76" w:rsidRDefault="005A1B76" w:rsidP="009D57F9">
      <w:pPr>
        <w:pStyle w:val="Default"/>
        <w:spacing w:line="276" w:lineRule="auto"/>
        <w:jc w:val="both"/>
        <w:rPr>
          <w:sz w:val="20"/>
          <w:szCs w:val="20"/>
        </w:rPr>
      </w:pPr>
    </w:p>
    <w:p w14:paraId="1C8AAF4B" w14:textId="77777777" w:rsidR="00D84C35" w:rsidRDefault="00D84C35" w:rsidP="009D57F9">
      <w:pPr>
        <w:pStyle w:val="Default"/>
        <w:spacing w:line="276" w:lineRule="auto"/>
        <w:jc w:val="both"/>
        <w:rPr>
          <w:sz w:val="20"/>
          <w:szCs w:val="20"/>
        </w:rPr>
      </w:pPr>
      <w:r>
        <w:rPr>
          <w:sz w:val="20"/>
          <w:szCs w:val="20"/>
        </w:rPr>
        <w:t xml:space="preserve">Philanthropy Inquiry </w:t>
      </w:r>
    </w:p>
    <w:p w14:paraId="0F739C3A" w14:textId="77777777" w:rsidR="00D84C35" w:rsidRDefault="00D84C35" w:rsidP="009D57F9">
      <w:pPr>
        <w:pStyle w:val="Default"/>
        <w:spacing w:line="276" w:lineRule="auto"/>
        <w:jc w:val="both"/>
        <w:rPr>
          <w:sz w:val="20"/>
          <w:szCs w:val="20"/>
        </w:rPr>
      </w:pPr>
      <w:r>
        <w:rPr>
          <w:sz w:val="20"/>
          <w:szCs w:val="20"/>
        </w:rPr>
        <w:t xml:space="preserve">Productivity Commission </w:t>
      </w:r>
    </w:p>
    <w:p w14:paraId="613D1796" w14:textId="77777777" w:rsidR="009D57F9" w:rsidRDefault="00D84C35" w:rsidP="009D57F9">
      <w:pPr>
        <w:pStyle w:val="Default"/>
        <w:spacing w:line="276" w:lineRule="auto"/>
        <w:jc w:val="both"/>
        <w:rPr>
          <w:sz w:val="20"/>
          <w:szCs w:val="20"/>
        </w:rPr>
      </w:pPr>
      <w:r>
        <w:rPr>
          <w:sz w:val="20"/>
          <w:szCs w:val="20"/>
        </w:rPr>
        <w:t xml:space="preserve">GPO Box 1428 </w:t>
      </w:r>
    </w:p>
    <w:p w14:paraId="7FBED05F" w14:textId="1581CB88" w:rsidR="00D84C35" w:rsidRDefault="00D84C35" w:rsidP="009D57F9">
      <w:pPr>
        <w:pStyle w:val="Default"/>
        <w:spacing w:line="276" w:lineRule="auto"/>
        <w:jc w:val="both"/>
        <w:rPr>
          <w:sz w:val="20"/>
          <w:szCs w:val="20"/>
        </w:rPr>
      </w:pPr>
      <w:r>
        <w:rPr>
          <w:sz w:val="20"/>
          <w:szCs w:val="20"/>
        </w:rPr>
        <w:t xml:space="preserve">Canberra City ACT 2601 </w:t>
      </w:r>
    </w:p>
    <w:p w14:paraId="564CC884" w14:textId="77777777" w:rsidR="00625012" w:rsidRDefault="00625012" w:rsidP="009D57F9">
      <w:pPr>
        <w:pStyle w:val="Default"/>
        <w:spacing w:line="276" w:lineRule="auto"/>
        <w:jc w:val="both"/>
        <w:rPr>
          <w:sz w:val="20"/>
          <w:szCs w:val="20"/>
        </w:rPr>
      </w:pPr>
    </w:p>
    <w:p w14:paraId="5AB56178" w14:textId="77777777" w:rsidR="00625012" w:rsidRDefault="00625012" w:rsidP="009D57F9">
      <w:pPr>
        <w:pStyle w:val="Default"/>
        <w:spacing w:line="276" w:lineRule="auto"/>
        <w:jc w:val="both"/>
        <w:rPr>
          <w:sz w:val="20"/>
          <w:szCs w:val="20"/>
        </w:rPr>
      </w:pPr>
      <w:r>
        <w:rPr>
          <w:sz w:val="20"/>
          <w:szCs w:val="20"/>
        </w:rPr>
        <w:t xml:space="preserve">5 May 2023 </w:t>
      </w:r>
    </w:p>
    <w:p w14:paraId="7B69198C" w14:textId="77777777" w:rsidR="009D57F9" w:rsidRDefault="009D57F9" w:rsidP="00D84C35">
      <w:pPr>
        <w:pStyle w:val="Default"/>
        <w:rPr>
          <w:sz w:val="20"/>
          <w:szCs w:val="20"/>
        </w:rPr>
      </w:pPr>
    </w:p>
    <w:p w14:paraId="0A0611B7" w14:textId="77777777" w:rsidR="00E41B43" w:rsidRDefault="009D57F9" w:rsidP="005617E9">
      <w:pPr>
        <w:pBdr>
          <w:top w:val="single" w:sz="4" w:space="6" w:color="auto"/>
          <w:bottom w:val="single" w:sz="4" w:space="1" w:color="auto"/>
        </w:pBdr>
        <w:tabs>
          <w:tab w:val="left" w:pos="1928"/>
        </w:tabs>
        <w:spacing w:line="360" w:lineRule="auto"/>
        <w:jc w:val="center"/>
        <w:rPr>
          <w:rFonts w:ascii="Arial" w:hAnsi="Arial" w:cs="Arial"/>
          <w:b/>
        </w:rPr>
      </w:pPr>
      <w:r>
        <w:rPr>
          <w:rFonts w:ascii="Arial" w:hAnsi="Arial" w:cs="Arial"/>
          <w:b/>
        </w:rPr>
        <w:t>Submissions</w:t>
      </w:r>
      <w:r w:rsidR="0019338E">
        <w:rPr>
          <w:rFonts w:ascii="Arial" w:hAnsi="Arial" w:cs="Arial"/>
          <w:b/>
        </w:rPr>
        <w:t xml:space="preserve"> in respect of the </w:t>
      </w:r>
      <w:r>
        <w:rPr>
          <w:rFonts w:ascii="Arial" w:hAnsi="Arial" w:cs="Arial"/>
          <w:b/>
        </w:rPr>
        <w:t>Productivity Commission’s Inquiry into Philanthropy</w:t>
      </w:r>
    </w:p>
    <w:p w14:paraId="25E244B7" w14:textId="77777777" w:rsidR="00BE745F" w:rsidRPr="00BE745F" w:rsidRDefault="00BE745F" w:rsidP="00625012">
      <w:pPr>
        <w:spacing w:line="360" w:lineRule="auto"/>
        <w:jc w:val="both"/>
        <w:rPr>
          <w:rFonts w:ascii="Arial" w:hAnsi="Arial" w:cs="Arial"/>
          <w:sz w:val="4"/>
        </w:rPr>
      </w:pPr>
    </w:p>
    <w:p w14:paraId="7472F2E6" w14:textId="799EF796" w:rsidR="00BE745F" w:rsidRDefault="00BE745F" w:rsidP="00625012">
      <w:pPr>
        <w:spacing w:line="360" w:lineRule="auto"/>
        <w:jc w:val="both"/>
        <w:rPr>
          <w:rFonts w:ascii="Arial" w:hAnsi="Arial" w:cs="Arial"/>
          <w:sz w:val="20"/>
        </w:rPr>
      </w:pPr>
      <w:r>
        <w:rPr>
          <w:rFonts w:ascii="Arial" w:hAnsi="Arial" w:cs="Arial"/>
          <w:sz w:val="20"/>
        </w:rPr>
        <w:t>Dear Productivity Commission</w:t>
      </w:r>
      <w:r w:rsidR="000C71F5">
        <w:rPr>
          <w:rFonts w:ascii="Arial" w:hAnsi="Arial" w:cs="Arial"/>
          <w:sz w:val="20"/>
        </w:rPr>
        <w:t>ers</w:t>
      </w:r>
    </w:p>
    <w:p w14:paraId="78DD5A43" w14:textId="43F53195" w:rsidR="005A1B76" w:rsidRDefault="00AB487C" w:rsidP="00625012">
      <w:pPr>
        <w:spacing w:line="360" w:lineRule="auto"/>
        <w:jc w:val="both"/>
        <w:rPr>
          <w:rFonts w:ascii="Arial" w:hAnsi="Arial" w:cs="Arial"/>
          <w:sz w:val="20"/>
        </w:rPr>
      </w:pPr>
      <w:r>
        <w:rPr>
          <w:rFonts w:ascii="Arial" w:hAnsi="Arial" w:cs="Arial"/>
          <w:sz w:val="20"/>
        </w:rPr>
        <w:t>On 23 March 2023 the</w:t>
      </w:r>
      <w:r w:rsidR="005A1B76">
        <w:rPr>
          <w:rFonts w:ascii="Arial" w:hAnsi="Arial" w:cs="Arial"/>
          <w:sz w:val="20"/>
        </w:rPr>
        <w:t xml:space="preserve"> Productivity Commission (</w:t>
      </w:r>
      <w:r w:rsidR="005A1B76">
        <w:rPr>
          <w:rFonts w:ascii="Arial" w:hAnsi="Arial" w:cs="Arial"/>
          <w:b/>
          <w:sz w:val="20"/>
        </w:rPr>
        <w:t>the Commission</w:t>
      </w:r>
      <w:r w:rsidR="005A1B76">
        <w:rPr>
          <w:rFonts w:ascii="Arial" w:hAnsi="Arial" w:cs="Arial"/>
          <w:sz w:val="20"/>
        </w:rPr>
        <w:t>) issued a call</w:t>
      </w:r>
      <w:r>
        <w:rPr>
          <w:rFonts w:ascii="Arial" w:hAnsi="Arial" w:cs="Arial"/>
          <w:sz w:val="20"/>
        </w:rPr>
        <w:t xml:space="preserve"> for submissions in respect of its Philanthropy Inquiry</w:t>
      </w:r>
      <w:r w:rsidR="00AF5441">
        <w:rPr>
          <w:rFonts w:ascii="Arial" w:hAnsi="Arial" w:cs="Arial"/>
          <w:sz w:val="20"/>
        </w:rPr>
        <w:t xml:space="preserve"> (</w:t>
      </w:r>
      <w:r w:rsidR="00AF5441" w:rsidRPr="00290835">
        <w:rPr>
          <w:rFonts w:ascii="Arial" w:hAnsi="Arial" w:cs="Arial"/>
          <w:b/>
          <w:bCs/>
          <w:sz w:val="20"/>
        </w:rPr>
        <w:t>the Inquiry</w:t>
      </w:r>
      <w:r w:rsidR="00AF5441">
        <w:rPr>
          <w:rFonts w:ascii="Arial" w:hAnsi="Arial" w:cs="Arial"/>
          <w:sz w:val="20"/>
        </w:rPr>
        <w:t>)</w:t>
      </w:r>
      <w:r>
        <w:rPr>
          <w:rFonts w:ascii="Arial" w:hAnsi="Arial" w:cs="Arial"/>
          <w:sz w:val="20"/>
        </w:rPr>
        <w:t xml:space="preserve">, </w:t>
      </w:r>
      <w:r w:rsidR="00D00F40">
        <w:rPr>
          <w:rFonts w:ascii="Arial" w:hAnsi="Arial" w:cs="Arial"/>
          <w:sz w:val="20"/>
        </w:rPr>
        <w:t xml:space="preserve">which </w:t>
      </w:r>
      <w:r>
        <w:rPr>
          <w:rFonts w:ascii="Arial" w:hAnsi="Arial" w:cs="Arial"/>
          <w:sz w:val="20"/>
        </w:rPr>
        <w:t>seeks to analyse the motivations for ph</w:t>
      </w:r>
      <w:r w:rsidR="001E7DA2">
        <w:rPr>
          <w:rFonts w:ascii="Arial" w:hAnsi="Arial" w:cs="Arial"/>
          <w:sz w:val="20"/>
        </w:rPr>
        <w:t>ilanthropic giving in Australia</w:t>
      </w:r>
      <w:r>
        <w:rPr>
          <w:rFonts w:ascii="Arial" w:hAnsi="Arial" w:cs="Arial"/>
          <w:sz w:val="20"/>
        </w:rPr>
        <w:t xml:space="preserve"> and identify opportunities </w:t>
      </w:r>
      <w:r w:rsidR="006C3B11">
        <w:rPr>
          <w:rFonts w:ascii="Arial" w:hAnsi="Arial" w:cs="Arial"/>
          <w:sz w:val="20"/>
        </w:rPr>
        <w:t xml:space="preserve">for its growth. </w:t>
      </w:r>
      <w:r>
        <w:rPr>
          <w:rFonts w:ascii="Arial" w:hAnsi="Arial" w:cs="Arial"/>
          <w:sz w:val="20"/>
        </w:rPr>
        <w:t xml:space="preserve"> </w:t>
      </w:r>
    </w:p>
    <w:p w14:paraId="5EDCAE28" w14:textId="46A33F68" w:rsidR="00AB487C" w:rsidRPr="00AB487C" w:rsidRDefault="005D2528" w:rsidP="00625012">
      <w:pPr>
        <w:spacing w:line="360" w:lineRule="auto"/>
        <w:jc w:val="both"/>
        <w:rPr>
          <w:rFonts w:ascii="Arial" w:hAnsi="Arial" w:cs="Arial"/>
          <w:sz w:val="20"/>
        </w:rPr>
      </w:pPr>
      <w:r>
        <w:rPr>
          <w:rFonts w:ascii="Arial" w:hAnsi="Arial" w:cs="Arial"/>
          <w:sz w:val="20"/>
        </w:rPr>
        <w:t>The Animal Defenders Office (</w:t>
      </w:r>
      <w:r>
        <w:rPr>
          <w:rFonts w:ascii="Arial" w:hAnsi="Arial" w:cs="Arial"/>
          <w:b/>
          <w:sz w:val="20"/>
        </w:rPr>
        <w:t>ADO</w:t>
      </w:r>
      <w:r>
        <w:rPr>
          <w:rFonts w:ascii="Arial" w:hAnsi="Arial" w:cs="Arial"/>
          <w:sz w:val="20"/>
        </w:rPr>
        <w:t xml:space="preserve">) has responded </w:t>
      </w:r>
      <w:r w:rsidR="00AB487C">
        <w:rPr>
          <w:rFonts w:ascii="Arial" w:hAnsi="Arial" w:cs="Arial"/>
          <w:sz w:val="20"/>
        </w:rPr>
        <w:t>to the Commission’s call</w:t>
      </w:r>
      <w:r w:rsidR="00EB6B53">
        <w:rPr>
          <w:rFonts w:ascii="Arial" w:hAnsi="Arial" w:cs="Arial"/>
          <w:sz w:val="20"/>
        </w:rPr>
        <w:t xml:space="preserve"> by providing</w:t>
      </w:r>
      <w:r w:rsidR="00AB487C">
        <w:rPr>
          <w:rFonts w:ascii="Arial" w:hAnsi="Arial" w:cs="Arial"/>
          <w:sz w:val="20"/>
        </w:rPr>
        <w:t xml:space="preserve"> submissions </w:t>
      </w:r>
      <w:r w:rsidR="008D5856">
        <w:rPr>
          <w:rFonts w:ascii="Arial" w:hAnsi="Arial" w:cs="Arial"/>
          <w:sz w:val="20"/>
        </w:rPr>
        <w:t>in relation to</w:t>
      </w:r>
      <w:r w:rsidR="00AB487C">
        <w:rPr>
          <w:rFonts w:ascii="Arial" w:hAnsi="Arial" w:cs="Arial"/>
          <w:sz w:val="20"/>
        </w:rPr>
        <w:t xml:space="preserve"> opportunities to expand philanthropic giving in respect of animal welfare and advocacy organisations in Australia. </w:t>
      </w:r>
    </w:p>
    <w:p w14:paraId="53120B13" w14:textId="77777777" w:rsidR="005A1B76" w:rsidRPr="005A1B76" w:rsidRDefault="005617E9" w:rsidP="003C0733">
      <w:pPr>
        <w:pStyle w:val="ListParagraph"/>
        <w:numPr>
          <w:ilvl w:val="0"/>
          <w:numId w:val="11"/>
        </w:numPr>
        <w:spacing w:line="276" w:lineRule="auto"/>
        <w:jc w:val="both"/>
        <w:rPr>
          <w:rFonts w:ascii="Arial" w:hAnsi="Arial" w:cs="Arial"/>
          <w:b/>
          <w:sz w:val="20"/>
        </w:rPr>
      </w:pPr>
      <w:r w:rsidRPr="005A1B76">
        <w:rPr>
          <w:rFonts w:ascii="Arial" w:hAnsi="Arial" w:cs="Arial"/>
          <w:b/>
          <w:sz w:val="20"/>
        </w:rPr>
        <w:t>Overview of the ADO</w:t>
      </w:r>
    </w:p>
    <w:p w14:paraId="763FA9DF" w14:textId="54D5AD43" w:rsidR="005A1B76" w:rsidRPr="00BE745F" w:rsidRDefault="009168DF" w:rsidP="00BE745F">
      <w:pPr>
        <w:spacing w:line="360" w:lineRule="auto"/>
        <w:jc w:val="both"/>
        <w:rPr>
          <w:rFonts w:ascii="Arial" w:hAnsi="Arial" w:cs="Arial"/>
          <w:b/>
          <w:sz w:val="20"/>
        </w:rPr>
      </w:pPr>
      <w:r>
        <w:rPr>
          <w:rFonts w:ascii="Arial" w:hAnsi="Arial" w:cs="Arial"/>
          <w:sz w:val="20"/>
        </w:rPr>
        <w:t>T</w:t>
      </w:r>
      <w:r w:rsidR="00AB487C">
        <w:rPr>
          <w:rFonts w:ascii="Arial" w:hAnsi="Arial" w:cs="Arial"/>
          <w:sz w:val="20"/>
        </w:rPr>
        <w:t>he ADO</w:t>
      </w:r>
      <w:r w:rsidR="005617E9" w:rsidRPr="005A1B76">
        <w:rPr>
          <w:rFonts w:ascii="Arial" w:hAnsi="Arial" w:cs="Arial"/>
          <w:sz w:val="20"/>
        </w:rPr>
        <w:t xml:space="preserve"> </w:t>
      </w:r>
      <w:r w:rsidR="001E7DA2">
        <w:rPr>
          <w:rFonts w:ascii="Arial" w:hAnsi="Arial" w:cs="Arial"/>
          <w:sz w:val="20"/>
        </w:rPr>
        <w:t xml:space="preserve">is </w:t>
      </w:r>
      <w:r w:rsidR="005617E9" w:rsidRPr="005A1B76">
        <w:rPr>
          <w:rFonts w:ascii="Arial" w:hAnsi="Arial" w:cs="Arial"/>
          <w:sz w:val="20"/>
        </w:rPr>
        <w:t xml:space="preserve">a </w:t>
      </w:r>
      <w:r w:rsidR="00914550" w:rsidRPr="00914550">
        <w:rPr>
          <w:rFonts w:ascii="Arial" w:hAnsi="Arial" w:cs="Arial"/>
          <w:sz w:val="20"/>
        </w:rPr>
        <w:t xml:space="preserve">nationally accredited </w:t>
      </w:r>
      <w:r w:rsidRPr="005A1B76">
        <w:rPr>
          <w:rFonts w:ascii="Arial" w:hAnsi="Arial" w:cs="Arial"/>
          <w:sz w:val="20"/>
        </w:rPr>
        <w:t>no</w:t>
      </w:r>
      <w:r>
        <w:rPr>
          <w:rFonts w:ascii="Arial" w:hAnsi="Arial" w:cs="Arial"/>
          <w:sz w:val="20"/>
        </w:rPr>
        <w:t>t</w:t>
      </w:r>
      <w:r w:rsidR="005617E9" w:rsidRPr="005A1B76">
        <w:rPr>
          <w:rFonts w:ascii="Arial" w:hAnsi="Arial" w:cs="Arial"/>
          <w:sz w:val="20"/>
        </w:rPr>
        <w:t>-for-profit community legal centre specialising in animal law</w:t>
      </w:r>
      <w:r w:rsidR="004212F4" w:rsidRPr="005A1B76">
        <w:rPr>
          <w:rFonts w:ascii="Arial" w:hAnsi="Arial" w:cs="Arial"/>
          <w:sz w:val="20"/>
        </w:rPr>
        <w:t xml:space="preserve">, </w:t>
      </w:r>
      <w:r w:rsidR="00BC76AE" w:rsidRPr="005A1B76">
        <w:rPr>
          <w:rFonts w:ascii="Arial" w:hAnsi="Arial" w:cs="Arial"/>
          <w:sz w:val="20"/>
        </w:rPr>
        <w:t xml:space="preserve">with a focus on providing </w:t>
      </w:r>
      <w:r w:rsidR="008D5856">
        <w:rPr>
          <w:rFonts w:ascii="Arial" w:hAnsi="Arial" w:cs="Arial"/>
          <w:sz w:val="20"/>
        </w:rPr>
        <w:t>free</w:t>
      </w:r>
      <w:r w:rsidR="004212F4" w:rsidRPr="005A1B76">
        <w:rPr>
          <w:rFonts w:ascii="Arial" w:hAnsi="Arial" w:cs="Arial"/>
          <w:sz w:val="20"/>
        </w:rPr>
        <w:t xml:space="preserve"> animal law services to the community.</w:t>
      </w:r>
      <w:r w:rsidR="005A1B76">
        <w:rPr>
          <w:rStyle w:val="FootnoteReference"/>
          <w:rFonts w:ascii="Arial" w:hAnsi="Arial" w:cs="Arial"/>
          <w:sz w:val="20"/>
        </w:rPr>
        <w:footnoteReference w:id="1"/>
      </w:r>
      <w:r w:rsidR="004212F4" w:rsidRPr="005A1B76">
        <w:rPr>
          <w:rFonts w:ascii="Arial" w:hAnsi="Arial" w:cs="Arial"/>
          <w:sz w:val="20"/>
        </w:rPr>
        <w:t xml:space="preserve"> The ADO is a member of Community Legal Centres </w:t>
      </w:r>
      <w:r w:rsidR="00E105A3" w:rsidRPr="00E105A3">
        <w:rPr>
          <w:rFonts w:ascii="Arial" w:hAnsi="Arial" w:cs="Arial"/>
          <w:sz w:val="20"/>
        </w:rPr>
        <w:t>Australia Inc., the national peak body representing community legal centres</w:t>
      </w:r>
      <w:r w:rsidR="00AF5441">
        <w:rPr>
          <w:rFonts w:ascii="Arial" w:hAnsi="Arial" w:cs="Arial"/>
          <w:sz w:val="20"/>
        </w:rPr>
        <w:t xml:space="preserve"> </w:t>
      </w:r>
      <w:r w:rsidR="008D5856">
        <w:rPr>
          <w:rFonts w:ascii="Arial" w:hAnsi="Arial" w:cs="Arial"/>
          <w:sz w:val="20"/>
        </w:rPr>
        <w:t>across Australia</w:t>
      </w:r>
      <w:r w:rsidR="004212F4" w:rsidRPr="005A1B76">
        <w:rPr>
          <w:rFonts w:ascii="Arial" w:hAnsi="Arial" w:cs="Arial"/>
          <w:sz w:val="20"/>
        </w:rPr>
        <w:t xml:space="preserve">. </w:t>
      </w:r>
      <w:r w:rsidR="006645D5">
        <w:rPr>
          <w:rFonts w:ascii="Arial" w:hAnsi="Arial" w:cs="Arial"/>
          <w:sz w:val="20"/>
        </w:rPr>
        <w:t>The ADO does not receive government funding and exists on donations from members of the public.</w:t>
      </w:r>
      <w:r w:rsidR="000328EC">
        <w:rPr>
          <w:rFonts w:ascii="Arial" w:hAnsi="Arial" w:cs="Arial"/>
          <w:sz w:val="20"/>
        </w:rPr>
        <w:t xml:space="preserve"> The ADO was established in 2013 and has been run by volunteers since that time.</w:t>
      </w:r>
    </w:p>
    <w:p w14:paraId="0364C547" w14:textId="0BA79D31" w:rsidR="005A1B76" w:rsidRPr="005A1B76" w:rsidRDefault="005B649E" w:rsidP="003C0733">
      <w:pPr>
        <w:pStyle w:val="ListParagraph"/>
        <w:numPr>
          <w:ilvl w:val="0"/>
          <w:numId w:val="11"/>
        </w:numPr>
        <w:spacing w:line="360" w:lineRule="auto"/>
        <w:jc w:val="both"/>
        <w:rPr>
          <w:rFonts w:ascii="Arial" w:hAnsi="Arial" w:cs="Arial"/>
          <w:b/>
          <w:sz w:val="20"/>
        </w:rPr>
      </w:pPr>
      <w:r w:rsidRPr="005A1B76">
        <w:rPr>
          <w:rFonts w:ascii="Arial" w:hAnsi="Arial" w:cs="Arial"/>
          <w:b/>
          <w:sz w:val="20"/>
        </w:rPr>
        <w:t>Terms of reference and s</w:t>
      </w:r>
      <w:r w:rsidR="00E240E1" w:rsidRPr="005A1B76">
        <w:rPr>
          <w:rFonts w:ascii="Arial" w:hAnsi="Arial" w:cs="Arial"/>
          <w:b/>
          <w:sz w:val="20"/>
        </w:rPr>
        <w:t xml:space="preserve">cope of </w:t>
      </w:r>
      <w:r w:rsidR="008D5856">
        <w:rPr>
          <w:rFonts w:ascii="Arial" w:hAnsi="Arial" w:cs="Arial"/>
          <w:b/>
          <w:sz w:val="20"/>
        </w:rPr>
        <w:t>ADO’s</w:t>
      </w:r>
      <w:r w:rsidR="008D5856" w:rsidRPr="005A1B76">
        <w:rPr>
          <w:rFonts w:ascii="Arial" w:hAnsi="Arial" w:cs="Arial"/>
          <w:b/>
          <w:sz w:val="20"/>
        </w:rPr>
        <w:t xml:space="preserve"> </w:t>
      </w:r>
      <w:r w:rsidR="00E240E1" w:rsidRPr="005A1B76">
        <w:rPr>
          <w:rFonts w:ascii="Arial" w:hAnsi="Arial" w:cs="Arial"/>
          <w:b/>
          <w:sz w:val="20"/>
        </w:rPr>
        <w:t xml:space="preserve">submissions </w:t>
      </w:r>
    </w:p>
    <w:p w14:paraId="4BF0F29C" w14:textId="77777777" w:rsidR="005A1B76" w:rsidRPr="005A1B76" w:rsidRDefault="005A1B76" w:rsidP="001E7DA2">
      <w:pPr>
        <w:pStyle w:val="ListParagraph"/>
        <w:numPr>
          <w:ilvl w:val="1"/>
          <w:numId w:val="11"/>
        </w:numPr>
        <w:spacing w:line="276" w:lineRule="auto"/>
        <w:jc w:val="both"/>
        <w:rPr>
          <w:rFonts w:ascii="Arial" w:hAnsi="Arial" w:cs="Arial"/>
          <w:b/>
          <w:i/>
          <w:sz w:val="20"/>
        </w:rPr>
      </w:pPr>
      <w:r w:rsidRPr="005A1B76">
        <w:rPr>
          <w:rFonts w:ascii="Arial" w:hAnsi="Arial" w:cs="Arial"/>
          <w:i/>
          <w:sz w:val="20"/>
        </w:rPr>
        <w:t xml:space="preserve">Terms of reference </w:t>
      </w:r>
    </w:p>
    <w:p w14:paraId="75981EE3" w14:textId="0278FD76" w:rsidR="005B649E" w:rsidRDefault="006309F8" w:rsidP="005A1B76">
      <w:pPr>
        <w:spacing w:line="360" w:lineRule="auto"/>
        <w:jc w:val="both"/>
        <w:rPr>
          <w:rFonts w:ascii="Arial" w:hAnsi="Arial" w:cs="Arial"/>
          <w:sz w:val="20"/>
        </w:rPr>
      </w:pPr>
      <w:r>
        <w:rPr>
          <w:rFonts w:ascii="Arial" w:hAnsi="Arial" w:cs="Arial"/>
          <w:sz w:val="20"/>
        </w:rPr>
        <w:t>T</w:t>
      </w:r>
      <w:r w:rsidR="005B649E" w:rsidRPr="005A1B76">
        <w:rPr>
          <w:rFonts w:ascii="Arial" w:hAnsi="Arial" w:cs="Arial"/>
          <w:sz w:val="20"/>
        </w:rPr>
        <w:t xml:space="preserve">he terms of reference </w:t>
      </w:r>
      <w:r w:rsidR="00AB4AD8">
        <w:rPr>
          <w:rFonts w:ascii="Arial" w:hAnsi="Arial" w:cs="Arial"/>
          <w:sz w:val="20"/>
        </w:rPr>
        <w:t>(</w:t>
      </w:r>
      <w:r w:rsidR="00AB4AD8" w:rsidRPr="00290835">
        <w:rPr>
          <w:rFonts w:ascii="Arial" w:hAnsi="Arial" w:cs="Arial"/>
          <w:b/>
          <w:bCs/>
          <w:sz w:val="20"/>
        </w:rPr>
        <w:t>TOR</w:t>
      </w:r>
      <w:r w:rsidR="00AB4AD8">
        <w:rPr>
          <w:rFonts w:ascii="Arial" w:hAnsi="Arial" w:cs="Arial"/>
          <w:sz w:val="20"/>
        </w:rPr>
        <w:t xml:space="preserve">) </w:t>
      </w:r>
      <w:r w:rsidR="005B649E" w:rsidRPr="005A1B76">
        <w:rPr>
          <w:rFonts w:ascii="Arial" w:hAnsi="Arial" w:cs="Arial"/>
          <w:sz w:val="20"/>
        </w:rPr>
        <w:t>for th</w:t>
      </w:r>
      <w:r w:rsidR="00AF5441">
        <w:rPr>
          <w:rFonts w:ascii="Arial" w:hAnsi="Arial" w:cs="Arial"/>
          <w:sz w:val="20"/>
        </w:rPr>
        <w:t>e</w:t>
      </w:r>
      <w:r w:rsidR="005B649E" w:rsidRPr="005A1B76">
        <w:rPr>
          <w:rFonts w:ascii="Arial" w:hAnsi="Arial" w:cs="Arial"/>
          <w:sz w:val="20"/>
        </w:rPr>
        <w:t xml:space="preserve"> Inquiry</w:t>
      </w:r>
      <w:r w:rsidR="00B9601F">
        <w:rPr>
          <w:rFonts w:ascii="Arial" w:hAnsi="Arial" w:cs="Arial"/>
          <w:sz w:val="20"/>
        </w:rPr>
        <w:t xml:space="preserve"> </w:t>
      </w:r>
      <w:r>
        <w:rPr>
          <w:rFonts w:ascii="Arial" w:hAnsi="Arial" w:cs="Arial"/>
          <w:sz w:val="20"/>
        </w:rPr>
        <w:t>include</w:t>
      </w:r>
      <w:r w:rsidR="005B649E" w:rsidRPr="005A1B76">
        <w:rPr>
          <w:rFonts w:ascii="Arial" w:hAnsi="Arial" w:cs="Arial"/>
          <w:sz w:val="20"/>
        </w:rPr>
        <w:t xml:space="preserve"> to </w:t>
      </w:r>
      <w:r w:rsidR="00490D61" w:rsidRPr="002E5922">
        <w:rPr>
          <w:rFonts w:ascii="Arial" w:hAnsi="Arial" w:cs="Arial"/>
          <w:sz w:val="20"/>
        </w:rPr>
        <w:t xml:space="preserve">examine </w:t>
      </w:r>
      <w:r w:rsidR="005B649E" w:rsidRPr="002E5922">
        <w:rPr>
          <w:rFonts w:ascii="Arial" w:hAnsi="Arial" w:cs="Arial"/>
          <w:sz w:val="20"/>
        </w:rPr>
        <w:t>“</w:t>
      </w:r>
      <w:r w:rsidR="005B649E" w:rsidRPr="00290835">
        <w:rPr>
          <w:rFonts w:ascii="Arial" w:hAnsi="Arial" w:cs="Arial"/>
          <w:sz w:val="20"/>
        </w:rPr>
        <w:t xml:space="preserve">the current barriers to </w:t>
      </w:r>
      <w:r w:rsidR="000B3E90" w:rsidRPr="00290835">
        <w:rPr>
          <w:rFonts w:ascii="Arial" w:hAnsi="Arial" w:cs="Arial"/>
          <w:sz w:val="20"/>
        </w:rPr>
        <w:t>philanthropic giving</w:t>
      </w:r>
      <w:r w:rsidR="000B3E90" w:rsidRPr="002E5922">
        <w:rPr>
          <w:rFonts w:ascii="Arial" w:hAnsi="Arial" w:cs="Arial"/>
          <w:sz w:val="20"/>
        </w:rPr>
        <w:t>”, including</w:t>
      </w:r>
      <w:r w:rsidR="00925E7F" w:rsidRPr="002E5922">
        <w:rPr>
          <w:rFonts w:ascii="Arial" w:hAnsi="Arial" w:cs="Arial"/>
          <w:sz w:val="20"/>
        </w:rPr>
        <w:t xml:space="preserve"> the</w:t>
      </w:r>
      <w:r w:rsidR="005B649E" w:rsidRPr="002E5922">
        <w:rPr>
          <w:rFonts w:ascii="Arial" w:hAnsi="Arial" w:cs="Arial"/>
          <w:sz w:val="20"/>
        </w:rPr>
        <w:t xml:space="preserve"> “</w:t>
      </w:r>
      <w:r w:rsidR="005B649E" w:rsidRPr="00290835">
        <w:rPr>
          <w:rFonts w:ascii="Arial" w:hAnsi="Arial" w:cs="Arial"/>
          <w:sz w:val="20"/>
        </w:rPr>
        <w:t xml:space="preserve">burden imposed on donor, volunteers and </w:t>
      </w:r>
      <w:r w:rsidR="007C18D6" w:rsidRPr="00290835">
        <w:rPr>
          <w:rFonts w:ascii="Arial" w:hAnsi="Arial" w:cs="Arial"/>
          <w:sz w:val="20"/>
        </w:rPr>
        <w:t>not</w:t>
      </w:r>
      <w:r w:rsidR="005B649E" w:rsidRPr="00290835">
        <w:rPr>
          <w:rFonts w:ascii="Arial" w:hAnsi="Arial" w:cs="Arial"/>
          <w:sz w:val="20"/>
        </w:rPr>
        <w:t>-for-profits by the current regulatory framework for giving and how this affects their philanthropic decisions</w:t>
      </w:r>
      <w:r w:rsidR="00490D61" w:rsidRPr="002E5922">
        <w:rPr>
          <w:rFonts w:ascii="Arial" w:hAnsi="Arial" w:cs="Arial"/>
          <w:sz w:val="20"/>
        </w:rPr>
        <w:t>” (</w:t>
      </w:r>
      <w:r w:rsidR="00CA1A00">
        <w:rPr>
          <w:rFonts w:ascii="Arial" w:hAnsi="Arial" w:cs="Arial"/>
          <w:sz w:val="20"/>
        </w:rPr>
        <w:t>TOR</w:t>
      </w:r>
      <w:r w:rsidR="005B649E" w:rsidRPr="002E5922">
        <w:rPr>
          <w:rFonts w:ascii="Arial" w:hAnsi="Arial" w:cs="Arial"/>
          <w:sz w:val="20"/>
        </w:rPr>
        <w:t xml:space="preserve"> 3(</w:t>
      </w:r>
      <w:proofErr w:type="spellStart"/>
      <w:r w:rsidR="005B649E" w:rsidRPr="002E5922">
        <w:rPr>
          <w:rFonts w:ascii="Arial" w:hAnsi="Arial" w:cs="Arial"/>
          <w:sz w:val="20"/>
        </w:rPr>
        <w:t>i</w:t>
      </w:r>
      <w:proofErr w:type="spellEnd"/>
      <w:r w:rsidR="005B649E" w:rsidRPr="002E5922">
        <w:rPr>
          <w:rFonts w:ascii="Arial" w:hAnsi="Arial" w:cs="Arial"/>
          <w:sz w:val="20"/>
        </w:rPr>
        <w:t>))</w:t>
      </w:r>
      <w:r w:rsidR="00C835DA">
        <w:rPr>
          <w:rFonts w:ascii="Arial" w:hAnsi="Arial" w:cs="Arial"/>
          <w:sz w:val="20"/>
        </w:rPr>
        <w:t>.</w:t>
      </w:r>
      <w:r w:rsidR="00AB4AD8">
        <w:rPr>
          <w:rStyle w:val="FootnoteReference"/>
          <w:rFonts w:ascii="Arial" w:hAnsi="Arial" w:cs="Arial"/>
          <w:sz w:val="20"/>
        </w:rPr>
        <w:footnoteReference w:id="2"/>
      </w:r>
      <w:r w:rsidR="00C835DA">
        <w:rPr>
          <w:rFonts w:ascii="Arial" w:hAnsi="Arial" w:cs="Arial"/>
          <w:sz w:val="20"/>
        </w:rPr>
        <w:t xml:space="preserve"> The </w:t>
      </w:r>
      <w:r w:rsidR="00CA1A00">
        <w:rPr>
          <w:rFonts w:ascii="Arial" w:hAnsi="Arial" w:cs="Arial"/>
          <w:sz w:val="20"/>
        </w:rPr>
        <w:t>TOR</w:t>
      </w:r>
      <w:r w:rsidR="00C835DA">
        <w:rPr>
          <w:rFonts w:ascii="Arial" w:hAnsi="Arial" w:cs="Arial"/>
          <w:sz w:val="20"/>
        </w:rPr>
        <w:t xml:space="preserve"> also include</w:t>
      </w:r>
      <w:r w:rsidR="007C18D6" w:rsidRPr="002E5922">
        <w:rPr>
          <w:rFonts w:ascii="Arial" w:hAnsi="Arial" w:cs="Arial"/>
          <w:sz w:val="20"/>
        </w:rPr>
        <w:t xml:space="preserve"> </w:t>
      </w:r>
      <w:r w:rsidR="00490D61" w:rsidRPr="002E5922">
        <w:rPr>
          <w:rFonts w:ascii="Arial" w:hAnsi="Arial" w:cs="Arial"/>
          <w:sz w:val="20"/>
        </w:rPr>
        <w:t>consider</w:t>
      </w:r>
      <w:r w:rsidR="00C835DA">
        <w:rPr>
          <w:rFonts w:ascii="Arial" w:hAnsi="Arial" w:cs="Arial"/>
          <w:sz w:val="20"/>
        </w:rPr>
        <w:t>ing</w:t>
      </w:r>
      <w:r w:rsidR="005B649E" w:rsidRPr="002E5922">
        <w:rPr>
          <w:rFonts w:ascii="Arial" w:hAnsi="Arial" w:cs="Arial"/>
          <w:sz w:val="20"/>
        </w:rPr>
        <w:t xml:space="preserve"> “</w:t>
      </w:r>
      <w:r w:rsidR="005B649E" w:rsidRPr="00290835">
        <w:rPr>
          <w:rFonts w:ascii="Arial" w:hAnsi="Arial" w:cs="Arial"/>
          <w:sz w:val="20"/>
        </w:rPr>
        <w:t>the effectiveness and fairness of the deductible gift recipient framework and how it aligns with public policy objectives and the priorities of the broader community”</w:t>
      </w:r>
      <w:r w:rsidR="00490D61">
        <w:rPr>
          <w:rFonts w:ascii="Arial" w:hAnsi="Arial" w:cs="Arial"/>
          <w:sz w:val="20"/>
        </w:rPr>
        <w:t xml:space="preserve"> (</w:t>
      </w:r>
      <w:r w:rsidR="00CA1A00">
        <w:rPr>
          <w:rFonts w:ascii="Arial" w:hAnsi="Arial" w:cs="Arial"/>
          <w:sz w:val="20"/>
        </w:rPr>
        <w:t>TOR</w:t>
      </w:r>
      <w:r w:rsidR="005B649E" w:rsidRPr="005A1B76">
        <w:rPr>
          <w:rFonts w:ascii="Arial" w:hAnsi="Arial" w:cs="Arial"/>
          <w:sz w:val="20"/>
        </w:rPr>
        <w:t xml:space="preserve"> 5). </w:t>
      </w:r>
    </w:p>
    <w:p w14:paraId="67E5F0F6" w14:textId="77777777" w:rsidR="005A1B76" w:rsidRPr="005A1B76" w:rsidRDefault="005A1B76" w:rsidP="00290835">
      <w:pPr>
        <w:pStyle w:val="ListParagraph"/>
        <w:keepNext/>
        <w:numPr>
          <w:ilvl w:val="1"/>
          <w:numId w:val="11"/>
        </w:numPr>
        <w:spacing w:line="360" w:lineRule="auto"/>
        <w:jc w:val="both"/>
        <w:rPr>
          <w:rFonts w:ascii="Arial" w:hAnsi="Arial" w:cs="Arial"/>
          <w:i/>
          <w:sz w:val="20"/>
        </w:rPr>
      </w:pPr>
      <w:r w:rsidRPr="005A1B76">
        <w:rPr>
          <w:rFonts w:ascii="Arial" w:hAnsi="Arial" w:cs="Arial"/>
          <w:i/>
          <w:sz w:val="20"/>
        </w:rPr>
        <w:lastRenderedPageBreak/>
        <w:t xml:space="preserve">Scope of the ADO’s submissions </w:t>
      </w:r>
    </w:p>
    <w:p w14:paraId="7B59E900" w14:textId="3AE56D9B" w:rsidR="00F439FC" w:rsidRPr="005A1B76" w:rsidRDefault="00E240E1" w:rsidP="00290835">
      <w:pPr>
        <w:keepNext/>
        <w:spacing w:line="360" w:lineRule="auto"/>
        <w:jc w:val="both"/>
        <w:rPr>
          <w:rFonts w:ascii="Arial" w:hAnsi="Arial" w:cs="Arial"/>
          <w:sz w:val="20"/>
        </w:rPr>
      </w:pPr>
      <w:r w:rsidRPr="005A1B76">
        <w:rPr>
          <w:rFonts w:ascii="Arial" w:hAnsi="Arial" w:cs="Arial"/>
          <w:sz w:val="20"/>
        </w:rPr>
        <w:t>The ADO’</w:t>
      </w:r>
      <w:r w:rsidR="00F439FC" w:rsidRPr="005A1B76">
        <w:rPr>
          <w:rFonts w:ascii="Arial" w:hAnsi="Arial" w:cs="Arial"/>
          <w:sz w:val="20"/>
        </w:rPr>
        <w:t>s submissions</w:t>
      </w:r>
      <w:r w:rsidR="00D77041">
        <w:rPr>
          <w:rFonts w:ascii="Arial" w:hAnsi="Arial" w:cs="Arial"/>
          <w:sz w:val="20"/>
        </w:rPr>
        <w:t xml:space="preserve"> for the purpose</w:t>
      </w:r>
      <w:r w:rsidR="005B649E" w:rsidRPr="005A1B76">
        <w:rPr>
          <w:rFonts w:ascii="Arial" w:hAnsi="Arial" w:cs="Arial"/>
          <w:sz w:val="20"/>
        </w:rPr>
        <w:t xml:space="preserve"> of </w:t>
      </w:r>
      <w:r w:rsidR="00CA1A00" w:rsidRPr="005A1B76">
        <w:rPr>
          <w:rFonts w:ascii="Arial" w:hAnsi="Arial" w:cs="Arial"/>
          <w:sz w:val="20"/>
        </w:rPr>
        <w:t>th</w:t>
      </w:r>
      <w:r w:rsidR="00CA1A00">
        <w:rPr>
          <w:rFonts w:ascii="Arial" w:hAnsi="Arial" w:cs="Arial"/>
          <w:sz w:val="20"/>
        </w:rPr>
        <w:t>e</w:t>
      </w:r>
      <w:r w:rsidR="00CA1A00" w:rsidRPr="005A1B76">
        <w:rPr>
          <w:rFonts w:ascii="Arial" w:hAnsi="Arial" w:cs="Arial"/>
          <w:sz w:val="20"/>
        </w:rPr>
        <w:t xml:space="preserve"> </w:t>
      </w:r>
      <w:r w:rsidR="005B649E" w:rsidRPr="005A1B76">
        <w:rPr>
          <w:rFonts w:ascii="Arial" w:hAnsi="Arial" w:cs="Arial"/>
          <w:sz w:val="20"/>
        </w:rPr>
        <w:t>Inquiry</w:t>
      </w:r>
      <w:r w:rsidR="001E7DA2">
        <w:rPr>
          <w:rFonts w:ascii="Arial" w:hAnsi="Arial" w:cs="Arial"/>
          <w:sz w:val="20"/>
        </w:rPr>
        <w:t xml:space="preserve"> are principally directed </w:t>
      </w:r>
      <w:r w:rsidR="000B3E90">
        <w:rPr>
          <w:rFonts w:ascii="Arial" w:hAnsi="Arial" w:cs="Arial"/>
          <w:sz w:val="20"/>
        </w:rPr>
        <w:t>at</w:t>
      </w:r>
      <w:r w:rsidR="001E7DA2">
        <w:rPr>
          <w:rFonts w:ascii="Arial" w:hAnsi="Arial" w:cs="Arial"/>
          <w:sz w:val="20"/>
        </w:rPr>
        <w:t xml:space="preserve"> T</w:t>
      </w:r>
      <w:r w:rsidR="00CA1A00">
        <w:rPr>
          <w:rFonts w:ascii="Arial" w:hAnsi="Arial" w:cs="Arial"/>
          <w:sz w:val="20"/>
        </w:rPr>
        <w:t>O</w:t>
      </w:r>
      <w:r w:rsidR="001E7DA2">
        <w:rPr>
          <w:rFonts w:ascii="Arial" w:hAnsi="Arial" w:cs="Arial"/>
          <w:sz w:val="20"/>
        </w:rPr>
        <w:t>R 3(</w:t>
      </w:r>
      <w:proofErr w:type="spellStart"/>
      <w:r w:rsidR="001E7DA2">
        <w:rPr>
          <w:rFonts w:ascii="Arial" w:hAnsi="Arial" w:cs="Arial"/>
          <w:sz w:val="20"/>
        </w:rPr>
        <w:t>i</w:t>
      </w:r>
      <w:proofErr w:type="spellEnd"/>
      <w:r w:rsidR="001E7DA2">
        <w:rPr>
          <w:rFonts w:ascii="Arial" w:hAnsi="Arial" w:cs="Arial"/>
          <w:sz w:val="20"/>
        </w:rPr>
        <w:t>) and 5, which</w:t>
      </w:r>
      <w:r w:rsidR="00F439FC" w:rsidRPr="005A1B76">
        <w:rPr>
          <w:rFonts w:ascii="Arial" w:hAnsi="Arial" w:cs="Arial"/>
          <w:sz w:val="20"/>
        </w:rPr>
        <w:t xml:space="preserve"> </w:t>
      </w:r>
      <w:r w:rsidR="005B649E" w:rsidRPr="005A1B76">
        <w:rPr>
          <w:rFonts w:ascii="Arial" w:hAnsi="Arial" w:cs="Arial"/>
          <w:sz w:val="20"/>
        </w:rPr>
        <w:t>focus</w:t>
      </w:r>
      <w:r w:rsidR="00AB487C">
        <w:rPr>
          <w:rFonts w:ascii="Arial" w:hAnsi="Arial" w:cs="Arial"/>
          <w:sz w:val="20"/>
        </w:rPr>
        <w:t xml:space="preserve"> </w:t>
      </w:r>
      <w:r w:rsidR="001E7DA2">
        <w:rPr>
          <w:rFonts w:ascii="Arial" w:hAnsi="Arial" w:cs="Arial"/>
          <w:sz w:val="20"/>
        </w:rPr>
        <w:t xml:space="preserve">on </w:t>
      </w:r>
      <w:r w:rsidR="00F439FC" w:rsidRPr="005A1B76">
        <w:rPr>
          <w:rFonts w:ascii="Arial" w:hAnsi="Arial" w:cs="Arial"/>
          <w:sz w:val="20"/>
        </w:rPr>
        <w:t xml:space="preserve">the </w:t>
      </w:r>
      <w:r w:rsidR="00D2462C" w:rsidRPr="005A1B76">
        <w:rPr>
          <w:rFonts w:ascii="Arial" w:hAnsi="Arial" w:cs="Arial"/>
          <w:sz w:val="20"/>
        </w:rPr>
        <w:t>current legislative and regulatory</w:t>
      </w:r>
      <w:r w:rsidR="001E7DA2">
        <w:rPr>
          <w:rFonts w:ascii="Arial" w:hAnsi="Arial" w:cs="Arial"/>
          <w:sz w:val="20"/>
        </w:rPr>
        <w:t xml:space="preserve"> framework</w:t>
      </w:r>
      <w:r w:rsidR="00D2462C" w:rsidRPr="005A1B76">
        <w:rPr>
          <w:rFonts w:ascii="Arial" w:hAnsi="Arial" w:cs="Arial"/>
          <w:sz w:val="20"/>
        </w:rPr>
        <w:t xml:space="preserve"> surrounding the “deductible gift recipient” (</w:t>
      </w:r>
      <w:r w:rsidR="00D2462C" w:rsidRPr="005A1B76">
        <w:rPr>
          <w:rFonts w:ascii="Arial" w:hAnsi="Arial" w:cs="Arial"/>
          <w:b/>
          <w:sz w:val="20"/>
        </w:rPr>
        <w:t>DGR</w:t>
      </w:r>
      <w:r w:rsidR="00D2462C" w:rsidRPr="005A1B76">
        <w:rPr>
          <w:rFonts w:ascii="Arial" w:hAnsi="Arial" w:cs="Arial"/>
          <w:sz w:val="20"/>
        </w:rPr>
        <w:t xml:space="preserve">) scheme. </w:t>
      </w:r>
      <w:r w:rsidR="00AB487C">
        <w:rPr>
          <w:rFonts w:ascii="Arial" w:hAnsi="Arial" w:cs="Arial"/>
          <w:sz w:val="20"/>
        </w:rPr>
        <w:t>Owing</w:t>
      </w:r>
      <w:r w:rsidR="00D2462C" w:rsidRPr="005A1B76">
        <w:rPr>
          <w:rFonts w:ascii="Arial" w:hAnsi="Arial" w:cs="Arial"/>
          <w:sz w:val="20"/>
        </w:rPr>
        <w:t xml:space="preserve"> to the </w:t>
      </w:r>
      <w:r w:rsidR="00AB487C">
        <w:rPr>
          <w:rFonts w:ascii="Arial" w:hAnsi="Arial" w:cs="Arial"/>
          <w:sz w:val="20"/>
        </w:rPr>
        <w:t>limited scope of</w:t>
      </w:r>
      <w:r w:rsidR="00BC76AE" w:rsidRPr="005A1B76">
        <w:rPr>
          <w:rFonts w:ascii="Arial" w:hAnsi="Arial" w:cs="Arial"/>
          <w:sz w:val="20"/>
        </w:rPr>
        <w:t xml:space="preserve"> </w:t>
      </w:r>
      <w:r w:rsidR="000B3E90">
        <w:rPr>
          <w:rFonts w:ascii="Arial" w:hAnsi="Arial" w:cs="Arial"/>
          <w:sz w:val="20"/>
        </w:rPr>
        <w:t xml:space="preserve">the </w:t>
      </w:r>
      <w:r w:rsidR="001E7DA2">
        <w:rPr>
          <w:rFonts w:ascii="Arial" w:hAnsi="Arial" w:cs="Arial"/>
          <w:sz w:val="20"/>
        </w:rPr>
        <w:t xml:space="preserve">DGR-eligible </w:t>
      </w:r>
      <w:r w:rsidR="00BC76AE" w:rsidRPr="005A1B76">
        <w:rPr>
          <w:rFonts w:ascii="Arial" w:hAnsi="Arial" w:cs="Arial"/>
          <w:sz w:val="20"/>
        </w:rPr>
        <w:t xml:space="preserve">categories </w:t>
      </w:r>
      <w:r w:rsidR="0036672D">
        <w:rPr>
          <w:rFonts w:ascii="Arial" w:hAnsi="Arial" w:cs="Arial"/>
          <w:sz w:val="20"/>
        </w:rPr>
        <w:t xml:space="preserve">currently </w:t>
      </w:r>
      <w:r w:rsidR="00BC76AE" w:rsidRPr="005A1B76">
        <w:rPr>
          <w:rFonts w:ascii="Arial" w:hAnsi="Arial" w:cs="Arial"/>
          <w:sz w:val="20"/>
        </w:rPr>
        <w:t>recognised by</w:t>
      </w:r>
      <w:r w:rsidR="001E7DA2">
        <w:rPr>
          <w:rFonts w:ascii="Arial" w:hAnsi="Arial" w:cs="Arial"/>
          <w:sz w:val="20"/>
        </w:rPr>
        <w:t xml:space="preserve"> the Australian Taxation Office</w:t>
      </w:r>
      <w:r w:rsidR="00B0440E">
        <w:rPr>
          <w:rFonts w:ascii="Arial" w:hAnsi="Arial" w:cs="Arial"/>
          <w:sz w:val="20"/>
        </w:rPr>
        <w:t xml:space="preserve"> (</w:t>
      </w:r>
      <w:r w:rsidR="00B0440E">
        <w:rPr>
          <w:rFonts w:ascii="Arial" w:hAnsi="Arial" w:cs="Arial"/>
          <w:b/>
          <w:sz w:val="20"/>
        </w:rPr>
        <w:t>ATO</w:t>
      </w:r>
      <w:r w:rsidR="00B0440E">
        <w:rPr>
          <w:rFonts w:ascii="Arial" w:hAnsi="Arial" w:cs="Arial"/>
          <w:sz w:val="20"/>
        </w:rPr>
        <w:t>)</w:t>
      </w:r>
      <w:r w:rsidR="00490D61">
        <w:rPr>
          <w:rFonts w:ascii="Arial" w:hAnsi="Arial" w:cs="Arial"/>
          <w:sz w:val="20"/>
        </w:rPr>
        <w:t xml:space="preserve"> in respect of animal welfare</w:t>
      </w:r>
      <w:r w:rsidR="00BC76AE" w:rsidRPr="005A1B76">
        <w:rPr>
          <w:rFonts w:ascii="Arial" w:hAnsi="Arial" w:cs="Arial"/>
          <w:sz w:val="20"/>
        </w:rPr>
        <w:t>,</w:t>
      </w:r>
      <w:r w:rsidR="000B3E90">
        <w:rPr>
          <w:rStyle w:val="FootnoteReference"/>
          <w:rFonts w:ascii="Arial" w:hAnsi="Arial" w:cs="Arial"/>
          <w:sz w:val="20"/>
        </w:rPr>
        <w:footnoteReference w:id="3"/>
      </w:r>
      <w:r w:rsidR="00BC76AE" w:rsidRPr="005A1B76">
        <w:rPr>
          <w:rFonts w:ascii="Arial" w:hAnsi="Arial" w:cs="Arial"/>
          <w:sz w:val="20"/>
        </w:rPr>
        <w:t xml:space="preserve"> many a</w:t>
      </w:r>
      <w:r w:rsidR="00F439FC" w:rsidRPr="005A1B76">
        <w:rPr>
          <w:rFonts w:ascii="Arial" w:hAnsi="Arial" w:cs="Arial"/>
          <w:sz w:val="20"/>
        </w:rPr>
        <w:t xml:space="preserve">nimal </w:t>
      </w:r>
      <w:r w:rsidR="00C12FCE">
        <w:rPr>
          <w:rFonts w:ascii="Arial" w:hAnsi="Arial" w:cs="Arial"/>
          <w:sz w:val="20"/>
        </w:rPr>
        <w:t>welfare</w:t>
      </w:r>
      <w:r w:rsidR="000A6CCA">
        <w:rPr>
          <w:rFonts w:ascii="Arial" w:hAnsi="Arial" w:cs="Arial"/>
          <w:sz w:val="20"/>
        </w:rPr>
        <w:t xml:space="preserve"> advocacy</w:t>
      </w:r>
      <w:r w:rsidR="00F439FC" w:rsidRPr="005A1B76">
        <w:rPr>
          <w:rFonts w:ascii="Arial" w:hAnsi="Arial" w:cs="Arial"/>
          <w:sz w:val="20"/>
        </w:rPr>
        <w:t xml:space="preserve"> organisations</w:t>
      </w:r>
      <w:r w:rsidR="00BC76AE" w:rsidRPr="005A1B76">
        <w:rPr>
          <w:rFonts w:ascii="Arial" w:hAnsi="Arial" w:cs="Arial"/>
          <w:sz w:val="20"/>
        </w:rPr>
        <w:t xml:space="preserve"> </w:t>
      </w:r>
      <w:r w:rsidR="00F439FC" w:rsidRPr="005A1B76">
        <w:rPr>
          <w:rFonts w:ascii="Arial" w:hAnsi="Arial" w:cs="Arial"/>
          <w:sz w:val="20"/>
        </w:rPr>
        <w:t xml:space="preserve">such as the </w:t>
      </w:r>
      <w:r w:rsidR="00BC76AE" w:rsidRPr="005A1B76">
        <w:rPr>
          <w:rFonts w:ascii="Arial" w:hAnsi="Arial" w:cs="Arial"/>
          <w:sz w:val="20"/>
        </w:rPr>
        <w:t>ADO</w:t>
      </w:r>
      <w:r w:rsidR="00F439FC" w:rsidRPr="005A1B76">
        <w:rPr>
          <w:rFonts w:ascii="Arial" w:hAnsi="Arial" w:cs="Arial"/>
          <w:sz w:val="20"/>
        </w:rPr>
        <w:t xml:space="preserve"> are not eligible for DGR status</w:t>
      </w:r>
      <w:r w:rsidR="00BC76AE" w:rsidRPr="005A1B76">
        <w:rPr>
          <w:rFonts w:ascii="Arial" w:hAnsi="Arial" w:cs="Arial"/>
          <w:sz w:val="20"/>
        </w:rPr>
        <w:t>.</w:t>
      </w:r>
      <w:r w:rsidR="00D2462C" w:rsidRPr="005A1B76">
        <w:rPr>
          <w:rFonts w:ascii="Arial" w:hAnsi="Arial" w:cs="Arial"/>
          <w:sz w:val="20"/>
        </w:rPr>
        <w:t xml:space="preserve"> In broad outline, these submissions </w:t>
      </w:r>
      <w:r w:rsidR="00B916E7">
        <w:rPr>
          <w:rFonts w:ascii="Arial" w:hAnsi="Arial" w:cs="Arial"/>
          <w:sz w:val="20"/>
        </w:rPr>
        <w:t>recommend</w:t>
      </w:r>
      <w:r w:rsidR="00D2462C" w:rsidRPr="005A1B76">
        <w:rPr>
          <w:rFonts w:ascii="Arial" w:hAnsi="Arial" w:cs="Arial"/>
          <w:sz w:val="20"/>
        </w:rPr>
        <w:t xml:space="preserve"> that the </w:t>
      </w:r>
      <w:r w:rsidR="00C12FCE">
        <w:rPr>
          <w:rFonts w:ascii="Arial" w:hAnsi="Arial" w:cs="Arial"/>
          <w:sz w:val="20"/>
        </w:rPr>
        <w:t xml:space="preserve">DGR-eligible </w:t>
      </w:r>
      <w:r w:rsidR="00D2462C" w:rsidRPr="005A1B76">
        <w:rPr>
          <w:rFonts w:ascii="Arial" w:hAnsi="Arial" w:cs="Arial"/>
          <w:sz w:val="20"/>
        </w:rPr>
        <w:t xml:space="preserve">categories </w:t>
      </w:r>
      <w:r w:rsidR="00C12FCE">
        <w:rPr>
          <w:rFonts w:ascii="Arial" w:hAnsi="Arial" w:cs="Arial"/>
          <w:sz w:val="20"/>
        </w:rPr>
        <w:t>i</w:t>
      </w:r>
      <w:r w:rsidR="00D2462C" w:rsidRPr="005A1B76">
        <w:rPr>
          <w:rFonts w:ascii="Arial" w:hAnsi="Arial" w:cs="Arial"/>
          <w:sz w:val="20"/>
        </w:rPr>
        <w:t>n respect of</w:t>
      </w:r>
      <w:r w:rsidR="00C12FCE">
        <w:rPr>
          <w:rFonts w:ascii="Arial" w:hAnsi="Arial" w:cs="Arial"/>
          <w:sz w:val="20"/>
        </w:rPr>
        <w:t xml:space="preserve"> animal welfare </w:t>
      </w:r>
      <w:r w:rsidR="00D2462C" w:rsidRPr="005A1B76">
        <w:rPr>
          <w:rFonts w:ascii="Arial" w:hAnsi="Arial" w:cs="Arial"/>
          <w:sz w:val="20"/>
        </w:rPr>
        <w:t xml:space="preserve">should be expanded to accommodate broader mandates </w:t>
      </w:r>
      <w:r w:rsidR="00742F9C">
        <w:rPr>
          <w:rFonts w:ascii="Arial" w:hAnsi="Arial" w:cs="Arial"/>
          <w:sz w:val="20"/>
        </w:rPr>
        <w:t>and activities</w:t>
      </w:r>
      <w:r w:rsidR="00C12FCE">
        <w:rPr>
          <w:rFonts w:ascii="Arial" w:hAnsi="Arial" w:cs="Arial"/>
          <w:sz w:val="20"/>
        </w:rPr>
        <w:t xml:space="preserve"> of organisations</w:t>
      </w:r>
      <w:r w:rsidR="00D77041">
        <w:rPr>
          <w:rFonts w:ascii="Arial" w:hAnsi="Arial" w:cs="Arial"/>
          <w:sz w:val="20"/>
        </w:rPr>
        <w:t xml:space="preserve"> </w:t>
      </w:r>
      <w:r w:rsidR="00D2462C" w:rsidRPr="005A1B76">
        <w:rPr>
          <w:rFonts w:ascii="Arial" w:hAnsi="Arial" w:cs="Arial"/>
          <w:sz w:val="20"/>
        </w:rPr>
        <w:t>t</w:t>
      </w:r>
      <w:r w:rsidR="00C12FCE">
        <w:rPr>
          <w:rFonts w:ascii="Arial" w:hAnsi="Arial" w:cs="Arial"/>
          <w:sz w:val="20"/>
        </w:rPr>
        <w:t xml:space="preserve">han those recognised under the current framework. </w:t>
      </w:r>
    </w:p>
    <w:p w14:paraId="434CAAD2" w14:textId="77777777" w:rsidR="0036672D" w:rsidRDefault="00F439FC" w:rsidP="003F44D6">
      <w:pPr>
        <w:pStyle w:val="ListParagraph"/>
        <w:numPr>
          <w:ilvl w:val="0"/>
          <w:numId w:val="11"/>
        </w:numPr>
        <w:spacing w:line="360" w:lineRule="auto"/>
        <w:jc w:val="both"/>
        <w:rPr>
          <w:rFonts w:ascii="Arial" w:hAnsi="Arial" w:cs="Arial"/>
          <w:b/>
          <w:sz w:val="20"/>
        </w:rPr>
      </w:pPr>
      <w:r w:rsidRPr="0036672D">
        <w:rPr>
          <w:rFonts w:ascii="Arial" w:hAnsi="Arial" w:cs="Arial"/>
          <w:b/>
          <w:sz w:val="20"/>
        </w:rPr>
        <w:t xml:space="preserve">DGR Status </w:t>
      </w:r>
    </w:p>
    <w:p w14:paraId="6F422403" w14:textId="77777777" w:rsidR="002E5F98" w:rsidRPr="0036672D" w:rsidRDefault="00BC76AE" w:rsidP="0019338E">
      <w:pPr>
        <w:pStyle w:val="ListParagraph"/>
        <w:numPr>
          <w:ilvl w:val="1"/>
          <w:numId w:val="11"/>
        </w:numPr>
        <w:spacing w:line="276" w:lineRule="auto"/>
        <w:jc w:val="both"/>
        <w:rPr>
          <w:rFonts w:ascii="Arial" w:hAnsi="Arial" w:cs="Arial"/>
          <w:b/>
          <w:sz w:val="20"/>
        </w:rPr>
      </w:pPr>
      <w:r w:rsidRPr="0036672D">
        <w:rPr>
          <w:rFonts w:ascii="Arial" w:hAnsi="Arial" w:cs="Arial"/>
          <w:i/>
          <w:sz w:val="20"/>
        </w:rPr>
        <w:t xml:space="preserve">General purpose of the DGR scheme </w:t>
      </w:r>
    </w:p>
    <w:p w14:paraId="576C6C3E" w14:textId="77777777" w:rsidR="003F44D6" w:rsidRPr="005A1B76" w:rsidRDefault="003F44D6" w:rsidP="005A1B76">
      <w:pPr>
        <w:spacing w:line="360" w:lineRule="auto"/>
        <w:jc w:val="both"/>
        <w:rPr>
          <w:rFonts w:ascii="Arial" w:hAnsi="Arial" w:cs="Arial"/>
          <w:sz w:val="20"/>
        </w:rPr>
      </w:pPr>
      <w:r w:rsidRPr="005A1B76">
        <w:rPr>
          <w:rFonts w:ascii="Arial" w:hAnsi="Arial" w:cs="Arial"/>
          <w:sz w:val="20"/>
        </w:rPr>
        <w:t>Where an organisation or entity holds DGR status, it is eligible to receive tax-d</w:t>
      </w:r>
      <w:r w:rsidR="00937279" w:rsidRPr="005A1B76">
        <w:rPr>
          <w:rFonts w:ascii="Arial" w:hAnsi="Arial" w:cs="Arial"/>
          <w:sz w:val="20"/>
        </w:rPr>
        <w:t>eductible</w:t>
      </w:r>
      <w:r w:rsidR="001E7DA2">
        <w:rPr>
          <w:rFonts w:ascii="Arial" w:hAnsi="Arial" w:cs="Arial"/>
          <w:sz w:val="20"/>
        </w:rPr>
        <w:t xml:space="preserve"> donations. </w:t>
      </w:r>
      <w:r w:rsidR="00B0440E">
        <w:rPr>
          <w:rFonts w:ascii="Arial" w:hAnsi="Arial" w:cs="Arial"/>
          <w:sz w:val="20"/>
        </w:rPr>
        <w:t xml:space="preserve">This allows the </w:t>
      </w:r>
      <w:r w:rsidRPr="005A1B76">
        <w:rPr>
          <w:rFonts w:ascii="Arial" w:hAnsi="Arial" w:cs="Arial"/>
          <w:sz w:val="20"/>
        </w:rPr>
        <w:t xml:space="preserve">donating taxpayer to claim a tax deduction </w:t>
      </w:r>
      <w:r w:rsidR="00B0440E">
        <w:rPr>
          <w:rFonts w:ascii="Arial" w:hAnsi="Arial" w:cs="Arial"/>
          <w:sz w:val="20"/>
        </w:rPr>
        <w:t>on</w:t>
      </w:r>
      <w:r w:rsidRPr="005A1B76">
        <w:rPr>
          <w:rFonts w:ascii="Arial" w:hAnsi="Arial" w:cs="Arial"/>
          <w:sz w:val="20"/>
        </w:rPr>
        <w:t xml:space="preserve"> the</w:t>
      </w:r>
      <w:r w:rsidR="00B0440E">
        <w:rPr>
          <w:rFonts w:ascii="Arial" w:hAnsi="Arial" w:cs="Arial"/>
          <w:sz w:val="20"/>
        </w:rPr>
        <w:t>ir</w:t>
      </w:r>
      <w:r w:rsidRPr="005A1B76">
        <w:rPr>
          <w:rFonts w:ascii="Arial" w:hAnsi="Arial" w:cs="Arial"/>
          <w:sz w:val="20"/>
        </w:rPr>
        <w:t xml:space="preserve"> donation</w:t>
      </w:r>
      <w:r w:rsidR="001E7DA2">
        <w:rPr>
          <w:rFonts w:ascii="Arial" w:hAnsi="Arial" w:cs="Arial"/>
          <w:sz w:val="20"/>
        </w:rPr>
        <w:t>, thereby increasing the incentive for public donations</w:t>
      </w:r>
      <w:r w:rsidRPr="005A1B76">
        <w:rPr>
          <w:rFonts w:ascii="Arial" w:hAnsi="Arial" w:cs="Arial"/>
          <w:sz w:val="20"/>
        </w:rPr>
        <w:t>. The laws on d</w:t>
      </w:r>
      <w:r w:rsidR="00B0440E">
        <w:rPr>
          <w:rFonts w:ascii="Arial" w:hAnsi="Arial" w:cs="Arial"/>
          <w:sz w:val="20"/>
        </w:rPr>
        <w:t>eductible gift recipients are, at their core</w:t>
      </w:r>
      <w:r w:rsidRPr="005A1B76">
        <w:rPr>
          <w:rFonts w:ascii="Arial" w:hAnsi="Arial" w:cs="Arial"/>
          <w:sz w:val="20"/>
        </w:rPr>
        <w:t xml:space="preserve">, </w:t>
      </w:r>
      <w:r w:rsidR="00B0440E">
        <w:rPr>
          <w:rFonts w:ascii="Arial" w:hAnsi="Arial" w:cs="Arial"/>
          <w:sz w:val="20"/>
        </w:rPr>
        <w:t xml:space="preserve">designed to incentivise </w:t>
      </w:r>
      <w:r w:rsidRPr="005A1B76">
        <w:rPr>
          <w:rFonts w:ascii="Arial" w:hAnsi="Arial" w:cs="Arial"/>
          <w:sz w:val="20"/>
        </w:rPr>
        <w:t>charitable contributions from the commun</w:t>
      </w:r>
      <w:r w:rsidR="00B0440E">
        <w:rPr>
          <w:rFonts w:ascii="Arial" w:hAnsi="Arial" w:cs="Arial"/>
          <w:sz w:val="20"/>
        </w:rPr>
        <w:t>ity, which in turn increases the</w:t>
      </w:r>
      <w:r w:rsidRPr="005A1B76">
        <w:rPr>
          <w:rFonts w:ascii="Arial" w:hAnsi="Arial" w:cs="Arial"/>
          <w:sz w:val="20"/>
        </w:rPr>
        <w:t xml:space="preserve"> </w:t>
      </w:r>
      <w:r w:rsidR="00B0440E">
        <w:rPr>
          <w:rFonts w:ascii="Arial" w:hAnsi="Arial" w:cs="Arial"/>
          <w:sz w:val="20"/>
        </w:rPr>
        <w:t xml:space="preserve">public philanthropic investment in the </w:t>
      </w:r>
      <w:r w:rsidRPr="005A1B76">
        <w:rPr>
          <w:rFonts w:ascii="Arial" w:hAnsi="Arial" w:cs="Arial"/>
          <w:sz w:val="20"/>
        </w:rPr>
        <w:t xml:space="preserve">social causes advocated for by the organisations. </w:t>
      </w:r>
    </w:p>
    <w:p w14:paraId="758168C0" w14:textId="77777777" w:rsidR="0036672D" w:rsidRPr="0036672D" w:rsidRDefault="008C3177" w:rsidP="0019338E">
      <w:pPr>
        <w:pStyle w:val="ListParagraph"/>
        <w:numPr>
          <w:ilvl w:val="1"/>
          <w:numId w:val="11"/>
        </w:numPr>
        <w:spacing w:line="276" w:lineRule="auto"/>
        <w:jc w:val="both"/>
        <w:rPr>
          <w:rFonts w:ascii="Arial" w:hAnsi="Arial" w:cs="Arial"/>
          <w:i/>
          <w:sz w:val="20"/>
        </w:rPr>
      </w:pPr>
      <w:r w:rsidRPr="0036672D">
        <w:rPr>
          <w:rFonts w:ascii="Arial" w:hAnsi="Arial" w:cs="Arial"/>
          <w:i/>
          <w:sz w:val="20"/>
        </w:rPr>
        <w:t>DGR s</w:t>
      </w:r>
      <w:r w:rsidR="00D2462C" w:rsidRPr="0036672D">
        <w:rPr>
          <w:rFonts w:ascii="Arial" w:hAnsi="Arial" w:cs="Arial"/>
          <w:i/>
          <w:sz w:val="20"/>
        </w:rPr>
        <w:t xml:space="preserve">tatus of animal </w:t>
      </w:r>
      <w:r w:rsidR="00C12FCE">
        <w:rPr>
          <w:rFonts w:ascii="Arial" w:hAnsi="Arial" w:cs="Arial"/>
          <w:i/>
          <w:sz w:val="20"/>
        </w:rPr>
        <w:t xml:space="preserve">welfare </w:t>
      </w:r>
      <w:r w:rsidR="00D2462C" w:rsidRPr="0036672D">
        <w:rPr>
          <w:rFonts w:ascii="Arial" w:hAnsi="Arial" w:cs="Arial"/>
          <w:i/>
          <w:sz w:val="20"/>
        </w:rPr>
        <w:t>organisations under the</w:t>
      </w:r>
      <w:r w:rsidR="00BC76AE" w:rsidRPr="0036672D">
        <w:rPr>
          <w:rFonts w:ascii="Arial" w:hAnsi="Arial" w:cs="Arial"/>
          <w:i/>
          <w:sz w:val="20"/>
        </w:rPr>
        <w:t xml:space="preserve"> current legislative and regulatory framework</w:t>
      </w:r>
    </w:p>
    <w:p w14:paraId="009C92FA" w14:textId="77777777" w:rsidR="00BC76AE" w:rsidRPr="0036672D" w:rsidRDefault="00AB487C" w:rsidP="0036672D">
      <w:pPr>
        <w:spacing w:line="360" w:lineRule="auto"/>
        <w:jc w:val="both"/>
        <w:rPr>
          <w:rFonts w:ascii="Arial" w:hAnsi="Arial" w:cs="Arial"/>
          <w:sz w:val="20"/>
        </w:rPr>
      </w:pPr>
      <w:r>
        <w:rPr>
          <w:rFonts w:ascii="Arial" w:hAnsi="Arial" w:cs="Arial"/>
          <w:sz w:val="20"/>
        </w:rPr>
        <w:t>U</w:t>
      </w:r>
      <w:r w:rsidR="00BC76AE" w:rsidRPr="00AB487C">
        <w:rPr>
          <w:rFonts w:ascii="Arial" w:hAnsi="Arial" w:cs="Arial"/>
          <w:sz w:val="20"/>
        </w:rPr>
        <w:t>nder the present legislative and regulatory framework, animal</w:t>
      </w:r>
      <w:r w:rsidR="00C12FCE">
        <w:rPr>
          <w:rFonts w:ascii="Arial" w:hAnsi="Arial" w:cs="Arial"/>
          <w:sz w:val="20"/>
        </w:rPr>
        <w:t xml:space="preserve"> welfare</w:t>
      </w:r>
      <w:r w:rsidR="00BC76AE" w:rsidRPr="00AB487C">
        <w:rPr>
          <w:rFonts w:ascii="Arial" w:hAnsi="Arial" w:cs="Arial"/>
          <w:sz w:val="20"/>
        </w:rPr>
        <w:t xml:space="preserve"> organisations must fall within one of two categories </w:t>
      </w:r>
      <w:r w:rsidR="00D00F40">
        <w:rPr>
          <w:rFonts w:ascii="Arial" w:hAnsi="Arial" w:cs="Arial"/>
          <w:sz w:val="20"/>
        </w:rPr>
        <w:t>to be considered for DGR status:</w:t>
      </w:r>
      <w:r w:rsidR="00BC76AE" w:rsidRPr="00AB487C">
        <w:rPr>
          <w:rFonts w:ascii="Arial" w:hAnsi="Arial" w:cs="Arial"/>
          <w:sz w:val="20"/>
        </w:rPr>
        <w:t xml:space="preserve"> </w:t>
      </w:r>
    </w:p>
    <w:p w14:paraId="11BF32CD" w14:textId="77777777" w:rsidR="00E11EA4" w:rsidRDefault="00BC76AE" w:rsidP="00E11EA4">
      <w:pPr>
        <w:pStyle w:val="ListParagraph"/>
        <w:numPr>
          <w:ilvl w:val="0"/>
          <w:numId w:val="9"/>
        </w:numPr>
        <w:spacing w:line="360" w:lineRule="auto"/>
        <w:jc w:val="both"/>
        <w:rPr>
          <w:rFonts w:ascii="Arial" w:hAnsi="Arial" w:cs="Arial"/>
          <w:sz w:val="20"/>
        </w:rPr>
      </w:pPr>
      <w:r>
        <w:rPr>
          <w:rFonts w:ascii="Arial" w:hAnsi="Arial" w:cs="Arial"/>
          <w:sz w:val="20"/>
        </w:rPr>
        <w:t>‘</w:t>
      </w:r>
      <w:r w:rsidRPr="00E11EA4">
        <w:rPr>
          <w:rFonts w:ascii="Arial" w:hAnsi="Arial" w:cs="Arial"/>
          <w:sz w:val="20"/>
          <w:u w:val="single"/>
        </w:rPr>
        <w:t>Animal welfare charity’</w:t>
      </w:r>
      <w:r>
        <w:rPr>
          <w:rFonts w:ascii="Arial" w:hAnsi="Arial" w:cs="Arial"/>
          <w:sz w:val="20"/>
        </w:rPr>
        <w:t xml:space="preserve">: </w:t>
      </w:r>
      <w:r w:rsidR="000B131A">
        <w:rPr>
          <w:rFonts w:ascii="Arial" w:hAnsi="Arial" w:cs="Arial"/>
          <w:sz w:val="20"/>
        </w:rPr>
        <w:t>To</w:t>
      </w:r>
      <w:r w:rsidR="00E11EA4">
        <w:rPr>
          <w:rFonts w:ascii="Arial" w:hAnsi="Arial" w:cs="Arial"/>
          <w:sz w:val="20"/>
        </w:rPr>
        <w:t xml:space="preserve"> classify as an ‘animal welfare charity’, an animal organisation must, as its </w:t>
      </w:r>
      <w:r w:rsidR="00E11EA4">
        <w:rPr>
          <w:rFonts w:ascii="Arial" w:hAnsi="Arial" w:cs="Arial"/>
          <w:i/>
          <w:sz w:val="20"/>
        </w:rPr>
        <w:t>main</w:t>
      </w:r>
      <w:r w:rsidR="00E11EA4">
        <w:rPr>
          <w:rFonts w:ascii="Arial" w:hAnsi="Arial" w:cs="Arial"/>
          <w:sz w:val="20"/>
        </w:rPr>
        <w:t xml:space="preserve"> activity (as stated in the organisation’s constitution or set of rules),</w:t>
      </w:r>
      <w:r w:rsidR="00E11EA4">
        <w:rPr>
          <w:rStyle w:val="FootnoteReference"/>
          <w:rFonts w:ascii="Arial" w:hAnsi="Arial" w:cs="Arial"/>
          <w:sz w:val="20"/>
        </w:rPr>
        <w:footnoteReference w:id="4"/>
      </w:r>
      <w:r w:rsidR="00E11EA4">
        <w:rPr>
          <w:rFonts w:ascii="Arial" w:hAnsi="Arial" w:cs="Arial"/>
          <w:sz w:val="20"/>
        </w:rPr>
        <w:t xml:space="preserve"> provide short-term direct care to animals (not only native wildlife) who have been lost, mistreated or are without owners, </w:t>
      </w:r>
      <w:r w:rsidR="00E11EA4">
        <w:rPr>
          <w:rFonts w:ascii="Arial" w:hAnsi="Arial" w:cs="Arial"/>
          <w:sz w:val="20"/>
          <w:u w:val="single"/>
        </w:rPr>
        <w:t>or</w:t>
      </w:r>
      <w:r w:rsidR="00E11EA4">
        <w:rPr>
          <w:rFonts w:ascii="Arial" w:hAnsi="Arial" w:cs="Arial"/>
          <w:sz w:val="20"/>
        </w:rPr>
        <w:t xml:space="preserve"> rehabilitate orphaned, sick or injured animals (not only native wildlife) who have been lost, mistreated or are without owners.</w:t>
      </w:r>
      <w:r w:rsidR="000B131A">
        <w:rPr>
          <w:rStyle w:val="FootnoteReference"/>
          <w:rFonts w:ascii="Arial" w:hAnsi="Arial" w:cs="Arial"/>
          <w:sz w:val="20"/>
        </w:rPr>
        <w:footnoteReference w:id="5"/>
      </w:r>
      <w:r w:rsidR="00E11EA4">
        <w:rPr>
          <w:rFonts w:ascii="Arial" w:hAnsi="Arial" w:cs="Arial"/>
          <w:sz w:val="20"/>
        </w:rPr>
        <w:t xml:space="preserve"> Importantly, if the main focus of the organisation centres on public education, lobbying or campaigning for animal rights, then the ATO will not consider it an ‘animal welfare charity’ for the purpose of DGR endorsement.</w:t>
      </w:r>
    </w:p>
    <w:p w14:paraId="6F0C9BDE" w14:textId="77777777" w:rsidR="00E11EA4" w:rsidRPr="003C0733" w:rsidRDefault="00E11EA4" w:rsidP="00E11EA4">
      <w:pPr>
        <w:pStyle w:val="ListParagraph"/>
        <w:spacing w:line="360" w:lineRule="auto"/>
        <w:ind w:left="1287"/>
        <w:jc w:val="both"/>
        <w:rPr>
          <w:rFonts w:ascii="Arial" w:hAnsi="Arial" w:cs="Arial"/>
          <w:sz w:val="14"/>
        </w:rPr>
      </w:pPr>
    </w:p>
    <w:p w14:paraId="51C47E3C" w14:textId="77777777" w:rsidR="0036672D" w:rsidRPr="0036672D" w:rsidRDefault="00BC76AE" w:rsidP="0036672D">
      <w:pPr>
        <w:pStyle w:val="ListParagraph"/>
        <w:numPr>
          <w:ilvl w:val="0"/>
          <w:numId w:val="9"/>
        </w:numPr>
        <w:spacing w:line="360" w:lineRule="auto"/>
        <w:jc w:val="both"/>
        <w:rPr>
          <w:rFonts w:ascii="Arial" w:hAnsi="Arial" w:cs="Arial"/>
          <w:sz w:val="20"/>
        </w:rPr>
      </w:pPr>
      <w:r>
        <w:rPr>
          <w:rFonts w:ascii="Arial" w:hAnsi="Arial" w:cs="Arial"/>
          <w:sz w:val="20"/>
        </w:rPr>
        <w:t>‘</w:t>
      </w:r>
      <w:r w:rsidRPr="00E11EA4">
        <w:rPr>
          <w:rFonts w:ascii="Arial" w:hAnsi="Arial" w:cs="Arial"/>
          <w:sz w:val="20"/>
          <w:u w:val="single"/>
        </w:rPr>
        <w:t>Environmental organisations</w:t>
      </w:r>
      <w:r>
        <w:rPr>
          <w:rFonts w:ascii="Arial" w:hAnsi="Arial" w:cs="Arial"/>
          <w:sz w:val="20"/>
        </w:rPr>
        <w:t>’</w:t>
      </w:r>
      <w:r w:rsidR="008C3177">
        <w:rPr>
          <w:rFonts w:ascii="Arial" w:hAnsi="Arial" w:cs="Arial"/>
          <w:sz w:val="20"/>
        </w:rPr>
        <w:t xml:space="preserve">: </w:t>
      </w:r>
      <w:r w:rsidR="000B131A">
        <w:rPr>
          <w:rFonts w:ascii="Arial" w:hAnsi="Arial" w:cs="Arial"/>
          <w:sz w:val="20"/>
        </w:rPr>
        <w:t>To</w:t>
      </w:r>
      <w:r w:rsidR="008C3177">
        <w:rPr>
          <w:rFonts w:ascii="Arial" w:hAnsi="Arial" w:cs="Arial"/>
          <w:sz w:val="20"/>
        </w:rPr>
        <w:t xml:space="preserve"> classify as an ‘environmental organisation’, an organisation must be incorporated and have as its main purpose either the protection or </w:t>
      </w:r>
      <w:r w:rsidR="008C3177">
        <w:rPr>
          <w:rFonts w:ascii="Arial" w:hAnsi="Arial" w:cs="Arial"/>
          <w:sz w:val="20"/>
        </w:rPr>
        <w:lastRenderedPageBreak/>
        <w:t xml:space="preserve">enhancement of the natural environment (or a significant aspect of it), </w:t>
      </w:r>
      <w:r w:rsidR="008C3177">
        <w:rPr>
          <w:rFonts w:ascii="Arial" w:hAnsi="Arial" w:cs="Arial"/>
          <w:sz w:val="20"/>
          <w:u w:val="single"/>
        </w:rPr>
        <w:t>or</w:t>
      </w:r>
      <w:r w:rsidR="008C3177">
        <w:rPr>
          <w:rFonts w:ascii="Arial" w:hAnsi="Arial" w:cs="Arial"/>
          <w:sz w:val="20"/>
        </w:rPr>
        <w:t xml:space="preserve"> the provision of information or education, or carrying on researching, about the natural environment (or a significant aspect of it).</w:t>
      </w:r>
      <w:r w:rsidR="008C3177">
        <w:rPr>
          <w:rStyle w:val="FootnoteReference"/>
          <w:rFonts w:ascii="Arial" w:hAnsi="Arial" w:cs="Arial"/>
          <w:sz w:val="20"/>
        </w:rPr>
        <w:footnoteReference w:id="6"/>
      </w:r>
      <w:r w:rsidR="008C3177">
        <w:rPr>
          <w:rFonts w:ascii="Arial" w:hAnsi="Arial" w:cs="Arial"/>
          <w:sz w:val="20"/>
        </w:rPr>
        <w:t xml:space="preserve"> </w:t>
      </w:r>
    </w:p>
    <w:p w14:paraId="7A2B9949" w14:textId="0962A793" w:rsidR="002604DC" w:rsidRDefault="00B0440E" w:rsidP="00A43E3A">
      <w:pPr>
        <w:spacing w:line="360" w:lineRule="auto"/>
        <w:jc w:val="both"/>
        <w:rPr>
          <w:rFonts w:ascii="Arial" w:hAnsi="Arial" w:cs="Arial"/>
          <w:sz w:val="20"/>
        </w:rPr>
      </w:pPr>
      <w:r>
        <w:rPr>
          <w:rFonts w:ascii="Arial" w:hAnsi="Arial" w:cs="Arial"/>
          <w:sz w:val="20"/>
        </w:rPr>
        <w:t>Organisations that do not come under one or both of these two recognised heads</w:t>
      </w:r>
      <w:r w:rsidR="001D2904">
        <w:rPr>
          <w:rFonts w:ascii="Arial" w:hAnsi="Arial" w:cs="Arial"/>
          <w:sz w:val="20"/>
        </w:rPr>
        <w:t xml:space="preserve"> (</w:t>
      </w:r>
      <w:r>
        <w:rPr>
          <w:rFonts w:ascii="Arial" w:hAnsi="Arial" w:cs="Arial"/>
          <w:sz w:val="20"/>
        </w:rPr>
        <w:t xml:space="preserve">such </w:t>
      </w:r>
      <w:r w:rsidR="001D2904">
        <w:rPr>
          <w:rFonts w:ascii="Arial" w:hAnsi="Arial" w:cs="Arial"/>
          <w:sz w:val="20"/>
        </w:rPr>
        <w:t xml:space="preserve">as the ADO) </w:t>
      </w:r>
      <w:r>
        <w:rPr>
          <w:rFonts w:ascii="Arial" w:hAnsi="Arial" w:cs="Arial"/>
          <w:sz w:val="20"/>
        </w:rPr>
        <w:t>are not eligible for DGR endorsement by the ATO, and therefore cannot rely</w:t>
      </w:r>
      <w:r w:rsidR="00436EE2">
        <w:rPr>
          <w:rFonts w:ascii="Arial" w:hAnsi="Arial" w:cs="Arial"/>
          <w:sz w:val="20"/>
        </w:rPr>
        <w:t xml:space="preserve"> on</w:t>
      </w:r>
      <w:r>
        <w:rPr>
          <w:rFonts w:ascii="Arial" w:hAnsi="Arial" w:cs="Arial"/>
          <w:sz w:val="20"/>
        </w:rPr>
        <w:t xml:space="preserve"> the tax incentives of the DGR scheme to encourage public donations to their organisation. </w:t>
      </w:r>
      <w:r w:rsidR="00436EE2">
        <w:rPr>
          <w:rFonts w:ascii="Arial" w:hAnsi="Arial" w:cs="Arial"/>
          <w:sz w:val="20"/>
        </w:rPr>
        <w:t>Unsurprisingly, this significantly hinders the extent to which such organisations can source</w:t>
      </w:r>
      <w:r w:rsidR="00FC4CD5">
        <w:rPr>
          <w:rFonts w:ascii="Arial" w:hAnsi="Arial" w:cs="Arial"/>
          <w:sz w:val="20"/>
        </w:rPr>
        <w:t xml:space="preserve"> and deploy</w:t>
      </w:r>
      <w:r w:rsidR="00436EE2">
        <w:rPr>
          <w:rFonts w:ascii="Arial" w:hAnsi="Arial" w:cs="Arial"/>
          <w:sz w:val="20"/>
        </w:rPr>
        <w:t xml:space="preserve"> public donations to fund their operations. </w:t>
      </w:r>
    </w:p>
    <w:p w14:paraId="75A48F62" w14:textId="77777777" w:rsidR="001E7DA2" w:rsidRDefault="001E7DA2" w:rsidP="0019338E">
      <w:pPr>
        <w:pStyle w:val="ListParagraph"/>
        <w:numPr>
          <w:ilvl w:val="1"/>
          <w:numId w:val="11"/>
        </w:numPr>
        <w:spacing w:line="276" w:lineRule="auto"/>
        <w:jc w:val="both"/>
        <w:rPr>
          <w:rFonts w:ascii="Arial" w:hAnsi="Arial" w:cs="Arial"/>
          <w:sz w:val="20"/>
        </w:rPr>
      </w:pPr>
      <w:r>
        <w:rPr>
          <w:rFonts w:ascii="Arial" w:hAnsi="Arial" w:cs="Arial"/>
          <w:i/>
          <w:sz w:val="20"/>
        </w:rPr>
        <w:t xml:space="preserve">Effectiveness and fairness of the deductible gift recipient framework </w:t>
      </w:r>
    </w:p>
    <w:p w14:paraId="451DAB32" w14:textId="73F8522E" w:rsidR="00970F85" w:rsidRDefault="007C7677" w:rsidP="00A43E3A">
      <w:pPr>
        <w:spacing w:line="360" w:lineRule="auto"/>
        <w:jc w:val="both"/>
        <w:rPr>
          <w:rFonts w:ascii="Arial" w:hAnsi="Arial" w:cs="Arial"/>
          <w:sz w:val="20"/>
        </w:rPr>
      </w:pPr>
      <w:r>
        <w:rPr>
          <w:rFonts w:ascii="Arial" w:hAnsi="Arial" w:cs="Arial"/>
          <w:sz w:val="20"/>
        </w:rPr>
        <w:t xml:space="preserve">As mentioned, </w:t>
      </w:r>
      <w:r w:rsidR="00C676AC">
        <w:rPr>
          <w:rFonts w:ascii="Arial" w:hAnsi="Arial" w:cs="Arial"/>
          <w:sz w:val="20"/>
        </w:rPr>
        <w:t>TOR</w:t>
      </w:r>
      <w:r w:rsidR="002604DC">
        <w:rPr>
          <w:rFonts w:ascii="Arial" w:hAnsi="Arial" w:cs="Arial"/>
          <w:sz w:val="20"/>
        </w:rPr>
        <w:t xml:space="preserve"> </w:t>
      </w:r>
      <w:r w:rsidR="008772CF">
        <w:rPr>
          <w:rFonts w:ascii="Arial" w:hAnsi="Arial" w:cs="Arial"/>
          <w:sz w:val="20"/>
        </w:rPr>
        <w:t>5</w:t>
      </w:r>
      <w:r w:rsidR="00742F9C">
        <w:rPr>
          <w:rFonts w:ascii="Arial" w:hAnsi="Arial" w:cs="Arial"/>
          <w:sz w:val="20"/>
        </w:rPr>
        <w:t xml:space="preserve"> of the Inquiry seeks to </w:t>
      </w:r>
      <w:r w:rsidR="008772CF" w:rsidRPr="002E5922">
        <w:rPr>
          <w:rFonts w:ascii="Arial" w:hAnsi="Arial" w:cs="Arial"/>
          <w:sz w:val="20"/>
        </w:rPr>
        <w:t>consider “</w:t>
      </w:r>
      <w:r w:rsidR="008772CF" w:rsidRPr="006E5CC4">
        <w:rPr>
          <w:rFonts w:ascii="Arial" w:hAnsi="Arial" w:cs="Arial"/>
          <w:sz w:val="20"/>
        </w:rPr>
        <w:t>the effectiveness and fairness of the deductible gift recipient framework</w:t>
      </w:r>
      <w:r>
        <w:rPr>
          <w:rFonts w:ascii="Arial" w:hAnsi="Arial" w:cs="Arial"/>
          <w:sz w:val="20"/>
        </w:rPr>
        <w:t>”</w:t>
      </w:r>
      <w:r w:rsidR="00436EE2">
        <w:rPr>
          <w:rFonts w:ascii="Arial" w:hAnsi="Arial" w:cs="Arial"/>
          <w:sz w:val="20"/>
        </w:rPr>
        <w:t>.</w:t>
      </w:r>
      <w:r w:rsidR="00436EE2">
        <w:rPr>
          <w:rStyle w:val="FootnoteReference"/>
          <w:rFonts w:ascii="Arial" w:hAnsi="Arial" w:cs="Arial"/>
          <w:sz w:val="20"/>
        </w:rPr>
        <w:footnoteReference w:id="7"/>
      </w:r>
      <w:r w:rsidR="00B44D1F">
        <w:rPr>
          <w:rFonts w:ascii="Arial" w:hAnsi="Arial" w:cs="Arial"/>
          <w:sz w:val="20"/>
        </w:rPr>
        <w:t xml:space="preserve"> The ADO submits that the current DGR legislative and regulatory framework in respect of animal welfare organisations </w:t>
      </w:r>
      <w:r>
        <w:rPr>
          <w:rFonts w:ascii="Arial" w:hAnsi="Arial" w:cs="Arial"/>
          <w:sz w:val="20"/>
        </w:rPr>
        <w:t>i</w:t>
      </w:r>
      <w:r w:rsidR="00B44D1F">
        <w:rPr>
          <w:rFonts w:ascii="Arial" w:hAnsi="Arial" w:cs="Arial"/>
          <w:sz w:val="20"/>
        </w:rPr>
        <w:t>s neither effective</w:t>
      </w:r>
      <w:r>
        <w:rPr>
          <w:rFonts w:ascii="Arial" w:hAnsi="Arial" w:cs="Arial"/>
          <w:sz w:val="20"/>
        </w:rPr>
        <w:t xml:space="preserve"> n</w:t>
      </w:r>
      <w:r w:rsidR="00B44D1F">
        <w:rPr>
          <w:rFonts w:ascii="Arial" w:hAnsi="Arial" w:cs="Arial"/>
          <w:sz w:val="20"/>
        </w:rPr>
        <w:t>or fair.</w:t>
      </w:r>
    </w:p>
    <w:p w14:paraId="1E3D7C1A" w14:textId="548A8C9E" w:rsidR="0079607F" w:rsidRDefault="00742F9C" w:rsidP="00A43E3A">
      <w:pPr>
        <w:spacing w:line="360" w:lineRule="auto"/>
        <w:jc w:val="both"/>
        <w:rPr>
          <w:rFonts w:ascii="Arial" w:hAnsi="Arial" w:cs="Arial"/>
          <w:sz w:val="20"/>
        </w:rPr>
      </w:pPr>
      <w:r>
        <w:rPr>
          <w:rFonts w:ascii="Arial" w:hAnsi="Arial" w:cs="Arial"/>
          <w:sz w:val="20"/>
        </w:rPr>
        <w:t xml:space="preserve">In the </w:t>
      </w:r>
      <w:r w:rsidR="0083406F">
        <w:rPr>
          <w:rFonts w:ascii="Arial" w:hAnsi="Arial" w:cs="Arial"/>
          <w:sz w:val="20"/>
        </w:rPr>
        <w:t xml:space="preserve">context </w:t>
      </w:r>
      <w:r w:rsidR="00006731">
        <w:rPr>
          <w:rFonts w:ascii="Arial" w:hAnsi="Arial" w:cs="Arial"/>
          <w:sz w:val="20"/>
        </w:rPr>
        <w:t xml:space="preserve">of </w:t>
      </w:r>
      <w:r w:rsidR="0083406F">
        <w:rPr>
          <w:rFonts w:ascii="Arial" w:hAnsi="Arial" w:cs="Arial"/>
          <w:sz w:val="20"/>
        </w:rPr>
        <w:t xml:space="preserve">animal welfare </w:t>
      </w:r>
      <w:r>
        <w:rPr>
          <w:rFonts w:ascii="Arial" w:hAnsi="Arial" w:cs="Arial"/>
          <w:sz w:val="20"/>
        </w:rPr>
        <w:t>philanthropy, a</w:t>
      </w:r>
      <w:r w:rsidR="00970F85">
        <w:rPr>
          <w:rFonts w:ascii="Arial" w:hAnsi="Arial" w:cs="Arial"/>
          <w:sz w:val="20"/>
        </w:rPr>
        <w:t xml:space="preserve"> significant barrier to </w:t>
      </w:r>
      <w:r w:rsidR="00D502F0">
        <w:rPr>
          <w:rFonts w:ascii="Arial" w:hAnsi="Arial" w:cs="Arial"/>
          <w:sz w:val="20"/>
        </w:rPr>
        <w:t xml:space="preserve">charitable </w:t>
      </w:r>
      <w:r w:rsidR="00970F85">
        <w:rPr>
          <w:rFonts w:ascii="Arial" w:hAnsi="Arial" w:cs="Arial"/>
          <w:sz w:val="20"/>
        </w:rPr>
        <w:t xml:space="preserve">giving under the current framework is </w:t>
      </w:r>
      <w:r w:rsidR="00C17403">
        <w:rPr>
          <w:rFonts w:ascii="Arial" w:hAnsi="Arial" w:cs="Arial"/>
          <w:sz w:val="20"/>
        </w:rPr>
        <w:t>that</w:t>
      </w:r>
      <w:r w:rsidR="002604DC">
        <w:rPr>
          <w:rFonts w:ascii="Arial" w:hAnsi="Arial" w:cs="Arial"/>
          <w:sz w:val="20"/>
        </w:rPr>
        <w:t xml:space="preserve"> organisations</w:t>
      </w:r>
      <w:r w:rsidR="0083406F">
        <w:rPr>
          <w:rFonts w:ascii="Arial" w:hAnsi="Arial" w:cs="Arial"/>
          <w:sz w:val="20"/>
        </w:rPr>
        <w:t xml:space="preserve"> </w:t>
      </w:r>
      <w:r w:rsidR="002604DC">
        <w:rPr>
          <w:rFonts w:ascii="Arial" w:hAnsi="Arial" w:cs="Arial"/>
          <w:sz w:val="20"/>
        </w:rPr>
        <w:t>such as th</w:t>
      </w:r>
      <w:r w:rsidR="0083406F">
        <w:rPr>
          <w:rFonts w:ascii="Arial" w:hAnsi="Arial" w:cs="Arial"/>
          <w:sz w:val="20"/>
        </w:rPr>
        <w:t xml:space="preserve">e ADO </w:t>
      </w:r>
      <w:r w:rsidR="00C17403">
        <w:rPr>
          <w:rFonts w:ascii="Arial" w:hAnsi="Arial" w:cs="Arial"/>
          <w:sz w:val="20"/>
        </w:rPr>
        <w:t xml:space="preserve">are </w:t>
      </w:r>
      <w:r w:rsidR="00B9581E">
        <w:rPr>
          <w:rFonts w:ascii="Arial" w:hAnsi="Arial" w:cs="Arial"/>
          <w:sz w:val="20"/>
        </w:rPr>
        <w:t>ineligible for</w:t>
      </w:r>
      <w:r w:rsidR="002604DC">
        <w:rPr>
          <w:rFonts w:ascii="Arial" w:hAnsi="Arial" w:cs="Arial"/>
          <w:sz w:val="20"/>
        </w:rPr>
        <w:t xml:space="preserve"> DGR status</w:t>
      </w:r>
      <w:r w:rsidR="00970F85">
        <w:rPr>
          <w:rFonts w:ascii="Arial" w:hAnsi="Arial" w:cs="Arial"/>
          <w:sz w:val="20"/>
        </w:rPr>
        <w:t xml:space="preserve"> due to</w:t>
      </w:r>
      <w:r>
        <w:rPr>
          <w:rFonts w:ascii="Arial" w:hAnsi="Arial" w:cs="Arial"/>
          <w:sz w:val="20"/>
        </w:rPr>
        <w:t xml:space="preserve"> </w:t>
      </w:r>
      <w:r w:rsidR="00E363C5">
        <w:rPr>
          <w:rFonts w:ascii="Arial" w:hAnsi="Arial" w:cs="Arial"/>
          <w:sz w:val="20"/>
        </w:rPr>
        <w:t xml:space="preserve">the </w:t>
      </w:r>
      <w:r>
        <w:rPr>
          <w:rFonts w:ascii="Arial" w:hAnsi="Arial" w:cs="Arial"/>
          <w:sz w:val="20"/>
        </w:rPr>
        <w:t>narrow and rigidly define</w:t>
      </w:r>
      <w:r w:rsidR="00C12FCE">
        <w:rPr>
          <w:rFonts w:ascii="Arial" w:hAnsi="Arial" w:cs="Arial"/>
          <w:sz w:val="20"/>
        </w:rPr>
        <w:t>d</w:t>
      </w:r>
      <w:r>
        <w:rPr>
          <w:rFonts w:ascii="Arial" w:hAnsi="Arial" w:cs="Arial"/>
          <w:sz w:val="20"/>
        </w:rPr>
        <w:t xml:space="preserve"> categories of eligibility.</w:t>
      </w:r>
      <w:r w:rsidR="004D548A">
        <w:rPr>
          <w:rStyle w:val="FootnoteReference"/>
          <w:rFonts w:ascii="Arial" w:hAnsi="Arial" w:cs="Arial"/>
          <w:sz w:val="20"/>
        </w:rPr>
        <w:footnoteReference w:id="8"/>
      </w:r>
      <w:r w:rsidR="002604DC">
        <w:rPr>
          <w:rFonts w:ascii="Arial" w:hAnsi="Arial" w:cs="Arial"/>
          <w:sz w:val="20"/>
        </w:rPr>
        <w:t xml:space="preserve"> It is well</w:t>
      </w:r>
      <w:r w:rsidR="00D8183B">
        <w:rPr>
          <w:rFonts w:ascii="Arial" w:hAnsi="Arial" w:cs="Arial"/>
          <w:sz w:val="20"/>
        </w:rPr>
        <w:t xml:space="preserve"> </w:t>
      </w:r>
      <w:r w:rsidR="006F2E9E">
        <w:rPr>
          <w:rFonts w:ascii="Arial" w:hAnsi="Arial" w:cs="Arial"/>
          <w:sz w:val="20"/>
        </w:rPr>
        <w:t>e</w:t>
      </w:r>
      <w:r w:rsidR="00D8183B">
        <w:rPr>
          <w:rFonts w:ascii="Arial" w:hAnsi="Arial" w:cs="Arial"/>
          <w:sz w:val="20"/>
        </w:rPr>
        <w:t>stablish</w:t>
      </w:r>
      <w:r w:rsidR="006F2E9E">
        <w:rPr>
          <w:rFonts w:ascii="Arial" w:hAnsi="Arial" w:cs="Arial"/>
          <w:sz w:val="20"/>
        </w:rPr>
        <w:t>ed</w:t>
      </w:r>
      <w:r w:rsidR="002604DC">
        <w:rPr>
          <w:rFonts w:ascii="Arial" w:hAnsi="Arial" w:cs="Arial"/>
          <w:sz w:val="20"/>
        </w:rPr>
        <w:t xml:space="preserve"> that</w:t>
      </w:r>
      <w:r w:rsidR="00006731">
        <w:rPr>
          <w:rFonts w:ascii="Arial" w:hAnsi="Arial" w:cs="Arial"/>
          <w:sz w:val="20"/>
        </w:rPr>
        <w:t xml:space="preserve"> tax incentives, </w:t>
      </w:r>
      <w:r w:rsidR="0031598E">
        <w:rPr>
          <w:rFonts w:ascii="Arial" w:hAnsi="Arial" w:cs="Arial"/>
          <w:sz w:val="20"/>
        </w:rPr>
        <w:t xml:space="preserve">such as </w:t>
      </w:r>
      <w:r w:rsidR="002604DC">
        <w:rPr>
          <w:rFonts w:ascii="Arial" w:hAnsi="Arial" w:cs="Arial"/>
          <w:sz w:val="20"/>
        </w:rPr>
        <w:t>the DGR scheme, strengthen charitable giving to organisations.</w:t>
      </w:r>
      <w:r w:rsidR="00970F85">
        <w:rPr>
          <w:rStyle w:val="FootnoteReference"/>
          <w:rFonts w:ascii="Arial" w:hAnsi="Arial" w:cs="Arial"/>
          <w:sz w:val="20"/>
        </w:rPr>
        <w:footnoteReference w:id="9"/>
      </w:r>
      <w:r w:rsidR="00970F85">
        <w:rPr>
          <w:rFonts w:ascii="Arial" w:hAnsi="Arial" w:cs="Arial"/>
          <w:sz w:val="20"/>
        </w:rPr>
        <w:t xml:space="preserve"> However, </w:t>
      </w:r>
      <w:r w:rsidR="0079607F">
        <w:rPr>
          <w:rFonts w:ascii="Arial" w:hAnsi="Arial" w:cs="Arial"/>
          <w:sz w:val="20"/>
        </w:rPr>
        <w:t>as the Commission recognises, “</w:t>
      </w:r>
      <w:r w:rsidR="0079607F" w:rsidRPr="00FC4CD5">
        <w:rPr>
          <w:rFonts w:ascii="Arial" w:hAnsi="Arial" w:cs="Arial"/>
          <w:i/>
          <w:sz w:val="20"/>
        </w:rPr>
        <w:t>[g]</w:t>
      </w:r>
      <w:proofErr w:type="spellStart"/>
      <w:r w:rsidR="0079607F" w:rsidRPr="00FC4CD5">
        <w:rPr>
          <w:rFonts w:ascii="Arial" w:hAnsi="Arial" w:cs="Arial"/>
          <w:i/>
          <w:sz w:val="20"/>
        </w:rPr>
        <w:t>etting</w:t>
      </w:r>
      <w:proofErr w:type="spellEnd"/>
      <w:r w:rsidR="0079607F" w:rsidRPr="00FC4CD5">
        <w:rPr>
          <w:rFonts w:ascii="Arial" w:hAnsi="Arial" w:cs="Arial"/>
          <w:i/>
          <w:sz w:val="20"/>
        </w:rPr>
        <w:t xml:space="preserve"> </w:t>
      </w:r>
      <w:proofErr w:type="spellStart"/>
      <w:r w:rsidR="0079607F" w:rsidRPr="00FC4CD5">
        <w:rPr>
          <w:rFonts w:ascii="Arial" w:hAnsi="Arial" w:cs="Arial"/>
          <w:i/>
          <w:sz w:val="20"/>
        </w:rPr>
        <w:t>DGR</w:t>
      </w:r>
      <w:proofErr w:type="spellEnd"/>
      <w:r w:rsidR="0079607F" w:rsidRPr="00FC4CD5">
        <w:rPr>
          <w:rFonts w:ascii="Arial" w:hAnsi="Arial" w:cs="Arial"/>
          <w:i/>
          <w:sz w:val="20"/>
        </w:rPr>
        <w:t xml:space="preserve"> status therefore becomes critically important to organisations seeking to attract philanthropic funding, particularly those for which private donations are a major source of revenue</w:t>
      </w:r>
      <w:r w:rsidR="0079607F">
        <w:rPr>
          <w:rFonts w:ascii="Arial" w:hAnsi="Arial" w:cs="Arial"/>
          <w:sz w:val="20"/>
        </w:rPr>
        <w:t>”.</w:t>
      </w:r>
      <w:r w:rsidR="0079607F">
        <w:rPr>
          <w:rStyle w:val="FootnoteReference"/>
          <w:rFonts w:ascii="Arial" w:hAnsi="Arial" w:cs="Arial"/>
          <w:sz w:val="20"/>
        </w:rPr>
        <w:footnoteReference w:id="10"/>
      </w:r>
      <w:r w:rsidR="00FC4CD5">
        <w:rPr>
          <w:rFonts w:ascii="Arial" w:hAnsi="Arial" w:cs="Arial"/>
          <w:sz w:val="20"/>
        </w:rPr>
        <w:t xml:space="preserve"> </w:t>
      </w:r>
      <w:r w:rsidR="00D77041">
        <w:rPr>
          <w:rFonts w:ascii="Arial" w:hAnsi="Arial" w:cs="Arial"/>
          <w:sz w:val="20"/>
        </w:rPr>
        <w:t>Organisations</w:t>
      </w:r>
      <w:r w:rsidR="0019338E">
        <w:rPr>
          <w:rFonts w:ascii="Arial" w:hAnsi="Arial" w:cs="Arial"/>
          <w:sz w:val="20"/>
        </w:rPr>
        <w:t xml:space="preserve"> that are not eligible for</w:t>
      </w:r>
      <w:r w:rsidR="00D77041">
        <w:rPr>
          <w:rFonts w:ascii="Arial" w:hAnsi="Arial" w:cs="Arial"/>
          <w:sz w:val="20"/>
        </w:rPr>
        <w:t xml:space="preserve"> DGR status </w:t>
      </w:r>
      <w:r>
        <w:rPr>
          <w:rFonts w:ascii="Arial" w:hAnsi="Arial" w:cs="Arial"/>
          <w:sz w:val="20"/>
        </w:rPr>
        <w:t>are forced to</w:t>
      </w:r>
      <w:r w:rsidR="00D77041">
        <w:rPr>
          <w:rFonts w:ascii="Arial" w:hAnsi="Arial" w:cs="Arial"/>
          <w:sz w:val="20"/>
        </w:rPr>
        <w:t xml:space="preserve"> rely </w:t>
      </w:r>
      <w:r>
        <w:rPr>
          <w:rFonts w:ascii="Arial" w:hAnsi="Arial" w:cs="Arial"/>
          <w:sz w:val="20"/>
        </w:rPr>
        <w:t xml:space="preserve">on </w:t>
      </w:r>
      <w:r w:rsidR="00D77041">
        <w:rPr>
          <w:rFonts w:ascii="Arial" w:hAnsi="Arial" w:cs="Arial"/>
          <w:sz w:val="20"/>
        </w:rPr>
        <w:t xml:space="preserve">a bare, non-incentivised model </w:t>
      </w:r>
      <w:r w:rsidR="00D77041" w:rsidRPr="00FC4CD5">
        <w:rPr>
          <w:rFonts w:ascii="Arial" w:hAnsi="Arial" w:cs="Arial"/>
          <w:sz w:val="20"/>
        </w:rPr>
        <w:t xml:space="preserve">of philanthropy that </w:t>
      </w:r>
      <w:r w:rsidRPr="00FC4CD5">
        <w:rPr>
          <w:rFonts w:ascii="Arial" w:hAnsi="Arial" w:cs="Arial"/>
          <w:sz w:val="20"/>
        </w:rPr>
        <w:t xml:space="preserve">typically </w:t>
      </w:r>
      <w:r w:rsidR="00C12FCE">
        <w:rPr>
          <w:rFonts w:ascii="Arial" w:hAnsi="Arial" w:cs="Arial"/>
          <w:sz w:val="20"/>
        </w:rPr>
        <w:t>engages less donor behaviour</w:t>
      </w:r>
      <w:r w:rsidRPr="00FC4CD5">
        <w:rPr>
          <w:rFonts w:ascii="Arial" w:hAnsi="Arial" w:cs="Arial"/>
          <w:sz w:val="20"/>
        </w:rPr>
        <w:t xml:space="preserve"> compared to that of a DGR-endorsed</w:t>
      </w:r>
      <w:r>
        <w:rPr>
          <w:rFonts w:ascii="Arial" w:hAnsi="Arial" w:cs="Arial"/>
          <w:sz w:val="20"/>
        </w:rPr>
        <w:t xml:space="preserve"> organisation. </w:t>
      </w:r>
      <w:r w:rsidR="00FC4CD5">
        <w:rPr>
          <w:rFonts w:ascii="Arial" w:hAnsi="Arial" w:cs="Arial"/>
          <w:sz w:val="20"/>
        </w:rPr>
        <w:t xml:space="preserve">The </w:t>
      </w:r>
      <w:r w:rsidR="00CE4112">
        <w:rPr>
          <w:rFonts w:ascii="Arial" w:hAnsi="Arial" w:cs="Arial"/>
          <w:sz w:val="20"/>
        </w:rPr>
        <w:t xml:space="preserve">deleterious </w:t>
      </w:r>
      <w:r w:rsidR="00FC4CD5">
        <w:rPr>
          <w:rFonts w:ascii="Arial" w:hAnsi="Arial" w:cs="Arial"/>
          <w:sz w:val="20"/>
        </w:rPr>
        <w:t>effect of this</w:t>
      </w:r>
      <w:r w:rsidR="00CE4112">
        <w:rPr>
          <w:rFonts w:ascii="Arial" w:hAnsi="Arial" w:cs="Arial"/>
          <w:sz w:val="20"/>
        </w:rPr>
        <w:t xml:space="preserve"> </w:t>
      </w:r>
      <w:r w:rsidR="00C12FCE">
        <w:rPr>
          <w:rFonts w:ascii="Arial" w:hAnsi="Arial" w:cs="Arial"/>
          <w:sz w:val="20"/>
        </w:rPr>
        <w:t>for</w:t>
      </w:r>
      <w:r w:rsidR="00FC4CD5">
        <w:rPr>
          <w:rFonts w:ascii="Arial" w:hAnsi="Arial" w:cs="Arial"/>
          <w:sz w:val="20"/>
        </w:rPr>
        <w:t xml:space="preserve"> </w:t>
      </w:r>
      <w:r w:rsidR="002166AD">
        <w:rPr>
          <w:rFonts w:ascii="Arial" w:hAnsi="Arial" w:cs="Arial"/>
          <w:sz w:val="20"/>
        </w:rPr>
        <w:t>not</w:t>
      </w:r>
      <w:r w:rsidR="00FC4CD5">
        <w:rPr>
          <w:rFonts w:ascii="Arial" w:hAnsi="Arial" w:cs="Arial"/>
          <w:sz w:val="20"/>
        </w:rPr>
        <w:t xml:space="preserve">-for-profit organisations such as the ADO, which relies </w:t>
      </w:r>
      <w:r w:rsidR="00D23697">
        <w:rPr>
          <w:rFonts w:ascii="Arial" w:hAnsi="Arial" w:cs="Arial"/>
          <w:sz w:val="20"/>
        </w:rPr>
        <w:t xml:space="preserve">exclusively </w:t>
      </w:r>
      <w:r w:rsidR="00FC4CD5">
        <w:rPr>
          <w:rFonts w:ascii="Arial" w:hAnsi="Arial" w:cs="Arial"/>
          <w:sz w:val="20"/>
        </w:rPr>
        <w:t xml:space="preserve">on donations </w:t>
      </w:r>
      <w:r w:rsidR="00D23697">
        <w:rPr>
          <w:rFonts w:ascii="Arial" w:hAnsi="Arial" w:cs="Arial"/>
          <w:sz w:val="20"/>
        </w:rPr>
        <w:t xml:space="preserve">from members of the public </w:t>
      </w:r>
      <w:r w:rsidR="00FC4CD5">
        <w:rPr>
          <w:rFonts w:ascii="Arial" w:hAnsi="Arial" w:cs="Arial"/>
          <w:sz w:val="20"/>
        </w:rPr>
        <w:t xml:space="preserve">to fund its operations, is particularly acute. </w:t>
      </w:r>
    </w:p>
    <w:p w14:paraId="37CEAA3E" w14:textId="33652116" w:rsidR="00D77165" w:rsidRPr="00D77165" w:rsidRDefault="003333A1" w:rsidP="00A43E3A">
      <w:pPr>
        <w:spacing w:line="360" w:lineRule="auto"/>
        <w:jc w:val="both"/>
        <w:rPr>
          <w:rFonts w:ascii="Arial" w:hAnsi="Arial" w:cs="Arial"/>
          <w:sz w:val="20"/>
        </w:rPr>
      </w:pPr>
      <w:r>
        <w:rPr>
          <w:rFonts w:ascii="Arial" w:hAnsi="Arial" w:cs="Arial"/>
          <w:sz w:val="20"/>
        </w:rPr>
        <w:t>The ADO submits that</w:t>
      </w:r>
      <w:r w:rsidR="009A5BAA">
        <w:rPr>
          <w:rFonts w:ascii="Arial" w:hAnsi="Arial" w:cs="Arial"/>
          <w:sz w:val="20"/>
        </w:rPr>
        <w:t xml:space="preserve"> th</w:t>
      </w:r>
      <w:r w:rsidR="00976E1D">
        <w:rPr>
          <w:rFonts w:ascii="Arial" w:hAnsi="Arial" w:cs="Arial"/>
          <w:sz w:val="20"/>
        </w:rPr>
        <w:t xml:space="preserve">e current </w:t>
      </w:r>
      <w:r w:rsidR="00A53158">
        <w:rPr>
          <w:rFonts w:ascii="Arial" w:hAnsi="Arial" w:cs="Arial"/>
          <w:sz w:val="20"/>
        </w:rPr>
        <w:t xml:space="preserve">DGR </w:t>
      </w:r>
      <w:r w:rsidR="00976E1D">
        <w:rPr>
          <w:rFonts w:ascii="Arial" w:hAnsi="Arial" w:cs="Arial"/>
          <w:sz w:val="20"/>
        </w:rPr>
        <w:t xml:space="preserve">framework </w:t>
      </w:r>
      <w:r w:rsidR="00B05938">
        <w:rPr>
          <w:rFonts w:ascii="Arial" w:hAnsi="Arial" w:cs="Arial"/>
          <w:sz w:val="20"/>
        </w:rPr>
        <w:t>is not</w:t>
      </w:r>
      <w:r w:rsidR="009A5BAA">
        <w:rPr>
          <w:rFonts w:ascii="Arial" w:hAnsi="Arial" w:cs="Arial"/>
          <w:sz w:val="20"/>
        </w:rPr>
        <w:t xml:space="preserve"> </w:t>
      </w:r>
      <w:r w:rsidR="00006731">
        <w:rPr>
          <w:rFonts w:ascii="Arial" w:hAnsi="Arial" w:cs="Arial"/>
          <w:sz w:val="20"/>
        </w:rPr>
        <w:t>“</w:t>
      </w:r>
      <w:r w:rsidR="00B05938">
        <w:rPr>
          <w:rFonts w:ascii="Arial" w:hAnsi="Arial" w:cs="Arial"/>
          <w:sz w:val="20"/>
        </w:rPr>
        <w:t>effective”</w:t>
      </w:r>
      <w:r w:rsidR="00976E1D">
        <w:rPr>
          <w:rFonts w:ascii="Arial" w:hAnsi="Arial" w:cs="Arial"/>
          <w:sz w:val="20"/>
        </w:rPr>
        <w:t xml:space="preserve"> </w:t>
      </w:r>
      <w:r w:rsidR="00EA42A4">
        <w:rPr>
          <w:rFonts w:ascii="Arial" w:hAnsi="Arial" w:cs="Arial"/>
          <w:sz w:val="20"/>
        </w:rPr>
        <w:t>because</w:t>
      </w:r>
      <w:r w:rsidR="00B05938">
        <w:rPr>
          <w:rFonts w:ascii="Arial" w:hAnsi="Arial" w:cs="Arial"/>
          <w:sz w:val="20"/>
        </w:rPr>
        <w:t xml:space="preserve"> it supports and </w:t>
      </w:r>
      <w:r w:rsidR="00440C10">
        <w:rPr>
          <w:rFonts w:ascii="Arial" w:hAnsi="Arial" w:cs="Arial"/>
          <w:sz w:val="20"/>
        </w:rPr>
        <w:t xml:space="preserve">promotes the same </w:t>
      </w:r>
      <w:r w:rsidR="00440C10" w:rsidRPr="00D77165">
        <w:rPr>
          <w:rFonts w:ascii="Arial" w:hAnsi="Arial" w:cs="Arial"/>
          <w:i/>
          <w:sz w:val="20"/>
        </w:rPr>
        <w:t xml:space="preserve">types </w:t>
      </w:r>
      <w:r w:rsidR="00B05938">
        <w:rPr>
          <w:rFonts w:ascii="Arial" w:hAnsi="Arial" w:cs="Arial"/>
          <w:sz w:val="20"/>
        </w:rPr>
        <w:t>of charities and organisations due to its narrowly defined and selective DGR eligibility</w:t>
      </w:r>
      <w:r w:rsidR="00D77165">
        <w:rPr>
          <w:rFonts w:ascii="Arial" w:hAnsi="Arial" w:cs="Arial"/>
          <w:sz w:val="20"/>
        </w:rPr>
        <w:t xml:space="preserve"> criteria</w:t>
      </w:r>
      <w:r w:rsidR="00B05938">
        <w:rPr>
          <w:rFonts w:ascii="Arial" w:hAnsi="Arial" w:cs="Arial"/>
          <w:sz w:val="20"/>
        </w:rPr>
        <w:t xml:space="preserve">. In practical terms, this creates an </w:t>
      </w:r>
      <w:r w:rsidR="00440C10">
        <w:rPr>
          <w:rFonts w:ascii="Arial" w:hAnsi="Arial" w:cs="Arial"/>
          <w:sz w:val="20"/>
        </w:rPr>
        <w:t xml:space="preserve">‘issue monopoly’ </w:t>
      </w:r>
      <w:r w:rsidR="00B05938">
        <w:rPr>
          <w:rFonts w:ascii="Arial" w:hAnsi="Arial" w:cs="Arial"/>
          <w:sz w:val="20"/>
        </w:rPr>
        <w:t>within that particular social cause</w:t>
      </w:r>
      <w:r w:rsidR="00D77165">
        <w:rPr>
          <w:rFonts w:ascii="Arial" w:hAnsi="Arial" w:cs="Arial"/>
          <w:sz w:val="20"/>
        </w:rPr>
        <w:t>,</w:t>
      </w:r>
      <w:r w:rsidR="00B05938">
        <w:rPr>
          <w:rFonts w:ascii="Arial" w:hAnsi="Arial" w:cs="Arial"/>
          <w:sz w:val="20"/>
        </w:rPr>
        <w:t xml:space="preserve"> where certain issues are emphasised and supported by public philanthropy</w:t>
      </w:r>
      <w:r w:rsidR="003F40CF">
        <w:rPr>
          <w:rFonts w:ascii="Arial" w:hAnsi="Arial" w:cs="Arial"/>
          <w:sz w:val="20"/>
        </w:rPr>
        <w:t xml:space="preserve"> </w:t>
      </w:r>
      <w:r w:rsidR="00B05938">
        <w:rPr>
          <w:rFonts w:ascii="Arial" w:hAnsi="Arial" w:cs="Arial"/>
          <w:sz w:val="20"/>
        </w:rPr>
        <w:t>whilst different but equally worthwhile issues</w:t>
      </w:r>
      <w:r w:rsidR="00D77165">
        <w:rPr>
          <w:rFonts w:ascii="Arial" w:hAnsi="Arial" w:cs="Arial"/>
          <w:sz w:val="20"/>
        </w:rPr>
        <w:t xml:space="preserve"> within that same social cause </w:t>
      </w:r>
      <w:r w:rsidR="00B05938">
        <w:rPr>
          <w:rFonts w:ascii="Arial" w:hAnsi="Arial" w:cs="Arial"/>
          <w:sz w:val="20"/>
        </w:rPr>
        <w:t>are neglected or avoided due to organisations not being able to obtain DGR status.</w:t>
      </w:r>
      <w:r w:rsidR="00D77165">
        <w:rPr>
          <w:rFonts w:ascii="Arial" w:hAnsi="Arial" w:cs="Arial"/>
          <w:sz w:val="20"/>
        </w:rPr>
        <w:t xml:space="preserve"> In this way, the </w:t>
      </w:r>
      <w:r w:rsidR="003F40CF">
        <w:rPr>
          <w:rFonts w:ascii="Arial" w:hAnsi="Arial" w:cs="Arial"/>
          <w:sz w:val="20"/>
        </w:rPr>
        <w:t xml:space="preserve">present </w:t>
      </w:r>
      <w:r w:rsidR="00D77165">
        <w:rPr>
          <w:rFonts w:ascii="Arial" w:hAnsi="Arial" w:cs="Arial"/>
          <w:sz w:val="20"/>
        </w:rPr>
        <w:t xml:space="preserve">DGR framework fails to recognise the plurality of issues that can </w:t>
      </w:r>
      <w:r w:rsidR="00280DAD">
        <w:rPr>
          <w:rFonts w:ascii="Arial" w:hAnsi="Arial" w:cs="Arial"/>
          <w:sz w:val="20"/>
        </w:rPr>
        <w:t>arise</w:t>
      </w:r>
      <w:r w:rsidR="00D77165">
        <w:rPr>
          <w:rFonts w:ascii="Arial" w:hAnsi="Arial" w:cs="Arial"/>
          <w:sz w:val="20"/>
        </w:rPr>
        <w:t xml:space="preserve"> under a single philanthropic banner (such as ‘animal welfare’)</w:t>
      </w:r>
      <w:r w:rsidR="00280DAD">
        <w:rPr>
          <w:rFonts w:ascii="Arial" w:hAnsi="Arial" w:cs="Arial"/>
          <w:sz w:val="20"/>
        </w:rPr>
        <w:t xml:space="preserve">, with the framework currently supporting very few </w:t>
      </w:r>
      <w:r w:rsidR="003F40CF">
        <w:rPr>
          <w:rFonts w:ascii="Arial" w:hAnsi="Arial" w:cs="Arial"/>
          <w:sz w:val="20"/>
        </w:rPr>
        <w:t xml:space="preserve">to the neglect of many. The DGR framework therefore </w:t>
      </w:r>
      <w:r w:rsidR="00280DAD">
        <w:rPr>
          <w:rFonts w:ascii="Arial" w:hAnsi="Arial" w:cs="Arial"/>
          <w:sz w:val="20"/>
        </w:rPr>
        <w:t>cannot be said to be</w:t>
      </w:r>
      <w:r w:rsidR="00D77165">
        <w:rPr>
          <w:rFonts w:ascii="Arial" w:hAnsi="Arial" w:cs="Arial"/>
          <w:sz w:val="20"/>
        </w:rPr>
        <w:t xml:space="preserve"> “effective”</w:t>
      </w:r>
      <w:r w:rsidR="00280DAD">
        <w:rPr>
          <w:rFonts w:ascii="Arial" w:hAnsi="Arial" w:cs="Arial"/>
          <w:sz w:val="20"/>
        </w:rPr>
        <w:t xml:space="preserve"> given that</w:t>
      </w:r>
      <w:r w:rsidR="003F40CF">
        <w:rPr>
          <w:rFonts w:ascii="Arial" w:hAnsi="Arial" w:cs="Arial"/>
          <w:sz w:val="20"/>
        </w:rPr>
        <w:t xml:space="preserve"> it fails to</w:t>
      </w:r>
      <w:r w:rsidR="00280DAD">
        <w:rPr>
          <w:rFonts w:ascii="Arial" w:hAnsi="Arial" w:cs="Arial"/>
          <w:sz w:val="20"/>
        </w:rPr>
        <w:t xml:space="preserve"> promote the full panoply of issues that come under the </w:t>
      </w:r>
      <w:r w:rsidR="00280DAD">
        <w:rPr>
          <w:rFonts w:ascii="Arial" w:hAnsi="Arial" w:cs="Arial"/>
          <w:sz w:val="20"/>
        </w:rPr>
        <w:lastRenderedPageBreak/>
        <w:t xml:space="preserve">banner of ‘animal welfare’ and, as a result, fails to engage the </w:t>
      </w:r>
      <w:r w:rsidR="00D77165">
        <w:rPr>
          <w:rFonts w:ascii="Arial" w:hAnsi="Arial" w:cs="Arial"/>
          <w:sz w:val="20"/>
        </w:rPr>
        <w:t xml:space="preserve">full potential of </w:t>
      </w:r>
      <w:r w:rsidR="00490D61">
        <w:rPr>
          <w:rFonts w:ascii="Arial" w:hAnsi="Arial" w:cs="Arial"/>
          <w:sz w:val="20"/>
        </w:rPr>
        <w:t xml:space="preserve">public </w:t>
      </w:r>
      <w:r w:rsidR="003F40CF">
        <w:rPr>
          <w:rFonts w:ascii="Arial" w:hAnsi="Arial" w:cs="Arial"/>
          <w:sz w:val="20"/>
        </w:rPr>
        <w:t>philanthrop</w:t>
      </w:r>
      <w:r w:rsidR="00490D61">
        <w:rPr>
          <w:rFonts w:ascii="Arial" w:hAnsi="Arial" w:cs="Arial"/>
          <w:sz w:val="20"/>
        </w:rPr>
        <w:t>y</w:t>
      </w:r>
      <w:r w:rsidR="00280DAD">
        <w:rPr>
          <w:rFonts w:ascii="Arial" w:hAnsi="Arial" w:cs="Arial"/>
          <w:sz w:val="20"/>
        </w:rPr>
        <w:t xml:space="preserve"> in the Australian community</w:t>
      </w:r>
      <w:r w:rsidR="003C0733">
        <w:rPr>
          <w:rFonts w:ascii="Arial" w:hAnsi="Arial" w:cs="Arial"/>
          <w:sz w:val="20"/>
        </w:rPr>
        <w:t xml:space="preserve"> in respect of these issues</w:t>
      </w:r>
      <w:r w:rsidR="00280DAD">
        <w:rPr>
          <w:rFonts w:ascii="Arial" w:hAnsi="Arial" w:cs="Arial"/>
          <w:sz w:val="20"/>
        </w:rPr>
        <w:t>.</w:t>
      </w:r>
      <w:r w:rsidR="003F40CF">
        <w:rPr>
          <w:rFonts w:ascii="Arial" w:hAnsi="Arial" w:cs="Arial"/>
          <w:sz w:val="20"/>
        </w:rPr>
        <w:t xml:space="preserve"> </w:t>
      </w:r>
    </w:p>
    <w:p w14:paraId="0E65DA3A" w14:textId="0F14B228" w:rsidR="00976E1D" w:rsidRDefault="00301B1D" w:rsidP="003D166D">
      <w:pPr>
        <w:spacing w:line="360" w:lineRule="auto"/>
        <w:jc w:val="both"/>
        <w:rPr>
          <w:rFonts w:ascii="Arial" w:hAnsi="Arial" w:cs="Arial"/>
          <w:sz w:val="20"/>
        </w:rPr>
      </w:pPr>
      <w:r>
        <w:rPr>
          <w:rFonts w:ascii="Arial" w:hAnsi="Arial" w:cs="Arial"/>
          <w:sz w:val="20"/>
        </w:rPr>
        <w:t xml:space="preserve">The </w:t>
      </w:r>
      <w:r w:rsidR="00D31A7D">
        <w:rPr>
          <w:rFonts w:ascii="Arial" w:hAnsi="Arial" w:cs="Arial"/>
          <w:sz w:val="20"/>
        </w:rPr>
        <w:t>current</w:t>
      </w:r>
      <w:r w:rsidR="00F11EE5">
        <w:rPr>
          <w:rFonts w:ascii="Arial" w:hAnsi="Arial" w:cs="Arial"/>
          <w:sz w:val="20"/>
        </w:rPr>
        <w:t xml:space="preserve"> DGR framework</w:t>
      </w:r>
      <w:r w:rsidR="009A5BAA">
        <w:rPr>
          <w:rFonts w:ascii="Arial" w:hAnsi="Arial" w:cs="Arial"/>
          <w:sz w:val="20"/>
        </w:rPr>
        <w:t xml:space="preserve"> </w:t>
      </w:r>
      <w:r w:rsidR="00D31A7D">
        <w:rPr>
          <w:rFonts w:ascii="Arial" w:hAnsi="Arial" w:cs="Arial"/>
          <w:sz w:val="20"/>
        </w:rPr>
        <w:t xml:space="preserve">differentiates between advocating for native animals (DGR eligible) and advocating for animals in general, or non-native classes of animals such as ‘farmed’ animals (not DGR eligible). The ADO submits </w:t>
      </w:r>
      <w:r w:rsidR="0050769C">
        <w:rPr>
          <w:rFonts w:ascii="Arial" w:hAnsi="Arial" w:cs="Arial"/>
          <w:sz w:val="20"/>
        </w:rPr>
        <w:t>this differentiation</w:t>
      </w:r>
      <w:r w:rsidR="001D3065">
        <w:rPr>
          <w:rFonts w:ascii="Arial" w:hAnsi="Arial" w:cs="Arial"/>
          <w:sz w:val="20"/>
        </w:rPr>
        <w:t xml:space="preserve"> </w:t>
      </w:r>
      <w:r w:rsidR="00DF2327">
        <w:rPr>
          <w:rFonts w:ascii="Arial" w:hAnsi="Arial" w:cs="Arial"/>
          <w:sz w:val="20"/>
        </w:rPr>
        <w:t>is not sustainable in the mid</w:t>
      </w:r>
      <w:r w:rsidR="00346F09">
        <w:rPr>
          <w:rFonts w:ascii="Arial" w:hAnsi="Arial" w:cs="Arial"/>
          <w:sz w:val="20"/>
        </w:rPr>
        <w:t>-</w:t>
      </w:r>
      <w:r w:rsidR="00DF2327">
        <w:rPr>
          <w:rFonts w:ascii="Arial" w:hAnsi="Arial" w:cs="Arial"/>
          <w:sz w:val="20"/>
        </w:rPr>
        <w:t>2020s</w:t>
      </w:r>
      <w:r w:rsidR="0050769C">
        <w:rPr>
          <w:rFonts w:ascii="Arial" w:hAnsi="Arial" w:cs="Arial"/>
          <w:sz w:val="20"/>
        </w:rPr>
        <w:t xml:space="preserve"> in the face of widespread community concern about animal welfare and animal protection </w:t>
      </w:r>
      <w:r w:rsidR="0050769C" w:rsidRPr="00290835">
        <w:rPr>
          <w:rFonts w:ascii="Arial" w:hAnsi="Arial" w:cs="Arial"/>
          <w:i/>
          <w:iCs/>
          <w:sz w:val="20"/>
        </w:rPr>
        <w:t>in general</w:t>
      </w:r>
      <w:r w:rsidR="000D47E5">
        <w:rPr>
          <w:rFonts w:ascii="Arial" w:hAnsi="Arial" w:cs="Arial"/>
          <w:sz w:val="20"/>
        </w:rPr>
        <w:t xml:space="preserve">, which is discussed further below. </w:t>
      </w:r>
      <w:r w:rsidR="000C4363">
        <w:rPr>
          <w:rFonts w:ascii="Arial" w:hAnsi="Arial" w:cs="Arial"/>
          <w:sz w:val="20"/>
        </w:rPr>
        <w:t>The ADO submits that the framework therefore does not achieve</w:t>
      </w:r>
      <w:r w:rsidR="000C4363" w:rsidRPr="00976E1D">
        <w:rPr>
          <w:rFonts w:ascii="Arial" w:hAnsi="Arial" w:cs="Arial"/>
          <w:sz w:val="20"/>
        </w:rPr>
        <w:t xml:space="preserve"> </w:t>
      </w:r>
      <w:r w:rsidR="000C4363">
        <w:rPr>
          <w:rFonts w:ascii="Arial" w:hAnsi="Arial" w:cs="Arial"/>
          <w:sz w:val="20"/>
        </w:rPr>
        <w:t>“</w:t>
      </w:r>
      <w:r w:rsidR="000C4363" w:rsidRPr="00976E1D">
        <w:rPr>
          <w:rFonts w:ascii="Arial" w:hAnsi="Arial" w:cs="Arial"/>
          <w:sz w:val="20"/>
        </w:rPr>
        <w:t>fairness</w:t>
      </w:r>
      <w:r w:rsidR="000C4363">
        <w:rPr>
          <w:rFonts w:ascii="Arial" w:hAnsi="Arial" w:cs="Arial"/>
          <w:sz w:val="20"/>
        </w:rPr>
        <w:t>”</w:t>
      </w:r>
      <w:r w:rsidR="004A377B">
        <w:rPr>
          <w:rFonts w:ascii="Arial" w:hAnsi="Arial" w:cs="Arial"/>
          <w:sz w:val="20"/>
        </w:rPr>
        <w:t>, and</w:t>
      </w:r>
      <w:r w:rsidR="009A3B31">
        <w:rPr>
          <w:rFonts w:ascii="Arial" w:hAnsi="Arial" w:cs="Arial"/>
          <w:sz w:val="20"/>
        </w:rPr>
        <w:t xml:space="preserve"> that t</w:t>
      </w:r>
      <w:r w:rsidR="0079607F">
        <w:rPr>
          <w:rFonts w:ascii="Arial" w:hAnsi="Arial" w:cs="Arial"/>
          <w:sz w:val="20"/>
        </w:rPr>
        <w:t>he</w:t>
      </w:r>
      <w:r w:rsidR="003F40CF">
        <w:rPr>
          <w:rFonts w:ascii="Arial" w:hAnsi="Arial" w:cs="Arial"/>
          <w:sz w:val="20"/>
        </w:rPr>
        <w:t xml:space="preserve"> </w:t>
      </w:r>
      <w:r w:rsidR="00B105D0">
        <w:rPr>
          <w:rFonts w:ascii="Arial" w:hAnsi="Arial" w:cs="Arial"/>
          <w:sz w:val="20"/>
        </w:rPr>
        <w:t xml:space="preserve">current </w:t>
      </w:r>
      <w:r w:rsidR="00490D61">
        <w:rPr>
          <w:rFonts w:ascii="Arial" w:hAnsi="Arial" w:cs="Arial"/>
          <w:sz w:val="20"/>
        </w:rPr>
        <w:t>overly narrow eligibility</w:t>
      </w:r>
      <w:r w:rsidR="003F40CF">
        <w:rPr>
          <w:rFonts w:ascii="Arial" w:hAnsi="Arial" w:cs="Arial"/>
          <w:sz w:val="20"/>
        </w:rPr>
        <w:t xml:space="preserve"> </w:t>
      </w:r>
      <w:r w:rsidR="0079607F">
        <w:rPr>
          <w:rFonts w:ascii="Arial" w:hAnsi="Arial" w:cs="Arial"/>
          <w:sz w:val="20"/>
        </w:rPr>
        <w:t>categories represent</w:t>
      </w:r>
      <w:r w:rsidR="00490D61">
        <w:rPr>
          <w:rFonts w:ascii="Arial" w:hAnsi="Arial" w:cs="Arial"/>
          <w:sz w:val="20"/>
        </w:rPr>
        <w:t xml:space="preserve">, in their present form, a </w:t>
      </w:r>
      <w:r w:rsidR="00436EE2">
        <w:rPr>
          <w:rFonts w:ascii="Arial" w:hAnsi="Arial" w:cs="Arial"/>
          <w:sz w:val="20"/>
        </w:rPr>
        <w:t>structural flaw</w:t>
      </w:r>
      <w:r w:rsidR="0079607F">
        <w:rPr>
          <w:rFonts w:ascii="Arial" w:hAnsi="Arial" w:cs="Arial"/>
          <w:sz w:val="20"/>
        </w:rPr>
        <w:t xml:space="preserve"> in the </w:t>
      </w:r>
      <w:r w:rsidR="009A3B31">
        <w:rPr>
          <w:rFonts w:ascii="Arial" w:hAnsi="Arial" w:cs="Arial"/>
          <w:sz w:val="20"/>
        </w:rPr>
        <w:t>existing</w:t>
      </w:r>
      <w:r w:rsidR="0079607F">
        <w:rPr>
          <w:rFonts w:ascii="Arial" w:hAnsi="Arial" w:cs="Arial"/>
          <w:sz w:val="20"/>
        </w:rPr>
        <w:t xml:space="preserve"> DGR framework </w:t>
      </w:r>
      <w:r w:rsidR="00FC4CD5">
        <w:rPr>
          <w:rFonts w:ascii="Arial" w:hAnsi="Arial" w:cs="Arial"/>
          <w:sz w:val="20"/>
        </w:rPr>
        <w:t>as it applies</w:t>
      </w:r>
      <w:r w:rsidR="00436EE2">
        <w:rPr>
          <w:rFonts w:ascii="Arial" w:hAnsi="Arial" w:cs="Arial"/>
          <w:sz w:val="20"/>
        </w:rPr>
        <w:t xml:space="preserve"> to animal welfare philanthropy.</w:t>
      </w:r>
      <w:r w:rsidR="00436EE2">
        <w:rPr>
          <w:rStyle w:val="FootnoteReference"/>
          <w:rFonts w:ascii="Arial" w:hAnsi="Arial" w:cs="Arial"/>
          <w:sz w:val="20"/>
        </w:rPr>
        <w:footnoteReference w:id="11"/>
      </w:r>
      <w:r w:rsidR="00490D61">
        <w:rPr>
          <w:rFonts w:ascii="Arial" w:hAnsi="Arial" w:cs="Arial"/>
          <w:sz w:val="20"/>
        </w:rPr>
        <w:t xml:space="preserve"> </w:t>
      </w:r>
    </w:p>
    <w:p w14:paraId="7471A468" w14:textId="5F4C9700" w:rsidR="00FC4CD5" w:rsidRPr="003D166D" w:rsidRDefault="00D77165" w:rsidP="003D166D">
      <w:pPr>
        <w:spacing w:line="360" w:lineRule="auto"/>
        <w:jc w:val="both"/>
        <w:rPr>
          <w:rFonts w:ascii="Arial" w:hAnsi="Arial" w:cs="Arial"/>
          <w:sz w:val="20"/>
        </w:rPr>
      </w:pPr>
      <w:r>
        <w:rPr>
          <w:rFonts w:ascii="Arial" w:hAnsi="Arial" w:cs="Arial"/>
          <w:sz w:val="20"/>
        </w:rPr>
        <w:t xml:space="preserve">Noting that there is </w:t>
      </w:r>
      <w:r w:rsidR="00976E1D">
        <w:rPr>
          <w:rFonts w:ascii="Arial" w:hAnsi="Arial" w:cs="Arial"/>
          <w:sz w:val="20"/>
        </w:rPr>
        <w:t xml:space="preserve">no </w:t>
      </w:r>
      <w:r w:rsidR="00FC4CD5">
        <w:rPr>
          <w:rFonts w:ascii="Arial" w:hAnsi="Arial" w:cs="Arial"/>
          <w:sz w:val="20"/>
        </w:rPr>
        <w:t>“systematic and broad-based review mechanism for continued access to DGR status”,</w:t>
      </w:r>
      <w:r w:rsidR="00FC4CD5">
        <w:rPr>
          <w:rStyle w:val="FootnoteReference"/>
          <w:rFonts w:ascii="Arial" w:hAnsi="Arial" w:cs="Arial"/>
          <w:sz w:val="20"/>
        </w:rPr>
        <w:footnoteReference w:id="12"/>
      </w:r>
      <w:r w:rsidR="00976E1D">
        <w:rPr>
          <w:rFonts w:ascii="Arial" w:hAnsi="Arial" w:cs="Arial"/>
          <w:sz w:val="20"/>
        </w:rPr>
        <w:t xml:space="preserve"> </w:t>
      </w:r>
      <w:r>
        <w:rPr>
          <w:rFonts w:ascii="Arial" w:hAnsi="Arial" w:cs="Arial"/>
          <w:sz w:val="20"/>
        </w:rPr>
        <w:t xml:space="preserve">the ADO submits that any </w:t>
      </w:r>
      <w:r w:rsidR="00FC4CD5">
        <w:rPr>
          <w:rFonts w:ascii="Arial" w:hAnsi="Arial" w:cs="Arial"/>
          <w:sz w:val="20"/>
        </w:rPr>
        <w:t>concerns as to</w:t>
      </w:r>
      <w:r>
        <w:rPr>
          <w:rFonts w:ascii="Arial" w:hAnsi="Arial" w:cs="Arial"/>
          <w:sz w:val="20"/>
        </w:rPr>
        <w:t xml:space="preserve"> the</w:t>
      </w:r>
      <w:r w:rsidR="00FC4CD5">
        <w:rPr>
          <w:rFonts w:ascii="Arial" w:hAnsi="Arial" w:cs="Arial"/>
          <w:sz w:val="20"/>
        </w:rPr>
        <w:t xml:space="preserve"> ‘over-inclusion’ of organisations </w:t>
      </w:r>
      <w:r w:rsidR="00F11EE5">
        <w:rPr>
          <w:rFonts w:ascii="Arial" w:hAnsi="Arial" w:cs="Arial"/>
          <w:sz w:val="20"/>
        </w:rPr>
        <w:t xml:space="preserve">for </w:t>
      </w:r>
      <w:r w:rsidR="008D36E4">
        <w:rPr>
          <w:rFonts w:ascii="Arial" w:hAnsi="Arial" w:cs="Arial"/>
          <w:sz w:val="20"/>
        </w:rPr>
        <w:t xml:space="preserve">DGR </w:t>
      </w:r>
      <w:r w:rsidR="00FC4CD5">
        <w:rPr>
          <w:rFonts w:ascii="Arial" w:hAnsi="Arial" w:cs="Arial"/>
          <w:sz w:val="20"/>
        </w:rPr>
        <w:t xml:space="preserve">status </w:t>
      </w:r>
      <w:r w:rsidR="00976E1D">
        <w:rPr>
          <w:rFonts w:ascii="Arial" w:hAnsi="Arial" w:cs="Arial"/>
          <w:sz w:val="20"/>
        </w:rPr>
        <w:t xml:space="preserve">could more appropriately be </w:t>
      </w:r>
      <w:r w:rsidR="00FC4CD5">
        <w:rPr>
          <w:rFonts w:ascii="Arial" w:hAnsi="Arial" w:cs="Arial"/>
          <w:sz w:val="20"/>
        </w:rPr>
        <w:t>assuaged</w:t>
      </w:r>
      <w:r w:rsidR="008D36E4">
        <w:rPr>
          <w:rFonts w:ascii="Arial" w:hAnsi="Arial" w:cs="Arial"/>
          <w:sz w:val="20"/>
        </w:rPr>
        <w:t xml:space="preserve"> by a robust review mechanism into </w:t>
      </w:r>
      <w:r w:rsidR="00976E1D">
        <w:rPr>
          <w:rFonts w:ascii="Arial" w:hAnsi="Arial" w:cs="Arial"/>
          <w:sz w:val="20"/>
        </w:rPr>
        <w:t xml:space="preserve">organisations’ </w:t>
      </w:r>
      <w:r w:rsidR="008D36E4">
        <w:rPr>
          <w:rFonts w:ascii="Arial" w:hAnsi="Arial" w:cs="Arial"/>
          <w:sz w:val="20"/>
        </w:rPr>
        <w:t>continued eligibility to hold DGR status</w:t>
      </w:r>
      <w:r w:rsidR="00976E1D">
        <w:rPr>
          <w:rFonts w:ascii="Arial" w:hAnsi="Arial" w:cs="Arial"/>
          <w:sz w:val="20"/>
        </w:rPr>
        <w:t xml:space="preserve">. In the ADO’s view, </w:t>
      </w:r>
      <w:r w:rsidR="00A53158">
        <w:rPr>
          <w:rFonts w:ascii="Arial" w:hAnsi="Arial" w:cs="Arial"/>
          <w:sz w:val="20"/>
        </w:rPr>
        <w:t xml:space="preserve">an example of </w:t>
      </w:r>
      <w:r w:rsidR="00280DAD">
        <w:rPr>
          <w:rFonts w:ascii="Arial" w:hAnsi="Arial" w:cs="Arial"/>
          <w:sz w:val="20"/>
        </w:rPr>
        <w:t xml:space="preserve">a </w:t>
      </w:r>
      <w:r w:rsidR="00976E1D">
        <w:rPr>
          <w:rFonts w:ascii="Arial" w:hAnsi="Arial" w:cs="Arial"/>
          <w:sz w:val="20"/>
        </w:rPr>
        <w:t>more eff</w:t>
      </w:r>
      <w:r w:rsidR="00280DAD">
        <w:rPr>
          <w:rFonts w:ascii="Arial" w:hAnsi="Arial" w:cs="Arial"/>
          <w:sz w:val="20"/>
        </w:rPr>
        <w:t>ective and responsive regulatory approach</w:t>
      </w:r>
      <w:r w:rsidR="00976E1D">
        <w:rPr>
          <w:rFonts w:ascii="Arial" w:hAnsi="Arial" w:cs="Arial"/>
          <w:sz w:val="20"/>
        </w:rPr>
        <w:t xml:space="preserve"> </w:t>
      </w:r>
      <w:r w:rsidR="00A53158">
        <w:rPr>
          <w:rFonts w:ascii="Arial" w:hAnsi="Arial" w:cs="Arial"/>
          <w:sz w:val="20"/>
        </w:rPr>
        <w:t>would be t</w:t>
      </w:r>
      <w:r w:rsidR="00976E1D">
        <w:rPr>
          <w:rFonts w:ascii="Arial" w:hAnsi="Arial" w:cs="Arial"/>
          <w:sz w:val="20"/>
        </w:rPr>
        <w:t xml:space="preserve">o broaden the </w:t>
      </w:r>
      <w:r w:rsidR="00F11EE5">
        <w:rPr>
          <w:rFonts w:ascii="Arial" w:hAnsi="Arial" w:cs="Arial"/>
          <w:sz w:val="20"/>
        </w:rPr>
        <w:t xml:space="preserve">eligible </w:t>
      </w:r>
      <w:r w:rsidR="00976E1D">
        <w:rPr>
          <w:rFonts w:ascii="Arial" w:hAnsi="Arial" w:cs="Arial"/>
          <w:sz w:val="20"/>
        </w:rPr>
        <w:t>class of activities that DGR-</w:t>
      </w:r>
      <w:r w:rsidR="00F11EE5">
        <w:rPr>
          <w:rFonts w:ascii="Arial" w:hAnsi="Arial" w:cs="Arial"/>
          <w:sz w:val="20"/>
        </w:rPr>
        <w:t>endorsed</w:t>
      </w:r>
      <w:r w:rsidR="00976E1D">
        <w:rPr>
          <w:rFonts w:ascii="Arial" w:hAnsi="Arial" w:cs="Arial"/>
          <w:sz w:val="20"/>
        </w:rPr>
        <w:t xml:space="preserve"> </w:t>
      </w:r>
      <w:r w:rsidR="00346CC7">
        <w:rPr>
          <w:rFonts w:ascii="Arial" w:hAnsi="Arial" w:cs="Arial"/>
          <w:sz w:val="20"/>
        </w:rPr>
        <w:t xml:space="preserve">animal protection </w:t>
      </w:r>
      <w:r w:rsidR="003F3BE2">
        <w:rPr>
          <w:rFonts w:ascii="Arial" w:hAnsi="Arial" w:cs="Arial"/>
          <w:sz w:val="20"/>
        </w:rPr>
        <w:t xml:space="preserve">(and other) </w:t>
      </w:r>
      <w:r w:rsidR="00976E1D">
        <w:rPr>
          <w:rFonts w:ascii="Arial" w:hAnsi="Arial" w:cs="Arial"/>
          <w:sz w:val="20"/>
        </w:rPr>
        <w:t xml:space="preserve">organisations can undertake, but </w:t>
      </w:r>
      <w:r w:rsidR="00F11EE5">
        <w:rPr>
          <w:rFonts w:ascii="Arial" w:hAnsi="Arial" w:cs="Arial"/>
          <w:sz w:val="20"/>
        </w:rPr>
        <w:t>implement more</w:t>
      </w:r>
      <w:r w:rsidR="00976E1D">
        <w:rPr>
          <w:rFonts w:ascii="Arial" w:hAnsi="Arial" w:cs="Arial"/>
          <w:sz w:val="20"/>
        </w:rPr>
        <w:t xml:space="preserve"> rigorous oversight and control mechanisms to ensure that organisations with DGR status</w:t>
      </w:r>
      <w:r w:rsidR="00F11EE5">
        <w:rPr>
          <w:rFonts w:ascii="Arial" w:hAnsi="Arial" w:cs="Arial"/>
          <w:sz w:val="20"/>
        </w:rPr>
        <w:t xml:space="preserve"> are conducting their operations in a manner consistent with their stated purpose. </w:t>
      </w:r>
    </w:p>
    <w:p w14:paraId="46BD129B" w14:textId="77777777" w:rsidR="003D739A" w:rsidRPr="003D739A" w:rsidRDefault="00E21F4B" w:rsidP="003D739A">
      <w:pPr>
        <w:pStyle w:val="ListParagraph"/>
        <w:numPr>
          <w:ilvl w:val="1"/>
          <w:numId w:val="11"/>
        </w:numPr>
        <w:rPr>
          <w:rFonts w:ascii="Arial" w:hAnsi="Arial" w:cs="Arial"/>
          <w:i/>
          <w:sz w:val="20"/>
        </w:rPr>
      </w:pPr>
      <w:r>
        <w:rPr>
          <w:rFonts w:ascii="Arial" w:hAnsi="Arial" w:cs="Arial"/>
          <w:i/>
          <w:sz w:val="20"/>
        </w:rPr>
        <w:t xml:space="preserve">Asymmetry in the deductible gift recipient framework and broader community priorities </w:t>
      </w:r>
    </w:p>
    <w:p w14:paraId="5E7FA2A4" w14:textId="694D57A2" w:rsidR="00A43E3A" w:rsidRDefault="000B3E90" w:rsidP="00180500">
      <w:pPr>
        <w:spacing w:line="360" w:lineRule="auto"/>
        <w:jc w:val="both"/>
        <w:rPr>
          <w:rFonts w:ascii="Arial" w:hAnsi="Arial" w:cs="Arial"/>
          <w:sz w:val="20"/>
        </w:rPr>
      </w:pPr>
      <w:r>
        <w:rPr>
          <w:rFonts w:ascii="Arial" w:hAnsi="Arial" w:cs="Arial"/>
          <w:sz w:val="20"/>
        </w:rPr>
        <w:t xml:space="preserve">Under </w:t>
      </w:r>
      <w:r w:rsidR="003F3BE2">
        <w:rPr>
          <w:rFonts w:ascii="Arial" w:hAnsi="Arial" w:cs="Arial"/>
          <w:sz w:val="20"/>
        </w:rPr>
        <w:t>TOR</w:t>
      </w:r>
      <w:r w:rsidR="00A43E3A">
        <w:rPr>
          <w:rFonts w:ascii="Arial" w:hAnsi="Arial" w:cs="Arial"/>
          <w:sz w:val="20"/>
        </w:rPr>
        <w:t xml:space="preserve"> 5</w:t>
      </w:r>
      <w:r>
        <w:rPr>
          <w:rFonts w:ascii="Arial" w:hAnsi="Arial" w:cs="Arial"/>
          <w:sz w:val="20"/>
        </w:rPr>
        <w:t>, the Commission</w:t>
      </w:r>
      <w:r w:rsidR="00A43E3A">
        <w:rPr>
          <w:rFonts w:ascii="Arial" w:hAnsi="Arial" w:cs="Arial"/>
          <w:sz w:val="20"/>
        </w:rPr>
        <w:t xml:space="preserve"> </w:t>
      </w:r>
      <w:r w:rsidR="00810F4E">
        <w:rPr>
          <w:rFonts w:ascii="Arial" w:hAnsi="Arial" w:cs="Arial"/>
          <w:sz w:val="20"/>
        </w:rPr>
        <w:t>is</w:t>
      </w:r>
      <w:r w:rsidR="00A43E3A">
        <w:rPr>
          <w:rFonts w:ascii="Arial" w:hAnsi="Arial" w:cs="Arial"/>
          <w:sz w:val="20"/>
        </w:rPr>
        <w:t xml:space="preserve"> to consider</w:t>
      </w:r>
      <w:r w:rsidR="00E21F4B">
        <w:rPr>
          <w:rFonts w:ascii="Arial" w:hAnsi="Arial" w:cs="Arial"/>
          <w:sz w:val="20"/>
        </w:rPr>
        <w:t xml:space="preserve"> how the “</w:t>
      </w:r>
      <w:r w:rsidR="00E21F4B" w:rsidRPr="00E21F4B">
        <w:rPr>
          <w:rFonts w:ascii="Arial" w:hAnsi="Arial" w:cs="Arial"/>
          <w:i/>
          <w:sz w:val="20"/>
        </w:rPr>
        <w:t>effectiveness and fairness of the deductible gift recipient framework</w:t>
      </w:r>
      <w:r w:rsidR="00E21F4B">
        <w:rPr>
          <w:rFonts w:ascii="Arial" w:hAnsi="Arial" w:cs="Arial"/>
          <w:sz w:val="20"/>
        </w:rPr>
        <w:t xml:space="preserve">” aligns with </w:t>
      </w:r>
      <w:r w:rsidR="003D739A">
        <w:rPr>
          <w:rFonts w:ascii="Arial" w:hAnsi="Arial" w:cs="Arial"/>
          <w:sz w:val="20"/>
        </w:rPr>
        <w:t>“</w:t>
      </w:r>
      <w:r w:rsidR="003D739A" w:rsidRPr="002E5F98">
        <w:rPr>
          <w:rFonts w:ascii="Arial" w:hAnsi="Arial" w:cs="Arial"/>
          <w:i/>
          <w:sz w:val="20"/>
        </w:rPr>
        <w:t>the priorities of the broader community</w:t>
      </w:r>
      <w:r w:rsidR="00E21F4B">
        <w:rPr>
          <w:rFonts w:ascii="Arial" w:hAnsi="Arial" w:cs="Arial"/>
          <w:sz w:val="20"/>
        </w:rPr>
        <w:t>”.</w:t>
      </w:r>
      <w:r w:rsidR="0012430D">
        <w:rPr>
          <w:rStyle w:val="FootnoteReference"/>
          <w:rFonts w:ascii="Arial" w:hAnsi="Arial" w:cs="Arial"/>
          <w:sz w:val="20"/>
        </w:rPr>
        <w:footnoteReference w:id="13"/>
      </w:r>
      <w:r w:rsidR="00E21F4B">
        <w:rPr>
          <w:rFonts w:ascii="Arial" w:hAnsi="Arial" w:cs="Arial"/>
          <w:sz w:val="20"/>
        </w:rPr>
        <w:t xml:space="preserve"> In the ADO’s submission, the </w:t>
      </w:r>
      <w:r w:rsidR="0019338E">
        <w:rPr>
          <w:rFonts w:ascii="Arial" w:hAnsi="Arial" w:cs="Arial"/>
          <w:sz w:val="20"/>
        </w:rPr>
        <w:t xml:space="preserve">current </w:t>
      </w:r>
      <w:r w:rsidR="00E21F4B">
        <w:rPr>
          <w:rFonts w:ascii="Arial" w:hAnsi="Arial" w:cs="Arial"/>
          <w:sz w:val="20"/>
        </w:rPr>
        <w:t>deductible gift recipient framework for animal welfare organisations fails to align</w:t>
      </w:r>
      <w:r w:rsidR="00970F85">
        <w:rPr>
          <w:rFonts w:ascii="Arial" w:hAnsi="Arial" w:cs="Arial"/>
          <w:sz w:val="20"/>
        </w:rPr>
        <w:t xml:space="preserve">, </w:t>
      </w:r>
      <w:r>
        <w:rPr>
          <w:rFonts w:ascii="Arial" w:hAnsi="Arial" w:cs="Arial"/>
          <w:sz w:val="20"/>
        </w:rPr>
        <w:t>to a significant degree</w:t>
      </w:r>
      <w:r w:rsidR="00970F85">
        <w:rPr>
          <w:rFonts w:ascii="Arial" w:hAnsi="Arial" w:cs="Arial"/>
          <w:sz w:val="20"/>
        </w:rPr>
        <w:t>,</w:t>
      </w:r>
      <w:r>
        <w:rPr>
          <w:rFonts w:ascii="Arial" w:hAnsi="Arial" w:cs="Arial"/>
          <w:sz w:val="20"/>
        </w:rPr>
        <w:t xml:space="preserve"> </w:t>
      </w:r>
      <w:r w:rsidR="00E21F4B">
        <w:rPr>
          <w:rFonts w:ascii="Arial" w:hAnsi="Arial" w:cs="Arial"/>
          <w:sz w:val="20"/>
        </w:rPr>
        <w:t xml:space="preserve">with the contemporary </w:t>
      </w:r>
      <w:r w:rsidR="0019338E">
        <w:rPr>
          <w:rFonts w:ascii="Arial" w:hAnsi="Arial" w:cs="Arial"/>
          <w:sz w:val="20"/>
        </w:rPr>
        <w:t xml:space="preserve">views held by the Australian community </w:t>
      </w:r>
      <w:r w:rsidR="00E21F4B">
        <w:rPr>
          <w:rFonts w:ascii="Arial" w:hAnsi="Arial" w:cs="Arial"/>
          <w:sz w:val="20"/>
        </w:rPr>
        <w:t xml:space="preserve">on animal </w:t>
      </w:r>
      <w:r w:rsidR="001F6C36">
        <w:rPr>
          <w:rFonts w:ascii="Arial" w:hAnsi="Arial" w:cs="Arial"/>
          <w:sz w:val="20"/>
        </w:rPr>
        <w:t>protection</w:t>
      </w:r>
      <w:r w:rsidR="00E21F4B">
        <w:rPr>
          <w:rFonts w:ascii="Arial" w:hAnsi="Arial" w:cs="Arial"/>
          <w:sz w:val="20"/>
        </w:rPr>
        <w:t xml:space="preserve"> and advocacy issues. </w:t>
      </w:r>
    </w:p>
    <w:p w14:paraId="618F61B7" w14:textId="569508B5" w:rsidR="00F9548E" w:rsidRDefault="00E21F4B" w:rsidP="00180500">
      <w:pPr>
        <w:spacing w:line="360" w:lineRule="auto"/>
        <w:jc w:val="both"/>
        <w:rPr>
          <w:rFonts w:ascii="Arial" w:hAnsi="Arial" w:cs="Arial"/>
          <w:sz w:val="20"/>
        </w:rPr>
      </w:pPr>
      <w:r>
        <w:rPr>
          <w:rFonts w:ascii="Arial" w:hAnsi="Arial" w:cs="Arial"/>
          <w:sz w:val="20"/>
        </w:rPr>
        <w:t>This misalignment is attributable</w:t>
      </w:r>
      <w:r w:rsidR="00F9548E">
        <w:rPr>
          <w:rFonts w:ascii="Arial" w:hAnsi="Arial" w:cs="Arial"/>
          <w:sz w:val="20"/>
        </w:rPr>
        <w:t>, at least in part,</w:t>
      </w:r>
      <w:r>
        <w:rPr>
          <w:rFonts w:ascii="Arial" w:hAnsi="Arial" w:cs="Arial"/>
          <w:sz w:val="20"/>
        </w:rPr>
        <w:t xml:space="preserve"> to an asymmetry </w:t>
      </w:r>
      <w:r w:rsidR="003D166D">
        <w:rPr>
          <w:rFonts w:ascii="Arial" w:hAnsi="Arial" w:cs="Arial"/>
          <w:sz w:val="20"/>
        </w:rPr>
        <w:t>that</w:t>
      </w:r>
      <w:r w:rsidR="00993BCD">
        <w:rPr>
          <w:rFonts w:ascii="Arial" w:hAnsi="Arial" w:cs="Arial"/>
          <w:sz w:val="20"/>
        </w:rPr>
        <w:t xml:space="preserve"> has emerged</w:t>
      </w:r>
      <w:r w:rsidR="003D166D">
        <w:rPr>
          <w:rFonts w:ascii="Arial" w:hAnsi="Arial" w:cs="Arial"/>
          <w:sz w:val="20"/>
        </w:rPr>
        <w:t xml:space="preserve"> </w:t>
      </w:r>
      <w:r>
        <w:rPr>
          <w:rFonts w:ascii="Arial" w:hAnsi="Arial" w:cs="Arial"/>
          <w:sz w:val="20"/>
        </w:rPr>
        <w:t>between the overly narrow legislative and regulatory</w:t>
      </w:r>
      <w:r w:rsidR="003D166D">
        <w:rPr>
          <w:rFonts w:ascii="Arial" w:hAnsi="Arial" w:cs="Arial"/>
          <w:sz w:val="20"/>
        </w:rPr>
        <w:t xml:space="preserve"> </w:t>
      </w:r>
      <w:r w:rsidR="00D7777D">
        <w:rPr>
          <w:rFonts w:ascii="Arial" w:hAnsi="Arial" w:cs="Arial"/>
          <w:sz w:val="20"/>
        </w:rPr>
        <w:t xml:space="preserve">eligibility rules </w:t>
      </w:r>
      <w:r>
        <w:rPr>
          <w:rFonts w:ascii="Arial" w:hAnsi="Arial" w:cs="Arial"/>
          <w:sz w:val="20"/>
        </w:rPr>
        <w:t>for</w:t>
      </w:r>
      <w:r w:rsidR="003D166D">
        <w:rPr>
          <w:rFonts w:ascii="Arial" w:hAnsi="Arial" w:cs="Arial"/>
          <w:sz w:val="20"/>
        </w:rPr>
        <w:t xml:space="preserve"> animal welfare organisations obtaining DGR status, compared to </w:t>
      </w:r>
      <w:r>
        <w:rPr>
          <w:rFonts w:ascii="Arial" w:hAnsi="Arial" w:cs="Arial"/>
          <w:sz w:val="20"/>
        </w:rPr>
        <w:t xml:space="preserve">the </w:t>
      </w:r>
      <w:r w:rsidR="00774CF8">
        <w:rPr>
          <w:rFonts w:ascii="Arial" w:hAnsi="Arial" w:cs="Arial"/>
          <w:sz w:val="20"/>
        </w:rPr>
        <w:t xml:space="preserve">growing </w:t>
      </w:r>
      <w:r w:rsidR="00F9548E">
        <w:rPr>
          <w:rFonts w:ascii="Arial" w:hAnsi="Arial" w:cs="Arial"/>
          <w:sz w:val="20"/>
        </w:rPr>
        <w:t xml:space="preserve">support for and awareness of animal welfare </w:t>
      </w:r>
      <w:r w:rsidR="007243E7">
        <w:rPr>
          <w:rFonts w:ascii="Arial" w:hAnsi="Arial" w:cs="Arial"/>
          <w:sz w:val="20"/>
        </w:rPr>
        <w:t xml:space="preserve">in general </w:t>
      </w:r>
      <w:r w:rsidR="00F9548E">
        <w:rPr>
          <w:rFonts w:ascii="Arial" w:hAnsi="Arial" w:cs="Arial"/>
          <w:sz w:val="20"/>
        </w:rPr>
        <w:t xml:space="preserve">in contemporary Australian society. </w:t>
      </w:r>
    </w:p>
    <w:p w14:paraId="54A49826" w14:textId="2E7BE797" w:rsidR="00822418" w:rsidRDefault="00F9548E" w:rsidP="00180500">
      <w:pPr>
        <w:spacing w:line="360" w:lineRule="auto"/>
        <w:jc w:val="both"/>
        <w:rPr>
          <w:rFonts w:ascii="Arial" w:hAnsi="Arial" w:cs="Arial"/>
          <w:sz w:val="20"/>
        </w:rPr>
      </w:pPr>
      <w:r>
        <w:rPr>
          <w:rFonts w:ascii="Arial" w:hAnsi="Arial" w:cs="Arial"/>
          <w:sz w:val="20"/>
        </w:rPr>
        <w:t xml:space="preserve">Animal welfare </w:t>
      </w:r>
      <w:r w:rsidR="009056CD">
        <w:rPr>
          <w:rFonts w:ascii="Arial" w:hAnsi="Arial" w:cs="Arial"/>
          <w:sz w:val="20"/>
        </w:rPr>
        <w:t xml:space="preserve">continues to be </w:t>
      </w:r>
      <w:r w:rsidR="00AF7F9B">
        <w:rPr>
          <w:rFonts w:ascii="Arial" w:hAnsi="Arial" w:cs="Arial"/>
          <w:sz w:val="20"/>
        </w:rPr>
        <w:t xml:space="preserve">amongst the highest-ranking </w:t>
      </w:r>
      <w:r>
        <w:rPr>
          <w:rFonts w:ascii="Arial" w:hAnsi="Arial" w:cs="Arial"/>
          <w:sz w:val="20"/>
        </w:rPr>
        <w:t>social causes for Australian</w:t>
      </w:r>
      <w:r w:rsidR="0012430D">
        <w:rPr>
          <w:rFonts w:ascii="Arial" w:hAnsi="Arial" w:cs="Arial"/>
          <w:sz w:val="20"/>
        </w:rPr>
        <w:t xml:space="preserve">s, with support and awareness of the cause continuing to track in an upward trajectory. </w:t>
      </w:r>
      <w:r w:rsidR="00822418">
        <w:rPr>
          <w:rFonts w:ascii="Arial" w:hAnsi="Arial" w:cs="Arial"/>
          <w:sz w:val="20"/>
        </w:rPr>
        <w:t xml:space="preserve">Indeed, </w:t>
      </w:r>
      <w:r w:rsidR="00E7384E" w:rsidRPr="0036672D">
        <w:rPr>
          <w:rFonts w:ascii="Arial" w:hAnsi="Arial" w:cs="Arial"/>
          <w:sz w:val="20"/>
        </w:rPr>
        <w:t>th</w:t>
      </w:r>
      <w:r w:rsidR="00E7384E">
        <w:rPr>
          <w:rFonts w:ascii="Arial" w:hAnsi="Arial" w:cs="Arial"/>
          <w:sz w:val="20"/>
        </w:rPr>
        <w:t>e</w:t>
      </w:r>
      <w:r w:rsidR="00E7384E" w:rsidRPr="0036672D">
        <w:rPr>
          <w:rFonts w:ascii="Arial" w:hAnsi="Arial" w:cs="Arial"/>
          <w:sz w:val="20"/>
        </w:rPr>
        <w:t xml:space="preserve"> </w:t>
      </w:r>
      <w:r w:rsidR="003D739A" w:rsidRPr="0036672D">
        <w:rPr>
          <w:rFonts w:ascii="Arial" w:hAnsi="Arial" w:cs="Arial"/>
          <w:sz w:val="20"/>
        </w:rPr>
        <w:t xml:space="preserve">Commission’s </w:t>
      </w:r>
      <w:r w:rsidR="00894B20">
        <w:rPr>
          <w:rFonts w:ascii="Arial" w:hAnsi="Arial" w:cs="Arial"/>
          <w:sz w:val="20"/>
        </w:rPr>
        <w:t xml:space="preserve">2016 </w:t>
      </w:r>
      <w:r w:rsidR="003D739A" w:rsidRPr="0036672D">
        <w:rPr>
          <w:rFonts w:ascii="Arial" w:hAnsi="Arial" w:cs="Arial"/>
          <w:sz w:val="20"/>
        </w:rPr>
        <w:t>Inquiry into</w:t>
      </w:r>
      <w:r w:rsidR="0012430D">
        <w:rPr>
          <w:rFonts w:ascii="Arial" w:hAnsi="Arial" w:cs="Arial"/>
          <w:sz w:val="20"/>
        </w:rPr>
        <w:t>,</w:t>
      </w:r>
      <w:r w:rsidR="003D739A" w:rsidRPr="0036672D">
        <w:rPr>
          <w:rFonts w:ascii="Arial" w:hAnsi="Arial" w:cs="Arial"/>
          <w:sz w:val="20"/>
        </w:rPr>
        <w:t xml:space="preserve"> and subsequent Report on</w:t>
      </w:r>
      <w:r w:rsidR="0012430D">
        <w:rPr>
          <w:rFonts w:ascii="Arial" w:hAnsi="Arial" w:cs="Arial"/>
          <w:sz w:val="20"/>
        </w:rPr>
        <w:t>,</w:t>
      </w:r>
      <w:r w:rsidR="003D739A" w:rsidRPr="0036672D">
        <w:rPr>
          <w:rFonts w:ascii="Arial" w:hAnsi="Arial" w:cs="Arial"/>
          <w:sz w:val="20"/>
        </w:rPr>
        <w:t xml:space="preserve"> Agriculture</w:t>
      </w:r>
      <w:r w:rsidR="00822418">
        <w:rPr>
          <w:rFonts w:ascii="Arial" w:hAnsi="Arial" w:cs="Arial"/>
          <w:sz w:val="20"/>
        </w:rPr>
        <w:t xml:space="preserve"> recognised the public benefit that derives from maintaining animal welfare standards in respect of farm animals.</w:t>
      </w:r>
      <w:r w:rsidR="00822418">
        <w:rPr>
          <w:rStyle w:val="FootnoteReference"/>
          <w:rFonts w:ascii="Arial" w:hAnsi="Arial" w:cs="Arial"/>
          <w:sz w:val="20"/>
        </w:rPr>
        <w:footnoteReference w:id="14"/>
      </w:r>
      <w:r w:rsidR="003D739A" w:rsidRPr="0036672D">
        <w:rPr>
          <w:rFonts w:ascii="Arial" w:hAnsi="Arial" w:cs="Arial"/>
          <w:sz w:val="20"/>
        </w:rPr>
        <w:t xml:space="preserve"> </w:t>
      </w:r>
    </w:p>
    <w:p w14:paraId="638E9CAF" w14:textId="58B8ACB3" w:rsidR="00894B20" w:rsidRDefault="00894B20" w:rsidP="00894B20">
      <w:pPr>
        <w:spacing w:line="360" w:lineRule="auto"/>
        <w:jc w:val="both"/>
        <w:rPr>
          <w:rFonts w:ascii="Arial" w:hAnsi="Arial" w:cs="Arial"/>
          <w:sz w:val="20"/>
        </w:rPr>
      </w:pPr>
      <w:r>
        <w:rPr>
          <w:rFonts w:ascii="Arial" w:hAnsi="Arial" w:cs="Arial"/>
          <w:sz w:val="20"/>
        </w:rPr>
        <w:lastRenderedPageBreak/>
        <w:t>In 2018 an Australian Government-commissioned report into attitudes towards farm animal welfare revealed, on a quantitative analysis, that there was overwhelming social concern in Australia for the welfare and treatment of farmed animals (95%).</w:t>
      </w:r>
      <w:r>
        <w:rPr>
          <w:rStyle w:val="FootnoteReference"/>
          <w:rFonts w:ascii="Arial" w:hAnsi="Arial" w:cs="Arial"/>
          <w:sz w:val="20"/>
        </w:rPr>
        <w:footnoteReference w:id="15"/>
      </w:r>
      <w:r>
        <w:rPr>
          <w:rFonts w:ascii="Arial" w:hAnsi="Arial" w:cs="Arial"/>
          <w:sz w:val="20"/>
        </w:rPr>
        <w:t xml:space="preserve"> </w:t>
      </w:r>
    </w:p>
    <w:p w14:paraId="14982FDD" w14:textId="3ACE7CCF" w:rsidR="00180500" w:rsidRDefault="00822418" w:rsidP="00180500">
      <w:pPr>
        <w:spacing w:line="360" w:lineRule="auto"/>
        <w:jc w:val="both"/>
        <w:rPr>
          <w:rFonts w:ascii="Arial" w:hAnsi="Arial" w:cs="Arial"/>
          <w:sz w:val="20"/>
        </w:rPr>
      </w:pPr>
      <w:r>
        <w:rPr>
          <w:rFonts w:ascii="Arial" w:hAnsi="Arial" w:cs="Arial"/>
          <w:sz w:val="20"/>
        </w:rPr>
        <w:t xml:space="preserve">Similarly, research conducted by the Responsible Investment Associate Australasia </w:t>
      </w:r>
      <w:r w:rsidR="003D739A" w:rsidRPr="0036672D">
        <w:rPr>
          <w:rFonts w:ascii="Arial" w:hAnsi="Arial" w:cs="Arial"/>
          <w:sz w:val="20"/>
        </w:rPr>
        <w:t>demonstrated that the avoidance of animal cruelty was</w:t>
      </w:r>
      <w:r w:rsidR="009056CD">
        <w:rPr>
          <w:rFonts w:ascii="Arial" w:hAnsi="Arial" w:cs="Arial"/>
          <w:sz w:val="20"/>
        </w:rPr>
        <w:t xml:space="preserve"> amongst the highest priorities </w:t>
      </w:r>
      <w:r w:rsidR="003D739A" w:rsidRPr="0036672D">
        <w:rPr>
          <w:rFonts w:ascii="Arial" w:hAnsi="Arial" w:cs="Arial"/>
          <w:sz w:val="20"/>
        </w:rPr>
        <w:t>of social causes in the</w:t>
      </w:r>
      <w:r w:rsidR="0012430D">
        <w:rPr>
          <w:rFonts w:ascii="Arial" w:hAnsi="Arial" w:cs="Arial"/>
          <w:sz w:val="20"/>
        </w:rPr>
        <w:t xml:space="preserve"> context of consumer attitudes towards investing</w:t>
      </w:r>
      <w:r w:rsidR="003D739A" w:rsidRPr="0036672D">
        <w:rPr>
          <w:rFonts w:ascii="Arial" w:hAnsi="Arial" w:cs="Arial"/>
          <w:sz w:val="20"/>
        </w:rPr>
        <w:t>. As noted in the R</w:t>
      </w:r>
      <w:r w:rsidR="009056CD">
        <w:rPr>
          <w:rFonts w:ascii="Arial" w:hAnsi="Arial" w:cs="Arial"/>
          <w:sz w:val="20"/>
        </w:rPr>
        <w:t>eport, “[m]ore Australians seek</w:t>
      </w:r>
      <w:r w:rsidR="003D739A" w:rsidRPr="0036672D">
        <w:rPr>
          <w:rFonts w:ascii="Arial" w:hAnsi="Arial" w:cs="Arial"/>
          <w:sz w:val="20"/>
        </w:rPr>
        <w:t xml:space="preserve"> to avoid activities linked to animal cruelty, including animal testing or animal products, increasing to 67% this year from 63% in 2020”.</w:t>
      </w:r>
      <w:r w:rsidR="003D739A" w:rsidRPr="00625012">
        <w:rPr>
          <w:rStyle w:val="FootnoteReference"/>
          <w:rFonts w:ascii="Arial" w:hAnsi="Arial" w:cs="Arial"/>
          <w:sz w:val="20"/>
        </w:rPr>
        <w:footnoteReference w:id="16"/>
      </w:r>
      <w:r w:rsidR="003D739A" w:rsidRPr="0036672D">
        <w:rPr>
          <w:rFonts w:ascii="Arial" w:hAnsi="Arial" w:cs="Arial"/>
          <w:sz w:val="20"/>
        </w:rPr>
        <w:t xml:space="preserve"> This increase, which surpassed </w:t>
      </w:r>
      <w:r w:rsidR="009056CD">
        <w:rPr>
          <w:rFonts w:ascii="Arial" w:hAnsi="Arial" w:cs="Arial"/>
          <w:sz w:val="20"/>
        </w:rPr>
        <w:t>social concerns such as the</w:t>
      </w:r>
      <w:r w:rsidR="00D77041">
        <w:rPr>
          <w:rFonts w:ascii="Arial" w:hAnsi="Arial" w:cs="Arial"/>
          <w:sz w:val="20"/>
        </w:rPr>
        <w:t xml:space="preserve"> avoidance of</w:t>
      </w:r>
      <w:r w:rsidR="003D739A" w:rsidRPr="0036672D">
        <w:rPr>
          <w:rFonts w:ascii="Arial" w:hAnsi="Arial" w:cs="Arial"/>
          <w:sz w:val="20"/>
        </w:rPr>
        <w:t xml:space="preserve"> human rights abuses (63%) or environmen</w:t>
      </w:r>
      <w:r w:rsidR="009056CD">
        <w:rPr>
          <w:rFonts w:ascii="Arial" w:hAnsi="Arial" w:cs="Arial"/>
          <w:sz w:val="20"/>
        </w:rPr>
        <w:t>tal damage (50%), demonstrates that animal welfare is an exceedingly important priority amongst the broader community</w:t>
      </w:r>
      <w:r w:rsidR="003D739A" w:rsidRPr="0036672D">
        <w:rPr>
          <w:rFonts w:ascii="Arial" w:hAnsi="Arial" w:cs="Arial"/>
          <w:sz w:val="20"/>
        </w:rPr>
        <w:t xml:space="preserve">. </w:t>
      </w:r>
      <w:r w:rsidR="00006731">
        <w:rPr>
          <w:rFonts w:ascii="Arial" w:hAnsi="Arial" w:cs="Arial"/>
          <w:sz w:val="20"/>
        </w:rPr>
        <w:t>As a consequence of t</w:t>
      </w:r>
      <w:r w:rsidR="00D77041">
        <w:rPr>
          <w:rFonts w:ascii="Arial" w:hAnsi="Arial" w:cs="Arial"/>
          <w:sz w:val="20"/>
        </w:rPr>
        <w:t xml:space="preserve">his </w:t>
      </w:r>
      <w:r w:rsidR="00006731">
        <w:rPr>
          <w:rFonts w:ascii="Arial" w:hAnsi="Arial" w:cs="Arial"/>
          <w:sz w:val="20"/>
        </w:rPr>
        <w:t xml:space="preserve">rise in </w:t>
      </w:r>
      <w:r w:rsidR="00D77041">
        <w:rPr>
          <w:rFonts w:ascii="Arial" w:hAnsi="Arial" w:cs="Arial"/>
          <w:sz w:val="20"/>
        </w:rPr>
        <w:t xml:space="preserve">societal concern for animal </w:t>
      </w:r>
      <w:r w:rsidR="00D23B80">
        <w:rPr>
          <w:rFonts w:ascii="Arial" w:hAnsi="Arial" w:cs="Arial"/>
          <w:sz w:val="20"/>
        </w:rPr>
        <w:t>protection</w:t>
      </w:r>
      <w:r w:rsidR="00006731">
        <w:rPr>
          <w:rFonts w:ascii="Arial" w:hAnsi="Arial" w:cs="Arial"/>
          <w:sz w:val="20"/>
        </w:rPr>
        <w:t>,</w:t>
      </w:r>
      <w:r w:rsidR="00D77041">
        <w:rPr>
          <w:rFonts w:ascii="Arial" w:hAnsi="Arial" w:cs="Arial"/>
          <w:sz w:val="20"/>
        </w:rPr>
        <w:t xml:space="preserve"> </w:t>
      </w:r>
      <w:r w:rsidR="003D739A" w:rsidRPr="0036672D">
        <w:rPr>
          <w:rFonts w:ascii="Arial" w:hAnsi="Arial" w:cs="Arial"/>
          <w:sz w:val="20"/>
        </w:rPr>
        <w:t>organisations</w:t>
      </w:r>
      <w:r w:rsidR="00006731">
        <w:rPr>
          <w:rFonts w:ascii="Arial" w:hAnsi="Arial" w:cs="Arial"/>
          <w:sz w:val="20"/>
        </w:rPr>
        <w:t xml:space="preserve"> </w:t>
      </w:r>
      <w:r w:rsidR="00D77041">
        <w:rPr>
          <w:rFonts w:ascii="Arial" w:hAnsi="Arial" w:cs="Arial"/>
          <w:sz w:val="20"/>
        </w:rPr>
        <w:t xml:space="preserve">such </w:t>
      </w:r>
      <w:r w:rsidR="00006731">
        <w:rPr>
          <w:rFonts w:ascii="Arial" w:hAnsi="Arial" w:cs="Arial"/>
          <w:sz w:val="20"/>
        </w:rPr>
        <w:t xml:space="preserve">as the ADO </w:t>
      </w:r>
      <w:r w:rsidR="003D739A" w:rsidRPr="0036672D">
        <w:rPr>
          <w:rFonts w:ascii="Arial" w:hAnsi="Arial" w:cs="Arial"/>
          <w:sz w:val="20"/>
        </w:rPr>
        <w:t xml:space="preserve">have a </w:t>
      </w:r>
      <w:r w:rsidR="000B3BCD">
        <w:rPr>
          <w:rFonts w:ascii="Arial" w:hAnsi="Arial" w:cs="Arial"/>
          <w:sz w:val="20"/>
        </w:rPr>
        <w:t>legitimate</w:t>
      </w:r>
      <w:r w:rsidR="000B3BCD" w:rsidRPr="0036672D">
        <w:rPr>
          <w:rFonts w:ascii="Arial" w:hAnsi="Arial" w:cs="Arial"/>
          <w:sz w:val="20"/>
        </w:rPr>
        <w:t xml:space="preserve"> </w:t>
      </w:r>
      <w:r w:rsidR="003D739A" w:rsidRPr="0036672D">
        <w:rPr>
          <w:rFonts w:ascii="Arial" w:hAnsi="Arial" w:cs="Arial"/>
          <w:sz w:val="20"/>
        </w:rPr>
        <w:t>role to play</w:t>
      </w:r>
      <w:r w:rsidR="009056CD">
        <w:rPr>
          <w:rFonts w:ascii="Arial" w:hAnsi="Arial" w:cs="Arial"/>
          <w:sz w:val="20"/>
        </w:rPr>
        <w:t xml:space="preserve"> in advocating for and giving expression to these widely-held views of the broader community. </w:t>
      </w:r>
    </w:p>
    <w:p w14:paraId="69AAAF40" w14:textId="5E55DE3B" w:rsidR="00D05063" w:rsidRDefault="00734C14" w:rsidP="00D05063">
      <w:pPr>
        <w:spacing w:line="360" w:lineRule="auto"/>
        <w:jc w:val="both"/>
        <w:rPr>
          <w:rFonts w:ascii="Arial" w:hAnsi="Arial" w:cs="Arial"/>
          <w:sz w:val="20"/>
        </w:rPr>
      </w:pPr>
      <w:r>
        <w:rPr>
          <w:rFonts w:ascii="Arial" w:hAnsi="Arial" w:cs="Arial"/>
          <w:sz w:val="20"/>
        </w:rPr>
        <w:t>Historically, t</w:t>
      </w:r>
      <w:r w:rsidR="00965572">
        <w:rPr>
          <w:rFonts w:ascii="Arial" w:hAnsi="Arial" w:cs="Arial"/>
          <w:sz w:val="20"/>
        </w:rPr>
        <w:t>h</w:t>
      </w:r>
      <w:r>
        <w:rPr>
          <w:rFonts w:ascii="Arial" w:hAnsi="Arial" w:cs="Arial"/>
          <w:sz w:val="20"/>
        </w:rPr>
        <w:t>e</w:t>
      </w:r>
      <w:r w:rsidR="00965572">
        <w:rPr>
          <w:rFonts w:ascii="Arial" w:hAnsi="Arial" w:cs="Arial"/>
          <w:sz w:val="20"/>
        </w:rPr>
        <w:t xml:space="preserve"> </w:t>
      </w:r>
      <w:r w:rsidR="00130AB2">
        <w:rPr>
          <w:rFonts w:ascii="Arial" w:hAnsi="Arial" w:cs="Arial"/>
          <w:sz w:val="20"/>
        </w:rPr>
        <w:t>growing</w:t>
      </w:r>
      <w:r w:rsidR="00965572">
        <w:rPr>
          <w:rFonts w:ascii="Arial" w:hAnsi="Arial" w:cs="Arial"/>
          <w:sz w:val="20"/>
        </w:rPr>
        <w:t xml:space="preserve"> concern </w:t>
      </w:r>
      <w:r w:rsidR="00130AB2">
        <w:rPr>
          <w:rFonts w:ascii="Arial" w:hAnsi="Arial" w:cs="Arial"/>
          <w:sz w:val="20"/>
        </w:rPr>
        <w:t>of</w:t>
      </w:r>
      <w:r>
        <w:rPr>
          <w:rFonts w:ascii="Arial" w:hAnsi="Arial" w:cs="Arial"/>
          <w:sz w:val="20"/>
        </w:rPr>
        <w:t xml:space="preserve"> Australians </w:t>
      </w:r>
      <w:r w:rsidR="00130AB2">
        <w:rPr>
          <w:rFonts w:ascii="Arial" w:hAnsi="Arial" w:cs="Arial"/>
          <w:sz w:val="20"/>
        </w:rPr>
        <w:t xml:space="preserve">for the </w:t>
      </w:r>
      <w:r w:rsidR="00DB77B5">
        <w:rPr>
          <w:rFonts w:ascii="Arial" w:hAnsi="Arial" w:cs="Arial"/>
          <w:sz w:val="20"/>
        </w:rPr>
        <w:t>welfare of</w:t>
      </w:r>
      <w:r w:rsidR="00965572">
        <w:rPr>
          <w:rFonts w:ascii="Arial" w:hAnsi="Arial" w:cs="Arial"/>
          <w:sz w:val="20"/>
        </w:rPr>
        <w:t xml:space="preserve"> animal</w:t>
      </w:r>
      <w:r w:rsidR="00DB77B5">
        <w:rPr>
          <w:rFonts w:ascii="Arial" w:hAnsi="Arial" w:cs="Arial"/>
          <w:sz w:val="20"/>
        </w:rPr>
        <w:t>s in general</w:t>
      </w:r>
      <w:r w:rsidR="00965572">
        <w:rPr>
          <w:rFonts w:ascii="Arial" w:hAnsi="Arial" w:cs="Arial"/>
          <w:sz w:val="20"/>
        </w:rPr>
        <w:t xml:space="preserve"> was noted by the High Court of Australia in the 2001 case</w:t>
      </w:r>
      <w:r w:rsidR="00D05063">
        <w:rPr>
          <w:rFonts w:ascii="Arial" w:hAnsi="Arial" w:cs="Arial"/>
          <w:sz w:val="20"/>
        </w:rPr>
        <w:t xml:space="preserve"> of </w:t>
      </w:r>
      <w:r w:rsidR="00D05063" w:rsidRPr="006E5CC4">
        <w:rPr>
          <w:rFonts w:ascii="Arial" w:hAnsi="Arial" w:cs="Arial"/>
          <w:i/>
          <w:iCs/>
          <w:sz w:val="20"/>
        </w:rPr>
        <w:t>ABC v Lenah Game Meats</w:t>
      </w:r>
      <w:r>
        <w:rPr>
          <w:rFonts w:ascii="Arial" w:hAnsi="Arial" w:cs="Arial"/>
          <w:sz w:val="20"/>
        </w:rPr>
        <w:t>.</w:t>
      </w:r>
      <w:r w:rsidR="00DB77B5">
        <w:rPr>
          <w:rStyle w:val="FootnoteReference"/>
          <w:rFonts w:ascii="Arial" w:hAnsi="Arial" w:cs="Arial"/>
          <w:sz w:val="20"/>
        </w:rPr>
        <w:footnoteReference w:id="17"/>
      </w:r>
      <w:r>
        <w:rPr>
          <w:rFonts w:ascii="Arial" w:hAnsi="Arial" w:cs="Arial"/>
          <w:sz w:val="20"/>
        </w:rPr>
        <w:t xml:space="preserve"> In a well-known passage Kirby</w:t>
      </w:r>
      <w:r w:rsidR="00DB77B5">
        <w:rPr>
          <w:rFonts w:ascii="Arial" w:hAnsi="Arial" w:cs="Arial"/>
          <w:sz w:val="20"/>
        </w:rPr>
        <w:t> </w:t>
      </w:r>
      <w:r>
        <w:rPr>
          <w:rFonts w:ascii="Arial" w:hAnsi="Arial" w:cs="Arial"/>
          <w:sz w:val="20"/>
        </w:rPr>
        <w:t>J acknowledged</w:t>
      </w:r>
      <w:r w:rsidR="00D05063">
        <w:rPr>
          <w:rFonts w:ascii="Arial" w:hAnsi="Arial" w:cs="Arial"/>
          <w:sz w:val="20"/>
        </w:rPr>
        <w:t xml:space="preserve"> animal welfare as a legitimate subject of public debate </w:t>
      </w:r>
      <w:r w:rsidR="00413CCE">
        <w:rPr>
          <w:rFonts w:ascii="Arial" w:hAnsi="Arial" w:cs="Arial"/>
          <w:sz w:val="20"/>
        </w:rPr>
        <w:t xml:space="preserve">and </w:t>
      </w:r>
      <w:r w:rsidR="00252A07">
        <w:rPr>
          <w:rFonts w:ascii="Arial" w:hAnsi="Arial" w:cs="Arial"/>
          <w:sz w:val="20"/>
        </w:rPr>
        <w:t xml:space="preserve">noted the importance of public interest groups in raising awareness of </w:t>
      </w:r>
      <w:r w:rsidR="005E049A">
        <w:rPr>
          <w:rFonts w:ascii="Arial" w:hAnsi="Arial" w:cs="Arial"/>
          <w:sz w:val="20"/>
        </w:rPr>
        <w:t>the</w:t>
      </w:r>
      <w:r w:rsidR="00252A07">
        <w:rPr>
          <w:rFonts w:ascii="Arial" w:hAnsi="Arial" w:cs="Arial"/>
          <w:sz w:val="20"/>
        </w:rPr>
        <w:t xml:space="preserve"> issues and of generating public debate</w:t>
      </w:r>
      <w:r w:rsidR="00D05063">
        <w:rPr>
          <w:rFonts w:ascii="Arial" w:hAnsi="Arial" w:cs="Arial"/>
          <w:sz w:val="20"/>
        </w:rPr>
        <w:t>.</w:t>
      </w:r>
      <w:r w:rsidR="008B41F4">
        <w:rPr>
          <w:rStyle w:val="FootnoteReference"/>
          <w:rFonts w:ascii="Arial" w:hAnsi="Arial" w:cs="Arial"/>
          <w:sz w:val="20"/>
        </w:rPr>
        <w:footnoteReference w:id="18"/>
      </w:r>
      <w:r w:rsidR="00D05063">
        <w:rPr>
          <w:rFonts w:ascii="Arial" w:hAnsi="Arial" w:cs="Arial"/>
          <w:sz w:val="20"/>
        </w:rPr>
        <w:t xml:space="preserve"> Yet these very groups identified by the High Court in 2001 as critical to fostering this important public debate are still denied access to the DGR scheme and </w:t>
      </w:r>
      <w:r w:rsidR="00720A13">
        <w:rPr>
          <w:rFonts w:ascii="Arial" w:hAnsi="Arial" w:cs="Arial"/>
          <w:sz w:val="20"/>
        </w:rPr>
        <w:t>the philanthropic benefits that flow from it</w:t>
      </w:r>
      <w:r w:rsidR="00D05063">
        <w:rPr>
          <w:rFonts w:ascii="Arial" w:hAnsi="Arial" w:cs="Arial"/>
          <w:sz w:val="20"/>
        </w:rPr>
        <w:t>.</w:t>
      </w:r>
    </w:p>
    <w:p w14:paraId="61636339" w14:textId="70BCB9CD" w:rsidR="003C0733" w:rsidRDefault="000E354B" w:rsidP="00561F73">
      <w:pPr>
        <w:spacing w:line="360" w:lineRule="auto"/>
        <w:jc w:val="both"/>
        <w:rPr>
          <w:rFonts w:ascii="Arial" w:hAnsi="Arial" w:cs="Arial"/>
          <w:sz w:val="20"/>
        </w:rPr>
      </w:pPr>
      <w:r>
        <w:rPr>
          <w:rFonts w:ascii="Arial" w:hAnsi="Arial" w:cs="Arial"/>
          <w:sz w:val="20"/>
        </w:rPr>
        <w:t xml:space="preserve">There is, then, significant scope for the role of animal advocacy organisations </w:t>
      </w:r>
      <w:r w:rsidR="00E32118">
        <w:rPr>
          <w:rFonts w:ascii="Arial" w:hAnsi="Arial" w:cs="Arial"/>
          <w:sz w:val="20"/>
        </w:rPr>
        <w:t xml:space="preserve">such as the ADO </w:t>
      </w:r>
      <w:r>
        <w:rPr>
          <w:rFonts w:ascii="Arial" w:hAnsi="Arial" w:cs="Arial"/>
          <w:sz w:val="20"/>
        </w:rPr>
        <w:t xml:space="preserve">to </w:t>
      </w:r>
      <w:r w:rsidR="00E32118">
        <w:rPr>
          <w:rFonts w:ascii="Arial" w:hAnsi="Arial" w:cs="Arial"/>
          <w:sz w:val="20"/>
        </w:rPr>
        <w:t xml:space="preserve">advocate for changes to </w:t>
      </w:r>
      <w:r w:rsidR="0067295D">
        <w:rPr>
          <w:rFonts w:ascii="Arial" w:hAnsi="Arial" w:cs="Arial"/>
          <w:sz w:val="20"/>
        </w:rPr>
        <w:t xml:space="preserve">animal welfare </w:t>
      </w:r>
      <w:r w:rsidR="00E32118">
        <w:rPr>
          <w:rFonts w:ascii="Arial" w:hAnsi="Arial" w:cs="Arial"/>
          <w:sz w:val="20"/>
        </w:rPr>
        <w:t>laws and</w:t>
      </w:r>
      <w:r>
        <w:rPr>
          <w:rFonts w:ascii="Arial" w:hAnsi="Arial" w:cs="Arial"/>
          <w:sz w:val="20"/>
        </w:rPr>
        <w:t xml:space="preserve"> policies </w:t>
      </w:r>
      <w:r w:rsidR="001E342D">
        <w:rPr>
          <w:rFonts w:ascii="Arial" w:hAnsi="Arial" w:cs="Arial"/>
          <w:sz w:val="20"/>
        </w:rPr>
        <w:t xml:space="preserve">in a way that reflects the community’s </w:t>
      </w:r>
      <w:r w:rsidR="00D91B6B">
        <w:rPr>
          <w:rFonts w:ascii="Arial" w:hAnsi="Arial" w:cs="Arial"/>
          <w:sz w:val="20"/>
        </w:rPr>
        <w:t>increasing concern about the issue</w:t>
      </w:r>
      <w:r>
        <w:rPr>
          <w:rFonts w:ascii="Arial" w:hAnsi="Arial" w:cs="Arial"/>
          <w:sz w:val="20"/>
        </w:rPr>
        <w:t xml:space="preserve">. </w:t>
      </w:r>
      <w:r w:rsidR="00822418">
        <w:rPr>
          <w:rFonts w:ascii="Arial" w:hAnsi="Arial" w:cs="Arial"/>
          <w:sz w:val="20"/>
        </w:rPr>
        <w:t xml:space="preserve">The ability of organisations </w:t>
      </w:r>
      <w:r w:rsidR="00561F73">
        <w:rPr>
          <w:rFonts w:ascii="Arial" w:hAnsi="Arial" w:cs="Arial"/>
          <w:sz w:val="20"/>
        </w:rPr>
        <w:t xml:space="preserve">such as the </w:t>
      </w:r>
      <w:r w:rsidR="00822418">
        <w:rPr>
          <w:rFonts w:ascii="Arial" w:hAnsi="Arial" w:cs="Arial"/>
          <w:sz w:val="20"/>
        </w:rPr>
        <w:t xml:space="preserve">ADO to advocate </w:t>
      </w:r>
      <w:r w:rsidR="00E90CF7">
        <w:rPr>
          <w:rFonts w:ascii="Arial" w:hAnsi="Arial" w:cs="Arial"/>
          <w:sz w:val="20"/>
        </w:rPr>
        <w:t xml:space="preserve">on behalf of the community about </w:t>
      </w:r>
      <w:r w:rsidR="00617B51">
        <w:rPr>
          <w:rFonts w:ascii="Arial" w:hAnsi="Arial" w:cs="Arial"/>
          <w:sz w:val="20"/>
        </w:rPr>
        <w:t>animal welfare as a</w:t>
      </w:r>
      <w:r w:rsidR="004D44A0">
        <w:rPr>
          <w:rFonts w:ascii="Arial" w:hAnsi="Arial" w:cs="Arial"/>
          <w:sz w:val="20"/>
        </w:rPr>
        <w:t xml:space="preserve"> legitimate and serious</w:t>
      </w:r>
      <w:r w:rsidR="00617B51">
        <w:rPr>
          <w:rFonts w:ascii="Arial" w:hAnsi="Arial" w:cs="Arial"/>
          <w:sz w:val="20"/>
        </w:rPr>
        <w:t xml:space="preserve"> </w:t>
      </w:r>
      <w:r w:rsidR="00E90CF7">
        <w:rPr>
          <w:rFonts w:ascii="Arial" w:hAnsi="Arial" w:cs="Arial"/>
          <w:sz w:val="20"/>
        </w:rPr>
        <w:t>issue of concern</w:t>
      </w:r>
      <w:r w:rsidR="00822418">
        <w:rPr>
          <w:rFonts w:ascii="Arial" w:hAnsi="Arial" w:cs="Arial"/>
          <w:sz w:val="20"/>
        </w:rPr>
        <w:t xml:space="preserve"> </w:t>
      </w:r>
      <w:r w:rsidR="009B4D64">
        <w:rPr>
          <w:rFonts w:ascii="Arial" w:hAnsi="Arial" w:cs="Arial"/>
          <w:sz w:val="20"/>
        </w:rPr>
        <w:t xml:space="preserve">can </w:t>
      </w:r>
      <w:r w:rsidR="00822418">
        <w:rPr>
          <w:rFonts w:ascii="Arial" w:hAnsi="Arial" w:cs="Arial"/>
          <w:sz w:val="20"/>
        </w:rPr>
        <w:t xml:space="preserve">depend </w:t>
      </w:r>
      <w:r w:rsidR="009B4D64">
        <w:rPr>
          <w:rFonts w:ascii="Arial" w:hAnsi="Arial" w:cs="Arial"/>
          <w:sz w:val="20"/>
        </w:rPr>
        <w:t xml:space="preserve">quite literally </w:t>
      </w:r>
      <w:r w:rsidR="00822418">
        <w:rPr>
          <w:rFonts w:ascii="Arial" w:hAnsi="Arial" w:cs="Arial"/>
          <w:sz w:val="20"/>
        </w:rPr>
        <w:t xml:space="preserve">on </w:t>
      </w:r>
      <w:r w:rsidR="00AA2ACF">
        <w:rPr>
          <w:rFonts w:ascii="Arial" w:hAnsi="Arial" w:cs="Arial"/>
          <w:sz w:val="20"/>
        </w:rPr>
        <w:t xml:space="preserve">the </w:t>
      </w:r>
      <w:r w:rsidR="00513B19">
        <w:rPr>
          <w:rFonts w:ascii="Arial" w:hAnsi="Arial" w:cs="Arial"/>
          <w:sz w:val="20"/>
        </w:rPr>
        <w:t>amount</w:t>
      </w:r>
      <w:r w:rsidR="00AA2ACF">
        <w:rPr>
          <w:rFonts w:ascii="Arial" w:hAnsi="Arial" w:cs="Arial"/>
          <w:sz w:val="20"/>
        </w:rPr>
        <w:t xml:space="preserve"> of public </w:t>
      </w:r>
      <w:r w:rsidR="00822418">
        <w:rPr>
          <w:rFonts w:ascii="Arial" w:hAnsi="Arial" w:cs="Arial"/>
          <w:sz w:val="20"/>
        </w:rPr>
        <w:t>donations received</w:t>
      </w:r>
      <w:r w:rsidR="00FF75B3">
        <w:rPr>
          <w:rFonts w:ascii="Arial" w:hAnsi="Arial" w:cs="Arial"/>
          <w:sz w:val="20"/>
        </w:rPr>
        <w:t>.</w:t>
      </w:r>
      <w:r w:rsidR="00822418">
        <w:rPr>
          <w:rFonts w:ascii="Arial" w:hAnsi="Arial" w:cs="Arial"/>
          <w:sz w:val="20"/>
        </w:rPr>
        <w:t xml:space="preserve"> </w:t>
      </w:r>
      <w:r w:rsidR="00FF75B3">
        <w:rPr>
          <w:rFonts w:ascii="Arial" w:hAnsi="Arial" w:cs="Arial"/>
          <w:sz w:val="20"/>
        </w:rPr>
        <w:t>F</w:t>
      </w:r>
      <w:r w:rsidR="00822418">
        <w:rPr>
          <w:rFonts w:ascii="Arial" w:hAnsi="Arial" w:cs="Arial"/>
          <w:sz w:val="20"/>
        </w:rPr>
        <w:t xml:space="preserve">or this reason, the </w:t>
      </w:r>
      <w:r w:rsidR="00FF75B3">
        <w:rPr>
          <w:rFonts w:ascii="Arial" w:hAnsi="Arial" w:cs="Arial"/>
          <w:sz w:val="20"/>
        </w:rPr>
        <w:t xml:space="preserve">ADO submits that the eligibility </w:t>
      </w:r>
      <w:r w:rsidR="00822418">
        <w:rPr>
          <w:rFonts w:ascii="Arial" w:hAnsi="Arial" w:cs="Arial"/>
          <w:sz w:val="20"/>
        </w:rPr>
        <w:t xml:space="preserve">categories for DGR status should be expanded to </w:t>
      </w:r>
      <w:r w:rsidR="006524F8">
        <w:rPr>
          <w:rFonts w:ascii="Arial" w:hAnsi="Arial" w:cs="Arial"/>
          <w:sz w:val="20"/>
        </w:rPr>
        <w:t xml:space="preserve">include </w:t>
      </w:r>
      <w:r w:rsidR="00617B51">
        <w:rPr>
          <w:rFonts w:ascii="Arial" w:hAnsi="Arial" w:cs="Arial"/>
          <w:sz w:val="20"/>
        </w:rPr>
        <w:t xml:space="preserve">organisations advocating for </w:t>
      </w:r>
      <w:r w:rsidR="006524F8">
        <w:rPr>
          <w:rFonts w:ascii="Arial" w:hAnsi="Arial" w:cs="Arial"/>
          <w:sz w:val="20"/>
        </w:rPr>
        <w:t xml:space="preserve">both native and non-native </w:t>
      </w:r>
      <w:r w:rsidR="00617B51">
        <w:rPr>
          <w:rFonts w:ascii="Arial" w:hAnsi="Arial" w:cs="Arial"/>
          <w:sz w:val="20"/>
        </w:rPr>
        <w:t>animal welfare</w:t>
      </w:r>
      <w:r w:rsidR="00822418">
        <w:rPr>
          <w:rFonts w:ascii="Arial" w:hAnsi="Arial" w:cs="Arial"/>
          <w:sz w:val="20"/>
        </w:rPr>
        <w:t xml:space="preserve">. </w:t>
      </w:r>
    </w:p>
    <w:p w14:paraId="15E66FCC" w14:textId="5D7B545C" w:rsidR="00DF3E3A" w:rsidRPr="003C0733" w:rsidRDefault="00DF3E3A" w:rsidP="00561F73">
      <w:pPr>
        <w:spacing w:line="360" w:lineRule="auto"/>
        <w:jc w:val="both"/>
        <w:rPr>
          <w:rFonts w:ascii="Arial" w:hAnsi="Arial" w:cs="Arial"/>
          <w:sz w:val="20"/>
        </w:rPr>
      </w:pPr>
      <w:r>
        <w:rPr>
          <w:rFonts w:ascii="Arial" w:hAnsi="Arial" w:cs="Arial"/>
          <w:sz w:val="20"/>
        </w:rPr>
        <w:t xml:space="preserve">Finally, the ADO submits that </w:t>
      </w:r>
      <w:r w:rsidR="00567F00">
        <w:rPr>
          <w:rFonts w:ascii="Arial" w:hAnsi="Arial" w:cs="Arial"/>
          <w:sz w:val="20"/>
        </w:rPr>
        <w:t xml:space="preserve">the </w:t>
      </w:r>
      <w:r w:rsidR="0052422B">
        <w:rPr>
          <w:rFonts w:ascii="Arial" w:hAnsi="Arial" w:cs="Arial"/>
          <w:sz w:val="20"/>
        </w:rPr>
        <w:t xml:space="preserve">social </w:t>
      </w:r>
      <w:r w:rsidR="00567F00">
        <w:rPr>
          <w:rFonts w:ascii="Arial" w:hAnsi="Arial" w:cs="Arial"/>
          <w:sz w:val="20"/>
        </w:rPr>
        <w:t xml:space="preserve">services it provides are </w:t>
      </w:r>
      <w:r w:rsidR="0052422B">
        <w:rPr>
          <w:rFonts w:ascii="Arial" w:hAnsi="Arial" w:cs="Arial"/>
          <w:sz w:val="20"/>
        </w:rPr>
        <w:t>filling an unmet need in the community</w:t>
      </w:r>
      <w:r w:rsidR="00187D55">
        <w:rPr>
          <w:rFonts w:ascii="Arial" w:hAnsi="Arial" w:cs="Arial"/>
          <w:sz w:val="20"/>
        </w:rPr>
        <w:t xml:space="preserve"> and saving governments from providing these services</w:t>
      </w:r>
      <w:r w:rsidR="0052422B">
        <w:rPr>
          <w:rFonts w:ascii="Arial" w:hAnsi="Arial" w:cs="Arial"/>
          <w:sz w:val="20"/>
        </w:rPr>
        <w:t xml:space="preserve">. ADO </w:t>
      </w:r>
      <w:r w:rsidR="00230BAA">
        <w:rPr>
          <w:rFonts w:ascii="Arial" w:hAnsi="Arial" w:cs="Arial"/>
          <w:sz w:val="20"/>
        </w:rPr>
        <w:t>volunteers have</w:t>
      </w:r>
      <w:r w:rsidR="0052422B">
        <w:rPr>
          <w:rFonts w:ascii="Arial" w:hAnsi="Arial" w:cs="Arial"/>
          <w:sz w:val="20"/>
        </w:rPr>
        <w:t xml:space="preserve"> </w:t>
      </w:r>
      <w:r w:rsidR="00230BAA">
        <w:rPr>
          <w:rFonts w:ascii="Arial" w:hAnsi="Arial" w:cs="Arial"/>
          <w:sz w:val="20"/>
        </w:rPr>
        <w:t xml:space="preserve">provided free legal services to many hundreds of </w:t>
      </w:r>
      <w:r w:rsidR="003F1D6D">
        <w:rPr>
          <w:rFonts w:ascii="Arial" w:hAnsi="Arial" w:cs="Arial"/>
          <w:sz w:val="20"/>
        </w:rPr>
        <w:t xml:space="preserve">(human) clients </w:t>
      </w:r>
      <w:r w:rsidR="003F7296">
        <w:rPr>
          <w:rFonts w:ascii="Arial" w:hAnsi="Arial" w:cs="Arial"/>
          <w:sz w:val="20"/>
        </w:rPr>
        <w:t xml:space="preserve">across Australia </w:t>
      </w:r>
      <w:r w:rsidR="003F1D6D">
        <w:rPr>
          <w:rFonts w:ascii="Arial" w:hAnsi="Arial" w:cs="Arial"/>
          <w:sz w:val="20"/>
        </w:rPr>
        <w:t xml:space="preserve">with </w:t>
      </w:r>
      <w:r w:rsidR="00FD467F">
        <w:rPr>
          <w:rFonts w:ascii="Arial" w:hAnsi="Arial" w:cs="Arial"/>
          <w:sz w:val="20"/>
        </w:rPr>
        <w:t xml:space="preserve">legal </w:t>
      </w:r>
      <w:r w:rsidR="003F1D6D">
        <w:rPr>
          <w:rFonts w:ascii="Arial" w:hAnsi="Arial" w:cs="Arial"/>
          <w:sz w:val="20"/>
        </w:rPr>
        <w:t xml:space="preserve">issues involving animals. </w:t>
      </w:r>
      <w:r w:rsidR="00336575">
        <w:rPr>
          <w:rFonts w:ascii="Arial" w:hAnsi="Arial" w:cs="Arial"/>
          <w:sz w:val="20"/>
        </w:rPr>
        <w:t xml:space="preserve">The ADO receives no government funding and therefore depends entirely on philanthropic giving. </w:t>
      </w:r>
      <w:r w:rsidR="003F7296">
        <w:rPr>
          <w:rFonts w:ascii="Arial" w:hAnsi="Arial" w:cs="Arial"/>
          <w:sz w:val="20"/>
        </w:rPr>
        <w:t xml:space="preserve">In </w:t>
      </w:r>
      <w:r w:rsidR="00C8152E">
        <w:rPr>
          <w:rFonts w:ascii="Arial" w:hAnsi="Arial" w:cs="Arial"/>
          <w:sz w:val="20"/>
        </w:rPr>
        <w:t xml:space="preserve">2017 </w:t>
      </w:r>
      <w:r w:rsidR="00025D17">
        <w:rPr>
          <w:rFonts w:ascii="Arial" w:hAnsi="Arial" w:cs="Arial"/>
          <w:sz w:val="20"/>
        </w:rPr>
        <w:t xml:space="preserve">the </w:t>
      </w:r>
      <w:r w:rsidR="00F23E44" w:rsidRPr="00290835">
        <w:rPr>
          <w:rFonts w:ascii="Arial" w:hAnsi="Arial" w:cs="Arial"/>
          <w:i/>
          <w:iCs/>
          <w:sz w:val="20"/>
        </w:rPr>
        <w:t xml:space="preserve">Review of </w:t>
      </w:r>
      <w:r w:rsidR="00E47718" w:rsidRPr="00290835">
        <w:rPr>
          <w:rFonts w:ascii="Arial" w:hAnsi="Arial" w:cs="Arial"/>
          <w:i/>
          <w:iCs/>
          <w:sz w:val="20"/>
        </w:rPr>
        <w:t xml:space="preserve">NSW </w:t>
      </w:r>
      <w:r w:rsidR="00F23E44" w:rsidRPr="00290835">
        <w:rPr>
          <w:rFonts w:ascii="Arial" w:hAnsi="Arial" w:cs="Arial"/>
          <w:i/>
          <w:iCs/>
          <w:sz w:val="20"/>
        </w:rPr>
        <w:t>Com</w:t>
      </w:r>
      <w:r w:rsidR="00FE218A" w:rsidRPr="00290835">
        <w:rPr>
          <w:rFonts w:ascii="Arial" w:hAnsi="Arial" w:cs="Arial"/>
          <w:i/>
          <w:iCs/>
          <w:sz w:val="20"/>
        </w:rPr>
        <w:t>munity Legal Centre Services</w:t>
      </w:r>
      <w:r w:rsidR="0027546E">
        <w:rPr>
          <w:rFonts w:ascii="Arial" w:hAnsi="Arial" w:cs="Arial"/>
          <w:sz w:val="20"/>
        </w:rPr>
        <w:t xml:space="preserve"> </w:t>
      </w:r>
      <w:r w:rsidR="00EB736C">
        <w:rPr>
          <w:rFonts w:ascii="Arial" w:hAnsi="Arial" w:cs="Arial"/>
          <w:sz w:val="20"/>
        </w:rPr>
        <w:t>a</w:t>
      </w:r>
      <w:r w:rsidR="0027546E">
        <w:rPr>
          <w:rFonts w:ascii="Arial" w:hAnsi="Arial" w:cs="Arial"/>
          <w:sz w:val="20"/>
        </w:rPr>
        <w:t xml:space="preserve">cknowledged that </w:t>
      </w:r>
      <w:r w:rsidR="00BB20C8">
        <w:rPr>
          <w:rFonts w:ascii="Arial" w:hAnsi="Arial" w:cs="Arial"/>
          <w:sz w:val="20"/>
        </w:rPr>
        <w:t xml:space="preserve">‘national </w:t>
      </w:r>
      <w:r w:rsidR="0027546E">
        <w:rPr>
          <w:rFonts w:ascii="Arial" w:hAnsi="Arial" w:cs="Arial"/>
          <w:sz w:val="20"/>
        </w:rPr>
        <w:t>services</w:t>
      </w:r>
      <w:r w:rsidR="00BB20C8">
        <w:rPr>
          <w:rFonts w:ascii="Arial" w:hAnsi="Arial" w:cs="Arial"/>
          <w:sz w:val="20"/>
        </w:rPr>
        <w:t>’</w:t>
      </w:r>
      <w:r w:rsidR="0027546E">
        <w:rPr>
          <w:rFonts w:ascii="Arial" w:hAnsi="Arial" w:cs="Arial"/>
          <w:sz w:val="20"/>
        </w:rPr>
        <w:t xml:space="preserve"> </w:t>
      </w:r>
      <w:r w:rsidR="005A5629">
        <w:rPr>
          <w:rFonts w:ascii="Arial" w:hAnsi="Arial" w:cs="Arial"/>
          <w:sz w:val="20"/>
        </w:rPr>
        <w:t xml:space="preserve">such as the ADO </w:t>
      </w:r>
      <w:r w:rsidR="0027546E">
        <w:rPr>
          <w:rFonts w:ascii="Arial" w:hAnsi="Arial" w:cs="Arial"/>
          <w:sz w:val="20"/>
        </w:rPr>
        <w:t xml:space="preserve">could be funded by </w:t>
      </w:r>
      <w:r w:rsidR="00BB20C8">
        <w:rPr>
          <w:rFonts w:ascii="Arial" w:hAnsi="Arial" w:cs="Arial"/>
          <w:sz w:val="20"/>
        </w:rPr>
        <w:t xml:space="preserve">the NSW </w:t>
      </w:r>
      <w:r w:rsidR="0027546E">
        <w:rPr>
          <w:rFonts w:ascii="Arial" w:hAnsi="Arial" w:cs="Arial"/>
          <w:sz w:val="20"/>
        </w:rPr>
        <w:t>government.</w:t>
      </w:r>
      <w:r w:rsidR="000B3E20">
        <w:rPr>
          <w:rStyle w:val="FootnoteReference"/>
          <w:rFonts w:ascii="Arial" w:hAnsi="Arial" w:cs="Arial"/>
          <w:sz w:val="20"/>
        </w:rPr>
        <w:footnoteReference w:id="19"/>
      </w:r>
      <w:r w:rsidR="00BB20C8">
        <w:rPr>
          <w:rFonts w:ascii="Arial" w:hAnsi="Arial" w:cs="Arial"/>
          <w:sz w:val="20"/>
        </w:rPr>
        <w:t xml:space="preserve"> </w:t>
      </w:r>
      <w:r w:rsidR="00336575">
        <w:rPr>
          <w:rFonts w:ascii="Arial" w:hAnsi="Arial" w:cs="Arial"/>
          <w:sz w:val="20"/>
        </w:rPr>
        <w:t>The ADO is therefore clearly saving government</w:t>
      </w:r>
      <w:r w:rsidR="000D6566">
        <w:rPr>
          <w:rFonts w:ascii="Arial" w:hAnsi="Arial" w:cs="Arial"/>
          <w:sz w:val="20"/>
        </w:rPr>
        <w:t>s</w:t>
      </w:r>
      <w:r w:rsidR="00336575">
        <w:rPr>
          <w:rFonts w:ascii="Arial" w:hAnsi="Arial" w:cs="Arial"/>
          <w:sz w:val="20"/>
        </w:rPr>
        <w:t xml:space="preserve"> from providing services to disadvantaged members of the community. </w:t>
      </w:r>
      <w:r w:rsidR="00647203">
        <w:rPr>
          <w:rFonts w:ascii="Arial" w:hAnsi="Arial" w:cs="Arial"/>
          <w:sz w:val="20"/>
        </w:rPr>
        <w:t>Therefore</w:t>
      </w:r>
      <w:r w:rsidR="000B3E20">
        <w:rPr>
          <w:rFonts w:ascii="Arial" w:hAnsi="Arial" w:cs="Arial"/>
          <w:sz w:val="20"/>
        </w:rPr>
        <w:t xml:space="preserve"> at the very least </w:t>
      </w:r>
      <w:r w:rsidR="00647203">
        <w:rPr>
          <w:rFonts w:ascii="Arial" w:hAnsi="Arial" w:cs="Arial"/>
          <w:sz w:val="20"/>
        </w:rPr>
        <w:t xml:space="preserve">it </w:t>
      </w:r>
      <w:r w:rsidR="00647203">
        <w:rPr>
          <w:rFonts w:ascii="Arial" w:hAnsi="Arial" w:cs="Arial"/>
          <w:sz w:val="20"/>
        </w:rPr>
        <w:lastRenderedPageBreak/>
        <w:t xml:space="preserve">should </w:t>
      </w:r>
      <w:r w:rsidR="000B3E20">
        <w:rPr>
          <w:rFonts w:ascii="Arial" w:hAnsi="Arial" w:cs="Arial"/>
          <w:sz w:val="20"/>
        </w:rPr>
        <w:t>be given access to the DGR scheme so it</w:t>
      </w:r>
      <w:r w:rsidR="00E22D71">
        <w:rPr>
          <w:rFonts w:ascii="Arial" w:hAnsi="Arial" w:cs="Arial"/>
          <w:sz w:val="20"/>
        </w:rPr>
        <w:t xml:space="preserve">s volunteers </w:t>
      </w:r>
      <w:r w:rsidR="00DC1C1A">
        <w:rPr>
          <w:rFonts w:ascii="Arial" w:hAnsi="Arial" w:cs="Arial"/>
          <w:sz w:val="20"/>
        </w:rPr>
        <w:t xml:space="preserve">can continue </w:t>
      </w:r>
      <w:r w:rsidR="001D05E0">
        <w:rPr>
          <w:rFonts w:ascii="Arial" w:hAnsi="Arial" w:cs="Arial"/>
          <w:sz w:val="20"/>
        </w:rPr>
        <w:t xml:space="preserve">to </w:t>
      </w:r>
      <w:r w:rsidR="00E93AF4">
        <w:rPr>
          <w:rFonts w:ascii="Arial" w:hAnsi="Arial" w:cs="Arial"/>
          <w:sz w:val="20"/>
        </w:rPr>
        <w:t xml:space="preserve">provide these </w:t>
      </w:r>
      <w:r w:rsidR="00130E34">
        <w:rPr>
          <w:rFonts w:ascii="Arial" w:hAnsi="Arial" w:cs="Arial"/>
          <w:sz w:val="20"/>
        </w:rPr>
        <w:t>much-needed</w:t>
      </w:r>
      <w:r w:rsidR="00E93AF4">
        <w:rPr>
          <w:rFonts w:ascii="Arial" w:hAnsi="Arial" w:cs="Arial"/>
          <w:sz w:val="20"/>
        </w:rPr>
        <w:t xml:space="preserve"> </w:t>
      </w:r>
      <w:r w:rsidR="000148B0">
        <w:rPr>
          <w:rFonts w:ascii="Arial" w:hAnsi="Arial" w:cs="Arial"/>
          <w:sz w:val="20"/>
        </w:rPr>
        <w:t>services to Australians</w:t>
      </w:r>
      <w:r w:rsidR="000D6566">
        <w:rPr>
          <w:rFonts w:ascii="Arial" w:hAnsi="Arial" w:cs="Arial"/>
          <w:sz w:val="20"/>
        </w:rPr>
        <w:t xml:space="preserve"> who care about animals</w:t>
      </w:r>
      <w:r w:rsidR="000148B0">
        <w:rPr>
          <w:rFonts w:ascii="Arial" w:hAnsi="Arial" w:cs="Arial"/>
          <w:sz w:val="20"/>
        </w:rPr>
        <w:t>.</w:t>
      </w:r>
    </w:p>
    <w:p w14:paraId="3CE267E9" w14:textId="77777777" w:rsidR="003C0733" w:rsidRPr="003C0733" w:rsidRDefault="00822418" w:rsidP="00290835">
      <w:pPr>
        <w:pStyle w:val="ListParagraph"/>
        <w:keepNext/>
        <w:numPr>
          <w:ilvl w:val="0"/>
          <w:numId w:val="11"/>
        </w:numPr>
        <w:rPr>
          <w:rFonts w:ascii="Arial" w:hAnsi="Arial" w:cs="Arial"/>
          <w:b/>
          <w:sz w:val="20"/>
        </w:rPr>
      </w:pPr>
      <w:r w:rsidRPr="003C0733">
        <w:rPr>
          <w:rFonts w:ascii="Arial" w:hAnsi="Arial" w:cs="Arial"/>
          <w:b/>
          <w:sz w:val="20"/>
        </w:rPr>
        <w:t xml:space="preserve">The </w:t>
      </w:r>
      <w:r w:rsidR="003D739A" w:rsidRPr="003C0733">
        <w:rPr>
          <w:rFonts w:ascii="Arial" w:hAnsi="Arial" w:cs="Arial"/>
          <w:b/>
          <w:sz w:val="20"/>
        </w:rPr>
        <w:t>ADO’s recommendation</w:t>
      </w:r>
      <w:r w:rsidR="009056CD" w:rsidRPr="003C0733">
        <w:rPr>
          <w:rFonts w:ascii="Arial" w:hAnsi="Arial" w:cs="Arial"/>
          <w:b/>
          <w:sz w:val="20"/>
        </w:rPr>
        <w:t>s</w:t>
      </w:r>
      <w:r w:rsidR="003D739A" w:rsidRPr="003C0733">
        <w:rPr>
          <w:rFonts w:ascii="Arial" w:hAnsi="Arial" w:cs="Arial"/>
          <w:b/>
          <w:sz w:val="20"/>
        </w:rPr>
        <w:t xml:space="preserve"> </w:t>
      </w:r>
    </w:p>
    <w:p w14:paraId="54B92631" w14:textId="698035F1" w:rsidR="0019338E" w:rsidRDefault="008275C5" w:rsidP="00290835">
      <w:pPr>
        <w:keepNext/>
        <w:spacing w:line="360" w:lineRule="auto"/>
        <w:jc w:val="both"/>
        <w:rPr>
          <w:rFonts w:ascii="Arial" w:hAnsi="Arial" w:cs="Arial"/>
          <w:sz w:val="20"/>
        </w:rPr>
      </w:pPr>
      <w:r>
        <w:rPr>
          <w:rFonts w:ascii="Arial" w:hAnsi="Arial" w:cs="Arial"/>
          <w:sz w:val="20"/>
        </w:rPr>
        <w:t>The ADO submits that</w:t>
      </w:r>
      <w:r w:rsidR="000C6B6B">
        <w:rPr>
          <w:rFonts w:ascii="Arial" w:hAnsi="Arial" w:cs="Arial"/>
          <w:sz w:val="20"/>
        </w:rPr>
        <w:t xml:space="preserve"> </w:t>
      </w:r>
      <w:r w:rsidR="00822418">
        <w:rPr>
          <w:rFonts w:ascii="Arial" w:hAnsi="Arial" w:cs="Arial"/>
          <w:sz w:val="20"/>
        </w:rPr>
        <w:t xml:space="preserve">a broader range of </w:t>
      </w:r>
      <w:r w:rsidR="000C6B6B">
        <w:rPr>
          <w:rFonts w:ascii="Arial" w:hAnsi="Arial" w:cs="Arial"/>
          <w:sz w:val="20"/>
        </w:rPr>
        <w:t>a</w:t>
      </w:r>
      <w:r w:rsidR="000E354B">
        <w:rPr>
          <w:rFonts w:ascii="Arial" w:hAnsi="Arial" w:cs="Arial"/>
          <w:sz w:val="20"/>
        </w:rPr>
        <w:t xml:space="preserve">nimal </w:t>
      </w:r>
      <w:r w:rsidR="00822418">
        <w:rPr>
          <w:rFonts w:ascii="Arial" w:hAnsi="Arial" w:cs="Arial"/>
          <w:sz w:val="20"/>
        </w:rPr>
        <w:t>welfare</w:t>
      </w:r>
      <w:r w:rsidR="000E354B">
        <w:rPr>
          <w:rFonts w:ascii="Arial" w:hAnsi="Arial" w:cs="Arial"/>
          <w:sz w:val="20"/>
        </w:rPr>
        <w:t xml:space="preserve"> organisations should be eligible for DGR status given the important role they play in advocating </w:t>
      </w:r>
      <w:r w:rsidR="000C6B6B">
        <w:rPr>
          <w:rFonts w:ascii="Arial" w:hAnsi="Arial" w:cs="Arial"/>
          <w:sz w:val="20"/>
        </w:rPr>
        <w:t>for, and bringing about change in respect of, the welfare of animals in Australia</w:t>
      </w:r>
      <w:r w:rsidR="0025316F">
        <w:rPr>
          <w:rFonts w:ascii="Arial" w:hAnsi="Arial" w:cs="Arial"/>
          <w:sz w:val="20"/>
        </w:rPr>
        <w:t>, which is a matter of significant public concern</w:t>
      </w:r>
      <w:r w:rsidR="000E354B">
        <w:rPr>
          <w:rFonts w:ascii="Arial" w:hAnsi="Arial" w:cs="Arial"/>
          <w:sz w:val="20"/>
        </w:rPr>
        <w:t xml:space="preserve">. </w:t>
      </w:r>
    </w:p>
    <w:p w14:paraId="5DFB09C1" w14:textId="77777777" w:rsidR="000E354B" w:rsidRDefault="000C6B6B" w:rsidP="000C6B6B">
      <w:pPr>
        <w:spacing w:line="360" w:lineRule="auto"/>
        <w:jc w:val="both"/>
        <w:rPr>
          <w:rFonts w:ascii="Arial" w:hAnsi="Arial" w:cs="Arial"/>
          <w:sz w:val="20"/>
        </w:rPr>
      </w:pPr>
      <w:r>
        <w:rPr>
          <w:rFonts w:ascii="Arial" w:hAnsi="Arial" w:cs="Arial"/>
          <w:sz w:val="20"/>
        </w:rPr>
        <w:t>As such, the</w:t>
      </w:r>
      <w:r w:rsidR="000B3E90">
        <w:rPr>
          <w:rFonts w:ascii="Arial" w:hAnsi="Arial" w:cs="Arial"/>
          <w:sz w:val="20"/>
        </w:rPr>
        <w:t xml:space="preserve"> ADO proposes the following recommendations to the Commission</w:t>
      </w:r>
      <w:r>
        <w:rPr>
          <w:rFonts w:ascii="Arial" w:hAnsi="Arial" w:cs="Arial"/>
          <w:sz w:val="20"/>
        </w:rPr>
        <w:t>:</w:t>
      </w:r>
    </w:p>
    <w:p w14:paraId="02B216CC" w14:textId="76A24F17" w:rsidR="000C6B6B" w:rsidRDefault="000C6B6B" w:rsidP="00F93A3B">
      <w:pPr>
        <w:pStyle w:val="ListParagraph"/>
        <w:spacing w:line="276" w:lineRule="auto"/>
        <w:ind w:right="567"/>
        <w:jc w:val="both"/>
        <w:rPr>
          <w:rFonts w:ascii="Arial" w:hAnsi="Arial" w:cs="Arial"/>
          <w:b/>
          <w:sz w:val="20"/>
        </w:rPr>
      </w:pPr>
      <w:r>
        <w:rPr>
          <w:rFonts w:ascii="Arial" w:hAnsi="Arial" w:cs="Arial"/>
          <w:b/>
          <w:sz w:val="20"/>
        </w:rPr>
        <w:t xml:space="preserve">Recommendation 1: Items 4.1.6 of Table 1 in s 30.45(1) of the </w:t>
      </w:r>
      <w:r>
        <w:rPr>
          <w:rFonts w:ascii="Arial" w:hAnsi="Arial" w:cs="Arial"/>
          <w:b/>
          <w:i/>
          <w:sz w:val="20"/>
        </w:rPr>
        <w:t xml:space="preserve">Income Tax Assessment Act 1997 </w:t>
      </w:r>
      <w:r>
        <w:rPr>
          <w:rFonts w:ascii="Arial" w:hAnsi="Arial" w:cs="Arial"/>
          <w:b/>
          <w:sz w:val="20"/>
        </w:rPr>
        <w:t>(</w:t>
      </w:r>
      <w:proofErr w:type="spellStart"/>
      <w:r>
        <w:rPr>
          <w:rFonts w:ascii="Arial" w:hAnsi="Arial" w:cs="Arial"/>
          <w:b/>
          <w:sz w:val="20"/>
        </w:rPr>
        <w:t>Cth</w:t>
      </w:r>
      <w:proofErr w:type="spellEnd"/>
      <w:r>
        <w:rPr>
          <w:rFonts w:ascii="Arial" w:hAnsi="Arial" w:cs="Arial"/>
          <w:b/>
          <w:sz w:val="20"/>
        </w:rPr>
        <w:t xml:space="preserve">) be amended to include a broader range of </w:t>
      </w:r>
      <w:r w:rsidR="00A43E3A">
        <w:rPr>
          <w:rFonts w:ascii="Arial" w:hAnsi="Arial" w:cs="Arial"/>
          <w:b/>
          <w:sz w:val="20"/>
        </w:rPr>
        <w:t xml:space="preserve">activities relevant to </w:t>
      </w:r>
      <w:r>
        <w:rPr>
          <w:rFonts w:ascii="Arial" w:hAnsi="Arial" w:cs="Arial"/>
          <w:b/>
          <w:sz w:val="20"/>
        </w:rPr>
        <w:t xml:space="preserve">animal welfare </w:t>
      </w:r>
      <w:r w:rsidR="00F93A3B">
        <w:rPr>
          <w:rFonts w:ascii="Arial" w:hAnsi="Arial" w:cs="Arial"/>
          <w:b/>
          <w:sz w:val="20"/>
        </w:rPr>
        <w:t xml:space="preserve">beyond short-term direct care and rehabilitation. </w:t>
      </w:r>
    </w:p>
    <w:p w14:paraId="05212FE2" w14:textId="77777777" w:rsidR="00F93A3B" w:rsidRDefault="00F93A3B" w:rsidP="00F93A3B">
      <w:pPr>
        <w:pStyle w:val="ListParagraph"/>
        <w:spacing w:line="276" w:lineRule="auto"/>
        <w:ind w:right="567"/>
        <w:jc w:val="both"/>
        <w:rPr>
          <w:rFonts w:ascii="Arial" w:hAnsi="Arial" w:cs="Arial"/>
          <w:b/>
          <w:sz w:val="20"/>
        </w:rPr>
      </w:pPr>
    </w:p>
    <w:p w14:paraId="6536A52D" w14:textId="77777777" w:rsidR="00F93A3B" w:rsidRDefault="00F93A3B" w:rsidP="00F93A3B">
      <w:pPr>
        <w:pStyle w:val="ListParagraph"/>
        <w:spacing w:line="276" w:lineRule="auto"/>
        <w:ind w:right="567"/>
        <w:jc w:val="both"/>
        <w:rPr>
          <w:rFonts w:ascii="Arial" w:hAnsi="Arial" w:cs="Arial"/>
          <w:b/>
          <w:sz w:val="20"/>
        </w:rPr>
      </w:pPr>
      <w:r>
        <w:rPr>
          <w:rFonts w:ascii="Arial" w:hAnsi="Arial" w:cs="Arial"/>
          <w:b/>
          <w:sz w:val="20"/>
        </w:rPr>
        <w:t xml:space="preserve">Recommendation 2: In the alternative, Table 1 in s 30.45(1) of the </w:t>
      </w:r>
      <w:r>
        <w:rPr>
          <w:rFonts w:ascii="Arial" w:hAnsi="Arial" w:cs="Arial"/>
          <w:b/>
          <w:i/>
          <w:sz w:val="20"/>
        </w:rPr>
        <w:t xml:space="preserve">Income Tax Assessment Act 1997 </w:t>
      </w:r>
      <w:r>
        <w:rPr>
          <w:rFonts w:ascii="Arial" w:hAnsi="Arial" w:cs="Arial"/>
          <w:b/>
          <w:sz w:val="20"/>
        </w:rPr>
        <w:t>(</w:t>
      </w:r>
      <w:proofErr w:type="spellStart"/>
      <w:r>
        <w:rPr>
          <w:rFonts w:ascii="Arial" w:hAnsi="Arial" w:cs="Arial"/>
          <w:b/>
          <w:sz w:val="20"/>
        </w:rPr>
        <w:t>Cth</w:t>
      </w:r>
      <w:proofErr w:type="spellEnd"/>
      <w:r>
        <w:rPr>
          <w:rFonts w:ascii="Arial" w:hAnsi="Arial" w:cs="Arial"/>
          <w:b/>
          <w:sz w:val="20"/>
        </w:rPr>
        <w:t xml:space="preserve">) be amended to insert a new item providing for </w:t>
      </w:r>
      <w:r w:rsidR="003C0733">
        <w:rPr>
          <w:rFonts w:ascii="Arial" w:hAnsi="Arial" w:cs="Arial"/>
          <w:b/>
          <w:sz w:val="20"/>
        </w:rPr>
        <w:t xml:space="preserve">the </w:t>
      </w:r>
      <w:r>
        <w:rPr>
          <w:rFonts w:ascii="Arial" w:hAnsi="Arial" w:cs="Arial"/>
          <w:b/>
          <w:sz w:val="20"/>
        </w:rPr>
        <w:t xml:space="preserve">deductible </w:t>
      </w:r>
      <w:r w:rsidR="003C0733">
        <w:rPr>
          <w:rFonts w:ascii="Arial" w:hAnsi="Arial" w:cs="Arial"/>
          <w:b/>
          <w:sz w:val="20"/>
        </w:rPr>
        <w:t>gift recipient status of</w:t>
      </w:r>
      <w:r>
        <w:rPr>
          <w:rFonts w:ascii="Arial" w:hAnsi="Arial" w:cs="Arial"/>
          <w:b/>
          <w:sz w:val="20"/>
        </w:rPr>
        <w:t xml:space="preserve"> institutions whose principal activity </w:t>
      </w:r>
      <w:r w:rsidR="003D166D">
        <w:rPr>
          <w:rFonts w:ascii="Arial" w:hAnsi="Arial" w:cs="Arial"/>
          <w:b/>
          <w:sz w:val="20"/>
        </w:rPr>
        <w:t xml:space="preserve">is, or is reasonably connected to, the protection and welfare of animals. </w:t>
      </w:r>
    </w:p>
    <w:p w14:paraId="7C6BA965" w14:textId="77777777" w:rsidR="003C0733" w:rsidRDefault="00F439FC" w:rsidP="00625012">
      <w:pPr>
        <w:spacing w:line="360" w:lineRule="auto"/>
        <w:jc w:val="both"/>
        <w:rPr>
          <w:rFonts w:ascii="Arial" w:hAnsi="Arial" w:cs="Arial"/>
          <w:sz w:val="20"/>
        </w:rPr>
      </w:pPr>
      <w:r>
        <w:rPr>
          <w:rFonts w:ascii="Arial" w:hAnsi="Arial" w:cs="Arial"/>
          <w:sz w:val="20"/>
        </w:rPr>
        <w:t xml:space="preserve"> </w:t>
      </w:r>
    </w:p>
    <w:p w14:paraId="494E747D" w14:textId="4BC11ED0" w:rsidR="003C0733" w:rsidRDefault="003C0733" w:rsidP="00625012">
      <w:pPr>
        <w:spacing w:line="360" w:lineRule="auto"/>
        <w:jc w:val="both"/>
        <w:rPr>
          <w:rFonts w:ascii="Arial" w:hAnsi="Arial" w:cs="Arial"/>
          <w:sz w:val="20"/>
        </w:rPr>
      </w:pPr>
      <w:r>
        <w:rPr>
          <w:rFonts w:ascii="Arial" w:hAnsi="Arial" w:cs="Arial"/>
          <w:sz w:val="20"/>
        </w:rPr>
        <w:t xml:space="preserve">Thank you for taking these submissions into consideration. </w:t>
      </w:r>
    </w:p>
    <w:p w14:paraId="78D01481" w14:textId="77777777" w:rsidR="000307FA" w:rsidRDefault="000307FA" w:rsidP="00625012">
      <w:pPr>
        <w:spacing w:line="360" w:lineRule="auto"/>
        <w:jc w:val="both"/>
        <w:rPr>
          <w:rFonts w:ascii="Arial" w:hAnsi="Arial" w:cs="Arial"/>
          <w:sz w:val="20"/>
        </w:rPr>
      </w:pPr>
    </w:p>
    <w:p w14:paraId="61D7AF5B" w14:textId="4F077614" w:rsidR="003C0733" w:rsidRPr="00290835" w:rsidRDefault="00122006" w:rsidP="00625012">
      <w:pPr>
        <w:spacing w:line="360" w:lineRule="auto"/>
        <w:jc w:val="both"/>
        <w:rPr>
          <w:rFonts w:ascii="Arial" w:hAnsi="Arial" w:cs="Arial"/>
          <w:b/>
          <w:bCs/>
          <w:sz w:val="20"/>
        </w:rPr>
      </w:pPr>
      <w:r w:rsidRPr="00290835">
        <w:rPr>
          <w:rFonts w:ascii="Arial" w:hAnsi="Arial" w:cs="Arial"/>
          <w:b/>
          <w:bCs/>
          <w:sz w:val="20"/>
        </w:rPr>
        <w:t xml:space="preserve">Liam </w:t>
      </w:r>
      <w:r w:rsidR="009F3B8A" w:rsidRPr="00290835">
        <w:rPr>
          <w:rFonts w:ascii="Arial" w:hAnsi="Arial" w:cs="Arial"/>
          <w:b/>
          <w:bCs/>
          <w:sz w:val="20"/>
        </w:rPr>
        <w:t>Ogburn and Tara Ward</w:t>
      </w:r>
    </w:p>
    <w:p w14:paraId="7D4744FB" w14:textId="51121905" w:rsidR="009F3B8A" w:rsidRPr="00290835" w:rsidRDefault="0066730D" w:rsidP="00625012">
      <w:pPr>
        <w:spacing w:line="360" w:lineRule="auto"/>
        <w:jc w:val="both"/>
        <w:rPr>
          <w:rFonts w:ascii="Arial" w:hAnsi="Arial" w:cs="Arial"/>
          <w:b/>
          <w:bCs/>
          <w:sz w:val="20"/>
        </w:rPr>
      </w:pPr>
      <w:r w:rsidRPr="00290835">
        <w:rPr>
          <w:rFonts w:ascii="Arial" w:hAnsi="Arial" w:cs="Arial"/>
          <w:b/>
          <w:bCs/>
          <w:sz w:val="20"/>
        </w:rPr>
        <w:t>Volunteers</w:t>
      </w:r>
      <w:r w:rsidR="000307FA" w:rsidRPr="00290835">
        <w:rPr>
          <w:rFonts w:ascii="Arial" w:hAnsi="Arial" w:cs="Arial"/>
          <w:b/>
          <w:bCs/>
          <w:sz w:val="20"/>
        </w:rPr>
        <w:t xml:space="preserve"> | </w:t>
      </w:r>
      <w:r w:rsidR="009F3B8A" w:rsidRPr="00290835">
        <w:rPr>
          <w:rFonts w:ascii="Arial" w:hAnsi="Arial" w:cs="Arial"/>
          <w:b/>
          <w:bCs/>
          <w:sz w:val="20"/>
        </w:rPr>
        <w:t xml:space="preserve">Research Officer </w:t>
      </w:r>
      <w:r w:rsidR="000307FA" w:rsidRPr="00290835">
        <w:rPr>
          <w:rFonts w:ascii="Arial" w:hAnsi="Arial" w:cs="Arial"/>
          <w:b/>
          <w:bCs/>
          <w:sz w:val="20"/>
        </w:rPr>
        <w:t>and</w:t>
      </w:r>
      <w:r w:rsidR="009F3B8A" w:rsidRPr="00290835">
        <w:rPr>
          <w:rFonts w:ascii="Arial" w:hAnsi="Arial" w:cs="Arial"/>
          <w:b/>
          <w:bCs/>
          <w:sz w:val="20"/>
        </w:rPr>
        <w:t xml:space="preserve"> Solicitor</w:t>
      </w:r>
    </w:p>
    <w:p w14:paraId="2A6F2EFF" w14:textId="77777777" w:rsidR="00E240E1" w:rsidRPr="003C0733" w:rsidRDefault="000B3E90" w:rsidP="005B649E">
      <w:pPr>
        <w:spacing w:line="360" w:lineRule="auto"/>
        <w:jc w:val="both"/>
        <w:rPr>
          <w:rFonts w:ascii="Arial" w:hAnsi="Arial" w:cs="Arial"/>
          <w:b/>
          <w:sz w:val="20"/>
        </w:rPr>
      </w:pPr>
      <w:r w:rsidRPr="003C0733">
        <w:rPr>
          <w:rFonts w:ascii="Arial" w:hAnsi="Arial" w:cs="Arial"/>
          <w:b/>
          <w:sz w:val="20"/>
        </w:rPr>
        <w:t>Animal Defenders Office</w:t>
      </w:r>
    </w:p>
    <w:sectPr w:rsidR="00E240E1" w:rsidRPr="003C0733" w:rsidSect="005A1B76">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82E5" w14:textId="77777777" w:rsidR="005B1C86" w:rsidRDefault="005B1C86" w:rsidP="00E41B43">
      <w:pPr>
        <w:spacing w:after="0" w:line="240" w:lineRule="auto"/>
      </w:pPr>
      <w:r>
        <w:separator/>
      </w:r>
    </w:p>
  </w:endnote>
  <w:endnote w:type="continuationSeparator" w:id="0">
    <w:p w14:paraId="777AEEA6" w14:textId="77777777" w:rsidR="005B1C86" w:rsidRDefault="005B1C86" w:rsidP="00E4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485471"/>
      <w:docPartObj>
        <w:docPartGallery w:val="Page Numbers (Bottom of Page)"/>
        <w:docPartUnique/>
      </w:docPartObj>
    </w:sdtPr>
    <w:sdtEndPr>
      <w:rPr>
        <w:rFonts w:ascii="Arial" w:hAnsi="Arial" w:cs="Arial"/>
        <w:noProof/>
      </w:rPr>
    </w:sdtEndPr>
    <w:sdtContent>
      <w:p w14:paraId="4A7C2147" w14:textId="77777777" w:rsidR="00C12FCE" w:rsidRPr="00E41B43" w:rsidRDefault="00C12FCE">
        <w:pPr>
          <w:pStyle w:val="Footer"/>
          <w:jc w:val="right"/>
          <w:rPr>
            <w:rFonts w:ascii="Arial" w:hAnsi="Arial" w:cs="Arial"/>
          </w:rPr>
        </w:pPr>
        <w:r w:rsidRPr="00E41B43">
          <w:rPr>
            <w:rFonts w:ascii="Arial" w:hAnsi="Arial" w:cs="Arial"/>
            <w:sz w:val="20"/>
          </w:rPr>
          <w:fldChar w:fldCharType="begin"/>
        </w:r>
        <w:r w:rsidRPr="00E41B43">
          <w:rPr>
            <w:rFonts w:ascii="Arial" w:hAnsi="Arial" w:cs="Arial"/>
            <w:sz w:val="20"/>
          </w:rPr>
          <w:instrText xml:space="preserve"> PAGE   \* MERGEFORMAT </w:instrText>
        </w:r>
        <w:r w:rsidRPr="00E41B43">
          <w:rPr>
            <w:rFonts w:ascii="Arial" w:hAnsi="Arial" w:cs="Arial"/>
            <w:sz w:val="20"/>
          </w:rPr>
          <w:fldChar w:fldCharType="separate"/>
        </w:r>
        <w:r w:rsidR="003C0733">
          <w:rPr>
            <w:rFonts w:ascii="Arial" w:hAnsi="Arial" w:cs="Arial"/>
            <w:noProof/>
            <w:sz w:val="20"/>
          </w:rPr>
          <w:t>6</w:t>
        </w:r>
        <w:r w:rsidRPr="00E41B43">
          <w:rPr>
            <w:rFonts w:ascii="Arial" w:hAnsi="Arial" w:cs="Arial"/>
            <w:noProof/>
            <w:sz w:val="20"/>
          </w:rPr>
          <w:fldChar w:fldCharType="end"/>
        </w:r>
      </w:p>
    </w:sdtContent>
  </w:sdt>
  <w:p w14:paraId="17156BB9" w14:textId="77777777" w:rsidR="00C12FCE" w:rsidRDefault="00C12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04B4" w14:textId="77777777" w:rsidR="005B1C86" w:rsidRDefault="005B1C86" w:rsidP="00E41B43">
      <w:pPr>
        <w:spacing w:after="0" w:line="240" w:lineRule="auto"/>
      </w:pPr>
      <w:r>
        <w:separator/>
      </w:r>
    </w:p>
  </w:footnote>
  <w:footnote w:type="continuationSeparator" w:id="0">
    <w:p w14:paraId="1EE0DEF9" w14:textId="77777777" w:rsidR="005B1C86" w:rsidRDefault="005B1C86" w:rsidP="00E41B43">
      <w:pPr>
        <w:spacing w:after="0" w:line="240" w:lineRule="auto"/>
      </w:pPr>
      <w:r>
        <w:continuationSeparator/>
      </w:r>
    </w:p>
  </w:footnote>
  <w:footnote w:id="1">
    <w:p w14:paraId="495BCEFF" w14:textId="2499E709" w:rsidR="00C12FCE" w:rsidRPr="008D36E4" w:rsidRDefault="00C12FCE" w:rsidP="00C676AC">
      <w:pPr>
        <w:pStyle w:val="FootnoteText"/>
        <w:spacing w:line="276" w:lineRule="auto"/>
        <w:rPr>
          <w:rFonts w:ascii="Arial" w:hAnsi="Arial" w:cs="Arial"/>
          <w:sz w:val="18"/>
          <w:szCs w:val="18"/>
        </w:rPr>
      </w:pPr>
      <w:r w:rsidRPr="008D36E4">
        <w:rPr>
          <w:rStyle w:val="FootnoteReference"/>
          <w:rFonts w:ascii="Arial" w:hAnsi="Arial" w:cs="Arial"/>
          <w:sz w:val="18"/>
          <w:szCs w:val="18"/>
        </w:rPr>
        <w:footnoteRef/>
      </w:r>
      <w:r w:rsidRPr="008D36E4">
        <w:rPr>
          <w:rFonts w:ascii="Arial" w:hAnsi="Arial" w:cs="Arial"/>
          <w:sz w:val="18"/>
          <w:szCs w:val="18"/>
        </w:rPr>
        <w:t xml:space="preserve"> Further information about the Animal Defenders Office can be found </w:t>
      </w:r>
      <w:r w:rsidR="00CA1A00">
        <w:rPr>
          <w:rFonts w:ascii="Arial" w:hAnsi="Arial" w:cs="Arial"/>
          <w:sz w:val="18"/>
          <w:szCs w:val="18"/>
        </w:rPr>
        <w:t>at</w:t>
      </w:r>
      <w:r w:rsidRPr="008D36E4">
        <w:rPr>
          <w:rFonts w:ascii="Arial" w:hAnsi="Arial" w:cs="Arial"/>
          <w:sz w:val="18"/>
          <w:szCs w:val="18"/>
        </w:rPr>
        <w:t xml:space="preserve">: </w:t>
      </w:r>
      <w:hyperlink r:id="rId1" w:history="1">
        <w:r w:rsidRPr="008D36E4">
          <w:rPr>
            <w:rStyle w:val="Hyperlink"/>
            <w:rFonts w:ascii="Arial" w:hAnsi="Arial" w:cs="Arial"/>
            <w:sz w:val="18"/>
            <w:szCs w:val="18"/>
          </w:rPr>
          <w:t>www.ado.org.au</w:t>
        </w:r>
      </w:hyperlink>
      <w:r w:rsidRPr="008D36E4">
        <w:rPr>
          <w:rFonts w:ascii="Arial" w:hAnsi="Arial" w:cs="Arial"/>
          <w:sz w:val="18"/>
          <w:szCs w:val="18"/>
        </w:rPr>
        <w:t xml:space="preserve">.  </w:t>
      </w:r>
    </w:p>
  </w:footnote>
  <w:footnote w:id="2">
    <w:p w14:paraId="103C84C6" w14:textId="77777777" w:rsidR="00AB4AD8" w:rsidRDefault="00AB4AD8" w:rsidP="00C676AC">
      <w:pPr>
        <w:pStyle w:val="FootnoteText"/>
      </w:pPr>
      <w:r>
        <w:rPr>
          <w:rStyle w:val="FootnoteReference"/>
        </w:rPr>
        <w:footnoteRef/>
      </w:r>
      <w:r>
        <w:t xml:space="preserve"> </w:t>
      </w:r>
      <w:r w:rsidRPr="008B5C6D">
        <w:t>https://www.pc.gov.au/inquiries/current/philanthropy/terms-of-reference</w:t>
      </w:r>
    </w:p>
  </w:footnote>
  <w:footnote w:id="3">
    <w:p w14:paraId="25057EA3" w14:textId="77777777" w:rsidR="00C12FCE" w:rsidRPr="008D36E4" w:rsidRDefault="00C12FCE" w:rsidP="00C676AC">
      <w:pPr>
        <w:pStyle w:val="FootnoteText"/>
        <w:spacing w:line="276" w:lineRule="auto"/>
        <w:rPr>
          <w:rFonts w:ascii="Arial" w:hAnsi="Arial" w:cs="Arial"/>
          <w:sz w:val="18"/>
          <w:szCs w:val="16"/>
        </w:rPr>
      </w:pPr>
      <w:r w:rsidRPr="008D36E4">
        <w:rPr>
          <w:rStyle w:val="FootnoteReference"/>
          <w:rFonts w:ascii="Arial" w:hAnsi="Arial" w:cs="Arial"/>
          <w:sz w:val="18"/>
          <w:szCs w:val="16"/>
        </w:rPr>
        <w:footnoteRef/>
      </w:r>
      <w:r>
        <w:rPr>
          <w:rFonts w:ascii="Arial" w:hAnsi="Arial" w:cs="Arial"/>
          <w:sz w:val="18"/>
          <w:szCs w:val="16"/>
        </w:rPr>
        <w:t xml:space="preserve"> Australian Taxation Office, ‘</w:t>
      </w:r>
      <w:r w:rsidRPr="008D36E4">
        <w:rPr>
          <w:rFonts w:ascii="Arial" w:hAnsi="Arial" w:cs="Arial"/>
          <w:sz w:val="18"/>
          <w:szCs w:val="16"/>
        </w:rPr>
        <w:t>Ded</w:t>
      </w:r>
      <w:r>
        <w:rPr>
          <w:rFonts w:ascii="Arial" w:hAnsi="Arial" w:cs="Arial"/>
          <w:sz w:val="18"/>
          <w:szCs w:val="16"/>
        </w:rPr>
        <w:t>uctible Gift Recipients (DGRs)’ (</w:t>
      </w:r>
      <w:hyperlink r:id="rId2" w:history="1">
        <w:r w:rsidRPr="00561DFB">
          <w:rPr>
            <w:rStyle w:val="Hyperlink"/>
            <w:rFonts w:ascii="Arial" w:hAnsi="Arial" w:cs="Arial"/>
            <w:sz w:val="18"/>
            <w:szCs w:val="16"/>
          </w:rPr>
          <w:t>https://www.ato.gov.au/Non-profit/Getting-started/Getting-endorsed-for-tax-concessions-or-as-a-DGR/Is-my-organisation-eligible-for-DGR-endorsement-/DGR-categories/</w:t>
        </w:r>
      </w:hyperlink>
      <w:r>
        <w:rPr>
          <w:rFonts w:ascii="Arial" w:hAnsi="Arial" w:cs="Arial"/>
          <w:sz w:val="18"/>
          <w:szCs w:val="16"/>
        </w:rPr>
        <w:t xml:space="preserve">), </w:t>
      </w:r>
      <w:r w:rsidRPr="008D36E4">
        <w:rPr>
          <w:rFonts w:ascii="Arial" w:hAnsi="Arial" w:cs="Arial"/>
          <w:sz w:val="18"/>
          <w:szCs w:val="16"/>
        </w:rPr>
        <w:t>which provides information on DGR categories, eligibility criteria, and compliance requirements</w:t>
      </w:r>
      <w:r>
        <w:rPr>
          <w:rFonts w:ascii="Arial" w:hAnsi="Arial" w:cs="Arial"/>
          <w:sz w:val="18"/>
          <w:szCs w:val="16"/>
        </w:rPr>
        <w:t>.</w:t>
      </w:r>
    </w:p>
  </w:footnote>
  <w:footnote w:id="4">
    <w:p w14:paraId="5ED7F945" w14:textId="77777777" w:rsidR="00C12FCE" w:rsidRPr="008D36E4" w:rsidRDefault="00C12FCE" w:rsidP="00C676AC">
      <w:pPr>
        <w:pStyle w:val="FootnoteText"/>
        <w:spacing w:line="276" w:lineRule="auto"/>
        <w:rPr>
          <w:rFonts w:ascii="Arial" w:hAnsi="Arial" w:cs="Arial"/>
          <w:sz w:val="18"/>
          <w:szCs w:val="16"/>
        </w:rPr>
      </w:pPr>
      <w:r w:rsidRPr="008D36E4">
        <w:rPr>
          <w:rStyle w:val="FootnoteReference"/>
          <w:rFonts w:ascii="Arial" w:hAnsi="Arial" w:cs="Arial"/>
          <w:sz w:val="18"/>
          <w:szCs w:val="16"/>
        </w:rPr>
        <w:footnoteRef/>
      </w:r>
      <w:r w:rsidRPr="008D36E4">
        <w:rPr>
          <w:rFonts w:ascii="Arial" w:hAnsi="Arial" w:cs="Arial"/>
          <w:sz w:val="18"/>
          <w:szCs w:val="16"/>
        </w:rPr>
        <w:t xml:space="preserve"> Though the organisation can undertake other activities, it must have one or both of these as its main activity to classify as an animal welfare charity. </w:t>
      </w:r>
    </w:p>
  </w:footnote>
  <w:footnote w:id="5">
    <w:p w14:paraId="1E82C5E7" w14:textId="77777777" w:rsidR="00C12FCE" w:rsidRPr="008D36E4" w:rsidRDefault="00C12FCE" w:rsidP="00C676AC">
      <w:pPr>
        <w:pStyle w:val="FootnoteText"/>
        <w:spacing w:line="276" w:lineRule="auto"/>
        <w:rPr>
          <w:rFonts w:ascii="Arial" w:hAnsi="Arial" w:cs="Arial"/>
          <w:sz w:val="18"/>
          <w:szCs w:val="18"/>
        </w:rPr>
      </w:pPr>
      <w:r w:rsidRPr="008D36E4">
        <w:rPr>
          <w:rStyle w:val="FootnoteReference"/>
          <w:rFonts w:ascii="Arial" w:hAnsi="Arial" w:cs="Arial"/>
          <w:sz w:val="18"/>
          <w:szCs w:val="16"/>
        </w:rPr>
        <w:footnoteRef/>
      </w:r>
      <w:r w:rsidRPr="008D36E4">
        <w:rPr>
          <w:rFonts w:ascii="Arial" w:hAnsi="Arial" w:cs="Arial"/>
          <w:sz w:val="18"/>
          <w:szCs w:val="16"/>
        </w:rPr>
        <w:t xml:space="preserve"> </w:t>
      </w:r>
      <w:r w:rsidRPr="008D36E4">
        <w:rPr>
          <w:rFonts w:ascii="Arial" w:hAnsi="Arial" w:cs="Arial"/>
          <w:i/>
          <w:sz w:val="18"/>
          <w:szCs w:val="16"/>
        </w:rPr>
        <w:t xml:space="preserve">Income Tax Assessment Act 1996 </w:t>
      </w:r>
      <w:r w:rsidRPr="008D36E4">
        <w:rPr>
          <w:rFonts w:ascii="Arial" w:hAnsi="Arial" w:cs="Arial"/>
          <w:sz w:val="18"/>
          <w:szCs w:val="16"/>
        </w:rPr>
        <w:t>(</w:t>
      </w:r>
      <w:proofErr w:type="spellStart"/>
      <w:r w:rsidRPr="008D36E4">
        <w:rPr>
          <w:rFonts w:ascii="Arial" w:hAnsi="Arial" w:cs="Arial"/>
          <w:sz w:val="18"/>
          <w:szCs w:val="16"/>
        </w:rPr>
        <w:t>Cth</w:t>
      </w:r>
      <w:proofErr w:type="spellEnd"/>
      <w:r w:rsidRPr="008D36E4">
        <w:rPr>
          <w:rFonts w:ascii="Arial" w:hAnsi="Arial" w:cs="Arial"/>
          <w:sz w:val="18"/>
          <w:szCs w:val="16"/>
        </w:rPr>
        <w:t>), s 30.45(1), Table 1, Item 4.1.6. See also Australian Taxation Office, ‘What is an animal welfare charity?’ (</w:t>
      </w:r>
      <w:hyperlink r:id="rId3" w:anchor="Whatisananimalwelfarecharity" w:history="1">
        <w:r w:rsidRPr="008D36E4">
          <w:rPr>
            <w:rStyle w:val="Hyperlink"/>
            <w:rFonts w:ascii="Arial" w:hAnsi="Arial" w:cs="Arial"/>
            <w:sz w:val="18"/>
            <w:szCs w:val="16"/>
          </w:rPr>
          <w:t>What is an animal welfare charity? | Australian Taxati</w:t>
        </w:r>
        <w:r w:rsidRPr="00C12FCE">
          <w:rPr>
            <w:rStyle w:val="Hyperlink"/>
            <w:rFonts w:ascii="Arial" w:hAnsi="Arial" w:cs="Arial"/>
            <w:sz w:val="18"/>
            <w:szCs w:val="16"/>
          </w:rPr>
          <w:t>https://www.ato.gov.au/Non-profit/Getting-started/Getting-endorsed-for-tax-concessions-or-as-a-DGR/Is-my-organisation-eligible-for-DGR-endorsement-/DGR-categories/</w:t>
        </w:r>
        <w:r w:rsidRPr="008D36E4">
          <w:rPr>
            <w:rStyle w:val="Hyperlink"/>
            <w:rFonts w:ascii="Arial" w:hAnsi="Arial" w:cs="Arial"/>
            <w:sz w:val="18"/>
            <w:szCs w:val="16"/>
          </w:rPr>
          <w:t>on Office (ato.gov.au)</w:t>
        </w:r>
      </w:hyperlink>
      <w:r w:rsidRPr="008D36E4">
        <w:rPr>
          <w:rFonts w:ascii="Arial" w:hAnsi="Arial" w:cs="Arial"/>
          <w:sz w:val="18"/>
          <w:szCs w:val="16"/>
        </w:rPr>
        <w:t xml:space="preserve">) </w:t>
      </w:r>
    </w:p>
  </w:footnote>
  <w:footnote w:id="6">
    <w:p w14:paraId="19EEEFBC" w14:textId="77777777" w:rsidR="00C12FCE" w:rsidRDefault="00C12FCE" w:rsidP="00C676AC">
      <w:pPr>
        <w:pStyle w:val="FootnoteText"/>
        <w:spacing w:line="276" w:lineRule="auto"/>
      </w:pPr>
      <w:r w:rsidRPr="008D36E4">
        <w:rPr>
          <w:rStyle w:val="FootnoteReference"/>
          <w:rFonts w:ascii="Arial" w:hAnsi="Arial" w:cs="Arial"/>
          <w:sz w:val="18"/>
          <w:szCs w:val="18"/>
        </w:rPr>
        <w:footnoteRef/>
      </w:r>
      <w:r w:rsidRPr="008D36E4">
        <w:rPr>
          <w:rFonts w:ascii="Arial" w:hAnsi="Arial" w:cs="Arial"/>
          <w:sz w:val="18"/>
          <w:szCs w:val="18"/>
        </w:rPr>
        <w:t xml:space="preserve"> An ‘environmental organisation’ must also establish and maintain a public fund, as well as satisfy several other administrative requirements in order to qualify for endorsement. </w:t>
      </w:r>
    </w:p>
  </w:footnote>
  <w:footnote w:id="7">
    <w:p w14:paraId="7E6FB757" w14:textId="3F411A83" w:rsidR="00C12FCE" w:rsidRPr="0079607F" w:rsidRDefault="00C12FCE" w:rsidP="00C676AC">
      <w:pPr>
        <w:pStyle w:val="FootnoteText"/>
        <w:spacing w:line="276" w:lineRule="auto"/>
        <w:rPr>
          <w:rFonts w:ascii="Arial" w:hAnsi="Arial" w:cs="Arial"/>
          <w:sz w:val="18"/>
          <w:szCs w:val="18"/>
        </w:rPr>
      </w:pPr>
      <w:r w:rsidRPr="0079607F">
        <w:rPr>
          <w:rStyle w:val="FootnoteReference"/>
          <w:rFonts w:ascii="Arial" w:hAnsi="Arial" w:cs="Arial"/>
          <w:sz w:val="18"/>
          <w:szCs w:val="18"/>
        </w:rPr>
        <w:footnoteRef/>
      </w:r>
      <w:r w:rsidRPr="0079607F">
        <w:rPr>
          <w:rFonts w:ascii="Arial" w:hAnsi="Arial" w:cs="Arial"/>
          <w:sz w:val="18"/>
          <w:szCs w:val="18"/>
        </w:rPr>
        <w:t xml:space="preserve"> Productivity Commission, Public Inquiry into Philanthropy, Term of Reference</w:t>
      </w:r>
      <w:r>
        <w:rPr>
          <w:rFonts w:ascii="Arial" w:hAnsi="Arial" w:cs="Arial"/>
          <w:sz w:val="18"/>
          <w:szCs w:val="18"/>
        </w:rPr>
        <w:t xml:space="preserve"> </w:t>
      </w:r>
      <w:r w:rsidR="007C7677">
        <w:rPr>
          <w:rFonts w:ascii="Arial" w:hAnsi="Arial" w:cs="Arial"/>
          <w:sz w:val="18"/>
          <w:szCs w:val="18"/>
        </w:rPr>
        <w:t>5</w:t>
      </w:r>
      <w:r>
        <w:rPr>
          <w:rFonts w:ascii="Arial" w:hAnsi="Arial" w:cs="Arial"/>
          <w:sz w:val="18"/>
          <w:szCs w:val="18"/>
        </w:rPr>
        <w:t xml:space="preserve">. </w:t>
      </w:r>
    </w:p>
  </w:footnote>
  <w:footnote w:id="8">
    <w:p w14:paraId="02E6EFC2" w14:textId="4CDF46A0" w:rsidR="004D548A" w:rsidRPr="00290835" w:rsidRDefault="004D548A" w:rsidP="00C676AC">
      <w:pPr>
        <w:pStyle w:val="FootnoteText"/>
        <w:rPr>
          <w:rFonts w:ascii="Arial" w:hAnsi="Arial" w:cs="Arial"/>
          <w:sz w:val="18"/>
          <w:szCs w:val="18"/>
        </w:rPr>
      </w:pPr>
      <w:r w:rsidRPr="00290835">
        <w:rPr>
          <w:rStyle w:val="FootnoteReference"/>
          <w:rFonts w:ascii="Arial" w:hAnsi="Arial" w:cs="Arial"/>
          <w:sz w:val="18"/>
          <w:szCs w:val="18"/>
        </w:rPr>
        <w:footnoteRef/>
      </w:r>
      <w:r w:rsidRPr="00290835">
        <w:rPr>
          <w:rFonts w:ascii="Arial" w:hAnsi="Arial" w:cs="Arial"/>
          <w:sz w:val="18"/>
          <w:szCs w:val="18"/>
        </w:rPr>
        <w:t xml:space="preserve"> Item 4.1.6 of Table 1 of s 30.45(1) of the </w:t>
      </w:r>
      <w:r w:rsidRPr="00290835">
        <w:rPr>
          <w:rFonts w:ascii="Arial" w:hAnsi="Arial" w:cs="Arial"/>
          <w:i/>
          <w:sz w:val="18"/>
          <w:szCs w:val="18"/>
        </w:rPr>
        <w:t xml:space="preserve">Income Tax Assessment Act 1997 </w:t>
      </w:r>
      <w:r w:rsidRPr="00290835">
        <w:rPr>
          <w:rFonts w:ascii="Arial" w:hAnsi="Arial" w:cs="Arial"/>
          <w:sz w:val="18"/>
          <w:szCs w:val="18"/>
        </w:rPr>
        <w:t>(</w:t>
      </w:r>
      <w:proofErr w:type="spellStart"/>
      <w:r w:rsidRPr="00290835">
        <w:rPr>
          <w:rFonts w:ascii="Arial" w:hAnsi="Arial" w:cs="Arial"/>
          <w:sz w:val="18"/>
          <w:szCs w:val="18"/>
        </w:rPr>
        <w:t>Cth</w:t>
      </w:r>
      <w:proofErr w:type="spellEnd"/>
      <w:r w:rsidRPr="00290835">
        <w:rPr>
          <w:rFonts w:ascii="Arial" w:hAnsi="Arial" w:cs="Arial"/>
          <w:sz w:val="18"/>
          <w:szCs w:val="18"/>
        </w:rPr>
        <w:t>)</w:t>
      </w:r>
      <w:r>
        <w:rPr>
          <w:rFonts w:ascii="Arial" w:hAnsi="Arial" w:cs="Arial"/>
          <w:sz w:val="18"/>
          <w:szCs w:val="18"/>
        </w:rPr>
        <w:t>.</w:t>
      </w:r>
    </w:p>
  </w:footnote>
  <w:footnote w:id="9">
    <w:p w14:paraId="1ED97FB7" w14:textId="3E9CD97E" w:rsidR="00C12FCE" w:rsidRPr="0079607F" w:rsidRDefault="00C12FCE" w:rsidP="00C676AC">
      <w:pPr>
        <w:pStyle w:val="FootnoteText"/>
        <w:spacing w:line="276" w:lineRule="auto"/>
        <w:rPr>
          <w:rFonts w:ascii="Arial" w:hAnsi="Arial" w:cs="Arial"/>
          <w:sz w:val="18"/>
          <w:szCs w:val="18"/>
        </w:rPr>
      </w:pPr>
      <w:r w:rsidRPr="0079607F">
        <w:rPr>
          <w:rStyle w:val="FootnoteReference"/>
          <w:rFonts w:ascii="Arial" w:hAnsi="Arial" w:cs="Arial"/>
          <w:sz w:val="18"/>
          <w:szCs w:val="18"/>
        </w:rPr>
        <w:footnoteRef/>
      </w:r>
      <w:r w:rsidRPr="0079607F">
        <w:rPr>
          <w:rFonts w:ascii="Arial" w:hAnsi="Arial" w:cs="Arial"/>
          <w:sz w:val="18"/>
          <w:szCs w:val="18"/>
        </w:rPr>
        <w:t xml:space="preserve"> OECD, </w:t>
      </w:r>
      <w:r w:rsidRPr="0079607F">
        <w:rPr>
          <w:rFonts w:ascii="Arial" w:hAnsi="Arial" w:cs="Arial"/>
          <w:i/>
          <w:sz w:val="18"/>
          <w:szCs w:val="18"/>
        </w:rPr>
        <w:t>Taxation and Philanthropy</w:t>
      </w:r>
      <w:r w:rsidRPr="0079607F">
        <w:rPr>
          <w:rFonts w:ascii="Arial" w:hAnsi="Arial" w:cs="Arial"/>
          <w:sz w:val="18"/>
          <w:szCs w:val="18"/>
        </w:rPr>
        <w:t>, Ch 2 ‘The case for providing tax concessions for philanthropy’</w:t>
      </w:r>
      <w:r w:rsidR="007E78CA">
        <w:rPr>
          <w:rFonts w:ascii="Arial" w:hAnsi="Arial" w:cs="Arial"/>
          <w:sz w:val="18"/>
          <w:szCs w:val="18"/>
        </w:rPr>
        <w:t>,</w:t>
      </w:r>
      <w:r w:rsidRPr="0079607F">
        <w:rPr>
          <w:rFonts w:ascii="Arial" w:hAnsi="Arial" w:cs="Arial"/>
          <w:sz w:val="18"/>
          <w:szCs w:val="18"/>
        </w:rPr>
        <w:t xml:space="preserve"> </w:t>
      </w:r>
      <w:hyperlink r:id="rId4" w:history="1">
        <w:r w:rsidRPr="0079607F">
          <w:rPr>
            <w:rStyle w:val="Hyperlink"/>
            <w:rFonts w:ascii="Arial" w:hAnsi="Arial" w:cs="Arial"/>
            <w:sz w:val="18"/>
            <w:szCs w:val="18"/>
          </w:rPr>
          <w:t>https://www.oecd-ilibrary.org/sites/722d538f-en/index.html?itemId=/content/component/722d538f-en</w:t>
        </w:r>
      </w:hyperlink>
      <w:r w:rsidRPr="0079607F">
        <w:rPr>
          <w:rFonts w:ascii="Arial" w:hAnsi="Arial" w:cs="Arial"/>
          <w:sz w:val="18"/>
          <w:szCs w:val="18"/>
        </w:rPr>
        <w:t xml:space="preserve">. </w:t>
      </w:r>
    </w:p>
  </w:footnote>
  <w:footnote w:id="10">
    <w:p w14:paraId="190553BE" w14:textId="77777777" w:rsidR="00C12FCE" w:rsidRDefault="00C12FCE" w:rsidP="00C676AC">
      <w:pPr>
        <w:pStyle w:val="FootnoteText"/>
        <w:spacing w:line="276" w:lineRule="auto"/>
      </w:pPr>
      <w:r w:rsidRPr="0079607F">
        <w:rPr>
          <w:rStyle w:val="FootnoteReference"/>
          <w:rFonts w:ascii="Arial" w:hAnsi="Arial" w:cs="Arial"/>
          <w:sz w:val="18"/>
          <w:szCs w:val="18"/>
        </w:rPr>
        <w:footnoteRef/>
      </w:r>
      <w:r w:rsidRPr="0079607F">
        <w:rPr>
          <w:rFonts w:ascii="Arial" w:hAnsi="Arial" w:cs="Arial"/>
          <w:sz w:val="18"/>
          <w:szCs w:val="18"/>
        </w:rPr>
        <w:t xml:space="preserve"> Productivity Commission, </w:t>
      </w:r>
      <w:r w:rsidRPr="008D36E4">
        <w:rPr>
          <w:rFonts w:ascii="Arial" w:hAnsi="Arial" w:cs="Arial"/>
          <w:i/>
          <w:sz w:val="18"/>
          <w:szCs w:val="18"/>
        </w:rPr>
        <w:t>Review of Philanthropy – call for submissions</w:t>
      </w:r>
      <w:r w:rsidRPr="0079607F">
        <w:rPr>
          <w:rFonts w:ascii="Arial" w:hAnsi="Arial" w:cs="Arial"/>
          <w:sz w:val="18"/>
          <w:szCs w:val="18"/>
        </w:rPr>
        <w:t xml:space="preserve">, p 16. </w:t>
      </w:r>
    </w:p>
  </w:footnote>
  <w:footnote w:id="11">
    <w:p w14:paraId="7C6A65B4" w14:textId="77777777" w:rsidR="00C12FCE" w:rsidRPr="00822418" w:rsidRDefault="00C12FCE" w:rsidP="00C676AC">
      <w:pPr>
        <w:pStyle w:val="FootnoteText"/>
        <w:spacing w:line="276" w:lineRule="auto"/>
        <w:rPr>
          <w:rFonts w:ascii="Arial" w:hAnsi="Arial" w:cs="Arial"/>
          <w:sz w:val="18"/>
          <w:szCs w:val="18"/>
        </w:rPr>
      </w:pPr>
      <w:r w:rsidRPr="00822418">
        <w:rPr>
          <w:rStyle w:val="FootnoteReference"/>
          <w:rFonts w:ascii="Arial" w:hAnsi="Arial" w:cs="Arial"/>
          <w:sz w:val="18"/>
          <w:szCs w:val="18"/>
        </w:rPr>
        <w:footnoteRef/>
      </w:r>
      <w:r w:rsidRPr="00822418">
        <w:rPr>
          <w:rFonts w:ascii="Arial" w:hAnsi="Arial" w:cs="Arial"/>
          <w:sz w:val="18"/>
          <w:szCs w:val="18"/>
        </w:rPr>
        <w:t xml:space="preserve"> </w:t>
      </w:r>
      <w:proofErr w:type="spellStart"/>
      <w:r w:rsidRPr="00822418">
        <w:rPr>
          <w:rFonts w:ascii="Arial" w:hAnsi="Arial" w:cs="Arial"/>
          <w:sz w:val="18"/>
          <w:szCs w:val="18"/>
        </w:rPr>
        <w:t>Marrie</w:t>
      </w:r>
      <w:proofErr w:type="spellEnd"/>
      <w:r w:rsidRPr="00822418">
        <w:rPr>
          <w:rFonts w:ascii="Arial" w:hAnsi="Arial" w:cs="Arial"/>
          <w:sz w:val="18"/>
          <w:szCs w:val="18"/>
        </w:rPr>
        <w:t xml:space="preserve">, H. and </w:t>
      </w:r>
      <w:proofErr w:type="spellStart"/>
      <w:r w:rsidRPr="00822418">
        <w:rPr>
          <w:rFonts w:ascii="Arial" w:hAnsi="Arial" w:cs="Arial"/>
          <w:sz w:val="18"/>
          <w:szCs w:val="18"/>
        </w:rPr>
        <w:t>Marrie</w:t>
      </w:r>
      <w:proofErr w:type="spellEnd"/>
      <w:r w:rsidRPr="00822418">
        <w:rPr>
          <w:rFonts w:ascii="Arial" w:hAnsi="Arial" w:cs="Arial"/>
          <w:sz w:val="18"/>
          <w:szCs w:val="18"/>
        </w:rPr>
        <w:t xml:space="preserve">, A. 2013, </w:t>
      </w:r>
      <w:r w:rsidRPr="00822418">
        <w:rPr>
          <w:rFonts w:ascii="Arial" w:hAnsi="Arial" w:cs="Arial"/>
          <w:i/>
          <w:iCs/>
          <w:sz w:val="18"/>
          <w:szCs w:val="18"/>
        </w:rPr>
        <w:t>Identifying and Removing Structural Flaws in the Current Framework Governing Deductible Gift Recipient (DGR) Endorsement to enable Indigenous Organisations to Better Access Philanthropic Support</w:t>
      </w:r>
      <w:r w:rsidRPr="00822418">
        <w:rPr>
          <w:rFonts w:ascii="Arial" w:hAnsi="Arial" w:cs="Arial"/>
          <w:sz w:val="18"/>
          <w:szCs w:val="18"/>
        </w:rPr>
        <w:t xml:space="preserve">, DGR Reform Background Briefing Paper, 25 June, </w:t>
      </w:r>
      <w:proofErr w:type="spellStart"/>
      <w:r w:rsidRPr="00822418">
        <w:rPr>
          <w:rFonts w:ascii="Arial" w:hAnsi="Arial" w:cs="Arial"/>
          <w:sz w:val="18"/>
          <w:szCs w:val="18"/>
        </w:rPr>
        <w:t>Bukal</w:t>
      </w:r>
      <w:proofErr w:type="spellEnd"/>
      <w:r w:rsidRPr="00822418">
        <w:rPr>
          <w:rFonts w:ascii="Arial" w:hAnsi="Arial" w:cs="Arial"/>
          <w:sz w:val="18"/>
          <w:szCs w:val="18"/>
        </w:rPr>
        <w:t xml:space="preserve"> Consultancy Services.</w:t>
      </w:r>
    </w:p>
  </w:footnote>
  <w:footnote w:id="12">
    <w:p w14:paraId="18CCA7C0" w14:textId="77777777" w:rsidR="00C12FCE" w:rsidRPr="00822418" w:rsidRDefault="00C12FCE" w:rsidP="00C676AC">
      <w:pPr>
        <w:pStyle w:val="FootnoteText"/>
        <w:spacing w:line="276" w:lineRule="auto"/>
        <w:rPr>
          <w:rFonts w:ascii="Arial" w:hAnsi="Arial" w:cs="Arial"/>
          <w:sz w:val="18"/>
          <w:szCs w:val="18"/>
        </w:rPr>
      </w:pPr>
      <w:r w:rsidRPr="00822418">
        <w:rPr>
          <w:rStyle w:val="FootnoteReference"/>
          <w:rFonts w:ascii="Arial" w:hAnsi="Arial" w:cs="Arial"/>
          <w:sz w:val="18"/>
          <w:szCs w:val="18"/>
        </w:rPr>
        <w:footnoteRef/>
      </w:r>
      <w:r w:rsidRPr="00822418">
        <w:rPr>
          <w:rFonts w:ascii="Arial" w:hAnsi="Arial" w:cs="Arial"/>
          <w:sz w:val="18"/>
          <w:szCs w:val="18"/>
        </w:rPr>
        <w:t xml:space="preserve"> </w:t>
      </w:r>
      <w:r w:rsidR="009056CD" w:rsidRPr="00822418">
        <w:rPr>
          <w:rFonts w:ascii="Arial" w:hAnsi="Arial" w:cs="Arial"/>
          <w:sz w:val="18"/>
          <w:szCs w:val="18"/>
        </w:rPr>
        <w:t xml:space="preserve">Productivity Commission, </w:t>
      </w:r>
      <w:r w:rsidR="009056CD" w:rsidRPr="00822418">
        <w:rPr>
          <w:rFonts w:ascii="Arial" w:hAnsi="Arial" w:cs="Arial"/>
          <w:i/>
          <w:sz w:val="18"/>
          <w:szCs w:val="18"/>
        </w:rPr>
        <w:t>Review of Philanthropy – call for submissions</w:t>
      </w:r>
      <w:r w:rsidR="009056CD" w:rsidRPr="00822418">
        <w:rPr>
          <w:rFonts w:ascii="Arial" w:hAnsi="Arial" w:cs="Arial"/>
          <w:sz w:val="18"/>
          <w:szCs w:val="18"/>
        </w:rPr>
        <w:t>, p 16.</w:t>
      </w:r>
    </w:p>
  </w:footnote>
  <w:footnote w:id="13">
    <w:p w14:paraId="7E4C1FE0" w14:textId="77777777" w:rsidR="00C12FCE" w:rsidRPr="00822418" w:rsidRDefault="00C12FCE" w:rsidP="00C676AC">
      <w:pPr>
        <w:pStyle w:val="FootnoteText"/>
        <w:spacing w:line="276" w:lineRule="auto"/>
        <w:rPr>
          <w:rFonts w:ascii="Arial" w:hAnsi="Arial" w:cs="Arial"/>
          <w:sz w:val="18"/>
          <w:szCs w:val="18"/>
        </w:rPr>
      </w:pPr>
      <w:r w:rsidRPr="00822418">
        <w:rPr>
          <w:rStyle w:val="FootnoteReference"/>
          <w:rFonts w:ascii="Arial" w:hAnsi="Arial" w:cs="Arial"/>
          <w:sz w:val="18"/>
          <w:szCs w:val="18"/>
        </w:rPr>
        <w:footnoteRef/>
      </w:r>
      <w:r w:rsidRPr="00822418">
        <w:rPr>
          <w:rFonts w:ascii="Arial" w:hAnsi="Arial" w:cs="Arial"/>
          <w:sz w:val="18"/>
          <w:szCs w:val="18"/>
        </w:rPr>
        <w:t xml:space="preserve"> Productivity Commission, Public Inquiry into Philanthropy, Terms of Reference 5.</w:t>
      </w:r>
    </w:p>
  </w:footnote>
  <w:footnote w:id="14">
    <w:p w14:paraId="496FDE3E" w14:textId="77777777" w:rsidR="00822418" w:rsidRDefault="00822418" w:rsidP="00C676AC">
      <w:pPr>
        <w:pStyle w:val="FootnoteText"/>
      </w:pPr>
      <w:r w:rsidRPr="00822418">
        <w:rPr>
          <w:rStyle w:val="FootnoteReference"/>
          <w:rFonts w:ascii="Arial" w:hAnsi="Arial" w:cs="Arial"/>
          <w:sz w:val="18"/>
          <w:szCs w:val="18"/>
        </w:rPr>
        <w:footnoteRef/>
      </w:r>
      <w:r w:rsidRPr="00822418">
        <w:rPr>
          <w:rFonts w:ascii="Arial" w:hAnsi="Arial" w:cs="Arial"/>
          <w:sz w:val="18"/>
          <w:szCs w:val="18"/>
        </w:rPr>
        <w:t xml:space="preserve"> Productivity Commission, </w:t>
      </w:r>
      <w:r w:rsidRPr="00822418">
        <w:rPr>
          <w:rFonts w:ascii="Arial" w:hAnsi="Arial" w:cs="Arial"/>
          <w:i/>
          <w:sz w:val="18"/>
          <w:szCs w:val="18"/>
        </w:rPr>
        <w:t xml:space="preserve">Productivity Commission Inquiry Report: Regulation of Australian Agriculture </w:t>
      </w:r>
      <w:r>
        <w:rPr>
          <w:rFonts w:ascii="Arial" w:hAnsi="Arial" w:cs="Arial"/>
          <w:sz w:val="18"/>
          <w:szCs w:val="18"/>
        </w:rPr>
        <w:t xml:space="preserve">(No. 79, 15 November 2016), p 204ff. </w:t>
      </w:r>
    </w:p>
  </w:footnote>
  <w:footnote w:id="15">
    <w:p w14:paraId="711DD2D1" w14:textId="77777777" w:rsidR="00894B20" w:rsidRPr="00F11EE5" w:rsidRDefault="00894B20" w:rsidP="00894B20">
      <w:pPr>
        <w:pStyle w:val="FootnoteText"/>
        <w:spacing w:line="276" w:lineRule="auto"/>
        <w:rPr>
          <w:rFonts w:ascii="Arial" w:hAnsi="Arial" w:cs="Arial"/>
          <w:sz w:val="18"/>
        </w:rPr>
      </w:pPr>
      <w:r w:rsidRPr="00F11EE5">
        <w:rPr>
          <w:rStyle w:val="FootnoteReference"/>
          <w:rFonts w:ascii="Arial" w:hAnsi="Arial" w:cs="Arial"/>
          <w:sz w:val="18"/>
        </w:rPr>
        <w:footnoteRef/>
      </w:r>
      <w:r w:rsidRPr="00F11EE5">
        <w:rPr>
          <w:rFonts w:ascii="Arial" w:hAnsi="Arial" w:cs="Arial"/>
          <w:sz w:val="18"/>
        </w:rPr>
        <w:t xml:space="preserve"> </w:t>
      </w:r>
      <w:proofErr w:type="spellStart"/>
      <w:r w:rsidRPr="00F11EE5">
        <w:rPr>
          <w:rFonts w:ascii="Arial" w:hAnsi="Arial" w:cs="Arial"/>
          <w:sz w:val="18"/>
        </w:rPr>
        <w:t>Futureye</w:t>
      </w:r>
      <w:proofErr w:type="spellEnd"/>
      <w:r>
        <w:rPr>
          <w:rFonts w:ascii="Arial" w:hAnsi="Arial" w:cs="Arial"/>
          <w:sz w:val="18"/>
        </w:rPr>
        <w:t>, ‘Australia’s Shifting Mindset on Farm Animal Welfare’, commissioned by the Australian Department of Agriculture and Water Resources, 2018</w:t>
      </w:r>
      <w:r w:rsidRPr="00F11EE5">
        <w:rPr>
          <w:rFonts w:ascii="Arial" w:hAnsi="Arial" w:cs="Arial"/>
          <w:sz w:val="18"/>
        </w:rPr>
        <w:t xml:space="preserve"> at 10-11. </w:t>
      </w:r>
    </w:p>
  </w:footnote>
  <w:footnote w:id="16">
    <w:p w14:paraId="63ADD2C1" w14:textId="77777777" w:rsidR="00C12FCE" w:rsidRPr="00822418" w:rsidRDefault="00C12FCE" w:rsidP="00C676AC">
      <w:pPr>
        <w:pStyle w:val="FootnoteText"/>
        <w:spacing w:line="276" w:lineRule="auto"/>
        <w:rPr>
          <w:sz w:val="18"/>
          <w:szCs w:val="18"/>
        </w:rPr>
      </w:pPr>
      <w:r w:rsidRPr="00822418">
        <w:rPr>
          <w:rStyle w:val="FootnoteReference"/>
          <w:rFonts w:ascii="Arial" w:hAnsi="Arial" w:cs="Arial"/>
          <w:sz w:val="18"/>
          <w:szCs w:val="18"/>
        </w:rPr>
        <w:footnoteRef/>
      </w:r>
      <w:r w:rsidRPr="00822418">
        <w:rPr>
          <w:rFonts w:ascii="Arial" w:hAnsi="Arial" w:cs="Arial"/>
          <w:sz w:val="18"/>
          <w:szCs w:val="18"/>
        </w:rPr>
        <w:t xml:space="preserve"> </w:t>
      </w:r>
      <w:r w:rsidR="00822418" w:rsidRPr="00822418">
        <w:rPr>
          <w:rFonts w:ascii="Arial" w:hAnsi="Arial" w:cs="Arial"/>
          <w:sz w:val="18"/>
          <w:szCs w:val="18"/>
        </w:rPr>
        <w:t xml:space="preserve">Responsible Investment Associate Australasia, </w:t>
      </w:r>
      <w:r w:rsidR="00822418" w:rsidRPr="00822418">
        <w:rPr>
          <w:rFonts w:ascii="Arial" w:hAnsi="Arial" w:cs="Arial"/>
          <w:i/>
          <w:sz w:val="18"/>
          <w:szCs w:val="18"/>
        </w:rPr>
        <w:t xml:space="preserve">From Values to Riches 2022: Charting consumer demand for responsible investing in Australia, </w:t>
      </w:r>
      <w:r w:rsidR="00822418" w:rsidRPr="00822418">
        <w:rPr>
          <w:rFonts w:ascii="Arial" w:hAnsi="Arial" w:cs="Arial"/>
          <w:sz w:val="18"/>
          <w:szCs w:val="18"/>
        </w:rPr>
        <w:t xml:space="preserve">(Melbourne, 2022). </w:t>
      </w:r>
    </w:p>
  </w:footnote>
  <w:footnote w:id="17">
    <w:p w14:paraId="14424386" w14:textId="11B1EB7F" w:rsidR="00DB77B5" w:rsidRDefault="00DB77B5" w:rsidP="00C676AC">
      <w:pPr>
        <w:pStyle w:val="FootnoteText"/>
      </w:pPr>
      <w:r>
        <w:rPr>
          <w:rStyle w:val="FootnoteReference"/>
        </w:rPr>
        <w:footnoteRef/>
      </w:r>
      <w:r>
        <w:t xml:space="preserve"> </w:t>
      </w:r>
      <w:r w:rsidRPr="006E5CC4">
        <w:rPr>
          <w:i/>
          <w:iCs/>
        </w:rPr>
        <w:t>Australian Broadcasting Corporation v Lenah Game Meats Pty Ltd</w:t>
      </w:r>
      <w:r>
        <w:t xml:space="preserve"> [2001] HCA 63.</w:t>
      </w:r>
    </w:p>
  </w:footnote>
  <w:footnote w:id="18">
    <w:p w14:paraId="1F3B5819" w14:textId="0AB160BF" w:rsidR="008B41F4" w:rsidRDefault="008B41F4">
      <w:pPr>
        <w:pStyle w:val="FootnoteText"/>
      </w:pPr>
      <w:r>
        <w:rPr>
          <w:rStyle w:val="FootnoteReference"/>
        </w:rPr>
        <w:footnoteRef/>
      </w:r>
      <w:r>
        <w:t xml:space="preserve"> Ibid at 217.</w:t>
      </w:r>
    </w:p>
  </w:footnote>
  <w:footnote w:id="19">
    <w:p w14:paraId="1EC2EB88" w14:textId="4AF10338" w:rsidR="000B3E20" w:rsidRDefault="000B3E20" w:rsidP="00C676AC">
      <w:pPr>
        <w:pStyle w:val="FootnoteText"/>
      </w:pPr>
      <w:r>
        <w:rPr>
          <w:rStyle w:val="FootnoteReference"/>
        </w:rPr>
        <w:footnoteRef/>
      </w:r>
      <w:r>
        <w:t xml:space="preserve"> </w:t>
      </w:r>
      <w:r w:rsidR="00217D8D">
        <w:t xml:space="preserve">Alan Cameron, </w:t>
      </w:r>
      <w:r w:rsidR="00217D8D" w:rsidRPr="00290835">
        <w:rPr>
          <w:i/>
          <w:iCs/>
        </w:rPr>
        <w:t>Review of NSW Community Legal Centre Services</w:t>
      </w:r>
      <w:r w:rsidR="00217D8D">
        <w:t>, December 2017</w:t>
      </w:r>
      <w:r w:rsidR="00E47718">
        <w:t>, at 68</w:t>
      </w:r>
      <w:r w:rsidR="00217D8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1FD4" w14:textId="77777777" w:rsidR="00C12FCE" w:rsidRDefault="00C12FCE" w:rsidP="00C2596A">
    <w:pPr>
      <w:pStyle w:val="Header"/>
      <w:jc w:val="center"/>
    </w:pPr>
    <w:r>
      <w:rPr>
        <w:noProof/>
        <w:lang w:eastAsia="en-AU"/>
      </w:rPr>
      <w:drawing>
        <wp:inline distT="0" distB="0" distL="0" distR="0" wp14:anchorId="36EB729A" wp14:editId="78079DF1">
          <wp:extent cx="5413859" cy="1204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13859" cy="1204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AC1"/>
    <w:multiLevelType w:val="multilevel"/>
    <w:tmpl w:val="6A00F0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F705F7C"/>
    <w:multiLevelType w:val="hybridMultilevel"/>
    <w:tmpl w:val="A87E6274"/>
    <w:lvl w:ilvl="0" w:tplc="94F27ACE">
      <w:start w:val="1"/>
      <w:numFmt w:val="lowerLetter"/>
      <w:lvlText w:val="(%1)"/>
      <w:lvlJc w:val="left"/>
      <w:pPr>
        <w:ind w:left="567" w:hanging="567"/>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2236AB"/>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EA80C7A"/>
    <w:multiLevelType w:val="hybridMultilevel"/>
    <w:tmpl w:val="B4EAFF1C"/>
    <w:lvl w:ilvl="0" w:tplc="94F27ACE">
      <w:start w:val="1"/>
      <w:numFmt w:val="lowerLetter"/>
      <w:lvlText w:val="(%1)"/>
      <w:lvlJc w:val="left"/>
      <w:pPr>
        <w:ind w:left="567" w:hanging="567"/>
      </w:pPr>
      <w:rPr>
        <w:rFonts w:hint="default"/>
        <w:b w:val="0"/>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35C7C25"/>
    <w:multiLevelType w:val="hybridMultilevel"/>
    <w:tmpl w:val="1458D594"/>
    <w:lvl w:ilvl="0" w:tplc="0046F60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34042FD7"/>
    <w:multiLevelType w:val="multilevel"/>
    <w:tmpl w:val="80887D4C"/>
    <w:lvl w:ilvl="0">
      <w:start w:val="1"/>
      <w:numFmt w:val="decimal"/>
      <w:lvlText w:val="%1"/>
      <w:lvlJc w:val="left"/>
      <w:pPr>
        <w:ind w:left="360" w:hanging="360"/>
      </w:pPr>
      <w:rPr>
        <w:rFonts w:hint="default"/>
        <w:i w:val="0"/>
      </w:rPr>
    </w:lvl>
    <w:lvl w:ilvl="1">
      <w:start w:val="1"/>
      <w:numFmt w:val="decimal"/>
      <w:lvlText w:val="%1.%2"/>
      <w:lvlJc w:val="left"/>
      <w:pPr>
        <w:ind w:left="432" w:hanging="432"/>
      </w:pPr>
      <w:rPr>
        <w:rFonts w:hint="default"/>
        <w:b w:val="0"/>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9F5B26"/>
    <w:multiLevelType w:val="hybridMultilevel"/>
    <w:tmpl w:val="0E5E9222"/>
    <w:lvl w:ilvl="0" w:tplc="132242E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4E51AE7"/>
    <w:multiLevelType w:val="hybridMultilevel"/>
    <w:tmpl w:val="799E3F52"/>
    <w:lvl w:ilvl="0" w:tplc="132242E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BD953C6"/>
    <w:multiLevelType w:val="hybridMultilevel"/>
    <w:tmpl w:val="10CCC81C"/>
    <w:lvl w:ilvl="0" w:tplc="132242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5BB7962"/>
    <w:multiLevelType w:val="hybridMultilevel"/>
    <w:tmpl w:val="C05C1710"/>
    <w:lvl w:ilvl="0" w:tplc="0E7052A2">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E123D2"/>
    <w:multiLevelType w:val="hybridMultilevel"/>
    <w:tmpl w:val="50BA41FE"/>
    <w:lvl w:ilvl="0" w:tplc="802E0D72">
      <w:start w:val="1"/>
      <w:numFmt w:val="decimal"/>
      <w:lvlText w:val="%1"/>
      <w:lvlJc w:val="left"/>
      <w:pPr>
        <w:ind w:left="340" w:hanging="340"/>
      </w:pPr>
      <w:rPr>
        <w:rFonts w:hint="default"/>
        <w:b/>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35A2583"/>
    <w:multiLevelType w:val="hybridMultilevel"/>
    <w:tmpl w:val="B0FC4DB0"/>
    <w:lvl w:ilvl="0" w:tplc="132242E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83396248">
    <w:abstractNumId w:val="10"/>
  </w:num>
  <w:num w:numId="2" w16cid:durableId="877201002">
    <w:abstractNumId w:val="3"/>
  </w:num>
  <w:num w:numId="3" w16cid:durableId="1596788553">
    <w:abstractNumId w:val="0"/>
  </w:num>
  <w:num w:numId="4" w16cid:durableId="1550728753">
    <w:abstractNumId w:val="6"/>
  </w:num>
  <w:num w:numId="5" w16cid:durableId="1416511141">
    <w:abstractNumId w:val="7"/>
  </w:num>
  <w:num w:numId="6" w16cid:durableId="1337273234">
    <w:abstractNumId w:val="1"/>
  </w:num>
  <w:num w:numId="7" w16cid:durableId="130370857">
    <w:abstractNumId w:val="8"/>
  </w:num>
  <w:num w:numId="8" w16cid:durableId="1409962857">
    <w:abstractNumId w:val="11"/>
  </w:num>
  <w:num w:numId="9" w16cid:durableId="1354068558">
    <w:abstractNumId w:val="4"/>
  </w:num>
  <w:num w:numId="10" w16cid:durableId="1762096532">
    <w:abstractNumId w:val="2"/>
  </w:num>
  <w:num w:numId="11" w16cid:durableId="1952517415">
    <w:abstractNumId w:val="5"/>
  </w:num>
  <w:num w:numId="12" w16cid:durableId="605776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43"/>
    <w:rsid w:val="000009B0"/>
    <w:rsid w:val="0000213D"/>
    <w:rsid w:val="00006731"/>
    <w:rsid w:val="00014715"/>
    <w:rsid w:val="000148B0"/>
    <w:rsid w:val="00022118"/>
    <w:rsid w:val="00025D17"/>
    <w:rsid w:val="000307FA"/>
    <w:rsid w:val="000328EC"/>
    <w:rsid w:val="00065847"/>
    <w:rsid w:val="00085808"/>
    <w:rsid w:val="000A6CCA"/>
    <w:rsid w:val="000B131A"/>
    <w:rsid w:val="000B3BCD"/>
    <w:rsid w:val="000B3E20"/>
    <w:rsid w:val="000B3E90"/>
    <w:rsid w:val="000C4363"/>
    <w:rsid w:val="000C6B6B"/>
    <w:rsid w:val="000C71F5"/>
    <w:rsid w:val="000D47E5"/>
    <w:rsid w:val="000D6566"/>
    <w:rsid w:val="000E232D"/>
    <w:rsid w:val="000E354B"/>
    <w:rsid w:val="000F7D0B"/>
    <w:rsid w:val="00122006"/>
    <w:rsid w:val="0012430D"/>
    <w:rsid w:val="00130AB2"/>
    <w:rsid w:val="00130E34"/>
    <w:rsid w:val="00170972"/>
    <w:rsid w:val="00180500"/>
    <w:rsid w:val="00187D55"/>
    <w:rsid w:val="00191576"/>
    <w:rsid w:val="0019338E"/>
    <w:rsid w:val="001A45F3"/>
    <w:rsid w:val="001D05E0"/>
    <w:rsid w:val="001D2904"/>
    <w:rsid w:val="001D3065"/>
    <w:rsid w:val="001E342D"/>
    <w:rsid w:val="001E7DA2"/>
    <w:rsid w:val="001F6C36"/>
    <w:rsid w:val="00213AFC"/>
    <w:rsid w:val="002166AD"/>
    <w:rsid w:val="00217D8D"/>
    <w:rsid w:val="00230BAA"/>
    <w:rsid w:val="00252A07"/>
    <w:rsid w:val="0025316F"/>
    <w:rsid w:val="0025652A"/>
    <w:rsid w:val="002604DC"/>
    <w:rsid w:val="00262812"/>
    <w:rsid w:val="00262920"/>
    <w:rsid w:val="0027546E"/>
    <w:rsid w:val="00280DAD"/>
    <w:rsid w:val="00290835"/>
    <w:rsid w:val="002E03A8"/>
    <w:rsid w:val="002E116E"/>
    <w:rsid w:val="002E5922"/>
    <w:rsid w:val="002E5F98"/>
    <w:rsid w:val="00301B1D"/>
    <w:rsid w:val="003132B1"/>
    <w:rsid w:val="0031598E"/>
    <w:rsid w:val="003333A1"/>
    <w:rsid w:val="0033377F"/>
    <w:rsid w:val="00334D04"/>
    <w:rsid w:val="00336575"/>
    <w:rsid w:val="00346CC7"/>
    <w:rsid w:val="00346F09"/>
    <w:rsid w:val="0036672D"/>
    <w:rsid w:val="003814B4"/>
    <w:rsid w:val="00395F9C"/>
    <w:rsid w:val="003C0733"/>
    <w:rsid w:val="003D166D"/>
    <w:rsid w:val="003D739A"/>
    <w:rsid w:val="003F1D6D"/>
    <w:rsid w:val="003F3BE2"/>
    <w:rsid w:val="003F40CF"/>
    <w:rsid w:val="003F44D6"/>
    <w:rsid w:val="003F7296"/>
    <w:rsid w:val="00413CCE"/>
    <w:rsid w:val="004212F4"/>
    <w:rsid w:val="004275FD"/>
    <w:rsid w:val="004300A2"/>
    <w:rsid w:val="0043106A"/>
    <w:rsid w:val="00436EE2"/>
    <w:rsid w:val="00440C10"/>
    <w:rsid w:val="00445122"/>
    <w:rsid w:val="00463F2B"/>
    <w:rsid w:val="00490D61"/>
    <w:rsid w:val="004A11A4"/>
    <w:rsid w:val="004A1A52"/>
    <w:rsid w:val="004A377B"/>
    <w:rsid w:val="004D44A0"/>
    <w:rsid w:val="004D548A"/>
    <w:rsid w:val="0050769C"/>
    <w:rsid w:val="00507C80"/>
    <w:rsid w:val="00513B19"/>
    <w:rsid w:val="0052422B"/>
    <w:rsid w:val="00524A55"/>
    <w:rsid w:val="0053143E"/>
    <w:rsid w:val="00537F8E"/>
    <w:rsid w:val="005526C7"/>
    <w:rsid w:val="005617E9"/>
    <w:rsid w:val="00561F73"/>
    <w:rsid w:val="00567F00"/>
    <w:rsid w:val="00580960"/>
    <w:rsid w:val="005861DC"/>
    <w:rsid w:val="005A1B76"/>
    <w:rsid w:val="005A5629"/>
    <w:rsid w:val="005B1C86"/>
    <w:rsid w:val="005B649E"/>
    <w:rsid w:val="005C1CCD"/>
    <w:rsid w:val="005D177D"/>
    <w:rsid w:val="005D2528"/>
    <w:rsid w:val="005E049A"/>
    <w:rsid w:val="005F703C"/>
    <w:rsid w:val="00600849"/>
    <w:rsid w:val="00617B51"/>
    <w:rsid w:val="00625012"/>
    <w:rsid w:val="006309F8"/>
    <w:rsid w:val="0064076B"/>
    <w:rsid w:val="006420AA"/>
    <w:rsid w:val="00647203"/>
    <w:rsid w:val="00650624"/>
    <w:rsid w:val="006524F8"/>
    <w:rsid w:val="006645D5"/>
    <w:rsid w:val="0066730D"/>
    <w:rsid w:val="0067295D"/>
    <w:rsid w:val="006A1E65"/>
    <w:rsid w:val="006B386D"/>
    <w:rsid w:val="006C3B11"/>
    <w:rsid w:val="006D5B6D"/>
    <w:rsid w:val="006E3FDA"/>
    <w:rsid w:val="006F2E9E"/>
    <w:rsid w:val="006F76FC"/>
    <w:rsid w:val="00720A13"/>
    <w:rsid w:val="007243E7"/>
    <w:rsid w:val="00734C14"/>
    <w:rsid w:val="00742F9C"/>
    <w:rsid w:val="00774CF8"/>
    <w:rsid w:val="0079607F"/>
    <w:rsid w:val="007C18D6"/>
    <w:rsid w:val="007C7677"/>
    <w:rsid w:val="007D456D"/>
    <w:rsid w:val="007D5A3C"/>
    <w:rsid w:val="007E2C9F"/>
    <w:rsid w:val="007E5A5E"/>
    <w:rsid w:val="007E78CA"/>
    <w:rsid w:val="00810F4E"/>
    <w:rsid w:val="00822418"/>
    <w:rsid w:val="008275C5"/>
    <w:rsid w:val="0083406F"/>
    <w:rsid w:val="008345E9"/>
    <w:rsid w:val="0085437A"/>
    <w:rsid w:val="0087132C"/>
    <w:rsid w:val="008772CF"/>
    <w:rsid w:val="0088125B"/>
    <w:rsid w:val="00884757"/>
    <w:rsid w:val="00890C36"/>
    <w:rsid w:val="00894B20"/>
    <w:rsid w:val="008B41F4"/>
    <w:rsid w:val="008B5C6D"/>
    <w:rsid w:val="008C3177"/>
    <w:rsid w:val="008D36E4"/>
    <w:rsid w:val="008D5856"/>
    <w:rsid w:val="008F410F"/>
    <w:rsid w:val="009056CD"/>
    <w:rsid w:val="00913E74"/>
    <w:rsid w:val="00914550"/>
    <w:rsid w:val="009168DF"/>
    <w:rsid w:val="00925E7F"/>
    <w:rsid w:val="00937279"/>
    <w:rsid w:val="00965572"/>
    <w:rsid w:val="00970F85"/>
    <w:rsid w:val="00976E1D"/>
    <w:rsid w:val="00993BCD"/>
    <w:rsid w:val="009A3B31"/>
    <w:rsid w:val="009A5BAA"/>
    <w:rsid w:val="009B4D64"/>
    <w:rsid w:val="009D57F9"/>
    <w:rsid w:val="009F3B8A"/>
    <w:rsid w:val="00A31A7F"/>
    <w:rsid w:val="00A43E3A"/>
    <w:rsid w:val="00A53158"/>
    <w:rsid w:val="00A85F1E"/>
    <w:rsid w:val="00AA2ACF"/>
    <w:rsid w:val="00AB487C"/>
    <w:rsid w:val="00AB4AD8"/>
    <w:rsid w:val="00AF5441"/>
    <w:rsid w:val="00AF7F9B"/>
    <w:rsid w:val="00B03531"/>
    <w:rsid w:val="00B0440E"/>
    <w:rsid w:val="00B05938"/>
    <w:rsid w:val="00B105D0"/>
    <w:rsid w:val="00B44D1F"/>
    <w:rsid w:val="00B50F1C"/>
    <w:rsid w:val="00B60580"/>
    <w:rsid w:val="00B916E7"/>
    <w:rsid w:val="00B9581E"/>
    <w:rsid w:val="00B9601F"/>
    <w:rsid w:val="00BA39CE"/>
    <w:rsid w:val="00BA3A36"/>
    <w:rsid w:val="00BB20C8"/>
    <w:rsid w:val="00BC76AE"/>
    <w:rsid w:val="00BE4831"/>
    <w:rsid w:val="00BE745F"/>
    <w:rsid w:val="00BF06E2"/>
    <w:rsid w:val="00C12FCE"/>
    <w:rsid w:val="00C17403"/>
    <w:rsid w:val="00C2596A"/>
    <w:rsid w:val="00C40679"/>
    <w:rsid w:val="00C676AC"/>
    <w:rsid w:val="00C80315"/>
    <w:rsid w:val="00C8152E"/>
    <w:rsid w:val="00C82791"/>
    <w:rsid w:val="00C835DA"/>
    <w:rsid w:val="00CA1A00"/>
    <w:rsid w:val="00CC377C"/>
    <w:rsid w:val="00CE3020"/>
    <w:rsid w:val="00CE4112"/>
    <w:rsid w:val="00CE4E63"/>
    <w:rsid w:val="00D00F40"/>
    <w:rsid w:val="00D05063"/>
    <w:rsid w:val="00D054D7"/>
    <w:rsid w:val="00D23697"/>
    <w:rsid w:val="00D23B80"/>
    <w:rsid w:val="00D2462C"/>
    <w:rsid w:val="00D31A7D"/>
    <w:rsid w:val="00D502F0"/>
    <w:rsid w:val="00D76B0D"/>
    <w:rsid w:val="00D77041"/>
    <w:rsid w:val="00D77165"/>
    <w:rsid w:val="00D7777D"/>
    <w:rsid w:val="00D8183B"/>
    <w:rsid w:val="00D84C35"/>
    <w:rsid w:val="00D86706"/>
    <w:rsid w:val="00D91B0F"/>
    <w:rsid w:val="00D91B6B"/>
    <w:rsid w:val="00D97380"/>
    <w:rsid w:val="00DB2DFF"/>
    <w:rsid w:val="00DB77B5"/>
    <w:rsid w:val="00DC1C1A"/>
    <w:rsid w:val="00DC2827"/>
    <w:rsid w:val="00DF2327"/>
    <w:rsid w:val="00DF3E3A"/>
    <w:rsid w:val="00DF6DCE"/>
    <w:rsid w:val="00E05A4A"/>
    <w:rsid w:val="00E105A3"/>
    <w:rsid w:val="00E11EA4"/>
    <w:rsid w:val="00E21F4B"/>
    <w:rsid w:val="00E22D71"/>
    <w:rsid w:val="00E237BD"/>
    <w:rsid w:val="00E240E1"/>
    <w:rsid w:val="00E31CC6"/>
    <w:rsid w:val="00E32118"/>
    <w:rsid w:val="00E363C5"/>
    <w:rsid w:val="00E41B43"/>
    <w:rsid w:val="00E47718"/>
    <w:rsid w:val="00E7384E"/>
    <w:rsid w:val="00E90CF7"/>
    <w:rsid w:val="00E93AF4"/>
    <w:rsid w:val="00EA3CC3"/>
    <w:rsid w:val="00EA42A4"/>
    <w:rsid w:val="00EB6B53"/>
    <w:rsid w:val="00EB736C"/>
    <w:rsid w:val="00ED26D9"/>
    <w:rsid w:val="00ED6BB1"/>
    <w:rsid w:val="00F11EE5"/>
    <w:rsid w:val="00F23E44"/>
    <w:rsid w:val="00F27458"/>
    <w:rsid w:val="00F439FC"/>
    <w:rsid w:val="00F46BD8"/>
    <w:rsid w:val="00F60659"/>
    <w:rsid w:val="00F779AE"/>
    <w:rsid w:val="00F863E3"/>
    <w:rsid w:val="00F93A3B"/>
    <w:rsid w:val="00F9548E"/>
    <w:rsid w:val="00FA3B85"/>
    <w:rsid w:val="00FC4CD5"/>
    <w:rsid w:val="00FD467F"/>
    <w:rsid w:val="00FE218A"/>
    <w:rsid w:val="00FF75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DEA0"/>
  <w15:chartTrackingRefBased/>
  <w15:docId w15:val="{5F9AB3A8-E384-40FD-A5F6-0E980343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B76"/>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A1B76"/>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A1B76"/>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A1B76"/>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1B76"/>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A1B76"/>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A1B76"/>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A1B76"/>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1B76"/>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43"/>
  </w:style>
  <w:style w:type="paragraph" w:styleId="Footer">
    <w:name w:val="footer"/>
    <w:basedOn w:val="Normal"/>
    <w:link w:val="FooterChar"/>
    <w:uiPriority w:val="99"/>
    <w:unhideWhenUsed/>
    <w:rsid w:val="00E4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43"/>
  </w:style>
  <w:style w:type="paragraph" w:customStyle="1" w:styleId="Default">
    <w:name w:val="Default"/>
    <w:rsid w:val="00D84C3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17E9"/>
    <w:pPr>
      <w:ind w:left="720"/>
      <w:contextualSpacing/>
    </w:pPr>
  </w:style>
  <w:style w:type="paragraph" w:styleId="FootnoteText">
    <w:name w:val="footnote text"/>
    <w:basedOn w:val="Normal"/>
    <w:link w:val="FootnoteTextChar"/>
    <w:uiPriority w:val="99"/>
    <w:semiHidden/>
    <w:unhideWhenUsed/>
    <w:rsid w:val="00E24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0E1"/>
    <w:rPr>
      <w:sz w:val="20"/>
      <w:szCs w:val="20"/>
    </w:rPr>
  </w:style>
  <w:style w:type="character" w:styleId="FootnoteReference">
    <w:name w:val="footnote reference"/>
    <w:basedOn w:val="DefaultParagraphFont"/>
    <w:uiPriority w:val="99"/>
    <w:semiHidden/>
    <w:unhideWhenUsed/>
    <w:rsid w:val="00E240E1"/>
    <w:rPr>
      <w:vertAlign w:val="superscript"/>
    </w:rPr>
  </w:style>
  <w:style w:type="character" w:styleId="Hyperlink">
    <w:name w:val="Hyperlink"/>
    <w:basedOn w:val="DefaultParagraphFont"/>
    <w:uiPriority w:val="99"/>
    <w:unhideWhenUsed/>
    <w:rsid w:val="005A1B76"/>
    <w:rPr>
      <w:color w:val="0563C1" w:themeColor="hyperlink"/>
      <w:u w:val="single"/>
    </w:rPr>
  </w:style>
  <w:style w:type="character" w:customStyle="1" w:styleId="Heading1Char">
    <w:name w:val="Heading 1 Char"/>
    <w:basedOn w:val="DefaultParagraphFont"/>
    <w:link w:val="Heading1"/>
    <w:uiPriority w:val="9"/>
    <w:rsid w:val="005A1B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A1B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A1B7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A1B7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A1B7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A1B7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A1B7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A1B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1B7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90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61"/>
    <w:rPr>
      <w:rFonts w:ascii="Segoe UI" w:hAnsi="Segoe UI" w:cs="Segoe UI"/>
      <w:sz w:val="18"/>
      <w:szCs w:val="18"/>
    </w:rPr>
  </w:style>
  <w:style w:type="paragraph" w:styleId="Revision">
    <w:name w:val="Revision"/>
    <w:hidden/>
    <w:uiPriority w:val="99"/>
    <w:semiHidden/>
    <w:rsid w:val="00C40679"/>
    <w:pPr>
      <w:spacing w:after="0" w:line="240" w:lineRule="auto"/>
    </w:pPr>
  </w:style>
  <w:style w:type="character" w:styleId="FollowedHyperlink">
    <w:name w:val="FollowedHyperlink"/>
    <w:basedOn w:val="DefaultParagraphFont"/>
    <w:uiPriority w:val="99"/>
    <w:semiHidden/>
    <w:unhideWhenUsed/>
    <w:rsid w:val="00ED26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25660">
      <w:bodyDiv w:val="1"/>
      <w:marLeft w:val="0"/>
      <w:marRight w:val="0"/>
      <w:marTop w:val="0"/>
      <w:marBottom w:val="0"/>
      <w:divBdr>
        <w:top w:val="none" w:sz="0" w:space="0" w:color="auto"/>
        <w:left w:val="none" w:sz="0" w:space="0" w:color="auto"/>
        <w:bottom w:val="none" w:sz="0" w:space="0" w:color="auto"/>
        <w:right w:val="none" w:sz="0" w:space="0" w:color="auto"/>
      </w:divBdr>
    </w:div>
    <w:div w:id="122016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Non-profit/Getting-started/In-detail/Types-of-DGRs/Animal-welfare-charities/?anchor=Whatisananimalwelfarecharity" TargetMode="External"/><Relationship Id="rId2" Type="http://schemas.openxmlformats.org/officeDocument/2006/relationships/hyperlink" Target="https://www.ato.gov.au/Non-profit/Getting-started/Getting-endorsed-for-tax-concessions-or-as-a-DGR/Is-my-organisation-eligible-for-DGR-endorsement-/DGR-categories/" TargetMode="External"/><Relationship Id="rId1" Type="http://schemas.openxmlformats.org/officeDocument/2006/relationships/hyperlink" Target="http://www.ado.org.au" TargetMode="External"/><Relationship Id="rId4" Type="http://schemas.openxmlformats.org/officeDocument/2006/relationships/hyperlink" Target="https://www.oecd-ilibrary.org/sites/722d538f-en/index.html?itemId=/content/component/722d538f-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422C9-E789-403F-8C54-B147D883052F}">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E287C2B5-C1D3-496B-AD64-152076634A50}">
  <ds:schemaRefs>
    <ds:schemaRef ds:uri="http://schemas.microsoft.com/sharepoint/v3/contenttype/forms"/>
  </ds:schemaRefs>
</ds:datastoreItem>
</file>

<file path=customXml/itemProps3.xml><?xml version="1.0" encoding="utf-8"?>
<ds:datastoreItem xmlns:ds="http://schemas.openxmlformats.org/officeDocument/2006/customXml" ds:itemID="{77ADC0A2-9FCE-4093-8B80-0C6CF7824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D3892-0BFC-45D6-8271-F9CC23F3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Submission 184 - Animal Defenders Office - Philanthropy - Public inquiry</vt:lpstr>
    </vt:vector>
  </TitlesOfParts>
  <Company>Animal Defenders Office</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184 - Animal Defenders Office - Philanthropy - Public inquiry</dc:title>
  <dc:subject/>
  <dc:creator>Animal Defenders Office</dc:creator>
  <cp:keywords/>
  <dc:description/>
  <cp:lastModifiedBy>Alexandra Dazey</cp:lastModifiedBy>
  <cp:revision>4</cp:revision>
  <cp:lastPrinted>2023-05-03T07:09:00Z</cp:lastPrinted>
  <dcterms:created xsi:type="dcterms:W3CDTF">2023-05-05T13:14:00Z</dcterms:created>
  <dcterms:modified xsi:type="dcterms:W3CDTF">2023-05-18T05:13:00Z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