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617D" w14:textId="4287145C" w:rsidR="00BF7ABC" w:rsidRDefault="00D0549C">
      <w:pPr>
        <w:spacing w:line="160" w:lineRule="atLeast"/>
        <w:rPr>
          <w:rFonts w:ascii="Times New Roman" w:eastAsia="Times New Roman" w:hAnsi="Times New Roman" w:cs="Times New Roman"/>
          <w:sz w:val="16"/>
          <w:szCs w:val="16"/>
        </w:rPr>
      </w:pPr>
      <w:r>
        <w:rPr>
          <w:noProof/>
          <w:lang w:val="en-AU" w:eastAsia="en-AU"/>
        </w:rPr>
        <mc:AlternateContent>
          <mc:Choice Requires="wps">
            <w:drawing>
              <wp:anchor distT="0" distB="0" distL="114300" distR="114300" simplePos="0" relativeHeight="503313536" behindDoc="1" locked="0" layoutInCell="1" allowOverlap="1" wp14:anchorId="65F99508" wp14:editId="6CFB711C">
                <wp:simplePos x="0" y="0"/>
                <wp:positionH relativeFrom="page">
                  <wp:posOffset>175260</wp:posOffset>
                </wp:positionH>
                <wp:positionV relativeFrom="page">
                  <wp:posOffset>9972040</wp:posOffset>
                </wp:positionV>
                <wp:extent cx="7385050" cy="720090"/>
                <wp:effectExtent l="3810" t="0" r="2540" b="4445"/>
                <wp:wrapNone/>
                <wp:docPr id="1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0" cy="720090"/>
                        </a:xfrm>
                        <a:prstGeom prst="rect">
                          <a:avLst/>
                        </a:prstGeom>
                        <a:solidFill>
                          <a:srgbClr val="0071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6DE3D" w14:textId="77777777" w:rsidR="00BF7ABC" w:rsidRPr="005E419D" w:rsidRDefault="00BF7ABC">
                            <w:pPr>
                              <w:spacing w:before="1"/>
                              <w:rPr>
                                <w:rFonts w:ascii="Times New Roman" w:eastAsia="Times New Roman" w:hAnsi="Times New Roman" w:cs="Times New Roman"/>
                                <w:color w:val="FFFFFF" w:themeColor="background1"/>
                              </w:rPr>
                            </w:pPr>
                          </w:p>
                          <w:p w14:paraId="3108B3CF" w14:textId="5A85CEAD" w:rsidR="00BF7ABC" w:rsidRPr="00D0549C" w:rsidRDefault="006648C0" w:rsidP="00D0549C">
                            <w:pPr>
                              <w:pStyle w:val="BodyText"/>
                              <w:tabs>
                                <w:tab w:val="left" w:pos="5103"/>
                                <w:tab w:val="left" w:pos="8080"/>
                              </w:tabs>
                              <w:spacing w:line="245" w:lineRule="exact"/>
                              <w:ind w:left="284" w:hanging="47"/>
                              <w:rPr>
                                <w:color w:val="FFFFFF" w:themeColor="background1"/>
                                <w:sz w:val="18"/>
                                <w:szCs w:val="18"/>
                              </w:rPr>
                            </w:pPr>
                            <w:r>
                              <w:rPr>
                                <w:color w:val="FFFFFF" w:themeColor="background1"/>
                                <w:spacing w:val="-1"/>
                                <w:sz w:val="18"/>
                                <w:szCs w:val="18"/>
                              </w:rPr>
                              <w:t>Unit 11/58 Metroplex</w:t>
                            </w:r>
                            <w:r w:rsidR="005E419D" w:rsidRPr="00D0549C">
                              <w:rPr>
                                <w:color w:val="FFFFFF" w:themeColor="background1"/>
                                <w:sz w:val="18"/>
                                <w:szCs w:val="18"/>
                              </w:rPr>
                              <w:t xml:space="preserve"> </w:t>
                            </w:r>
                            <w:r w:rsidR="005E419D" w:rsidRPr="00D0549C">
                              <w:rPr>
                                <w:color w:val="FFFFFF" w:themeColor="background1"/>
                                <w:spacing w:val="-1"/>
                                <w:sz w:val="18"/>
                                <w:szCs w:val="18"/>
                              </w:rPr>
                              <w:t>Avenue,</w:t>
                            </w:r>
                            <w:r w:rsidR="005E419D" w:rsidRPr="00D0549C">
                              <w:rPr>
                                <w:color w:val="FFFFFF" w:themeColor="background1"/>
                                <w:sz w:val="18"/>
                                <w:szCs w:val="18"/>
                              </w:rPr>
                              <w:t xml:space="preserve"> </w:t>
                            </w:r>
                            <w:proofErr w:type="spellStart"/>
                            <w:r w:rsidR="005E419D" w:rsidRPr="00D0549C">
                              <w:rPr>
                                <w:color w:val="FFFFFF" w:themeColor="background1"/>
                                <w:sz w:val="18"/>
                                <w:szCs w:val="18"/>
                              </w:rPr>
                              <w:t>M</w:t>
                            </w:r>
                            <w:r>
                              <w:rPr>
                                <w:color w:val="FFFFFF" w:themeColor="background1"/>
                                <w:sz w:val="18"/>
                                <w:szCs w:val="18"/>
                              </w:rPr>
                              <w:t>urarrie</w:t>
                            </w:r>
                            <w:proofErr w:type="spellEnd"/>
                            <w:r w:rsidR="005E419D" w:rsidRPr="00D0549C">
                              <w:rPr>
                                <w:color w:val="FFFFFF" w:themeColor="background1"/>
                                <w:sz w:val="18"/>
                                <w:szCs w:val="18"/>
                              </w:rPr>
                              <w:t xml:space="preserve">, </w:t>
                            </w:r>
                            <w:r>
                              <w:rPr>
                                <w:color w:val="FFFFFF" w:themeColor="background1"/>
                                <w:sz w:val="18"/>
                                <w:szCs w:val="18"/>
                              </w:rPr>
                              <w:t>QLD</w:t>
                            </w:r>
                            <w:r w:rsidR="005E419D" w:rsidRPr="00D0549C">
                              <w:rPr>
                                <w:color w:val="FFFFFF" w:themeColor="background1"/>
                                <w:sz w:val="18"/>
                                <w:szCs w:val="18"/>
                              </w:rPr>
                              <w:t xml:space="preserve"> </w:t>
                            </w:r>
                            <w:r>
                              <w:rPr>
                                <w:color w:val="FFFFFF" w:themeColor="background1"/>
                                <w:sz w:val="18"/>
                                <w:szCs w:val="18"/>
                              </w:rPr>
                              <w:t>4172</w:t>
                            </w:r>
                            <w:r w:rsidR="005E419D" w:rsidRPr="00D0549C">
                              <w:rPr>
                                <w:color w:val="FFFFFF" w:themeColor="background1"/>
                                <w:sz w:val="18"/>
                                <w:szCs w:val="18"/>
                              </w:rPr>
                              <w:tab/>
                            </w:r>
                            <w:r w:rsidR="005E419D" w:rsidRPr="00D0549C">
                              <w:rPr>
                                <w:rFonts w:ascii="Arial Narrow"/>
                                <w:b/>
                                <w:color w:val="FFFFFF" w:themeColor="background1"/>
                                <w:sz w:val="18"/>
                                <w:szCs w:val="18"/>
                              </w:rPr>
                              <w:t>T:</w:t>
                            </w:r>
                            <w:r w:rsidR="005E419D" w:rsidRPr="00D0549C">
                              <w:rPr>
                                <w:rFonts w:ascii="Arial Narrow"/>
                                <w:b/>
                                <w:color w:val="FFFFFF" w:themeColor="background1"/>
                                <w:spacing w:val="-16"/>
                                <w:sz w:val="18"/>
                                <w:szCs w:val="18"/>
                              </w:rPr>
                              <w:t xml:space="preserve"> </w:t>
                            </w:r>
                            <w:r w:rsidR="005E419D" w:rsidRPr="00D0549C">
                              <w:rPr>
                                <w:color w:val="FFFFFF" w:themeColor="background1"/>
                                <w:sz w:val="18"/>
                                <w:szCs w:val="18"/>
                              </w:rPr>
                              <w:t>(0</w:t>
                            </w:r>
                            <w:r>
                              <w:rPr>
                                <w:color w:val="FFFFFF" w:themeColor="background1"/>
                                <w:sz w:val="18"/>
                                <w:szCs w:val="18"/>
                              </w:rPr>
                              <w:t>7</w:t>
                            </w:r>
                            <w:r w:rsidR="005E419D" w:rsidRPr="00D0549C">
                              <w:rPr>
                                <w:color w:val="FFFFFF" w:themeColor="background1"/>
                                <w:sz w:val="18"/>
                                <w:szCs w:val="18"/>
                              </w:rPr>
                              <w:t>)</w:t>
                            </w:r>
                            <w:r w:rsidR="005E419D" w:rsidRPr="00D0549C">
                              <w:rPr>
                                <w:color w:val="FFFFFF" w:themeColor="background1"/>
                                <w:spacing w:val="-8"/>
                                <w:sz w:val="18"/>
                                <w:szCs w:val="18"/>
                              </w:rPr>
                              <w:t xml:space="preserve"> </w:t>
                            </w:r>
                            <w:r w:rsidR="00316303">
                              <w:rPr>
                                <w:color w:val="FFFFFF" w:themeColor="background1"/>
                                <w:spacing w:val="1"/>
                                <w:sz w:val="18"/>
                                <w:szCs w:val="18"/>
                              </w:rPr>
                              <w:t>3517</w:t>
                            </w:r>
                            <w:r w:rsidR="005E419D" w:rsidRPr="00D0549C">
                              <w:rPr>
                                <w:color w:val="FFFFFF" w:themeColor="background1"/>
                                <w:spacing w:val="-8"/>
                                <w:sz w:val="18"/>
                                <w:szCs w:val="18"/>
                              </w:rPr>
                              <w:t xml:space="preserve"> </w:t>
                            </w:r>
                            <w:r w:rsidR="005E419D" w:rsidRPr="00D0549C">
                              <w:rPr>
                                <w:color w:val="FFFFFF" w:themeColor="background1"/>
                                <w:sz w:val="18"/>
                                <w:szCs w:val="18"/>
                              </w:rPr>
                              <w:t>4000</w:t>
                            </w:r>
                            <w:r w:rsidR="005E419D" w:rsidRPr="00D0549C">
                              <w:rPr>
                                <w:color w:val="FFFFFF" w:themeColor="background1"/>
                                <w:sz w:val="18"/>
                                <w:szCs w:val="18"/>
                              </w:rPr>
                              <w:tab/>
                            </w:r>
                            <w:r w:rsidR="00D0549C" w:rsidRPr="00D0549C">
                              <w:rPr>
                                <w:rStyle w:val="Hyperlink"/>
                                <w:color w:val="FFFFFF" w:themeColor="background1"/>
                                <w:spacing w:val="-1"/>
                                <w:w w:val="95"/>
                                <w:sz w:val="18"/>
                                <w:szCs w:val="18"/>
                              </w:rPr>
                              <w:br/>
                            </w:r>
                            <w:r w:rsidR="00D0549C" w:rsidRPr="00D0549C">
                              <w:rPr>
                                <w:rStyle w:val="Hyperlink"/>
                                <w:color w:val="FFFFFF" w:themeColor="background1"/>
                                <w:spacing w:val="-1"/>
                                <w:w w:val="95"/>
                                <w:sz w:val="18"/>
                                <w:szCs w:val="18"/>
                                <w:u w:val="none"/>
                              </w:rPr>
                              <w:t>Irrigation Australia Limited (</w:t>
                            </w:r>
                            <w:r w:rsidR="005E419D" w:rsidRPr="00D0549C">
                              <w:rPr>
                                <w:color w:val="FFFFFF" w:themeColor="background1"/>
                                <w:spacing w:val="-1"/>
                                <w:w w:val="95"/>
                                <w:sz w:val="18"/>
                                <w:szCs w:val="18"/>
                              </w:rPr>
                              <w:t>ACN 002 567 633</w:t>
                            </w:r>
                            <w:r w:rsidR="00D0549C" w:rsidRPr="00D0549C">
                              <w:rPr>
                                <w:color w:val="FFFFFF" w:themeColor="background1"/>
                                <w:spacing w:val="-1"/>
                                <w:w w:val="95"/>
                                <w:sz w:val="18"/>
                                <w:szCs w:val="18"/>
                              </w:rPr>
                              <w:t>)</w:t>
                            </w:r>
                            <w:r w:rsidR="00046A6B">
                              <w:rPr>
                                <w:color w:val="FFFFFF" w:themeColor="background1"/>
                                <w:spacing w:val="-1"/>
                                <w:w w:val="95"/>
                                <w:sz w:val="18"/>
                                <w:szCs w:val="18"/>
                              </w:rPr>
                              <w:tab/>
                            </w:r>
                            <w:r w:rsidR="00D0549C" w:rsidRPr="00D0549C">
                              <w:rPr>
                                <w:color w:val="FFFFFF" w:themeColor="background1"/>
                                <w:spacing w:val="-1"/>
                                <w:w w:val="95"/>
                                <w:sz w:val="18"/>
                                <w:szCs w:val="18"/>
                              </w:rPr>
                              <w:t>F: (0</w:t>
                            </w:r>
                            <w:r w:rsidR="00316303">
                              <w:rPr>
                                <w:color w:val="FFFFFF" w:themeColor="background1"/>
                                <w:spacing w:val="-1"/>
                                <w:w w:val="95"/>
                                <w:sz w:val="18"/>
                                <w:szCs w:val="18"/>
                              </w:rPr>
                              <w:t>7</w:t>
                            </w:r>
                            <w:r w:rsidR="00D0549C" w:rsidRPr="00D0549C">
                              <w:rPr>
                                <w:color w:val="FFFFFF" w:themeColor="background1"/>
                                <w:spacing w:val="-1"/>
                                <w:w w:val="95"/>
                                <w:sz w:val="18"/>
                                <w:szCs w:val="18"/>
                              </w:rPr>
                              <w:t xml:space="preserve">) </w:t>
                            </w:r>
                            <w:r w:rsidR="00316303">
                              <w:rPr>
                                <w:color w:val="FFFFFF" w:themeColor="background1"/>
                                <w:spacing w:val="-1"/>
                                <w:w w:val="95"/>
                                <w:sz w:val="18"/>
                                <w:szCs w:val="18"/>
                              </w:rPr>
                              <w:t>3517</w:t>
                            </w:r>
                            <w:r w:rsidR="00D0549C" w:rsidRPr="00D0549C">
                              <w:rPr>
                                <w:color w:val="FFFFFF" w:themeColor="background1"/>
                                <w:spacing w:val="-1"/>
                                <w:w w:val="95"/>
                                <w:sz w:val="18"/>
                                <w:szCs w:val="18"/>
                              </w:rPr>
                              <w:t xml:space="preserve"> 40</w:t>
                            </w:r>
                            <w:r w:rsidR="00316303">
                              <w:rPr>
                                <w:color w:val="FFFFFF" w:themeColor="background1"/>
                                <w:spacing w:val="-1"/>
                                <w:w w:val="95"/>
                                <w:sz w:val="18"/>
                                <w:szCs w:val="18"/>
                              </w:rPr>
                              <w:t>10</w:t>
                            </w:r>
                          </w:p>
                          <w:p w14:paraId="35E6EA63" w14:textId="0D393B72" w:rsidR="00BF7ABC" w:rsidRPr="005E419D" w:rsidRDefault="005E419D" w:rsidP="00D0549C">
                            <w:pPr>
                              <w:pStyle w:val="BodyText"/>
                              <w:tabs>
                                <w:tab w:val="left" w:pos="5103"/>
                                <w:tab w:val="left" w:pos="6521"/>
                                <w:tab w:val="left" w:pos="9498"/>
                              </w:tabs>
                              <w:spacing w:line="245" w:lineRule="exact"/>
                              <w:ind w:hanging="614"/>
                              <w:rPr>
                                <w:color w:val="FFFFFF" w:themeColor="background1"/>
                              </w:rPr>
                            </w:pPr>
                            <w:r w:rsidRPr="00D0549C">
                              <w:rPr>
                                <w:color w:val="FFFFFF" w:themeColor="background1"/>
                                <w:sz w:val="18"/>
                                <w:szCs w:val="18"/>
                              </w:rPr>
                              <w:t xml:space="preserve">PO Box </w:t>
                            </w:r>
                            <w:r w:rsidR="00316303">
                              <w:rPr>
                                <w:color w:val="FFFFFF" w:themeColor="background1"/>
                                <w:sz w:val="18"/>
                                <w:szCs w:val="18"/>
                              </w:rPr>
                              <w:t>13</w:t>
                            </w:r>
                            <w:r w:rsidRPr="00D0549C">
                              <w:rPr>
                                <w:color w:val="FFFFFF" w:themeColor="background1"/>
                                <w:sz w:val="18"/>
                                <w:szCs w:val="18"/>
                              </w:rPr>
                              <w:t xml:space="preserve">, </w:t>
                            </w:r>
                            <w:r w:rsidR="00316303">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11">
                              <w:r w:rsidRPr="00D0549C">
                                <w:rPr>
                                  <w:color w:val="FFFFFF" w:themeColor="background1"/>
                                  <w:spacing w:val="-1"/>
                                  <w:sz w:val="18"/>
                                  <w:szCs w:val="18"/>
                                </w:rPr>
                                <w:t>www.irrigationaustralia.com.au</w:t>
                              </w:r>
                            </w:hyperlink>
                            <w:r w:rsidRPr="005E419D">
                              <w:rPr>
                                <w:color w:val="FFFFFF" w:themeColor="background1"/>
                                <w:spacing w:val="-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9508" id="_x0000_t202" coordsize="21600,21600" o:spt="202" path="m,l,21600r21600,l21600,xe">
                <v:stroke joinstyle="miter"/>
                <v:path gradientshapeok="t" o:connecttype="rect"/>
              </v:shapetype>
              <v:shape id="Text Box 191" o:spid="_x0000_s1026" type="#_x0000_t202" style="position:absolute;margin-left:13.8pt;margin-top:785.2pt;width:581.5pt;height:56.7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" fillcolor="#00718f" stroked="f">
                <v:textbox inset="0,0,0,0">
                  <w:txbxContent>
                    <w:p w14:paraId="6086DE3D" w14:textId="77777777" w:rsidR="00BF7ABC" w:rsidRPr="005E419D" w:rsidRDefault="00BF7ABC">
                      <w:pPr>
                        <w:spacing w:before="1"/>
                        <w:rPr>
                          <w:rFonts w:ascii="Times New Roman" w:eastAsia="Times New Roman" w:hAnsi="Times New Roman" w:cs="Times New Roman"/>
                          <w:color w:val="FFFFFF" w:themeColor="background1"/>
                        </w:rPr>
                      </w:pPr>
                    </w:p>
                    <w:p w14:paraId="3108B3CF" w14:textId="5A85CEAD" w:rsidR="00BF7ABC" w:rsidRPr="00D0549C" w:rsidRDefault="006648C0" w:rsidP="00D0549C">
                      <w:pPr>
                        <w:pStyle w:val="BodyText"/>
                        <w:tabs>
                          <w:tab w:val="left" w:pos="5103"/>
                          <w:tab w:val="left" w:pos="8080"/>
                        </w:tabs>
                        <w:spacing w:line="245" w:lineRule="exact"/>
                        <w:ind w:left="284" w:hanging="47"/>
                        <w:rPr>
                          <w:color w:val="FFFFFF" w:themeColor="background1"/>
                          <w:sz w:val="18"/>
                          <w:szCs w:val="18"/>
                        </w:rPr>
                      </w:pPr>
                      <w:r>
                        <w:rPr>
                          <w:color w:val="FFFFFF" w:themeColor="background1"/>
                          <w:spacing w:val="-1"/>
                          <w:sz w:val="18"/>
                          <w:szCs w:val="18"/>
                        </w:rPr>
                        <w:t>Unit 11/58 Metroplex</w:t>
                      </w:r>
                      <w:r w:rsidR="005E419D" w:rsidRPr="00D0549C">
                        <w:rPr>
                          <w:color w:val="FFFFFF" w:themeColor="background1"/>
                          <w:sz w:val="18"/>
                          <w:szCs w:val="18"/>
                        </w:rPr>
                        <w:t xml:space="preserve"> </w:t>
                      </w:r>
                      <w:r w:rsidR="005E419D" w:rsidRPr="00D0549C">
                        <w:rPr>
                          <w:color w:val="FFFFFF" w:themeColor="background1"/>
                          <w:spacing w:val="-1"/>
                          <w:sz w:val="18"/>
                          <w:szCs w:val="18"/>
                        </w:rPr>
                        <w:t>Avenue,</w:t>
                      </w:r>
                      <w:r w:rsidR="005E419D" w:rsidRPr="00D0549C">
                        <w:rPr>
                          <w:color w:val="FFFFFF" w:themeColor="background1"/>
                          <w:sz w:val="18"/>
                          <w:szCs w:val="18"/>
                        </w:rPr>
                        <w:t xml:space="preserve"> </w:t>
                      </w:r>
                      <w:proofErr w:type="spellStart"/>
                      <w:r w:rsidR="005E419D" w:rsidRPr="00D0549C">
                        <w:rPr>
                          <w:color w:val="FFFFFF" w:themeColor="background1"/>
                          <w:sz w:val="18"/>
                          <w:szCs w:val="18"/>
                        </w:rPr>
                        <w:t>M</w:t>
                      </w:r>
                      <w:r>
                        <w:rPr>
                          <w:color w:val="FFFFFF" w:themeColor="background1"/>
                          <w:sz w:val="18"/>
                          <w:szCs w:val="18"/>
                        </w:rPr>
                        <w:t>urarrie</w:t>
                      </w:r>
                      <w:proofErr w:type="spellEnd"/>
                      <w:r w:rsidR="005E419D" w:rsidRPr="00D0549C">
                        <w:rPr>
                          <w:color w:val="FFFFFF" w:themeColor="background1"/>
                          <w:sz w:val="18"/>
                          <w:szCs w:val="18"/>
                        </w:rPr>
                        <w:t xml:space="preserve">, </w:t>
                      </w:r>
                      <w:r>
                        <w:rPr>
                          <w:color w:val="FFFFFF" w:themeColor="background1"/>
                          <w:sz w:val="18"/>
                          <w:szCs w:val="18"/>
                        </w:rPr>
                        <w:t>QLD</w:t>
                      </w:r>
                      <w:r w:rsidR="005E419D" w:rsidRPr="00D0549C">
                        <w:rPr>
                          <w:color w:val="FFFFFF" w:themeColor="background1"/>
                          <w:sz w:val="18"/>
                          <w:szCs w:val="18"/>
                        </w:rPr>
                        <w:t xml:space="preserve"> </w:t>
                      </w:r>
                      <w:r>
                        <w:rPr>
                          <w:color w:val="FFFFFF" w:themeColor="background1"/>
                          <w:sz w:val="18"/>
                          <w:szCs w:val="18"/>
                        </w:rPr>
                        <w:t>4172</w:t>
                      </w:r>
                      <w:r w:rsidR="005E419D" w:rsidRPr="00D0549C">
                        <w:rPr>
                          <w:color w:val="FFFFFF" w:themeColor="background1"/>
                          <w:sz w:val="18"/>
                          <w:szCs w:val="18"/>
                        </w:rPr>
                        <w:tab/>
                      </w:r>
                      <w:r w:rsidR="005E419D" w:rsidRPr="00D0549C">
                        <w:rPr>
                          <w:rFonts w:ascii="Arial Narrow"/>
                          <w:b/>
                          <w:color w:val="FFFFFF" w:themeColor="background1"/>
                          <w:sz w:val="18"/>
                          <w:szCs w:val="18"/>
                        </w:rPr>
                        <w:t>T:</w:t>
                      </w:r>
                      <w:r w:rsidR="005E419D" w:rsidRPr="00D0549C">
                        <w:rPr>
                          <w:rFonts w:ascii="Arial Narrow"/>
                          <w:b/>
                          <w:color w:val="FFFFFF" w:themeColor="background1"/>
                          <w:spacing w:val="-16"/>
                          <w:sz w:val="18"/>
                          <w:szCs w:val="18"/>
                        </w:rPr>
                        <w:t xml:space="preserve"> </w:t>
                      </w:r>
                      <w:r w:rsidR="005E419D" w:rsidRPr="00D0549C">
                        <w:rPr>
                          <w:color w:val="FFFFFF" w:themeColor="background1"/>
                          <w:sz w:val="18"/>
                          <w:szCs w:val="18"/>
                        </w:rPr>
                        <w:t>(0</w:t>
                      </w:r>
                      <w:r>
                        <w:rPr>
                          <w:color w:val="FFFFFF" w:themeColor="background1"/>
                          <w:sz w:val="18"/>
                          <w:szCs w:val="18"/>
                        </w:rPr>
                        <w:t>7</w:t>
                      </w:r>
                      <w:r w:rsidR="005E419D" w:rsidRPr="00D0549C">
                        <w:rPr>
                          <w:color w:val="FFFFFF" w:themeColor="background1"/>
                          <w:sz w:val="18"/>
                          <w:szCs w:val="18"/>
                        </w:rPr>
                        <w:t>)</w:t>
                      </w:r>
                      <w:r w:rsidR="005E419D" w:rsidRPr="00D0549C">
                        <w:rPr>
                          <w:color w:val="FFFFFF" w:themeColor="background1"/>
                          <w:spacing w:val="-8"/>
                          <w:sz w:val="18"/>
                          <w:szCs w:val="18"/>
                        </w:rPr>
                        <w:t xml:space="preserve"> </w:t>
                      </w:r>
                      <w:r w:rsidR="00316303">
                        <w:rPr>
                          <w:color w:val="FFFFFF" w:themeColor="background1"/>
                          <w:spacing w:val="1"/>
                          <w:sz w:val="18"/>
                          <w:szCs w:val="18"/>
                        </w:rPr>
                        <w:t>3517</w:t>
                      </w:r>
                      <w:r w:rsidR="005E419D" w:rsidRPr="00D0549C">
                        <w:rPr>
                          <w:color w:val="FFFFFF" w:themeColor="background1"/>
                          <w:spacing w:val="-8"/>
                          <w:sz w:val="18"/>
                          <w:szCs w:val="18"/>
                        </w:rPr>
                        <w:t xml:space="preserve"> </w:t>
                      </w:r>
                      <w:r w:rsidR="005E419D" w:rsidRPr="00D0549C">
                        <w:rPr>
                          <w:color w:val="FFFFFF" w:themeColor="background1"/>
                          <w:sz w:val="18"/>
                          <w:szCs w:val="18"/>
                        </w:rPr>
                        <w:t>4000</w:t>
                      </w:r>
                      <w:r w:rsidR="005E419D" w:rsidRPr="00D0549C">
                        <w:rPr>
                          <w:color w:val="FFFFFF" w:themeColor="background1"/>
                          <w:sz w:val="18"/>
                          <w:szCs w:val="18"/>
                        </w:rPr>
                        <w:tab/>
                      </w:r>
                      <w:r w:rsidR="00D0549C" w:rsidRPr="00D0549C">
                        <w:rPr>
                          <w:rStyle w:val="Hyperlink"/>
                          <w:color w:val="FFFFFF" w:themeColor="background1"/>
                          <w:spacing w:val="-1"/>
                          <w:w w:val="95"/>
                          <w:sz w:val="18"/>
                          <w:szCs w:val="18"/>
                        </w:rPr>
                        <w:br/>
                      </w:r>
                      <w:r w:rsidR="00D0549C" w:rsidRPr="00D0549C">
                        <w:rPr>
                          <w:rStyle w:val="Hyperlink"/>
                          <w:color w:val="FFFFFF" w:themeColor="background1"/>
                          <w:spacing w:val="-1"/>
                          <w:w w:val="95"/>
                          <w:sz w:val="18"/>
                          <w:szCs w:val="18"/>
                          <w:u w:val="none"/>
                        </w:rPr>
                        <w:t>Irrigation Australia Limited (</w:t>
                      </w:r>
                      <w:r w:rsidR="005E419D" w:rsidRPr="00D0549C">
                        <w:rPr>
                          <w:color w:val="FFFFFF" w:themeColor="background1"/>
                          <w:spacing w:val="-1"/>
                          <w:w w:val="95"/>
                          <w:sz w:val="18"/>
                          <w:szCs w:val="18"/>
                        </w:rPr>
                        <w:t>ACN 002 567 633</w:t>
                      </w:r>
                      <w:r w:rsidR="00D0549C" w:rsidRPr="00D0549C">
                        <w:rPr>
                          <w:color w:val="FFFFFF" w:themeColor="background1"/>
                          <w:spacing w:val="-1"/>
                          <w:w w:val="95"/>
                          <w:sz w:val="18"/>
                          <w:szCs w:val="18"/>
                        </w:rPr>
                        <w:t>)</w:t>
                      </w:r>
                      <w:r w:rsidR="00046A6B">
                        <w:rPr>
                          <w:color w:val="FFFFFF" w:themeColor="background1"/>
                          <w:spacing w:val="-1"/>
                          <w:w w:val="95"/>
                          <w:sz w:val="18"/>
                          <w:szCs w:val="18"/>
                        </w:rPr>
                        <w:tab/>
                      </w:r>
                      <w:r w:rsidR="00D0549C" w:rsidRPr="00D0549C">
                        <w:rPr>
                          <w:color w:val="FFFFFF" w:themeColor="background1"/>
                          <w:spacing w:val="-1"/>
                          <w:w w:val="95"/>
                          <w:sz w:val="18"/>
                          <w:szCs w:val="18"/>
                        </w:rPr>
                        <w:t>F: (0</w:t>
                      </w:r>
                      <w:r w:rsidR="00316303">
                        <w:rPr>
                          <w:color w:val="FFFFFF" w:themeColor="background1"/>
                          <w:spacing w:val="-1"/>
                          <w:w w:val="95"/>
                          <w:sz w:val="18"/>
                          <w:szCs w:val="18"/>
                        </w:rPr>
                        <w:t>7</w:t>
                      </w:r>
                      <w:r w:rsidR="00D0549C" w:rsidRPr="00D0549C">
                        <w:rPr>
                          <w:color w:val="FFFFFF" w:themeColor="background1"/>
                          <w:spacing w:val="-1"/>
                          <w:w w:val="95"/>
                          <w:sz w:val="18"/>
                          <w:szCs w:val="18"/>
                        </w:rPr>
                        <w:t xml:space="preserve">) </w:t>
                      </w:r>
                      <w:r w:rsidR="00316303">
                        <w:rPr>
                          <w:color w:val="FFFFFF" w:themeColor="background1"/>
                          <w:spacing w:val="-1"/>
                          <w:w w:val="95"/>
                          <w:sz w:val="18"/>
                          <w:szCs w:val="18"/>
                        </w:rPr>
                        <w:t>3517</w:t>
                      </w:r>
                      <w:r w:rsidR="00D0549C" w:rsidRPr="00D0549C">
                        <w:rPr>
                          <w:color w:val="FFFFFF" w:themeColor="background1"/>
                          <w:spacing w:val="-1"/>
                          <w:w w:val="95"/>
                          <w:sz w:val="18"/>
                          <w:szCs w:val="18"/>
                        </w:rPr>
                        <w:t xml:space="preserve"> 40</w:t>
                      </w:r>
                      <w:r w:rsidR="00316303">
                        <w:rPr>
                          <w:color w:val="FFFFFF" w:themeColor="background1"/>
                          <w:spacing w:val="-1"/>
                          <w:w w:val="95"/>
                          <w:sz w:val="18"/>
                          <w:szCs w:val="18"/>
                        </w:rPr>
                        <w:t>10</w:t>
                      </w:r>
                    </w:p>
                    <w:p w14:paraId="35E6EA63" w14:textId="0D393B72" w:rsidR="00BF7ABC" w:rsidRPr="005E419D" w:rsidRDefault="005E419D" w:rsidP="00D0549C">
                      <w:pPr>
                        <w:pStyle w:val="BodyText"/>
                        <w:tabs>
                          <w:tab w:val="left" w:pos="5103"/>
                          <w:tab w:val="left" w:pos="6521"/>
                          <w:tab w:val="left" w:pos="9498"/>
                        </w:tabs>
                        <w:spacing w:line="245" w:lineRule="exact"/>
                        <w:ind w:hanging="614"/>
                        <w:rPr>
                          <w:color w:val="FFFFFF" w:themeColor="background1"/>
                        </w:rPr>
                      </w:pPr>
                      <w:r w:rsidRPr="00D0549C">
                        <w:rPr>
                          <w:color w:val="FFFFFF" w:themeColor="background1"/>
                          <w:sz w:val="18"/>
                          <w:szCs w:val="18"/>
                        </w:rPr>
                        <w:t xml:space="preserve">PO Box </w:t>
                      </w:r>
                      <w:r w:rsidR="00316303">
                        <w:rPr>
                          <w:color w:val="FFFFFF" w:themeColor="background1"/>
                          <w:sz w:val="18"/>
                          <w:szCs w:val="18"/>
                        </w:rPr>
                        <w:t>13</w:t>
                      </w:r>
                      <w:r w:rsidRPr="00D0549C">
                        <w:rPr>
                          <w:color w:val="FFFFFF" w:themeColor="background1"/>
                          <w:sz w:val="18"/>
                          <w:szCs w:val="18"/>
                        </w:rPr>
                        <w:t xml:space="preserve">, </w:t>
                      </w:r>
                      <w:r w:rsidR="00316303">
                        <w:rPr>
                          <w:color w:val="FFFFFF" w:themeColor="background1"/>
                          <w:sz w:val="18"/>
                          <w:szCs w:val="18"/>
                        </w:rPr>
                        <w:t>Cannon Hill, QLD  4170</w:t>
                      </w:r>
                      <w:r w:rsidRPr="00D0549C">
                        <w:rPr>
                          <w:color w:val="FFFFFF" w:themeColor="background1"/>
                          <w:sz w:val="18"/>
                          <w:szCs w:val="18"/>
                        </w:rPr>
                        <w:tab/>
                      </w:r>
                      <w:r w:rsidRPr="00D0549C">
                        <w:rPr>
                          <w:rFonts w:ascii="Arial Narrow"/>
                          <w:b/>
                          <w:color w:val="FFFFFF" w:themeColor="background1"/>
                          <w:spacing w:val="-4"/>
                          <w:sz w:val="18"/>
                          <w:szCs w:val="18"/>
                        </w:rPr>
                        <w:t>W:</w:t>
                      </w:r>
                      <w:r w:rsidRPr="00D0549C">
                        <w:rPr>
                          <w:rFonts w:ascii="Arial Narrow"/>
                          <w:b/>
                          <w:color w:val="FFFFFF" w:themeColor="background1"/>
                          <w:spacing w:val="-27"/>
                          <w:sz w:val="18"/>
                          <w:szCs w:val="18"/>
                        </w:rPr>
                        <w:t xml:space="preserve"> </w:t>
                      </w:r>
                      <w:hyperlink r:id="rId12">
                        <w:r w:rsidRPr="00D0549C">
                          <w:rPr>
                            <w:color w:val="FFFFFF" w:themeColor="background1"/>
                            <w:spacing w:val="-1"/>
                            <w:sz w:val="18"/>
                            <w:szCs w:val="18"/>
                          </w:rPr>
                          <w:t>www.irrigationaustralia.com.au</w:t>
                        </w:r>
                      </w:hyperlink>
                      <w:r w:rsidRPr="005E419D">
                        <w:rPr>
                          <w:color w:val="FFFFFF" w:themeColor="background1"/>
                          <w:spacing w:val="-1"/>
                        </w:rPr>
                        <w:tab/>
                      </w:r>
                    </w:p>
                  </w:txbxContent>
                </v:textbox>
                <w10:wrap anchorx="page" anchory="page"/>
              </v:shape>
            </w:pict>
          </mc:Fallback>
        </mc:AlternateContent>
      </w:r>
      <w:r>
        <w:rPr>
          <w:noProof/>
          <w:lang w:val="en-AU" w:eastAsia="en-AU"/>
        </w:rPr>
        <mc:AlternateContent>
          <mc:Choice Requires="wpg">
            <w:drawing>
              <wp:anchor distT="0" distB="0" distL="114300" distR="114300" simplePos="0" relativeHeight="1360" behindDoc="0" locked="0" layoutInCell="1" allowOverlap="1" wp14:anchorId="3781EAA7" wp14:editId="5324D461">
                <wp:simplePos x="0" y="0"/>
                <wp:positionH relativeFrom="page">
                  <wp:posOffset>0</wp:posOffset>
                </wp:positionH>
                <wp:positionV relativeFrom="page">
                  <wp:posOffset>9972040</wp:posOffset>
                </wp:positionV>
                <wp:extent cx="106680" cy="720090"/>
                <wp:effectExtent l="0" t="0" r="0" b="44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720090"/>
                          <a:chOff x="0" y="15704"/>
                          <a:chExt cx="168" cy="1134"/>
                        </a:xfrm>
                      </wpg:grpSpPr>
                      <wps:wsp>
                        <wps:cNvPr id="73" name="Freeform 73"/>
                        <wps:cNvSpPr>
                          <a:spLocks/>
                        </wps:cNvSpPr>
                        <wps:spPr bwMode="auto">
                          <a:xfrm>
                            <a:off x="0" y="15704"/>
                            <a:ext cx="168" cy="1134"/>
                          </a:xfrm>
                          <a:custGeom>
                            <a:avLst/>
                            <a:gdLst>
                              <a:gd name="T0" fmla="*/ 0 w 168"/>
                              <a:gd name="T1" fmla="+- 0 16838 15704"/>
                              <a:gd name="T2" fmla="*/ 16838 h 1134"/>
                              <a:gd name="T3" fmla="*/ 167 w 168"/>
                              <a:gd name="T4" fmla="+- 0 16838 15704"/>
                              <a:gd name="T5" fmla="*/ 16838 h 1134"/>
                              <a:gd name="T6" fmla="*/ 167 w 168"/>
                              <a:gd name="T7" fmla="+- 0 15704 15704"/>
                              <a:gd name="T8" fmla="*/ 15704 h 1134"/>
                              <a:gd name="T9" fmla="*/ 0 w 168"/>
                              <a:gd name="T10" fmla="+- 0 15704 15704"/>
                              <a:gd name="T11" fmla="*/ 15704 h 1134"/>
                              <a:gd name="T12" fmla="*/ 0 w 168"/>
                              <a:gd name="T13" fmla="+- 0 16838 15704"/>
                              <a:gd name="T14" fmla="*/ 16838 h 1134"/>
                            </a:gdLst>
                            <a:ahLst/>
                            <a:cxnLst>
                              <a:cxn ang="0">
                                <a:pos x="T0" y="T2"/>
                              </a:cxn>
                              <a:cxn ang="0">
                                <a:pos x="T3" y="T5"/>
                              </a:cxn>
                              <a:cxn ang="0">
                                <a:pos x="T6" y="T8"/>
                              </a:cxn>
                              <a:cxn ang="0">
                                <a:pos x="T9" y="T11"/>
                              </a:cxn>
                              <a:cxn ang="0">
                                <a:pos x="T12" y="T14"/>
                              </a:cxn>
                            </a:cxnLst>
                            <a:rect l="0" t="0" r="r" b="b"/>
                            <a:pathLst>
                              <a:path w="168" h="1134">
                                <a:moveTo>
                                  <a:pt x="0" y="1134"/>
                                </a:moveTo>
                                <a:lnTo>
                                  <a:pt x="167" y="1134"/>
                                </a:lnTo>
                                <a:lnTo>
                                  <a:pt x="167" y="0"/>
                                </a:lnTo>
                                <a:lnTo>
                                  <a:pt x="0" y="0"/>
                                </a:lnTo>
                                <a:lnTo>
                                  <a:pt x="0" y="1134"/>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FA59F" id="Group 72" o:spid="_x0000_s1026" style="position:absolute;margin-left:0;margin-top:785.2pt;width:8.4pt;height:56.7pt;z-index:1360;mso-position-horizontal-relative:page;mso-position-vertical-relative:page" coordorigin=",15704" coordsize="16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">
                <v:shape id="Freeform 73" o:spid="_x0000_s1027" style="position:absolute;top:15704;width:168;height:1134;visibility:visible;mso-wrap-style:square;v-text-anchor:top" coordsize="168,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" path="m,1134r167,l167,,,,,1134xe" fillcolor="#00afdb" stroked="f">
                  <v:path arrowok="t" o:connecttype="custom" o:connectlocs="0,16838;167,16838;167,15704;0,15704;0,16838" o:connectangles="0,0,0,0,0"/>
                </v:shape>
                <w10:wrap anchorx="page" anchory="page"/>
              </v:group>
            </w:pict>
          </mc:Fallback>
        </mc:AlternateContent>
      </w:r>
      <w:r>
        <w:rPr>
          <w:noProof/>
          <w:lang w:val="en-AU" w:eastAsia="en-AU"/>
        </w:rPr>
        <mc:AlternateContent>
          <mc:Choice Requires="wpg">
            <w:drawing>
              <wp:anchor distT="0" distB="0" distL="114300" distR="114300" simplePos="0" relativeHeight="1384" behindDoc="0" locked="0" layoutInCell="1" allowOverlap="1" wp14:anchorId="0E13CE21" wp14:editId="2DF58884">
                <wp:simplePos x="0" y="0"/>
                <wp:positionH relativeFrom="page">
                  <wp:posOffset>175260</wp:posOffset>
                </wp:positionH>
                <wp:positionV relativeFrom="page">
                  <wp:posOffset>0</wp:posOffset>
                </wp:positionV>
                <wp:extent cx="7385050" cy="106680"/>
                <wp:effectExtent l="3810" t="0" r="254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0" cy="106680"/>
                          <a:chOff x="276" y="0"/>
                          <a:chExt cx="11630" cy="168"/>
                        </a:xfrm>
                      </wpg:grpSpPr>
                      <wps:wsp>
                        <wps:cNvPr id="71" name="Freeform 71"/>
                        <wps:cNvSpPr>
                          <a:spLocks/>
                        </wps:cNvSpPr>
                        <wps:spPr bwMode="auto">
                          <a:xfrm>
                            <a:off x="276" y="0"/>
                            <a:ext cx="11630" cy="168"/>
                          </a:xfrm>
                          <a:custGeom>
                            <a:avLst/>
                            <a:gdLst>
                              <a:gd name="T0" fmla="+- 0 276 276"/>
                              <a:gd name="T1" fmla="*/ T0 w 11630"/>
                              <a:gd name="T2" fmla="*/ 168 h 168"/>
                              <a:gd name="T3" fmla="+- 0 11905 276"/>
                              <a:gd name="T4" fmla="*/ T3 w 11630"/>
                              <a:gd name="T5" fmla="*/ 168 h 168"/>
                              <a:gd name="T6" fmla="+- 0 11905 276"/>
                              <a:gd name="T7" fmla="*/ T6 w 11630"/>
                              <a:gd name="T8" fmla="*/ 0 h 168"/>
                              <a:gd name="T9" fmla="+- 0 276 276"/>
                              <a:gd name="T10" fmla="*/ T9 w 11630"/>
                              <a:gd name="T11" fmla="*/ 0 h 168"/>
                              <a:gd name="T12" fmla="+- 0 276 276"/>
                              <a:gd name="T13" fmla="*/ T12 w 11630"/>
                              <a:gd name="T14" fmla="*/ 168 h 168"/>
                            </a:gdLst>
                            <a:ahLst/>
                            <a:cxnLst>
                              <a:cxn ang="0">
                                <a:pos x="T1" y="T2"/>
                              </a:cxn>
                              <a:cxn ang="0">
                                <a:pos x="T4" y="T5"/>
                              </a:cxn>
                              <a:cxn ang="0">
                                <a:pos x="T7" y="T8"/>
                              </a:cxn>
                              <a:cxn ang="0">
                                <a:pos x="T10" y="T11"/>
                              </a:cxn>
                              <a:cxn ang="0">
                                <a:pos x="T13" y="T14"/>
                              </a:cxn>
                            </a:cxnLst>
                            <a:rect l="0" t="0" r="r" b="b"/>
                            <a:pathLst>
                              <a:path w="11630" h="168">
                                <a:moveTo>
                                  <a:pt x="0" y="168"/>
                                </a:moveTo>
                                <a:lnTo>
                                  <a:pt x="11629" y="168"/>
                                </a:lnTo>
                                <a:lnTo>
                                  <a:pt x="11629" y="0"/>
                                </a:lnTo>
                                <a:lnTo>
                                  <a:pt x="0" y="0"/>
                                </a:lnTo>
                                <a:lnTo>
                                  <a:pt x="0" y="168"/>
                                </a:lnTo>
                                <a:close/>
                              </a:path>
                            </a:pathLst>
                          </a:custGeom>
                          <a:solidFill>
                            <a:srgbClr val="007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A52DC" id="Group 70" o:spid="_x0000_s1026" style="position:absolute;margin-left:13.8pt;margin-top:0;width:581.5pt;height:8.4pt;z-index:1384;mso-position-horizontal-relative:page;mso-position-vertical-relative:page" coordorigin="276" coordsize="1163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">
                <v:shape id="Freeform 71" o:spid="_x0000_s1027" style="position:absolute;left:276;width:11630;height:168;visibility:visible;mso-wrap-style:square;v-text-anchor:top" coordsize="1163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" path="m,168r11629,l11629,,,,,168xe" fillcolor="#00728f" stroked="f">
                  <v:path arrowok="t" o:connecttype="custom" o:connectlocs="0,168;11629,168;11629,0;0,0;0,168" o:connectangles="0,0,0,0,0"/>
                </v:shape>
                <w10:wrap anchorx="page" anchory="page"/>
              </v:group>
            </w:pict>
          </mc:Fallback>
        </mc:AlternateContent>
      </w:r>
      <w:r>
        <w:rPr>
          <w:rFonts w:ascii="Times New Roman" w:eastAsia="Times New Roman" w:hAnsi="Times New Roman" w:cs="Times New Roman"/>
          <w:noProof/>
          <w:sz w:val="16"/>
          <w:szCs w:val="16"/>
          <w:lang w:val="en-AU" w:eastAsia="en-AU"/>
        </w:rPr>
        <mc:AlternateContent>
          <mc:Choice Requires="wpg">
            <w:drawing>
              <wp:inline distT="0" distB="0" distL="0" distR="0" wp14:anchorId="6FD8DCAE" wp14:editId="2D9B1FC5">
                <wp:extent cx="106680" cy="10668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6680"/>
                          <a:chOff x="0" y="0"/>
                          <a:chExt cx="168" cy="168"/>
                        </a:xfrm>
                      </wpg:grpSpPr>
                      <wpg:grpSp>
                        <wpg:cNvPr id="68" name="Group 68"/>
                        <wpg:cNvGrpSpPr>
                          <a:grpSpLocks/>
                        </wpg:cNvGrpSpPr>
                        <wpg:grpSpPr bwMode="auto">
                          <a:xfrm>
                            <a:off x="0" y="0"/>
                            <a:ext cx="168" cy="168"/>
                            <a:chOff x="0" y="0"/>
                            <a:chExt cx="168" cy="168"/>
                          </a:xfrm>
                        </wpg:grpSpPr>
                        <wps:wsp>
                          <wps:cNvPr id="69" name="Freeform 69"/>
                          <wps:cNvSpPr>
                            <a:spLocks/>
                          </wps:cNvSpPr>
                          <wps:spPr bwMode="auto">
                            <a:xfrm>
                              <a:off x="0" y="0"/>
                              <a:ext cx="168" cy="168"/>
                            </a:xfrm>
                            <a:custGeom>
                              <a:avLst/>
                              <a:gdLst>
                                <a:gd name="T0" fmla="*/ 0 w 168"/>
                                <a:gd name="T1" fmla="*/ 168 h 168"/>
                                <a:gd name="T2" fmla="*/ 167 w 168"/>
                                <a:gd name="T3" fmla="*/ 168 h 168"/>
                                <a:gd name="T4" fmla="*/ 167 w 168"/>
                                <a:gd name="T5" fmla="*/ 0 h 168"/>
                                <a:gd name="T6" fmla="*/ 0 w 168"/>
                                <a:gd name="T7" fmla="*/ 0 h 168"/>
                                <a:gd name="T8" fmla="*/ 0 w 168"/>
                                <a:gd name="T9" fmla="*/ 168 h 168"/>
                              </a:gdLst>
                              <a:ahLst/>
                              <a:cxnLst>
                                <a:cxn ang="0">
                                  <a:pos x="T0" y="T1"/>
                                </a:cxn>
                                <a:cxn ang="0">
                                  <a:pos x="T2" y="T3"/>
                                </a:cxn>
                                <a:cxn ang="0">
                                  <a:pos x="T4" y="T5"/>
                                </a:cxn>
                                <a:cxn ang="0">
                                  <a:pos x="T6" y="T7"/>
                                </a:cxn>
                                <a:cxn ang="0">
                                  <a:pos x="T8" y="T9"/>
                                </a:cxn>
                              </a:cxnLst>
                              <a:rect l="0" t="0" r="r" b="b"/>
                              <a:pathLst>
                                <a:path w="168" h="168">
                                  <a:moveTo>
                                    <a:pt x="0" y="168"/>
                                  </a:moveTo>
                                  <a:lnTo>
                                    <a:pt x="167" y="168"/>
                                  </a:lnTo>
                                  <a:lnTo>
                                    <a:pt x="167" y="0"/>
                                  </a:lnTo>
                                  <a:lnTo>
                                    <a:pt x="0" y="0"/>
                                  </a:lnTo>
                                  <a:lnTo>
                                    <a:pt x="0" y="168"/>
                                  </a:lnTo>
                                  <a:close/>
                                </a:path>
                              </a:pathLst>
                            </a:custGeom>
                            <a:solidFill>
                              <a:srgbClr val="00A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BED0D23" id="Group 67" o:spid="_x0000_s1026" style="width:8.4pt;height:8.4pt;mso-position-horizontal-relative:char;mso-position-vertical-relative:line" coordsize="16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">
                <v:group id="Group 68" o:spid="_x0000_s1027" style="position:absolute;width:168;height:168"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9" o:spid="_x0000_s1028" style="position:absolute;width:168;height:168;visibility:visible;mso-wrap-style:square;v-text-anchor:top" coordsize="16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" path="m,168r167,l167,,,,,168xe" fillcolor="#00afdb" stroked="f">
                    <v:path arrowok="t" o:connecttype="custom" o:connectlocs="0,168;167,168;167,0;0,0;0,168" o:connectangles="0,0,0,0,0"/>
                  </v:shape>
                </v:group>
                <w10:anchorlock/>
              </v:group>
            </w:pict>
          </mc:Fallback>
        </mc:AlternateContent>
      </w:r>
    </w:p>
    <w:p w14:paraId="4542DDA3" w14:textId="77777777" w:rsidR="00BF7ABC" w:rsidRDefault="00BF7ABC">
      <w:pPr>
        <w:rPr>
          <w:rFonts w:ascii="Times New Roman" w:eastAsia="Times New Roman" w:hAnsi="Times New Roman" w:cs="Times New Roman"/>
          <w:sz w:val="20"/>
          <w:szCs w:val="20"/>
        </w:rPr>
      </w:pPr>
    </w:p>
    <w:p w14:paraId="313D9F44" w14:textId="77777777" w:rsidR="00BF7ABC" w:rsidRDefault="00BF7ABC">
      <w:pPr>
        <w:rPr>
          <w:rFonts w:ascii="Times New Roman" w:eastAsia="Times New Roman" w:hAnsi="Times New Roman" w:cs="Times New Roman"/>
          <w:sz w:val="20"/>
          <w:szCs w:val="20"/>
        </w:rPr>
      </w:pPr>
    </w:p>
    <w:p w14:paraId="2413C082" w14:textId="77777777" w:rsidR="00BF7ABC" w:rsidRDefault="00BF7ABC">
      <w:pPr>
        <w:spacing w:before="11"/>
        <w:rPr>
          <w:rFonts w:ascii="Times New Roman" w:eastAsia="Times New Roman" w:hAnsi="Times New Roman" w:cs="Times New Roman"/>
          <w:sz w:val="20"/>
          <w:szCs w:val="20"/>
        </w:rPr>
      </w:pPr>
    </w:p>
    <w:p w14:paraId="5501A7D2" w14:textId="0DCC39FE" w:rsidR="00D0549C" w:rsidRPr="00D0549C" w:rsidRDefault="00046A6B" w:rsidP="00046A6B">
      <w:pPr>
        <w:ind w:firstLine="993"/>
      </w:pPr>
      <w:r>
        <w:rPr>
          <w:noProof/>
          <w:lang w:val="en-AU" w:eastAsia="en-AU"/>
        </w:rPr>
        <w:drawing>
          <wp:inline distT="0" distB="0" distL="0" distR="0" wp14:anchorId="6ED97740" wp14:editId="2679D5F6">
            <wp:extent cx="3048000" cy="667512"/>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AL_H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000" cy="667512"/>
                    </a:xfrm>
                    <a:prstGeom prst="rect">
                      <a:avLst/>
                    </a:prstGeom>
                  </pic:spPr>
                </pic:pic>
              </a:graphicData>
            </a:graphic>
          </wp:inline>
        </w:drawing>
      </w:r>
    </w:p>
    <w:p w14:paraId="1F16BF58" w14:textId="77777777" w:rsidR="00D0549C" w:rsidRPr="00D0549C" w:rsidRDefault="00D0549C" w:rsidP="00D0549C">
      <w:pPr>
        <w:rPr>
          <w:rFonts w:ascii="Arial" w:hAnsi="Arial" w:cs="Arial"/>
        </w:rPr>
      </w:pPr>
    </w:p>
    <w:p w14:paraId="7CE7749B" w14:textId="46B74386" w:rsidR="00D0549C" w:rsidRPr="00332478" w:rsidRDefault="00D0549C" w:rsidP="00D0549C">
      <w:pPr>
        <w:ind w:left="993"/>
        <w:rPr>
          <w:rFonts w:ascii="Arial" w:hAnsi="Arial" w:cs="Arial"/>
        </w:rPr>
      </w:pPr>
    </w:p>
    <w:p w14:paraId="42A1CE71" w14:textId="79F6E835" w:rsidR="00970405" w:rsidRPr="00BD49B9" w:rsidRDefault="00BD49B9" w:rsidP="00B06FD5">
      <w:pPr>
        <w:tabs>
          <w:tab w:val="left" w:pos="993"/>
        </w:tabs>
        <w:ind w:left="993" w:right="1420"/>
        <w:jc w:val="center"/>
        <w:rPr>
          <w:rFonts w:ascii="Arial" w:hAnsi="Arial" w:cs="Arial"/>
          <w:b/>
          <w:bCs/>
        </w:rPr>
      </w:pPr>
      <w:r>
        <w:rPr>
          <w:rFonts w:ascii="Arial" w:hAnsi="Arial" w:cs="Arial"/>
          <w:b/>
          <w:bCs/>
        </w:rPr>
        <w:t>SUBMISSION TO THE PRODUCTIVITY COMMISSION</w:t>
      </w:r>
      <w:r w:rsidR="00F557B0">
        <w:rPr>
          <w:rFonts w:ascii="Arial" w:hAnsi="Arial" w:cs="Arial"/>
          <w:b/>
          <w:bCs/>
        </w:rPr>
        <w:t xml:space="preserve"> </w:t>
      </w:r>
      <w:r w:rsidR="00B06FD5">
        <w:rPr>
          <w:rFonts w:ascii="Arial" w:hAnsi="Arial" w:cs="Arial"/>
          <w:b/>
          <w:bCs/>
        </w:rPr>
        <w:t>NATIONAL WATER REFORM INQUIRY 2024</w:t>
      </w:r>
      <w:r w:rsidR="00AB57E1">
        <w:rPr>
          <w:rFonts w:ascii="Arial" w:hAnsi="Arial" w:cs="Arial"/>
          <w:b/>
          <w:bCs/>
        </w:rPr>
        <w:t xml:space="preserve"> – RESPON</w:t>
      </w:r>
      <w:r w:rsidR="00BA702F">
        <w:rPr>
          <w:rFonts w:ascii="Arial" w:hAnsi="Arial" w:cs="Arial"/>
          <w:b/>
          <w:bCs/>
        </w:rPr>
        <w:t>S</w:t>
      </w:r>
      <w:r w:rsidR="00AB57E1">
        <w:rPr>
          <w:rFonts w:ascii="Arial" w:hAnsi="Arial" w:cs="Arial"/>
          <w:b/>
          <w:bCs/>
        </w:rPr>
        <w:t>E TO INTERIM REPORT</w:t>
      </w:r>
    </w:p>
    <w:p w14:paraId="56619E90" w14:textId="77777777" w:rsidR="00970405" w:rsidRDefault="00970405" w:rsidP="00D0549C">
      <w:pPr>
        <w:tabs>
          <w:tab w:val="left" w:pos="993"/>
        </w:tabs>
        <w:ind w:left="993" w:right="1420"/>
        <w:rPr>
          <w:rFonts w:ascii="Arial" w:hAnsi="Arial" w:cs="Arial"/>
        </w:rPr>
      </w:pPr>
    </w:p>
    <w:p w14:paraId="7FA63A20" w14:textId="54798EA1" w:rsidR="00BF7ABC" w:rsidRPr="00332478" w:rsidRDefault="00D0549C" w:rsidP="00D0549C">
      <w:pPr>
        <w:tabs>
          <w:tab w:val="left" w:pos="993"/>
        </w:tabs>
        <w:ind w:left="993" w:right="1420"/>
        <w:rPr>
          <w:rFonts w:ascii="Arial" w:hAnsi="Arial" w:cs="Arial"/>
        </w:rPr>
      </w:pPr>
      <w:r w:rsidRPr="00332478">
        <w:rPr>
          <w:rFonts w:ascii="Arial" w:hAnsi="Arial" w:cs="Arial"/>
        </w:rPr>
        <w:tab/>
      </w:r>
    </w:p>
    <w:p w14:paraId="2DEFF674" w14:textId="60C71FE5" w:rsidR="00D0549C" w:rsidRPr="00332478" w:rsidRDefault="00AB57E1" w:rsidP="00D0549C">
      <w:pPr>
        <w:tabs>
          <w:tab w:val="left" w:pos="993"/>
        </w:tabs>
        <w:ind w:left="993" w:right="1420"/>
        <w:rPr>
          <w:rFonts w:ascii="Arial" w:hAnsi="Arial" w:cs="Arial"/>
        </w:rPr>
      </w:pPr>
      <w:r>
        <w:rPr>
          <w:rFonts w:ascii="Arial" w:hAnsi="Arial" w:cs="Arial"/>
        </w:rPr>
        <w:t>2</w:t>
      </w:r>
      <w:r w:rsidR="00D9485E">
        <w:rPr>
          <w:rFonts w:ascii="Arial" w:hAnsi="Arial" w:cs="Arial"/>
        </w:rPr>
        <w:t>3</w:t>
      </w:r>
      <w:r w:rsidR="00332478" w:rsidRPr="00332478">
        <w:rPr>
          <w:rFonts w:ascii="Arial" w:hAnsi="Arial" w:cs="Arial"/>
        </w:rPr>
        <w:t xml:space="preserve"> </w:t>
      </w:r>
      <w:r>
        <w:rPr>
          <w:rFonts w:ascii="Arial" w:hAnsi="Arial" w:cs="Arial"/>
        </w:rPr>
        <w:t>April</w:t>
      </w:r>
      <w:r w:rsidR="00332478" w:rsidRPr="00332478">
        <w:rPr>
          <w:rFonts w:ascii="Arial" w:hAnsi="Arial" w:cs="Arial"/>
        </w:rPr>
        <w:t xml:space="preserve"> 202</w:t>
      </w:r>
      <w:r w:rsidR="00CE65A6">
        <w:rPr>
          <w:rFonts w:ascii="Arial" w:hAnsi="Arial" w:cs="Arial"/>
        </w:rPr>
        <w:t>4</w:t>
      </w:r>
    </w:p>
    <w:p w14:paraId="747F7307" w14:textId="26E946DC" w:rsidR="00332478" w:rsidRDefault="00332478" w:rsidP="00D0549C">
      <w:pPr>
        <w:tabs>
          <w:tab w:val="left" w:pos="993"/>
        </w:tabs>
        <w:ind w:left="993" w:right="1420"/>
        <w:rPr>
          <w:rFonts w:ascii="Arial" w:hAnsi="Arial" w:cs="Arial"/>
        </w:rPr>
      </w:pPr>
    </w:p>
    <w:p w14:paraId="57E99412" w14:textId="77777777" w:rsidR="00DC5D2A" w:rsidRPr="00332478" w:rsidRDefault="00DC5D2A" w:rsidP="00CF5FBE">
      <w:pPr>
        <w:tabs>
          <w:tab w:val="left" w:pos="993"/>
        </w:tabs>
        <w:ind w:left="993" w:right="1420"/>
        <w:jc w:val="both"/>
        <w:rPr>
          <w:rFonts w:ascii="Arial" w:hAnsi="Arial" w:cs="Arial"/>
        </w:rPr>
      </w:pPr>
    </w:p>
    <w:p w14:paraId="5D577219" w14:textId="252CCAD6" w:rsidR="00970405" w:rsidRPr="000A1C7D" w:rsidRDefault="00970405" w:rsidP="00CF5FBE">
      <w:pPr>
        <w:ind w:left="993" w:right="1278"/>
        <w:jc w:val="both"/>
        <w:rPr>
          <w:rFonts w:ascii="Arial" w:eastAsia="Arial" w:hAnsi="Arial" w:cs="Arial"/>
          <w:sz w:val="20"/>
          <w:szCs w:val="20"/>
        </w:rPr>
      </w:pPr>
      <w:r w:rsidRPr="000A1C7D">
        <w:rPr>
          <w:rFonts w:ascii="Arial" w:eastAsia="Arial" w:hAnsi="Arial" w:cs="Arial"/>
          <w:sz w:val="20"/>
          <w:szCs w:val="20"/>
        </w:rPr>
        <w:t xml:space="preserve">Irrigation Australia is pleased to provide the following submission in response to the National Water Reform 2024 </w:t>
      </w:r>
      <w:r w:rsidR="00AB57E1" w:rsidRPr="000A1C7D">
        <w:rPr>
          <w:rFonts w:ascii="Arial" w:eastAsia="Arial" w:hAnsi="Arial" w:cs="Arial"/>
          <w:sz w:val="20"/>
          <w:szCs w:val="20"/>
        </w:rPr>
        <w:t xml:space="preserve">invitation to submit additional information on its interim report.  The responses below refer </w:t>
      </w:r>
      <w:r w:rsidR="002006BA" w:rsidRPr="000A1C7D">
        <w:rPr>
          <w:rFonts w:ascii="Arial" w:eastAsia="Arial" w:hAnsi="Arial" w:cs="Arial"/>
          <w:sz w:val="20"/>
          <w:szCs w:val="20"/>
        </w:rPr>
        <w:t>to one specific information request.</w:t>
      </w:r>
    </w:p>
    <w:p w14:paraId="1F0DF525" w14:textId="77777777" w:rsidR="00B06FD5" w:rsidRPr="000A1C7D" w:rsidRDefault="00B06FD5" w:rsidP="00CF5FBE">
      <w:pPr>
        <w:ind w:left="993" w:right="1278"/>
        <w:jc w:val="both"/>
        <w:rPr>
          <w:rFonts w:ascii="Arial" w:eastAsia="Arial" w:hAnsi="Arial" w:cs="Arial"/>
          <w:sz w:val="20"/>
          <w:szCs w:val="20"/>
        </w:rPr>
      </w:pPr>
    </w:p>
    <w:p w14:paraId="7EC1077D" w14:textId="5B532060" w:rsidR="00970405" w:rsidRPr="000A1C7D" w:rsidRDefault="00970405" w:rsidP="00CF5FBE">
      <w:pPr>
        <w:ind w:left="993" w:right="1278"/>
        <w:jc w:val="both"/>
        <w:rPr>
          <w:rFonts w:ascii="Arial" w:eastAsia="Arial" w:hAnsi="Arial" w:cs="Arial"/>
          <w:b/>
          <w:bCs/>
          <w:sz w:val="20"/>
          <w:szCs w:val="20"/>
        </w:rPr>
      </w:pPr>
      <w:r w:rsidRPr="000A1C7D">
        <w:rPr>
          <w:rFonts w:ascii="Arial" w:eastAsia="Arial" w:hAnsi="Arial" w:cs="Arial"/>
          <w:b/>
          <w:bCs/>
          <w:sz w:val="20"/>
          <w:szCs w:val="20"/>
        </w:rPr>
        <w:t>Background</w:t>
      </w:r>
    </w:p>
    <w:p w14:paraId="3EF6AADC" w14:textId="77777777" w:rsidR="00B06FD5" w:rsidRPr="000A1C7D" w:rsidRDefault="00B06FD5" w:rsidP="00CF5FBE">
      <w:pPr>
        <w:tabs>
          <w:tab w:val="left" w:pos="993"/>
        </w:tabs>
        <w:ind w:left="993" w:right="1420"/>
        <w:jc w:val="both"/>
        <w:rPr>
          <w:rFonts w:ascii="Arial" w:hAnsi="Arial" w:cs="Arial"/>
          <w:sz w:val="20"/>
          <w:szCs w:val="20"/>
        </w:rPr>
      </w:pPr>
    </w:p>
    <w:p w14:paraId="033ED00E" w14:textId="3C1315F0" w:rsidR="008D653D" w:rsidRPr="000A1C7D" w:rsidRDefault="008D653D" w:rsidP="00CF5FBE">
      <w:pPr>
        <w:tabs>
          <w:tab w:val="left" w:pos="993"/>
        </w:tabs>
        <w:ind w:left="993" w:right="1420"/>
        <w:jc w:val="both"/>
        <w:rPr>
          <w:rFonts w:ascii="Arial" w:hAnsi="Arial" w:cs="Arial"/>
          <w:sz w:val="20"/>
          <w:szCs w:val="20"/>
        </w:rPr>
      </w:pPr>
      <w:r w:rsidRPr="000A1C7D">
        <w:rPr>
          <w:rFonts w:ascii="Arial" w:hAnsi="Arial" w:cs="Arial"/>
          <w:sz w:val="20"/>
          <w:szCs w:val="20"/>
        </w:rPr>
        <w:t xml:space="preserve">Irrigation Australia Ltd is the peak national organisation representing the irrigation industry.  Our diverse membership includes organisations and individuals from across the supply chain including primary producers, government agencies (at federal, </w:t>
      </w:r>
      <w:proofErr w:type="gramStart"/>
      <w:r w:rsidRPr="000A1C7D">
        <w:rPr>
          <w:rFonts w:ascii="Arial" w:hAnsi="Arial" w:cs="Arial"/>
          <w:sz w:val="20"/>
          <w:szCs w:val="20"/>
        </w:rPr>
        <w:t>state</w:t>
      </w:r>
      <w:proofErr w:type="gramEnd"/>
      <w:r w:rsidRPr="000A1C7D">
        <w:rPr>
          <w:rFonts w:ascii="Arial" w:hAnsi="Arial" w:cs="Arial"/>
          <w:sz w:val="20"/>
          <w:szCs w:val="20"/>
        </w:rPr>
        <w:t xml:space="preserve"> and local levels), manufacturers, retailers, system designers and installers and many other service providers.  We are </w:t>
      </w:r>
      <w:r w:rsidR="008A1CC2" w:rsidRPr="000A1C7D">
        <w:rPr>
          <w:rFonts w:ascii="Arial" w:hAnsi="Arial" w:cs="Arial"/>
          <w:sz w:val="20"/>
          <w:szCs w:val="20"/>
        </w:rPr>
        <w:t xml:space="preserve">also </w:t>
      </w:r>
      <w:r w:rsidRPr="000A1C7D">
        <w:rPr>
          <w:rFonts w:ascii="Arial" w:hAnsi="Arial" w:cs="Arial"/>
          <w:sz w:val="20"/>
          <w:szCs w:val="20"/>
        </w:rPr>
        <w:t xml:space="preserve">a </w:t>
      </w:r>
      <w:r w:rsidR="008A1CC2" w:rsidRPr="000A1C7D">
        <w:rPr>
          <w:rFonts w:ascii="Arial" w:hAnsi="Arial" w:cs="Arial"/>
          <w:sz w:val="20"/>
          <w:szCs w:val="20"/>
        </w:rPr>
        <w:t>R</w:t>
      </w:r>
      <w:r w:rsidRPr="000A1C7D">
        <w:rPr>
          <w:rFonts w:ascii="Arial" w:hAnsi="Arial" w:cs="Arial"/>
          <w:sz w:val="20"/>
          <w:szCs w:val="20"/>
        </w:rPr>
        <w:t xml:space="preserve">egistered </w:t>
      </w:r>
      <w:r w:rsidR="008A1CC2" w:rsidRPr="000A1C7D">
        <w:rPr>
          <w:rFonts w:ascii="Arial" w:hAnsi="Arial" w:cs="Arial"/>
          <w:sz w:val="20"/>
          <w:szCs w:val="20"/>
        </w:rPr>
        <w:t>T</w:t>
      </w:r>
      <w:r w:rsidRPr="000A1C7D">
        <w:rPr>
          <w:rFonts w:ascii="Arial" w:hAnsi="Arial" w:cs="Arial"/>
          <w:sz w:val="20"/>
          <w:szCs w:val="20"/>
        </w:rPr>
        <w:t xml:space="preserve">raining </w:t>
      </w:r>
      <w:r w:rsidR="008A1CC2" w:rsidRPr="000A1C7D">
        <w:rPr>
          <w:rFonts w:ascii="Arial" w:hAnsi="Arial" w:cs="Arial"/>
          <w:sz w:val="20"/>
          <w:szCs w:val="20"/>
        </w:rPr>
        <w:t>O</w:t>
      </w:r>
      <w:r w:rsidRPr="000A1C7D">
        <w:rPr>
          <w:rFonts w:ascii="Arial" w:hAnsi="Arial" w:cs="Arial"/>
          <w:sz w:val="20"/>
          <w:szCs w:val="20"/>
        </w:rPr>
        <w:t>rganisation delivering accredited training – specifically in irrigation technology, management and a range of certified short courses which support qualifications with a commitment to continuing professional development.</w:t>
      </w:r>
    </w:p>
    <w:p w14:paraId="6816C4BE" w14:textId="77777777" w:rsidR="008D653D" w:rsidRPr="000A1C7D" w:rsidRDefault="008D653D" w:rsidP="00CF5FBE">
      <w:pPr>
        <w:tabs>
          <w:tab w:val="left" w:pos="993"/>
        </w:tabs>
        <w:ind w:left="993" w:right="1420"/>
        <w:jc w:val="both"/>
        <w:rPr>
          <w:rFonts w:ascii="Arial" w:hAnsi="Arial" w:cs="Arial"/>
          <w:sz w:val="20"/>
          <w:szCs w:val="20"/>
        </w:rPr>
      </w:pPr>
    </w:p>
    <w:p w14:paraId="1BC05A17" w14:textId="77777777" w:rsidR="008D653D" w:rsidRPr="000A1C7D" w:rsidRDefault="008D653D" w:rsidP="00CF5FBE">
      <w:pPr>
        <w:tabs>
          <w:tab w:val="left" w:pos="993"/>
        </w:tabs>
        <w:ind w:left="993" w:right="1420"/>
        <w:jc w:val="both"/>
        <w:rPr>
          <w:rFonts w:ascii="Arial" w:hAnsi="Arial" w:cs="Arial"/>
          <w:sz w:val="20"/>
          <w:szCs w:val="20"/>
        </w:rPr>
      </w:pPr>
      <w:r w:rsidRPr="000A1C7D">
        <w:rPr>
          <w:rFonts w:ascii="Arial" w:hAnsi="Arial" w:cs="Arial"/>
          <w:sz w:val="20"/>
          <w:szCs w:val="20"/>
        </w:rPr>
        <w:t xml:space="preserve">Our other key activities include a large range of member services, </w:t>
      </w:r>
      <w:proofErr w:type="gramStart"/>
      <w:r w:rsidRPr="000A1C7D">
        <w:rPr>
          <w:rFonts w:ascii="Arial" w:hAnsi="Arial" w:cs="Arial"/>
          <w:sz w:val="20"/>
          <w:szCs w:val="20"/>
        </w:rPr>
        <w:t>conferences</w:t>
      </w:r>
      <w:proofErr w:type="gramEnd"/>
      <w:r w:rsidRPr="000A1C7D">
        <w:rPr>
          <w:rFonts w:ascii="Arial" w:hAnsi="Arial" w:cs="Arial"/>
          <w:sz w:val="20"/>
          <w:szCs w:val="20"/>
        </w:rPr>
        <w:t xml:space="preserve"> and regional events, waterwise programs and advocacy.</w:t>
      </w:r>
    </w:p>
    <w:p w14:paraId="61C24901" w14:textId="77777777" w:rsidR="008D653D" w:rsidRPr="000A1C7D" w:rsidRDefault="008D653D" w:rsidP="00CF5FBE">
      <w:pPr>
        <w:tabs>
          <w:tab w:val="left" w:pos="993"/>
        </w:tabs>
        <w:ind w:left="993" w:right="1420"/>
        <w:jc w:val="both"/>
        <w:rPr>
          <w:rFonts w:ascii="Arial" w:hAnsi="Arial" w:cs="Arial"/>
          <w:sz w:val="20"/>
          <w:szCs w:val="20"/>
        </w:rPr>
      </w:pPr>
    </w:p>
    <w:p w14:paraId="3D4CF641" w14:textId="77777777" w:rsidR="008D653D" w:rsidRPr="000A1C7D" w:rsidRDefault="008D653D" w:rsidP="00CF5FBE">
      <w:pPr>
        <w:tabs>
          <w:tab w:val="left" w:pos="993"/>
        </w:tabs>
        <w:ind w:left="993" w:right="1420"/>
        <w:jc w:val="both"/>
        <w:rPr>
          <w:rFonts w:ascii="Arial" w:hAnsi="Arial" w:cs="Arial"/>
          <w:sz w:val="20"/>
          <w:szCs w:val="20"/>
        </w:rPr>
      </w:pPr>
      <w:r w:rsidRPr="000A1C7D">
        <w:rPr>
          <w:rFonts w:ascii="Arial" w:hAnsi="Arial" w:cs="Arial"/>
          <w:sz w:val="20"/>
          <w:szCs w:val="20"/>
        </w:rPr>
        <w:t>From 2024, we are implementing a series of new activities under the “Irrigation Futures” banner.  It includes four key program areas:</w:t>
      </w:r>
    </w:p>
    <w:p w14:paraId="089C46C5" w14:textId="77777777" w:rsidR="008D653D" w:rsidRPr="000A1C7D" w:rsidRDefault="008D653D" w:rsidP="00CF5FBE">
      <w:pPr>
        <w:tabs>
          <w:tab w:val="left" w:pos="993"/>
        </w:tabs>
        <w:ind w:left="993" w:right="1420"/>
        <w:jc w:val="both"/>
        <w:rPr>
          <w:rFonts w:ascii="Arial" w:hAnsi="Arial" w:cs="Arial"/>
          <w:sz w:val="20"/>
          <w:szCs w:val="20"/>
        </w:rPr>
      </w:pPr>
    </w:p>
    <w:p w14:paraId="4C8FFA8C" w14:textId="5B55331D" w:rsidR="008D653D" w:rsidRPr="000A1C7D" w:rsidRDefault="008D653D" w:rsidP="00CF5FBE">
      <w:pPr>
        <w:pStyle w:val="ListParagraph"/>
        <w:numPr>
          <w:ilvl w:val="0"/>
          <w:numId w:val="2"/>
        </w:numPr>
        <w:tabs>
          <w:tab w:val="left" w:pos="993"/>
        </w:tabs>
        <w:ind w:left="1985" w:right="1420"/>
        <w:jc w:val="both"/>
        <w:rPr>
          <w:rFonts w:ascii="Arial" w:hAnsi="Arial" w:cs="Arial"/>
          <w:sz w:val="20"/>
          <w:szCs w:val="20"/>
        </w:rPr>
      </w:pPr>
      <w:r w:rsidRPr="000A1C7D">
        <w:rPr>
          <w:rFonts w:ascii="Arial" w:hAnsi="Arial" w:cs="Arial"/>
          <w:sz w:val="20"/>
          <w:szCs w:val="20"/>
        </w:rPr>
        <w:t xml:space="preserve">Irrigation industry profile and industry </w:t>
      </w:r>
      <w:proofErr w:type="gramStart"/>
      <w:r w:rsidRPr="000A1C7D">
        <w:rPr>
          <w:rFonts w:ascii="Arial" w:hAnsi="Arial" w:cs="Arial"/>
          <w:sz w:val="20"/>
          <w:szCs w:val="20"/>
        </w:rPr>
        <w:t>policy;</w:t>
      </w:r>
      <w:proofErr w:type="gramEnd"/>
    </w:p>
    <w:p w14:paraId="4CEE41B9" w14:textId="77777777" w:rsidR="008D653D" w:rsidRPr="000A1C7D" w:rsidRDefault="008D653D" w:rsidP="00CF5FBE">
      <w:pPr>
        <w:pStyle w:val="ListParagraph"/>
        <w:numPr>
          <w:ilvl w:val="0"/>
          <w:numId w:val="2"/>
        </w:numPr>
        <w:tabs>
          <w:tab w:val="left" w:pos="993"/>
        </w:tabs>
        <w:ind w:left="1985" w:right="1420"/>
        <w:jc w:val="both"/>
        <w:rPr>
          <w:rFonts w:ascii="Arial" w:hAnsi="Arial" w:cs="Arial"/>
          <w:sz w:val="20"/>
          <w:szCs w:val="20"/>
        </w:rPr>
      </w:pPr>
      <w:r w:rsidRPr="000A1C7D">
        <w:rPr>
          <w:rFonts w:ascii="Arial" w:hAnsi="Arial" w:cs="Arial"/>
          <w:sz w:val="20"/>
          <w:szCs w:val="20"/>
        </w:rPr>
        <w:t xml:space="preserve">Adoption of best practice, including research and </w:t>
      </w:r>
      <w:proofErr w:type="gramStart"/>
      <w:r w:rsidRPr="000A1C7D">
        <w:rPr>
          <w:rFonts w:ascii="Arial" w:hAnsi="Arial" w:cs="Arial"/>
          <w:sz w:val="20"/>
          <w:szCs w:val="20"/>
        </w:rPr>
        <w:t>development;</w:t>
      </w:r>
      <w:proofErr w:type="gramEnd"/>
    </w:p>
    <w:p w14:paraId="353AC563" w14:textId="77777777" w:rsidR="008D653D" w:rsidRPr="000A1C7D" w:rsidRDefault="008D653D" w:rsidP="00CF5FBE">
      <w:pPr>
        <w:pStyle w:val="ListParagraph"/>
        <w:numPr>
          <w:ilvl w:val="0"/>
          <w:numId w:val="2"/>
        </w:numPr>
        <w:tabs>
          <w:tab w:val="left" w:pos="993"/>
        </w:tabs>
        <w:ind w:left="1985" w:right="1420"/>
        <w:jc w:val="both"/>
        <w:rPr>
          <w:rFonts w:ascii="Arial" w:hAnsi="Arial" w:cs="Arial"/>
          <w:sz w:val="20"/>
          <w:szCs w:val="20"/>
        </w:rPr>
      </w:pPr>
      <w:r w:rsidRPr="000A1C7D">
        <w:rPr>
          <w:rFonts w:ascii="Arial" w:hAnsi="Arial" w:cs="Arial"/>
          <w:sz w:val="20"/>
          <w:szCs w:val="20"/>
        </w:rPr>
        <w:t>Industry skilling, including Irrigation Training Australia (the RTO); and</w:t>
      </w:r>
    </w:p>
    <w:p w14:paraId="6BA0F4A7" w14:textId="5478B168" w:rsidR="008D653D" w:rsidRPr="000A1C7D" w:rsidRDefault="008D653D" w:rsidP="00CF5FBE">
      <w:pPr>
        <w:pStyle w:val="ListParagraph"/>
        <w:numPr>
          <w:ilvl w:val="0"/>
          <w:numId w:val="2"/>
        </w:numPr>
        <w:tabs>
          <w:tab w:val="left" w:pos="993"/>
        </w:tabs>
        <w:ind w:left="1985" w:right="1420"/>
        <w:jc w:val="both"/>
        <w:rPr>
          <w:rFonts w:ascii="Arial" w:hAnsi="Arial" w:cs="Arial"/>
          <w:sz w:val="20"/>
          <w:szCs w:val="20"/>
        </w:rPr>
      </w:pPr>
      <w:r w:rsidRPr="000A1C7D">
        <w:rPr>
          <w:rFonts w:ascii="Arial" w:hAnsi="Arial" w:cs="Arial"/>
          <w:sz w:val="20"/>
          <w:szCs w:val="20"/>
        </w:rPr>
        <w:t>Industry careers.</w:t>
      </w:r>
    </w:p>
    <w:p w14:paraId="3A036DEC" w14:textId="77777777" w:rsidR="008D653D" w:rsidRPr="008D653D" w:rsidRDefault="008D653D" w:rsidP="00CF5FBE">
      <w:pPr>
        <w:pStyle w:val="ListParagraph"/>
        <w:tabs>
          <w:tab w:val="left" w:pos="993"/>
        </w:tabs>
        <w:ind w:left="1353" w:right="1420"/>
        <w:jc w:val="both"/>
        <w:rPr>
          <w:rFonts w:ascii="Arial" w:hAnsi="Arial" w:cs="Arial"/>
        </w:rPr>
      </w:pPr>
    </w:p>
    <w:p w14:paraId="441A2AF3" w14:textId="53C0633A" w:rsidR="008D653D" w:rsidRPr="00F478A8" w:rsidRDefault="006C0987" w:rsidP="00CF5FBE">
      <w:pPr>
        <w:tabs>
          <w:tab w:val="left" w:pos="993"/>
        </w:tabs>
        <w:ind w:left="993" w:right="1420"/>
        <w:jc w:val="both"/>
        <w:rPr>
          <w:rFonts w:ascii="Arial" w:hAnsi="Arial" w:cs="Arial"/>
          <w:b/>
          <w:bCs/>
        </w:rPr>
      </w:pPr>
      <w:r>
        <w:rPr>
          <w:rFonts w:ascii="Arial" w:hAnsi="Arial" w:cs="Arial"/>
          <w:b/>
          <w:bCs/>
        </w:rPr>
        <w:t>Finding, recommendation, information request</w:t>
      </w:r>
    </w:p>
    <w:p w14:paraId="0023EF60" w14:textId="3CD0A987"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b/>
          <w:bCs/>
          <w:i/>
          <w:iCs/>
          <w:sz w:val="18"/>
          <w:szCs w:val="18"/>
        </w:rPr>
        <w:t>Draft finding 8.1</w:t>
      </w:r>
      <w:r w:rsidR="006C0987" w:rsidRPr="006C0987">
        <w:rPr>
          <w:rFonts w:ascii="Arial" w:hAnsi="Arial" w:cs="Arial"/>
          <w:i/>
          <w:iCs/>
          <w:sz w:val="18"/>
          <w:szCs w:val="18"/>
        </w:rPr>
        <w:t xml:space="preserve"> </w:t>
      </w:r>
      <w:r w:rsidRPr="006C0987">
        <w:rPr>
          <w:rFonts w:ascii="Arial" w:hAnsi="Arial" w:cs="Arial"/>
          <w:i/>
          <w:iCs/>
          <w:sz w:val="18"/>
          <w:szCs w:val="18"/>
        </w:rPr>
        <w:t xml:space="preserve">- Jurisdictions are not projected to meet their AS4747 metering installation </w:t>
      </w:r>
      <w:proofErr w:type="gramStart"/>
      <w:r w:rsidRPr="006C0987">
        <w:rPr>
          <w:rFonts w:ascii="Arial" w:hAnsi="Arial" w:cs="Arial"/>
          <w:i/>
          <w:iCs/>
          <w:sz w:val="18"/>
          <w:szCs w:val="18"/>
        </w:rPr>
        <w:t>commitments</w:t>
      </w:r>
      <w:proofErr w:type="gramEnd"/>
    </w:p>
    <w:p w14:paraId="087FD3D3" w14:textId="77777777"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 xml:space="preserve">No states or territories are on track to meet their commitment to have all new and replacement meters AS4747 compliant by July 2025. This undermines the ability of states to conduct proper measurement of watering limits and increases the risk of unreported water use and overextraction. </w:t>
      </w:r>
    </w:p>
    <w:p w14:paraId="2BF5D90F" w14:textId="2AEDF83B"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 xml:space="preserve">The private benefits for water users to upgrade their water meters to AS4747 standard are low and therefore not a sufficient incentive to upgrade.  </w:t>
      </w:r>
    </w:p>
    <w:p w14:paraId="6EDEC7DB" w14:textId="355055D3"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b/>
          <w:bCs/>
          <w:i/>
          <w:iCs/>
          <w:sz w:val="18"/>
          <w:szCs w:val="18"/>
        </w:rPr>
        <w:t>Draft recommendation 8.2</w:t>
      </w:r>
      <w:r w:rsidRPr="006C0987">
        <w:rPr>
          <w:rFonts w:ascii="Arial" w:hAnsi="Arial" w:cs="Arial"/>
          <w:i/>
          <w:iCs/>
          <w:sz w:val="18"/>
          <w:szCs w:val="18"/>
        </w:rPr>
        <w:t xml:space="preserve"> - Improving the rollout of AS4747 </w:t>
      </w:r>
      <w:proofErr w:type="gramStart"/>
      <w:r w:rsidRPr="006C0987">
        <w:rPr>
          <w:rFonts w:ascii="Arial" w:hAnsi="Arial" w:cs="Arial"/>
          <w:i/>
          <w:iCs/>
          <w:sz w:val="18"/>
          <w:szCs w:val="18"/>
        </w:rPr>
        <w:t>meters</w:t>
      </w:r>
      <w:proofErr w:type="gramEnd"/>
    </w:p>
    <w:p w14:paraId="049EFDCE" w14:textId="77777777"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To better allow water users and the public to benefit from the improved AS4747 standard, jurisdictions should take steps to accelerate their rollouts.</w:t>
      </w:r>
    </w:p>
    <w:p w14:paraId="01DC9D10" w14:textId="77777777" w:rsidR="006C0987"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Jurisdictions should:</w:t>
      </w:r>
    </w:p>
    <w:p w14:paraId="52C56F65" w14:textId="77777777" w:rsidR="006C0987" w:rsidRPr="006C0987" w:rsidRDefault="002006BA" w:rsidP="006C0987">
      <w:pPr>
        <w:pStyle w:val="ListParagraph"/>
        <w:numPr>
          <w:ilvl w:val="0"/>
          <w:numId w:val="4"/>
        </w:numPr>
        <w:tabs>
          <w:tab w:val="left" w:pos="993"/>
        </w:tabs>
        <w:ind w:right="1420"/>
        <w:jc w:val="both"/>
        <w:rPr>
          <w:rFonts w:ascii="Arial" w:hAnsi="Arial" w:cs="Arial"/>
          <w:i/>
          <w:iCs/>
          <w:sz w:val="18"/>
          <w:szCs w:val="18"/>
        </w:rPr>
      </w:pPr>
      <w:r w:rsidRPr="006C0987">
        <w:rPr>
          <w:rFonts w:ascii="Arial" w:hAnsi="Arial" w:cs="Arial"/>
          <w:i/>
          <w:iCs/>
          <w:sz w:val="18"/>
          <w:szCs w:val="18"/>
        </w:rPr>
        <w:t>Report annually on non-urban water users’ compliance with the AS4747 metering standards.</w:t>
      </w:r>
    </w:p>
    <w:p w14:paraId="5A3D4E11" w14:textId="77777777" w:rsidR="006C0987" w:rsidRPr="006C0987" w:rsidRDefault="002006BA" w:rsidP="006C0987">
      <w:pPr>
        <w:pStyle w:val="ListParagraph"/>
        <w:numPr>
          <w:ilvl w:val="0"/>
          <w:numId w:val="4"/>
        </w:numPr>
        <w:tabs>
          <w:tab w:val="left" w:pos="993"/>
        </w:tabs>
        <w:ind w:right="1420"/>
        <w:jc w:val="both"/>
        <w:rPr>
          <w:rFonts w:ascii="Arial" w:hAnsi="Arial" w:cs="Arial"/>
          <w:i/>
          <w:iCs/>
          <w:sz w:val="18"/>
          <w:szCs w:val="18"/>
        </w:rPr>
      </w:pPr>
      <w:r w:rsidRPr="006C0987">
        <w:rPr>
          <w:rFonts w:ascii="Arial" w:hAnsi="Arial" w:cs="Arial"/>
          <w:i/>
          <w:iCs/>
          <w:sz w:val="18"/>
          <w:szCs w:val="18"/>
        </w:rPr>
        <w:t>Actively engage with non-urban water users to improve understanding of their metering compliance requirements.</w:t>
      </w:r>
    </w:p>
    <w:p w14:paraId="67D78426" w14:textId="77777777" w:rsidR="006C0987" w:rsidRPr="006C0987" w:rsidRDefault="002006BA" w:rsidP="006C0987">
      <w:pPr>
        <w:pStyle w:val="ListParagraph"/>
        <w:numPr>
          <w:ilvl w:val="0"/>
          <w:numId w:val="4"/>
        </w:numPr>
        <w:tabs>
          <w:tab w:val="left" w:pos="993"/>
        </w:tabs>
        <w:ind w:right="1420"/>
        <w:jc w:val="both"/>
        <w:rPr>
          <w:rFonts w:ascii="Arial" w:hAnsi="Arial" w:cs="Arial"/>
          <w:i/>
          <w:iCs/>
          <w:sz w:val="18"/>
          <w:szCs w:val="18"/>
        </w:rPr>
      </w:pPr>
      <w:r w:rsidRPr="006C0987">
        <w:rPr>
          <w:rFonts w:ascii="Arial" w:hAnsi="Arial" w:cs="Arial"/>
          <w:i/>
          <w:iCs/>
          <w:sz w:val="18"/>
          <w:szCs w:val="18"/>
        </w:rPr>
        <w:t xml:space="preserve">Set a higher bar when approving interim standard or grandfathered water meters. </w:t>
      </w:r>
    </w:p>
    <w:p w14:paraId="2819FC16" w14:textId="25EBF30A" w:rsidR="002006BA" w:rsidRPr="006C0987" w:rsidRDefault="002006BA" w:rsidP="006C0987">
      <w:pPr>
        <w:pStyle w:val="ListParagraph"/>
        <w:numPr>
          <w:ilvl w:val="0"/>
          <w:numId w:val="4"/>
        </w:numPr>
        <w:tabs>
          <w:tab w:val="left" w:pos="993"/>
        </w:tabs>
        <w:ind w:right="1420"/>
        <w:jc w:val="both"/>
        <w:rPr>
          <w:rFonts w:ascii="Arial" w:hAnsi="Arial" w:cs="Arial"/>
          <w:i/>
          <w:iCs/>
          <w:sz w:val="18"/>
          <w:szCs w:val="18"/>
        </w:rPr>
      </w:pPr>
      <w:r w:rsidRPr="006C0987">
        <w:rPr>
          <w:rFonts w:ascii="Arial" w:hAnsi="Arial" w:cs="Arial"/>
          <w:i/>
          <w:iCs/>
          <w:sz w:val="18"/>
          <w:szCs w:val="18"/>
        </w:rPr>
        <w:t xml:space="preserve">For both interim and grandfathered meters, water users should be required to actively prove their meter is accurate to within +-5% of AS4747 meters as is the requirement in Victoria, New South </w:t>
      </w:r>
      <w:proofErr w:type="gramStart"/>
      <w:r w:rsidRPr="006C0987">
        <w:rPr>
          <w:rFonts w:ascii="Arial" w:hAnsi="Arial" w:cs="Arial"/>
          <w:i/>
          <w:iCs/>
          <w:sz w:val="18"/>
          <w:szCs w:val="18"/>
        </w:rPr>
        <w:t>Wales</w:t>
      </w:r>
      <w:proofErr w:type="gramEnd"/>
      <w:r w:rsidRPr="006C0987">
        <w:rPr>
          <w:rFonts w:ascii="Arial" w:hAnsi="Arial" w:cs="Arial"/>
          <w:i/>
          <w:iCs/>
          <w:sz w:val="18"/>
          <w:szCs w:val="18"/>
        </w:rPr>
        <w:t xml:space="preserve"> and the Australian Capital Territory.</w:t>
      </w:r>
    </w:p>
    <w:p w14:paraId="77EBCCD3" w14:textId="63CE7951"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b/>
          <w:bCs/>
          <w:i/>
          <w:iCs/>
          <w:sz w:val="18"/>
          <w:szCs w:val="18"/>
        </w:rPr>
        <w:t>Information request 8.1</w:t>
      </w:r>
      <w:r w:rsidRPr="006C0987">
        <w:rPr>
          <w:rFonts w:ascii="Arial" w:hAnsi="Arial" w:cs="Arial"/>
          <w:i/>
          <w:iCs/>
          <w:sz w:val="18"/>
          <w:szCs w:val="18"/>
        </w:rPr>
        <w:t xml:space="preserve"> - What are the main causes of the low uptake of AS4747 meters by </w:t>
      </w:r>
      <w:proofErr w:type="spellStart"/>
      <w:proofErr w:type="gramStart"/>
      <w:r w:rsidRPr="006C0987">
        <w:rPr>
          <w:rFonts w:ascii="Arial" w:hAnsi="Arial" w:cs="Arial"/>
          <w:i/>
          <w:iCs/>
          <w:sz w:val="18"/>
          <w:szCs w:val="18"/>
        </w:rPr>
        <w:t>non urban</w:t>
      </w:r>
      <w:proofErr w:type="spellEnd"/>
      <w:proofErr w:type="gramEnd"/>
      <w:r w:rsidRPr="006C0987">
        <w:rPr>
          <w:rFonts w:ascii="Arial" w:hAnsi="Arial" w:cs="Arial"/>
          <w:i/>
          <w:iCs/>
          <w:sz w:val="18"/>
          <w:szCs w:val="18"/>
        </w:rPr>
        <w:t xml:space="preserve"> water users for new and replacement meters, and what targeted interventions would be most cost effective in addressing this low uptake? </w:t>
      </w:r>
    </w:p>
    <w:p w14:paraId="2C1DBF6D" w14:textId="77777777" w:rsidR="002006BA"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What are the public benefits of metering?</w:t>
      </w:r>
    </w:p>
    <w:p w14:paraId="7C265EA2" w14:textId="0C458D58" w:rsidR="00AB57E1" w:rsidRPr="006C0987" w:rsidRDefault="002006BA" w:rsidP="002006BA">
      <w:pPr>
        <w:tabs>
          <w:tab w:val="left" w:pos="993"/>
        </w:tabs>
        <w:ind w:left="993" w:right="1420"/>
        <w:jc w:val="both"/>
        <w:rPr>
          <w:rFonts w:ascii="Arial" w:hAnsi="Arial" w:cs="Arial"/>
          <w:i/>
          <w:iCs/>
          <w:sz w:val="18"/>
          <w:szCs w:val="18"/>
        </w:rPr>
      </w:pPr>
      <w:r w:rsidRPr="006C0987">
        <w:rPr>
          <w:rFonts w:ascii="Arial" w:hAnsi="Arial" w:cs="Arial"/>
          <w:i/>
          <w:iCs/>
          <w:sz w:val="18"/>
          <w:szCs w:val="18"/>
        </w:rPr>
        <w:t>The Commission has heard that there is a shortage of Certified Meter Installers and Duly Qualified Persons. What is causing the shortage, and how can it be overcome?</w:t>
      </w:r>
    </w:p>
    <w:p w14:paraId="03E34503" w14:textId="77777777" w:rsidR="002006BA" w:rsidRDefault="002006BA" w:rsidP="00CF5FBE">
      <w:pPr>
        <w:tabs>
          <w:tab w:val="left" w:pos="993"/>
        </w:tabs>
        <w:ind w:left="993" w:right="1420"/>
        <w:jc w:val="both"/>
        <w:rPr>
          <w:rFonts w:ascii="Arial" w:hAnsi="Arial" w:cs="Arial"/>
        </w:rPr>
      </w:pPr>
    </w:p>
    <w:p w14:paraId="07468107" w14:textId="60AB6AEA" w:rsidR="006C0987" w:rsidRDefault="006C0987">
      <w:pPr>
        <w:rPr>
          <w:rFonts w:ascii="Arial" w:hAnsi="Arial" w:cs="Arial"/>
        </w:rPr>
      </w:pPr>
      <w:r>
        <w:rPr>
          <w:rFonts w:ascii="Arial" w:hAnsi="Arial" w:cs="Arial"/>
        </w:rPr>
        <w:br w:type="page"/>
      </w:r>
    </w:p>
    <w:p w14:paraId="2B318F77" w14:textId="77777777" w:rsidR="006C0987" w:rsidRDefault="006C0987" w:rsidP="00CF5FBE">
      <w:pPr>
        <w:tabs>
          <w:tab w:val="left" w:pos="993"/>
        </w:tabs>
        <w:ind w:left="993" w:right="1420"/>
        <w:jc w:val="both"/>
        <w:rPr>
          <w:rFonts w:ascii="Arial" w:hAnsi="Arial" w:cs="Arial"/>
        </w:rPr>
      </w:pPr>
    </w:p>
    <w:p w14:paraId="32F951BD" w14:textId="77777777" w:rsidR="006C0987" w:rsidRDefault="006C0987" w:rsidP="00CF5FBE">
      <w:pPr>
        <w:tabs>
          <w:tab w:val="left" w:pos="993"/>
        </w:tabs>
        <w:ind w:left="993" w:right="1420"/>
        <w:jc w:val="both"/>
        <w:rPr>
          <w:rFonts w:ascii="Arial" w:hAnsi="Arial" w:cs="Arial"/>
        </w:rPr>
      </w:pPr>
    </w:p>
    <w:p w14:paraId="1C5E2756" w14:textId="5A063745" w:rsidR="006C0987" w:rsidRPr="000A1C7D" w:rsidRDefault="006C0987" w:rsidP="00CF5FBE">
      <w:pPr>
        <w:tabs>
          <w:tab w:val="left" w:pos="993"/>
        </w:tabs>
        <w:ind w:left="993" w:right="1420"/>
        <w:jc w:val="both"/>
        <w:rPr>
          <w:rFonts w:ascii="Arial" w:hAnsi="Arial" w:cs="Arial"/>
          <w:b/>
          <w:bCs/>
          <w:sz w:val="20"/>
          <w:szCs w:val="20"/>
        </w:rPr>
      </w:pPr>
      <w:r w:rsidRPr="000A1C7D">
        <w:rPr>
          <w:rFonts w:ascii="Arial" w:hAnsi="Arial" w:cs="Arial"/>
          <w:b/>
          <w:bCs/>
          <w:sz w:val="20"/>
          <w:szCs w:val="20"/>
        </w:rPr>
        <w:t>Response</w:t>
      </w:r>
    </w:p>
    <w:p w14:paraId="08492A8E" w14:textId="6DF52BD4" w:rsidR="002006BA" w:rsidRPr="000A1C7D" w:rsidRDefault="002006BA" w:rsidP="00CF5FBE">
      <w:pPr>
        <w:tabs>
          <w:tab w:val="left" w:pos="993"/>
        </w:tabs>
        <w:ind w:left="993" w:right="1420"/>
        <w:jc w:val="both"/>
        <w:rPr>
          <w:rFonts w:ascii="Arial" w:hAnsi="Arial" w:cs="Arial"/>
          <w:b/>
          <w:bCs/>
          <w:sz w:val="20"/>
          <w:szCs w:val="20"/>
        </w:rPr>
      </w:pPr>
      <w:r w:rsidRPr="000A1C7D">
        <w:rPr>
          <w:rFonts w:ascii="Arial" w:hAnsi="Arial" w:cs="Arial"/>
          <w:sz w:val="20"/>
          <w:szCs w:val="20"/>
        </w:rPr>
        <w:t>Irrigation Australia is the national accrediting body for the Certified Meter Installer</w:t>
      </w:r>
      <w:r w:rsidR="0090165C" w:rsidRPr="000A1C7D">
        <w:rPr>
          <w:rFonts w:ascii="Arial" w:hAnsi="Arial" w:cs="Arial"/>
          <w:sz w:val="20"/>
          <w:szCs w:val="20"/>
        </w:rPr>
        <w:t xml:space="preserve"> and Validator</w:t>
      </w:r>
      <w:r w:rsidRPr="000A1C7D">
        <w:rPr>
          <w:rFonts w:ascii="Arial" w:hAnsi="Arial" w:cs="Arial"/>
          <w:sz w:val="20"/>
          <w:szCs w:val="20"/>
        </w:rPr>
        <w:t xml:space="preserve"> and Certified Storage </w:t>
      </w:r>
      <w:r w:rsidR="0090165C" w:rsidRPr="000A1C7D">
        <w:rPr>
          <w:rFonts w:ascii="Arial" w:hAnsi="Arial" w:cs="Arial"/>
          <w:sz w:val="20"/>
          <w:szCs w:val="20"/>
        </w:rPr>
        <w:t xml:space="preserve">Meter Installer and </w:t>
      </w:r>
      <w:r w:rsidRPr="000A1C7D">
        <w:rPr>
          <w:rFonts w:ascii="Arial" w:hAnsi="Arial" w:cs="Arial"/>
          <w:sz w:val="20"/>
          <w:szCs w:val="20"/>
        </w:rPr>
        <w:t>Validator qualifications.</w:t>
      </w:r>
      <w:r w:rsidR="006C0987" w:rsidRPr="000A1C7D">
        <w:rPr>
          <w:rFonts w:ascii="Arial" w:hAnsi="Arial" w:cs="Arial"/>
          <w:sz w:val="20"/>
          <w:szCs w:val="20"/>
        </w:rPr>
        <w:t xml:space="preserve">  We train technical staff in the processes around meter installation and validation and work in concert with state regulators to keep those professionals informed of regulator changes as well as seek to continuously improve the quality of installation and management practices for meters.</w:t>
      </w:r>
      <w:r w:rsidR="00802EFE" w:rsidRPr="000A1C7D">
        <w:rPr>
          <w:rFonts w:ascii="Arial" w:hAnsi="Arial" w:cs="Arial"/>
          <w:sz w:val="20"/>
          <w:szCs w:val="20"/>
        </w:rPr>
        <w:t xml:space="preserve">  The draft recommendations refer to “DQPs” which incorporates other </w:t>
      </w:r>
      <w:proofErr w:type="gramStart"/>
      <w:r w:rsidR="00802EFE" w:rsidRPr="000A1C7D">
        <w:rPr>
          <w:rFonts w:ascii="Arial" w:hAnsi="Arial" w:cs="Arial"/>
          <w:sz w:val="20"/>
          <w:szCs w:val="20"/>
        </w:rPr>
        <w:t>qualifications</w:t>
      </w:r>
      <w:proofErr w:type="gramEnd"/>
      <w:r w:rsidR="00802EFE" w:rsidRPr="000A1C7D">
        <w:rPr>
          <w:rFonts w:ascii="Arial" w:hAnsi="Arial" w:cs="Arial"/>
          <w:sz w:val="20"/>
          <w:szCs w:val="20"/>
        </w:rPr>
        <w:t xml:space="preserve"> and </w:t>
      </w:r>
      <w:r w:rsidR="00802EFE" w:rsidRPr="000A1C7D">
        <w:rPr>
          <w:rFonts w:ascii="Arial" w:hAnsi="Arial" w:cs="Arial"/>
          <w:b/>
          <w:bCs/>
          <w:sz w:val="20"/>
          <w:szCs w:val="20"/>
        </w:rPr>
        <w:t>our comments below predominantly refer to CMIs.</w:t>
      </w:r>
    </w:p>
    <w:p w14:paraId="13D95D4C" w14:textId="77777777" w:rsidR="006C0987" w:rsidRPr="000A1C7D" w:rsidRDefault="006C0987" w:rsidP="00CF5FBE">
      <w:pPr>
        <w:tabs>
          <w:tab w:val="left" w:pos="993"/>
        </w:tabs>
        <w:ind w:left="993" w:right="1420"/>
        <w:jc w:val="both"/>
        <w:rPr>
          <w:rFonts w:ascii="Arial" w:hAnsi="Arial" w:cs="Arial"/>
          <w:sz w:val="20"/>
          <w:szCs w:val="20"/>
        </w:rPr>
      </w:pPr>
    </w:p>
    <w:p w14:paraId="2B23604C" w14:textId="12317606" w:rsidR="006C0987" w:rsidRPr="000A1C7D" w:rsidRDefault="006C0987" w:rsidP="006C0987">
      <w:pPr>
        <w:pStyle w:val="ListParagraph"/>
        <w:numPr>
          <w:ilvl w:val="0"/>
          <w:numId w:val="5"/>
        </w:numPr>
        <w:ind w:right="1278"/>
        <w:rPr>
          <w:rFonts w:ascii="Arial" w:hAnsi="Arial" w:cs="Arial"/>
          <w:sz w:val="20"/>
          <w:szCs w:val="20"/>
        </w:rPr>
      </w:pPr>
      <w:r w:rsidRPr="000A1C7D">
        <w:rPr>
          <w:rFonts w:ascii="Arial" w:hAnsi="Arial" w:cs="Arial"/>
          <w:sz w:val="20"/>
          <w:szCs w:val="20"/>
        </w:rPr>
        <w:t>We agree that non-urban water users' compliance with the AS4747 metering standards should be reported.</w:t>
      </w:r>
      <w:r w:rsidR="004A3E71" w:rsidRPr="000A1C7D">
        <w:rPr>
          <w:rFonts w:ascii="Arial" w:hAnsi="Arial" w:cs="Arial"/>
          <w:sz w:val="20"/>
          <w:szCs w:val="20"/>
        </w:rPr>
        <w:t xml:space="preserve">  </w:t>
      </w:r>
      <w:proofErr w:type="gramStart"/>
      <w:r w:rsidR="004A3E71" w:rsidRPr="000A1C7D">
        <w:rPr>
          <w:rFonts w:ascii="Arial" w:hAnsi="Arial" w:cs="Arial"/>
          <w:sz w:val="20"/>
          <w:szCs w:val="20"/>
        </w:rPr>
        <w:t>All of</w:t>
      </w:r>
      <w:proofErr w:type="gramEnd"/>
      <w:r w:rsidR="004A3E71" w:rsidRPr="000A1C7D">
        <w:rPr>
          <w:rFonts w:ascii="Arial" w:hAnsi="Arial" w:cs="Arial"/>
          <w:sz w:val="20"/>
          <w:szCs w:val="20"/>
        </w:rPr>
        <w:t xml:space="preserve"> this information should be transparently reported along with any related compliance data on DQPs.</w:t>
      </w:r>
    </w:p>
    <w:p w14:paraId="1FD8D8A9" w14:textId="567B0AA2" w:rsidR="004A3E71" w:rsidRPr="000A1C7D" w:rsidRDefault="004A3E71" w:rsidP="004A3E71">
      <w:pPr>
        <w:pStyle w:val="ListParagraph"/>
        <w:ind w:left="1353" w:right="1278"/>
        <w:rPr>
          <w:rFonts w:ascii="Arial" w:hAnsi="Arial" w:cs="Arial"/>
          <w:sz w:val="20"/>
          <w:szCs w:val="20"/>
        </w:rPr>
      </w:pPr>
      <w:r w:rsidRPr="000A1C7D">
        <w:rPr>
          <w:rFonts w:ascii="Arial" w:hAnsi="Arial" w:cs="Arial"/>
          <w:sz w:val="20"/>
          <w:szCs w:val="20"/>
        </w:rPr>
        <w:t>One of the most common comments we hear from regulators is that DQPs are not appropriately completing certificates or other administrative requirements to ensure accurate records are kept.  As a Certifying Body it is critical to ensure quality of work and to maintain the integrity of the program to protect the professional reputation of all practitioners, and it is challenging to improve and educate in the absence of data.</w:t>
      </w:r>
    </w:p>
    <w:p w14:paraId="77656AFB" w14:textId="346AB4C9" w:rsidR="006C0987" w:rsidRPr="000A1C7D" w:rsidRDefault="004A3E71" w:rsidP="006C0987">
      <w:pPr>
        <w:pStyle w:val="ListParagraph"/>
        <w:numPr>
          <w:ilvl w:val="0"/>
          <w:numId w:val="5"/>
        </w:numPr>
        <w:tabs>
          <w:tab w:val="left" w:pos="993"/>
        </w:tabs>
        <w:ind w:right="1420"/>
        <w:jc w:val="both"/>
        <w:rPr>
          <w:rFonts w:ascii="Arial" w:hAnsi="Arial" w:cs="Arial"/>
          <w:sz w:val="20"/>
          <w:szCs w:val="20"/>
        </w:rPr>
      </w:pPr>
      <w:r w:rsidRPr="000A1C7D">
        <w:rPr>
          <w:rFonts w:ascii="Arial" w:hAnsi="Arial" w:cs="Arial"/>
          <w:sz w:val="20"/>
          <w:szCs w:val="20"/>
        </w:rPr>
        <w:t>We agree that</w:t>
      </w:r>
      <w:r w:rsidR="006E54B6" w:rsidRPr="000A1C7D">
        <w:rPr>
          <w:rFonts w:ascii="Arial" w:hAnsi="Arial" w:cs="Arial"/>
          <w:sz w:val="20"/>
          <w:szCs w:val="20"/>
        </w:rPr>
        <w:t xml:space="preserve"> there are greater opportunities for engagement with non-urban water users on compliance.  Previously modest funding had been made available for a governance officer role which provided direct support to DQPs and worked with regulators </w:t>
      </w:r>
      <w:r w:rsidR="0090165C" w:rsidRPr="000A1C7D">
        <w:rPr>
          <w:rFonts w:ascii="Arial" w:hAnsi="Arial" w:cs="Arial"/>
          <w:sz w:val="20"/>
          <w:szCs w:val="20"/>
        </w:rPr>
        <w:t xml:space="preserve">in </w:t>
      </w:r>
      <w:r w:rsidR="006E54B6" w:rsidRPr="000A1C7D">
        <w:rPr>
          <w:rFonts w:ascii="Arial" w:hAnsi="Arial" w:cs="Arial"/>
          <w:sz w:val="20"/>
          <w:szCs w:val="20"/>
        </w:rPr>
        <w:t>each state and our industry to develop Codes of Conduct and other support processes.  This approach ultimately helped DQPs better engage with their customers and build understanding of compliance requirements and supported the efforts of staff in each state regulator working towards the same end.  The key point is that collaboration across jurisdictions and with practitioners is crucial to achieving this improved understanding.</w:t>
      </w:r>
      <w:r w:rsidR="0090165C" w:rsidRPr="000A1C7D">
        <w:rPr>
          <w:rFonts w:ascii="Arial" w:hAnsi="Arial" w:cs="Arial"/>
          <w:sz w:val="20"/>
          <w:szCs w:val="20"/>
        </w:rPr>
        <w:t xml:space="preserve"> </w:t>
      </w:r>
      <w:r w:rsidR="000A1C7D" w:rsidRPr="000A1C7D">
        <w:rPr>
          <w:rFonts w:ascii="Arial" w:hAnsi="Arial" w:cs="Arial"/>
          <w:sz w:val="20"/>
          <w:szCs w:val="20"/>
        </w:rPr>
        <w:t xml:space="preserve"> </w:t>
      </w:r>
      <w:r w:rsidR="0090165C" w:rsidRPr="000A1C7D">
        <w:rPr>
          <w:rFonts w:ascii="Arial" w:hAnsi="Arial" w:cs="Arial"/>
          <w:sz w:val="20"/>
          <w:szCs w:val="20"/>
        </w:rPr>
        <w:t>A funded governance role would substantially assist this effort.</w:t>
      </w:r>
    </w:p>
    <w:p w14:paraId="06F7FADA" w14:textId="5EC603B4" w:rsidR="006E54B6" w:rsidRPr="000A1C7D" w:rsidRDefault="006E54B6" w:rsidP="006C0987">
      <w:pPr>
        <w:pStyle w:val="ListParagraph"/>
        <w:numPr>
          <w:ilvl w:val="0"/>
          <w:numId w:val="5"/>
        </w:numPr>
        <w:tabs>
          <w:tab w:val="left" w:pos="993"/>
        </w:tabs>
        <w:ind w:right="1420"/>
        <w:jc w:val="both"/>
        <w:rPr>
          <w:rFonts w:ascii="Arial" w:hAnsi="Arial" w:cs="Arial"/>
          <w:sz w:val="20"/>
          <w:szCs w:val="20"/>
        </w:rPr>
      </w:pPr>
      <w:r w:rsidRPr="000A1C7D">
        <w:rPr>
          <w:rFonts w:ascii="Arial" w:hAnsi="Arial" w:cs="Arial"/>
          <w:sz w:val="20"/>
          <w:szCs w:val="20"/>
        </w:rPr>
        <w:t xml:space="preserve">We are advised that </w:t>
      </w:r>
      <w:proofErr w:type="gramStart"/>
      <w:r w:rsidRPr="000A1C7D">
        <w:rPr>
          <w:rFonts w:ascii="Arial" w:hAnsi="Arial" w:cs="Arial"/>
          <w:sz w:val="20"/>
          <w:szCs w:val="20"/>
        </w:rPr>
        <w:t>a number of</w:t>
      </w:r>
      <w:proofErr w:type="gramEnd"/>
      <w:r w:rsidRPr="000A1C7D">
        <w:rPr>
          <w:rFonts w:ascii="Arial" w:hAnsi="Arial" w:cs="Arial"/>
          <w:sz w:val="20"/>
          <w:szCs w:val="20"/>
        </w:rPr>
        <w:t xml:space="preserve"> larger meters have risks associated with tampering and will never achieve pattern approval.  There is merit in a program to </w:t>
      </w:r>
      <w:r w:rsidR="006D668F" w:rsidRPr="000A1C7D">
        <w:rPr>
          <w:rFonts w:ascii="Arial" w:hAnsi="Arial" w:cs="Arial"/>
          <w:sz w:val="20"/>
          <w:szCs w:val="20"/>
        </w:rPr>
        <w:t xml:space="preserve">work with manufacturers, </w:t>
      </w:r>
      <w:proofErr w:type="gramStart"/>
      <w:r w:rsidR="006D668F" w:rsidRPr="000A1C7D">
        <w:rPr>
          <w:rFonts w:ascii="Arial" w:hAnsi="Arial" w:cs="Arial"/>
          <w:sz w:val="20"/>
          <w:szCs w:val="20"/>
        </w:rPr>
        <w:t>regulators</w:t>
      </w:r>
      <w:proofErr w:type="gramEnd"/>
      <w:r w:rsidR="006D668F" w:rsidRPr="000A1C7D">
        <w:rPr>
          <w:rFonts w:ascii="Arial" w:hAnsi="Arial" w:cs="Arial"/>
          <w:sz w:val="20"/>
          <w:szCs w:val="20"/>
        </w:rPr>
        <w:t xml:space="preserve"> and the NMI to understand what the impediments are to setting a “higher bar” rather than assuming the regulators have a real choice.  In addition</w:t>
      </w:r>
      <w:r w:rsidR="0090165C" w:rsidRPr="000A1C7D">
        <w:rPr>
          <w:rFonts w:ascii="Arial" w:hAnsi="Arial" w:cs="Arial"/>
          <w:sz w:val="20"/>
          <w:szCs w:val="20"/>
        </w:rPr>
        <w:t>,</w:t>
      </w:r>
      <w:r w:rsidR="006D668F" w:rsidRPr="000A1C7D">
        <w:rPr>
          <w:rFonts w:ascii="Arial" w:hAnsi="Arial" w:cs="Arial"/>
          <w:sz w:val="20"/>
          <w:szCs w:val="20"/>
        </w:rPr>
        <w:t xml:space="preserve"> an assessment of the effectiveness of the requirement to actively prove meter accuracy in the listed states would likely assist in driving policy and regulation in other states.</w:t>
      </w:r>
    </w:p>
    <w:p w14:paraId="00E4FC4F" w14:textId="32032C72" w:rsidR="006D668F" w:rsidRPr="000A1C7D" w:rsidRDefault="006D668F" w:rsidP="006C0987">
      <w:pPr>
        <w:pStyle w:val="ListParagraph"/>
        <w:numPr>
          <w:ilvl w:val="0"/>
          <w:numId w:val="5"/>
        </w:numPr>
        <w:tabs>
          <w:tab w:val="left" w:pos="993"/>
        </w:tabs>
        <w:ind w:right="1420"/>
        <w:jc w:val="both"/>
        <w:rPr>
          <w:rFonts w:ascii="Arial" w:hAnsi="Arial" w:cs="Arial"/>
          <w:sz w:val="20"/>
          <w:szCs w:val="20"/>
        </w:rPr>
      </w:pPr>
      <w:r w:rsidRPr="000A1C7D">
        <w:rPr>
          <w:rFonts w:ascii="Arial" w:hAnsi="Arial" w:cs="Arial"/>
          <w:sz w:val="20"/>
          <w:szCs w:val="20"/>
        </w:rPr>
        <w:t>The espoused shortage of DQPs has been mentioned in several reviews.  As a key component in the supply of DQPs, we offer the following notes</w:t>
      </w:r>
      <w:r w:rsidR="00C446B6" w:rsidRPr="000A1C7D">
        <w:rPr>
          <w:rFonts w:ascii="Arial" w:hAnsi="Arial" w:cs="Arial"/>
          <w:sz w:val="20"/>
          <w:szCs w:val="20"/>
        </w:rPr>
        <w:t>, many of which have been discussed with state regulators</w:t>
      </w:r>
      <w:r w:rsidRPr="000A1C7D">
        <w:rPr>
          <w:rFonts w:ascii="Arial" w:hAnsi="Arial" w:cs="Arial"/>
          <w:sz w:val="20"/>
          <w:szCs w:val="20"/>
        </w:rPr>
        <w:t>:</w:t>
      </w:r>
    </w:p>
    <w:p w14:paraId="1C586C3D" w14:textId="7C63725E" w:rsidR="006D668F" w:rsidRPr="000A1C7D" w:rsidRDefault="006D668F" w:rsidP="006D668F">
      <w:pPr>
        <w:pStyle w:val="ListParagraph"/>
        <w:numPr>
          <w:ilvl w:val="1"/>
          <w:numId w:val="4"/>
        </w:numPr>
        <w:tabs>
          <w:tab w:val="left" w:pos="993"/>
        </w:tabs>
        <w:ind w:right="1420"/>
        <w:jc w:val="both"/>
        <w:rPr>
          <w:rFonts w:ascii="Arial" w:hAnsi="Arial" w:cs="Arial"/>
          <w:sz w:val="20"/>
          <w:szCs w:val="20"/>
        </w:rPr>
      </w:pPr>
      <w:r w:rsidRPr="000A1C7D">
        <w:rPr>
          <w:rFonts w:ascii="Arial" w:hAnsi="Arial" w:cs="Arial"/>
          <w:sz w:val="20"/>
          <w:szCs w:val="20"/>
        </w:rPr>
        <w:t xml:space="preserve">Certified personnel often report that the installation and validation of meters is not an economically viable business.  There are some who focus on it and succeed, but typically it is an extra service offered by irrigation technicians </w:t>
      </w:r>
      <w:r w:rsidR="00C446B6" w:rsidRPr="000A1C7D">
        <w:rPr>
          <w:rFonts w:ascii="Arial" w:hAnsi="Arial" w:cs="Arial"/>
          <w:sz w:val="20"/>
          <w:szCs w:val="20"/>
        </w:rPr>
        <w:t xml:space="preserve">in small businesses </w:t>
      </w:r>
      <w:r w:rsidRPr="000A1C7D">
        <w:rPr>
          <w:rFonts w:ascii="Arial" w:hAnsi="Arial" w:cs="Arial"/>
          <w:sz w:val="20"/>
          <w:szCs w:val="20"/>
        </w:rPr>
        <w:t>and it competes with other more profitable services.</w:t>
      </w:r>
    </w:p>
    <w:p w14:paraId="6987F0BA" w14:textId="1F247AFE" w:rsidR="006D668F" w:rsidRPr="000A1C7D" w:rsidRDefault="00C446B6" w:rsidP="006D668F">
      <w:pPr>
        <w:pStyle w:val="ListParagraph"/>
        <w:numPr>
          <w:ilvl w:val="1"/>
          <w:numId w:val="4"/>
        </w:numPr>
        <w:tabs>
          <w:tab w:val="left" w:pos="993"/>
        </w:tabs>
        <w:ind w:right="1420"/>
        <w:jc w:val="both"/>
        <w:rPr>
          <w:rFonts w:ascii="Arial" w:hAnsi="Arial" w:cs="Arial"/>
          <w:sz w:val="20"/>
          <w:szCs w:val="20"/>
        </w:rPr>
      </w:pPr>
      <w:r w:rsidRPr="000A1C7D">
        <w:rPr>
          <w:rFonts w:ascii="Arial" w:hAnsi="Arial" w:cs="Arial"/>
          <w:sz w:val="20"/>
          <w:szCs w:val="20"/>
        </w:rPr>
        <w:t>The interactions with entitlement holders who in general would prefer not to have their water measured are not always amicable.</w:t>
      </w:r>
    </w:p>
    <w:p w14:paraId="7124CBAC" w14:textId="2E2B7612" w:rsidR="00C446B6" w:rsidRPr="000A1C7D" w:rsidRDefault="00C446B6" w:rsidP="006D668F">
      <w:pPr>
        <w:pStyle w:val="ListParagraph"/>
        <w:numPr>
          <w:ilvl w:val="1"/>
          <w:numId w:val="4"/>
        </w:numPr>
        <w:tabs>
          <w:tab w:val="left" w:pos="993"/>
        </w:tabs>
        <w:ind w:right="1420"/>
        <w:jc w:val="both"/>
        <w:rPr>
          <w:rFonts w:ascii="Arial" w:hAnsi="Arial" w:cs="Arial"/>
          <w:sz w:val="20"/>
          <w:szCs w:val="20"/>
        </w:rPr>
      </w:pPr>
      <w:r w:rsidRPr="000A1C7D">
        <w:rPr>
          <w:rFonts w:ascii="Arial" w:hAnsi="Arial" w:cs="Arial"/>
          <w:sz w:val="20"/>
          <w:szCs w:val="20"/>
        </w:rPr>
        <w:t>The market matching is poor.  We frequently seek information from regulators on the broad location of meters and schedule for validations to offer to DQPs to send a signal to the market of where there might be business opportunities.</w:t>
      </w:r>
    </w:p>
    <w:p w14:paraId="64831D25" w14:textId="36AA80ED" w:rsidR="00C446B6" w:rsidRPr="000A1C7D" w:rsidRDefault="00C446B6" w:rsidP="006D668F">
      <w:pPr>
        <w:pStyle w:val="ListParagraph"/>
        <w:numPr>
          <w:ilvl w:val="1"/>
          <w:numId w:val="4"/>
        </w:numPr>
        <w:tabs>
          <w:tab w:val="left" w:pos="993"/>
        </w:tabs>
        <w:ind w:right="1420"/>
        <w:jc w:val="both"/>
        <w:rPr>
          <w:rFonts w:ascii="Arial" w:hAnsi="Arial" w:cs="Arial"/>
          <w:sz w:val="20"/>
          <w:szCs w:val="20"/>
        </w:rPr>
      </w:pPr>
      <w:r w:rsidRPr="000A1C7D">
        <w:rPr>
          <w:rFonts w:ascii="Arial" w:hAnsi="Arial" w:cs="Arial"/>
          <w:sz w:val="20"/>
          <w:szCs w:val="20"/>
        </w:rPr>
        <w:t>There is a reputation of poor work in some areas.  For our part we have commenced an extensive review of the training materials and created new Continuing Professional Development options for DQPs.  There is a need for other support materials including strong standards/ drawings/ guides to support installations.</w:t>
      </w:r>
    </w:p>
    <w:p w14:paraId="120648BF" w14:textId="693F8017" w:rsidR="00C446B6" w:rsidRPr="000A1C7D" w:rsidRDefault="00C446B6" w:rsidP="006D668F">
      <w:pPr>
        <w:pStyle w:val="ListParagraph"/>
        <w:numPr>
          <w:ilvl w:val="1"/>
          <w:numId w:val="4"/>
        </w:numPr>
        <w:tabs>
          <w:tab w:val="left" w:pos="993"/>
        </w:tabs>
        <w:ind w:right="1420"/>
        <w:jc w:val="both"/>
        <w:rPr>
          <w:rFonts w:ascii="Arial" w:hAnsi="Arial" w:cs="Arial"/>
          <w:sz w:val="20"/>
          <w:szCs w:val="20"/>
        </w:rPr>
      </w:pPr>
      <w:r w:rsidRPr="000A1C7D">
        <w:rPr>
          <w:rFonts w:ascii="Arial" w:hAnsi="Arial" w:cs="Arial"/>
          <w:sz w:val="20"/>
          <w:szCs w:val="20"/>
        </w:rPr>
        <w:t xml:space="preserve">The </w:t>
      </w:r>
      <w:proofErr w:type="spellStart"/>
      <w:r w:rsidRPr="000A1C7D">
        <w:rPr>
          <w:rFonts w:ascii="Arial" w:hAnsi="Arial" w:cs="Arial"/>
          <w:sz w:val="20"/>
          <w:szCs w:val="20"/>
        </w:rPr>
        <w:t>lodgement</w:t>
      </w:r>
      <w:proofErr w:type="spellEnd"/>
      <w:r w:rsidRPr="000A1C7D">
        <w:rPr>
          <w:rFonts w:ascii="Arial" w:hAnsi="Arial" w:cs="Arial"/>
          <w:sz w:val="20"/>
          <w:szCs w:val="20"/>
        </w:rPr>
        <w:t xml:space="preserve"> systems, both </w:t>
      </w:r>
      <w:proofErr w:type="gramStart"/>
      <w:r w:rsidRPr="000A1C7D">
        <w:rPr>
          <w:rFonts w:ascii="Arial" w:hAnsi="Arial" w:cs="Arial"/>
          <w:sz w:val="20"/>
          <w:szCs w:val="20"/>
        </w:rPr>
        <w:t>paper</w:t>
      </w:r>
      <w:proofErr w:type="gramEnd"/>
      <w:r w:rsidRPr="000A1C7D">
        <w:rPr>
          <w:rFonts w:ascii="Arial" w:hAnsi="Arial" w:cs="Arial"/>
          <w:sz w:val="20"/>
          <w:szCs w:val="20"/>
        </w:rPr>
        <w:t xml:space="preserve"> based and electronic, have historically been poor and the administrative load is often cited as a factor contributing to reduced interest in the work by DQPs.</w:t>
      </w:r>
    </w:p>
    <w:p w14:paraId="3EEBAD28" w14:textId="3585E522" w:rsidR="00C446B6" w:rsidRPr="000A1C7D" w:rsidRDefault="00C446B6" w:rsidP="00C446B6">
      <w:pPr>
        <w:pStyle w:val="ListParagraph"/>
        <w:tabs>
          <w:tab w:val="left" w:pos="993"/>
        </w:tabs>
        <w:ind w:left="1353" w:right="1420"/>
        <w:jc w:val="both"/>
        <w:rPr>
          <w:rFonts w:ascii="Arial" w:hAnsi="Arial" w:cs="Arial"/>
          <w:sz w:val="20"/>
          <w:szCs w:val="20"/>
        </w:rPr>
      </w:pPr>
      <w:r w:rsidRPr="000A1C7D">
        <w:rPr>
          <w:rFonts w:ascii="Arial" w:hAnsi="Arial" w:cs="Arial"/>
          <w:sz w:val="20"/>
          <w:szCs w:val="20"/>
        </w:rPr>
        <w:t>While we have these discussions; until there is a strong, planned collaborative approach across jurisdictions and with the industry to address and clearly communicate to DQPs, with suitable investment, the challenge will remain.  There ha</w:t>
      </w:r>
      <w:r w:rsidR="003734B7" w:rsidRPr="000A1C7D">
        <w:rPr>
          <w:rFonts w:ascii="Arial" w:hAnsi="Arial" w:cs="Arial"/>
          <w:sz w:val="20"/>
          <w:szCs w:val="20"/>
        </w:rPr>
        <w:t>ve</w:t>
      </w:r>
      <w:r w:rsidRPr="000A1C7D">
        <w:rPr>
          <w:rFonts w:ascii="Arial" w:hAnsi="Arial" w:cs="Arial"/>
          <w:sz w:val="20"/>
          <w:szCs w:val="20"/>
        </w:rPr>
        <w:t xml:space="preserve"> been suggestion</w:t>
      </w:r>
      <w:r w:rsidR="003734B7" w:rsidRPr="000A1C7D">
        <w:rPr>
          <w:rFonts w:ascii="Arial" w:hAnsi="Arial" w:cs="Arial"/>
          <w:sz w:val="20"/>
          <w:szCs w:val="20"/>
        </w:rPr>
        <w:t>s</w:t>
      </w:r>
      <w:r w:rsidRPr="000A1C7D">
        <w:rPr>
          <w:rFonts w:ascii="Arial" w:hAnsi="Arial" w:cs="Arial"/>
          <w:sz w:val="20"/>
          <w:szCs w:val="20"/>
        </w:rPr>
        <w:t xml:space="preserve"> in various reviews about reducing the training requirements to allow more trade</w:t>
      </w:r>
      <w:r w:rsidR="00997BFE" w:rsidRPr="000A1C7D">
        <w:rPr>
          <w:rFonts w:ascii="Arial" w:hAnsi="Arial" w:cs="Arial"/>
          <w:sz w:val="20"/>
          <w:szCs w:val="20"/>
        </w:rPr>
        <w:t xml:space="preserve"> occupation</w:t>
      </w:r>
      <w:r w:rsidRPr="000A1C7D">
        <w:rPr>
          <w:rFonts w:ascii="Arial" w:hAnsi="Arial" w:cs="Arial"/>
          <w:sz w:val="20"/>
          <w:szCs w:val="20"/>
        </w:rPr>
        <w:t>s to undertake the work.</w:t>
      </w:r>
      <w:r w:rsidR="00997BFE" w:rsidRPr="000A1C7D">
        <w:rPr>
          <w:rFonts w:ascii="Arial" w:hAnsi="Arial" w:cs="Arial"/>
          <w:sz w:val="20"/>
          <w:szCs w:val="20"/>
        </w:rPr>
        <w:t xml:space="preserve">  From our perspective this would be a mistake.  The introduction of more people doing casual jobs with limited experience can only lead to greater instances of poor installations.</w:t>
      </w:r>
    </w:p>
    <w:p w14:paraId="5CE9A2D0" w14:textId="77777777" w:rsidR="002006BA" w:rsidRPr="000A1C7D" w:rsidRDefault="002006BA" w:rsidP="00CF5FBE">
      <w:pPr>
        <w:tabs>
          <w:tab w:val="left" w:pos="993"/>
        </w:tabs>
        <w:ind w:left="993" w:right="1420"/>
        <w:jc w:val="both"/>
        <w:rPr>
          <w:rFonts w:ascii="Arial" w:hAnsi="Arial" w:cs="Arial"/>
          <w:i/>
          <w:iCs/>
          <w:sz w:val="20"/>
          <w:szCs w:val="20"/>
        </w:rPr>
      </w:pPr>
    </w:p>
    <w:p w14:paraId="232EACAA" w14:textId="1146195E" w:rsidR="00D0549C" w:rsidRPr="000A1C7D" w:rsidRDefault="001E046C" w:rsidP="00332478">
      <w:pPr>
        <w:tabs>
          <w:tab w:val="left" w:pos="993"/>
        </w:tabs>
        <w:ind w:left="993" w:right="1420"/>
        <w:rPr>
          <w:rFonts w:ascii="Arial" w:hAnsi="Arial" w:cs="Arial"/>
          <w:sz w:val="20"/>
          <w:szCs w:val="20"/>
        </w:rPr>
      </w:pPr>
      <w:r w:rsidRPr="000A1C7D">
        <w:rPr>
          <w:rFonts w:ascii="Arial" w:hAnsi="Arial" w:cs="Arial"/>
          <w:sz w:val="20"/>
          <w:szCs w:val="20"/>
        </w:rPr>
        <w:t>Yours sincerely</w:t>
      </w:r>
    </w:p>
    <w:p w14:paraId="5E1D98BC" w14:textId="77777777" w:rsidR="00585760" w:rsidRPr="000A1C7D" w:rsidRDefault="00585760" w:rsidP="00D0549C">
      <w:pPr>
        <w:tabs>
          <w:tab w:val="left" w:pos="993"/>
        </w:tabs>
        <w:ind w:left="993" w:right="1420"/>
        <w:rPr>
          <w:rFonts w:ascii="Arial" w:hAnsi="Arial" w:cs="Arial"/>
          <w:sz w:val="20"/>
          <w:szCs w:val="20"/>
        </w:rPr>
      </w:pPr>
    </w:p>
    <w:p w14:paraId="7313BED4" w14:textId="3B31947C" w:rsidR="008E22AB" w:rsidRPr="000A1C7D" w:rsidRDefault="008E22AB" w:rsidP="00D0549C">
      <w:pPr>
        <w:tabs>
          <w:tab w:val="left" w:pos="993"/>
        </w:tabs>
        <w:ind w:left="993" w:right="1420"/>
        <w:rPr>
          <w:rFonts w:ascii="Arial" w:hAnsi="Arial" w:cs="Arial"/>
          <w:sz w:val="20"/>
          <w:szCs w:val="20"/>
        </w:rPr>
      </w:pPr>
    </w:p>
    <w:p w14:paraId="032EDF25" w14:textId="77777777" w:rsidR="008E22AB" w:rsidRPr="000A1C7D" w:rsidRDefault="008E22AB" w:rsidP="00D0549C">
      <w:pPr>
        <w:tabs>
          <w:tab w:val="left" w:pos="993"/>
        </w:tabs>
        <w:ind w:left="993" w:right="1420"/>
        <w:rPr>
          <w:rFonts w:ascii="Arial" w:hAnsi="Arial" w:cs="Arial"/>
          <w:sz w:val="20"/>
          <w:szCs w:val="20"/>
        </w:rPr>
      </w:pPr>
    </w:p>
    <w:p w14:paraId="42CBDF36" w14:textId="3DBF0DD8" w:rsidR="001E046C" w:rsidRPr="000A1C7D" w:rsidRDefault="00D01988" w:rsidP="00D0549C">
      <w:pPr>
        <w:tabs>
          <w:tab w:val="left" w:pos="993"/>
        </w:tabs>
        <w:ind w:left="993" w:right="1420"/>
        <w:rPr>
          <w:rFonts w:ascii="Arial" w:hAnsi="Arial" w:cs="Arial"/>
          <w:sz w:val="20"/>
          <w:szCs w:val="20"/>
        </w:rPr>
      </w:pPr>
      <w:r w:rsidRPr="000A1C7D">
        <w:rPr>
          <w:rFonts w:ascii="Arial" w:hAnsi="Arial" w:cs="Arial"/>
          <w:sz w:val="20"/>
          <w:szCs w:val="20"/>
        </w:rPr>
        <w:t>Dave Cameron</w:t>
      </w:r>
    </w:p>
    <w:p w14:paraId="38752987" w14:textId="6A4795C6" w:rsidR="001E046C" w:rsidRPr="000A1C7D" w:rsidRDefault="001E046C" w:rsidP="00D0549C">
      <w:pPr>
        <w:tabs>
          <w:tab w:val="left" w:pos="993"/>
        </w:tabs>
        <w:ind w:left="993" w:right="1420"/>
        <w:rPr>
          <w:rFonts w:ascii="Arial" w:hAnsi="Arial" w:cs="Arial"/>
          <w:sz w:val="20"/>
          <w:szCs w:val="20"/>
        </w:rPr>
      </w:pPr>
      <w:r w:rsidRPr="000A1C7D">
        <w:rPr>
          <w:rFonts w:ascii="Arial" w:hAnsi="Arial" w:cs="Arial"/>
          <w:sz w:val="20"/>
          <w:szCs w:val="20"/>
        </w:rPr>
        <w:t>Chief Executive Officer</w:t>
      </w:r>
    </w:p>
    <w:p w14:paraId="52469595" w14:textId="78E550CD" w:rsidR="00D0549C" w:rsidRPr="000A1C7D" w:rsidRDefault="00D0549C" w:rsidP="001E046C">
      <w:pPr>
        <w:tabs>
          <w:tab w:val="left" w:pos="993"/>
        </w:tabs>
        <w:ind w:right="1420"/>
        <w:rPr>
          <w:rFonts w:ascii="Arial" w:hAnsi="Arial" w:cs="Arial"/>
          <w:sz w:val="20"/>
          <w:szCs w:val="20"/>
        </w:rPr>
      </w:pPr>
    </w:p>
    <w:sectPr w:rsidR="00D0549C" w:rsidRPr="000A1C7D">
      <w:headerReference w:type="even" r:id="rId14"/>
      <w:headerReference w:type="first" r:id="rId15"/>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2F9C" w14:textId="77777777" w:rsidR="008C4AB1" w:rsidRDefault="008C4AB1" w:rsidP="008C4AB1">
      <w:r>
        <w:separator/>
      </w:r>
    </w:p>
  </w:endnote>
  <w:endnote w:type="continuationSeparator" w:id="0">
    <w:p w14:paraId="2DD24C36" w14:textId="77777777" w:rsidR="008C4AB1" w:rsidRDefault="008C4AB1" w:rsidP="008C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Condensed">
    <w:altName w:val="Arial"/>
    <w:panose1 w:val="00000000000000000000"/>
    <w:charset w:val="00"/>
    <w:family w:val="swiss"/>
    <w:notTrueType/>
    <w:pitch w:val="variable"/>
    <w:sig w:usb0="00000001"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33C1" w14:textId="77777777" w:rsidR="008C4AB1" w:rsidRDefault="008C4AB1" w:rsidP="008C4AB1">
      <w:r>
        <w:separator/>
      </w:r>
    </w:p>
  </w:footnote>
  <w:footnote w:type="continuationSeparator" w:id="0">
    <w:p w14:paraId="705C3704" w14:textId="77777777" w:rsidR="008C4AB1" w:rsidRDefault="008C4AB1" w:rsidP="008C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8D4E" w14:textId="38173672" w:rsidR="008C4AB1" w:rsidRDefault="008C4AB1">
    <w:pPr>
      <w:pStyle w:val="Header"/>
    </w:pPr>
    <w:r>
      <w:rPr>
        <w:noProof/>
      </w:rPr>
      <mc:AlternateContent>
        <mc:Choice Requires="wps">
          <w:drawing>
            <wp:anchor distT="0" distB="0" distL="0" distR="0" simplePos="0" relativeHeight="251659264" behindDoc="0" locked="0" layoutInCell="1" allowOverlap="1" wp14:anchorId="6D908A1B" wp14:editId="6A2D533D">
              <wp:simplePos x="635" y="635"/>
              <wp:positionH relativeFrom="page">
                <wp:align>center</wp:align>
              </wp:positionH>
              <wp:positionV relativeFrom="page">
                <wp:align>top</wp:align>
              </wp:positionV>
              <wp:extent cx="443865" cy="443865"/>
              <wp:effectExtent l="0" t="0" r="17780" b="4445"/>
              <wp:wrapNone/>
              <wp:docPr id="1538316596" name="Text Box 2"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89D5A" w14:textId="06697245" w:rsidR="008C4AB1" w:rsidRPr="008C4AB1" w:rsidRDefault="008C4AB1" w:rsidP="008C4AB1">
                          <w:pPr>
                            <w:rPr>
                              <w:rFonts w:ascii="Calibri" w:eastAsia="Calibri" w:hAnsi="Calibri" w:cs="Calibri"/>
                              <w:noProof/>
                              <w:color w:val="000000"/>
                              <w:sz w:val="24"/>
                              <w:szCs w:val="24"/>
                            </w:rPr>
                          </w:pPr>
                          <w:r w:rsidRPr="008C4AB1">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08A1B" id="_x0000_t202" coordsize="21600,21600" o:spt="202" path="m,l,21600r21600,l21600,xe">
              <v:stroke joinstyle="miter"/>
              <v:path gradientshapeok="t" o:connecttype="rect"/>
            </v:shapetype>
            <v:shape id="Text Box 2" o:spid="_x0000_s1027" type="#_x0000_t202" alt=" 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689D5A" w14:textId="06697245" w:rsidR="008C4AB1" w:rsidRPr="008C4AB1" w:rsidRDefault="008C4AB1" w:rsidP="008C4AB1">
                    <w:pPr>
                      <w:rPr>
                        <w:rFonts w:ascii="Calibri" w:eastAsia="Calibri" w:hAnsi="Calibri" w:cs="Calibri"/>
                        <w:noProof/>
                        <w:color w:val="000000"/>
                        <w:sz w:val="24"/>
                        <w:szCs w:val="24"/>
                      </w:rPr>
                    </w:pPr>
                    <w:r w:rsidRPr="008C4AB1">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7940" w14:textId="09DA4593" w:rsidR="008C4AB1" w:rsidRDefault="008C4AB1">
    <w:pPr>
      <w:pStyle w:val="Header"/>
    </w:pPr>
    <w:r>
      <w:rPr>
        <w:noProof/>
      </w:rPr>
      <mc:AlternateContent>
        <mc:Choice Requires="wps">
          <w:drawing>
            <wp:anchor distT="0" distB="0" distL="0" distR="0" simplePos="0" relativeHeight="251658240" behindDoc="0" locked="0" layoutInCell="1" allowOverlap="1" wp14:anchorId="15ABC18A" wp14:editId="609A2F32">
              <wp:simplePos x="635" y="635"/>
              <wp:positionH relativeFrom="page">
                <wp:align>center</wp:align>
              </wp:positionH>
              <wp:positionV relativeFrom="page">
                <wp:align>top</wp:align>
              </wp:positionV>
              <wp:extent cx="443865" cy="443865"/>
              <wp:effectExtent l="0" t="0" r="17780" b="4445"/>
              <wp:wrapNone/>
              <wp:docPr id="1362871003" name="Text Box 1"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FC316" w14:textId="628C0F56" w:rsidR="008C4AB1" w:rsidRPr="008C4AB1" w:rsidRDefault="008C4AB1" w:rsidP="008C4AB1">
                          <w:pPr>
                            <w:rPr>
                              <w:rFonts w:ascii="Calibri" w:eastAsia="Calibri" w:hAnsi="Calibri" w:cs="Calibri"/>
                              <w:noProof/>
                              <w:color w:val="000000"/>
                              <w:sz w:val="24"/>
                              <w:szCs w:val="24"/>
                            </w:rPr>
                          </w:pPr>
                          <w:r w:rsidRPr="008C4AB1">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BC18A" id="_x0000_t202" coordsize="21600,21600" o:spt="202" path="m,l,21600r21600,l21600,xe">
              <v:stroke joinstyle="miter"/>
              <v:path gradientshapeok="t" o:connecttype="rect"/>
            </v:shapetype>
            <v:shape id="Text Box 1" o:spid="_x0000_s1028" type="#_x0000_t202" alt=" UN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1FC316" w14:textId="628C0F56" w:rsidR="008C4AB1" w:rsidRPr="008C4AB1" w:rsidRDefault="008C4AB1" w:rsidP="008C4AB1">
                    <w:pPr>
                      <w:rPr>
                        <w:rFonts w:ascii="Calibri" w:eastAsia="Calibri" w:hAnsi="Calibri" w:cs="Calibri"/>
                        <w:noProof/>
                        <w:color w:val="000000"/>
                        <w:sz w:val="24"/>
                        <w:szCs w:val="24"/>
                      </w:rPr>
                    </w:pPr>
                    <w:r w:rsidRPr="008C4AB1">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70D"/>
    <w:multiLevelType w:val="hybridMultilevel"/>
    <w:tmpl w:val="6812F620"/>
    <w:lvl w:ilvl="0" w:tplc="F368955C">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2F1C132B"/>
    <w:multiLevelType w:val="hybridMultilevel"/>
    <w:tmpl w:val="58A070A2"/>
    <w:lvl w:ilvl="0" w:tplc="8962E26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322D3444"/>
    <w:multiLevelType w:val="hybridMultilevel"/>
    <w:tmpl w:val="817ABB12"/>
    <w:lvl w:ilvl="0" w:tplc="07E2AD8C">
      <w:start w:val="1"/>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4B0F3C24"/>
    <w:multiLevelType w:val="hybridMultilevel"/>
    <w:tmpl w:val="CC5A5060"/>
    <w:lvl w:ilvl="0" w:tplc="99FAA09A">
      <w:start w:val="24"/>
      <w:numFmt w:val="bullet"/>
      <w:lvlText w:val="-"/>
      <w:lvlJc w:val="left"/>
      <w:pPr>
        <w:ind w:left="1353" w:hanging="360"/>
      </w:pPr>
      <w:rPr>
        <w:rFonts w:ascii="Arial" w:eastAsiaTheme="minorHAnsi" w:hAnsi="Arial" w:cs="Aria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15:restartNumberingAfterBreak="0">
    <w:nsid w:val="7AE31835"/>
    <w:multiLevelType w:val="hybridMultilevel"/>
    <w:tmpl w:val="C76ADDB0"/>
    <w:lvl w:ilvl="0" w:tplc="0C090005">
      <w:start w:val="1"/>
      <w:numFmt w:val="bullet"/>
      <w:lvlText w:val=""/>
      <w:lvlJc w:val="left"/>
      <w:pPr>
        <w:ind w:left="1776" w:hanging="360"/>
      </w:pPr>
      <w:rPr>
        <w:rFonts w:ascii="Wingdings" w:hAnsi="Wingdings" w:hint="default"/>
      </w:rPr>
    </w:lvl>
    <w:lvl w:ilvl="1" w:tplc="0C090003" w:tentative="1">
      <w:start w:val="1"/>
      <w:numFmt w:val="bullet"/>
      <w:lvlText w:val="o"/>
      <w:lvlJc w:val="left"/>
      <w:pPr>
        <w:ind w:left="2496" w:hanging="360"/>
      </w:pPr>
      <w:rPr>
        <w:rFonts w:ascii="Courier New" w:hAnsi="Courier New" w:cs="Courier New" w:hint="default"/>
      </w:rPr>
    </w:lvl>
    <w:lvl w:ilvl="2" w:tplc="0C090005" w:tentative="1">
      <w:start w:val="1"/>
      <w:numFmt w:val="bullet"/>
      <w:lvlText w:val=""/>
      <w:lvlJc w:val="left"/>
      <w:pPr>
        <w:ind w:left="3216" w:hanging="360"/>
      </w:pPr>
      <w:rPr>
        <w:rFonts w:ascii="Wingdings" w:hAnsi="Wingdings" w:hint="default"/>
      </w:rPr>
    </w:lvl>
    <w:lvl w:ilvl="3" w:tplc="0C090001" w:tentative="1">
      <w:start w:val="1"/>
      <w:numFmt w:val="bullet"/>
      <w:lvlText w:val=""/>
      <w:lvlJc w:val="left"/>
      <w:pPr>
        <w:ind w:left="3936" w:hanging="360"/>
      </w:pPr>
      <w:rPr>
        <w:rFonts w:ascii="Symbol" w:hAnsi="Symbol" w:hint="default"/>
      </w:rPr>
    </w:lvl>
    <w:lvl w:ilvl="4" w:tplc="0C090003" w:tentative="1">
      <w:start w:val="1"/>
      <w:numFmt w:val="bullet"/>
      <w:lvlText w:val="o"/>
      <w:lvlJc w:val="left"/>
      <w:pPr>
        <w:ind w:left="4656" w:hanging="360"/>
      </w:pPr>
      <w:rPr>
        <w:rFonts w:ascii="Courier New" w:hAnsi="Courier New" w:cs="Courier New" w:hint="default"/>
      </w:rPr>
    </w:lvl>
    <w:lvl w:ilvl="5" w:tplc="0C090005" w:tentative="1">
      <w:start w:val="1"/>
      <w:numFmt w:val="bullet"/>
      <w:lvlText w:val=""/>
      <w:lvlJc w:val="left"/>
      <w:pPr>
        <w:ind w:left="5376" w:hanging="360"/>
      </w:pPr>
      <w:rPr>
        <w:rFonts w:ascii="Wingdings" w:hAnsi="Wingdings" w:hint="default"/>
      </w:rPr>
    </w:lvl>
    <w:lvl w:ilvl="6" w:tplc="0C090001" w:tentative="1">
      <w:start w:val="1"/>
      <w:numFmt w:val="bullet"/>
      <w:lvlText w:val=""/>
      <w:lvlJc w:val="left"/>
      <w:pPr>
        <w:ind w:left="6096" w:hanging="360"/>
      </w:pPr>
      <w:rPr>
        <w:rFonts w:ascii="Symbol" w:hAnsi="Symbol" w:hint="default"/>
      </w:rPr>
    </w:lvl>
    <w:lvl w:ilvl="7" w:tplc="0C090003" w:tentative="1">
      <w:start w:val="1"/>
      <w:numFmt w:val="bullet"/>
      <w:lvlText w:val="o"/>
      <w:lvlJc w:val="left"/>
      <w:pPr>
        <w:ind w:left="6816" w:hanging="360"/>
      </w:pPr>
      <w:rPr>
        <w:rFonts w:ascii="Courier New" w:hAnsi="Courier New" w:cs="Courier New" w:hint="default"/>
      </w:rPr>
    </w:lvl>
    <w:lvl w:ilvl="8" w:tplc="0C090005" w:tentative="1">
      <w:start w:val="1"/>
      <w:numFmt w:val="bullet"/>
      <w:lvlText w:val=""/>
      <w:lvlJc w:val="left"/>
      <w:pPr>
        <w:ind w:left="7536" w:hanging="360"/>
      </w:pPr>
      <w:rPr>
        <w:rFonts w:ascii="Wingdings" w:hAnsi="Wingdings" w:hint="default"/>
      </w:rPr>
    </w:lvl>
  </w:abstractNum>
  <w:num w:numId="1" w16cid:durableId="760414457">
    <w:abstractNumId w:val="4"/>
  </w:num>
  <w:num w:numId="2" w16cid:durableId="886526766">
    <w:abstractNumId w:val="1"/>
  </w:num>
  <w:num w:numId="3" w16cid:durableId="691154142">
    <w:abstractNumId w:val="0"/>
  </w:num>
  <w:num w:numId="4" w16cid:durableId="1838689294">
    <w:abstractNumId w:val="3"/>
  </w:num>
  <w:num w:numId="5" w16cid:durableId="44978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BC"/>
    <w:rsid w:val="00046A6B"/>
    <w:rsid w:val="00050E24"/>
    <w:rsid w:val="000970CB"/>
    <w:rsid w:val="000A1C7D"/>
    <w:rsid w:val="001B4A64"/>
    <w:rsid w:val="001C597A"/>
    <w:rsid w:val="001E046C"/>
    <w:rsid w:val="002006BA"/>
    <w:rsid w:val="00266778"/>
    <w:rsid w:val="00316303"/>
    <w:rsid w:val="00332478"/>
    <w:rsid w:val="003734B7"/>
    <w:rsid w:val="00387DF6"/>
    <w:rsid w:val="00414810"/>
    <w:rsid w:val="00463F3C"/>
    <w:rsid w:val="004A3E71"/>
    <w:rsid w:val="00542AFC"/>
    <w:rsid w:val="00585760"/>
    <w:rsid w:val="005E419D"/>
    <w:rsid w:val="005E57F1"/>
    <w:rsid w:val="006648C0"/>
    <w:rsid w:val="00685BE7"/>
    <w:rsid w:val="006C0987"/>
    <w:rsid w:val="006D668F"/>
    <w:rsid w:val="006E54B6"/>
    <w:rsid w:val="007077B4"/>
    <w:rsid w:val="00751851"/>
    <w:rsid w:val="007E5732"/>
    <w:rsid w:val="0080298E"/>
    <w:rsid w:val="00802EFE"/>
    <w:rsid w:val="008A1CC2"/>
    <w:rsid w:val="008C4AB1"/>
    <w:rsid w:val="008D653D"/>
    <w:rsid w:val="008E22AB"/>
    <w:rsid w:val="00900E41"/>
    <w:rsid w:val="0090165C"/>
    <w:rsid w:val="0093775F"/>
    <w:rsid w:val="00970405"/>
    <w:rsid w:val="00997BFE"/>
    <w:rsid w:val="00A661E9"/>
    <w:rsid w:val="00AB57E1"/>
    <w:rsid w:val="00AD518A"/>
    <w:rsid w:val="00B06FD5"/>
    <w:rsid w:val="00B70F18"/>
    <w:rsid w:val="00BA702F"/>
    <w:rsid w:val="00BD49B9"/>
    <w:rsid w:val="00BF7ABC"/>
    <w:rsid w:val="00C446B6"/>
    <w:rsid w:val="00CE65A6"/>
    <w:rsid w:val="00CF5FBE"/>
    <w:rsid w:val="00D001C5"/>
    <w:rsid w:val="00D01988"/>
    <w:rsid w:val="00D0549C"/>
    <w:rsid w:val="00D71AE8"/>
    <w:rsid w:val="00D9485E"/>
    <w:rsid w:val="00DC5D2A"/>
    <w:rsid w:val="00DE5544"/>
    <w:rsid w:val="00E91FC7"/>
    <w:rsid w:val="00EC4624"/>
    <w:rsid w:val="00EE100A"/>
    <w:rsid w:val="00F478A8"/>
    <w:rsid w:val="00F5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7CE36"/>
  <w15:docId w15:val="{CE2F663B-AC8F-401D-9258-6DDFE91B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8"/>
    </w:pPr>
    <w:rPr>
      <w:rFonts w:ascii="Acumin Pro Condensed" w:eastAsia="Acumin Pro Condensed" w:hAnsi="Acumin Pro Condensed"/>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419D"/>
    <w:rPr>
      <w:color w:val="0000FF" w:themeColor="hyperlink"/>
      <w:u w:val="single"/>
    </w:rPr>
  </w:style>
  <w:style w:type="character" w:customStyle="1" w:styleId="UnresolvedMention1">
    <w:name w:val="Unresolved Mention1"/>
    <w:basedOn w:val="DefaultParagraphFont"/>
    <w:uiPriority w:val="99"/>
    <w:semiHidden/>
    <w:unhideWhenUsed/>
    <w:rsid w:val="005E419D"/>
    <w:rPr>
      <w:color w:val="808080"/>
      <w:shd w:val="clear" w:color="auto" w:fill="E6E6E6"/>
    </w:rPr>
  </w:style>
  <w:style w:type="character" w:styleId="UnresolvedMention">
    <w:name w:val="Unresolved Mention"/>
    <w:basedOn w:val="DefaultParagraphFont"/>
    <w:uiPriority w:val="99"/>
    <w:semiHidden/>
    <w:unhideWhenUsed/>
    <w:rsid w:val="00D01988"/>
    <w:rPr>
      <w:color w:val="605E5C"/>
      <w:shd w:val="clear" w:color="auto" w:fill="E1DFDD"/>
    </w:rPr>
  </w:style>
  <w:style w:type="paragraph" w:styleId="Revision">
    <w:name w:val="Revision"/>
    <w:hidden/>
    <w:uiPriority w:val="99"/>
    <w:semiHidden/>
    <w:rsid w:val="0090165C"/>
    <w:pPr>
      <w:widowControl/>
    </w:pPr>
  </w:style>
  <w:style w:type="paragraph" w:styleId="Header">
    <w:name w:val="header"/>
    <w:basedOn w:val="Normal"/>
    <w:link w:val="HeaderChar"/>
    <w:uiPriority w:val="99"/>
    <w:unhideWhenUsed/>
    <w:rsid w:val="008C4AB1"/>
    <w:pPr>
      <w:tabs>
        <w:tab w:val="center" w:pos="4513"/>
        <w:tab w:val="right" w:pos="9026"/>
      </w:tabs>
    </w:pPr>
  </w:style>
  <w:style w:type="character" w:customStyle="1" w:styleId="HeaderChar">
    <w:name w:val="Header Char"/>
    <w:basedOn w:val="DefaultParagraphFont"/>
    <w:link w:val="Header"/>
    <w:uiPriority w:val="99"/>
    <w:rsid w:val="008C4AB1"/>
  </w:style>
  <w:style w:type="paragraph" w:styleId="Footer">
    <w:name w:val="footer"/>
    <w:basedOn w:val="Normal"/>
    <w:link w:val="FooterChar"/>
    <w:uiPriority w:val="99"/>
    <w:unhideWhenUsed/>
    <w:rsid w:val="00D001C5"/>
    <w:pPr>
      <w:tabs>
        <w:tab w:val="center" w:pos="4513"/>
        <w:tab w:val="right" w:pos="9026"/>
      </w:tabs>
    </w:pPr>
  </w:style>
  <w:style w:type="character" w:customStyle="1" w:styleId="FooterChar">
    <w:name w:val="Footer Char"/>
    <w:basedOn w:val="DefaultParagraphFont"/>
    <w:link w:val="Footer"/>
    <w:uiPriority w:val="99"/>
    <w:rsid w:val="00D0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11459">
      <w:bodyDiv w:val="1"/>
      <w:marLeft w:val="0"/>
      <w:marRight w:val="0"/>
      <w:marTop w:val="0"/>
      <w:marBottom w:val="0"/>
      <w:divBdr>
        <w:top w:val="none" w:sz="0" w:space="0" w:color="auto"/>
        <w:left w:val="none" w:sz="0" w:space="0" w:color="auto"/>
        <w:bottom w:val="none" w:sz="0" w:space="0" w:color="auto"/>
        <w:right w:val="none" w:sz="0" w:space="0" w:color="auto"/>
      </w:divBdr>
    </w:div>
    <w:div w:id="133996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rigationaustrali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rigationaustralia.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MPWT-2140667901-62766</_dlc_DocId>
    <_dlc_DocIdUrl xmlns="20393cdf-440a-4521-8f19-00ba43423d00">
      <Url>https://pcgov.sharepoint.com/sites/sceteam/_layouts/15/DocIdRedir.aspx?ID=MPWT-2140667901-62766</Url>
      <Description>MPWT-2140667901-62766</Description>
    </_dlc_DocIdUrl>
  </documentManagement>
</p:properties>
</file>

<file path=customXml/itemProps1.xml><?xml version="1.0" encoding="utf-8"?>
<ds:datastoreItem xmlns:ds="http://schemas.openxmlformats.org/officeDocument/2006/customXml" ds:itemID="{7A10EDBE-73A2-4F81-94EE-D3F7901C676C}">
  <ds:schemaRefs>
    <ds:schemaRef ds:uri="http://schemas.microsoft.com/sharepoint/v3/contenttype/forms"/>
  </ds:schemaRefs>
</ds:datastoreItem>
</file>

<file path=customXml/itemProps2.xml><?xml version="1.0" encoding="utf-8"?>
<ds:datastoreItem xmlns:ds="http://schemas.openxmlformats.org/officeDocument/2006/customXml" ds:itemID="{E8DEAD09-D980-4B59-9D85-69D63585A226}">
  <ds:schemaRefs>
    <ds:schemaRef ds:uri="http://schemas.microsoft.com/sharepoint/events"/>
  </ds:schemaRefs>
</ds:datastoreItem>
</file>

<file path=customXml/itemProps3.xml><?xml version="1.0" encoding="utf-8"?>
<ds:datastoreItem xmlns:ds="http://schemas.openxmlformats.org/officeDocument/2006/customXml" ds:itemID="{25D64187-31C5-481C-B6B0-2CF7510C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07835-1560-4FD5-B2E6-5F09BBC73273}">
  <ds:schemaRefs>
    <ds:schemaRef ds:uri="20393cdf-440a-4521-8f19-00ba43423d00"/>
    <ds:schemaRef ds:uri="http://www.w3.org/XML/1998/namespace"/>
    <ds:schemaRef ds:uri="http://schemas.microsoft.com/office/infopath/2007/PartnerControls"/>
    <ds:schemaRef ds:uri="3d385984-9344-419b-a80b-49c06a2bdab8"/>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58 - Irrigation Australia - National Water Reform 2024 - Public inquiry</vt:lpstr>
    </vt:vector>
  </TitlesOfParts>
  <Company>Irrigation Australia</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Irrigation Australia - National Water Reform 2024 - Public inquiry</dc:title>
  <dc:creator>Irrigation Australia</dc:creator>
  <cp:lastModifiedBy>Chris Alston</cp:lastModifiedBy>
  <cp:revision>7</cp:revision>
  <dcterms:created xsi:type="dcterms:W3CDTF">2024-04-23T01:10:00Z</dcterms:created>
  <dcterms:modified xsi:type="dcterms:W3CDTF">2024-04-23T05:26:00Z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LastSaved">
    <vt:filetime>2017-12-04T00:00:00Z</vt:filetime>
  </property>
  <property fmtid="{D5CDD505-2E9C-101B-9397-08002B2CF9AE}" pid="4" name="ContentTypeId">
    <vt:lpwstr>0x01010031EF7680EB9A884B89AFF765B71C1901</vt:lpwstr>
  </property>
  <property fmtid="{D5CDD505-2E9C-101B-9397-08002B2CF9AE}" pid="5" name="MediaServiceImageTags">
    <vt:lpwstr/>
  </property>
  <property fmtid="{D5CDD505-2E9C-101B-9397-08002B2CF9AE}" pid="6" name="ClassificationContentMarkingHeaderShapeIds">
    <vt:lpwstr>513bc2db,5bb0d934,257bb621</vt:lpwstr>
  </property>
  <property fmtid="{D5CDD505-2E9C-101B-9397-08002B2CF9AE}" pid="7" name="ClassificationContentMarkingHeaderFontProps">
    <vt:lpwstr>#000000,12,Calibri</vt:lpwstr>
  </property>
  <property fmtid="{D5CDD505-2E9C-101B-9397-08002B2CF9AE}" pid="8" name="ClassificationContentMarkingHeaderText">
    <vt:lpwstr> UNOFFICIAL</vt:lpwstr>
  </property>
  <property fmtid="{D5CDD505-2E9C-101B-9397-08002B2CF9AE}" pid="9" name="MSIP_Label_bdd3fba5-1b56-4713-bbb1-94d6a3f4b551_Enabled">
    <vt:lpwstr>true</vt:lpwstr>
  </property>
  <property fmtid="{D5CDD505-2E9C-101B-9397-08002B2CF9AE}" pid="10" name="MSIP_Label_bdd3fba5-1b56-4713-bbb1-94d6a3f4b551_SetDate">
    <vt:lpwstr>2024-04-23T04:01:48Z</vt:lpwstr>
  </property>
  <property fmtid="{D5CDD505-2E9C-101B-9397-08002B2CF9AE}" pid="11" name="MSIP_Label_bdd3fba5-1b56-4713-bbb1-94d6a3f4b551_Method">
    <vt:lpwstr>Privileged</vt:lpwstr>
  </property>
  <property fmtid="{D5CDD505-2E9C-101B-9397-08002B2CF9AE}" pid="12" name="MSIP_Label_bdd3fba5-1b56-4713-bbb1-94d6a3f4b551_Name">
    <vt:lpwstr>UNOFFICIAL</vt:lpwstr>
  </property>
  <property fmtid="{D5CDD505-2E9C-101B-9397-08002B2CF9AE}" pid="13" name="MSIP_Label_bdd3fba5-1b56-4713-bbb1-94d6a3f4b551_SiteId">
    <vt:lpwstr>29f9330b-c0fe-4244-830e-ba9f275d6c34</vt:lpwstr>
  </property>
  <property fmtid="{D5CDD505-2E9C-101B-9397-08002B2CF9AE}" pid="14" name="MSIP_Label_bdd3fba5-1b56-4713-bbb1-94d6a3f4b551_ActionId">
    <vt:lpwstr>3c3be033-a977-4aa5-b857-d8b1bbf47f44</vt:lpwstr>
  </property>
  <property fmtid="{D5CDD505-2E9C-101B-9397-08002B2CF9AE}" pid="15" name="MSIP_Label_bdd3fba5-1b56-4713-bbb1-94d6a3f4b551_ContentBits">
    <vt:lpwstr>1</vt:lpwstr>
  </property>
  <property fmtid="{D5CDD505-2E9C-101B-9397-08002B2CF9AE}" pid="16" name="_dlc_DocIdItemGuid">
    <vt:lpwstr>3cca034b-0fb7-4c67-8403-348569e4643d</vt:lpwstr>
  </property>
  <property fmtid="{D5CDD505-2E9C-101B-9397-08002B2CF9AE}" pid="17" name="RevIMBCS">
    <vt:lpwstr>1;#Unclassified|3955eeb1-2d18-4582-aeb2-00144ec3aaf5</vt:lpwstr>
  </property>
</Properties>
</file>