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BB7B5" w14:textId="77777777" w:rsidR="00346F98" w:rsidRDefault="00346F98">
      <w:bookmarkStart w:id="0" w:name="_GoBack"/>
      <w:bookmarkEnd w:id="0"/>
    </w:p>
    <w:p w14:paraId="70037FAE" w14:textId="77777777" w:rsidR="00346F98" w:rsidRPr="002507E2" w:rsidRDefault="00346F98" w:rsidP="00346F98">
      <w:pPr>
        <w:widowControl w:val="0"/>
        <w:tabs>
          <w:tab w:val="left" w:pos="540"/>
        </w:tabs>
        <w:autoSpaceDE w:val="0"/>
        <w:autoSpaceDN w:val="0"/>
        <w:adjustRightInd w:val="0"/>
        <w:spacing w:line="288" w:lineRule="auto"/>
        <w:rPr>
          <w:rFonts w:cs="Times New Roman"/>
          <w:b/>
          <w:bCs/>
          <w:color w:val="000000"/>
          <w:sz w:val="28"/>
          <w:szCs w:val="28"/>
        </w:rPr>
      </w:pPr>
      <w:r w:rsidRPr="002507E2">
        <w:rPr>
          <w:rFonts w:cs="Times New Roman"/>
          <w:b/>
          <w:bCs/>
          <w:color w:val="000000"/>
          <w:sz w:val="28"/>
          <w:szCs w:val="28"/>
        </w:rPr>
        <w:t>Gordon D Mackenzie CA</w:t>
      </w:r>
    </w:p>
    <w:p w14:paraId="514629C0" w14:textId="77777777" w:rsidR="00346F98" w:rsidRPr="00F202AD" w:rsidRDefault="00346F98" w:rsidP="00346F98">
      <w:pPr>
        <w:widowControl w:val="0"/>
        <w:tabs>
          <w:tab w:val="left" w:pos="540"/>
        </w:tabs>
        <w:autoSpaceDE w:val="0"/>
        <w:autoSpaceDN w:val="0"/>
        <w:adjustRightInd w:val="0"/>
        <w:spacing w:line="288" w:lineRule="auto"/>
        <w:rPr>
          <w:rFonts w:cs="Times New Roman"/>
          <w:i/>
          <w:color w:val="000000"/>
        </w:rPr>
      </w:pPr>
      <w:r w:rsidRPr="00F202AD">
        <w:rPr>
          <w:rFonts w:cs="Times New Roman"/>
          <w:i/>
          <w:color w:val="000000"/>
        </w:rPr>
        <w:t xml:space="preserve">B </w:t>
      </w:r>
      <w:proofErr w:type="spellStart"/>
      <w:r w:rsidRPr="00F202AD">
        <w:rPr>
          <w:rFonts w:cs="Times New Roman"/>
          <w:i/>
          <w:color w:val="000000"/>
        </w:rPr>
        <w:t>Sc</w:t>
      </w:r>
      <w:proofErr w:type="spellEnd"/>
      <w:r w:rsidRPr="00F202AD">
        <w:rPr>
          <w:rFonts w:cs="Times New Roman"/>
          <w:i/>
          <w:color w:val="000000"/>
        </w:rPr>
        <w:t xml:space="preserve"> LLB (Mon) LLM (</w:t>
      </w:r>
      <w:proofErr w:type="spellStart"/>
      <w:r w:rsidRPr="00F202AD">
        <w:rPr>
          <w:rFonts w:cs="Times New Roman"/>
          <w:i/>
          <w:color w:val="000000"/>
        </w:rPr>
        <w:t>Syd</w:t>
      </w:r>
      <w:proofErr w:type="spellEnd"/>
      <w:r w:rsidRPr="00F202AD">
        <w:rPr>
          <w:rFonts w:cs="Times New Roman"/>
          <w:i/>
          <w:color w:val="000000"/>
        </w:rPr>
        <w:t>)</w:t>
      </w:r>
    </w:p>
    <w:p w14:paraId="0BBC8830" w14:textId="77777777" w:rsidR="00346F98" w:rsidRPr="00F202AD" w:rsidRDefault="00346F98" w:rsidP="00346F98">
      <w:pPr>
        <w:widowControl w:val="0"/>
        <w:tabs>
          <w:tab w:val="left" w:pos="540"/>
        </w:tabs>
        <w:autoSpaceDE w:val="0"/>
        <w:autoSpaceDN w:val="0"/>
        <w:adjustRightInd w:val="0"/>
        <w:spacing w:line="288" w:lineRule="auto"/>
        <w:rPr>
          <w:rFonts w:cs="Times New Roman"/>
          <w:i/>
          <w:color w:val="000000"/>
        </w:rPr>
      </w:pPr>
      <w:r w:rsidRPr="00F202AD">
        <w:rPr>
          <w:rFonts w:cs="Times New Roman"/>
          <w:i/>
          <w:color w:val="000000"/>
        </w:rPr>
        <w:t>Grad Dip Securities Analysis</w:t>
      </w:r>
    </w:p>
    <w:p w14:paraId="5AC16051" w14:textId="77777777" w:rsidR="00346F98" w:rsidRPr="00F202AD" w:rsidRDefault="00346F98" w:rsidP="00346F98">
      <w:pPr>
        <w:widowControl w:val="0"/>
        <w:tabs>
          <w:tab w:val="left" w:pos="540"/>
        </w:tabs>
        <w:autoSpaceDE w:val="0"/>
        <w:autoSpaceDN w:val="0"/>
        <w:adjustRightInd w:val="0"/>
        <w:spacing w:line="288" w:lineRule="auto"/>
        <w:rPr>
          <w:rFonts w:cs="Times New Roman"/>
          <w:i/>
          <w:color w:val="000000"/>
        </w:rPr>
      </w:pPr>
      <w:r w:rsidRPr="00F202AD">
        <w:rPr>
          <w:rFonts w:cs="Times New Roman"/>
          <w:i/>
          <w:color w:val="000000"/>
        </w:rPr>
        <w:t>F Fin CTA</w:t>
      </w:r>
    </w:p>
    <w:p w14:paraId="4798FD2F" w14:textId="77777777" w:rsidR="00346F98" w:rsidRPr="00F202AD" w:rsidRDefault="00346F98" w:rsidP="00346F98">
      <w:pPr>
        <w:widowControl w:val="0"/>
        <w:tabs>
          <w:tab w:val="left" w:pos="540"/>
        </w:tabs>
        <w:autoSpaceDE w:val="0"/>
        <w:autoSpaceDN w:val="0"/>
        <w:adjustRightInd w:val="0"/>
        <w:spacing w:line="288" w:lineRule="auto"/>
        <w:rPr>
          <w:rFonts w:cs="Times New Roman"/>
          <w:i/>
          <w:color w:val="000000"/>
        </w:rPr>
      </w:pPr>
      <w:r w:rsidRPr="00F202AD">
        <w:rPr>
          <w:rFonts w:cs="Times New Roman"/>
          <w:i/>
          <w:color w:val="000000"/>
        </w:rPr>
        <w:t>Solicitor</w:t>
      </w:r>
    </w:p>
    <w:p w14:paraId="5335D448" w14:textId="77777777" w:rsidR="00346F98" w:rsidRPr="00F202AD" w:rsidRDefault="00346F98" w:rsidP="00346F98">
      <w:pPr>
        <w:widowControl w:val="0"/>
        <w:tabs>
          <w:tab w:val="left" w:pos="540"/>
        </w:tabs>
        <w:autoSpaceDE w:val="0"/>
        <w:autoSpaceDN w:val="0"/>
        <w:adjustRightInd w:val="0"/>
        <w:spacing w:line="288" w:lineRule="auto"/>
        <w:rPr>
          <w:rFonts w:cs="Times New Roman"/>
          <w:color w:val="000000"/>
        </w:rPr>
      </w:pPr>
      <w:r w:rsidRPr="00F202AD">
        <w:rPr>
          <w:rFonts w:cs="Times New Roman"/>
          <w:color w:val="000000"/>
        </w:rPr>
        <w:t>Senior Lecturer</w:t>
      </w:r>
    </w:p>
    <w:p w14:paraId="531DB0B0" w14:textId="77777777" w:rsidR="00346F98" w:rsidRPr="00F202AD" w:rsidRDefault="00346F98" w:rsidP="00346F98">
      <w:pPr>
        <w:widowControl w:val="0"/>
        <w:tabs>
          <w:tab w:val="left" w:pos="540"/>
        </w:tabs>
        <w:autoSpaceDE w:val="0"/>
        <w:autoSpaceDN w:val="0"/>
        <w:adjustRightInd w:val="0"/>
        <w:spacing w:line="288" w:lineRule="auto"/>
        <w:rPr>
          <w:rFonts w:cs="Times New Roman"/>
          <w:color w:val="000000"/>
        </w:rPr>
      </w:pPr>
      <w:r w:rsidRPr="00F202AD">
        <w:rPr>
          <w:rFonts w:cs="Times New Roman"/>
          <w:color w:val="000000"/>
        </w:rPr>
        <w:t>School of Taxation and Business Law</w:t>
      </w:r>
    </w:p>
    <w:p w14:paraId="3510244F" w14:textId="77777777" w:rsidR="00346F98" w:rsidRPr="00F202AD" w:rsidRDefault="00346F98" w:rsidP="00346F98">
      <w:pPr>
        <w:widowControl w:val="0"/>
        <w:tabs>
          <w:tab w:val="left" w:pos="540"/>
        </w:tabs>
        <w:autoSpaceDE w:val="0"/>
        <w:autoSpaceDN w:val="0"/>
        <w:adjustRightInd w:val="0"/>
        <w:spacing w:line="288" w:lineRule="auto"/>
        <w:rPr>
          <w:rFonts w:cs="Times New Roman"/>
          <w:color w:val="000000"/>
        </w:rPr>
      </w:pPr>
      <w:r w:rsidRPr="00F202AD">
        <w:rPr>
          <w:rFonts w:cs="Times New Roman"/>
          <w:color w:val="000000"/>
        </w:rPr>
        <w:t>UNSW Business School</w:t>
      </w:r>
    </w:p>
    <w:p w14:paraId="474DB268" w14:textId="1BA441F6" w:rsidR="00346F98" w:rsidRPr="00F202AD" w:rsidRDefault="001F52F4" w:rsidP="00346F98">
      <w:pPr>
        <w:widowControl w:val="0"/>
        <w:tabs>
          <w:tab w:val="left" w:pos="540"/>
        </w:tabs>
        <w:autoSpaceDE w:val="0"/>
        <w:autoSpaceDN w:val="0"/>
        <w:adjustRightInd w:val="0"/>
        <w:spacing w:line="288" w:lineRule="auto"/>
        <w:jc w:val="right"/>
        <w:rPr>
          <w:rFonts w:cs="Times New Roman"/>
          <w:color w:val="000000"/>
        </w:rPr>
      </w:pPr>
      <w:r>
        <w:rPr>
          <w:rFonts w:cs="Times New Roman"/>
          <w:color w:val="000000"/>
        </w:rPr>
        <w:t>Room 2073</w:t>
      </w:r>
      <w:r w:rsidR="00346F98" w:rsidRPr="00F202AD">
        <w:rPr>
          <w:rFonts w:cs="Times New Roman"/>
          <w:color w:val="000000"/>
        </w:rPr>
        <w:t xml:space="preserve"> </w:t>
      </w:r>
    </w:p>
    <w:p w14:paraId="0AC2131B" w14:textId="77777777" w:rsidR="00346F98" w:rsidRPr="00F202AD" w:rsidRDefault="00346F98" w:rsidP="00346F98">
      <w:pPr>
        <w:widowControl w:val="0"/>
        <w:tabs>
          <w:tab w:val="left" w:pos="540"/>
        </w:tabs>
        <w:autoSpaceDE w:val="0"/>
        <w:autoSpaceDN w:val="0"/>
        <w:adjustRightInd w:val="0"/>
        <w:spacing w:line="288" w:lineRule="auto"/>
        <w:jc w:val="right"/>
        <w:rPr>
          <w:rFonts w:cs="Times New Roman"/>
          <w:color w:val="000000"/>
        </w:rPr>
      </w:pPr>
      <w:r>
        <w:rPr>
          <w:rFonts w:cs="Times New Roman"/>
          <w:color w:val="000000"/>
        </w:rPr>
        <w:t>Quadrangle B</w:t>
      </w:r>
      <w:r w:rsidRPr="00F202AD">
        <w:rPr>
          <w:rFonts w:cs="Times New Roman"/>
          <w:color w:val="000000"/>
        </w:rPr>
        <w:t>uilding</w:t>
      </w:r>
    </w:p>
    <w:p w14:paraId="5263A5AF" w14:textId="77777777" w:rsidR="00346F98" w:rsidRPr="00F202AD" w:rsidRDefault="00346F98" w:rsidP="00346F98">
      <w:pPr>
        <w:widowControl w:val="0"/>
        <w:tabs>
          <w:tab w:val="left" w:pos="540"/>
        </w:tabs>
        <w:autoSpaceDE w:val="0"/>
        <w:autoSpaceDN w:val="0"/>
        <w:adjustRightInd w:val="0"/>
        <w:spacing w:line="288" w:lineRule="auto"/>
        <w:jc w:val="right"/>
        <w:rPr>
          <w:rFonts w:cs="Times New Roman"/>
          <w:color w:val="000000"/>
        </w:rPr>
      </w:pPr>
      <w:r w:rsidRPr="00F202AD">
        <w:rPr>
          <w:rFonts w:cs="Times New Roman"/>
          <w:color w:val="000000"/>
        </w:rPr>
        <w:t xml:space="preserve">UNSW Australia </w:t>
      </w:r>
    </w:p>
    <w:p w14:paraId="53D8113A" w14:textId="77777777" w:rsidR="00346F98" w:rsidRPr="00F202AD" w:rsidRDefault="00346F98" w:rsidP="00346F98">
      <w:pPr>
        <w:widowControl w:val="0"/>
        <w:tabs>
          <w:tab w:val="left" w:pos="540"/>
        </w:tabs>
        <w:autoSpaceDE w:val="0"/>
        <w:autoSpaceDN w:val="0"/>
        <w:adjustRightInd w:val="0"/>
        <w:spacing w:line="288" w:lineRule="auto"/>
        <w:jc w:val="right"/>
        <w:rPr>
          <w:rFonts w:cs="Times New Roman"/>
          <w:color w:val="000000"/>
        </w:rPr>
      </w:pPr>
      <w:r w:rsidRPr="00F202AD">
        <w:rPr>
          <w:rFonts w:cs="Times New Roman"/>
          <w:color w:val="000000"/>
        </w:rPr>
        <w:t>Kensington NSW</w:t>
      </w:r>
    </w:p>
    <w:p w14:paraId="2319B211" w14:textId="77777777" w:rsidR="00346F98" w:rsidRPr="00F202AD" w:rsidRDefault="00346F98" w:rsidP="00346F98">
      <w:pPr>
        <w:widowControl w:val="0"/>
        <w:tabs>
          <w:tab w:val="left" w:pos="540"/>
        </w:tabs>
        <w:autoSpaceDE w:val="0"/>
        <w:autoSpaceDN w:val="0"/>
        <w:adjustRightInd w:val="0"/>
        <w:spacing w:line="288" w:lineRule="auto"/>
        <w:jc w:val="right"/>
        <w:rPr>
          <w:rFonts w:cs="Times New Roman"/>
          <w:color w:val="000000"/>
        </w:rPr>
      </w:pPr>
      <w:r w:rsidRPr="00F202AD">
        <w:rPr>
          <w:rFonts w:cs="Times New Roman"/>
          <w:color w:val="000000"/>
        </w:rPr>
        <w:t>Tel +61 2 99091568</w:t>
      </w:r>
    </w:p>
    <w:p w14:paraId="2BD10168" w14:textId="17D988CB" w:rsidR="00346F98" w:rsidRPr="00F202AD" w:rsidRDefault="004A3FF0" w:rsidP="004A3FF0">
      <w:pPr>
        <w:widowControl w:val="0"/>
        <w:tabs>
          <w:tab w:val="left" w:pos="540"/>
        </w:tabs>
        <w:autoSpaceDE w:val="0"/>
        <w:autoSpaceDN w:val="0"/>
        <w:adjustRightInd w:val="0"/>
        <w:spacing w:line="288" w:lineRule="auto"/>
        <w:jc w:val="center"/>
        <w:rPr>
          <w:rFonts w:cs="Times New Roman"/>
          <w:color w:val="000000"/>
        </w:rPr>
      </w:pP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t xml:space="preserve">           </w:t>
      </w:r>
      <w:r w:rsidR="00346F98" w:rsidRPr="00F202AD">
        <w:rPr>
          <w:rFonts w:cs="Times New Roman"/>
          <w:color w:val="000000"/>
        </w:rPr>
        <w:t xml:space="preserve">Mob 0423 477 294      </w:t>
      </w:r>
    </w:p>
    <w:p w14:paraId="0C2FB459" w14:textId="77777777" w:rsidR="00346F98" w:rsidRPr="00F202AD" w:rsidRDefault="00346F98" w:rsidP="00346F98">
      <w:pPr>
        <w:widowControl w:val="0"/>
        <w:tabs>
          <w:tab w:val="left" w:pos="540"/>
        </w:tabs>
        <w:autoSpaceDE w:val="0"/>
        <w:autoSpaceDN w:val="0"/>
        <w:adjustRightInd w:val="0"/>
        <w:spacing w:line="288" w:lineRule="auto"/>
        <w:jc w:val="right"/>
        <w:rPr>
          <w:rFonts w:cs="Times New Roman"/>
          <w:color w:val="000000"/>
        </w:rPr>
      </w:pPr>
      <w:r w:rsidRPr="00F202AD">
        <w:rPr>
          <w:rFonts w:cs="Times New Roman"/>
          <w:color w:val="000000"/>
        </w:rPr>
        <w:t xml:space="preserve">Email </w:t>
      </w:r>
      <w:r w:rsidRPr="00F202AD">
        <w:rPr>
          <w:rFonts w:cs="Times New Roman"/>
          <w:u w:color="000099"/>
        </w:rPr>
        <w:t>gordon.mackenzie@unsw.edu.au</w:t>
      </w:r>
    </w:p>
    <w:p w14:paraId="1D266B56" w14:textId="77777777" w:rsidR="00346F98" w:rsidRPr="00F202AD" w:rsidRDefault="00346F98" w:rsidP="00346F98">
      <w:pPr>
        <w:widowControl w:val="0"/>
        <w:tabs>
          <w:tab w:val="left" w:pos="540"/>
        </w:tabs>
        <w:autoSpaceDE w:val="0"/>
        <w:autoSpaceDN w:val="0"/>
        <w:adjustRightInd w:val="0"/>
        <w:spacing w:line="288" w:lineRule="auto"/>
        <w:jc w:val="right"/>
        <w:rPr>
          <w:rFonts w:cs="Times New Roman"/>
          <w:color w:val="000000"/>
        </w:rPr>
      </w:pPr>
      <w:r w:rsidRPr="00F202AD">
        <w:rPr>
          <w:rFonts w:cs="Times New Roman"/>
          <w:color w:val="000000"/>
        </w:rPr>
        <w:t>Skype gordonmack1</w:t>
      </w:r>
    </w:p>
    <w:p w14:paraId="65F09423" w14:textId="77777777" w:rsidR="00346F98" w:rsidRDefault="00346F98" w:rsidP="00346F98">
      <w:pPr>
        <w:widowControl w:val="0"/>
        <w:tabs>
          <w:tab w:val="left" w:pos="540"/>
        </w:tabs>
        <w:autoSpaceDE w:val="0"/>
        <w:autoSpaceDN w:val="0"/>
        <w:adjustRightInd w:val="0"/>
        <w:spacing w:line="288" w:lineRule="auto"/>
        <w:jc w:val="center"/>
        <w:rPr>
          <w:rFonts w:ascii="Times New Roman" w:hAnsi="Times New Roman" w:cs="Times New Roman"/>
          <w:color w:val="000000"/>
          <w:sz w:val="20"/>
          <w:szCs w:val="20"/>
        </w:rPr>
      </w:pPr>
    </w:p>
    <w:p w14:paraId="596FF102" w14:textId="77777777" w:rsidR="00346F98" w:rsidRDefault="00733148" w:rsidP="00346F98">
      <w:r>
        <w:t>9 September 2016</w:t>
      </w:r>
    </w:p>
    <w:p w14:paraId="367DC1F4" w14:textId="77777777" w:rsidR="00733148" w:rsidRDefault="00733148" w:rsidP="00346F98"/>
    <w:p w14:paraId="11867A85" w14:textId="77777777" w:rsidR="00346F98" w:rsidRPr="007F4FD8" w:rsidRDefault="004756F9" w:rsidP="00346F98">
      <w:pPr>
        <w:rPr>
          <w:b/>
        </w:rPr>
      </w:pPr>
      <w:r>
        <w:rPr>
          <w:b/>
        </w:rPr>
        <w:t>The Productivity Commission</w:t>
      </w:r>
    </w:p>
    <w:p w14:paraId="6F1701BA" w14:textId="77777777" w:rsidR="004756F9" w:rsidRDefault="004756F9" w:rsidP="00346F98">
      <w:r>
        <w:t>On line lodgement</w:t>
      </w:r>
      <w:r w:rsidR="00733148">
        <w:t>:</w:t>
      </w:r>
    </w:p>
    <w:p w14:paraId="7B74C5EC" w14:textId="77777777" w:rsidR="004756F9" w:rsidRDefault="004756F9" w:rsidP="00346F98">
      <w:r w:rsidRPr="004756F9">
        <w:t>http://www.pc.gov.au/inquiries/current/superannuation/make-submission#lodge</w:t>
      </w:r>
    </w:p>
    <w:p w14:paraId="69F11846" w14:textId="77777777" w:rsidR="00346F98" w:rsidRDefault="00346F98" w:rsidP="00346F98"/>
    <w:p w14:paraId="613D3794" w14:textId="77777777" w:rsidR="00346F98" w:rsidRDefault="00346F98" w:rsidP="00346F98">
      <w:r>
        <w:t>Dear Sir/Madam,</w:t>
      </w:r>
    </w:p>
    <w:p w14:paraId="048A162A" w14:textId="77777777" w:rsidR="00914F97" w:rsidRDefault="00914F97" w:rsidP="00914F97"/>
    <w:p w14:paraId="4081043A" w14:textId="2C7C51D6" w:rsidR="00914F97" w:rsidRPr="00914F97" w:rsidRDefault="00E2245A" w:rsidP="00914F97">
      <w:pPr>
        <w:rPr>
          <w:b/>
        </w:rPr>
      </w:pPr>
      <w:r>
        <w:rPr>
          <w:b/>
        </w:rPr>
        <w:t xml:space="preserve">Opportunity for further comment: </w:t>
      </w:r>
      <w:r w:rsidR="00914F97" w:rsidRPr="00914F97">
        <w:rPr>
          <w:b/>
        </w:rPr>
        <w:t xml:space="preserve">How to Assess the Competiveness and Efficiency of the </w:t>
      </w:r>
      <w:r w:rsidR="00914F97">
        <w:rPr>
          <w:b/>
        </w:rPr>
        <w:t>Superannuation S</w:t>
      </w:r>
      <w:r w:rsidR="00914F97" w:rsidRPr="00914F97">
        <w:rPr>
          <w:b/>
        </w:rPr>
        <w:t>ystem: Productivity Commission Draft Report August 2016</w:t>
      </w:r>
    </w:p>
    <w:p w14:paraId="0577258E" w14:textId="77777777" w:rsidR="00346F98" w:rsidRDefault="00346F98" w:rsidP="00346F98"/>
    <w:p w14:paraId="46E85F8C" w14:textId="059C1F3E" w:rsidR="00346F98" w:rsidRPr="00A80842" w:rsidRDefault="00346F98" w:rsidP="00346F98">
      <w:pPr>
        <w:rPr>
          <w:b/>
        </w:rPr>
      </w:pPr>
      <w:r w:rsidRPr="00A80842">
        <w:rPr>
          <w:b/>
        </w:rPr>
        <w:t xml:space="preserve">Introduction </w:t>
      </w:r>
    </w:p>
    <w:p w14:paraId="5BA66915" w14:textId="77777777" w:rsidR="00346F98" w:rsidRDefault="00346F98" w:rsidP="00346F98"/>
    <w:p w14:paraId="1A1A21B3" w14:textId="77777777" w:rsidR="00914F97" w:rsidRDefault="00346F98" w:rsidP="00914F97">
      <w:r>
        <w:t xml:space="preserve">I refer to </w:t>
      </w:r>
      <w:r w:rsidR="004756F9">
        <w:t xml:space="preserve">the </w:t>
      </w:r>
      <w:r w:rsidR="00914F97">
        <w:t>Productivity Commission Draft Report August 2016:</w:t>
      </w:r>
    </w:p>
    <w:p w14:paraId="7A0E1A70" w14:textId="5B4314CC" w:rsidR="004756F9" w:rsidRDefault="00914F97" w:rsidP="00346F98">
      <w:proofErr w:type="gramStart"/>
      <w:r>
        <w:t>How to Assess the Competiveness and Efficiency o</w:t>
      </w:r>
      <w:r w:rsidR="00A47577">
        <w:t>f the Superannuation System.</w:t>
      </w:r>
      <w:proofErr w:type="gramEnd"/>
      <w:r w:rsidR="00A47577">
        <w:t xml:space="preserve"> (“</w:t>
      </w:r>
      <w:r>
        <w:t>Draft Report”</w:t>
      </w:r>
      <w:r w:rsidR="00BF3A00">
        <w:t xml:space="preserve">) and </w:t>
      </w:r>
      <w:r w:rsidR="00346F98">
        <w:t>welcome the oppo</w:t>
      </w:r>
      <w:r>
        <w:t xml:space="preserve">rtunity to provide </w:t>
      </w:r>
      <w:r w:rsidR="00346F98">
        <w:t xml:space="preserve">comments on </w:t>
      </w:r>
      <w:r w:rsidR="008530F1">
        <w:t xml:space="preserve">some of </w:t>
      </w:r>
      <w:r w:rsidR="00346F98">
        <w:t>the i</w:t>
      </w:r>
      <w:r>
        <w:t xml:space="preserve">ssues outlined in the Draft Report </w:t>
      </w:r>
      <w:r w:rsidR="00346F98">
        <w:t>and</w:t>
      </w:r>
      <w:r w:rsidR="0078060A">
        <w:t>, also,</w:t>
      </w:r>
      <w:r w:rsidR="00346F98">
        <w:t xml:space="preserve"> </w:t>
      </w:r>
      <w:r w:rsidR="004756F9">
        <w:t>very much welcome the</w:t>
      </w:r>
      <w:r w:rsidR="008530F1">
        <w:t xml:space="preserve"> opportunity to contribute</w:t>
      </w:r>
      <w:r w:rsidR="004756F9">
        <w:t xml:space="preserve"> to </w:t>
      </w:r>
      <w:r w:rsidR="0078060A">
        <w:t xml:space="preserve">consideration </w:t>
      </w:r>
      <w:r w:rsidR="004756F9">
        <w:t>of the</w:t>
      </w:r>
      <w:r w:rsidR="0078060A">
        <w:t xml:space="preserve"> competiveness</w:t>
      </w:r>
      <w:r w:rsidR="004756F9">
        <w:t xml:space="preserve"> and </w:t>
      </w:r>
      <w:r w:rsidR="0078060A">
        <w:t>efficiency</w:t>
      </w:r>
      <w:r w:rsidR="004756F9">
        <w:t xml:space="preserve"> of Australia’s superannuation sy</w:t>
      </w:r>
      <w:r w:rsidR="008530F1">
        <w:t>s</w:t>
      </w:r>
      <w:r w:rsidR="004756F9">
        <w:t>tem.</w:t>
      </w:r>
    </w:p>
    <w:p w14:paraId="51309237" w14:textId="77777777" w:rsidR="00D7643F" w:rsidRDefault="00D7643F" w:rsidP="00346F98"/>
    <w:p w14:paraId="4F6615FB" w14:textId="27BD5EED" w:rsidR="00D7643F" w:rsidRDefault="00D7643F" w:rsidP="00346F98">
      <w:r>
        <w:t xml:space="preserve">Given </w:t>
      </w:r>
      <w:r w:rsidR="002507E2">
        <w:t xml:space="preserve">my </w:t>
      </w:r>
      <w:r>
        <w:t>recent experience</w:t>
      </w:r>
      <w:r w:rsidR="002507E2">
        <w:t xml:space="preserve"> (see below)</w:t>
      </w:r>
      <w:r>
        <w:t>, my comments are, in the main, restricted to the SMSF sector of the superannuation system.</w:t>
      </w:r>
      <w:r w:rsidR="00B763FC">
        <w:t xml:space="preserve"> Specifically, with respect to:</w:t>
      </w:r>
    </w:p>
    <w:p w14:paraId="2821C775" w14:textId="77777777" w:rsidR="00B763FC" w:rsidRDefault="00B763FC" w:rsidP="00346F98"/>
    <w:p w14:paraId="6359580D" w14:textId="25705219" w:rsidR="00B763FC" w:rsidRDefault="00B763FC" w:rsidP="00B763FC">
      <w:pPr>
        <w:pStyle w:val="ListParagraph"/>
        <w:numPr>
          <w:ilvl w:val="0"/>
          <w:numId w:val="4"/>
        </w:numPr>
      </w:pPr>
      <w:r>
        <w:t>Structural differences of SMSF compared with other types of superannuation funds</w:t>
      </w:r>
      <w:r w:rsidR="0024507F">
        <w:t xml:space="preserve"> relevant to selecting analytics</w:t>
      </w:r>
      <w:r>
        <w:t>,</w:t>
      </w:r>
    </w:p>
    <w:p w14:paraId="3FECEB84" w14:textId="26EF7C4C" w:rsidR="00B763FC" w:rsidRDefault="00B763FC" w:rsidP="00B763FC">
      <w:pPr>
        <w:pStyle w:val="ListParagraph"/>
        <w:numPr>
          <w:ilvl w:val="0"/>
          <w:numId w:val="4"/>
        </w:numPr>
      </w:pPr>
      <w:r>
        <w:lastRenderedPageBreak/>
        <w:t>Incentives for SMSF members to integrate business assets with their SMSF,</w:t>
      </w:r>
    </w:p>
    <w:p w14:paraId="16978533" w14:textId="278144E0" w:rsidR="00B763FC" w:rsidRDefault="00B763FC" w:rsidP="00B763FC">
      <w:pPr>
        <w:pStyle w:val="ListParagraph"/>
        <w:numPr>
          <w:ilvl w:val="0"/>
          <w:numId w:val="4"/>
        </w:numPr>
      </w:pPr>
      <w:r>
        <w:t xml:space="preserve">Licencing conditions which impact </w:t>
      </w:r>
      <w:r w:rsidR="004078F5">
        <w:t xml:space="preserve">on the </w:t>
      </w:r>
      <w:r>
        <w:t>use of service providers to SMSFs,</w:t>
      </w:r>
    </w:p>
    <w:p w14:paraId="041D9511" w14:textId="0E4A03C2" w:rsidR="00B763FC" w:rsidRDefault="004078F5" w:rsidP="00B763FC">
      <w:pPr>
        <w:pStyle w:val="ListParagraph"/>
        <w:numPr>
          <w:ilvl w:val="0"/>
          <w:numId w:val="4"/>
        </w:numPr>
      </w:pPr>
      <w:r>
        <w:t>F</w:t>
      </w:r>
      <w:r w:rsidR="00B763FC">
        <w:t>our specific tax aspects, and, finally,</w:t>
      </w:r>
    </w:p>
    <w:p w14:paraId="4058CC5B" w14:textId="610A5176" w:rsidR="00B763FC" w:rsidRDefault="00B763FC" w:rsidP="00B763FC">
      <w:pPr>
        <w:pStyle w:val="ListParagraph"/>
        <w:numPr>
          <w:ilvl w:val="0"/>
          <w:numId w:val="4"/>
        </w:numPr>
      </w:pPr>
      <w:r>
        <w:t>Some observations about the role of the ATO as regulator.</w:t>
      </w:r>
    </w:p>
    <w:p w14:paraId="0A193C04" w14:textId="77777777" w:rsidR="00346F98" w:rsidRDefault="00346F98" w:rsidP="00346F98"/>
    <w:p w14:paraId="51675215" w14:textId="446B393D" w:rsidR="00B763FC" w:rsidRDefault="00B763FC" w:rsidP="00346F98">
      <w:pPr>
        <w:rPr>
          <w:b/>
        </w:rPr>
      </w:pPr>
      <w:r w:rsidRPr="00A80842">
        <w:rPr>
          <w:b/>
        </w:rPr>
        <w:t>Background</w:t>
      </w:r>
    </w:p>
    <w:p w14:paraId="607FA4B0" w14:textId="77777777" w:rsidR="00B763FC" w:rsidRDefault="00B763FC" w:rsidP="00346F98"/>
    <w:p w14:paraId="05202CB7" w14:textId="487EE186" w:rsidR="00346F98" w:rsidRDefault="00D7643F" w:rsidP="00346F98">
      <w:r>
        <w:t>However, b</w:t>
      </w:r>
      <w:r w:rsidR="00346F98">
        <w:t xml:space="preserve">y way of </w:t>
      </w:r>
      <w:r w:rsidR="004078F5">
        <w:t xml:space="preserve">background </w:t>
      </w:r>
      <w:r w:rsidR="00346F98">
        <w:t xml:space="preserve">I am currently Lecturer in Charge of three superannuation subjects (Taxation of Superannuation, SMSF Law and Taxation Strategies in Financial Planning), which are part of our Masters programs at the UNSW Business School. </w:t>
      </w:r>
    </w:p>
    <w:p w14:paraId="3E6011FE" w14:textId="77777777" w:rsidR="00346F98" w:rsidRDefault="00346F98" w:rsidP="00346F98"/>
    <w:p w14:paraId="069F08E1" w14:textId="3D1400F2" w:rsidR="00DC0B8B" w:rsidRDefault="00346F98" w:rsidP="00346F98">
      <w:r>
        <w:t xml:space="preserve">In addition, I am Convener of the Master of Tax </w:t>
      </w:r>
      <w:r w:rsidR="00DC0B8B">
        <w:t xml:space="preserve">(Financial Planning and Tax) and </w:t>
      </w:r>
      <w:r w:rsidR="004B5516">
        <w:t>the Master of Tax (Applied</w:t>
      </w:r>
      <w:r>
        <w:t>)</w:t>
      </w:r>
      <w:r w:rsidR="00DC0B8B">
        <w:t>.</w:t>
      </w:r>
    </w:p>
    <w:p w14:paraId="1E245DC8" w14:textId="77777777" w:rsidR="00DC0B8B" w:rsidRDefault="00DC0B8B" w:rsidP="00346F98"/>
    <w:p w14:paraId="742E846A" w14:textId="5CB2B86C" w:rsidR="00346F98" w:rsidRDefault="00DC0B8B" w:rsidP="00346F98">
      <w:r>
        <w:t>I</w:t>
      </w:r>
      <w:r w:rsidR="00346F98">
        <w:t xml:space="preserve"> am Director of the UNSW SMSF Specialization Program for both the Chartered Accountants Australian and New Zea</w:t>
      </w:r>
      <w:r>
        <w:t>land (CA ANZ) and CPA Australia, which is the educational component for both those organisations</w:t>
      </w:r>
      <w:r w:rsidR="00D42B48">
        <w:t>’ SMSF Specialist</w:t>
      </w:r>
      <w:r w:rsidR="00CD4D2D">
        <w:t xml:space="preserve"> membership. To date</w:t>
      </w:r>
      <w:r>
        <w:t xml:space="preserve">, </w:t>
      </w:r>
      <w:r w:rsidR="0078060A">
        <w:t xml:space="preserve">600+ </w:t>
      </w:r>
      <w:r>
        <w:t>accountants</w:t>
      </w:r>
      <w:r w:rsidR="0078060A">
        <w:t xml:space="preserve"> </w:t>
      </w:r>
      <w:r w:rsidR="008530F1">
        <w:t>from both organisations who service</w:t>
      </w:r>
      <w:r>
        <w:t xml:space="preserve"> the SMSF sector have completed that Program.</w:t>
      </w:r>
    </w:p>
    <w:p w14:paraId="379AD0A4" w14:textId="77777777" w:rsidR="00346F98" w:rsidRDefault="00346F98" w:rsidP="00346F98"/>
    <w:p w14:paraId="4943006A" w14:textId="2BA958AB" w:rsidR="00346F98" w:rsidRDefault="00346F98" w:rsidP="00346F98">
      <w:r>
        <w:t xml:space="preserve">I have just completed a research project on the underlying principles for the regulation </w:t>
      </w:r>
      <w:r w:rsidR="00CD4D2D">
        <w:t>of SMSF, which involved a cross-</w:t>
      </w:r>
      <w:r>
        <w:t>country comparison with SMSF-equivalent pension funds in USA, UK and Canada.</w:t>
      </w:r>
    </w:p>
    <w:p w14:paraId="2A73BE5F" w14:textId="77777777" w:rsidR="00DC0B8B" w:rsidRDefault="00DC0B8B" w:rsidP="00346F98"/>
    <w:p w14:paraId="355B1083" w14:textId="49A57AB4" w:rsidR="00DC0B8B" w:rsidRDefault="00DC0B8B" w:rsidP="00346F98">
      <w:r>
        <w:t>In addition, in conjunction with Professor Margaret</w:t>
      </w:r>
      <w:r w:rsidR="008530F1">
        <w:t xml:space="preserve"> </w:t>
      </w:r>
      <w:proofErr w:type="spellStart"/>
      <w:r w:rsidR="008530F1">
        <w:t>McKerchar</w:t>
      </w:r>
      <w:proofErr w:type="spellEnd"/>
      <w:r w:rsidR="008530F1">
        <w:t xml:space="preserve">, in 2014 </w:t>
      </w:r>
      <w:r>
        <w:t>research funded by CA ANZ</w:t>
      </w:r>
      <w:r w:rsidR="008530F1">
        <w:t xml:space="preserve"> was completed</w:t>
      </w:r>
      <w:r>
        <w:t xml:space="preserve"> into the way that Chief Investment Officers of large public offer superannuation funds account for tax when investing (referred to further below).</w:t>
      </w:r>
    </w:p>
    <w:p w14:paraId="01954ECE" w14:textId="77777777" w:rsidR="00346F98" w:rsidRDefault="00346F98" w:rsidP="00346F98"/>
    <w:p w14:paraId="57FCE6D0" w14:textId="7A8E01E3" w:rsidR="00346F98" w:rsidRDefault="008530F1" w:rsidP="00346F98">
      <w:r>
        <w:t xml:space="preserve">Full details of my research </w:t>
      </w:r>
      <w:r w:rsidR="00346F98">
        <w:t xml:space="preserve">can be seen here </w:t>
      </w:r>
      <w:r w:rsidR="00346F98" w:rsidRPr="00BE7D5C">
        <w:rPr>
          <w:rFonts w:cs="Arial"/>
          <w:color w:val="0B5519"/>
        </w:rPr>
        <w:t>https://www.business.</w:t>
      </w:r>
      <w:r w:rsidR="00346F98" w:rsidRPr="00BE7D5C">
        <w:rPr>
          <w:rFonts w:cs="Arial"/>
          <w:b/>
          <w:bCs/>
          <w:color w:val="0B5519"/>
        </w:rPr>
        <w:t>unsw</w:t>
      </w:r>
      <w:r w:rsidR="00346F98" w:rsidRPr="00BE7D5C">
        <w:rPr>
          <w:rFonts w:cs="Arial"/>
          <w:color w:val="0B5519"/>
        </w:rPr>
        <w:t>.edu.au/our-people/</w:t>
      </w:r>
      <w:r w:rsidR="00346F98" w:rsidRPr="00BE7D5C">
        <w:rPr>
          <w:rFonts w:cs="Arial"/>
          <w:b/>
          <w:bCs/>
          <w:color w:val="0B5519"/>
        </w:rPr>
        <w:t>gordonmackenzie</w:t>
      </w:r>
    </w:p>
    <w:p w14:paraId="1C2F9953" w14:textId="77777777" w:rsidR="00346F98" w:rsidRDefault="00346F98" w:rsidP="00346F98"/>
    <w:p w14:paraId="6919C956" w14:textId="100DAA2F" w:rsidR="00346F98" w:rsidRDefault="00346F98" w:rsidP="00346F98">
      <w:r>
        <w:t xml:space="preserve">In terms of superannuation industry experience, prior to becoming an academic I was Global Tax Director at AMP Ltd and prior to that was a superannuation lawyer at AMP Ltd having established the first master trust deeds for superannuation funds, drafted </w:t>
      </w:r>
      <w:r w:rsidR="00BF3A00">
        <w:t xml:space="preserve">the </w:t>
      </w:r>
      <w:r>
        <w:t xml:space="preserve">trust deeds for the first industry superannuation funds, as well as establishing a superannuation administration company to service that sector of the superannuation market. </w:t>
      </w:r>
    </w:p>
    <w:p w14:paraId="1D4DCD53" w14:textId="77777777" w:rsidR="00346F98" w:rsidRDefault="00346F98" w:rsidP="00346F98"/>
    <w:p w14:paraId="4CCA9DE7" w14:textId="56784F27" w:rsidR="00346F98" w:rsidRDefault="00346F98" w:rsidP="00346F98">
      <w:r>
        <w:t>In terms of industry advocacy roles, I have been at times on the tax committee</w:t>
      </w:r>
      <w:r w:rsidR="00A47577">
        <w:t>s</w:t>
      </w:r>
      <w:r>
        <w:t xml:space="preserve"> of the Business Council of Australia, of the Financial Services Council, of ASFA and of the Property Council of Australia, in addition to having been chair of Taxpayer’s Australia.</w:t>
      </w:r>
      <w:r w:rsidR="004B5516">
        <w:t xml:space="preserve"> I have appeared, on behalf of the financial service industry, at four Senate committee hearings.</w:t>
      </w:r>
    </w:p>
    <w:p w14:paraId="0A586C6E" w14:textId="77777777" w:rsidR="00346F98" w:rsidRDefault="00346F98" w:rsidP="00346F98"/>
    <w:p w14:paraId="7D446630" w14:textId="77777777" w:rsidR="00346F98" w:rsidRPr="00A80842" w:rsidRDefault="00346F98" w:rsidP="00346F98">
      <w:pPr>
        <w:rPr>
          <w:b/>
        </w:rPr>
      </w:pPr>
      <w:r w:rsidRPr="00A80842">
        <w:rPr>
          <w:b/>
        </w:rPr>
        <w:t>Comments</w:t>
      </w:r>
    </w:p>
    <w:p w14:paraId="4411426A" w14:textId="77777777" w:rsidR="00346F98" w:rsidRPr="00A80842" w:rsidRDefault="00346F98" w:rsidP="00346F98">
      <w:pPr>
        <w:rPr>
          <w:b/>
        </w:rPr>
      </w:pPr>
    </w:p>
    <w:p w14:paraId="7B42897A" w14:textId="14BCB07D" w:rsidR="00FD43BC" w:rsidRPr="004078F5" w:rsidRDefault="004078F5" w:rsidP="004078F5">
      <w:pPr>
        <w:pStyle w:val="ListParagraph"/>
        <w:numPr>
          <w:ilvl w:val="0"/>
          <w:numId w:val="5"/>
        </w:numPr>
        <w:rPr>
          <w:b/>
        </w:rPr>
      </w:pPr>
      <w:r w:rsidRPr="004078F5">
        <w:rPr>
          <w:b/>
        </w:rPr>
        <w:t>Material structural differences of SMSF</w:t>
      </w:r>
      <w:r>
        <w:rPr>
          <w:b/>
        </w:rPr>
        <w:t xml:space="preserve">: </w:t>
      </w:r>
      <w:r w:rsidR="00FD43BC" w:rsidRPr="004078F5">
        <w:rPr>
          <w:b/>
        </w:rPr>
        <w:t>Limits on application of metrics to SMSF</w:t>
      </w:r>
    </w:p>
    <w:p w14:paraId="3537DA88" w14:textId="77777777" w:rsidR="00FD43BC" w:rsidRDefault="00FD43BC" w:rsidP="00346F98"/>
    <w:p w14:paraId="652DA377" w14:textId="3A861A09" w:rsidR="00083615" w:rsidRDefault="009127E1" w:rsidP="00346F98">
      <w:r>
        <w:t>Wh</w:t>
      </w:r>
      <w:r w:rsidR="005B76E6">
        <w:t xml:space="preserve">ile I </w:t>
      </w:r>
      <w:r>
        <w:t>understand</w:t>
      </w:r>
      <w:r w:rsidR="005B76E6">
        <w:t xml:space="preserve"> that it is </w:t>
      </w:r>
      <w:r>
        <w:t>intended</w:t>
      </w:r>
      <w:r w:rsidR="002B2E52">
        <w:t xml:space="preserve"> to subject</w:t>
      </w:r>
      <w:r w:rsidR="005B76E6">
        <w:t xml:space="preserve"> t</w:t>
      </w:r>
      <w:r>
        <w:t>h</w:t>
      </w:r>
      <w:r w:rsidR="002B2E52">
        <w:t>e SMSF sector to</w:t>
      </w:r>
      <w:r w:rsidR="005B76E6">
        <w:t xml:space="preserve"> the complete </w:t>
      </w:r>
      <w:r w:rsidR="008E5A8A">
        <w:t xml:space="preserve">set of </w:t>
      </w:r>
      <w:r w:rsidR="005B76E6">
        <w:t>analytics</w:t>
      </w:r>
      <w:r w:rsidR="002B2E52">
        <w:t xml:space="preserve"> that are </w:t>
      </w:r>
      <w:r w:rsidR="008E5A8A">
        <w:t>under discussion</w:t>
      </w:r>
      <w:r>
        <w:t>,</w:t>
      </w:r>
      <w:r w:rsidR="005B76E6">
        <w:t xml:space="preserve"> </w:t>
      </w:r>
      <w:r w:rsidR="00083615" w:rsidRPr="00083615">
        <w:t xml:space="preserve">I note </w:t>
      </w:r>
      <w:r w:rsidR="005B76E6">
        <w:t xml:space="preserve">from the </w:t>
      </w:r>
      <w:r>
        <w:t>observations</w:t>
      </w:r>
      <w:r w:rsidR="005B76E6">
        <w:t xml:space="preserve"> in Appendix G </w:t>
      </w:r>
      <w:r w:rsidR="00083615" w:rsidRPr="00083615">
        <w:t xml:space="preserve">that the </w:t>
      </w:r>
      <w:r w:rsidR="00083615">
        <w:t>com</w:t>
      </w:r>
      <w:r w:rsidR="00083615" w:rsidRPr="00083615">
        <w:t>p</w:t>
      </w:r>
      <w:r w:rsidR="00083615">
        <w:t>etition and effic</w:t>
      </w:r>
      <w:r w:rsidR="00083615" w:rsidRPr="00083615">
        <w:t>i</w:t>
      </w:r>
      <w:r w:rsidR="00083615">
        <w:t>enc</w:t>
      </w:r>
      <w:r>
        <w:t xml:space="preserve">y criteria </w:t>
      </w:r>
      <w:r w:rsidR="00083615">
        <w:t xml:space="preserve">to be included </w:t>
      </w:r>
      <w:r w:rsidR="00083615" w:rsidRPr="00083615">
        <w:t xml:space="preserve">in the </w:t>
      </w:r>
      <w:r w:rsidR="00083615">
        <w:t>asses</w:t>
      </w:r>
      <w:r>
        <w:t xml:space="preserve">sment of </w:t>
      </w:r>
      <w:r w:rsidR="005B76E6">
        <w:t xml:space="preserve">SMSFs is </w:t>
      </w:r>
      <w:r w:rsidR="00A50EFD">
        <w:t>limited</w:t>
      </w:r>
      <w:r w:rsidR="00F90779">
        <w:t>,</w:t>
      </w:r>
      <w:r w:rsidR="00A50EFD">
        <w:t xml:space="preserve"> when compared with</w:t>
      </w:r>
      <w:r w:rsidR="00083615">
        <w:t xml:space="preserve"> that for</w:t>
      </w:r>
      <w:r w:rsidR="00083615" w:rsidRPr="00083615">
        <w:t xml:space="preserve"> </w:t>
      </w:r>
      <w:r>
        <w:t xml:space="preserve">the </w:t>
      </w:r>
      <w:r w:rsidR="00083615" w:rsidRPr="00083615">
        <w:t>non-SMSF s</w:t>
      </w:r>
      <w:r w:rsidR="00083615">
        <w:t>e</w:t>
      </w:r>
      <w:r w:rsidR="00083615" w:rsidRPr="00083615">
        <w:t>c</w:t>
      </w:r>
      <w:r w:rsidR="00083615">
        <w:t>tor</w:t>
      </w:r>
      <w:r w:rsidR="00083615" w:rsidRPr="00083615">
        <w:t xml:space="preserve"> of the superannuation </w:t>
      </w:r>
      <w:r w:rsidR="00083615">
        <w:t>system</w:t>
      </w:r>
      <w:r w:rsidR="00083615" w:rsidRPr="00083615">
        <w:t>.</w:t>
      </w:r>
    </w:p>
    <w:p w14:paraId="22E4E699" w14:textId="77777777" w:rsidR="00083615" w:rsidRPr="00083615" w:rsidRDefault="00083615" w:rsidP="00346F98"/>
    <w:p w14:paraId="3EC3603E" w14:textId="63EBE5BD" w:rsidR="00245F13" w:rsidRDefault="00083615" w:rsidP="00346F98">
      <w:r w:rsidRPr="00083615">
        <w:t>Spe</w:t>
      </w:r>
      <w:r w:rsidR="00A50EFD">
        <w:t>ci</w:t>
      </w:r>
      <w:r w:rsidRPr="00083615">
        <w:t>f</w:t>
      </w:r>
      <w:r w:rsidR="00A50EFD">
        <w:t>i</w:t>
      </w:r>
      <w:r w:rsidRPr="00083615">
        <w:t>cally</w:t>
      </w:r>
      <w:r w:rsidR="00A50EFD">
        <w:t>, according to Appendi</w:t>
      </w:r>
      <w:r w:rsidRPr="00083615">
        <w:t>x G</w:t>
      </w:r>
      <w:r w:rsidR="00A162D8">
        <w:t>,</w:t>
      </w:r>
      <w:r w:rsidRPr="00083615">
        <w:t xml:space="preserve"> thes</w:t>
      </w:r>
      <w:r w:rsidR="00A50EFD">
        <w:t>e</w:t>
      </w:r>
      <w:r w:rsidRPr="00083615">
        <w:t xml:space="preserve"> will be limited to</w:t>
      </w:r>
      <w:r w:rsidR="009127E1">
        <w:t xml:space="preserve"> </w:t>
      </w:r>
      <w:r w:rsidRPr="00083615">
        <w:t xml:space="preserve">maximising </w:t>
      </w:r>
      <w:r w:rsidR="00A50EFD">
        <w:t xml:space="preserve">net </w:t>
      </w:r>
      <w:r w:rsidRPr="00083615">
        <w:t>re</w:t>
      </w:r>
      <w:r w:rsidR="00A50EFD">
        <w:t>t</w:t>
      </w:r>
      <w:r w:rsidRPr="00083615">
        <w:t>u</w:t>
      </w:r>
      <w:r w:rsidR="00A50EFD">
        <w:t>r</w:t>
      </w:r>
      <w:r w:rsidRPr="00083615">
        <w:t>n</w:t>
      </w:r>
      <w:r w:rsidR="00A50EFD">
        <w:t>s as a measure of efficiency</w:t>
      </w:r>
      <w:r w:rsidR="00245F13">
        <w:t>,</w:t>
      </w:r>
      <w:r w:rsidR="00A50EFD">
        <w:t xml:space="preserve"> </w:t>
      </w:r>
      <w:r w:rsidR="00245F13" w:rsidRPr="00083615">
        <w:t>including accounting for t</w:t>
      </w:r>
      <w:r w:rsidR="00245F13">
        <w:t>h</w:t>
      </w:r>
      <w:r w:rsidR="00245F13" w:rsidRPr="00083615">
        <w:t>e</w:t>
      </w:r>
      <w:r w:rsidR="00245F13">
        <w:t xml:space="preserve"> </w:t>
      </w:r>
      <w:r w:rsidR="00245F13" w:rsidRPr="00083615">
        <w:t>way t</w:t>
      </w:r>
      <w:r w:rsidR="00245F13">
        <w:t>h</w:t>
      </w:r>
      <w:r w:rsidR="00245F13" w:rsidRPr="00083615">
        <w:t>at tax of the fund affects that,</w:t>
      </w:r>
      <w:r w:rsidR="00245F13">
        <w:t xml:space="preserve"> </w:t>
      </w:r>
      <w:r w:rsidR="00A50EFD">
        <w:t>and</w:t>
      </w:r>
      <w:r w:rsidR="008530F1">
        <w:t>,</w:t>
      </w:r>
      <w:r w:rsidR="00A50EFD">
        <w:t xml:space="preserve"> with respect to the preferences and needs of members, the learning from behavioural finance to ‘lean against’ biases</w:t>
      </w:r>
      <w:r w:rsidR="00245F13">
        <w:t xml:space="preserve">. In addition, </w:t>
      </w:r>
      <w:r w:rsidR="00A50EFD">
        <w:t>how</w:t>
      </w:r>
      <w:r w:rsidR="00245F13">
        <w:t xml:space="preserve"> well the system provides for the payment</w:t>
      </w:r>
      <w:r w:rsidR="00A50EFD">
        <w:t xml:space="preserve"> of ben</w:t>
      </w:r>
      <w:r w:rsidR="00245F13">
        <w:t xml:space="preserve">efits in </w:t>
      </w:r>
      <w:r w:rsidR="00A50EFD">
        <w:t>r</w:t>
      </w:r>
      <w:r w:rsidR="00245F13">
        <w:t>et</w:t>
      </w:r>
      <w:r w:rsidR="00A50EFD">
        <w:t>irement</w:t>
      </w:r>
      <w:r w:rsidR="00245F13">
        <w:t xml:space="preserve"> will be considered</w:t>
      </w:r>
      <w:r w:rsidR="00A50EFD">
        <w:t>.</w:t>
      </w:r>
      <w:r w:rsidR="000E1764">
        <w:t xml:space="preserve"> </w:t>
      </w:r>
      <w:r w:rsidR="00A50EFD">
        <w:t>Finally, consideration of the affect of the</w:t>
      </w:r>
      <w:r w:rsidR="00245F13">
        <w:t xml:space="preserve"> ability of SMSF to leve</w:t>
      </w:r>
      <w:r w:rsidR="00A50EFD">
        <w:t>r</w:t>
      </w:r>
      <w:r w:rsidR="00245F13">
        <w:t>age</w:t>
      </w:r>
      <w:r w:rsidR="00A50EFD">
        <w:t xml:space="preserve">, as in Limited </w:t>
      </w:r>
      <w:r w:rsidR="00245F13">
        <w:t>Recourse Borrowing A</w:t>
      </w:r>
      <w:r w:rsidR="00A50EFD">
        <w:t>rrangem</w:t>
      </w:r>
      <w:r w:rsidR="00245F13">
        <w:t>ent</w:t>
      </w:r>
      <w:r w:rsidRPr="00083615">
        <w:t>,</w:t>
      </w:r>
      <w:r w:rsidR="00245F13">
        <w:t xml:space="preserve"> will also be considered</w:t>
      </w:r>
      <w:r w:rsidR="00BF3A00">
        <w:t xml:space="preserve"> in the context of system stability</w:t>
      </w:r>
      <w:r w:rsidR="00245F13">
        <w:t>.</w:t>
      </w:r>
    </w:p>
    <w:p w14:paraId="6401D6EB" w14:textId="77777777" w:rsidR="002B2E52" w:rsidRDefault="002B2E52" w:rsidP="00346F98"/>
    <w:p w14:paraId="359EDBF3" w14:textId="6BD97E64" w:rsidR="002B2E52" w:rsidRDefault="00F90779" w:rsidP="00346F98">
      <w:r>
        <w:t xml:space="preserve">In that case </w:t>
      </w:r>
      <w:r w:rsidR="002B2E52">
        <w:t>then</w:t>
      </w:r>
      <w:r w:rsidR="00701C71">
        <w:t>,</w:t>
      </w:r>
      <w:r w:rsidR="002B2E52">
        <w:t xml:space="preserve"> I would support that approach, </w:t>
      </w:r>
      <w:r w:rsidR="00FD43BC">
        <w:t>primarily</w:t>
      </w:r>
      <w:r w:rsidR="002B2E52">
        <w:t xml:space="preserve"> bec</w:t>
      </w:r>
      <w:r w:rsidR="00FD43BC">
        <w:t>ause of the material difference</w:t>
      </w:r>
      <w:r w:rsidR="002B2E52">
        <w:t>s between the</w:t>
      </w:r>
      <w:r w:rsidR="003479FD">
        <w:t xml:space="preserve"> two sectors, SMSFs and non-SMSF</w:t>
      </w:r>
      <w:r w:rsidR="002B2E52">
        <w:t>s</w:t>
      </w:r>
      <w:r>
        <w:t xml:space="preserve"> type superannuation funds</w:t>
      </w:r>
      <w:r w:rsidR="002B2E52">
        <w:t xml:space="preserve">, </w:t>
      </w:r>
      <w:r w:rsidR="00A016C8">
        <w:t>discussed below</w:t>
      </w:r>
      <w:r w:rsidR="000E1764">
        <w:t>,</w:t>
      </w:r>
      <w:r w:rsidR="00A016C8">
        <w:t xml:space="preserve"> </w:t>
      </w:r>
      <w:r w:rsidR="003479FD">
        <w:t>notwithstanding tha</w:t>
      </w:r>
      <w:r w:rsidR="002B2E52">
        <w:t xml:space="preserve">t nominally they </w:t>
      </w:r>
      <w:r w:rsidR="003479FD">
        <w:t>have</w:t>
      </w:r>
      <w:r w:rsidR="002B2E52">
        <w:t xml:space="preserve"> the same purpose.</w:t>
      </w:r>
    </w:p>
    <w:p w14:paraId="734A0F61" w14:textId="77777777" w:rsidR="00FD43BC" w:rsidRDefault="00FD43BC" w:rsidP="00346F98"/>
    <w:p w14:paraId="363485B5" w14:textId="37EEA956" w:rsidR="00D7643F" w:rsidRDefault="00245F13" w:rsidP="00346F98">
      <w:r>
        <w:t>Observations</w:t>
      </w:r>
      <w:r w:rsidR="00BF3A00">
        <w:t xml:space="preserve"> are made in the Draft Report about</w:t>
      </w:r>
      <w:r>
        <w:t xml:space="preserve"> significant structural differences between SMSF</w:t>
      </w:r>
      <w:r w:rsidR="00A016C8">
        <w:t>s</w:t>
      </w:r>
      <w:r>
        <w:t xml:space="preserve"> and other </w:t>
      </w:r>
      <w:r w:rsidR="00BF3A00">
        <w:t xml:space="preserve">types of </w:t>
      </w:r>
      <w:r w:rsidR="005C203E">
        <w:t>superannuation</w:t>
      </w:r>
      <w:r w:rsidR="00BF3A00">
        <w:t xml:space="preserve"> funds in </w:t>
      </w:r>
      <w:r>
        <w:t>the superannuation system</w:t>
      </w:r>
      <w:r w:rsidR="00BF3A00">
        <w:t xml:space="preserve">. </w:t>
      </w:r>
    </w:p>
    <w:p w14:paraId="789674AE" w14:textId="77777777" w:rsidR="00D7643F" w:rsidRDefault="00D7643F" w:rsidP="00346F98"/>
    <w:p w14:paraId="5F6B44F9" w14:textId="4F59DD2D" w:rsidR="00EC1B93" w:rsidRDefault="00BF3A00" w:rsidP="00346F98">
      <w:proofErr w:type="gramStart"/>
      <w:r>
        <w:t>P</w:t>
      </w:r>
      <w:r w:rsidR="00245F13">
        <w:t xml:space="preserve">erhaps the most significant being that SMSF are not </w:t>
      </w:r>
      <w:r w:rsidR="00EC1B93">
        <w:t>intermediated</w:t>
      </w:r>
      <w:r w:rsidR="00245F13">
        <w:t xml:space="preserve"> by third parties </w:t>
      </w:r>
      <w:r w:rsidR="00D42B48">
        <w:t xml:space="preserve">who are </w:t>
      </w:r>
      <w:r w:rsidR="00245F13">
        <w:t>independent of members.</w:t>
      </w:r>
      <w:proofErr w:type="gramEnd"/>
      <w:r w:rsidR="00245F13">
        <w:t xml:space="preserve"> Or, to put that another way, because of the </w:t>
      </w:r>
      <w:r w:rsidR="00EC1B93">
        <w:t>commonality</w:t>
      </w:r>
      <w:r w:rsidR="00245F13">
        <w:t xml:space="preserve"> </w:t>
      </w:r>
      <w:r>
        <w:t xml:space="preserve">between members and fund </w:t>
      </w:r>
      <w:r w:rsidR="005C203E">
        <w:t>administrators</w:t>
      </w:r>
      <w:r>
        <w:t xml:space="preserve"> in SMSFs</w:t>
      </w:r>
      <w:r w:rsidR="00245F13">
        <w:t xml:space="preserve"> (trustees or </w:t>
      </w:r>
      <w:r w:rsidR="008530F1">
        <w:t xml:space="preserve">directors of </w:t>
      </w:r>
      <w:r w:rsidR="00245F13">
        <w:t>trustee companies) th</w:t>
      </w:r>
      <w:r w:rsidR="00EC1B93">
        <w:t>ere are no a</w:t>
      </w:r>
      <w:r w:rsidR="00F90779">
        <w:t>gency issues</w:t>
      </w:r>
      <w:r>
        <w:t>,</w:t>
      </w:r>
      <w:r w:rsidR="00245F13">
        <w:t xml:space="preserve"> as </w:t>
      </w:r>
      <w:r w:rsidR="00F90779">
        <w:t xml:space="preserve">can be the case </w:t>
      </w:r>
      <w:r w:rsidR="00EC1B93">
        <w:t>for non-SMSF sup</w:t>
      </w:r>
      <w:r w:rsidR="00245F13">
        <w:t xml:space="preserve">erannuation funds. </w:t>
      </w:r>
    </w:p>
    <w:p w14:paraId="31420004" w14:textId="77777777" w:rsidR="00EC1B93" w:rsidRDefault="00EC1B93" w:rsidP="00346F98"/>
    <w:p w14:paraId="4C076116" w14:textId="78974464" w:rsidR="006E033E" w:rsidRDefault="00EC1B93" w:rsidP="00346F98">
      <w:r>
        <w:t xml:space="preserve">That raises </w:t>
      </w:r>
      <w:r w:rsidR="00245F13">
        <w:t>some si</w:t>
      </w:r>
      <w:r>
        <w:t>gn</w:t>
      </w:r>
      <w:r w:rsidR="00245F13">
        <w:t>i</w:t>
      </w:r>
      <w:r>
        <w:t>ficant issue</w:t>
      </w:r>
      <w:r w:rsidR="00245F13">
        <w:t>s</w:t>
      </w:r>
      <w:r>
        <w:t xml:space="preserve"> </w:t>
      </w:r>
      <w:r w:rsidR="00245F13">
        <w:t>in that one of the co</w:t>
      </w:r>
      <w:r>
        <w:t>n</w:t>
      </w:r>
      <w:r w:rsidR="00245F13">
        <w:t xml:space="preserve">trols on </w:t>
      </w:r>
      <w:r>
        <w:t>agency problems aris</w:t>
      </w:r>
      <w:r w:rsidR="00245F13">
        <w:t>ing in</w:t>
      </w:r>
      <w:r>
        <w:t xml:space="preserve"> </w:t>
      </w:r>
      <w:r w:rsidR="00245F13">
        <w:t>t</w:t>
      </w:r>
      <w:r>
        <w:t xml:space="preserve">he non-SMSF </w:t>
      </w:r>
      <w:r w:rsidR="00245F13">
        <w:t>sector is through</w:t>
      </w:r>
      <w:r>
        <w:t xml:space="preserve"> APRA’s an</w:t>
      </w:r>
      <w:r w:rsidR="006E033E">
        <w:t>d, i</w:t>
      </w:r>
      <w:r w:rsidR="008530F1">
        <w:t>ndeed ASIC’s</w:t>
      </w:r>
      <w:r w:rsidR="00DC1B95">
        <w:t>, licencing</w:t>
      </w:r>
      <w:r w:rsidR="008530F1">
        <w:t xml:space="preserve"> </w:t>
      </w:r>
      <w:r w:rsidR="009127E1">
        <w:t>systems</w:t>
      </w:r>
      <w:r w:rsidR="00625915">
        <w:t>,</w:t>
      </w:r>
      <w:r w:rsidR="009127E1">
        <w:t xml:space="preserve"> which contain</w:t>
      </w:r>
      <w:r w:rsidR="00245F13">
        <w:t xml:space="preserve"> </w:t>
      </w:r>
      <w:r w:rsidR="009127E1">
        <w:t>quality controls on</w:t>
      </w:r>
      <w:r w:rsidR="006E033E">
        <w:t xml:space="preserve"> the capacity and </w:t>
      </w:r>
      <w:r w:rsidR="00245F13">
        <w:t>ca</w:t>
      </w:r>
      <w:r w:rsidR="006E033E">
        <w:t>pabilities</w:t>
      </w:r>
      <w:r>
        <w:t xml:space="preserve"> of man</w:t>
      </w:r>
      <w:r w:rsidR="006E033E">
        <w:t>agers of non-</w:t>
      </w:r>
      <w:r>
        <w:t xml:space="preserve">SMSF </w:t>
      </w:r>
      <w:r w:rsidR="006E033E">
        <w:t>superannuation funds</w:t>
      </w:r>
      <w:r w:rsidR="00131AAC">
        <w:t>, as well as positive obligations about acting for members</w:t>
      </w:r>
      <w:r w:rsidR="006E033E">
        <w:t xml:space="preserve">- </w:t>
      </w:r>
      <w:r w:rsidR="00245F13">
        <w:t>se</w:t>
      </w:r>
      <w:r w:rsidR="006E033E">
        <w:t xml:space="preserve">e Part </w:t>
      </w:r>
      <w:r w:rsidR="00F90779">
        <w:t xml:space="preserve">2A </w:t>
      </w:r>
      <w:r w:rsidR="006E033E">
        <w:t>S</w:t>
      </w:r>
      <w:r w:rsidR="00F90779">
        <w:t xml:space="preserve">uperannuation </w:t>
      </w:r>
      <w:r w:rsidR="006E033E">
        <w:t>I</w:t>
      </w:r>
      <w:r w:rsidR="0049586B">
        <w:t>ndustry (</w:t>
      </w:r>
      <w:r w:rsidR="006E033E">
        <w:t>S</w:t>
      </w:r>
      <w:r w:rsidR="0049586B">
        <w:t xml:space="preserve">upervision) </w:t>
      </w:r>
      <w:r w:rsidR="006E033E">
        <w:t>A</w:t>
      </w:r>
      <w:r w:rsidR="00245F13">
        <w:t>ct</w:t>
      </w:r>
      <w:r w:rsidR="0049586B">
        <w:t xml:space="preserve"> 1993 (“SIS Act”)</w:t>
      </w:r>
      <w:r w:rsidR="00245F13">
        <w:t>.</w:t>
      </w:r>
    </w:p>
    <w:p w14:paraId="1A2492CF" w14:textId="77777777" w:rsidR="008530F1" w:rsidRDefault="008530F1" w:rsidP="00346F98"/>
    <w:p w14:paraId="0820DA82" w14:textId="412FF6A7" w:rsidR="008530F1" w:rsidRDefault="005B76E6" w:rsidP="00346F98">
      <w:r>
        <w:t>In</w:t>
      </w:r>
      <w:r w:rsidR="008530F1">
        <w:t>deed</w:t>
      </w:r>
      <w:r w:rsidR="009127E1">
        <w:t>,</w:t>
      </w:r>
      <w:r w:rsidR="008530F1">
        <w:t xml:space="preserve"> the differ</w:t>
      </w:r>
      <w:r>
        <w:t>e</w:t>
      </w:r>
      <w:r w:rsidR="008530F1">
        <w:t>nces between the two sectors are consider</w:t>
      </w:r>
      <w:r>
        <w:t>e</w:t>
      </w:r>
      <w:r w:rsidR="008530F1">
        <w:t>d to be deeper than just licensing. Specifically</w:t>
      </w:r>
      <w:r w:rsidR="00B74209">
        <w:t>,</w:t>
      </w:r>
      <w:r w:rsidR="008530F1">
        <w:t xml:space="preserve"> </w:t>
      </w:r>
      <w:r>
        <w:t xml:space="preserve">and some comments are made in the Draft Report on this aspect, members of SMSFs are necessarily engaged per force of the </w:t>
      </w:r>
      <w:r w:rsidR="003479FD">
        <w:t>transactions that they need to complete in order to set</w:t>
      </w:r>
      <w:r w:rsidR="009127E1">
        <w:t xml:space="preserve"> up</w:t>
      </w:r>
      <w:r w:rsidR="00625915">
        <w:t xml:space="preserve"> and maintain their SMSF</w:t>
      </w:r>
      <w:r w:rsidR="009127E1">
        <w:t>.</w:t>
      </w:r>
    </w:p>
    <w:p w14:paraId="45A194B3" w14:textId="77777777" w:rsidR="008E5A8A" w:rsidRDefault="008E5A8A" w:rsidP="00346F98"/>
    <w:p w14:paraId="62D2712A" w14:textId="28D33F8B" w:rsidR="008E5A8A" w:rsidRDefault="008E5A8A" w:rsidP="00346F98">
      <w:r>
        <w:t xml:space="preserve">For example, </w:t>
      </w:r>
      <w:r w:rsidR="007B6CD6">
        <w:t xml:space="preserve">the legal formalities involved in </w:t>
      </w:r>
      <w:r>
        <w:t xml:space="preserve">obtaining and executing a trust deed, but even more importantly the obligation on trustees and directors of the </w:t>
      </w:r>
      <w:r>
        <w:lastRenderedPageBreak/>
        <w:t>trustee company to sign a declaration that they understand their duties as trustees of an SMSF-Section 104A SIS Act</w:t>
      </w:r>
      <w:r w:rsidR="004B5516">
        <w:t>.</w:t>
      </w:r>
    </w:p>
    <w:p w14:paraId="721F76FE" w14:textId="6A581076" w:rsidR="009127E1" w:rsidRDefault="009127E1" w:rsidP="00346F98"/>
    <w:p w14:paraId="6081666E" w14:textId="49C24433" w:rsidR="004B5516" w:rsidRDefault="004B5516" w:rsidP="00346F98">
      <w:r>
        <w:t>Also important in this regard, is the positive obligation on SMSF trustees to have an investment strategy, which requires that they consider investment of the funds against the four basic principles of investing: diversification, liquidity, risk/return and liability ( Section 52B(2)(f) SIS Act as a covenant and as an operating standard at reg. 4.09(2) SIS Reg.)</w:t>
      </w:r>
    </w:p>
    <w:p w14:paraId="0A2910F7" w14:textId="77777777" w:rsidR="004B5516" w:rsidRDefault="004B5516" w:rsidP="00346F98"/>
    <w:p w14:paraId="3CDE42CE" w14:textId="3CBF4506" w:rsidR="004B5516" w:rsidRDefault="004B5516" w:rsidP="004B5516">
      <w:proofErr w:type="gramStart"/>
      <w:r>
        <w:t>Examples of regulation forcing engagement, perhaps?</w:t>
      </w:r>
      <w:proofErr w:type="gramEnd"/>
    </w:p>
    <w:p w14:paraId="7B93F917" w14:textId="77777777" w:rsidR="004B5516" w:rsidRDefault="004B5516" w:rsidP="00346F98"/>
    <w:p w14:paraId="6C03DFEF" w14:textId="17DA0693" w:rsidR="00FD43BC" w:rsidRPr="00B763FC" w:rsidRDefault="00FD43BC" w:rsidP="00B763FC">
      <w:pPr>
        <w:pStyle w:val="ListParagraph"/>
        <w:numPr>
          <w:ilvl w:val="0"/>
          <w:numId w:val="5"/>
        </w:numPr>
        <w:rPr>
          <w:b/>
        </w:rPr>
      </w:pPr>
      <w:r w:rsidRPr="00B763FC">
        <w:rPr>
          <w:b/>
        </w:rPr>
        <w:t>Integration of SMSF and me</w:t>
      </w:r>
      <w:r w:rsidR="00D7643F" w:rsidRPr="00B763FC">
        <w:rPr>
          <w:b/>
        </w:rPr>
        <w:t>m</w:t>
      </w:r>
      <w:r w:rsidRPr="00B763FC">
        <w:rPr>
          <w:b/>
        </w:rPr>
        <w:t>ber assets</w:t>
      </w:r>
    </w:p>
    <w:p w14:paraId="46E45DA2" w14:textId="77777777" w:rsidR="00FD43BC" w:rsidRDefault="00FD43BC" w:rsidP="00346F98"/>
    <w:p w14:paraId="45646773" w14:textId="4BF0E795" w:rsidR="0049586B" w:rsidRDefault="003479FD" w:rsidP="00346F98">
      <w:r>
        <w:t>The design of the sy</w:t>
      </w:r>
      <w:r w:rsidR="00B74209">
        <w:t>stem</w:t>
      </w:r>
      <w:r w:rsidR="00D7643F">
        <w:t xml:space="preserve"> for SMSFs</w:t>
      </w:r>
      <w:r>
        <w:t>, specifically</w:t>
      </w:r>
      <w:r w:rsidR="00B74209">
        <w:t xml:space="preserve"> in ter</w:t>
      </w:r>
      <w:r>
        <w:t>m</w:t>
      </w:r>
      <w:r w:rsidR="00B74209">
        <w:t>s of the reg</w:t>
      </w:r>
      <w:r>
        <w:t>ulations</w:t>
      </w:r>
      <w:r w:rsidR="003720C1">
        <w:t>,</w:t>
      </w:r>
      <w:r w:rsidR="00D7643F">
        <w:t xml:space="preserve"> </w:t>
      </w:r>
      <w:r>
        <w:t>incentivise</w:t>
      </w:r>
      <w:r w:rsidR="00D7643F">
        <w:t>s</w:t>
      </w:r>
      <w:r>
        <w:t xml:space="preserve"> me</w:t>
      </w:r>
      <w:r w:rsidR="00B74209">
        <w:t>mbe</w:t>
      </w:r>
      <w:r>
        <w:t>r</w:t>
      </w:r>
      <w:r w:rsidR="00D7643F">
        <w:t xml:space="preserve">s </w:t>
      </w:r>
      <w:r>
        <w:t>t</w:t>
      </w:r>
      <w:r w:rsidR="00414E90">
        <w:t>o use their fund</w:t>
      </w:r>
      <w:r w:rsidR="00B74209">
        <w:t xml:space="preserve"> for business purpo</w:t>
      </w:r>
      <w:r>
        <w:t>ses</w:t>
      </w:r>
      <w:r w:rsidR="00D7643F">
        <w:t xml:space="preserve">. </w:t>
      </w:r>
      <w:r w:rsidR="0049586B">
        <w:t>That is</w:t>
      </w:r>
      <w:r w:rsidR="00414E90">
        <w:t>,</w:t>
      </w:r>
      <w:r w:rsidR="0049586B">
        <w:t xml:space="preserve"> the rules permit a member to sell</w:t>
      </w:r>
      <w:r w:rsidR="008E5A8A">
        <w:t xml:space="preserve"> or otherwise transfer </w:t>
      </w:r>
      <w:r w:rsidR="00625915">
        <w:t xml:space="preserve">certain types of </w:t>
      </w:r>
      <w:r w:rsidR="002507E2">
        <w:t xml:space="preserve">their </w:t>
      </w:r>
      <w:r w:rsidR="0049586B">
        <w:t xml:space="preserve">business assets (“Business Real Property”) to their SMSF and, also, to lease it back. </w:t>
      </w:r>
      <w:r w:rsidR="008E5A8A">
        <w:rPr>
          <w:rStyle w:val="FootnoteReference"/>
        </w:rPr>
        <w:footnoteReference w:id="1"/>
      </w:r>
    </w:p>
    <w:p w14:paraId="6396C1F8" w14:textId="77777777" w:rsidR="0049586B" w:rsidRDefault="0049586B" w:rsidP="00346F98"/>
    <w:p w14:paraId="299C4054" w14:textId="5ED8DD3A" w:rsidR="0049586B" w:rsidRDefault="00D7643F" w:rsidP="00346F98">
      <w:r>
        <w:t xml:space="preserve">This is another </w:t>
      </w:r>
      <w:r w:rsidR="003479FD">
        <w:t>significant differ</w:t>
      </w:r>
      <w:r w:rsidR="00B74209">
        <w:t>ence between this sector and</w:t>
      </w:r>
      <w:r w:rsidR="003720C1">
        <w:t xml:space="preserve"> other </w:t>
      </w:r>
      <w:r>
        <w:t xml:space="preserve">types of </w:t>
      </w:r>
      <w:r w:rsidR="003720C1">
        <w:t>superannuation funds</w:t>
      </w:r>
      <w:r>
        <w:t>, which, necessarily, impinges on engagement by the members with their funds</w:t>
      </w:r>
      <w:r w:rsidR="003479FD">
        <w:t xml:space="preserve">. </w:t>
      </w:r>
      <w:r w:rsidR="0049586B">
        <w:t xml:space="preserve">How more engaged could a member be than operating their business from premises that they lease from their SMSF? </w:t>
      </w:r>
    </w:p>
    <w:p w14:paraId="004B2BB8" w14:textId="77777777" w:rsidR="0049586B" w:rsidRDefault="0049586B" w:rsidP="00346F98"/>
    <w:p w14:paraId="3AB33884" w14:textId="1D138E02" w:rsidR="00625915" w:rsidRDefault="003479FD" w:rsidP="00346F98">
      <w:r>
        <w:t>Indeed</w:t>
      </w:r>
      <w:r w:rsidR="00B74209">
        <w:t>,</w:t>
      </w:r>
      <w:r>
        <w:t xml:space="preserve"> it is </w:t>
      </w:r>
      <w:r w:rsidR="00B74209">
        <w:t>arguably</w:t>
      </w:r>
      <w:r w:rsidR="00A016C8">
        <w:t xml:space="preserve"> overly beneficial</w:t>
      </w:r>
      <w:r w:rsidR="00B74209">
        <w:t xml:space="preserve"> for SMSF</w:t>
      </w:r>
      <w:r>
        <w:t xml:space="preserve"> me</w:t>
      </w:r>
      <w:r w:rsidR="00B74209">
        <w:t>mbe</w:t>
      </w:r>
      <w:r>
        <w:t>r</w:t>
      </w:r>
      <w:r w:rsidR="00B74209">
        <w:t>s</w:t>
      </w:r>
      <w:r>
        <w:t xml:space="preserve"> who can</w:t>
      </w:r>
      <w:r w:rsidR="00B74209">
        <w:t>,</w:t>
      </w:r>
      <w:r>
        <w:t xml:space="preserve"> in effect</w:t>
      </w:r>
      <w:r w:rsidR="00B74209">
        <w:t>,</w:t>
      </w:r>
      <w:r>
        <w:t xml:space="preserve"> use their retirement ass</w:t>
      </w:r>
      <w:r w:rsidR="00B74209">
        <w:t>e</w:t>
      </w:r>
      <w:r>
        <w:t xml:space="preserve">ts for </w:t>
      </w:r>
      <w:r w:rsidR="00B74209">
        <w:t xml:space="preserve">their business purposes, resulting in very favourable tax outcomes as well. </w:t>
      </w:r>
    </w:p>
    <w:p w14:paraId="7D67ED80" w14:textId="77777777" w:rsidR="00625915" w:rsidRDefault="00625915" w:rsidP="00346F98"/>
    <w:p w14:paraId="4F7C6718" w14:textId="179E6548" w:rsidR="003479FD" w:rsidRDefault="008A68AF" w:rsidP="00346F98">
      <w:r>
        <w:t>Compare</w:t>
      </w:r>
      <w:r w:rsidR="002507E2">
        <w:t xml:space="preserve"> </w:t>
      </w:r>
      <w:r w:rsidR="00625915">
        <w:t xml:space="preserve">this </w:t>
      </w:r>
      <w:r w:rsidR="002507E2">
        <w:t>with non-SMSF members who have virtually no ability to access their superannuat</w:t>
      </w:r>
      <w:r w:rsidR="00A016C8">
        <w:t>ion fund for anything other than</w:t>
      </w:r>
      <w:r w:rsidR="002507E2">
        <w:t xml:space="preserve"> retirement purposes (see section 62 SIS Act, the “sole purpose” test)</w:t>
      </w:r>
    </w:p>
    <w:p w14:paraId="77DAD343" w14:textId="77777777" w:rsidR="00B74209" w:rsidRDefault="00B74209" w:rsidP="00346F98"/>
    <w:p w14:paraId="41E8F561" w14:textId="79951FCA" w:rsidR="00FD43BC" w:rsidRPr="00B763FC" w:rsidRDefault="00FD43BC" w:rsidP="00B763FC">
      <w:pPr>
        <w:pStyle w:val="ListParagraph"/>
        <w:numPr>
          <w:ilvl w:val="0"/>
          <w:numId w:val="5"/>
        </w:numPr>
        <w:rPr>
          <w:b/>
        </w:rPr>
      </w:pPr>
      <w:r w:rsidRPr="00B763FC">
        <w:rPr>
          <w:b/>
        </w:rPr>
        <w:t>Licensees obligated to assist with service provider selection</w:t>
      </w:r>
    </w:p>
    <w:p w14:paraId="56248CC4" w14:textId="77777777" w:rsidR="00FD43BC" w:rsidRDefault="00FD43BC" w:rsidP="00346F98"/>
    <w:p w14:paraId="7B592D5A" w14:textId="5AC60C73" w:rsidR="00DC1B95" w:rsidRDefault="00DF6AD8" w:rsidP="00346F98">
      <w:r>
        <w:t>Anot</w:t>
      </w:r>
      <w:r w:rsidR="003720C1">
        <w:t>h</w:t>
      </w:r>
      <w:r>
        <w:t>e</w:t>
      </w:r>
      <w:r w:rsidR="003720C1">
        <w:t>r difference</w:t>
      </w:r>
      <w:r w:rsidR="00F90779">
        <w:t>,</w:t>
      </w:r>
      <w:r w:rsidR="003720C1">
        <w:t xml:space="preserve"> which</w:t>
      </w:r>
      <w:r w:rsidR="00316F7B">
        <w:t>,</w:t>
      </w:r>
      <w:r w:rsidR="003720C1">
        <w:t xml:space="preserve"> </w:t>
      </w:r>
      <w:r>
        <w:t>interestingly</w:t>
      </w:r>
      <w:r w:rsidR="00316F7B">
        <w:t>,</w:t>
      </w:r>
      <w:r w:rsidR="003720C1">
        <w:t xml:space="preserve"> </w:t>
      </w:r>
      <w:r>
        <w:t>emanates</w:t>
      </w:r>
      <w:r w:rsidR="003720C1">
        <w:t xml:space="preserve"> from the </w:t>
      </w:r>
      <w:r>
        <w:t xml:space="preserve">financial services </w:t>
      </w:r>
      <w:r w:rsidR="003720C1">
        <w:t>licensing sy</w:t>
      </w:r>
      <w:r>
        <w:t>s</w:t>
      </w:r>
      <w:r w:rsidR="003720C1">
        <w:t>tem but in this case the licensing</w:t>
      </w:r>
      <w:r>
        <w:t xml:space="preserve"> o</w:t>
      </w:r>
      <w:r w:rsidR="00DC1B95">
        <w:t>f certain</w:t>
      </w:r>
      <w:r w:rsidR="003720C1">
        <w:t xml:space="preserve"> of the</w:t>
      </w:r>
      <w:r>
        <w:t xml:space="preserve"> service provi</w:t>
      </w:r>
      <w:r w:rsidR="000E1764">
        <w:t>ders to SMSFs and not trustees</w:t>
      </w:r>
      <w:r w:rsidR="003720C1">
        <w:t xml:space="preserve"> themselves</w:t>
      </w:r>
      <w:r>
        <w:t>, is around Sta</w:t>
      </w:r>
      <w:r w:rsidR="003720C1">
        <w:t>t</w:t>
      </w:r>
      <w:r>
        <w:t>e</w:t>
      </w:r>
      <w:r w:rsidR="003720C1">
        <w:t>m</w:t>
      </w:r>
      <w:r>
        <w:t>en</w:t>
      </w:r>
      <w:r w:rsidR="003720C1">
        <w:t xml:space="preserve">ts of Advice and the </w:t>
      </w:r>
      <w:r>
        <w:t>“</w:t>
      </w:r>
      <w:r w:rsidR="003720C1">
        <w:t>best inter</w:t>
      </w:r>
      <w:r>
        <w:t>e</w:t>
      </w:r>
      <w:r w:rsidR="003720C1">
        <w:t>st duty</w:t>
      </w:r>
      <w:r>
        <w:t xml:space="preserve">” </w:t>
      </w:r>
      <w:r w:rsidR="00316F7B">
        <w:t>(Section 712A Corporations Act)</w:t>
      </w:r>
      <w:r>
        <w:t xml:space="preserve">. </w:t>
      </w:r>
    </w:p>
    <w:p w14:paraId="2667D3CD" w14:textId="77777777" w:rsidR="00DC1B95" w:rsidRDefault="00DC1B95" w:rsidP="00346F98"/>
    <w:p w14:paraId="56230F30" w14:textId="4A5CDE28" w:rsidR="00DC1B95" w:rsidRDefault="00DF6AD8" w:rsidP="00346F98">
      <w:r>
        <w:t>Specifically</w:t>
      </w:r>
      <w:r w:rsidR="003720C1">
        <w:t>, from work that we have been doing with the</w:t>
      </w:r>
      <w:r>
        <w:t xml:space="preserve"> </w:t>
      </w:r>
      <w:r w:rsidR="003720C1">
        <w:t>Alu</w:t>
      </w:r>
      <w:r>
        <w:t>m</w:t>
      </w:r>
      <w:r w:rsidR="003720C1">
        <w:t>ni of t</w:t>
      </w:r>
      <w:r>
        <w:t>h</w:t>
      </w:r>
      <w:r w:rsidR="003720C1">
        <w:t xml:space="preserve">e SMSF </w:t>
      </w:r>
      <w:r>
        <w:t>Specialisation</w:t>
      </w:r>
      <w:r w:rsidR="003720C1">
        <w:t xml:space="preserve"> program mentioned above, we see that</w:t>
      </w:r>
      <w:r>
        <w:t xml:space="preserve"> one of th</w:t>
      </w:r>
      <w:r w:rsidR="00DC1B95">
        <w:t>e</w:t>
      </w:r>
      <w:r>
        <w:t xml:space="preserve"> obligations of licensees advisi</w:t>
      </w:r>
      <w:r w:rsidR="00316F7B">
        <w:t>ng on SMSF</w:t>
      </w:r>
      <w:r>
        <w:t>s is with respect to selecting and man</w:t>
      </w:r>
      <w:r w:rsidR="00DC1B95">
        <w:t>a</w:t>
      </w:r>
      <w:r>
        <w:t>ging other professional</w:t>
      </w:r>
      <w:r w:rsidR="00A016C8">
        <w:t xml:space="preserve"> service providers who</w:t>
      </w:r>
      <w:r w:rsidR="00DC1B95">
        <w:t xml:space="preserve"> may be </w:t>
      </w:r>
      <w:r>
        <w:t>need</w:t>
      </w:r>
      <w:r w:rsidR="00DC1B95">
        <w:t>ed</w:t>
      </w:r>
      <w:r>
        <w:t xml:space="preserve"> for the SMSF</w:t>
      </w:r>
      <w:r w:rsidR="00DC1B95">
        <w:t xml:space="preserve"> to properly function</w:t>
      </w:r>
      <w:r>
        <w:t>.</w:t>
      </w:r>
    </w:p>
    <w:p w14:paraId="1EE07AE0" w14:textId="77777777" w:rsidR="00DC1B95" w:rsidRDefault="00DC1B95" w:rsidP="00346F98"/>
    <w:p w14:paraId="1A219793" w14:textId="3DA9DC95" w:rsidR="00131AAC" w:rsidRDefault="004B5516" w:rsidP="00346F98">
      <w:r>
        <w:lastRenderedPageBreak/>
        <w:t xml:space="preserve">In Appendix </w:t>
      </w:r>
      <w:proofErr w:type="gramStart"/>
      <w:r w:rsidR="00B05D31">
        <w:t>A</w:t>
      </w:r>
      <w:proofErr w:type="gramEnd"/>
      <w:r w:rsidR="00B05D31">
        <w:t xml:space="preserve"> I</w:t>
      </w:r>
      <w:r>
        <w:t xml:space="preserve"> include the question</w:t>
      </w:r>
      <w:r w:rsidR="00B05D31">
        <w:t>s</w:t>
      </w:r>
      <w:r>
        <w:t xml:space="preserve"> in the assessment of SMSF Specialisation Alumni who are seeking RG 146 certification for limited licensing purposes. That is, those who want to be licensed under the Corporations Act to provide limited advice on SMSFs. </w:t>
      </w:r>
    </w:p>
    <w:p w14:paraId="17DB2F12" w14:textId="77777777" w:rsidR="00131AAC" w:rsidRDefault="00131AAC" w:rsidP="00346F98"/>
    <w:p w14:paraId="683BFBA3" w14:textId="77777777" w:rsidR="00B05D31" w:rsidRDefault="00B05D31" w:rsidP="00346F98">
      <w:r>
        <w:t>The skills that are being assessed her are dictated pursuant to Appendix B RG 146.</w:t>
      </w:r>
    </w:p>
    <w:p w14:paraId="666AD329" w14:textId="77777777" w:rsidR="00B05D31" w:rsidRDefault="00B05D31" w:rsidP="00346F98"/>
    <w:p w14:paraId="20E79A18" w14:textId="60318291" w:rsidR="00B74209" w:rsidRDefault="00DC1B95" w:rsidP="00346F98">
      <w:r>
        <w:t xml:space="preserve">You will see </w:t>
      </w:r>
      <w:r w:rsidR="004B454E">
        <w:t>that that</w:t>
      </w:r>
      <w:r>
        <w:t xml:space="preserve"> one of the demonstrated Skills required </w:t>
      </w:r>
      <w:r w:rsidR="004B454E">
        <w:t>as part of obtaining RG 146 compliance is the abilit</w:t>
      </w:r>
      <w:r w:rsidR="008A68AF">
        <w:t xml:space="preserve">y to identify service providers, and </w:t>
      </w:r>
      <w:r w:rsidR="00625915">
        <w:t xml:space="preserve">to </w:t>
      </w:r>
      <w:r w:rsidR="004B454E">
        <w:t>help appoint, jud</w:t>
      </w:r>
      <w:r w:rsidR="00686B2A">
        <w:t>ge suit</w:t>
      </w:r>
      <w:r w:rsidR="008A68AF">
        <w:t>ability and monitor</w:t>
      </w:r>
      <w:r w:rsidR="00625915">
        <w:t xml:space="preserve"> those </w:t>
      </w:r>
      <w:r w:rsidR="004B454E">
        <w:t>service providers to a SMSF.</w:t>
      </w:r>
    </w:p>
    <w:p w14:paraId="696B81FF" w14:textId="77777777" w:rsidR="004B454E" w:rsidRDefault="004B454E" w:rsidP="00346F98"/>
    <w:p w14:paraId="4A400462" w14:textId="77777777" w:rsidR="00990B75" w:rsidRDefault="004B454E" w:rsidP="00346F98">
      <w:r>
        <w:t>In othe</w:t>
      </w:r>
      <w:r w:rsidR="00686B2A">
        <w:t>r words, licensees are obligate</w:t>
      </w:r>
      <w:r>
        <w:t xml:space="preserve">d </w:t>
      </w:r>
      <w:r w:rsidR="00686B2A">
        <w:t>to assist with service providers to SMSFs.</w:t>
      </w:r>
      <w:r w:rsidR="00990B75">
        <w:t xml:space="preserve"> </w:t>
      </w:r>
    </w:p>
    <w:p w14:paraId="15248FCE" w14:textId="77777777" w:rsidR="00990B75" w:rsidRDefault="00990B75" w:rsidP="00346F98"/>
    <w:p w14:paraId="5C670514" w14:textId="6C919172" w:rsidR="004B454E" w:rsidRDefault="00990B75" w:rsidP="00346F98">
      <w:r>
        <w:t xml:space="preserve">It seems to me that these regulatory </w:t>
      </w:r>
      <w:r w:rsidR="005D3A4E">
        <w:t xml:space="preserve">aspects of selecting and using </w:t>
      </w:r>
      <w:r w:rsidR="00E2245A">
        <w:t xml:space="preserve">service providers </w:t>
      </w:r>
      <w:r>
        <w:t>should be included</w:t>
      </w:r>
      <w:r w:rsidR="00686B2A">
        <w:t xml:space="preserve"> in the considerations of efficiency of the superannuation system</w:t>
      </w:r>
      <w:r w:rsidR="00E2245A">
        <w:t xml:space="preserve"> with respect to SMSFs</w:t>
      </w:r>
      <w:r w:rsidR="00686B2A">
        <w:t>.</w:t>
      </w:r>
    </w:p>
    <w:p w14:paraId="0EA712BC" w14:textId="77777777" w:rsidR="00CD4D2D" w:rsidRDefault="00CD4D2D" w:rsidP="00346F98"/>
    <w:p w14:paraId="4F0BD9A1" w14:textId="0FDEBDF9" w:rsidR="00FD43BC" w:rsidRPr="00B763FC" w:rsidRDefault="00FD43BC" w:rsidP="00B763FC">
      <w:pPr>
        <w:pStyle w:val="ListParagraph"/>
        <w:numPr>
          <w:ilvl w:val="0"/>
          <w:numId w:val="5"/>
        </w:numPr>
        <w:rPr>
          <w:b/>
        </w:rPr>
      </w:pPr>
      <w:r w:rsidRPr="00B763FC">
        <w:rPr>
          <w:b/>
        </w:rPr>
        <w:t>Tax and superannuation</w:t>
      </w:r>
    </w:p>
    <w:p w14:paraId="1942AAAD" w14:textId="77777777" w:rsidR="00FD43BC" w:rsidRDefault="00FD43BC" w:rsidP="00346F98"/>
    <w:p w14:paraId="27D02D61" w14:textId="57171086" w:rsidR="00316F7B" w:rsidRDefault="00CD4D2D" w:rsidP="00346F98">
      <w:r>
        <w:t>As mentioned above</w:t>
      </w:r>
      <w:r w:rsidR="00316F7B">
        <w:t>,</w:t>
      </w:r>
      <w:r>
        <w:t xml:space="preserve"> </w:t>
      </w:r>
      <w:r w:rsidR="00625915">
        <w:t xml:space="preserve">I was involved recently in </w:t>
      </w:r>
      <w:r>
        <w:t xml:space="preserve">research </w:t>
      </w:r>
      <w:r w:rsidR="00625915">
        <w:t xml:space="preserve">that </w:t>
      </w:r>
      <w:r>
        <w:t>was condu</w:t>
      </w:r>
      <w:r w:rsidR="00BF3A00">
        <w:t>c</w:t>
      </w:r>
      <w:r>
        <w:t>ted into how, if at all</w:t>
      </w:r>
      <w:r w:rsidR="00BF3A00">
        <w:t>,</w:t>
      </w:r>
      <w:r>
        <w:t xml:space="preserve"> Chief </w:t>
      </w:r>
      <w:r w:rsidR="00BF3A00">
        <w:t>Investment</w:t>
      </w:r>
      <w:r>
        <w:t xml:space="preserve"> Officers </w:t>
      </w:r>
      <w:r w:rsidR="00BF3A00">
        <w:t xml:space="preserve">of some of the largest public offer superannuation funds </w:t>
      </w:r>
      <w:r>
        <w:t xml:space="preserve">accounted for tax when making </w:t>
      </w:r>
      <w:r w:rsidR="00BF3A00">
        <w:t>investment</w:t>
      </w:r>
      <w:r>
        <w:t xml:space="preserve"> </w:t>
      </w:r>
      <w:r w:rsidR="00BF3A00">
        <w:t>decisions</w:t>
      </w:r>
      <w:r>
        <w:t xml:space="preserve">. </w:t>
      </w:r>
    </w:p>
    <w:p w14:paraId="06EED028" w14:textId="77777777" w:rsidR="00316F7B" w:rsidRDefault="00316F7B" w:rsidP="00346F98"/>
    <w:p w14:paraId="55BFA9B2" w14:textId="7767D7FD" w:rsidR="00131AAC" w:rsidRDefault="00CD4D2D" w:rsidP="00346F98">
      <w:r>
        <w:t>A copy of the re</w:t>
      </w:r>
      <w:r w:rsidR="00BF3A00">
        <w:t>se</w:t>
      </w:r>
      <w:r w:rsidR="00316F7B">
        <w:t xml:space="preserve">arch is appended </w:t>
      </w:r>
      <w:r>
        <w:t xml:space="preserve">but what was observed is that of the </w:t>
      </w:r>
      <w:r w:rsidR="00BF3A00">
        <w:t>19 or so tax stra</w:t>
      </w:r>
      <w:r>
        <w:t>tegies that could be applied to fund</w:t>
      </w:r>
      <w:r w:rsidR="00316F7B">
        <w:t>s</w:t>
      </w:r>
      <w:r>
        <w:t xml:space="preserve"> man</w:t>
      </w:r>
      <w:r w:rsidR="00BF3A00">
        <w:t>a</w:t>
      </w:r>
      <w:r>
        <w:t>gem</w:t>
      </w:r>
      <w:r w:rsidR="00BF3A00">
        <w:t xml:space="preserve">ent </w:t>
      </w:r>
      <w:r w:rsidR="00316F7B">
        <w:t xml:space="preserve">in a superannuation fund, </w:t>
      </w:r>
      <w:r w:rsidR="00BF3A00">
        <w:t xml:space="preserve">the </w:t>
      </w:r>
      <w:r w:rsidR="008530F1">
        <w:t>Chief</w:t>
      </w:r>
      <w:r w:rsidR="00BF3A00">
        <w:t xml:space="preserve"> Investment Office</w:t>
      </w:r>
      <w:r>
        <w:t xml:space="preserve">r </w:t>
      </w:r>
      <w:r w:rsidR="00BF3A00">
        <w:t>focussed</w:t>
      </w:r>
      <w:r>
        <w:t xml:space="preserve"> on </w:t>
      </w:r>
      <w:r w:rsidR="0049586B">
        <w:t xml:space="preserve">only two. First, in </w:t>
      </w:r>
      <w:r>
        <w:t>man</w:t>
      </w:r>
      <w:r w:rsidR="00BF3A00">
        <w:t>aging CGT</w:t>
      </w:r>
      <w:r w:rsidR="0049586B">
        <w:t xml:space="preserve"> payable by the fund, as </w:t>
      </w:r>
      <w:r w:rsidR="008A68AF">
        <w:t xml:space="preserve">in </w:t>
      </w:r>
      <w:r w:rsidR="0049586B">
        <w:t>holding assets for at least</w:t>
      </w:r>
      <w:r w:rsidR="00BF3A00">
        <w:t xml:space="preserve"> 12 mont</w:t>
      </w:r>
      <w:r w:rsidR="0049586B">
        <w:t xml:space="preserve">h to gain the benefit of </w:t>
      </w:r>
      <w:r w:rsidR="00BF3A00">
        <w:t>the 1/3</w:t>
      </w:r>
      <w:r w:rsidR="00BF3A00" w:rsidRPr="00BF3A00">
        <w:rPr>
          <w:vertAlign w:val="superscript"/>
        </w:rPr>
        <w:t>rd</w:t>
      </w:r>
      <w:r w:rsidR="005C203E">
        <w:t xml:space="preserve"> discount</w:t>
      </w:r>
      <w:r w:rsidR="0049586B">
        <w:t xml:space="preserve"> on assessable gains</w:t>
      </w:r>
      <w:r w:rsidR="005C203E">
        <w:t xml:space="preserve">, </w:t>
      </w:r>
      <w:r w:rsidR="00BF3A00">
        <w:t>and</w:t>
      </w:r>
      <w:r w:rsidR="0049586B">
        <w:t xml:space="preserve">, secondly, with respect to the tax rules for </w:t>
      </w:r>
      <w:r w:rsidR="00EB2FA3">
        <w:t>imputation credits</w:t>
      </w:r>
      <w:r>
        <w:t>.</w:t>
      </w:r>
      <w:r w:rsidR="00EB2FA3">
        <w:t xml:space="preserve"> </w:t>
      </w:r>
      <w:r w:rsidR="00BF3A00">
        <w:t>Specifically</w:t>
      </w:r>
      <w:r w:rsidR="00EB2FA3">
        <w:t>, ens</w:t>
      </w:r>
      <w:r w:rsidR="00BF3A00">
        <w:t>u</w:t>
      </w:r>
      <w:r w:rsidR="00EB2FA3">
        <w:t>r</w:t>
      </w:r>
      <w:r w:rsidR="00BF3A00">
        <w:t xml:space="preserve">ing that the </w:t>
      </w:r>
      <w:r w:rsidR="005C203E">
        <w:t>45-day</w:t>
      </w:r>
      <w:r w:rsidR="00EB2FA3">
        <w:t xml:space="preserve"> </w:t>
      </w:r>
      <w:r w:rsidR="005C203E">
        <w:t>rule (S</w:t>
      </w:r>
      <w:r w:rsidR="00131AAC">
        <w:t xml:space="preserve">ection 177EA </w:t>
      </w:r>
      <w:r w:rsidR="00C250BF">
        <w:t>Income T</w:t>
      </w:r>
      <w:r w:rsidR="00EB2FA3">
        <w:t xml:space="preserve">ax Assessment </w:t>
      </w:r>
      <w:r w:rsidR="00BF3A00">
        <w:t>A</w:t>
      </w:r>
      <w:r w:rsidR="00EB2FA3">
        <w:t>ct 1997) was not breached, thereby protecting</w:t>
      </w:r>
      <w:r w:rsidR="00BF3A00">
        <w:t xml:space="preserve"> t</w:t>
      </w:r>
      <w:r w:rsidR="00EB2FA3">
        <w:t>he funds’ enti</w:t>
      </w:r>
      <w:r w:rsidR="00BF3A00">
        <w:t>t</w:t>
      </w:r>
      <w:r w:rsidR="00EB2FA3">
        <w:t>leme</w:t>
      </w:r>
      <w:r w:rsidR="00BF3A00">
        <w:t>nt to claim the</w:t>
      </w:r>
      <w:r w:rsidR="00EB2FA3">
        <w:t xml:space="preserve"> imputati</w:t>
      </w:r>
      <w:r w:rsidR="00BF3A00">
        <w:t>on credits.</w:t>
      </w:r>
    </w:p>
    <w:p w14:paraId="65D5EFD5" w14:textId="77777777" w:rsidR="00C250BF" w:rsidRDefault="00C250BF" w:rsidP="00346F98"/>
    <w:p w14:paraId="5B5EA002" w14:textId="35DC2A41" w:rsidR="00C250BF" w:rsidRDefault="00C250BF" w:rsidP="00346F98">
      <w:r>
        <w:t xml:space="preserve">This </w:t>
      </w:r>
      <w:r w:rsidR="00B05D31">
        <w:t xml:space="preserve">limited application or use of the tax rules </w:t>
      </w:r>
      <w:r>
        <w:t>is notwithstanding an obligation on trustees of non-SMSFs superannuation funds to have regard to tax when making investment decisions.</w:t>
      </w:r>
      <w:r>
        <w:rPr>
          <w:rStyle w:val="FootnoteReference"/>
        </w:rPr>
        <w:footnoteReference w:id="2"/>
      </w:r>
    </w:p>
    <w:p w14:paraId="19C8C3AF" w14:textId="77777777" w:rsidR="00BF3A00" w:rsidRDefault="00BF3A00" w:rsidP="00346F98"/>
    <w:p w14:paraId="46BA3AD1" w14:textId="233E8303" w:rsidR="0049586B" w:rsidRDefault="00BF3A00" w:rsidP="00346F98">
      <w:r>
        <w:t xml:space="preserve">One </w:t>
      </w:r>
      <w:r w:rsidR="008530F1">
        <w:t xml:space="preserve">aspect </w:t>
      </w:r>
      <w:r w:rsidR="0049586B">
        <w:t>of taxation of superannuation</w:t>
      </w:r>
      <w:r w:rsidR="00B05D31">
        <w:t xml:space="preserve">, which also came out of the research, </w:t>
      </w:r>
      <w:r w:rsidR="0049586B">
        <w:t xml:space="preserve"> </w:t>
      </w:r>
      <w:r w:rsidR="008530F1">
        <w:t>that</w:t>
      </w:r>
      <w:r w:rsidR="00316F7B">
        <w:t xml:space="preserve"> I</w:t>
      </w:r>
      <w:r>
        <w:t xml:space="preserve"> would dr</w:t>
      </w:r>
      <w:r w:rsidR="00EB2FA3">
        <w:t>a</w:t>
      </w:r>
      <w:r>
        <w:t>w to yo</w:t>
      </w:r>
      <w:r w:rsidR="00EB2FA3">
        <w:t xml:space="preserve">ur </w:t>
      </w:r>
      <w:r w:rsidR="00B05D31">
        <w:t>attention, that</w:t>
      </w:r>
      <w:r w:rsidR="008530F1">
        <w:t xml:space="preserve"> may al</w:t>
      </w:r>
      <w:r w:rsidR="00B05D31">
        <w:t>ready be under consideration</w:t>
      </w:r>
      <w:r w:rsidR="0049586B">
        <w:t>,</w:t>
      </w:r>
      <w:r>
        <w:t xml:space="preserve"> is </w:t>
      </w:r>
      <w:r w:rsidR="00675750">
        <w:t xml:space="preserve">the tax effect </w:t>
      </w:r>
      <w:r>
        <w:t xml:space="preserve">when </w:t>
      </w:r>
      <w:r w:rsidR="00675750">
        <w:t xml:space="preserve">a </w:t>
      </w:r>
      <w:r>
        <w:t>me</w:t>
      </w:r>
      <w:r w:rsidR="00EB2FA3">
        <w:t>m</w:t>
      </w:r>
      <w:r w:rsidR="00675750">
        <w:t>ber</w:t>
      </w:r>
      <w:r>
        <w:t xml:space="preserve"> move</w:t>
      </w:r>
      <w:r w:rsidR="0049586B">
        <w:t>s</w:t>
      </w:r>
      <w:r>
        <w:t xml:space="preserve"> from </w:t>
      </w:r>
      <w:r w:rsidR="00EB2FA3">
        <w:t>accumulation</w:t>
      </w:r>
      <w:r>
        <w:t xml:space="preserve"> mode to pension mod</w:t>
      </w:r>
      <w:r w:rsidR="00EB2FA3">
        <w:t xml:space="preserve">e in some large public offer superannuation funds. </w:t>
      </w:r>
    </w:p>
    <w:p w14:paraId="5641FB9D" w14:textId="77777777" w:rsidR="0049586B" w:rsidRDefault="0049586B" w:rsidP="00346F98"/>
    <w:p w14:paraId="1DE88FEF" w14:textId="14790E5F" w:rsidR="00316F7B" w:rsidRDefault="00EB2FA3" w:rsidP="00346F98">
      <w:r>
        <w:t>Surpris</w:t>
      </w:r>
      <w:r w:rsidR="00316F7B">
        <w:t>ing</w:t>
      </w:r>
      <w:r w:rsidR="00C250BF">
        <w:t>ly</w:t>
      </w:r>
      <w:r w:rsidR="002507E2">
        <w:t>, as that event</w:t>
      </w:r>
      <w:r w:rsidR="00BF3A00">
        <w:t xml:space="preserve"> is not a taxable event, me</w:t>
      </w:r>
      <w:r w:rsidR="0049586B">
        <w:t>mbers can be, in effect,</w:t>
      </w:r>
      <w:r>
        <w:t xml:space="preserve"> charged t</w:t>
      </w:r>
      <w:r w:rsidR="00BF3A00">
        <w:t>ax</w:t>
      </w:r>
      <w:r>
        <w:t xml:space="preserve"> at that point</w:t>
      </w:r>
      <w:r w:rsidR="00BF3A00">
        <w:t>.</w:t>
      </w:r>
    </w:p>
    <w:p w14:paraId="3FC34DD2" w14:textId="77777777" w:rsidR="00316F7B" w:rsidRDefault="00316F7B" w:rsidP="00346F98"/>
    <w:p w14:paraId="475EC636" w14:textId="77B177C9" w:rsidR="002507E2" w:rsidRDefault="00BF3A00" w:rsidP="00346F98">
      <w:r>
        <w:t xml:space="preserve">Specifically, </w:t>
      </w:r>
      <w:r w:rsidR="0049586B">
        <w:t>we we</w:t>
      </w:r>
      <w:r w:rsidR="00EB2FA3">
        <w:t xml:space="preserve">re told </w:t>
      </w:r>
      <w:r w:rsidR="0049586B">
        <w:t xml:space="preserve">when doing our research </w:t>
      </w:r>
      <w:r w:rsidR="00EB2FA3">
        <w:t>that because some of these f</w:t>
      </w:r>
      <w:r w:rsidR="00131AAC">
        <w:t>unds hold member’s accumulation assets</w:t>
      </w:r>
      <w:r w:rsidR="00EB2FA3">
        <w:t xml:space="preserve"> and pension assets in separate pools, </w:t>
      </w:r>
      <w:r w:rsidR="00EB2FA3">
        <w:lastRenderedPageBreak/>
        <w:t>when the trustee moves the funds supporting the accumulati</w:t>
      </w:r>
      <w:r w:rsidR="00316F7B">
        <w:t xml:space="preserve">on account </w:t>
      </w:r>
      <w:r w:rsidR="00675750">
        <w:t xml:space="preserve">from that pool of assets </w:t>
      </w:r>
      <w:r w:rsidR="00316F7B">
        <w:t xml:space="preserve">to a pool of assets </w:t>
      </w:r>
      <w:r w:rsidR="00EB2FA3">
        <w:t>supporting the member</w:t>
      </w:r>
      <w:r w:rsidR="00675750">
        <w:t>’</w:t>
      </w:r>
      <w:r w:rsidR="00EB2FA3">
        <w:t>s pension</w:t>
      </w:r>
      <w:r w:rsidR="00C250BF">
        <w:t xml:space="preserve"> account</w:t>
      </w:r>
      <w:r w:rsidR="00675750">
        <w:t>,</w:t>
      </w:r>
      <w:r w:rsidR="00EB2FA3">
        <w:t xml:space="preserve"> the value of their interest in the accumulation pool </w:t>
      </w:r>
      <w:r w:rsidR="00131AAC">
        <w:t xml:space="preserve">that is transferred </w:t>
      </w:r>
      <w:r w:rsidR="00EB2FA3">
        <w:t xml:space="preserve">is net of </w:t>
      </w:r>
      <w:r w:rsidR="00675750">
        <w:t xml:space="preserve">any </w:t>
      </w:r>
      <w:r w:rsidR="00EB2FA3">
        <w:t>a</w:t>
      </w:r>
      <w:r w:rsidR="002507E2">
        <w:t>ccrued deferred tax liability. I</w:t>
      </w:r>
      <w:r w:rsidR="00EB2FA3">
        <w:t>n other words, the me</w:t>
      </w:r>
      <w:r w:rsidR="005C203E">
        <w:t>m</w:t>
      </w:r>
      <w:r w:rsidR="00EB2FA3">
        <w:t>ber is</w:t>
      </w:r>
      <w:r w:rsidR="00B05D31">
        <w:t>,</w:t>
      </w:r>
      <w:r w:rsidR="00EB2FA3">
        <w:t xml:space="preserve"> in effect</w:t>
      </w:r>
      <w:r w:rsidR="00B05D31">
        <w:t>,</w:t>
      </w:r>
      <w:r w:rsidR="00EB2FA3">
        <w:t xml:space="preserve"> paying tax at that point. </w:t>
      </w:r>
    </w:p>
    <w:p w14:paraId="4887A3A4" w14:textId="77777777" w:rsidR="002507E2" w:rsidRDefault="002507E2" w:rsidP="00346F98"/>
    <w:p w14:paraId="56BFAEFF" w14:textId="49F6D350" w:rsidR="002507E2" w:rsidRDefault="00675750" w:rsidP="00346F98">
      <w:r>
        <w:t>W</w:t>
      </w:r>
      <w:r w:rsidR="002507E2">
        <w:t>e understood</w:t>
      </w:r>
      <w:r w:rsidR="00EB2FA3">
        <w:t xml:space="preserve"> the reason for that is that the truste</w:t>
      </w:r>
      <w:r w:rsidR="00625915">
        <w:t>e will have a liability for tax</w:t>
      </w:r>
      <w:r w:rsidR="00EB2FA3">
        <w:t>, accounted for as the defer</w:t>
      </w:r>
      <w:r w:rsidR="005C203E">
        <w:t>r</w:t>
      </w:r>
      <w:r>
        <w:t>ed tax liability</w:t>
      </w:r>
      <w:r w:rsidR="00EB2FA3">
        <w:t>, on unrealised g</w:t>
      </w:r>
      <w:r>
        <w:t>a</w:t>
      </w:r>
      <w:r w:rsidR="00EB2FA3">
        <w:t>ins on asset</w:t>
      </w:r>
      <w:r>
        <w:t>s</w:t>
      </w:r>
      <w:r w:rsidR="00EB2FA3">
        <w:t xml:space="preserve"> in the accumulation pool. Had the trustee disposed of those assets while the member was still in the</w:t>
      </w:r>
      <w:r w:rsidR="005C203E">
        <w:t xml:space="preserve"> accum</w:t>
      </w:r>
      <w:r w:rsidR="00EB2FA3">
        <w:t>u</w:t>
      </w:r>
      <w:r w:rsidR="005C203E">
        <w:t>la</w:t>
      </w:r>
      <w:r w:rsidR="00EB2FA3">
        <w:t>tion pool</w:t>
      </w:r>
      <w:r>
        <w:t>,</w:t>
      </w:r>
      <w:r w:rsidR="00EB2FA3">
        <w:t xml:space="preserve"> then the member would have incurred that tax liability</w:t>
      </w:r>
      <w:r w:rsidR="005C203E">
        <w:t xml:space="preserve"> </w:t>
      </w:r>
      <w:r w:rsidR="00EB2FA3">
        <w:t xml:space="preserve">in that </w:t>
      </w:r>
      <w:r w:rsidR="00701C71">
        <w:t>the trustee would debit their account for that tax payable</w:t>
      </w:r>
      <w:r w:rsidR="00EB2FA3">
        <w:t xml:space="preserve">. </w:t>
      </w:r>
    </w:p>
    <w:p w14:paraId="0745D6DA" w14:textId="77777777" w:rsidR="002507E2" w:rsidRDefault="002507E2" w:rsidP="00346F98"/>
    <w:p w14:paraId="34D06330" w14:textId="466247E1" w:rsidR="00BF3A00" w:rsidRDefault="00675750" w:rsidP="00346F98">
      <w:r>
        <w:t>Nevertheless, that transition is not a taxable event and, absent holding accumulation and pension assets in separate pools, would not result in tax being payable by the member.</w:t>
      </w:r>
    </w:p>
    <w:p w14:paraId="2785C145" w14:textId="77777777" w:rsidR="00E2245A" w:rsidRDefault="00E2245A" w:rsidP="00346F98"/>
    <w:p w14:paraId="6E4D54AD" w14:textId="22E0F253" w:rsidR="00B05D31" w:rsidRDefault="00B05D31" w:rsidP="00346F98">
      <w:r>
        <w:t>Another aspect of taxation which should be</w:t>
      </w:r>
      <w:r w:rsidR="00460658">
        <w:t xml:space="preserve"> considered</w:t>
      </w:r>
      <w:r>
        <w:t xml:space="preserve"> is the</w:t>
      </w:r>
      <w:r w:rsidR="00460658">
        <w:t xml:space="preserve"> </w:t>
      </w:r>
      <w:r>
        <w:t>design of the tax system which principally affects me</w:t>
      </w:r>
      <w:r w:rsidR="00460658">
        <w:t>m</w:t>
      </w:r>
      <w:r>
        <w:t>bers who use a SNSF and that is the ability to contribute “catch-up”</w:t>
      </w:r>
      <w:r w:rsidR="00460658">
        <w:t xml:space="preserve"> con</w:t>
      </w:r>
      <w:r>
        <w:t>tribu</w:t>
      </w:r>
      <w:r w:rsidR="00460658">
        <w:t>t</w:t>
      </w:r>
      <w:r>
        <w:t xml:space="preserve">ions. </w:t>
      </w:r>
    </w:p>
    <w:p w14:paraId="41F903DA" w14:textId="77777777" w:rsidR="00460658" w:rsidRDefault="00460658" w:rsidP="00346F98"/>
    <w:p w14:paraId="091597B1" w14:textId="1886C009" w:rsidR="00460658" w:rsidRDefault="00460658" w:rsidP="00346F98">
      <w:r>
        <w:t xml:space="preserve">While there is a limit on the amount of contributions that individuals can make to a superannuation fund owners of business assets are able to contribute up to $1.395M from the proceeds of the sale of their business assets in addition. Now the rules are far more nuanced than explained </w:t>
      </w:r>
      <w:proofErr w:type="gramStart"/>
      <w:r>
        <w:t>here ,</w:t>
      </w:r>
      <w:proofErr w:type="gramEnd"/>
      <w:r>
        <w:t xml:space="preserve"> the point of these rules is that they implicitly acknowledge that business owners, who are the most likely user of SMSF, will fund their retirement from the sale of their business assets, rather than progressively over their working life.</w:t>
      </w:r>
    </w:p>
    <w:p w14:paraId="4B29A8FE" w14:textId="77777777" w:rsidR="00460658" w:rsidRDefault="00460658" w:rsidP="00346F98"/>
    <w:p w14:paraId="3D237202" w14:textId="705B6771" w:rsidR="00460658" w:rsidRDefault="00460658" w:rsidP="00346F98">
      <w:r>
        <w:t>The point here is that this design aspect of the tax of superannuation is an important consideration in the efficiency of the system particularly with respect to SMSF members.</w:t>
      </w:r>
    </w:p>
    <w:p w14:paraId="3B3614C9" w14:textId="77777777" w:rsidR="00460658" w:rsidRDefault="00460658" w:rsidP="00346F98"/>
    <w:p w14:paraId="55D184C3" w14:textId="77777777" w:rsidR="00A162D8" w:rsidRDefault="00E51E93" w:rsidP="00346F98">
      <w:r>
        <w:t xml:space="preserve">Finally in this regard, just two other </w:t>
      </w:r>
      <w:r w:rsidR="00E2245A">
        <w:t>comment</w:t>
      </w:r>
      <w:r>
        <w:t>s</w:t>
      </w:r>
      <w:r w:rsidR="00E2245A">
        <w:t xml:space="preserve"> about the tax</w:t>
      </w:r>
      <w:r>
        <w:t>ation of superannuation</w:t>
      </w:r>
      <w:r w:rsidR="00131AAC">
        <w:t>,</w:t>
      </w:r>
      <w:r>
        <w:t xml:space="preserve"> and SMSFs in particular. </w:t>
      </w:r>
    </w:p>
    <w:p w14:paraId="4569035D" w14:textId="77777777" w:rsidR="00A162D8" w:rsidRDefault="00A162D8" w:rsidP="00346F98"/>
    <w:p w14:paraId="51543B79" w14:textId="6FD1B39A" w:rsidR="00E2245A" w:rsidRDefault="00E51E93" w:rsidP="00346F98">
      <w:r>
        <w:t xml:space="preserve">First, </w:t>
      </w:r>
      <w:r w:rsidR="00E2245A">
        <w:t>the taxation rules that</w:t>
      </w:r>
      <w:r>
        <w:t xml:space="preserve"> apply to a SMSF</w:t>
      </w:r>
      <w:r w:rsidR="00E2245A">
        <w:t xml:space="preserve"> </w:t>
      </w:r>
      <w:r w:rsidR="00A162D8">
        <w:t xml:space="preserve">in calculating fund income tax </w:t>
      </w:r>
      <w:r w:rsidR="00E2245A">
        <w:t>are the same as those they apply to any other type of superannuation fund</w:t>
      </w:r>
      <w:r w:rsidR="000E1764">
        <w:t>, excluding certain Government funds, which are not taxpaying</w:t>
      </w:r>
      <w:r w:rsidR="00E2245A">
        <w:t>. Th</w:t>
      </w:r>
      <w:r>
        <w:t>at is th</w:t>
      </w:r>
      <w:r w:rsidR="00E2245A">
        <w:t>ere is not a distinct</w:t>
      </w:r>
      <w:r>
        <w:t xml:space="preserve"> code for the taxation of SMSF</w:t>
      </w:r>
      <w:r w:rsidR="00E2245A">
        <w:t>,</w:t>
      </w:r>
      <w:r>
        <w:t xml:space="preserve"> a</w:t>
      </w:r>
      <w:r w:rsidR="00E2245A">
        <w:t>s opposed to the</w:t>
      </w:r>
      <w:r>
        <w:t xml:space="preserve"> taxation of any ot</w:t>
      </w:r>
      <w:r w:rsidR="00E2245A">
        <w:t>h</w:t>
      </w:r>
      <w:r>
        <w:t>er</w:t>
      </w:r>
      <w:r w:rsidR="00E2245A">
        <w:t xml:space="preserve"> type of superannuation fund</w:t>
      </w:r>
      <w:r w:rsidR="000E1764">
        <w:t xml:space="preserve"> that pays tax</w:t>
      </w:r>
      <w:r w:rsidR="003B6210">
        <w:t>. A</w:t>
      </w:r>
      <w:r>
        <w:t xml:space="preserve">ll types </w:t>
      </w:r>
      <w:r w:rsidR="003B6210">
        <w:t xml:space="preserve">of funds </w:t>
      </w:r>
      <w:r>
        <w:t>calculate thei</w:t>
      </w:r>
      <w:r w:rsidR="00A162D8">
        <w:t>r tax using the same rules</w:t>
      </w:r>
      <w:r w:rsidR="00E2245A">
        <w:t>.</w:t>
      </w:r>
    </w:p>
    <w:p w14:paraId="29C515E1" w14:textId="77777777" w:rsidR="00E2245A" w:rsidRDefault="00E2245A" w:rsidP="00346F98"/>
    <w:p w14:paraId="3A149EEE" w14:textId="636E9139" w:rsidR="00E51E93" w:rsidRDefault="00E51E93" w:rsidP="00346F98">
      <w:r>
        <w:t>I</w:t>
      </w:r>
      <w:r w:rsidR="00E2245A">
        <w:t>n that</w:t>
      </w:r>
      <w:r>
        <w:t xml:space="preserve"> case, as the same tax rules apply </w:t>
      </w:r>
      <w:r w:rsidR="00E2245A">
        <w:t>to all t</w:t>
      </w:r>
      <w:r>
        <w:t>y</w:t>
      </w:r>
      <w:r w:rsidR="00E2245A">
        <w:t xml:space="preserve">pes of non-government </w:t>
      </w:r>
      <w:r>
        <w:t>superannuation</w:t>
      </w:r>
      <w:r w:rsidR="00E2245A">
        <w:t xml:space="preserve"> </w:t>
      </w:r>
      <w:r>
        <w:t>funds</w:t>
      </w:r>
      <w:r w:rsidR="00E2245A">
        <w:t>, any difference in the</w:t>
      </w:r>
      <w:r>
        <w:t xml:space="preserve"> effective tax rate between a SMSF and non-SMSF</w:t>
      </w:r>
      <w:r w:rsidR="003B6210">
        <w:t>,</w:t>
      </w:r>
      <w:r>
        <w:t xml:space="preserve"> </w:t>
      </w:r>
      <w:r w:rsidR="00E2245A">
        <w:t xml:space="preserve">and </w:t>
      </w:r>
      <w:r>
        <w:t>consequently</w:t>
      </w:r>
      <w:r w:rsidR="00A162D8">
        <w:t xml:space="preserve"> affecting</w:t>
      </w:r>
      <w:r w:rsidR="00E2245A">
        <w:t xml:space="preserve"> the me</w:t>
      </w:r>
      <w:r>
        <w:t>m</w:t>
      </w:r>
      <w:r w:rsidR="00E2245A">
        <w:t>b</w:t>
      </w:r>
      <w:r>
        <w:t>er</w:t>
      </w:r>
      <w:r w:rsidR="00D42B48">
        <w:t>’s rate of return</w:t>
      </w:r>
      <w:r w:rsidR="003B6210">
        <w:t>,</w:t>
      </w:r>
      <w:r>
        <w:t xml:space="preserve"> is a func</w:t>
      </w:r>
      <w:r w:rsidR="00E2245A">
        <w:t xml:space="preserve">tion of how </w:t>
      </w:r>
      <w:r w:rsidR="003B6210">
        <w:t xml:space="preserve">the </w:t>
      </w:r>
      <w:r w:rsidR="00E2245A">
        <w:t>tax liability calculation is man</w:t>
      </w:r>
      <w:r>
        <w:t>a</w:t>
      </w:r>
      <w:r w:rsidR="00E2245A">
        <w:t xml:space="preserve">ged. </w:t>
      </w:r>
    </w:p>
    <w:p w14:paraId="63C1C22B" w14:textId="77777777" w:rsidR="00E51E93" w:rsidRDefault="00E51E93" w:rsidP="00346F98"/>
    <w:p w14:paraId="52DA47D3" w14:textId="24C6B2D7" w:rsidR="00E51E93" w:rsidRDefault="00131AAC" w:rsidP="00346F98">
      <w:r>
        <w:t>Secondly, i</w:t>
      </w:r>
      <w:r w:rsidR="00E2245A">
        <w:t>n that regard, f</w:t>
      </w:r>
      <w:r w:rsidR="00E51E93">
        <w:t>r</w:t>
      </w:r>
      <w:r w:rsidR="00E2245A">
        <w:t>om having enga</w:t>
      </w:r>
      <w:r w:rsidR="00E51E93">
        <w:t>g</w:t>
      </w:r>
      <w:r w:rsidR="00E2245A">
        <w:t>e</w:t>
      </w:r>
      <w:r w:rsidR="00E51E93">
        <w:t>d with 600+ tax advisers to SMSF</w:t>
      </w:r>
      <w:r w:rsidR="00E2245A">
        <w:t xml:space="preserve">s, from the SMSF </w:t>
      </w:r>
      <w:r w:rsidR="00E51E93">
        <w:t>Specialisation Program mentioned abo</w:t>
      </w:r>
      <w:r w:rsidR="00E2245A">
        <w:t>ve</w:t>
      </w:r>
      <w:r w:rsidR="00E51E93">
        <w:t>,</w:t>
      </w:r>
      <w:r w:rsidR="00E2245A">
        <w:t xml:space="preserve"> anecdotally </w:t>
      </w:r>
      <w:r>
        <w:t xml:space="preserve">(and I do </w:t>
      </w:r>
      <w:r>
        <w:lastRenderedPageBreak/>
        <w:t xml:space="preserve">appreciate that you have requested evidence based comments) </w:t>
      </w:r>
      <w:r w:rsidR="00E2245A">
        <w:t>it seem</w:t>
      </w:r>
      <w:r>
        <w:t>s</w:t>
      </w:r>
      <w:r w:rsidR="00E2245A">
        <w:t xml:space="preserve"> to me that</w:t>
      </w:r>
      <w:r>
        <w:t>,</w:t>
      </w:r>
      <w:r w:rsidR="00E2245A">
        <w:t xml:space="preserve"> in the</w:t>
      </w:r>
      <w:r w:rsidR="00E51E93">
        <w:t xml:space="preserve"> main, and there are alwa</w:t>
      </w:r>
      <w:r w:rsidR="00E2245A">
        <w:t>y</w:t>
      </w:r>
      <w:r w:rsidR="00E51E93">
        <w:t xml:space="preserve">s outliers, the tax advisers to SMSFs are very conservative in the </w:t>
      </w:r>
      <w:r w:rsidR="00E2245A">
        <w:t>way that they man</w:t>
      </w:r>
      <w:r w:rsidR="00E51E93">
        <w:t>a</w:t>
      </w:r>
      <w:r w:rsidR="00E2245A">
        <w:t>ge the tax</w:t>
      </w:r>
      <w:r w:rsidR="00E51E93">
        <w:t xml:space="preserve"> of SMSF</w:t>
      </w:r>
      <w:r w:rsidR="00E2245A">
        <w:t xml:space="preserve">s. </w:t>
      </w:r>
    </w:p>
    <w:p w14:paraId="40938E11" w14:textId="77777777" w:rsidR="00E51E93" w:rsidRDefault="00E51E93" w:rsidP="00346F98"/>
    <w:p w14:paraId="77E40618" w14:textId="0640959B" w:rsidR="00E2245A" w:rsidRDefault="00131AAC" w:rsidP="00346F98">
      <w:r>
        <w:t>However, t</w:t>
      </w:r>
      <w:r w:rsidR="00E2245A">
        <w:t>hat</w:t>
      </w:r>
      <w:r w:rsidR="00E51E93">
        <w:t xml:space="preserve"> </w:t>
      </w:r>
      <w:r w:rsidR="00E2245A">
        <w:t xml:space="preserve">is not to say that they do not do it efficiently. </w:t>
      </w:r>
    </w:p>
    <w:p w14:paraId="1BD9A110" w14:textId="77777777" w:rsidR="00CD4D2D" w:rsidRDefault="00CD4D2D" w:rsidP="00346F98"/>
    <w:p w14:paraId="7119964C" w14:textId="001C0B86" w:rsidR="00FD43BC" w:rsidRPr="00B763FC" w:rsidRDefault="00FD43BC" w:rsidP="004078F5">
      <w:pPr>
        <w:pStyle w:val="ListParagraph"/>
        <w:numPr>
          <w:ilvl w:val="0"/>
          <w:numId w:val="5"/>
        </w:numPr>
        <w:rPr>
          <w:b/>
        </w:rPr>
      </w:pPr>
      <w:r w:rsidRPr="00B763FC">
        <w:rPr>
          <w:b/>
        </w:rPr>
        <w:t xml:space="preserve">Role of the ATO </w:t>
      </w:r>
      <w:r w:rsidR="00F90779" w:rsidRPr="00B763FC">
        <w:rPr>
          <w:b/>
        </w:rPr>
        <w:t xml:space="preserve">and auditors </w:t>
      </w:r>
      <w:r w:rsidRPr="00B763FC">
        <w:rPr>
          <w:b/>
        </w:rPr>
        <w:t>in SMSF</w:t>
      </w:r>
      <w:r w:rsidR="00F90779" w:rsidRPr="00B763FC">
        <w:rPr>
          <w:b/>
        </w:rPr>
        <w:t xml:space="preserve"> regulation</w:t>
      </w:r>
    </w:p>
    <w:p w14:paraId="293BE097" w14:textId="77777777" w:rsidR="00FD43BC" w:rsidRDefault="00FD43BC" w:rsidP="00FD43BC"/>
    <w:p w14:paraId="537102C6" w14:textId="471F5313" w:rsidR="00316F7B" w:rsidRDefault="00D7643F" w:rsidP="00FD43BC">
      <w:r>
        <w:t>For the sake of completeness</w:t>
      </w:r>
      <w:r w:rsidR="00FD43BC">
        <w:t xml:space="preserve"> it is worthwhile making a few obs</w:t>
      </w:r>
      <w:r w:rsidR="00316F7B">
        <w:t>ervations about the regulation o</w:t>
      </w:r>
      <w:r w:rsidR="00FD43BC">
        <w:t>f SMSFs by the ATO</w:t>
      </w:r>
      <w:r w:rsidR="00F90779">
        <w:t xml:space="preserve"> and SMSF auditors</w:t>
      </w:r>
      <w:r w:rsidR="00FD43BC">
        <w:t xml:space="preserve">. </w:t>
      </w:r>
    </w:p>
    <w:p w14:paraId="3AB18D2D" w14:textId="77777777" w:rsidR="00316F7B" w:rsidRDefault="00316F7B" w:rsidP="00FD43BC"/>
    <w:p w14:paraId="2B1616CC" w14:textId="1D157177" w:rsidR="00FD43BC" w:rsidRDefault="00FD43BC" w:rsidP="00FD43BC">
      <w:r>
        <w:t>The starting point is that, while the ATO is the tax collector, it has</w:t>
      </w:r>
      <w:r w:rsidR="00316F7B">
        <w:t>,</w:t>
      </w:r>
      <w:r>
        <w:t xml:space="preserve"> under section 6 (1) SIS Act</w:t>
      </w:r>
      <w:r w:rsidR="00316F7B">
        <w:t xml:space="preserve">, </w:t>
      </w:r>
      <w:r>
        <w:t xml:space="preserve">general administration of </w:t>
      </w:r>
      <w:r w:rsidR="00316F7B">
        <w:t>the regulation of SMSFs. T</w:t>
      </w:r>
      <w:r>
        <w:t xml:space="preserve">hat </w:t>
      </w:r>
      <w:r w:rsidR="00316F7B">
        <w:t xml:space="preserve">is </w:t>
      </w:r>
      <w:r>
        <w:t xml:space="preserve">the ATO is regulator of the conduct of SMSF trustees. </w:t>
      </w:r>
    </w:p>
    <w:p w14:paraId="097563BC" w14:textId="77777777" w:rsidR="00FD43BC" w:rsidRDefault="00FD43BC" w:rsidP="00FD43BC"/>
    <w:p w14:paraId="777FCBAE" w14:textId="5AE4051E" w:rsidR="00FD43BC" w:rsidRDefault="00FD43BC" w:rsidP="00FD43BC">
      <w:r>
        <w:t xml:space="preserve">This should be contrasted with the observation at page 282 </w:t>
      </w:r>
      <w:r w:rsidR="00701C71">
        <w:t xml:space="preserve">of the Draft Report </w:t>
      </w:r>
      <w:r w:rsidR="00D42B48">
        <w:t xml:space="preserve">that </w:t>
      </w:r>
      <w:r>
        <w:t>“Therefore, the ATO focuses on regulating SMSFs be ensuring members comply with tax law” and</w:t>
      </w:r>
      <w:r w:rsidR="00701C71">
        <w:t>,</w:t>
      </w:r>
      <w:r>
        <w:t xml:space="preserve"> then again at page 283</w:t>
      </w:r>
      <w:r w:rsidR="00701C71">
        <w:t xml:space="preserve">, </w:t>
      </w:r>
      <w:r w:rsidR="00D42B48">
        <w:t xml:space="preserve">that </w:t>
      </w:r>
      <w:r>
        <w:t xml:space="preserve">“As the regulator of SMSFs, the ATO has a strong focus on </w:t>
      </w:r>
      <w:r>
        <w:rPr>
          <w:b/>
        </w:rPr>
        <w:t>complianc</w:t>
      </w:r>
      <w:r w:rsidRPr="00733148">
        <w:rPr>
          <w:b/>
        </w:rPr>
        <w:t>e with tax law</w:t>
      </w:r>
      <w:r>
        <w:t xml:space="preserve">.” </w:t>
      </w:r>
    </w:p>
    <w:p w14:paraId="7CB5CEBD" w14:textId="77777777" w:rsidR="00FD43BC" w:rsidRDefault="00FD43BC" w:rsidP="00FD43BC"/>
    <w:p w14:paraId="65C924AA" w14:textId="03533DF3" w:rsidR="00FD43BC" w:rsidRDefault="00FD43BC" w:rsidP="00FD43BC">
      <w:r>
        <w:t>Indeed, the role is the ATO in regulating SMSF is much wider than just ensuring compliance with the tax law as</w:t>
      </w:r>
      <w:r w:rsidR="00316F7B">
        <w:t>,</w:t>
      </w:r>
      <w:r>
        <w:t xml:space="preserve"> pursuant to Section 6 (1) SIS </w:t>
      </w:r>
      <w:r w:rsidR="00F90779">
        <w:t>Act, it</w:t>
      </w:r>
      <w:r>
        <w:t xml:space="preserve"> regulates compliance </w:t>
      </w:r>
      <w:r w:rsidR="00701C71">
        <w:t>by SMSF with the SIS Act and R</w:t>
      </w:r>
      <w:r>
        <w:t xml:space="preserve">egulations. </w:t>
      </w:r>
    </w:p>
    <w:p w14:paraId="111672D2" w14:textId="77777777" w:rsidR="00316F7B" w:rsidRDefault="00316F7B" w:rsidP="00FD43BC"/>
    <w:p w14:paraId="253F8F79" w14:textId="2D77F506" w:rsidR="00316F7B" w:rsidRDefault="00316F7B" w:rsidP="00FD43BC">
      <w:r>
        <w:t>With</w:t>
      </w:r>
      <w:r w:rsidR="00F90779">
        <w:t xml:space="preserve"> respe</w:t>
      </w:r>
      <w:r>
        <w:t>ct to SMSF auditors</w:t>
      </w:r>
      <w:r w:rsidR="00F90779">
        <w:t>,</w:t>
      </w:r>
      <w:r>
        <w:t xml:space="preserve"> the Draft Report </w:t>
      </w:r>
      <w:r w:rsidR="00F90779">
        <w:t xml:space="preserve">at page 252 </w:t>
      </w:r>
      <w:r>
        <w:t xml:space="preserve">notes </w:t>
      </w:r>
      <w:r w:rsidR="00D42B48">
        <w:t xml:space="preserve">that </w:t>
      </w:r>
      <w:r>
        <w:t xml:space="preserve">“Auditors are required to report any contravention of superannuation or taxation rules </w:t>
      </w:r>
      <w:r w:rsidR="00F90779">
        <w:t>to the ATO and pla</w:t>
      </w:r>
      <w:r>
        <w:t>y a key role in managing legal compliance.’</w:t>
      </w:r>
    </w:p>
    <w:p w14:paraId="4EF7FF27" w14:textId="77777777" w:rsidR="00F90779" w:rsidRDefault="00F90779" w:rsidP="00FD43BC"/>
    <w:p w14:paraId="726F8162" w14:textId="6E156109" w:rsidR="00FD43BC" w:rsidRDefault="00316F7B" w:rsidP="00FD43BC">
      <w:r>
        <w:t>In fact</w:t>
      </w:r>
      <w:r w:rsidR="00F90779">
        <w:t xml:space="preserve"> t</w:t>
      </w:r>
      <w:r w:rsidR="00D42B48">
        <w:t xml:space="preserve">he </w:t>
      </w:r>
      <w:proofErr w:type="gramStart"/>
      <w:r w:rsidR="00D42B48">
        <w:t>auditors</w:t>
      </w:r>
      <w:proofErr w:type="gramEnd"/>
      <w:r>
        <w:t xml:space="preserve"> role is limited to legal compliance</w:t>
      </w:r>
      <w:r w:rsidR="00F90779">
        <w:t>,</w:t>
      </w:r>
      <w:r>
        <w:t xml:space="preserve"> as in compliance with the relevant sections</w:t>
      </w:r>
      <w:r w:rsidR="00F90779">
        <w:t xml:space="preserve"> </w:t>
      </w:r>
      <w:r>
        <w:t>of</w:t>
      </w:r>
      <w:r w:rsidR="00C250BF">
        <w:t xml:space="preserve"> the SIS Act and its R</w:t>
      </w:r>
      <w:r w:rsidR="00F90779">
        <w:t>eg</w:t>
      </w:r>
      <w:r>
        <w:t>ulations.</w:t>
      </w:r>
      <w:r w:rsidR="00F90779">
        <w:t xml:space="preserve"> </w:t>
      </w:r>
      <w:r w:rsidR="00FD43BC">
        <w:t>SMSF auditors are not obligated to report income tax related issues, but are restricted to regulatory issues.</w:t>
      </w:r>
      <w:r w:rsidR="00FD43BC">
        <w:rPr>
          <w:rStyle w:val="FootnoteReference"/>
        </w:rPr>
        <w:footnoteReference w:id="3"/>
      </w:r>
    </w:p>
    <w:p w14:paraId="1BD09A6C" w14:textId="77777777" w:rsidR="00FD43BC" w:rsidRDefault="00FD43BC" w:rsidP="00FD43BC"/>
    <w:p w14:paraId="2CC0E4E5" w14:textId="7E853F06" w:rsidR="00FD43BC" w:rsidRPr="00FD43BC" w:rsidRDefault="00FD43BC" w:rsidP="00FD43BC">
      <w:pPr>
        <w:rPr>
          <w:b/>
        </w:rPr>
      </w:pPr>
      <w:r>
        <w:t>C</w:t>
      </w:r>
      <w:r w:rsidRPr="00FD43BC">
        <w:rPr>
          <w:b/>
        </w:rPr>
        <w:t>onclusion</w:t>
      </w:r>
    </w:p>
    <w:p w14:paraId="670E4FBE" w14:textId="77777777" w:rsidR="00FD43BC" w:rsidRDefault="00FD43BC" w:rsidP="00346F98">
      <w:pPr>
        <w:rPr>
          <w:b/>
        </w:rPr>
      </w:pPr>
    </w:p>
    <w:p w14:paraId="0AAB7FD3" w14:textId="09D12322" w:rsidR="008B4B7A" w:rsidRDefault="008B4B7A" w:rsidP="00346F98">
      <w:r>
        <w:t>So</w:t>
      </w:r>
      <w:r w:rsidR="00F87A95">
        <w:t>,</w:t>
      </w:r>
      <w:r>
        <w:t xml:space="preserve"> overall</w:t>
      </w:r>
      <w:r w:rsidR="00F87A95">
        <w:t>,</w:t>
      </w:r>
      <w:r>
        <w:t xml:space="preserve"> these comments are intended to highlight:</w:t>
      </w:r>
    </w:p>
    <w:p w14:paraId="4DAFD9ED" w14:textId="77777777" w:rsidR="008B4B7A" w:rsidRDefault="008B4B7A" w:rsidP="00346F98"/>
    <w:p w14:paraId="0C8E0DEF" w14:textId="0071878F" w:rsidR="008B4B7A" w:rsidRDefault="008B4B7A" w:rsidP="008B4B7A">
      <w:pPr>
        <w:ind w:left="720"/>
      </w:pPr>
      <w:r>
        <w:t xml:space="preserve">1 </w:t>
      </w:r>
      <w:r w:rsidR="00F87A95">
        <w:t>T</w:t>
      </w:r>
      <w:r>
        <w:t>hat the regulation of SMSF recognises structural differences between SMSF and other types of superannuation funds</w:t>
      </w:r>
      <w:r w:rsidR="0024507F">
        <w:t>, which may impact on what analytics are appropriate for measuring efficiency of SMSFs</w:t>
      </w:r>
      <w:r>
        <w:t>,</w:t>
      </w:r>
    </w:p>
    <w:p w14:paraId="373D945D" w14:textId="77777777" w:rsidR="00F87A95" w:rsidRDefault="00F87A95" w:rsidP="008B4B7A">
      <w:pPr>
        <w:ind w:left="720"/>
      </w:pPr>
    </w:p>
    <w:p w14:paraId="13ACF3C9" w14:textId="5E87E9F6" w:rsidR="008B4B7A" w:rsidRDefault="008B4B7A" w:rsidP="008B4B7A">
      <w:pPr>
        <w:ind w:left="720"/>
      </w:pPr>
      <w:r>
        <w:t xml:space="preserve">2.  </w:t>
      </w:r>
      <w:r w:rsidR="00F87A95">
        <w:t>The</w:t>
      </w:r>
      <w:r>
        <w:t xml:space="preserve"> design of the SMSF system actively </w:t>
      </w:r>
      <w:r w:rsidR="00F87A95">
        <w:t>incentivises</w:t>
      </w:r>
      <w:r>
        <w:t xml:space="preserve"> SMSF members to integrate business assets with their SMSF,</w:t>
      </w:r>
    </w:p>
    <w:p w14:paraId="2CB4461F" w14:textId="77777777" w:rsidR="00F87A95" w:rsidRDefault="00F87A95" w:rsidP="008B4B7A">
      <w:pPr>
        <w:ind w:left="720"/>
      </w:pPr>
    </w:p>
    <w:p w14:paraId="1877C41C" w14:textId="63A75689" w:rsidR="008B4B7A" w:rsidRDefault="008B4B7A" w:rsidP="008B4B7A">
      <w:pPr>
        <w:ind w:left="720"/>
      </w:pPr>
      <w:r>
        <w:lastRenderedPageBreak/>
        <w:t xml:space="preserve">3. </w:t>
      </w:r>
      <w:r w:rsidR="00F87A95">
        <w:t>Licensing</w:t>
      </w:r>
      <w:r>
        <w:t xml:space="preserve"> conditions seem to impact on selection and management of service providers to SMSFs</w:t>
      </w:r>
      <w:r w:rsidR="00F87A95">
        <w:t>,</w:t>
      </w:r>
    </w:p>
    <w:p w14:paraId="743CB317" w14:textId="77777777" w:rsidR="00F87A95" w:rsidRDefault="00F87A95" w:rsidP="008B4B7A">
      <w:pPr>
        <w:ind w:left="720"/>
      </w:pPr>
    </w:p>
    <w:p w14:paraId="76DC8B39" w14:textId="7D0A3B19" w:rsidR="00F87A95" w:rsidRDefault="008B4B7A" w:rsidP="008B4B7A">
      <w:pPr>
        <w:ind w:left="720"/>
      </w:pPr>
      <w:r>
        <w:t xml:space="preserve">4. </w:t>
      </w:r>
      <w:r w:rsidR="00F87A95">
        <w:t>Taxation</w:t>
      </w:r>
      <w:r>
        <w:t xml:space="preserve"> consideration </w:t>
      </w:r>
      <w:r w:rsidR="00F87A95">
        <w:t>such as:</w:t>
      </w:r>
    </w:p>
    <w:p w14:paraId="2CB02863" w14:textId="77777777" w:rsidR="00F87A95" w:rsidRDefault="00F87A95" w:rsidP="008B4B7A">
      <w:pPr>
        <w:ind w:left="720"/>
      </w:pPr>
    </w:p>
    <w:p w14:paraId="3C912C6D" w14:textId="582F3EAE" w:rsidR="00F87A95" w:rsidRDefault="008B4B7A" w:rsidP="00F87A95">
      <w:pPr>
        <w:pStyle w:val="ListParagraph"/>
        <w:numPr>
          <w:ilvl w:val="2"/>
          <w:numId w:val="1"/>
        </w:numPr>
      </w:pPr>
      <w:r>
        <w:t xml:space="preserve">limited use of tax planning in non-SMSFs, </w:t>
      </w:r>
    </w:p>
    <w:p w14:paraId="4E446BB1" w14:textId="2AD9A6CF" w:rsidR="00F87A95" w:rsidRDefault="00F87A95" w:rsidP="00F87A95">
      <w:pPr>
        <w:pStyle w:val="ListParagraph"/>
        <w:numPr>
          <w:ilvl w:val="2"/>
          <w:numId w:val="1"/>
        </w:numPr>
      </w:pPr>
      <w:r>
        <w:t>in</w:t>
      </w:r>
      <w:r w:rsidR="008B4B7A">
        <w:t xml:space="preserve">appropriate tax </w:t>
      </w:r>
      <w:r>
        <w:t>in non-</w:t>
      </w:r>
      <w:r w:rsidR="008B4B7A">
        <w:t>SMSFs when movi</w:t>
      </w:r>
      <w:r>
        <w:t>n</w:t>
      </w:r>
      <w:r w:rsidR="008B4B7A">
        <w:t xml:space="preserve">g from </w:t>
      </w:r>
      <w:r>
        <w:t>accumulation</w:t>
      </w:r>
      <w:r w:rsidR="008B4B7A">
        <w:t xml:space="preserve"> to pension mode, </w:t>
      </w:r>
    </w:p>
    <w:p w14:paraId="500D6A8A" w14:textId="726F1631" w:rsidR="00F87A95" w:rsidRDefault="00F87A95" w:rsidP="00F87A95">
      <w:pPr>
        <w:pStyle w:val="ListParagraph"/>
        <w:numPr>
          <w:ilvl w:val="2"/>
          <w:numId w:val="1"/>
        </w:numPr>
      </w:pPr>
      <w:r>
        <w:t xml:space="preserve">an </w:t>
      </w:r>
      <w:r w:rsidR="008B4B7A">
        <w:t xml:space="preserve">assumption </w:t>
      </w:r>
      <w:r>
        <w:t>that</w:t>
      </w:r>
      <w:r w:rsidR="008B4B7A">
        <w:t xml:space="preserve"> business owners, who are more often SMSF members in the taxation of superannuation</w:t>
      </w:r>
      <w:r>
        <w:t>, will fund their retirement from disposal of their business assets,</w:t>
      </w:r>
      <w:r w:rsidR="008B4B7A">
        <w:t xml:space="preserve"> and </w:t>
      </w:r>
    </w:p>
    <w:p w14:paraId="10593FA6" w14:textId="39709EB8" w:rsidR="00F87A95" w:rsidRDefault="008B4B7A" w:rsidP="00F87A95">
      <w:pPr>
        <w:pStyle w:val="ListParagraph"/>
        <w:numPr>
          <w:ilvl w:val="2"/>
          <w:numId w:val="1"/>
        </w:numPr>
      </w:pPr>
      <w:r>
        <w:t>that if there are significant difference in the way that tax is managed in SMSFs</w:t>
      </w:r>
      <w:r w:rsidR="00F87A95">
        <w:t>,</w:t>
      </w:r>
      <w:r>
        <w:t xml:space="preserve"> compared with other types of fund</w:t>
      </w:r>
      <w:r w:rsidR="00F87A95">
        <w:t>s,</w:t>
      </w:r>
      <w:r>
        <w:t xml:space="preserve"> then more likely than not, given that both types of funds use the same rules, that is a result of efficiency</w:t>
      </w:r>
      <w:r w:rsidR="00F87A95">
        <w:t>.</w:t>
      </w:r>
    </w:p>
    <w:p w14:paraId="3179193F" w14:textId="7EFA0C1E" w:rsidR="008B4B7A" w:rsidRDefault="008B4B7A" w:rsidP="00F87A95"/>
    <w:p w14:paraId="78474304" w14:textId="7202C815" w:rsidR="008B4B7A" w:rsidRDefault="00F87A95" w:rsidP="00F87A95">
      <w:pPr>
        <w:ind w:firstLine="720"/>
      </w:pPr>
      <w:r>
        <w:t>5.</w:t>
      </w:r>
      <w:r w:rsidR="008B4B7A">
        <w:t xml:space="preserve"> </w:t>
      </w:r>
      <w:r>
        <w:t>Finally,</w:t>
      </w:r>
      <w:r w:rsidR="008B4B7A">
        <w:t xml:space="preserve"> some comments about the role of the ATO in regulating SMSFs.</w:t>
      </w:r>
    </w:p>
    <w:p w14:paraId="46D10179" w14:textId="77777777" w:rsidR="00F87A95" w:rsidRDefault="00F87A95" w:rsidP="008B4B7A">
      <w:pPr>
        <w:ind w:left="720"/>
      </w:pPr>
    </w:p>
    <w:p w14:paraId="5A1D8700" w14:textId="60E2EB69" w:rsidR="00701C71" w:rsidRDefault="00701C71" w:rsidP="00346F98">
      <w:r w:rsidRPr="00701C71">
        <w:t xml:space="preserve">In conclusion, </w:t>
      </w:r>
      <w:r>
        <w:t xml:space="preserve">it seems to me that the </w:t>
      </w:r>
      <w:r w:rsidR="00131AAC">
        <w:t>differences of</w:t>
      </w:r>
      <w:r w:rsidR="008E5A8A">
        <w:t xml:space="preserve"> SMSFs</w:t>
      </w:r>
      <w:r w:rsidR="00131AAC">
        <w:t>,</w:t>
      </w:r>
      <w:r w:rsidR="008E5A8A">
        <w:t xml:space="preserve"> when compared with other types of superannuation funds</w:t>
      </w:r>
      <w:r w:rsidR="00131AAC">
        <w:t>,</w:t>
      </w:r>
      <w:r w:rsidR="008E5A8A">
        <w:t xml:space="preserve"> suggest</w:t>
      </w:r>
      <w:r>
        <w:t xml:space="preserve"> that </w:t>
      </w:r>
      <w:r w:rsidR="008E5A8A">
        <w:t>a head-to-head application of the analytics under discussion may be contraindicated.</w:t>
      </w:r>
    </w:p>
    <w:p w14:paraId="1D620A3A" w14:textId="77777777" w:rsidR="008E5A8A" w:rsidRDefault="008E5A8A" w:rsidP="00346F98"/>
    <w:p w14:paraId="7A149372" w14:textId="2326AA5A" w:rsidR="008E5A8A" w:rsidRPr="00701C71" w:rsidRDefault="008E5A8A" w:rsidP="00346F98">
      <w:r>
        <w:t>I trust that these observations are of value.</w:t>
      </w:r>
    </w:p>
    <w:p w14:paraId="4BC2831D" w14:textId="77777777" w:rsidR="00733148" w:rsidRDefault="00733148" w:rsidP="00346F98">
      <w:pPr>
        <w:rPr>
          <w:b/>
        </w:rPr>
      </w:pPr>
    </w:p>
    <w:p w14:paraId="002CD7C4" w14:textId="77777777" w:rsidR="00346F98" w:rsidRDefault="00346F98" w:rsidP="00346F98">
      <w:r>
        <w:t>Yours sincerely,</w:t>
      </w:r>
    </w:p>
    <w:p w14:paraId="1711AE72" w14:textId="77777777" w:rsidR="006B25DD" w:rsidRDefault="006B25DD" w:rsidP="00346F98"/>
    <w:p w14:paraId="1C5DF6CD" w14:textId="77777777" w:rsidR="006B25DD" w:rsidRDefault="006B25DD" w:rsidP="00346F98"/>
    <w:p w14:paraId="5BD1D077" w14:textId="6BAB1814" w:rsidR="006B25DD" w:rsidRDefault="006B25DD" w:rsidP="00346F98">
      <w:r w:rsidRPr="006B25DD">
        <w:rPr>
          <w:noProof/>
          <w:lang w:eastAsia="en-AU"/>
        </w:rPr>
        <w:drawing>
          <wp:inline distT="0" distB="0" distL="0" distR="0" wp14:anchorId="1DC79826" wp14:editId="2E944C0C">
            <wp:extent cx="886102" cy="623239"/>
            <wp:effectExtent l="0" t="0" r="317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02270" cy="634611"/>
                    </a:xfrm>
                    <a:prstGeom prst="rect">
                      <a:avLst/>
                    </a:prstGeom>
                  </pic:spPr>
                </pic:pic>
              </a:graphicData>
            </a:graphic>
          </wp:inline>
        </w:drawing>
      </w:r>
    </w:p>
    <w:p w14:paraId="535E20B7" w14:textId="77777777" w:rsidR="00346F98" w:rsidRDefault="00346F98" w:rsidP="00346F98"/>
    <w:p w14:paraId="20B3C417" w14:textId="77777777" w:rsidR="00346F98" w:rsidRDefault="00346F98" w:rsidP="00346F98">
      <w:r>
        <w:t>Gordon D Mackenzie</w:t>
      </w:r>
    </w:p>
    <w:p w14:paraId="2B767BED" w14:textId="77777777" w:rsidR="00346F98" w:rsidRDefault="00346F98" w:rsidP="00346F98"/>
    <w:p w14:paraId="7B7CF734" w14:textId="77777777" w:rsidR="00346F98" w:rsidRDefault="00346F98" w:rsidP="00346F98">
      <w:r>
        <w:t xml:space="preserve"> </w:t>
      </w:r>
    </w:p>
    <w:p w14:paraId="04248A5E" w14:textId="77777777" w:rsidR="00346F98" w:rsidRDefault="00346F98" w:rsidP="00346F98"/>
    <w:p w14:paraId="08DCF106" w14:textId="77777777" w:rsidR="00346F98" w:rsidRDefault="00346F98" w:rsidP="00346F98"/>
    <w:p w14:paraId="1F17217D" w14:textId="77777777" w:rsidR="00346F98" w:rsidRDefault="00346F98"/>
    <w:p w14:paraId="7C6040F3" w14:textId="77777777" w:rsidR="007B04FA" w:rsidRDefault="007B04FA"/>
    <w:p w14:paraId="13A8A65D" w14:textId="77777777" w:rsidR="007B04FA" w:rsidRDefault="007B04FA"/>
    <w:p w14:paraId="4802E978" w14:textId="77777777" w:rsidR="007B04FA" w:rsidRDefault="007B04FA"/>
    <w:p w14:paraId="32C37676" w14:textId="77777777" w:rsidR="007B04FA" w:rsidRDefault="007B04FA"/>
    <w:p w14:paraId="0FA46CDB" w14:textId="77777777" w:rsidR="007B04FA" w:rsidRDefault="007B04FA"/>
    <w:p w14:paraId="31F0B4D2" w14:textId="77777777" w:rsidR="007B04FA" w:rsidRDefault="007B04FA"/>
    <w:p w14:paraId="7A55BD05" w14:textId="77777777" w:rsidR="007B04FA" w:rsidRDefault="007B04FA"/>
    <w:p w14:paraId="464155C3" w14:textId="77777777" w:rsidR="007B04FA" w:rsidRDefault="007B04FA"/>
    <w:p w14:paraId="5383F7B9" w14:textId="77777777" w:rsidR="007B04FA" w:rsidRDefault="007B04FA"/>
    <w:p w14:paraId="08C364E7" w14:textId="77777777" w:rsidR="007B04FA" w:rsidRDefault="007B04FA"/>
    <w:p w14:paraId="4B02AC96" w14:textId="77777777" w:rsidR="007B04FA" w:rsidRDefault="007B04FA"/>
    <w:p w14:paraId="40A3D8F3" w14:textId="77777777" w:rsidR="007B04FA" w:rsidRDefault="007B04FA"/>
    <w:p w14:paraId="36B84DF0" w14:textId="77777777" w:rsidR="007B04FA" w:rsidRDefault="007B04FA" w:rsidP="007B04FA">
      <w:pPr>
        <w:pStyle w:val="0sh"/>
      </w:pPr>
      <w:r>
        <w:lastRenderedPageBreak/>
        <w:t>APPENDIX A</w:t>
      </w:r>
    </w:p>
    <w:p w14:paraId="5792C262" w14:textId="77777777" w:rsidR="007B04FA" w:rsidRPr="00EC7F8F" w:rsidRDefault="007B04FA" w:rsidP="007B04FA">
      <w:pPr>
        <w:pStyle w:val="0sh"/>
        <w:pageBreakBefore w:val="0"/>
        <w:rPr>
          <w:color w:val="auto"/>
          <w:sz w:val="22"/>
          <w:szCs w:val="22"/>
        </w:rPr>
      </w:pPr>
      <w:r w:rsidRPr="00EC7F8F">
        <w:rPr>
          <w:color w:val="auto"/>
          <w:sz w:val="22"/>
          <w:szCs w:val="22"/>
        </w:rPr>
        <w:t>These questions are part of the assessment of SMSF Specialisation Alumni seeking accreditation in terms of RG 146 for limited licensing purposes.</w:t>
      </w:r>
    </w:p>
    <w:p w14:paraId="34380D68" w14:textId="77777777" w:rsidR="007B04FA" w:rsidRDefault="007B04FA" w:rsidP="007B04FA">
      <w:r>
        <w:t>The Jemma and Jason mentioned in the question are the subjects of the Case Study at the basis of the assessment.</w:t>
      </w:r>
    </w:p>
    <w:p w14:paraId="65672685" w14:textId="77777777" w:rsidR="007B04FA" w:rsidRPr="00EC7F8F" w:rsidRDefault="007B04FA" w:rsidP="007B04FA"/>
    <w:p w14:paraId="413DB10E" w14:textId="77777777" w:rsidR="007B04FA" w:rsidRDefault="007B04FA" w:rsidP="007B04FA">
      <w:pPr>
        <w:pStyle w:val="0sh"/>
        <w:pageBreakBefore w:val="0"/>
      </w:pPr>
      <w:r>
        <w:t>UNSW SMSF Specialisation Workshop</w:t>
      </w:r>
    </w:p>
    <w:p w14:paraId="76BE3FC6" w14:textId="77777777" w:rsidR="007B04FA" w:rsidRDefault="007B04FA" w:rsidP="007B04FA">
      <w:pPr>
        <w:pStyle w:val="0sh"/>
        <w:pageBreakBefore w:val="0"/>
      </w:pPr>
      <w:r>
        <w:t>Skills Module</w:t>
      </w:r>
    </w:p>
    <w:p w14:paraId="7BA17906" w14:textId="77777777" w:rsidR="007B04FA" w:rsidRDefault="007B04FA" w:rsidP="007B04FA">
      <w:pPr>
        <w:pStyle w:val="0sh"/>
        <w:pageBreakBefore w:val="0"/>
      </w:pPr>
      <w:r>
        <w:t xml:space="preserve">Section 2 Part </w:t>
      </w:r>
      <w:proofErr w:type="gramStart"/>
      <w:r>
        <w:t>B</w:t>
      </w:r>
      <w:proofErr w:type="gramEnd"/>
      <w:r>
        <w:br/>
      </w:r>
      <w:r w:rsidRPr="00D96F8F">
        <w:rPr>
          <w:sz w:val="24"/>
        </w:rPr>
        <w:t>(There are 4 parts to this section</w:t>
      </w:r>
      <w:r>
        <w:rPr>
          <w:sz w:val="24"/>
        </w:rPr>
        <w:t>. Type your answers into the boxes provided.</w:t>
      </w:r>
      <w:r w:rsidRPr="00D96F8F">
        <w:rPr>
          <w:sz w:val="24"/>
        </w:rPr>
        <w:t>)</w:t>
      </w:r>
      <w:r>
        <w:rPr>
          <w:sz w:val="24"/>
        </w:rPr>
        <w:br/>
      </w:r>
    </w:p>
    <w:p w14:paraId="7CACE32C" w14:textId="77777777" w:rsidR="007B04FA" w:rsidRPr="00AC4152" w:rsidRDefault="007B04FA" w:rsidP="007B04FA">
      <w:pPr>
        <w:pStyle w:val="ind4"/>
      </w:pPr>
      <w:r>
        <w:t>(a)</w:t>
      </w:r>
      <w:r>
        <w:tab/>
      </w:r>
      <w:r>
        <w:tab/>
        <w:t>(</w:t>
      </w:r>
      <w:proofErr w:type="spellStart"/>
      <w:proofErr w:type="gramStart"/>
      <w:r>
        <w:t>i</w:t>
      </w:r>
      <w:proofErr w:type="spellEnd"/>
      <w:proofErr w:type="gramEnd"/>
      <w:r>
        <w:t>)</w:t>
      </w:r>
      <w:r>
        <w:tab/>
      </w:r>
      <w:r>
        <w:tab/>
      </w:r>
      <w:r w:rsidRPr="00AC4152">
        <w:t>Describe four (4) key obligations that would be imposed on Jason and Jemma in running an SMSF. Ensure your response includes legal issues, investment considerations an</w:t>
      </w:r>
      <w:r>
        <w:t>d specific fund documentation.</w:t>
      </w:r>
    </w:p>
    <w:p w14:paraId="0F9402E7" w14:textId="77777777" w:rsidR="007B04FA" w:rsidRPr="0079548F" w:rsidRDefault="007B04FA" w:rsidP="007B04FA">
      <w:pPr>
        <w:pStyle w:val="ind4"/>
      </w:pPr>
      <w:r>
        <w:tab/>
      </w:r>
      <w:r>
        <w:tab/>
        <w:t>(ii)</w:t>
      </w:r>
      <w:r>
        <w:tab/>
      </w:r>
      <w:r>
        <w:tab/>
      </w:r>
      <w:r w:rsidRPr="0079548F">
        <w:t>Explain which service providers they must use and what role these providers play in relation to SMSFs.</w:t>
      </w:r>
    </w:p>
    <w:p w14:paraId="3C400B65" w14:textId="77777777" w:rsidR="007B04FA" w:rsidRPr="00AC4152" w:rsidRDefault="007B04FA" w:rsidP="007B04FA">
      <w:pPr>
        <w:pStyle w:val="ind4"/>
      </w:pPr>
      <w:r>
        <w:tab/>
      </w:r>
      <w:r>
        <w:tab/>
        <w:t>(iii)</w:t>
      </w:r>
      <w:r>
        <w:tab/>
      </w:r>
      <w:r w:rsidRPr="0079548F">
        <w:t>Advise what other service providers Jason and Jemma could use — if they wanted to — and the services they provide.</w:t>
      </w:r>
    </w:p>
    <w:p w14:paraId="0001F35E" w14:textId="77777777" w:rsidR="007B04FA" w:rsidRPr="00AC4152" w:rsidRDefault="007B04FA" w:rsidP="007B04FA">
      <w:pPr>
        <w:spacing w:after="120"/>
        <w:ind w:left="360"/>
      </w:pPr>
      <w:r>
        <w:t>(250 words)</w:t>
      </w:r>
    </w:p>
    <w:tbl>
      <w:tblPr>
        <w:tblStyle w:val="TableGrid"/>
        <w:tblW w:w="9752"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7B04FA" w14:paraId="2C935C93" w14:textId="77777777" w:rsidTr="009B5240">
        <w:trPr>
          <w:trHeight w:val="1701"/>
        </w:trPr>
        <w:tc>
          <w:tcPr>
            <w:tcW w:w="9752" w:type="dxa"/>
            <w:shd w:val="clear" w:color="auto" w:fill="auto"/>
          </w:tcPr>
          <w:p w14:paraId="65E2102C" w14:textId="77777777" w:rsidR="007B04FA" w:rsidRPr="00D96F8F" w:rsidRDefault="007B04FA" w:rsidP="009B5240">
            <w:pPr>
              <w:pStyle w:val="Answerhere"/>
            </w:pPr>
            <w:r w:rsidRPr="00D96F8F">
              <w:t xml:space="preserve">Type </w:t>
            </w:r>
            <w:r w:rsidRPr="00166826">
              <w:t>your</w:t>
            </w:r>
            <w:r w:rsidRPr="00D96F8F">
              <w:t xml:space="preserve"> answer here:</w:t>
            </w:r>
          </w:p>
        </w:tc>
      </w:tr>
    </w:tbl>
    <w:p w14:paraId="2C534D05" w14:textId="77777777" w:rsidR="007B04FA" w:rsidRPr="00A928D2" w:rsidRDefault="007B04FA" w:rsidP="007B04FA">
      <w:pPr>
        <w:keepNext/>
        <w:spacing w:before="360"/>
        <w:rPr>
          <w:rFonts w:cs="Arial"/>
          <w:b/>
          <w:bCs/>
          <w:i/>
          <w:color w:val="00539F"/>
          <w:spacing w:val="10"/>
          <w:szCs w:val="18"/>
          <w:lang w:val="en-US"/>
        </w:rPr>
      </w:pPr>
      <w:r w:rsidRPr="00A928D2">
        <w:rPr>
          <w:rFonts w:cs="Arial"/>
          <w:b/>
          <w:bCs/>
          <w:i/>
          <w:color w:val="00539F"/>
          <w:spacing w:val="10"/>
          <w:szCs w:val="18"/>
          <w:lang w:val="en-US"/>
        </w:rPr>
        <w:t>Assessor feedback:</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7B04FA" w:rsidRPr="00A928D2" w14:paraId="2FB1BAE2" w14:textId="77777777" w:rsidTr="009B5240">
        <w:trPr>
          <w:trHeight w:val="397"/>
        </w:trPr>
        <w:tc>
          <w:tcPr>
            <w:tcW w:w="9752" w:type="dxa"/>
          </w:tcPr>
          <w:p w14:paraId="12BE7596" w14:textId="77777777" w:rsidR="007B04FA" w:rsidRPr="00A928D2" w:rsidRDefault="007B04FA" w:rsidP="009B5240">
            <w:pPr>
              <w:spacing w:before="60"/>
              <w:rPr>
                <w:rFonts w:cs="Arial"/>
                <w:color w:val="FF0000"/>
                <w:szCs w:val="19"/>
              </w:rPr>
            </w:pPr>
          </w:p>
        </w:tc>
      </w:tr>
    </w:tbl>
    <w:p w14:paraId="505B3D34" w14:textId="77777777" w:rsidR="007B04FA" w:rsidRDefault="007B04FA" w:rsidP="007B04FA">
      <w:pPr>
        <w:pStyle w:val="ind4"/>
        <w:rPr>
          <w:rFonts w:eastAsiaTheme="minorHAnsi"/>
        </w:rPr>
      </w:pPr>
    </w:p>
    <w:p w14:paraId="5747CA35" w14:textId="77777777" w:rsidR="007B04FA" w:rsidRDefault="007B04FA" w:rsidP="007B04FA">
      <w:pPr>
        <w:spacing w:after="200" w:line="276" w:lineRule="auto"/>
        <w:rPr>
          <w:rFonts w:eastAsiaTheme="minorHAnsi" w:cs="Arial"/>
          <w:lang w:val="en-US"/>
        </w:rPr>
      </w:pPr>
    </w:p>
    <w:p w14:paraId="782536AE" w14:textId="77777777" w:rsidR="007B04FA" w:rsidRDefault="007B04FA" w:rsidP="007B04FA">
      <w:pPr>
        <w:spacing w:after="200" w:line="276" w:lineRule="auto"/>
        <w:rPr>
          <w:rFonts w:eastAsiaTheme="minorHAnsi" w:cs="Arial"/>
          <w:lang w:val="en-US"/>
        </w:rPr>
      </w:pPr>
      <w:r>
        <w:rPr>
          <w:rFonts w:eastAsiaTheme="minorHAnsi"/>
        </w:rPr>
        <w:br w:type="page"/>
      </w:r>
    </w:p>
    <w:p w14:paraId="46AFB2D6" w14:textId="77777777" w:rsidR="007B04FA" w:rsidRPr="007568B5" w:rsidRDefault="007B04FA" w:rsidP="007B04FA">
      <w:pPr>
        <w:pStyle w:val="ind4"/>
        <w:ind w:left="0" w:firstLine="0"/>
        <w:rPr>
          <w:rFonts w:eastAsiaTheme="minorHAnsi"/>
        </w:rPr>
      </w:pPr>
      <w:r>
        <w:rPr>
          <w:rFonts w:eastAsiaTheme="minorHAnsi"/>
        </w:rPr>
        <w:lastRenderedPageBreak/>
        <w:t>(b)</w:t>
      </w:r>
      <w:r>
        <w:rPr>
          <w:rFonts w:eastAsiaTheme="minorHAnsi"/>
        </w:rPr>
        <w:tab/>
      </w:r>
      <w:r>
        <w:rPr>
          <w:rFonts w:eastAsiaTheme="minorHAnsi"/>
        </w:rPr>
        <w:tab/>
        <w:t>(</w:t>
      </w:r>
      <w:proofErr w:type="spellStart"/>
      <w:proofErr w:type="gramStart"/>
      <w:r>
        <w:rPr>
          <w:rFonts w:eastAsiaTheme="minorHAnsi"/>
        </w:rPr>
        <w:t>i</w:t>
      </w:r>
      <w:proofErr w:type="spellEnd"/>
      <w:proofErr w:type="gramEnd"/>
      <w:r>
        <w:rPr>
          <w:rFonts w:eastAsiaTheme="minorHAnsi"/>
        </w:rPr>
        <w:t>)</w:t>
      </w:r>
      <w:r>
        <w:rPr>
          <w:rFonts w:eastAsiaTheme="minorHAnsi"/>
        </w:rPr>
        <w:tab/>
      </w:r>
      <w:r>
        <w:rPr>
          <w:rFonts w:eastAsiaTheme="minorHAnsi"/>
        </w:rPr>
        <w:tab/>
      </w:r>
      <w:r w:rsidRPr="007568B5">
        <w:rPr>
          <w:rFonts w:eastAsiaTheme="minorHAnsi"/>
        </w:rPr>
        <w:t>Explain how Jason and Jemma can identify potential service providers.</w:t>
      </w:r>
    </w:p>
    <w:p w14:paraId="5D6C9EB9" w14:textId="77777777" w:rsidR="007B04FA" w:rsidRPr="007568B5" w:rsidRDefault="007B04FA" w:rsidP="007B04FA">
      <w:pPr>
        <w:pStyle w:val="ind4"/>
        <w:rPr>
          <w:rFonts w:eastAsiaTheme="minorHAnsi"/>
        </w:rPr>
      </w:pPr>
      <w:r>
        <w:rPr>
          <w:rFonts w:eastAsiaTheme="minorHAnsi"/>
        </w:rPr>
        <w:tab/>
      </w:r>
      <w:r>
        <w:rPr>
          <w:rFonts w:eastAsiaTheme="minorHAnsi"/>
        </w:rPr>
        <w:tab/>
        <w:t>(ii)</w:t>
      </w:r>
      <w:r>
        <w:rPr>
          <w:rFonts w:eastAsiaTheme="minorHAnsi"/>
        </w:rPr>
        <w:tab/>
      </w:r>
      <w:r>
        <w:rPr>
          <w:rFonts w:eastAsiaTheme="minorHAnsi"/>
        </w:rPr>
        <w:tab/>
      </w:r>
      <w:r w:rsidRPr="007568B5">
        <w:rPr>
          <w:rFonts w:eastAsiaTheme="minorHAnsi"/>
        </w:rPr>
        <w:t>What process should they use to determine whether to appoint a particular service professional?</w:t>
      </w:r>
    </w:p>
    <w:p w14:paraId="2B11F706" w14:textId="77777777" w:rsidR="007B04FA" w:rsidRPr="007568B5" w:rsidRDefault="007B04FA" w:rsidP="007B04FA">
      <w:pPr>
        <w:pStyle w:val="ind4"/>
        <w:rPr>
          <w:rFonts w:eastAsiaTheme="minorHAnsi"/>
        </w:rPr>
      </w:pPr>
      <w:r>
        <w:rPr>
          <w:rFonts w:eastAsiaTheme="minorHAnsi"/>
        </w:rPr>
        <w:tab/>
      </w:r>
      <w:r>
        <w:rPr>
          <w:rFonts w:eastAsiaTheme="minorHAnsi"/>
        </w:rPr>
        <w:tab/>
        <w:t>(iii)</w:t>
      </w:r>
      <w:r>
        <w:rPr>
          <w:rFonts w:eastAsiaTheme="minorHAnsi"/>
        </w:rPr>
        <w:tab/>
      </w:r>
      <w:r w:rsidRPr="007568B5">
        <w:rPr>
          <w:rFonts w:eastAsiaTheme="minorHAnsi"/>
        </w:rPr>
        <w:t>Describe five (5) criteria you would use to judge the suitability of an administrator to provide accounting, tax, annual return and compliance services.</w:t>
      </w:r>
    </w:p>
    <w:p w14:paraId="6B3E7685" w14:textId="77777777" w:rsidR="007B04FA" w:rsidRPr="007568B5" w:rsidRDefault="007B04FA" w:rsidP="007B04FA">
      <w:pPr>
        <w:spacing w:after="120"/>
      </w:pPr>
      <w:r w:rsidRPr="007568B5">
        <w:t>(150 words)</w:t>
      </w:r>
    </w:p>
    <w:tbl>
      <w:tblPr>
        <w:tblStyle w:val="TableGrid"/>
        <w:tblW w:w="9866"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866"/>
      </w:tblGrid>
      <w:tr w:rsidR="007B04FA" w:rsidRPr="001E3764" w14:paraId="33F0035C" w14:textId="77777777" w:rsidTr="009B5240">
        <w:trPr>
          <w:trHeight w:val="1701"/>
        </w:trPr>
        <w:tc>
          <w:tcPr>
            <w:tcW w:w="9866" w:type="dxa"/>
            <w:shd w:val="clear" w:color="auto" w:fill="auto"/>
          </w:tcPr>
          <w:p w14:paraId="5655C83F" w14:textId="77777777" w:rsidR="007B04FA" w:rsidRPr="00E15377" w:rsidRDefault="007B04FA" w:rsidP="009B5240">
            <w:pPr>
              <w:pStyle w:val="Answerhere"/>
            </w:pPr>
            <w:r w:rsidRPr="00D96F8F">
              <w:t>Type your answer here:</w:t>
            </w:r>
          </w:p>
        </w:tc>
      </w:tr>
    </w:tbl>
    <w:p w14:paraId="19BDBE89" w14:textId="77777777" w:rsidR="007B04FA" w:rsidRPr="0072575A" w:rsidRDefault="007B04FA" w:rsidP="007B04FA">
      <w:pPr>
        <w:pStyle w:val="ssssh"/>
      </w:pPr>
      <w:r w:rsidRPr="0072575A">
        <w:t>Assessor feedback:</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7B04FA" w:rsidRPr="006C7D3E" w14:paraId="72F9D63F" w14:textId="77777777" w:rsidTr="009B5240">
        <w:trPr>
          <w:trHeight w:val="397"/>
        </w:trPr>
        <w:tc>
          <w:tcPr>
            <w:tcW w:w="9752" w:type="dxa"/>
          </w:tcPr>
          <w:p w14:paraId="1F4346A4" w14:textId="77777777" w:rsidR="007B04FA" w:rsidRPr="006C7D3E" w:rsidRDefault="007B04FA" w:rsidP="009B5240">
            <w:pPr>
              <w:spacing w:before="60"/>
              <w:rPr>
                <w:rFonts w:cs="Arial"/>
                <w:color w:val="FF0000"/>
                <w:szCs w:val="19"/>
                <w:highlight w:val="yellow"/>
              </w:rPr>
            </w:pPr>
          </w:p>
        </w:tc>
      </w:tr>
    </w:tbl>
    <w:p w14:paraId="759D1277" w14:textId="77777777" w:rsidR="007B04FA" w:rsidRPr="0072575A" w:rsidRDefault="007B04FA" w:rsidP="007B04FA">
      <w:pPr>
        <w:pStyle w:val="ind2"/>
        <w:ind w:left="0" w:firstLine="0"/>
        <w:rPr>
          <w:rFonts w:eastAsiaTheme="minorHAnsi"/>
        </w:rPr>
      </w:pPr>
      <w:r>
        <w:rPr>
          <w:rFonts w:eastAsiaTheme="minorHAnsi"/>
        </w:rPr>
        <w:br/>
        <w:t>(c)</w:t>
      </w:r>
      <w:r>
        <w:rPr>
          <w:rFonts w:eastAsiaTheme="minorHAnsi"/>
        </w:rPr>
        <w:tab/>
      </w:r>
      <w:r>
        <w:rPr>
          <w:rFonts w:eastAsiaTheme="minorHAnsi"/>
        </w:rPr>
        <w:tab/>
      </w:r>
      <w:r w:rsidRPr="0072575A">
        <w:rPr>
          <w:rFonts w:eastAsiaTheme="minorHAnsi"/>
        </w:rPr>
        <w:t>Jason and Jemma are keen for your help with monitoring appointed service providers.</w:t>
      </w:r>
    </w:p>
    <w:p w14:paraId="25DA4882" w14:textId="77777777" w:rsidR="007B04FA" w:rsidRPr="00B60D03" w:rsidRDefault="007B04FA" w:rsidP="007B04FA">
      <w:pPr>
        <w:pStyle w:val="ind2"/>
        <w:rPr>
          <w:rFonts w:eastAsiaTheme="minorHAnsi"/>
        </w:rPr>
      </w:pPr>
      <w:r>
        <w:rPr>
          <w:rFonts w:eastAsiaTheme="minorHAnsi"/>
        </w:rPr>
        <w:tab/>
      </w:r>
      <w:r>
        <w:rPr>
          <w:rFonts w:eastAsiaTheme="minorHAnsi"/>
        </w:rPr>
        <w:tab/>
      </w:r>
      <w:r w:rsidRPr="00B60D03">
        <w:rPr>
          <w:rFonts w:eastAsiaTheme="minorHAnsi"/>
        </w:rPr>
        <w:t>Explain the role you could play in reviewing reports from an investment adviser to assist in establishing an investment strategy, arranging investments and reporting outcomes.</w:t>
      </w:r>
    </w:p>
    <w:p w14:paraId="421C5EA5" w14:textId="77777777" w:rsidR="007B04FA" w:rsidRPr="00B60D03" w:rsidRDefault="007B04FA" w:rsidP="007B04FA">
      <w:pPr>
        <w:pStyle w:val="ind2"/>
        <w:rPr>
          <w:rFonts w:eastAsiaTheme="minorHAnsi"/>
        </w:rPr>
      </w:pPr>
      <w:r w:rsidRPr="00B60D03">
        <w:rPr>
          <w:rFonts w:eastAsiaTheme="minorHAnsi"/>
        </w:rPr>
        <w:t>(100 words)</w:t>
      </w:r>
    </w:p>
    <w:tbl>
      <w:tblPr>
        <w:tblStyle w:val="TableGrid"/>
        <w:tblW w:w="9866"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866"/>
      </w:tblGrid>
      <w:tr w:rsidR="007B04FA" w:rsidRPr="008318D2" w14:paraId="078B5C9E" w14:textId="77777777" w:rsidTr="009B5240">
        <w:trPr>
          <w:trHeight w:val="1701"/>
        </w:trPr>
        <w:tc>
          <w:tcPr>
            <w:tcW w:w="9866" w:type="dxa"/>
            <w:shd w:val="clear" w:color="auto" w:fill="auto"/>
          </w:tcPr>
          <w:p w14:paraId="5567BB5A" w14:textId="77777777" w:rsidR="007B04FA" w:rsidRPr="00E15377" w:rsidRDefault="007B04FA" w:rsidP="009B5240">
            <w:pPr>
              <w:pStyle w:val="Answerhere"/>
              <w:rPr>
                <w:b/>
                <w:color w:val="auto"/>
              </w:rPr>
            </w:pPr>
            <w:r w:rsidRPr="00D96F8F">
              <w:rPr>
                <w:color w:val="auto"/>
              </w:rPr>
              <w:t>Type your answer here:</w:t>
            </w:r>
          </w:p>
        </w:tc>
      </w:tr>
    </w:tbl>
    <w:p w14:paraId="086CC29D" w14:textId="77777777" w:rsidR="007B04FA" w:rsidRPr="0072575A" w:rsidRDefault="007B04FA" w:rsidP="007B04FA">
      <w:pPr>
        <w:pStyle w:val="ssssh"/>
      </w:pPr>
      <w:r w:rsidRPr="0072575A">
        <w:t>Assessor feedback:</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7B04FA" w:rsidRPr="006C7D3E" w14:paraId="7DF41DB9" w14:textId="77777777" w:rsidTr="009B5240">
        <w:trPr>
          <w:trHeight w:val="397"/>
        </w:trPr>
        <w:tc>
          <w:tcPr>
            <w:tcW w:w="9752" w:type="dxa"/>
          </w:tcPr>
          <w:p w14:paraId="4F72B0C4" w14:textId="77777777" w:rsidR="007B04FA" w:rsidRPr="006C7D3E" w:rsidRDefault="007B04FA" w:rsidP="009B5240">
            <w:pPr>
              <w:spacing w:before="60"/>
              <w:rPr>
                <w:rFonts w:cs="Arial"/>
                <w:color w:val="FF0000"/>
                <w:szCs w:val="19"/>
                <w:highlight w:val="yellow"/>
              </w:rPr>
            </w:pPr>
          </w:p>
        </w:tc>
      </w:tr>
    </w:tbl>
    <w:p w14:paraId="19255033" w14:textId="77777777" w:rsidR="007B04FA" w:rsidRDefault="007B04FA" w:rsidP="007B04FA">
      <w:pPr>
        <w:pStyle w:val="ind4"/>
        <w:rPr>
          <w:rFonts w:eastAsiaTheme="minorHAnsi"/>
        </w:rPr>
      </w:pPr>
      <w:r>
        <w:rPr>
          <w:rFonts w:eastAsiaTheme="minorHAnsi"/>
        </w:rPr>
        <w:br/>
      </w:r>
      <w:r>
        <w:rPr>
          <w:rFonts w:eastAsiaTheme="minorHAnsi"/>
        </w:rPr>
        <w:br/>
      </w:r>
    </w:p>
    <w:p w14:paraId="47827018" w14:textId="77777777" w:rsidR="007B04FA" w:rsidRDefault="007B04FA" w:rsidP="007B04FA">
      <w:pPr>
        <w:spacing w:after="200" w:line="276" w:lineRule="auto"/>
        <w:rPr>
          <w:rFonts w:eastAsiaTheme="minorHAnsi" w:cs="Arial"/>
          <w:lang w:val="en-US"/>
        </w:rPr>
      </w:pPr>
      <w:r>
        <w:rPr>
          <w:rFonts w:eastAsiaTheme="minorHAnsi"/>
        </w:rPr>
        <w:br w:type="page"/>
      </w:r>
    </w:p>
    <w:p w14:paraId="72133211" w14:textId="77777777" w:rsidR="007B04FA" w:rsidRPr="00E43B41" w:rsidRDefault="007B04FA" w:rsidP="007B04FA">
      <w:pPr>
        <w:pStyle w:val="ind4"/>
        <w:rPr>
          <w:rFonts w:eastAsiaTheme="minorHAnsi"/>
        </w:rPr>
      </w:pPr>
      <w:r w:rsidRPr="00E43B41">
        <w:rPr>
          <w:rFonts w:eastAsiaTheme="minorHAnsi"/>
        </w:rPr>
        <w:lastRenderedPageBreak/>
        <w:t>(d)</w:t>
      </w:r>
      <w:r w:rsidRPr="00E43B41">
        <w:rPr>
          <w:rFonts w:eastAsiaTheme="minorHAnsi"/>
        </w:rPr>
        <w:tab/>
      </w:r>
      <w:r w:rsidRPr="00E43B41">
        <w:rPr>
          <w:rFonts w:eastAsiaTheme="minorHAnsi"/>
        </w:rPr>
        <w:tab/>
        <w:t>(</w:t>
      </w:r>
      <w:proofErr w:type="spellStart"/>
      <w:proofErr w:type="gramStart"/>
      <w:r w:rsidRPr="00E43B41">
        <w:rPr>
          <w:rFonts w:eastAsiaTheme="minorHAnsi"/>
        </w:rPr>
        <w:t>i</w:t>
      </w:r>
      <w:proofErr w:type="spellEnd"/>
      <w:proofErr w:type="gramEnd"/>
      <w:r w:rsidRPr="00E43B41">
        <w:rPr>
          <w:rFonts w:eastAsiaTheme="minorHAnsi"/>
        </w:rPr>
        <w:t>)</w:t>
      </w:r>
      <w:r w:rsidRPr="00E43B41">
        <w:rPr>
          <w:rFonts w:eastAsiaTheme="minorHAnsi"/>
        </w:rPr>
        <w:tab/>
      </w:r>
      <w:r w:rsidRPr="00E43B41">
        <w:rPr>
          <w:rFonts w:eastAsiaTheme="minorHAnsi"/>
        </w:rPr>
        <w:tab/>
        <w:t>Discuss the risks to Jason and Jemma of an underperforming service provider.</w:t>
      </w:r>
    </w:p>
    <w:p w14:paraId="65749ED9" w14:textId="77777777" w:rsidR="007B04FA" w:rsidRDefault="007B04FA" w:rsidP="007B04FA">
      <w:pPr>
        <w:pStyle w:val="ind4"/>
        <w:rPr>
          <w:rFonts w:eastAsiaTheme="minorHAnsi"/>
        </w:rPr>
      </w:pPr>
      <w:r>
        <w:rPr>
          <w:rFonts w:eastAsiaTheme="minorHAnsi"/>
        </w:rPr>
        <w:tab/>
      </w:r>
      <w:r>
        <w:rPr>
          <w:rFonts w:eastAsiaTheme="minorHAnsi"/>
        </w:rPr>
        <w:tab/>
        <w:t>(ii)</w:t>
      </w:r>
      <w:r>
        <w:rPr>
          <w:rFonts w:eastAsiaTheme="minorHAnsi"/>
        </w:rPr>
        <w:tab/>
      </w:r>
      <w:r>
        <w:rPr>
          <w:rFonts w:eastAsiaTheme="minorHAnsi"/>
        </w:rPr>
        <w:tab/>
      </w:r>
      <w:r w:rsidRPr="00747EDF">
        <w:rPr>
          <w:rFonts w:eastAsiaTheme="minorHAnsi"/>
        </w:rPr>
        <w:t>Explain what problems they might experience when changing service providers.</w:t>
      </w:r>
    </w:p>
    <w:p w14:paraId="45FEE198" w14:textId="77777777" w:rsidR="007B04FA" w:rsidRPr="00747EDF" w:rsidRDefault="007B04FA" w:rsidP="007B04FA">
      <w:pPr>
        <w:pStyle w:val="ind4"/>
        <w:rPr>
          <w:rFonts w:eastAsiaTheme="minorHAnsi"/>
        </w:rPr>
      </w:pPr>
      <w:r>
        <w:rPr>
          <w:rFonts w:eastAsiaTheme="minorHAnsi"/>
        </w:rPr>
        <w:tab/>
      </w:r>
      <w:r>
        <w:rPr>
          <w:rFonts w:eastAsiaTheme="minorHAnsi"/>
        </w:rPr>
        <w:tab/>
        <w:t>(iii)</w:t>
      </w:r>
      <w:r>
        <w:rPr>
          <w:rFonts w:eastAsiaTheme="minorHAnsi"/>
        </w:rPr>
        <w:tab/>
      </w:r>
      <w:r w:rsidRPr="00747EDF">
        <w:rPr>
          <w:rFonts w:eastAsiaTheme="minorHAnsi"/>
        </w:rPr>
        <w:t>How could they avoid these issues?</w:t>
      </w:r>
    </w:p>
    <w:p w14:paraId="5E215A3C" w14:textId="77777777" w:rsidR="007B04FA" w:rsidRPr="0072575A" w:rsidRDefault="007B04FA" w:rsidP="007B04FA">
      <w:pPr>
        <w:spacing w:after="120"/>
      </w:pPr>
      <w:r w:rsidRPr="00747EDF">
        <w:t>(200 words)</w:t>
      </w:r>
    </w:p>
    <w:tbl>
      <w:tblPr>
        <w:tblStyle w:val="TableGrid"/>
        <w:tblW w:w="9866" w:type="dxa"/>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866"/>
      </w:tblGrid>
      <w:tr w:rsidR="007B04FA" w:rsidRPr="00C84C1C" w14:paraId="5078CF8D" w14:textId="77777777" w:rsidTr="009B5240">
        <w:trPr>
          <w:trHeight w:val="1701"/>
        </w:trPr>
        <w:tc>
          <w:tcPr>
            <w:tcW w:w="9866" w:type="dxa"/>
            <w:shd w:val="clear" w:color="auto" w:fill="auto"/>
          </w:tcPr>
          <w:p w14:paraId="408F9DB8" w14:textId="77777777" w:rsidR="007B04FA" w:rsidRPr="003351DF" w:rsidRDefault="007B04FA" w:rsidP="009B5240">
            <w:pPr>
              <w:pStyle w:val="Answerhere"/>
            </w:pPr>
            <w:r w:rsidRPr="00D96F8F">
              <w:rPr>
                <w:color w:val="auto"/>
              </w:rPr>
              <w:t>Type your answer here:</w:t>
            </w:r>
          </w:p>
          <w:p w14:paraId="60A2613A" w14:textId="77777777" w:rsidR="007B04FA" w:rsidRPr="00E15377" w:rsidRDefault="007B04FA" w:rsidP="009B5240">
            <w:pPr>
              <w:rPr>
                <w:rFonts w:eastAsiaTheme="minorHAnsi"/>
                <w:szCs w:val="22"/>
              </w:rPr>
            </w:pPr>
          </w:p>
        </w:tc>
      </w:tr>
    </w:tbl>
    <w:p w14:paraId="45BF3A20" w14:textId="77777777" w:rsidR="007B04FA" w:rsidRPr="00130D1E" w:rsidRDefault="007B04FA" w:rsidP="007B04FA">
      <w:pPr>
        <w:pStyle w:val="ssssh"/>
      </w:pPr>
      <w:r w:rsidRPr="0072575A">
        <w:t>Assessor feedback:</w:t>
      </w:r>
    </w:p>
    <w:tbl>
      <w:tblPr>
        <w:tblW w:w="9752" w:type="dxa"/>
        <w:tblBorders>
          <w:top w:val="single" w:sz="2" w:space="0" w:color="auto"/>
          <w:left w:val="single" w:sz="2" w:space="0" w:color="auto"/>
          <w:bottom w:val="single" w:sz="2" w:space="0" w:color="auto"/>
          <w:right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9752"/>
      </w:tblGrid>
      <w:tr w:rsidR="007B04FA" w:rsidRPr="00A928D2" w14:paraId="462A1FD5" w14:textId="77777777" w:rsidTr="009B5240">
        <w:trPr>
          <w:trHeight w:val="397"/>
        </w:trPr>
        <w:tc>
          <w:tcPr>
            <w:tcW w:w="9752" w:type="dxa"/>
          </w:tcPr>
          <w:p w14:paraId="5425B8A9" w14:textId="77777777" w:rsidR="007B04FA" w:rsidRPr="00A928D2" w:rsidRDefault="007B04FA" w:rsidP="009B5240">
            <w:pPr>
              <w:spacing w:before="60"/>
              <w:rPr>
                <w:rFonts w:cs="Arial"/>
                <w:color w:val="FF0000"/>
                <w:szCs w:val="19"/>
              </w:rPr>
            </w:pPr>
          </w:p>
        </w:tc>
      </w:tr>
    </w:tbl>
    <w:p w14:paraId="5914128F" w14:textId="77777777" w:rsidR="007B04FA" w:rsidRDefault="007B04FA" w:rsidP="007B04FA"/>
    <w:p w14:paraId="68C6AFAD" w14:textId="77777777" w:rsidR="007B04FA" w:rsidRDefault="007B04FA"/>
    <w:p w14:paraId="294E720A" w14:textId="77777777" w:rsidR="007B04FA" w:rsidRDefault="007B04FA"/>
    <w:sectPr w:rsidR="007B04FA" w:rsidSect="00E71271">
      <w:footerReference w:type="even" r:id="rId15"/>
      <w:footerReference w:type="defaul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3C21D" w14:textId="77777777" w:rsidR="002B344B" w:rsidRDefault="002B344B" w:rsidP="00FA130E">
      <w:r>
        <w:separator/>
      </w:r>
    </w:p>
  </w:endnote>
  <w:endnote w:type="continuationSeparator" w:id="0">
    <w:p w14:paraId="38CE7183" w14:textId="77777777" w:rsidR="002B344B" w:rsidRDefault="002B344B" w:rsidP="00FA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8B57B" w14:textId="77777777" w:rsidR="00414E90" w:rsidRDefault="00414E90" w:rsidP="00A016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87BF7" w14:textId="77777777" w:rsidR="00414E90" w:rsidRDefault="00414E90" w:rsidP="00DD4A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9830D" w14:textId="77777777" w:rsidR="00414E90" w:rsidRDefault="00414E90" w:rsidP="00A016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3EFD">
      <w:rPr>
        <w:rStyle w:val="PageNumber"/>
        <w:noProof/>
      </w:rPr>
      <w:t>1</w:t>
    </w:r>
    <w:r>
      <w:rPr>
        <w:rStyle w:val="PageNumber"/>
      </w:rPr>
      <w:fldChar w:fldCharType="end"/>
    </w:r>
  </w:p>
  <w:p w14:paraId="39B16DAE" w14:textId="77777777" w:rsidR="00414E90" w:rsidRDefault="00414E90" w:rsidP="00DD4A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B3F10" w14:textId="77777777" w:rsidR="002B344B" w:rsidRDefault="002B344B" w:rsidP="00FA130E">
      <w:r>
        <w:separator/>
      </w:r>
    </w:p>
  </w:footnote>
  <w:footnote w:type="continuationSeparator" w:id="0">
    <w:p w14:paraId="00589D22" w14:textId="77777777" w:rsidR="002B344B" w:rsidRDefault="002B344B" w:rsidP="00FA130E">
      <w:r>
        <w:continuationSeparator/>
      </w:r>
    </w:p>
  </w:footnote>
  <w:footnote w:id="1">
    <w:p w14:paraId="4C015761" w14:textId="52D38F0F" w:rsidR="00414E90" w:rsidRPr="008E5A8A" w:rsidRDefault="00414E90">
      <w:pPr>
        <w:pStyle w:val="FootnoteText"/>
        <w:rPr>
          <w:lang w:val="en-US"/>
        </w:rPr>
      </w:pPr>
      <w:r>
        <w:rPr>
          <w:rStyle w:val="FootnoteReference"/>
        </w:rPr>
        <w:footnoteRef/>
      </w:r>
      <w:r>
        <w:t xml:space="preserve"> </w:t>
      </w:r>
      <w:r>
        <w:rPr>
          <w:lang w:val="en-US"/>
        </w:rPr>
        <w:t>See exception to prohibition on trustees intentionally acquiring assets from members and related parties (section 65 SIS Act), as well as the exception to in –house asset rules in respect of Business Real property (Part 8 SIS Act).</w:t>
      </w:r>
    </w:p>
  </w:footnote>
  <w:footnote w:id="2">
    <w:p w14:paraId="6BEFD2FE" w14:textId="797B9110" w:rsidR="00414E90" w:rsidRPr="00C250BF" w:rsidRDefault="00414E90">
      <w:pPr>
        <w:pStyle w:val="FootnoteText"/>
        <w:rPr>
          <w:lang w:val="en-US"/>
        </w:rPr>
      </w:pPr>
      <w:r>
        <w:rPr>
          <w:rStyle w:val="FootnoteReference"/>
        </w:rPr>
        <w:footnoteRef/>
      </w:r>
      <w:r>
        <w:t xml:space="preserve"> </w:t>
      </w:r>
      <w:r>
        <w:rPr>
          <w:lang w:val="en-US"/>
        </w:rPr>
        <w:t>See Section 52 (6</w:t>
      </w:r>
      <w:proofErr w:type="gramStart"/>
      <w:r>
        <w:rPr>
          <w:lang w:val="en-US"/>
        </w:rPr>
        <w:t>)(</w:t>
      </w:r>
      <w:proofErr w:type="gramEnd"/>
      <w:r>
        <w:rPr>
          <w:lang w:val="en-US"/>
        </w:rPr>
        <w:t xml:space="preserve">vi) SIS Act.  </w:t>
      </w:r>
    </w:p>
  </w:footnote>
  <w:footnote w:id="3">
    <w:p w14:paraId="3AC38E9A" w14:textId="77777777" w:rsidR="00414E90" w:rsidRPr="00FA130E" w:rsidRDefault="00414E90" w:rsidP="00FD43BC">
      <w:pPr>
        <w:pStyle w:val="FootnoteText"/>
        <w:rPr>
          <w:lang w:val="en-US"/>
        </w:rPr>
      </w:pPr>
      <w:r>
        <w:rPr>
          <w:rStyle w:val="FootnoteReference"/>
        </w:rPr>
        <w:footnoteRef/>
      </w:r>
      <w:r>
        <w:t xml:space="preserve"> </w:t>
      </w:r>
      <w:r>
        <w:rPr>
          <w:lang w:val="en-US"/>
        </w:rPr>
        <w:t>What’s ahead for SMSFs? Keynote address by James O’Halloran, Deputy Commissioner Superannuation ATO, CPA SMSF Conference 12 August 2016 Melbourne at page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93E"/>
    <w:multiLevelType w:val="hybridMultilevel"/>
    <w:tmpl w:val="C49E80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A9863AE"/>
    <w:multiLevelType w:val="hybridMultilevel"/>
    <w:tmpl w:val="97E25E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515479B"/>
    <w:multiLevelType w:val="hybridMultilevel"/>
    <w:tmpl w:val="7A72EA48"/>
    <w:lvl w:ilvl="0" w:tplc="0C09000F">
      <w:start w:val="1"/>
      <w:numFmt w:val="decimal"/>
      <w:lvlText w:val="%1."/>
      <w:lvlJc w:val="left"/>
      <w:pPr>
        <w:ind w:left="720" w:hanging="360"/>
      </w:pPr>
    </w:lvl>
    <w:lvl w:ilvl="1" w:tplc="0C090019">
      <w:start w:val="1"/>
      <w:numFmt w:val="lowerLetter"/>
      <w:lvlText w:val="%2."/>
      <w:lvlJc w:val="left"/>
      <w:pPr>
        <w:ind w:left="3337"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DDD2570"/>
    <w:multiLevelType w:val="hybridMultilevel"/>
    <w:tmpl w:val="E7D4492C"/>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A94554E"/>
    <w:multiLevelType w:val="hybridMultilevel"/>
    <w:tmpl w:val="0F408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98"/>
    <w:rsid w:val="00083615"/>
    <w:rsid w:val="000E1764"/>
    <w:rsid w:val="00104476"/>
    <w:rsid w:val="00131AAC"/>
    <w:rsid w:val="001F52F4"/>
    <w:rsid w:val="0024507F"/>
    <w:rsid w:val="00245F13"/>
    <w:rsid w:val="002507E2"/>
    <w:rsid w:val="002A7234"/>
    <w:rsid w:val="002B2E52"/>
    <w:rsid w:val="002B344B"/>
    <w:rsid w:val="00316F7B"/>
    <w:rsid w:val="00346F98"/>
    <w:rsid w:val="003479FD"/>
    <w:rsid w:val="003720C1"/>
    <w:rsid w:val="003B6210"/>
    <w:rsid w:val="004078F5"/>
    <w:rsid w:val="00414E90"/>
    <w:rsid w:val="00460658"/>
    <w:rsid w:val="004756F9"/>
    <w:rsid w:val="0049586B"/>
    <w:rsid w:val="004A3FF0"/>
    <w:rsid w:val="004B454E"/>
    <w:rsid w:val="004B5516"/>
    <w:rsid w:val="005A4B27"/>
    <w:rsid w:val="005B76E6"/>
    <w:rsid w:val="005C203E"/>
    <w:rsid w:val="005D3A4E"/>
    <w:rsid w:val="00625915"/>
    <w:rsid w:val="00675750"/>
    <w:rsid w:val="00686B2A"/>
    <w:rsid w:val="006B25DD"/>
    <w:rsid w:val="006B3EFD"/>
    <w:rsid w:val="006E033E"/>
    <w:rsid w:val="00701C71"/>
    <w:rsid w:val="00733148"/>
    <w:rsid w:val="0078060A"/>
    <w:rsid w:val="007B04FA"/>
    <w:rsid w:val="007B6CD6"/>
    <w:rsid w:val="007F37C6"/>
    <w:rsid w:val="008530F1"/>
    <w:rsid w:val="008A68AF"/>
    <w:rsid w:val="008B4B7A"/>
    <w:rsid w:val="008E5A8A"/>
    <w:rsid w:val="008F6705"/>
    <w:rsid w:val="009127E1"/>
    <w:rsid w:val="00914F97"/>
    <w:rsid w:val="00990B75"/>
    <w:rsid w:val="00A016C8"/>
    <w:rsid w:val="00A162D8"/>
    <w:rsid w:val="00A47577"/>
    <w:rsid w:val="00A50EFD"/>
    <w:rsid w:val="00B05D31"/>
    <w:rsid w:val="00B74209"/>
    <w:rsid w:val="00B763FC"/>
    <w:rsid w:val="00BF3A00"/>
    <w:rsid w:val="00C250BF"/>
    <w:rsid w:val="00C26F94"/>
    <w:rsid w:val="00C462E3"/>
    <w:rsid w:val="00CD4D2D"/>
    <w:rsid w:val="00D42B48"/>
    <w:rsid w:val="00D7643F"/>
    <w:rsid w:val="00DC0B8B"/>
    <w:rsid w:val="00DC1B95"/>
    <w:rsid w:val="00DD4A94"/>
    <w:rsid w:val="00DF6AD8"/>
    <w:rsid w:val="00E2245A"/>
    <w:rsid w:val="00E51E93"/>
    <w:rsid w:val="00E71271"/>
    <w:rsid w:val="00EB2FA3"/>
    <w:rsid w:val="00EC1B93"/>
    <w:rsid w:val="00F003C4"/>
    <w:rsid w:val="00F87A95"/>
    <w:rsid w:val="00F90779"/>
    <w:rsid w:val="00FA130E"/>
    <w:rsid w:val="00FD43BC"/>
    <w:rsid w:val="00FD4C8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964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130E"/>
  </w:style>
  <w:style w:type="character" w:customStyle="1" w:styleId="FootnoteTextChar">
    <w:name w:val="Footnote Text Char"/>
    <w:basedOn w:val="DefaultParagraphFont"/>
    <w:link w:val="FootnoteText"/>
    <w:uiPriority w:val="99"/>
    <w:rsid w:val="00FA130E"/>
  </w:style>
  <w:style w:type="character" w:styleId="FootnoteReference">
    <w:name w:val="footnote reference"/>
    <w:basedOn w:val="DefaultParagraphFont"/>
    <w:uiPriority w:val="99"/>
    <w:unhideWhenUsed/>
    <w:rsid w:val="00FA130E"/>
    <w:rPr>
      <w:vertAlign w:val="superscript"/>
    </w:rPr>
  </w:style>
  <w:style w:type="paragraph" w:styleId="Footer">
    <w:name w:val="footer"/>
    <w:basedOn w:val="Normal"/>
    <w:link w:val="FooterChar"/>
    <w:uiPriority w:val="99"/>
    <w:unhideWhenUsed/>
    <w:rsid w:val="00DD4A94"/>
    <w:pPr>
      <w:tabs>
        <w:tab w:val="center" w:pos="4320"/>
        <w:tab w:val="right" w:pos="8640"/>
      </w:tabs>
    </w:pPr>
  </w:style>
  <w:style w:type="character" w:customStyle="1" w:styleId="FooterChar">
    <w:name w:val="Footer Char"/>
    <w:basedOn w:val="DefaultParagraphFont"/>
    <w:link w:val="Footer"/>
    <w:uiPriority w:val="99"/>
    <w:rsid w:val="00DD4A94"/>
  </w:style>
  <w:style w:type="character" w:styleId="PageNumber">
    <w:name w:val="page number"/>
    <w:basedOn w:val="DefaultParagraphFont"/>
    <w:uiPriority w:val="99"/>
    <w:semiHidden/>
    <w:unhideWhenUsed/>
    <w:rsid w:val="00DD4A94"/>
  </w:style>
  <w:style w:type="paragraph" w:styleId="BalloonText">
    <w:name w:val="Balloon Text"/>
    <w:basedOn w:val="Normal"/>
    <w:link w:val="BalloonTextChar"/>
    <w:uiPriority w:val="99"/>
    <w:semiHidden/>
    <w:unhideWhenUsed/>
    <w:rsid w:val="004B5516"/>
    <w:rPr>
      <w:rFonts w:ascii="Tahoma" w:hAnsi="Tahoma" w:cs="Tahoma"/>
      <w:sz w:val="16"/>
      <w:szCs w:val="16"/>
    </w:rPr>
  </w:style>
  <w:style w:type="character" w:customStyle="1" w:styleId="BalloonTextChar">
    <w:name w:val="Balloon Text Char"/>
    <w:basedOn w:val="DefaultParagraphFont"/>
    <w:link w:val="BalloonText"/>
    <w:uiPriority w:val="99"/>
    <w:semiHidden/>
    <w:rsid w:val="004B5516"/>
    <w:rPr>
      <w:rFonts w:ascii="Tahoma" w:hAnsi="Tahoma" w:cs="Tahoma"/>
      <w:sz w:val="16"/>
      <w:szCs w:val="16"/>
    </w:rPr>
  </w:style>
  <w:style w:type="paragraph" w:styleId="ListParagraph">
    <w:name w:val="List Paragraph"/>
    <w:basedOn w:val="Normal"/>
    <w:uiPriority w:val="34"/>
    <w:qFormat/>
    <w:rsid w:val="00F87A95"/>
    <w:pPr>
      <w:ind w:left="720"/>
      <w:contextualSpacing/>
    </w:pPr>
  </w:style>
  <w:style w:type="paragraph" w:customStyle="1" w:styleId="0sh">
    <w:name w:val="0sh"/>
    <w:basedOn w:val="Normal"/>
    <w:next w:val="Normal"/>
    <w:link w:val="0shChar"/>
    <w:rsid w:val="007B04FA"/>
    <w:pPr>
      <w:keepLines/>
      <w:pageBreakBefore/>
      <w:tabs>
        <w:tab w:val="left" w:pos="0"/>
      </w:tabs>
      <w:spacing w:after="60" w:line="260" w:lineRule="atLeast"/>
    </w:pPr>
    <w:rPr>
      <w:rFonts w:ascii="Calibri" w:eastAsia="Times New Roman" w:hAnsi="Calibri" w:cs="Arial"/>
      <w:b/>
      <w:bCs/>
      <w:color w:val="00539F"/>
      <w:spacing w:val="10"/>
      <w:sz w:val="32"/>
      <w:szCs w:val="28"/>
    </w:rPr>
  </w:style>
  <w:style w:type="character" w:customStyle="1" w:styleId="0shChar">
    <w:name w:val="0sh Char"/>
    <w:link w:val="0sh"/>
    <w:rsid w:val="007B04FA"/>
    <w:rPr>
      <w:rFonts w:ascii="Calibri" w:eastAsia="Times New Roman" w:hAnsi="Calibri" w:cs="Arial"/>
      <w:b/>
      <w:bCs/>
      <w:color w:val="00539F"/>
      <w:spacing w:val="10"/>
      <w:sz w:val="32"/>
      <w:szCs w:val="28"/>
    </w:rPr>
  </w:style>
  <w:style w:type="paragraph" w:customStyle="1" w:styleId="ssssh">
    <w:name w:val="ssssh"/>
    <w:basedOn w:val="Normal"/>
    <w:link w:val="sssshChar"/>
    <w:rsid w:val="007B04FA"/>
    <w:pPr>
      <w:keepNext/>
      <w:keepLines/>
      <w:spacing w:before="360" w:after="60" w:line="260" w:lineRule="atLeast"/>
    </w:pPr>
    <w:rPr>
      <w:rFonts w:ascii="Calibri" w:eastAsia="Times New Roman" w:hAnsi="Calibri" w:cs="Arial"/>
      <w:b/>
      <w:bCs/>
      <w:i/>
      <w:color w:val="00539F"/>
      <w:spacing w:val="10"/>
      <w:sz w:val="22"/>
      <w:szCs w:val="18"/>
      <w:lang w:val="en-US"/>
    </w:rPr>
  </w:style>
  <w:style w:type="paragraph" w:customStyle="1" w:styleId="ind2">
    <w:name w:val="ind 2"/>
    <w:basedOn w:val="Normal"/>
    <w:link w:val="ind2Char"/>
    <w:rsid w:val="007B04FA"/>
    <w:pPr>
      <w:keepLines/>
      <w:tabs>
        <w:tab w:val="left" w:pos="284"/>
        <w:tab w:val="left" w:pos="567"/>
      </w:tabs>
      <w:spacing w:after="60" w:line="260" w:lineRule="atLeast"/>
      <w:ind w:left="567" w:hanging="567"/>
    </w:pPr>
    <w:rPr>
      <w:rFonts w:ascii="Calibri" w:eastAsia="Times New Roman" w:hAnsi="Calibri" w:cs="Arial"/>
      <w:sz w:val="22"/>
      <w:szCs w:val="21"/>
      <w:lang w:val="en-US"/>
    </w:rPr>
  </w:style>
  <w:style w:type="character" w:customStyle="1" w:styleId="ind2Char">
    <w:name w:val="ind 2 Char"/>
    <w:link w:val="ind2"/>
    <w:rsid w:val="007B04FA"/>
    <w:rPr>
      <w:rFonts w:ascii="Calibri" w:eastAsia="Times New Roman" w:hAnsi="Calibri" w:cs="Arial"/>
      <w:sz w:val="22"/>
      <w:szCs w:val="21"/>
      <w:lang w:val="en-US"/>
    </w:rPr>
  </w:style>
  <w:style w:type="paragraph" w:customStyle="1" w:styleId="ind4">
    <w:name w:val="ind 4"/>
    <w:basedOn w:val="Normal"/>
    <w:link w:val="ind4Char"/>
    <w:rsid w:val="007B04FA"/>
    <w:pPr>
      <w:keepLines/>
      <w:tabs>
        <w:tab w:val="left" w:pos="284"/>
        <w:tab w:val="left" w:pos="567"/>
        <w:tab w:val="left" w:pos="851"/>
        <w:tab w:val="left" w:pos="1134"/>
      </w:tabs>
      <w:spacing w:after="60" w:line="260" w:lineRule="atLeast"/>
      <w:ind w:left="1134" w:hanging="1134"/>
    </w:pPr>
    <w:rPr>
      <w:rFonts w:ascii="Calibri" w:eastAsia="Times New Roman" w:hAnsi="Calibri" w:cs="Arial"/>
      <w:sz w:val="22"/>
      <w:szCs w:val="21"/>
      <w:lang w:val="en-US"/>
    </w:rPr>
  </w:style>
  <w:style w:type="character" w:customStyle="1" w:styleId="ind4Char">
    <w:name w:val="ind 4 Char"/>
    <w:link w:val="ind4"/>
    <w:rsid w:val="007B04FA"/>
    <w:rPr>
      <w:rFonts w:ascii="Calibri" w:eastAsia="Times New Roman" w:hAnsi="Calibri" w:cs="Arial"/>
      <w:sz w:val="22"/>
      <w:szCs w:val="21"/>
      <w:lang w:val="en-US"/>
    </w:rPr>
  </w:style>
  <w:style w:type="table" w:styleId="TableGrid">
    <w:name w:val="Table Grid"/>
    <w:basedOn w:val="TableNormal"/>
    <w:rsid w:val="007B04FA"/>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ssshChar">
    <w:name w:val="ssssh Char"/>
    <w:link w:val="ssssh"/>
    <w:rsid w:val="007B04FA"/>
    <w:rPr>
      <w:rFonts w:ascii="Calibri" w:eastAsia="Times New Roman" w:hAnsi="Calibri" w:cs="Arial"/>
      <w:b/>
      <w:bCs/>
      <w:i/>
      <w:color w:val="00539F"/>
      <w:spacing w:val="10"/>
      <w:sz w:val="22"/>
      <w:szCs w:val="18"/>
      <w:lang w:val="en-US"/>
    </w:rPr>
  </w:style>
  <w:style w:type="paragraph" w:customStyle="1" w:styleId="Answerhere">
    <w:name w:val="Answer here"/>
    <w:basedOn w:val="Normal"/>
    <w:qFormat/>
    <w:rsid w:val="007B04FA"/>
    <w:pPr>
      <w:keepLines/>
      <w:spacing w:before="80" w:after="80" w:line="260" w:lineRule="atLeast"/>
    </w:pPr>
    <w:rPr>
      <w:rFonts w:ascii="Calibri" w:eastAsia="Times New Roman" w:hAnsi="Calibri" w:cs="Times New Roman"/>
      <w:color w:val="1B0069"/>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130E"/>
  </w:style>
  <w:style w:type="character" w:customStyle="1" w:styleId="FootnoteTextChar">
    <w:name w:val="Footnote Text Char"/>
    <w:basedOn w:val="DefaultParagraphFont"/>
    <w:link w:val="FootnoteText"/>
    <w:uiPriority w:val="99"/>
    <w:rsid w:val="00FA130E"/>
  </w:style>
  <w:style w:type="character" w:styleId="FootnoteReference">
    <w:name w:val="footnote reference"/>
    <w:basedOn w:val="DefaultParagraphFont"/>
    <w:uiPriority w:val="99"/>
    <w:unhideWhenUsed/>
    <w:rsid w:val="00FA130E"/>
    <w:rPr>
      <w:vertAlign w:val="superscript"/>
    </w:rPr>
  </w:style>
  <w:style w:type="paragraph" w:styleId="Footer">
    <w:name w:val="footer"/>
    <w:basedOn w:val="Normal"/>
    <w:link w:val="FooterChar"/>
    <w:uiPriority w:val="99"/>
    <w:unhideWhenUsed/>
    <w:rsid w:val="00DD4A94"/>
    <w:pPr>
      <w:tabs>
        <w:tab w:val="center" w:pos="4320"/>
        <w:tab w:val="right" w:pos="8640"/>
      </w:tabs>
    </w:pPr>
  </w:style>
  <w:style w:type="character" w:customStyle="1" w:styleId="FooterChar">
    <w:name w:val="Footer Char"/>
    <w:basedOn w:val="DefaultParagraphFont"/>
    <w:link w:val="Footer"/>
    <w:uiPriority w:val="99"/>
    <w:rsid w:val="00DD4A94"/>
  </w:style>
  <w:style w:type="character" w:styleId="PageNumber">
    <w:name w:val="page number"/>
    <w:basedOn w:val="DefaultParagraphFont"/>
    <w:uiPriority w:val="99"/>
    <w:semiHidden/>
    <w:unhideWhenUsed/>
    <w:rsid w:val="00DD4A94"/>
  </w:style>
  <w:style w:type="paragraph" w:styleId="BalloonText">
    <w:name w:val="Balloon Text"/>
    <w:basedOn w:val="Normal"/>
    <w:link w:val="BalloonTextChar"/>
    <w:uiPriority w:val="99"/>
    <w:semiHidden/>
    <w:unhideWhenUsed/>
    <w:rsid w:val="004B5516"/>
    <w:rPr>
      <w:rFonts w:ascii="Tahoma" w:hAnsi="Tahoma" w:cs="Tahoma"/>
      <w:sz w:val="16"/>
      <w:szCs w:val="16"/>
    </w:rPr>
  </w:style>
  <w:style w:type="character" w:customStyle="1" w:styleId="BalloonTextChar">
    <w:name w:val="Balloon Text Char"/>
    <w:basedOn w:val="DefaultParagraphFont"/>
    <w:link w:val="BalloonText"/>
    <w:uiPriority w:val="99"/>
    <w:semiHidden/>
    <w:rsid w:val="004B5516"/>
    <w:rPr>
      <w:rFonts w:ascii="Tahoma" w:hAnsi="Tahoma" w:cs="Tahoma"/>
      <w:sz w:val="16"/>
      <w:szCs w:val="16"/>
    </w:rPr>
  </w:style>
  <w:style w:type="paragraph" w:styleId="ListParagraph">
    <w:name w:val="List Paragraph"/>
    <w:basedOn w:val="Normal"/>
    <w:uiPriority w:val="34"/>
    <w:qFormat/>
    <w:rsid w:val="00F87A95"/>
    <w:pPr>
      <w:ind w:left="720"/>
      <w:contextualSpacing/>
    </w:pPr>
  </w:style>
  <w:style w:type="paragraph" w:customStyle="1" w:styleId="0sh">
    <w:name w:val="0sh"/>
    <w:basedOn w:val="Normal"/>
    <w:next w:val="Normal"/>
    <w:link w:val="0shChar"/>
    <w:rsid w:val="007B04FA"/>
    <w:pPr>
      <w:keepLines/>
      <w:pageBreakBefore/>
      <w:tabs>
        <w:tab w:val="left" w:pos="0"/>
      </w:tabs>
      <w:spacing w:after="60" w:line="260" w:lineRule="atLeast"/>
    </w:pPr>
    <w:rPr>
      <w:rFonts w:ascii="Calibri" w:eastAsia="Times New Roman" w:hAnsi="Calibri" w:cs="Arial"/>
      <w:b/>
      <w:bCs/>
      <w:color w:val="00539F"/>
      <w:spacing w:val="10"/>
      <w:sz w:val="32"/>
      <w:szCs w:val="28"/>
    </w:rPr>
  </w:style>
  <w:style w:type="character" w:customStyle="1" w:styleId="0shChar">
    <w:name w:val="0sh Char"/>
    <w:link w:val="0sh"/>
    <w:rsid w:val="007B04FA"/>
    <w:rPr>
      <w:rFonts w:ascii="Calibri" w:eastAsia="Times New Roman" w:hAnsi="Calibri" w:cs="Arial"/>
      <w:b/>
      <w:bCs/>
      <w:color w:val="00539F"/>
      <w:spacing w:val="10"/>
      <w:sz w:val="32"/>
      <w:szCs w:val="28"/>
    </w:rPr>
  </w:style>
  <w:style w:type="paragraph" w:customStyle="1" w:styleId="ssssh">
    <w:name w:val="ssssh"/>
    <w:basedOn w:val="Normal"/>
    <w:link w:val="sssshChar"/>
    <w:rsid w:val="007B04FA"/>
    <w:pPr>
      <w:keepNext/>
      <w:keepLines/>
      <w:spacing w:before="360" w:after="60" w:line="260" w:lineRule="atLeast"/>
    </w:pPr>
    <w:rPr>
      <w:rFonts w:ascii="Calibri" w:eastAsia="Times New Roman" w:hAnsi="Calibri" w:cs="Arial"/>
      <w:b/>
      <w:bCs/>
      <w:i/>
      <w:color w:val="00539F"/>
      <w:spacing w:val="10"/>
      <w:sz w:val="22"/>
      <w:szCs w:val="18"/>
      <w:lang w:val="en-US"/>
    </w:rPr>
  </w:style>
  <w:style w:type="paragraph" w:customStyle="1" w:styleId="ind2">
    <w:name w:val="ind 2"/>
    <w:basedOn w:val="Normal"/>
    <w:link w:val="ind2Char"/>
    <w:rsid w:val="007B04FA"/>
    <w:pPr>
      <w:keepLines/>
      <w:tabs>
        <w:tab w:val="left" w:pos="284"/>
        <w:tab w:val="left" w:pos="567"/>
      </w:tabs>
      <w:spacing w:after="60" w:line="260" w:lineRule="atLeast"/>
      <w:ind w:left="567" w:hanging="567"/>
    </w:pPr>
    <w:rPr>
      <w:rFonts w:ascii="Calibri" w:eastAsia="Times New Roman" w:hAnsi="Calibri" w:cs="Arial"/>
      <w:sz w:val="22"/>
      <w:szCs w:val="21"/>
      <w:lang w:val="en-US"/>
    </w:rPr>
  </w:style>
  <w:style w:type="character" w:customStyle="1" w:styleId="ind2Char">
    <w:name w:val="ind 2 Char"/>
    <w:link w:val="ind2"/>
    <w:rsid w:val="007B04FA"/>
    <w:rPr>
      <w:rFonts w:ascii="Calibri" w:eastAsia="Times New Roman" w:hAnsi="Calibri" w:cs="Arial"/>
      <w:sz w:val="22"/>
      <w:szCs w:val="21"/>
      <w:lang w:val="en-US"/>
    </w:rPr>
  </w:style>
  <w:style w:type="paragraph" w:customStyle="1" w:styleId="ind4">
    <w:name w:val="ind 4"/>
    <w:basedOn w:val="Normal"/>
    <w:link w:val="ind4Char"/>
    <w:rsid w:val="007B04FA"/>
    <w:pPr>
      <w:keepLines/>
      <w:tabs>
        <w:tab w:val="left" w:pos="284"/>
        <w:tab w:val="left" w:pos="567"/>
        <w:tab w:val="left" w:pos="851"/>
        <w:tab w:val="left" w:pos="1134"/>
      </w:tabs>
      <w:spacing w:after="60" w:line="260" w:lineRule="atLeast"/>
      <w:ind w:left="1134" w:hanging="1134"/>
    </w:pPr>
    <w:rPr>
      <w:rFonts w:ascii="Calibri" w:eastAsia="Times New Roman" w:hAnsi="Calibri" w:cs="Arial"/>
      <w:sz w:val="22"/>
      <w:szCs w:val="21"/>
      <w:lang w:val="en-US"/>
    </w:rPr>
  </w:style>
  <w:style w:type="character" w:customStyle="1" w:styleId="ind4Char">
    <w:name w:val="ind 4 Char"/>
    <w:link w:val="ind4"/>
    <w:rsid w:val="007B04FA"/>
    <w:rPr>
      <w:rFonts w:ascii="Calibri" w:eastAsia="Times New Roman" w:hAnsi="Calibri" w:cs="Arial"/>
      <w:sz w:val="22"/>
      <w:szCs w:val="21"/>
      <w:lang w:val="en-US"/>
    </w:rPr>
  </w:style>
  <w:style w:type="table" w:styleId="TableGrid">
    <w:name w:val="Table Grid"/>
    <w:basedOn w:val="TableNormal"/>
    <w:rsid w:val="007B04FA"/>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ssshChar">
    <w:name w:val="ssssh Char"/>
    <w:link w:val="ssssh"/>
    <w:rsid w:val="007B04FA"/>
    <w:rPr>
      <w:rFonts w:ascii="Calibri" w:eastAsia="Times New Roman" w:hAnsi="Calibri" w:cs="Arial"/>
      <w:b/>
      <w:bCs/>
      <w:i/>
      <w:color w:val="00539F"/>
      <w:spacing w:val="10"/>
      <w:sz w:val="22"/>
      <w:szCs w:val="18"/>
      <w:lang w:val="en-US"/>
    </w:rPr>
  </w:style>
  <w:style w:type="paragraph" w:customStyle="1" w:styleId="Answerhere">
    <w:name w:val="Answer here"/>
    <w:basedOn w:val="Normal"/>
    <w:qFormat/>
    <w:rsid w:val="007B04FA"/>
    <w:pPr>
      <w:keepLines/>
      <w:spacing w:before="80" w:after="80" w:line="260" w:lineRule="atLeast"/>
    </w:pPr>
    <w:rPr>
      <w:rFonts w:ascii="Calibri" w:eastAsia="Times New Roman" w:hAnsi="Calibri" w:cs="Times New Roman"/>
      <w:color w:val="1B0069"/>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AE03F334-A771-415B-9329-0ED96A959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0CFF0-6934-42F5-A95C-AD6E3F60C71B}">
  <ds:schemaRefs>
    <ds:schemaRef ds:uri="http://purl.org/dc/elements/1.1/"/>
    <ds:schemaRef ds:uri="8044c801-d84b-4ee1-a77e-678f8dcdee17"/>
    <ds:schemaRef ds:uri="3f4bcce7-ac1a-4c9d-aa3e-7e77695652db"/>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4B32C4E-832E-4861-800E-FD4FF87AFF0F}">
  <ds:schemaRefs>
    <ds:schemaRef ds:uri="http://schemas.microsoft.com/sharepoint/v3/contenttype/forms"/>
  </ds:schemaRefs>
</ds:datastoreItem>
</file>

<file path=customXml/itemProps4.xml><?xml version="1.0" encoding="utf-8"?>
<ds:datastoreItem xmlns:ds="http://schemas.openxmlformats.org/officeDocument/2006/customXml" ds:itemID="{4AAB8557-9C81-42FD-A980-7BDA8BC7A4EF}">
  <ds:schemaRefs>
    <ds:schemaRef ds:uri="http://schemas.microsoft.com/sharepoint/events"/>
  </ds:schemaRefs>
</ds:datastoreItem>
</file>

<file path=customXml/itemProps5.xml><?xml version="1.0" encoding="utf-8"?>
<ds:datastoreItem xmlns:ds="http://schemas.openxmlformats.org/officeDocument/2006/customXml" ds:itemID="{21DD7D99-25E6-4DC5-A026-D5C499DF1ECA}">
  <ds:schemaRefs>
    <ds:schemaRef ds:uri="http://schemas.microsoft.com/office/2006/metadata/customXsn"/>
  </ds:schemaRefs>
</ds:datastoreItem>
</file>

<file path=customXml/itemProps6.xml><?xml version="1.0" encoding="utf-8"?>
<ds:datastoreItem xmlns:ds="http://schemas.openxmlformats.org/officeDocument/2006/customXml" ds:itemID="{87220535-9998-40EF-921B-D324DE6B9B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4DA9F12B</Template>
  <TotalTime>31</TotalTime>
  <Pages>11</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SubDR73-Gordon McKenzie</vt:lpstr>
    </vt:vector>
  </TitlesOfParts>
  <Company>University of New South Wales</Company>
  <LinksUpToDate>false</LinksUpToDate>
  <CharactersWithSpaces>18901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DR73 - Gordon McKenzie - Superannuation Competitiveness and Efficiency - Commissioned study</dc:title>
  <dc:creator>Gordon Mackenzie</dc:creator>
  <cp:keywords/>
  <cp:lastModifiedBy>Smith, Warwick</cp:lastModifiedBy>
  <cp:revision>5</cp:revision>
  <cp:lastPrinted>2016-09-09T04:07:00Z</cp:lastPrinted>
  <dcterms:created xsi:type="dcterms:W3CDTF">2016-09-09T04:04:00Z</dcterms:created>
  <dcterms:modified xsi:type="dcterms:W3CDTF">2016-09-14T00:02:00Z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