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3B68A" w14:textId="61809728" w:rsidR="00CD0E8D" w:rsidRDefault="00057430" w:rsidP="00074EC1">
      <w:pPr>
        <w:tabs>
          <w:tab w:val="left" w:pos="8086"/>
        </w:tabs>
        <w:spacing w:before="0"/>
      </w:pPr>
      <w:r>
        <w:t>The Chairman</w:t>
      </w:r>
    </w:p>
    <w:p w14:paraId="1D33C894" w14:textId="13E256F2" w:rsidR="00057430" w:rsidRDefault="00057430" w:rsidP="00074EC1">
      <w:pPr>
        <w:tabs>
          <w:tab w:val="left" w:pos="8086"/>
        </w:tabs>
        <w:spacing w:before="0"/>
      </w:pPr>
      <w:r>
        <w:t>Productivity Commission</w:t>
      </w:r>
    </w:p>
    <w:p w14:paraId="6D2E3C81" w14:textId="4EC74542" w:rsidR="00057430" w:rsidRDefault="00057430" w:rsidP="00074EC1">
      <w:pPr>
        <w:tabs>
          <w:tab w:val="left" w:pos="8086"/>
        </w:tabs>
        <w:spacing w:before="0"/>
      </w:pPr>
      <w:r>
        <w:t>Superannuation Review – Alternative Default Models</w:t>
      </w:r>
    </w:p>
    <w:p w14:paraId="29C3D13B" w14:textId="77777777" w:rsidR="00057430" w:rsidRDefault="00057430" w:rsidP="00074EC1">
      <w:pPr>
        <w:tabs>
          <w:tab w:val="left" w:pos="8086"/>
        </w:tabs>
        <w:spacing w:before="0"/>
      </w:pPr>
      <w:r>
        <w:t>Locked Bag 2, Collins St East</w:t>
      </w:r>
    </w:p>
    <w:p w14:paraId="5C058940" w14:textId="72371889" w:rsidR="00057430" w:rsidRDefault="00057430" w:rsidP="00074EC1">
      <w:pPr>
        <w:tabs>
          <w:tab w:val="left" w:pos="8086"/>
        </w:tabs>
        <w:spacing w:before="0"/>
      </w:pPr>
      <w:r>
        <w:t>MELBOURNE VICTORIA 8003</w:t>
      </w:r>
    </w:p>
    <w:p w14:paraId="2045D8DC" w14:textId="77777777" w:rsidR="00B33341" w:rsidRDefault="00B33341" w:rsidP="009E0AE6">
      <w:pPr>
        <w:pStyle w:val="Heading1"/>
      </w:pPr>
    </w:p>
    <w:p w14:paraId="7845ACD2" w14:textId="6C55525E" w:rsidR="00057430" w:rsidRPr="009E0AE6" w:rsidRDefault="009E0AE6" w:rsidP="009E0AE6">
      <w:pPr>
        <w:pStyle w:val="Heading1"/>
      </w:pPr>
      <w:r w:rsidRPr="009E0AE6">
        <w:t xml:space="preserve">Submission – Superannuation: </w:t>
      </w:r>
      <w:r w:rsidR="00E7290D" w:rsidRPr="009E0AE6">
        <w:t>Alternative Default Models, Draft Report</w:t>
      </w:r>
    </w:p>
    <w:p w14:paraId="2091634D" w14:textId="319AE168" w:rsidR="009E0AE6" w:rsidRDefault="009E0AE6" w:rsidP="009E0AE6">
      <w:pPr>
        <w:pStyle w:val="Heading2"/>
      </w:pPr>
      <w:r>
        <w:t>Introduction</w:t>
      </w:r>
    </w:p>
    <w:p w14:paraId="32422CFC" w14:textId="6BE20C02" w:rsidR="009E0AE6" w:rsidRDefault="00EF7580" w:rsidP="009E0AE6">
      <w:r>
        <w:t xml:space="preserve">The Gateway Network Governance Body </w:t>
      </w:r>
      <w:r w:rsidR="00074EC1">
        <w:t>Limited seeks to make a</w:t>
      </w:r>
      <w:r w:rsidR="00CD1F75">
        <w:t xml:space="preserve"> limited</w:t>
      </w:r>
      <w:r w:rsidR="00074EC1">
        <w:t xml:space="preserve"> submission in relation to only one aspect of the Draft Report on Superannuation: Alternative Default Models, being the</w:t>
      </w:r>
      <w:r w:rsidR="00BB1B6B">
        <w:t xml:space="preserve"> question of whether there is a</w:t>
      </w:r>
      <w:r w:rsidR="00074EC1">
        <w:t xml:space="preserve"> case </w:t>
      </w:r>
      <w:r w:rsidR="00CD1F75">
        <w:t xml:space="preserve">for a central clearing house. </w:t>
      </w:r>
      <w:r w:rsidR="00074EC1">
        <w:t xml:space="preserve"> </w:t>
      </w:r>
    </w:p>
    <w:p w14:paraId="3DA2CC6B" w14:textId="4EAC9A35" w:rsidR="00CD1F75" w:rsidRDefault="00CD1F75" w:rsidP="009E0AE6">
      <w:r>
        <w:t xml:space="preserve">The Gateway Network Governance Body Limited </w:t>
      </w:r>
      <w:r w:rsidR="0083316F">
        <w:t xml:space="preserve">urges that </w:t>
      </w:r>
      <w:r w:rsidR="0083316F" w:rsidRPr="0083316F">
        <w:t>before the Commission consider recomme</w:t>
      </w:r>
      <w:r w:rsidR="0083316F">
        <w:t>nding a central</w:t>
      </w:r>
      <w:r w:rsidR="0083316F" w:rsidRPr="0083316F">
        <w:t xml:space="preserve"> clearing house, first assess the extent to which the policy objectives outlin</w:t>
      </w:r>
      <w:r w:rsidR="0083316F">
        <w:t>ed by establishing a central</w:t>
      </w:r>
      <w:r w:rsidR="0083316F" w:rsidRPr="0083316F">
        <w:t xml:space="preserve"> clearing house are already achieved by the </w:t>
      </w:r>
      <w:r w:rsidR="0083316F">
        <w:t>established Superannuation Transaction Network</w:t>
      </w:r>
      <w:r>
        <w:t>, and seeks in this submission to provide further detail to the Commission on the current arrangements</w:t>
      </w:r>
      <w:r w:rsidR="00BE539D">
        <w:t>.</w:t>
      </w:r>
    </w:p>
    <w:p w14:paraId="4EA4C1E3" w14:textId="4EC142C7" w:rsidR="00A30430" w:rsidRDefault="00A30430" w:rsidP="00A30430">
      <w:pPr>
        <w:pStyle w:val="Heading2"/>
      </w:pPr>
      <w:r>
        <w:t>Executive Summary</w:t>
      </w:r>
    </w:p>
    <w:p w14:paraId="672BA30F" w14:textId="676EDAF9" w:rsidR="00A30430" w:rsidRDefault="00A30430" w:rsidP="00A30430">
      <w:pPr>
        <w:tabs>
          <w:tab w:val="left" w:pos="8086"/>
        </w:tabs>
      </w:pPr>
      <w:r>
        <w:t xml:space="preserve">The </w:t>
      </w:r>
      <w:proofErr w:type="spellStart"/>
      <w:r>
        <w:t>GNGB</w:t>
      </w:r>
      <w:proofErr w:type="spellEnd"/>
      <w:r>
        <w:t xml:space="preserve"> is concerned that the creation of a central clearing house could undermine the efficiencies already gained with the introduction of </w:t>
      </w:r>
      <w:proofErr w:type="spellStart"/>
      <w:r>
        <w:t>SuperStream</w:t>
      </w:r>
      <w:proofErr w:type="spellEnd"/>
      <w:r>
        <w:t xml:space="preserve">, and introduce further change to a system that has established stability in the electronic transaction environment for superannuation. It is our assertion that the objectives intended by a single, centralised clearing house are currently being met effectively and efficiently by the implementation of </w:t>
      </w:r>
      <w:proofErr w:type="spellStart"/>
      <w:r>
        <w:t>SuperStream</w:t>
      </w:r>
      <w:proofErr w:type="spellEnd"/>
      <w:r>
        <w:t xml:space="preserve"> and the operation of the Superannuation Transaction Network.</w:t>
      </w:r>
    </w:p>
    <w:p w14:paraId="67E26D9B" w14:textId="77777777" w:rsidR="00A30430" w:rsidRDefault="00A30430">
      <w:pPr>
        <w:spacing w:before="0" w:after="160"/>
        <w:rPr>
          <w:rFonts w:asciiTheme="majorHAnsi" w:eastAsiaTheme="majorEastAsia" w:hAnsiTheme="majorHAnsi" w:cstheme="majorBidi"/>
          <w:color w:val="C45911" w:themeColor="accent2" w:themeShade="BF"/>
          <w:sz w:val="26"/>
          <w:szCs w:val="26"/>
        </w:rPr>
      </w:pPr>
      <w:r>
        <w:br w:type="page"/>
      </w:r>
    </w:p>
    <w:p w14:paraId="3FF08493" w14:textId="540BE87A" w:rsidR="009E0AE6" w:rsidRDefault="009E0AE6" w:rsidP="00CF0F35">
      <w:pPr>
        <w:pStyle w:val="Heading2"/>
      </w:pPr>
      <w:r>
        <w:lastRenderedPageBreak/>
        <w:t>The Gateway Network Governance Body Limited</w:t>
      </w:r>
      <w:r w:rsidR="00BE539D">
        <w:t xml:space="preserve"> and the Superannuation Transaction Network</w:t>
      </w:r>
    </w:p>
    <w:p w14:paraId="1EB421C6" w14:textId="6DEDBA2B" w:rsidR="00B33341" w:rsidRDefault="009E0AE6" w:rsidP="00A30430">
      <w:r>
        <w:t xml:space="preserve">The Gateway Network Governance Body </w:t>
      </w:r>
      <w:r w:rsidR="00325916">
        <w:t>Limited</w:t>
      </w:r>
      <w:r w:rsidR="00D23D69">
        <w:t xml:space="preserve"> (</w:t>
      </w:r>
      <w:proofErr w:type="spellStart"/>
      <w:r w:rsidR="00D23D69">
        <w:t>GNGB</w:t>
      </w:r>
      <w:proofErr w:type="spellEnd"/>
      <w:r w:rsidR="00D23D69">
        <w:t>)</w:t>
      </w:r>
      <w:r w:rsidR="00325916">
        <w:t xml:space="preserve"> was established in September 2016, </w:t>
      </w:r>
      <w:r w:rsidR="00F85092">
        <w:t>as an industry-owned, not-for-profit</w:t>
      </w:r>
      <w:r w:rsidR="00F85092" w:rsidRPr="0092637B">
        <w:t xml:space="preserve"> </w:t>
      </w:r>
      <w:r w:rsidR="0092637B" w:rsidRPr="0092637B">
        <w:t>organis</w:t>
      </w:r>
      <w:r w:rsidR="00F85092" w:rsidRPr="0092637B">
        <w:t>ation</w:t>
      </w:r>
      <w:r w:rsidR="0092637B">
        <w:t xml:space="preserve"> whose purpose is to manage the integrity of the Superannuation Transaction Network (</w:t>
      </w:r>
      <w:proofErr w:type="spellStart"/>
      <w:r w:rsidR="0092637B">
        <w:t>STN</w:t>
      </w:r>
      <w:proofErr w:type="spellEnd"/>
      <w:r w:rsidR="0092637B">
        <w:t>), which is the network created by the Gateway Operators who trans</w:t>
      </w:r>
      <w:r w:rsidR="00D23D69">
        <w:t xml:space="preserve">act superannuation data under the </w:t>
      </w:r>
      <w:proofErr w:type="spellStart"/>
      <w:r w:rsidR="00D23D69">
        <w:t>SuperStream</w:t>
      </w:r>
      <w:proofErr w:type="spellEnd"/>
      <w:r w:rsidR="00D23D69">
        <w:t xml:space="preserve"> Data and Payments Standards. The role of the organisation is to promote the efficiency and effectiveness of the network, monitor compliance, support change and work with the gateways and industry on initiatives that support these objectives. The </w:t>
      </w:r>
      <w:proofErr w:type="spellStart"/>
      <w:r w:rsidR="00D23D69">
        <w:t>GNGB</w:t>
      </w:r>
      <w:proofErr w:type="spellEnd"/>
      <w:r w:rsidR="00D23D69">
        <w:t xml:space="preserve"> was established out of the </w:t>
      </w:r>
      <w:proofErr w:type="spellStart"/>
      <w:r w:rsidR="00D23D69">
        <w:t>SuperStream</w:t>
      </w:r>
      <w:proofErr w:type="spellEnd"/>
      <w:r w:rsidR="00D23D69">
        <w:t xml:space="preserve"> reform program, with early work by industry then the Australian Tax Office to ensure an efficient and cohesive network supporting the industry to meet its obligations.</w:t>
      </w:r>
    </w:p>
    <w:p w14:paraId="57EB1FD5" w14:textId="5BA2504F" w:rsidR="00D23D69" w:rsidRDefault="00D23D69" w:rsidP="00D23D69">
      <w:r>
        <w:t xml:space="preserve">The </w:t>
      </w:r>
      <w:proofErr w:type="spellStart"/>
      <w:r>
        <w:t>GNGB</w:t>
      </w:r>
      <w:proofErr w:type="spellEnd"/>
      <w:r>
        <w:t xml:space="preserve"> has </w:t>
      </w:r>
      <w:r w:rsidR="00CF0F35">
        <w:t xml:space="preserve">support of the superannuation industry, gateways and employer representatives, and </w:t>
      </w:r>
      <w:r w:rsidR="004A14C8">
        <w:t>includes</w:t>
      </w:r>
      <w:r w:rsidR="00CF0F35">
        <w:t xml:space="preserve"> </w:t>
      </w:r>
      <w:r>
        <w:t>as its members the following Co-Sponsors:</w:t>
      </w:r>
    </w:p>
    <w:p w14:paraId="31725D7E" w14:textId="77777777" w:rsidR="00D23D69" w:rsidRDefault="00A1327E" w:rsidP="00D23D69">
      <w:pPr>
        <w:pStyle w:val="ListParagraph"/>
        <w:numPr>
          <w:ilvl w:val="0"/>
          <w:numId w:val="2"/>
        </w:numPr>
      </w:pPr>
      <w:r w:rsidRPr="00D23D69">
        <w:t>Association of Superannuation Finds of Australia (</w:t>
      </w:r>
      <w:proofErr w:type="spellStart"/>
      <w:r w:rsidRPr="00D23D69">
        <w:t>ASFA</w:t>
      </w:r>
      <w:proofErr w:type="spellEnd"/>
      <w:r w:rsidRPr="00D23D69">
        <w:t>)</w:t>
      </w:r>
    </w:p>
    <w:p w14:paraId="038489EA" w14:textId="77777777" w:rsidR="00D23D69" w:rsidRDefault="00A1327E" w:rsidP="00D23D69">
      <w:pPr>
        <w:pStyle w:val="ListParagraph"/>
        <w:numPr>
          <w:ilvl w:val="0"/>
          <w:numId w:val="2"/>
        </w:numPr>
      </w:pPr>
      <w:r w:rsidRPr="00D23D69">
        <w:t>Australian Institute of Superannuation Trustees (</w:t>
      </w:r>
      <w:proofErr w:type="spellStart"/>
      <w:r w:rsidRPr="00D23D69">
        <w:t>AIST</w:t>
      </w:r>
      <w:proofErr w:type="spellEnd"/>
      <w:r w:rsidRPr="00D23D69">
        <w:t>)</w:t>
      </w:r>
    </w:p>
    <w:p w14:paraId="44F5AC61" w14:textId="77777777" w:rsidR="00D23D69" w:rsidRDefault="00A1327E" w:rsidP="00D23D69">
      <w:pPr>
        <w:pStyle w:val="ListParagraph"/>
        <w:numPr>
          <w:ilvl w:val="0"/>
          <w:numId w:val="2"/>
        </w:numPr>
      </w:pPr>
      <w:r w:rsidRPr="00D23D69">
        <w:t>Financial Services Council (</w:t>
      </w:r>
      <w:proofErr w:type="spellStart"/>
      <w:r w:rsidRPr="00D23D69">
        <w:t>FSC</w:t>
      </w:r>
      <w:proofErr w:type="spellEnd"/>
      <w:r w:rsidRPr="00D23D69">
        <w:t>)</w:t>
      </w:r>
    </w:p>
    <w:p w14:paraId="2251A638" w14:textId="4D667E74" w:rsidR="00492293" w:rsidRDefault="00A1327E" w:rsidP="00492293">
      <w:pPr>
        <w:pStyle w:val="ListParagraph"/>
        <w:numPr>
          <w:ilvl w:val="0"/>
          <w:numId w:val="2"/>
        </w:numPr>
      </w:pPr>
      <w:r w:rsidRPr="00D23D69">
        <w:t>Australian Business Software Industry Association (</w:t>
      </w:r>
      <w:proofErr w:type="spellStart"/>
      <w:r w:rsidRPr="00D23D69">
        <w:t>ABSIA</w:t>
      </w:r>
      <w:proofErr w:type="spellEnd"/>
      <w:r w:rsidRPr="00D23D69">
        <w:t>)</w:t>
      </w:r>
    </w:p>
    <w:p w14:paraId="4929D652" w14:textId="66FEA558" w:rsidR="000F7C9C" w:rsidRDefault="000F7C9C" w:rsidP="00BE539D">
      <w:pPr>
        <w:tabs>
          <w:tab w:val="left" w:pos="8086"/>
        </w:tabs>
      </w:pPr>
      <w:r>
        <w:t xml:space="preserve">as well as </w:t>
      </w:r>
      <w:r w:rsidR="00492293">
        <w:t>a</w:t>
      </w:r>
      <w:r w:rsidR="00D23D69">
        <w:t>n Associa</w:t>
      </w:r>
      <w:r>
        <w:t>te Co-Sponsor:</w:t>
      </w:r>
    </w:p>
    <w:p w14:paraId="1CE2206D" w14:textId="77777777" w:rsidR="000F7C9C" w:rsidRDefault="00A1327E" w:rsidP="000F7C9C">
      <w:pPr>
        <w:pStyle w:val="ListParagraph"/>
        <w:numPr>
          <w:ilvl w:val="0"/>
          <w:numId w:val="6"/>
        </w:numPr>
        <w:tabs>
          <w:tab w:val="left" w:pos="8086"/>
        </w:tabs>
      </w:pPr>
      <w:r w:rsidRPr="00D23D69">
        <w:t>Gateway Association and Transaction Exchange (GATE)</w:t>
      </w:r>
      <w:r w:rsidR="000F7C9C">
        <w:t>.</w:t>
      </w:r>
    </w:p>
    <w:p w14:paraId="1CBB008E" w14:textId="7FC6039B" w:rsidR="00256A9D" w:rsidRDefault="00256A9D" w:rsidP="00BE539D">
      <w:pPr>
        <w:tabs>
          <w:tab w:val="left" w:pos="8086"/>
        </w:tabs>
      </w:pPr>
      <w:r>
        <w:t xml:space="preserve">The </w:t>
      </w:r>
      <w:proofErr w:type="spellStart"/>
      <w:r>
        <w:t>GNGB</w:t>
      </w:r>
      <w:proofErr w:type="spellEnd"/>
      <w:r>
        <w:t xml:space="preserve"> roles include engagement with key stakeholders, incl</w:t>
      </w:r>
      <w:r w:rsidR="00DF0A3E">
        <w:t>uding the Australian Tax Office and</w:t>
      </w:r>
      <w:r>
        <w:t xml:space="preserve"> the Australian Prudential Regulatory Authority to ensure that the network remain relevant, reliable, and k</w:t>
      </w:r>
      <w:r w:rsidR="00DF0A3E">
        <w:t xml:space="preserve">eeps </w:t>
      </w:r>
      <w:r>
        <w:t>pace with changes in superannuation.</w:t>
      </w:r>
    </w:p>
    <w:p w14:paraId="5856667B" w14:textId="53151D56" w:rsidR="00492293" w:rsidRDefault="00BE539D" w:rsidP="00BE539D">
      <w:pPr>
        <w:tabs>
          <w:tab w:val="left" w:pos="8086"/>
        </w:tabs>
      </w:pPr>
      <w:r>
        <w:t>The network created by the interoperation of the Gateway Operators in the superannuation system is known as the Superannuation Transaction Network (</w:t>
      </w:r>
      <w:proofErr w:type="spellStart"/>
      <w:r>
        <w:t>STN</w:t>
      </w:r>
      <w:proofErr w:type="spellEnd"/>
      <w:r>
        <w:t xml:space="preserve">). The </w:t>
      </w:r>
      <w:proofErr w:type="spellStart"/>
      <w:r>
        <w:t>GNGB</w:t>
      </w:r>
      <w:proofErr w:type="spellEnd"/>
      <w:r>
        <w:t xml:space="preserve"> meets its governance responsibilities of the </w:t>
      </w:r>
      <w:proofErr w:type="spellStart"/>
      <w:r>
        <w:t>STN</w:t>
      </w:r>
      <w:proofErr w:type="spellEnd"/>
      <w:r>
        <w:t xml:space="preserve"> by the operation of a Memorandum of Understanding between the Gateway Operators and the </w:t>
      </w:r>
      <w:proofErr w:type="spellStart"/>
      <w:r>
        <w:t>GNGB</w:t>
      </w:r>
      <w:proofErr w:type="spellEnd"/>
      <w:r>
        <w:t xml:space="preserve">, which requires compliance with Gateway Standards and associated requirements concerning information security, service level standards, </w:t>
      </w:r>
      <w:r w:rsidR="00256A9D">
        <w:t xml:space="preserve">amongst others. The </w:t>
      </w:r>
      <w:proofErr w:type="spellStart"/>
      <w:r w:rsidR="00256A9D">
        <w:t>GNGB</w:t>
      </w:r>
      <w:proofErr w:type="spellEnd"/>
      <w:r w:rsidR="00256A9D">
        <w:t xml:space="preserve"> carries</w:t>
      </w:r>
      <w:r>
        <w:t xml:space="preserve"> out a range of activities to monitor and manage compliance and interoperability between these providers.</w:t>
      </w:r>
    </w:p>
    <w:p w14:paraId="6C134D0C" w14:textId="6DA814F4" w:rsidR="00256A9D" w:rsidRDefault="00C05880" w:rsidP="00BE539D">
      <w:pPr>
        <w:tabs>
          <w:tab w:val="left" w:pos="8086"/>
        </w:tabs>
      </w:pPr>
      <w:r>
        <w:t xml:space="preserve">The </w:t>
      </w:r>
      <w:proofErr w:type="spellStart"/>
      <w:r>
        <w:t>GNGB</w:t>
      </w:r>
      <w:proofErr w:type="spellEnd"/>
      <w:r>
        <w:t xml:space="preserve"> is governed by a Board, comprising of Directors appointed by members,</w:t>
      </w:r>
      <w:r w:rsidR="008451DB">
        <w:t xml:space="preserve"> and </w:t>
      </w:r>
      <w:r w:rsidR="00B709A9">
        <w:t>an independent Chair.</w:t>
      </w:r>
      <w:r>
        <w:t xml:space="preserve"> </w:t>
      </w:r>
      <w:r w:rsidR="00B709A9">
        <w:t>It</w:t>
      </w:r>
      <w:r>
        <w:t xml:space="preserve"> has two further forums: Gateway Operators Meetings that manage operational matters and implementation of change, and a Technical Working Group that considers technical interoperability and testing matters. The </w:t>
      </w:r>
      <w:proofErr w:type="spellStart"/>
      <w:r>
        <w:t>GNGB</w:t>
      </w:r>
      <w:proofErr w:type="spellEnd"/>
      <w:r>
        <w:t xml:space="preserve"> also has a process for managing potential disputes through a Disputes Resolution Panel. </w:t>
      </w:r>
      <w:r w:rsidR="00256A9D">
        <w:t xml:space="preserve">The </w:t>
      </w:r>
      <w:proofErr w:type="spellStart"/>
      <w:r w:rsidR="00256A9D">
        <w:t>GNGB</w:t>
      </w:r>
      <w:proofErr w:type="spellEnd"/>
      <w:r w:rsidR="00256A9D">
        <w:t xml:space="preserve"> activities include </w:t>
      </w:r>
      <w:r>
        <w:t xml:space="preserve">review and audit of information security requirements </w:t>
      </w:r>
      <w:r w:rsidR="00DF0A3E">
        <w:t xml:space="preserve">to ensure the network is robust and secure, </w:t>
      </w:r>
      <w:r>
        <w:t xml:space="preserve">and a process for managing a Business Continuity Plan in the event of </w:t>
      </w:r>
      <w:r w:rsidR="000F7C9C">
        <w:t>incidents that affect the network.</w:t>
      </w:r>
    </w:p>
    <w:p w14:paraId="4D992866" w14:textId="08C31FED" w:rsidR="00256A9D" w:rsidRDefault="000F7C9C" w:rsidP="00BE539D">
      <w:pPr>
        <w:tabs>
          <w:tab w:val="left" w:pos="8086"/>
        </w:tabs>
        <w:sectPr w:rsidR="00256A9D" w:rsidSect="00A30430">
          <w:headerReference w:type="even" r:id="rId15"/>
          <w:headerReference w:type="default" r:id="rId16"/>
          <w:footerReference w:type="even" r:id="rId17"/>
          <w:footerReference w:type="default" r:id="rId18"/>
          <w:headerReference w:type="first" r:id="rId19"/>
          <w:footerReference w:type="first" r:id="rId20"/>
          <w:pgSz w:w="12240" w:h="15840"/>
          <w:pgMar w:top="2304" w:right="1440" w:bottom="1440" w:left="1440" w:header="720" w:footer="720" w:gutter="0"/>
          <w:cols w:space="720"/>
          <w:titlePg/>
          <w:docGrid w:linePitch="360"/>
        </w:sectPr>
      </w:pPr>
      <w:r>
        <w:lastRenderedPageBreak/>
        <w:t xml:space="preserve">The </w:t>
      </w:r>
      <w:proofErr w:type="spellStart"/>
      <w:r>
        <w:t>GNGB</w:t>
      </w:r>
      <w:proofErr w:type="spellEnd"/>
      <w:r>
        <w:t xml:space="preserve"> m</w:t>
      </w:r>
      <w:r w:rsidR="00256A9D">
        <w:t xml:space="preserve">echanisms </w:t>
      </w:r>
      <w:r>
        <w:t xml:space="preserve">and processes </w:t>
      </w:r>
      <w:r w:rsidR="00256A9D">
        <w:t>also allow for change</w:t>
      </w:r>
      <w:r>
        <w:t xml:space="preserve"> over time</w:t>
      </w:r>
      <w:r w:rsidR="00203B46">
        <w:t xml:space="preserve"> in the network</w:t>
      </w:r>
      <w:r w:rsidR="00256A9D">
        <w:t xml:space="preserve"> </w:t>
      </w:r>
      <w:r>
        <w:t xml:space="preserve">and </w:t>
      </w:r>
      <w:r w:rsidR="00256A9D">
        <w:t>to meet the changing needs of industry</w:t>
      </w:r>
      <w:r>
        <w:t>, regulation and emerging technology change.</w:t>
      </w:r>
    </w:p>
    <w:p w14:paraId="266733CE" w14:textId="0F00A5C5" w:rsidR="009E0AE6" w:rsidRPr="009E0AE6" w:rsidRDefault="00C44C71" w:rsidP="00BE539D">
      <w:pPr>
        <w:pStyle w:val="Heading2"/>
      </w:pPr>
      <w:r>
        <w:lastRenderedPageBreak/>
        <w:t>Gateway Operators</w:t>
      </w:r>
      <w:r w:rsidR="00BE539D">
        <w:t xml:space="preserve"> and Services</w:t>
      </w:r>
    </w:p>
    <w:p w14:paraId="1BC7DA1F" w14:textId="0DD7D78E" w:rsidR="00BE539D" w:rsidRDefault="00074EC1" w:rsidP="000B3A29">
      <w:pPr>
        <w:tabs>
          <w:tab w:val="left" w:pos="8086"/>
        </w:tabs>
      </w:pPr>
      <w:r>
        <w:t xml:space="preserve">As a result of the implementation of </w:t>
      </w:r>
      <w:proofErr w:type="spellStart"/>
      <w:r>
        <w:t>SuperStream</w:t>
      </w:r>
      <w:proofErr w:type="spellEnd"/>
      <w:r>
        <w:t xml:space="preserve"> mandatory Data and Payment Standards across employer</w:t>
      </w:r>
      <w:r w:rsidR="00B709A9">
        <w:t>s</w:t>
      </w:r>
      <w:r>
        <w:t xml:space="preserve"> and</w:t>
      </w:r>
      <w:r w:rsidR="00B709A9">
        <w:t xml:space="preserve"> the</w:t>
      </w:r>
      <w:r>
        <w:t xml:space="preserve"> superannuation industry, most entities engaged providers</w:t>
      </w:r>
      <w:r w:rsidR="00256A9D">
        <w:t>, known as Gateway Operators,</w:t>
      </w:r>
      <w:r>
        <w:t xml:space="preserve"> to meet certain obligations under those requirements. </w:t>
      </w:r>
      <w:r w:rsidR="00256A9D">
        <w:t xml:space="preserve"> Th</w:t>
      </w:r>
      <w:r w:rsidR="00203B46">
        <w:t xml:space="preserve">e Gateway Operators comprise a range of different types of organisations, including </w:t>
      </w:r>
      <w:r>
        <w:t xml:space="preserve">clearing houses, payroll services, specialist data management providers and </w:t>
      </w:r>
      <w:r w:rsidR="00BE539D">
        <w:t xml:space="preserve">self-administered </w:t>
      </w:r>
      <w:r w:rsidR="00203B46">
        <w:t>superannuation funds, serving a range of client types.</w:t>
      </w:r>
    </w:p>
    <w:p w14:paraId="2C983626" w14:textId="7F08F1EB" w:rsidR="00203B46" w:rsidRDefault="00203B46" w:rsidP="00150784">
      <w:pPr>
        <w:tabs>
          <w:tab w:val="left" w:pos="8086"/>
        </w:tabs>
      </w:pPr>
      <w:r>
        <w:t>Gateway Operators offer clearing services, integration into registry systems, data transformation into a standards-compliant format, data integrity screening services, integration into payroll systems, reconciliation services and transaction reporting and monitoring, to meet their various client needs.</w:t>
      </w:r>
    </w:p>
    <w:p w14:paraId="716F7249" w14:textId="39DE5559" w:rsidR="00F05065" w:rsidRDefault="00E64DB0" w:rsidP="00150784">
      <w:pPr>
        <w:tabs>
          <w:tab w:val="left" w:pos="8086"/>
        </w:tabs>
      </w:pPr>
      <w:r>
        <w:t>These services, in a digitised transaction environment, provide vital structures to manage data integrity and payment reconciliation, and support efficient, straight-through processing.</w:t>
      </w:r>
      <w:r w:rsidR="00F05065">
        <w:t xml:space="preserve"> The transaction services provided are therefore a part of a broader landscape of electronic and data services, and meets already</w:t>
      </w:r>
      <w:r w:rsidR="00CF0F35">
        <w:t xml:space="preserve"> many of</w:t>
      </w:r>
      <w:r w:rsidR="00F05065">
        <w:t xml:space="preserve"> the objectives sought by centralising a clearing house.  </w:t>
      </w:r>
    </w:p>
    <w:p w14:paraId="697867E6" w14:textId="59F38723" w:rsidR="00CB3228" w:rsidRDefault="00E64DB0" w:rsidP="00150784">
      <w:pPr>
        <w:tabs>
          <w:tab w:val="left" w:pos="8086"/>
        </w:tabs>
      </w:pPr>
      <w:r>
        <w:t>The industry has made significant investment in electronic transaction capability, and the</w:t>
      </w:r>
      <w:r w:rsidR="005323D2">
        <w:t xml:space="preserve"> associated c</w:t>
      </w:r>
      <w:r w:rsidR="00F05065">
        <w:t xml:space="preserve">ommitment to more efficient processes. The services the </w:t>
      </w:r>
      <w:r w:rsidR="00203B46">
        <w:t>Gateway Operators provide</w:t>
      </w:r>
      <w:r w:rsidR="00F05065">
        <w:t xml:space="preserve"> have assisted and supported these improvements. The management of data, and at times payment, by these providers is part of the landscape of the superannuation industry, and is well-integrated into vital processes within the industry. </w:t>
      </w:r>
    </w:p>
    <w:p w14:paraId="6E941E75" w14:textId="3747D5D1" w:rsidR="00BB1B6B" w:rsidRDefault="00BB1B6B" w:rsidP="00150784">
      <w:pPr>
        <w:tabs>
          <w:tab w:val="left" w:pos="8086"/>
        </w:tabs>
      </w:pPr>
      <w:r>
        <w:t>A consequence of the development of solutions available is that employers have access through a range of options, to low cost and no cost services that ensure that contribut</w:t>
      </w:r>
      <w:r w:rsidR="004E3D7F">
        <w:t>ions can be sent compl</w:t>
      </w:r>
      <w:r>
        <w:t>i</w:t>
      </w:r>
      <w:r w:rsidR="004E3D7F">
        <w:t>a</w:t>
      </w:r>
      <w:r>
        <w:t xml:space="preserve">nt with the </w:t>
      </w:r>
      <w:proofErr w:type="spellStart"/>
      <w:r>
        <w:t>SuperStream</w:t>
      </w:r>
      <w:proofErr w:type="spellEnd"/>
      <w:r>
        <w:t xml:space="preserve"> mandatory Data and Payment Standards, and </w:t>
      </w:r>
      <w:r w:rsidR="00EE19A1">
        <w:t>delivered by Gateway O</w:t>
      </w:r>
      <w:r>
        <w:t xml:space="preserve">perators across the </w:t>
      </w:r>
      <w:proofErr w:type="spellStart"/>
      <w:r>
        <w:t>STN</w:t>
      </w:r>
      <w:proofErr w:type="spellEnd"/>
      <w:r>
        <w:t xml:space="preserve"> to destination </w:t>
      </w:r>
      <w:r w:rsidR="00EE19A1">
        <w:t xml:space="preserve">superannuation </w:t>
      </w:r>
      <w:r>
        <w:t>funds.</w:t>
      </w:r>
    </w:p>
    <w:p w14:paraId="25C7F30A" w14:textId="0120688D" w:rsidR="00CB3228" w:rsidRDefault="00CB3228" w:rsidP="00CB3228">
      <w:pPr>
        <w:pStyle w:val="Heading2"/>
      </w:pPr>
      <w:r>
        <w:t>Conclusion</w:t>
      </w:r>
    </w:p>
    <w:p w14:paraId="023F80FC" w14:textId="44C20F4D" w:rsidR="00E64DB0" w:rsidRDefault="00CF0F35" w:rsidP="00150784">
      <w:pPr>
        <w:tabs>
          <w:tab w:val="left" w:pos="8086"/>
        </w:tabs>
      </w:pPr>
      <w:r>
        <w:t xml:space="preserve">We would ask that </w:t>
      </w:r>
      <w:r w:rsidR="00C05880">
        <w:t xml:space="preserve">any further </w:t>
      </w:r>
      <w:r>
        <w:t>consideration of a central clearing house be the subject of rigorous industry consultation</w:t>
      </w:r>
      <w:r w:rsidR="00C05880">
        <w:t xml:space="preserve"> on the need and value, taking into account the investment to date, and the potential cost and disruption.</w:t>
      </w:r>
    </w:p>
    <w:p w14:paraId="72AFB638" w14:textId="6DBC4232" w:rsidR="00C94BA1" w:rsidRDefault="00C94BA1" w:rsidP="00C94BA1">
      <w:pPr>
        <w:pStyle w:val="Heading2"/>
      </w:pPr>
      <w:r>
        <w:t>Contact details</w:t>
      </w:r>
    </w:p>
    <w:p w14:paraId="6A445D77" w14:textId="3CE307B4" w:rsidR="00C94BA1" w:rsidRDefault="00C94BA1" w:rsidP="00C94BA1">
      <w:r>
        <w:t>We welcome questions or discussion on any matter raised in this submission to:</w:t>
      </w:r>
    </w:p>
    <w:p w14:paraId="403D4DC5" w14:textId="6CAB4C52" w:rsidR="00C94BA1" w:rsidRDefault="00C94BA1" w:rsidP="00B33341">
      <w:pPr>
        <w:spacing w:before="0"/>
      </w:pPr>
      <w:r>
        <w:t>Sarah O’Brien</w:t>
      </w:r>
    </w:p>
    <w:p w14:paraId="029BCE05" w14:textId="589D568B" w:rsidR="00C94BA1" w:rsidRDefault="00C94BA1" w:rsidP="00B33341">
      <w:pPr>
        <w:spacing w:before="0"/>
      </w:pPr>
      <w:r>
        <w:t>Executive Officer</w:t>
      </w:r>
    </w:p>
    <w:p w14:paraId="11B864CF" w14:textId="2D8476A4" w:rsidR="00C94BA1" w:rsidRPr="00C94BA1" w:rsidRDefault="00A82BC6" w:rsidP="008A7E07">
      <w:pPr>
        <w:spacing w:before="0"/>
      </w:pPr>
      <w:r>
        <w:t xml:space="preserve"> </w:t>
      </w:r>
      <w:bookmarkStart w:id="0" w:name="_GoBack"/>
      <w:bookmarkEnd w:id="0"/>
    </w:p>
    <w:p w14:paraId="04AB5D0A" w14:textId="77777777" w:rsidR="00F05065" w:rsidRDefault="00F05065" w:rsidP="00150784">
      <w:pPr>
        <w:tabs>
          <w:tab w:val="left" w:pos="8086"/>
        </w:tabs>
      </w:pPr>
    </w:p>
    <w:sectPr w:rsidR="00F05065" w:rsidSect="00A30430">
      <w:type w:val="continuous"/>
      <w:pgSz w:w="12240" w:h="15840"/>
      <w:pgMar w:top="230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7CCB1" w14:textId="77777777" w:rsidR="000B3A29" w:rsidRDefault="000B3A29" w:rsidP="000B3A29">
      <w:pPr>
        <w:spacing w:line="240" w:lineRule="auto"/>
      </w:pPr>
      <w:r>
        <w:separator/>
      </w:r>
    </w:p>
  </w:endnote>
  <w:endnote w:type="continuationSeparator" w:id="0">
    <w:p w14:paraId="777D6A2D" w14:textId="77777777" w:rsidR="000B3A29" w:rsidRDefault="000B3A29" w:rsidP="000B3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79A8" w14:textId="77777777" w:rsidR="00F5631E" w:rsidRDefault="00F56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41BCB" w14:textId="77777777" w:rsidR="00F5631E" w:rsidRDefault="00F563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27E54" w14:textId="78F31456" w:rsidR="00E9095D" w:rsidRDefault="00E9095D" w:rsidP="00C047D4">
    <w:pPr>
      <w:pStyle w:val="Footer"/>
      <w:rPr>
        <w:rFonts w:ascii="Candara" w:hAnsi="Candara"/>
        <w:color w:val="7F7F7F" w:themeColor="text1" w:themeTint="80"/>
        <w:sz w:val="18"/>
        <w:szCs w:val="18"/>
      </w:rPr>
    </w:pPr>
    <w:r>
      <w:rPr>
        <w:rFonts w:ascii="Candara" w:hAnsi="Candara"/>
        <w:noProof/>
        <w:color w:val="000000" w:themeColor="text1"/>
        <w:sz w:val="18"/>
        <w:szCs w:val="18"/>
        <w:lang w:eastAsia="en-AU"/>
      </w:rPr>
      <mc:AlternateContent>
        <mc:Choice Requires="wps">
          <w:drawing>
            <wp:anchor distT="0" distB="0" distL="114300" distR="114300" simplePos="0" relativeHeight="251660288" behindDoc="0" locked="0" layoutInCell="1" allowOverlap="1" wp14:anchorId="20601D68" wp14:editId="4CA3E486">
              <wp:simplePos x="0" y="0"/>
              <wp:positionH relativeFrom="column">
                <wp:posOffset>-477520</wp:posOffset>
              </wp:positionH>
              <wp:positionV relativeFrom="paragraph">
                <wp:posOffset>85725</wp:posOffset>
              </wp:positionV>
              <wp:extent cx="6899563" cy="9779"/>
              <wp:effectExtent l="0" t="0" r="34925" b="28575"/>
              <wp:wrapNone/>
              <wp:docPr id="3" name="Straight Connector 3"/>
              <wp:cNvGraphicFramePr/>
              <a:graphic xmlns:a="http://schemas.openxmlformats.org/drawingml/2006/main">
                <a:graphicData uri="http://schemas.microsoft.com/office/word/2010/wordprocessingShape">
                  <wps:wsp>
                    <wps:cNvCnPr/>
                    <wps:spPr>
                      <a:xfrm flipV="1">
                        <a:off x="0" y="0"/>
                        <a:ext cx="6899563" cy="9779"/>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7CE16"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6.75pt" to="50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" strokecolor="#a5a5a5 [3206]" strokeweight="1pt">
              <v:stroke joinstyle="miter"/>
            </v:line>
          </w:pict>
        </mc:Fallback>
      </mc:AlternateContent>
    </w:r>
  </w:p>
  <w:p w14:paraId="281A1BDF" w14:textId="790BCB10" w:rsidR="00E9095D" w:rsidRDefault="00C047D4" w:rsidP="00E9095D">
    <w:pPr>
      <w:pStyle w:val="Footer"/>
      <w:rPr>
        <w:rFonts w:ascii="Candara" w:hAnsi="Candara"/>
        <w:color w:val="7F7F7F" w:themeColor="text1" w:themeTint="80"/>
        <w:sz w:val="18"/>
        <w:szCs w:val="18"/>
      </w:rPr>
    </w:pPr>
    <w:r w:rsidRPr="000B3A29">
      <w:rPr>
        <w:rFonts w:ascii="Candara" w:hAnsi="Candara"/>
        <w:color w:val="7F7F7F" w:themeColor="text1" w:themeTint="80"/>
        <w:sz w:val="18"/>
        <w:szCs w:val="18"/>
      </w:rPr>
      <w:t>Gateway Network Governance Body Ltd</w:t>
    </w:r>
    <w:r w:rsidR="00E9095D">
      <w:rPr>
        <w:rFonts w:ascii="Candara" w:hAnsi="Candara"/>
        <w:color w:val="7F7F7F" w:themeColor="text1" w:themeTint="80"/>
        <w:sz w:val="18"/>
        <w:szCs w:val="18"/>
      </w:rPr>
      <w:tab/>
    </w:r>
    <w:r w:rsidR="00E9095D">
      <w:rPr>
        <w:rFonts w:ascii="Candara" w:hAnsi="Candara"/>
        <w:color w:val="7F7F7F" w:themeColor="text1" w:themeTint="80"/>
        <w:sz w:val="18"/>
        <w:szCs w:val="18"/>
      </w:rPr>
      <w:tab/>
    </w:r>
    <w:r w:rsidR="00E9095D" w:rsidRPr="000B3A29">
      <w:rPr>
        <w:rFonts w:ascii="Candara" w:hAnsi="Candara"/>
        <w:color w:val="7F7F7F" w:themeColor="text1" w:themeTint="80"/>
        <w:sz w:val="18"/>
        <w:szCs w:val="18"/>
      </w:rPr>
      <w:t>Level 24, Tower Three, International Towers</w:t>
    </w:r>
  </w:p>
  <w:p w14:paraId="69C040AB" w14:textId="1B2BD786" w:rsidR="00E9095D" w:rsidRDefault="00E9095D" w:rsidP="00E9095D">
    <w:pPr>
      <w:pStyle w:val="Footer"/>
      <w:rPr>
        <w:rFonts w:ascii="Candara" w:hAnsi="Candara"/>
        <w:color w:val="7F7F7F" w:themeColor="text1" w:themeTint="80"/>
        <w:sz w:val="18"/>
        <w:szCs w:val="18"/>
      </w:rPr>
    </w:pPr>
    <w:r w:rsidRPr="000B3A29">
      <w:rPr>
        <w:rFonts w:ascii="Candara" w:hAnsi="Candara"/>
        <w:color w:val="7F7F7F" w:themeColor="text1" w:themeTint="80"/>
        <w:sz w:val="18"/>
        <w:szCs w:val="18"/>
      </w:rPr>
      <w:t>ABN: 93 615</w:t>
    </w:r>
    <w:r>
      <w:rPr>
        <w:rFonts w:ascii="Candara" w:hAnsi="Candara"/>
        <w:color w:val="7F7F7F" w:themeColor="text1" w:themeTint="80"/>
        <w:sz w:val="18"/>
        <w:szCs w:val="18"/>
      </w:rPr>
      <w:t xml:space="preserve"> 159 101</w:t>
    </w:r>
    <w:r>
      <w:rPr>
        <w:rFonts w:ascii="Candara" w:hAnsi="Candara"/>
        <w:color w:val="7F7F7F" w:themeColor="text1" w:themeTint="80"/>
        <w:sz w:val="18"/>
        <w:szCs w:val="18"/>
      </w:rPr>
      <w:tab/>
    </w:r>
    <w:r>
      <w:rPr>
        <w:rFonts w:ascii="Candara" w:hAnsi="Candara"/>
        <w:color w:val="7F7F7F" w:themeColor="text1" w:themeTint="80"/>
        <w:sz w:val="18"/>
        <w:szCs w:val="18"/>
      </w:rPr>
      <w:tab/>
      <w:t xml:space="preserve">300 </w:t>
    </w:r>
    <w:proofErr w:type="spellStart"/>
    <w:r>
      <w:rPr>
        <w:rFonts w:ascii="Candara" w:hAnsi="Candara"/>
        <w:color w:val="7F7F7F" w:themeColor="text1" w:themeTint="80"/>
        <w:sz w:val="18"/>
        <w:szCs w:val="18"/>
      </w:rPr>
      <w:t>Barangaroo</w:t>
    </w:r>
    <w:proofErr w:type="spellEnd"/>
    <w:r>
      <w:rPr>
        <w:rFonts w:ascii="Candara" w:hAnsi="Candara"/>
        <w:color w:val="7F7F7F" w:themeColor="text1" w:themeTint="80"/>
        <w:sz w:val="18"/>
        <w:szCs w:val="18"/>
      </w:rPr>
      <w:t xml:space="preserve"> Ave, </w:t>
    </w:r>
    <w:r w:rsidRPr="000B3A29">
      <w:rPr>
        <w:rFonts w:ascii="Candara" w:hAnsi="Candara"/>
        <w:color w:val="7F7F7F" w:themeColor="text1" w:themeTint="80"/>
        <w:sz w:val="18"/>
        <w:szCs w:val="18"/>
      </w:rPr>
      <w:t>Sydney NSW 2000</w:t>
    </w:r>
  </w:p>
  <w:p w14:paraId="4D72BFA3" w14:textId="720B6D98" w:rsidR="00E9095D" w:rsidRPr="000B3A29" w:rsidRDefault="00E9095D" w:rsidP="00E9095D">
    <w:pPr>
      <w:pStyle w:val="Footer"/>
      <w:rPr>
        <w:rFonts w:ascii="Candara" w:hAnsi="Candara"/>
        <w:color w:val="7F7F7F" w:themeColor="text1" w:themeTint="80"/>
        <w:sz w:val="18"/>
        <w:szCs w:val="18"/>
      </w:rPr>
    </w:pPr>
    <w:r>
      <w:rPr>
        <w:rFonts w:ascii="Candara" w:hAnsi="Candara"/>
        <w:color w:val="7F7F7F" w:themeColor="text1" w:themeTint="80"/>
        <w:sz w:val="18"/>
        <w:szCs w:val="18"/>
      </w:rPr>
      <w:tab/>
    </w:r>
    <w:r>
      <w:rPr>
        <w:rFonts w:ascii="Candara" w:hAnsi="Candara"/>
        <w:color w:val="7F7F7F" w:themeColor="text1" w:themeTint="80"/>
        <w:sz w:val="18"/>
        <w:szCs w:val="18"/>
      </w:rPr>
      <w:tab/>
    </w:r>
    <w:proofErr w:type="spellStart"/>
    <w:r>
      <w:rPr>
        <w:rFonts w:ascii="Candara" w:hAnsi="Candara"/>
        <w:color w:val="7F7F7F" w:themeColor="text1" w:themeTint="80"/>
        <w:sz w:val="18"/>
        <w:szCs w:val="18"/>
      </w:rPr>
      <w:t>www.gngb.com.au</w:t>
    </w:r>
    <w:proofErr w:type="spellEnd"/>
  </w:p>
  <w:p w14:paraId="547A0FE2" w14:textId="77777777" w:rsidR="00E9095D" w:rsidRPr="000B3A29" w:rsidRDefault="00E9095D" w:rsidP="00E9095D">
    <w:pPr>
      <w:pStyle w:val="Footer"/>
      <w:rPr>
        <w:rFonts w:ascii="Candara" w:hAnsi="Candara"/>
        <w:color w:val="7F7F7F" w:themeColor="text1" w:themeTint="80"/>
        <w:sz w:val="18"/>
        <w:szCs w:val="18"/>
      </w:rPr>
    </w:pPr>
  </w:p>
  <w:p w14:paraId="0B4F0869" w14:textId="5867FB22" w:rsidR="00C047D4" w:rsidRPr="000B3A29" w:rsidRDefault="00C047D4" w:rsidP="00C047D4">
    <w:pPr>
      <w:pStyle w:val="Footer"/>
      <w:rPr>
        <w:rFonts w:ascii="Candara" w:hAnsi="Candara"/>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6ABF" w14:textId="77777777" w:rsidR="000B3A29" w:rsidRDefault="000B3A29" w:rsidP="000B3A29">
      <w:pPr>
        <w:spacing w:line="240" w:lineRule="auto"/>
      </w:pPr>
      <w:r>
        <w:separator/>
      </w:r>
    </w:p>
  </w:footnote>
  <w:footnote w:type="continuationSeparator" w:id="0">
    <w:p w14:paraId="02AB47E1" w14:textId="77777777" w:rsidR="000B3A29" w:rsidRDefault="000B3A29" w:rsidP="000B3A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3614F" w14:textId="753AB97C" w:rsidR="00F5631E" w:rsidRDefault="00F56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F65D5" w14:textId="68EAC633" w:rsidR="000B3A29" w:rsidRDefault="000B3A29">
    <w:pPr>
      <w:pStyle w:val="Header"/>
    </w:pPr>
    <w:r>
      <w:rPr>
        <w:noProof/>
        <w:lang w:eastAsia="en-AU"/>
      </w:rPr>
      <w:drawing>
        <wp:anchor distT="0" distB="0" distL="114300" distR="114300" simplePos="0" relativeHeight="251659776" behindDoc="0" locked="0" layoutInCell="1" allowOverlap="1" wp14:anchorId="02F5B84C" wp14:editId="330721EE">
          <wp:simplePos x="0" y="0"/>
          <wp:positionH relativeFrom="margin">
            <wp:align>right</wp:align>
          </wp:positionH>
          <wp:positionV relativeFrom="paragraph">
            <wp:posOffset>44450</wp:posOffset>
          </wp:positionV>
          <wp:extent cx="2178050" cy="688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JPEG cropped.jpg"/>
                  <pic:cNvPicPr/>
                </pic:nvPicPr>
                <pic:blipFill>
                  <a:blip r:embed="rId1">
                    <a:extLst>
                      <a:ext uri="{28A0092B-C50C-407E-A947-70E740481C1C}">
                        <a14:useLocalDpi xmlns:a14="http://schemas.microsoft.com/office/drawing/2010/main" val="0"/>
                      </a:ext>
                    </a:extLst>
                  </a:blip>
                  <a:stretch>
                    <a:fillRect/>
                  </a:stretch>
                </pic:blipFill>
                <pic:spPr>
                  <a:xfrm>
                    <a:off x="0" y="0"/>
                    <a:ext cx="217805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EB053" w14:textId="58E21B36" w:rsidR="00C047D4" w:rsidRDefault="00C047D4">
    <w:pPr>
      <w:pStyle w:val="Header"/>
    </w:pPr>
    <w:r>
      <w:rPr>
        <w:noProof/>
        <w:lang w:eastAsia="en-AU"/>
      </w:rPr>
      <w:drawing>
        <wp:anchor distT="0" distB="0" distL="114300" distR="114300" simplePos="0" relativeHeight="251659264" behindDoc="0" locked="0" layoutInCell="1" allowOverlap="1" wp14:anchorId="31E6AF3D" wp14:editId="348259C3">
          <wp:simplePos x="0" y="0"/>
          <wp:positionH relativeFrom="margin">
            <wp:posOffset>3924935</wp:posOffset>
          </wp:positionH>
          <wp:positionV relativeFrom="paragraph">
            <wp:posOffset>69850</wp:posOffset>
          </wp:positionV>
          <wp:extent cx="2044583" cy="6477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EG cropped.jpg"/>
                  <pic:cNvPicPr/>
                </pic:nvPicPr>
                <pic:blipFill>
                  <a:blip r:embed="rId1">
                    <a:extLst>
                      <a:ext uri="{28A0092B-C50C-407E-A947-70E740481C1C}">
                        <a14:useLocalDpi xmlns:a14="http://schemas.microsoft.com/office/drawing/2010/main" val="0"/>
                      </a:ext>
                    </a:extLst>
                  </a:blip>
                  <a:stretch>
                    <a:fillRect/>
                  </a:stretch>
                </pic:blipFill>
                <pic:spPr>
                  <a:xfrm>
                    <a:off x="0" y="0"/>
                    <a:ext cx="2044583" cy="6477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3DDD"/>
    <w:multiLevelType w:val="hybridMultilevel"/>
    <w:tmpl w:val="EE283B16"/>
    <w:lvl w:ilvl="0" w:tplc="43CE9048">
      <w:start w:val="1"/>
      <w:numFmt w:val="bullet"/>
      <w:lvlText w:val="◦"/>
      <w:lvlJc w:val="left"/>
      <w:pPr>
        <w:tabs>
          <w:tab w:val="num" w:pos="720"/>
        </w:tabs>
        <w:ind w:left="720" w:hanging="360"/>
      </w:pPr>
      <w:rPr>
        <w:rFonts w:ascii="Calibri" w:hAnsi="Calibri" w:hint="default"/>
      </w:rPr>
    </w:lvl>
    <w:lvl w:ilvl="1" w:tplc="AAFE7134">
      <w:start w:val="1"/>
      <w:numFmt w:val="bullet"/>
      <w:lvlText w:val="◦"/>
      <w:lvlJc w:val="left"/>
      <w:pPr>
        <w:tabs>
          <w:tab w:val="num" w:pos="1440"/>
        </w:tabs>
        <w:ind w:left="1440" w:hanging="360"/>
      </w:pPr>
      <w:rPr>
        <w:rFonts w:ascii="Calibri" w:hAnsi="Calibri" w:hint="default"/>
      </w:rPr>
    </w:lvl>
    <w:lvl w:ilvl="2" w:tplc="4AFC122A" w:tentative="1">
      <w:start w:val="1"/>
      <w:numFmt w:val="bullet"/>
      <w:lvlText w:val="◦"/>
      <w:lvlJc w:val="left"/>
      <w:pPr>
        <w:tabs>
          <w:tab w:val="num" w:pos="2160"/>
        </w:tabs>
        <w:ind w:left="2160" w:hanging="360"/>
      </w:pPr>
      <w:rPr>
        <w:rFonts w:ascii="Calibri" w:hAnsi="Calibri" w:hint="default"/>
      </w:rPr>
    </w:lvl>
    <w:lvl w:ilvl="3" w:tplc="34DE7670" w:tentative="1">
      <w:start w:val="1"/>
      <w:numFmt w:val="bullet"/>
      <w:lvlText w:val="◦"/>
      <w:lvlJc w:val="left"/>
      <w:pPr>
        <w:tabs>
          <w:tab w:val="num" w:pos="2880"/>
        </w:tabs>
        <w:ind w:left="2880" w:hanging="360"/>
      </w:pPr>
      <w:rPr>
        <w:rFonts w:ascii="Calibri" w:hAnsi="Calibri" w:hint="default"/>
      </w:rPr>
    </w:lvl>
    <w:lvl w:ilvl="4" w:tplc="0C1CFA64" w:tentative="1">
      <w:start w:val="1"/>
      <w:numFmt w:val="bullet"/>
      <w:lvlText w:val="◦"/>
      <w:lvlJc w:val="left"/>
      <w:pPr>
        <w:tabs>
          <w:tab w:val="num" w:pos="3600"/>
        </w:tabs>
        <w:ind w:left="3600" w:hanging="360"/>
      </w:pPr>
      <w:rPr>
        <w:rFonts w:ascii="Calibri" w:hAnsi="Calibri" w:hint="default"/>
      </w:rPr>
    </w:lvl>
    <w:lvl w:ilvl="5" w:tplc="7AB4D676" w:tentative="1">
      <w:start w:val="1"/>
      <w:numFmt w:val="bullet"/>
      <w:lvlText w:val="◦"/>
      <w:lvlJc w:val="left"/>
      <w:pPr>
        <w:tabs>
          <w:tab w:val="num" w:pos="4320"/>
        </w:tabs>
        <w:ind w:left="4320" w:hanging="360"/>
      </w:pPr>
      <w:rPr>
        <w:rFonts w:ascii="Calibri" w:hAnsi="Calibri" w:hint="default"/>
      </w:rPr>
    </w:lvl>
    <w:lvl w:ilvl="6" w:tplc="F8020FCC" w:tentative="1">
      <w:start w:val="1"/>
      <w:numFmt w:val="bullet"/>
      <w:lvlText w:val="◦"/>
      <w:lvlJc w:val="left"/>
      <w:pPr>
        <w:tabs>
          <w:tab w:val="num" w:pos="5040"/>
        </w:tabs>
        <w:ind w:left="5040" w:hanging="360"/>
      </w:pPr>
      <w:rPr>
        <w:rFonts w:ascii="Calibri" w:hAnsi="Calibri" w:hint="default"/>
      </w:rPr>
    </w:lvl>
    <w:lvl w:ilvl="7" w:tplc="801065BE" w:tentative="1">
      <w:start w:val="1"/>
      <w:numFmt w:val="bullet"/>
      <w:lvlText w:val="◦"/>
      <w:lvlJc w:val="left"/>
      <w:pPr>
        <w:tabs>
          <w:tab w:val="num" w:pos="5760"/>
        </w:tabs>
        <w:ind w:left="5760" w:hanging="360"/>
      </w:pPr>
      <w:rPr>
        <w:rFonts w:ascii="Calibri" w:hAnsi="Calibri" w:hint="default"/>
      </w:rPr>
    </w:lvl>
    <w:lvl w:ilvl="8" w:tplc="9A10F002" w:tentative="1">
      <w:start w:val="1"/>
      <w:numFmt w:val="bullet"/>
      <w:lvlText w:val="◦"/>
      <w:lvlJc w:val="left"/>
      <w:pPr>
        <w:tabs>
          <w:tab w:val="num" w:pos="6480"/>
        </w:tabs>
        <w:ind w:left="6480" w:hanging="360"/>
      </w:pPr>
      <w:rPr>
        <w:rFonts w:ascii="Calibri" w:hAnsi="Calibri" w:hint="default"/>
      </w:rPr>
    </w:lvl>
  </w:abstractNum>
  <w:abstractNum w:abstractNumId="1">
    <w:nsid w:val="41953E9A"/>
    <w:multiLevelType w:val="hybridMultilevel"/>
    <w:tmpl w:val="D076E1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59607CA8"/>
    <w:multiLevelType w:val="hybridMultilevel"/>
    <w:tmpl w:val="379E17DA"/>
    <w:lvl w:ilvl="0" w:tplc="73B43688">
      <w:start w:val="1"/>
      <w:numFmt w:val="bullet"/>
      <w:lvlText w:val="◦"/>
      <w:lvlJc w:val="left"/>
      <w:pPr>
        <w:tabs>
          <w:tab w:val="num" w:pos="720"/>
        </w:tabs>
        <w:ind w:left="720" w:hanging="360"/>
      </w:pPr>
      <w:rPr>
        <w:rFonts w:ascii="Calibri" w:hAnsi="Calibri" w:hint="default"/>
      </w:rPr>
    </w:lvl>
    <w:lvl w:ilvl="1" w:tplc="852C4C20">
      <w:start w:val="1"/>
      <w:numFmt w:val="bullet"/>
      <w:lvlText w:val="◦"/>
      <w:lvlJc w:val="left"/>
      <w:pPr>
        <w:tabs>
          <w:tab w:val="num" w:pos="1440"/>
        </w:tabs>
        <w:ind w:left="1440" w:hanging="360"/>
      </w:pPr>
      <w:rPr>
        <w:rFonts w:ascii="Calibri" w:hAnsi="Calibri" w:hint="default"/>
      </w:rPr>
    </w:lvl>
    <w:lvl w:ilvl="2" w:tplc="EA788236" w:tentative="1">
      <w:start w:val="1"/>
      <w:numFmt w:val="bullet"/>
      <w:lvlText w:val="◦"/>
      <w:lvlJc w:val="left"/>
      <w:pPr>
        <w:tabs>
          <w:tab w:val="num" w:pos="2160"/>
        </w:tabs>
        <w:ind w:left="2160" w:hanging="360"/>
      </w:pPr>
      <w:rPr>
        <w:rFonts w:ascii="Calibri" w:hAnsi="Calibri" w:hint="default"/>
      </w:rPr>
    </w:lvl>
    <w:lvl w:ilvl="3" w:tplc="AF942D9A" w:tentative="1">
      <w:start w:val="1"/>
      <w:numFmt w:val="bullet"/>
      <w:lvlText w:val="◦"/>
      <w:lvlJc w:val="left"/>
      <w:pPr>
        <w:tabs>
          <w:tab w:val="num" w:pos="2880"/>
        </w:tabs>
        <w:ind w:left="2880" w:hanging="360"/>
      </w:pPr>
      <w:rPr>
        <w:rFonts w:ascii="Calibri" w:hAnsi="Calibri" w:hint="default"/>
      </w:rPr>
    </w:lvl>
    <w:lvl w:ilvl="4" w:tplc="F7B0D818" w:tentative="1">
      <w:start w:val="1"/>
      <w:numFmt w:val="bullet"/>
      <w:lvlText w:val="◦"/>
      <w:lvlJc w:val="left"/>
      <w:pPr>
        <w:tabs>
          <w:tab w:val="num" w:pos="3600"/>
        </w:tabs>
        <w:ind w:left="3600" w:hanging="360"/>
      </w:pPr>
      <w:rPr>
        <w:rFonts w:ascii="Calibri" w:hAnsi="Calibri" w:hint="default"/>
      </w:rPr>
    </w:lvl>
    <w:lvl w:ilvl="5" w:tplc="C4BC130C" w:tentative="1">
      <w:start w:val="1"/>
      <w:numFmt w:val="bullet"/>
      <w:lvlText w:val="◦"/>
      <w:lvlJc w:val="left"/>
      <w:pPr>
        <w:tabs>
          <w:tab w:val="num" w:pos="4320"/>
        </w:tabs>
        <w:ind w:left="4320" w:hanging="360"/>
      </w:pPr>
      <w:rPr>
        <w:rFonts w:ascii="Calibri" w:hAnsi="Calibri" w:hint="default"/>
      </w:rPr>
    </w:lvl>
    <w:lvl w:ilvl="6" w:tplc="31C6C0BC" w:tentative="1">
      <w:start w:val="1"/>
      <w:numFmt w:val="bullet"/>
      <w:lvlText w:val="◦"/>
      <w:lvlJc w:val="left"/>
      <w:pPr>
        <w:tabs>
          <w:tab w:val="num" w:pos="5040"/>
        </w:tabs>
        <w:ind w:left="5040" w:hanging="360"/>
      </w:pPr>
      <w:rPr>
        <w:rFonts w:ascii="Calibri" w:hAnsi="Calibri" w:hint="default"/>
      </w:rPr>
    </w:lvl>
    <w:lvl w:ilvl="7" w:tplc="9788C89C" w:tentative="1">
      <w:start w:val="1"/>
      <w:numFmt w:val="bullet"/>
      <w:lvlText w:val="◦"/>
      <w:lvlJc w:val="left"/>
      <w:pPr>
        <w:tabs>
          <w:tab w:val="num" w:pos="5760"/>
        </w:tabs>
        <w:ind w:left="5760" w:hanging="360"/>
      </w:pPr>
      <w:rPr>
        <w:rFonts w:ascii="Calibri" w:hAnsi="Calibri" w:hint="default"/>
      </w:rPr>
    </w:lvl>
    <w:lvl w:ilvl="8" w:tplc="C16CF3D2" w:tentative="1">
      <w:start w:val="1"/>
      <w:numFmt w:val="bullet"/>
      <w:lvlText w:val="◦"/>
      <w:lvlJc w:val="left"/>
      <w:pPr>
        <w:tabs>
          <w:tab w:val="num" w:pos="6480"/>
        </w:tabs>
        <w:ind w:left="6480" w:hanging="360"/>
      </w:pPr>
      <w:rPr>
        <w:rFonts w:ascii="Calibri" w:hAnsi="Calibri" w:hint="default"/>
      </w:rPr>
    </w:lvl>
  </w:abstractNum>
  <w:abstractNum w:abstractNumId="3">
    <w:nsid w:val="5A7B7825"/>
    <w:multiLevelType w:val="hybridMultilevel"/>
    <w:tmpl w:val="D096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650F2C86"/>
    <w:multiLevelType w:val="hybridMultilevel"/>
    <w:tmpl w:val="7B7CA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2305F8F"/>
    <w:multiLevelType w:val="hybridMultilevel"/>
    <w:tmpl w:val="8EF6F2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29"/>
    <w:rsid w:val="00057430"/>
    <w:rsid w:val="00074EC1"/>
    <w:rsid w:val="000B3A29"/>
    <w:rsid w:val="000F7C9C"/>
    <w:rsid w:val="00150784"/>
    <w:rsid w:val="00203B46"/>
    <w:rsid w:val="00256A9D"/>
    <w:rsid w:val="003243D6"/>
    <w:rsid w:val="00325916"/>
    <w:rsid w:val="00492293"/>
    <w:rsid w:val="004A14C8"/>
    <w:rsid w:val="004E3D7F"/>
    <w:rsid w:val="00515AC3"/>
    <w:rsid w:val="005323D2"/>
    <w:rsid w:val="006630A5"/>
    <w:rsid w:val="006E664C"/>
    <w:rsid w:val="0083316F"/>
    <w:rsid w:val="008451DB"/>
    <w:rsid w:val="0086668D"/>
    <w:rsid w:val="008A7E07"/>
    <w:rsid w:val="0092637B"/>
    <w:rsid w:val="00936F2E"/>
    <w:rsid w:val="009E0AE6"/>
    <w:rsid w:val="009F3062"/>
    <w:rsid w:val="00A1327E"/>
    <w:rsid w:val="00A30430"/>
    <w:rsid w:val="00A63E7E"/>
    <w:rsid w:val="00A82BC6"/>
    <w:rsid w:val="00A85E89"/>
    <w:rsid w:val="00B33341"/>
    <w:rsid w:val="00B709A9"/>
    <w:rsid w:val="00BB1B6B"/>
    <w:rsid w:val="00BE539D"/>
    <w:rsid w:val="00BF1656"/>
    <w:rsid w:val="00C047D4"/>
    <w:rsid w:val="00C05880"/>
    <w:rsid w:val="00C44C71"/>
    <w:rsid w:val="00C94BA1"/>
    <w:rsid w:val="00CB3228"/>
    <w:rsid w:val="00CD0E8D"/>
    <w:rsid w:val="00CD1F75"/>
    <w:rsid w:val="00CF0F35"/>
    <w:rsid w:val="00D23D69"/>
    <w:rsid w:val="00DF0A3E"/>
    <w:rsid w:val="00E64DB0"/>
    <w:rsid w:val="00E7290D"/>
    <w:rsid w:val="00E9095D"/>
    <w:rsid w:val="00EE19A1"/>
    <w:rsid w:val="00EF7580"/>
    <w:rsid w:val="00F05065"/>
    <w:rsid w:val="00F5631E"/>
    <w:rsid w:val="00F85092"/>
    <w:rsid w:val="00F9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0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E6"/>
    <w:pPr>
      <w:spacing w:before="120" w:after="0"/>
    </w:pPr>
    <w:rPr>
      <w:lang w:val="en-AU"/>
    </w:rPr>
  </w:style>
  <w:style w:type="paragraph" w:styleId="Heading1">
    <w:name w:val="heading 1"/>
    <w:basedOn w:val="Normal"/>
    <w:next w:val="Normal"/>
    <w:link w:val="Heading1Char"/>
    <w:uiPriority w:val="9"/>
    <w:qFormat/>
    <w:rsid w:val="009E0AE6"/>
    <w:pPr>
      <w:keepNext/>
      <w:keepLines/>
      <w:spacing w:before="240"/>
      <w:outlineLvl w:val="0"/>
    </w:pPr>
    <w:rPr>
      <w:rFonts w:asciiTheme="majorHAnsi" w:eastAsiaTheme="majorEastAsia" w:hAnsiTheme="majorHAnsi" w:cstheme="majorBidi"/>
      <w:color w:val="C45911" w:themeColor="accent2" w:themeShade="BF"/>
      <w:sz w:val="32"/>
      <w:szCs w:val="32"/>
    </w:rPr>
  </w:style>
  <w:style w:type="paragraph" w:styleId="Heading2">
    <w:name w:val="heading 2"/>
    <w:basedOn w:val="Normal"/>
    <w:next w:val="Normal"/>
    <w:link w:val="Heading2Char"/>
    <w:uiPriority w:val="9"/>
    <w:unhideWhenUsed/>
    <w:qFormat/>
    <w:rsid w:val="009E0AE6"/>
    <w:pPr>
      <w:keepNext/>
      <w:keepLines/>
      <w:spacing w:before="240"/>
      <w:outlineLvl w:val="1"/>
    </w:pPr>
    <w:rPr>
      <w:rFonts w:asciiTheme="majorHAnsi" w:eastAsiaTheme="majorEastAsia" w:hAnsiTheme="majorHAnsi"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A29"/>
    <w:pPr>
      <w:tabs>
        <w:tab w:val="center" w:pos="4680"/>
        <w:tab w:val="right" w:pos="9360"/>
      </w:tabs>
      <w:spacing w:line="240" w:lineRule="auto"/>
    </w:pPr>
  </w:style>
  <w:style w:type="character" w:customStyle="1" w:styleId="HeaderChar">
    <w:name w:val="Header Char"/>
    <w:basedOn w:val="DefaultParagraphFont"/>
    <w:link w:val="Header"/>
    <w:uiPriority w:val="99"/>
    <w:rsid w:val="000B3A29"/>
  </w:style>
  <w:style w:type="paragraph" w:styleId="Footer">
    <w:name w:val="footer"/>
    <w:basedOn w:val="Normal"/>
    <w:link w:val="FooterChar"/>
    <w:uiPriority w:val="99"/>
    <w:unhideWhenUsed/>
    <w:rsid w:val="000B3A29"/>
    <w:pPr>
      <w:tabs>
        <w:tab w:val="center" w:pos="4680"/>
        <w:tab w:val="right" w:pos="9360"/>
      </w:tabs>
      <w:spacing w:line="240" w:lineRule="auto"/>
    </w:pPr>
  </w:style>
  <w:style w:type="character" w:customStyle="1" w:styleId="FooterChar">
    <w:name w:val="Footer Char"/>
    <w:basedOn w:val="DefaultParagraphFont"/>
    <w:link w:val="Footer"/>
    <w:uiPriority w:val="99"/>
    <w:rsid w:val="000B3A29"/>
  </w:style>
  <w:style w:type="character" w:customStyle="1" w:styleId="Heading1Char">
    <w:name w:val="Heading 1 Char"/>
    <w:basedOn w:val="DefaultParagraphFont"/>
    <w:link w:val="Heading1"/>
    <w:uiPriority w:val="9"/>
    <w:rsid w:val="009E0AE6"/>
    <w:rPr>
      <w:rFonts w:asciiTheme="majorHAnsi" w:eastAsiaTheme="majorEastAsia" w:hAnsiTheme="majorHAnsi" w:cstheme="majorBidi"/>
      <w:color w:val="C45911" w:themeColor="accent2" w:themeShade="BF"/>
      <w:sz w:val="32"/>
      <w:szCs w:val="32"/>
    </w:rPr>
  </w:style>
  <w:style w:type="character" w:customStyle="1" w:styleId="Heading2Char">
    <w:name w:val="Heading 2 Char"/>
    <w:basedOn w:val="DefaultParagraphFont"/>
    <w:link w:val="Heading2"/>
    <w:uiPriority w:val="9"/>
    <w:rsid w:val="009E0AE6"/>
    <w:rPr>
      <w:rFonts w:asciiTheme="majorHAnsi" w:eastAsiaTheme="majorEastAsia" w:hAnsiTheme="majorHAnsi" w:cstheme="majorBidi"/>
      <w:color w:val="C45911" w:themeColor="accent2" w:themeShade="BF"/>
      <w:sz w:val="26"/>
      <w:szCs w:val="26"/>
    </w:rPr>
  </w:style>
  <w:style w:type="paragraph" w:styleId="ListParagraph">
    <w:name w:val="List Paragraph"/>
    <w:basedOn w:val="Normal"/>
    <w:uiPriority w:val="34"/>
    <w:qFormat/>
    <w:rsid w:val="00D23D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E6"/>
    <w:pPr>
      <w:spacing w:before="120" w:after="0"/>
    </w:pPr>
    <w:rPr>
      <w:lang w:val="en-AU"/>
    </w:rPr>
  </w:style>
  <w:style w:type="paragraph" w:styleId="Heading1">
    <w:name w:val="heading 1"/>
    <w:basedOn w:val="Normal"/>
    <w:next w:val="Normal"/>
    <w:link w:val="Heading1Char"/>
    <w:uiPriority w:val="9"/>
    <w:qFormat/>
    <w:rsid w:val="009E0AE6"/>
    <w:pPr>
      <w:keepNext/>
      <w:keepLines/>
      <w:spacing w:before="240"/>
      <w:outlineLvl w:val="0"/>
    </w:pPr>
    <w:rPr>
      <w:rFonts w:asciiTheme="majorHAnsi" w:eastAsiaTheme="majorEastAsia" w:hAnsiTheme="majorHAnsi" w:cstheme="majorBidi"/>
      <w:color w:val="C45911" w:themeColor="accent2" w:themeShade="BF"/>
      <w:sz w:val="32"/>
      <w:szCs w:val="32"/>
    </w:rPr>
  </w:style>
  <w:style w:type="paragraph" w:styleId="Heading2">
    <w:name w:val="heading 2"/>
    <w:basedOn w:val="Normal"/>
    <w:next w:val="Normal"/>
    <w:link w:val="Heading2Char"/>
    <w:uiPriority w:val="9"/>
    <w:unhideWhenUsed/>
    <w:qFormat/>
    <w:rsid w:val="009E0AE6"/>
    <w:pPr>
      <w:keepNext/>
      <w:keepLines/>
      <w:spacing w:before="240"/>
      <w:outlineLvl w:val="1"/>
    </w:pPr>
    <w:rPr>
      <w:rFonts w:asciiTheme="majorHAnsi" w:eastAsiaTheme="majorEastAsia" w:hAnsiTheme="majorHAnsi"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A29"/>
    <w:pPr>
      <w:tabs>
        <w:tab w:val="center" w:pos="4680"/>
        <w:tab w:val="right" w:pos="9360"/>
      </w:tabs>
      <w:spacing w:line="240" w:lineRule="auto"/>
    </w:pPr>
  </w:style>
  <w:style w:type="character" w:customStyle="1" w:styleId="HeaderChar">
    <w:name w:val="Header Char"/>
    <w:basedOn w:val="DefaultParagraphFont"/>
    <w:link w:val="Header"/>
    <w:uiPriority w:val="99"/>
    <w:rsid w:val="000B3A29"/>
  </w:style>
  <w:style w:type="paragraph" w:styleId="Footer">
    <w:name w:val="footer"/>
    <w:basedOn w:val="Normal"/>
    <w:link w:val="FooterChar"/>
    <w:uiPriority w:val="99"/>
    <w:unhideWhenUsed/>
    <w:rsid w:val="000B3A29"/>
    <w:pPr>
      <w:tabs>
        <w:tab w:val="center" w:pos="4680"/>
        <w:tab w:val="right" w:pos="9360"/>
      </w:tabs>
      <w:spacing w:line="240" w:lineRule="auto"/>
    </w:pPr>
  </w:style>
  <w:style w:type="character" w:customStyle="1" w:styleId="FooterChar">
    <w:name w:val="Footer Char"/>
    <w:basedOn w:val="DefaultParagraphFont"/>
    <w:link w:val="Footer"/>
    <w:uiPriority w:val="99"/>
    <w:rsid w:val="000B3A29"/>
  </w:style>
  <w:style w:type="character" w:customStyle="1" w:styleId="Heading1Char">
    <w:name w:val="Heading 1 Char"/>
    <w:basedOn w:val="DefaultParagraphFont"/>
    <w:link w:val="Heading1"/>
    <w:uiPriority w:val="9"/>
    <w:rsid w:val="009E0AE6"/>
    <w:rPr>
      <w:rFonts w:asciiTheme="majorHAnsi" w:eastAsiaTheme="majorEastAsia" w:hAnsiTheme="majorHAnsi" w:cstheme="majorBidi"/>
      <w:color w:val="C45911" w:themeColor="accent2" w:themeShade="BF"/>
      <w:sz w:val="32"/>
      <w:szCs w:val="32"/>
    </w:rPr>
  </w:style>
  <w:style w:type="character" w:customStyle="1" w:styleId="Heading2Char">
    <w:name w:val="Heading 2 Char"/>
    <w:basedOn w:val="DefaultParagraphFont"/>
    <w:link w:val="Heading2"/>
    <w:uiPriority w:val="9"/>
    <w:rsid w:val="009E0AE6"/>
    <w:rPr>
      <w:rFonts w:asciiTheme="majorHAnsi" w:eastAsiaTheme="majorEastAsia" w:hAnsiTheme="majorHAnsi" w:cstheme="majorBidi"/>
      <w:color w:val="C45911" w:themeColor="accent2" w:themeShade="BF"/>
      <w:sz w:val="26"/>
      <w:szCs w:val="26"/>
    </w:rPr>
  </w:style>
  <w:style w:type="paragraph" w:styleId="ListParagraph">
    <w:name w:val="List Paragraph"/>
    <w:basedOn w:val="Normal"/>
    <w:uiPriority w:val="34"/>
    <w:qFormat/>
    <w:rsid w:val="00D23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68583">
      <w:bodyDiv w:val="1"/>
      <w:marLeft w:val="0"/>
      <w:marRight w:val="0"/>
      <w:marTop w:val="0"/>
      <w:marBottom w:val="0"/>
      <w:divBdr>
        <w:top w:val="none" w:sz="0" w:space="0" w:color="auto"/>
        <w:left w:val="none" w:sz="0" w:space="0" w:color="auto"/>
        <w:bottom w:val="none" w:sz="0" w:space="0" w:color="auto"/>
        <w:right w:val="none" w:sz="0" w:space="0" w:color="auto"/>
      </w:divBdr>
      <w:divsChild>
        <w:div w:id="1145128406">
          <w:marLeft w:val="605"/>
          <w:marRight w:val="0"/>
          <w:marTop w:val="40"/>
          <w:marBottom w:val="80"/>
          <w:divBdr>
            <w:top w:val="none" w:sz="0" w:space="0" w:color="auto"/>
            <w:left w:val="none" w:sz="0" w:space="0" w:color="auto"/>
            <w:bottom w:val="none" w:sz="0" w:space="0" w:color="auto"/>
            <w:right w:val="none" w:sz="0" w:space="0" w:color="auto"/>
          </w:divBdr>
        </w:div>
      </w:divsChild>
    </w:div>
    <w:div w:id="1399864252">
      <w:bodyDiv w:val="1"/>
      <w:marLeft w:val="0"/>
      <w:marRight w:val="0"/>
      <w:marTop w:val="0"/>
      <w:marBottom w:val="0"/>
      <w:divBdr>
        <w:top w:val="none" w:sz="0" w:space="0" w:color="auto"/>
        <w:left w:val="none" w:sz="0" w:space="0" w:color="auto"/>
        <w:bottom w:val="none" w:sz="0" w:space="0" w:color="auto"/>
        <w:right w:val="none" w:sz="0" w:space="0" w:color="auto"/>
      </w:divBdr>
      <w:divsChild>
        <w:div w:id="44723013">
          <w:marLeft w:val="605"/>
          <w:marRight w:val="0"/>
          <w:marTop w:val="40"/>
          <w:marBottom w:val="80"/>
          <w:divBdr>
            <w:top w:val="none" w:sz="0" w:space="0" w:color="auto"/>
            <w:left w:val="none" w:sz="0" w:space="0" w:color="auto"/>
            <w:bottom w:val="none" w:sz="0" w:space="0" w:color="auto"/>
            <w:right w:val="none" w:sz="0" w:space="0" w:color="auto"/>
          </w:divBdr>
        </w:div>
        <w:div w:id="665792433">
          <w:marLeft w:val="605"/>
          <w:marRight w:val="0"/>
          <w:marTop w:val="40"/>
          <w:marBottom w:val="80"/>
          <w:divBdr>
            <w:top w:val="none" w:sz="0" w:space="0" w:color="auto"/>
            <w:left w:val="none" w:sz="0" w:space="0" w:color="auto"/>
            <w:bottom w:val="none" w:sz="0" w:space="0" w:color="auto"/>
            <w:right w:val="none" w:sz="0" w:space="0" w:color="auto"/>
          </w:divBdr>
        </w:div>
        <w:div w:id="389116407">
          <w:marLeft w:val="605"/>
          <w:marRight w:val="0"/>
          <w:marTop w:val="40"/>
          <w:marBottom w:val="80"/>
          <w:divBdr>
            <w:top w:val="none" w:sz="0" w:space="0" w:color="auto"/>
            <w:left w:val="none" w:sz="0" w:space="0" w:color="auto"/>
            <w:bottom w:val="none" w:sz="0" w:space="0" w:color="auto"/>
            <w:right w:val="none" w:sz="0" w:space="0" w:color="auto"/>
          </w:divBdr>
        </w:div>
        <w:div w:id="1122918499">
          <w:marLeft w:val="605"/>
          <w:marRight w:val="0"/>
          <w:marTop w:val="40"/>
          <w:marBottom w:val="80"/>
          <w:divBdr>
            <w:top w:val="none" w:sz="0" w:space="0" w:color="auto"/>
            <w:left w:val="none" w:sz="0" w:space="0" w:color="auto"/>
            <w:bottom w:val="none" w:sz="0" w:space="0" w:color="auto"/>
            <w:right w:val="none" w:sz="0" w:space="0" w:color="auto"/>
          </w:divBdr>
        </w:div>
      </w:divsChild>
    </w:div>
    <w:div w:id="1469860844">
      <w:bodyDiv w:val="1"/>
      <w:marLeft w:val="0"/>
      <w:marRight w:val="0"/>
      <w:marTop w:val="0"/>
      <w:marBottom w:val="0"/>
      <w:divBdr>
        <w:top w:val="none" w:sz="0" w:space="0" w:color="auto"/>
        <w:left w:val="none" w:sz="0" w:space="0" w:color="auto"/>
        <w:bottom w:val="none" w:sz="0" w:space="0" w:color="auto"/>
        <w:right w:val="none" w:sz="0" w:space="0" w:color="auto"/>
      </w:divBdr>
      <w:divsChild>
        <w:div w:id="326053226">
          <w:marLeft w:val="605"/>
          <w:marRight w:val="0"/>
          <w:marTop w:val="40"/>
          <w:marBottom w:val="80"/>
          <w:divBdr>
            <w:top w:val="none" w:sz="0" w:space="0" w:color="auto"/>
            <w:left w:val="none" w:sz="0" w:space="0" w:color="auto"/>
            <w:bottom w:val="none" w:sz="0" w:space="0" w:color="auto"/>
            <w:right w:val="none" w:sz="0" w:space="0" w:color="auto"/>
          </w:divBdr>
        </w:div>
        <w:div w:id="63725905">
          <w:marLeft w:val="605"/>
          <w:marRight w:val="0"/>
          <w:marTop w:val="40"/>
          <w:marBottom w:val="80"/>
          <w:divBdr>
            <w:top w:val="none" w:sz="0" w:space="0" w:color="auto"/>
            <w:left w:val="none" w:sz="0" w:space="0" w:color="auto"/>
            <w:bottom w:val="none" w:sz="0" w:space="0" w:color="auto"/>
            <w:right w:val="none" w:sz="0" w:space="0" w:color="auto"/>
          </w:divBdr>
        </w:div>
        <w:div w:id="185798885">
          <w:marLeft w:val="605"/>
          <w:marRight w:val="0"/>
          <w:marTop w:val="40"/>
          <w:marBottom w:val="80"/>
          <w:divBdr>
            <w:top w:val="none" w:sz="0" w:space="0" w:color="auto"/>
            <w:left w:val="none" w:sz="0" w:space="0" w:color="auto"/>
            <w:bottom w:val="none" w:sz="0" w:space="0" w:color="auto"/>
            <w:right w:val="none" w:sz="0" w:space="0" w:color="auto"/>
          </w:divBdr>
        </w:div>
        <w:div w:id="1816415666">
          <w:marLeft w:val="605"/>
          <w:marRight w:val="0"/>
          <w:marTop w:val="40"/>
          <w:marBottom w:val="80"/>
          <w:divBdr>
            <w:top w:val="none" w:sz="0" w:space="0" w:color="auto"/>
            <w:left w:val="none" w:sz="0" w:space="0" w:color="auto"/>
            <w:bottom w:val="none" w:sz="0" w:space="0" w:color="auto"/>
            <w:right w:val="none" w:sz="0" w:space="0" w:color="auto"/>
          </w:divBdr>
        </w:div>
      </w:divsChild>
    </w:div>
    <w:div w:id="1973320803">
      <w:bodyDiv w:val="1"/>
      <w:marLeft w:val="0"/>
      <w:marRight w:val="0"/>
      <w:marTop w:val="0"/>
      <w:marBottom w:val="0"/>
      <w:divBdr>
        <w:top w:val="none" w:sz="0" w:space="0" w:color="auto"/>
        <w:left w:val="none" w:sz="0" w:space="0" w:color="auto"/>
        <w:bottom w:val="none" w:sz="0" w:space="0" w:color="auto"/>
        <w:right w:val="none" w:sz="0" w:space="0" w:color="auto"/>
      </w:divBdr>
      <w:divsChild>
        <w:div w:id="406926558">
          <w:marLeft w:val="605"/>
          <w:marRight w:val="0"/>
          <w:marTop w:val="40"/>
          <w:marBottom w:val="80"/>
          <w:divBdr>
            <w:top w:val="none" w:sz="0" w:space="0" w:color="auto"/>
            <w:left w:val="none" w:sz="0" w:space="0" w:color="auto"/>
            <w:bottom w:val="none" w:sz="0" w:space="0" w:color="auto"/>
            <w:right w:val="none" w:sz="0" w:space="0" w:color="auto"/>
          </w:divBdr>
        </w:div>
        <w:div w:id="452599278">
          <w:marLeft w:val="605"/>
          <w:marRight w:val="0"/>
          <w:marTop w:val="40"/>
          <w:marBottom w:val="80"/>
          <w:divBdr>
            <w:top w:val="none" w:sz="0" w:space="0" w:color="auto"/>
            <w:left w:val="none" w:sz="0" w:space="0" w:color="auto"/>
            <w:bottom w:val="none" w:sz="0" w:space="0" w:color="auto"/>
            <w:right w:val="none" w:sz="0" w:space="0" w:color="auto"/>
          </w:divBdr>
        </w:div>
        <w:div w:id="951327729">
          <w:marLeft w:val="605"/>
          <w:marRight w:val="0"/>
          <w:marTop w:val="40"/>
          <w:marBottom w:val="80"/>
          <w:divBdr>
            <w:top w:val="none" w:sz="0" w:space="0" w:color="auto"/>
            <w:left w:val="none" w:sz="0" w:space="0" w:color="auto"/>
            <w:bottom w:val="none" w:sz="0" w:space="0" w:color="auto"/>
            <w:right w:val="none" w:sz="0" w:space="0" w:color="auto"/>
          </w:divBdr>
        </w:div>
        <w:div w:id="1641569523">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PCDOC-1092152715-243</_dlc_DocId>
    <_dlc_DocIdUrl xmlns="3f4bcce7-ac1a-4c9d-aa3e-7e77695652db">
      <Url>https://inet.pc.gov.au/pmo/inq/super/_layouts/15/DocIdRedir.aspx?ID=PCDOC-1092152715-243</Url>
      <Description>PCDOC-1092152715-243</Description>
    </_dlc_DocIdUr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008F-35DB-4DC1-A5AB-20AD5FF973F7}">
  <ds:schemaRefs>
    <ds:schemaRef ds:uri="http://schemas.microsoft.com/office/2006/metadata/customXsn"/>
  </ds:schemaRefs>
</ds:datastoreItem>
</file>

<file path=customXml/itemProps2.xml><?xml version="1.0" encoding="utf-8"?>
<ds:datastoreItem xmlns:ds="http://schemas.openxmlformats.org/officeDocument/2006/customXml" ds:itemID="{0B957F4F-2EA6-4D25-9E4D-6B20CE387B1B}">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79EFE30C-96F0-49D8-87E5-651E5F500C98}">
  <ds:schemaRefs>
    <ds:schemaRef ds:uri="Microsoft.SharePoint.Taxonomy.ContentTypeSync"/>
  </ds:schemaRefs>
</ds:datastoreItem>
</file>

<file path=customXml/itemProps4.xml><?xml version="1.0" encoding="utf-8"?>
<ds:datastoreItem xmlns:ds="http://schemas.openxmlformats.org/officeDocument/2006/customXml" ds:itemID="{797EEDB4-F2CE-4F28-A2C9-AF2957C29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15E7BB-87FA-4B88-AE73-358A0AAE7C70}">
  <ds:schemaRefs>
    <ds:schemaRef ds:uri="http://schemas.microsoft.com/sharepoint/v3/contenttype/forms"/>
  </ds:schemaRefs>
</ds:datastoreItem>
</file>

<file path=customXml/itemProps6.xml><?xml version="1.0" encoding="utf-8"?>
<ds:datastoreItem xmlns:ds="http://schemas.openxmlformats.org/officeDocument/2006/customXml" ds:itemID="{85F9C577-2C3D-4E62-93B3-003800B8DF3A}">
  <ds:schemaRefs>
    <ds:schemaRef ds:uri="http://schemas.microsoft.com/sharepoint/events"/>
  </ds:schemaRefs>
</ds:datastoreItem>
</file>

<file path=customXml/itemProps7.xml><?xml version="1.0" encoding="utf-8"?>
<ds:datastoreItem xmlns:ds="http://schemas.openxmlformats.org/officeDocument/2006/customXml" ds:itemID="{BD2E4DFB-ABC4-4003-8F5E-C1100F89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DR72 - GNGB - Alternative Default Fund Models - Public inquiry</vt:lpstr>
    </vt:vector>
  </TitlesOfParts>
  <Company>GNGB</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DR72 - GNGB - Alternative Default Fund Models - Public inquiry</dc:title>
  <dc:subject/>
  <dc:creator>GNGB</dc:creator>
  <cp:keywords/>
  <dc:description/>
  <cp:lastModifiedBy>Pimperl, Mark</cp:lastModifiedBy>
  <cp:revision>18</cp:revision>
  <dcterms:created xsi:type="dcterms:W3CDTF">2017-04-26T06:47:00Z</dcterms:created>
  <dcterms:modified xsi:type="dcterms:W3CDTF">2017-05-01T04:02:00Z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_dlc_DocIdItemGuid">
    <vt:lpwstr>bdfcb360-c7cc-4f87-ae8c-e0da711584bd</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