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4A534" w14:textId="27C291EB" w:rsidR="00CF4015" w:rsidRDefault="001A463D" w:rsidP="001A463D">
      <w:pPr>
        <w:jc w:val="center"/>
        <w:rPr>
          <w:b/>
          <w:sz w:val="32"/>
          <w:szCs w:val="32"/>
          <w:lang w:val="en-AU"/>
        </w:rPr>
      </w:pPr>
      <w:r>
        <w:rPr>
          <w:b/>
          <w:sz w:val="32"/>
          <w:szCs w:val="32"/>
          <w:lang w:val="en-AU"/>
        </w:rPr>
        <w:t>Murray Darling Basin Plan: Five-year Assessment</w:t>
      </w:r>
    </w:p>
    <w:p w14:paraId="6E64B930" w14:textId="27EA5A6C" w:rsidR="001A463D" w:rsidRPr="001A463D" w:rsidRDefault="001A463D" w:rsidP="001A463D">
      <w:pPr>
        <w:pBdr>
          <w:bottom w:val="single" w:sz="4" w:space="1" w:color="auto"/>
        </w:pBdr>
        <w:jc w:val="center"/>
        <w:rPr>
          <w:b/>
          <w:sz w:val="32"/>
          <w:szCs w:val="32"/>
          <w:lang w:val="en-AU"/>
        </w:rPr>
      </w:pPr>
      <w:r>
        <w:rPr>
          <w:b/>
          <w:sz w:val="32"/>
          <w:szCs w:val="32"/>
          <w:lang w:val="en-AU"/>
        </w:rPr>
        <w:t>Submission</w:t>
      </w:r>
      <w:bookmarkStart w:id="0" w:name="_GoBack"/>
      <w:bookmarkEnd w:id="0"/>
    </w:p>
    <w:p w14:paraId="1C1E3FDF" w14:textId="36DB7141" w:rsidR="00F46202" w:rsidRDefault="00F46202" w:rsidP="00F46202">
      <w:pPr>
        <w:rPr>
          <w:lang w:val="en-AU"/>
        </w:rPr>
      </w:pPr>
      <w:r>
        <w:rPr>
          <w:lang w:val="en-AU"/>
        </w:rPr>
        <w:t xml:space="preserve">The attached submission identifies some specific instances </w:t>
      </w:r>
      <w:r w:rsidR="003D217E">
        <w:rPr>
          <w:lang w:val="en-AU"/>
        </w:rPr>
        <w:t xml:space="preserve">where implementation of the Basin Plan </w:t>
      </w:r>
      <w:r w:rsidR="00483B2C">
        <w:rPr>
          <w:lang w:val="en-AU"/>
        </w:rPr>
        <w:t xml:space="preserve">is insufficient and </w:t>
      </w:r>
      <w:r w:rsidR="003D217E">
        <w:rPr>
          <w:lang w:val="en-AU"/>
        </w:rPr>
        <w:t>has fallen short of what is required.</w:t>
      </w:r>
    </w:p>
    <w:p w14:paraId="1CF66823" w14:textId="5546E71A" w:rsidR="00F46202" w:rsidRDefault="00F46202" w:rsidP="00F46202">
      <w:pPr>
        <w:rPr>
          <w:lang w:val="en-AU"/>
        </w:rPr>
      </w:pPr>
      <w:r>
        <w:rPr>
          <w:lang w:val="en-AU"/>
        </w:rPr>
        <w:t xml:space="preserve">Two instances </w:t>
      </w:r>
      <w:r w:rsidR="00CC4925">
        <w:rPr>
          <w:lang w:val="en-AU"/>
        </w:rPr>
        <w:t>are covered</w:t>
      </w:r>
      <w:r>
        <w:rPr>
          <w:lang w:val="en-AU"/>
        </w:rPr>
        <w:t xml:space="preserve"> </w:t>
      </w:r>
      <w:r w:rsidR="00D67E50">
        <w:rPr>
          <w:lang w:val="en-AU"/>
        </w:rPr>
        <w:t>in my submission</w:t>
      </w:r>
      <w:r>
        <w:rPr>
          <w:lang w:val="en-AU"/>
        </w:rPr>
        <w:t>:</w:t>
      </w:r>
    </w:p>
    <w:p w14:paraId="17F62162" w14:textId="6C56AF66" w:rsidR="00F46202" w:rsidRDefault="00F46202" w:rsidP="00F46202">
      <w:pPr>
        <w:pStyle w:val="ListParagraph"/>
        <w:numPr>
          <w:ilvl w:val="0"/>
          <w:numId w:val="6"/>
        </w:numPr>
        <w:rPr>
          <w:lang w:val="en-AU"/>
        </w:rPr>
      </w:pPr>
      <w:r>
        <w:rPr>
          <w:lang w:val="en-AU"/>
        </w:rPr>
        <w:t xml:space="preserve">The changes to the </w:t>
      </w:r>
      <w:r w:rsidR="003D217E">
        <w:rPr>
          <w:lang w:val="en-AU"/>
        </w:rPr>
        <w:t>Sustainable Diversion Limit (</w:t>
      </w:r>
      <w:r>
        <w:rPr>
          <w:lang w:val="en-AU"/>
        </w:rPr>
        <w:t>SDL</w:t>
      </w:r>
      <w:r w:rsidR="003D217E">
        <w:rPr>
          <w:lang w:val="en-AU"/>
        </w:rPr>
        <w:t>)</w:t>
      </w:r>
      <w:r>
        <w:rPr>
          <w:lang w:val="en-AU"/>
        </w:rPr>
        <w:t xml:space="preserve"> which were proposed by the </w:t>
      </w:r>
      <w:r w:rsidR="003D217E">
        <w:rPr>
          <w:lang w:val="en-AU"/>
        </w:rPr>
        <w:t>Murray Darling Basin Authority (</w:t>
      </w:r>
      <w:r>
        <w:rPr>
          <w:lang w:val="en-AU"/>
        </w:rPr>
        <w:t>MDBA</w:t>
      </w:r>
      <w:r w:rsidR="003D217E">
        <w:rPr>
          <w:lang w:val="en-AU"/>
        </w:rPr>
        <w:t>)</w:t>
      </w:r>
      <w:r>
        <w:rPr>
          <w:lang w:val="en-AU"/>
        </w:rPr>
        <w:t xml:space="preserve"> in the Northern Basin</w:t>
      </w:r>
      <w:r w:rsidR="003D710A">
        <w:rPr>
          <w:lang w:val="en-AU"/>
        </w:rPr>
        <w:t xml:space="preserve">; this </w:t>
      </w:r>
      <w:r w:rsidR="003D217E">
        <w:rPr>
          <w:lang w:val="en-AU"/>
        </w:rPr>
        <w:t xml:space="preserve">proposal </w:t>
      </w:r>
      <w:r w:rsidR="003D710A">
        <w:rPr>
          <w:lang w:val="en-AU"/>
        </w:rPr>
        <w:t xml:space="preserve">was </w:t>
      </w:r>
      <w:r w:rsidR="003D217E">
        <w:rPr>
          <w:lang w:val="en-AU"/>
        </w:rPr>
        <w:t>contrary to the requirements of the Water Act</w:t>
      </w:r>
      <w:r>
        <w:rPr>
          <w:lang w:val="en-AU"/>
        </w:rPr>
        <w:t>.</w:t>
      </w:r>
    </w:p>
    <w:p w14:paraId="6128DB5F" w14:textId="3888D5F3" w:rsidR="00F46202" w:rsidRPr="00F46202" w:rsidRDefault="00580047" w:rsidP="00F46202">
      <w:pPr>
        <w:pStyle w:val="ListParagraph"/>
        <w:numPr>
          <w:ilvl w:val="0"/>
          <w:numId w:val="6"/>
        </w:numPr>
        <w:rPr>
          <w:lang w:val="en-AU"/>
        </w:rPr>
      </w:pPr>
      <w:r w:rsidRPr="00580047">
        <w:rPr>
          <w:lang w:val="en-AU"/>
        </w:rPr>
        <w:t xml:space="preserve">Inadequacy of actions to achieve the </w:t>
      </w:r>
      <w:r w:rsidR="00ED06D8">
        <w:rPr>
          <w:lang w:val="en-AU"/>
        </w:rPr>
        <w:t>w</w:t>
      </w:r>
      <w:r w:rsidRPr="00580047">
        <w:rPr>
          <w:lang w:val="en-AU"/>
        </w:rPr>
        <w:t xml:space="preserve">ater </w:t>
      </w:r>
      <w:r w:rsidR="00ED06D8">
        <w:rPr>
          <w:lang w:val="en-AU"/>
        </w:rPr>
        <w:t>q</w:t>
      </w:r>
      <w:r w:rsidRPr="00580047">
        <w:rPr>
          <w:lang w:val="en-AU"/>
        </w:rPr>
        <w:t xml:space="preserve">uality </w:t>
      </w:r>
      <w:r w:rsidR="00ED06D8">
        <w:rPr>
          <w:lang w:val="en-AU"/>
        </w:rPr>
        <w:t>o</w:t>
      </w:r>
      <w:r w:rsidRPr="00580047">
        <w:rPr>
          <w:lang w:val="en-AU"/>
        </w:rPr>
        <w:t>bjectives in the Basin Plan</w:t>
      </w:r>
      <w:r w:rsidR="00F46202">
        <w:rPr>
          <w:lang w:val="en-AU"/>
        </w:rPr>
        <w:t>.</w:t>
      </w:r>
    </w:p>
    <w:p w14:paraId="0635B8C9" w14:textId="3332440E" w:rsidR="00F46202" w:rsidRDefault="003D217E" w:rsidP="00F46202">
      <w:pPr>
        <w:rPr>
          <w:b/>
          <w:lang w:val="en-AU"/>
        </w:rPr>
      </w:pPr>
      <w:r>
        <w:rPr>
          <w:b/>
          <w:lang w:val="en-AU"/>
        </w:rPr>
        <w:t>Proposed c</w:t>
      </w:r>
      <w:r w:rsidR="00F46202">
        <w:rPr>
          <w:b/>
          <w:lang w:val="en-AU"/>
        </w:rPr>
        <w:t>hange to the SDL in the Northern Basin.</w:t>
      </w:r>
      <w:r w:rsidR="00F46202">
        <w:rPr>
          <w:b/>
          <w:lang w:val="en-AU"/>
        </w:rPr>
        <w:tab/>
      </w:r>
    </w:p>
    <w:p w14:paraId="55FEA40D" w14:textId="6FD6713B" w:rsidR="00F46202" w:rsidRDefault="00F46202" w:rsidP="00F46202">
      <w:pPr>
        <w:rPr>
          <w:lang w:val="en-AU"/>
        </w:rPr>
      </w:pPr>
      <w:r w:rsidRPr="00BB7077">
        <w:rPr>
          <w:lang w:val="en-AU"/>
        </w:rPr>
        <w:t>There have been a number of criticisms about the MDBA proposal to increase the SDL in the Northern Basin</w:t>
      </w:r>
      <w:r>
        <w:rPr>
          <w:lang w:val="en-AU"/>
        </w:rPr>
        <w:t xml:space="preserve"> (</w:t>
      </w:r>
      <w:r w:rsidR="00143EC5">
        <w:rPr>
          <w:lang w:val="en-AU"/>
        </w:rPr>
        <w:t>s</w:t>
      </w:r>
      <w:r>
        <w:rPr>
          <w:lang w:val="en-AU"/>
        </w:rPr>
        <w:t>ince disallowed by the Senate)</w:t>
      </w:r>
      <w:r w:rsidRPr="00BB7077">
        <w:rPr>
          <w:lang w:val="en-AU"/>
        </w:rPr>
        <w:t xml:space="preserve">. </w:t>
      </w:r>
      <w:r>
        <w:rPr>
          <w:lang w:val="en-AU"/>
        </w:rPr>
        <w:t xml:space="preserve">For example, the assumptions made in </w:t>
      </w:r>
      <w:r w:rsidR="003D217E">
        <w:rPr>
          <w:lang w:val="en-AU"/>
        </w:rPr>
        <w:t xml:space="preserve">a number of </w:t>
      </w:r>
      <w:r>
        <w:rPr>
          <w:lang w:val="en-AU"/>
        </w:rPr>
        <w:t>the scientific analysis by the MDBA have been questioned</w:t>
      </w:r>
      <w:r w:rsidR="003D217E">
        <w:rPr>
          <w:lang w:val="en-AU"/>
        </w:rPr>
        <w:t xml:space="preserve"> </w:t>
      </w:r>
      <w:r w:rsidR="003D710A">
        <w:rPr>
          <w:lang w:val="en-AU"/>
        </w:rPr>
        <w:t>by some</w:t>
      </w:r>
      <w:r>
        <w:rPr>
          <w:lang w:val="en-AU"/>
        </w:rPr>
        <w:t>. However, even taking the assumptions at face value, it seems apparent that the MDBA ignored the requirements of the Water Act in framing their recommendation.</w:t>
      </w:r>
    </w:p>
    <w:p w14:paraId="2CB6FE2D" w14:textId="3A760EEB" w:rsidR="006F6067" w:rsidRDefault="00F46202" w:rsidP="003D217E">
      <w:pPr>
        <w:rPr>
          <w:b/>
          <w:lang w:val="en-AU"/>
        </w:rPr>
      </w:pPr>
      <w:r>
        <w:rPr>
          <w:lang w:val="en-AU"/>
        </w:rPr>
        <w:t>The definition of ‘Sustainable Diversion Limit’ under the Water Act</w:t>
      </w:r>
      <w:r w:rsidR="00483B2C">
        <w:rPr>
          <w:lang w:val="en-AU"/>
        </w:rPr>
        <w:t xml:space="preserve"> (Sn. 23(1))</w:t>
      </w:r>
      <w:r>
        <w:rPr>
          <w:lang w:val="en-AU"/>
        </w:rPr>
        <w:t xml:space="preserve"> is that it ‘…</w:t>
      </w:r>
      <w:r w:rsidRPr="00BB7077">
        <w:rPr>
          <w:b/>
          <w:lang w:val="en-AU"/>
        </w:rPr>
        <w:t>must</w:t>
      </w:r>
      <w:r>
        <w:rPr>
          <w:lang w:val="en-AU"/>
        </w:rPr>
        <w:t xml:space="preserve"> reflect an environmentally sustainable level of take’, where an environmentally sustainable level of take is the level beyond which, </w:t>
      </w:r>
      <w:r w:rsidRPr="00BB7077">
        <w:rPr>
          <w:i/>
          <w:lang w:val="en-AU"/>
        </w:rPr>
        <w:t>inter alia</w:t>
      </w:r>
      <w:r>
        <w:rPr>
          <w:lang w:val="en-AU"/>
        </w:rPr>
        <w:t>, key environmental assets would be ‘compromised’, or put at risk</w:t>
      </w:r>
      <w:r w:rsidR="00483B2C">
        <w:rPr>
          <w:lang w:val="en-AU"/>
        </w:rPr>
        <w:t xml:space="preserve"> (Sn.4)</w:t>
      </w:r>
      <w:r>
        <w:rPr>
          <w:lang w:val="en-AU"/>
        </w:rPr>
        <w:t xml:space="preserve">. </w:t>
      </w:r>
      <w:r>
        <w:rPr>
          <w:b/>
          <w:lang w:val="en-AU"/>
        </w:rPr>
        <w:t xml:space="preserve">MDBA have no discretion to modify this number on the basis of other considerations. </w:t>
      </w:r>
    </w:p>
    <w:p w14:paraId="2AA54925" w14:textId="6F2E5F79" w:rsidR="003D217E" w:rsidRPr="003D217E" w:rsidRDefault="003D217E" w:rsidP="003D217E">
      <w:pPr>
        <w:rPr>
          <w:lang w:val="en-AU"/>
        </w:rPr>
      </w:pPr>
      <w:r w:rsidRPr="003D217E">
        <w:rPr>
          <w:lang w:val="en-AU"/>
        </w:rPr>
        <w:t>Thus</w:t>
      </w:r>
      <w:r w:rsidR="00580047">
        <w:rPr>
          <w:lang w:val="en-AU"/>
        </w:rPr>
        <w:t>,</w:t>
      </w:r>
      <w:r w:rsidRPr="003D217E">
        <w:rPr>
          <w:lang w:val="en-AU"/>
        </w:rPr>
        <w:t xml:space="preserve"> for a diversion limit to be considered a </w:t>
      </w:r>
      <w:r w:rsidRPr="003D217E">
        <w:rPr>
          <w:u w:val="single"/>
          <w:lang w:val="en-AU"/>
        </w:rPr>
        <w:t>sustainable</w:t>
      </w:r>
      <w:r w:rsidRPr="003D217E">
        <w:rPr>
          <w:lang w:val="en-AU"/>
        </w:rPr>
        <w:t xml:space="preserve"> diversion limit, the level must be such that it does not compromise, or put at risk, key environmental assets. Any proposed diversion limits which do not meet th</w:t>
      </w:r>
      <w:r w:rsidR="00D14A42">
        <w:rPr>
          <w:lang w:val="en-AU"/>
        </w:rPr>
        <w:t>is</w:t>
      </w:r>
      <w:r w:rsidRPr="003D217E">
        <w:rPr>
          <w:lang w:val="en-AU"/>
        </w:rPr>
        <w:t xml:space="preserve"> criteri</w:t>
      </w:r>
      <w:r w:rsidR="00D14A42">
        <w:rPr>
          <w:lang w:val="en-AU"/>
        </w:rPr>
        <w:t>on</w:t>
      </w:r>
      <w:r w:rsidRPr="003D217E">
        <w:rPr>
          <w:lang w:val="en-AU"/>
        </w:rPr>
        <w:t>, i.e. put</w:t>
      </w:r>
      <w:r w:rsidR="00D67E50">
        <w:rPr>
          <w:lang w:val="en-AU"/>
        </w:rPr>
        <w:t>s</w:t>
      </w:r>
      <w:r w:rsidRPr="003D217E">
        <w:rPr>
          <w:lang w:val="en-AU"/>
        </w:rPr>
        <w:t xml:space="preserve"> at risk key environmental assets, cannot be considered as </w:t>
      </w:r>
      <w:r w:rsidRPr="00D14A42">
        <w:rPr>
          <w:u w:val="single"/>
          <w:lang w:val="en-AU"/>
        </w:rPr>
        <w:t xml:space="preserve">sustainable </w:t>
      </w:r>
      <w:r w:rsidRPr="003D217E">
        <w:rPr>
          <w:lang w:val="en-AU"/>
        </w:rPr>
        <w:t>diversion limits</w:t>
      </w:r>
      <w:r w:rsidR="00483B2C">
        <w:rPr>
          <w:lang w:val="en-AU"/>
        </w:rPr>
        <w:t xml:space="preserve"> and would be inconsistent with the requirements of the Water Act</w:t>
      </w:r>
      <w:r w:rsidRPr="003D217E">
        <w:rPr>
          <w:lang w:val="en-AU"/>
        </w:rPr>
        <w:t>.</w:t>
      </w:r>
    </w:p>
    <w:p w14:paraId="563F6A0B" w14:textId="2307AB54" w:rsidR="006F6067" w:rsidRPr="006F6067" w:rsidRDefault="00F46202" w:rsidP="006F6067">
      <w:pPr>
        <w:rPr>
          <w:lang w:val="en-AU"/>
        </w:rPr>
      </w:pPr>
      <w:r w:rsidRPr="006F6067">
        <w:rPr>
          <w:lang w:val="en-AU"/>
        </w:rPr>
        <w:t xml:space="preserve">The results of the MDBAs scientific studies are unequivocal; at the level of take </w:t>
      </w:r>
      <w:r w:rsidR="008348CA">
        <w:rPr>
          <w:lang w:val="en-AU"/>
        </w:rPr>
        <w:t xml:space="preserve">that was </w:t>
      </w:r>
      <w:r w:rsidRPr="006F6067">
        <w:rPr>
          <w:lang w:val="en-AU"/>
        </w:rPr>
        <w:t>proposed, many key environmental assets would be compromised</w:t>
      </w:r>
      <w:r w:rsidR="006F6067">
        <w:rPr>
          <w:lang w:val="en-AU"/>
        </w:rPr>
        <w:t xml:space="preserve"> - </w:t>
      </w:r>
      <w:r w:rsidR="006F6067" w:rsidRPr="006F6067">
        <w:rPr>
          <w:lang w:val="en-AU"/>
        </w:rPr>
        <w:t>only 32 of the 49 environmental indicators would have been met</w:t>
      </w:r>
      <w:r w:rsidR="00D67E50">
        <w:rPr>
          <w:lang w:val="en-AU"/>
        </w:rPr>
        <w:t>,</w:t>
      </w:r>
      <w:r w:rsidR="006F6067" w:rsidRPr="006F6067">
        <w:rPr>
          <w:lang w:val="en-AU"/>
        </w:rPr>
        <w:t xml:space="preserve"> </w:t>
      </w:r>
      <w:r w:rsidR="00D67E50">
        <w:rPr>
          <w:lang w:val="en-AU"/>
        </w:rPr>
        <w:t>(</w:t>
      </w:r>
      <w:r w:rsidR="006F6067" w:rsidRPr="006F6067">
        <w:rPr>
          <w:lang w:val="en-AU"/>
        </w:rPr>
        <w:t xml:space="preserve">where the environmental indicators </w:t>
      </w:r>
      <w:r w:rsidR="00D67E50">
        <w:rPr>
          <w:lang w:val="en-AU"/>
        </w:rPr>
        <w:t>were</w:t>
      </w:r>
      <w:r w:rsidR="006F6067" w:rsidRPr="006F6067">
        <w:rPr>
          <w:lang w:val="en-AU"/>
        </w:rPr>
        <w:t xml:space="preserve"> chosen to identify circumstances under which environmental assets would be compromised</w:t>
      </w:r>
      <w:r w:rsidR="00D67E50">
        <w:rPr>
          <w:lang w:val="en-AU"/>
        </w:rPr>
        <w:t>)</w:t>
      </w:r>
      <w:r w:rsidR="006F6067" w:rsidRPr="006F6067">
        <w:rPr>
          <w:lang w:val="en-AU"/>
        </w:rPr>
        <w:t xml:space="preserve">. In some sub-basins, </w:t>
      </w:r>
      <w:r w:rsidR="006F6067" w:rsidRPr="006F6067">
        <w:rPr>
          <w:b/>
          <w:lang w:val="en-AU"/>
        </w:rPr>
        <w:t>none</w:t>
      </w:r>
      <w:r w:rsidR="006F6067" w:rsidRPr="006F6067">
        <w:rPr>
          <w:lang w:val="en-AU"/>
        </w:rPr>
        <w:t xml:space="preserve"> of the indicators were met. </w:t>
      </w:r>
    </w:p>
    <w:p w14:paraId="02C19AFF" w14:textId="36186901" w:rsidR="00F46202" w:rsidRDefault="006F6067" w:rsidP="00F46202">
      <w:pPr>
        <w:rPr>
          <w:lang w:val="en-AU"/>
        </w:rPr>
      </w:pPr>
      <w:r>
        <w:rPr>
          <w:lang w:val="en-AU"/>
        </w:rPr>
        <w:t>Further</w:t>
      </w:r>
      <w:r w:rsidR="00AF7B65">
        <w:rPr>
          <w:lang w:val="en-AU"/>
        </w:rPr>
        <w:t>,</w:t>
      </w:r>
      <w:r>
        <w:rPr>
          <w:lang w:val="en-AU"/>
        </w:rPr>
        <w:t xml:space="preserve"> conclusions from MDBAs scientific studies included</w:t>
      </w:r>
      <w:r w:rsidR="00F46202">
        <w:rPr>
          <w:lang w:val="en-AU"/>
        </w:rPr>
        <w:t>:</w:t>
      </w:r>
    </w:p>
    <w:p w14:paraId="61DA237D" w14:textId="77777777" w:rsidR="006F6067" w:rsidRDefault="006F6067" w:rsidP="006F6067">
      <w:pPr>
        <w:ind w:left="720"/>
        <w:rPr>
          <w:i/>
          <w:lang w:val="en-AU"/>
        </w:rPr>
      </w:pPr>
      <w:r>
        <w:rPr>
          <w:i/>
          <w:lang w:val="en-AU"/>
        </w:rPr>
        <w:t xml:space="preserve">All recovery scenarios…were a </w:t>
      </w:r>
      <w:r w:rsidRPr="00F22552">
        <w:rPr>
          <w:b/>
          <w:i/>
          <w:u w:val="single"/>
          <w:lang w:val="en-AU"/>
        </w:rPr>
        <w:t>long way</w:t>
      </w:r>
      <w:r>
        <w:rPr>
          <w:i/>
          <w:lang w:val="en-AU"/>
        </w:rPr>
        <w:t xml:space="preserve"> from meeting all the local environmental needs</w:t>
      </w:r>
    </w:p>
    <w:p w14:paraId="08906FFE" w14:textId="77777777" w:rsidR="006F6067" w:rsidRPr="00F22552" w:rsidRDefault="006F6067" w:rsidP="006F6067">
      <w:pPr>
        <w:ind w:left="720"/>
        <w:jc w:val="right"/>
        <w:rPr>
          <w:sz w:val="20"/>
          <w:szCs w:val="20"/>
          <w:lang w:val="en-AU"/>
        </w:rPr>
      </w:pPr>
      <w:r>
        <w:rPr>
          <w:sz w:val="20"/>
          <w:szCs w:val="20"/>
          <w:lang w:val="en-AU"/>
        </w:rPr>
        <w:t>(</w:t>
      </w:r>
      <w:r w:rsidRPr="00F22552">
        <w:rPr>
          <w:b/>
          <w:sz w:val="20"/>
          <w:szCs w:val="20"/>
          <w:lang w:val="en-AU"/>
        </w:rPr>
        <w:t>Summary report, p13</w:t>
      </w:r>
      <w:r>
        <w:rPr>
          <w:sz w:val="20"/>
          <w:szCs w:val="20"/>
          <w:lang w:val="en-AU"/>
        </w:rPr>
        <w:t>)</w:t>
      </w:r>
    </w:p>
    <w:p w14:paraId="2825273C" w14:textId="7F473234" w:rsidR="006F6067" w:rsidRDefault="006F6067" w:rsidP="006F6067">
      <w:pPr>
        <w:rPr>
          <w:lang w:val="en-AU"/>
        </w:rPr>
      </w:pPr>
      <w:proofErr w:type="gramStart"/>
      <w:r>
        <w:rPr>
          <w:lang w:val="en-AU"/>
        </w:rPr>
        <w:t>in</w:t>
      </w:r>
      <w:proofErr w:type="gramEnd"/>
      <w:r>
        <w:rPr>
          <w:lang w:val="en-AU"/>
        </w:rPr>
        <w:t xml:space="preserve"> the lower Balonne, </w:t>
      </w:r>
      <w:r w:rsidRPr="00FC01AC">
        <w:rPr>
          <w:lang w:val="en-AU"/>
        </w:rPr>
        <w:t>the proposed recovery was</w:t>
      </w:r>
      <w:r>
        <w:rPr>
          <w:lang w:val="en-AU"/>
        </w:rPr>
        <w:t>:</w:t>
      </w:r>
    </w:p>
    <w:p w14:paraId="345EF8F9" w14:textId="77777777" w:rsidR="006F6067" w:rsidRDefault="006F6067" w:rsidP="006F6067">
      <w:pPr>
        <w:ind w:left="720"/>
      </w:pPr>
      <w:proofErr w:type="gramStart"/>
      <w:r w:rsidRPr="009125B9">
        <w:rPr>
          <w:i/>
        </w:rPr>
        <w:t>likely</w:t>
      </w:r>
      <w:proofErr w:type="gramEnd"/>
      <w:r w:rsidRPr="009125B9">
        <w:rPr>
          <w:i/>
        </w:rPr>
        <w:t xml:space="preserve"> to result in </w:t>
      </w:r>
      <w:r w:rsidRPr="007A12D8">
        <w:rPr>
          <w:b/>
          <w:i/>
        </w:rPr>
        <w:t>a high risk</w:t>
      </w:r>
      <w:r w:rsidRPr="009125B9">
        <w:rPr>
          <w:i/>
        </w:rPr>
        <w:t xml:space="preserve"> to native fish species</w:t>
      </w:r>
    </w:p>
    <w:p w14:paraId="3A822992" w14:textId="77777777" w:rsidR="006F6067" w:rsidRPr="009125B9" w:rsidRDefault="006F6067" w:rsidP="006F6067">
      <w:pPr>
        <w:ind w:left="720"/>
        <w:jc w:val="right"/>
        <w:rPr>
          <w:b/>
          <w:sz w:val="18"/>
          <w:szCs w:val="18"/>
          <w:lang w:val="en-AU"/>
        </w:rPr>
      </w:pPr>
      <w:r w:rsidRPr="009125B9">
        <w:rPr>
          <w:b/>
          <w:sz w:val="18"/>
          <w:szCs w:val="18"/>
          <w:lang w:val="en-AU"/>
        </w:rPr>
        <w:t>Environmental Outcom</w:t>
      </w:r>
      <w:r>
        <w:rPr>
          <w:b/>
          <w:sz w:val="18"/>
          <w:szCs w:val="18"/>
          <w:lang w:val="en-AU"/>
        </w:rPr>
        <w:t>es of the Northern Basin Review</w:t>
      </w:r>
      <w:r w:rsidRPr="009125B9">
        <w:rPr>
          <w:b/>
          <w:sz w:val="18"/>
          <w:szCs w:val="18"/>
          <w:lang w:val="en-AU"/>
        </w:rPr>
        <w:t>, p49)</w:t>
      </w:r>
    </w:p>
    <w:p w14:paraId="329568AC" w14:textId="71EC7E4F" w:rsidR="00FC01AC" w:rsidRDefault="00FC01AC" w:rsidP="00FC01AC">
      <w:pPr>
        <w:rPr>
          <w:lang w:val="en-AU"/>
        </w:rPr>
      </w:pPr>
      <w:r>
        <w:rPr>
          <w:lang w:val="en-AU"/>
        </w:rPr>
        <w:lastRenderedPageBreak/>
        <w:t>The scientific studies also identifie</w:t>
      </w:r>
      <w:r w:rsidR="004A4378">
        <w:rPr>
          <w:lang w:val="en-AU"/>
        </w:rPr>
        <w:t>d</w:t>
      </w:r>
      <w:r>
        <w:rPr>
          <w:lang w:val="en-AU"/>
        </w:rPr>
        <w:t xml:space="preserve"> likely negative ecological impacts on the </w:t>
      </w:r>
      <w:proofErr w:type="spellStart"/>
      <w:r w:rsidRPr="0036099F">
        <w:rPr>
          <w:lang w:val="en-AU"/>
        </w:rPr>
        <w:t>Ramsar</w:t>
      </w:r>
      <w:proofErr w:type="spellEnd"/>
      <w:r w:rsidRPr="0036099F">
        <w:rPr>
          <w:lang w:val="en-AU"/>
        </w:rPr>
        <w:t xml:space="preserve"> </w:t>
      </w:r>
      <w:r>
        <w:rPr>
          <w:lang w:val="en-AU"/>
        </w:rPr>
        <w:t xml:space="preserve">listed </w:t>
      </w:r>
      <w:r w:rsidRPr="0036099F">
        <w:rPr>
          <w:lang w:val="en-AU"/>
        </w:rPr>
        <w:t>Narran Lakes Wetland</w:t>
      </w:r>
      <w:r>
        <w:rPr>
          <w:lang w:val="en-AU"/>
        </w:rPr>
        <w:t xml:space="preserve">, viz.: </w:t>
      </w:r>
    </w:p>
    <w:p w14:paraId="28DD6DA5" w14:textId="77777777" w:rsidR="00FC01AC" w:rsidRDefault="00FC01AC" w:rsidP="00FC01AC">
      <w:pPr>
        <w:rPr>
          <w:lang w:val="en-AU"/>
        </w:rPr>
      </w:pPr>
      <w:r w:rsidRPr="00E01D27">
        <w:rPr>
          <w:i/>
          <w:lang w:val="en-AU"/>
        </w:rPr>
        <w:t xml:space="preserve">For the internationally recognised Narran Lakes </w:t>
      </w:r>
      <w:proofErr w:type="spellStart"/>
      <w:r w:rsidRPr="00E01D27">
        <w:rPr>
          <w:i/>
          <w:lang w:val="en-AU"/>
        </w:rPr>
        <w:t>Ramsar</w:t>
      </w:r>
      <w:proofErr w:type="spellEnd"/>
      <w:r w:rsidRPr="00E01D27">
        <w:rPr>
          <w:i/>
          <w:lang w:val="en-AU"/>
        </w:rPr>
        <w:t xml:space="preserve"> site, the flow indicator that provides large-scale habitat opportunism for waterbirds </w:t>
      </w:r>
      <w:r w:rsidRPr="00E01D27">
        <w:rPr>
          <w:b/>
          <w:i/>
          <w:lang w:val="en-AU"/>
        </w:rPr>
        <w:t xml:space="preserve">is not met </w:t>
      </w:r>
      <w:r>
        <w:rPr>
          <w:b/>
          <w:i/>
          <w:lang w:val="en-AU"/>
        </w:rPr>
        <w:t>…</w:t>
      </w:r>
      <w:r w:rsidRPr="00E01D27">
        <w:rPr>
          <w:i/>
          <w:lang w:val="en-AU"/>
        </w:rPr>
        <w:t xml:space="preserve">. </w:t>
      </w:r>
      <w:r w:rsidRPr="00E01D27">
        <w:rPr>
          <w:b/>
          <w:i/>
          <w:lang w:val="en-AU"/>
        </w:rPr>
        <w:t>Waterbirds will remain at risk</w:t>
      </w:r>
      <w:r w:rsidRPr="00E01D27">
        <w:rPr>
          <w:i/>
          <w:lang w:val="en-AU"/>
        </w:rPr>
        <w:t xml:space="preserve"> of having less than two opportunities in their life cycle to breed, which is the minimum requirement to maintain stable populations</w:t>
      </w:r>
      <w:r>
        <w:rPr>
          <w:lang w:val="en-AU"/>
        </w:rPr>
        <w:t>.</w:t>
      </w:r>
    </w:p>
    <w:p w14:paraId="51C420A4" w14:textId="77777777" w:rsidR="00FC01AC" w:rsidRPr="004032F4" w:rsidRDefault="00FC01AC" w:rsidP="00FC01AC">
      <w:pPr>
        <w:jc w:val="right"/>
        <w:rPr>
          <w:b/>
          <w:sz w:val="18"/>
          <w:szCs w:val="18"/>
          <w:lang w:val="en-AU"/>
        </w:rPr>
      </w:pPr>
      <w:r w:rsidRPr="004032F4">
        <w:rPr>
          <w:b/>
          <w:sz w:val="18"/>
          <w:szCs w:val="18"/>
          <w:lang w:val="en-AU"/>
        </w:rPr>
        <w:t>Environmental Outcomes of the Northern Basin Review, p29.</w:t>
      </w:r>
    </w:p>
    <w:p w14:paraId="6C251B47" w14:textId="1AD1662A" w:rsidR="00FC01AC" w:rsidRDefault="00FC01AC" w:rsidP="00FC01AC">
      <w:pPr>
        <w:rPr>
          <w:lang w:val="en-AU"/>
        </w:rPr>
      </w:pPr>
      <w:r>
        <w:rPr>
          <w:lang w:val="en-AU"/>
        </w:rPr>
        <w:t xml:space="preserve">This </w:t>
      </w:r>
      <w:r w:rsidR="00483B2C">
        <w:rPr>
          <w:lang w:val="en-AU"/>
        </w:rPr>
        <w:t xml:space="preserve">latter conclusion </w:t>
      </w:r>
      <w:r>
        <w:rPr>
          <w:lang w:val="en-AU"/>
        </w:rPr>
        <w:t xml:space="preserve">is particularly worrying as one of the primary heads of power for the Commonwealth under the Water Act is their obligations under the </w:t>
      </w:r>
      <w:proofErr w:type="spellStart"/>
      <w:r>
        <w:rPr>
          <w:lang w:val="en-AU"/>
        </w:rPr>
        <w:t>Ramsar</w:t>
      </w:r>
      <w:proofErr w:type="spellEnd"/>
      <w:r>
        <w:rPr>
          <w:lang w:val="en-AU"/>
        </w:rPr>
        <w:t xml:space="preserve"> Convention.</w:t>
      </w:r>
    </w:p>
    <w:p w14:paraId="2E8199F6" w14:textId="698AC740" w:rsidR="006F6067" w:rsidRDefault="006F6067" w:rsidP="006F6067">
      <w:pPr>
        <w:rPr>
          <w:lang w:val="en-AU"/>
        </w:rPr>
      </w:pPr>
      <w:r>
        <w:rPr>
          <w:lang w:val="en-AU"/>
        </w:rPr>
        <w:t xml:space="preserve">These are by no means isolated examples, and it obviously </w:t>
      </w:r>
      <w:r w:rsidR="003D710A">
        <w:rPr>
          <w:lang w:val="en-AU"/>
        </w:rPr>
        <w:t xml:space="preserve">should have been </w:t>
      </w:r>
      <w:r>
        <w:rPr>
          <w:lang w:val="en-AU"/>
        </w:rPr>
        <w:t>necessary in a number of sub-basins</w:t>
      </w:r>
      <w:r w:rsidR="00FC01AC">
        <w:rPr>
          <w:lang w:val="en-AU"/>
        </w:rPr>
        <w:t xml:space="preserve"> for MDBA to have considered </w:t>
      </w:r>
      <w:r>
        <w:rPr>
          <w:lang w:val="en-AU"/>
        </w:rPr>
        <w:t xml:space="preserve">markedly </w:t>
      </w:r>
      <w:r w:rsidRPr="009125B9">
        <w:rPr>
          <w:b/>
          <w:u w:val="single"/>
          <w:lang w:val="en-AU"/>
        </w:rPr>
        <w:t>increased</w:t>
      </w:r>
      <w:r>
        <w:rPr>
          <w:lang w:val="en-AU"/>
        </w:rPr>
        <w:t xml:space="preserve"> recovery volumes to achieve an ‘environmentally sustainable level of take’ and meet </w:t>
      </w:r>
      <w:r w:rsidR="00FC01AC">
        <w:rPr>
          <w:lang w:val="en-AU"/>
        </w:rPr>
        <w:t>their</w:t>
      </w:r>
      <w:r>
        <w:rPr>
          <w:lang w:val="en-AU"/>
        </w:rPr>
        <w:t xml:space="preserve"> obligations under the Water Act (2007).</w:t>
      </w:r>
      <w:r w:rsidR="00D67E50">
        <w:rPr>
          <w:lang w:val="en-AU"/>
        </w:rPr>
        <w:t xml:space="preserve"> They failed to do this.</w:t>
      </w:r>
    </w:p>
    <w:p w14:paraId="0C0AC203" w14:textId="335BA97A" w:rsidR="003D710A" w:rsidRDefault="003D710A" w:rsidP="006F6067">
      <w:pPr>
        <w:rPr>
          <w:lang w:val="en-AU"/>
        </w:rPr>
      </w:pPr>
      <w:r>
        <w:rPr>
          <w:lang w:val="en-AU"/>
        </w:rPr>
        <w:t>The MDBA attempted to ‘soften’ the blow by proposing a number of tool-kit measures to replace the need for environmental water. This approach is flawed on a number of grounds:</w:t>
      </w:r>
    </w:p>
    <w:p w14:paraId="5E817699" w14:textId="60B8396F" w:rsidR="003D710A" w:rsidRDefault="003D710A" w:rsidP="003D710A">
      <w:pPr>
        <w:pStyle w:val="ListParagraph"/>
        <w:numPr>
          <w:ilvl w:val="0"/>
          <w:numId w:val="13"/>
        </w:numPr>
        <w:rPr>
          <w:lang w:val="en-AU"/>
        </w:rPr>
      </w:pPr>
      <w:r>
        <w:rPr>
          <w:lang w:val="en-AU"/>
        </w:rPr>
        <w:t>Their own scientific studies clearly indicated that these measures were ‘complementary’; i.e., required in addition to provision of appropriate flows</w:t>
      </w:r>
      <w:r w:rsidR="0018466C">
        <w:rPr>
          <w:lang w:val="en-AU"/>
        </w:rPr>
        <w:t>:</w:t>
      </w:r>
    </w:p>
    <w:p w14:paraId="5674D88A" w14:textId="77777777" w:rsidR="0018466C" w:rsidRPr="0018466C" w:rsidRDefault="0018466C" w:rsidP="0018466C">
      <w:pPr>
        <w:rPr>
          <w:lang w:val="en-AU"/>
        </w:rPr>
      </w:pPr>
      <w:proofErr w:type="gramStart"/>
      <w:r w:rsidRPr="0018466C">
        <w:rPr>
          <w:i/>
          <w:lang w:val="en-AU"/>
        </w:rPr>
        <w:t>largely</w:t>
      </w:r>
      <w:proofErr w:type="gramEnd"/>
      <w:r w:rsidRPr="0018466C">
        <w:rPr>
          <w:i/>
          <w:lang w:val="en-AU"/>
        </w:rPr>
        <w:t xml:space="preserve"> considered to be</w:t>
      </w:r>
      <w:r w:rsidRPr="0018466C">
        <w:rPr>
          <w:lang w:val="en-AU"/>
        </w:rPr>
        <w:t xml:space="preserve"> </w:t>
      </w:r>
      <w:r w:rsidRPr="0018466C">
        <w:rPr>
          <w:b/>
          <w:i/>
          <w:lang w:val="en-AU"/>
        </w:rPr>
        <w:t>complementary</w:t>
      </w:r>
      <w:r w:rsidRPr="0018466C">
        <w:rPr>
          <w:i/>
          <w:lang w:val="en-AU"/>
        </w:rPr>
        <w:t xml:space="preserve"> (in addition) … rather than being a substitute for water recovery</w:t>
      </w:r>
      <w:r w:rsidRPr="0018466C">
        <w:rPr>
          <w:lang w:val="en-AU"/>
        </w:rPr>
        <w:t xml:space="preserve">. </w:t>
      </w:r>
    </w:p>
    <w:p w14:paraId="5BA41686" w14:textId="77777777" w:rsidR="0018466C" w:rsidRPr="0018466C" w:rsidRDefault="0018466C" w:rsidP="0018466C">
      <w:pPr>
        <w:jc w:val="right"/>
        <w:rPr>
          <w:b/>
          <w:sz w:val="18"/>
          <w:szCs w:val="18"/>
          <w:lang w:val="en-AU"/>
        </w:rPr>
      </w:pPr>
      <w:r w:rsidRPr="0018466C">
        <w:rPr>
          <w:b/>
          <w:sz w:val="18"/>
          <w:szCs w:val="18"/>
          <w:lang w:val="en-AU"/>
        </w:rPr>
        <w:t>Environmental Outcomes of the Northern Basin Review, p31.</w:t>
      </w:r>
    </w:p>
    <w:p w14:paraId="756A5F9F" w14:textId="2B491977" w:rsidR="00530D09" w:rsidRPr="00530D09" w:rsidRDefault="00530D09" w:rsidP="00530D09">
      <w:pPr>
        <w:pStyle w:val="ListParagraph"/>
        <w:numPr>
          <w:ilvl w:val="0"/>
          <w:numId w:val="15"/>
        </w:numPr>
        <w:rPr>
          <w:lang w:val="en-AU"/>
        </w:rPr>
      </w:pPr>
      <w:r w:rsidRPr="00530D09">
        <w:rPr>
          <w:lang w:val="en-AU"/>
        </w:rPr>
        <w:t xml:space="preserve">Some of the measures suggested are </w:t>
      </w:r>
      <w:r w:rsidR="00143EC5">
        <w:rPr>
          <w:lang w:val="en-AU"/>
        </w:rPr>
        <w:t xml:space="preserve">already </w:t>
      </w:r>
      <w:r w:rsidRPr="00530D09">
        <w:rPr>
          <w:lang w:val="en-AU"/>
        </w:rPr>
        <w:t>within the power of MDBA to implement under the Basin Plan and do not need to rely on third parties. This is primarily through accreditation of State based water resource plans, viz.,</w:t>
      </w:r>
    </w:p>
    <w:p w14:paraId="0CE33D6B" w14:textId="37A9CA83" w:rsidR="00530D09" w:rsidRDefault="00530D09" w:rsidP="00530D09">
      <w:pPr>
        <w:pStyle w:val="ListParagraph"/>
        <w:numPr>
          <w:ilvl w:val="0"/>
          <w:numId w:val="14"/>
        </w:numPr>
        <w:rPr>
          <w:lang w:val="en-AU"/>
        </w:rPr>
      </w:pPr>
      <w:r>
        <w:rPr>
          <w:lang w:val="en-AU"/>
        </w:rPr>
        <w:t xml:space="preserve">Cold water pollution </w:t>
      </w:r>
      <w:r w:rsidR="00ED06D8">
        <w:rPr>
          <w:lang w:val="en-AU"/>
        </w:rPr>
        <w:t>should be</w:t>
      </w:r>
      <w:r>
        <w:rPr>
          <w:lang w:val="en-AU"/>
        </w:rPr>
        <w:t xml:space="preserve"> covered by the ‘water quality management plan’ requirements in water resource plans. Cold water pollution is identified in the Basin Plan as a key cause of water quality degradation (Item 5, Schedule 10) and the temperature targets in the Basin Plan (Schedule 11) were primarily designed to manage the impacts of cold water pollution. It would thus be expected that an accredited water resource plan would include measures to deal with cold water pollution;</w:t>
      </w:r>
    </w:p>
    <w:p w14:paraId="04B7DFA8" w14:textId="1E8CF244" w:rsidR="00530D09" w:rsidRDefault="00530D09" w:rsidP="00530D09">
      <w:pPr>
        <w:pStyle w:val="ListParagraph"/>
        <w:numPr>
          <w:ilvl w:val="0"/>
          <w:numId w:val="14"/>
        </w:numPr>
        <w:rPr>
          <w:lang w:val="en-AU"/>
        </w:rPr>
      </w:pPr>
      <w:r>
        <w:rPr>
          <w:lang w:val="en-AU"/>
        </w:rPr>
        <w:t xml:space="preserve">Within the constraints of an SDL, an accredited water resource plan </w:t>
      </w:r>
      <w:r w:rsidRPr="00390B58">
        <w:rPr>
          <w:b/>
          <w:lang w:val="en-AU"/>
        </w:rPr>
        <w:t>must</w:t>
      </w:r>
      <w:r>
        <w:rPr>
          <w:lang w:val="en-AU"/>
        </w:rPr>
        <w:t xml:space="preserve"> include</w:t>
      </w:r>
      <w:r w:rsidR="00143EC5">
        <w:rPr>
          <w:lang w:val="en-AU"/>
        </w:rPr>
        <w:t>,</w:t>
      </w:r>
      <w:r>
        <w:rPr>
          <w:lang w:val="en-AU"/>
        </w:rPr>
        <w:t xml:space="preserve"> where necessary</w:t>
      </w:r>
      <w:r w:rsidR="00143EC5">
        <w:rPr>
          <w:lang w:val="en-AU"/>
        </w:rPr>
        <w:t>,</w:t>
      </w:r>
      <w:r>
        <w:rPr>
          <w:lang w:val="en-AU"/>
        </w:rPr>
        <w:t xml:space="preserve"> rules to prescribe:</w:t>
      </w:r>
    </w:p>
    <w:p w14:paraId="1D0BE2D6" w14:textId="77777777" w:rsidR="00530D09" w:rsidRPr="00121E4A" w:rsidRDefault="00530D09" w:rsidP="00530D09">
      <w:pPr>
        <w:pStyle w:val="paragraphtext"/>
        <w:shd w:val="clear" w:color="auto" w:fill="FFFFFF"/>
        <w:ind w:left="720"/>
        <w:rPr>
          <w:rFonts w:asciiTheme="minorHAnsi" w:hAnsiTheme="minorHAnsi" w:cstheme="minorHAnsi"/>
          <w:i/>
          <w:sz w:val="22"/>
          <w:szCs w:val="22"/>
        </w:rPr>
      </w:pPr>
      <w:r>
        <w:rPr>
          <w:rFonts w:ascii="Arial" w:hAnsi="Arial" w:cs="Arial"/>
          <w:sz w:val="19"/>
          <w:szCs w:val="19"/>
        </w:rPr>
        <w:t xml:space="preserve"> </w:t>
      </w:r>
      <w:r w:rsidRPr="00121E4A">
        <w:rPr>
          <w:rFonts w:asciiTheme="minorHAnsi" w:hAnsiTheme="minorHAnsi" w:cstheme="minorHAnsi"/>
          <w:i/>
          <w:sz w:val="22"/>
          <w:szCs w:val="22"/>
        </w:rPr>
        <w:t xml:space="preserve">(a)     </w:t>
      </w:r>
      <w:proofErr w:type="gramStart"/>
      <w:r w:rsidRPr="00121E4A">
        <w:rPr>
          <w:rFonts w:asciiTheme="minorHAnsi" w:hAnsiTheme="minorHAnsi" w:cstheme="minorHAnsi"/>
          <w:i/>
          <w:sz w:val="22"/>
          <w:szCs w:val="22"/>
        </w:rPr>
        <w:t>the</w:t>
      </w:r>
      <w:proofErr w:type="gramEnd"/>
      <w:r w:rsidRPr="00121E4A">
        <w:rPr>
          <w:rFonts w:asciiTheme="minorHAnsi" w:hAnsiTheme="minorHAnsi" w:cstheme="minorHAnsi"/>
          <w:i/>
          <w:sz w:val="22"/>
          <w:szCs w:val="22"/>
        </w:rPr>
        <w:t xml:space="preserve"> times, places and rates at which water is permitted to be taken from a surface water SDL resource unit; and</w:t>
      </w:r>
    </w:p>
    <w:p w14:paraId="6C09E50F" w14:textId="77777777" w:rsidR="00530D09" w:rsidRDefault="00530D09" w:rsidP="00530D09">
      <w:pPr>
        <w:pStyle w:val="paragraphtext"/>
        <w:shd w:val="clear" w:color="auto" w:fill="FFFFFF"/>
        <w:ind w:left="720"/>
        <w:rPr>
          <w:rFonts w:asciiTheme="minorHAnsi" w:hAnsiTheme="minorHAnsi" w:cstheme="minorHAnsi"/>
          <w:i/>
          <w:sz w:val="22"/>
          <w:szCs w:val="22"/>
        </w:rPr>
      </w:pPr>
      <w:r w:rsidRPr="00121E4A">
        <w:rPr>
          <w:rFonts w:asciiTheme="minorHAnsi" w:hAnsiTheme="minorHAnsi" w:cstheme="minorHAnsi"/>
          <w:i/>
          <w:sz w:val="22"/>
          <w:szCs w:val="22"/>
        </w:rPr>
        <w:t xml:space="preserve">(b)     </w:t>
      </w:r>
      <w:proofErr w:type="gramStart"/>
      <w:r w:rsidRPr="00121E4A">
        <w:rPr>
          <w:rFonts w:asciiTheme="minorHAnsi" w:hAnsiTheme="minorHAnsi" w:cstheme="minorHAnsi"/>
          <w:i/>
          <w:sz w:val="22"/>
          <w:szCs w:val="22"/>
        </w:rPr>
        <w:t>how</w:t>
      </w:r>
      <w:proofErr w:type="gramEnd"/>
      <w:r w:rsidRPr="00121E4A">
        <w:rPr>
          <w:rFonts w:asciiTheme="minorHAnsi" w:hAnsiTheme="minorHAnsi" w:cstheme="minorHAnsi"/>
          <w:i/>
          <w:sz w:val="22"/>
          <w:szCs w:val="22"/>
        </w:rPr>
        <w:t xml:space="preserve"> water resources in the water resource plan area must be managed and used.</w:t>
      </w:r>
    </w:p>
    <w:p w14:paraId="52A56EED" w14:textId="77777777" w:rsidR="00530D09" w:rsidRPr="00121E4A" w:rsidRDefault="00530D09" w:rsidP="00530D09">
      <w:pPr>
        <w:pStyle w:val="paragraphtext"/>
        <w:shd w:val="clear" w:color="auto" w:fill="FFFFFF"/>
        <w:ind w:left="720"/>
        <w:jc w:val="right"/>
        <w:rPr>
          <w:rFonts w:asciiTheme="minorHAnsi" w:hAnsiTheme="minorHAnsi" w:cstheme="minorHAnsi"/>
          <w:b/>
          <w:sz w:val="22"/>
          <w:szCs w:val="22"/>
        </w:rPr>
      </w:pPr>
      <w:r>
        <w:rPr>
          <w:rFonts w:asciiTheme="minorHAnsi" w:hAnsiTheme="minorHAnsi" w:cstheme="minorHAnsi"/>
          <w:b/>
          <w:sz w:val="22"/>
          <w:szCs w:val="22"/>
        </w:rPr>
        <w:t>(Sn. 10.17, Basin Plan)</w:t>
      </w:r>
    </w:p>
    <w:p w14:paraId="5284584C" w14:textId="1D868E96" w:rsidR="00006A85" w:rsidRDefault="00006A85" w:rsidP="00143EC5">
      <w:pPr>
        <w:ind w:left="720"/>
        <w:rPr>
          <w:lang w:val="en-AU"/>
        </w:rPr>
      </w:pPr>
      <w:r>
        <w:rPr>
          <w:lang w:val="en-AU"/>
        </w:rPr>
        <w:lastRenderedPageBreak/>
        <w:t>These requirements, if properly implemented, would help ensure that environmental flows from one catchment are adequately protected as the water moves into an adjacent catchment</w:t>
      </w:r>
      <w:r w:rsidR="009525EA">
        <w:rPr>
          <w:lang w:val="en-AU"/>
        </w:rPr>
        <w:t>, as well as providing protection for ecologically important low flows.</w:t>
      </w:r>
    </w:p>
    <w:p w14:paraId="2F9D6B51" w14:textId="07CAC741" w:rsidR="00530D09" w:rsidRDefault="00530D09" w:rsidP="00530D09">
      <w:pPr>
        <w:rPr>
          <w:lang w:val="en-AU"/>
        </w:rPr>
      </w:pPr>
      <w:r>
        <w:rPr>
          <w:lang w:val="en-AU"/>
        </w:rPr>
        <w:t>Full reliance on MDBAs Basin Plan powers should be used before any uncertain reliance on third- parties.  Failure to use its full powers could be seen as a dereliction of duty by MDBA.</w:t>
      </w:r>
    </w:p>
    <w:p w14:paraId="094ABCEB" w14:textId="14D6ECB1" w:rsidR="00ED06D8" w:rsidRDefault="00ED06D8" w:rsidP="00530D09">
      <w:pPr>
        <w:rPr>
          <w:lang w:val="en-AU"/>
        </w:rPr>
      </w:pPr>
      <w:r>
        <w:rPr>
          <w:lang w:val="en-AU"/>
        </w:rPr>
        <w:t xml:space="preserve">Moreover, it is ironic that other proposed complementary measures such as better provision of fish passage were the subject of a former MDBA program, the ‘Native Fish Strategy for the Murray Darling </w:t>
      </w:r>
      <w:proofErr w:type="gramStart"/>
      <w:r>
        <w:rPr>
          <w:lang w:val="en-AU"/>
        </w:rPr>
        <w:t>Basin’  that</w:t>
      </w:r>
      <w:proofErr w:type="gramEnd"/>
      <w:r>
        <w:rPr>
          <w:lang w:val="en-AU"/>
        </w:rPr>
        <w:t xml:space="preserve"> had been largely disbanded. </w:t>
      </w:r>
    </w:p>
    <w:p w14:paraId="6C1B587C" w14:textId="521C6DDE" w:rsidR="003D217E" w:rsidRDefault="003D217E" w:rsidP="003D217E">
      <w:pPr>
        <w:rPr>
          <w:i/>
          <w:lang w:val="en-AU"/>
        </w:rPr>
      </w:pPr>
      <w:r>
        <w:rPr>
          <w:i/>
          <w:lang w:val="en-AU"/>
        </w:rPr>
        <w:t xml:space="preserve">Does this mean the MDBA ignores </w:t>
      </w:r>
      <w:proofErr w:type="spellStart"/>
      <w:r>
        <w:rPr>
          <w:i/>
          <w:lang w:val="en-AU"/>
        </w:rPr>
        <w:t>socio-economic</w:t>
      </w:r>
      <w:proofErr w:type="spellEnd"/>
      <w:r>
        <w:rPr>
          <w:i/>
          <w:lang w:val="en-AU"/>
        </w:rPr>
        <w:t xml:space="preserve"> </w:t>
      </w:r>
      <w:proofErr w:type="gramStart"/>
      <w:r>
        <w:rPr>
          <w:i/>
          <w:lang w:val="en-AU"/>
        </w:rPr>
        <w:t>considerations.</w:t>
      </w:r>
      <w:proofErr w:type="gramEnd"/>
    </w:p>
    <w:p w14:paraId="701E7160" w14:textId="678D9C2D" w:rsidR="003D217E" w:rsidRDefault="003D217E" w:rsidP="003D217E">
      <w:pPr>
        <w:rPr>
          <w:lang w:val="en-AU"/>
        </w:rPr>
      </w:pPr>
      <w:r>
        <w:rPr>
          <w:lang w:val="en-AU"/>
        </w:rPr>
        <w:t xml:space="preserve">No. There is only a requirement </w:t>
      </w:r>
      <w:r w:rsidR="00FC01AC">
        <w:rPr>
          <w:lang w:val="en-AU"/>
        </w:rPr>
        <w:t xml:space="preserve">under the Water Act </w:t>
      </w:r>
      <w:r>
        <w:rPr>
          <w:lang w:val="en-AU"/>
        </w:rPr>
        <w:t xml:space="preserve">to provide protection for </w:t>
      </w:r>
      <w:r w:rsidRPr="00C5415C">
        <w:rPr>
          <w:b/>
          <w:lang w:val="en-AU"/>
        </w:rPr>
        <w:t>key</w:t>
      </w:r>
      <w:r>
        <w:rPr>
          <w:lang w:val="en-AU"/>
        </w:rPr>
        <w:t xml:space="preserve"> environmental assets. Environmental assets that are not considered ‘key’ are not necessarily protected. Decision as to what environmental assets are key is a policy decision by MDBA. If a proposed diversion limit puts at risk (‘compromises’) a particular environmental asset, MDBA has two policy options:</w:t>
      </w:r>
    </w:p>
    <w:p w14:paraId="5AF0521B" w14:textId="77777777" w:rsidR="003D217E" w:rsidRDefault="003D217E" w:rsidP="003D217E">
      <w:pPr>
        <w:pStyle w:val="ListParagraph"/>
        <w:numPr>
          <w:ilvl w:val="0"/>
          <w:numId w:val="7"/>
        </w:numPr>
        <w:rPr>
          <w:lang w:val="en-AU"/>
        </w:rPr>
      </w:pPr>
      <w:r>
        <w:rPr>
          <w:lang w:val="en-AU"/>
        </w:rPr>
        <w:t>Increase the diversion limit to ensure the environmental asset is not compromised; or,</w:t>
      </w:r>
    </w:p>
    <w:p w14:paraId="508AB4BE" w14:textId="6E49065D" w:rsidR="003D217E" w:rsidRDefault="003D217E" w:rsidP="003D217E">
      <w:pPr>
        <w:pStyle w:val="ListParagraph"/>
        <w:numPr>
          <w:ilvl w:val="0"/>
          <w:numId w:val="7"/>
        </w:numPr>
        <w:rPr>
          <w:lang w:val="en-AU"/>
        </w:rPr>
      </w:pPr>
      <w:r>
        <w:rPr>
          <w:lang w:val="en-AU"/>
        </w:rPr>
        <w:t>Do not include the environmental asset as a ‘key’ environmental asset.</w:t>
      </w:r>
    </w:p>
    <w:p w14:paraId="028604F7" w14:textId="221DCE83" w:rsidR="00483B2C" w:rsidRDefault="00483B2C" w:rsidP="00483B2C">
      <w:pPr>
        <w:rPr>
          <w:lang w:val="en-AU"/>
        </w:rPr>
      </w:pPr>
      <w:r>
        <w:rPr>
          <w:lang w:val="en-AU"/>
        </w:rPr>
        <w:t>MDBA have done neither.</w:t>
      </w:r>
    </w:p>
    <w:p w14:paraId="6C883601" w14:textId="7523697F" w:rsidR="009679B5" w:rsidRDefault="009679B5" w:rsidP="00483B2C">
      <w:pPr>
        <w:rPr>
          <w:lang w:val="en-AU"/>
        </w:rPr>
      </w:pPr>
      <w:r>
        <w:rPr>
          <w:lang w:val="en-AU"/>
        </w:rPr>
        <w:t>From the above example, one is forced to conclude that the MDBA give little regard to the requirements of the Water Act in implementation of the Basin Plan.</w:t>
      </w:r>
    </w:p>
    <w:p w14:paraId="5B55D266" w14:textId="065AD108" w:rsidR="009B41B2" w:rsidRDefault="00932B2C">
      <w:pPr>
        <w:rPr>
          <w:b/>
          <w:lang w:val="en-AU"/>
        </w:rPr>
      </w:pPr>
      <w:r>
        <w:rPr>
          <w:b/>
          <w:lang w:val="en-AU"/>
        </w:rPr>
        <w:t>Inadequacy of actions to achieve the</w:t>
      </w:r>
      <w:r w:rsidR="007D3B64">
        <w:rPr>
          <w:b/>
          <w:lang w:val="en-AU"/>
        </w:rPr>
        <w:t xml:space="preserve"> Water Quality Objectives in the Basin Plan.</w:t>
      </w:r>
    </w:p>
    <w:p w14:paraId="69E1CDD9" w14:textId="67DB96F3" w:rsidR="007D3B64" w:rsidRDefault="00C37774">
      <w:pPr>
        <w:rPr>
          <w:lang w:val="en-AU"/>
        </w:rPr>
      </w:pPr>
      <w:r>
        <w:rPr>
          <w:lang w:val="en-AU"/>
        </w:rPr>
        <w:t>Actions relating to achievement of w</w:t>
      </w:r>
      <w:r w:rsidR="007D3B64">
        <w:rPr>
          <w:lang w:val="en-AU"/>
        </w:rPr>
        <w:t xml:space="preserve">ater quality objectives are addressed in two parts of the Basin Plan. </w:t>
      </w:r>
    </w:p>
    <w:p w14:paraId="3E21D731" w14:textId="5C9FB61D" w:rsidR="007D3B64" w:rsidRDefault="007D3B64">
      <w:pPr>
        <w:rPr>
          <w:lang w:val="en-AU"/>
        </w:rPr>
      </w:pPr>
      <w:r>
        <w:rPr>
          <w:lang w:val="en-AU"/>
        </w:rPr>
        <w:t>Sn 9.14 deals with consideration of the water quality objectives and associated targets in making a number of operational flow-management decisions.</w:t>
      </w:r>
    </w:p>
    <w:p w14:paraId="7915A431" w14:textId="563BC858" w:rsidR="007D3B64" w:rsidRPr="007D3B64" w:rsidRDefault="007D3B64">
      <w:pPr>
        <w:rPr>
          <w:lang w:val="en-AU"/>
        </w:rPr>
      </w:pPr>
      <w:r>
        <w:rPr>
          <w:lang w:val="en-AU"/>
        </w:rPr>
        <w:t xml:space="preserve">More importantly, the </w:t>
      </w:r>
      <w:r w:rsidR="00C37774">
        <w:rPr>
          <w:lang w:val="en-AU"/>
        </w:rPr>
        <w:t xml:space="preserve">water quality </w:t>
      </w:r>
      <w:r>
        <w:rPr>
          <w:lang w:val="en-AU"/>
        </w:rPr>
        <w:t xml:space="preserve">objectives are </w:t>
      </w:r>
      <w:r w:rsidR="00C37774">
        <w:rPr>
          <w:lang w:val="en-AU"/>
        </w:rPr>
        <w:t>meant to be primarily addressed</w:t>
      </w:r>
      <w:r>
        <w:rPr>
          <w:lang w:val="en-AU"/>
        </w:rPr>
        <w:t xml:space="preserve"> by the development of a Water </w:t>
      </w:r>
      <w:r w:rsidR="00C37774">
        <w:rPr>
          <w:lang w:val="en-AU"/>
        </w:rPr>
        <w:t>Q</w:t>
      </w:r>
      <w:r>
        <w:rPr>
          <w:lang w:val="en-AU"/>
        </w:rPr>
        <w:t>uality Management Plan</w:t>
      </w:r>
      <w:r w:rsidR="00C37774">
        <w:rPr>
          <w:lang w:val="en-AU"/>
        </w:rPr>
        <w:t xml:space="preserve"> (WQMP)</w:t>
      </w:r>
      <w:r>
        <w:rPr>
          <w:lang w:val="en-AU"/>
        </w:rPr>
        <w:t xml:space="preserve"> as part of the W</w:t>
      </w:r>
      <w:r w:rsidR="00C37774">
        <w:rPr>
          <w:lang w:val="en-AU"/>
        </w:rPr>
        <w:t xml:space="preserve">ater </w:t>
      </w:r>
      <w:r>
        <w:rPr>
          <w:lang w:val="en-AU"/>
        </w:rPr>
        <w:t>R</w:t>
      </w:r>
      <w:r w:rsidR="00C37774">
        <w:rPr>
          <w:lang w:val="en-AU"/>
        </w:rPr>
        <w:t xml:space="preserve">esource </w:t>
      </w:r>
      <w:r>
        <w:rPr>
          <w:lang w:val="en-AU"/>
        </w:rPr>
        <w:t>P</w:t>
      </w:r>
      <w:r w:rsidR="00C37774">
        <w:rPr>
          <w:lang w:val="en-AU"/>
        </w:rPr>
        <w:t>lan (WRP)</w:t>
      </w:r>
      <w:r>
        <w:rPr>
          <w:lang w:val="en-AU"/>
        </w:rPr>
        <w:t xml:space="preserve"> accreditation.</w:t>
      </w:r>
      <w:r w:rsidR="008348CA">
        <w:rPr>
          <w:lang w:val="en-AU"/>
        </w:rPr>
        <w:t xml:space="preserve"> It is this aspect of the Basin Plan that is the focus of my submission.</w:t>
      </w:r>
    </w:p>
    <w:p w14:paraId="67C70930" w14:textId="774838D2" w:rsidR="00F147CD" w:rsidRDefault="008C219C">
      <w:pPr>
        <w:rPr>
          <w:lang w:val="en-AU"/>
        </w:rPr>
      </w:pPr>
      <w:r>
        <w:rPr>
          <w:lang w:val="en-AU"/>
        </w:rPr>
        <w:t>There has been a failure to fully and properly implement the requirements for a WQMP</w:t>
      </w:r>
      <w:r w:rsidR="00C37774">
        <w:rPr>
          <w:lang w:val="en-AU"/>
        </w:rPr>
        <w:t>.</w:t>
      </w:r>
      <w:r>
        <w:rPr>
          <w:lang w:val="en-AU"/>
        </w:rPr>
        <w:t xml:space="preserve"> </w:t>
      </w:r>
      <w:r w:rsidR="00F56776">
        <w:rPr>
          <w:lang w:val="en-AU"/>
        </w:rPr>
        <w:t xml:space="preserve">As well as a comprehensive analysis of key causes and scientifically based-targets, the WQMP requires the </w:t>
      </w:r>
      <w:r w:rsidR="00D14A42">
        <w:rPr>
          <w:lang w:val="en-AU"/>
        </w:rPr>
        <w:t>inclusion</w:t>
      </w:r>
      <w:r w:rsidR="00F56776">
        <w:rPr>
          <w:lang w:val="en-AU"/>
        </w:rPr>
        <w:t xml:space="preserve"> of measures to address any water quality issues. </w:t>
      </w:r>
      <w:r>
        <w:rPr>
          <w:lang w:val="en-AU"/>
        </w:rPr>
        <w:t xml:space="preserve">It is clear that </w:t>
      </w:r>
      <w:r w:rsidR="00073DE5">
        <w:rPr>
          <w:lang w:val="en-AU"/>
        </w:rPr>
        <w:t>MDBA have adopted the view</w:t>
      </w:r>
      <w:r>
        <w:rPr>
          <w:lang w:val="en-AU"/>
        </w:rPr>
        <w:t xml:space="preserve"> that only flow </w:t>
      </w:r>
      <w:r w:rsidR="00F56776">
        <w:rPr>
          <w:lang w:val="en-AU"/>
        </w:rPr>
        <w:t xml:space="preserve">measures </w:t>
      </w:r>
      <w:r w:rsidR="00E858AA">
        <w:rPr>
          <w:lang w:val="en-AU"/>
        </w:rPr>
        <w:t>need be addressed</w:t>
      </w:r>
      <w:r w:rsidR="00C37774">
        <w:rPr>
          <w:lang w:val="en-AU"/>
        </w:rPr>
        <w:t xml:space="preserve"> in the WQMP</w:t>
      </w:r>
      <w:r w:rsidR="00E858AA">
        <w:rPr>
          <w:lang w:val="en-AU"/>
        </w:rPr>
        <w:t xml:space="preserve">. </w:t>
      </w:r>
      <w:r w:rsidR="00D14A42">
        <w:rPr>
          <w:lang w:val="en-AU"/>
        </w:rPr>
        <w:t>Thus:</w:t>
      </w:r>
    </w:p>
    <w:p w14:paraId="0F37421B" w14:textId="28B8CE8C" w:rsidR="00F147CD" w:rsidRDefault="00F147CD">
      <w:r w:rsidRPr="00F147CD">
        <w:rPr>
          <w:i/>
        </w:rPr>
        <w:t>The cause of the remaining medium, high and very high risks identified in the WQM Plan was outside the scope of management by the Water Act 2007 (</w:t>
      </w:r>
      <w:proofErr w:type="spellStart"/>
      <w:r w:rsidRPr="00F147CD">
        <w:rPr>
          <w:i/>
        </w:rPr>
        <w:t>Cth</w:t>
      </w:r>
      <w:proofErr w:type="spellEnd"/>
      <w:r w:rsidRPr="00F147CD">
        <w:rPr>
          <w:i/>
        </w:rPr>
        <w:t>) and Water Act 2000 (</w:t>
      </w:r>
      <w:proofErr w:type="spellStart"/>
      <w:r w:rsidRPr="00F147CD">
        <w:rPr>
          <w:i/>
        </w:rPr>
        <w:t>Qld</w:t>
      </w:r>
      <w:proofErr w:type="spellEnd"/>
      <w:r w:rsidRPr="00F147CD">
        <w:rPr>
          <w:i/>
        </w:rPr>
        <w:t xml:space="preserve">). The WQM Plan </w:t>
      </w:r>
      <w:proofErr w:type="spellStart"/>
      <w:r w:rsidRPr="00F147CD">
        <w:rPr>
          <w:i/>
        </w:rPr>
        <w:t>recognises</w:t>
      </w:r>
      <w:proofErr w:type="spellEnd"/>
      <w:r w:rsidRPr="00F147CD">
        <w:rPr>
          <w:i/>
        </w:rPr>
        <w:t xml:space="preserve"> the land management responses under the HWMP to address these risks however they are not formally listed for accreditation under the Basin Plan 2012</w:t>
      </w:r>
      <w:r>
        <w:t xml:space="preserve">.– </w:t>
      </w:r>
      <w:r w:rsidR="008348CA">
        <w:t>(</w:t>
      </w:r>
      <w:r>
        <w:t xml:space="preserve">from </w:t>
      </w:r>
      <w:r w:rsidR="008348CA">
        <w:t xml:space="preserve">the </w:t>
      </w:r>
      <w:proofErr w:type="spellStart"/>
      <w:r w:rsidR="008348CA">
        <w:t>Warrego-Parro-Nebine</w:t>
      </w:r>
      <w:proofErr w:type="spellEnd"/>
      <w:r w:rsidR="008348CA">
        <w:t xml:space="preserve"> Water Resource Plan, </w:t>
      </w:r>
      <w:r>
        <w:t>the only accredited</w:t>
      </w:r>
      <w:r w:rsidR="008348CA">
        <w:t xml:space="preserve"> plan at the time of writing)  </w:t>
      </w:r>
      <w:hyperlink r:id="rId14" w:history="1">
        <w:r w:rsidR="008348CA" w:rsidRPr="00284DA1">
          <w:rPr>
            <w:rStyle w:val="Hyperlink"/>
          </w:rPr>
          <w:t>https://www.mdba.gov.au/publications/policies-guidelines/water-resource-plan-warrego-paroo-nebine</w:t>
        </w:r>
      </w:hyperlink>
      <w:r w:rsidR="008348CA">
        <w:t xml:space="preserve">  </w:t>
      </w:r>
    </w:p>
    <w:p w14:paraId="086516E7" w14:textId="33C86017" w:rsidR="00CD58B4" w:rsidRDefault="002930BF" w:rsidP="002930BF">
      <w:pPr>
        <w:rPr>
          <w:lang w:val="en-AU"/>
        </w:rPr>
      </w:pPr>
      <w:r>
        <w:rPr>
          <w:lang w:val="en-AU"/>
        </w:rPr>
        <w:lastRenderedPageBreak/>
        <w:t xml:space="preserve">The original intent </w:t>
      </w:r>
      <w:r w:rsidR="00073DE5">
        <w:rPr>
          <w:lang w:val="en-AU"/>
        </w:rPr>
        <w:t xml:space="preserve">of the WQMP requirements </w:t>
      </w:r>
      <w:r>
        <w:rPr>
          <w:lang w:val="en-AU"/>
        </w:rPr>
        <w:t xml:space="preserve">was not so restrictive. There is </w:t>
      </w:r>
      <w:r w:rsidRPr="008348CA">
        <w:rPr>
          <w:u w:val="single"/>
          <w:lang w:val="en-AU"/>
        </w:rPr>
        <w:t xml:space="preserve">no </w:t>
      </w:r>
      <w:r w:rsidR="00483B2C" w:rsidRPr="008348CA">
        <w:rPr>
          <w:u w:val="single"/>
          <w:lang w:val="en-AU"/>
        </w:rPr>
        <w:t>limitation</w:t>
      </w:r>
      <w:r>
        <w:rPr>
          <w:lang w:val="en-AU"/>
        </w:rPr>
        <w:t xml:space="preserve"> on the</w:t>
      </w:r>
      <w:r w:rsidR="00483B2C">
        <w:rPr>
          <w:lang w:val="en-AU"/>
        </w:rPr>
        <w:t xml:space="preserve"> types </w:t>
      </w:r>
      <w:r w:rsidR="00073DE5">
        <w:rPr>
          <w:lang w:val="en-AU"/>
        </w:rPr>
        <w:t>of measures</w:t>
      </w:r>
      <w:r>
        <w:rPr>
          <w:lang w:val="en-AU"/>
        </w:rPr>
        <w:t xml:space="preserve"> to be considered and included for accreditation purposes. I </w:t>
      </w:r>
      <w:r w:rsidR="00483B2C">
        <w:rPr>
          <w:lang w:val="en-AU"/>
        </w:rPr>
        <w:t xml:space="preserve">can </w:t>
      </w:r>
      <w:r>
        <w:rPr>
          <w:lang w:val="en-AU"/>
        </w:rPr>
        <w:t xml:space="preserve">say this with some authority, as I was the primary author of the water quality section of the Basin Plan. </w:t>
      </w:r>
    </w:p>
    <w:p w14:paraId="222417E3" w14:textId="77777777" w:rsidR="00F56776" w:rsidRPr="002930BF" w:rsidRDefault="00F56776" w:rsidP="00F56776">
      <w:pPr>
        <w:rPr>
          <w:i/>
          <w:lang w:val="en-AU"/>
        </w:rPr>
      </w:pPr>
      <w:r w:rsidRPr="002930BF">
        <w:rPr>
          <w:i/>
          <w:lang w:val="en-AU"/>
        </w:rPr>
        <w:t>Basis of confusion and myths</w:t>
      </w:r>
    </w:p>
    <w:p w14:paraId="5DB51F74" w14:textId="77777777" w:rsidR="00F56776" w:rsidRDefault="00F56776" w:rsidP="00F56776">
      <w:pPr>
        <w:rPr>
          <w:lang w:val="en-AU"/>
        </w:rPr>
      </w:pPr>
      <w:r>
        <w:rPr>
          <w:lang w:val="en-AU"/>
        </w:rPr>
        <w:t>1.</w:t>
      </w:r>
      <w:r>
        <w:rPr>
          <w:lang w:val="en-AU"/>
        </w:rPr>
        <w:tab/>
        <w:t xml:space="preserve">As the plan is about protection of the water resource, it is confined to flow matters. </w:t>
      </w:r>
    </w:p>
    <w:p w14:paraId="088483A1" w14:textId="4F77A0EA" w:rsidR="00F56776" w:rsidRDefault="00F56776" w:rsidP="00F56776">
      <w:pPr>
        <w:rPr>
          <w:lang w:val="en-AU"/>
        </w:rPr>
      </w:pPr>
      <w:r>
        <w:rPr>
          <w:lang w:val="en-AU"/>
        </w:rPr>
        <w:t xml:space="preserve">This view fails to recognise the comprehensive nature of the definition of water resources </w:t>
      </w:r>
      <w:r w:rsidR="00564465">
        <w:rPr>
          <w:lang w:val="en-AU"/>
        </w:rPr>
        <w:t xml:space="preserve">(Sn.4) </w:t>
      </w:r>
      <w:r>
        <w:rPr>
          <w:lang w:val="en-AU"/>
        </w:rPr>
        <w:t>under the Water Act, that:</w:t>
      </w:r>
    </w:p>
    <w:p w14:paraId="5EBA6CD6" w14:textId="77777777" w:rsidR="00F56776" w:rsidRDefault="00F56776" w:rsidP="00F56776">
      <w:pPr>
        <w:ind w:left="720"/>
        <w:rPr>
          <w:i/>
          <w:lang w:val="en-AU"/>
        </w:rPr>
      </w:pPr>
      <w:r>
        <w:rPr>
          <w:i/>
          <w:lang w:val="en-AU"/>
        </w:rPr>
        <w:t xml:space="preserve">…includes </w:t>
      </w:r>
      <w:r w:rsidRPr="002930BF">
        <w:rPr>
          <w:b/>
          <w:i/>
          <w:lang w:val="en-AU"/>
        </w:rPr>
        <w:t>all</w:t>
      </w:r>
      <w:r>
        <w:rPr>
          <w:i/>
          <w:lang w:val="en-AU"/>
        </w:rPr>
        <w:t xml:space="preserve"> aspects of the water resource (</w:t>
      </w:r>
      <w:r w:rsidRPr="002930BF">
        <w:rPr>
          <w:b/>
          <w:i/>
          <w:lang w:val="en-AU"/>
        </w:rPr>
        <w:t>including</w:t>
      </w:r>
      <w:r>
        <w:rPr>
          <w:i/>
          <w:lang w:val="en-AU"/>
        </w:rPr>
        <w:t xml:space="preserve"> water, organisms and </w:t>
      </w:r>
      <w:r w:rsidRPr="002930BF">
        <w:rPr>
          <w:b/>
          <w:i/>
          <w:lang w:val="en-AU"/>
        </w:rPr>
        <w:t>other components</w:t>
      </w:r>
      <w:r>
        <w:rPr>
          <w:i/>
          <w:lang w:val="en-AU"/>
        </w:rPr>
        <w:t xml:space="preserve"> and ecosystems </w:t>
      </w:r>
      <w:r w:rsidRPr="002930BF">
        <w:rPr>
          <w:b/>
          <w:i/>
          <w:lang w:val="en-AU"/>
        </w:rPr>
        <w:t>that contribute to</w:t>
      </w:r>
      <w:r>
        <w:rPr>
          <w:i/>
          <w:lang w:val="en-AU"/>
        </w:rPr>
        <w:t xml:space="preserve"> </w:t>
      </w:r>
      <w:r w:rsidRPr="002930BF">
        <w:rPr>
          <w:b/>
          <w:i/>
          <w:lang w:val="en-AU"/>
        </w:rPr>
        <w:t>the</w:t>
      </w:r>
      <w:r>
        <w:rPr>
          <w:i/>
          <w:lang w:val="en-AU"/>
        </w:rPr>
        <w:t xml:space="preserve"> physical state and </w:t>
      </w:r>
      <w:r w:rsidRPr="002930BF">
        <w:rPr>
          <w:b/>
          <w:i/>
          <w:lang w:val="en-AU"/>
        </w:rPr>
        <w:t>environmental value of the water resource</w:t>
      </w:r>
      <w:r>
        <w:rPr>
          <w:i/>
          <w:lang w:val="en-AU"/>
        </w:rPr>
        <w:t>).</w:t>
      </w:r>
    </w:p>
    <w:p w14:paraId="30EE342C" w14:textId="07142D61" w:rsidR="00F56776" w:rsidRDefault="00F56776" w:rsidP="00F56776">
      <w:pPr>
        <w:rPr>
          <w:lang w:val="en-AU"/>
        </w:rPr>
      </w:pPr>
      <w:r>
        <w:rPr>
          <w:lang w:val="en-AU"/>
        </w:rPr>
        <w:t xml:space="preserve">Clearly, water quality is </w:t>
      </w:r>
      <w:r w:rsidR="002930BF">
        <w:rPr>
          <w:lang w:val="en-AU"/>
        </w:rPr>
        <w:t>covered under the definition</w:t>
      </w:r>
      <w:r>
        <w:rPr>
          <w:lang w:val="en-AU"/>
        </w:rPr>
        <w:t>.</w:t>
      </w:r>
    </w:p>
    <w:p w14:paraId="3D543B13" w14:textId="6EB6BD86" w:rsidR="00F56776" w:rsidRDefault="00F56776" w:rsidP="00F56776">
      <w:pPr>
        <w:rPr>
          <w:lang w:val="en-AU"/>
        </w:rPr>
      </w:pPr>
      <w:r>
        <w:rPr>
          <w:lang w:val="en-AU"/>
        </w:rPr>
        <w:t xml:space="preserve">However, more fundamentally, </w:t>
      </w:r>
    </w:p>
    <w:p w14:paraId="636B1F7E" w14:textId="3B65188F" w:rsidR="00F56776" w:rsidRDefault="00F56776" w:rsidP="00F56776">
      <w:pPr>
        <w:rPr>
          <w:lang w:val="en-AU"/>
        </w:rPr>
      </w:pPr>
      <w:r>
        <w:rPr>
          <w:lang w:val="en-AU"/>
        </w:rPr>
        <w:t>2.</w:t>
      </w:r>
      <w:r>
        <w:rPr>
          <w:lang w:val="en-AU"/>
        </w:rPr>
        <w:tab/>
        <w:t>A misinterpretation of Sn. 2</w:t>
      </w:r>
      <w:r w:rsidR="00564465">
        <w:rPr>
          <w:lang w:val="en-AU"/>
        </w:rPr>
        <w:t>2</w:t>
      </w:r>
      <w:r>
        <w:rPr>
          <w:lang w:val="en-AU"/>
        </w:rPr>
        <w:t>(10) of the Water Act.</w:t>
      </w:r>
    </w:p>
    <w:p w14:paraId="1FA40B94" w14:textId="1319694B" w:rsidR="00F56776" w:rsidRDefault="00F56776" w:rsidP="00F56776">
      <w:pPr>
        <w:rPr>
          <w:lang w:val="en-AU"/>
        </w:rPr>
      </w:pPr>
      <w:r>
        <w:rPr>
          <w:lang w:val="en-AU"/>
        </w:rPr>
        <w:t xml:space="preserve">This section prevents the Basin Plan </w:t>
      </w:r>
      <w:r w:rsidRPr="008C219C">
        <w:rPr>
          <w:b/>
          <w:lang w:val="en-AU"/>
        </w:rPr>
        <w:t>directly</w:t>
      </w:r>
      <w:r>
        <w:rPr>
          <w:lang w:val="en-AU"/>
        </w:rPr>
        <w:t xml:space="preserve"> regulating land use, natural resources or pollution matters. I.e., the Plan cannot </w:t>
      </w:r>
      <w:r w:rsidRPr="00DB5F8A">
        <w:rPr>
          <w:b/>
          <w:lang w:val="en-AU"/>
        </w:rPr>
        <w:t>explicitly</w:t>
      </w:r>
      <w:r>
        <w:rPr>
          <w:lang w:val="en-AU"/>
        </w:rPr>
        <w:t xml:space="preserve"> require</w:t>
      </w:r>
      <w:r w:rsidR="00930405">
        <w:rPr>
          <w:lang w:val="en-AU"/>
        </w:rPr>
        <w:t xml:space="preserve"> </w:t>
      </w:r>
      <w:r>
        <w:rPr>
          <w:lang w:val="en-AU"/>
        </w:rPr>
        <w:t>particular measures</w:t>
      </w:r>
      <w:r w:rsidR="00930405">
        <w:rPr>
          <w:lang w:val="en-AU"/>
        </w:rPr>
        <w:t xml:space="preserve"> of this nature</w:t>
      </w:r>
      <w:r>
        <w:rPr>
          <w:lang w:val="en-AU"/>
        </w:rPr>
        <w:t xml:space="preserve"> </w:t>
      </w:r>
      <w:r w:rsidR="007A2137">
        <w:rPr>
          <w:lang w:val="en-AU"/>
        </w:rPr>
        <w:t>to deal with water quality issues</w:t>
      </w:r>
      <w:r>
        <w:rPr>
          <w:lang w:val="en-AU"/>
        </w:rPr>
        <w:t xml:space="preserve">. However, it does not limit the measures adopted by a State in its WQMP who may, and would be </w:t>
      </w:r>
      <w:r w:rsidR="000B1A39">
        <w:rPr>
          <w:lang w:val="en-AU"/>
        </w:rPr>
        <w:t>likely</w:t>
      </w:r>
      <w:r>
        <w:rPr>
          <w:lang w:val="en-AU"/>
        </w:rPr>
        <w:t xml:space="preserve"> to </w:t>
      </w:r>
      <w:r w:rsidR="007A2137">
        <w:rPr>
          <w:lang w:val="en-AU"/>
        </w:rPr>
        <w:t>include</w:t>
      </w:r>
      <w:r w:rsidR="00604C0B">
        <w:rPr>
          <w:lang w:val="en-AU"/>
        </w:rPr>
        <w:t>,</w:t>
      </w:r>
      <w:r>
        <w:rPr>
          <w:lang w:val="en-AU"/>
        </w:rPr>
        <w:t xml:space="preserve"> such measures in their accredited WQMP. The legal </w:t>
      </w:r>
      <w:r w:rsidR="00111542">
        <w:rPr>
          <w:lang w:val="en-AU"/>
        </w:rPr>
        <w:t>opinions s</w:t>
      </w:r>
      <w:r>
        <w:rPr>
          <w:lang w:val="en-AU"/>
        </w:rPr>
        <w:t xml:space="preserve">upporting this </w:t>
      </w:r>
      <w:r w:rsidR="007A2137">
        <w:rPr>
          <w:lang w:val="en-AU"/>
        </w:rPr>
        <w:t xml:space="preserve">approach, </w:t>
      </w:r>
      <w:r>
        <w:rPr>
          <w:lang w:val="en-AU"/>
        </w:rPr>
        <w:t>at the time of the development of the Basin Plan</w:t>
      </w:r>
      <w:r w:rsidR="007A2137">
        <w:rPr>
          <w:lang w:val="en-AU"/>
        </w:rPr>
        <w:t>,</w:t>
      </w:r>
      <w:r>
        <w:rPr>
          <w:lang w:val="en-AU"/>
        </w:rPr>
        <w:t xml:space="preserve"> was unequivocal. </w:t>
      </w:r>
    </w:p>
    <w:p w14:paraId="4C4EA242" w14:textId="045626B3" w:rsidR="00111542" w:rsidRDefault="00111542" w:rsidP="00F56776">
      <w:pPr>
        <w:rPr>
          <w:lang w:val="en-AU"/>
        </w:rPr>
      </w:pPr>
      <w:r>
        <w:rPr>
          <w:lang w:val="en-AU"/>
        </w:rPr>
        <w:t xml:space="preserve">Moreover, it mirrors the general approach to implementation of water resource plan requirements; </w:t>
      </w:r>
      <w:proofErr w:type="spellStart"/>
      <w:r>
        <w:rPr>
          <w:lang w:val="en-AU"/>
        </w:rPr>
        <w:t>viz</w:t>
      </w:r>
      <w:proofErr w:type="spellEnd"/>
      <w:r>
        <w:rPr>
          <w:lang w:val="en-AU"/>
        </w:rPr>
        <w:t>:</w:t>
      </w:r>
    </w:p>
    <w:p w14:paraId="781752ED" w14:textId="71865D45" w:rsidR="00111542" w:rsidRDefault="00111542" w:rsidP="00111542">
      <w:pPr>
        <w:pStyle w:val="ListParagraph"/>
        <w:numPr>
          <w:ilvl w:val="0"/>
          <w:numId w:val="10"/>
        </w:numPr>
        <w:rPr>
          <w:lang w:val="en-AU"/>
        </w:rPr>
      </w:pPr>
      <w:r>
        <w:rPr>
          <w:lang w:val="en-AU"/>
        </w:rPr>
        <w:t>The Basin Plan identifies the outcomes and targets (SDL, water quality targets)</w:t>
      </w:r>
    </w:p>
    <w:p w14:paraId="4AB51973" w14:textId="6965F77E" w:rsidR="00111542" w:rsidRDefault="00111542" w:rsidP="00111542">
      <w:pPr>
        <w:pStyle w:val="ListParagraph"/>
        <w:numPr>
          <w:ilvl w:val="0"/>
          <w:numId w:val="10"/>
        </w:numPr>
        <w:rPr>
          <w:lang w:val="en-AU"/>
        </w:rPr>
      </w:pPr>
      <w:r>
        <w:rPr>
          <w:lang w:val="en-AU"/>
        </w:rPr>
        <w:t xml:space="preserve">The State jurisdictions, </w:t>
      </w:r>
      <w:r w:rsidRPr="00111542">
        <w:rPr>
          <w:b/>
          <w:lang w:val="en-AU"/>
        </w:rPr>
        <w:t>using their own legislative powers and instruments</w:t>
      </w:r>
      <w:r>
        <w:rPr>
          <w:lang w:val="en-AU"/>
        </w:rPr>
        <w:t>, identify how they will address the targets.</w:t>
      </w:r>
    </w:p>
    <w:p w14:paraId="07D48CDF" w14:textId="19AB477B" w:rsidR="00111542" w:rsidRPr="00111542" w:rsidRDefault="00111542" w:rsidP="00111542">
      <w:pPr>
        <w:rPr>
          <w:lang w:val="en-AU"/>
        </w:rPr>
      </w:pPr>
      <w:r>
        <w:rPr>
          <w:lang w:val="en-AU"/>
        </w:rPr>
        <w:t xml:space="preserve">In </w:t>
      </w:r>
      <w:r w:rsidR="007A2137">
        <w:rPr>
          <w:lang w:val="en-AU"/>
        </w:rPr>
        <w:t>a similar</w:t>
      </w:r>
      <w:r>
        <w:rPr>
          <w:lang w:val="en-AU"/>
        </w:rPr>
        <w:t xml:space="preserve"> fashion, the Basin Plan does not </w:t>
      </w:r>
      <w:r w:rsidRPr="006C6113">
        <w:rPr>
          <w:u w:val="single"/>
          <w:lang w:val="en-AU"/>
        </w:rPr>
        <w:t>directly</w:t>
      </w:r>
      <w:r>
        <w:rPr>
          <w:lang w:val="en-AU"/>
        </w:rPr>
        <w:t xml:space="preserve"> regulate </w:t>
      </w:r>
      <w:r w:rsidR="005B1132">
        <w:rPr>
          <w:lang w:val="en-AU"/>
        </w:rPr>
        <w:t xml:space="preserve">specific </w:t>
      </w:r>
      <w:r>
        <w:rPr>
          <w:lang w:val="en-AU"/>
        </w:rPr>
        <w:t xml:space="preserve">allocation </w:t>
      </w:r>
      <w:r w:rsidR="007A2137">
        <w:rPr>
          <w:lang w:val="en-AU"/>
        </w:rPr>
        <w:t xml:space="preserve">approaches </w:t>
      </w:r>
      <w:r>
        <w:rPr>
          <w:lang w:val="en-AU"/>
        </w:rPr>
        <w:t xml:space="preserve">or water quality management measures, nor does it </w:t>
      </w:r>
      <w:r w:rsidR="007A2137">
        <w:rPr>
          <w:lang w:val="en-AU"/>
        </w:rPr>
        <w:t xml:space="preserve">exclude </w:t>
      </w:r>
      <w:r w:rsidR="00564465">
        <w:rPr>
          <w:lang w:val="en-AU"/>
        </w:rPr>
        <w:t>any</w:t>
      </w:r>
      <w:r w:rsidR="007A2137">
        <w:rPr>
          <w:lang w:val="en-AU"/>
        </w:rPr>
        <w:t xml:space="preserve"> from </w:t>
      </w:r>
      <w:r w:rsidR="00564465">
        <w:rPr>
          <w:lang w:val="en-AU"/>
        </w:rPr>
        <w:t xml:space="preserve">possible </w:t>
      </w:r>
      <w:r w:rsidR="007A2137">
        <w:rPr>
          <w:lang w:val="en-AU"/>
        </w:rPr>
        <w:t>inclusion</w:t>
      </w:r>
      <w:r>
        <w:rPr>
          <w:lang w:val="en-AU"/>
        </w:rPr>
        <w:t>.</w:t>
      </w:r>
    </w:p>
    <w:p w14:paraId="3F08EF3F" w14:textId="4AD6E20D" w:rsidR="00111542" w:rsidRPr="009B69F0" w:rsidRDefault="00E858AA" w:rsidP="00111542">
      <w:pPr>
        <w:rPr>
          <w:lang w:val="en-AU"/>
        </w:rPr>
      </w:pPr>
      <w:r>
        <w:rPr>
          <w:lang w:val="en-AU"/>
        </w:rPr>
        <w:t>Th</w:t>
      </w:r>
      <w:r w:rsidR="00111542">
        <w:rPr>
          <w:lang w:val="en-AU"/>
        </w:rPr>
        <w:t xml:space="preserve">at this broader approach to consideration of measures was the original intent is indicated explicitly in the Plan under </w:t>
      </w:r>
      <w:proofErr w:type="gramStart"/>
      <w:r w:rsidR="00111542">
        <w:rPr>
          <w:lang w:val="en-AU"/>
        </w:rPr>
        <w:t>S.10.33(</w:t>
      </w:r>
      <w:proofErr w:type="gramEnd"/>
      <w:r w:rsidR="00111542">
        <w:rPr>
          <w:lang w:val="en-AU"/>
        </w:rPr>
        <w:t>3)</w:t>
      </w:r>
      <w:r w:rsidR="00824F7B">
        <w:rPr>
          <w:lang w:val="en-AU"/>
        </w:rPr>
        <w:t xml:space="preserve">:  </w:t>
      </w:r>
      <w:r w:rsidR="00111542">
        <w:rPr>
          <w:lang w:val="en-AU"/>
        </w:rPr>
        <w:t>‘</w:t>
      </w:r>
      <w:r w:rsidR="00111542" w:rsidRPr="009B69F0">
        <w:rPr>
          <w:i/>
          <w:lang w:val="en-AU"/>
        </w:rPr>
        <w:t>The measures may include land management measures’</w:t>
      </w:r>
      <w:r w:rsidR="009B69F0">
        <w:rPr>
          <w:i/>
          <w:lang w:val="en-AU"/>
        </w:rPr>
        <w:t xml:space="preserve"> </w:t>
      </w:r>
      <w:r w:rsidR="009B69F0">
        <w:rPr>
          <w:lang w:val="en-AU"/>
        </w:rPr>
        <w:t xml:space="preserve">. I.e., </w:t>
      </w:r>
      <w:r w:rsidR="00930405">
        <w:rPr>
          <w:lang w:val="en-AU"/>
        </w:rPr>
        <w:t>inclusion</w:t>
      </w:r>
      <w:r w:rsidR="009B69F0">
        <w:rPr>
          <w:lang w:val="en-AU"/>
        </w:rPr>
        <w:t xml:space="preserve"> of measures is </w:t>
      </w:r>
      <w:r w:rsidR="009B69F0" w:rsidRPr="00824F7B">
        <w:rPr>
          <w:u w:val="single"/>
          <w:lang w:val="en-AU"/>
        </w:rPr>
        <w:t>not confined</w:t>
      </w:r>
      <w:r w:rsidR="009B69F0">
        <w:rPr>
          <w:lang w:val="en-AU"/>
        </w:rPr>
        <w:t xml:space="preserve"> to flow management measures.</w:t>
      </w:r>
    </w:p>
    <w:p w14:paraId="65841637" w14:textId="0F7F9F84" w:rsidR="00824F7B" w:rsidRDefault="007A2137" w:rsidP="00824F7B">
      <w:pPr>
        <w:rPr>
          <w:lang w:val="en-AU"/>
        </w:rPr>
      </w:pPr>
      <w:r>
        <w:rPr>
          <w:lang w:val="en-AU"/>
        </w:rPr>
        <w:t>Moreover, t</w:t>
      </w:r>
      <w:r w:rsidR="00824F7B">
        <w:rPr>
          <w:lang w:val="en-AU"/>
        </w:rPr>
        <w:t>he absurdity of the limited approach taken in consideration of the water quality management measures becomes clear when the requirements of the WQMP are looked at holistically.</w:t>
      </w:r>
    </w:p>
    <w:p w14:paraId="17553524" w14:textId="77777777" w:rsidR="00824F7B" w:rsidRDefault="00824F7B" w:rsidP="00824F7B">
      <w:pPr>
        <w:rPr>
          <w:lang w:val="en-AU"/>
        </w:rPr>
      </w:pPr>
      <w:r>
        <w:rPr>
          <w:lang w:val="en-AU"/>
        </w:rPr>
        <w:t>There are essentially three elements:</w:t>
      </w:r>
    </w:p>
    <w:p w14:paraId="3AE474E7" w14:textId="57E5703B" w:rsidR="00824F7B" w:rsidRDefault="00824F7B" w:rsidP="00824F7B">
      <w:pPr>
        <w:pStyle w:val="ListParagraph"/>
        <w:numPr>
          <w:ilvl w:val="0"/>
          <w:numId w:val="11"/>
        </w:numPr>
        <w:rPr>
          <w:lang w:val="en-AU"/>
        </w:rPr>
      </w:pPr>
      <w:r>
        <w:rPr>
          <w:lang w:val="en-AU"/>
        </w:rPr>
        <w:t>Establishment of key causes of water quality degradation;</w:t>
      </w:r>
    </w:p>
    <w:p w14:paraId="69659F0D" w14:textId="77777777" w:rsidR="00824F7B" w:rsidRDefault="00824F7B" w:rsidP="00824F7B">
      <w:pPr>
        <w:pStyle w:val="ListParagraph"/>
        <w:numPr>
          <w:ilvl w:val="0"/>
          <w:numId w:val="11"/>
        </w:numPr>
        <w:rPr>
          <w:lang w:val="en-AU"/>
        </w:rPr>
      </w:pPr>
      <w:r>
        <w:rPr>
          <w:lang w:val="en-AU"/>
        </w:rPr>
        <w:t>Development or adoption of water quality targets</w:t>
      </w:r>
    </w:p>
    <w:p w14:paraId="7A93AD74" w14:textId="77777777" w:rsidR="00824F7B" w:rsidRDefault="00824F7B" w:rsidP="00824F7B">
      <w:pPr>
        <w:pStyle w:val="ListParagraph"/>
        <w:numPr>
          <w:ilvl w:val="0"/>
          <w:numId w:val="11"/>
        </w:numPr>
        <w:rPr>
          <w:lang w:val="en-AU"/>
        </w:rPr>
      </w:pPr>
      <w:r>
        <w:rPr>
          <w:lang w:val="en-AU"/>
        </w:rPr>
        <w:t>Consideration of water quality management measures.</w:t>
      </w:r>
    </w:p>
    <w:p w14:paraId="19AE0F3B" w14:textId="4ABD9562" w:rsidR="007A2137" w:rsidRDefault="00824F7B" w:rsidP="00824F7B">
      <w:pPr>
        <w:rPr>
          <w:lang w:val="en-AU"/>
        </w:rPr>
      </w:pPr>
      <w:r>
        <w:rPr>
          <w:lang w:val="en-AU"/>
        </w:rPr>
        <w:t xml:space="preserve">For the first two elements, the analysis is comprehensive and holistic. I.e., there </w:t>
      </w:r>
      <w:r w:rsidRPr="00500DFC">
        <w:rPr>
          <w:b/>
          <w:lang w:val="en-AU"/>
        </w:rPr>
        <w:t>must</w:t>
      </w:r>
      <w:r>
        <w:rPr>
          <w:lang w:val="en-AU"/>
        </w:rPr>
        <w:t xml:space="preserve"> be an analysis of </w:t>
      </w:r>
      <w:r w:rsidRPr="00500DFC">
        <w:rPr>
          <w:b/>
          <w:lang w:val="en-AU"/>
        </w:rPr>
        <w:t xml:space="preserve">all </w:t>
      </w:r>
      <w:r>
        <w:rPr>
          <w:b/>
          <w:lang w:val="en-AU"/>
        </w:rPr>
        <w:t xml:space="preserve">likely </w:t>
      </w:r>
      <w:r w:rsidR="00564465">
        <w:rPr>
          <w:b/>
          <w:lang w:val="en-AU"/>
        </w:rPr>
        <w:t>key causes</w:t>
      </w:r>
      <w:r>
        <w:rPr>
          <w:lang w:val="en-AU"/>
        </w:rPr>
        <w:t xml:space="preserve"> of water quality degradation, whether or not they are related to flow. </w:t>
      </w:r>
      <w:r w:rsidR="007A2137">
        <w:rPr>
          <w:lang w:val="en-AU"/>
        </w:rPr>
        <w:t xml:space="preserve">For examples </w:t>
      </w:r>
      <w:r w:rsidR="007A2137">
        <w:rPr>
          <w:lang w:val="en-AU"/>
        </w:rPr>
        <w:lastRenderedPageBreak/>
        <w:t>the key causes which must be considered include ‘poor soil conservation practices’; ‘cold water pollution’</w:t>
      </w:r>
      <w:r w:rsidR="00930405">
        <w:rPr>
          <w:lang w:val="en-AU"/>
        </w:rPr>
        <w:t xml:space="preserve"> (Schedule 10)</w:t>
      </w:r>
      <w:r w:rsidR="007A2137">
        <w:rPr>
          <w:lang w:val="en-AU"/>
        </w:rPr>
        <w:t>.</w:t>
      </w:r>
    </w:p>
    <w:p w14:paraId="0E724563" w14:textId="2ACFCFA5" w:rsidR="00824F7B" w:rsidRDefault="007A2137" w:rsidP="00824F7B">
      <w:pPr>
        <w:rPr>
          <w:lang w:val="en-AU"/>
        </w:rPr>
      </w:pPr>
      <w:r>
        <w:rPr>
          <w:lang w:val="en-AU"/>
        </w:rPr>
        <w:t>T</w:t>
      </w:r>
      <w:r w:rsidR="00824F7B">
        <w:rPr>
          <w:lang w:val="en-AU"/>
        </w:rPr>
        <w:t xml:space="preserve">he water quality targets are </w:t>
      </w:r>
      <w:r>
        <w:rPr>
          <w:lang w:val="en-AU"/>
        </w:rPr>
        <w:t xml:space="preserve">similarly </w:t>
      </w:r>
      <w:r w:rsidR="00824F7B">
        <w:rPr>
          <w:lang w:val="en-AU"/>
        </w:rPr>
        <w:t xml:space="preserve">wide-ranging. </w:t>
      </w:r>
    </w:p>
    <w:p w14:paraId="50DC9F63" w14:textId="6618A857" w:rsidR="00824F7B" w:rsidRPr="00500DFC" w:rsidRDefault="007A2137" w:rsidP="00824F7B">
      <w:pPr>
        <w:rPr>
          <w:lang w:val="en-AU"/>
        </w:rPr>
      </w:pPr>
      <w:r>
        <w:rPr>
          <w:lang w:val="en-AU"/>
        </w:rPr>
        <w:t>Thus, i</w:t>
      </w:r>
      <w:r w:rsidR="00824F7B">
        <w:rPr>
          <w:lang w:val="en-AU"/>
        </w:rPr>
        <w:t xml:space="preserve">n order to provide balance, a wide view of possible measures is appropriate. If a narrow view is taken, the need to undertake a comprehensive analysis of key causes </w:t>
      </w:r>
      <w:r>
        <w:rPr>
          <w:lang w:val="en-AU"/>
        </w:rPr>
        <w:t xml:space="preserve">and have a broad range of water quality targets </w:t>
      </w:r>
      <w:r w:rsidR="00824F7B">
        <w:rPr>
          <w:lang w:val="en-AU"/>
        </w:rPr>
        <w:t xml:space="preserve">would be unnecessary and irrelevant. </w:t>
      </w:r>
      <w:r w:rsidR="00604C0B">
        <w:rPr>
          <w:lang w:val="en-AU"/>
        </w:rPr>
        <w:t>The</w:t>
      </w:r>
      <w:r w:rsidR="00564465">
        <w:rPr>
          <w:lang w:val="en-AU"/>
        </w:rPr>
        <w:t xml:space="preserve"> narrow approach to consideration of possible water quality measures</w:t>
      </w:r>
      <w:r w:rsidR="00604C0B">
        <w:rPr>
          <w:lang w:val="en-AU"/>
        </w:rPr>
        <w:t xml:space="preserve"> </w:t>
      </w:r>
      <w:r w:rsidR="00564465">
        <w:rPr>
          <w:lang w:val="en-AU"/>
        </w:rPr>
        <w:t>ensures the Plan’s objectives for water quality (Sn. 9.03 – 9.08) will be a long way from being achieved.</w:t>
      </w:r>
    </w:p>
    <w:p w14:paraId="0626EA36" w14:textId="3AE431F2" w:rsidR="000F44EE" w:rsidRPr="00554553" w:rsidRDefault="00554553" w:rsidP="00554553">
      <w:pPr>
        <w:rPr>
          <w:lang w:val="en-AU"/>
        </w:rPr>
      </w:pPr>
      <w:r>
        <w:rPr>
          <w:lang w:val="en-AU"/>
        </w:rPr>
        <w:t xml:space="preserve">The farcical nature of this narrow approach is illustrated by the </w:t>
      </w:r>
      <w:r w:rsidR="00604C0B">
        <w:rPr>
          <w:lang w:val="en-AU"/>
        </w:rPr>
        <w:t xml:space="preserve">water quality </w:t>
      </w:r>
      <w:r>
        <w:rPr>
          <w:lang w:val="en-AU"/>
        </w:rPr>
        <w:t xml:space="preserve">measures incorporated into the </w:t>
      </w:r>
      <w:r w:rsidR="00604C0B">
        <w:rPr>
          <w:lang w:val="en-AU"/>
        </w:rPr>
        <w:t xml:space="preserve">accredited </w:t>
      </w:r>
      <w:r>
        <w:rPr>
          <w:lang w:val="en-AU"/>
        </w:rPr>
        <w:t xml:space="preserve">Warrego, Paroo and </w:t>
      </w:r>
      <w:proofErr w:type="spellStart"/>
      <w:r>
        <w:rPr>
          <w:lang w:val="en-AU"/>
        </w:rPr>
        <w:t>Nebine</w:t>
      </w:r>
      <w:proofErr w:type="spellEnd"/>
      <w:r>
        <w:rPr>
          <w:lang w:val="en-AU"/>
        </w:rPr>
        <w:t xml:space="preserve"> Water Resource Plan</w:t>
      </w:r>
      <w:r w:rsidR="00604C0B">
        <w:rPr>
          <w:lang w:val="en-AU"/>
        </w:rPr>
        <w:t xml:space="preserve">. </w:t>
      </w:r>
      <w:r w:rsidR="000F44EE" w:rsidRPr="00554553">
        <w:rPr>
          <w:lang w:val="en-AU"/>
        </w:rPr>
        <w:t xml:space="preserve">The </w:t>
      </w:r>
      <w:r w:rsidR="000F44EE" w:rsidRPr="000B1A39">
        <w:rPr>
          <w:b/>
          <w:lang w:val="en-AU"/>
        </w:rPr>
        <w:t xml:space="preserve">only </w:t>
      </w:r>
      <w:r w:rsidR="000F44EE" w:rsidRPr="00554553">
        <w:rPr>
          <w:lang w:val="en-AU"/>
        </w:rPr>
        <w:t xml:space="preserve">real measure </w:t>
      </w:r>
      <w:r>
        <w:rPr>
          <w:lang w:val="en-AU"/>
        </w:rPr>
        <w:t>is</w:t>
      </w:r>
      <w:r w:rsidR="000F44EE" w:rsidRPr="00554553">
        <w:rPr>
          <w:lang w:val="en-AU"/>
        </w:rPr>
        <w:t xml:space="preserve"> trivial and not really relevant</w:t>
      </w:r>
      <w:r>
        <w:rPr>
          <w:lang w:val="en-AU"/>
        </w:rPr>
        <w:t xml:space="preserve">, being </w:t>
      </w:r>
      <w:r w:rsidR="000F44EE" w:rsidRPr="00554553">
        <w:rPr>
          <w:lang w:val="en-AU"/>
        </w:rPr>
        <w:t xml:space="preserve">just a re-statement of </w:t>
      </w:r>
      <w:r>
        <w:rPr>
          <w:lang w:val="en-AU"/>
        </w:rPr>
        <w:t xml:space="preserve">the process for developing </w:t>
      </w:r>
      <w:r w:rsidR="000F44EE" w:rsidRPr="00554553">
        <w:rPr>
          <w:lang w:val="en-AU"/>
        </w:rPr>
        <w:t>alternative targets</w:t>
      </w:r>
      <w:r>
        <w:rPr>
          <w:lang w:val="en-AU"/>
        </w:rPr>
        <w:t>, viz.:</w:t>
      </w:r>
    </w:p>
    <w:p w14:paraId="25C15E4F" w14:textId="21CA1CD1" w:rsidR="000F44EE" w:rsidRDefault="000F44EE" w:rsidP="000F44EE">
      <w:pPr>
        <w:ind w:left="360"/>
        <w:rPr>
          <w:i/>
        </w:rPr>
      </w:pPr>
      <w:r w:rsidRPr="000F44EE">
        <w:rPr>
          <w:i/>
        </w:rPr>
        <w:t xml:space="preserve">Establishment of Environmental Values (EVs) and Water Quality Objectives (WQOs) for the waters of the </w:t>
      </w:r>
      <w:proofErr w:type="spellStart"/>
      <w:r w:rsidRPr="000F44EE">
        <w:rPr>
          <w:i/>
        </w:rPr>
        <w:t>Warrego</w:t>
      </w:r>
      <w:proofErr w:type="spellEnd"/>
      <w:r w:rsidRPr="000F44EE">
        <w:rPr>
          <w:i/>
        </w:rPr>
        <w:t xml:space="preserve">, </w:t>
      </w:r>
      <w:proofErr w:type="spellStart"/>
      <w:r w:rsidRPr="000F44EE">
        <w:rPr>
          <w:i/>
        </w:rPr>
        <w:t>Paroo</w:t>
      </w:r>
      <w:proofErr w:type="spellEnd"/>
      <w:r w:rsidRPr="000F44EE">
        <w:rPr>
          <w:i/>
        </w:rPr>
        <w:t xml:space="preserve"> and </w:t>
      </w:r>
      <w:proofErr w:type="spellStart"/>
      <w:r w:rsidRPr="000F44EE">
        <w:rPr>
          <w:i/>
        </w:rPr>
        <w:t>Nebine</w:t>
      </w:r>
      <w:proofErr w:type="spellEnd"/>
      <w:r w:rsidRPr="000F44EE">
        <w:rPr>
          <w:i/>
        </w:rPr>
        <w:t xml:space="preserve"> plan area under Schedule 1 of the Queensland Environmental Protection (Water) Policy 2009, to inform statutory and non-statutory planning and decision</w:t>
      </w:r>
      <w:r>
        <w:rPr>
          <w:i/>
        </w:rPr>
        <w:t xml:space="preserve"> </w:t>
      </w:r>
      <w:r w:rsidRPr="000F44EE">
        <w:rPr>
          <w:i/>
        </w:rPr>
        <w:t>making.</w:t>
      </w:r>
    </w:p>
    <w:p w14:paraId="436B257A" w14:textId="35CD6FD9" w:rsidR="006B0D55" w:rsidRDefault="00604C0B" w:rsidP="005423E5">
      <w:pPr>
        <w:rPr>
          <w:lang w:val="en-AU"/>
        </w:rPr>
      </w:pPr>
      <w:r>
        <w:rPr>
          <w:lang w:val="en-AU"/>
        </w:rPr>
        <w:t xml:space="preserve">To achieve </w:t>
      </w:r>
      <w:r w:rsidR="000B1A39">
        <w:rPr>
          <w:lang w:val="en-AU"/>
        </w:rPr>
        <w:t xml:space="preserve">the water quality objectives </w:t>
      </w:r>
      <w:r>
        <w:rPr>
          <w:lang w:val="en-AU"/>
        </w:rPr>
        <w:t>in the Basin Plan, i</w:t>
      </w:r>
      <w:r w:rsidR="000B1A39">
        <w:rPr>
          <w:lang w:val="en-AU"/>
        </w:rPr>
        <w:t xml:space="preserve">t would be necessary for a broad range of measures to be </w:t>
      </w:r>
      <w:r>
        <w:rPr>
          <w:lang w:val="en-AU"/>
        </w:rPr>
        <w:t>incorporated</w:t>
      </w:r>
      <w:r w:rsidR="000B1A39">
        <w:rPr>
          <w:lang w:val="en-AU"/>
        </w:rPr>
        <w:t xml:space="preserve">, addressing </w:t>
      </w:r>
      <w:r w:rsidR="000B1A39" w:rsidRPr="00823FFF">
        <w:rPr>
          <w:b/>
          <w:lang w:val="en-AU"/>
        </w:rPr>
        <w:t>all</w:t>
      </w:r>
      <w:r w:rsidR="000B1A39">
        <w:rPr>
          <w:lang w:val="en-AU"/>
        </w:rPr>
        <w:t xml:space="preserve"> of the key causes.</w:t>
      </w:r>
      <w:r w:rsidR="0095398C">
        <w:rPr>
          <w:lang w:val="en-AU"/>
        </w:rPr>
        <w:t xml:space="preserve"> The original intent was for an accredited Water Resource Plan </w:t>
      </w:r>
      <w:r w:rsidR="0071697F">
        <w:rPr>
          <w:lang w:val="en-AU"/>
        </w:rPr>
        <w:t>to incorporate other State instruments such as those already used by the State for water quality planning. Thus, in the case of the Warrego, Paroo</w:t>
      </w:r>
      <w:r w:rsidR="006C6113">
        <w:rPr>
          <w:lang w:val="en-AU"/>
        </w:rPr>
        <w:t>,</w:t>
      </w:r>
      <w:r w:rsidR="0071697F">
        <w:rPr>
          <w:lang w:val="en-AU"/>
        </w:rPr>
        <w:t xml:space="preserve"> </w:t>
      </w:r>
      <w:proofErr w:type="spellStart"/>
      <w:r w:rsidR="0071697F">
        <w:rPr>
          <w:lang w:val="en-AU"/>
        </w:rPr>
        <w:t>Nebine</w:t>
      </w:r>
      <w:proofErr w:type="spellEnd"/>
      <w:r w:rsidR="0071697F">
        <w:rPr>
          <w:lang w:val="en-AU"/>
        </w:rPr>
        <w:t xml:space="preserve"> Plan the measures identified in Sn. 9.1.2 – 9.1.4 of the ‘Healthy Waterways </w:t>
      </w:r>
      <w:r w:rsidR="00E84784">
        <w:rPr>
          <w:lang w:val="en-AU"/>
        </w:rPr>
        <w:t xml:space="preserve">Management </w:t>
      </w:r>
      <w:r w:rsidR="0071697F">
        <w:rPr>
          <w:lang w:val="en-AU"/>
        </w:rPr>
        <w:t>Plan</w:t>
      </w:r>
      <w:r w:rsidR="00255F17">
        <w:rPr>
          <w:lang w:val="en-AU"/>
        </w:rPr>
        <w:t>’</w:t>
      </w:r>
      <w:r w:rsidR="0071697F">
        <w:rPr>
          <w:lang w:val="en-AU"/>
        </w:rPr>
        <w:t xml:space="preserve"> </w:t>
      </w:r>
      <w:r w:rsidR="002B12C7">
        <w:rPr>
          <w:lang w:val="en-AU"/>
        </w:rPr>
        <w:t>sh</w:t>
      </w:r>
      <w:r w:rsidR="0071697F">
        <w:rPr>
          <w:lang w:val="en-AU"/>
        </w:rPr>
        <w:t>ould also form part of the instrument for accreditation.</w:t>
      </w:r>
      <w:r w:rsidR="0095398C">
        <w:rPr>
          <w:lang w:val="en-AU"/>
        </w:rPr>
        <w:t xml:space="preserve"> </w:t>
      </w:r>
      <w:proofErr w:type="gramStart"/>
      <w:r w:rsidR="006C6113">
        <w:rPr>
          <w:lang w:val="en-AU"/>
        </w:rPr>
        <w:t>(</w:t>
      </w:r>
      <w:r w:rsidR="0071697F">
        <w:rPr>
          <w:lang w:val="en-AU"/>
        </w:rPr>
        <w:t xml:space="preserve"> </w:t>
      </w:r>
      <w:proofErr w:type="gramEnd"/>
      <w:hyperlink r:id="rId15" w:history="1">
        <w:r w:rsidR="0071697F" w:rsidRPr="00284DA1">
          <w:rPr>
            <w:rStyle w:val="Hyperlink"/>
            <w:lang w:val="en-AU"/>
          </w:rPr>
          <w:t>https://www.ehp.qld.gov.au/water/policy/pdf/hwmp-warrego-paroo-bullo-nebine.pdf</w:t>
        </w:r>
      </w:hyperlink>
      <w:r w:rsidR="0071697F">
        <w:rPr>
          <w:lang w:val="en-AU"/>
        </w:rPr>
        <w:t xml:space="preserve"> </w:t>
      </w:r>
      <w:r w:rsidR="006C6113">
        <w:rPr>
          <w:lang w:val="en-AU"/>
        </w:rPr>
        <w:t>)</w:t>
      </w:r>
    </w:p>
    <w:p w14:paraId="7C96B5B6" w14:textId="77777777" w:rsidR="00EC66B6" w:rsidRDefault="005423E5" w:rsidP="005423E5">
      <w:pPr>
        <w:rPr>
          <w:lang w:val="en-AU"/>
        </w:rPr>
      </w:pPr>
      <w:r>
        <w:rPr>
          <w:lang w:val="en-AU"/>
        </w:rPr>
        <w:t xml:space="preserve">The </w:t>
      </w:r>
      <w:r w:rsidR="00823FFF">
        <w:rPr>
          <w:lang w:val="en-AU"/>
        </w:rPr>
        <w:t xml:space="preserve">comprehensive scope </w:t>
      </w:r>
      <w:r w:rsidR="004E4C48">
        <w:rPr>
          <w:lang w:val="en-AU"/>
        </w:rPr>
        <w:t xml:space="preserve">expected for </w:t>
      </w:r>
      <w:r w:rsidR="00823FFF">
        <w:rPr>
          <w:lang w:val="en-AU"/>
        </w:rPr>
        <w:t xml:space="preserve">water quality management plans can be found in </w:t>
      </w:r>
      <w:r w:rsidR="0044635E">
        <w:rPr>
          <w:lang w:val="en-AU"/>
        </w:rPr>
        <w:t xml:space="preserve">current </w:t>
      </w:r>
      <w:r w:rsidR="00EC66B6">
        <w:rPr>
          <w:lang w:val="en-AU"/>
        </w:rPr>
        <w:t>national guidelines for water quality management. In particular:</w:t>
      </w:r>
    </w:p>
    <w:p w14:paraId="44C3AEF5" w14:textId="77777777" w:rsidR="00EC66B6" w:rsidRDefault="00823FFF" w:rsidP="00EC66B6">
      <w:pPr>
        <w:pStyle w:val="ListParagraph"/>
        <w:numPr>
          <w:ilvl w:val="0"/>
          <w:numId w:val="17"/>
        </w:numPr>
        <w:rPr>
          <w:lang w:val="en-AU"/>
        </w:rPr>
      </w:pPr>
      <w:r w:rsidRPr="00EC66B6">
        <w:rPr>
          <w:lang w:val="en-AU"/>
        </w:rPr>
        <w:t xml:space="preserve">‘Implementation Guidelines’ (1998) Document 3 of the National Water Quality Management Strategy, </w:t>
      </w:r>
      <w:hyperlink r:id="rId16" w:history="1">
        <w:r w:rsidRPr="00EC66B6">
          <w:rPr>
            <w:rStyle w:val="Hyperlink"/>
            <w:lang w:val="en-AU"/>
          </w:rPr>
          <w:t>http://www.agriculture.gov.au/water/quality/nwqms/nwqms-implementation-guidelines</w:t>
        </w:r>
      </w:hyperlink>
      <w:r w:rsidRPr="00EC66B6">
        <w:rPr>
          <w:lang w:val="en-AU"/>
        </w:rPr>
        <w:t xml:space="preserve"> </w:t>
      </w:r>
      <w:bookmarkStart w:id="1" w:name="top"/>
    </w:p>
    <w:p w14:paraId="5433391C" w14:textId="18EC9301" w:rsidR="006B0D55" w:rsidRPr="00EC66B6" w:rsidRDefault="00EC66B6" w:rsidP="00EC66B6">
      <w:pPr>
        <w:pStyle w:val="ListParagraph"/>
        <w:numPr>
          <w:ilvl w:val="0"/>
          <w:numId w:val="17"/>
        </w:numPr>
        <w:rPr>
          <w:lang w:val="en-AU"/>
        </w:rPr>
      </w:pPr>
      <w:r w:rsidRPr="00EC66B6">
        <w:rPr>
          <w:rFonts w:cstheme="minorHAnsi"/>
        </w:rPr>
        <w:t>‘</w:t>
      </w:r>
      <w:r w:rsidRPr="00EC66B6">
        <w:rPr>
          <w:rFonts w:cstheme="minorHAnsi"/>
          <w:lang w:val="en"/>
        </w:rPr>
        <w:t>The Framework for Marine and Estuarine Water Quality Protection: A Reference Document</w:t>
      </w:r>
      <w:bookmarkEnd w:id="1"/>
      <w:r w:rsidRPr="00EC66B6">
        <w:rPr>
          <w:rFonts w:cstheme="minorHAnsi"/>
          <w:lang w:val="en"/>
        </w:rPr>
        <w:t xml:space="preserve">’, </w:t>
      </w:r>
      <w:r>
        <w:rPr>
          <w:rFonts w:cstheme="minorHAnsi"/>
          <w:lang w:val="en"/>
        </w:rPr>
        <w:t xml:space="preserve">(2002) </w:t>
      </w:r>
      <w:hyperlink r:id="rId17" w:history="1">
        <w:r w:rsidRPr="00284DA1">
          <w:rPr>
            <w:rStyle w:val="Hyperlink"/>
            <w:rFonts w:cstheme="minorHAnsi"/>
            <w:lang w:val="en-AU"/>
          </w:rPr>
          <w:t>http://webarchive.nla.gov.au/gov/20130904194802/http://www.environment.gov.au/water/publications/quality/water-quality-framework.html</w:t>
        </w:r>
      </w:hyperlink>
      <w:r w:rsidR="00823FFF" w:rsidRPr="00EC66B6">
        <w:rPr>
          <w:rFonts w:cstheme="minorHAnsi"/>
        </w:rPr>
        <w:t xml:space="preserve"> </w:t>
      </w:r>
    </w:p>
    <w:p w14:paraId="1E56AE90" w14:textId="3D196B61" w:rsidR="009371A4" w:rsidRDefault="006C6113" w:rsidP="006A6C0A">
      <w:pPr>
        <w:rPr>
          <w:rFonts w:eastAsiaTheme="minorEastAsia" w:cs="Times New Roman"/>
          <w:noProof/>
          <w:lang w:val="en-AU" w:eastAsia="en-AU"/>
        </w:rPr>
      </w:pPr>
      <w:r>
        <w:rPr>
          <w:rFonts w:eastAsiaTheme="minorEastAsia" w:cs="Times New Roman"/>
          <w:noProof/>
          <w:lang w:val="en-AU" w:eastAsia="en-AU"/>
        </w:rPr>
        <w:t xml:space="preserve">Both of these national guideline documents give detailed analysis of what a water quality management plan should entail. </w:t>
      </w:r>
      <w:r w:rsidR="0089707E">
        <w:rPr>
          <w:rFonts w:eastAsiaTheme="minorEastAsia" w:cs="Times New Roman"/>
          <w:noProof/>
          <w:lang w:val="en-AU" w:eastAsia="en-AU"/>
        </w:rPr>
        <w:t>The narrow approach adopted by the MDBA is inconsistent with this national guideline material.</w:t>
      </w:r>
    </w:p>
    <w:p w14:paraId="610C970F" w14:textId="77777777" w:rsidR="0089707E" w:rsidRPr="0089707E" w:rsidRDefault="0089707E" w:rsidP="006A6C0A">
      <w:pPr>
        <w:rPr>
          <w:rFonts w:eastAsiaTheme="minorEastAsia" w:cs="Times New Roman"/>
          <w:noProof/>
          <w:lang w:val="en-AU" w:eastAsia="en-AU"/>
        </w:rPr>
      </w:pPr>
    </w:p>
    <w:p w14:paraId="19BD2949" w14:textId="75E2F179" w:rsidR="006A6C0A" w:rsidRPr="00E84784" w:rsidRDefault="006A6C0A" w:rsidP="0089707E">
      <w:pPr>
        <w:ind w:left="5760"/>
        <w:rPr>
          <w:rFonts w:eastAsiaTheme="minorEastAsia" w:cs="Times New Roman"/>
          <w:b/>
          <w:noProof/>
          <w:sz w:val="20"/>
          <w:szCs w:val="20"/>
          <w:lang w:val="en-AU" w:eastAsia="en-AU"/>
        </w:rPr>
      </w:pPr>
      <w:r w:rsidRPr="00E84784">
        <w:rPr>
          <w:rFonts w:eastAsiaTheme="minorEastAsia" w:cs="Times New Roman"/>
          <w:b/>
          <w:noProof/>
          <w:sz w:val="20"/>
          <w:szCs w:val="20"/>
          <w:lang w:val="en-AU" w:eastAsia="en-AU"/>
        </w:rPr>
        <w:t>Brian Bycroft</w:t>
      </w:r>
    </w:p>
    <w:p w14:paraId="08E5894C" w14:textId="77777777" w:rsidR="006A6C0A" w:rsidRPr="00E84784" w:rsidRDefault="006A6C0A" w:rsidP="0089707E">
      <w:pPr>
        <w:ind w:left="5760"/>
        <w:rPr>
          <w:rFonts w:eastAsiaTheme="minorEastAsia" w:cs="Times New Roman"/>
          <w:noProof/>
          <w:sz w:val="20"/>
          <w:szCs w:val="20"/>
          <w:lang w:val="en-AU" w:eastAsia="en-AU"/>
        </w:rPr>
      </w:pPr>
      <w:r w:rsidRPr="00E84784">
        <w:rPr>
          <w:rFonts w:eastAsiaTheme="minorEastAsia" w:cs="Times New Roman"/>
          <w:noProof/>
          <w:sz w:val="20"/>
          <w:szCs w:val="20"/>
          <w:lang w:val="en-AU" w:eastAsia="en-AU"/>
        </w:rPr>
        <w:t>Independent Water Quality Specialist</w:t>
      </w:r>
    </w:p>
    <w:p w14:paraId="68D0EFCA" w14:textId="77777777" w:rsidR="006A6C0A" w:rsidRPr="00E84784" w:rsidRDefault="006A6C0A" w:rsidP="0089707E">
      <w:pPr>
        <w:ind w:left="5760"/>
        <w:rPr>
          <w:rFonts w:eastAsiaTheme="minorEastAsia" w:cs="Times New Roman"/>
          <w:noProof/>
          <w:sz w:val="20"/>
          <w:szCs w:val="20"/>
          <w:lang w:val="en-AU" w:eastAsia="en-AU"/>
        </w:rPr>
      </w:pPr>
      <w:r w:rsidRPr="00E84784">
        <w:rPr>
          <w:rFonts w:eastAsiaTheme="minorEastAsia" w:cs="Times New Roman"/>
          <w:noProof/>
          <w:sz w:val="20"/>
          <w:szCs w:val="20"/>
          <w:lang w:val="en-AU" w:eastAsia="en-AU"/>
        </w:rPr>
        <w:t>ABN: 89 505 755 860</w:t>
      </w:r>
    </w:p>
    <w:p w14:paraId="328C07A7" w14:textId="3FF5F766" w:rsidR="006A6C0A" w:rsidRPr="00E84784" w:rsidRDefault="00C26896" w:rsidP="0089707E">
      <w:pPr>
        <w:ind w:left="5760"/>
        <w:rPr>
          <w:rFonts w:eastAsiaTheme="minorEastAsia" w:cs="Times New Roman"/>
          <w:noProof/>
          <w:sz w:val="20"/>
          <w:szCs w:val="20"/>
          <w:lang w:val="en-AU" w:eastAsia="en-AU"/>
        </w:rPr>
      </w:pPr>
      <w:r>
        <w:rPr>
          <w:rFonts w:eastAsiaTheme="minorEastAsia" w:cs="Times New Roman"/>
          <w:noProof/>
          <w:sz w:val="20"/>
          <w:szCs w:val="20"/>
          <w:lang w:val="en-AU" w:eastAsia="en-AU"/>
        </w:rPr>
        <w:t xml:space="preserve"> </w:t>
      </w:r>
    </w:p>
    <w:p w14:paraId="6B760BB8" w14:textId="1F93D738" w:rsidR="006B0D55" w:rsidRPr="00E84784" w:rsidRDefault="00D6005A" w:rsidP="0089707E">
      <w:pPr>
        <w:ind w:left="5760"/>
        <w:rPr>
          <w:rFonts w:eastAsiaTheme="minorEastAsia" w:cs="Times New Roman"/>
          <w:noProof/>
          <w:sz w:val="20"/>
          <w:szCs w:val="20"/>
          <w:lang w:val="en-AU" w:eastAsia="en-AU"/>
        </w:rPr>
      </w:pPr>
      <w:hyperlink r:id="rId18" w:history="1"/>
      <w:r w:rsidR="00C26896">
        <w:rPr>
          <w:rStyle w:val="Hyperlink"/>
          <w:rFonts w:eastAsiaTheme="minorEastAsia" w:cs="Times New Roman"/>
          <w:noProof/>
          <w:color w:val="0563C1"/>
          <w:sz w:val="20"/>
          <w:szCs w:val="20"/>
          <w:lang w:val="en-AU" w:eastAsia="en-AU"/>
        </w:rPr>
        <w:t xml:space="preserve"> </w:t>
      </w:r>
    </w:p>
    <w:sectPr w:rsidR="006B0D55" w:rsidRPr="00E84784">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DA4C4" w14:textId="77777777" w:rsidR="00D73DF2" w:rsidRDefault="00D73DF2" w:rsidP="006F6067">
      <w:pPr>
        <w:spacing w:after="0" w:line="240" w:lineRule="auto"/>
      </w:pPr>
      <w:r>
        <w:separator/>
      </w:r>
    </w:p>
  </w:endnote>
  <w:endnote w:type="continuationSeparator" w:id="0">
    <w:p w14:paraId="5E5BD914" w14:textId="77777777" w:rsidR="00D73DF2" w:rsidRDefault="00D73DF2" w:rsidP="006F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80B75" w14:textId="4BB302EC" w:rsidR="001A463D" w:rsidRPr="001A463D" w:rsidRDefault="001A463D" w:rsidP="001A463D">
    <w:pPr>
      <w:pStyle w:val="Footer"/>
      <w:pBdr>
        <w:top w:val="single" w:sz="4" w:space="1" w:color="auto"/>
      </w:pBdr>
      <w:rPr>
        <w:b/>
      </w:rPr>
    </w:pPr>
    <w:r w:rsidRPr="001A463D">
      <w:rPr>
        <w:b/>
      </w:rPr>
      <w:t xml:space="preserve">Submission by Brian </w:t>
    </w:r>
    <w:proofErr w:type="spellStart"/>
    <w:r w:rsidRPr="001A463D">
      <w:rPr>
        <w:b/>
      </w:rPr>
      <w:t>Bycroft</w:t>
    </w:r>
    <w:proofErr w:type="spellEnd"/>
  </w:p>
  <w:p w14:paraId="6AD7D4C4" w14:textId="77777777" w:rsidR="001A463D" w:rsidRDefault="001A4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FD7F0" w14:textId="77777777" w:rsidR="00D73DF2" w:rsidRDefault="00D73DF2" w:rsidP="006F6067">
      <w:pPr>
        <w:spacing w:after="0" w:line="240" w:lineRule="auto"/>
      </w:pPr>
      <w:r>
        <w:separator/>
      </w:r>
    </w:p>
  </w:footnote>
  <w:footnote w:type="continuationSeparator" w:id="0">
    <w:p w14:paraId="20EC4B6B" w14:textId="77777777" w:rsidR="00D73DF2" w:rsidRDefault="00D73DF2" w:rsidP="006F6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2174F"/>
    <w:multiLevelType w:val="hybridMultilevel"/>
    <w:tmpl w:val="DC6CD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F32D7F"/>
    <w:multiLevelType w:val="hybridMultilevel"/>
    <w:tmpl w:val="449A1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451D7C"/>
    <w:multiLevelType w:val="hybridMultilevel"/>
    <w:tmpl w:val="A39C1324"/>
    <w:lvl w:ilvl="0" w:tplc="0C090001">
      <w:start w:val="1"/>
      <w:numFmt w:val="bullet"/>
      <w:lvlText w:val=""/>
      <w:lvlJc w:val="left"/>
      <w:pPr>
        <w:ind w:left="720" w:hanging="360"/>
      </w:pPr>
      <w:rPr>
        <w:rFonts w:ascii="Symbol" w:hAnsi="Symbol" w:hint="default"/>
      </w:rPr>
    </w:lvl>
    <w:lvl w:ilvl="1" w:tplc="40FA091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AF1C1E"/>
    <w:multiLevelType w:val="hybridMultilevel"/>
    <w:tmpl w:val="0994D8E0"/>
    <w:lvl w:ilvl="0" w:tplc="0C090001">
      <w:start w:val="1"/>
      <w:numFmt w:val="bullet"/>
      <w:lvlText w:val=""/>
      <w:lvlJc w:val="left"/>
      <w:pPr>
        <w:ind w:left="360" w:hanging="360"/>
      </w:pPr>
      <w:rPr>
        <w:rFonts w:ascii="Symbol" w:hAnsi="Symbol" w:hint="default"/>
      </w:rPr>
    </w:lvl>
    <w:lvl w:ilvl="1" w:tplc="40FA091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E0E780F"/>
    <w:multiLevelType w:val="hybridMultilevel"/>
    <w:tmpl w:val="BBB811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E7160B1"/>
    <w:multiLevelType w:val="hybridMultilevel"/>
    <w:tmpl w:val="7F8EF3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1D45F00"/>
    <w:multiLevelType w:val="hybridMultilevel"/>
    <w:tmpl w:val="AB72B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0D1092"/>
    <w:multiLevelType w:val="hybridMultilevel"/>
    <w:tmpl w:val="CA3A92EA"/>
    <w:lvl w:ilvl="0" w:tplc="40FA091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C513DF"/>
    <w:multiLevelType w:val="hybridMultilevel"/>
    <w:tmpl w:val="04C43C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AA3B42"/>
    <w:multiLevelType w:val="hybridMultilevel"/>
    <w:tmpl w:val="40FA2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2A1534"/>
    <w:multiLevelType w:val="hybridMultilevel"/>
    <w:tmpl w:val="97984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FA22E56"/>
    <w:multiLevelType w:val="hybridMultilevel"/>
    <w:tmpl w:val="65D642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805017"/>
    <w:multiLevelType w:val="hybridMultilevel"/>
    <w:tmpl w:val="7B88A3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355934"/>
    <w:multiLevelType w:val="hybridMultilevel"/>
    <w:tmpl w:val="95961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86A2BC1"/>
    <w:multiLevelType w:val="hybridMultilevel"/>
    <w:tmpl w:val="7C6473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BDA07A2"/>
    <w:multiLevelType w:val="hybridMultilevel"/>
    <w:tmpl w:val="DE6456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F612066"/>
    <w:multiLevelType w:val="hybridMultilevel"/>
    <w:tmpl w:val="399C7E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6"/>
  </w:num>
  <w:num w:numId="4">
    <w:abstractNumId w:val="1"/>
  </w:num>
  <w:num w:numId="5">
    <w:abstractNumId w:val="2"/>
  </w:num>
  <w:num w:numId="6">
    <w:abstractNumId w:val="14"/>
  </w:num>
  <w:num w:numId="7">
    <w:abstractNumId w:val="11"/>
  </w:num>
  <w:num w:numId="8">
    <w:abstractNumId w:val="9"/>
  </w:num>
  <w:num w:numId="9">
    <w:abstractNumId w:val="15"/>
  </w:num>
  <w:num w:numId="10">
    <w:abstractNumId w:val="6"/>
  </w:num>
  <w:num w:numId="11">
    <w:abstractNumId w:val="5"/>
  </w:num>
  <w:num w:numId="12">
    <w:abstractNumId w:val="0"/>
  </w:num>
  <w:num w:numId="13">
    <w:abstractNumId w:val="3"/>
  </w:num>
  <w:num w:numId="14">
    <w:abstractNumId w:val="7"/>
  </w:num>
  <w:num w:numId="15">
    <w:abstractNumId w:val="10"/>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BB"/>
    <w:rsid w:val="00005340"/>
    <w:rsid w:val="00006A85"/>
    <w:rsid w:val="00067615"/>
    <w:rsid w:val="00073DE5"/>
    <w:rsid w:val="000B1A39"/>
    <w:rsid w:val="000F44EE"/>
    <w:rsid w:val="00111542"/>
    <w:rsid w:val="00143EC5"/>
    <w:rsid w:val="0018466C"/>
    <w:rsid w:val="001A463D"/>
    <w:rsid w:val="001B1EC1"/>
    <w:rsid w:val="00207751"/>
    <w:rsid w:val="00252617"/>
    <w:rsid w:val="00255F17"/>
    <w:rsid w:val="002878B3"/>
    <w:rsid w:val="002930BF"/>
    <w:rsid w:val="002B12C7"/>
    <w:rsid w:val="002B56CB"/>
    <w:rsid w:val="002D593E"/>
    <w:rsid w:val="003310DC"/>
    <w:rsid w:val="00356CA4"/>
    <w:rsid w:val="00357FA8"/>
    <w:rsid w:val="003C2070"/>
    <w:rsid w:val="003D217E"/>
    <w:rsid w:val="003D710A"/>
    <w:rsid w:val="00404FAF"/>
    <w:rsid w:val="0044635E"/>
    <w:rsid w:val="00473145"/>
    <w:rsid w:val="00483B2C"/>
    <w:rsid w:val="004A4378"/>
    <w:rsid w:val="004E4C48"/>
    <w:rsid w:val="00530D09"/>
    <w:rsid w:val="005423E5"/>
    <w:rsid w:val="00554553"/>
    <w:rsid w:val="00564465"/>
    <w:rsid w:val="00580047"/>
    <w:rsid w:val="005B1132"/>
    <w:rsid w:val="00604C0B"/>
    <w:rsid w:val="006A6C0A"/>
    <w:rsid w:val="006B0D55"/>
    <w:rsid w:val="006C6113"/>
    <w:rsid w:val="006E4F0D"/>
    <w:rsid w:val="006F6067"/>
    <w:rsid w:val="00705FF8"/>
    <w:rsid w:val="0071697F"/>
    <w:rsid w:val="0076608D"/>
    <w:rsid w:val="00772862"/>
    <w:rsid w:val="007A2137"/>
    <w:rsid w:val="007C7673"/>
    <w:rsid w:val="007D3B64"/>
    <w:rsid w:val="007D698D"/>
    <w:rsid w:val="007F0518"/>
    <w:rsid w:val="00823FFF"/>
    <w:rsid w:val="00824F7B"/>
    <w:rsid w:val="008348CA"/>
    <w:rsid w:val="00874A14"/>
    <w:rsid w:val="0089707E"/>
    <w:rsid w:val="008B685E"/>
    <w:rsid w:val="008C219C"/>
    <w:rsid w:val="008E0710"/>
    <w:rsid w:val="00930405"/>
    <w:rsid w:val="00932B2C"/>
    <w:rsid w:val="009371A4"/>
    <w:rsid w:val="009525EA"/>
    <w:rsid w:val="0095398C"/>
    <w:rsid w:val="009679B5"/>
    <w:rsid w:val="009B41B2"/>
    <w:rsid w:val="009B69F0"/>
    <w:rsid w:val="009E770B"/>
    <w:rsid w:val="009F3561"/>
    <w:rsid w:val="00A46F3B"/>
    <w:rsid w:val="00AF7B65"/>
    <w:rsid w:val="00B82821"/>
    <w:rsid w:val="00B93276"/>
    <w:rsid w:val="00C26896"/>
    <w:rsid w:val="00C37774"/>
    <w:rsid w:val="00CC4925"/>
    <w:rsid w:val="00CD58B4"/>
    <w:rsid w:val="00CF4015"/>
    <w:rsid w:val="00D14A42"/>
    <w:rsid w:val="00D50C23"/>
    <w:rsid w:val="00D6005A"/>
    <w:rsid w:val="00D67E50"/>
    <w:rsid w:val="00D73DF2"/>
    <w:rsid w:val="00DB5F8A"/>
    <w:rsid w:val="00E84784"/>
    <w:rsid w:val="00E858AA"/>
    <w:rsid w:val="00EC1F60"/>
    <w:rsid w:val="00EC66B6"/>
    <w:rsid w:val="00ED06D8"/>
    <w:rsid w:val="00F147CD"/>
    <w:rsid w:val="00F375BB"/>
    <w:rsid w:val="00F46202"/>
    <w:rsid w:val="00F5279B"/>
    <w:rsid w:val="00F56776"/>
    <w:rsid w:val="00FC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C583"/>
  <w15:chartTrackingRefBased/>
  <w15:docId w15:val="{4914ED4B-4467-4C4D-B397-08E10114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66B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5BB"/>
    <w:pPr>
      <w:ind w:left="720"/>
      <w:contextualSpacing/>
    </w:pPr>
  </w:style>
  <w:style w:type="paragraph" w:customStyle="1" w:styleId="Default">
    <w:name w:val="Default"/>
    <w:rsid w:val="003D217E"/>
    <w:pPr>
      <w:autoSpaceDE w:val="0"/>
      <w:autoSpaceDN w:val="0"/>
      <w:adjustRightInd w:val="0"/>
      <w:spacing w:after="0" w:line="240" w:lineRule="auto"/>
    </w:pPr>
    <w:rPr>
      <w:rFonts w:ascii="Arial" w:hAnsi="Arial" w:cs="Arial"/>
      <w:color w:val="000000"/>
      <w:sz w:val="24"/>
      <w:szCs w:val="24"/>
      <w:lang w:val="en-AU"/>
    </w:rPr>
  </w:style>
  <w:style w:type="paragraph" w:styleId="FootnoteText">
    <w:name w:val="footnote text"/>
    <w:basedOn w:val="Normal"/>
    <w:link w:val="FootnoteTextChar"/>
    <w:uiPriority w:val="99"/>
    <w:semiHidden/>
    <w:unhideWhenUsed/>
    <w:rsid w:val="006F60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6067"/>
    <w:rPr>
      <w:sz w:val="20"/>
      <w:szCs w:val="20"/>
    </w:rPr>
  </w:style>
  <w:style w:type="character" w:styleId="FootnoteReference">
    <w:name w:val="footnote reference"/>
    <w:basedOn w:val="DefaultParagraphFont"/>
    <w:uiPriority w:val="99"/>
    <w:semiHidden/>
    <w:unhideWhenUsed/>
    <w:rsid w:val="006F6067"/>
    <w:rPr>
      <w:vertAlign w:val="superscript"/>
    </w:rPr>
  </w:style>
  <w:style w:type="character" w:styleId="Hyperlink">
    <w:name w:val="Hyperlink"/>
    <w:basedOn w:val="DefaultParagraphFont"/>
    <w:uiPriority w:val="99"/>
    <w:unhideWhenUsed/>
    <w:rsid w:val="006A6C0A"/>
    <w:rPr>
      <w:color w:val="0000FF"/>
      <w:u w:val="single"/>
    </w:rPr>
  </w:style>
  <w:style w:type="character" w:customStyle="1" w:styleId="UnresolvedMention">
    <w:name w:val="Unresolved Mention"/>
    <w:basedOn w:val="DefaultParagraphFont"/>
    <w:uiPriority w:val="99"/>
    <w:semiHidden/>
    <w:unhideWhenUsed/>
    <w:rsid w:val="00823FFF"/>
    <w:rPr>
      <w:color w:val="808080"/>
      <w:shd w:val="clear" w:color="auto" w:fill="E6E6E6"/>
    </w:rPr>
  </w:style>
  <w:style w:type="paragraph" w:customStyle="1" w:styleId="paragraphtext">
    <w:name w:val="paragraphtext"/>
    <w:basedOn w:val="Normal"/>
    <w:rsid w:val="00530D0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1A4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63D"/>
  </w:style>
  <w:style w:type="paragraph" w:styleId="Footer">
    <w:name w:val="footer"/>
    <w:basedOn w:val="Normal"/>
    <w:link w:val="FooterChar"/>
    <w:uiPriority w:val="99"/>
    <w:unhideWhenUsed/>
    <w:rsid w:val="001A4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63D"/>
  </w:style>
  <w:style w:type="character" w:styleId="FollowedHyperlink">
    <w:name w:val="FollowedHyperlink"/>
    <w:basedOn w:val="DefaultParagraphFont"/>
    <w:uiPriority w:val="99"/>
    <w:semiHidden/>
    <w:unhideWhenUsed/>
    <w:rsid w:val="0071697F"/>
    <w:rPr>
      <w:color w:val="954F72" w:themeColor="followedHyperlink"/>
      <w:u w:val="single"/>
    </w:rPr>
  </w:style>
  <w:style w:type="character" w:customStyle="1" w:styleId="Heading1Char">
    <w:name w:val="Heading 1 Char"/>
    <w:basedOn w:val="DefaultParagraphFont"/>
    <w:link w:val="Heading1"/>
    <w:uiPriority w:val="9"/>
    <w:rsid w:val="00EC66B6"/>
    <w:rPr>
      <w:rFonts w:ascii="Times New Roman" w:eastAsia="Times New Roman" w:hAnsi="Times New Roman" w:cs="Times New Roman"/>
      <w:b/>
      <w:bCs/>
      <w:kern w:val="36"/>
      <w:sz w:val="48"/>
      <w:szCs w:val="48"/>
      <w:lang w:val="en-AU" w:eastAsia="en-AU"/>
    </w:rPr>
  </w:style>
  <w:style w:type="paragraph" w:styleId="NormalWeb">
    <w:name w:val="Normal (Web)"/>
    <w:basedOn w:val="Normal"/>
    <w:uiPriority w:val="99"/>
    <w:semiHidden/>
    <w:unhideWhenUsed/>
    <w:rsid w:val="00EC66B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EC6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83865">
      <w:bodyDiv w:val="1"/>
      <w:marLeft w:val="0"/>
      <w:marRight w:val="0"/>
      <w:marTop w:val="0"/>
      <w:marBottom w:val="0"/>
      <w:divBdr>
        <w:top w:val="none" w:sz="0" w:space="0" w:color="auto"/>
        <w:left w:val="none" w:sz="0" w:space="0" w:color="auto"/>
        <w:bottom w:val="none" w:sz="0" w:space="0" w:color="auto"/>
        <w:right w:val="none" w:sz="0" w:space="0" w:color="auto"/>
      </w:divBdr>
    </w:div>
    <w:div w:id="1114864364">
      <w:bodyDiv w:val="1"/>
      <w:marLeft w:val="0"/>
      <w:marRight w:val="0"/>
      <w:marTop w:val="0"/>
      <w:marBottom w:val="0"/>
      <w:divBdr>
        <w:top w:val="none" w:sz="0" w:space="0" w:color="auto"/>
        <w:left w:val="none" w:sz="0" w:space="0" w:color="auto"/>
        <w:bottom w:val="none" w:sz="0" w:space="0" w:color="auto"/>
        <w:right w:val="none" w:sz="0" w:space="0" w:color="auto"/>
      </w:divBdr>
      <w:divsChild>
        <w:div w:id="419840527">
          <w:marLeft w:val="0"/>
          <w:marRight w:val="0"/>
          <w:marTop w:val="0"/>
          <w:marBottom w:val="0"/>
          <w:divBdr>
            <w:top w:val="none" w:sz="0" w:space="0" w:color="auto"/>
            <w:left w:val="none" w:sz="0" w:space="0" w:color="auto"/>
            <w:bottom w:val="none" w:sz="0" w:space="0" w:color="auto"/>
            <w:right w:val="none" w:sz="0" w:space="0" w:color="auto"/>
          </w:divBdr>
          <w:divsChild>
            <w:div w:id="12834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brianbycroft@optusnet.com.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ebarchive.nla.gov.au/gov/20130904194802/http://www.environment.gov.au/water/publications/quality/water-quality-framework.html" TargetMode="External"/><Relationship Id="rId2" Type="http://schemas.openxmlformats.org/officeDocument/2006/relationships/customXml" Target="../customXml/item2.xml"/><Relationship Id="rId16" Type="http://schemas.openxmlformats.org/officeDocument/2006/relationships/hyperlink" Target="http://www.agriculture.gov.au/water/quality/nwqms/nwqms-implementation-guideli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ehp.qld.gov.au/water/policy/pdf/hwmp-warrego-paroo-bullo-nebine.pdf"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mdba.gov.au/publications/policies-guidelines/water-resource-plan-warrego-paroo-neb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PCDOC-679391099-11</_dlc_DocId>
    <_dlc_DocIdUrl xmlns="3f4bcce7-ac1a-4c9d-aa3e-7e77695652db">
      <Url>http://inet.pc.gov.au/pmo/inq/mdbp/_layouts/15/DocIdRedir.aspx?ID=PCDOC-679391099-11</Url>
      <Description>PCDOC-679391099-11</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5D9E2-D8E8-457C-BA38-21FEADD1C77E}">
  <ds:schemaRefs>
    <ds:schemaRef ds:uri="http://schemas.microsoft.com/office/2006/metadata/customXsn"/>
  </ds:schemaRefs>
</ds:datastoreItem>
</file>

<file path=customXml/itemProps2.xml><?xml version="1.0" encoding="utf-8"?>
<ds:datastoreItem xmlns:ds="http://schemas.openxmlformats.org/officeDocument/2006/customXml" ds:itemID="{06F4E583-79F8-4D57-8975-CC42439679F7}">
  <ds:schemaRefs>
    <ds:schemaRef ds:uri="http://schemas.microsoft.com/sharepoint/events"/>
  </ds:schemaRefs>
</ds:datastoreItem>
</file>

<file path=customXml/itemProps3.xml><?xml version="1.0" encoding="utf-8"?>
<ds:datastoreItem xmlns:ds="http://schemas.openxmlformats.org/officeDocument/2006/customXml" ds:itemID="{40C73635-4D57-4015-AD41-80EFB6F54E16}">
  <ds:schemaRefs>
    <ds:schemaRef ds:uri="http://schemas.microsoft.com/sharepoint/v3/contenttype/forms"/>
  </ds:schemaRefs>
</ds:datastoreItem>
</file>

<file path=customXml/itemProps4.xml><?xml version="1.0" encoding="utf-8"?>
<ds:datastoreItem xmlns:ds="http://schemas.openxmlformats.org/officeDocument/2006/customXml" ds:itemID="{6BBF879E-8287-479B-A01E-8598A7739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F28DC6-FF49-4E85-9DA4-7087821B377A}">
  <ds:schemaRefs>
    <ds:schemaRef ds:uri="Microsoft.SharePoint.Taxonomy.ContentTypeSync"/>
  </ds:schemaRefs>
</ds:datastoreItem>
</file>

<file path=customXml/itemProps6.xml><?xml version="1.0" encoding="utf-8"?>
<ds:datastoreItem xmlns:ds="http://schemas.openxmlformats.org/officeDocument/2006/customXml" ds:itemID="{503D0982-34E7-483E-BE2D-E14C0C2311B2}">
  <ds:schemaRefs>
    <ds:schemaRef ds:uri="http://purl.org/dc/elements/1.1/"/>
    <ds:schemaRef ds:uri="http://schemas.microsoft.com/office/2006/metadata/properties"/>
    <ds:schemaRef ds:uri="3f4bcce7-ac1a-4c9d-aa3e-7e77695652db"/>
    <ds:schemaRef ds:uri="http://purl.org/dc/terms/"/>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BE210EE9-8F22-4C3F-B16C-80912BA2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2135</Words>
  <Characters>11828</Characters>
  <Application>Microsoft Office Word</Application>
  <DocSecurity>0</DocSecurity>
  <Lines>184</Lines>
  <Paragraphs>96</Paragraphs>
  <ScaleCrop>false</ScaleCrop>
  <HeadingPairs>
    <vt:vector size="2" baseType="variant">
      <vt:variant>
        <vt:lpstr>Title</vt:lpstr>
      </vt:variant>
      <vt:variant>
        <vt:i4>1</vt:i4>
      </vt:variant>
    </vt:vector>
  </HeadingPairs>
  <TitlesOfParts>
    <vt:vector size="1" baseType="lpstr">
      <vt:lpstr>Submission 4 - Brian Bycroft - Murray-Darling Basin Plan: Five-year assessment - Public inquiry</vt:lpstr>
    </vt:vector>
  </TitlesOfParts>
  <Company/>
  <LinksUpToDate>false</LinksUpToDate>
  <CharactersWithSpaces>13867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Brian Bycroft - Murray-Darling Basin Plan: Five-year assessment - Public inquiry</dc:title>
  <dc:subject/>
  <dc:creator>Brian Bycroft</dc:creator>
  <cp:keywords/>
  <dc:description/>
  <cp:lastModifiedBy>Pimperl, Mark</cp:lastModifiedBy>
  <cp:revision>4</cp:revision>
  <dcterms:created xsi:type="dcterms:W3CDTF">2018-04-03T23:19:00Z</dcterms:created>
  <dcterms:modified xsi:type="dcterms:W3CDTF">2018-04-04T00:50:00Z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db190034-d67f-4222-83d2-8aeb830e7917</vt:lpwstr>
  </property>
  <property fmtid="{D5CDD505-2E9C-101B-9397-08002B2CF9AE}" pid="4" name="Record Tag">
    <vt:lpwstr>139;#Submissions|c6e0dbf8-5444-433c-844d-d567dd519a05</vt:lpwstr>
  </property>
  <property fmtid="{D5CDD505-2E9C-101B-9397-08002B2CF9AE}" pid="5" name="TaxKeyword">
    <vt:lpwstr/>
  </property>
</Properties>
</file>