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6AD155" w14:textId="470D1ED2" w:rsidR="00997C80" w:rsidRDefault="00AA4D29" w:rsidP="0057080E">
      <w:pPr>
        <w:ind w:left="1440" w:firstLine="720"/>
        <w:rPr>
          <w:b/>
          <w:u w:val="single"/>
        </w:rPr>
      </w:pPr>
      <w:r>
        <w:rPr>
          <w:b/>
          <w:u w:val="single"/>
        </w:rPr>
        <w:t xml:space="preserve"> PRODUCTIVITY COMMISSION SUBMISSION </w:t>
      </w:r>
    </w:p>
    <w:p w14:paraId="05EDAAFC" w14:textId="77777777" w:rsidR="00AA4D29" w:rsidRDefault="00AA4D29" w:rsidP="00AA4D29">
      <w:pPr>
        <w:jc w:val="center"/>
        <w:rPr>
          <w:b/>
          <w:u w:val="single"/>
        </w:rPr>
      </w:pPr>
    </w:p>
    <w:p w14:paraId="09C537D4" w14:textId="77777777" w:rsidR="00AA4D29" w:rsidRDefault="00AA4D29" w:rsidP="00AA4D29"/>
    <w:p w14:paraId="6DFB6EEB" w14:textId="76E8220B" w:rsidR="00451655" w:rsidRDefault="00451655" w:rsidP="00AA4D29">
      <w:r>
        <w:t xml:space="preserve">This submission </w:t>
      </w:r>
      <w:r w:rsidR="007F7DE3">
        <w:t>was</w:t>
      </w:r>
      <w:r>
        <w:t xml:space="preserve"> prepared </w:t>
      </w:r>
      <w:r w:rsidR="007F7DE3">
        <w:t>initially</w:t>
      </w:r>
      <w:r w:rsidR="0057080E">
        <w:t>, as Chairman of its Pensions’ Committee,</w:t>
      </w:r>
      <w:r w:rsidR="00EB1B48">
        <w:t xml:space="preserve"> and with members of that committee,</w:t>
      </w:r>
      <w:r w:rsidR="007F7DE3">
        <w:t xml:space="preserve"> </w:t>
      </w:r>
      <w:r>
        <w:t xml:space="preserve">for the Legacy Club of Adelaide </w:t>
      </w:r>
      <w:r w:rsidR="007F7DE3">
        <w:t xml:space="preserve">in </w:t>
      </w:r>
      <w:r w:rsidR="00F34CEF">
        <w:t xml:space="preserve">response to a request from Legacy Australia to comment on </w:t>
      </w:r>
      <w:r w:rsidR="007F7DE3">
        <w:t xml:space="preserve">the </w:t>
      </w:r>
      <w:r w:rsidR="00F34CEF">
        <w:t xml:space="preserve">“Issues paper” from the Productivity Commission </w:t>
      </w:r>
      <w:r w:rsidR="00B24DC0">
        <w:t xml:space="preserve">(PC) </w:t>
      </w:r>
      <w:r w:rsidR="00F34CEF">
        <w:t>concerning its Inquiry into “Compensation and Rehabilitation for Veterans”.</w:t>
      </w:r>
      <w:r w:rsidR="007F7DE3">
        <w:t xml:space="preserve"> </w:t>
      </w:r>
    </w:p>
    <w:p w14:paraId="61DB2255" w14:textId="77777777" w:rsidR="00451655" w:rsidRDefault="00451655" w:rsidP="00AA4D29"/>
    <w:p w14:paraId="6EC862F2" w14:textId="785C5DF3" w:rsidR="002D57D4" w:rsidRDefault="007F7DE3" w:rsidP="00AA4D29">
      <w:r>
        <w:t>I am</w:t>
      </w:r>
      <w:r w:rsidR="002D57D4">
        <w:t xml:space="preserve"> a retired surgeon (</w:t>
      </w:r>
      <w:r w:rsidR="00421A71">
        <w:t xml:space="preserve">TQEH, </w:t>
      </w:r>
      <w:r w:rsidR="002D57D4">
        <w:t>RGH</w:t>
      </w:r>
      <w:r w:rsidR="00421A71">
        <w:t>, University Hospitals in UK, WA and SA</w:t>
      </w:r>
      <w:r w:rsidR="002D57D4">
        <w:t>) with 40 years Reserve and</w:t>
      </w:r>
      <w:r w:rsidR="00421A71">
        <w:t>/or</w:t>
      </w:r>
      <w:r w:rsidR="002D57D4">
        <w:t xml:space="preserve"> operational service</w:t>
      </w:r>
      <w:r w:rsidR="00421A71">
        <w:t xml:space="preserve"> with the RAAF</w:t>
      </w:r>
      <w:r w:rsidR="002D57D4">
        <w:t xml:space="preserve">.  </w:t>
      </w:r>
      <w:r>
        <w:t>Currently I am</w:t>
      </w:r>
      <w:r w:rsidR="002D57D4">
        <w:t xml:space="preserve"> President of the Mitcham branch</w:t>
      </w:r>
      <w:r w:rsidR="00421A71">
        <w:t xml:space="preserve"> of</w:t>
      </w:r>
      <w:r w:rsidR="00997841">
        <w:t xml:space="preserve"> </w:t>
      </w:r>
      <w:r w:rsidR="00421A71">
        <w:t>the RAAF Association</w:t>
      </w:r>
      <w:r w:rsidR="002D57D4">
        <w:t>,</w:t>
      </w:r>
      <w:r w:rsidR="00997841">
        <w:t xml:space="preserve"> </w:t>
      </w:r>
      <w:r w:rsidR="002D57D4">
        <w:t>ha</w:t>
      </w:r>
      <w:r w:rsidR="0057080E">
        <w:t>ve</w:t>
      </w:r>
      <w:r w:rsidR="002D57D4">
        <w:t xml:space="preserve"> been a Pensions Officer for over a decade</w:t>
      </w:r>
      <w:r w:rsidR="00421A71">
        <w:t>,</w:t>
      </w:r>
      <w:r w:rsidR="002D57D4">
        <w:t xml:space="preserve"> </w:t>
      </w:r>
      <w:r w:rsidR="0057080E">
        <w:t>and spent</w:t>
      </w:r>
      <w:r w:rsidR="002D57D4">
        <w:t xml:space="preserve"> 9 years as a Services Member of the VRB.  </w:t>
      </w:r>
      <w:r w:rsidR="0057080E">
        <w:t>I</w:t>
      </w:r>
      <w:r w:rsidR="00421A71">
        <w:t xml:space="preserve"> ha</w:t>
      </w:r>
      <w:r w:rsidR="0057080E">
        <w:t>ve</w:t>
      </w:r>
      <w:r w:rsidR="002D57D4">
        <w:t xml:space="preserve"> been a member of</w:t>
      </w:r>
      <w:r w:rsidR="00421A71">
        <w:t>:</w:t>
      </w:r>
      <w:r w:rsidR="002D57D4">
        <w:t xml:space="preserve"> the SA Veterans’ Advisory Council, the Veterans’ Health Advisory Council, the Prime Minister</w:t>
      </w:r>
      <w:r w:rsidR="00421A71">
        <w:t>ial</w:t>
      </w:r>
      <w:r w:rsidR="002D57D4">
        <w:t xml:space="preserve"> Advisory Council </w:t>
      </w:r>
      <w:r w:rsidR="00690652">
        <w:t xml:space="preserve">on ex-service matters </w:t>
      </w:r>
      <w:r w:rsidR="002D57D4">
        <w:t>(PMAC)</w:t>
      </w:r>
      <w:r w:rsidR="00421A71">
        <w:t xml:space="preserve">, and </w:t>
      </w:r>
      <w:r w:rsidR="00690652">
        <w:t xml:space="preserve">Chairman </w:t>
      </w:r>
      <w:r w:rsidR="00421A71">
        <w:t xml:space="preserve">of a Federal </w:t>
      </w:r>
      <w:r w:rsidR="00690652">
        <w:t>Specialist Recognition</w:t>
      </w:r>
      <w:r w:rsidR="00421A71">
        <w:t xml:space="preserve"> Appeals Committee</w:t>
      </w:r>
      <w:r w:rsidR="002D57D4">
        <w:t>.</w:t>
      </w:r>
    </w:p>
    <w:p w14:paraId="1888C791" w14:textId="77777777" w:rsidR="00451655" w:rsidRDefault="00451655" w:rsidP="00AA4D29"/>
    <w:p w14:paraId="4AE45714" w14:textId="633C258A" w:rsidR="00451655" w:rsidRDefault="006141ED" w:rsidP="00AA4D29">
      <w:r w:rsidRPr="006141ED">
        <w:t>In general</w:t>
      </w:r>
      <w:r>
        <w:t>,</w:t>
      </w:r>
      <w:r>
        <w:rPr>
          <w:u w:val="single"/>
        </w:rPr>
        <w:t xml:space="preserve"> </w:t>
      </w:r>
      <w:r w:rsidR="0057080E">
        <w:rPr>
          <w:u w:val="single"/>
        </w:rPr>
        <w:t>I</w:t>
      </w:r>
      <w:r w:rsidR="00451655" w:rsidRPr="00365518">
        <w:rPr>
          <w:u w:val="single"/>
        </w:rPr>
        <w:t xml:space="preserve"> endorse</w:t>
      </w:r>
      <w:r w:rsidR="00F34CEF">
        <w:rPr>
          <w:u w:val="single"/>
        </w:rPr>
        <w:t xml:space="preserve"> </w:t>
      </w:r>
      <w:r w:rsidR="00451655" w:rsidRPr="00365518">
        <w:rPr>
          <w:u w:val="single"/>
        </w:rPr>
        <w:t>comments made by Legacy Australia to the P</w:t>
      </w:r>
      <w:r w:rsidR="004F136D">
        <w:rPr>
          <w:u w:val="single"/>
        </w:rPr>
        <w:t xml:space="preserve">roductivity </w:t>
      </w:r>
      <w:r w:rsidR="00451655" w:rsidRPr="00365518">
        <w:rPr>
          <w:u w:val="single"/>
        </w:rPr>
        <w:t>C</w:t>
      </w:r>
      <w:r w:rsidR="004F136D">
        <w:rPr>
          <w:u w:val="single"/>
        </w:rPr>
        <w:t>ommission</w:t>
      </w:r>
      <w:r w:rsidR="00451655">
        <w:t xml:space="preserve"> at its meeting</w:t>
      </w:r>
      <w:r w:rsidR="00365518">
        <w:t xml:space="preserve">, as in </w:t>
      </w:r>
      <w:r w:rsidR="0057080E">
        <w:t>a</w:t>
      </w:r>
      <w:r w:rsidR="00365518">
        <w:t xml:space="preserve"> </w:t>
      </w:r>
      <w:r w:rsidR="00B24DC0">
        <w:t>dot pointed</w:t>
      </w:r>
      <w:r>
        <w:t>,</w:t>
      </w:r>
      <w:r w:rsidR="00B24DC0">
        <w:t xml:space="preserve"> </w:t>
      </w:r>
      <w:r>
        <w:t>single</w:t>
      </w:r>
      <w:r w:rsidR="00B24DC0">
        <w:t xml:space="preserve"> page </w:t>
      </w:r>
      <w:r w:rsidR="00365518">
        <w:t>summary</w:t>
      </w:r>
      <w:r>
        <w:t>,</w:t>
      </w:r>
      <w:r w:rsidR="00365518">
        <w:t xml:space="preserve"> dated</w:t>
      </w:r>
      <w:r w:rsidR="00451655">
        <w:t xml:space="preserve"> 20 April 2018</w:t>
      </w:r>
      <w:r w:rsidR="00EB1B48">
        <w:t>.</w:t>
      </w:r>
      <w:bookmarkStart w:id="0" w:name="_GoBack"/>
      <w:bookmarkEnd w:id="0"/>
    </w:p>
    <w:p w14:paraId="34ED88F0" w14:textId="77777777" w:rsidR="00451655" w:rsidRDefault="00451655" w:rsidP="00AA4D29"/>
    <w:p w14:paraId="32528390" w14:textId="4DCD94B8" w:rsidR="00515A9F" w:rsidRDefault="0057080E" w:rsidP="00AA4D29">
      <w:r>
        <w:t>I refer to a number of</w:t>
      </w:r>
      <w:r w:rsidR="006141ED">
        <w:t xml:space="preserve"> </w:t>
      </w:r>
      <w:r w:rsidR="00365518">
        <w:t xml:space="preserve">matters in </w:t>
      </w:r>
      <w:r w:rsidR="00451655">
        <w:t>the PC issues paper</w:t>
      </w:r>
      <w:r>
        <w:t>, and make the following c</w:t>
      </w:r>
      <w:r w:rsidR="00451655">
        <w:t>omment</w:t>
      </w:r>
      <w:r>
        <w:t>s</w:t>
      </w:r>
      <w:r w:rsidR="00451655">
        <w:t>.</w:t>
      </w:r>
    </w:p>
    <w:p w14:paraId="1A98A2AE" w14:textId="77777777" w:rsidR="00451655" w:rsidRPr="00365518" w:rsidRDefault="00451655" w:rsidP="00AA4D29">
      <w:pPr>
        <w:rPr>
          <w:u w:val="single"/>
        </w:rPr>
      </w:pPr>
    </w:p>
    <w:p w14:paraId="3B745158" w14:textId="3CB77061" w:rsidR="00515A9F" w:rsidRDefault="00A11AB1" w:rsidP="002A361C">
      <w:pPr>
        <w:pStyle w:val="ListParagraph"/>
        <w:numPr>
          <w:ilvl w:val="0"/>
          <w:numId w:val="2"/>
        </w:numPr>
      </w:pPr>
      <w:r w:rsidRPr="00515A9F">
        <w:rPr>
          <w:u w:val="single"/>
        </w:rPr>
        <w:t xml:space="preserve">Definition of the term </w:t>
      </w:r>
      <w:r w:rsidR="003D148D" w:rsidRPr="00515A9F">
        <w:rPr>
          <w:u w:val="single"/>
        </w:rPr>
        <w:t>Veteran</w:t>
      </w:r>
      <w:r w:rsidR="003D148D">
        <w:t>.</w:t>
      </w:r>
      <w:r>
        <w:t xml:space="preserve"> </w:t>
      </w:r>
      <w:r w:rsidR="004304C9">
        <w:t xml:space="preserve"> With respect </w:t>
      </w:r>
      <w:r w:rsidR="0057080E">
        <w:t>I</w:t>
      </w:r>
      <w:r>
        <w:t xml:space="preserve"> </w:t>
      </w:r>
      <w:r w:rsidR="004304C9">
        <w:t>would</w:t>
      </w:r>
      <w:r>
        <w:t xml:space="preserve"> </w:t>
      </w:r>
      <w:r w:rsidR="004304C9">
        <w:t>question</w:t>
      </w:r>
      <w:r>
        <w:t xml:space="preserve"> the suggest</w:t>
      </w:r>
      <w:r w:rsidR="00B877C5">
        <w:t>ed definition of Veteran</w:t>
      </w:r>
      <w:r w:rsidR="004304C9">
        <w:t xml:space="preserve"> by the DVA</w:t>
      </w:r>
      <w:r w:rsidR="00365518">
        <w:t>,</w:t>
      </w:r>
      <w:r w:rsidR="00B877C5">
        <w:t xml:space="preserve"> (p3</w:t>
      </w:r>
      <w:r w:rsidR="003D148D">
        <w:t>)</w:t>
      </w:r>
      <w:r w:rsidR="002A361C">
        <w:t>. We</w:t>
      </w:r>
      <w:r>
        <w:t xml:space="preserve"> prefer the VEA definition which refers</w:t>
      </w:r>
      <w:r w:rsidR="00B24DC0">
        <w:t>, essentially,</w:t>
      </w:r>
      <w:r>
        <w:t xml:space="preserve"> to operational service. Operational </w:t>
      </w:r>
      <w:r w:rsidR="004304C9">
        <w:t xml:space="preserve">service, sometimes referred to as </w:t>
      </w:r>
      <w:r w:rsidR="00365518">
        <w:t xml:space="preserve">qualifying, </w:t>
      </w:r>
      <w:r w:rsidR="0057080E">
        <w:t xml:space="preserve">war or </w:t>
      </w:r>
      <w:r w:rsidR="00365518">
        <w:t>warlike</w:t>
      </w:r>
      <w:r w:rsidR="00B24DC0">
        <w:t>, British Nuclear Test Participa</w:t>
      </w:r>
      <w:r w:rsidR="004304C9">
        <w:t>tion</w:t>
      </w:r>
      <w:r w:rsidR="00B24DC0">
        <w:t>, Peacekeeping</w:t>
      </w:r>
      <w:r w:rsidR="00365518">
        <w:t xml:space="preserve"> </w:t>
      </w:r>
      <w:r w:rsidR="00EB1B48">
        <w:t xml:space="preserve">service </w:t>
      </w:r>
      <w:r w:rsidR="00365518">
        <w:t>etc.</w:t>
      </w:r>
      <w:r w:rsidR="004304C9">
        <w:t xml:space="preserve"> is treated differently, with respect to compensation, from</w:t>
      </w:r>
      <w:r>
        <w:t xml:space="preserve"> Peace Time</w:t>
      </w:r>
      <w:r w:rsidR="004304C9">
        <w:t xml:space="preserve">, </w:t>
      </w:r>
      <w:r w:rsidR="00365518">
        <w:t>eligible, non</w:t>
      </w:r>
      <w:r w:rsidR="006141ED">
        <w:t>-</w:t>
      </w:r>
      <w:r w:rsidR="00365518">
        <w:t>operational</w:t>
      </w:r>
      <w:r>
        <w:t xml:space="preserve"> </w:t>
      </w:r>
      <w:r w:rsidR="004304C9">
        <w:t>service</w:t>
      </w:r>
      <w:r w:rsidR="0057080E">
        <w:t xml:space="preserve"> etc</w:t>
      </w:r>
      <w:r w:rsidR="004304C9">
        <w:t xml:space="preserve">. </w:t>
      </w:r>
      <w:r>
        <w:t xml:space="preserve"> The DVA </w:t>
      </w:r>
      <w:r w:rsidR="004304C9">
        <w:t xml:space="preserve">has </w:t>
      </w:r>
      <w:r>
        <w:t>define</w:t>
      </w:r>
      <w:r w:rsidR="004304C9">
        <w:t>d</w:t>
      </w:r>
      <w:r>
        <w:t xml:space="preserve"> all its ex ADF clients as veterans. </w:t>
      </w:r>
      <w:r w:rsidR="00B24DC0">
        <w:t xml:space="preserve"> </w:t>
      </w:r>
      <w:r w:rsidR="004304C9">
        <w:t>For the purpose of the Inquiry t</w:t>
      </w:r>
      <w:r w:rsidR="00B24DC0">
        <w:t>his is quite understandable</w:t>
      </w:r>
      <w:r w:rsidR="004304C9">
        <w:t>.</w:t>
      </w:r>
      <w:r w:rsidR="00B24DC0">
        <w:t xml:space="preserve"> </w:t>
      </w:r>
      <w:r w:rsidR="004304C9">
        <w:t>T</w:t>
      </w:r>
      <w:r w:rsidR="00B24DC0">
        <w:t>he title DVA</w:t>
      </w:r>
      <w:r w:rsidR="004304C9">
        <w:t>, furthermo</w:t>
      </w:r>
      <w:r w:rsidR="002A361C">
        <w:t>re</w:t>
      </w:r>
      <w:r w:rsidR="004304C9">
        <w:t>,</w:t>
      </w:r>
      <w:r w:rsidR="00B24DC0">
        <w:t xml:space="preserve"> might imply </w:t>
      </w:r>
      <w:r w:rsidR="004304C9">
        <w:t xml:space="preserve">that it </w:t>
      </w:r>
      <w:r w:rsidR="002A361C">
        <w:t xml:space="preserve">is </w:t>
      </w:r>
      <w:r w:rsidR="004304C9">
        <w:t>concern</w:t>
      </w:r>
      <w:r w:rsidR="002A361C">
        <w:t>ed</w:t>
      </w:r>
      <w:r w:rsidR="004304C9">
        <w:t xml:space="preserve"> only </w:t>
      </w:r>
      <w:r w:rsidR="002A361C">
        <w:t xml:space="preserve">with </w:t>
      </w:r>
      <w:r w:rsidR="004304C9">
        <w:t>(war or operational service) veterans</w:t>
      </w:r>
      <w:r w:rsidR="00B24DC0">
        <w:t xml:space="preserve">. </w:t>
      </w:r>
      <w:r>
        <w:t>Th</w:t>
      </w:r>
      <w:r w:rsidR="000B6CC3">
        <w:t>e</w:t>
      </w:r>
      <w:r>
        <w:t xml:space="preserve"> difference</w:t>
      </w:r>
      <w:r w:rsidR="004304C9">
        <w:t xml:space="preserve"> between the two</w:t>
      </w:r>
      <w:r w:rsidR="00B24DC0">
        <w:t>, however</w:t>
      </w:r>
      <w:r w:rsidR="004304C9">
        <w:t>,</w:t>
      </w:r>
      <w:r>
        <w:t xml:space="preserve"> is of considerable importance in the Ex Service community</w:t>
      </w:r>
      <w:r w:rsidR="000B6CC3">
        <w:t>. T</w:t>
      </w:r>
      <w:r>
        <w:t>wo</w:t>
      </w:r>
      <w:r w:rsidR="009822A4">
        <w:t xml:space="preserve"> </w:t>
      </w:r>
      <w:r>
        <w:t>standards of proof are recognised</w:t>
      </w:r>
      <w:r w:rsidR="006141ED">
        <w:t>, so that the two groups of former ADF members, are compensated</w:t>
      </w:r>
      <w:r>
        <w:t xml:space="preserve"> </w:t>
      </w:r>
      <w:r w:rsidR="00B24DC0">
        <w:t xml:space="preserve">differently </w:t>
      </w:r>
      <w:r>
        <w:t xml:space="preserve">in the </w:t>
      </w:r>
      <w:r w:rsidR="00365518">
        <w:t xml:space="preserve">legislation, </w:t>
      </w:r>
      <w:r w:rsidR="002A361C">
        <w:t>with two sets of</w:t>
      </w:r>
      <w:r w:rsidR="00365518">
        <w:t xml:space="preserve"> </w:t>
      </w:r>
      <w:r>
        <w:t>Statements of Principles</w:t>
      </w:r>
      <w:r w:rsidR="002A361C">
        <w:t xml:space="preserve"> for example</w:t>
      </w:r>
      <w:r>
        <w:t>.</w:t>
      </w:r>
      <w:r w:rsidR="000B6CC3">
        <w:t xml:space="preserve"> Nevertheless, the C</w:t>
      </w:r>
      <w:r w:rsidR="002A361C">
        <w:t>ommission</w:t>
      </w:r>
      <w:r w:rsidR="000B6CC3">
        <w:t xml:space="preserve"> inquiry “into veterans etc” </w:t>
      </w:r>
      <w:r w:rsidR="00EB1B48">
        <w:t>is</w:t>
      </w:r>
      <w:r w:rsidR="000B6CC3">
        <w:t xml:space="preserve"> concerned with both veterans</w:t>
      </w:r>
      <w:r w:rsidR="002A361C">
        <w:t>, as defined in the VEA,</w:t>
      </w:r>
      <w:r w:rsidR="000B6CC3">
        <w:t xml:space="preserve"> and former </w:t>
      </w:r>
      <w:r w:rsidR="00EB1B48">
        <w:t xml:space="preserve">serving </w:t>
      </w:r>
      <w:r w:rsidR="000B6CC3">
        <w:t>members of the ADF.</w:t>
      </w:r>
    </w:p>
    <w:p w14:paraId="489138BD" w14:textId="77777777" w:rsidR="00515A9F" w:rsidRDefault="00515A9F" w:rsidP="00515A9F"/>
    <w:p w14:paraId="5938B72C" w14:textId="6C3EB34F" w:rsidR="00515A9F" w:rsidRDefault="00515A9F" w:rsidP="00515A9F">
      <w:pPr>
        <w:pStyle w:val="ListParagraph"/>
        <w:numPr>
          <w:ilvl w:val="0"/>
          <w:numId w:val="1"/>
        </w:numPr>
      </w:pPr>
      <w:r>
        <w:t xml:space="preserve">The new </w:t>
      </w:r>
      <w:r w:rsidRPr="00707ACD">
        <w:rPr>
          <w:u w:val="single"/>
        </w:rPr>
        <w:t>DVA Veteran centric policy</w:t>
      </w:r>
      <w:r>
        <w:t xml:space="preserve"> (pp 1, 4) may not consider carefully enough the financial problems that might be experienced by the family (p7) if a veteran is estranged, perhaps for reasons associated with a service related mental health disorder. This is of considerable importance to Legacy, the Partners of Veterans Association, and to a lesser extent, the War Widows Guild.</w:t>
      </w:r>
    </w:p>
    <w:p w14:paraId="2B70D653" w14:textId="3EE8CD2B" w:rsidR="00A11AB1" w:rsidRPr="00EC5632" w:rsidRDefault="002C294E" w:rsidP="00A11AB1">
      <w:pPr>
        <w:pStyle w:val="ListParagraph"/>
        <w:numPr>
          <w:ilvl w:val="0"/>
          <w:numId w:val="1"/>
        </w:numPr>
        <w:rPr>
          <w:u w:val="single"/>
        </w:rPr>
      </w:pPr>
      <w:r w:rsidRPr="00EC5632">
        <w:rPr>
          <w:u w:val="single"/>
        </w:rPr>
        <w:t>Incentives/Disincentives to work; VEA v MRCA; Pensions v Lump Sum</w:t>
      </w:r>
      <w:r>
        <w:t xml:space="preserve"> etc. (pp 4, 17)</w:t>
      </w:r>
      <w:r w:rsidR="00933B0E">
        <w:t xml:space="preserve"> Under the provisions of the VEA, and its antecedent legislation, “returned men” from </w:t>
      </w:r>
      <w:r w:rsidR="00E12AB5">
        <w:t>World W</w:t>
      </w:r>
      <w:r w:rsidR="00933B0E">
        <w:t xml:space="preserve">ars (they did not recognise then the term “veteran”) were granted a Disability Pension. </w:t>
      </w:r>
      <w:r w:rsidR="00011BAB">
        <w:t>This is indexed, tax exempt, and available for life. It</w:t>
      </w:r>
      <w:r w:rsidR="00933B0E">
        <w:t xml:space="preserve"> </w:t>
      </w:r>
      <w:r w:rsidR="00011BAB">
        <w:t>is/</w:t>
      </w:r>
      <w:r w:rsidR="00933B0E">
        <w:t xml:space="preserve">was a supplemental income which in no way prejudiced </w:t>
      </w:r>
      <w:r w:rsidR="00E12AB5">
        <w:t>returned soldiers, sailors and airmen</w:t>
      </w:r>
      <w:r w:rsidR="00011BAB">
        <w:t xml:space="preserve"> from working, even if awarded at 100%.  Only the Special Rate of pension (“TPI”) had a work test. But this latter was designed, when introduced a few years after World War One, to provide income </w:t>
      </w:r>
      <w:r w:rsidR="003F4D30">
        <w:t>for</w:t>
      </w:r>
      <w:r w:rsidR="00011BAB">
        <w:t xml:space="preserve"> a</w:t>
      </w:r>
      <w:r w:rsidR="003F4D30">
        <w:t xml:space="preserve"> returned </w:t>
      </w:r>
      <w:r w:rsidR="00011BAB">
        <w:t>servicem</w:t>
      </w:r>
      <w:r w:rsidR="00E12AB5">
        <w:t>a</w:t>
      </w:r>
      <w:r w:rsidR="00011BAB">
        <w:t xml:space="preserve">n who had no prospect of returning to work, </w:t>
      </w:r>
      <w:r w:rsidR="003F4D30">
        <w:t>nor of</w:t>
      </w:r>
      <w:r w:rsidR="00011BAB">
        <w:t xml:space="preserve"> </w:t>
      </w:r>
      <w:r w:rsidR="00D252CD">
        <w:t>“</w:t>
      </w:r>
      <w:r w:rsidR="00011BAB">
        <w:t>putting aside money for his old age</w:t>
      </w:r>
      <w:r w:rsidR="00D252CD">
        <w:t>”</w:t>
      </w:r>
      <w:r w:rsidR="00011BAB">
        <w:t xml:space="preserve">. Such a Pension was to support a family for life. It was based on the “Basic Wage” or equivalent. These provisions are consistent with prudent financial planning. Provisions of the MRCA, on the other hand, </w:t>
      </w:r>
      <w:r w:rsidR="00D252CD">
        <w:t>may be</w:t>
      </w:r>
      <w:r w:rsidR="00011BAB">
        <w:t xml:space="preserve"> consistent with unwise or reckless financial planning.</w:t>
      </w:r>
      <w:r w:rsidR="003F4D30">
        <w:t xml:space="preserve"> A lump sum may be squandered, used </w:t>
      </w:r>
      <w:r w:rsidR="00992E59">
        <w:t xml:space="preserve">or invested </w:t>
      </w:r>
      <w:r w:rsidR="003F4D30">
        <w:t xml:space="preserve">unwisely, leaving nothing for retirement. Incapacity </w:t>
      </w:r>
      <w:r w:rsidR="003F4D30">
        <w:lastRenderedPageBreak/>
        <w:t>payments, calculated on the salary or wage at the date of incapacity,</w:t>
      </w:r>
      <w:r w:rsidR="00196D16">
        <w:t xml:space="preserve"> </w:t>
      </w:r>
      <w:r w:rsidR="003F4D30">
        <w:t xml:space="preserve">will also cease at “retirement age” if not before, may be based on current disability, </w:t>
      </w:r>
      <w:r w:rsidR="00196D16">
        <w:t xml:space="preserve">and </w:t>
      </w:r>
      <w:r w:rsidR="003F4D30">
        <w:t xml:space="preserve">thus potentially </w:t>
      </w:r>
      <w:r w:rsidR="00EB1B48">
        <w:t xml:space="preserve">might be </w:t>
      </w:r>
      <w:r w:rsidR="003F4D30">
        <w:t xml:space="preserve">reduced. Special Rate Disability Pension under MRCA has been under </w:t>
      </w:r>
      <w:r w:rsidR="007530F1">
        <w:t>subscribed,</w:t>
      </w:r>
      <w:r w:rsidR="003F4D30">
        <w:t xml:space="preserve"> as it</w:t>
      </w:r>
      <w:r w:rsidR="00196D16">
        <w:t xml:space="preserve"> may</w:t>
      </w:r>
      <w:r w:rsidR="003F4D30">
        <w:t xml:space="preserve"> provide less </w:t>
      </w:r>
      <w:r w:rsidR="00992E59">
        <w:t xml:space="preserve">income </w:t>
      </w:r>
      <w:r w:rsidR="003F4D30">
        <w:t>per fortnight than Incapacity payments.</w:t>
      </w:r>
      <w:r w:rsidR="00196D16">
        <w:t xml:space="preserve"> There are inherent pressures against returning to work that is dull, uninteresting or dangerous. Human nature and failings may </w:t>
      </w:r>
      <w:r w:rsidR="007530F1">
        <w:t>lead</w:t>
      </w:r>
      <w:r w:rsidR="00196D16">
        <w:t xml:space="preserve"> one</w:t>
      </w:r>
      <w:r w:rsidR="007530F1">
        <w:t xml:space="preserve"> to</w:t>
      </w:r>
      <w:r w:rsidR="00196D16">
        <w:t xml:space="preserve"> accept a disability, particularly if handsomely compensated, which prevents return to such a work place. If an obvious disability exempts an individual from unwelcome duties (war or National </w:t>
      </w:r>
      <w:r w:rsidR="007530F1">
        <w:t>S</w:t>
      </w:r>
      <w:r w:rsidR="00196D16">
        <w:t>ervice for example) it will be difficult to distinguish genuine sufferers from malingerers and “hysterics” (</w:t>
      </w:r>
      <w:r w:rsidR="007530F1">
        <w:t xml:space="preserve">sufferers of a </w:t>
      </w:r>
      <w:r w:rsidR="00196D16">
        <w:t>conversion reaction).  Some of the unusual symptoms manifest by sufferers from WW1 “shell shock” were probably in this last category. In the civilian workplace similar disincentives will apply even if not so obviously.</w:t>
      </w:r>
    </w:p>
    <w:p w14:paraId="3F388D3F" w14:textId="77777777" w:rsidR="00515A9F" w:rsidRPr="00365518" w:rsidRDefault="00515A9F" w:rsidP="00A11AB1">
      <w:pPr>
        <w:rPr>
          <w:u w:val="single"/>
        </w:rPr>
      </w:pPr>
    </w:p>
    <w:p w14:paraId="22DAEE11" w14:textId="5DBDF6B3" w:rsidR="00A11AB1" w:rsidRDefault="00A11AB1" w:rsidP="00A11AB1">
      <w:pPr>
        <w:pStyle w:val="ListParagraph"/>
        <w:numPr>
          <w:ilvl w:val="0"/>
          <w:numId w:val="2"/>
        </w:numPr>
      </w:pPr>
      <w:r w:rsidRPr="00365518">
        <w:rPr>
          <w:u w:val="single"/>
        </w:rPr>
        <w:t>Rehabilitation for civilian occupation</w:t>
      </w:r>
      <w:r>
        <w:t xml:space="preserve"> (p8).  World War </w:t>
      </w:r>
      <w:r w:rsidR="00B24DC0">
        <w:t xml:space="preserve">One and Two </w:t>
      </w:r>
      <w:r>
        <w:t>veterans, following medical discharge,</w:t>
      </w:r>
      <w:r w:rsidR="003427F4">
        <w:t xml:space="preserve"> particularly</w:t>
      </w:r>
      <w:r>
        <w:t xml:space="preserve"> </w:t>
      </w:r>
      <w:r w:rsidR="003427F4">
        <w:t>if</w:t>
      </w:r>
      <w:r>
        <w:t xml:space="preserve"> </w:t>
      </w:r>
      <w:r w:rsidR="00515A9F">
        <w:t xml:space="preserve">they were </w:t>
      </w:r>
      <w:r>
        <w:t xml:space="preserve">wounded, would have regarded rehabilitation for a civilian occupation as </w:t>
      </w:r>
      <w:r w:rsidR="00B24DC0">
        <w:t xml:space="preserve">welcome and </w:t>
      </w:r>
      <w:r>
        <w:t xml:space="preserve">beneficial.  </w:t>
      </w:r>
      <w:r w:rsidR="001C0FD0">
        <w:t xml:space="preserve">Indeed, a wound that took one away from the </w:t>
      </w:r>
      <w:r w:rsidR="00515A9F">
        <w:t>W</w:t>
      </w:r>
      <w:r w:rsidR="001C0FD0">
        <w:t xml:space="preserve">estern </w:t>
      </w:r>
      <w:r w:rsidR="00515A9F">
        <w:t>F</w:t>
      </w:r>
      <w:r w:rsidR="001C0FD0">
        <w:t>ront trenches in WW1, often called a “Blighty”, might have been considered life-saving. On the other hand</w:t>
      </w:r>
      <w:r>
        <w:t xml:space="preserve">, contemporary veterans regard medical discharge as a career </w:t>
      </w:r>
      <w:r w:rsidR="001C0FD0">
        <w:t xml:space="preserve">or profession </w:t>
      </w:r>
      <w:r>
        <w:t xml:space="preserve">ending </w:t>
      </w:r>
      <w:r w:rsidR="002777F0">
        <w:t>calamity</w:t>
      </w:r>
      <w:r>
        <w:t xml:space="preserve">.  Transition to civilian employment was not their intention.  Should it have been possible to retain them by rehabilitation within the ADF the idea of such rehabilitation </w:t>
      </w:r>
      <w:r w:rsidR="001C0FD0">
        <w:t>might</w:t>
      </w:r>
      <w:r>
        <w:t xml:space="preserve"> be more attractive.  Many less “</w:t>
      </w:r>
      <w:r w:rsidR="00B24DC0">
        <w:t>sharp</w:t>
      </w:r>
      <w:r>
        <w:t xml:space="preserve"> end” </w:t>
      </w:r>
      <w:r w:rsidR="002777F0">
        <w:t>occupations</w:t>
      </w:r>
      <w:r w:rsidR="00B24DC0">
        <w:t>,</w:t>
      </w:r>
      <w:r>
        <w:t xml:space="preserve"> that might have been </w:t>
      </w:r>
      <w:r w:rsidR="00790040">
        <w:t>suitable for</w:t>
      </w:r>
      <w:r>
        <w:t xml:space="preserve"> such members</w:t>
      </w:r>
      <w:r w:rsidR="00B24DC0">
        <w:t>,</w:t>
      </w:r>
      <w:r>
        <w:t xml:space="preserve"> have now become civilianised e.g. security, transport, cooks etc</w:t>
      </w:r>
      <w:r w:rsidR="00B877C5">
        <w:t>.  A veteran discharged on medical grounds will seek compensation not only for his injury or illness, but for loss of an</w:t>
      </w:r>
      <w:r>
        <w:t xml:space="preserve"> </w:t>
      </w:r>
      <w:r w:rsidR="00B877C5">
        <w:t>intended career path</w:t>
      </w:r>
      <w:r w:rsidR="00707ACD">
        <w:t xml:space="preserve"> (See also question p 17)</w:t>
      </w:r>
      <w:r w:rsidR="00B877C5">
        <w:t>.</w:t>
      </w:r>
    </w:p>
    <w:p w14:paraId="5DC18E22" w14:textId="77777777" w:rsidR="009822A4" w:rsidRDefault="009822A4" w:rsidP="009822A4">
      <w:pPr>
        <w:pStyle w:val="ListParagraph"/>
      </w:pPr>
    </w:p>
    <w:p w14:paraId="7446DE0D" w14:textId="395E87C9" w:rsidR="009822A4" w:rsidRDefault="009822A4" w:rsidP="009822A4">
      <w:pPr>
        <w:pStyle w:val="ListParagraph"/>
        <w:numPr>
          <w:ilvl w:val="0"/>
          <w:numId w:val="2"/>
        </w:numPr>
      </w:pPr>
      <w:r w:rsidRPr="009822A4">
        <w:rPr>
          <w:u w:val="single"/>
        </w:rPr>
        <w:t>Rehabilitation and Compensation</w:t>
      </w:r>
      <w:r>
        <w:t xml:space="preserve"> have different and competing outcomes.  “The greater the Rehabilitation the smaller the Compensation,” and vice versa.  That trite assertion may not apply if a serviceman can </w:t>
      </w:r>
      <w:r w:rsidR="003A4A10">
        <w:t xml:space="preserve">be rehabilitated to </w:t>
      </w:r>
      <w:r>
        <w:t>retain his position and promotion prospects in the ADF.  But it is true once he is out of uniform.</w:t>
      </w:r>
    </w:p>
    <w:p w14:paraId="43EBD9B1" w14:textId="77777777" w:rsidR="00104834" w:rsidRDefault="00104834" w:rsidP="00104834">
      <w:pPr>
        <w:pStyle w:val="ListParagraph"/>
      </w:pPr>
    </w:p>
    <w:p w14:paraId="4A0B3B22" w14:textId="3C614BC2" w:rsidR="00104834" w:rsidRDefault="00B24DC0" w:rsidP="00A11AB1">
      <w:pPr>
        <w:pStyle w:val="ListParagraph"/>
        <w:numPr>
          <w:ilvl w:val="0"/>
          <w:numId w:val="2"/>
        </w:numPr>
      </w:pPr>
      <w:r>
        <w:t xml:space="preserve">The alleged </w:t>
      </w:r>
      <w:r w:rsidR="00104834">
        <w:t>“</w:t>
      </w:r>
      <w:r w:rsidR="00104834" w:rsidRPr="003A4A10">
        <w:rPr>
          <w:u w:val="single"/>
        </w:rPr>
        <w:t xml:space="preserve">Inflexibility of </w:t>
      </w:r>
      <w:r w:rsidR="002A361C">
        <w:rPr>
          <w:u w:val="single"/>
        </w:rPr>
        <w:t>Statements of Principles (</w:t>
      </w:r>
      <w:proofErr w:type="spellStart"/>
      <w:r w:rsidR="00104834" w:rsidRPr="003A4A10">
        <w:rPr>
          <w:u w:val="single"/>
        </w:rPr>
        <w:t>SoPs</w:t>
      </w:r>
      <w:proofErr w:type="spellEnd"/>
      <w:r w:rsidR="002A361C">
        <w:rPr>
          <w:u w:val="single"/>
        </w:rPr>
        <w:t>)</w:t>
      </w:r>
      <w:r w:rsidR="00104834">
        <w:t>”</w:t>
      </w:r>
      <w:r w:rsidR="00802CF7">
        <w:t xml:space="preserve"> (p</w:t>
      </w:r>
      <w:r w:rsidR="004B223F">
        <w:t>p</w:t>
      </w:r>
      <w:r w:rsidR="00802CF7">
        <w:t>1</w:t>
      </w:r>
      <w:r w:rsidR="004B223F">
        <w:t>2, 13</w:t>
      </w:r>
      <w:r w:rsidR="00802CF7">
        <w:t>)</w:t>
      </w:r>
      <w:r w:rsidR="00104834">
        <w:t xml:space="preserve">.  </w:t>
      </w:r>
      <w:r w:rsidR="003A4A10">
        <w:t>In our opinion t</w:t>
      </w:r>
      <w:r w:rsidR="00104834">
        <w:t xml:space="preserve">he </w:t>
      </w:r>
      <w:r w:rsidR="001C0FD0">
        <w:t>S</w:t>
      </w:r>
      <w:r w:rsidR="00104834">
        <w:t xml:space="preserve">tatements of </w:t>
      </w:r>
      <w:r w:rsidR="001C0FD0">
        <w:t>P</w:t>
      </w:r>
      <w:r w:rsidR="00104834">
        <w:t>rinciples</w:t>
      </w:r>
      <w:r w:rsidR="003D148D">
        <w:t xml:space="preserve">, introduced following the Baume Report of 1994, </w:t>
      </w:r>
      <w:r w:rsidR="001C0FD0">
        <w:t xml:space="preserve">have </w:t>
      </w:r>
      <w:r w:rsidR="003D148D">
        <w:t xml:space="preserve">provided </w:t>
      </w:r>
      <w:r w:rsidR="00790040">
        <w:t>a</w:t>
      </w:r>
      <w:r w:rsidR="003D148D">
        <w:t xml:space="preserve"> most helpful template for compensation.  </w:t>
      </w:r>
      <w:r w:rsidR="00EC5632">
        <w:t>By removing from consideration competing medical opinions w</w:t>
      </w:r>
      <w:r w:rsidR="00515A9F">
        <w:t>e believe</w:t>
      </w:r>
      <w:r w:rsidR="00976CB9">
        <w:t xml:space="preserve"> that they have</w:t>
      </w:r>
      <w:r w:rsidR="003A4A10">
        <w:t xml:space="preserve"> ”helped to create a more equitable, efficient and consistent system…” The RMA determines the </w:t>
      </w:r>
      <w:proofErr w:type="spellStart"/>
      <w:r w:rsidR="003A4A10">
        <w:t>SoPs</w:t>
      </w:r>
      <w:proofErr w:type="spellEnd"/>
      <w:r w:rsidR="003A4A10">
        <w:t xml:space="preserve"> on the basis of evidence that links the </w:t>
      </w:r>
      <w:r w:rsidR="009B2087">
        <w:t>probability</w:t>
      </w:r>
      <w:r w:rsidR="003A4A10">
        <w:t xml:space="preserve"> of development of any condition with particular (risk) factors.  It identifies all the epidemiological or causative factors that may lead to </w:t>
      </w:r>
      <w:r w:rsidR="009B2087">
        <w:t xml:space="preserve">the development of </w:t>
      </w:r>
      <w:r w:rsidR="003A4A10">
        <w:t xml:space="preserve">a particular injury, disease or disorder.  It does not, nor should it, attempt to link that factor with the conditions of service. </w:t>
      </w:r>
      <w:proofErr w:type="spellStart"/>
      <w:r w:rsidR="003A4A10">
        <w:t>SoPs</w:t>
      </w:r>
      <w:proofErr w:type="spellEnd"/>
      <w:r w:rsidR="003D148D">
        <w:t xml:space="preserve"> deal with two standards of proof, the Reasonable Hypothesis </w:t>
      </w:r>
      <w:r w:rsidR="001C0FD0">
        <w:t xml:space="preserve">standard, </w:t>
      </w:r>
      <w:r w:rsidR="003D148D">
        <w:t>(</w:t>
      </w:r>
      <w:r w:rsidR="00690652">
        <w:t>p</w:t>
      </w:r>
      <w:r w:rsidR="003D148D">
        <w:t xml:space="preserve">robability </w:t>
      </w:r>
      <w:r w:rsidR="001C0FD0">
        <w:t xml:space="preserve">of a causal association with service </w:t>
      </w:r>
      <w:r w:rsidR="003D148D">
        <w:t>perhaps a</w:t>
      </w:r>
      <w:r w:rsidR="001C0FD0">
        <w:t xml:space="preserve">s </w:t>
      </w:r>
      <w:r w:rsidR="003D148D">
        <w:t>low as five percent)</w:t>
      </w:r>
      <w:r w:rsidR="001C0FD0">
        <w:t>;</w:t>
      </w:r>
      <w:r w:rsidR="003D148D">
        <w:t xml:space="preserve"> and </w:t>
      </w:r>
      <w:r w:rsidR="001C0FD0">
        <w:t xml:space="preserve">the </w:t>
      </w:r>
      <w:r w:rsidR="003D148D">
        <w:t>Balance of Probability</w:t>
      </w:r>
      <w:r w:rsidR="001C0FD0">
        <w:t xml:space="preserve"> standard</w:t>
      </w:r>
      <w:r w:rsidR="003D148D">
        <w:t xml:space="preserve"> (</w:t>
      </w:r>
      <w:r w:rsidR="001C0FD0">
        <w:t>probab</w:t>
      </w:r>
      <w:r w:rsidR="00690652">
        <w:t>ility</w:t>
      </w:r>
      <w:r w:rsidR="001C0FD0">
        <w:t xml:space="preserve"> of a relationship </w:t>
      </w:r>
      <w:r w:rsidR="003D148D">
        <w:t xml:space="preserve">perhaps as low as forty percent).  These provide a </w:t>
      </w:r>
      <w:r w:rsidR="00251813">
        <w:t xml:space="preserve">framework within which there is a </w:t>
      </w:r>
      <w:r w:rsidR="003D148D">
        <w:t>considerable degree of flexibility</w:t>
      </w:r>
      <w:r w:rsidR="009B2087">
        <w:t>,</w:t>
      </w:r>
      <w:r w:rsidR="003D148D">
        <w:t xml:space="preserve"> particularly with respect to </w:t>
      </w:r>
      <w:r w:rsidR="001C0FD0">
        <w:t xml:space="preserve">the </w:t>
      </w:r>
      <w:r w:rsidR="003D148D">
        <w:t xml:space="preserve">Reasonable Hypothesis standard.  In </w:t>
      </w:r>
      <w:r w:rsidR="00802CF7">
        <w:t>such</w:t>
      </w:r>
      <w:r w:rsidR="003D148D">
        <w:t xml:space="preserve"> </w:t>
      </w:r>
      <w:r w:rsidR="00802CF7">
        <w:t>matters</w:t>
      </w:r>
      <w:r w:rsidR="003D148D">
        <w:t xml:space="preserve"> compensation may be paid for a condition in which there </w:t>
      </w:r>
      <w:r w:rsidR="00802CF7">
        <w:t>is</w:t>
      </w:r>
      <w:r w:rsidR="003D148D">
        <w:t xml:space="preserve"> only a one in twenty </w:t>
      </w:r>
      <w:r w:rsidR="00790040">
        <w:t>chance that</w:t>
      </w:r>
      <w:r w:rsidR="003D148D">
        <w:t xml:space="preserve"> a </w:t>
      </w:r>
      <w:r w:rsidR="001C0FD0">
        <w:t xml:space="preserve">causal </w:t>
      </w:r>
      <w:r w:rsidR="003D148D">
        <w:t>relationship</w:t>
      </w:r>
      <w:r w:rsidR="00790040">
        <w:t xml:space="preserve"> </w:t>
      </w:r>
      <w:r w:rsidR="00690652">
        <w:t xml:space="preserve">really </w:t>
      </w:r>
      <w:r w:rsidR="00790040">
        <w:t xml:space="preserve">exists between </w:t>
      </w:r>
      <w:r w:rsidR="003A4A10">
        <w:t xml:space="preserve">a claimed </w:t>
      </w:r>
      <w:r w:rsidR="00790040">
        <w:t>condition and</w:t>
      </w:r>
      <w:r w:rsidR="003D148D">
        <w:t xml:space="preserve"> the conditions of service.  This surely shows a great deal of flexibility.  </w:t>
      </w:r>
      <w:r w:rsidR="003A4A10">
        <w:t>On the other hand</w:t>
      </w:r>
      <w:r>
        <w:t xml:space="preserve">, using the framework provided by </w:t>
      </w:r>
      <w:proofErr w:type="spellStart"/>
      <w:r>
        <w:t>SoPs</w:t>
      </w:r>
      <w:proofErr w:type="spellEnd"/>
      <w:r w:rsidR="003D148D">
        <w:t xml:space="preserve"> </w:t>
      </w:r>
      <w:r w:rsidR="00515A9F">
        <w:t xml:space="preserve">will </w:t>
      </w:r>
      <w:r w:rsidR="000B6CC3">
        <w:t>prevent</w:t>
      </w:r>
      <w:r w:rsidR="003D148D">
        <w:t xml:space="preserve"> compensation </w:t>
      </w:r>
      <w:r w:rsidR="000B6CC3">
        <w:t>if there is</w:t>
      </w:r>
      <w:r w:rsidR="003D148D">
        <w:t xml:space="preserve"> a less than one in twenty </w:t>
      </w:r>
      <w:r w:rsidR="00790040">
        <w:t xml:space="preserve">chance of such a </w:t>
      </w:r>
      <w:r w:rsidR="003D148D">
        <w:t>causation.  The Reason</w:t>
      </w:r>
      <w:r w:rsidR="001C0FD0">
        <w:t>able</w:t>
      </w:r>
      <w:r w:rsidR="003D148D">
        <w:t xml:space="preserve"> H</w:t>
      </w:r>
      <w:r w:rsidR="001C0FD0">
        <w:t>ypothesis</w:t>
      </w:r>
      <w:r w:rsidR="003D148D">
        <w:t xml:space="preserve"> term was </w:t>
      </w:r>
      <w:r w:rsidR="009B2087">
        <w:t>discussed</w:t>
      </w:r>
      <w:r w:rsidR="003D148D">
        <w:t xml:space="preserve"> in the High Court determination of the O’ Brien case</w:t>
      </w:r>
      <w:r w:rsidR="009B2087">
        <w:t xml:space="preserve"> (RC v O’Brien [1985] HCA 10)</w:t>
      </w:r>
      <w:r w:rsidR="003D148D">
        <w:t>.  Before th</w:t>
      </w:r>
      <w:r w:rsidR="002A361C">
        <w:t>at time</w:t>
      </w:r>
      <w:r w:rsidR="003D148D">
        <w:t xml:space="preserve"> the </w:t>
      </w:r>
      <w:r w:rsidR="009B2087">
        <w:t>provis</w:t>
      </w:r>
      <w:r w:rsidR="003D148D">
        <w:t xml:space="preserve">ion in the </w:t>
      </w:r>
      <w:r w:rsidR="009B2087">
        <w:t>Repatriation Act 1920</w:t>
      </w:r>
      <w:r w:rsidR="003D148D">
        <w:t xml:space="preserve"> was that the </w:t>
      </w:r>
      <w:r w:rsidR="000B6CC3">
        <w:t xml:space="preserve">(war) </w:t>
      </w:r>
      <w:r w:rsidR="003D148D">
        <w:t xml:space="preserve">veteran was to be </w:t>
      </w:r>
      <w:r w:rsidR="009B2087">
        <w:t>awarded a claim</w:t>
      </w:r>
      <w:r w:rsidR="00251813">
        <w:t>ed</w:t>
      </w:r>
      <w:r w:rsidR="009B2087">
        <w:t xml:space="preserve"> condition unless its relation to service was disproven</w:t>
      </w:r>
      <w:r w:rsidR="003D148D">
        <w:t xml:space="preserve"> “</w:t>
      </w:r>
      <w:r w:rsidR="009B2087">
        <w:t>beyond reasonable</w:t>
      </w:r>
      <w:r w:rsidR="003D148D">
        <w:t xml:space="preserve"> doubt”.</w:t>
      </w:r>
      <w:r w:rsidR="000B6CC3">
        <w:t xml:space="preserve"> </w:t>
      </w:r>
      <w:r w:rsidR="000B6CC3">
        <w:lastRenderedPageBreak/>
        <w:t xml:space="preserve">How much doubt </w:t>
      </w:r>
      <w:r w:rsidR="003A4A10">
        <w:t>might be</w:t>
      </w:r>
      <w:r w:rsidR="000B6CC3">
        <w:t xml:space="preserve"> </w:t>
      </w:r>
      <w:r w:rsidR="00790040">
        <w:t xml:space="preserve">considered </w:t>
      </w:r>
      <w:r w:rsidR="000B6CC3">
        <w:t xml:space="preserve">reasonable is </w:t>
      </w:r>
      <w:r w:rsidR="00790040">
        <w:t xml:space="preserve">given </w:t>
      </w:r>
      <w:r w:rsidR="00610E70">
        <w:t>an important</w:t>
      </w:r>
      <w:r w:rsidR="00790040">
        <w:t xml:space="preserve"> statistical </w:t>
      </w:r>
      <w:r w:rsidR="00251813">
        <w:t>approximation</w:t>
      </w:r>
      <w:r w:rsidR="00610E70">
        <w:t xml:space="preserve"> by</w:t>
      </w:r>
      <w:r w:rsidR="000B6CC3">
        <w:t xml:space="preserve"> the </w:t>
      </w:r>
      <w:r w:rsidR="00610E70">
        <w:t>term</w:t>
      </w:r>
      <w:r w:rsidR="000B6CC3">
        <w:t xml:space="preserve"> “Reasonable Hypothesis”.</w:t>
      </w:r>
      <w:r w:rsidR="00251813">
        <w:t xml:space="preserve"> The VEA was enacted the following year, incorporating the term.</w:t>
      </w:r>
    </w:p>
    <w:p w14:paraId="1DD4B1F4" w14:textId="77777777" w:rsidR="00790040" w:rsidRDefault="00790040" w:rsidP="00790040"/>
    <w:p w14:paraId="726E145D" w14:textId="39A08AD0" w:rsidR="00790040" w:rsidRDefault="00790040" w:rsidP="00A11AB1">
      <w:pPr>
        <w:pStyle w:val="ListParagraph"/>
        <w:numPr>
          <w:ilvl w:val="0"/>
          <w:numId w:val="2"/>
        </w:numPr>
      </w:pPr>
      <w:r>
        <w:t>An “</w:t>
      </w:r>
      <w:r w:rsidRPr="00370CB0">
        <w:rPr>
          <w:u w:val="single"/>
        </w:rPr>
        <w:t>adversarial approach”</w:t>
      </w:r>
      <w:r>
        <w:t xml:space="preserve"> (p12). It is our experience that Decisions on claims made under </w:t>
      </w:r>
      <w:r w:rsidR="00370CB0">
        <w:t>MRCA</w:t>
      </w:r>
      <w:r w:rsidR="00251813">
        <w:t xml:space="preserve"> </w:t>
      </w:r>
      <w:r w:rsidR="002777F0">
        <w:t>200</w:t>
      </w:r>
      <w:r w:rsidR="00251813">
        <w:t>4</w:t>
      </w:r>
      <w:r w:rsidR="00370CB0">
        <w:t xml:space="preserve"> appear to be more “earnestly” resisted by delegates</w:t>
      </w:r>
      <w:r w:rsidR="00515A9F">
        <w:t>, and Commission advisers including medical officers,</w:t>
      </w:r>
      <w:r w:rsidR="00370CB0">
        <w:t xml:space="preserve"> than in cases decided under the VEA</w:t>
      </w:r>
      <w:r w:rsidR="00251813">
        <w:t xml:space="preserve"> 1986</w:t>
      </w:r>
      <w:r w:rsidR="00370CB0">
        <w:t xml:space="preserve">. There are contentions over whether the condition is permanent and stable, or </w:t>
      </w:r>
      <w:r w:rsidR="004B223F">
        <w:t xml:space="preserve">even </w:t>
      </w:r>
      <w:r w:rsidR="00370CB0">
        <w:t>over the diagnosis itself. Delays in decision making appear to be inherent in th</w:t>
      </w:r>
      <w:r w:rsidR="007F7DE3">
        <w:t>is</w:t>
      </w:r>
      <w:r w:rsidR="00370CB0">
        <w:t xml:space="preserve"> more recent “Compo” Act. As in Workers Compensation Acts of various jurisdictions there are complexities (p11) that would encourage a claimant to seek a lawyer’s advice</w:t>
      </w:r>
      <w:r>
        <w:t xml:space="preserve"> </w:t>
      </w:r>
    </w:p>
    <w:p w14:paraId="2BE86D68" w14:textId="77777777" w:rsidR="003D148D" w:rsidRPr="00802CF7" w:rsidRDefault="003D148D" w:rsidP="003D148D">
      <w:pPr>
        <w:pStyle w:val="ListParagraph"/>
        <w:rPr>
          <w:u w:val="single"/>
        </w:rPr>
      </w:pPr>
    </w:p>
    <w:p w14:paraId="504591AF" w14:textId="7BB5F5E5" w:rsidR="00610E70" w:rsidRDefault="003D148D" w:rsidP="00610E70">
      <w:pPr>
        <w:pStyle w:val="ListParagraph"/>
        <w:numPr>
          <w:ilvl w:val="0"/>
          <w:numId w:val="2"/>
        </w:numPr>
      </w:pPr>
      <w:r w:rsidRPr="00802CF7">
        <w:rPr>
          <w:u w:val="single"/>
        </w:rPr>
        <w:t>DRCA reviews</w:t>
      </w:r>
      <w:r>
        <w:t xml:space="preserve"> (p14) are shown in the table to proceed via the VRB.</w:t>
      </w:r>
      <w:r w:rsidR="00802CF7">
        <w:t xml:space="preserve"> We understand that such claims are not reviewed by the VRB, but proceed </w:t>
      </w:r>
      <w:r w:rsidR="000B6CC3">
        <w:t xml:space="preserve">instead, </w:t>
      </w:r>
      <w:r w:rsidR="00802CF7">
        <w:t>to the AAT.</w:t>
      </w:r>
      <w:r w:rsidR="007B33C9">
        <w:t xml:space="preserve">  Incidentally the fact that a claim will be considered only within the provisions of one Act, and rejected, yet could be accepted under another Act, makes it difficult and frustrating.  </w:t>
      </w:r>
      <w:r w:rsidR="00DD3B60">
        <w:t>We have occasionally heard of Commission delegates recommending that a claim might be more appropriately made under a different Act. However, i</w:t>
      </w:r>
      <w:r w:rsidR="007B33C9">
        <w:t xml:space="preserve">f </w:t>
      </w:r>
      <w:r w:rsidR="00DD3B60">
        <w:t>delegates</w:t>
      </w:r>
      <w:r w:rsidR="007B33C9">
        <w:t xml:space="preserve"> within the Commissions are unable to transfer such a claim to another Act</w:t>
      </w:r>
      <w:r w:rsidR="00DD3B60">
        <w:t>, without a newly prepared claim,</w:t>
      </w:r>
      <w:r w:rsidR="007B33C9">
        <w:t xml:space="preserve"> there is a case to have </w:t>
      </w:r>
      <w:r w:rsidR="00DD3B60">
        <w:t xml:space="preserve">a “multiple Act” claim form, or </w:t>
      </w:r>
      <w:r w:rsidR="007B33C9">
        <w:t xml:space="preserve">imbedded lawyers for such </w:t>
      </w:r>
      <w:r w:rsidR="00246EF3">
        <w:t>g</w:t>
      </w:r>
      <w:r w:rsidR="007B33C9">
        <w:t>uidance. See below re the “Canadian Model”.</w:t>
      </w:r>
    </w:p>
    <w:p w14:paraId="48CADC3A" w14:textId="77777777" w:rsidR="00610E70" w:rsidRDefault="00610E70" w:rsidP="00610E70">
      <w:pPr>
        <w:pStyle w:val="ListParagraph"/>
      </w:pPr>
    </w:p>
    <w:p w14:paraId="599874EF" w14:textId="1AB52E80" w:rsidR="00610E70" w:rsidRDefault="00610E70" w:rsidP="00610E70">
      <w:pPr>
        <w:pStyle w:val="ListParagraph"/>
        <w:numPr>
          <w:ilvl w:val="0"/>
          <w:numId w:val="2"/>
        </w:numPr>
      </w:pPr>
      <w:r w:rsidRPr="00610E70">
        <w:rPr>
          <w:u w:val="single"/>
        </w:rPr>
        <w:t>Minimising risk in the ADF</w:t>
      </w:r>
      <w:r>
        <w:t xml:space="preserve"> (p15). The concept seems reasonable, almost self-evident. General Slim sacked commanders whose troops developed unacceptable rates of Malaria. Monash protected his troops by all available mechanical means, rather than impale them on enemy bayonets. The lack of suitable “non-combatant” roles in the current ADF, in which injured members might continue a military career, is referred to above.</w:t>
      </w:r>
    </w:p>
    <w:p w14:paraId="0E6E7587" w14:textId="77777777" w:rsidR="00B877C5" w:rsidRDefault="00B877C5" w:rsidP="00B877C5">
      <w:pPr>
        <w:pStyle w:val="ListParagraph"/>
      </w:pPr>
    </w:p>
    <w:p w14:paraId="072F7FDA" w14:textId="697C1029" w:rsidR="00B877C5" w:rsidRDefault="00B877C5" w:rsidP="00B877C5">
      <w:pPr>
        <w:pStyle w:val="ListParagraph"/>
        <w:numPr>
          <w:ilvl w:val="0"/>
          <w:numId w:val="2"/>
        </w:numPr>
      </w:pPr>
      <w:r w:rsidRPr="00053737">
        <w:rPr>
          <w:u w:val="single"/>
        </w:rPr>
        <w:t>Unequal compensation</w:t>
      </w:r>
      <w:r>
        <w:t xml:space="preserve"> between operational and non</w:t>
      </w:r>
      <w:r w:rsidR="00802CF7">
        <w:t>-</w:t>
      </w:r>
      <w:r>
        <w:t>operational service (p</w:t>
      </w:r>
      <w:r w:rsidR="00707ACD">
        <w:t>p</w:t>
      </w:r>
      <w:r w:rsidR="00156903">
        <w:t xml:space="preserve"> </w:t>
      </w:r>
      <w:r>
        <w:t>16</w:t>
      </w:r>
      <w:r w:rsidR="00707ACD">
        <w:t>, 17</w:t>
      </w:r>
      <w:r>
        <w:t>).</w:t>
      </w:r>
      <w:r w:rsidR="000B6CC3">
        <w:t xml:space="preserve"> </w:t>
      </w:r>
      <w:r w:rsidR="00370CB0">
        <w:t xml:space="preserve"> </w:t>
      </w:r>
      <w:r w:rsidR="00962896">
        <w:t>It is unacceptable that different degrees of impairment should be compensated by different levels of compensation. However, the extra “benefit” given to the “real” veteran (operational, war-like etc.) is in the lower standard of proof required. Indeed</w:t>
      </w:r>
      <w:r w:rsidR="00FF23F3">
        <w:t>,</w:t>
      </w:r>
      <w:r w:rsidR="00962896">
        <w:t xml:space="preserve"> the benefit provided is that such a person will be compensated when there is only a slight chance that the condition was </w:t>
      </w:r>
      <w:r w:rsidR="00053737">
        <w:t xml:space="preserve">in fact </w:t>
      </w:r>
      <w:r w:rsidR="00962896">
        <w:t xml:space="preserve">related to </w:t>
      </w:r>
      <w:r w:rsidR="00053737">
        <w:t xml:space="preserve">the </w:t>
      </w:r>
      <w:r w:rsidR="00962896">
        <w:t>conditions of service.</w:t>
      </w:r>
    </w:p>
    <w:p w14:paraId="4448851E" w14:textId="77777777" w:rsidR="00B877C5" w:rsidRDefault="00B877C5" w:rsidP="00B877C5">
      <w:pPr>
        <w:pStyle w:val="ListParagraph"/>
      </w:pPr>
    </w:p>
    <w:p w14:paraId="23668388" w14:textId="29D2B3B5" w:rsidR="00AA4D29" w:rsidRDefault="00B877C5" w:rsidP="00451655">
      <w:pPr>
        <w:pStyle w:val="ListParagraph"/>
        <w:numPr>
          <w:ilvl w:val="0"/>
          <w:numId w:val="2"/>
        </w:numPr>
      </w:pPr>
      <w:r w:rsidRPr="009822A4">
        <w:rPr>
          <w:u w:val="single"/>
        </w:rPr>
        <w:t>History of the Gold Card</w:t>
      </w:r>
      <w:r>
        <w:t xml:space="preserve"> (p19).  The issues paper has repeated a belief held by many, but we believe to be incorrect that, “the gold card predates free or subsidised health care through Medicare”.  What preceded Medicare</w:t>
      </w:r>
      <w:r w:rsidR="00802CF7">
        <w:t xml:space="preserve">, </w:t>
      </w:r>
      <w:r w:rsidR="00246EF3">
        <w:t xml:space="preserve">that is </w:t>
      </w:r>
      <w:r w:rsidR="00802CF7">
        <w:t xml:space="preserve">free </w:t>
      </w:r>
      <w:r w:rsidR="00543EEB">
        <w:t xml:space="preserve">public </w:t>
      </w:r>
      <w:r w:rsidR="00802CF7">
        <w:t>hospital treatment for all Australian citizens</w:t>
      </w:r>
      <w:r w:rsidR="00053737">
        <w:t>,</w:t>
      </w:r>
      <w:r>
        <w:t xml:space="preserve"> </w:t>
      </w:r>
      <w:r w:rsidR="004C3964">
        <w:t xml:space="preserve">was a decision </w:t>
      </w:r>
      <w:r w:rsidR="00196CA0">
        <w:t xml:space="preserve">in 1973, by the Whitlam Government, </w:t>
      </w:r>
      <w:r w:rsidR="004C3964">
        <w:t>to provide</w:t>
      </w:r>
      <w:r>
        <w:t xml:space="preserve"> Boer War and World War </w:t>
      </w:r>
      <w:r w:rsidR="00543EEB">
        <w:t>One</w:t>
      </w:r>
      <w:r>
        <w:t xml:space="preserve"> veterans free treatment </w:t>
      </w:r>
      <w:r w:rsidR="00246EF3">
        <w:t xml:space="preserve">for all conditions, but only </w:t>
      </w:r>
      <w:r>
        <w:t>at</w:t>
      </w:r>
      <w:r w:rsidR="00246EF3">
        <w:t xml:space="preserve"> </w:t>
      </w:r>
      <w:r>
        <w:t>Repatriation Hospitals.  Previously f</w:t>
      </w:r>
      <w:r w:rsidR="004C3964">
        <w:t>r</w:t>
      </w:r>
      <w:r>
        <w:t xml:space="preserve">ee </w:t>
      </w:r>
      <w:r w:rsidR="00802CF7">
        <w:t>Repatriation H</w:t>
      </w:r>
      <w:r>
        <w:t>ospital treatment was only pr</w:t>
      </w:r>
      <w:r w:rsidR="004C3964">
        <w:t xml:space="preserve">ovided </w:t>
      </w:r>
      <w:r w:rsidR="00246EF3">
        <w:t xml:space="preserve">to veterans </w:t>
      </w:r>
      <w:r w:rsidR="004C3964">
        <w:t>for their “entitlements”</w:t>
      </w:r>
      <w:r w:rsidR="00802CF7">
        <w:t>, or accepted disabilities</w:t>
      </w:r>
      <w:r w:rsidR="004C3964">
        <w:t xml:space="preserve">.  The Gold Card was not introduced until 20 years later, and it was only </w:t>
      </w:r>
      <w:r w:rsidR="00802CF7">
        <w:t xml:space="preserve">in 1995 that it was </w:t>
      </w:r>
      <w:r w:rsidR="004C3964">
        <w:t xml:space="preserve">provided to </w:t>
      </w:r>
      <w:r w:rsidR="00954F94">
        <w:t xml:space="preserve">all </w:t>
      </w:r>
      <w:r w:rsidR="004C3964">
        <w:t>veterans (</w:t>
      </w:r>
      <w:r w:rsidR="00104834">
        <w:t xml:space="preserve">operational, qualifying service </w:t>
      </w:r>
      <w:r w:rsidR="004C3964">
        <w:t>or equivalent) o</w:t>
      </w:r>
      <w:r w:rsidR="00802CF7">
        <w:t>n</w:t>
      </w:r>
      <w:r w:rsidR="004C3964">
        <w:t xml:space="preserve"> reaching the age of 70 years.   </w:t>
      </w:r>
    </w:p>
    <w:p w14:paraId="2ED0BCAB" w14:textId="77777777" w:rsidR="00AA4D29" w:rsidRDefault="00AA4D29" w:rsidP="00AA4D29"/>
    <w:p w14:paraId="0325509A" w14:textId="5376AFE9" w:rsidR="002C294E" w:rsidRDefault="00AA4D29" w:rsidP="002C294E">
      <w:pPr>
        <w:pStyle w:val="ListParagraph"/>
        <w:numPr>
          <w:ilvl w:val="0"/>
          <w:numId w:val="3"/>
        </w:numPr>
      </w:pPr>
      <w:r w:rsidRPr="00707ACD">
        <w:rPr>
          <w:u w:val="single"/>
        </w:rPr>
        <w:t xml:space="preserve">The </w:t>
      </w:r>
      <w:r w:rsidR="009822A4" w:rsidRPr="00707ACD">
        <w:rPr>
          <w:u w:val="single"/>
        </w:rPr>
        <w:t>“</w:t>
      </w:r>
      <w:r w:rsidRPr="00707ACD">
        <w:rPr>
          <w:u w:val="single"/>
        </w:rPr>
        <w:t>Gold</w:t>
      </w:r>
      <w:r w:rsidR="009822A4" w:rsidRPr="00707ACD">
        <w:rPr>
          <w:u w:val="single"/>
        </w:rPr>
        <w:t>”</w:t>
      </w:r>
      <w:r w:rsidRPr="00707ACD">
        <w:rPr>
          <w:u w:val="single"/>
        </w:rPr>
        <w:t xml:space="preserve"> in that card</w:t>
      </w:r>
      <w:r>
        <w:t xml:space="preserve"> is entirely dependent upon Doctors (and Hospitals) acceptin</w:t>
      </w:r>
      <w:r w:rsidR="00D26777">
        <w:t xml:space="preserve">g it </w:t>
      </w:r>
      <w:r>
        <w:t xml:space="preserve">as payment in full.  It thus </w:t>
      </w:r>
      <w:r w:rsidR="009822A4">
        <w:t xml:space="preserve">may </w:t>
      </w:r>
      <w:r>
        <w:t>behove the DVA to consider incremental (</w:t>
      </w:r>
      <w:proofErr w:type="spellStart"/>
      <w:r w:rsidR="009822A4">
        <w:t>eg</w:t>
      </w:r>
      <w:proofErr w:type="spellEnd"/>
      <w:r w:rsidR="009822A4">
        <w:t xml:space="preserve"> </w:t>
      </w:r>
      <w:r>
        <w:t xml:space="preserve">“CPI”) indexation that is unrelated to Medicare Rebate indexation.  This </w:t>
      </w:r>
      <w:r w:rsidR="009822A4">
        <w:t>l</w:t>
      </w:r>
      <w:r>
        <w:t xml:space="preserve">atter has been frozen </w:t>
      </w:r>
      <w:r w:rsidR="009822A4">
        <w:t>recently,</w:t>
      </w:r>
      <w:r>
        <w:t xml:space="preserve"> a great risk to the Gold </w:t>
      </w:r>
      <w:r w:rsidR="009822A4">
        <w:t>C</w:t>
      </w:r>
      <w:r>
        <w:t xml:space="preserve">ard’s </w:t>
      </w:r>
      <w:r w:rsidR="009822A4">
        <w:t xml:space="preserve">universal </w:t>
      </w:r>
      <w:r>
        <w:t xml:space="preserve">acceptability. </w:t>
      </w:r>
    </w:p>
    <w:p w14:paraId="0B4755FD" w14:textId="77777777" w:rsidR="002C294E" w:rsidRDefault="002C294E" w:rsidP="002C294E"/>
    <w:p w14:paraId="526DB0CA" w14:textId="705B170D" w:rsidR="002C294E" w:rsidRDefault="002C294E" w:rsidP="002C294E">
      <w:pPr>
        <w:pStyle w:val="ListParagraph"/>
        <w:numPr>
          <w:ilvl w:val="0"/>
          <w:numId w:val="3"/>
        </w:numPr>
      </w:pPr>
      <w:r>
        <w:t>“</w:t>
      </w:r>
      <w:r w:rsidRPr="002C294E">
        <w:rPr>
          <w:u w:val="single"/>
        </w:rPr>
        <w:t>Eligible Service”.</w:t>
      </w:r>
      <w:r>
        <w:t xml:space="preserve"> We suspect that the second dot point on p 18 should read “veterans with qualifying service” (operational etc.) rather than “eligible service”.</w:t>
      </w:r>
    </w:p>
    <w:p w14:paraId="6E29BD2A" w14:textId="77777777" w:rsidR="00543EEB" w:rsidRDefault="00543EEB" w:rsidP="00543EEB"/>
    <w:p w14:paraId="37D502DD" w14:textId="40C19914" w:rsidR="00D57F3F" w:rsidRDefault="00543EEB" w:rsidP="00AA4D29">
      <w:pPr>
        <w:pStyle w:val="ListParagraph"/>
        <w:numPr>
          <w:ilvl w:val="0"/>
          <w:numId w:val="3"/>
        </w:numPr>
      </w:pPr>
      <w:r w:rsidRPr="005D018C">
        <w:rPr>
          <w:u w:val="single"/>
        </w:rPr>
        <w:t>The future of Veteran Advocac</w:t>
      </w:r>
      <w:r w:rsidR="005D018C">
        <w:rPr>
          <w:u w:val="single"/>
        </w:rPr>
        <w:t>y:</w:t>
      </w:r>
      <w:r w:rsidRPr="005D018C">
        <w:rPr>
          <w:u w:val="single"/>
        </w:rPr>
        <w:t xml:space="preserve"> the Canadian model</w:t>
      </w:r>
      <w:r>
        <w:t xml:space="preserve">.  Although not </w:t>
      </w:r>
      <w:r w:rsidR="007F7DE3">
        <w:t>stric</w:t>
      </w:r>
      <w:r>
        <w:t>tly within the Terms of Reference for th</w:t>
      </w:r>
      <w:r w:rsidR="00A54281">
        <w:t>is</w:t>
      </w:r>
      <w:r>
        <w:t xml:space="preserve"> PC</w:t>
      </w:r>
      <w:r w:rsidR="00A54281">
        <w:t xml:space="preserve"> Inquiry</w:t>
      </w:r>
      <w:r>
        <w:t xml:space="preserve">, the DVA is currently reviewing the way in which former ADF members will be </w:t>
      </w:r>
      <w:r w:rsidR="005D018C">
        <w:t xml:space="preserve">assisted </w:t>
      </w:r>
      <w:r>
        <w:t>with respect to claims for compensation</w:t>
      </w:r>
      <w:r w:rsidR="005D018C">
        <w:t xml:space="preserve">. It is our view that the complexities of current legislation, involving </w:t>
      </w:r>
      <w:proofErr w:type="spellStart"/>
      <w:r w:rsidR="00954F94">
        <w:t>procrastinatory</w:t>
      </w:r>
      <w:proofErr w:type="spellEnd"/>
      <w:r w:rsidR="00A54281">
        <w:t>,</w:t>
      </w:r>
      <w:r w:rsidR="00954F94">
        <w:t xml:space="preserve"> </w:t>
      </w:r>
      <w:r w:rsidR="005D018C">
        <w:t>step wise</w:t>
      </w:r>
      <w:r w:rsidR="00A54281">
        <w:t>,</w:t>
      </w:r>
      <w:r w:rsidR="005D018C">
        <w:t xml:space="preserve"> decision making and assessments, will encourage contemporary veterans to seek a lawyer’s opinion. We have recommended that the Canadian model, or an Australian version</w:t>
      </w:r>
      <w:r w:rsidR="00A54281">
        <w:t xml:space="preserve"> of it</w:t>
      </w:r>
      <w:r w:rsidR="005D018C">
        <w:t xml:space="preserve">, be considered. In this model career DVA lawyers, trained in Military Compensation law, will advise claimants at every step in the </w:t>
      </w:r>
      <w:r w:rsidR="00954F94">
        <w:t xml:space="preserve">review or appeal </w:t>
      </w:r>
      <w:r w:rsidR="005D018C">
        <w:t>process, apart from the primary claim.</w:t>
      </w:r>
    </w:p>
    <w:p w14:paraId="2E737A86" w14:textId="77777777" w:rsidR="005D018C" w:rsidRDefault="005D018C" w:rsidP="005D018C">
      <w:pPr>
        <w:pStyle w:val="ListParagraph"/>
      </w:pPr>
    </w:p>
    <w:p w14:paraId="0345F924" w14:textId="650252B1" w:rsidR="005D018C" w:rsidRDefault="005D018C" w:rsidP="005D018C">
      <w:pPr>
        <w:pStyle w:val="ListParagraph"/>
      </w:pPr>
      <w:r>
        <w:t>Robert Black AM RFD MD MS FRACS FAMA, Group Captain (ret</w:t>
      </w:r>
      <w:r w:rsidR="00FF23F3">
        <w:t>ire</w:t>
      </w:r>
      <w:r>
        <w:t>d)</w:t>
      </w:r>
    </w:p>
    <w:p w14:paraId="1EB5E0AA" w14:textId="4278A0CA" w:rsidR="00786BC2" w:rsidRDefault="00786BC2" w:rsidP="005D018C">
      <w:pPr>
        <w:pStyle w:val="ListParagraph"/>
      </w:pPr>
    </w:p>
    <w:p w14:paraId="28BD46B7" w14:textId="3D2599F9" w:rsidR="00786BC2" w:rsidRDefault="00786BC2" w:rsidP="007F7DE3"/>
    <w:p w14:paraId="5516BD9D" w14:textId="778C6BC4" w:rsidR="00C02A25" w:rsidRDefault="00C02A25" w:rsidP="003A4A10">
      <w:pPr>
        <w:pStyle w:val="ListParagraph"/>
      </w:pPr>
    </w:p>
    <w:p w14:paraId="64750779" w14:textId="77777777" w:rsidR="00AA4D29" w:rsidRDefault="00AA4D29" w:rsidP="00AA4D29"/>
    <w:p w14:paraId="78ACAC2F" w14:textId="77777777" w:rsidR="00AA4D29" w:rsidRPr="00AA4D29" w:rsidRDefault="00AA4D29" w:rsidP="00AA4D29"/>
    <w:sectPr w:rsidR="00AA4D29" w:rsidRPr="00AA4D29" w:rsidSect="00997C8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2F3470"/>
    <w:multiLevelType w:val="hybridMultilevel"/>
    <w:tmpl w:val="6D84DC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E961891"/>
    <w:multiLevelType w:val="hybridMultilevel"/>
    <w:tmpl w:val="0186CF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67213A32"/>
    <w:multiLevelType w:val="hybridMultilevel"/>
    <w:tmpl w:val="221024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2"/>
  </w:compat>
  <w:rsids>
    <w:rsidRoot w:val="00AA4D29"/>
    <w:rsid w:val="00011BAB"/>
    <w:rsid w:val="00043825"/>
    <w:rsid w:val="00053737"/>
    <w:rsid w:val="000B6CC3"/>
    <w:rsid w:val="001016F2"/>
    <w:rsid w:val="00104834"/>
    <w:rsid w:val="00156903"/>
    <w:rsid w:val="00194B00"/>
    <w:rsid w:val="00196CA0"/>
    <w:rsid w:val="00196D16"/>
    <w:rsid w:val="001C0FD0"/>
    <w:rsid w:val="00246EF3"/>
    <w:rsid w:val="00251813"/>
    <w:rsid w:val="002777F0"/>
    <w:rsid w:val="002A361C"/>
    <w:rsid w:val="002C294E"/>
    <w:rsid w:val="002D57D4"/>
    <w:rsid w:val="003427F4"/>
    <w:rsid w:val="00365518"/>
    <w:rsid w:val="00370CB0"/>
    <w:rsid w:val="00391268"/>
    <w:rsid w:val="003A4A10"/>
    <w:rsid w:val="003D148D"/>
    <w:rsid w:val="003F4D30"/>
    <w:rsid w:val="00421A71"/>
    <w:rsid w:val="004304C9"/>
    <w:rsid w:val="00451655"/>
    <w:rsid w:val="004522A8"/>
    <w:rsid w:val="004B223F"/>
    <w:rsid w:val="004C3964"/>
    <w:rsid w:val="004F136D"/>
    <w:rsid w:val="00515A9F"/>
    <w:rsid w:val="00543EEB"/>
    <w:rsid w:val="005679D9"/>
    <w:rsid w:val="0057080E"/>
    <w:rsid w:val="005D018C"/>
    <w:rsid w:val="00610E70"/>
    <w:rsid w:val="006141ED"/>
    <w:rsid w:val="00690652"/>
    <w:rsid w:val="006D1768"/>
    <w:rsid w:val="006D30F5"/>
    <w:rsid w:val="006F078A"/>
    <w:rsid w:val="00707ACD"/>
    <w:rsid w:val="007530F1"/>
    <w:rsid w:val="00786BC2"/>
    <w:rsid w:val="00790040"/>
    <w:rsid w:val="007B33C9"/>
    <w:rsid w:val="007F7DE3"/>
    <w:rsid w:val="00802CF7"/>
    <w:rsid w:val="00813E95"/>
    <w:rsid w:val="00933B0E"/>
    <w:rsid w:val="00954F94"/>
    <w:rsid w:val="00962896"/>
    <w:rsid w:val="00976CB9"/>
    <w:rsid w:val="009822A4"/>
    <w:rsid w:val="00992E59"/>
    <w:rsid w:val="00997841"/>
    <w:rsid w:val="00997C80"/>
    <w:rsid w:val="009B2087"/>
    <w:rsid w:val="00A11AB1"/>
    <w:rsid w:val="00A20A9E"/>
    <w:rsid w:val="00A54281"/>
    <w:rsid w:val="00A81E01"/>
    <w:rsid w:val="00AA4D29"/>
    <w:rsid w:val="00B02771"/>
    <w:rsid w:val="00B24DC0"/>
    <w:rsid w:val="00B877C5"/>
    <w:rsid w:val="00C02A25"/>
    <w:rsid w:val="00D252CD"/>
    <w:rsid w:val="00D26777"/>
    <w:rsid w:val="00D57F3F"/>
    <w:rsid w:val="00DA035B"/>
    <w:rsid w:val="00DD3B60"/>
    <w:rsid w:val="00E0532D"/>
    <w:rsid w:val="00E12AB5"/>
    <w:rsid w:val="00E33F17"/>
    <w:rsid w:val="00EB1B48"/>
    <w:rsid w:val="00EC5632"/>
    <w:rsid w:val="00F34CEF"/>
    <w:rsid w:val="00FF23F3"/>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B4A644"/>
  <w15:docId w15:val="{173E4BB2-C854-404D-91A5-F845A6167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7C80"/>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02A2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577</TotalTime>
  <Pages>4</Pages>
  <Words>1865</Words>
  <Characters>10632</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Submission 45 - Robert Black - Compensation and Rehabilitation for Veterans - Public inquiry</vt:lpstr>
    </vt:vector>
  </TitlesOfParts>
  <Company>Robert Black</Company>
  <LinksUpToDate>false</LinksUpToDate>
  <CharactersWithSpaces>12473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45 - Robert Black - Compensation and Rehabilitation for Veterans - Public inquiry</dc:title>
  <dc:creator>Robert Black</dc:creator>
  <cp:lastModifiedBy>Productivity Commission</cp:lastModifiedBy>
  <cp:revision>32</cp:revision>
  <cp:lastPrinted>2018-05-14T22:56:00Z</cp:lastPrinted>
  <dcterms:created xsi:type="dcterms:W3CDTF">2018-05-14T05:57:00Z</dcterms:created>
  <dcterms:modified xsi:type="dcterms:W3CDTF">2018-06-26T00:53:00Z</dcterms:modified>
</cp:coreProperties>
</file>