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D36" w:rsidRDefault="00646D36" w:rsidP="00646D36"/>
    <w:p w:rsidR="00646D36" w:rsidRDefault="00646D36" w:rsidP="00646D36"/>
    <w:p w:rsidR="00646D36" w:rsidRDefault="00646D36" w:rsidP="00646D36">
      <w:pPr>
        <w:pStyle w:val="Heading1"/>
      </w:pPr>
    </w:p>
    <w:p w:rsidR="00646D36" w:rsidRDefault="00646D36" w:rsidP="00646D36">
      <w:pPr>
        <w:pStyle w:val="Heading3"/>
      </w:pPr>
      <w:r>
        <w:t>__________________________________________________</w:t>
      </w:r>
    </w:p>
    <w:p w:rsidR="00646D36" w:rsidRPr="00646D36" w:rsidRDefault="00646D36" w:rsidP="00646D36">
      <w:pPr>
        <w:pStyle w:val="Heading2"/>
        <w:rPr>
          <w:rFonts w:asciiTheme="minorHAnsi" w:eastAsiaTheme="minorHAnsi" w:hAnsiTheme="minorHAnsi" w:cstheme="minorBidi"/>
          <w:b/>
          <w:color w:val="081594"/>
          <w:sz w:val="36"/>
          <w:szCs w:val="28"/>
        </w:rPr>
      </w:pPr>
      <w:bookmarkStart w:id="0" w:name="_Toc420566282"/>
      <w:bookmarkStart w:id="1" w:name="_Toc423615161"/>
      <w:r w:rsidRPr="00646D36">
        <w:rPr>
          <w:rFonts w:asciiTheme="minorHAnsi" w:eastAsiaTheme="minorHAnsi" w:hAnsiTheme="minorHAnsi" w:cstheme="minorBidi"/>
          <w:b/>
          <w:color w:val="081594"/>
          <w:sz w:val="36"/>
          <w:szCs w:val="28"/>
        </w:rPr>
        <w:t xml:space="preserve">Response to the </w:t>
      </w:r>
      <w:bookmarkEnd w:id="0"/>
      <w:bookmarkEnd w:id="1"/>
      <w:r w:rsidR="001067F4">
        <w:rPr>
          <w:rFonts w:asciiTheme="minorHAnsi" w:eastAsiaTheme="minorHAnsi" w:hAnsiTheme="minorHAnsi" w:cstheme="minorBidi"/>
          <w:b/>
          <w:color w:val="081594"/>
          <w:sz w:val="36"/>
          <w:szCs w:val="28"/>
        </w:rPr>
        <w:t xml:space="preserve">Productivity Commission </w:t>
      </w:r>
      <w:r w:rsidR="003E3713">
        <w:rPr>
          <w:rFonts w:asciiTheme="minorHAnsi" w:eastAsiaTheme="minorHAnsi" w:hAnsiTheme="minorHAnsi" w:cstheme="minorBidi"/>
          <w:b/>
          <w:color w:val="081594"/>
          <w:sz w:val="36"/>
          <w:szCs w:val="28"/>
        </w:rPr>
        <w:t>Issues P</w:t>
      </w:r>
      <w:r w:rsidR="001067F4">
        <w:rPr>
          <w:rFonts w:asciiTheme="minorHAnsi" w:eastAsiaTheme="minorHAnsi" w:hAnsiTheme="minorHAnsi" w:cstheme="minorBidi"/>
          <w:b/>
          <w:color w:val="081594"/>
          <w:sz w:val="36"/>
          <w:szCs w:val="28"/>
        </w:rPr>
        <w:t xml:space="preserve">aper on </w:t>
      </w:r>
      <w:r w:rsidR="003E3713">
        <w:rPr>
          <w:rFonts w:asciiTheme="minorHAnsi" w:eastAsiaTheme="minorHAnsi" w:hAnsiTheme="minorHAnsi" w:cstheme="minorBidi"/>
          <w:b/>
          <w:color w:val="081594"/>
          <w:sz w:val="36"/>
          <w:szCs w:val="28"/>
        </w:rPr>
        <w:t xml:space="preserve">the Review of the </w:t>
      </w:r>
      <w:r w:rsidR="00E52D79">
        <w:rPr>
          <w:rFonts w:asciiTheme="minorHAnsi" w:eastAsiaTheme="minorHAnsi" w:hAnsiTheme="minorHAnsi" w:cstheme="minorBidi"/>
          <w:b/>
          <w:color w:val="081594"/>
          <w:sz w:val="36"/>
          <w:szCs w:val="28"/>
        </w:rPr>
        <w:t xml:space="preserve">National Disability </w:t>
      </w:r>
      <w:r w:rsidR="003E3713">
        <w:rPr>
          <w:rFonts w:asciiTheme="minorHAnsi" w:eastAsiaTheme="minorHAnsi" w:hAnsiTheme="minorHAnsi" w:cstheme="minorBidi"/>
          <w:b/>
          <w:color w:val="081594"/>
          <w:sz w:val="36"/>
          <w:szCs w:val="28"/>
        </w:rPr>
        <w:t xml:space="preserve">Agreement </w:t>
      </w:r>
    </w:p>
    <w:p w:rsidR="00646D36" w:rsidRDefault="00646D36" w:rsidP="00646D36"/>
    <w:p w:rsidR="00646D36" w:rsidRDefault="00646D36" w:rsidP="00646D36"/>
    <w:p w:rsidR="00646D36" w:rsidRDefault="00646D36" w:rsidP="00646D36"/>
    <w:p w:rsidR="00646D36" w:rsidRDefault="00646D36" w:rsidP="00646D36"/>
    <w:p w:rsidR="00646D36" w:rsidRDefault="00646D36" w:rsidP="00646D36"/>
    <w:p w:rsidR="00646D36" w:rsidRDefault="00646D36" w:rsidP="00646D36"/>
    <w:p w:rsidR="00646D36" w:rsidRDefault="00646D36" w:rsidP="00646D36"/>
    <w:p w:rsidR="00646D36" w:rsidRDefault="00646D36" w:rsidP="00646D36">
      <w:r>
        <w:rPr>
          <w:noProof/>
          <w:lang w:eastAsia="en-AU"/>
        </w:rPr>
        <w:drawing>
          <wp:inline distT="0" distB="0" distL="0" distR="0" wp14:anchorId="4F2A4E5D" wp14:editId="250D1357">
            <wp:extent cx="5731510" cy="27978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W TAGLINE Logo 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797810"/>
                    </a:xfrm>
                    <a:prstGeom prst="rect">
                      <a:avLst/>
                    </a:prstGeom>
                  </pic:spPr>
                </pic:pic>
              </a:graphicData>
            </a:graphic>
          </wp:inline>
        </w:drawing>
      </w:r>
    </w:p>
    <w:p w:rsidR="00646D36" w:rsidRDefault="00646D36" w:rsidP="00646D36"/>
    <w:p w:rsidR="00646D36" w:rsidRDefault="00646D36" w:rsidP="00646D36"/>
    <w:p w:rsidR="00646D36" w:rsidRDefault="00646D36" w:rsidP="00646D36"/>
    <w:p w:rsidR="00E21073" w:rsidRDefault="00E21073" w:rsidP="0084226C">
      <w:pPr>
        <w:pStyle w:val="Heading3"/>
      </w:pPr>
      <w:bookmarkStart w:id="2" w:name="_Toc418057656"/>
      <w:bookmarkStart w:id="3" w:name="_Toc437265276"/>
      <w:bookmarkStart w:id="4" w:name="_Toc437346352"/>
      <w:bookmarkStart w:id="5" w:name="_Toc437358986"/>
    </w:p>
    <w:p w:rsidR="0084226C" w:rsidRPr="00F9055E" w:rsidRDefault="0084226C" w:rsidP="0084226C">
      <w:pPr>
        <w:pStyle w:val="Heading3"/>
      </w:pPr>
      <w:r w:rsidRPr="00F9055E">
        <w:lastRenderedPageBreak/>
        <w:t>About Queenslanders with Disability Network (QDN)</w:t>
      </w:r>
      <w:bookmarkEnd w:id="2"/>
      <w:bookmarkEnd w:id="3"/>
      <w:bookmarkEnd w:id="4"/>
      <w:bookmarkEnd w:id="5"/>
    </w:p>
    <w:p w:rsidR="0084226C" w:rsidRPr="00F9055E" w:rsidRDefault="0084226C" w:rsidP="00D44B40">
      <w:pPr>
        <w:jc w:val="both"/>
      </w:pPr>
      <w:r w:rsidRPr="00F9055E">
        <w:t>QDN is an organisation of, for, and with people with disability</w:t>
      </w:r>
      <w:r>
        <w:t>. T</w:t>
      </w:r>
      <w:r w:rsidRPr="00F9055E">
        <w:t xml:space="preserve">he organisation’s motto is </w:t>
      </w:r>
      <w:bookmarkStart w:id="6" w:name="_GoBack"/>
      <w:bookmarkEnd w:id="6"/>
      <w:r w:rsidRPr="00F9055E">
        <w:t xml:space="preserve">“nothing about us without us.” </w:t>
      </w:r>
      <w:r w:rsidRPr="00C87B3B">
        <w:t xml:space="preserve">QDN operates a </w:t>
      </w:r>
      <w:proofErr w:type="spellStart"/>
      <w:r w:rsidRPr="00C87B3B">
        <w:t>state-wide</w:t>
      </w:r>
      <w:proofErr w:type="spellEnd"/>
      <w:r w:rsidRPr="00C87B3B">
        <w:t xml:space="preserve"> network of </w:t>
      </w:r>
      <w:r w:rsidR="0015760E" w:rsidRPr="00C87B3B">
        <w:t xml:space="preserve">over </w:t>
      </w:r>
      <w:r w:rsidR="00C87B3B" w:rsidRPr="00C87B3B">
        <w:t xml:space="preserve">1400 </w:t>
      </w:r>
      <w:r w:rsidRPr="00C87B3B">
        <w:t xml:space="preserve">members </w:t>
      </w:r>
      <w:r w:rsidR="0015760E" w:rsidRPr="00C87B3B">
        <w:t xml:space="preserve">and supporters </w:t>
      </w:r>
      <w:r w:rsidRPr="00C87B3B">
        <w:t xml:space="preserve">who provide information, feedback and views from a consumer perspective to inform systemic policy to Government and peak bodies. </w:t>
      </w:r>
      <w:r w:rsidR="00C87B3B" w:rsidRPr="00C87B3B">
        <w:t>All</w:t>
      </w:r>
      <w:r w:rsidR="00D44B40">
        <w:t xml:space="preserve"> </w:t>
      </w:r>
      <w:r w:rsidR="00C87B3B" w:rsidRPr="00C87B3B">
        <w:t xml:space="preserve">QDN’s voting members are people with disability.  </w:t>
      </w:r>
      <w:r w:rsidRPr="00C87B3B">
        <w:t>QDN also provides information and referral support to people with disability.</w:t>
      </w:r>
      <w:r w:rsidRPr="00F9055E">
        <w:t xml:space="preserve"> </w:t>
      </w:r>
    </w:p>
    <w:p w:rsidR="0084226C" w:rsidRPr="00201AF4" w:rsidRDefault="0084226C" w:rsidP="0084226C">
      <w:pPr>
        <w:pStyle w:val="Heading3"/>
      </w:pPr>
      <w:bookmarkStart w:id="7" w:name="_Toc418057658"/>
      <w:bookmarkStart w:id="8" w:name="_Toc437265278"/>
      <w:bookmarkStart w:id="9" w:name="_Toc437346354"/>
      <w:bookmarkStart w:id="10" w:name="_Toc437358988"/>
      <w:r>
        <w:t>QDN Consultation</w:t>
      </w:r>
      <w:bookmarkEnd w:id="7"/>
      <w:bookmarkEnd w:id="8"/>
      <w:bookmarkEnd w:id="9"/>
      <w:bookmarkEnd w:id="10"/>
    </w:p>
    <w:p w:rsidR="00D93DC7" w:rsidRDefault="003C4E94" w:rsidP="00D44B40">
      <w:pPr>
        <w:jc w:val="both"/>
      </w:pPr>
      <w:r>
        <w:t>QDN’s</w:t>
      </w:r>
      <w:r w:rsidR="0084226C">
        <w:t xml:space="preserve"> submission is</w:t>
      </w:r>
      <w:r w:rsidR="00083115">
        <w:t xml:space="preserve"> </w:t>
      </w:r>
      <w:r w:rsidR="0084226C">
        <w:t>i</w:t>
      </w:r>
      <w:r w:rsidR="00962ABF">
        <w:t>n</w:t>
      </w:r>
      <w:r w:rsidR="0084226C">
        <w:t xml:space="preserve">formed by the lived experience of </w:t>
      </w:r>
      <w:r w:rsidR="00FB3CCB">
        <w:t xml:space="preserve">QDN </w:t>
      </w:r>
      <w:r w:rsidR="0084226C">
        <w:t xml:space="preserve">members with disability and </w:t>
      </w:r>
      <w:r w:rsidR="00FB3CCB">
        <w:t xml:space="preserve">key allies.  </w:t>
      </w:r>
      <w:r w:rsidR="0015760E" w:rsidRPr="00F9055E">
        <w:t xml:space="preserve">QDN’s work in providing feedback and input into </w:t>
      </w:r>
      <w:r w:rsidR="00D4381E">
        <w:t xml:space="preserve">Productivity Commission’s Issues paper on the Review of the National Disability Agreement </w:t>
      </w:r>
      <w:r w:rsidR="00A80B27">
        <w:t xml:space="preserve">(NDA) </w:t>
      </w:r>
      <w:r w:rsidR="0015760E" w:rsidRPr="00F9055E">
        <w:t>is based upon the organisation’s core values</w:t>
      </w:r>
      <w:r w:rsidR="00631206">
        <w:t xml:space="preserve"> (Appendix A)</w:t>
      </w:r>
      <w:r w:rsidR="0015760E" w:rsidRPr="00F9055E">
        <w:t xml:space="preserve"> and the place of people </w:t>
      </w:r>
      <w:r w:rsidR="0015760E">
        <w:t>with disability in an inclusive</w:t>
      </w:r>
      <w:r w:rsidR="0015760E" w:rsidRPr="00F9055E">
        <w:t xml:space="preserve"> Australian society.</w:t>
      </w:r>
      <w:r w:rsidR="0015760E">
        <w:t xml:space="preserve"> </w:t>
      </w:r>
      <w:r w:rsidR="00D30BAE">
        <w:t xml:space="preserve"> </w:t>
      </w:r>
      <w:r w:rsidR="005E25A9">
        <w:t>This</w:t>
      </w:r>
      <w:r w:rsidR="00962ABF">
        <w:t xml:space="preserve"> submission has been informed by the experiences of QDN’s Group Convenors</w:t>
      </w:r>
      <w:r w:rsidR="00A80B27">
        <w:t>,</w:t>
      </w:r>
      <w:r w:rsidR="00EF7AF0">
        <w:t xml:space="preserve"> members of </w:t>
      </w:r>
      <w:r w:rsidR="00962ABF">
        <w:t xml:space="preserve">24 Local Support Groups </w:t>
      </w:r>
      <w:r w:rsidR="00EF7AF0">
        <w:t xml:space="preserve">(LSGs) </w:t>
      </w:r>
      <w:r w:rsidR="00962ABF">
        <w:t xml:space="preserve">around </w:t>
      </w:r>
      <w:r w:rsidR="009A708D">
        <w:t xml:space="preserve">Queensland </w:t>
      </w:r>
      <w:r w:rsidR="00EF7AF0">
        <w:t>who meet regularly</w:t>
      </w:r>
      <w:r w:rsidR="00962ABF">
        <w:t xml:space="preserve"> as part of QDN’s work as a Disability Support Organisation (DSO)</w:t>
      </w:r>
      <w:r w:rsidR="009A53AF">
        <w:t>.</w:t>
      </w:r>
      <w:r w:rsidR="003E3713">
        <w:t xml:space="preserve"> </w:t>
      </w:r>
    </w:p>
    <w:p w:rsidR="0084226C" w:rsidRDefault="00950D1E" w:rsidP="0084226C">
      <w:pPr>
        <w:pStyle w:val="Heading3"/>
      </w:pPr>
      <w:bookmarkStart w:id="11" w:name="_Toc437265279"/>
      <w:bookmarkStart w:id="12" w:name="_Toc437346355"/>
      <w:bookmarkStart w:id="13" w:name="_Toc437358989"/>
      <w:r>
        <w:t xml:space="preserve">Issues Paper - </w:t>
      </w:r>
      <w:r w:rsidR="00921FA6">
        <w:t xml:space="preserve">Overview </w:t>
      </w:r>
      <w:bookmarkEnd w:id="11"/>
      <w:bookmarkEnd w:id="12"/>
      <w:bookmarkEnd w:id="13"/>
    </w:p>
    <w:p w:rsidR="00C4474C" w:rsidRDefault="00F46238" w:rsidP="00D44B40">
      <w:pPr>
        <w:jc w:val="both"/>
      </w:pPr>
      <w:r w:rsidRPr="00921FA6">
        <w:t xml:space="preserve">QDN </w:t>
      </w:r>
      <w:r w:rsidR="003E3713" w:rsidRPr="00921FA6">
        <w:t xml:space="preserve">welcomes the opportunity </w:t>
      </w:r>
      <w:r w:rsidRPr="00921FA6">
        <w:t xml:space="preserve">to provide feedback on the </w:t>
      </w:r>
      <w:r w:rsidR="00402F05" w:rsidRPr="00921FA6">
        <w:t xml:space="preserve">Productivity Commission </w:t>
      </w:r>
      <w:r w:rsidR="003E3713" w:rsidRPr="00921FA6">
        <w:t xml:space="preserve">Issues </w:t>
      </w:r>
      <w:r w:rsidR="00402F05" w:rsidRPr="00921FA6">
        <w:t xml:space="preserve">Paper on </w:t>
      </w:r>
      <w:r w:rsidR="003E3713" w:rsidRPr="00921FA6">
        <w:t>the Review of the N</w:t>
      </w:r>
      <w:r w:rsidR="00670C85">
        <w:t xml:space="preserve">DA. </w:t>
      </w:r>
      <w:r w:rsidR="00D471B3" w:rsidRPr="00921FA6">
        <w:t xml:space="preserve">QDN acknowledges that the NDA is part of </w:t>
      </w:r>
      <w:r w:rsidR="00835090">
        <w:t xml:space="preserve">a </w:t>
      </w:r>
      <w:r w:rsidR="00D471B3" w:rsidRPr="00921FA6">
        <w:t xml:space="preserve">broader </w:t>
      </w:r>
      <w:r w:rsidR="008D6FB2" w:rsidRPr="00921FA6">
        <w:t xml:space="preserve">and changing </w:t>
      </w:r>
      <w:r w:rsidR="00D471B3" w:rsidRPr="00921FA6">
        <w:t>policy landscape that includ</w:t>
      </w:r>
      <w:r w:rsidR="008D6FB2" w:rsidRPr="00921FA6">
        <w:t>es</w:t>
      </w:r>
      <w:r w:rsidR="00D471B3" w:rsidRPr="00921FA6">
        <w:t xml:space="preserve"> the introduction and implementation of the National D</w:t>
      </w:r>
      <w:r w:rsidR="007200D1" w:rsidRPr="00921FA6">
        <w:t>isability Insurance Scheme</w:t>
      </w:r>
      <w:r w:rsidR="008D6FB2" w:rsidRPr="00921FA6">
        <w:t xml:space="preserve"> (NDIS)</w:t>
      </w:r>
      <w:r w:rsidR="007200D1" w:rsidRPr="00921FA6">
        <w:t xml:space="preserve"> from 1 July 2013</w:t>
      </w:r>
      <w:r w:rsidR="00917EC2" w:rsidRPr="00921FA6">
        <w:t xml:space="preserve"> and </w:t>
      </w:r>
      <w:r w:rsidR="005E25A9" w:rsidRPr="00921FA6">
        <w:t>the endorsement</w:t>
      </w:r>
      <w:r w:rsidR="007200D1" w:rsidRPr="00921FA6">
        <w:t xml:space="preserve"> of the National Disability Strategy 2010-2020 (NDS) in February 2011</w:t>
      </w:r>
      <w:r w:rsidR="006A6F5F" w:rsidRPr="00921FA6">
        <w:t xml:space="preserve">. </w:t>
      </w:r>
      <w:r w:rsidR="008D6FB2" w:rsidRPr="00921FA6">
        <w:t xml:space="preserve"> </w:t>
      </w:r>
      <w:r w:rsidR="005E25A9" w:rsidRPr="00921FA6">
        <w:t>Queensland</w:t>
      </w:r>
      <w:r w:rsidR="008D6FB2" w:rsidRPr="00921FA6">
        <w:t xml:space="preserve"> </w:t>
      </w:r>
      <w:r w:rsidR="006A6F5F" w:rsidRPr="00921FA6">
        <w:t xml:space="preserve">has also </w:t>
      </w:r>
      <w:r w:rsidR="008D6FB2" w:rsidRPr="00921FA6">
        <w:t>endorsed the All Abilities Queensland</w:t>
      </w:r>
      <w:r w:rsidR="00304010">
        <w:t>: Opportunities for All: State Disability P</w:t>
      </w:r>
      <w:r w:rsidR="008D6FB2" w:rsidRPr="00921FA6">
        <w:t>lan 2017-2020</w:t>
      </w:r>
      <w:r w:rsidR="006A6F5F" w:rsidRPr="00921FA6">
        <w:t xml:space="preserve"> </w:t>
      </w:r>
      <w:r w:rsidR="00950D1E">
        <w:t>with l</w:t>
      </w:r>
      <w:r w:rsidR="00917EC2" w:rsidRPr="00921FA6">
        <w:t xml:space="preserve">inked individual </w:t>
      </w:r>
      <w:r w:rsidR="006A6F5F" w:rsidRPr="00921FA6">
        <w:t xml:space="preserve">departmental disability service plans that aim to deliver </w:t>
      </w:r>
      <w:r w:rsidR="00EB6AA2">
        <w:t>on</w:t>
      </w:r>
      <w:r w:rsidR="006A6F5F" w:rsidRPr="00921FA6">
        <w:t xml:space="preserve"> the Queensland Government’s vision to help build an inclusive Queensland for all </w:t>
      </w:r>
      <w:r w:rsidR="00917EC2" w:rsidRPr="00921FA6">
        <w:t>Q</w:t>
      </w:r>
      <w:r w:rsidR="006A6F5F" w:rsidRPr="00921FA6">
        <w:t xml:space="preserve">ueenslanders, </w:t>
      </w:r>
      <w:r w:rsidR="00EB6AA2">
        <w:t xml:space="preserve">so the </w:t>
      </w:r>
      <w:r w:rsidR="006A6F5F" w:rsidRPr="00921FA6">
        <w:t>one in five Que</w:t>
      </w:r>
      <w:r w:rsidR="00917EC2" w:rsidRPr="00921FA6">
        <w:t>enslanders with disability can reach their full potential as equal citizens.</w:t>
      </w:r>
      <w:r w:rsidR="008D6FB2" w:rsidRPr="00921FA6">
        <w:t xml:space="preserve"> </w:t>
      </w:r>
    </w:p>
    <w:p w:rsidR="008705FD" w:rsidRDefault="008705FD" w:rsidP="008705FD">
      <w:pPr>
        <w:jc w:val="both"/>
      </w:pPr>
      <w:r>
        <w:t>The cross-jurisdictional and cross</w:t>
      </w:r>
      <w:r w:rsidR="00656558">
        <w:t>-</w:t>
      </w:r>
      <w:r>
        <w:t xml:space="preserve">portfolio </w:t>
      </w:r>
      <w:r w:rsidRPr="00CD4926">
        <w:t>responsibilit</w:t>
      </w:r>
      <w:r>
        <w:t xml:space="preserve">ies of governments for ensuring good outcomes for people with disability are </w:t>
      </w:r>
      <w:r w:rsidRPr="00CD4926">
        <w:t xml:space="preserve">clearly expressed </w:t>
      </w:r>
      <w:r>
        <w:t>in the 2008 United Nations Convention on the Rights of Persons with Disabilities (C</w:t>
      </w:r>
      <w:r w:rsidRPr="00CD4926">
        <w:t>RPD</w:t>
      </w:r>
      <w:r>
        <w:t>)</w:t>
      </w:r>
      <w:r w:rsidR="00867D07">
        <w:t>.</w:t>
      </w:r>
      <w:r>
        <w:t xml:space="preserve"> </w:t>
      </w:r>
      <w:r w:rsidR="002E4EEF">
        <w:t xml:space="preserve">The </w:t>
      </w:r>
      <w:r w:rsidR="00C53460">
        <w:t xml:space="preserve">CRPD </w:t>
      </w:r>
      <w:r w:rsidR="005764E4">
        <w:t xml:space="preserve">provides the framework for </w:t>
      </w:r>
      <w:proofErr w:type="gramStart"/>
      <w:r w:rsidR="005764E4">
        <w:t xml:space="preserve">Australia’s </w:t>
      </w:r>
      <w:r w:rsidR="00C53460">
        <w:t xml:space="preserve"> </w:t>
      </w:r>
      <w:r>
        <w:t>international</w:t>
      </w:r>
      <w:proofErr w:type="gramEnd"/>
      <w:r>
        <w:t xml:space="preserve"> obligations </w:t>
      </w:r>
      <w:r w:rsidR="005764E4">
        <w:t xml:space="preserve">across </w:t>
      </w:r>
      <w:r w:rsidR="00C53460">
        <w:t xml:space="preserve">all levels of </w:t>
      </w:r>
      <w:r w:rsidR="00656558">
        <w:t>g</w:t>
      </w:r>
      <w:r w:rsidR="00C53460">
        <w:t>overnment</w:t>
      </w:r>
      <w:r w:rsidR="00656558">
        <w:t>.</w:t>
      </w:r>
      <w:r w:rsidR="00C53460">
        <w:t xml:space="preserve"> QDN believes this needs to </w:t>
      </w:r>
      <w:r w:rsidR="005764E4">
        <w:t xml:space="preserve">underpin </w:t>
      </w:r>
      <w:r w:rsidR="00867D07">
        <w:t xml:space="preserve">all agreements, strategies and </w:t>
      </w:r>
      <w:r w:rsidR="002E4EEF">
        <w:t>r</w:t>
      </w:r>
      <w:r w:rsidR="005764E4">
        <w:t>eporting frameworks</w:t>
      </w:r>
      <w:r w:rsidR="001F35E0">
        <w:t xml:space="preserve"> in order</w:t>
      </w:r>
      <w:r w:rsidR="002E4EEF">
        <w:t xml:space="preserve"> to deliver </w:t>
      </w:r>
      <w:r w:rsidR="00C53460">
        <w:t xml:space="preserve">better outcomes for people with disability. </w:t>
      </w:r>
      <w:r>
        <w:t xml:space="preserve"> </w:t>
      </w:r>
    </w:p>
    <w:p w:rsidR="008705FD" w:rsidRDefault="000218E8" w:rsidP="00D44B40">
      <w:pPr>
        <w:jc w:val="both"/>
      </w:pPr>
      <w:r>
        <w:t xml:space="preserve">In line with the NDA’s objective, </w:t>
      </w:r>
      <w:r w:rsidR="006B2DAD">
        <w:t xml:space="preserve">QDN </w:t>
      </w:r>
      <w:r w:rsidR="00CC5D87">
        <w:t xml:space="preserve">and our members </w:t>
      </w:r>
      <w:r w:rsidR="00D471B3">
        <w:t xml:space="preserve">are committed to </w:t>
      </w:r>
      <w:r w:rsidR="00C53460">
        <w:t xml:space="preserve">ensuring </w:t>
      </w:r>
      <w:r w:rsidR="007F0E0F">
        <w:t xml:space="preserve">people with disability and their </w:t>
      </w:r>
      <w:r w:rsidR="002E4EEF">
        <w:t>families/</w:t>
      </w:r>
      <w:r w:rsidR="007F0E0F">
        <w:t xml:space="preserve">carers have an enhanced quality of life and </w:t>
      </w:r>
      <w:r w:rsidR="005E25A9">
        <w:t>can</w:t>
      </w:r>
      <w:r w:rsidR="00D471B3">
        <w:t xml:space="preserve"> </w:t>
      </w:r>
      <w:r w:rsidR="007F0E0F">
        <w:t>participate as valued members of the community</w:t>
      </w:r>
      <w:r w:rsidR="00D471B3">
        <w:t xml:space="preserve">. </w:t>
      </w:r>
      <w:r w:rsidR="00C53460">
        <w:t xml:space="preserve">Within this changing legislative and policy landscape, it is critical that regulatory </w:t>
      </w:r>
      <w:proofErr w:type="gramStart"/>
      <w:r w:rsidR="00C53460">
        <w:t>frameworks  deliver</w:t>
      </w:r>
      <w:proofErr w:type="gramEnd"/>
      <w:r w:rsidR="00C53460">
        <w:t xml:space="preserve"> governance, accountability </w:t>
      </w:r>
      <w:r w:rsidR="00656558">
        <w:t xml:space="preserve">mechanisms </w:t>
      </w:r>
      <w:r w:rsidR="00C53460">
        <w:t xml:space="preserve">and </w:t>
      </w:r>
      <w:r w:rsidR="00C53460">
        <w:lastRenderedPageBreak/>
        <w:t>ways of measuring outputs and outcomes</w:t>
      </w:r>
      <w:r w:rsidR="005764E4">
        <w:t xml:space="preserve"> </w:t>
      </w:r>
      <w:r w:rsidR="00835090">
        <w:t xml:space="preserve">that are </w:t>
      </w:r>
      <w:r w:rsidR="005764E4">
        <w:t>informed by people with disability</w:t>
      </w:r>
      <w:r w:rsidR="00C53460">
        <w:t xml:space="preserve">. </w:t>
      </w:r>
      <w:r w:rsidR="00532CD2">
        <w:t xml:space="preserve">The NDIS </w:t>
      </w:r>
      <w:r w:rsidR="00EF6CA8">
        <w:t xml:space="preserve">is </w:t>
      </w:r>
      <w:r w:rsidR="00867D07">
        <w:t xml:space="preserve">part </w:t>
      </w:r>
      <w:proofErr w:type="gramStart"/>
      <w:r w:rsidR="00867D07">
        <w:t xml:space="preserve">of </w:t>
      </w:r>
      <w:r w:rsidR="005764E4">
        <w:t xml:space="preserve"> large</w:t>
      </w:r>
      <w:proofErr w:type="gramEnd"/>
      <w:r w:rsidR="00370DD7">
        <w:t>-</w:t>
      </w:r>
      <w:r w:rsidR="005764E4">
        <w:t xml:space="preserve">scale transformational change </w:t>
      </w:r>
      <w:r w:rsidR="00532CD2">
        <w:t>delivering much needed supports for</w:t>
      </w:r>
      <w:r w:rsidR="005764E4">
        <w:t xml:space="preserve"> 10</w:t>
      </w:r>
      <w:r w:rsidR="00835090">
        <w:t xml:space="preserve"> precent </w:t>
      </w:r>
      <w:r w:rsidR="005764E4">
        <w:t xml:space="preserve">of </w:t>
      </w:r>
      <w:r w:rsidR="002E4EEF">
        <w:t>Australians with disability</w:t>
      </w:r>
      <w:r w:rsidR="00370DD7">
        <w:t xml:space="preserve">. However, </w:t>
      </w:r>
      <w:r w:rsidR="00532CD2">
        <w:t>it is important that th</w:t>
      </w:r>
      <w:r w:rsidR="00370DD7">
        <w:t xml:space="preserve">e implementation of the NDIS </w:t>
      </w:r>
      <w:r w:rsidR="00532CD2">
        <w:t>does not ove</w:t>
      </w:r>
      <w:r w:rsidR="005764E4">
        <w:t xml:space="preserve">rshadow the </w:t>
      </w:r>
      <w:r w:rsidR="00656558">
        <w:t xml:space="preserve">need for </w:t>
      </w:r>
      <w:r w:rsidR="005764E4">
        <w:t>big picture response</w:t>
      </w:r>
      <w:r w:rsidR="00656558">
        <w:t>s</w:t>
      </w:r>
      <w:r w:rsidR="005764E4">
        <w:t xml:space="preserve"> and outcomes needed for all</w:t>
      </w:r>
      <w:r w:rsidR="00532CD2">
        <w:t xml:space="preserve"> Australian</w:t>
      </w:r>
      <w:r w:rsidR="00370DD7">
        <w:t>s</w:t>
      </w:r>
      <w:r w:rsidR="00532CD2">
        <w:t xml:space="preserve"> with disability, and that a</w:t>
      </w:r>
      <w:r w:rsidR="00370DD7">
        <w:t xml:space="preserve">n accountability governance </w:t>
      </w:r>
      <w:r w:rsidR="00532CD2">
        <w:t xml:space="preserve">mechanism exists to deliver </w:t>
      </w:r>
      <w:r w:rsidR="002E4EEF">
        <w:t xml:space="preserve">coherent outcomes </w:t>
      </w:r>
      <w:r w:rsidR="00370DD7">
        <w:t xml:space="preserve">for people with disability </w:t>
      </w:r>
      <w:r w:rsidR="002E4EEF">
        <w:t xml:space="preserve">who access </w:t>
      </w:r>
      <w:r w:rsidR="00656558">
        <w:t xml:space="preserve">services provided by </w:t>
      </w:r>
      <w:r w:rsidR="00532CD2">
        <w:t xml:space="preserve"> Commonwealth, State</w:t>
      </w:r>
      <w:r w:rsidR="002E4EEF">
        <w:t>,</w:t>
      </w:r>
      <w:r w:rsidR="00532CD2">
        <w:t xml:space="preserve"> </w:t>
      </w:r>
      <w:r w:rsidR="00656558">
        <w:t>Territory and Local G</w:t>
      </w:r>
      <w:r w:rsidR="00532CD2">
        <w:t>overnments</w:t>
      </w:r>
      <w:r w:rsidR="009314BF">
        <w:t xml:space="preserve">. QDN believes </w:t>
      </w:r>
      <w:r w:rsidR="00EF6CA8">
        <w:t xml:space="preserve">the National Disability Strategy provides the architecture for this. </w:t>
      </w:r>
    </w:p>
    <w:p w:rsidR="0065736C" w:rsidRDefault="00821497" w:rsidP="005764E4">
      <w:pPr>
        <w:jc w:val="both"/>
      </w:pPr>
      <w:r>
        <w:t xml:space="preserve">QDN </w:t>
      </w:r>
      <w:r w:rsidR="008705FD">
        <w:t xml:space="preserve">also </w:t>
      </w:r>
      <w:r>
        <w:t>notes that</w:t>
      </w:r>
      <w:r w:rsidR="00370DD7">
        <w:t>,</w:t>
      </w:r>
      <w:r>
        <w:t xml:space="preserve"> </w:t>
      </w:r>
      <w:r w:rsidR="00C53460">
        <w:t>going forward</w:t>
      </w:r>
      <w:r w:rsidR="00370DD7">
        <w:t>,</w:t>
      </w:r>
      <w:r w:rsidR="00C53460">
        <w:t xml:space="preserve"> it will be important that a </w:t>
      </w:r>
      <w:r w:rsidR="00F4141A">
        <w:t>NDA policy</w:t>
      </w:r>
      <w:r w:rsidR="00C53460">
        <w:t xml:space="preserve"> framework contains goals that are linked to specific actions and outcomes that can be measured and reported</w:t>
      </w:r>
      <w:r w:rsidR="00370DD7">
        <w:t>.</w:t>
      </w:r>
      <w:r w:rsidR="00C53460">
        <w:t xml:space="preserve"> QDN </w:t>
      </w:r>
      <w:proofErr w:type="gramStart"/>
      <w:r w:rsidR="00C53460">
        <w:t>identifies  one</w:t>
      </w:r>
      <w:proofErr w:type="gramEnd"/>
      <w:r w:rsidR="00C53460">
        <w:t xml:space="preserve"> of the risks associated with the inclusion of a </w:t>
      </w:r>
      <w:r>
        <w:t xml:space="preserve">revised </w:t>
      </w:r>
      <w:r w:rsidR="00283D51">
        <w:t>national agreement</w:t>
      </w:r>
      <w:r w:rsidR="000F18F1">
        <w:t xml:space="preserve"> </w:t>
      </w:r>
      <w:r w:rsidR="00D87B92">
        <w:t xml:space="preserve"> </w:t>
      </w:r>
      <w:r w:rsidR="00C53460">
        <w:t xml:space="preserve">within a broad policy strategy such as the </w:t>
      </w:r>
      <w:r w:rsidR="00D87B92">
        <w:t>NDS</w:t>
      </w:r>
      <w:r w:rsidR="007A358A">
        <w:t xml:space="preserve">, </w:t>
      </w:r>
      <w:r w:rsidR="00C53460">
        <w:t xml:space="preserve">is </w:t>
      </w:r>
      <w:r w:rsidR="005764E4">
        <w:t>its focus on aspirational outcomes, without clear articulation</w:t>
      </w:r>
      <w:r w:rsidR="002E4EEF">
        <w:t xml:space="preserve"> </w:t>
      </w:r>
      <w:r>
        <w:t xml:space="preserve">of each of the </w:t>
      </w:r>
      <w:r w:rsidR="00D87B92">
        <w:t xml:space="preserve">governments’ </w:t>
      </w:r>
      <w:r>
        <w:t xml:space="preserve">roles and responsibilities in achieving  </w:t>
      </w:r>
      <w:r w:rsidR="005764E4">
        <w:t xml:space="preserve">tangible outcomes and meaningful change within a </w:t>
      </w:r>
      <w:r w:rsidR="00D87B92">
        <w:t xml:space="preserve">combined </w:t>
      </w:r>
      <w:r w:rsidR="00283D51">
        <w:t xml:space="preserve">agreement/strategy </w:t>
      </w:r>
      <w:r w:rsidR="00D87B92">
        <w:t>document</w:t>
      </w:r>
      <w:r w:rsidR="00C53460">
        <w:t xml:space="preserve">. Each level of </w:t>
      </w:r>
      <w:r w:rsidR="00656558">
        <w:t>g</w:t>
      </w:r>
      <w:r w:rsidR="00C53460">
        <w:t xml:space="preserve">overnment has a responsibility for delivering accessible, affordable, safe and quality services for all people with disability. </w:t>
      </w:r>
    </w:p>
    <w:p w:rsidR="005764E4" w:rsidRDefault="00C53460" w:rsidP="005764E4">
      <w:pPr>
        <w:jc w:val="both"/>
      </w:pPr>
      <w:r>
        <w:t>Whil</w:t>
      </w:r>
      <w:r w:rsidR="00787837">
        <w:t>e</w:t>
      </w:r>
      <w:r>
        <w:t xml:space="preserve"> the NDIS focuses on specialist disability supports, there remains problematic interface issues with mainstream services and challenges for all Australians with disability in accessing these services. </w:t>
      </w:r>
      <w:r w:rsidR="00821497">
        <w:t xml:space="preserve"> </w:t>
      </w:r>
      <w:r w:rsidR="008705FD">
        <w:t xml:space="preserve">A revised </w:t>
      </w:r>
      <w:r w:rsidR="00B22AAD">
        <w:t>agreement/</w:t>
      </w:r>
      <w:proofErr w:type="gramStart"/>
      <w:r w:rsidR="008705FD">
        <w:t xml:space="preserve">policy  </w:t>
      </w:r>
      <w:r w:rsidR="00787837">
        <w:t>needs</w:t>
      </w:r>
      <w:proofErr w:type="gramEnd"/>
      <w:r w:rsidR="00787837">
        <w:t xml:space="preserve"> to </w:t>
      </w:r>
      <w:r w:rsidR="005764E4">
        <w:t xml:space="preserve">be underpinned by  stronger alignment </w:t>
      </w:r>
      <w:r w:rsidR="00696911">
        <w:t xml:space="preserve">with </w:t>
      </w:r>
      <w:r w:rsidR="005764E4">
        <w:t xml:space="preserve"> the CRPD, </w:t>
      </w:r>
      <w:r w:rsidR="00370DD7">
        <w:t xml:space="preserve">that </w:t>
      </w:r>
      <w:r w:rsidR="008705FD">
        <w:t xml:space="preserve"> provide</w:t>
      </w:r>
      <w:r w:rsidR="00370DD7">
        <w:t>s</w:t>
      </w:r>
      <w:r w:rsidR="008705FD">
        <w:t xml:space="preserve"> </w:t>
      </w:r>
      <w:r>
        <w:t>greater</w:t>
      </w:r>
      <w:r w:rsidR="008705FD">
        <w:t xml:space="preserve"> accountability </w:t>
      </w:r>
      <w:r>
        <w:t xml:space="preserve">in ensuring that all levels of </w:t>
      </w:r>
      <w:r w:rsidR="00656558">
        <w:t>g</w:t>
      </w:r>
      <w:r>
        <w:t xml:space="preserve">overnments deliver on their </w:t>
      </w:r>
      <w:r w:rsidR="00370DD7">
        <w:t xml:space="preserve">CRPD </w:t>
      </w:r>
      <w:r>
        <w:t>obligations</w:t>
      </w:r>
      <w:r w:rsidR="00370DD7">
        <w:t>.</w:t>
      </w:r>
      <w:r>
        <w:t xml:space="preserve"> </w:t>
      </w:r>
      <w:r w:rsidR="00EF6CA8">
        <w:t xml:space="preserve">Whilst Australia regularly reports on its obligations to this international instrument, consideration could be given to how this could be integrated as part of the accountability, measurement and reporting framework. </w:t>
      </w:r>
      <w:r w:rsidR="005764E4">
        <w:t xml:space="preserve"> </w:t>
      </w:r>
    </w:p>
    <w:p w:rsidR="00283D51" w:rsidRPr="00283D51" w:rsidRDefault="00821497" w:rsidP="00283D51">
      <w:pPr>
        <w:jc w:val="both"/>
      </w:pPr>
      <w:r>
        <w:t xml:space="preserve">The NDA </w:t>
      </w:r>
      <w:r w:rsidR="00D87B92">
        <w:t xml:space="preserve">has been </w:t>
      </w:r>
      <w:r>
        <w:t>in place to help support the 4.3 million people with disability in Australia, yet the implementation of the NDIS</w:t>
      </w:r>
      <w:r w:rsidR="00532CD2">
        <w:t xml:space="preserve"> </w:t>
      </w:r>
      <w:r w:rsidR="001F35E0">
        <w:t xml:space="preserve">appears to be </w:t>
      </w:r>
      <w:r>
        <w:t xml:space="preserve">taking the focus away from the many issues that face </w:t>
      </w:r>
      <w:r w:rsidR="00950D05">
        <w:t xml:space="preserve">thousands of </w:t>
      </w:r>
      <w:r>
        <w:t xml:space="preserve">people with disability, the majority of whom will not receive funded supports under the NDIS.  </w:t>
      </w:r>
      <w:r w:rsidR="00283D51">
        <w:t>In Queensland, this includes</w:t>
      </w:r>
      <w:r w:rsidR="00283D51" w:rsidRPr="00283D51">
        <w:t xml:space="preserve"> </w:t>
      </w:r>
      <w:r w:rsidR="001F35E0">
        <w:t>all</w:t>
      </w:r>
      <w:r w:rsidR="00283D51">
        <w:t xml:space="preserve"> </w:t>
      </w:r>
      <w:r w:rsidR="00283D51" w:rsidRPr="00283D51">
        <w:t xml:space="preserve">900,000 </w:t>
      </w:r>
      <w:r w:rsidR="00283D51">
        <w:t xml:space="preserve">people with disability not </w:t>
      </w:r>
      <w:r w:rsidR="005764E4">
        <w:t>only the estimated 10</w:t>
      </w:r>
      <w:r w:rsidR="00835090">
        <w:t xml:space="preserve"> </w:t>
      </w:r>
      <w:proofErr w:type="spellStart"/>
      <w:r w:rsidR="00835090">
        <w:t>percent</w:t>
      </w:r>
      <w:proofErr w:type="spellEnd"/>
      <w:r w:rsidR="001F35E0">
        <w:t xml:space="preserve"> </w:t>
      </w:r>
      <w:proofErr w:type="gramStart"/>
      <w:r w:rsidR="001F35E0">
        <w:t xml:space="preserve">or </w:t>
      </w:r>
      <w:r w:rsidR="005764E4">
        <w:t xml:space="preserve"> </w:t>
      </w:r>
      <w:r w:rsidR="00283D51">
        <w:t>approximately</w:t>
      </w:r>
      <w:proofErr w:type="gramEnd"/>
      <w:r w:rsidR="00283D51">
        <w:t xml:space="preserve"> </w:t>
      </w:r>
      <w:r w:rsidR="00283D51" w:rsidRPr="00283D51">
        <w:t xml:space="preserve">90,000 </w:t>
      </w:r>
      <w:r w:rsidR="001F35E0">
        <w:t xml:space="preserve">Queenslanders with disability </w:t>
      </w:r>
      <w:r w:rsidR="00283D51">
        <w:t xml:space="preserve"> who will be eligible for funded supports under the </w:t>
      </w:r>
      <w:r w:rsidR="00283D51" w:rsidRPr="00283D51">
        <w:t>NDIS</w:t>
      </w:r>
      <w:r w:rsidR="00283D51">
        <w:t>.</w:t>
      </w:r>
      <w:r w:rsidR="00283D51" w:rsidRPr="00283D51">
        <w:t> </w:t>
      </w:r>
    </w:p>
    <w:p w:rsidR="005A4C19" w:rsidRDefault="005E25A9" w:rsidP="00D44B40">
      <w:pPr>
        <w:jc w:val="both"/>
      </w:pPr>
      <w:r>
        <w:t xml:space="preserve">While the NDIS, NDS and jurisdictional disability </w:t>
      </w:r>
      <w:r w:rsidR="00380CC1">
        <w:t>plans</w:t>
      </w:r>
      <w:r>
        <w:t xml:space="preserve"> </w:t>
      </w:r>
      <w:r w:rsidR="00380CC1">
        <w:t xml:space="preserve">increase the focus on the issues related to the impact of disability, there are still many </w:t>
      </w:r>
      <w:r w:rsidR="0087190B">
        <w:t xml:space="preserve">accountability measures needed </w:t>
      </w:r>
      <w:r w:rsidR="00380CC1">
        <w:t xml:space="preserve">to ensure communities are truly accessible and inclusive.  Having accessible communities is the first step towards inclusion and participation in community life, in employment and in housing and in engagement with communication and information systems. </w:t>
      </w:r>
    </w:p>
    <w:p w:rsidR="004A4192" w:rsidRDefault="00950D05" w:rsidP="00D44B40">
      <w:pPr>
        <w:jc w:val="both"/>
      </w:pPr>
      <w:r>
        <w:t xml:space="preserve">QDN </w:t>
      </w:r>
      <w:r w:rsidR="0087190B">
        <w:t>supports</w:t>
      </w:r>
      <w:r w:rsidR="003B37CE">
        <w:t xml:space="preserve"> specific</w:t>
      </w:r>
      <w:r w:rsidR="001E66F7">
        <w:t xml:space="preserve"> measurable goals against </w:t>
      </w:r>
      <w:r w:rsidR="00D87B92">
        <w:t xml:space="preserve">a newly created </w:t>
      </w:r>
      <w:r w:rsidR="008C7E25">
        <w:t>agreement</w:t>
      </w:r>
      <w:r w:rsidR="00283D51">
        <w:t xml:space="preserve">/strategy, </w:t>
      </w:r>
      <w:r w:rsidR="00035650">
        <w:t xml:space="preserve">that are </w:t>
      </w:r>
      <w:r w:rsidR="001E66F7">
        <w:t>created in consultati</w:t>
      </w:r>
      <w:r w:rsidR="00AC053D">
        <w:t xml:space="preserve">on with people with </w:t>
      </w:r>
      <w:r w:rsidR="001134E5">
        <w:t>disability</w:t>
      </w:r>
      <w:r w:rsidR="00035650">
        <w:t xml:space="preserve"> and </w:t>
      </w:r>
      <w:proofErr w:type="gramStart"/>
      <w:r w:rsidR="00035650">
        <w:t xml:space="preserve">are </w:t>
      </w:r>
      <w:r w:rsidR="001E66F7">
        <w:t xml:space="preserve"> routinely</w:t>
      </w:r>
      <w:proofErr w:type="gramEnd"/>
      <w:r w:rsidR="001E66F7">
        <w:t xml:space="preserve"> measured by the </w:t>
      </w:r>
      <w:r w:rsidR="009A53AF">
        <w:t xml:space="preserve">Commonwealth </w:t>
      </w:r>
      <w:r w:rsidR="001E66F7">
        <w:t xml:space="preserve">Government and reported </w:t>
      </w:r>
      <w:r w:rsidR="0087190B">
        <w:t xml:space="preserve">publically through existing mechanisms. </w:t>
      </w:r>
      <w:r w:rsidR="001E66F7">
        <w:t xml:space="preserve"> </w:t>
      </w:r>
    </w:p>
    <w:p w:rsidR="00E911C1" w:rsidRDefault="0076292E" w:rsidP="00D44B40">
      <w:pPr>
        <w:jc w:val="both"/>
      </w:pPr>
      <w:r>
        <w:t>Whil</w:t>
      </w:r>
      <w:r w:rsidR="00787837">
        <w:t>e</w:t>
      </w:r>
      <w:r>
        <w:t xml:space="preserve"> </w:t>
      </w:r>
      <w:r w:rsidR="00E911C1">
        <w:t>I</w:t>
      </w:r>
      <w:r w:rsidR="001134E5">
        <w:t xml:space="preserve">nformation Linkage and Capacity Building (ILC) </w:t>
      </w:r>
      <w:r w:rsidR="00E911C1">
        <w:t xml:space="preserve">funding is an </w:t>
      </w:r>
      <w:r w:rsidR="00ED7301">
        <w:t xml:space="preserve">important way </w:t>
      </w:r>
      <w:r w:rsidR="00E911C1">
        <w:t>to improve community inclusion for people with disability</w:t>
      </w:r>
      <w:r>
        <w:t>, it does not respon</w:t>
      </w:r>
      <w:r w:rsidR="001F35E0">
        <w:t xml:space="preserve">d to </w:t>
      </w:r>
      <w:r>
        <w:t xml:space="preserve">investment </w:t>
      </w:r>
      <w:r w:rsidR="001F35E0">
        <w:t xml:space="preserve">in </w:t>
      </w:r>
      <w:r w:rsidR="00055E1C">
        <w:t xml:space="preserve">workforce </w:t>
      </w:r>
      <w:r w:rsidR="001F35E0">
        <w:t xml:space="preserve">activities </w:t>
      </w:r>
      <w:r>
        <w:t xml:space="preserve">needed to deliver the increased skill, knowledge and expertise required of mainstream services like health, housing, employment, education, police, </w:t>
      </w:r>
      <w:r w:rsidR="00696911">
        <w:t xml:space="preserve">the </w:t>
      </w:r>
      <w:r>
        <w:t xml:space="preserve">courts, </w:t>
      </w:r>
      <w:r w:rsidR="00055E1C">
        <w:t xml:space="preserve">and </w:t>
      </w:r>
      <w:r>
        <w:t xml:space="preserve">transport </w:t>
      </w:r>
      <w:r w:rsidR="00055E1C">
        <w:t xml:space="preserve">so they </w:t>
      </w:r>
      <w:proofErr w:type="gramStart"/>
      <w:r w:rsidR="00055E1C">
        <w:t xml:space="preserve">can </w:t>
      </w:r>
      <w:r>
        <w:t xml:space="preserve"> to</w:t>
      </w:r>
      <w:proofErr w:type="gramEnd"/>
      <w:r>
        <w:t xml:space="preserve"> deliver appropriate, accessible, quality and safe services to all people with disability. This requires additional focus, targets, strategies and </w:t>
      </w:r>
      <w:r w:rsidR="00787837">
        <w:t>measures</w:t>
      </w:r>
      <w:r>
        <w:t xml:space="preserve"> to deliver improved accountability and outcomes across all portfolio areas within </w:t>
      </w:r>
      <w:r w:rsidR="00055E1C">
        <w:t>S</w:t>
      </w:r>
      <w:r>
        <w:t>tate/</w:t>
      </w:r>
      <w:r w:rsidR="00696911">
        <w:t>Territory</w:t>
      </w:r>
      <w:r>
        <w:t xml:space="preserve"> and </w:t>
      </w:r>
      <w:r w:rsidR="00055E1C">
        <w:t>C</w:t>
      </w:r>
      <w:r>
        <w:t>ommonwealth</w:t>
      </w:r>
      <w:r w:rsidR="00055E1C">
        <w:t xml:space="preserve"> Government</w:t>
      </w:r>
      <w:r w:rsidR="00696911">
        <w:t>s.</w:t>
      </w:r>
      <w:r w:rsidR="00055E1C">
        <w:t xml:space="preserve"> </w:t>
      </w:r>
    </w:p>
    <w:p w:rsidR="00C53460" w:rsidRDefault="00670C85" w:rsidP="00304010">
      <w:pPr>
        <w:jc w:val="both"/>
      </w:pPr>
      <w:r>
        <w:t xml:space="preserve">Given the </w:t>
      </w:r>
      <w:r w:rsidR="008705FD">
        <w:t>transformation</w:t>
      </w:r>
      <w:r w:rsidR="00B22AAD">
        <w:t>al</w:t>
      </w:r>
      <w:r w:rsidR="008705FD">
        <w:t xml:space="preserve"> change involved in </w:t>
      </w:r>
      <w:r w:rsidR="00304010">
        <w:t>national reform</w:t>
      </w:r>
      <w:r>
        <w:t>s</w:t>
      </w:r>
      <w:r w:rsidR="00304010">
        <w:t xml:space="preserve"> such as the NDIS and NDS and the touch points for disability across multiple portfolios, QDN </w:t>
      </w:r>
      <w:r w:rsidR="0087190B">
        <w:t>supports</w:t>
      </w:r>
      <w:r w:rsidR="00304010">
        <w:t xml:space="preserve"> </w:t>
      </w:r>
      <w:r w:rsidR="00EF6CA8">
        <w:t xml:space="preserve">mechanisms which give a </w:t>
      </w:r>
      <w:r w:rsidR="00304010">
        <w:t>central governance structure</w:t>
      </w:r>
      <w:r w:rsidR="00EF6CA8">
        <w:t xml:space="preserve"> and focus on disability within Commonwealth and State/</w:t>
      </w:r>
      <w:proofErr w:type="spellStart"/>
      <w:r w:rsidR="00EF6CA8">
        <w:t>Terriorty</w:t>
      </w:r>
      <w:proofErr w:type="spellEnd"/>
      <w:r w:rsidR="00EF6CA8">
        <w:t xml:space="preserve"> Governments. </w:t>
      </w:r>
      <w:proofErr w:type="gramStart"/>
      <w:r w:rsidR="00EF6CA8">
        <w:t xml:space="preserve">A </w:t>
      </w:r>
      <w:r w:rsidR="00696911">
        <w:t xml:space="preserve"> centralised</w:t>
      </w:r>
      <w:proofErr w:type="gramEnd"/>
      <w:r w:rsidR="00696911">
        <w:t xml:space="preserve"> and linked structure </w:t>
      </w:r>
      <w:r w:rsidR="00787837">
        <w:t xml:space="preserve">would </w:t>
      </w:r>
      <w:r w:rsidR="00B22AAD">
        <w:t xml:space="preserve"> ensure co-ordinated </w:t>
      </w:r>
      <w:r w:rsidR="00283D51">
        <w:t>linking</w:t>
      </w:r>
      <w:r w:rsidR="00B22AAD">
        <w:t xml:space="preserve"> across disability national reforms and related National Agreements</w:t>
      </w:r>
      <w:r w:rsidR="00055E1C">
        <w:t>. Th</w:t>
      </w:r>
      <w:r w:rsidR="00696911">
        <w:t xml:space="preserve">ese </w:t>
      </w:r>
      <w:r w:rsidR="00055E1C">
        <w:t>central ag</w:t>
      </w:r>
      <w:r w:rsidR="00696911">
        <w:t xml:space="preserve">encies </w:t>
      </w:r>
      <w:r w:rsidR="00035650">
        <w:t xml:space="preserve">should also </w:t>
      </w:r>
      <w:r w:rsidR="00787837">
        <w:t xml:space="preserve">ensure </w:t>
      </w:r>
      <w:r w:rsidR="0076292E">
        <w:t xml:space="preserve">specific engagement and representation by people with disability </w:t>
      </w:r>
      <w:r w:rsidR="00055E1C">
        <w:t xml:space="preserve">within dedicated advisory bodies </w:t>
      </w:r>
      <w:r w:rsidR="0076292E">
        <w:t xml:space="preserve">to inform the planning, design, delivery and implementation of these national </w:t>
      </w:r>
      <w:r w:rsidR="00696911">
        <w:t xml:space="preserve">policy </w:t>
      </w:r>
      <w:r w:rsidR="0076292E">
        <w:t>mechanisms</w:t>
      </w:r>
      <w:r w:rsidR="00787837">
        <w:t>.</w:t>
      </w:r>
      <w:r w:rsidR="0076292E">
        <w:t xml:space="preserve"> </w:t>
      </w:r>
    </w:p>
    <w:p w:rsidR="000F18F1" w:rsidRDefault="000F18F1" w:rsidP="00304010">
      <w:pPr>
        <w:jc w:val="both"/>
      </w:pPr>
      <w:r>
        <w:t xml:space="preserve">Critical to all of this is the access to funded independent individual and systemic advocacy for people with </w:t>
      </w:r>
      <w:proofErr w:type="spellStart"/>
      <w:r>
        <w:t>disabiltiy</w:t>
      </w:r>
      <w:proofErr w:type="spellEnd"/>
      <w:r>
        <w:t xml:space="preserve"> and their families and carers. </w:t>
      </w:r>
    </w:p>
    <w:p w:rsidR="00003D5E" w:rsidRDefault="001A2A65" w:rsidP="00003D5E">
      <w:pPr>
        <w:pStyle w:val="Heading3"/>
      </w:pPr>
      <w:r>
        <w:t>Policy architecture and f</w:t>
      </w:r>
      <w:r w:rsidR="00921FA6">
        <w:t xml:space="preserve">ramework for assessment </w:t>
      </w:r>
      <w:r w:rsidR="000176A2">
        <w:t xml:space="preserve"> </w:t>
      </w:r>
      <w:r w:rsidR="00003D5E">
        <w:t xml:space="preserve">  </w:t>
      </w:r>
    </w:p>
    <w:p w:rsidR="009A708D" w:rsidRDefault="00AA73C5" w:rsidP="00283D51">
      <w:pPr>
        <w:pStyle w:val="ListParagraph"/>
        <w:spacing w:after="200"/>
        <w:ind w:left="0"/>
        <w:jc w:val="both"/>
      </w:pPr>
      <w:r>
        <w:t xml:space="preserve">QDN agrees </w:t>
      </w:r>
      <w:r w:rsidR="0015485A">
        <w:t xml:space="preserve">with </w:t>
      </w:r>
      <w:r>
        <w:t xml:space="preserve">the </w:t>
      </w:r>
      <w:r w:rsidR="002759DA">
        <w:t xml:space="preserve">outlined </w:t>
      </w:r>
      <w:r>
        <w:t>policy architecture</w:t>
      </w:r>
      <w:r w:rsidR="002759DA">
        <w:t xml:space="preserve"> </w:t>
      </w:r>
      <w:r>
        <w:t>supporting the NDA</w:t>
      </w:r>
      <w:r w:rsidR="002759DA">
        <w:t xml:space="preserve">, however sees </w:t>
      </w:r>
      <w:r w:rsidR="00035650">
        <w:t xml:space="preserve">the need for an overarching </w:t>
      </w:r>
      <w:r w:rsidR="002759DA">
        <w:t>mechanism across Com</w:t>
      </w:r>
      <w:r w:rsidR="009A53AF">
        <w:t>monwealth</w:t>
      </w:r>
      <w:r w:rsidR="004F626C">
        <w:t xml:space="preserve">, State and Territory Governments </w:t>
      </w:r>
      <w:r>
        <w:t>to oversee the implementation</w:t>
      </w:r>
      <w:r w:rsidR="002759DA">
        <w:t xml:space="preserve">, reporting measures, and  outcomes </w:t>
      </w:r>
      <w:r>
        <w:t xml:space="preserve">of the NDA in line with other </w:t>
      </w:r>
      <w:r w:rsidR="00821497">
        <w:t>N</w:t>
      </w:r>
      <w:r>
        <w:t>ational Agreements</w:t>
      </w:r>
      <w:r w:rsidR="002759DA">
        <w:t xml:space="preserve">. </w:t>
      </w:r>
      <w:r w:rsidR="005A297E">
        <w:t>It will be important to link</w:t>
      </w:r>
      <w:r w:rsidR="001A2A65">
        <w:t xml:space="preserve"> </w:t>
      </w:r>
      <w:r w:rsidR="002759DA">
        <w:t xml:space="preserve">each portfolio area and other </w:t>
      </w:r>
      <w:r w:rsidR="00696911">
        <w:t>N</w:t>
      </w:r>
      <w:r w:rsidR="002759DA">
        <w:t xml:space="preserve">ational </w:t>
      </w:r>
      <w:r w:rsidR="00696911">
        <w:t>A</w:t>
      </w:r>
      <w:r w:rsidR="002759DA">
        <w:t>greement</w:t>
      </w:r>
      <w:r w:rsidR="00035650">
        <w:t>s</w:t>
      </w:r>
      <w:r w:rsidR="002759DA">
        <w:t xml:space="preserve"> </w:t>
      </w:r>
      <w:r w:rsidR="001A2A65">
        <w:t>with the overall objective</w:t>
      </w:r>
      <w:r w:rsidR="00950D05">
        <w:t>s</w:t>
      </w:r>
      <w:r w:rsidR="001A2A65">
        <w:t xml:space="preserve"> of disability policy</w:t>
      </w:r>
      <w:r w:rsidR="002759DA">
        <w:t xml:space="preserve"> and actions. </w:t>
      </w:r>
    </w:p>
    <w:p w:rsidR="004F626C" w:rsidRPr="00AA73C5" w:rsidRDefault="004F626C" w:rsidP="00D44B40">
      <w:pPr>
        <w:pStyle w:val="ListParagraph"/>
        <w:spacing w:after="200"/>
        <w:ind w:left="0"/>
      </w:pPr>
    </w:p>
    <w:p w:rsidR="001A2A65" w:rsidRPr="001A2A65" w:rsidRDefault="001A2A65" w:rsidP="00D67826">
      <w:pPr>
        <w:pStyle w:val="ListParagraph"/>
        <w:spacing w:after="200"/>
        <w:ind w:left="0"/>
        <w:jc w:val="both"/>
      </w:pPr>
      <w:r w:rsidRPr="001A2A65">
        <w:t xml:space="preserve">QDN agrees </w:t>
      </w:r>
      <w:r w:rsidR="002B085B">
        <w:t xml:space="preserve">with </w:t>
      </w:r>
      <w:r w:rsidRPr="001A2A65">
        <w:t>the</w:t>
      </w:r>
      <w:r>
        <w:t xml:space="preserve"> framework for assessment and the separation of the agreement into </w:t>
      </w:r>
      <w:r w:rsidR="00F07DF8">
        <w:t>objectives</w:t>
      </w:r>
      <w:r>
        <w:t xml:space="preserve">, outcomes, </w:t>
      </w:r>
      <w:r w:rsidR="00F07DF8">
        <w:t>indicators</w:t>
      </w:r>
      <w:r>
        <w:t xml:space="preserve">, role and </w:t>
      </w:r>
      <w:r w:rsidR="00F07DF8">
        <w:t>responsibilities</w:t>
      </w:r>
      <w:r>
        <w:t xml:space="preserve"> and </w:t>
      </w:r>
      <w:r w:rsidR="00F07DF8">
        <w:t xml:space="preserve">policy actions with the addition of the scope and purpose of the NDA. QDN welcomes the addition of </w:t>
      </w:r>
      <w:r w:rsidR="00D44B40">
        <w:t xml:space="preserve">an </w:t>
      </w:r>
      <w:r w:rsidR="00F07DF8">
        <w:t xml:space="preserve">evaluation </w:t>
      </w:r>
      <w:r w:rsidR="00D44B40">
        <w:t xml:space="preserve">section </w:t>
      </w:r>
      <w:r w:rsidR="00F07DF8">
        <w:t xml:space="preserve">with performance indicators against a range of criteria that </w:t>
      </w:r>
      <w:r w:rsidR="00D44B40">
        <w:t>are r</w:t>
      </w:r>
      <w:r w:rsidR="00F07DF8">
        <w:t xml:space="preserve">esponsive to policy actions and consideration of the context of the NDA in relation to other agreements such as NDIS Bilateral Agreements, the NDS and other National Agreements. QDN </w:t>
      </w:r>
      <w:r w:rsidR="002B085B">
        <w:t xml:space="preserve">recommends </w:t>
      </w:r>
      <w:r w:rsidR="00F07DF8">
        <w:t>the proposed framework be ap</w:t>
      </w:r>
      <w:r w:rsidR="008A77BB">
        <w:t xml:space="preserve">plied across all </w:t>
      </w:r>
      <w:r w:rsidR="00AC3C85">
        <w:t xml:space="preserve">Productivity </w:t>
      </w:r>
      <w:r w:rsidR="00283D51">
        <w:t>Commission</w:t>
      </w:r>
      <w:r w:rsidR="00AC3C85">
        <w:t xml:space="preserve"> </w:t>
      </w:r>
      <w:r w:rsidR="008A77BB">
        <w:t xml:space="preserve">reviews of </w:t>
      </w:r>
      <w:r w:rsidR="00670C85">
        <w:t>National A</w:t>
      </w:r>
      <w:r w:rsidR="00F07DF8">
        <w:t>greements</w:t>
      </w:r>
      <w:r w:rsidR="00D67826">
        <w:t xml:space="preserve">. </w:t>
      </w:r>
      <w:r w:rsidR="00F07DF8">
        <w:t xml:space="preserve"> </w:t>
      </w:r>
    </w:p>
    <w:p w:rsidR="008F0CC5" w:rsidRDefault="00921FA6" w:rsidP="00160C5E">
      <w:pPr>
        <w:pStyle w:val="Heading3"/>
      </w:pPr>
      <w:r>
        <w:t xml:space="preserve">Purpose and scope of the NDA  </w:t>
      </w:r>
      <w:r w:rsidR="00160C5E">
        <w:t xml:space="preserve"> </w:t>
      </w:r>
    </w:p>
    <w:p w:rsidR="0087190B" w:rsidRDefault="00D67826" w:rsidP="00B41EC5">
      <w:pPr>
        <w:jc w:val="both"/>
      </w:pPr>
      <w:r>
        <w:t xml:space="preserve">QDN notes </w:t>
      </w:r>
      <w:r w:rsidR="00D2282E">
        <w:t xml:space="preserve">the NDA is very broad </w:t>
      </w:r>
      <w:r w:rsidR="002C207A">
        <w:t xml:space="preserve">in </w:t>
      </w:r>
      <w:r w:rsidR="00D2282E">
        <w:t>scope and purpose</w:t>
      </w:r>
      <w:r w:rsidR="002C207A">
        <w:t xml:space="preserve"> covering </w:t>
      </w:r>
      <w:r w:rsidR="00D2282E">
        <w:t xml:space="preserve">4.3 million people with disability </w:t>
      </w:r>
      <w:r w:rsidR="002C207A">
        <w:t xml:space="preserve">in Australia </w:t>
      </w:r>
      <w:r w:rsidR="00670C85">
        <w:t xml:space="preserve">and </w:t>
      </w:r>
      <w:r w:rsidR="00D2282E">
        <w:t xml:space="preserve">covers </w:t>
      </w:r>
      <w:r w:rsidR="002C207A">
        <w:t>disability</w:t>
      </w:r>
      <w:r w:rsidR="008A77BB">
        <w:t xml:space="preserve"> service delivery</w:t>
      </w:r>
      <w:r w:rsidR="00B41EC5">
        <w:t xml:space="preserve">. </w:t>
      </w:r>
      <w:r w:rsidR="0087190B">
        <w:t xml:space="preserve">While covering </w:t>
      </w:r>
      <w:r w:rsidR="0039655C">
        <w:t>all people with disability,</w:t>
      </w:r>
      <w:r w:rsidR="0087190B">
        <w:t xml:space="preserve"> it is important to acknowledge ABS </w:t>
      </w:r>
      <w:r w:rsidR="00323072">
        <w:t xml:space="preserve">data which </w:t>
      </w:r>
      <w:r w:rsidR="0087190B">
        <w:t>identifies arou</w:t>
      </w:r>
      <w:r w:rsidR="0039655C">
        <w:t xml:space="preserve">nd 2.4 million </w:t>
      </w:r>
      <w:r w:rsidR="00323072">
        <w:t xml:space="preserve">people with disability who </w:t>
      </w:r>
      <w:r w:rsidR="0039655C">
        <w:t>require assistance with at least one dail</w:t>
      </w:r>
      <w:r w:rsidR="00323072">
        <w:t>y</w:t>
      </w:r>
      <w:r w:rsidR="0039655C">
        <w:t xml:space="preserve"> activity, and </w:t>
      </w:r>
      <w:r w:rsidR="00323072">
        <w:t xml:space="preserve">that </w:t>
      </w:r>
      <w:r w:rsidR="0039655C">
        <w:t>the NDIS will</w:t>
      </w:r>
      <w:r w:rsidR="00323072">
        <w:t xml:space="preserve"> </w:t>
      </w:r>
      <w:r w:rsidR="00055E1C">
        <w:t>only cover</w:t>
      </w:r>
      <w:r w:rsidR="0039655C">
        <w:t xml:space="preserve"> approximately 460,000 people</w:t>
      </w:r>
      <w:r w:rsidR="00055E1C">
        <w:t xml:space="preserve"> with disability aged under 65 years</w:t>
      </w:r>
      <w:r w:rsidR="0039655C">
        <w:t xml:space="preserve">. </w:t>
      </w:r>
    </w:p>
    <w:p w:rsidR="0087190B" w:rsidRDefault="0039655C" w:rsidP="00B41EC5">
      <w:pPr>
        <w:jc w:val="both"/>
      </w:pPr>
      <w:r>
        <w:t>With the chan</w:t>
      </w:r>
      <w:r w:rsidR="00055E1C">
        <w:t>g</w:t>
      </w:r>
      <w:r>
        <w:t xml:space="preserve">ing policy landscape, QDN believes it is important that a strong national governance mechanism </w:t>
      </w:r>
      <w:r w:rsidR="00622887">
        <w:t xml:space="preserve">is in place </w:t>
      </w:r>
      <w:r>
        <w:t xml:space="preserve">for all Australians with </w:t>
      </w:r>
      <w:r w:rsidR="00622887">
        <w:t>disability</w:t>
      </w:r>
      <w:proofErr w:type="gramStart"/>
      <w:r w:rsidR="00622887">
        <w:t xml:space="preserve">, </w:t>
      </w:r>
      <w:r>
        <w:t xml:space="preserve"> that</w:t>
      </w:r>
      <w:proofErr w:type="gramEnd"/>
      <w:r>
        <w:t xml:space="preserve"> </w:t>
      </w:r>
      <w:r w:rsidR="00622887">
        <w:t xml:space="preserve">supports and </w:t>
      </w:r>
      <w:r>
        <w:t>delivers objectives, outcomes, performance indicators, roles and responsibilities and policy action</w:t>
      </w:r>
      <w:r w:rsidR="00055E1C">
        <w:t>s</w:t>
      </w:r>
      <w:r>
        <w:t xml:space="preserve"> for all levels of </w:t>
      </w:r>
      <w:r w:rsidR="00055E1C">
        <w:t>g</w:t>
      </w:r>
      <w:r>
        <w:t xml:space="preserve">overnment. QDN also believes </w:t>
      </w:r>
      <w:r w:rsidR="00622887">
        <w:t xml:space="preserve">it </w:t>
      </w:r>
      <w:r>
        <w:t xml:space="preserve">is important that </w:t>
      </w:r>
      <w:r w:rsidR="0087190B">
        <w:t xml:space="preserve">it </w:t>
      </w:r>
      <w:r>
        <w:t xml:space="preserve">delivers accountability and targeted assessment </w:t>
      </w:r>
      <w:proofErr w:type="spellStart"/>
      <w:r>
        <w:t>critieria</w:t>
      </w:r>
      <w:proofErr w:type="spellEnd"/>
      <w:r>
        <w:t xml:space="preserve"> across the broad areas and goals of the National Disability Strategy</w:t>
      </w:r>
      <w:r w:rsidR="0087190B">
        <w:t xml:space="preserve">, </w:t>
      </w:r>
      <w:r w:rsidR="00622887">
        <w:t xml:space="preserve">and </w:t>
      </w:r>
      <w:r w:rsidR="0087190B">
        <w:t xml:space="preserve">is integrated with other </w:t>
      </w:r>
      <w:r w:rsidR="00055E1C">
        <w:t>N</w:t>
      </w:r>
      <w:r w:rsidR="0087190B">
        <w:t xml:space="preserve">ational </w:t>
      </w:r>
      <w:r w:rsidR="00055E1C">
        <w:t>A</w:t>
      </w:r>
      <w:r w:rsidR="0087190B">
        <w:t>greements</w:t>
      </w:r>
      <w:r>
        <w:t xml:space="preserve"> across all portfolio</w:t>
      </w:r>
      <w:r w:rsidR="00055E1C">
        <w:t>s</w:t>
      </w:r>
      <w:r w:rsidR="00EF6CA8">
        <w:t>.</w:t>
      </w:r>
      <w:r>
        <w:t xml:space="preserve"> </w:t>
      </w:r>
    </w:p>
    <w:p w:rsidR="0087190B" w:rsidRDefault="00055E1C" w:rsidP="00B41EC5">
      <w:pPr>
        <w:jc w:val="both"/>
      </w:pPr>
      <w:r>
        <w:t>N</w:t>
      </w:r>
      <w:r w:rsidR="0039655C">
        <w:t>ot all service delivery for people with disability will sit within the NDIS and therefor</w:t>
      </w:r>
      <w:r w:rsidR="0087190B">
        <w:t>e</w:t>
      </w:r>
      <w:r w:rsidR="0039655C">
        <w:t xml:space="preserve"> </w:t>
      </w:r>
      <w:proofErr w:type="gramStart"/>
      <w:r w:rsidR="0039655C">
        <w:t>N</w:t>
      </w:r>
      <w:r>
        <w:t xml:space="preserve">DIS </w:t>
      </w:r>
      <w:r w:rsidR="0039655C">
        <w:t xml:space="preserve"> Bilateral</w:t>
      </w:r>
      <w:proofErr w:type="gramEnd"/>
      <w:r w:rsidR="0039655C">
        <w:t xml:space="preserve"> Agreements, </w:t>
      </w:r>
      <w:r>
        <w:t xml:space="preserve">so </w:t>
      </w:r>
      <w:r w:rsidR="0039655C">
        <w:t xml:space="preserve">it is critical that an overarching </w:t>
      </w:r>
      <w:r>
        <w:t>N</w:t>
      </w:r>
      <w:r w:rsidR="0039655C">
        <w:t xml:space="preserve">ational </w:t>
      </w:r>
      <w:r>
        <w:t>A</w:t>
      </w:r>
      <w:r w:rsidR="0039655C">
        <w:t>greement</w:t>
      </w:r>
      <w:r>
        <w:t>/</w:t>
      </w:r>
      <w:proofErr w:type="spellStart"/>
      <w:r>
        <w:t>Stategy</w:t>
      </w:r>
      <w:proofErr w:type="spellEnd"/>
      <w:r w:rsidR="0039655C">
        <w:t xml:space="preserve"> between </w:t>
      </w:r>
      <w:r>
        <w:t>S</w:t>
      </w:r>
      <w:r w:rsidR="0039655C">
        <w:t>tate/</w:t>
      </w:r>
      <w:r>
        <w:t>T</w:t>
      </w:r>
      <w:r w:rsidR="0039655C">
        <w:t>erritor</w:t>
      </w:r>
      <w:r w:rsidR="00696911">
        <w:t>ies</w:t>
      </w:r>
      <w:r w:rsidR="0039655C">
        <w:t xml:space="preserve"> and </w:t>
      </w:r>
      <w:r w:rsidR="00696911">
        <w:t xml:space="preserve">the </w:t>
      </w:r>
      <w:r>
        <w:t>C</w:t>
      </w:r>
      <w:r w:rsidR="0039655C">
        <w:t xml:space="preserve">ommonwealth </w:t>
      </w:r>
      <w:r w:rsidR="00622887">
        <w:t xml:space="preserve">is in place </w:t>
      </w:r>
      <w:r w:rsidR="0039655C">
        <w:t>to measure progress and report on outcomes of specific performance indicat</w:t>
      </w:r>
      <w:r w:rsidR="00622887">
        <w:t>ors</w:t>
      </w:r>
      <w:r w:rsidR="0039655C">
        <w:t xml:space="preserve"> </w:t>
      </w:r>
      <w:r w:rsidR="002B085B">
        <w:t xml:space="preserve">that </w:t>
      </w:r>
      <w:r w:rsidR="00696911">
        <w:t xml:space="preserve">will </w:t>
      </w:r>
      <w:r w:rsidR="0039655C">
        <w:t xml:space="preserve">drive change for people with disability.   A </w:t>
      </w:r>
      <w:r w:rsidR="00622887">
        <w:t>N</w:t>
      </w:r>
      <w:r w:rsidR="0039655C">
        <w:t xml:space="preserve">ational </w:t>
      </w:r>
      <w:r w:rsidR="00622887">
        <w:t>D</w:t>
      </w:r>
      <w:r w:rsidR="0039655C">
        <w:t xml:space="preserve">isability </w:t>
      </w:r>
      <w:r w:rsidR="00622887">
        <w:t>A</w:t>
      </w:r>
      <w:r w:rsidR="0039655C">
        <w:t>greement/</w:t>
      </w:r>
      <w:r w:rsidR="00622887">
        <w:t>S</w:t>
      </w:r>
      <w:r w:rsidR="0039655C">
        <w:t xml:space="preserve">trategy needs to be integrated with the other </w:t>
      </w:r>
      <w:r w:rsidR="006F27C5">
        <w:t>N</w:t>
      </w:r>
      <w:r w:rsidR="0039655C">
        <w:t xml:space="preserve">ational </w:t>
      </w:r>
      <w:r w:rsidR="006F27C5">
        <w:t>A</w:t>
      </w:r>
      <w:r w:rsidR="0039655C">
        <w:t xml:space="preserve">greements </w:t>
      </w:r>
      <w:proofErr w:type="gramStart"/>
      <w:r w:rsidR="006F27C5">
        <w:t xml:space="preserve">with </w:t>
      </w:r>
      <w:r w:rsidR="006D4BBB">
        <w:t xml:space="preserve"> a</w:t>
      </w:r>
      <w:proofErr w:type="gramEnd"/>
      <w:r w:rsidR="006D4BBB">
        <w:t xml:space="preserve"> reporting architecture which is </w:t>
      </w:r>
      <w:proofErr w:type="spellStart"/>
      <w:r w:rsidR="006D4BBB">
        <w:t>consignant</w:t>
      </w:r>
      <w:proofErr w:type="spellEnd"/>
      <w:r w:rsidR="006D4BBB">
        <w:t xml:space="preserve"> of outcome measures for people with disability </w:t>
      </w:r>
      <w:r w:rsidR="006F27C5">
        <w:t xml:space="preserve">and </w:t>
      </w:r>
      <w:r w:rsidR="006D4BBB">
        <w:t xml:space="preserve"> give</w:t>
      </w:r>
      <w:r w:rsidR="006F27C5">
        <w:t>s</w:t>
      </w:r>
      <w:r w:rsidR="006D4BBB">
        <w:t xml:space="preserve"> </w:t>
      </w:r>
      <w:r w:rsidR="00622887">
        <w:t>prominence</w:t>
      </w:r>
      <w:r w:rsidR="006D4BBB">
        <w:t xml:space="preserve"> and importance to the</w:t>
      </w:r>
      <w:r w:rsidR="00622887">
        <w:t>se</w:t>
      </w:r>
      <w:r w:rsidR="006D4BBB">
        <w:t xml:space="preserve"> issues. </w:t>
      </w:r>
    </w:p>
    <w:p w:rsidR="00B41EC5" w:rsidRPr="00D2282E" w:rsidRDefault="002759DA" w:rsidP="00B41EC5">
      <w:pPr>
        <w:jc w:val="both"/>
      </w:pPr>
      <w:r>
        <w:t xml:space="preserve">People with disability are citizens who need access </w:t>
      </w:r>
      <w:r w:rsidR="006F27C5">
        <w:t xml:space="preserve">to </w:t>
      </w:r>
      <w:r>
        <w:t xml:space="preserve">all services within </w:t>
      </w:r>
      <w:r w:rsidR="00696911">
        <w:t xml:space="preserve">the </w:t>
      </w:r>
      <w:r>
        <w:t xml:space="preserve">community, regardless </w:t>
      </w:r>
      <w:r w:rsidR="002B085B">
        <w:t xml:space="preserve">of whether </w:t>
      </w:r>
      <w:r>
        <w:t xml:space="preserve">they are administered by Commonwealth or State/Territory jurisdictions. A mechanism which enables </w:t>
      </w:r>
      <w:r w:rsidR="006F27C5">
        <w:t xml:space="preserve">all </w:t>
      </w:r>
      <w:r>
        <w:t xml:space="preserve">levels of </w:t>
      </w:r>
      <w:r w:rsidR="006F27C5">
        <w:t>g</w:t>
      </w:r>
      <w:r>
        <w:t xml:space="preserve">overnment to be accountable to deliver services, programs and policy within their purview to all people with disability is critical. Alongside this, is the scope to be able to measure and be required to report on outcomes in line with Australia’s international obligations </w:t>
      </w:r>
      <w:r w:rsidR="006F27C5">
        <w:t xml:space="preserve">under </w:t>
      </w:r>
      <w:r>
        <w:t xml:space="preserve">the </w:t>
      </w:r>
      <w:proofErr w:type="gramStart"/>
      <w:r>
        <w:t>CRPD.</w:t>
      </w:r>
      <w:proofErr w:type="gramEnd"/>
      <w:r>
        <w:t xml:space="preserve"> It is important that a national agreement</w:t>
      </w:r>
      <w:r w:rsidR="006D4BBB">
        <w:t>, underpinned by Australia’s obligations under the CPRD</w:t>
      </w:r>
      <w:r w:rsidR="0087190B">
        <w:t xml:space="preserve"> </w:t>
      </w:r>
      <w:r w:rsidR="00B41EC5">
        <w:t>commit</w:t>
      </w:r>
      <w:r>
        <w:t>s</w:t>
      </w:r>
      <w:r w:rsidR="00B41EC5">
        <w:t xml:space="preserve"> a</w:t>
      </w:r>
      <w:r w:rsidR="008A77BB">
        <w:t xml:space="preserve">ll governments to work together </w:t>
      </w:r>
      <w:r w:rsidR="00B41EC5">
        <w:t>to fund and resource policies and programs so that people with disability</w:t>
      </w:r>
      <w:r w:rsidR="001D4ECE">
        <w:t>,</w:t>
      </w:r>
      <w:r w:rsidR="00B41EC5">
        <w:t xml:space="preserve"> whether funded by the NDIS or not</w:t>
      </w:r>
      <w:r w:rsidR="001D4ECE">
        <w:t>,</w:t>
      </w:r>
      <w:r w:rsidR="00B41EC5">
        <w:t xml:space="preserve"> are able to</w:t>
      </w:r>
      <w:r w:rsidR="008A77BB">
        <w:t>: (1)</w:t>
      </w:r>
      <w:r w:rsidR="00B41EC5">
        <w:t xml:space="preserve"> </w:t>
      </w:r>
      <w:r w:rsidR="002C207A">
        <w:t>live independently</w:t>
      </w:r>
      <w:r w:rsidR="008A77BB">
        <w:t>;</w:t>
      </w:r>
      <w:r w:rsidR="00B41EC5">
        <w:t xml:space="preserve"> </w:t>
      </w:r>
      <w:r w:rsidR="008A77BB">
        <w:t xml:space="preserve">(2) </w:t>
      </w:r>
      <w:r w:rsidR="002C207A">
        <w:t>participate in all aspects of life</w:t>
      </w:r>
      <w:r w:rsidR="008A77BB">
        <w:t>; and (3)</w:t>
      </w:r>
      <w:r w:rsidR="00B41EC5">
        <w:t xml:space="preserve"> </w:t>
      </w:r>
      <w:r w:rsidR="002C207A">
        <w:t>have access on an equal basis as other</w:t>
      </w:r>
      <w:r w:rsidR="00B41EC5">
        <w:t>s</w:t>
      </w:r>
      <w:r w:rsidR="002C207A">
        <w:t xml:space="preserve"> to the physical environment</w:t>
      </w:r>
      <w:r w:rsidR="008A77BB">
        <w:t xml:space="preserve">, </w:t>
      </w:r>
      <w:r w:rsidR="002C207A">
        <w:t xml:space="preserve">to employment, to transportation, to information and communications and to facilities and services provided to </w:t>
      </w:r>
      <w:r w:rsidR="00B41EC5">
        <w:t xml:space="preserve">the </w:t>
      </w:r>
      <w:r w:rsidR="002C207A">
        <w:t>public in urban and rural areas.</w:t>
      </w:r>
      <w:r w:rsidR="001D4ECE">
        <w:t xml:space="preserve"> </w:t>
      </w:r>
    </w:p>
    <w:p w:rsidR="0087190B" w:rsidRDefault="006D4BBB" w:rsidP="004A4192">
      <w:pPr>
        <w:jc w:val="both"/>
      </w:pPr>
      <w:r>
        <w:t xml:space="preserve">QDN believes that the </w:t>
      </w:r>
      <w:r w:rsidR="006F27C5">
        <w:t>N</w:t>
      </w:r>
      <w:r>
        <w:t>ational</w:t>
      </w:r>
      <w:r w:rsidR="0087190B">
        <w:t xml:space="preserve"> </w:t>
      </w:r>
      <w:r w:rsidR="006F27C5">
        <w:t>D</w:t>
      </w:r>
      <w:r w:rsidR="0087190B">
        <w:t xml:space="preserve">isability </w:t>
      </w:r>
      <w:r w:rsidR="006F27C5">
        <w:t>A</w:t>
      </w:r>
      <w:r w:rsidR="0087190B">
        <w:t xml:space="preserve">greement framework </w:t>
      </w:r>
      <w:r w:rsidR="001D4ECE">
        <w:t xml:space="preserve">should have a specific purpose in influencing the </w:t>
      </w:r>
      <w:r w:rsidR="002759DA">
        <w:t>planning, design, delivery and e</w:t>
      </w:r>
      <w:r w:rsidR="001D4ECE">
        <w:t>valuation of policies, plans and programs at the national, and state and territory level</w:t>
      </w:r>
      <w:r w:rsidR="002759DA">
        <w:t xml:space="preserve">, that </w:t>
      </w:r>
      <w:proofErr w:type="spellStart"/>
      <w:r w:rsidR="002759DA">
        <w:t>explicity</w:t>
      </w:r>
      <w:proofErr w:type="spellEnd"/>
      <w:r w:rsidR="002759DA">
        <w:t xml:space="preserve"> include</w:t>
      </w:r>
      <w:r w:rsidR="00622887">
        <w:t>s</w:t>
      </w:r>
      <w:r w:rsidR="002759DA">
        <w:t xml:space="preserve"> </w:t>
      </w:r>
      <w:r w:rsidR="0087190B">
        <w:t xml:space="preserve">a requirement for </w:t>
      </w:r>
      <w:r w:rsidR="002759DA">
        <w:t xml:space="preserve">engagement from the start with people with disability. </w:t>
      </w:r>
    </w:p>
    <w:p w:rsidR="00ED7301" w:rsidRPr="00EF6CA8" w:rsidRDefault="006D4BBB" w:rsidP="004A4192">
      <w:pPr>
        <w:jc w:val="both"/>
      </w:pPr>
      <w:r w:rsidRPr="00EF6CA8">
        <w:t xml:space="preserve">In going forward, the mechanism also needs to </w:t>
      </w:r>
      <w:proofErr w:type="gramStart"/>
      <w:r w:rsidRPr="00EF6CA8">
        <w:t xml:space="preserve">ensure </w:t>
      </w:r>
      <w:r w:rsidR="00B457BB" w:rsidRPr="00EF6CA8">
        <w:t xml:space="preserve"> </w:t>
      </w:r>
      <w:r w:rsidR="00ED7301" w:rsidRPr="00EF6CA8">
        <w:t>cross</w:t>
      </w:r>
      <w:proofErr w:type="gramEnd"/>
      <w:r w:rsidR="00C43F39" w:rsidRPr="00EF6CA8">
        <w:t>-</w:t>
      </w:r>
      <w:r w:rsidR="009F1CEB" w:rsidRPr="00EF6CA8">
        <w:t>jurisdictional</w:t>
      </w:r>
      <w:r w:rsidR="00ED7301" w:rsidRPr="00EF6CA8">
        <w:t xml:space="preserve"> collaboration and partnership</w:t>
      </w:r>
      <w:r w:rsidRPr="00EF6CA8">
        <w:t xml:space="preserve"> with clearly defined roles and responsibilities</w:t>
      </w:r>
      <w:r w:rsidR="002759DA" w:rsidRPr="00EF6CA8">
        <w:t xml:space="preserve"> </w:t>
      </w:r>
      <w:r w:rsidR="00ED7301" w:rsidRPr="00EF6CA8">
        <w:t xml:space="preserve">to enable </w:t>
      </w:r>
      <w:r w:rsidRPr="00EF6CA8">
        <w:t>the delivery of</w:t>
      </w:r>
      <w:r w:rsidR="002759DA" w:rsidRPr="00EF6CA8">
        <w:t xml:space="preserve"> affordable, accessible, </w:t>
      </w:r>
      <w:proofErr w:type="spellStart"/>
      <w:r w:rsidR="002759DA" w:rsidRPr="00EF6CA8">
        <w:t>safeand</w:t>
      </w:r>
      <w:proofErr w:type="spellEnd"/>
      <w:r w:rsidR="002759DA" w:rsidRPr="00EF6CA8">
        <w:t xml:space="preserve"> quality services across all Commonwealth, State and Territory Government portfolios. The NDA</w:t>
      </w:r>
      <w:r w:rsidR="00622887" w:rsidRPr="00EF6CA8">
        <w:t>,</w:t>
      </w:r>
      <w:r w:rsidR="002759DA" w:rsidRPr="00EF6CA8">
        <w:t xml:space="preserve"> or as it otherwise develops</w:t>
      </w:r>
      <w:r w:rsidR="00622887" w:rsidRPr="00EF6CA8">
        <w:t>,</w:t>
      </w:r>
      <w:r w:rsidR="002759DA" w:rsidRPr="00EF6CA8">
        <w:t xml:space="preserve"> also needs to deliver better linkages across disability and other </w:t>
      </w:r>
      <w:r w:rsidR="006F27C5" w:rsidRPr="00EF6CA8">
        <w:t>N</w:t>
      </w:r>
      <w:r w:rsidR="002759DA" w:rsidRPr="00EF6CA8">
        <w:t xml:space="preserve">ational </w:t>
      </w:r>
      <w:r w:rsidR="006F27C5" w:rsidRPr="00EF6CA8">
        <w:t>A</w:t>
      </w:r>
      <w:r w:rsidR="002759DA" w:rsidRPr="00EF6CA8">
        <w:t xml:space="preserve">greements. </w:t>
      </w:r>
      <w:r w:rsidR="00ED7301" w:rsidRPr="00EF6CA8">
        <w:t xml:space="preserve"> </w:t>
      </w:r>
    </w:p>
    <w:p w:rsidR="00921FA6" w:rsidRPr="00EF6CA8" w:rsidRDefault="00921FA6" w:rsidP="00921FA6">
      <w:pPr>
        <w:pStyle w:val="Heading3"/>
      </w:pPr>
      <w:r w:rsidRPr="00EF6CA8">
        <w:t xml:space="preserve">Objectives, outcomes and outputs of the NDA     </w:t>
      </w:r>
    </w:p>
    <w:p w:rsidR="0087190B" w:rsidRPr="00EF6CA8" w:rsidRDefault="009D162F" w:rsidP="00C9086E">
      <w:pPr>
        <w:jc w:val="both"/>
      </w:pPr>
      <w:r w:rsidRPr="00EF6CA8">
        <w:t>Given the contemporary policy environment, QDN believes it is important that any agreement between Commonwealth and State/Territory Governments delivers accountability for all levels of government around the outcomes of</w:t>
      </w:r>
      <w:r w:rsidR="0087190B" w:rsidRPr="00EF6CA8">
        <w:t xml:space="preserve"> their</w:t>
      </w:r>
      <w:r w:rsidRPr="00EF6CA8">
        <w:t xml:space="preserve"> investment, whether it is in </w:t>
      </w:r>
      <w:r w:rsidR="00622887" w:rsidRPr="00EF6CA8">
        <w:t>specialist</w:t>
      </w:r>
      <w:r w:rsidRPr="00EF6CA8">
        <w:t xml:space="preserve"> disability support, or more broadly around the outcomes for people with disability accessing mainstream and community services. </w:t>
      </w:r>
    </w:p>
    <w:p w:rsidR="009D162F" w:rsidRPr="00EF6CA8" w:rsidRDefault="00D74B9B" w:rsidP="00C9086E">
      <w:pPr>
        <w:jc w:val="both"/>
      </w:pPr>
      <w:r>
        <w:t>Q</w:t>
      </w:r>
      <w:r w:rsidR="009D162F" w:rsidRPr="00EF6CA8">
        <w:t xml:space="preserve">DN believes it is important for </w:t>
      </w:r>
      <w:r w:rsidR="006D4BBB" w:rsidRPr="00EF6CA8">
        <w:t xml:space="preserve">a </w:t>
      </w:r>
      <w:r w:rsidR="006F27C5" w:rsidRPr="00EF6CA8">
        <w:t>N</w:t>
      </w:r>
      <w:r w:rsidR="009D162F" w:rsidRPr="00EF6CA8">
        <w:t xml:space="preserve">ational </w:t>
      </w:r>
      <w:r w:rsidR="006F27C5" w:rsidRPr="00EF6CA8">
        <w:t>D</w:t>
      </w:r>
      <w:r w:rsidR="009D162F" w:rsidRPr="00EF6CA8">
        <w:t xml:space="preserve">isability </w:t>
      </w:r>
      <w:r w:rsidR="006F27C5" w:rsidRPr="00EF6CA8">
        <w:t>A</w:t>
      </w:r>
      <w:r w:rsidR="009D162F" w:rsidRPr="00EF6CA8">
        <w:t>greement to focus more broadly on the key areas covered in the NDS</w:t>
      </w:r>
      <w:r w:rsidR="00E02192" w:rsidRPr="00EF6CA8">
        <w:t xml:space="preserve"> as this delivers outcomes for the whole population, and </w:t>
      </w:r>
      <w:r w:rsidR="00BB50BD" w:rsidRPr="00EF6CA8">
        <w:t xml:space="preserve">that </w:t>
      </w:r>
      <w:r w:rsidR="00E02192" w:rsidRPr="00EF6CA8">
        <w:t>specific arrangements are in place around the delivery of specialist disability services</w:t>
      </w:r>
      <w:r w:rsidR="009D162F" w:rsidRPr="00EF6CA8">
        <w:t>. QDN sees value in a governance mechanism that has scope to clearly articulate</w:t>
      </w:r>
      <w:r w:rsidR="006D4BBB" w:rsidRPr="00EF6CA8">
        <w:t xml:space="preserve"> outcomes across the six areas outlined in the NDS and delivers on the broader outcomes of the NDIS, within the structure of a national agreement. </w:t>
      </w:r>
    </w:p>
    <w:p w:rsidR="006D4BBB" w:rsidRPr="00EF6CA8" w:rsidRDefault="005B5C4B" w:rsidP="00C9086E">
      <w:pPr>
        <w:jc w:val="both"/>
      </w:pPr>
      <w:r w:rsidRPr="00EF6CA8">
        <w:t xml:space="preserve">QDN </w:t>
      </w:r>
      <w:r w:rsidR="0014459A">
        <w:t xml:space="preserve">asserts that </w:t>
      </w:r>
      <w:r w:rsidRPr="00EF6CA8">
        <w:t>a national agreement clearly articulating the objectives, outcomes and outputs in a broader context that more closely aligns with the goals of the NDS will assist in driving the impetus for change and the accountability mechanisms needed to achieve better outcomes</w:t>
      </w:r>
      <w:r w:rsidR="00E02192" w:rsidRPr="00EF6CA8">
        <w:t xml:space="preserve"> for all </w:t>
      </w:r>
      <w:r w:rsidR="00BB50BD" w:rsidRPr="00EF6CA8">
        <w:t>Australians</w:t>
      </w:r>
      <w:r w:rsidR="00E02192" w:rsidRPr="00EF6CA8">
        <w:t xml:space="preserve"> with </w:t>
      </w:r>
      <w:r w:rsidR="00BB50BD" w:rsidRPr="00EF6CA8">
        <w:t>disability</w:t>
      </w:r>
      <w:r w:rsidRPr="00EF6CA8">
        <w:t xml:space="preserve">. </w:t>
      </w:r>
    </w:p>
    <w:p w:rsidR="00C9086E" w:rsidRPr="00EF6CA8" w:rsidRDefault="009D162F" w:rsidP="00C9086E">
      <w:pPr>
        <w:jc w:val="both"/>
      </w:pPr>
      <w:r w:rsidRPr="00EF6CA8">
        <w:t xml:space="preserve"> </w:t>
      </w:r>
      <w:r w:rsidR="00D67826" w:rsidRPr="00EF6CA8">
        <w:t xml:space="preserve">QDN </w:t>
      </w:r>
      <w:r w:rsidR="004A4192" w:rsidRPr="00EF6CA8">
        <w:t xml:space="preserve">argues for better </w:t>
      </w:r>
      <w:r w:rsidR="004060BF" w:rsidRPr="00EF6CA8">
        <w:t xml:space="preserve">planning and reporting </w:t>
      </w:r>
      <w:r w:rsidR="00C9086E" w:rsidRPr="00EF6CA8">
        <w:t xml:space="preserve">by </w:t>
      </w:r>
      <w:r w:rsidR="004060BF" w:rsidRPr="00EF6CA8">
        <w:t>improving the evidence base</w:t>
      </w:r>
      <w:r w:rsidR="008A77BB" w:rsidRPr="00EF6CA8">
        <w:t xml:space="preserve"> around </w:t>
      </w:r>
      <w:r w:rsidR="005B5C4B" w:rsidRPr="00EF6CA8">
        <w:t xml:space="preserve">the efficacy of the services and supports </w:t>
      </w:r>
      <w:r w:rsidR="00EA0BAC">
        <w:t xml:space="preserve">accessed by </w:t>
      </w:r>
      <w:r w:rsidR="008A77BB" w:rsidRPr="00EF6CA8">
        <w:t xml:space="preserve">people with disability </w:t>
      </w:r>
      <w:r w:rsidR="005B5C4B" w:rsidRPr="00EF6CA8">
        <w:t>from all services and systems</w:t>
      </w:r>
      <w:r w:rsidR="00C9086E" w:rsidRPr="00EF6CA8">
        <w:t xml:space="preserve">. </w:t>
      </w:r>
      <w:r w:rsidR="00E02192" w:rsidRPr="00EF6CA8">
        <w:t>An ability to measure is a</w:t>
      </w:r>
      <w:r w:rsidR="005B5C4B" w:rsidRPr="00EF6CA8">
        <w:t xml:space="preserve"> critical element needed </w:t>
      </w:r>
      <w:r w:rsidR="00E02192" w:rsidRPr="00EF6CA8">
        <w:t>to be able to report</w:t>
      </w:r>
      <w:r w:rsidR="002759DA" w:rsidRPr="00EF6CA8">
        <w:t xml:space="preserve"> on the object</w:t>
      </w:r>
      <w:r w:rsidR="006F27C5" w:rsidRPr="00EF6CA8">
        <w:t>ives</w:t>
      </w:r>
      <w:r w:rsidR="002759DA" w:rsidRPr="00EF6CA8">
        <w:t xml:space="preserve">, </w:t>
      </w:r>
      <w:r w:rsidR="006F27C5" w:rsidRPr="00EF6CA8">
        <w:t xml:space="preserve">outputs and </w:t>
      </w:r>
      <w:r w:rsidR="002759DA" w:rsidRPr="00EF6CA8">
        <w:t>outcomes</w:t>
      </w:r>
      <w:r w:rsidR="006F27C5" w:rsidRPr="00EF6CA8">
        <w:t>.</w:t>
      </w:r>
      <w:r w:rsidR="002759DA" w:rsidRPr="00EF6CA8">
        <w:t xml:space="preserve"> At the moment</w:t>
      </w:r>
      <w:r w:rsidR="006F27C5" w:rsidRPr="00EF6CA8">
        <w:t>,</w:t>
      </w:r>
      <w:r w:rsidR="002759DA" w:rsidRPr="00EF6CA8">
        <w:t xml:space="preserve"> across all jurisdictions and service systems, the ability of </w:t>
      </w:r>
      <w:r w:rsidR="00FF63CC" w:rsidRPr="00EF6CA8">
        <w:t xml:space="preserve">the </w:t>
      </w:r>
      <w:r w:rsidR="002759DA" w:rsidRPr="00EF6CA8">
        <w:t>front</w:t>
      </w:r>
      <w:r w:rsidR="006F27C5" w:rsidRPr="00EF6CA8">
        <w:t>-</w:t>
      </w:r>
      <w:r w:rsidR="002759DA" w:rsidRPr="00EF6CA8">
        <w:t xml:space="preserve">line workforce and systems to identify </w:t>
      </w:r>
      <w:r w:rsidR="00696911" w:rsidRPr="00EF6CA8">
        <w:t xml:space="preserve">service-users as </w:t>
      </w:r>
      <w:r w:rsidR="002759DA" w:rsidRPr="00EF6CA8">
        <w:t>people with disability is limited</w:t>
      </w:r>
      <w:r w:rsidR="00E02192" w:rsidRPr="00EF6CA8">
        <w:t xml:space="preserve">, let alone </w:t>
      </w:r>
      <w:r w:rsidR="00FF63CC" w:rsidRPr="00EF6CA8">
        <w:t xml:space="preserve">being able to </w:t>
      </w:r>
      <w:r w:rsidR="00E02192" w:rsidRPr="00EF6CA8">
        <w:t xml:space="preserve">record this data, and </w:t>
      </w:r>
      <w:r w:rsidR="00FF63CC" w:rsidRPr="00EF6CA8">
        <w:t xml:space="preserve">to </w:t>
      </w:r>
      <w:r w:rsidR="00E02192" w:rsidRPr="00EF6CA8">
        <w:t>report on specific outcomes</w:t>
      </w:r>
      <w:r w:rsidR="002759DA" w:rsidRPr="00EF6CA8">
        <w:t xml:space="preserve">. Into the future, QDN supports the development of individual and system responses </w:t>
      </w:r>
      <w:proofErr w:type="gramStart"/>
      <w:r w:rsidR="002759DA" w:rsidRPr="00EF6CA8">
        <w:t>that  better</w:t>
      </w:r>
      <w:proofErr w:type="gramEnd"/>
      <w:r w:rsidR="002759DA" w:rsidRPr="00EF6CA8">
        <w:t xml:space="preserve"> identify people with disability as service</w:t>
      </w:r>
      <w:r w:rsidR="006F27C5" w:rsidRPr="00EF6CA8">
        <w:t>-</w:t>
      </w:r>
      <w:r w:rsidR="002759DA" w:rsidRPr="00EF6CA8">
        <w:t xml:space="preserve">users, deliver responsive services, and measure the quality and outcomes of what has been delivered. </w:t>
      </w:r>
      <w:r w:rsidR="00C9086E" w:rsidRPr="00EF6CA8">
        <w:t xml:space="preserve">  </w:t>
      </w:r>
    </w:p>
    <w:p w:rsidR="005B5C4B" w:rsidRPr="00C9086E" w:rsidRDefault="005B5C4B" w:rsidP="00C9086E">
      <w:pPr>
        <w:jc w:val="both"/>
      </w:pPr>
      <w:r w:rsidRPr="00EF6CA8">
        <w:t>QDN supports a national governance and accountability mechanism that delivers achievable outcomes that require reporting against specific outcomes within specific time</w:t>
      </w:r>
      <w:r w:rsidR="00BB50BD" w:rsidRPr="00EF6CA8">
        <w:t xml:space="preserve"> </w:t>
      </w:r>
      <w:r w:rsidRPr="00EF6CA8">
        <w:t>periods</w:t>
      </w:r>
      <w:r w:rsidR="00EA0BAC">
        <w:t>. O</w:t>
      </w:r>
      <w:r w:rsidRPr="00EF6CA8">
        <w:t>therwise</w:t>
      </w:r>
      <w:r w:rsidR="00EA0BAC">
        <w:t>,</w:t>
      </w:r>
      <w:r w:rsidRPr="00EF6CA8">
        <w:t xml:space="preserve"> impetus to deliver remains aspirational as well as the goals and outcomes.</w:t>
      </w:r>
      <w:r w:rsidR="006F27C5" w:rsidRPr="00EF6CA8">
        <w:t xml:space="preserve"> </w:t>
      </w:r>
    </w:p>
    <w:p w:rsidR="00921FA6" w:rsidRDefault="00D67826" w:rsidP="00921FA6">
      <w:pPr>
        <w:pStyle w:val="Heading3"/>
      </w:pPr>
      <w:r>
        <w:t>R</w:t>
      </w:r>
      <w:r w:rsidR="00921FA6">
        <w:t xml:space="preserve">oles and responsibilities of Governments    </w:t>
      </w:r>
    </w:p>
    <w:p w:rsidR="001F2E2F" w:rsidRDefault="001F2E2F" w:rsidP="000B6A76">
      <w:pPr>
        <w:jc w:val="both"/>
      </w:pPr>
      <w:r>
        <w:t xml:space="preserve">QDN notes the need to update the roles and responsibilities of Commonwealth and State and Territory Governments within the NDA, given the implementation of the NDIS, the move to a National Quality and </w:t>
      </w:r>
      <w:r w:rsidR="00AC3C85">
        <w:t>Safeguarding Framework</w:t>
      </w:r>
      <w:r w:rsidR="005B5C4B">
        <w:t xml:space="preserve"> which only monitors the quality of services and experiences of abuse and neglect for 460,000 individuals with </w:t>
      </w:r>
      <w:r w:rsidR="006F27C5">
        <w:t>disability</w:t>
      </w:r>
      <w:r w:rsidR="005B5C4B">
        <w:t xml:space="preserve"> eligible for the NDIS </w:t>
      </w:r>
      <w:r w:rsidR="00AC3C85">
        <w:t xml:space="preserve">and </w:t>
      </w:r>
      <w:r w:rsidR="00FF63CC">
        <w:t xml:space="preserve">also </w:t>
      </w:r>
      <w:proofErr w:type="gramStart"/>
      <w:r w:rsidR="00FF63CC">
        <w:t xml:space="preserve">that </w:t>
      </w:r>
      <w:r w:rsidR="00AC3C85">
        <w:t xml:space="preserve"> states</w:t>
      </w:r>
      <w:proofErr w:type="gramEnd"/>
      <w:r w:rsidR="00AC3C85">
        <w:t xml:space="preserve"> and t</w:t>
      </w:r>
      <w:r>
        <w:t xml:space="preserve">erritories </w:t>
      </w:r>
      <w:r w:rsidR="00FF63CC">
        <w:t xml:space="preserve">are </w:t>
      </w:r>
      <w:r>
        <w:t xml:space="preserve">moving away from </w:t>
      </w:r>
      <w:r w:rsidR="002759DA">
        <w:t xml:space="preserve"> </w:t>
      </w:r>
      <w:r>
        <w:t xml:space="preserve">funding and </w:t>
      </w:r>
      <w:r w:rsidR="002759DA">
        <w:t>deliver</w:t>
      </w:r>
      <w:r w:rsidR="00FF63CC">
        <w:t>ing</w:t>
      </w:r>
      <w:r w:rsidR="002759DA">
        <w:t xml:space="preserve"> </w:t>
      </w:r>
      <w:r>
        <w:t xml:space="preserve">specialist disability services.  </w:t>
      </w:r>
    </w:p>
    <w:p w:rsidR="00B457BB" w:rsidRDefault="001F2E2F" w:rsidP="000B6A76">
      <w:pPr>
        <w:jc w:val="both"/>
      </w:pPr>
      <w:r>
        <w:t xml:space="preserve">QDN </w:t>
      </w:r>
      <w:r w:rsidR="002759DA">
        <w:t xml:space="preserve">acknowledges </w:t>
      </w:r>
      <w:r>
        <w:t>that p</w:t>
      </w:r>
      <w:r w:rsidR="000B6A76" w:rsidRPr="00697798">
        <w:t>eople with disability have the same right of access to services as all Australians, consistent with the goals of the N</w:t>
      </w:r>
      <w:r w:rsidR="000B6A76">
        <w:t xml:space="preserve">DS </w:t>
      </w:r>
      <w:r w:rsidR="000B6A76" w:rsidRPr="00697798">
        <w:t>which aims to maximise the potential and participation of people with disability. </w:t>
      </w:r>
      <w:r w:rsidR="000B6A76">
        <w:t xml:space="preserve"> Most people with disability access mainstream services as </w:t>
      </w:r>
      <w:r w:rsidR="000B6A76" w:rsidRPr="00697798">
        <w:t xml:space="preserve">part of </w:t>
      </w:r>
      <w:r w:rsidR="000B6A76">
        <w:t xml:space="preserve">the </w:t>
      </w:r>
      <w:r w:rsidR="000B6A76" w:rsidRPr="00697798">
        <w:t>service system's universal service obligation (for example, meeting the health, education, housing, or safety needs of all Australians) or covered by reasonable adjustment (as required under the Commonwealth Disability Discrimination Act or similar legislation in jurisdictions).</w:t>
      </w:r>
      <w:r w:rsidR="000B6A76">
        <w:t xml:space="preserve"> </w:t>
      </w:r>
      <w:r w:rsidR="00BD0E5F">
        <w:t xml:space="preserve"> </w:t>
      </w:r>
    </w:p>
    <w:p w:rsidR="00E02192" w:rsidRDefault="00BD0E5F" w:rsidP="000B6A76">
      <w:pPr>
        <w:jc w:val="both"/>
      </w:pPr>
      <w:r>
        <w:t xml:space="preserve">QDN members </w:t>
      </w:r>
      <w:proofErr w:type="gramStart"/>
      <w:r>
        <w:t xml:space="preserve">report </w:t>
      </w:r>
      <w:r w:rsidR="005B5C4B">
        <w:t xml:space="preserve"> a</w:t>
      </w:r>
      <w:proofErr w:type="gramEnd"/>
      <w:r w:rsidR="005B5C4B">
        <w:t xml:space="preserve"> range of gaps in services outside of the NDIS across all areas including health, housing, employment, transport, justice, and education. Reports from QDN members who are not NDIS eligible identify that their access to services, support and assistance to navigate the mainstream service system </w:t>
      </w:r>
      <w:r w:rsidR="00E02192">
        <w:t xml:space="preserve">is limited. As an example, a </w:t>
      </w:r>
      <w:r w:rsidR="008B4DBE">
        <w:t xml:space="preserve">number of QDN members </w:t>
      </w:r>
      <w:r w:rsidR="00E02192">
        <w:t xml:space="preserve">have identified the key </w:t>
      </w:r>
      <w:r w:rsidR="008B4DBE">
        <w:t xml:space="preserve">challenges they </w:t>
      </w:r>
      <w:proofErr w:type="gramStart"/>
      <w:r w:rsidR="008B4DBE">
        <w:t>experience  within</w:t>
      </w:r>
      <w:proofErr w:type="gramEnd"/>
      <w:r w:rsidR="008B4DBE">
        <w:t xml:space="preserve"> health setting</w:t>
      </w:r>
      <w:r w:rsidR="0014459A">
        <w:t>s</w:t>
      </w:r>
      <w:r w:rsidR="008B4DBE">
        <w:t xml:space="preserve">, including acute and primary care settings and the </w:t>
      </w:r>
      <w:r w:rsidR="00E02192">
        <w:t xml:space="preserve">limited </w:t>
      </w:r>
      <w:r w:rsidR="008B4DBE">
        <w:t xml:space="preserve">knowledge, skills and expertise of the workforce within this system to deliver them quality care which meets their needs and disability. </w:t>
      </w:r>
    </w:p>
    <w:p w:rsidR="006F27C5" w:rsidRDefault="000B6A76" w:rsidP="000B6A76">
      <w:pPr>
        <w:jc w:val="both"/>
      </w:pPr>
      <w:r>
        <w:rPr>
          <w:rFonts w:cstheme="minorHAnsi"/>
          <w:bCs/>
          <w:lang w:eastAsia="en-AU"/>
        </w:rPr>
        <w:t xml:space="preserve">QDN </w:t>
      </w:r>
      <w:r w:rsidR="00E2504D">
        <w:rPr>
          <w:rFonts w:cstheme="minorHAnsi"/>
          <w:bCs/>
          <w:lang w:eastAsia="en-AU"/>
        </w:rPr>
        <w:t xml:space="preserve">also </w:t>
      </w:r>
      <w:r w:rsidR="00EF59D2">
        <w:rPr>
          <w:rFonts w:cstheme="minorHAnsi"/>
          <w:bCs/>
          <w:lang w:eastAsia="en-AU"/>
        </w:rPr>
        <w:t>notes th</w:t>
      </w:r>
      <w:r w:rsidR="00C43F39">
        <w:rPr>
          <w:rFonts w:cstheme="minorHAnsi"/>
          <w:bCs/>
          <w:lang w:eastAsia="en-AU"/>
        </w:rPr>
        <w:t>at a</w:t>
      </w:r>
      <w:r w:rsidR="00EF59D2">
        <w:rPr>
          <w:rFonts w:cstheme="minorHAnsi"/>
          <w:bCs/>
          <w:lang w:eastAsia="en-AU"/>
        </w:rPr>
        <w:t xml:space="preserve"> </w:t>
      </w:r>
      <w:r w:rsidRPr="00820639">
        <w:rPr>
          <w:rFonts w:cstheme="minorHAnsi"/>
          <w:bCs/>
          <w:lang w:eastAsia="en-AU"/>
        </w:rPr>
        <w:t>n</w:t>
      </w:r>
      <w:r w:rsidRPr="00820639">
        <w:t xml:space="preserve">ationally consistent approach in the delivery of disability services and supports and other essential mainstream services, is not </w:t>
      </w:r>
      <w:r w:rsidR="00C43F39">
        <w:t xml:space="preserve">currently </w:t>
      </w:r>
      <w:r w:rsidRPr="00820639">
        <w:t xml:space="preserve">in place. </w:t>
      </w:r>
      <w:r w:rsidR="008B4DBE">
        <w:t xml:space="preserve">QDN believes that it is important to </w:t>
      </w:r>
      <w:r>
        <w:t xml:space="preserve">clarify </w:t>
      </w:r>
      <w:r w:rsidRPr="00820639">
        <w:t>service delivery responsibilities</w:t>
      </w:r>
      <w:r w:rsidR="00EF59D2">
        <w:t xml:space="preserve"> within the </w:t>
      </w:r>
      <w:r w:rsidR="00E2504D">
        <w:t>NDA and NDS</w:t>
      </w:r>
      <w:r>
        <w:t xml:space="preserve">. </w:t>
      </w:r>
      <w:r w:rsidR="00EF59D2">
        <w:t xml:space="preserve"> </w:t>
      </w:r>
      <w:r>
        <w:t xml:space="preserve">A lack of </w:t>
      </w:r>
      <w:proofErr w:type="gramStart"/>
      <w:r w:rsidR="008B4DBE">
        <w:t xml:space="preserve">consistency </w:t>
      </w:r>
      <w:r w:rsidR="008B4DBE" w:rsidRPr="00820639">
        <w:t xml:space="preserve"> </w:t>
      </w:r>
      <w:r w:rsidRPr="00820639">
        <w:t>in</w:t>
      </w:r>
      <w:proofErr w:type="gramEnd"/>
      <w:r w:rsidRPr="00820639">
        <w:t xml:space="preserve"> </w:t>
      </w:r>
      <w:r w:rsidR="008B4DBE">
        <w:t>the</w:t>
      </w:r>
      <w:r w:rsidRPr="00820639">
        <w:t xml:space="preserve"> Bilateral Agreements</w:t>
      </w:r>
      <w:r>
        <w:t xml:space="preserve"> </w:t>
      </w:r>
      <w:r w:rsidR="008B4DBE">
        <w:t xml:space="preserve">to delineate responsibility for administering different programs across areas such as transport and health has impacted upon the </w:t>
      </w:r>
      <w:r w:rsidRPr="00820639">
        <w:t xml:space="preserve"> negotiation between the Commonwealth, NDIA and states and territories. </w:t>
      </w:r>
      <w:r w:rsidR="008B4DBE">
        <w:t>At the end of the day, for Queenslanders with disability this has led to impacts upon their day</w:t>
      </w:r>
      <w:r w:rsidR="00BB50BD">
        <w:t>-</w:t>
      </w:r>
      <w:r w:rsidR="008B4DBE">
        <w:t>to</w:t>
      </w:r>
      <w:r w:rsidR="00BB50BD">
        <w:t>-</w:t>
      </w:r>
      <w:r w:rsidR="008B4DBE">
        <w:t xml:space="preserve"> day life and ability to access essential services such as transport and health</w:t>
      </w:r>
      <w:r w:rsidR="00BB50BD">
        <w:t>-</w:t>
      </w:r>
      <w:r w:rsidR="008B4DBE">
        <w:t xml:space="preserve">care. </w:t>
      </w:r>
      <w:r w:rsidR="00052B82">
        <w:t xml:space="preserve">Lengthy timeframes to </w:t>
      </w:r>
      <w:proofErr w:type="spellStart"/>
      <w:r w:rsidR="00052B82">
        <w:t>re-negotiate</w:t>
      </w:r>
      <w:proofErr w:type="spellEnd"/>
      <w:r w:rsidR="00052B82">
        <w:t xml:space="preserve"> mutually suitable arrangements to </w:t>
      </w:r>
      <w:r w:rsidR="00BB50BD">
        <w:t>bilateral</w:t>
      </w:r>
      <w:r w:rsidR="00052B82">
        <w:t xml:space="preserve"> agreements is impacting upon Queenslanders with disability and their access to </w:t>
      </w:r>
      <w:r w:rsidR="00BB50BD">
        <w:t xml:space="preserve">mainstream </w:t>
      </w:r>
      <w:r w:rsidR="00052B82">
        <w:t>services and supports</w:t>
      </w:r>
      <w:r w:rsidR="00BB50BD">
        <w:t>.</w:t>
      </w:r>
      <w:r w:rsidR="00052B82">
        <w:t xml:space="preserve"> For example, i</w:t>
      </w:r>
      <w:r w:rsidRPr="00820639">
        <w:t xml:space="preserve">t took seven months </w:t>
      </w:r>
      <w:r w:rsidR="00052B82">
        <w:t xml:space="preserve">to reach </w:t>
      </w:r>
      <w:r w:rsidRPr="00820639">
        <w:t xml:space="preserve">a temporary solution over </w:t>
      </w:r>
      <w:r w:rsidR="00052B82">
        <w:t xml:space="preserve">the arrangements for people to be able to access the </w:t>
      </w:r>
      <w:r w:rsidR="006F27C5">
        <w:t>Taxi Subsidy Scheme (TSS).</w:t>
      </w:r>
      <w:r w:rsidR="008B4DBE">
        <w:t xml:space="preserve">  </w:t>
      </w:r>
    </w:p>
    <w:p w:rsidR="000B6A76" w:rsidRPr="00820639" w:rsidRDefault="00052B82" w:rsidP="000B6A76">
      <w:pPr>
        <w:jc w:val="both"/>
      </w:pPr>
      <w:r>
        <w:t xml:space="preserve">In Queensland, QDN members are also highlighting ongoing interface issues across acute health care and NDIS, including delaying the discharge of patients with disability which can be lengthy and costly for the patient and Queensland’s Health Services.  </w:t>
      </w:r>
      <w:r w:rsidR="008B4DBE">
        <w:t>The implications of the negotiated bilateral agreements</w:t>
      </w:r>
      <w:r>
        <w:t xml:space="preserve"> that are different in each state and territory, </w:t>
      </w:r>
      <w:r w:rsidR="008B4DBE">
        <w:t xml:space="preserve">and the interpretations and implementation of COAG principles of NDIS and mainstream services leave people with disability in a compromised situation, with gaps emerging in the service system and the lack </w:t>
      </w:r>
      <w:r w:rsidR="0014459A">
        <w:t xml:space="preserve">of clarity across jurisdictions </w:t>
      </w:r>
      <w:r w:rsidR="008B4DBE">
        <w:t xml:space="preserve">about </w:t>
      </w:r>
      <w:r w:rsidR="00BB50BD">
        <w:t xml:space="preserve">service provider </w:t>
      </w:r>
      <w:r w:rsidR="008B4DBE">
        <w:t xml:space="preserve">roles and responsibilities. </w:t>
      </w:r>
      <w:r w:rsidR="000B6A76" w:rsidRPr="00820639">
        <w:t>Th</w:t>
      </w:r>
      <w:r w:rsidR="00A2567E">
        <w:t xml:space="preserve">is </w:t>
      </w:r>
      <w:r w:rsidR="000B6A76" w:rsidRPr="00820639">
        <w:t xml:space="preserve">lack of certainty over who is responsible for services </w:t>
      </w:r>
      <w:r w:rsidR="000B6A76">
        <w:t xml:space="preserve">also </w:t>
      </w:r>
      <w:r w:rsidR="000B6A76" w:rsidRPr="00820639">
        <w:t xml:space="preserve">increases the risk of poorer service delivery experiences for people with disability and increases the potential for duplication of service systems and gaps in service delivery. </w:t>
      </w:r>
    </w:p>
    <w:p w:rsidR="000B6A76" w:rsidRDefault="000B6A76" w:rsidP="000B6A76">
      <w:pPr>
        <w:jc w:val="both"/>
      </w:pPr>
      <w:r>
        <w:t>Mainstream services</w:t>
      </w:r>
      <w:r w:rsidR="006C2604">
        <w:t>,</w:t>
      </w:r>
      <w:r>
        <w:t xml:space="preserve"> such as health, education, community services, justice, transport, employment and housing</w:t>
      </w:r>
      <w:r w:rsidR="006C2604">
        <w:t>,</w:t>
      </w:r>
      <w:r>
        <w:t xml:space="preserve"> have a responsibility to ensure equitable and universal access to services, however th</w:t>
      </w:r>
      <w:r w:rsidR="00EF59D2">
        <w:t>ere</w:t>
      </w:r>
      <w:r>
        <w:t xml:space="preserve"> appears to be a lack of proactive coordination across a range of policy areas. QDN would like to see the NDA</w:t>
      </w:r>
      <w:r w:rsidR="00B457BB">
        <w:t>,</w:t>
      </w:r>
      <w:r>
        <w:t xml:space="preserve"> </w:t>
      </w:r>
      <w:r w:rsidR="00B457BB">
        <w:t xml:space="preserve">in whatever form, </w:t>
      </w:r>
      <w:proofErr w:type="gramStart"/>
      <w:r w:rsidR="00B457BB">
        <w:t xml:space="preserve">embed </w:t>
      </w:r>
      <w:r>
        <w:t xml:space="preserve"> proactive</w:t>
      </w:r>
      <w:proofErr w:type="gramEnd"/>
      <w:r>
        <w:t xml:space="preserve"> coordination </w:t>
      </w:r>
      <w:r w:rsidR="00EF59D2">
        <w:t xml:space="preserve">across policy areas within </w:t>
      </w:r>
      <w:r>
        <w:t>its mandate</w:t>
      </w:r>
      <w:r w:rsidR="00EF59D2">
        <w:t>.</w:t>
      </w:r>
      <w:r>
        <w:t xml:space="preserve"> </w:t>
      </w:r>
    </w:p>
    <w:p w:rsidR="00E7474B" w:rsidRDefault="00241250" w:rsidP="00E7474B">
      <w:pPr>
        <w:jc w:val="both"/>
      </w:pPr>
      <w:r w:rsidRPr="00241250">
        <w:t>The I</w:t>
      </w:r>
      <w:r>
        <w:t xml:space="preserve">nformation Linkage and Capacity Building </w:t>
      </w:r>
      <w:r w:rsidRPr="00241250">
        <w:t xml:space="preserve">Framework </w:t>
      </w:r>
      <w:r w:rsidR="008C0E3F">
        <w:t xml:space="preserve">(ILC) </w:t>
      </w:r>
      <w:r>
        <w:t xml:space="preserve">under the NDIS plays </w:t>
      </w:r>
      <w:r w:rsidRPr="00241250">
        <w:t>an important role in facilitating referral and linkages to and from mainstream service sys</w:t>
      </w:r>
      <w:r w:rsidR="00052B82">
        <w:t xml:space="preserve">tems for people with disability. </w:t>
      </w:r>
      <w:r w:rsidR="00E7474B">
        <w:t xml:space="preserve">QDN </w:t>
      </w:r>
      <w:r w:rsidR="008B4DBE">
        <w:t>acknowledges the importan</w:t>
      </w:r>
      <w:r w:rsidR="006C2604">
        <w:t>ce</w:t>
      </w:r>
      <w:r w:rsidR="008B4DBE">
        <w:t xml:space="preserve"> of the ILC, however its implementation and investment is </w:t>
      </w:r>
      <w:r w:rsidR="00727938">
        <w:t xml:space="preserve">inadequate to deliver on the </w:t>
      </w:r>
      <w:r w:rsidR="00BB50BD">
        <w:t>critically</w:t>
      </w:r>
      <w:r w:rsidR="00727938">
        <w:t xml:space="preserve"> important work and outcomes for all of the Australians with </w:t>
      </w:r>
      <w:proofErr w:type="spellStart"/>
      <w:r w:rsidR="00727938">
        <w:t>disabiltiy</w:t>
      </w:r>
      <w:proofErr w:type="spellEnd"/>
      <w:r w:rsidR="00727938">
        <w:t xml:space="preserve"> who are ineligible for </w:t>
      </w:r>
      <w:r w:rsidR="00BB50BD">
        <w:t xml:space="preserve">funded supports under the </w:t>
      </w:r>
      <w:r w:rsidR="00727938">
        <w:t xml:space="preserve">NDIS. </w:t>
      </w:r>
      <w:r w:rsidR="00111E15">
        <w:t xml:space="preserve">QDN </w:t>
      </w:r>
      <w:proofErr w:type="gramStart"/>
      <w:r w:rsidR="00656558">
        <w:t xml:space="preserve">argues </w:t>
      </w:r>
      <w:r w:rsidR="00727938">
        <w:t xml:space="preserve"> the</w:t>
      </w:r>
      <w:proofErr w:type="gramEnd"/>
      <w:r w:rsidR="00727938">
        <w:t xml:space="preserve"> need for </w:t>
      </w:r>
      <w:r w:rsidR="00111E15">
        <w:t xml:space="preserve"> ongoing </w:t>
      </w:r>
      <w:r w:rsidR="00E7474B">
        <w:t xml:space="preserve">substantial </w:t>
      </w:r>
      <w:r w:rsidR="00E7474B" w:rsidRPr="00811947">
        <w:t xml:space="preserve">investment </w:t>
      </w:r>
      <w:r w:rsidR="00111E15">
        <w:t xml:space="preserve">in </w:t>
      </w:r>
      <w:r w:rsidR="00E7474B" w:rsidRPr="00811947">
        <w:t xml:space="preserve">ILC </w:t>
      </w:r>
      <w:r w:rsidR="00111E15">
        <w:t xml:space="preserve">and argues for the Commonwealth to fund ILC activities at a minimum of $131 million per annum until the results of the review of scheme costs in 2023. This is in line with the PC’s recommendation from the review of NDIS costs in 2017.  </w:t>
      </w:r>
    </w:p>
    <w:p w:rsidR="00727938" w:rsidRDefault="00727938" w:rsidP="00E7474B">
      <w:pPr>
        <w:jc w:val="both"/>
      </w:pPr>
      <w:r>
        <w:t>QDN supports an agreement architecture that has regard to the range of services that are delivered to people with disability, and consider</w:t>
      </w:r>
      <w:r w:rsidR="006C2604">
        <w:t>s</w:t>
      </w:r>
      <w:r>
        <w:t xml:space="preserve"> </w:t>
      </w:r>
      <w:r w:rsidR="006C2604">
        <w:t>interse</w:t>
      </w:r>
      <w:r w:rsidR="00BF6057">
        <w:t xml:space="preserve">ctions with </w:t>
      </w:r>
      <w:r>
        <w:t xml:space="preserve">other </w:t>
      </w:r>
      <w:r w:rsidR="006C2604">
        <w:t>National A</w:t>
      </w:r>
      <w:r>
        <w:t>greements or sits within a disability specific agreement.</w:t>
      </w:r>
      <w:r w:rsidR="00EF6CA8">
        <w:t xml:space="preserve"> In moving forward, it is critical to improve the outcomes for people with disability across all mainstream services. To be able to do this information must be able to identify people with disability, measure what is happening for them and its impact and publically report on this to deliver accountability. </w:t>
      </w:r>
      <w:r>
        <w:t xml:space="preserve"> </w:t>
      </w:r>
    </w:p>
    <w:p w:rsidR="00921FA6" w:rsidRDefault="00D5246B" w:rsidP="00921FA6">
      <w:pPr>
        <w:pStyle w:val="Heading3"/>
      </w:pPr>
      <w:r>
        <w:t>T</w:t>
      </w:r>
      <w:r w:rsidR="00921FA6">
        <w:t xml:space="preserve">he NDA’s performance framework – indicators </w:t>
      </w:r>
      <w:r>
        <w:t xml:space="preserve">and benchmarks </w:t>
      </w:r>
    </w:p>
    <w:p w:rsidR="00727938" w:rsidRDefault="00727938" w:rsidP="0019714C">
      <w:pPr>
        <w:jc w:val="both"/>
      </w:pPr>
      <w:r>
        <w:t>QDN acknowledges</w:t>
      </w:r>
      <w:r w:rsidR="00BB50BD">
        <w:t xml:space="preserve"> that, over the past three decades,</w:t>
      </w:r>
      <w:r>
        <w:t xml:space="preserve"> all levels of </w:t>
      </w:r>
      <w:r w:rsidR="006C2604">
        <w:t>g</w:t>
      </w:r>
      <w:r>
        <w:t xml:space="preserve">overnment have been actively working towards improving the outcomes for people with disability and </w:t>
      </w:r>
      <w:proofErr w:type="gramStart"/>
      <w:r>
        <w:t>delivering  more</w:t>
      </w:r>
      <w:proofErr w:type="gramEnd"/>
      <w:r>
        <w:t xml:space="preserve"> inclusive </w:t>
      </w:r>
      <w:proofErr w:type="spellStart"/>
      <w:r>
        <w:t>communit</w:t>
      </w:r>
      <w:r w:rsidR="00BB50BD">
        <w:t>ies</w:t>
      </w:r>
      <w:r>
        <w:t>y</w:t>
      </w:r>
      <w:proofErr w:type="spellEnd"/>
      <w:r w:rsidR="00BB50BD">
        <w:t>.</w:t>
      </w:r>
      <w:r>
        <w:t xml:space="preserve"> </w:t>
      </w:r>
    </w:p>
    <w:p w:rsidR="00727938" w:rsidRDefault="00727938" w:rsidP="0019714C">
      <w:pPr>
        <w:jc w:val="both"/>
      </w:pPr>
      <w:r>
        <w:t>QDN believes that an important part of measuring performance is that the end</w:t>
      </w:r>
      <w:r w:rsidR="00BB50BD">
        <w:t>-</w:t>
      </w:r>
      <w:r>
        <w:t xml:space="preserve">users of the service are involved in the reporting and evaluation of those </w:t>
      </w:r>
      <w:r w:rsidR="00E33142">
        <w:t xml:space="preserve">output and outcome </w:t>
      </w:r>
      <w:r>
        <w:t>measures. For people with disability, who have been passive recipients of services for decades, often in a position of having little input or decision</w:t>
      </w:r>
      <w:r w:rsidR="00E33142">
        <w:t>-</w:t>
      </w:r>
      <w:r>
        <w:t xml:space="preserve">making about any area of their life </w:t>
      </w:r>
      <w:r w:rsidR="00BF6057">
        <w:t>i</w:t>
      </w:r>
      <w:r>
        <w:t>t is critical that people are given the opportunity to develop their skill</w:t>
      </w:r>
      <w:r w:rsidR="006C2604">
        <w:t>s</w:t>
      </w:r>
      <w:r>
        <w:t xml:space="preserve"> and knowledge to give feedback. Alongside this, it is also important for a cultural shift which has often seen many people </w:t>
      </w:r>
      <w:r w:rsidR="00553DE7">
        <w:t xml:space="preserve">feeling ‘grateful’ for the fact that they have got ‘a’ service, rather than being able to determine if what they have received is a ‘quality’ service. </w:t>
      </w:r>
    </w:p>
    <w:p w:rsidR="00553DE7" w:rsidRDefault="00553DE7" w:rsidP="0019714C">
      <w:pPr>
        <w:jc w:val="both"/>
      </w:pPr>
      <w:r>
        <w:t xml:space="preserve">Therefore along with the development of measures and indicators, it is important that people with disability are involved in providing feedback on the measures, and also support and development is provided to people to be able to participate in this process from an informed and empowered position. </w:t>
      </w:r>
    </w:p>
    <w:p w:rsidR="00553DE7" w:rsidRDefault="00553DE7" w:rsidP="0019714C">
      <w:pPr>
        <w:jc w:val="both"/>
      </w:pPr>
      <w:r>
        <w:t xml:space="preserve">QDN supports the performance indicators listed in box 2 and acknowledges that the development needs to be informed by people with disability and carers, and within an outcomes framework that aligns to </w:t>
      </w:r>
      <w:proofErr w:type="gramStart"/>
      <w:r w:rsidR="006C2604">
        <w:t xml:space="preserve">Australia’s </w:t>
      </w:r>
      <w:r>
        <w:t xml:space="preserve"> obligations</w:t>
      </w:r>
      <w:proofErr w:type="gramEnd"/>
      <w:r>
        <w:t xml:space="preserve"> under the CPRD. </w:t>
      </w:r>
    </w:p>
    <w:p w:rsidR="00111E15" w:rsidRDefault="00111E15" w:rsidP="0019714C">
      <w:pPr>
        <w:jc w:val="both"/>
      </w:pPr>
      <w:r>
        <w:t xml:space="preserve">The data collection and </w:t>
      </w:r>
      <w:r w:rsidR="00635C25">
        <w:t xml:space="preserve">qualitative monitoring built into </w:t>
      </w:r>
      <w:r w:rsidR="00553DE7">
        <w:t>any national data system</w:t>
      </w:r>
      <w:r>
        <w:t xml:space="preserve"> could be improved</w:t>
      </w:r>
      <w:r w:rsidR="00635C25">
        <w:t xml:space="preserve">. </w:t>
      </w:r>
      <w:r w:rsidR="00635C25" w:rsidRPr="00635C25">
        <w:t xml:space="preserve"> </w:t>
      </w:r>
      <w:r w:rsidR="00635C25">
        <w:t xml:space="preserve">QDN </w:t>
      </w:r>
      <w:r w:rsidR="00553DE7">
        <w:t xml:space="preserve">sees that it is </w:t>
      </w:r>
      <w:proofErr w:type="gramStart"/>
      <w:r w:rsidR="00553DE7">
        <w:t xml:space="preserve">important </w:t>
      </w:r>
      <w:r w:rsidR="00635C25">
        <w:t xml:space="preserve"> to</w:t>
      </w:r>
      <w:proofErr w:type="gramEnd"/>
      <w:r w:rsidR="00635C25">
        <w:t xml:space="preserve"> include protocols that ensure that people with disability and their representative organisations have the opportunity to contribute to the development of </w:t>
      </w:r>
      <w:r>
        <w:t xml:space="preserve">an updated </w:t>
      </w:r>
      <w:r w:rsidR="00635C25">
        <w:t>performance framework</w:t>
      </w:r>
      <w:r w:rsidR="00E2504D">
        <w:t xml:space="preserve"> against the NDA </w:t>
      </w:r>
      <w:r w:rsidR="00B457BB">
        <w:t xml:space="preserve">in whatever form it takes in the future. </w:t>
      </w:r>
      <w:r w:rsidR="00635C25">
        <w:t xml:space="preserve">  </w:t>
      </w:r>
    </w:p>
    <w:p w:rsidR="0019714C" w:rsidRDefault="0019714C" w:rsidP="0019714C">
      <w:pPr>
        <w:jc w:val="both"/>
      </w:pPr>
      <w:r>
        <w:t xml:space="preserve">One of the problems with consistent data capture lies in the cross-portfolio responsibilities across governments and within governments. QDN </w:t>
      </w:r>
      <w:r w:rsidR="00553DE7">
        <w:t xml:space="preserve">believes it is important for </w:t>
      </w:r>
      <w:r>
        <w:t xml:space="preserve">nationally consistent performance accountability and a public reporting </w:t>
      </w:r>
      <w:proofErr w:type="gramStart"/>
      <w:r>
        <w:t>strategy</w:t>
      </w:r>
      <w:r w:rsidR="00553DE7">
        <w:t>, that</w:t>
      </w:r>
      <w:proofErr w:type="gramEnd"/>
      <w:r w:rsidR="00553DE7">
        <w:t xml:space="preserve"> </w:t>
      </w:r>
      <w:r w:rsidR="00E33142">
        <w:t>integrates</w:t>
      </w:r>
      <w:r w:rsidR="00553DE7">
        <w:t xml:space="preserve"> disability </w:t>
      </w:r>
      <w:r w:rsidR="00F37A4D">
        <w:t xml:space="preserve">matters </w:t>
      </w:r>
      <w:r w:rsidR="00553DE7">
        <w:t>with other national agreement outcomes</w:t>
      </w:r>
      <w:r w:rsidR="00E33142">
        <w:t>.</w:t>
      </w:r>
      <w:r>
        <w:t xml:space="preserve"> </w:t>
      </w:r>
    </w:p>
    <w:p w:rsidR="00785200" w:rsidRDefault="0019714C" w:rsidP="0019714C">
      <w:pPr>
        <w:jc w:val="both"/>
      </w:pPr>
      <w:r>
        <w:t xml:space="preserve">QDN </w:t>
      </w:r>
      <w:r w:rsidR="00553DE7">
        <w:t xml:space="preserve">believes an approach to </w:t>
      </w:r>
      <w:r>
        <w:t xml:space="preserve">standardised data collection and monitoring </w:t>
      </w:r>
      <w:r w:rsidR="00553DE7">
        <w:t xml:space="preserve">would </w:t>
      </w:r>
      <w:r>
        <w:t xml:space="preserve">support the NDA and evaluate </w:t>
      </w:r>
      <w:r w:rsidR="006C2604">
        <w:t xml:space="preserve">its </w:t>
      </w:r>
      <w:r w:rsidR="00553DE7">
        <w:t>effectiveness</w:t>
      </w:r>
      <w:r>
        <w:t>. QDN suggests that d</w:t>
      </w:r>
      <w:r w:rsidR="00C7618C">
        <w:t xml:space="preserve">ata collected </w:t>
      </w:r>
      <w:r>
        <w:t xml:space="preserve">on </w:t>
      </w:r>
      <w:r w:rsidR="00C7618C">
        <w:t xml:space="preserve">people with disability </w:t>
      </w:r>
      <w:r>
        <w:t xml:space="preserve">could be </w:t>
      </w:r>
      <w:r w:rsidR="00C7618C">
        <w:t xml:space="preserve">disaggregated by age, gender, type of disability, place of residence and cultural background, geographic locations, Indigenous status </w:t>
      </w:r>
      <w:r>
        <w:t xml:space="preserve">and whether the person is a funded participant under the NDIS or not. </w:t>
      </w:r>
    </w:p>
    <w:p w:rsidR="004060BF" w:rsidRDefault="0019714C" w:rsidP="0019714C">
      <w:pPr>
        <w:jc w:val="both"/>
      </w:pPr>
      <w:r>
        <w:t>QDN would like to see l</w:t>
      </w:r>
      <w:r w:rsidR="00785200">
        <w:t xml:space="preserve">ongitudinal </w:t>
      </w:r>
      <w:r w:rsidR="00111E15">
        <w:t xml:space="preserve">outcome </w:t>
      </w:r>
      <w:r w:rsidR="00785200">
        <w:t xml:space="preserve">data </w:t>
      </w:r>
      <w:r>
        <w:t xml:space="preserve">collected on </w:t>
      </w:r>
      <w:r w:rsidR="00E21073">
        <w:t xml:space="preserve">people with disabilities’ </w:t>
      </w:r>
      <w:r>
        <w:t>whole-of-life aspirations, employment, community inclusion, self-determination, choice and decision-making</w:t>
      </w:r>
      <w:r w:rsidR="00283D51">
        <w:t>, satisfaction</w:t>
      </w:r>
      <w:r>
        <w:t xml:space="preserve"> with services and supports</w:t>
      </w:r>
      <w:r w:rsidR="00D45356">
        <w:t>,</w:t>
      </w:r>
      <w:r>
        <w:t xml:space="preserve"> and measures </w:t>
      </w:r>
      <w:r w:rsidR="004060BF">
        <w:t>against inclusive and accessible communities, rights protections, economic security, personal and community support, learning and skills</w:t>
      </w:r>
      <w:r w:rsidR="00670C85">
        <w:t>,</w:t>
      </w:r>
      <w:r w:rsidR="004060BF">
        <w:t xml:space="preserve"> and health and wellbeing</w:t>
      </w:r>
      <w:r w:rsidR="00111E15">
        <w:t xml:space="preserve"> </w:t>
      </w:r>
      <w:r w:rsidR="003D6CF6">
        <w:t xml:space="preserve">which are </w:t>
      </w:r>
      <w:r w:rsidR="00111E15">
        <w:t xml:space="preserve">in line with the principles </w:t>
      </w:r>
      <w:r w:rsidR="00E2504D">
        <w:t xml:space="preserve">and obligations </w:t>
      </w:r>
      <w:r w:rsidR="00111E15">
        <w:t>of the CRPD.</w:t>
      </w:r>
    </w:p>
    <w:p w:rsidR="00921FA6" w:rsidRDefault="00921FA6" w:rsidP="00CF39D5">
      <w:pPr>
        <w:pStyle w:val="Heading3"/>
      </w:pPr>
      <w:r>
        <w:t xml:space="preserve">A national performance reporting system for disability </w:t>
      </w:r>
    </w:p>
    <w:p w:rsidR="00553DE7" w:rsidRDefault="00D5198F" w:rsidP="004450B6">
      <w:pPr>
        <w:jc w:val="both"/>
      </w:pPr>
      <w:r>
        <w:t xml:space="preserve">QDN observes that the current national performance reporting system is fragmented and sits within different jurisdictional and portfolio areas, rather than being delivered as a coherent, comprehensive data system that has accessible information that can be used to improve </w:t>
      </w:r>
      <w:r w:rsidR="00E33142">
        <w:t>legislative</w:t>
      </w:r>
      <w:r>
        <w:t xml:space="preserve"> </w:t>
      </w:r>
      <w:r w:rsidR="006C2604">
        <w:t>and</w:t>
      </w:r>
      <w:r w:rsidR="006C2604" w:rsidRPr="006C2604">
        <w:t xml:space="preserve"> </w:t>
      </w:r>
      <w:r w:rsidR="006C2604">
        <w:t xml:space="preserve">policy </w:t>
      </w:r>
      <w:r>
        <w:t xml:space="preserve">responses at Commonwealth, State and Local </w:t>
      </w:r>
      <w:r w:rsidR="006C2604">
        <w:t>G</w:t>
      </w:r>
      <w:r>
        <w:t>overnment</w:t>
      </w:r>
      <w:r w:rsidR="006C2604">
        <w:t>.</w:t>
      </w:r>
      <w:r>
        <w:t xml:space="preserve"> </w:t>
      </w:r>
    </w:p>
    <w:p w:rsidR="00F1237B" w:rsidRDefault="00D5198F" w:rsidP="00D5198F">
      <w:pPr>
        <w:jc w:val="both"/>
      </w:pPr>
      <w:r>
        <w:t xml:space="preserve">QDN sees that the NDIS will deliver </w:t>
      </w:r>
      <w:r w:rsidR="006C2604">
        <w:t xml:space="preserve">the </w:t>
      </w:r>
      <w:r>
        <w:t xml:space="preserve">opportunity to report performance on a range of outcomes for people who are eligible for </w:t>
      </w:r>
      <w:proofErr w:type="gramStart"/>
      <w:r w:rsidR="00F1237B">
        <w:t xml:space="preserve">funded </w:t>
      </w:r>
      <w:r>
        <w:t xml:space="preserve"> support</w:t>
      </w:r>
      <w:proofErr w:type="gramEnd"/>
      <w:r>
        <w:t xml:space="preserve">, however, to be able to identify, measure and report on progress for </w:t>
      </w:r>
      <w:r w:rsidR="00F1237B">
        <w:t xml:space="preserve">all </w:t>
      </w:r>
      <w:r>
        <w:t xml:space="preserve"> 4.3 million Australians with disability, a national approach is needed. To date across all areas, reporting has mainly focused on </w:t>
      </w:r>
      <w:r w:rsidR="00F1237B">
        <w:t xml:space="preserve">service delivery </w:t>
      </w:r>
      <w:r>
        <w:t>outputs. An outcomes framework that is consistent across jurisdictions will be important to measuring progress</w:t>
      </w:r>
      <w:r w:rsidR="00F1237B">
        <w:t>.</w:t>
      </w:r>
      <w:r>
        <w:t xml:space="preserve"> Also a consistent way of </w:t>
      </w:r>
      <w:r w:rsidR="00E33142">
        <w:t>identifying</w:t>
      </w:r>
      <w:r>
        <w:t xml:space="preserve"> </w:t>
      </w:r>
      <w:r w:rsidR="00BF6057">
        <w:t>service-users</w:t>
      </w:r>
      <w:r w:rsidR="00F1237B">
        <w:t>,</w:t>
      </w:r>
      <w:r>
        <w:t xml:space="preserve"> as people with disability</w:t>
      </w:r>
      <w:r w:rsidR="00F1237B">
        <w:t>,</w:t>
      </w:r>
      <w:r>
        <w:t xml:space="preserve"> and a mechanism for capturing data, reporting this information an</w:t>
      </w:r>
      <w:r w:rsidR="00F1237B">
        <w:t>d</w:t>
      </w:r>
      <w:r>
        <w:t xml:space="preserve"> a way for how people are identified within the different service systems will be critical as a policy imperative across portfolio areas for people who sit outside the NDIS. </w:t>
      </w:r>
    </w:p>
    <w:p w:rsidR="00D5198F" w:rsidRPr="00364382" w:rsidRDefault="00D5198F" w:rsidP="00D5198F">
      <w:pPr>
        <w:jc w:val="both"/>
        <w:rPr>
          <w:highlight w:val="yellow"/>
        </w:rPr>
      </w:pPr>
      <w:r>
        <w:t xml:space="preserve">The majority of people with disability access mainstream services and will continue to do so post full rollout of the NDIS so data collection needs to be adequately resourced to capture outputs and outcomes outside the NDIS. Consideration needs to be given to jointly capture performance against NDA objectives and the outcomes of those of the NDS and the NDIS. </w:t>
      </w:r>
      <w:r w:rsidRPr="00364382">
        <w:rPr>
          <w:highlight w:val="yellow"/>
        </w:rPr>
        <w:t xml:space="preserve">     </w:t>
      </w:r>
    </w:p>
    <w:p w:rsidR="007E6248" w:rsidRDefault="00342140" w:rsidP="004450B6">
      <w:pPr>
        <w:jc w:val="both"/>
      </w:pPr>
      <w:r>
        <w:t xml:space="preserve">With </w:t>
      </w:r>
      <w:r w:rsidR="00553DE7">
        <w:t xml:space="preserve">state </w:t>
      </w:r>
      <w:r>
        <w:t xml:space="preserve">governments’ moving away from providing and funding specialist </w:t>
      </w:r>
      <w:r w:rsidR="007E6248">
        <w:t>disability</w:t>
      </w:r>
      <w:r>
        <w:t xml:space="preserve"> services</w:t>
      </w:r>
      <w:r w:rsidR="007E6248">
        <w:t xml:space="preserve"> in concert with the implementation of the NDIS, it </w:t>
      </w:r>
      <w:r>
        <w:t xml:space="preserve">follows that data capture under the Disability Service National Minimum Dataset (DSNMDS) </w:t>
      </w:r>
      <w:r w:rsidR="007E6248">
        <w:t xml:space="preserve">will be </w:t>
      </w:r>
      <w:r w:rsidR="00670C85">
        <w:t xml:space="preserve">of limited use </w:t>
      </w:r>
      <w:r>
        <w:t>going forward</w:t>
      </w:r>
      <w:r w:rsidR="00B457BB">
        <w:t xml:space="preserve">. </w:t>
      </w:r>
      <w:r w:rsidR="00321B9E">
        <w:t xml:space="preserve">QDN asserts the </w:t>
      </w:r>
      <w:r w:rsidR="005A606B">
        <w:t>need for a n</w:t>
      </w:r>
      <w:r w:rsidR="00111E15">
        <w:t xml:space="preserve">ationally consistent </w:t>
      </w:r>
      <w:r w:rsidR="005A606B">
        <w:t xml:space="preserve">data capture and reporting system with a coherent relationship between outputs, outcomes and benchmarks. </w:t>
      </w:r>
    </w:p>
    <w:p w:rsidR="00D5198F" w:rsidRDefault="00D5198F" w:rsidP="004450B6">
      <w:pPr>
        <w:jc w:val="both"/>
      </w:pPr>
      <w:r>
        <w:t xml:space="preserve">Research is a critical area that needs to inform policy and practice, and therefore needs to be part of a performance measure to ensure this is consistently implemented and outcomes are being achieved across all jurisdictions. </w:t>
      </w:r>
      <w:r w:rsidR="003D02EA">
        <w:t>People with disability as co-</w:t>
      </w:r>
      <w:proofErr w:type="spellStart"/>
      <w:r w:rsidR="003D02EA">
        <w:t>reasearchers</w:t>
      </w:r>
      <w:proofErr w:type="spellEnd"/>
      <w:r w:rsidR="003D02EA">
        <w:t xml:space="preserve"> is an important part of research, and ensures that the voice of people with </w:t>
      </w:r>
      <w:proofErr w:type="spellStart"/>
      <w:r w:rsidR="003D02EA">
        <w:t>disabiltiy</w:t>
      </w:r>
      <w:proofErr w:type="spellEnd"/>
      <w:r w:rsidR="003D02EA">
        <w:t xml:space="preserve"> is part of the dialogue and the evidence base to drive better practice and outcomes. </w:t>
      </w:r>
    </w:p>
    <w:p w:rsidR="00727AD9" w:rsidRDefault="007E6248" w:rsidP="007E6248">
      <w:pPr>
        <w:jc w:val="both"/>
      </w:pPr>
      <w:bookmarkStart w:id="14" w:name="_Toc475888493"/>
      <w:bookmarkStart w:id="15" w:name="_Toc273107840"/>
      <w:bookmarkStart w:id="16" w:name="_Toc346890373"/>
      <w:bookmarkStart w:id="17" w:name="_Toc363828327"/>
      <w:bookmarkStart w:id="18" w:name="_Toc413879493"/>
      <w:bookmarkStart w:id="19" w:name="_Toc418057657"/>
      <w:bookmarkStart w:id="20" w:name="_Toc437265277"/>
      <w:bookmarkStart w:id="21" w:name="_Toc437346353"/>
      <w:bookmarkStart w:id="22" w:name="_Toc437358987"/>
      <w:bookmarkStart w:id="23" w:name="_Toc475888495"/>
      <w:r>
        <w:t>QDN acknowledges</w:t>
      </w:r>
      <w:r w:rsidR="00A839B7">
        <w:t xml:space="preserve"> the uncertain future for the ABS Survey of Disability, Ageing</w:t>
      </w:r>
      <w:r w:rsidR="00D45356">
        <w:t xml:space="preserve"> and Carers (SDAC), without </w:t>
      </w:r>
      <w:r w:rsidR="00A839B7">
        <w:t xml:space="preserve">ongoing funding commitment by jurisdictions.  QDN argues the need for adequate and ongoing funding for SDAC as it provides important information about carers who provide informal assistance in terms of help or supervision to older people (aged 65 years and over) and </w:t>
      </w:r>
      <w:r w:rsidR="00727AD9">
        <w:t>those with disability</w:t>
      </w:r>
      <w:r w:rsidR="00D45356">
        <w:t>,</w:t>
      </w:r>
      <w:r w:rsidR="00727AD9">
        <w:t xml:space="preserve"> as well as </w:t>
      </w:r>
      <w:r w:rsidR="00DB5ABB">
        <w:t xml:space="preserve">providing </w:t>
      </w:r>
      <w:r w:rsidR="00A839B7">
        <w:t xml:space="preserve">useful insights into </w:t>
      </w:r>
      <w:r w:rsidR="00727AD9">
        <w:t>the household</w:t>
      </w:r>
      <w:r w:rsidR="00670C85">
        <w:t>s</w:t>
      </w:r>
      <w:r w:rsidR="00727AD9">
        <w:t xml:space="preserve"> in which people with disability reside.</w:t>
      </w:r>
    </w:p>
    <w:p w:rsidR="007536EA" w:rsidRDefault="00727AD9" w:rsidP="006D3C59">
      <w:pPr>
        <w:pStyle w:val="Heading3"/>
      </w:pPr>
      <w:r>
        <w:t>C</w:t>
      </w:r>
      <w:r w:rsidR="006D3C59">
        <w:t xml:space="preserve">onclusion </w:t>
      </w:r>
      <w:r w:rsidR="007536EA">
        <w:t>and Recommendations</w:t>
      </w:r>
    </w:p>
    <w:p w:rsidR="00B457BB" w:rsidRDefault="006D3C59" w:rsidP="00D67826">
      <w:pPr>
        <w:spacing w:after="160" w:line="259" w:lineRule="auto"/>
        <w:jc w:val="both"/>
      </w:pPr>
      <w:r>
        <w:t xml:space="preserve">QDN is pleased </w:t>
      </w:r>
      <w:r w:rsidR="007536EA">
        <w:t xml:space="preserve">to provide this feedback to the Productivity Commission </w:t>
      </w:r>
      <w:r w:rsidR="00364382">
        <w:t>Issues Paper on the Review of the N</w:t>
      </w:r>
      <w:r w:rsidR="00670C85">
        <w:t xml:space="preserve">DA. </w:t>
      </w:r>
      <w:r w:rsidR="007536EA">
        <w:t xml:space="preserve">QDN’s submission has focused on </w:t>
      </w:r>
      <w:r w:rsidR="0077449E">
        <w:t xml:space="preserve">number of key issues that have been raised by members based upon their lived experience of </w:t>
      </w:r>
      <w:r w:rsidR="006D03BD">
        <w:t>disability</w:t>
      </w:r>
      <w:r w:rsidR="00C9086E">
        <w:t>.</w:t>
      </w:r>
      <w:r w:rsidR="006D03BD">
        <w:t xml:space="preserve"> </w:t>
      </w:r>
    </w:p>
    <w:p w:rsidR="00B457BB" w:rsidRDefault="00C9086E" w:rsidP="00D67826">
      <w:pPr>
        <w:spacing w:after="160" w:line="259" w:lineRule="auto"/>
        <w:jc w:val="both"/>
      </w:pPr>
      <w:r>
        <w:t xml:space="preserve">These include the need for </w:t>
      </w:r>
      <w:r w:rsidR="00D5198F">
        <w:t>a national disability agreement</w:t>
      </w:r>
      <w:r w:rsidR="00BF6057">
        <w:t xml:space="preserve"> which includes</w:t>
      </w:r>
      <w:r w:rsidR="00B457BB">
        <w:t xml:space="preserve">: </w:t>
      </w:r>
    </w:p>
    <w:p w:rsidR="00B457BB" w:rsidRDefault="008F32D8" w:rsidP="00B457BB">
      <w:pPr>
        <w:pStyle w:val="ListParagraph"/>
        <w:numPr>
          <w:ilvl w:val="0"/>
          <w:numId w:val="38"/>
        </w:numPr>
        <w:jc w:val="both"/>
      </w:pPr>
      <w:r>
        <w:t xml:space="preserve">a </w:t>
      </w:r>
      <w:r w:rsidR="00C9086E">
        <w:t>human rights focus</w:t>
      </w:r>
      <w:r w:rsidR="00E2504D">
        <w:t xml:space="preserve"> underpinned by the CPRD </w:t>
      </w:r>
    </w:p>
    <w:p w:rsidR="00BF6057" w:rsidRDefault="00BF6057" w:rsidP="00B457BB">
      <w:pPr>
        <w:pStyle w:val="ListParagraph"/>
        <w:numPr>
          <w:ilvl w:val="0"/>
          <w:numId w:val="38"/>
        </w:numPr>
        <w:jc w:val="both"/>
      </w:pPr>
      <w:r>
        <w:t xml:space="preserve">an integrated </w:t>
      </w:r>
      <w:r w:rsidR="0065736C">
        <w:t xml:space="preserve">governance </w:t>
      </w:r>
      <w:r>
        <w:t xml:space="preserve">approach </w:t>
      </w:r>
      <w:r w:rsidR="0065736C">
        <w:t>to ensure a</w:t>
      </w:r>
      <w:r>
        <w:t xml:space="preserve">lignment of outcomes across a future NDA, the NDIS, the NDS and other national funding agreements </w:t>
      </w:r>
      <w:r w:rsidR="0065736C">
        <w:t>impacting upon mainstream programs and services</w:t>
      </w:r>
      <w:r w:rsidR="00C0051D">
        <w:t xml:space="preserve"> </w:t>
      </w:r>
    </w:p>
    <w:p w:rsidR="00B457BB" w:rsidRDefault="00C9086E" w:rsidP="00B457BB">
      <w:pPr>
        <w:pStyle w:val="ListParagraph"/>
        <w:numPr>
          <w:ilvl w:val="0"/>
          <w:numId w:val="38"/>
        </w:numPr>
        <w:jc w:val="both"/>
      </w:pPr>
      <w:r>
        <w:t xml:space="preserve">clear boundaries between governments’ roles and responsibilities </w:t>
      </w:r>
    </w:p>
    <w:p w:rsidR="00B457BB" w:rsidRDefault="00C9086E" w:rsidP="00B457BB">
      <w:pPr>
        <w:pStyle w:val="ListParagraph"/>
        <w:numPr>
          <w:ilvl w:val="0"/>
          <w:numId w:val="38"/>
        </w:numPr>
        <w:jc w:val="both"/>
      </w:pPr>
      <w:r>
        <w:t>clarity around the interface issues facing NDIS participants</w:t>
      </w:r>
      <w:r w:rsidR="00E2504D">
        <w:t xml:space="preserve"> </w:t>
      </w:r>
    </w:p>
    <w:p w:rsidR="00B457BB" w:rsidRDefault="00C9086E" w:rsidP="00B457BB">
      <w:pPr>
        <w:pStyle w:val="ListParagraph"/>
        <w:numPr>
          <w:ilvl w:val="0"/>
          <w:numId w:val="38"/>
        </w:numPr>
        <w:jc w:val="both"/>
      </w:pPr>
      <w:r>
        <w:t>improved data capture around people with disability and service provision to evaluate the effectiveness of the NDA</w:t>
      </w:r>
      <w:r w:rsidR="00E2504D">
        <w:t xml:space="preserve"> and NDS</w:t>
      </w:r>
      <w:r w:rsidR="00072717">
        <w:t xml:space="preserve">  </w:t>
      </w:r>
    </w:p>
    <w:p w:rsidR="00B457BB" w:rsidRDefault="00072717" w:rsidP="00B457BB">
      <w:pPr>
        <w:pStyle w:val="ListParagraph"/>
        <w:numPr>
          <w:ilvl w:val="0"/>
          <w:numId w:val="38"/>
        </w:numPr>
        <w:jc w:val="both"/>
      </w:pPr>
      <w:r>
        <w:t xml:space="preserve">dedicated centralised </w:t>
      </w:r>
      <w:r w:rsidR="00D5198F">
        <w:t>governance structure</w:t>
      </w:r>
      <w:r w:rsidR="00BF6057">
        <w:t xml:space="preserve"> </w:t>
      </w:r>
      <w:r w:rsidR="00D5198F">
        <w:t xml:space="preserve">within </w:t>
      </w:r>
      <w:r w:rsidR="007C7FA4">
        <w:t xml:space="preserve">the </w:t>
      </w:r>
      <w:r w:rsidR="00D5198F">
        <w:t>Commonwealth and State</w:t>
      </w:r>
      <w:r w:rsidR="007C7FA4">
        <w:t xml:space="preserve"> and </w:t>
      </w:r>
      <w:r w:rsidR="00D5198F">
        <w:t xml:space="preserve">Territory governments </w:t>
      </w:r>
      <w:r>
        <w:t>to ensure the coordinated and coherent implementation of disability policy</w:t>
      </w:r>
      <w:r w:rsidR="00B457BB">
        <w:t xml:space="preserve"> </w:t>
      </w:r>
    </w:p>
    <w:p w:rsidR="00072717" w:rsidRDefault="00B457BB" w:rsidP="00B457BB">
      <w:pPr>
        <w:pStyle w:val="ListParagraph"/>
        <w:numPr>
          <w:ilvl w:val="0"/>
          <w:numId w:val="38"/>
        </w:numPr>
        <w:jc w:val="both"/>
      </w:pPr>
      <w:proofErr w:type="gramStart"/>
      <w:r>
        <w:t>include</w:t>
      </w:r>
      <w:proofErr w:type="gramEnd"/>
      <w:r>
        <w:t xml:space="preserve"> people with disability as part of governance arrangements regardless of the form that the NDA takes in the future</w:t>
      </w:r>
      <w:r w:rsidR="00072717">
        <w:t xml:space="preserve">. </w:t>
      </w:r>
    </w:p>
    <w:p w:rsidR="00A44070" w:rsidRPr="00D67826" w:rsidRDefault="00E2504D" w:rsidP="008F32D8">
      <w:pPr>
        <w:spacing w:after="160" w:line="259" w:lineRule="auto"/>
        <w:jc w:val="both"/>
      </w:pPr>
      <w:r>
        <w:t>QD</w:t>
      </w:r>
      <w:r w:rsidR="00C17CDE" w:rsidRPr="00D67826">
        <w:t xml:space="preserve">N </w:t>
      </w:r>
      <w:r w:rsidR="006D03BD" w:rsidRPr="00D67826">
        <w:t xml:space="preserve">calls upon all governments </w:t>
      </w:r>
      <w:r w:rsidR="00A44070" w:rsidRPr="00D67826">
        <w:t>to commit to appropriately fund</w:t>
      </w:r>
      <w:r w:rsidR="00063253">
        <w:t xml:space="preserve"> and resourc</w:t>
      </w:r>
      <w:r w:rsidR="00DB5ABB">
        <w:t>e</w:t>
      </w:r>
      <w:r w:rsidR="00063253">
        <w:t xml:space="preserve"> </w:t>
      </w:r>
      <w:r w:rsidR="00A44070" w:rsidRPr="00D67826">
        <w:t>cross</w:t>
      </w:r>
      <w:r w:rsidR="00D45356">
        <w:t>-</w:t>
      </w:r>
      <w:r w:rsidR="00A44070" w:rsidRPr="00D67826">
        <w:t xml:space="preserve">portfolio agencies within and outside of government to achieve </w:t>
      </w:r>
      <w:r w:rsidR="00D67826">
        <w:t xml:space="preserve">more accessible and inclusive communities where people with disability are valued members of society. </w:t>
      </w:r>
      <w:r w:rsidR="00C17CDE" w:rsidRPr="00D67826">
        <w:t xml:space="preserve"> </w:t>
      </w:r>
    </w:p>
    <w:p w:rsidR="00270DE7" w:rsidRDefault="00270DE7" w:rsidP="006A20D7">
      <w:pPr>
        <w:spacing w:after="160" w:line="259" w:lineRule="auto"/>
        <w:rPr>
          <w:rFonts w:cs="Arial"/>
          <w:color w:val="2C2A29"/>
          <w:shd w:val="clear" w:color="auto" w:fill="FFFFFF"/>
        </w:rPr>
      </w:pPr>
    </w:p>
    <w:p w:rsidR="008378D6" w:rsidRDefault="008378D6" w:rsidP="006D3C59">
      <w:pPr>
        <w:spacing w:after="160" w:line="259" w:lineRule="auto"/>
        <w:rPr>
          <w:rFonts w:cs="Arial"/>
          <w:color w:val="2C2A29"/>
          <w:shd w:val="clear" w:color="auto" w:fill="FFFFFF"/>
        </w:rPr>
      </w:pPr>
    </w:p>
    <w:p w:rsidR="008378D6" w:rsidRDefault="008378D6" w:rsidP="006D3C59">
      <w:pPr>
        <w:spacing w:after="160" w:line="259" w:lineRule="auto"/>
        <w:rPr>
          <w:rFonts w:cs="Arial"/>
          <w:color w:val="2C2A29"/>
          <w:shd w:val="clear" w:color="auto" w:fill="FFFFFF"/>
        </w:rPr>
      </w:pPr>
    </w:p>
    <w:p w:rsidR="008378D6" w:rsidRDefault="008378D6" w:rsidP="006D3C59">
      <w:pPr>
        <w:spacing w:after="160" w:line="259" w:lineRule="auto"/>
        <w:rPr>
          <w:rFonts w:cs="Arial"/>
          <w:color w:val="2C2A29"/>
          <w:shd w:val="clear" w:color="auto" w:fill="FFFFFF"/>
        </w:rPr>
      </w:pPr>
    </w:p>
    <w:p w:rsidR="008378D6" w:rsidRDefault="008378D6" w:rsidP="006D3C59">
      <w:pPr>
        <w:spacing w:after="160" w:line="259" w:lineRule="auto"/>
        <w:rPr>
          <w:rFonts w:cs="Arial"/>
          <w:color w:val="2C2A29"/>
          <w:shd w:val="clear" w:color="auto" w:fill="FFFFFF"/>
        </w:rPr>
      </w:pPr>
    </w:p>
    <w:p w:rsidR="003B66C9" w:rsidRDefault="00270DE7" w:rsidP="006D3C59">
      <w:pPr>
        <w:spacing w:after="160" w:line="259" w:lineRule="auto"/>
        <w:rPr>
          <w:rFonts w:asciiTheme="majorHAnsi" w:eastAsiaTheme="majorEastAsia" w:hAnsiTheme="majorHAnsi" w:cstheme="majorBidi"/>
          <w:color w:val="2E74B5" w:themeColor="accent1" w:themeShade="BF"/>
          <w:sz w:val="32"/>
          <w:szCs w:val="32"/>
        </w:rPr>
      </w:pPr>
      <w:r>
        <w:rPr>
          <w:rFonts w:cs="Arial"/>
          <w:color w:val="2C2A29"/>
          <w:shd w:val="clear" w:color="auto" w:fill="FFFFFF"/>
        </w:rPr>
        <w:t>QDN –</w:t>
      </w:r>
      <w:r w:rsidR="00835090">
        <w:rPr>
          <w:rFonts w:cs="Arial"/>
          <w:color w:val="2C2A29"/>
          <w:shd w:val="clear" w:color="auto" w:fill="FFFFFF"/>
        </w:rPr>
        <w:t xml:space="preserve"> September</w:t>
      </w:r>
      <w:r>
        <w:rPr>
          <w:rFonts w:cs="Arial"/>
          <w:color w:val="2C2A29"/>
          <w:shd w:val="clear" w:color="auto" w:fill="FFFFFF"/>
        </w:rPr>
        <w:t>, 2017</w:t>
      </w:r>
      <w:r w:rsidR="003B66C9">
        <w:br w:type="page"/>
      </w:r>
    </w:p>
    <w:bookmarkEnd w:id="14"/>
    <w:p w:rsidR="00631206" w:rsidRPr="00631206" w:rsidRDefault="00631206" w:rsidP="00631206">
      <w:pPr>
        <w:pStyle w:val="Heading3"/>
      </w:pPr>
      <w:r w:rsidRPr="00631206">
        <w:t>Appendix 1. QDN’s Value Statement on People with Disability</w:t>
      </w:r>
      <w:bookmarkEnd w:id="15"/>
      <w:bookmarkEnd w:id="16"/>
      <w:bookmarkEnd w:id="17"/>
      <w:bookmarkEnd w:id="18"/>
      <w:bookmarkEnd w:id="19"/>
      <w:bookmarkEnd w:id="20"/>
      <w:bookmarkEnd w:id="21"/>
      <w:bookmarkEnd w:id="22"/>
    </w:p>
    <w:p w:rsidR="00631206" w:rsidRPr="00F9055E" w:rsidRDefault="00631206" w:rsidP="00631206">
      <w:r w:rsidRPr="00F9055E">
        <w:t xml:space="preserve">QDN’s work in providing feedback and input into systemic policy issues is based upon the organisation’s core values and the place of people </w:t>
      </w:r>
      <w:r>
        <w:t>with disability in an inclusive</w:t>
      </w:r>
      <w:r w:rsidRPr="00F9055E">
        <w:t xml:space="preserve"> Australian society.</w:t>
      </w:r>
      <w:r>
        <w:t xml:space="preserve"> </w:t>
      </w:r>
    </w:p>
    <w:p w:rsidR="00631206" w:rsidRPr="00F9055E" w:rsidRDefault="00631206" w:rsidP="00631206">
      <w:r w:rsidRPr="00F9055E">
        <w:t>QDN believes that:</w:t>
      </w:r>
    </w:p>
    <w:p w:rsidR="00631206" w:rsidRPr="00EF28B5" w:rsidRDefault="00631206" w:rsidP="00631206">
      <w:pPr>
        <w:pStyle w:val="ListParagraph"/>
        <w:numPr>
          <w:ilvl w:val="0"/>
          <w:numId w:val="1"/>
        </w:numPr>
      </w:pPr>
      <w:proofErr w:type="gramStart"/>
      <w:r>
        <w:t>a</w:t>
      </w:r>
      <w:r w:rsidRPr="00EF28B5">
        <w:t>ll</w:t>
      </w:r>
      <w:proofErr w:type="gramEnd"/>
      <w:r w:rsidRPr="00EF28B5">
        <w:t xml:space="preserve"> people with disability have a right to a place in the community and have contributions to make to community. This is as empowered, free citizens who are as valued, present, participating and welcomed as members of </w:t>
      </w:r>
      <w:r>
        <w:t>any dynamic and diverse society</w:t>
      </w:r>
    </w:p>
    <w:p w:rsidR="00631206" w:rsidRPr="00EF28B5" w:rsidRDefault="00631206" w:rsidP="00631206">
      <w:pPr>
        <w:pStyle w:val="ListParagraph"/>
        <w:numPr>
          <w:ilvl w:val="0"/>
          <w:numId w:val="1"/>
        </w:numPr>
      </w:pPr>
      <w:proofErr w:type="gramStart"/>
      <w:r>
        <w:t>t</w:t>
      </w:r>
      <w:r w:rsidRPr="00EF28B5">
        <w:t>he</w:t>
      </w:r>
      <w:proofErr w:type="gramEnd"/>
      <w:r w:rsidRPr="00EF28B5">
        <w:t xml:space="preserve"> place of people with disability in the community is not just about people with disability having a house in the community.  Core to this is that they are welcomed in the community as ordinary citizens</w:t>
      </w:r>
      <w:r>
        <w:t>,</w:t>
      </w:r>
      <w:r w:rsidRPr="00EF28B5">
        <w:t xml:space="preserve"> where they are genuinely given opportunities to contribute and actively participate. People with disability need to be in communities where the</w:t>
      </w:r>
      <w:r>
        <w:t>ir individuality, their talents</w:t>
      </w:r>
      <w:r w:rsidRPr="00EF28B5">
        <w:t xml:space="preserve"> and their lived experiences of disability </w:t>
      </w:r>
      <w:r>
        <w:t>are recognised and acknowledged</w:t>
      </w:r>
    </w:p>
    <w:p w:rsidR="00631206" w:rsidRPr="00EF28B5" w:rsidRDefault="00631206" w:rsidP="00631206">
      <w:pPr>
        <w:pStyle w:val="ListParagraph"/>
        <w:numPr>
          <w:ilvl w:val="0"/>
          <w:numId w:val="1"/>
        </w:numPr>
      </w:pPr>
      <w:r>
        <w:t>c</w:t>
      </w:r>
      <w:r w:rsidRPr="00EF28B5">
        <w:t>ulturally and historically, people with disability are not afforded the same value, opportunit</w:t>
      </w:r>
      <w:r>
        <w:t>ies or access to community life</w:t>
      </w:r>
    </w:p>
    <w:p w:rsidR="00631206" w:rsidRPr="00EF28B5" w:rsidRDefault="00631206" w:rsidP="00631206">
      <w:pPr>
        <w:pStyle w:val="ListParagraph"/>
        <w:numPr>
          <w:ilvl w:val="0"/>
          <w:numId w:val="1"/>
        </w:numPr>
      </w:pPr>
      <w:r>
        <w:t>a</w:t>
      </w:r>
      <w:r w:rsidRPr="00EF28B5">
        <w:t>ny inclusion in community for people with disability is conditiona</w:t>
      </w:r>
      <w:r>
        <w:t>l and vulnerable to withdrawal</w:t>
      </w:r>
    </w:p>
    <w:p w:rsidR="00631206" w:rsidRPr="00EF28B5" w:rsidRDefault="00631206" w:rsidP="00631206">
      <w:pPr>
        <w:pStyle w:val="ListParagraph"/>
        <w:numPr>
          <w:ilvl w:val="0"/>
          <w:numId w:val="1"/>
        </w:numPr>
      </w:pPr>
      <w:r>
        <w:t>m</w:t>
      </w:r>
      <w:r w:rsidRPr="00EF28B5">
        <w:t>any people with disability in Queensland are excluded from the most basi</w:t>
      </w:r>
      <w:r>
        <w:t>c experiences of ordinary lives</w:t>
      </w:r>
    </w:p>
    <w:p w:rsidR="00631206" w:rsidRPr="00EF28B5" w:rsidRDefault="00631206" w:rsidP="00631206">
      <w:pPr>
        <w:pStyle w:val="ListParagraph"/>
        <w:numPr>
          <w:ilvl w:val="0"/>
          <w:numId w:val="1"/>
        </w:numPr>
      </w:pPr>
      <w:r>
        <w:t>c</w:t>
      </w:r>
      <w:r w:rsidRPr="00EF28B5">
        <w:t>urrent exclusionary practices are unac</w:t>
      </w:r>
      <w:r>
        <w:t>ceptable and must be challenged</w:t>
      </w:r>
    </w:p>
    <w:p w:rsidR="00631206" w:rsidRPr="00EF28B5" w:rsidRDefault="00631206" w:rsidP="00631206">
      <w:pPr>
        <w:pStyle w:val="ListParagraph"/>
        <w:numPr>
          <w:ilvl w:val="0"/>
          <w:numId w:val="1"/>
        </w:numPr>
      </w:pPr>
      <w:r>
        <w:t>t</w:t>
      </w:r>
      <w:r w:rsidRPr="00EF28B5">
        <w:t>hese issues affect not only people with dis</w:t>
      </w:r>
      <w:r>
        <w:t>ability but the whole community</w:t>
      </w:r>
    </w:p>
    <w:p w:rsidR="00631206" w:rsidRDefault="00631206" w:rsidP="00631206">
      <w:pPr>
        <w:pStyle w:val="ListParagraph"/>
        <w:numPr>
          <w:ilvl w:val="0"/>
          <w:numId w:val="1"/>
        </w:numPr>
      </w:pPr>
      <w:proofErr w:type="gramStart"/>
      <w:r>
        <w:t>t</w:t>
      </w:r>
      <w:r w:rsidRPr="00EF28B5">
        <w:t>he</w:t>
      </w:r>
      <w:proofErr w:type="gramEnd"/>
      <w:r w:rsidRPr="00EF28B5">
        <w:t xml:space="preserve"> responsibility is shared. It lies within government (federal, state and local) and the community at large, to ensure that people with disability have a place and are resourced to </w:t>
      </w:r>
      <w:r w:rsidRPr="00F9055E">
        <w:t>belong in community.</w:t>
      </w:r>
    </w:p>
    <w:p w:rsidR="00631206" w:rsidRDefault="00631206" w:rsidP="00631206"/>
    <w:p w:rsidR="00631206" w:rsidRDefault="00631206" w:rsidP="00631206"/>
    <w:p w:rsidR="00631206" w:rsidRDefault="00631206" w:rsidP="00631206"/>
    <w:bookmarkEnd w:id="23"/>
    <w:p w:rsidR="004E3BC9" w:rsidRDefault="004E3BC9" w:rsidP="00631206">
      <w:pPr>
        <w:pStyle w:val="Heading3"/>
        <w:spacing w:before="120" w:after="120"/>
      </w:pPr>
    </w:p>
    <w:sectPr w:rsidR="004E3BC9" w:rsidSect="00D503FB">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015" w:rsidRDefault="00493015" w:rsidP="00646D36">
      <w:pPr>
        <w:spacing w:after="0" w:line="240" w:lineRule="auto"/>
      </w:pPr>
      <w:r>
        <w:separator/>
      </w:r>
    </w:p>
  </w:endnote>
  <w:endnote w:type="continuationSeparator" w:id="0">
    <w:p w:rsidR="00493015" w:rsidRDefault="00493015" w:rsidP="0064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venir Next">
    <w:altName w:val="Corbel"/>
    <w:charset w:val="00"/>
    <w:family w:val="auto"/>
    <w:pitch w:val="variable"/>
    <w:sig w:usb0="00000001" w:usb1="5000204A" w:usb2="00000000" w:usb3="00000000" w:csb0="0000009B"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61054"/>
      <w:docPartObj>
        <w:docPartGallery w:val="Page Numbers (Bottom of Page)"/>
        <w:docPartUnique/>
      </w:docPartObj>
    </w:sdtPr>
    <w:sdtEndPr>
      <w:rPr>
        <w:color w:val="7F7F7F" w:themeColor="background1" w:themeShade="7F"/>
        <w:spacing w:val="60"/>
      </w:rPr>
    </w:sdtEndPr>
    <w:sdtContent>
      <w:p w:rsidR="0065736C" w:rsidRDefault="006573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C2F8B">
          <w:rPr>
            <w:noProof/>
          </w:rPr>
          <w:t>12</w:t>
        </w:r>
        <w:r>
          <w:rPr>
            <w:noProof/>
          </w:rPr>
          <w:fldChar w:fldCharType="end"/>
        </w:r>
        <w:r>
          <w:t xml:space="preserve"> | </w:t>
        </w:r>
        <w:r>
          <w:rPr>
            <w:color w:val="7F7F7F" w:themeColor="background1" w:themeShade="7F"/>
            <w:spacing w:val="60"/>
          </w:rPr>
          <w:t>Page</w:t>
        </w:r>
      </w:p>
    </w:sdtContent>
  </w:sdt>
  <w:p w:rsidR="0065736C" w:rsidRDefault="00657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015" w:rsidRDefault="00493015" w:rsidP="00646D36">
      <w:pPr>
        <w:spacing w:after="0" w:line="240" w:lineRule="auto"/>
      </w:pPr>
      <w:r>
        <w:separator/>
      </w:r>
    </w:p>
  </w:footnote>
  <w:footnote w:type="continuationSeparator" w:id="0">
    <w:p w:rsidR="00493015" w:rsidRDefault="00493015" w:rsidP="00646D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7BBF"/>
    <w:multiLevelType w:val="hybridMultilevel"/>
    <w:tmpl w:val="343C4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031C3"/>
    <w:multiLevelType w:val="hybridMultilevel"/>
    <w:tmpl w:val="89761D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E53AB1"/>
    <w:multiLevelType w:val="hybridMultilevel"/>
    <w:tmpl w:val="C1E86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2CA9"/>
    <w:multiLevelType w:val="hybridMultilevel"/>
    <w:tmpl w:val="1BA00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BC6E7E"/>
    <w:multiLevelType w:val="hybridMultilevel"/>
    <w:tmpl w:val="CD5A8324"/>
    <w:lvl w:ilvl="0" w:tplc="B5F040F8">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43283C"/>
    <w:multiLevelType w:val="hybridMultilevel"/>
    <w:tmpl w:val="81E82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C636DE"/>
    <w:multiLevelType w:val="hybridMultilevel"/>
    <w:tmpl w:val="52F27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159FC"/>
    <w:multiLevelType w:val="hybridMultilevel"/>
    <w:tmpl w:val="DC82E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EB643E"/>
    <w:multiLevelType w:val="hybridMultilevel"/>
    <w:tmpl w:val="D4B25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CF3A3A"/>
    <w:multiLevelType w:val="hybridMultilevel"/>
    <w:tmpl w:val="E5D6CF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4062B20"/>
    <w:multiLevelType w:val="hybridMultilevel"/>
    <w:tmpl w:val="67022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AC6BEE"/>
    <w:multiLevelType w:val="hybridMultilevel"/>
    <w:tmpl w:val="C024D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F170F0"/>
    <w:multiLevelType w:val="hybridMultilevel"/>
    <w:tmpl w:val="CAD037AE"/>
    <w:lvl w:ilvl="0" w:tplc="031CBB22">
      <w:start w:val="1"/>
      <w:numFmt w:val="decimal"/>
      <w:lvlText w:val="Appendix %1."/>
      <w:lvlJc w:val="left"/>
      <w:pPr>
        <w:ind w:left="1920" w:hanging="360"/>
      </w:pPr>
      <w:rPr>
        <w:rFonts w:ascii="Arial" w:hAnsi="Arial"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6D7166"/>
    <w:multiLevelType w:val="hybridMultilevel"/>
    <w:tmpl w:val="6D721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E12A7"/>
    <w:multiLevelType w:val="multilevel"/>
    <w:tmpl w:val="ACD28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523D3"/>
    <w:multiLevelType w:val="multilevel"/>
    <w:tmpl w:val="15D8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52260"/>
    <w:multiLevelType w:val="hybridMultilevel"/>
    <w:tmpl w:val="089E0C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7284952"/>
    <w:multiLevelType w:val="hybridMultilevel"/>
    <w:tmpl w:val="20E4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92053B"/>
    <w:multiLevelType w:val="hybridMultilevel"/>
    <w:tmpl w:val="3B42A42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38702F"/>
    <w:multiLevelType w:val="multilevel"/>
    <w:tmpl w:val="16ECC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297D87"/>
    <w:multiLevelType w:val="hybridMultilevel"/>
    <w:tmpl w:val="DD605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AE1650"/>
    <w:multiLevelType w:val="hybridMultilevel"/>
    <w:tmpl w:val="6F2A1E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C1B7034"/>
    <w:multiLevelType w:val="hybridMultilevel"/>
    <w:tmpl w:val="83BEB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7E3F9B"/>
    <w:multiLevelType w:val="multilevel"/>
    <w:tmpl w:val="DCB6C296"/>
    <w:lvl w:ilvl="0">
      <w:start w:val="1"/>
      <w:numFmt w:val="decimal"/>
      <w:lvlText w:val="%1"/>
      <w:lvlJc w:val="left"/>
      <w:pPr>
        <w:ind w:left="432" w:hanging="432"/>
      </w:pPr>
      <w:rPr>
        <w:rFonts w:hint="default"/>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0ED4994"/>
    <w:multiLevelType w:val="hybridMultilevel"/>
    <w:tmpl w:val="1ED643EC"/>
    <w:lvl w:ilvl="0" w:tplc="0C09000F">
      <w:start w:val="1"/>
      <w:numFmt w:val="decimal"/>
      <w:lvlText w:val="%1."/>
      <w:lvlJc w:val="left"/>
      <w:pPr>
        <w:ind w:left="720" w:hanging="360"/>
      </w:pPr>
      <w:rPr>
        <w:rFonts w:hint="default"/>
      </w:rPr>
    </w:lvl>
    <w:lvl w:ilvl="1" w:tplc="110EA978">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B93094"/>
    <w:multiLevelType w:val="multilevel"/>
    <w:tmpl w:val="CBF8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792D43"/>
    <w:multiLevelType w:val="multilevel"/>
    <w:tmpl w:val="3E9A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D7E2B"/>
    <w:multiLevelType w:val="multilevel"/>
    <w:tmpl w:val="2A76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A22008"/>
    <w:multiLevelType w:val="hybridMultilevel"/>
    <w:tmpl w:val="A27AA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233DDA"/>
    <w:multiLevelType w:val="multilevel"/>
    <w:tmpl w:val="3440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9A2043"/>
    <w:multiLevelType w:val="hybridMultilevel"/>
    <w:tmpl w:val="AC4EDA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092FFA"/>
    <w:multiLevelType w:val="hybridMultilevel"/>
    <w:tmpl w:val="9D7649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012417F"/>
    <w:multiLevelType w:val="hybridMultilevel"/>
    <w:tmpl w:val="B8B45A60"/>
    <w:lvl w:ilvl="0" w:tplc="71A8990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3030948"/>
    <w:multiLevelType w:val="hybridMultilevel"/>
    <w:tmpl w:val="76DC62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40A6253"/>
    <w:multiLevelType w:val="hybridMultilevel"/>
    <w:tmpl w:val="AAD42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C94220"/>
    <w:multiLevelType w:val="hybridMultilevel"/>
    <w:tmpl w:val="56E03F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FE11F04"/>
    <w:multiLevelType w:val="hybridMultilevel"/>
    <w:tmpl w:val="7898C99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2"/>
  </w:num>
  <w:num w:numId="2">
    <w:abstractNumId w:val="0"/>
  </w:num>
  <w:num w:numId="3">
    <w:abstractNumId w:val="7"/>
  </w:num>
  <w:num w:numId="4">
    <w:abstractNumId w:val="34"/>
  </w:num>
  <w:num w:numId="5">
    <w:abstractNumId w:val="12"/>
  </w:num>
  <w:num w:numId="6">
    <w:abstractNumId w:val="33"/>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4"/>
  </w:num>
  <w:num w:numId="12">
    <w:abstractNumId w:val="10"/>
  </w:num>
  <w:num w:numId="13">
    <w:abstractNumId w:val="6"/>
  </w:num>
  <w:num w:numId="14">
    <w:abstractNumId w:val="13"/>
  </w:num>
  <w:num w:numId="15">
    <w:abstractNumId w:val="21"/>
  </w:num>
  <w:num w:numId="16">
    <w:abstractNumId w:val="30"/>
  </w:num>
  <w:num w:numId="17">
    <w:abstractNumId w:val="25"/>
  </w:num>
  <w:num w:numId="18">
    <w:abstractNumId w:val="15"/>
  </w:num>
  <w:num w:numId="19">
    <w:abstractNumId w:val="27"/>
  </w:num>
  <w:num w:numId="20">
    <w:abstractNumId w:val="5"/>
  </w:num>
  <w:num w:numId="21">
    <w:abstractNumId w:val="2"/>
  </w:num>
  <w:num w:numId="22">
    <w:abstractNumId w:val="18"/>
  </w:num>
  <w:num w:numId="23">
    <w:abstractNumId w:val="28"/>
  </w:num>
  <w:num w:numId="24">
    <w:abstractNumId w:val="11"/>
  </w:num>
  <w:num w:numId="25">
    <w:abstractNumId w:val="3"/>
  </w:num>
  <w:num w:numId="26">
    <w:abstractNumId w:val="1"/>
  </w:num>
  <w:num w:numId="27">
    <w:abstractNumId w:val="16"/>
  </w:num>
  <w:num w:numId="28">
    <w:abstractNumId w:val="31"/>
  </w:num>
  <w:num w:numId="29">
    <w:abstractNumId w:val="36"/>
  </w:num>
  <w:num w:numId="30">
    <w:abstractNumId w:val="9"/>
  </w:num>
  <w:num w:numId="31">
    <w:abstractNumId w:val="17"/>
  </w:num>
  <w:num w:numId="32">
    <w:abstractNumId w:val="35"/>
  </w:num>
  <w:num w:numId="33">
    <w:abstractNumId w:val="26"/>
  </w:num>
  <w:num w:numId="34">
    <w:abstractNumId w:val="29"/>
  </w:num>
  <w:num w:numId="35">
    <w:abstractNumId w:val="8"/>
  </w:num>
  <w:num w:numId="36">
    <w:abstractNumId w:val="4"/>
  </w:num>
  <w:num w:numId="37">
    <w:abstractNumId w:val="1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36"/>
    <w:rsid w:val="00003ADB"/>
    <w:rsid w:val="00003D5E"/>
    <w:rsid w:val="000176A2"/>
    <w:rsid w:val="000218E8"/>
    <w:rsid w:val="0002601E"/>
    <w:rsid w:val="00033080"/>
    <w:rsid w:val="00035650"/>
    <w:rsid w:val="00043BA3"/>
    <w:rsid w:val="0005070E"/>
    <w:rsid w:val="00052B82"/>
    <w:rsid w:val="00055E1C"/>
    <w:rsid w:val="00063253"/>
    <w:rsid w:val="00065794"/>
    <w:rsid w:val="00070C1A"/>
    <w:rsid w:val="00072717"/>
    <w:rsid w:val="00082451"/>
    <w:rsid w:val="00083115"/>
    <w:rsid w:val="00090AD1"/>
    <w:rsid w:val="000928FC"/>
    <w:rsid w:val="000946B5"/>
    <w:rsid w:val="000B0F5F"/>
    <w:rsid w:val="000B2849"/>
    <w:rsid w:val="000B6A76"/>
    <w:rsid w:val="000B7CD6"/>
    <w:rsid w:val="000C2F8B"/>
    <w:rsid w:val="000C7D93"/>
    <w:rsid w:val="000D7C3E"/>
    <w:rsid w:val="000F18F1"/>
    <w:rsid w:val="000F72AF"/>
    <w:rsid w:val="001067F4"/>
    <w:rsid w:val="00111E15"/>
    <w:rsid w:val="001134E5"/>
    <w:rsid w:val="00114269"/>
    <w:rsid w:val="0011545F"/>
    <w:rsid w:val="00116F3D"/>
    <w:rsid w:val="001279E9"/>
    <w:rsid w:val="001417C0"/>
    <w:rsid w:val="0014459A"/>
    <w:rsid w:val="0015485A"/>
    <w:rsid w:val="0015760E"/>
    <w:rsid w:val="00157B56"/>
    <w:rsid w:val="00160C5E"/>
    <w:rsid w:val="00161FA2"/>
    <w:rsid w:val="00163B76"/>
    <w:rsid w:val="00164DD8"/>
    <w:rsid w:val="001657BB"/>
    <w:rsid w:val="00174775"/>
    <w:rsid w:val="00186E27"/>
    <w:rsid w:val="001876A3"/>
    <w:rsid w:val="00191B43"/>
    <w:rsid w:val="00191ED6"/>
    <w:rsid w:val="0019714C"/>
    <w:rsid w:val="001A0150"/>
    <w:rsid w:val="001A2A65"/>
    <w:rsid w:val="001B2EA6"/>
    <w:rsid w:val="001C436B"/>
    <w:rsid w:val="001D36CA"/>
    <w:rsid w:val="001D4ECE"/>
    <w:rsid w:val="001D6DAB"/>
    <w:rsid w:val="001E66F7"/>
    <w:rsid w:val="001F2E2F"/>
    <w:rsid w:val="001F35E0"/>
    <w:rsid w:val="002145EE"/>
    <w:rsid w:val="00230C7A"/>
    <w:rsid w:val="00232093"/>
    <w:rsid w:val="00234713"/>
    <w:rsid w:val="00240048"/>
    <w:rsid w:val="00241250"/>
    <w:rsid w:val="00243ECF"/>
    <w:rsid w:val="002551A6"/>
    <w:rsid w:val="0026703A"/>
    <w:rsid w:val="00270DE7"/>
    <w:rsid w:val="002759DA"/>
    <w:rsid w:val="00276BE3"/>
    <w:rsid w:val="0028097E"/>
    <w:rsid w:val="00281B8D"/>
    <w:rsid w:val="00283D51"/>
    <w:rsid w:val="002869EB"/>
    <w:rsid w:val="0029244A"/>
    <w:rsid w:val="002B085B"/>
    <w:rsid w:val="002B5C24"/>
    <w:rsid w:val="002C207A"/>
    <w:rsid w:val="002D5563"/>
    <w:rsid w:val="002E06A7"/>
    <w:rsid w:val="002E4EEF"/>
    <w:rsid w:val="002F4C22"/>
    <w:rsid w:val="00304010"/>
    <w:rsid w:val="00316B98"/>
    <w:rsid w:val="00321B9E"/>
    <w:rsid w:val="00323072"/>
    <w:rsid w:val="0032415D"/>
    <w:rsid w:val="00324A05"/>
    <w:rsid w:val="00327C25"/>
    <w:rsid w:val="00332ABE"/>
    <w:rsid w:val="00342140"/>
    <w:rsid w:val="0034248A"/>
    <w:rsid w:val="0035562E"/>
    <w:rsid w:val="00362896"/>
    <w:rsid w:val="00364382"/>
    <w:rsid w:val="00370DD7"/>
    <w:rsid w:val="003723C8"/>
    <w:rsid w:val="00380CC1"/>
    <w:rsid w:val="003825D7"/>
    <w:rsid w:val="00383847"/>
    <w:rsid w:val="00392F05"/>
    <w:rsid w:val="00393E55"/>
    <w:rsid w:val="0039655C"/>
    <w:rsid w:val="003A1033"/>
    <w:rsid w:val="003A44B6"/>
    <w:rsid w:val="003B37CE"/>
    <w:rsid w:val="003B4A65"/>
    <w:rsid w:val="003B66C9"/>
    <w:rsid w:val="003C1446"/>
    <w:rsid w:val="003C33E4"/>
    <w:rsid w:val="003C4E94"/>
    <w:rsid w:val="003C55C1"/>
    <w:rsid w:val="003C6748"/>
    <w:rsid w:val="003D02EA"/>
    <w:rsid w:val="003D6CF6"/>
    <w:rsid w:val="003E3713"/>
    <w:rsid w:val="003E782D"/>
    <w:rsid w:val="003F3E13"/>
    <w:rsid w:val="00402F05"/>
    <w:rsid w:val="004060BF"/>
    <w:rsid w:val="00407FB5"/>
    <w:rsid w:val="00413D65"/>
    <w:rsid w:val="00420C7E"/>
    <w:rsid w:val="004400E0"/>
    <w:rsid w:val="004450B6"/>
    <w:rsid w:val="004530ED"/>
    <w:rsid w:val="00463F93"/>
    <w:rsid w:val="004658E6"/>
    <w:rsid w:val="0046738D"/>
    <w:rsid w:val="00470329"/>
    <w:rsid w:val="00493015"/>
    <w:rsid w:val="00493658"/>
    <w:rsid w:val="004A4192"/>
    <w:rsid w:val="004D3BB2"/>
    <w:rsid w:val="004D76C5"/>
    <w:rsid w:val="004E3BC9"/>
    <w:rsid w:val="004E5122"/>
    <w:rsid w:val="004E552E"/>
    <w:rsid w:val="004F2FFE"/>
    <w:rsid w:val="004F626C"/>
    <w:rsid w:val="004F745E"/>
    <w:rsid w:val="004F791A"/>
    <w:rsid w:val="00503855"/>
    <w:rsid w:val="00530932"/>
    <w:rsid w:val="00532CD2"/>
    <w:rsid w:val="005344E8"/>
    <w:rsid w:val="00541F2A"/>
    <w:rsid w:val="00547EDE"/>
    <w:rsid w:val="00553DE7"/>
    <w:rsid w:val="00553FB0"/>
    <w:rsid w:val="00555026"/>
    <w:rsid w:val="005702A4"/>
    <w:rsid w:val="00571B48"/>
    <w:rsid w:val="005764E4"/>
    <w:rsid w:val="00582CC0"/>
    <w:rsid w:val="00585A34"/>
    <w:rsid w:val="00586BBF"/>
    <w:rsid w:val="0058700A"/>
    <w:rsid w:val="005A1A32"/>
    <w:rsid w:val="005A297E"/>
    <w:rsid w:val="005A2B89"/>
    <w:rsid w:val="005A4C19"/>
    <w:rsid w:val="005A606B"/>
    <w:rsid w:val="005B3926"/>
    <w:rsid w:val="005B5C4B"/>
    <w:rsid w:val="005B63FF"/>
    <w:rsid w:val="005C1038"/>
    <w:rsid w:val="005C1F01"/>
    <w:rsid w:val="005C372C"/>
    <w:rsid w:val="005C6E46"/>
    <w:rsid w:val="005E0389"/>
    <w:rsid w:val="005E25A9"/>
    <w:rsid w:val="005E4747"/>
    <w:rsid w:val="005E690C"/>
    <w:rsid w:val="005F1E4C"/>
    <w:rsid w:val="005F5557"/>
    <w:rsid w:val="005F7E9E"/>
    <w:rsid w:val="006024BB"/>
    <w:rsid w:val="00615860"/>
    <w:rsid w:val="00622887"/>
    <w:rsid w:val="00631206"/>
    <w:rsid w:val="00635C25"/>
    <w:rsid w:val="00646D36"/>
    <w:rsid w:val="0065053F"/>
    <w:rsid w:val="00656558"/>
    <w:rsid w:val="0065736C"/>
    <w:rsid w:val="00657AD3"/>
    <w:rsid w:val="00663FE1"/>
    <w:rsid w:val="00670C85"/>
    <w:rsid w:val="006730C1"/>
    <w:rsid w:val="00696911"/>
    <w:rsid w:val="00697798"/>
    <w:rsid w:val="006A20D7"/>
    <w:rsid w:val="006A635F"/>
    <w:rsid w:val="006A6F5F"/>
    <w:rsid w:val="006B2DAD"/>
    <w:rsid w:val="006C2604"/>
    <w:rsid w:val="006D03BD"/>
    <w:rsid w:val="006D3C59"/>
    <w:rsid w:val="006D4BBB"/>
    <w:rsid w:val="006D73DC"/>
    <w:rsid w:val="006E22B5"/>
    <w:rsid w:val="006E2354"/>
    <w:rsid w:val="006E5615"/>
    <w:rsid w:val="006F00C5"/>
    <w:rsid w:val="006F1FA8"/>
    <w:rsid w:val="006F27C5"/>
    <w:rsid w:val="007006D1"/>
    <w:rsid w:val="00702B0C"/>
    <w:rsid w:val="007200D1"/>
    <w:rsid w:val="00720BCB"/>
    <w:rsid w:val="0072349F"/>
    <w:rsid w:val="00727938"/>
    <w:rsid w:val="00727AD9"/>
    <w:rsid w:val="00734F3F"/>
    <w:rsid w:val="007404C6"/>
    <w:rsid w:val="00741E63"/>
    <w:rsid w:val="00745295"/>
    <w:rsid w:val="0074568D"/>
    <w:rsid w:val="00745A93"/>
    <w:rsid w:val="007536EA"/>
    <w:rsid w:val="00753702"/>
    <w:rsid w:val="0075609A"/>
    <w:rsid w:val="0076292E"/>
    <w:rsid w:val="00766606"/>
    <w:rsid w:val="00770F9A"/>
    <w:rsid w:val="0077107A"/>
    <w:rsid w:val="007711E8"/>
    <w:rsid w:val="0077349B"/>
    <w:rsid w:val="0077449E"/>
    <w:rsid w:val="00785200"/>
    <w:rsid w:val="007874FB"/>
    <w:rsid w:val="00787837"/>
    <w:rsid w:val="00797022"/>
    <w:rsid w:val="007A358A"/>
    <w:rsid w:val="007A4E60"/>
    <w:rsid w:val="007A7B83"/>
    <w:rsid w:val="007C1BF7"/>
    <w:rsid w:val="007C65D0"/>
    <w:rsid w:val="007C7FA4"/>
    <w:rsid w:val="007D1228"/>
    <w:rsid w:val="007D51AF"/>
    <w:rsid w:val="007E0800"/>
    <w:rsid w:val="007E6248"/>
    <w:rsid w:val="007F0E0F"/>
    <w:rsid w:val="007F20C8"/>
    <w:rsid w:val="007F52CA"/>
    <w:rsid w:val="00800C63"/>
    <w:rsid w:val="00801F6E"/>
    <w:rsid w:val="00803E5D"/>
    <w:rsid w:val="00811947"/>
    <w:rsid w:val="00817B03"/>
    <w:rsid w:val="00820639"/>
    <w:rsid w:val="00821497"/>
    <w:rsid w:val="00822C9F"/>
    <w:rsid w:val="00834582"/>
    <w:rsid w:val="00835090"/>
    <w:rsid w:val="00836BA4"/>
    <w:rsid w:val="008378D6"/>
    <w:rsid w:val="00840727"/>
    <w:rsid w:val="0084226C"/>
    <w:rsid w:val="00855D7B"/>
    <w:rsid w:val="008578BE"/>
    <w:rsid w:val="00863FB6"/>
    <w:rsid w:val="00867D07"/>
    <w:rsid w:val="008705FD"/>
    <w:rsid w:val="0087190B"/>
    <w:rsid w:val="00876777"/>
    <w:rsid w:val="00880152"/>
    <w:rsid w:val="00885BEF"/>
    <w:rsid w:val="008952CC"/>
    <w:rsid w:val="008A77BB"/>
    <w:rsid w:val="008B4DBE"/>
    <w:rsid w:val="008B5825"/>
    <w:rsid w:val="008B6BB0"/>
    <w:rsid w:val="008C0E3F"/>
    <w:rsid w:val="008C7E25"/>
    <w:rsid w:val="008D6FB2"/>
    <w:rsid w:val="008E6096"/>
    <w:rsid w:val="008E73E6"/>
    <w:rsid w:val="008F04F3"/>
    <w:rsid w:val="008F0CC5"/>
    <w:rsid w:val="008F2759"/>
    <w:rsid w:val="008F32D8"/>
    <w:rsid w:val="0091065B"/>
    <w:rsid w:val="00913CB7"/>
    <w:rsid w:val="00917EC2"/>
    <w:rsid w:val="00921FA6"/>
    <w:rsid w:val="009314BF"/>
    <w:rsid w:val="00933479"/>
    <w:rsid w:val="0093461E"/>
    <w:rsid w:val="00950D05"/>
    <w:rsid w:val="00950D1E"/>
    <w:rsid w:val="00953968"/>
    <w:rsid w:val="00962ABF"/>
    <w:rsid w:val="009651E9"/>
    <w:rsid w:val="00974FD8"/>
    <w:rsid w:val="0097658D"/>
    <w:rsid w:val="0098043F"/>
    <w:rsid w:val="009A4BB6"/>
    <w:rsid w:val="009A53AF"/>
    <w:rsid w:val="009A708D"/>
    <w:rsid w:val="009B77E5"/>
    <w:rsid w:val="009C5594"/>
    <w:rsid w:val="009D162F"/>
    <w:rsid w:val="009E6A57"/>
    <w:rsid w:val="009F1CEB"/>
    <w:rsid w:val="009F60EB"/>
    <w:rsid w:val="00A07583"/>
    <w:rsid w:val="00A113D2"/>
    <w:rsid w:val="00A155B5"/>
    <w:rsid w:val="00A1644E"/>
    <w:rsid w:val="00A174E7"/>
    <w:rsid w:val="00A2567E"/>
    <w:rsid w:val="00A337F5"/>
    <w:rsid w:val="00A418DC"/>
    <w:rsid w:val="00A42545"/>
    <w:rsid w:val="00A4289A"/>
    <w:rsid w:val="00A44070"/>
    <w:rsid w:val="00A44486"/>
    <w:rsid w:val="00A504DF"/>
    <w:rsid w:val="00A600CA"/>
    <w:rsid w:val="00A613A2"/>
    <w:rsid w:val="00A61CE3"/>
    <w:rsid w:val="00A71AD2"/>
    <w:rsid w:val="00A75B48"/>
    <w:rsid w:val="00A76FDF"/>
    <w:rsid w:val="00A80B27"/>
    <w:rsid w:val="00A839B7"/>
    <w:rsid w:val="00AA73C5"/>
    <w:rsid w:val="00AB5945"/>
    <w:rsid w:val="00AC053D"/>
    <w:rsid w:val="00AC37BB"/>
    <w:rsid w:val="00AC3C85"/>
    <w:rsid w:val="00AD3268"/>
    <w:rsid w:val="00AD6D0C"/>
    <w:rsid w:val="00AD7C34"/>
    <w:rsid w:val="00AE25A5"/>
    <w:rsid w:val="00AE71BC"/>
    <w:rsid w:val="00B00490"/>
    <w:rsid w:val="00B008F1"/>
    <w:rsid w:val="00B0779C"/>
    <w:rsid w:val="00B104F6"/>
    <w:rsid w:val="00B21E73"/>
    <w:rsid w:val="00B22AAD"/>
    <w:rsid w:val="00B4084F"/>
    <w:rsid w:val="00B41EC5"/>
    <w:rsid w:val="00B44268"/>
    <w:rsid w:val="00B457BB"/>
    <w:rsid w:val="00B4737A"/>
    <w:rsid w:val="00B47551"/>
    <w:rsid w:val="00B47B9A"/>
    <w:rsid w:val="00B50922"/>
    <w:rsid w:val="00B50C7B"/>
    <w:rsid w:val="00B523E2"/>
    <w:rsid w:val="00B57D41"/>
    <w:rsid w:val="00B72FD5"/>
    <w:rsid w:val="00B82BCE"/>
    <w:rsid w:val="00B91C3E"/>
    <w:rsid w:val="00B95A64"/>
    <w:rsid w:val="00BB2892"/>
    <w:rsid w:val="00BB443D"/>
    <w:rsid w:val="00BB50BD"/>
    <w:rsid w:val="00BB70B8"/>
    <w:rsid w:val="00BC3716"/>
    <w:rsid w:val="00BC7F7A"/>
    <w:rsid w:val="00BD0656"/>
    <w:rsid w:val="00BD0E5F"/>
    <w:rsid w:val="00BD575A"/>
    <w:rsid w:val="00BD6471"/>
    <w:rsid w:val="00BD7D96"/>
    <w:rsid w:val="00BE5676"/>
    <w:rsid w:val="00BF6057"/>
    <w:rsid w:val="00C0051D"/>
    <w:rsid w:val="00C17CDE"/>
    <w:rsid w:val="00C22CF7"/>
    <w:rsid w:val="00C25020"/>
    <w:rsid w:val="00C43F39"/>
    <w:rsid w:val="00C4474C"/>
    <w:rsid w:val="00C450B2"/>
    <w:rsid w:val="00C50DF1"/>
    <w:rsid w:val="00C53460"/>
    <w:rsid w:val="00C57113"/>
    <w:rsid w:val="00C7618C"/>
    <w:rsid w:val="00C86230"/>
    <w:rsid w:val="00C87B3B"/>
    <w:rsid w:val="00C9086E"/>
    <w:rsid w:val="00C963B1"/>
    <w:rsid w:val="00CA08EC"/>
    <w:rsid w:val="00CB701D"/>
    <w:rsid w:val="00CC0A82"/>
    <w:rsid w:val="00CC5D87"/>
    <w:rsid w:val="00CD4926"/>
    <w:rsid w:val="00CD6FCE"/>
    <w:rsid w:val="00CE1AF4"/>
    <w:rsid w:val="00CE7C03"/>
    <w:rsid w:val="00CF39D5"/>
    <w:rsid w:val="00CF585D"/>
    <w:rsid w:val="00D002E3"/>
    <w:rsid w:val="00D04A56"/>
    <w:rsid w:val="00D140A0"/>
    <w:rsid w:val="00D1615A"/>
    <w:rsid w:val="00D164A5"/>
    <w:rsid w:val="00D2282E"/>
    <w:rsid w:val="00D24DF3"/>
    <w:rsid w:val="00D30BAE"/>
    <w:rsid w:val="00D30BDD"/>
    <w:rsid w:val="00D34F6E"/>
    <w:rsid w:val="00D4381E"/>
    <w:rsid w:val="00D44B40"/>
    <w:rsid w:val="00D45356"/>
    <w:rsid w:val="00D471B3"/>
    <w:rsid w:val="00D47475"/>
    <w:rsid w:val="00D503FB"/>
    <w:rsid w:val="00D5198F"/>
    <w:rsid w:val="00D5246B"/>
    <w:rsid w:val="00D549E2"/>
    <w:rsid w:val="00D67826"/>
    <w:rsid w:val="00D74B9B"/>
    <w:rsid w:val="00D87B92"/>
    <w:rsid w:val="00D908D2"/>
    <w:rsid w:val="00D93DC7"/>
    <w:rsid w:val="00D951CF"/>
    <w:rsid w:val="00D961BA"/>
    <w:rsid w:val="00DB5ABB"/>
    <w:rsid w:val="00DC5291"/>
    <w:rsid w:val="00DC5956"/>
    <w:rsid w:val="00DD2189"/>
    <w:rsid w:val="00DD35A8"/>
    <w:rsid w:val="00DD481B"/>
    <w:rsid w:val="00DE5B0F"/>
    <w:rsid w:val="00DF13F2"/>
    <w:rsid w:val="00E02192"/>
    <w:rsid w:val="00E043F6"/>
    <w:rsid w:val="00E05A03"/>
    <w:rsid w:val="00E15F8B"/>
    <w:rsid w:val="00E21073"/>
    <w:rsid w:val="00E2448A"/>
    <w:rsid w:val="00E2504D"/>
    <w:rsid w:val="00E26E7A"/>
    <w:rsid w:val="00E31F5A"/>
    <w:rsid w:val="00E33142"/>
    <w:rsid w:val="00E42B72"/>
    <w:rsid w:val="00E52D79"/>
    <w:rsid w:val="00E55A06"/>
    <w:rsid w:val="00E6482A"/>
    <w:rsid w:val="00E715CF"/>
    <w:rsid w:val="00E7474B"/>
    <w:rsid w:val="00E75416"/>
    <w:rsid w:val="00E76861"/>
    <w:rsid w:val="00E84844"/>
    <w:rsid w:val="00E84B2D"/>
    <w:rsid w:val="00E911C1"/>
    <w:rsid w:val="00EA0BAC"/>
    <w:rsid w:val="00EB4937"/>
    <w:rsid w:val="00EB6AA2"/>
    <w:rsid w:val="00EC1E1C"/>
    <w:rsid w:val="00ED7301"/>
    <w:rsid w:val="00ED7374"/>
    <w:rsid w:val="00EF1ECF"/>
    <w:rsid w:val="00EF3F22"/>
    <w:rsid w:val="00EF59D2"/>
    <w:rsid w:val="00EF6CA8"/>
    <w:rsid w:val="00EF7AF0"/>
    <w:rsid w:val="00F06219"/>
    <w:rsid w:val="00F07DF8"/>
    <w:rsid w:val="00F1237B"/>
    <w:rsid w:val="00F1277F"/>
    <w:rsid w:val="00F13B60"/>
    <w:rsid w:val="00F14F48"/>
    <w:rsid w:val="00F253F7"/>
    <w:rsid w:val="00F37A4D"/>
    <w:rsid w:val="00F4141A"/>
    <w:rsid w:val="00F46238"/>
    <w:rsid w:val="00F603F6"/>
    <w:rsid w:val="00F608CC"/>
    <w:rsid w:val="00F83D8B"/>
    <w:rsid w:val="00F86FE3"/>
    <w:rsid w:val="00FA6820"/>
    <w:rsid w:val="00FB3CCB"/>
    <w:rsid w:val="00FC6763"/>
    <w:rsid w:val="00FE079F"/>
    <w:rsid w:val="00FF6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113D22B-88C8-4803-97E1-E589363E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36"/>
    <w:pPr>
      <w:spacing w:after="200" w:line="276" w:lineRule="auto"/>
    </w:pPr>
    <w:rPr>
      <w:sz w:val="24"/>
      <w:szCs w:val="24"/>
    </w:rPr>
  </w:style>
  <w:style w:type="paragraph" w:styleId="Heading1">
    <w:name w:val="heading 1"/>
    <w:basedOn w:val="Normal"/>
    <w:next w:val="Normal"/>
    <w:link w:val="Heading1Char"/>
    <w:uiPriority w:val="2"/>
    <w:qFormat/>
    <w:rsid w:val="00646D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2"/>
    <w:unhideWhenUsed/>
    <w:qFormat/>
    <w:rsid w:val="00646D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46D36"/>
    <w:pPr>
      <w:outlineLvl w:val="2"/>
    </w:pPr>
    <w:rPr>
      <w:b/>
      <w:color w:val="081594"/>
      <w:sz w:val="36"/>
      <w:szCs w:val="28"/>
    </w:rPr>
  </w:style>
  <w:style w:type="paragraph" w:styleId="Heading4">
    <w:name w:val="heading 4"/>
    <w:basedOn w:val="Normal"/>
    <w:next w:val="Normal"/>
    <w:link w:val="Heading4Char"/>
    <w:uiPriority w:val="9"/>
    <w:unhideWhenUsed/>
    <w:qFormat/>
    <w:rsid w:val="00530932"/>
    <w:pPr>
      <w:spacing w:before="200" w:after="0"/>
      <w:ind w:left="864" w:hanging="864"/>
      <w:outlineLvl w:val="3"/>
    </w:pPr>
    <w:rPr>
      <w:rFonts w:eastAsiaTheme="majorEastAsia" w:cstheme="majorBidi"/>
      <w:b/>
      <w:bCs/>
      <w:iCs/>
      <w:spacing w:val="4"/>
      <w:lang w:eastAsia="en-AU"/>
    </w:rPr>
  </w:style>
  <w:style w:type="paragraph" w:styleId="Heading5">
    <w:name w:val="heading 5"/>
    <w:basedOn w:val="Normal"/>
    <w:next w:val="Normal"/>
    <w:link w:val="Heading5Char"/>
    <w:uiPriority w:val="9"/>
    <w:unhideWhenUsed/>
    <w:qFormat/>
    <w:rsid w:val="00530932"/>
    <w:pPr>
      <w:spacing w:before="200" w:after="0"/>
      <w:ind w:left="1008" w:hanging="1008"/>
      <w:outlineLvl w:val="4"/>
    </w:pPr>
    <w:rPr>
      <w:rFonts w:eastAsiaTheme="majorEastAsia" w:cstheme="majorBidi"/>
      <w:bCs/>
      <w:spacing w:val="4"/>
      <w:lang w:eastAsia="en-AU"/>
    </w:rPr>
  </w:style>
  <w:style w:type="paragraph" w:styleId="Heading6">
    <w:name w:val="heading 6"/>
    <w:basedOn w:val="Normal"/>
    <w:next w:val="Normal"/>
    <w:link w:val="Heading6Char"/>
    <w:uiPriority w:val="9"/>
    <w:unhideWhenUsed/>
    <w:qFormat/>
    <w:rsid w:val="00530932"/>
    <w:pPr>
      <w:spacing w:before="120" w:after="0" w:line="271" w:lineRule="auto"/>
      <w:ind w:left="1152" w:hanging="1152"/>
      <w:outlineLvl w:val="5"/>
    </w:pPr>
    <w:rPr>
      <w:rFonts w:eastAsiaTheme="majorEastAsia" w:cstheme="majorBidi"/>
      <w:bCs/>
      <w:iCs/>
      <w:spacing w:val="4"/>
      <w:lang w:eastAsia="en-AU"/>
    </w:rPr>
  </w:style>
  <w:style w:type="paragraph" w:styleId="Heading7">
    <w:name w:val="heading 7"/>
    <w:basedOn w:val="Normal"/>
    <w:next w:val="Normal"/>
    <w:link w:val="Heading7Char"/>
    <w:uiPriority w:val="9"/>
    <w:unhideWhenUsed/>
    <w:qFormat/>
    <w:rsid w:val="00530932"/>
    <w:pPr>
      <w:spacing w:before="120" w:after="0"/>
      <w:ind w:left="1296" w:hanging="1296"/>
      <w:outlineLvl w:val="6"/>
    </w:pPr>
    <w:rPr>
      <w:rFonts w:eastAsiaTheme="majorEastAsia" w:cstheme="majorBidi"/>
      <w:iCs/>
      <w:spacing w:val="4"/>
      <w:lang w:eastAsia="en-AU"/>
    </w:rPr>
  </w:style>
  <w:style w:type="paragraph" w:styleId="Heading8">
    <w:name w:val="heading 8"/>
    <w:basedOn w:val="Normal"/>
    <w:next w:val="Normal"/>
    <w:link w:val="Heading8Char"/>
    <w:uiPriority w:val="9"/>
    <w:unhideWhenUsed/>
    <w:qFormat/>
    <w:rsid w:val="00530932"/>
    <w:pPr>
      <w:spacing w:before="120" w:after="0"/>
      <w:ind w:left="1440" w:hanging="1440"/>
      <w:outlineLvl w:val="7"/>
    </w:pPr>
    <w:rPr>
      <w:rFonts w:eastAsiaTheme="majorEastAsia" w:cstheme="majorBidi"/>
      <w:spacing w:val="4"/>
      <w:szCs w:val="20"/>
      <w:lang w:eastAsia="en-AU"/>
    </w:rPr>
  </w:style>
  <w:style w:type="paragraph" w:styleId="Heading9">
    <w:name w:val="heading 9"/>
    <w:basedOn w:val="Normal"/>
    <w:next w:val="Normal"/>
    <w:link w:val="Heading9Char"/>
    <w:uiPriority w:val="9"/>
    <w:unhideWhenUsed/>
    <w:qFormat/>
    <w:rsid w:val="00530932"/>
    <w:pPr>
      <w:spacing w:before="120" w:after="0"/>
      <w:ind w:left="1584" w:hanging="1584"/>
      <w:outlineLvl w:val="8"/>
    </w:pPr>
    <w:rPr>
      <w:rFonts w:eastAsiaTheme="majorEastAsia" w:cstheme="majorBidi"/>
      <w:iCs/>
      <w:spacing w:val="5"/>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6D36"/>
    <w:rPr>
      <w:b/>
      <w:color w:val="081594"/>
      <w:sz w:val="36"/>
      <w:szCs w:val="28"/>
    </w:rPr>
  </w:style>
  <w:style w:type="character" w:customStyle="1" w:styleId="Heading2Char">
    <w:name w:val="Heading 2 Char"/>
    <w:basedOn w:val="DefaultParagraphFont"/>
    <w:link w:val="Heading2"/>
    <w:uiPriority w:val="9"/>
    <w:rsid w:val="00646D3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46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D36"/>
    <w:rPr>
      <w:sz w:val="24"/>
      <w:szCs w:val="24"/>
    </w:rPr>
  </w:style>
  <w:style w:type="paragraph" w:styleId="Footer">
    <w:name w:val="footer"/>
    <w:basedOn w:val="Normal"/>
    <w:link w:val="FooterChar"/>
    <w:uiPriority w:val="99"/>
    <w:unhideWhenUsed/>
    <w:rsid w:val="00646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D36"/>
    <w:rPr>
      <w:sz w:val="24"/>
      <w:szCs w:val="24"/>
    </w:rPr>
  </w:style>
  <w:style w:type="character" w:customStyle="1" w:styleId="Heading1Char">
    <w:name w:val="Heading 1 Char"/>
    <w:basedOn w:val="DefaultParagraphFont"/>
    <w:link w:val="Heading1"/>
    <w:uiPriority w:val="9"/>
    <w:rsid w:val="00646D3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46D36"/>
    <w:rPr>
      <w:color w:val="0000FF"/>
      <w:u w:val="single"/>
    </w:rPr>
  </w:style>
  <w:style w:type="paragraph" w:styleId="ListParagraph">
    <w:name w:val="List Paragraph"/>
    <w:aliases w:val="First level bullet point,List Paragraph1,List Paragraph11,Bullet point,List Paragraph Number,Recommendation,Bulleted Para,NFP GP Bulleted List,bullet point list,L,Bullet points,Content descriptions,Bullet Point,List Paragraph2,Dot Point"/>
    <w:basedOn w:val="Normal"/>
    <w:link w:val="ListParagraphChar"/>
    <w:uiPriority w:val="34"/>
    <w:qFormat/>
    <w:rsid w:val="0084226C"/>
    <w:pPr>
      <w:spacing w:after="120"/>
      <w:ind w:left="720"/>
      <w:contextualSpacing/>
    </w:pPr>
  </w:style>
  <w:style w:type="paragraph" w:customStyle="1" w:styleId="Body">
    <w:name w:val="Body"/>
    <w:rsid w:val="00631206"/>
    <w:pPr>
      <w:pBdr>
        <w:top w:val="nil"/>
        <w:left w:val="nil"/>
        <w:bottom w:val="nil"/>
        <w:right w:val="nil"/>
        <w:between w:val="nil"/>
        <w:bar w:val="nil"/>
      </w:pBdr>
      <w:spacing w:before="80" w:after="80" w:line="276" w:lineRule="auto"/>
    </w:pPr>
    <w:rPr>
      <w:rFonts w:ascii="Avenir Next" w:eastAsia="Arial Unicode MS" w:hAnsi="Avenir Next" w:cs="Arial Unicode MS"/>
      <w:color w:val="000000"/>
      <w:bdr w:val="nil"/>
      <w:lang w:val="en-US" w:bidi="en-US"/>
    </w:rPr>
  </w:style>
  <w:style w:type="character" w:customStyle="1" w:styleId="ListParagraphChar">
    <w:name w:val="List Paragraph Char"/>
    <w:aliases w:val="First level bullet point Char,List Paragraph1 Char,List Paragraph11 Char,Bullet point Char,List Paragraph Number Char,Recommendation Char,Bulleted Para Char,NFP GP Bulleted List Char,bullet point list Char,L Char,Bullet points Char"/>
    <w:basedOn w:val="DefaultParagraphFont"/>
    <w:link w:val="ListParagraph"/>
    <w:uiPriority w:val="34"/>
    <w:rsid w:val="00631206"/>
    <w:rPr>
      <w:sz w:val="24"/>
      <w:szCs w:val="24"/>
    </w:rPr>
  </w:style>
  <w:style w:type="paragraph" w:styleId="BalloonText">
    <w:name w:val="Balloon Text"/>
    <w:basedOn w:val="Normal"/>
    <w:link w:val="BalloonTextChar"/>
    <w:uiPriority w:val="99"/>
    <w:semiHidden/>
    <w:unhideWhenUsed/>
    <w:rsid w:val="003C4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E94"/>
    <w:rPr>
      <w:rFonts w:ascii="Segoe UI" w:hAnsi="Segoe UI" w:cs="Segoe UI"/>
      <w:sz w:val="18"/>
      <w:szCs w:val="18"/>
    </w:rPr>
  </w:style>
  <w:style w:type="character" w:customStyle="1" w:styleId="Heading4Char">
    <w:name w:val="Heading 4 Char"/>
    <w:basedOn w:val="DefaultParagraphFont"/>
    <w:link w:val="Heading4"/>
    <w:uiPriority w:val="9"/>
    <w:rsid w:val="00530932"/>
    <w:rPr>
      <w:rFonts w:eastAsiaTheme="majorEastAsia" w:cstheme="majorBidi"/>
      <w:b/>
      <w:bCs/>
      <w:iCs/>
      <w:spacing w:val="4"/>
      <w:sz w:val="24"/>
      <w:szCs w:val="24"/>
      <w:lang w:eastAsia="en-AU"/>
    </w:rPr>
  </w:style>
  <w:style w:type="character" w:customStyle="1" w:styleId="Heading5Char">
    <w:name w:val="Heading 5 Char"/>
    <w:basedOn w:val="DefaultParagraphFont"/>
    <w:link w:val="Heading5"/>
    <w:uiPriority w:val="9"/>
    <w:rsid w:val="00530932"/>
    <w:rPr>
      <w:rFonts w:eastAsiaTheme="majorEastAsia" w:cstheme="majorBidi"/>
      <w:bCs/>
      <w:spacing w:val="4"/>
      <w:sz w:val="24"/>
      <w:szCs w:val="24"/>
      <w:lang w:eastAsia="en-AU"/>
    </w:rPr>
  </w:style>
  <w:style w:type="character" w:customStyle="1" w:styleId="Heading6Char">
    <w:name w:val="Heading 6 Char"/>
    <w:basedOn w:val="DefaultParagraphFont"/>
    <w:link w:val="Heading6"/>
    <w:uiPriority w:val="9"/>
    <w:rsid w:val="00530932"/>
    <w:rPr>
      <w:rFonts w:eastAsiaTheme="majorEastAsia" w:cstheme="majorBidi"/>
      <w:bCs/>
      <w:iCs/>
      <w:spacing w:val="4"/>
      <w:sz w:val="24"/>
      <w:szCs w:val="24"/>
      <w:lang w:eastAsia="en-AU"/>
    </w:rPr>
  </w:style>
  <w:style w:type="character" w:customStyle="1" w:styleId="Heading7Char">
    <w:name w:val="Heading 7 Char"/>
    <w:basedOn w:val="DefaultParagraphFont"/>
    <w:link w:val="Heading7"/>
    <w:uiPriority w:val="9"/>
    <w:rsid w:val="00530932"/>
    <w:rPr>
      <w:rFonts w:eastAsiaTheme="majorEastAsia" w:cstheme="majorBidi"/>
      <w:iCs/>
      <w:spacing w:val="4"/>
      <w:sz w:val="24"/>
      <w:szCs w:val="24"/>
      <w:lang w:eastAsia="en-AU"/>
    </w:rPr>
  </w:style>
  <w:style w:type="character" w:customStyle="1" w:styleId="Heading8Char">
    <w:name w:val="Heading 8 Char"/>
    <w:basedOn w:val="DefaultParagraphFont"/>
    <w:link w:val="Heading8"/>
    <w:uiPriority w:val="9"/>
    <w:rsid w:val="00530932"/>
    <w:rPr>
      <w:rFonts w:eastAsiaTheme="majorEastAsia" w:cstheme="majorBidi"/>
      <w:spacing w:val="4"/>
      <w:sz w:val="24"/>
      <w:szCs w:val="20"/>
      <w:lang w:eastAsia="en-AU"/>
    </w:rPr>
  </w:style>
  <w:style w:type="character" w:customStyle="1" w:styleId="Heading9Char">
    <w:name w:val="Heading 9 Char"/>
    <w:basedOn w:val="DefaultParagraphFont"/>
    <w:link w:val="Heading9"/>
    <w:uiPriority w:val="9"/>
    <w:rsid w:val="00530932"/>
    <w:rPr>
      <w:rFonts w:eastAsiaTheme="majorEastAsia" w:cstheme="majorBidi"/>
      <w:iCs/>
      <w:spacing w:val="5"/>
      <w:sz w:val="24"/>
      <w:szCs w:val="20"/>
      <w:lang w:eastAsia="en-AU"/>
    </w:rPr>
  </w:style>
  <w:style w:type="character" w:styleId="CommentReference">
    <w:name w:val="annotation reference"/>
    <w:basedOn w:val="DefaultParagraphFont"/>
    <w:uiPriority w:val="99"/>
    <w:semiHidden/>
    <w:unhideWhenUsed/>
    <w:rsid w:val="004D76C5"/>
    <w:rPr>
      <w:sz w:val="16"/>
      <w:szCs w:val="16"/>
    </w:rPr>
  </w:style>
  <w:style w:type="paragraph" w:styleId="CommentText">
    <w:name w:val="annotation text"/>
    <w:basedOn w:val="Normal"/>
    <w:link w:val="CommentTextChar"/>
    <w:uiPriority w:val="99"/>
    <w:unhideWhenUsed/>
    <w:rsid w:val="004D76C5"/>
    <w:pPr>
      <w:spacing w:line="240" w:lineRule="auto"/>
    </w:pPr>
    <w:rPr>
      <w:sz w:val="20"/>
      <w:szCs w:val="20"/>
    </w:rPr>
  </w:style>
  <w:style w:type="character" w:customStyle="1" w:styleId="CommentTextChar">
    <w:name w:val="Comment Text Char"/>
    <w:basedOn w:val="DefaultParagraphFont"/>
    <w:link w:val="CommentText"/>
    <w:uiPriority w:val="99"/>
    <w:rsid w:val="004D76C5"/>
    <w:rPr>
      <w:sz w:val="20"/>
      <w:szCs w:val="20"/>
    </w:rPr>
  </w:style>
  <w:style w:type="paragraph" w:styleId="CommentSubject">
    <w:name w:val="annotation subject"/>
    <w:basedOn w:val="CommentText"/>
    <w:next w:val="CommentText"/>
    <w:link w:val="CommentSubjectChar"/>
    <w:uiPriority w:val="99"/>
    <w:semiHidden/>
    <w:unhideWhenUsed/>
    <w:rsid w:val="004D76C5"/>
    <w:rPr>
      <w:b/>
      <w:bCs/>
    </w:rPr>
  </w:style>
  <w:style w:type="character" w:customStyle="1" w:styleId="CommentSubjectChar">
    <w:name w:val="Comment Subject Char"/>
    <w:basedOn w:val="CommentTextChar"/>
    <w:link w:val="CommentSubject"/>
    <w:uiPriority w:val="99"/>
    <w:semiHidden/>
    <w:rsid w:val="004D76C5"/>
    <w:rPr>
      <w:b/>
      <w:bCs/>
      <w:sz w:val="20"/>
      <w:szCs w:val="20"/>
    </w:rPr>
  </w:style>
  <w:style w:type="character" w:customStyle="1" w:styleId="apple-converted-space">
    <w:name w:val="apple-converted-space"/>
    <w:basedOn w:val="DefaultParagraphFont"/>
    <w:rsid w:val="00BD575A"/>
  </w:style>
  <w:style w:type="paragraph" w:styleId="NormalWeb">
    <w:name w:val="Normal (Web)"/>
    <w:basedOn w:val="Normal"/>
    <w:uiPriority w:val="99"/>
    <w:semiHidden/>
    <w:unhideWhenUsed/>
    <w:rsid w:val="00A613A2"/>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ubsection">
    <w:name w:val="subsection"/>
    <w:basedOn w:val="Normal"/>
    <w:rsid w:val="0005070E"/>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ragraph">
    <w:name w:val="paragraph"/>
    <w:basedOn w:val="Normal"/>
    <w:rsid w:val="0005070E"/>
    <w:pPr>
      <w:spacing w:before="100" w:beforeAutospacing="1" w:after="100"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04909">
      <w:bodyDiv w:val="1"/>
      <w:marLeft w:val="0"/>
      <w:marRight w:val="0"/>
      <w:marTop w:val="0"/>
      <w:marBottom w:val="0"/>
      <w:divBdr>
        <w:top w:val="none" w:sz="0" w:space="0" w:color="auto"/>
        <w:left w:val="none" w:sz="0" w:space="0" w:color="auto"/>
        <w:bottom w:val="none" w:sz="0" w:space="0" w:color="auto"/>
        <w:right w:val="none" w:sz="0" w:space="0" w:color="auto"/>
      </w:divBdr>
    </w:div>
    <w:div w:id="330111405">
      <w:bodyDiv w:val="1"/>
      <w:marLeft w:val="0"/>
      <w:marRight w:val="0"/>
      <w:marTop w:val="0"/>
      <w:marBottom w:val="0"/>
      <w:divBdr>
        <w:top w:val="none" w:sz="0" w:space="0" w:color="auto"/>
        <w:left w:val="none" w:sz="0" w:space="0" w:color="auto"/>
        <w:bottom w:val="none" w:sz="0" w:space="0" w:color="auto"/>
        <w:right w:val="none" w:sz="0" w:space="0" w:color="auto"/>
      </w:divBdr>
    </w:div>
    <w:div w:id="488255060">
      <w:bodyDiv w:val="1"/>
      <w:marLeft w:val="0"/>
      <w:marRight w:val="0"/>
      <w:marTop w:val="0"/>
      <w:marBottom w:val="0"/>
      <w:divBdr>
        <w:top w:val="none" w:sz="0" w:space="0" w:color="auto"/>
        <w:left w:val="none" w:sz="0" w:space="0" w:color="auto"/>
        <w:bottom w:val="none" w:sz="0" w:space="0" w:color="auto"/>
        <w:right w:val="none" w:sz="0" w:space="0" w:color="auto"/>
      </w:divBdr>
    </w:div>
    <w:div w:id="816604706">
      <w:bodyDiv w:val="1"/>
      <w:marLeft w:val="0"/>
      <w:marRight w:val="0"/>
      <w:marTop w:val="0"/>
      <w:marBottom w:val="0"/>
      <w:divBdr>
        <w:top w:val="none" w:sz="0" w:space="0" w:color="auto"/>
        <w:left w:val="none" w:sz="0" w:space="0" w:color="auto"/>
        <w:bottom w:val="none" w:sz="0" w:space="0" w:color="auto"/>
        <w:right w:val="none" w:sz="0" w:space="0" w:color="auto"/>
      </w:divBdr>
    </w:div>
    <w:div w:id="914049796">
      <w:bodyDiv w:val="1"/>
      <w:marLeft w:val="0"/>
      <w:marRight w:val="0"/>
      <w:marTop w:val="0"/>
      <w:marBottom w:val="0"/>
      <w:divBdr>
        <w:top w:val="none" w:sz="0" w:space="0" w:color="auto"/>
        <w:left w:val="none" w:sz="0" w:space="0" w:color="auto"/>
        <w:bottom w:val="none" w:sz="0" w:space="0" w:color="auto"/>
        <w:right w:val="none" w:sz="0" w:space="0" w:color="auto"/>
      </w:divBdr>
    </w:div>
    <w:div w:id="1219166223">
      <w:bodyDiv w:val="1"/>
      <w:marLeft w:val="0"/>
      <w:marRight w:val="0"/>
      <w:marTop w:val="0"/>
      <w:marBottom w:val="0"/>
      <w:divBdr>
        <w:top w:val="none" w:sz="0" w:space="0" w:color="auto"/>
        <w:left w:val="none" w:sz="0" w:space="0" w:color="auto"/>
        <w:bottom w:val="none" w:sz="0" w:space="0" w:color="auto"/>
        <w:right w:val="none" w:sz="0" w:space="0" w:color="auto"/>
      </w:divBdr>
    </w:div>
    <w:div w:id="1447235798">
      <w:bodyDiv w:val="1"/>
      <w:marLeft w:val="0"/>
      <w:marRight w:val="0"/>
      <w:marTop w:val="0"/>
      <w:marBottom w:val="0"/>
      <w:divBdr>
        <w:top w:val="none" w:sz="0" w:space="0" w:color="auto"/>
        <w:left w:val="none" w:sz="0" w:space="0" w:color="auto"/>
        <w:bottom w:val="none" w:sz="0" w:space="0" w:color="auto"/>
        <w:right w:val="none" w:sz="0" w:space="0" w:color="auto"/>
      </w:divBdr>
    </w:div>
    <w:div w:id="1474641695">
      <w:bodyDiv w:val="1"/>
      <w:marLeft w:val="0"/>
      <w:marRight w:val="0"/>
      <w:marTop w:val="0"/>
      <w:marBottom w:val="0"/>
      <w:divBdr>
        <w:top w:val="none" w:sz="0" w:space="0" w:color="auto"/>
        <w:left w:val="none" w:sz="0" w:space="0" w:color="auto"/>
        <w:bottom w:val="none" w:sz="0" w:space="0" w:color="auto"/>
        <w:right w:val="none" w:sz="0" w:space="0" w:color="auto"/>
      </w:divBdr>
    </w:div>
    <w:div w:id="1909071242">
      <w:bodyDiv w:val="1"/>
      <w:marLeft w:val="0"/>
      <w:marRight w:val="0"/>
      <w:marTop w:val="0"/>
      <w:marBottom w:val="0"/>
      <w:divBdr>
        <w:top w:val="none" w:sz="0" w:space="0" w:color="auto"/>
        <w:left w:val="none" w:sz="0" w:space="0" w:color="auto"/>
        <w:bottom w:val="none" w:sz="0" w:space="0" w:color="auto"/>
        <w:right w:val="none" w:sz="0" w:space="0" w:color="auto"/>
      </w:divBdr>
    </w:div>
    <w:div w:id="1914269314">
      <w:bodyDiv w:val="1"/>
      <w:marLeft w:val="0"/>
      <w:marRight w:val="0"/>
      <w:marTop w:val="0"/>
      <w:marBottom w:val="0"/>
      <w:divBdr>
        <w:top w:val="none" w:sz="0" w:space="0" w:color="auto"/>
        <w:left w:val="none" w:sz="0" w:space="0" w:color="auto"/>
        <w:bottom w:val="none" w:sz="0" w:space="0" w:color="auto"/>
        <w:right w:val="none" w:sz="0" w:space="0" w:color="auto"/>
      </w:divBdr>
    </w:div>
    <w:div w:id="2096391722">
      <w:bodyDiv w:val="1"/>
      <w:marLeft w:val="0"/>
      <w:marRight w:val="0"/>
      <w:marTop w:val="0"/>
      <w:marBottom w:val="0"/>
      <w:divBdr>
        <w:top w:val="none" w:sz="0" w:space="0" w:color="auto"/>
        <w:left w:val="none" w:sz="0" w:space="0" w:color="auto"/>
        <w:bottom w:val="none" w:sz="0" w:space="0" w:color="auto"/>
        <w:right w:val="none" w:sz="0" w:space="0" w:color="auto"/>
      </w:divBdr>
    </w:div>
    <w:div w:id="214272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39EC7-8BA1-40BF-81D5-BF0DF014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Submission 53 - Queenslanders with Disability Network (QDN) - National Disability Agreement Review - Commissioned study</vt:lpstr>
    </vt:vector>
  </TitlesOfParts>
  <Company>Queenslanders with Disability Network (QDN)</Company>
  <LinksUpToDate>false</LinksUpToDate>
  <CharactersWithSpaces>29102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53 - Queenslanders with Disability Network (QDN) - National Disability Agreement Review - Commissioned study</dc:title>
  <dc:creator>Queenslanders with Disability Network (QDN)</dc:creator>
  <cp:lastModifiedBy>Productivity Commission</cp:lastModifiedBy>
  <cp:revision>3</cp:revision>
  <cp:lastPrinted>2018-09-03T23:42:00Z</cp:lastPrinted>
  <dcterms:created xsi:type="dcterms:W3CDTF">2018-09-12T00:09:00Z</dcterms:created>
  <dcterms:modified xsi:type="dcterms:W3CDTF">2018-09-12T02:35:00Z</dcterms:modified>
</cp:coreProperties>
</file>