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E0DA4" w14:textId="77777777" w:rsidR="0031456F" w:rsidRDefault="008A5BD3" w:rsidP="00744B4D">
      <w:pPr>
        <w:pStyle w:val="CHPText"/>
      </w:pPr>
      <w:r>
        <w:t xml:space="preserve"> </w:t>
      </w:r>
    </w:p>
    <w:p w14:paraId="530DF2DE" w14:textId="77777777" w:rsidR="0031456F" w:rsidRDefault="0031456F" w:rsidP="00744B4D">
      <w:pPr>
        <w:pStyle w:val="CHPText"/>
      </w:pPr>
    </w:p>
    <w:p w14:paraId="592B0185" w14:textId="77777777" w:rsidR="0031456F" w:rsidRDefault="0031456F" w:rsidP="00744B4D">
      <w:pPr>
        <w:pStyle w:val="CHPText"/>
      </w:pPr>
    </w:p>
    <w:p w14:paraId="61E6381C" w14:textId="77777777" w:rsidR="0031456F" w:rsidRDefault="0031456F" w:rsidP="00744B4D">
      <w:pPr>
        <w:pStyle w:val="CHPText"/>
      </w:pPr>
    </w:p>
    <w:p w14:paraId="5803807C" w14:textId="77777777" w:rsidR="0031456F" w:rsidRDefault="0031456F" w:rsidP="00744B4D">
      <w:pPr>
        <w:pStyle w:val="CHPText"/>
      </w:pPr>
    </w:p>
    <w:p w14:paraId="1964E79F" w14:textId="77777777" w:rsidR="0031456F" w:rsidRDefault="0031456F" w:rsidP="00744B4D">
      <w:pPr>
        <w:pStyle w:val="CHPText"/>
      </w:pPr>
    </w:p>
    <w:p w14:paraId="4F1678AE" w14:textId="77777777" w:rsidR="0031456F" w:rsidRDefault="00617F65" w:rsidP="00744B4D">
      <w:pPr>
        <w:pStyle w:val="CHPText"/>
      </w:pPr>
      <w:r>
        <w:rPr>
          <w:noProof/>
          <w:lang w:val="en-AU" w:eastAsia="en-AU"/>
        </w:rPr>
        <mc:AlternateContent>
          <mc:Choice Requires="wps">
            <w:drawing>
              <wp:anchor distT="0" distB="0" distL="114300" distR="114300" simplePos="0" relativeHeight="251662336" behindDoc="1" locked="0" layoutInCell="1" allowOverlap="1" wp14:anchorId="64E2C1AF" wp14:editId="6A2D5234">
                <wp:simplePos x="0" y="0"/>
                <wp:positionH relativeFrom="column">
                  <wp:posOffset>5149850</wp:posOffset>
                </wp:positionH>
                <wp:positionV relativeFrom="paragraph">
                  <wp:posOffset>10795</wp:posOffset>
                </wp:positionV>
                <wp:extent cx="685800" cy="653605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5800" cy="6536055"/>
                        </a:xfrm>
                        <a:prstGeom prst="rect">
                          <a:avLst/>
                        </a:prstGeom>
                        <a:noFill/>
                        <a:ln>
                          <a:no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3A995D4" w14:textId="39004319" w:rsidR="00056563" w:rsidRDefault="00056563" w:rsidP="008C4E09">
                            <w:pPr>
                              <w:pStyle w:val="CHPtextGreen"/>
                            </w:pPr>
                            <w:r w:rsidRPr="0031456F">
                              <w:t xml:space="preserve">Council to Homeless Persons </w:t>
                            </w:r>
                            <w:r>
                              <w:t>– Productivity Commission Issues Paper – The Social and Economic Benefits of Improving Mental Health – April 2019</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4E2C1AF" id="_x0000_t202" coordsize="21600,21600" o:spt="202" path="m,l,21600r21600,l21600,xe">
                <v:stroke joinstyle="miter"/>
                <v:path gradientshapeok="t" o:connecttype="rect"/>
              </v:shapetype>
              <v:shape id="Text Box 1" o:spid="_x0000_s1026" type="#_x0000_t202" style="position:absolute;margin-left:405.5pt;margin-top:.85pt;width:54pt;height:51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" filled="f" stroked="f">
                <v:textbox style="layout-flow:vertical-ideographic">
                  <w:txbxContent>
                    <w:p w14:paraId="63A995D4" w14:textId="39004319" w:rsidR="00056563" w:rsidRDefault="00056563" w:rsidP="008C4E09">
                      <w:pPr>
                        <w:pStyle w:val="CHPtextGreen"/>
                      </w:pPr>
                      <w:r w:rsidRPr="0031456F">
                        <w:t xml:space="preserve">Council to Homeless Persons </w:t>
                      </w:r>
                      <w:r>
                        <w:t>– Productivity Commission Issues Paper – The Social and Economic Benefits of Improving Mental Health – April 2019</w:t>
                      </w:r>
                    </w:p>
                  </w:txbxContent>
                </v:textbox>
              </v:shape>
            </w:pict>
          </mc:Fallback>
        </mc:AlternateContent>
      </w:r>
    </w:p>
    <w:p w14:paraId="2C2094B6" w14:textId="77777777" w:rsidR="0031456F" w:rsidRDefault="0031456F" w:rsidP="00744B4D">
      <w:pPr>
        <w:pStyle w:val="CHPText"/>
      </w:pPr>
    </w:p>
    <w:p w14:paraId="78F5DA5D" w14:textId="77777777" w:rsidR="0031456F" w:rsidRDefault="0031456F" w:rsidP="00744B4D">
      <w:pPr>
        <w:pStyle w:val="CHPText"/>
      </w:pPr>
    </w:p>
    <w:p w14:paraId="0AC7103C" w14:textId="77777777" w:rsidR="0031456F" w:rsidRDefault="0031456F" w:rsidP="00744B4D">
      <w:pPr>
        <w:pStyle w:val="CHPText"/>
      </w:pPr>
    </w:p>
    <w:p w14:paraId="11C67763" w14:textId="77777777" w:rsidR="0031456F" w:rsidRDefault="0031456F" w:rsidP="00744B4D">
      <w:pPr>
        <w:pStyle w:val="CHPText"/>
      </w:pPr>
    </w:p>
    <w:p w14:paraId="05DEBD2D" w14:textId="77777777" w:rsidR="0031456F" w:rsidRDefault="0031456F" w:rsidP="00744B4D">
      <w:pPr>
        <w:pStyle w:val="CHPText"/>
      </w:pPr>
    </w:p>
    <w:p w14:paraId="4D0C2144" w14:textId="77777777" w:rsidR="0031456F" w:rsidRDefault="0031456F" w:rsidP="00744B4D">
      <w:pPr>
        <w:pStyle w:val="CHPText"/>
      </w:pPr>
    </w:p>
    <w:p w14:paraId="65651733" w14:textId="77777777" w:rsidR="0031456F" w:rsidRDefault="0031456F" w:rsidP="00744B4D">
      <w:pPr>
        <w:pStyle w:val="CHPText"/>
      </w:pPr>
    </w:p>
    <w:p w14:paraId="7237F623" w14:textId="77777777" w:rsidR="0031456F" w:rsidRDefault="0031456F" w:rsidP="00744B4D">
      <w:pPr>
        <w:pStyle w:val="CHPText"/>
      </w:pPr>
    </w:p>
    <w:p w14:paraId="67EA8B28" w14:textId="77777777" w:rsidR="0031456F" w:rsidRDefault="007675DF" w:rsidP="007675DF">
      <w:r>
        <w:rPr>
          <w:rFonts w:hint="eastAsia"/>
        </w:rPr>
        <w:br w:type="page"/>
      </w:r>
    </w:p>
    <w:p w14:paraId="2BE973D8" w14:textId="77777777" w:rsidR="002D7471" w:rsidRDefault="002D7471" w:rsidP="002D7471">
      <w:pPr>
        <w:pStyle w:val="CHPPullQuoteGreen"/>
      </w:pPr>
      <w:bookmarkStart w:id="0" w:name="_Toc449956634"/>
      <w:bookmarkStart w:id="1" w:name="_Toc458003719"/>
      <w:bookmarkStart w:id="2" w:name="_Toc5287481"/>
      <w:r>
        <w:lastRenderedPageBreak/>
        <w:t>Table of Contents</w:t>
      </w:r>
      <w:bookmarkEnd w:id="0"/>
      <w:bookmarkEnd w:id="1"/>
      <w:bookmarkEnd w:id="2"/>
    </w:p>
    <w:p w14:paraId="360DF80A" w14:textId="77777777" w:rsidR="002D7471" w:rsidRPr="00AC3000" w:rsidRDefault="002D7471" w:rsidP="002D7471">
      <w:pPr>
        <w:pStyle w:val="CHPText"/>
        <w:rPr>
          <w:b/>
        </w:rPr>
      </w:pPr>
    </w:p>
    <w:p w14:paraId="0B7E1824" w14:textId="60303B9D" w:rsidR="00694866" w:rsidRPr="00694866" w:rsidRDefault="002D7471">
      <w:pPr>
        <w:pStyle w:val="TOC1"/>
        <w:tabs>
          <w:tab w:val="right" w:leader="dot" w:pos="7786"/>
        </w:tabs>
        <w:rPr>
          <w:rStyle w:val="Hyperlink"/>
        </w:rPr>
      </w:pPr>
      <w:r>
        <w:rPr>
          <w:b w:val="0"/>
        </w:rPr>
        <w:fldChar w:fldCharType="begin"/>
      </w:r>
      <w:r>
        <w:rPr>
          <w:b w:val="0"/>
        </w:rPr>
        <w:instrText xml:space="preserve"> TOC \o "3-3" \h \z \t "Heading 1,1,Heading 2,2,CHP Pull Quote Green,1,CHP Subhead2,1" </w:instrText>
      </w:r>
      <w:r>
        <w:rPr>
          <w:b w:val="0"/>
        </w:rPr>
        <w:fldChar w:fldCharType="separate"/>
      </w:r>
      <w:hyperlink w:anchor="_Toc5287481" w:history="1">
        <w:r w:rsidR="00694866" w:rsidRPr="00694866">
          <w:rPr>
            <w:rStyle w:val="Hyperlink"/>
            <w:noProof/>
            <w:lang w:val="en-AU"/>
          </w:rPr>
          <w:t>Table of Contents</w:t>
        </w:r>
        <w:r w:rsidR="00694866" w:rsidRPr="00694866">
          <w:rPr>
            <w:rStyle w:val="Hyperlink"/>
            <w:webHidden/>
            <w:lang w:val="en-AU"/>
          </w:rPr>
          <w:tab/>
        </w:r>
        <w:r w:rsidR="00694866" w:rsidRPr="00694866">
          <w:rPr>
            <w:rStyle w:val="Hyperlink"/>
            <w:webHidden/>
            <w:lang w:val="en-AU"/>
          </w:rPr>
          <w:fldChar w:fldCharType="begin"/>
        </w:r>
        <w:r w:rsidR="00694866" w:rsidRPr="00694866">
          <w:rPr>
            <w:rStyle w:val="Hyperlink"/>
            <w:webHidden/>
            <w:lang w:val="en-AU"/>
          </w:rPr>
          <w:instrText xml:space="preserve"> PAGEREF _Toc5287481 \h </w:instrText>
        </w:r>
        <w:r w:rsidR="00694866" w:rsidRPr="00694866">
          <w:rPr>
            <w:rStyle w:val="Hyperlink"/>
            <w:webHidden/>
            <w:lang w:val="en-AU"/>
          </w:rPr>
        </w:r>
        <w:r w:rsidR="00694866" w:rsidRPr="00694866">
          <w:rPr>
            <w:rStyle w:val="Hyperlink"/>
            <w:webHidden/>
            <w:lang w:val="en-AU"/>
          </w:rPr>
          <w:fldChar w:fldCharType="separate"/>
        </w:r>
        <w:r w:rsidR="00694866" w:rsidRPr="00694866">
          <w:rPr>
            <w:rStyle w:val="Hyperlink"/>
            <w:webHidden/>
            <w:lang w:val="en-AU"/>
          </w:rPr>
          <w:t>2</w:t>
        </w:r>
        <w:r w:rsidR="00694866" w:rsidRPr="00694866">
          <w:rPr>
            <w:rStyle w:val="Hyperlink"/>
            <w:webHidden/>
            <w:lang w:val="en-AU"/>
          </w:rPr>
          <w:fldChar w:fldCharType="end"/>
        </w:r>
      </w:hyperlink>
    </w:p>
    <w:p w14:paraId="7F70D3B3" w14:textId="56B8973A" w:rsidR="00694866" w:rsidRPr="00694866" w:rsidRDefault="00CB45BD">
      <w:pPr>
        <w:pStyle w:val="TOC1"/>
        <w:tabs>
          <w:tab w:val="right" w:leader="dot" w:pos="7786"/>
        </w:tabs>
        <w:rPr>
          <w:rStyle w:val="Hyperlink"/>
        </w:rPr>
      </w:pPr>
      <w:hyperlink w:anchor="_Toc5287482" w:history="1">
        <w:r w:rsidR="00694866" w:rsidRPr="004402C7">
          <w:rPr>
            <w:rStyle w:val="Hyperlink"/>
            <w:noProof/>
            <w:lang w:val="en-AU"/>
          </w:rPr>
          <w:t>Introduction</w:t>
        </w:r>
        <w:r w:rsidR="00694866" w:rsidRPr="00694866">
          <w:rPr>
            <w:rStyle w:val="Hyperlink"/>
            <w:webHidden/>
            <w:lang w:val="en-AU"/>
          </w:rPr>
          <w:tab/>
        </w:r>
        <w:r w:rsidR="00694866" w:rsidRPr="00694866">
          <w:rPr>
            <w:rStyle w:val="Hyperlink"/>
            <w:webHidden/>
            <w:lang w:val="en-AU"/>
          </w:rPr>
          <w:fldChar w:fldCharType="begin"/>
        </w:r>
        <w:r w:rsidR="00694866" w:rsidRPr="00694866">
          <w:rPr>
            <w:rStyle w:val="Hyperlink"/>
            <w:webHidden/>
            <w:lang w:val="en-AU"/>
          </w:rPr>
          <w:instrText xml:space="preserve"> PAGEREF _Toc5287482 \h </w:instrText>
        </w:r>
        <w:r w:rsidR="00694866" w:rsidRPr="00694866">
          <w:rPr>
            <w:rStyle w:val="Hyperlink"/>
            <w:webHidden/>
            <w:lang w:val="en-AU"/>
          </w:rPr>
        </w:r>
        <w:r w:rsidR="00694866" w:rsidRPr="00694866">
          <w:rPr>
            <w:rStyle w:val="Hyperlink"/>
            <w:webHidden/>
            <w:lang w:val="en-AU"/>
          </w:rPr>
          <w:fldChar w:fldCharType="separate"/>
        </w:r>
        <w:r w:rsidR="00694866" w:rsidRPr="00694866">
          <w:rPr>
            <w:rStyle w:val="Hyperlink"/>
            <w:webHidden/>
            <w:lang w:val="en-AU"/>
          </w:rPr>
          <w:t>3</w:t>
        </w:r>
        <w:r w:rsidR="00694866" w:rsidRPr="00694866">
          <w:rPr>
            <w:rStyle w:val="Hyperlink"/>
            <w:webHidden/>
            <w:lang w:val="en-AU"/>
          </w:rPr>
          <w:fldChar w:fldCharType="end"/>
        </w:r>
      </w:hyperlink>
    </w:p>
    <w:p w14:paraId="26767AD2" w14:textId="619537FD" w:rsidR="00694866" w:rsidRPr="00694866" w:rsidRDefault="00CB45BD" w:rsidP="00694866">
      <w:pPr>
        <w:pStyle w:val="TOC2"/>
        <w:rPr>
          <w:rStyle w:val="Hyperlink"/>
          <w:b/>
          <w:sz w:val="24"/>
          <w:szCs w:val="24"/>
        </w:rPr>
      </w:pPr>
      <w:hyperlink w:anchor="_Toc5287483" w:history="1">
        <w:r w:rsidR="00694866" w:rsidRPr="00694866">
          <w:rPr>
            <w:rStyle w:val="Hyperlink"/>
            <w:b/>
            <w:sz w:val="24"/>
            <w:szCs w:val="24"/>
            <w:lang w:val="en-AU"/>
          </w:rPr>
          <w:t>The Council to Homeless Persons</w:t>
        </w:r>
        <w:r w:rsidR="00694866" w:rsidRPr="00694866">
          <w:rPr>
            <w:rStyle w:val="Hyperlink"/>
            <w:b/>
            <w:webHidden/>
            <w:sz w:val="24"/>
            <w:szCs w:val="24"/>
            <w:lang w:val="en-AU"/>
          </w:rPr>
          <w:tab/>
        </w:r>
        <w:r w:rsidR="00694866" w:rsidRPr="00694866">
          <w:rPr>
            <w:rStyle w:val="Hyperlink"/>
            <w:b/>
            <w:webHidden/>
            <w:sz w:val="24"/>
            <w:szCs w:val="24"/>
            <w:lang w:val="en-AU"/>
          </w:rPr>
          <w:fldChar w:fldCharType="begin"/>
        </w:r>
        <w:r w:rsidR="00694866" w:rsidRPr="00694866">
          <w:rPr>
            <w:rStyle w:val="Hyperlink"/>
            <w:b/>
            <w:webHidden/>
            <w:sz w:val="24"/>
            <w:szCs w:val="24"/>
            <w:lang w:val="en-AU"/>
          </w:rPr>
          <w:instrText xml:space="preserve"> PAGEREF _Toc5287483 \h </w:instrText>
        </w:r>
        <w:r w:rsidR="00694866" w:rsidRPr="00694866">
          <w:rPr>
            <w:rStyle w:val="Hyperlink"/>
            <w:b/>
            <w:webHidden/>
            <w:sz w:val="24"/>
            <w:szCs w:val="24"/>
            <w:lang w:val="en-AU"/>
          </w:rPr>
        </w:r>
        <w:r w:rsidR="00694866" w:rsidRPr="00694866">
          <w:rPr>
            <w:rStyle w:val="Hyperlink"/>
            <w:b/>
            <w:webHidden/>
            <w:sz w:val="24"/>
            <w:szCs w:val="24"/>
            <w:lang w:val="en-AU"/>
          </w:rPr>
          <w:fldChar w:fldCharType="separate"/>
        </w:r>
        <w:r w:rsidR="00694866" w:rsidRPr="00694866">
          <w:rPr>
            <w:rStyle w:val="Hyperlink"/>
            <w:b/>
            <w:webHidden/>
            <w:sz w:val="24"/>
            <w:szCs w:val="24"/>
            <w:lang w:val="en-AU"/>
          </w:rPr>
          <w:t>3</w:t>
        </w:r>
        <w:r w:rsidR="00694866" w:rsidRPr="00694866">
          <w:rPr>
            <w:rStyle w:val="Hyperlink"/>
            <w:b/>
            <w:webHidden/>
            <w:sz w:val="24"/>
            <w:szCs w:val="24"/>
            <w:lang w:val="en-AU"/>
          </w:rPr>
          <w:fldChar w:fldCharType="end"/>
        </w:r>
      </w:hyperlink>
    </w:p>
    <w:p w14:paraId="2A529E23" w14:textId="39FCC812" w:rsidR="00694866" w:rsidRPr="00694866" w:rsidRDefault="00CB45BD" w:rsidP="00694866">
      <w:pPr>
        <w:pStyle w:val="TOC2"/>
        <w:rPr>
          <w:rStyle w:val="Hyperlink"/>
          <w:b/>
          <w:sz w:val="24"/>
          <w:szCs w:val="24"/>
        </w:rPr>
      </w:pPr>
      <w:hyperlink w:anchor="_Toc5287484" w:history="1">
        <w:r w:rsidR="00694866" w:rsidRPr="00694866">
          <w:rPr>
            <w:rStyle w:val="Hyperlink"/>
            <w:b/>
            <w:sz w:val="24"/>
            <w:szCs w:val="24"/>
            <w:lang w:val="en-AU"/>
          </w:rPr>
          <w:t>What we mean by ‘ending homelessness’</w:t>
        </w:r>
        <w:r w:rsidR="00694866" w:rsidRPr="00694866">
          <w:rPr>
            <w:rStyle w:val="Hyperlink"/>
            <w:b/>
            <w:webHidden/>
            <w:sz w:val="24"/>
            <w:szCs w:val="24"/>
            <w:lang w:val="en-AU"/>
          </w:rPr>
          <w:tab/>
        </w:r>
        <w:r w:rsidR="00694866" w:rsidRPr="00694866">
          <w:rPr>
            <w:rStyle w:val="Hyperlink"/>
            <w:b/>
            <w:webHidden/>
            <w:sz w:val="24"/>
            <w:szCs w:val="24"/>
            <w:lang w:val="en-AU"/>
          </w:rPr>
          <w:fldChar w:fldCharType="begin"/>
        </w:r>
        <w:r w:rsidR="00694866" w:rsidRPr="00694866">
          <w:rPr>
            <w:rStyle w:val="Hyperlink"/>
            <w:b/>
            <w:webHidden/>
            <w:sz w:val="24"/>
            <w:szCs w:val="24"/>
            <w:lang w:val="en-AU"/>
          </w:rPr>
          <w:instrText xml:space="preserve"> PAGEREF _Toc5287484 \h </w:instrText>
        </w:r>
        <w:r w:rsidR="00694866" w:rsidRPr="00694866">
          <w:rPr>
            <w:rStyle w:val="Hyperlink"/>
            <w:b/>
            <w:webHidden/>
            <w:sz w:val="24"/>
            <w:szCs w:val="24"/>
            <w:lang w:val="en-AU"/>
          </w:rPr>
        </w:r>
        <w:r w:rsidR="00694866" w:rsidRPr="00694866">
          <w:rPr>
            <w:rStyle w:val="Hyperlink"/>
            <w:b/>
            <w:webHidden/>
            <w:sz w:val="24"/>
            <w:szCs w:val="24"/>
            <w:lang w:val="en-AU"/>
          </w:rPr>
          <w:fldChar w:fldCharType="separate"/>
        </w:r>
        <w:r w:rsidR="00694866" w:rsidRPr="00694866">
          <w:rPr>
            <w:rStyle w:val="Hyperlink"/>
            <w:b/>
            <w:webHidden/>
            <w:sz w:val="24"/>
            <w:szCs w:val="24"/>
            <w:lang w:val="en-AU"/>
          </w:rPr>
          <w:t>3</w:t>
        </w:r>
        <w:r w:rsidR="00694866" w:rsidRPr="00694866">
          <w:rPr>
            <w:rStyle w:val="Hyperlink"/>
            <w:b/>
            <w:webHidden/>
            <w:sz w:val="24"/>
            <w:szCs w:val="24"/>
            <w:lang w:val="en-AU"/>
          </w:rPr>
          <w:fldChar w:fldCharType="end"/>
        </w:r>
      </w:hyperlink>
    </w:p>
    <w:p w14:paraId="3E896202" w14:textId="492CDBD2" w:rsidR="00694866" w:rsidRPr="00694866" w:rsidRDefault="00CB45BD" w:rsidP="00694866">
      <w:pPr>
        <w:pStyle w:val="TOC2"/>
        <w:rPr>
          <w:rStyle w:val="Hyperlink"/>
          <w:b/>
          <w:sz w:val="24"/>
          <w:szCs w:val="24"/>
        </w:rPr>
      </w:pPr>
      <w:hyperlink w:anchor="_Toc5287485" w:history="1">
        <w:r w:rsidR="00694866" w:rsidRPr="00694866">
          <w:rPr>
            <w:rStyle w:val="Hyperlink"/>
            <w:b/>
            <w:sz w:val="24"/>
            <w:szCs w:val="24"/>
            <w:lang w:val="en-AU"/>
          </w:rPr>
          <w:t>Housing, homelessness and mental health</w:t>
        </w:r>
        <w:r w:rsidR="00694866" w:rsidRPr="00694866">
          <w:rPr>
            <w:rStyle w:val="Hyperlink"/>
            <w:b/>
            <w:webHidden/>
            <w:sz w:val="24"/>
            <w:szCs w:val="24"/>
            <w:lang w:val="en-AU"/>
          </w:rPr>
          <w:tab/>
        </w:r>
        <w:r w:rsidR="00694866" w:rsidRPr="00694866">
          <w:rPr>
            <w:rStyle w:val="Hyperlink"/>
            <w:b/>
            <w:webHidden/>
            <w:sz w:val="24"/>
            <w:szCs w:val="24"/>
            <w:lang w:val="en-AU"/>
          </w:rPr>
          <w:fldChar w:fldCharType="begin"/>
        </w:r>
        <w:r w:rsidR="00694866" w:rsidRPr="00694866">
          <w:rPr>
            <w:rStyle w:val="Hyperlink"/>
            <w:b/>
            <w:webHidden/>
            <w:sz w:val="24"/>
            <w:szCs w:val="24"/>
            <w:lang w:val="en-AU"/>
          </w:rPr>
          <w:instrText xml:space="preserve"> PAGEREF _Toc5287485 \h </w:instrText>
        </w:r>
        <w:r w:rsidR="00694866" w:rsidRPr="00694866">
          <w:rPr>
            <w:rStyle w:val="Hyperlink"/>
            <w:b/>
            <w:webHidden/>
            <w:sz w:val="24"/>
            <w:szCs w:val="24"/>
            <w:lang w:val="en-AU"/>
          </w:rPr>
        </w:r>
        <w:r w:rsidR="00694866" w:rsidRPr="00694866">
          <w:rPr>
            <w:rStyle w:val="Hyperlink"/>
            <w:b/>
            <w:webHidden/>
            <w:sz w:val="24"/>
            <w:szCs w:val="24"/>
            <w:lang w:val="en-AU"/>
          </w:rPr>
          <w:fldChar w:fldCharType="separate"/>
        </w:r>
        <w:r w:rsidR="00694866" w:rsidRPr="00694866">
          <w:rPr>
            <w:rStyle w:val="Hyperlink"/>
            <w:b/>
            <w:webHidden/>
            <w:sz w:val="24"/>
            <w:szCs w:val="24"/>
            <w:lang w:val="en-AU"/>
          </w:rPr>
          <w:t>4</w:t>
        </w:r>
        <w:r w:rsidR="00694866" w:rsidRPr="00694866">
          <w:rPr>
            <w:rStyle w:val="Hyperlink"/>
            <w:b/>
            <w:webHidden/>
            <w:sz w:val="24"/>
            <w:szCs w:val="24"/>
            <w:lang w:val="en-AU"/>
          </w:rPr>
          <w:fldChar w:fldCharType="end"/>
        </w:r>
      </w:hyperlink>
    </w:p>
    <w:p w14:paraId="3781B088" w14:textId="575F6126" w:rsidR="00694866" w:rsidRPr="00694866" w:rsidRDefault="00CB45BD" w:rsidP="00694866">
      <w:pPr>
        <w:pStyle w:val="TOC2"/>
        <w:rPr>
          <w:rStyle w:val="Hyperlink"/>
          <w:b/>
          <w:sz w:val="24"/>
          <w:szCs w:val="24"/>
        </w:rPr>
      </w:pPr>
      <w:hyperlink w:anchor="_Toc5287486" w:history="1">
        <w:r w:rsidR="00694866" w:rsidRPr="00694866">
          <w:rPr>
            <w:rStyle w:val="Hyperlink"/>
            <w:b/>
            <w:sz w:val="24"/>
            <w:szCs w:val="24"/>
            <w:lang w:val="en-AU"/>
          </w:rPr>
          <w:t>Preventing and responding to homelessness and accommodation instability</w:t>
        </w:r>
        <w:r w:rsidR="00694866" w:rsidRPr="00694866">
          <w:rPr>
            <w:rStyle w:val="Hyperlink"/>
            <w:b/>
            <w:webHidden/>
            <w:sz w:val="24"/>
            <w:szCs w:val="24"/>
            <w:lang w:val="en-AU"/>
          </w:rPr>
          <w:tab/>
        </w:r>
        <w:r w:rsidR="00694866" w:rsidRPr="00694866">
          <w:rPr>
            <w:rStyle w:val="Hyperlink"/>
            <w:b/>
            <w:webHidden/>
            <w:sz w:val="24"/>
            <w:szCs w:val="24"/>
            <w:lang w:val="en-AU"/>
          </w:rPr>
          <w:fldChar w:fldCharType="begin"/>
        </w:r>
        <w:r w:rsidR="00694866" w:rsidRPr="00694866">
          <w:rPr>
            <w:rStyle w:val="Hyperlink"/>
            <w:b/>
            <w:webHidden/>
            <w:sz w:val="24"/>
            <w:szCs w:val="24"/>
            <w:lang w:val="en-AU"/>
          </w:rPr>
          <w:instrText xml:space="preserve"> PAGEREF _Toc5287486 \h </w:instrText>
        </w:r>
        <w:r w:rsidR="00694866" w:rsidRPr="00694866">
          <w:rPr>
            <w:rStyle w:val="Hyperlink"/>
            <w:b/>
            <w:webHidden/>
            <w:sz w:val="24"/>
            <w:szCs w:val="24"/>
            <w:lang w:val="en-AU"/>
          </w:rPr>
        </w:r>
        <w:r w:rsidR="00694866" w:rsidRPr="00694866">
          <w:rPr>
            <w:rStyle w:val="Hyperlink"/>
            <w:b/>
            <w:webHidden/>
            <w:sz w:val="24"/>
            <w:szCs w:val="24"/>
            <w:lang w:val="en-AU"/>
          </w:rPr>
          <w:fldChar w:fldCharType="separate"/>
        </w:r>
        <w:r w:rsidR="00694866" w:rsidRPr="00694866">
          <w:rPr>
            <w:rStyle w:val="Hyperlink"/>
            <w:b/>
            <w:webHidden/>
            <w:sz w:val="24"/>
            <w:szCs w:val="24"/>
            <w:lang w:val="en-AU"/>
          </w:rPr>
          <w:t>6</w:t>
        </w:r>
        <w:r w:rsidR="00694866" w:rsidRPr="00694866">
          <w:rPr>
            <w:rStyle w:val="Hyperlink"/>
            <w:b/>
            <w:webHidden/>
            <w:sz w:val="24"/>
            <w:szCs w:val="24"/>
            <w:lang w:val="en-AU"/>
          </w:rPr>
          <w:fldChar w:fldCharType="end"/>
        </w:r>
      </w:hyperlink>
    </w:p>
    <w:p w14:paraId="055E2807" w14:textId="2A64B848" w:rsidR="00694866" w:rsidRPr="00694866" w:rsidRDefault="00CB45BD" w:rsidP="00694866">
      <w:pPr>
        <w:pStyle w:val="TOC3"/>
        <w:rPr>
          <w:rStyle w:val="Hyperlink"/>
          <w:b/>
          <w:sz w:val="24"/>
          <w:szCs w:val="24"/>
        </w:rPr>
      </w:pPr>
      <w:hyperlink w:anchor="_Toc5287487" w:history="1">
        <w:r w:rsidR="00694866" w:rsidRPr="00694866">
          <w:rPr>
            <w:rStyle w:val="Hyperlink"/>
            <w:b/>
            <w:noProof/>
            <w:sz w:val="24"/>
            <w:szCs w:val="24"/>
            <w:lang w:val="en-AU"/>
          </w:rPr>
          <w:t>Integrating services for housing, homelessness and mental health</w:t>
        </w:r>
        <w:r w:rsidR="00694866" w:rsidRPr="00694866">
          <w:rPr>
            <w:rStyle w:val="Hyperlink"/>
            <w:b/>
            <w:webHidden/>
            <w:sz w:val="24"/>
            <w:szCs w:val="24"/>
            <w:lang w:val="en-AU"/>
          </w:rPr>
          <w:tab/>
        </w:r>
        <w:r w:rsidR="00694866" w:rsidRPr="00694866">
          <w:rPr>
            <w:rStyle w:val="Hyperlink"/>
            <w:b/>
            <w:webHidden/>
            <w:sz w:val="24"/>
            <w:szCs w:val="24"/>
            <w:lang w:val="en-AU"/>
          </w:rPr>
          <w:fldChar w:fldCharType="begin"/>
        </w:r>
        <w:r w:rsidR="00694866" w:rsidRPr="00694866">
          <w:rPr>
            <w:rStyle w:val="Hyperlink"/>
            <w:b/>
            <w:webHidden/>
            <w:sz w:val="24"/>
            <w:szCs w:val="24"/>
            <w:lang w:val="en-AU"/>
          </w:rPr>
          <w:instrText xml:space="preserve"> PAGEREF _Toc5287487 \h </w:instrText>
        </w:r>
        <w:r w:rsidR="00694866" w:rsidRPr="00694866">
          <w:rPr>
            <w:rStyle w:val="Hyperlink"/>
            <w:b/>
            <w:webHidden/>
            <w:sz w:val="24"/>
            <w:szCs w:val="24"/>
            <w:lang w:val="en-AU"/>
          </w:rPr>
        </w:r>
        <w:r w:rsidR="00694866" w:rsidRPr="00694866">
          <w:rPr>
            <w:rStyle w:val="Hyperlink"/>
            <w:b/>
            <w:webHidden/>
            <w:sz w:val="24"/>
            <w:szCs w:val="24"/>
            <w:lang w:val="en-AU"/>
          </w:rPr>
          <w:fldChar w:fldCharType="separate"/>
        </w:r>
        <w:r w:rsidR="00694866" w:rsidRPr="00694866">
          <w:rPr>
            <w:rStyle w:val="Hyperlink"/>
            <w:b/>
            <w:webHidden/>
            <w:sz w:val="24"/>
            <w:szCs w:val="24"/>
            <w:lang w:val="en-AU"/>
          </w:rPr>
          <w:t>8</w:t>
        </w:r>
        <w:r w:rsidR="00694866" w:rsidRPr="00694866">
          <w:rPr>
            <w:rStyle w:val="Hyperlink"/>
            <w:b/>
            <w:webHidden/>
            <w:sz w:val="24"/>
            <w:szCs w:val="24"/>
            <w:lang w:val="en-AU"/>
          </w:rPr>
          <w:fldChar w:fldCharType="end"/>
        </w:r>
      </w:hyperlink>
    </w:p>
    <w:p w14:paraId="08324720" w14:textId="41E4B91A" w:rsidR="00694866" w:rsidRPr="00694866" w:rsidRDefault="00CB45BD" w:rsidP="00694866">
      <w:pPr>
        <w:pStyle w:val="TOC2"/>
        <w:rPr>
          <w:rStyle w:val="Hyperlink"/>
          <w:b/>
          <w:sz w:val="24"/>
          <w:szCs w:val="24"/>
        </w:rPr>
      </w:pPr>
      <w:hyperlink w:anchor="_Toc5287488" w:history="1">
        <w:r w:rsidR="00694866" w:rsidRPr="00694866">
          <w:rPr>
            <w:rStyle w:val="Hyperlink"/>
            <w:b/>
            <w:sz w:val="24"/>
            <w:szCs w:val="24"/>
            <w:lang w:val="en-AU"/>
          </w:rPr>
          <w:t>Homelessness, mental health, and justice interactions</w:t>
        </w:r>
        <w:r w:rsidR="00694866" w:rsidRPr="00694866">
          <w:rPr>
            <w:rStyle w:val="Hyperlink"/>
            <w:b/>
            <w:webHidden/>
            <w:sz w:val="24"/>
            <w:szCs w:val="24"/>
            <w:lang w:val="en-AU"/>
          </w:rPr>
          <w:tab/>
        </w:r>
        <w:r w:rsidR="00694866" w:rsidRPr="00694866">
          <w:rPr>
            <w:rStyle w:val="Hyperlink"/>
            <w:b/>
            <w:webHidden/>
            <w:sz w:val="24"/>
            <w:szCs w:val="24"/>
            <w:lang w:val="en-AU"/>
          </w:rPr>
          <w:fldChar w:fldCharType="begin"/>
        </w:r>
        <w:r w:rsidR="00694866" w:rsidRPr="00694866">
          <w:rPr>
            <w:rStyle w:val="Hyperlink"/>
            <w:b/>
            <w:webHidden/>
            <w:sz w:val="24"/>
            <w:szCs w:val="24"/>
            <w:lang w:val="en-AU"/>
          </w:rPr>
          <w:instrText xml:space="preserve"> PAGEREF _Toc5287488 \h </w:instrText>
        </w:r>
        <w:r w:rsidR="00694866" w:rsidRPr="00694866">
          <w:rPr>
            <w:rStyle w:val="Hyperlink"/>
            <w:b/>
            <w:webHidden/>
            <w:sz w:val="24"/>
            <w:szCs w:val="24"/>
            <w:lang w:val="en-AU"/>
          </w:rPr>
        </w:r>
        <w:r w:rsidR="00694866" w:rsidRPr="00694866">
          <w:rPr>
            <w:rStyle w:val="Hyperlink"/>
            <w:b/>
            <w:webHidden/>
            <w:sz w:val="24"/>
            <w:szCs w:val="24"/>
            <w:lang w:val="en-AU"/>
          </w:rPr>
          <w:fldChar w:fldCharType="separate"/>
        </w:r>
        <w:r w:rsidR="00694866" w:rsidRPr="00694866">
          <w:rPr>
            <w:rStyle w:val="Hyperlink"/>
            <w:b/>
            <w:webHidden/>
            <w:sz w:val="24"/>
            <w:szCs w:val="24"/>
            <w:lang w:val="en-AU"/>
          </w:rPr>
          <w:t>11</w:t>
        </w:r>
        <w:r w:rsidR="00694866" w:rsidRPr="00694866">
          <w:rPr>
            <w:rStyle w:val="Hyperlink"/>
            <w:b/>
            <w:webHidden/>
            <w:sz w:val="24"/>
            <w:szCs w:val="24"/>
            <w:lang w:val="en-AU"/>
          </w:rPr>
          <w:fldChar w:fldCharType="end"/>
        </w:r>
      </w:hyperlink>
    </w:p>
    <w:p w14:paraId="0BDF3B0B" w14:textId="2CAA71C3" w:rsidR="00694866" w:rsidRPr="00694866" w:rsidRDefault="00CB45BD" w:rsidP="00694866">
      <w:pPr>
        <w:pStyle w:val="TOC2"/>
        <w:rPr>
          <w:rStyle w:val="Hyperlink"/>
          <w:b/>
          <w:sz w:val="24"/>
          <w:szCs w:val="24"/>
        </w:rPr>
      </w:pPr>
      <w:hyperlink w:anchor="_Toc5287489" w:history="1">
        <w:r w:rsidR="00694866" w:rsidRPr="00694866">
          <w:rPr>
            <w:rStyle w:val="Hyperlink"/>
            <w:b/>
            <w:sz w:val="24"/>
            <w:szCs w:val="24"/>
            <w:lang w:val="en-AU"/>
          </w:rPr>
          <w:t>Prison and hospital exits, homelessness, and mental health</w:t>
        </w:r>
        <w:r w:rsidR="00694866" w:rsidRPr="00694866">
          <w:rPr>
            <w:rStyle w:val="Hyperlink"/>
            <w:b/>
            <w:webHidden/>
            <w:sz w:val="24"/>
            <w:szCs w:val="24"/>
            <w:lang w:val="en-AU"/>
          </w:rPr>
          <w:tab/>
        </w:r>
        <w:r w:rsidR="00694866" w:rsidRPr="00694866">
          <w:rPr>
            <w:rStyle w:val="Hyperlink"/>
            <w:b/>
            <w:webHidden/>
            <w:sz w:val="24"/>
            <w:szCs w:val="24"/>
            <w:lang w:val="en-AU"/>
          </w:rPr>
          <w:fldChar w:fldCharType="begin"/>
        </w:r>
        <w:r w:rsidR="00694866" w:rsidRPr="00694866">
          <w:rPr>
            <w:rStyle w:val="Hyperlink"/>
            <w:b/>
            <w:webHidden/>
            <w:sz w:val="24"/>
            <w:szCs w:val="24"/>
            <w:lang w:val="en-AU"/>
          </w:rPr>
          <w:instrText xml:space="preserve"> PAGEREF _Toc5287489 \h </w:instrText>
        </w:r>
        <w:r w:rsidR="00694866" w:rsidRPr="00694866">
          <w:rPr>
            <w:rStyle w:val="Hyperlink"/>
            <w:b/>
            <w:webHidden/>
            <w:sz w:val="24"/>
            <w:szCs w:val="24"/>
            <w:lang w:val="en-AU"/>
          </w:rPr>
        </w:r>
        <w:r w:rsidR="00694866" w:rsidRPr="00694866">
          <w:rPr>
            <w:rStyle w:val="Hyperlink"/>
            <w:b/>
            <w:webHidden/>
            <w:sz w:val="24"/>
            <w:szCs w:val="24"/>
            <w:lang w:val="en-AU"/>
          </w:rPr>
          <w:fldChar w:fldCharType="separate"/>
        </w:r>
        <w:r w:rsidR="00694866" w:rsidRPr="00694866">
          <w:rPr>
            <w:rStyle w:val="Hyperlink"/>
            <w:b/>
            <w:webHidden/>
            <w:sz w:val="24"/>
            <w:szCs w:val="24"/>
            <w:lang w:val="en-AU"/>
          </w:rPr>
          <w:t>13</w:t>
        </w:r>
        <w:r w:rsidR="00694866" w:rsidRPr="00694866">
          <w:rPr>
            <w:rStyle w:val="Hyperlink"/>
            <w:b/>
            <w:webHidden/>
            <w:sz w:val="24"/>
            <w:szCs w:val="24"/>
            <w:lang w:val="en-AU"/>
          </w:rPr>
          <w:fldChar w:fldCharType="end"/>
        </w:r>
      </w:hyperlink>
    </w:p>
    <w:p w14:paraId="0DE8D31D" w14:textId="68475671" w:rsidR="00694866" w:rsidRDefault="00CB45BD" w:rsidP="00694866">
      <w:pPr>
        <w:pStyle w:val="TOC2"/>
        <w:rPr>
          <w:rFonts w:eastAsiaTheme="minorEastAsia" w:cstheme="minorBidi"/>
          <w:lang w:val="en-AU" w:eastAsia="en-AU"/>
        </w:rPr>
      </w:pPr>
      <w:hyperlink w:anchor="_Toc5287490" w:history="1">
        <w:r w:rsidR="00694866" w:rsidRPr="00694866">
          <w:rPr>
            <w:rStyle w:val="Hyperlink"/>
            <w:b/>
            <w:sz w:val="24"/>
            <w:szCs w:val="24"/>
            <w:lang w:val="en-AU"/>
          </w:rPr>
          <w:t>Other areas of the housing system to improve mental health outcomes</w:t>
        </w:r>
        <w:r w:rsidR="00694866" w:rsidRPr="00694866">
          <w:rPr>
            <w:rStyle w:val="Hyperlink"/>
            <w:b/>
            <w:webHidden/>
            <w:sz w:val="24"/>
            <w:szCs w:val="24"/>
            <w:lang w:val="en-AU"/>
          </w:rPr>
          <w:tab/>
        </w:r>
        <w:r w:rsidR="00694866" w:rsidRPr="00694866">
          <w:rPr>
            <w:rStyle w:val="Hyperlink"/>
            <w:b/>
            <w:webHidden/>
            <w:sz w:val="24"/>
            <w:szCs w:val="24"/>
            <w:lang w:val="en-AU"/>
          </w:rPr>
          <w:fldChar w:fldCharType="begin"/>
        </w:r>
        <w:r w:rsidR="00694866" w:rsidRPr="00694866">
          <w:rPr>
            <w:rStyle w:val="Hyperlink"/>
            <w:b/>
            <w:webHidden/>
            <w:sz w:val="24"/>
            <w:szCs w:val="24"/>
            <w:lang w:val="en-AU"/>
          </w:rPr>
          <w:instrText xml:space="preserve"> PAGEREF _Toc5287490 \h </w:instrText>
        </w:r>
        <w:r w:rsidR="00694866" w:rsidRPr="00694866">
          <w:rPr>
            <w:rStyle w:val="Hyperlink"/>
            <w:b/>
            <w:webHidden/>
            <w:sz w:val="24"/>
            <w:szCs w:val="24"/>
            <w:lang w:val="en-AU"/>
          </w:rPr>
        </w:r>
        <w:r w:rsidR="00694866" w:rsidRPr="00694866">
          <w:rPr>
            <w:rStyle w:val="Hyperlink"/>
            <w:b/>
            <w:webHidden/>
            <w:sz w:val="24"/>
            <w:szCs w:val="24"/>
            <w:lang w:val="en-AU"/>
          </w:rPr>
          <w:fldChar w:fldCharType="separate"/>
        </w:r>
        <w:r w:rsidR="00694866" w:rsidRPr="00694866">
          <w:rPr>
            <w:rStyle w:val="Hyperlink"/>
            <w:b/>
            <w:webHidden/>
            <w:sz w:val="24"/>
            <w:szCs w:val="24"/>
            <w:lang w:val="en-AU"/>
          </w:rPr>
          <w:t>15</w:t>
        </w:r>
        <w:r w:rsidR="00694866" w:rsidRPr="00694866">
          <w:rPr>
            <w:rStyle w:val="Hyperlink"/>
            <w:b/>
            <w:webHidden/>
            <w:sz w:val="24"/>
            <w:szCs w:val="24"/>
            <w:lang w:val="en-AU"/>
          </w:rPr>
          <w:fldChar w:fldCharType="end"/>
        </w:r>
      </w:hyperlink>
    </w:p>
    <w:p w14:paraId="37F7C944" w14:textId="115FA3DA" w:rsidR="00694866" w:rsidRDefault="00CB45BD">
      <w:pPr>
        <w:pStyle w:val="TOC1"/>
        <w:tabs>
          <w:tab w:val="right" w:leader="dot" w:pos="7786"/>
        </w:tabs>
        <w:rPr>
          <w:rFonts w:eastAsiaTheme="minorEastAsia" w:cstheme="minorBidi"/>
          <w:b w:val="0"/>
          <w:noProof/>
          <w:sz w:val="22"/>
          <w:szCs w:val="22"/>
          <w:lang w:val="en-AU" w:eastAsia="en-AU"/>
        </w:rPr>
      </w:pPr>
      <w:hyperlink w:anchor="_Toc5287491" w:history="1">
        <w:r w:rsidR="00694866" w:rsidRPr="004402C7">
          <w:rPr>
            <w:rStyle w:val="Hyperlink"/>
            <w:noProof/>
            <w:lang w:val="en-AU"/>
          </w:rPr>
          <w:t>Conclusion</w:t>
        </w:r>
        <w:r w:rsidR="00694866">
          <w:rPr>
            <w:noProof/>
            <w:webHidden/>
          </w:rPr>
          <w:tab/>
        </w:r>
        <w:r w:rsidR="00694866">
          <w:rPr>
            <w:noProof/>
            <w:webHidden/>
          </w:rPr>
          <w:fldChar w:fldCharType="begin"/>
        </w:r>
        <w:r w:rsidR="00694866">
          <w:rPr>
            <w:noProof/>
            <w:webHidden/>
          </w:rPr>
          <w:instrText xml:space="preserve"> PAGEREF _Toc5287491 \h </w:instrText>
        </w:r>
        <w:r w:rsidR="00694866">
          <w:rPr>
            <w:noProof/>
            <w:webHidden/>
          </w:rPr>
        </w:r>
        <w:r w:rsidR="00694866">
          <w:rPr>
            <w:noProof/>
            <w:webHidden/>
          </w:rPr>
          <w:fldChar w:fldCharType="separate"/>
        </w:r>
        <w:r w:rsidR="00694866">
          <w:rPr>
            <w:noProof/>
            <w:webHidden/>
          </w:rPr>
          <w:t>17</w:t>
        </w:r>
        <w:r w:rsidR="00694866">
          <w:rPr>
            <w:noProof/>
            <w:webHidden/>
          </w:rPr>
          <w:fldChar w:fldCharType="end"/>
        </w:r>
      </w:hyperlink>
    </w:p>
    <w:p w14:paraId="1CE31899" w14:textId="01B157B3" w:rsidR="002D7471" w:rsidRDefault="002D7471" w:rsidP="002D7471">
      <w:pPr>
        <w:rPr>
          <w:rFonts w:ascii="Calibri" w:hAnsi="Calibri"/>
          <w:b/>
          <w:bCs/>
          <w:color w:val="677020"/>
          <w:sz w:val="32"/>
          <w:szCs w:val="32"/>
        </w:rPr>
      </w:pPr>
      <w:r>
        <w:rPr>
          <w:rFonts w:asciiTheme="minorHAnsi" w:hAnsiTheme="minorHAnsi"/>
          <w:b/>
          <w:sz w:val="24"/>
        </w:rPr>
        <w:fldChar w:fldCharType="end"/>
      </w:r>
      <w:r>
        <w:br w:type="page"/>
      </w:r>
    </w:p>
    <w:p w14:paraId="4F337634" w14:textId="77777777" w:rsidR="00230102" w:rsidRPr="007468A4" w:rsidRDefault="00230102" w:rsidP="00230102">
      <w:pPr>
        <w:pStyle w:val="Heading1"/>
        <w:rPr>
          <w:lang w:val="en-AU"/>
        </w:rPr>
      </w:pPr>
      <w:bookmarkStart w:id="3" w:name="_Toc5287482"/>
      <w:r w:rsidRPr="007468A4">
        <w:rPr>
          <w:lang w:val="en-AU"/>
        </w:rPr>
        <w:lastRenderedPageBreak/>
        <w:t>Introduction</w:t>
      </w:r>
      <w:bookmarkEnd w:id="3"/>
    </w:p>
    <w:p w14:paraId="044A93D1" w14:textId="77777777" w:rsidR="008C4E09" w:rsidRDefault="008C4E09" w:rsidP="008C4E09">
      <w:pPr>
        <w:pStyle w:val="Heading2"/>
        <w:rPr>
          <w:lang w:val="en-AU"/>
        </w:rPr>
      </w:pPr>
      <w:bookmarkStart w:id="4" w:name="_Toc5287483"/>
      <w:r>
        <w:rPr>
          <w:lang w:val="en-AU"/>
        </w:rPr>
        <w:t>The Council to Homeless Persons</w:t>
      </w:r>
      <w:bookmarkEnd w:id="4"/>
    </w:p>
    <w:p w14:paraId="3C15741F" w14:textId="77777777" w:rsidR="008C4E09" w:rsidRDefault="008C4E09" w:rsidP="008C4E09">
      <w:pPr>
        <w:pStyle w:val="CHPtextGreen"/>
        <w:rPr>
          <w:color w:val="auto"/>
          <w:sz w:val="22"/>
          <w:szCs w:val="22"/>
        </w:rPr>
      </w:pPr>
      <w:r>
        <w:rPr>
          <w:color w:val="auto"/>
          <w:sz w:val="22"/>
          <w:szCs w:val="22"/>
        </w:rPr>
        <w:t>The Council to Homeless Persons (</w:t>
      </w:r>
      <w:r w:rsidRPr="00B94BC9">
        <w:rPr>
          <w:color w:val="auto"/>
          <w:sz w:val="22"/>
          <w:szCs w:val="22"/>
        </w:rPr>
        <w:t>CHP</w:t>
      </w:r>
      <w:r>
        <w:rPr>
          <w:color w:val="auto"/>
          <w:sz w:val="22"/>
          <w:szCs w:val="22"/>
        </w:rPr>
        <w:t>)</w:t>
      </w:r>
      <w:r w:rsidRPr="00B94BC9">
        <w:rPr>
          <w:color w:val="auto"/>
          <w:sz w:val="22"/>
          <w:szCs w:val="22"/>
        </w:rPr>
        <w:t xml:space="preserve"> is the peak Victorian body representing </w:t>
      </w:r>
      <w:proofErr w:type="spellStart"/>
      <w:r w:rsidRPr="00B94BC9">
        <w:rPr>
          <w:color w:val="auto"/>
          <w:sz w:val="22"/>
          <w:szCs w:val="22"/>
        </w:rPr>
        <w:t>organisations</w:t>
      </w:r>
      <w:proofErr w:type="spellEnd"/>
      <w:r w:rsidRPr="00B94BC9">
        <w:rPr>
          <w:color w:val="auto"/>
          <w:sz w:val="22"/>
          <w:szCs w:val="22"/>
        </w:rPr>
        <w:t xml:space="preserve"> and individuals with a co</w:t>
      </w:r>
      <w:r>
        <w:rPr>
          <w:color w:val="auto"/>
          <w:sz w:val="22"/>
          <w:szCs w:val="22"/>
        </w:rPr>
        <w:t xml:space="preserve">mmitment to ending homelessness. </w:t>
      </w:r>
      <w:r w:rsidRPr="00B94BC9">
        <w:rPr>
          <w:color w:val="auto"/>
          <w:sz w:val="22"/>
          <w:szCs w:val="22"/>
        </w:rPr>
        <w:t xml:space="preserve">CHP works to end homelessness through leadership in policy development, advocacy, </w:t>
      </w:r>
      <w:proofErr w:type="gramStart"/>
      <w:r w:rsidRPr="00B94BC9">
        <w:rPr>
          <w:color w:val="auto"/>
          <w:sz w:val="22"/>
          <w:szCs w:val="22"/>
        </w:rPr>
        <w:t>capacity</w:t>
      </w:r>
      <w:proofErr w:type="gramEnd"/>
      <w:r w:rsidRPr="00B94BC9">
        <w:rPr>
          <w:color w:val="auto"/>
          <w:sz w:val="22"/>
          <w:szCs w:val="22"/>
        </w:rPr>
        <w:t xml:space="preserve"> building and consumer participation. </w:t>
      </w:r>
    </w:p>
    <w:p w14:paraId="1E148FC6" w14:textId="77777777" w:rsidR="008C4E09" w:rsidRDefault="008C4E09" w:rsidP="008C4E09">
      <w:pPr>
        <w:pStyle w:val="CHPtextGreen"/>
        <w:rPr>
          <w:color w:val="auto"/>
          <w:sz w:val="22"/>
          <w:szCs w:val="22"/>
        </w:rPr>
      </w:pPr>
      <w:bookmarkStart w:id="5" w:name="_GoBack"/>
      <w:bookmarkEnd w:id="5"/>
    </w:p>
    <w:p w14:paraId="36D4CCC6" w14:textId="693D9232" w:rsidR="00056563" w:rsidRDefault="003E2242" w:rsidP="003E2242">
      <w:pPr>
        <w:rPr>
          <w:rFonts w:asciiTheme="minorHAnsi" w:hAnsiTheme="minorHAnsi"/>
          <w:sz w:val="22"/>
          <w:szCs w:val="22"/>
        </w:rPr>
      </w:pPr>
      <w:r w:rsidRPr="00132BA7">
        <w:rPr>
          <w:rFonts w:asciiTheme="minorHAnsi" w:hAnsiTheme="minorHAnsi"/>
          <w:sz w:val="22"/>
          <w:szCs w:val="22"/>
        </w:rPr>
        <w:t xml:space="preserve">The Council to Homeless Persons (CHP) welcomes the opportunity to provide feedback on the Productivity Commission’s </w:t>
      </w:r>
      <w:r w:rsidR="00056563">
        <w:rPr>
          <w:rFonts w:asciiTheme="minorHAnsi" w:hAnsiTheme="minorHAnsi"/>
          <w:sz w:val="22"/>
          <w:szCs w:val="22"/>
        </w:rPr>
        <w:t>Issues Paper; The Social and Economic Benefits of Improving Mental Health</w:t>
      </w:r>
      <w:r w:rsidR="0011403C">
        <w:rPr>
          <w:rFonts w:asciiTheme="minorHAnsi" w:hAnsiTheme="minorHAnsi"/>
          <w:sz w:val="22"/>
          <w:szCs w:val="22"/>
        </w:rPr>
        <w:t xml:space="preserve">. </w:t>
      </w:r>
      <w:r w:rsidR="00056563">
        <w:rPr>
          <w:rFonts w:asciiTheme="minorHAnsi" w:hAnsiTheme="minorHAnsi"/>
          <w:sz w:val="22"/>
          <w:szCs w:val="22"/>
        </w:rPr>
        <w:t xml:space="preserve">In this response we show that housing, homelessness, and mental health are intrinsically linked. </w:t>
      </w:r>
      <w:r w:rsidR="001C2AF9">
        <w:rPr>
          <w:rFonts w:asciiTheme="minorHAnsi" w:hAnsiTheme="minorHAnsi"/>
          <w:sz w:val="22"/>
          <w:szCs w:val="22"/>
        </w:rPr>
        <w:t xml:space="preserve">For a mental health service system to work effectively, the housing needs of its consumers must be considered, as must the </w:t>
      </w:r>
      <w:r w:rsidR="009E1EF2">
        <w:rPr>
          <w:rFonts w:asciiTheme="minorHAnsi" w:hAnsiTheme="minorHAnsi"/>
          <w:sz w:val="22"/>
          <w:szCs w:val="22"/>
        </w:rPr>
        <w:t>interaction of mental health and homelessness support services</w:t>
      </w:r>
      <w:r w:rsidR="001C2AF9">
        <w:rPr>
          <w:rFonts w:asciiTheme="minorHAnsi" w:hAnsiTheme="minorHAnsi"/>
          <w:sz w:val="22"/>
          <w:szCs w:val="22"/>
        </w:rPr>
        <w:t>.</w:t>
      </w:r>
    </w:p>
    <w:p w14:paraId="4BE0B63C" w14:textId="77777777" w:rsidR="00056563" w:rsidRDefault="00056563" w:rsidP="003E2242">
      <w:pPr>
        <w:rPr>
          <w:rFonts w:asciiTheme="minorHAnsi" w:hAnsiTheme="minorHAnsi"/>
          <w:sz w:val="22"/>
          <w:szCs w:val="22"/>
        </w:rPr>
      </w:pPr>
    </w:p>
    <w:p w14:paraId="3FE2167F" w14:textId="77777777" w:rsidR="008C4E09" w:rsidRPr="002D2B1E" w:rsidRDefault="008C4E09" w:rsidP="008C4E09">
      <w:pPr>
        <w:pStyle w:val="Heading2"/>
        <w:rPr>
          <w:lang w:val="en-AU"/>
        </w:rPr>
      </w:pPr>
      <w:bookmarkStart w:id="6" w:name="_Toc5287484"/>
      <w:r w:rsidRPr="002D2B1E">
        <w:rPr>
          <w:lang w:val="en-AU"/>
        </w:rPr>
        <w:t>What we mean by ‘ending homelessness’</w:t>
      </w:r>
      <w:bookmarkEnd w:id="6"/>
      <w:r w:rsidRPr="002D2B1E">
        <w:rPr>
          <w:lang w:val="en-AU"/>
        </w:rPr>
        <w:t xml:space="preserve"> </w:t>
      </w:r>
    </w:p>
    <w:p w14:paraId="5F85E6CB" w14:textId="77777777" w:rsidR="008C4E09" w:rsidRDefault="008C4E09" w:rsidP="008C4E09">
      <w:pPr>
        <w:pStyle w:val="CHPtextGreen"/>
        <w:rPr>
          <w:color w:val="auto"/>
          <w:sz w:val="22"/>
          <w:szCs w:val="22"/>
        </w:rPr>
      </w:pPr>
      <w:r w:rsidRPr="00CF1FC3">
        <w:rPr>
          <w:color w:val="auto"/>
          <w:sz w:val="22"/>
          <w:szCs w:val="22"/>
        </w:rPr>
        <w:t>Homelessness occurs at the intersection of personal vulnerabilities</w:t>
      </w:r>
      <w:r w:rsidR="00395540">
        <w:rPr>
          <w:color w:val="auto"/>
          <w:sz w:val="22"/>
          <w:szCs w:val="22"/>
        </w:rPr>
        <w:t>,</w:t>
      </w:r>
      <w:r w:rsidRPr="00CF1FC3">
        <w:rPr>
          <w:color w:val="auto"/>
          <w:sz w:val="22"/>
          <w:szCs w:val="22"/>
        </w:rPr>
        <w:t xml:space="preserve"> and structural forces such as poverty</w:t>
      </w:r>
      <w:r>
        <w:rPr>
          <w:color w:val="auto"/>
          <w:sz w:val="22"/>
          <w:szCs w:val="22"/>
        </w:rPr>
        <w:t>,</w:t>
      </w:r>
      <w:r w:rsidRPr="00CF1FC3">
        <w:rPr>
          <w:color w:val="auto"/>
          <w:sz w:val="22"/>
          <w:szCs w:val="22"/>
        </w:rPr>
        <w:t xml:space="preserve"> housing affordability</w:t>
      </w:r>
      <w:r>
        <w:rPr>
          <w:color w:val="auto"/>
          <w:sz w:val="22"/>
          <w:szCs w:val="22"/>
        </w:rPr>
        <w:t xml:space="preserve"> and security of tenure</w:t>
      </w:r>
      <w:r w:rsidRPr="00CF1FC3">
        <w:rPr>
          <w:color w:val="auto"/>
          <w:sz w:val="22"/>
          <w:szCs w:val="22"/>
        </w:rPr>
        <w:t xml:space="preserve">. People who become homeless are often financially disadvantaged and some will have spent a lifetime in insecure housing. </w:t>
      </w:r>
    </w:p>
    <w:p w14:paraId="2EF3DFBA" w14:textId="77777777" w:rsidR="008C4E09" w:rsidRDefault="008C4E09" w:rsidP="008C4E09">
      <w:pPr>
        <w:pStyle w:val="CHPtextGreen"/>
        <w:rPr>
          <w:color w:val="auto"/>
          <w:sz w:val="22"/>
          <w:szCs w:val="22"/>
        </w:rPr>
      </w:pPr>
    </w:p>
    <w:p w14:paraId="5CDA9E36" w14:textId="77777777" w:rsidR="008C4E09" w:rsidRDefault="008C4E09" w:rsidP="008C4E09">
      <w:pPr>
        <w:pStyle w:val="CHPtextGreen"/>
        <w:rPr>
          <w:color w:val="auto"/>
          <w:sz w:val="22"/>
          <w:szCs w:val="22"/>
        </w:rPr>
      </w:pPr>
      <w:r w:rsidRPr="00CF1FC3">
        <w:rPr>
          <w:color w:val="auto"/>
          <w:sz w:val="22"/>
          <w:szCs w:val="22"/>
        </w:rPr>
        <w:t xml:space="preserve">Ending homelessness doesn’t mean that people will never find themselves without shelter. It means that homelessness will be rare, the experience brief, and it will </w:t>
      </w:r>
      <w:r>
        <w:rPr>
          <w:color w:val="auto"/>
          <w:sz w:val="22"/>
          <w:szCs w:val="22"/>
        </w:rPr>
        <w:t>not recur in a cycle of repeated homelessness.</w:t>
      </w:r>
    </w:p>
    <w:p w14:paraId="49F46DEF" w14:textId="77777777" w:rsidR="008C4E09" w:rsidRDefault="008C4E09" w:rsidP="008C4E09">
      <w:pPr>
        <w:pStyle w:val="CHPtextGreen"/>
        <w:rPr>
          <w:color w:val="auto"/>
          <w:sz w:val="22"/>
          <w:szCs w:val="22"/>
        </w:rPr>
      </w:pPr>
    </w:p>
    <w:p w14:paraId="412A4E61" w14:textId="77777777" w:rsidR="008836AB" w:rsidRDefault="003E2242" w:rsidP="008836AB">
      <w:pPr>
        <w:pStyle w:val="CHPtextGreen"/>
        <w:rPr>
          <w:lang w:val="en-AU"/>
        </w:rPr>
      </w:pPr>
      <w:r>
        <w:rPr>
          <w:color w:val="auto"/>
          <w:sz w:val="22"/>
          <w:szCs w:val="22"/>
        </w:rPr>
        <w:t xml:space="preserve">To achieve this vision </w:t>
      </w:r>
      <w:r w:rsidR="008836AB" w:rsidRPr="00CF1FC3">
        <w:rPr>
          <w:color w:val="auto"/>
          <w:sz w:val="22"/>
          <w:szCs w:val="22"/>
        </w:rPr>
        <w:t>requires action to reduce poverty, increase access to employment and critically</w:t>
      </w:r>
      <w:r w:rsidR="008836AB">
        <w:rPr>
          <w:color w:val="auto"/>
          <w:sz w:val="22"/>
          <w:szCs w:val="22"/>
        </w:rPr>
        <w:t>,</w:t>
      </w:r>
      <w:r w:rsidR="008836AB" w:rsidRPr="00CF1FC3">
        <w:rPr>
          <w:color w:val="auto"/>
          <w:sz w:val="22"/>
          <w:szCs w:val="22"/>
        </w:rPr>
        <w:t xml:space="preserve"> to improve the supply of housing that is affordable to people on low</w:t>
      </w:r>
      <w:r w:rsidR="008836AB">
        <w:rPr>
          <w:color w:val="auto"/>
          <w:sz w:val="22"/>
          <w:szCs w:val="22"/>
        </w:rPr>
        <w:t xml:space="preserve"> incomes, and the security of people’s tenure within that housing.</w:t>
      </w:r>
    </w:p>
    <w:p w14:paraId="0F0DAFF0" w14:textId="77777777" w:rsidR="008C4E09" w:rsidRDefault="008836AB" w:rsidP="008C4E09">
      <w:pPr>
        <w:pStyle w:val="CHPtextGreen"/>
        <w:rPr>
          <w:color w:val="auto"/>
          <w:sz w:val="22"/>
          <w:szCs w:val="22"/>
        </w:rPr>
      </w:pPr>
      <w:r>
        <w:rPr>
          <w:color w:val="auto"/>
          <w:sz w:val="22"/>
          <w:szCs w:val="22"/>
        </w:rPr>
        <w:t xml:space="preserve">Simultaneously, </w:t>
      </w:r>
      <w:r w:rsidR="003E2242">
        <w:rPr>
          <w:color w:val="auto"/>
          <w:sz w:val="22"/>
          <w:szCs w:val="22"/>
        </w:rPr>
        <w:t>Austral</w:t>
      </w:r>
      <w:r w:rsidR="008C4E09" w:rsidRPr="00CF1FC3">
        <w:rPr>
          <w:color w:val="auto"/>
          <w:sz w:val="22"/>
          <w:szCs w:val="22"/>
        </w:rPr>
        <w:t>ia requires the services to help people manage the vulnerabilities that can lead to homelessness. Pathways into homelessness include</w:t>
      </w:r>
      <w:r w:rsidR="008C4E09">
        <w:rPr>
          <w:color w:val="auto"/>
          <w:sz w:val="22"/>
          <w:szCs w:val="22"/>
        </w:rPr>
        <w:t xml:space="preserve"> eviction, job loss,</w:t>
      </w:r>
      <w:r w:rsidR="008C4E09" w:rsidRPr="00CF1FC3">
        <w:rPr>
          <w:color w:val="auto"/>
          <w:sz w:val="22"/>
          <w:szCs w:val="22"/>
        </w:rPr>
        <w:t xml:space="preserve"> family violence</w:t>
      </w:r>
      <w:r w:rsidR="008C4E09">
        <w:rPr>
          <w:color w:val="auto"/>
          <w:sz w:val="22"/>
          <w:szCs w:val="22"/>
        </w:rPr>
        <w:t>,</w:t>
      </w:r>
      <w:r w:rsidR="008C4E09" w:rsidRPr="00CF1FC3">
        <w:rPr>
          <w:color w:val="auto"/>
          <w:sz w:val="22"/>
          <w:szCs w:val="22"/>
        </w:rPr>
        <w:t xml:space="preserve"> </w:t>
      </w:r>
      <w:r w:rsidR="00B77E27">
        <w:rPr>
          <w:color w:val="auto"/>
          <w:sz w:val="22"/>
          <w:szCs w:val="22"/>
        </w:rPr>
        <w:t xml:space="preserve">physical or </w:t>
      </w:r>
      <w:r w:rsidR="008C4E09" w:rsidRPr="00CF1FC3">
        <w:rPr>
          <w:color w:val="auto"/>
          <w:sz w:val="22"/>
          <w:szCs w:val="22"/>
        </w:rPr>
        <w:t xml:space="preserve">mental ill health, relationship breakdown, or indeed a combination of these factors. There is neither a single cause, nor a single solution. Some people may need relatively little assistance for a short period of time, while others may need support over a lifetime. </w:t>
      </w:r>
    </w:p>
    <w:p w14:paraId="1B2355B8" w14:textId="15619676" w:rsidR="008C4E09" w:rsidRDefault="008C4E09" w:rsidP="008C4E09">
      <w:pPr>
        <w:pStyle w:val="CHPtextGreen"/>
        <w:rPr>
          <w:color w:val="auto"/>
          <w:sz w:val="22"/>
          <w:szCs w:val="22"/>
        </w:rPr>
      </w:pPr>
    </w:p>
    <w:p w14:paraId="59E9D39F" w14:textId="77777777" w:rsidR="00206FB0" w:rsidRPr="00930091" w:rsidRDefault="00206FB0" w:rsidP="00206FB0">
      <w:pPr>
        <w:pStyle w:val="CHPText"/>
        <w:rPr>
          <w:b/>
          <w:bCs/>
          <w:color w:val="929F2D"/>
          <w:sz w:val="26"/>
          <w:szCs w:val="26"/>
        </w:rPr>
      </w:pPr>
      <w:r>
        <w:rPr>
          <w:b/>
          <w:bCs/>
          <w:color w:val="929F2D"/>
          <w:sz w:val="26"/>
          <w:szCs w:val="26"/>
        </w:rPr>
        <w:t>Reading this submission</w:t>
      </w:r>
    </w:p>
    <w:p w14:paraId="3E11E119" w14:textId="7A51C0CF" w:rsidR="00965E9D" w:rsidRPr="00A93484" w:rsidRDefault="00206FB0" w:rsidP="00206FB0">
      <w:pPr>
        <w:pStyle w:val="CHPText"/>
        <w:rPr>
          <w:lang w:val="en-AU"/>
        </w:rPr>
      </w:pPr>
      <w:r w:rsidRPr="00A93484">
        <w:rPr>
          <w:lang w:val="en-AU"/>
        </w:rPr>
        <w:t xml:space="preserve">In this response, CHP </w:t>
      </w:r>
      <w:r w:rsidR="00E512C2" w:rsidRPr="00A93484">
        <w:rPr>
          <w:lang w:val="en-AU"/>
        </w:rPr>
        <w:t xml:space="preserve">has </w:t>
      </w:r>
      <w:r w:rsidR="00C06034" w:rsidRPr="00A93484">
        <w:rPr>
          <w:lang w:val="en-AU"/>
        </w:rPr>
        <w:t>sought to respond to questions asked by the Productivity Commission that had most relevance for housing and homelessness.</w:t>
      </w:r>
      <w:r w:rsidR="00A93484" w:rsidRPr="00A93484">
        <w:rPr>
          <w:lang w:val="en-AU"/>
        </w:rPr>
        <w:t xml:space="preserve"> We have sought to respond to these matters thematically, as well as specifically to questions posed in the Productivity Commission on which we have expertise.</w:t>
      </w:r>
    </w:p>
    <w:p w14:paraId="33FC18D6" w14:textId="77777777" w:rsidR="00965E9D" w:rsidRDefault="00965E9D" w:rsidP="00206FB0">
      <w:pPr>
        <w:pStyle w:val="CHPText"/>
        <w:rPr>
          <w:highlight w:val="yellow"/>
          <w:lang w:val="en-AU"/>
        </w:rPr>
      </w:pPr>
    </w:p>
    <w:p w14:paraId="14D06F63" w14:textId="27949309" w:rsidR="00206FB0" w:rsidRDefault="00206FB0" w:rsidP="00206FB0">
      <w:pPr>
        <w:pStyle w:val="CHPText"/>
        <w:rPr>
          <w:lang w:val="en-AU"/>
        </w:rPr>
      </w:pPr>
      <w:r>
        <w:rPr>
          <w:lang w:val="en-AU"/>
        </w:rPr>
        <w:t xml:space="preserve">In developing this response, CHP consulted with people with a lived experience of co-occurring homelessness and mental health treatment. Many of these consumers have also received mental health treatment while securely housed, and so are well placed to provide information on the differences </w:t>
      </w:r>
      <w:r w:rsidR="00C06034">
        <w:rPr>
          <w:lang w:val="en-AU"/>
        </w:rPr>
        <w:t>between</w:t>
      </w:r>
      <w:r>
        <w:rPr>
          <w:lang w:val="en-AU"/>
        </w:rPr>
        <w:t xml:space="preserve"> these two experiences. Information </w:t>
      </w:r>
      <w:r>
        <w:rPr>
          <w:lang w:val="en-AU"/>
        </w:rPr>
        <w:lastRenderedPageBreak/>
        <w:t xml:space="preserve">from this consultation has helped to set the direction of our response, and </w:t>
      </w:r>
      <w:r w:rsidR="00260D46">
        <w:rPr>
          <w:lang w:val="en-AU"/>
        </w:rPr>
        <w:t>excerpts are</w:t>
      </w:r>
      <w:r>
        <w:rPr>
          <w:lang w:val="en-AU"/>
        </w:rPr>
        <w:t xml:space="preserve"> provided </w:t>
      </w:r>
      <w:r w:rsidR="00260D46">
        <w:rPr>
          <w:lang w:val="en-AU"/>
        </w:rPr>
        <w:t xml:space="preserve">as evidence </w:t>
      </w:r>
      <w:r>
        <w:rPr>
          <w:lang w:val="en-AU"/>
        </w:rPr>
        <w:t>throughout this submission.</w:t>
      </w:r>
    </w:p>
    <w:p w14:paraId="5BD5F565" w14:textId="77777777" w:rsidR="00206FB0" w:rsidRDefault="00206FB0" w:rsidP="008C4E09">
      <w:pPr>
        <w:pStyle w:val="CHPtextGreen"/>
        <w:rPr>
          <w:color w:val="auto"/>
          <w:sz w:val="22"/>
          <w:szCs w:val="22"/>
        </w:rPr>
      </w:pPr>
    </w:p>
    <w:p w14:paraId="359C2AEB" w14:textId="62C578C2" w:rsidR="008C4E09" w:rsidRPr="00B21E29" w:rsidRDefault="00930091" w:rsidP="008C4E09">
      <w:pPr>
        <w:pStyle w:val="Heading2"/>
      </w:pPr>
      <w:bookmarkStart w:id="7" w:name="_Toc5287485"/>
      <w:r>
        <w:t>Housing, h</w:t>
      </w:r>
      <w:r w:rsidR="00304F28" w:rsidRPr="00B21E29">
        <w:t xml:space="preserve">omelessness and </w:t>
      </w:r>
      <w:r>
        <w:t>mental health</w:t>
      </w:r>
      <w:bookmarkEnd w:id="7"/>
    </w:p>
    <w:p w14:paraId="50119759" w14:textId="77777777" w:rsidR="00FB34F6" w:rsidRDefault="00FB34F6" w:rsidP="00FB34F6">
      <w:pPr>
        <w:jc w:val="center"/>
        <w:rPr>
          <w:rFonts w:ascii="Calibri" w:hAnsi="Calibri"/>
          <w:i/>
          <w:color w:val="6A83A9"/>
          <w:sz w:val="22"/>
          <w:szCs w:val="22"/>
          <w:lang w:val="en-AU"/>
        </w:rPr>
      </w:pPr>
    </w:p>
    <w:p w14:paraId="4D764681" w14:textId="7E43CA1F" w:rsidR="00FB34F6" w:rsidRPr="0026758F" w:rsidRDefault="00FB34F6" w:rsidP="00FB34F6">
      <w:pPr>
        <w:jc w:val="center"/>
        <w:rPr>
          <w:rFonts w:ascii="Calibri" w:hAnsi="Calibri"/>
          <w:i/>
          <w:color w:val="6A83A9"/>
          <w:sz w:val="22"/>
          <w:szCs w:val="22"/>
          <w:lang w:val="en-AU"/>
        </w:rPr>
      </w:pPr>
      <w:r w:rsidRPr="0026758F">
        <w:rPr>
          <w:rFonts w:ascii="Calibri" w:hAnsi="Calibri"/>
          <w:i/>
          <w:color w:val="6A83A9"/>
          <w:sz w:val="22"/>
          <w:szCs w:val="22"/>
          <w:lang w:val="en-AU"/>
        </w:rPr>
        <w:t>‘My life was a mess until I got housing. Just moving from room to room to room. Dealing with people with their own mental health issues, and drug and alcohol addiction and stuff like that is really</w:t>
      </w:r>
      <w:r w:rsidR="0026758F">
        <w:rPr>
          <w:rFonts w:ascii="Calibri" w:hAnsi="Calibri"/>
          <w:i/>
          <w:color w:val="6A83A9"/>
          <w:sz w:val="22"/>
          <w:szCs w:val="22"/>
          <w:lang w:val="en-AU"/>
        </w:rPr>
        <w:t>,</w:t>
      </w:r>
      <w:r w:rsidRPr="0026758F">
        <w:rPr>
          <w:rFonts w:ascii="Calibri" w:hAnsi="Calibri"/>
          <w:i/>
          <w:color w:val="6A83A9"/>
          <w:sz w:val="22"/>
          <w:szCs w:val="22"/>
          <w:lang w:val="en-AU"/>
        </w:rPr>
        <w:t xml:space="preserve"> really hard. Getting housing helped me keep appointments, workers have helped me keep appointments. Sometimes that drops off, and a good worker keeps you on track and connected to your appointments and your networks and stuff </w:t>
      </w:r>
      <w:r w:rsidR="0026758F" w:rsidRPr="0026758F">
        <w:rPr>
          <w:rFonts w:ascii="Calibri" w:hAnsi="Calibri"/>
          <w:i/>
          <w:color w:val="6A83A9"/>
          <w:sz w:val="22"/>
          <w:szCs w:val="22"/>
          <w:lang w:val="en-AU"/>
        </w:rPr>
        <w:t>like</w:t>
      </w:r>
      <w:r w:rsidRPr="0026758F">
        <w:rPr>
          <w:rFonts w:ascii="Calibri" w:hAnsi="Calibri"/>
          <w:i/>
          <w:color w:val="6A83A9"/>
          <w:sz w:val="22"/>
          <w:szCs w:val="22"/>
          <w:lang w:val="en-AU"/>
        </w:rPr>
        <w:t xml:space="preserve"> that</w:t>
      </w:r>
      <w:r w:rsidR="0026758F">
        <w:rPr>
          <w:rFonts w:ascii="Calibri" w:hAnsi="Calibri"/>
          <w:i/>
          <w:color w:val="6A83A9"/>
          <w:sz w:val="22"/>
          <w:szCs w:val="22"/>
          <w:lang w:val="en-AU"/>
        </w:rPr>
        <w:t>.</w:t>
      </w:r>
      <w:r w:rsidRPr="0026758F">
        <w:rPr>
          <w:rFonts w:ascii="Calibri" w:hAnsi="Calibri"/>
          <w:i/>
          <w:color w:val="6A83A9"/>
          <w:sz w:val="22"/>
          <w:szCs w:val="22"/>
          <w:lang w:val="en-AU"/>
        </w:rPr>
        <w:t>’</w:t>
      </w:r>
    </w:p>
    <w:p w14:paraId="4D7B9968" w14:textId="2ED65EFF" w:rsidR="00FB34F6" w:rsidRPr="004546FB" w:rsidRDefault="0026758F" w:rsidP="00FB34F6">
      <w:pPr>
        <w:pStyle w:val="ListParagraph"/>
        <w:numPr>
          <w:ilvl w:val="0"/>
          <w:numId w:val="32"/>
        </w:numPr>
        <w:jc w:val="right"/>
        <w:rPr>
          <w:rFonts w:ascii="Calibri" w:hAnsi="Calibri"/>
        </w:rPr>
      </w:pPr>
      <w:r>
        <w:rPr>
          <w:color w:val="6A83A9"/>
        </w:rPr>
        <w:t xml:space="preserve">Nigel </w:t>
      </w:r>
      <w:proofErr w:type="spellStart"/>
      <w:r>
        <w:rPr>
          <w:color w:val="6A83A9"/>
        </w:rPr>
        <w:t>Pernu</w:t>
      </w:r>
      <w:proofErr w:type="spellEnd"/>
      <w:r w:rsidR="00FB34F6" w:rsidRPr="00061F67">
        <w:rPr>
          <w:color w:val="6A83A9"/>
        </w:rPr>
        <w:t>, Consumer / Advocate</w:t>
      </w:r>
    </w:p>
    <w:p w14:paraId="36291391" w14:textId="2F5EC4D5" w:rsidR="00C36DEC" w:rsidRPr="00C36DEC" w:rsidRDefault="00C36DEC" w:rsidP="00C36DEC">
      <w:pPr>
        <w:pStyle w:val="CHPText"/>
        <w:rPr>
          <w:lang w:val="en-AU"/>
        </w:rPr>
      </w:pPr>
      <w:r>
        <w:rPr>
          <w:lang w:val="en-AU"/>
        </w:rPr>
        <w:t>T</w:t>
      </w:r>
      <w:r w:rsidRPr="00C36DEC">
        <w:rPr>
          <w:lang w:val="en-AU"/>
        </w:rPr>
        <w:t>he interconnection between access to housing and me</w:t>
      </w:r>
      <w:r w:rsidR="00E804A9">
        <w:rPr>
          <w:lang w:val="en-AU"/>
        </w:rPr>
        <w:t>ntal wellbeing has been extensively evidenced</w:t>
      </w:r>
      <w:r>
        <w:rPr>
          <w:lang w:val="en-AU"/>
        </w:rPr>
        <w:t>;</w:t>
      </w:r>
      <w:r w:rsidR="00E804A9" w:rsidRPr="00E804A9">
        <w:rPr>
          <w:vertAlign w:val="superscript"/>
          <w:lang w:val="en-AU"/>
        </w:rPr>
        <w:t xml:space="preserve"> </w:t>
      </w:r>
      <w:r w:rsidR="00E804A9" w:rsidRPr="00206FB0">
        <w:rPr>
          <w:vertAlign w:val="superscript"/>
          <w:lang w:val="en-AU"/>
        </w:rPr>
        <w:footnoteReference w:id="1"/>
      </w:r>
      <w:r w:rsidR="00725CF1">
        <w:rPr>
          <w:vertAlign w:val="superscript"/>
          <w:lang w:val="en-AU"/>
        </w:rPr>
        <w:t xml:space="preserve"> </w:t>
      </w:r>
      <w:r w:rsidR="00725CF1">
        <w:rPr>
          <w:rStyle w:val="FootnoteReference"/>
          <w:lang w:val="en-AU"/>
        </w:rPr>
        <w:footnoteReference w:id="2"/>
      </w:r>
      <w:r>
        <w:rPr>
          <w:lang w:val="en-AU"/>
        </w:rPr>
        <w:t xml:space="preserve"> </w:t>
      </w:r>
      <w:r w:rsidR="003D75B8">
        <w:rPr>
          <w:lang w:val="en-AU"/>
        </w:rPr>
        <w:t xml:space="preserve">we know that </w:t>
      </w:r>
      <w:r>
        <w:rPr>
          <w:lang w:val="en-AU"/>
        </w:rPr>
        <w:t xml:space="preserve">housing supports mental health treatment, while homelessness leads to mental ill-health. </w:t>
      </w:r>
      <w:r w:rsidR="00E804A9">
        <w:rPr>
          <w:lang w:val="en-AU"/>
        </w:rPr>
        <w:t xml:space="preserve">The failure to properly respond to homelessness is exacerbating the </w:t>
      </w:r>
      <w:r w:rsidR="00206FB0">
        <w:rPr>
          <w:lang w:val="en-AU"/>
        </w:rPr>
        <w:t xml:space="preserve">demand pressures faced by Australia’s mental health system, </w:t>
      </w:r>
      <w:r w:rsidR="007D3EB6">
        <w:rPr>
          <w:lang w:val="en-AU"/>
        </w:rPr>
        <w:t xml:space="preserve">leads to </w:t>
      </w:r>
      <w:r w:rsidR="008771EA" w:rsidRPr="008771EA">
        <w:rPr>
          <w:lang w:val="en-AU"/>
        </w:rPr>
        <w:t>worse outcomes for consumers</w:t>
      </w:r>
      <w:r w:rsidR="00206FB0" w:rsidRPr="008771EA">
        <w:rPr>
          <w:lang w:val="en-AU"/>
        </w:rPr>
        <w:t>,</w:t>
      </w:r>
      <w:r w:rsidR="00206FB0">
        <w:rPr>
          <w:lang w:val="en-AU"/>
        </w:rPr>
        <w:t xml:space="preserve"> and </w:t>
      </w:r>
      <w:r w:rsidR="00E804A9">
        <w:rPr>
          <w:lang w:val="en-AU"/>
        </w:rPr>
        <w:t>decreasing the efficiency of the resources used for mental healthcare.</w:t>
      </w:r>
    </w:p>
    <w:p w14:paraId="1D5CDABC" w14:textId="77777777" w:rsidR="00C36DEC" w:rsidRPr="00C36DEC" w:rsidRDefault="00C36DEC" w:rsidP="00C36DEC">
      <w:pPr>
        <w:pStyle w:val="CHPText"/>
        <w:rPr>
          <w:lang w:val="en-AU"/>
        </w:rPr>
      </w:pPr>
    </w:p>
    <w:p w14:paraId="0E4012D3" w14:textId="0A53B5D6" w:rsidR="00C36DEC" w:rsidRPr="00C36DEC" w:rsidRDefault="00C36DEC" w:rsidP="00C36DEC">
      <w:pPr>
        <w:pStyle w:val="CHPText"/>
        <w:rPr>
          <w:lang w:val="en-AU"/>
        </w:rPr>
      </w:pPr>
      <w:r w:rsidRPr="00C36DEC">
        <w:rPr>
          <w:lang w:val="en-AU"/>
        </w:rPr>
        <w:t>Research has emphasised the importance of secure housing to improve the mental health of people who have a diagnosed mental health issue. One example of this is the study of the mental health outcomes of residents at Elizabeth Street Common Ground (which operates the highly successful Housing First model). This evaluation reported that residents with psychosis required fewer days each year admitted to mental health units compared to the period before they were housed.</w:t>
      </w:r>
      <w:r w:rsidRPr="00C36DEC">
        <w:rPr>
          <w:vertAlign w:val="superscript"/>
          <w:lang w:val="en-AU"/>
        </w:rPr>
        <w:footnoteReference w:id="3"/>
      </w:r>
      <w:r w:rsidR="000E3BF7">
        <w:rPr>
          <w:lang w:val="en-AU"/>
        </w:rPr>
        <w:t xml:space="preserve"> Later in this submission we discuss similar findings from a transitional housing program for people discharged from psychiatric hospitals.</w:t>
      </w:r>
    </w:p>
    <w:p w14:paraId="4B1EE8CA" w14:textId="77777777" w:rsidR="00C36DEC" w:rsidRPr="00C36DEC" w:rsidRDefault="00C36DEC" w:rsidP="00C36DEC">
      <w:pPr>
        <w:pStyle w:val="CHPText"/>
        <w:rPr>
          <w:lang w:val="en-AU"/>
        </w:rPr>
      </w:pPr>
    </w:p>
    <w:p w14:paraId="7BD579CD" w14:textId="13356A81" w:rsidR="00C36DEC" w:rsidRDefault="00C36DEC" w:rsidP="00C36DEC">
      <w:pPr>
        <w:pStyle w:val="CHPText"/>
        <w:rPr>
          <w:lang w:val="en-AU"/>
        </w:rPr>
      </w:pPr>
      <w:r w:rsidRPr="00C36DEC">
        <w:rPr>
          <w:lang w:val="en-AU"/>
        </w:rPr>
        <w:t>Remarkably, these improved outcomes for housed consumers were achieved without an increase in residents’ use of community mental health care services. Improved outcomes instead reflected greater stability, improved consumer/clinician relationships, and resultant greater adherence to treatment plans.</w:t>
      </w:r>
      <w:r w:rsidRPr="00C36DEC">
        <w:rPr>
          <w:vertAlign w:val="superscript"/>
          <w:lang w:val="en-AU"/>
        </w:rPr>
        <w:footnoteReference w:id="4"/>
      </w:r>
    </w:p>
    <w:p w14:paraId="4FAE0BD5" w14:textId="77777777" w:rsidR="00553FBC" w:rsidRDefault="00553FBC" w:rsidP="000263B6">
      <w:pPr>
        <w:pStyle w:val="CHPText"/>
        <w:rPr>
          <w:lang w:val="en-AU"/>
        </w:rPr>
      </w:pPr>
    </w:p>
    <w:p w14:paraId="09313B51" w14:textId="6F7DFF0A" w:rsidR="000263B6" w:rsidRPr="00C36DEC" w:rsidRDefault="000263B6" w:rsidP="000263B6">
      <w:pPr>
        <w:pStyle w:val="CHPText"/>
        <w:rPr>
          <w:lang w:val="en-AU"/>
        </w:rPr>
      </w:pPr>
      <w:r>
        <w:rPr>
          <w:lang w:val="en-AU"/>
        </w:rPr>
        <w:lastRenderedPageBreak/>
        <w:t>The experience of Melbourne’s Elizabeth Street Common Ground is mirrored by Brisbane Common Ground</w:t>
      </w:r>
      <w:r>
        <w:rPr>
          <w:rStyle w:val="FootnoteReference"/>
          <w:lang w:val="en-AU"/>
        </w:rPr>
        <w:footnoteReference w:id="5"/>
      </w:r>
      <w:r>
        <w:rPr>
          <w:lang w:val="en-AU"/>
        </w:rPr>
        <w:t xml:space="preserve"> where significant savings were found not just in reduced mental health admissions, but across a range of domains.</w:t>
      </w:r>
    </w:p>
    <w:p w14:paraId="034392E3" w14:textId="5C568283" w:rsidR="002A719B" w:rsidRDefault="002A719B" w:rsidP="00C36DEC">
      <w:pPr>
        <w:pStyle w:val="CHPText"/>
        <w:rPr>
          <w:lang w:val="en-AU"/>
        </w:rPr>
      </w:pPr>
    </w:p>
    <w:p w14:paraId="56AEE946" w14:textId="569F5C70" w:rsidR="00912EDB" w:rsidRPr="00912EDB" w:rsidRDefault="00912EDB" w:rsidP="00912EDB">
      <w:pPr>
        <w:pStyle w:val="CHPText"/>
        <w:jc w:val="center"/>
        <w:rPr>
          <w:i/>
          <w:color w:val="929F2D" w:themeColor="accent1"/>
          <w:szCs w:val="22"/>
          <w:lang w:val="en-AU"/>
        </w:rPr>
      </w:pPr>
      <w:r>
        <w:rPr>
          <w:i/>
          <w:color w:val="929F2D" w:themeColor="accent1"/>
          <w:szCs w:val="22"/>
          <w:lang w:val="en-AU"/>
        </w:rPr>
        <w:t>‘</w:t>
      </w:r>
      <w:r w:rsidR="00F82562">
        <w:rPr>
          <w:i/>
          <w:color w:val="929F2D" w:themeColor="accent1"/>
          <w:szCs w:val="22"/>
          <w:lang w:val="en-AU"/>
        </w:rPr>
        <w:t>Having a home means</w:t>
      </w:r>
      <w:r w:rsidR="00D338AB">
        <w:rPr>
          <w:i/>
          <w:color w:val="929F2D" w:themeColor="accent1"/>
          <w:szCs w:val="22"/>
          <w:lang w:val="en-AU"/>
        </w:rPr>
        <w:t xml:space="preserve"> y</w:t>
      </w:r>
      <w:r w:rsidR="00D338AB" w:rsidRPr="00D338AB">
        <w:rPr>
          <w:i/>
          <w:color w:val="929F2D" w:themeColor="accent1"/>
          <w:szCs w:val="22"/>
          <w:lang w:val="en-AU"/>
        </w:rPr>
        <w:t>ou can actually start building up a good relationship with your GP and all of the services in your area, so that you finally get a good overall history</w:t>
      </w:r>
      <w:r w:rsidR="00D338AB">
        <w:rPr>
          <w:i/>
          <w:color w:val="929F2D" w:themeColor="accent1"/>
          <w:szCs w:val="22"/>
          <w:lang w:val="en-AU"/>
        </w:rPr>
        <w:t xml:space="preserve"> going, and build a relationship</w:t>
      </w:r>
      <w:r w:rsidR="00D338AB" w:rsidRPr="00D338AB">
        <w:rPr>
          <w:i/>
          <w:color w:val="929F2D" w:themeColor="accent1"/>
          <w:szCs w:val="22"/>
          <w:lang w:val="en-AU"/>
        </w:rPr>
        <w:t xml:space="preserve"> with your pro</w:t>
      </w:r>
      <w:r w:rsidR="00D338AB">
        <w:rPr>
          <w:i/>
          <w:color w:val="929F2D" w:themeColor="accent1"/>
          <w:szCs w:val="22"/>
          <w:lang w:val="en-AU"/>
        </w:rPr>
        <w:t>f</w:t>
      </w:r>
      <w:r w:rsidR="00D338AB" w:rsidRPr="00D338AB">
        <w:rPr>
          <w:i/>
          <w:color w:val="929F2D" w:themeColor="accent1"/>
          <w:szCs w:val="22"/>
          <w:lang w:val="en-AU"/>
        </w:rPr>
        <w:t>essional</w:t>
      </w:r>
      <w:r w:rsidRPr="00912EDB">
        <w:rPr>
          <w:i/>
          <w:color w:val="929F2D" w:themeColor="accent1"/>
          <w:szCs w:val="22"/>
        </w:rPr>
        <w:t>.</w:t>
      </w:r>
      <w:r>
        <w:rPr>
          <w:i/>
          <w:color w:val="929F2D" w:themeColor="accent1"/>
          <w:szCs w:val="22"/>
        </w:rPr>
        <w:t>’</w:t>
      </w:r>
    </w:p>
    <w:p w14:paraId="7DD9C35D" w14:textId="4BC4A2E7" w:rsidR="00912EDB" w:rsidRPr="00553FBC" w:rsidRDefault="00D338AB" w:rsidP="00C36DEC">
      <w:pPr>
        <w:pStyle w:val="CHPText"/>
        <w:numPr>
          <w:ilvl w:val="0"/>
          <w:numId w:val="33"/>
        </w:numPr>
        <w:jc w:val="right"/>
        <w:rPr>
          <w:color w:val="929F2D" w:themeColor="accent1"/>
          <w:szCs w:val="22"/>
          <w:lang w:val="en-AU"/>
        </w:rPr>
      </w:pPr>
      <w:r>
        <w:rPr>
          <w:color w:val="929F2D" w:themeColor="accent1"/>
          <w:szCs w:val="22"/>
          <w:lang w:val="en-AU"/>
        </w:rPr>
        <w:t xml:space="preserve">Christine </w:t>
      </w:r>
      <w:proofErr w:type="spellStart"/>
      <w:r>
        <w:rPr>
          <w:color w:val="929F2D" w:themeColor="accent1"/>
          <w:szCs w:val="22"/>
          <w:lang w:val="en-AU"/>
        </w:rPr>
        <w:t>Thirkell</w:t>
      </w:r>
      <w:proofErr w:type="spellEnd"/>
      <w:r w:rsidR="00912EDB">
        <w:rPr>
          <w:color w:val="929F2D" w:themeColor="accent1"/>
          <w:szCs w:val="22"/>
          <w:lang w:val="en-AU"/>
        </w:rPr>
        <w:t>, Consumer / Advocate</w:t>
      </w:r>
    </w:p>
    <w:p w14:paraId="47AEA74E" w14:textId="2C6AA190" w:rsidR="00C36DEC" w:rsidRDefault="00C36DEC" w:rsidP="00C36DEC">
      <w:pPr>
        <w:pStyle w:val="CHPText"/>
        <w:rPr>
          <w:lang w:val="en-AU"/>
        </w:rPr>
      </w:pPr>
    </w:p>
    <w:p w14:paraId="464AAE27" w14:textId="43A15B33" w:rsidR="00206FB0" w:rsidRPr="00206FB0" w:rsidRDefault="00206FB0" w:rsidP="00206FB0">
      <w:pPr>
        <w:pStyle w:val="CHPText"/>
        <w:rPr>
          <w:i/>
          <w:lang w:val="en-AU"/>
        </w:rPr>
      </w:pPr>
      <w:r w:rsidRPr="00083757">
        <w:rPr>
          <w:lang w:val="en-AU"/>
        </w:rPr>
        <w:t>In 201</w:t>
      </w:r>
      <w:r w:rsidR="00083757" w:rsidRPr="00083757">
        <w:rPr>
          <w:lang w:val="en-AU"/>
        </w:rPr>
        <w:t>7</w:t>
      </w:r>
      <w:r w:rsidRPr="00083757">
        <w:rPr>
          <w:lang w:val="en-AU"/>
        </w:rPr>
        <w:t>-1</w:t>
      </w:r>
      <w:r w:rsidR="00083757" w:rsidRPr="00083757">
        <w:rPr>
          <w:lang w:val="en-AU"/>
        </w:rPr>
        <w:t>8</w:t>
      </w:r>
      <w:r w:rsidRPr="00083757">
        <w:rPr>
          <w:lang w:val="en-AU"/>
        </w:rPr>
        <w:t>, at least</w:t>
      </w:r>
      <w:r w:rsidRPr="00206FB0">
        <w:rPr>
          <w:lang w:val="en-AU"/>
        </w:rPr>
        <w:t xml:space="preserve"> </w:t>
      </w:r>
      <w:r w:rsidR="00083757">
        <w:rPr>
          <w:lang w:val="en-AU"/>
        </w:rPr>
        <w:t>30</w:t>
      </w:r>
      <w:r w:rsidRPr="00206FB0">
        <w:rPr>
          <w:lang w:val="en-AU"/>
        </w:rPr>
        <w:t xml:space="preserve"> per cent of those aged ten and over who sought help from a specialist homelessness service in </w:t>
      </w:r>
      <w:r w:rsidR="00083757">
        <w:rPr>
          <w:lang w:val="en-AU"/>
        </w:rPr>
        <w:t>Australia</w:t>
      </w:r>
      <w:r w:rsidRPr="00206FB0">
        <w:rPr>
          <w:lang w:val="en-AU"/>
        </w:rPr>
        <w:t xml:space="preserve"> had a diagnosed mental health issue.</w:t>
      </w:r>
      <w:r w:rsidRPr="00206FB0">
        <w:rPr>
          <w:vertAlign w:val="superscript"/>
          <w:lang w:val="en-AU"/>
        </w:rPr>
        <w:footnoteReference w:id="6"/>
      </w:r>
      <w:r w:rsidRPr="00206FB0">
        <w:rPr>
          <w:lang w:val="en-AU"/>
        </w:rPr>
        <w:t xml:space="preserve"> This incidence is far higher than the 18.</w:t>
      </w:r>
      <w:r w:rsidR="001E1D1B">
        <w:rPr>
          <w:lang w:val="en-AU"/>
        </w:rPr>
        <w:t>2</w:t>
      </w:r>
      <w:r w:rsidRPr="00206FB0">
        <w:rPr>
          <w:lang w:val="en-AU"/>
        </w:rPr>
        <w:t xml:space="preserve"> per cent of </w:t>
      </w:r>
      <w:r w:rsidR="001E1D1B">
        <w:rPr>
          <w:lang w:val="en-AU"/>
        </w:rPr>
        <w:t>Australians</w:t>
      </w:r>
      <w:r w:rsidRPr="00206FB0">
        <w:rPr>
          <w:lang w:val="en-AU"/>
        </w:rPr>
        <w:t xml:space="preserve"> who have a mental health condition.</w:t>
      </w:r>
      <w:r w:rsidRPr="00206FB0">
        <w:rPr>
          <w:vertAlign w:val="superscript"/>
          <w:lang w:val="en-AU"/>
        </w:rPr>
        <w:footnoteReference w:id="7"/>
      </w:r>
      <w:r w:rsidRPr="00206FB0">
        <w:rPr>
          <w:lang w:val="en-AU"/>
        </w:rPr>
        <w:t xml:space="preserve"> </w:t>
      </w:r>
    </w:p>
    <w:p w14:paraId="3A07E589" w14:textId="77777777" w:rsidR="00206FB0" w:rsidRPr="00206FB0" w:rsidRDefault="00206FB0" w:rsidP="00206FB0">
      <w:pPr>
        <w:pStyle w:val="CHPText"/>
        <w:rPr>
          <w:lang w:val="en-AU"/>
        </w:rPr>
      </w:pPr>
    </w:p>
    <w:p w14:paraId="5BFD8AAA" w14:textId="77777777" w:rsidR="00206FB0" w:rsidRPr="00206FB0" w:rsidRDefault="00206FB0" w:rsidP="00206FB0">
      <w:pPr>
        <w:pStyle w:val="CHPText"/>
        <w:rPr>
          <w:lang w:val="en-AU"/>
        </w:rPr>
      </w:pPr>
      <w:r w:rsidRPr="00206FB0">
        <w:rPr>
          <w:lang w:val="en-AU"/>
        </w:rPr>
        <w:t xml:space="preserve">Research has also demonstrated that housing insecurity both causes and prolongs mental ill health, with a major </w:t>
      </w:r>
      <w:r w:rsidRPr="001E1D1B">
        <w:rPr>
          <w:lang w:val="en-AU"/>
        </w:rPr>
        <w:t>Victorian</w:t>
      </w:r>
      <w:r w:rsidRPr="00206FB0">
        <w:rPr>
          <w:lang w:val="en-AU"/>
        </w:rPr>
        <w:t xml:space="preserve"> study finding that just 15 per cent of people accessing specialist homelessness services had mental health issues </w:t>
      </w:r>
      <w:r w:rsidRPr="00206FB0">
        <w:rPr>
          <w:i/>
          <w:lang w:val="en-AU"/>
        </w:rPr>
        <w:t>prior</w:t>
      </w:r>
      <w:r w:rsidRPr="00206FB0">
        <w:rPr>
          <w:lang w:val="en-AU"/>
        </w:rPr>
        <w:t xml:space="preserve"> to experiencing homelessness, while another 16 per cent only developed mental ill-health </w:t>
      </w:r>
      <w:r w:rsidRPr="00206FB0">
        <w:rPr>
          <w:i/>
          <w:lang w:val="en-AU"/>
        </w:rPr>
        <w:t>after</w:t>
      </w:r>
      <w:r w:rsidRPr="00206FB0">
        <w:rPr>
          <w:lang w:val="en-AU"/>
        </w:rPr>
        <w:t xml:space="preserve"> their experience of homelessness commenced.</w:t>
      </w:r>
      <w:r w:rsidRPr="00206FB0">
        <w:rPr>
          <w:vertAlign w:val="superscript"/>
          <w:lang w:val="en-AU"/>
        </w:rPr>
        <w:footnoteReference w:id="8"/>
      </w:r>
    </w:p>
    <w:p w14:paraId="422BEDE0" w14:textId="77777777" w:rsidR="00206FB0" w:rsidRPr="00C36DEC" w:rsidRDefault="00206FB0" w:rsidP="00C36DEC">
      <w:pPr>
        <w:pStyle w:val="CHPText"/>
        <w:rPr>
          <w:lang w:val="en-AU"/>
        </w:rPr>
      </w:pPr>
    </w:p>
    <w:p w14:paraId="125542AA" w14:textId="02C4BFD2" w:rsidR="00C36DEC" w:rsidRDefault="00C36DEC" w:rsidP="00C36DEC">
      <w:pPr>
        <w:pStyle w:val="CHPText"/>
        <w:rPr>
          <w:lang w:val="en-AU"/>
        </w:rPr>
      </w:pPr>
      <w:r w:rsidRPr="00C36DEC">
        <w:rPr>
          <w:lang w:val="en-AU"/>
        </w:rPr>
        <w:t xml:space="preserve">Lack of suitable housing options is also directly </w:t>
      </w:r>
      <w:r w:rsidR="00FC2198">
        <w:rPr>
          <w:lang w:val="en-AU"/>
        </w:rPr>
        <w:t>exacerbating demand pressure on</w:t>
      </w:r>
      <w:r w:rsidRPr="00C36DEC">
        <w:rPr>
          <w:lang w:val="en-AU"/>
        </w:rPr>
        <w:t xml:space="preserve"> acute mental health services. Acute mental health services report that approximately 25 per cent of patients are homeless prior to admission, and most are discharged back into homelessness because of a lack of suitable accommodation options.</w:t>
      </w:r>
      <w:r w:rsidRPr="00C36DEC">
        <w:rPr>
          <w:vertAlign w:val="superscript"/>
          <w:lang w:val="en-AU"/>
        </w:rPr>
        <w:footnoteReference w:id="9"/>
      </w:r>
      <w:r w:rsidRPr="00C36DEC">
        <w:rPr>
          <w:lang w:val="en-AU"/>
        </w:rPr>
        <w:t xml:space="preserve"> The number of </w:t>
      </w:r>
      <w:r w:rsidR="00332917">
        <w:rPr>
          <w:lang w:val="en-AU"/>
        </w:rPr>
        <w:t>Australians</w:t>
      </w:r>
      <w:r w:rsidRPr="00C36DEC">
        <w:rPr>
          <w:lang w:val="en-AU"/>
        </w:rPr>
        <w:t xml:space="preserve"> who have been discharged from psychiatric hospitals into homelessness has grown by </w:t>
      </w:r>
      <w:r w:rsidR="00332917">
        <w:rPr>
          <w:lang w:val="en-AU"/>
        </w:rPr>
        <w:t>49</w:t>
      </w:r>
      <w:r w:rsidRPr="00C36DEC">
        <w:rPr>
          <w:lang w:val="en-AU"/>
        </w:rPr>
        <w:t> per cent over the past five years.</w:t>
      </w:r>
      <w:r w:rsidRPr="00C36DEC">
        <w:rPr>
          <w:vertAlign w:val="superscript"/>
          <w:lang w:val="en-AU"/>
        </w:rPr>
        <w:footnoteReference w:id="10"/>
      </w:r>
      <w:r w:rsidRPr="00C36DEC">
        <w:rPr>
          <w:lang w:val="en-AU"/>
        </w:rPr>
        <w:t xml:space="preserve"> </w:t>
      </w:r>
      <w:r w:rsidRPr="00313ADA">
        <w:rPr>
          <w:lang w:val="en-AU"/>
        </w:rPr>
        <w:t>Overall, the number of people referred to homelessness services from mental</w:t>
      </w:r>
      <w:r w:rsidR="00313ADA" w:rsidRPr="00313ADA">
        <w:rPr>
          <w:lang w:val="en-AU"/>
        </w:rPr>
        <w:t xml:space="preserve"> health services has grown by 46</w:t>
      </w:r>
      <w:r w:rsidRPr="00313ADA">
        <w:rPr>
          <w:lang w:val="en-AU"/>
        </w:rPr>
        <w:t xml:space="preserve"> per cent over the past five years.</w:t>
      </w:r>
      <w:r w:rsidRPr="00313ADA">
        <w:rPr>
          <w:vertAlign w:val="superscript"/>
          <w:lang w:val="en-AU"/>
        </w:rPr>
        <w:footnoteReference w:id="11"/>
      </w:r>
    </w:p>
    <w:p w14:paraId="50FF8134" w14:textId="390035D1" w:rsidR="00780A37" w:rsidRDefault="00780A37" w:rsidP="00C36DEC">
      <w:pPr>
        <w:pStyle w:val="CHPText"/>
        <w:rPr>
          <w:lang w:val="en-AU"/>
        </w:rPr>
      </w:pPr>
    </w:p>
    <w:p w14:paraId="7CA48834" w14:textId="60A7F532" w:rsidR="00780A37" w:rsidRPr="00912EDB" w:rsidRDefault="00780A37" w:rsidP="00780A37">
      <w:pPr>
        <w:pStyle w:val="CHPText"/>
        <w:jc w:val="center"/>
        <w:rPr>
          <w:i/>
          <w:color w:val="929F2D" w:themeColor="accent1"/>
          <w:szCs w:val="22"/>
          <w:lang w:val="en-AU"/>
        </w:rPr>
      </w:pPr>
      <w:r>
        <w:rPr>
          <w:i/>
          <w:color w:val="929F2D" w:themeColor="accent1"/>
          <w:szCs w:val="22"/>
          <w:lang w:val="en-AU"/>
        </w:rPr>
        <w:t>‘</w:t>
      </w:r>
      <w:r w:rsidRPr="00780A37">
        <w:rPr>
          <w:i/>
          <w:color w:val="929F2D" w:themeColor="accent1"/>
          <w:szCs w:val="22"/>
          <w:lang w:val="en-AU"/>
        </w:rPr>
        <w:t>Instead</w:t>
      </w:r>
      <w:r>
        <w:rPr>
          <w:i/>
          <w:color w:val="929F2D" w:themeColor="accent1"/>
          <w:szCs w:val="22"/>
          <w:lang w:val="en-AU"/>
        </w:rPr>
        <w:t xml:space="preserve"> of p</w:t>
      </w:r>
      <w:r w:rsidRPr="00780A37">
        <w:rPr>
          <w:i/>
          <w:color w:val="929F2D" w:themeColor="accent1"/>
          <w:szCs w:val="22"/>
          <w:lang w:val="en-AU"/>
        </w:rPr>
        <w:t>utting people back on the street like they</w:t>
      </w:r>
      <w:r>
        <w:rPr>
          <w:i/>
          <w:color w:val="929F2D" w:themeColor="accent1"/>
          <w:szCs w:val="22"/>
          <w:lang w:val="en-AU"/>
        </w:rPr>
        <w:t>’v</w:t>
      </w:r>
      <w:r w:rsidRPr="00780A37">
        <w:rPr>
          <w:i/>
          <w:color w:val="929F2D" w:themeColor="accent1"/>
          <w:szCs w:val="22"/>
          <w:lang w:val="en-AU"/>
        </w:rPr>
        <w:t>e been doing, they need housing set up so that they can put them in housing. Because that is whe</w:t>
      </w:r>
      <w:r w:rsidR="006458D7">
        <w:rPr>
          <w:i/>
          <w:color w:val="929F2D" w:themeColor="accent1"/>
          <w:szCs w:val="22"/>
          <w:lang w:val="en-AU"/>
        </w:rPr>
        <w:t xml:space="preserve">re the </w:t>
      </w:r>
      <w:r w:rsidRPr="00780A37">
        <w:rPr>
          <w:i/>
          <w:color w:val="929F2D" w:themeColor="accent1"/>
          <w:szCs w:val="22"/>
          <w:lang w:val="en-AU"/>
        </w:rPr>
        <w:t>m</w:t>
      </w:r>
      <w:r w:rsidR="006458D7">
        <w:rPr>
          <w:i/>
          <w:color w:val="929F2D" w:themeColor="accent1"/>
          <w:szCs w:val="22"/>
          <w:lang w:val="en-AU"/>
        </w:rPr>
        <w:t>a</w:t>
      </w:r>
      <w:r w:rsidRPr="00780A37">
        <w:rPr>
          <w:i/>
          <w:color w:val="929F2D" w:themeColor="accent1"/>
          <w:szCs w:val="22"/>
          <w:lang w:val="en-AU"/>
        </w:rPr>
        <w:t>in problem starts</w:t>
      </w:r>
      <w:r w:rsidR="006458D7">
        <w:rPr>
          <w:i/>
          <w:color w:val="929F2D" w:themeColor="accent1"/>
          <w:szCs w:val="22"/>
          <w:lang w:val="en-AU"/>
        </w:rPr>
        <w:t>;</w:t>
      </w:r>
      <w:r w:rsidRPr="00780A37">
        <w:rPr>
          <w:i/>
          <w:color w:val="929F2D" w:themeColor="accent1"/>
          <w:szCs w:val="22"/>
          <w:lang w:val="en-AU"/>
        </w:rPr>
        <w:t xml:space="preserve"> on the streets.</w:t>
      </w:r>
      <w:r>
        <w:rPr>
          <w:i/>
          <w:color w:val="929F2D" w:themeColor="accent1"/>
          <w:szCs w:val="22"/>
        </w:rPr>
        <w:t>’</w:t>
      </w:r>
    </w:p>
    <w:p w14:paraId="4F0A1D37" w14:textId="31730529" w:rsidR="00780A37" w:rsidRPr="003F2CF9" w:rsidRDefault="00780A37" w:rsidP="00780A37">
      <w:pPr>
        <w:pStyle w:val="CHPText"/>
        <w:numPr>
          <w:ilvl w:val="0"/>
          <w:numId w:val="33"/>
        </w:numPr>
        <w:jc w:val="right"/>
        <w:rPr>
          <w:color w:val="929F2D" w:themeColor="accent1"/>
          <w:szCs w:val="22"/>
          <w:lang w:val="en-AU"/>
        </w:rPr>
      </w:pPr>
      <w:r>
        <w:rPr>
          <w:color w:val="929F2D" w:themeColor="accent1"/>
          <w:szCs w:val="22"/>
          <w:lang w:val="en-AU"/>
        </w:rPr>
        <w:t>John Kenney, Consumer / Advocate</w:t>
      </w:r>
    </w:p>
    <w:p w14:paraId="581D6725" w14:textId="20CF6FCA" w:rsidR="00780A37" w:rsidRDefault="00780A37" w:rsidP="00C36DEC">
      <w:pPr>
        <w:pStyle w:val="CHPText"/>
        <w:rPr>
          <w:lang w:val="en-AU"/>
        </w:rPr>
      </w:pPr>
    </w:p>
    <w:p w14:paraId="3A12FA87" w14:textId="1217F735" w:rsidR="00C36DEC" w:rsidRPr="00C36DEC" w:rsidRDefault="000F6919" w:rsidP="00C36DEC">
      <w:pPr>
        <w:pStyle w:val="CHPText"/>
        <w:rPr>
          <w:lang w:val="en-AU"/>
        </w:rPr>
      </w:pPr>
      <w:r>
        <w:rPr>
          <w:lang w:val="en-AU"/>
        </w:rPr>
        <w:lastRenderedPageBreak/>
        <w:t>T</w:t>
      </w:r>
      <w:r w:rsidR="00C36DEC" w:rsidRPr="00C36DEC">
        <w:rPr>
          <w:lang w:val="en-AU"/>
        </w:rPr>
        <w:t>he NSW Ombudsman found that a lack of appropriate accommodation options was a key factor preventing the discharge of mental health patients when ready. This led to both reduced availability of inpatient services for those who needed them, and to mental health staff referring inpatients to inappropriate housing options to promote earlier exits.</w:t>
      </w:r>
      <w:r w:rsidR="00C36DEC" w:rsidRPr="00C36DEC">
        <w:rPr>
          <w:vertAlign w:val="superscript"/>
          <w:lang w:val="en-AU"/>
        </w:rPr>
        <w:footnoteReference w:id="12"/>
      </w:r>
    </w:p>
    <w:p w14:paraId="1159C54B" w14:textId="79FC265F" w:rsidR="00370C11" w:rsidRDefault="00370C11" w:rsidP="00617F65">
      <w:pPr>
        <w:pStyle w:val="CHPText"/>
        <w:rPr>
          <w:lang w:val="en-AU"/>
        </w:rPr>
      </w:pPr>
    </w:p>
    <w:p w14:paraId="7AF51D37" w14:textId="28B9C65D" w:rsidR="0000149B" w:rsidRDefault="0000149B" w:rsidP="0000149B">
      <w:pPr>
        <w:rPr>
          <w:rFonts w:ascii="Calibri" w:hAnsi="Calibri"/>
          <w:sz w:val="22"/>
          <w:szCs w:val="22"/>
          <w:lang w:val="en-AU"/>
        </w:rPr>
      </w:pPr>
    </w:p>
    <w:p w14:paraId="286EAF5B" w14:textId="4CD5207C" w:rsidR="00586A75" w:rsidRPr="00586A75" w:rsidRDefault="004546FB" w:rsidP="00586A75">
      <w:pPr>
        <w:pStyle w:val="Heading2"/>
        <w:rPr>
          <w:lang w:val="en-AU"/>
        </w:rPr>
      </w:pPr>
      <w:bookmarkStart w:id="8" w:name="_Toc5287486"/>
      <w:r>
        <w:rPr>
          <w:lang w:val="en-AU"/>
        </w:rPr>
        <w:t>P</w:t>
      </w:r>
      <w:r w:rsidR="00DD1CD7">
        <w:rPr>
          <w:lang w:val="en-AU"/>
        </w:rPr>
        <w:t>revent</w:t>
      </w:r>
      <w:r w:rsidR="00352FF4">
        <w:rPr>
          <w:lang w:val="en-AU"/>
        </w:rPr>
        <w:t>ing</w:t>
      </w:r>
      <w:r w:rsidR="00DD1CD7">
        <w:rPr>
          <w:lang w:val="en-AU"/>
        </w:rPr>
        <w:t xml:space="preserve"> and respond</w:t>
      </w:r>
      <w:r w:rsidR="00352FF4">
        <w:rPr>
          <w:lang w:val="en-AU"/>
        </w:rPr>
        <w:t>ing</w:t>
      </w:r>
      <w:r w:rsidR="00DD1CD7">
        <w:rPr>
          <w:lang w:val="en-AU"/>
        </w:rPr>
        <w:t xml:space="preserve"> to homelessness and accommodation instability</w:t>
      </w:r>
      <w:bookmarkEnd w:id="8"/>
    </w:p>
    <w:p w14:paraId="26E0EEEE" w14:textId="77777777" w:rsidR="00553FBC" w:rsidRDefault="00553FBC" w:rsidP="00DD1CD7">
      <w:pPr>
        <w:jc w:val="center"/>
        <w:rPr>
          <w:rFonts w:ascii="Calibri" w:hAnsi="Calibri"/>
          <w:i/>
          <w:color w:val="6A83A9"/>
          <w:sz w:val="22"/>
          <w:szCs w:val="22"/>
          <w:lang w:val="en-AU"/>
        </w:rPr>
      </w:pPr>
    </w:p>
    <w:p w14:paraId="43B10B54" w14:textId="2E2A468A" w:rsidR="00DD1CD7" w:rsidRPr="00061F67" w:rsidRDefault="00DD1CD7" w:rsidP="00DD1CD7">
      <w:pPr>
        <w:jc w:val="center"/>
        <w:rPr>
          <w:rFonts w:ascii="Calibri" w:hAnsi="Calibri"/>
          <w:i/>
          <w:color w:val="6A83A9"/>
          <w:sz w:val="22"/>
          <w:szCs w:val="22"/>
          <w:lang w:val="en-AU"/>
        </w:rPr>
      </w:pPr>
      <w:r>
        <w:rPr>
          <w:rFonts w:ascii="Calibri" w:hAnsi="Calibri"/>
          <w:i/>
          <w:color w:val="6A83A9"/>
          <w:sz w:val="22"/>
          <w:szCs w:val="22"/>
          <w:lang w:val="en-AU"/>
        </w:rPr>
        <w:t>‘</w:t>
      </w:r>
      <w:r w:rsidR="00F82562">
        <w:rPr>
          <w:rFonts w:ascii="Calibri" w:hAnsi="Calibri"/>
          <w:i/>
          <w:color w:val="6A83A9"/>
          <w:sz w:val="22"/>
          <w:szCs w:val="22"/>
          <w:lang w:val="en-AU"/>
        </w:rPr>
        <w:t>Housing means that people wouldn’t be in and out of hospital’</w:t>
      </w:r>
    </w:p>
    <w:p w14:paraId="6C2796FB" w14:textId="32D60FAD" w:rsidR="005A63B8" w:rsidRPr="004546FB" w:rsidRDefault="00F82562" w:rsidP="000D3A2B">
      <w:pPr>
        <w:pStyle w:val="ListParagraph"/>
        <w:numPr>
          <w:ilvl w:val="0"/>
          <w:numId w:val="32"/>
        </w:numPr>
        <w:jc w:val="right"/>
        <w:rPr>
          <w:rFonts w:ascii="Calibri" w:hAnsi="Calibri"/>
        </w:rPr>
      </w:pPr>
      <w:r>
        <w:rPr>
          <w:color w:val="6A83A9"/>
        </w:rPr>
        <w:t>Helen Matthews</w:t>
      </w:r>
      <w:r w:rsidR="00DD1CD7" w:rsidRPr="00061F67">
        <w:rPr>
          <w:color w:val="6A83A9"/>
        </w:rPr>
        <w:t>, Consumer / Advocate</w:t>
      </w:r>
    </w:p>
    <w:p w14:paraId="75B8850A" w14:textId="31A239DC" w:rsidR="00592C9C" w:rsidRPr="00592C9C" w:rsidRDefault="001C7029" w:rsidP="00592C9C">
      <w:pPr>
        <w:rPr>
          <w:rFonts w:ascii="Calibri" w:hAnsi="Calibri"/>
          <w:sz w:val="22"/>
          <w:szCs w:val="22"/>
          <w:lang w:val="en-AU"/>
        </w:rPr>
      </w:pPr>
      <w:r>
        <w:rPr>
          <w:rFonts w:ascii="Calibri" w:hAnsi="Calibri"/>
          <w:sz w:val="22"/>
          <w:szCs w:val="22"/>
          <w:lang w:val="en-AU"/>
        </w:rPr>
        <w:t xml:space="preserve">Prior to the 1980’s people being treated for mental </w:t>
      </w:r>
      <w:proofErr w:type="spellStart"/>
      <w:r>
        <w:rPr>
          <w:rFonts w:ascii="Calibri" w:hAnsi="Calibri"/>
          <w:sz w:val="22"/>
          <w:szCs w:val="22"/>
          <w:lang w:val="en-AU"/>
        </w:rPr>
        <w:t>illhealth</w:t>
      </w:r>
      <w:proofErr w:type="spellEnd"/>
      <w:r>
        <w:rPr>
          <w:rFonts w:ascii="Calibri" w:hAnsi="Calibri"/>
          <w:sz w:val="22"/>
          <w:szCs w:val="22"/>
          <w:lang w:val="en-AU"/>
        </w:rPr>
        <w:t xml:space="preserve"> were effectively </w:t>
      </w:r>
      <w:r w:rsidR="00592C9C">
        <w:rPr>
          <w:rFonts w:ascii="Calibri" w:hAnsi="Calibri"/>
          <w:sz w:val="22"/>
          <w:szCs w:val="22"/>
          <w:lang w:val="en-AU"/>
        </w:rPr>
        <w:t>‘</w:t>
      </w:r>
      <w:r>
        <w:rPr>
          <w:rFonts w:ascii="Calibri" w:hAnsi="Calibri"/>
          <w:sz w:val="22"/>
          <w:szCs w:val="22"/>
          <w:lang w:val="en-AU"/>
        </w:rPr>
        <w:t>housed</w:t>
      </w:r>
      <w:r w:rsidR="00592C9C">
        <w:rPr>
          <w:rFonts w:ascii="Calibri" w:hAnsi="Calibri"/>
          <w:sz w:val="22"/>
          <w:szCs w:val="22"/>
          <w:lang w:val="en-AU"/>
        </w:rPr>
        <w:t>’</w:t>
      </w:r>
      <w:r>
        <w:rPr>
          <w:rFonts w:ascii="Calibri" w:hAnsi="Calibri"/>
          <w:sz w:val="22"/>
          <w:szCs w:val="22"/>
          <w:lang w:val="en-AU"/>
        </w:rPr>
        <w:t xml:space="preserve"> in large congregate public mental healthcare facilities, now commonly referred to as ‘institutions’.</w:t>
      </w:r>
      <w:r w:rsidR="004D6B0B">
        <w:rPr>
          <w:rFonts w:ascii="Calibri" w:hAnsi="Calibri"/>
          <w:sz w:val="22"/>
          <w:szCs w:val="22"/>
          <w:lang w:val="en-AU"/>
        </w:rPr>
        <w:t xml:space="preserve"> Housing was, in effect, provided as part of mental health treatment. These</w:t>
      </w:r>
      <w:r>
        <w:rPr>
          <w:rFonts w:ascii="Calibri" w:hAnsi="Calibri"/>
          <w:sz w:val="22"/>
          <w:szCs w:val="22"/>
          <w:lang w:val="en-AU"/>
        </w:rPr>
        <w:t xml:space="preserve"> </w:t>
      </w:r>
      <w:r w:rsidR="004D6B0B" w:rsidRPr="001C7029">
        <w:rPr>
          <w:rFonts w:ascii="Calibri" w:hAnsi="Calibri"/>
          <w:sz w:val="22"/>
          <w:szCs w:val="22"/>
        </w:rPr>
        <w:t>institutions</w:t>
      </w:r>
      <w:r w:rsidRPr="001C7029">
        <w:rPr>
          <w:rFonts w:ascii="Calibri" w:hAnsi="Calibri"/>
          <w:sz w:val="22"/>
          <w:szCs w:val="22"/>
        </w:rPr>
        <w:t xml:space="preserve"> have been </w:t>
      </w:r>
      <w:proofErr w:type="spellStart"/>
      <w:r w:rsidRPr="001C7029">
        <w:rPr>
          <w:rFonts w:ascii="Calibri" w:hAnsi="Calibri"/>
          <w:sz w:val="22"/>
          <w:szCs w:val="22"/>
        </w:rPr>
        <w:t>characterised</w:t>
      </w:r>
      <w:proofErr w:type="spellEnd"/>
      <w:r w:rsidRPr="001C7029">
        <w:rPr>
          <w:rFonts w:ascii="Calibri" w:hAnsi="Calibri"/>
          <w:sz w:val="22"/>
          <w:szCs w:val="22"/>
        </w:rPr>
        <w:t xml:space="preserve"> as “an unhealthy mixture of substandard care and human rights abuses”.</w:t>
      </w:r>
      <w:r w:rsidRPr="001C7029">
        <w:rPr>
          <w:rFonts w:ascii="Calibri" w:hAnsi="Calibri"/>
          <w:sz w:val="22"/>
          <w:szCs w:val="22"/>
          <w:vertAlign w:val="superscript"/>
        </w:rPr>
        <w:footnoteReference w:id="13"/>
      </w:r>
      <w:r w:rsidR="00592C9C">
        <w:rPr>
          <w:rFonts w:ascii="Calibri" w:hAnsi="Calibri"/>
          <w:sz w:val="22"/>
          <w:szCs w:val="22"/>
        </w:rPr>
        <w:t xml:space="preserve"> </w:t>
      </w:r>
      <w:r w:rsidR="00592C9C" w:rsidRPr="00592C9C">
        <w:rPr>
          <w:rFonts w:ascii="Calibri" w:hAnsi="Calibri"/>
          <w:sz w:val="22"/>
          <w:szCs w:val="22"/>
          <w:lang w:val="en-AU"/>
        </w:rPr>
        <w:t>Changing psychiatric practice and improved psychoactive medications enabled the closure of these facilities from the 1980’s and into the 2000’s (‘deinstitutionalisation’).</w:t>
      </w:r>
    </w:p>
    <w:p w14:paraId="080A6C92" w14:textId="35937147" w:rsidR="005A63B8" w:rsidRDefault="005A63B8" w:rsidP="001C7029">
      <w:pPr>
        <w:rPr>
          <w:rFonts w:ascii="Calibri" w:hAnsi="Calibri"/>
          <w:sz w:val="22"/>
          <w:szCs w:val="22"/>
          <w:lang w:val="en-AU"/>
        </w:rPr>
      </w:pPr>
    </w:p>
    <w:p w14:paraId="22E8A532" w14:textId="6C09DCB3" w:rsidR="00592C9C" w:rsidRPr="00592C9C" w:rsidRDefault="00592C9C" w:rsidP="00592C9C">
      <w:pPr>
        <w:rPr>
          <w:rFonts w:ascii="Calibri" w:hAnsi="Calibri"/>
          <w:sz w:val="22"/>
          <w:szCs w:val="22"/>
          <w:lang w:val="en-AU"/>
        </w:rPr>
      </w:pPr>
      <w:r w:rsidRPr="00592C9C">
        <w:rPr>
          <w:rFonts w:ascii="Calibri" w:hAnsi="Calibri"/>
          <w:sz w:val="22"/>
          <w:szCs w:val="22"/>
          <w:lang w:val="en-AU"/>
        </w:rPr>
        <w:t>In theory, mental health treatment now operates under principles seeking to strengthen rather than restrict a patient’s full participation in the community.</w:t>
      </w:r>
      <w:r>
        <w:rPr>
          <w:rFonts w:ascii="Calibri" w:hAnsi="Calibri"/>
          <w:sz w:val="22"/>
          <w:szCs w:val="22"/>
          <w:lang w:val="en-AU"/>
        </w:rPr>
        <w:t xml:space="preserve"> </w:t>
      </w:r>
      <w:r w:rsidRPr="00592C9C">
        <w:rPr>
          <w:rFonts w:ascii="Calibri" w:hAnsi="Calibri"/>
          <w:sz w:val="22"/>
          <w:szCs w:val="22"/>
          <w:lang w:val="en-AU"/>
        </w:rPr>
        <w:t>While the impact of deinstitutionalisation has been positive for those with access to both housing and support in the community, the reality is that the provision of in-community and supported residential mental healthcare has never achieved the scale required by Victorians living with mental ill-health. Further to this, governments have failed to fully recognise and fund the housing options needed to complement in-community mental health care.</w:t>
      </w:r>
      <w:r w:rsidRPr="00592C9C">
        <w:rPr>
          <w:rFonts w:ascii="Calibri" w:hAnsi="Calibri"/>
          <w:sz w:val="22"/>
          <w:szCs w:val="22"/>
          <w:vertAlign w:val="superscript"/>
          <w:lang w:val="en-AU"/>
        </w:rPr>
        <w:footnoteReference w:id="14"/>
      </w:r>
    </w:p>
    <w:p w14:paraId="5CE8AAE8" w14:textId="76ACC155" w:rsidR="00193151" w:rsidRDefault="00193151" w:rsidP="001C7029">
      <w:pPr>
        <w:rPr>
          <w:rFonts w:ascii="Calibri" w:hAnsi="Calibri"/>
          <w:sz w:val="22"/>
          <w:szCs w:val="22"/>
          <w:lang w:val="en-AU"/>
        </w:rPr>
      </w:pPr>
    </w:p>
    <w:p w14:paraId="7018D05C" w14:textId="36E6EF61" w:rsidR="00592C9C" w:rsidRDefault="00642CFC" w:rsidP="001C7029">
      <w:pPr>
        <w:rPr>
          <w:rFonts w:ascii="Calibri" w:hAnsi="Calibri"/>
          <w:sz w:val="22"/>
          <w:szCs w:val="22"/>
          <w:lang w:val="en-AU"/>
        </w:rPr>
      </w:pPr>
      <w:r>
        <w:rPr>
          <w:rFonts w:ascii="Calibri" w:hAnsi="Calibri"/>
          <w:sz w:val="22"/>
          <w:szCs w:val="22"/>
          <w:lang w:val="en-AU"/>
        </w:rPr>
        <w:t xml:space="preserve">The consequence of this lack of funding is that many Australians have not benefitted from deinstitutionalisation, and instead fall through the cracks of a system that provides no guarantee that their needs </w:t>
      </w:r>
      <w:r w:rsidR="003D75B8">
        <w:rPr>
          <w:rFonts w:ascii="Calibri" w:hAnsi="Calibri"/>
          <w:sz w:val="22"/>
          <w:szCs w:val="22"/>
          <w:lang w:val="en-AU"/>
        </w:rPr>
        <w:t xml:space="preserve">will </w:t>
      </w:r>
      <w:r>
        <w:rPr>
          <w:rFonts w:ascii="Calibri" w:hAnsi="Calibri"/>
          <w:sz w:val="22"/>
          <w:szCs w:val="22"/>
          <w:lang w:val="en-AU"/>
        </w:rPr>
        <w:t>be met while living in-community, and no appropriate and affordable housing.</w:t>
      </w:r>
    </w:p>
    <w:p w14:paraId="7110B129" w14:textId="77777777" w:rsidR="00193151" w:rsidRDefault="00193151" w:rsidP="001C7029">
      <w:pPr>
        <w:rPr>
          <w:rFonts w:ascii="Calibri" w:hAnsi="Calibri"/>
          <w:sz w:val="22"/>
          <w:szCs w:val="22"/>
          <w:lang w:val="en-AU"/>
        </w:rPr>
      </w:pPr>
    </w:p>
    <w:p w14:paraId="335D51A4" w14:textId="2BCB5235" w:rsidR="00193151" w:rsidRPr="00912EDB" w:rsidRDefault="00193151" w:rsidP="00193151">
      <w:pPr>
        <w:pStyle w:val="CHPText"/>
        <w:jc w:val="center"/>
        <w:rPr>
          <w:i/>
          <w:color w:val="929F2D" w:themeColor="accent1"/>
          <w:szCs w:val="22"/>
          <w:lang w:val="en-AU"/>
        </w:rPr>
      </w:pPr>
      <w:r w:rsidRPr="0081707A">
        <w:rPr>
          <w:i/>
          <w:color w:val="929F2D" w:themeColor="accent1"/>
          <w:szCs w:val="22"/>
          <w:lang w:val="en-AU"/>
        </w:rPr>
        <w:t>‘</w:t>
      </w:r>
      <w:r w:rsidRPr="00193151">
        <w:rPr>
          <w:i/>
          <w:color w:val="929F2D" w:themeColor="accent1"/>
          <w:szCs w:val="22"/>
          <w:lang w:val="en-AU"/>
        </w:rPr>
        <w:t>At the moment</w:t>
      </w:r>
      <w:r>
        <w:rPr>
          <w:i/>
          <w:color w:val="929F2D" w:themeColor="accent1"/>
          <w:szCs w:val="22"/>
          <w:lang w:val="en-AU"/>
        </w:rPr>
        <w:t xml:space="preserve"> in</w:t>
      </w:r>
      <w:r w:rsidRPr="00193151">
        <w:rPr>
          <w:i/>
          <w:color w:val="929F2D" w:themeColor="accent1"/>
          <w:szCs w:val="22"/>
          <w:lang w:val="en-AU"/>
        </w:rPr>
        <w:t xml:space="preserve"> the mental health system, there </w:t>
      </w:r>
      <w:r>
        <w:rPr>
          <w:i/>
          <w:color w:val="929F2D" w:themeColor="accent1"/>
          <w:szCs w:val="22"/>
          <w:lang w:val="en-AU"/>
        </w:rPr>
        <w:t>are</w:t>
      </w:r>
      <w:r w:rsidRPr="00193151">
        <w:rPr>
          <w:i/>
          <w:color w:val="929F2D" w:themeColor="accent1"/>
          <w:szCs w:val="22"/>
          <w:lang w:val="en-AU"/>
        </w:rPr>
        <w:t xml:space="preserve"> two treatments; one for the poor, a</w:t>
      </w:r>
      <w:r>
        <w:rPr>
          <w:i/>
          <w:color w:val="929F2D" w:themeColor="accent1"/>
          <w:szCs w:val="22"/>
          <w:lang w:val="en-AU"/>
        </w:rPr>
        <w:t>nd one for the wealthy</w:t>
      </w:r>
      <w:r>
        <w:rPr>
          <w:i/>
          <w:color w:val="929F2D" w:themeColor="accent1"/>
          <w:szCs w:val="22"/>
        </w:rPr>
        <w:t>’</w:t>
      </w:r>
    </w:p>
    <w:p w14:paraId="1E11D3AD" w14:textId="3B247F4A" w:rsidR="00193151" w:rsidRPr="003F2CF9" w:rsidRDefault="00193151" w:rsidP="00193151">
      <w:pPr>
        <w:pStyle w:val="CHPText"/>
        <w:numPr>
          <w:ilvl w:val="0"/>
          <w:numId w:val="33"/>
        </w:numPr>
        <w:jc w:val="right"/>
        <w:rPr>
          <w:color w:val="929F2D" w:themeColor="accent1"/>
          <w:szCs w:val="22"/>
          <w:lang w:val="en-AU"/>
        </w:rPr>
      </w:pPr>
      <w:r>
        <w:rPr>
          <w:color w:val="929F2D" w:themeColor="accent1"/>
          <w:szCs w:val="22"/>
          <w:lang w:val="en-AU"/>
        </w:rPr>
        <w:t>David Montgomery, Consumer / Advocate</w:t>
      </w:r>
    </w:p>
    <w:p w14:paraId="2D53DAF1" w14:textId="7D098738" w:rsidR="00CF7541" w:rsidRDefault="00CF7541" w:rsidP="001C7029">
      <w:pPr>
        <w:rPr>
          <w:rFonts w:ascii="Calibri" w:hAnsi="Calibri"/>
          <w:sz w:val="22"/>
          <w:szCs w:val="22"/>
          <w:lang w:val="en-AU"/>
        </w:rPr>
      </w:pPr>
    </w:p>
    <w:p w14:paraId="3B053193" w14:textId="126DC19E" w:rsidR="001231B9" w:rsidRDefault="008F156B" w:rsidP="00FF6740">
      <w:pPr>
        <w:rPr>
          <w:rFonts w:ascii="Calibri" w:hAnsi="Calibri"/>
          <w:sz w:val="22"/>
          <w:szCs w:val="22"/>
          <w:lang w:val="en-AU"/>
        </w:rPr>
      </w:pPr>
      <w:r>
        <w:rPr>
          <w:rFonts w:ascii="Calibri" w:hAnsi="Calibri"/>
          <w:sz w:val="22"/>
          <w:szCs w:val="22"/>
          <w:lang w:val="en-AU"/>
        </w:rPr>
        <w:lastRenderedPageBreak/>
        <w:t>The Productivity Commission’s issues paper asks “what approaches can governments at all levels and non-government organisations adopt to improve support for people experiencing mental illness to prevent and respond to homelessness and accommodation instability?</w:t>
      </w:r>
      <w:proofErr w:type="gramStart"/>
      <w:r>
        <w:rPr>
          <w:rFonts w:ascii="Calibri" w:hAnsi="Calibri"/>
          <w:sz w:val="22"/>
          <w:szCs w:val="22"/>
          <w:lang w:val="en-AU"/>
        </w:rPr>
        <w:t>”</w:t>
      </w:r>
      <w:r w:rsidR="007E40C2">
        <w:rPr>
          <w:rFonts w:ascii="Calibri" w:hAnsi="Calibri"/>
          <w:sz w:val="22"/>
          <w:szCs w:val="22"/>
          <w:lang w:val="en-AU"/>
        </w:rPr>
        <w:t>.</w:t>
      </w:r>
      <w:proofErr w:type="gramEnd"/>
      <w:r w:rsidR="007E40C2">
        <w:rPr>
          <w:rFonts w:ascii="Calibri" w:hAnsi="Calibri"/>
          <w:sz w:val="22"/>
          <w:szCs w:val="22"/>
          <w:lang w:val="en-AU"/>
        </w:rPr>
        <w:t xml:space="preserve"> </w:t>
      </w:r>
      <w:r w:rsidR="00A96893">
        <w:rPr>
          <w:rFonts w:ascii="Calibri" w:hAnsi="Calibri"/>
          <w:sz w:val="22"/>
          <w:szCs w:val="22"/>
          <w:lang w:val="en-AU"/>
        </w:rPr>
        <w:t>The first priority is to ensure that there are housing options that people can afford. This would require significant investment in public and community housing.</w:t>
      </w:r>
    </w:p>
    <w:p w14:paraId="2280EF83" w14:textId="77777777" w:rsidR="001231B9" w:rsidRDefault="001231B9" w:rsidP="00FF6740">
      <w:pPr>
        <w:rPr>
          <w:rFonts w:ascii="Calibri" w:hAnsi="Calibri"/>
          <w:sz w:val="22"/>
          <w:szCs w:val="22"/>
          <w:lang w:val="en-AU"/>
        </w:rPr>
      </w:pPr>
    </w:p>
    <w:p w14:paraId="4A9473B1" w14:textId="67F858CF" w:rsidR="00C77F2F" w:rsidRDefault="00C77F2F" w:rsidP="00FF6740">
      <w:pPr>
        <w:rPr>
          <w:rFonts w:ascii="Calibri" w:hAnsi="Calibri"/>
          <w:sz w:val="22"/>
          <w:szCs w:val="22"/>
          <w:lang w:val="en-AU"/>
        </w:rPr>
      </w:pPr>
      <w:r>
        <w:rPr>
          <w:rFonts w:ascii="Calibri" w:hAnsi="Calibri"/>
          <w:sz w:val="22"/>
          <w:szCs w:val="22"/>
          <w:lang w:val="en-AU"/>
        </w:rPr>
        <w:t>For the small number of people with complex needs this may mea</w:t>
      </w:r>
      <w:r w:rsidR="003D75B8">
        <w:rPr>
          <w:rFonts w:ascii="Calibri" w:hAnsi="Calibri"/>
          <w:sz w:val="22"/>
          <w:szCs w:val="22"/>
          <w:lang w:val="en-AU"/>
        </w:rPr>
        <w:t>n supported housing with onsite</w:t>
      </w:r>
      <w:r>
        <w:rPr>
          <w:rFonts w:ascii="Calibri" w:hAnsi="Calibri"/>
          <w:sz w:val="22"/>
          <w:szCs w:val="22"/>
          <w:lang w:val="en-AU"/>
        </w:rPr>
        <w:t xml:space="preserve"> support. Many others will require</w:t>
      </w:r>
      <w:r w:rsidR="008072A8">
        <w:rPr>
          <w:rFonts w:ascii="Calibri" w:hAnsi="Calibri"/>
          <w:sz w:val="22"/>
          <w:szCs w:val="22"/>
          <w:lang w:val="en-AU"/>
        </w:rPr>
        <w:t xml:space="preserve"> the improved security of tenure that we typically associate with public housing, in order to allow them to recover from an episode of mental ill</w:t>
      </w:r>
      <w:r w:rsidR="00D25EA0">
        <w:rPr>
          <w:rFonts w:ascii="Calibri" w:hAnsi="Calibri"/>
          <w:sz w:val="22"/>
          <w:szCs w:val="22"/>
          <w:lang w:val="en-AU"/>
        </w:rPr>
        <w:t>-</w:t>
      </w:r>
      <w:r w:rsidR="008072A8">
        <w:rPr>
          <w:rFonts w:ascii="Calibri" w:hAnsi="Calibri"/>
          <w:sz w:val="22"/>
          <w:szCs w:val="22"/>
          <w:lang w:val="en-AU"/>
        </w:rPr>
        <w:t xml:space="preserve">health and remedy any </w:t>
      </w:r>
      <w:r w:rsidR="00D0798D">
        <w:rPr>
          <w:rFonts w:ascii="Calibri" w:hAnsi="Calibri"/>
          <w:sz w:val="22"/>
          <w:szCs w:val="22"/>
          <w:lang w:val="en-AU"/>
        </w:rPr>
        <w:t>tenancy issue</w:t>
      </w:r>
      <w:r w:rsidR="008072A8">
        <w:rPr>
          <w:rFonts w:ascii="Calibri" w:hAnsi="Calibri"/>
          <w:sz w:val="22"/>
          <w:szCs w:val="22"/>
          <w:lang w:val="en-AU"/>
        </w:rPr>
        <w:t xml:space="preserve">s </w:t>
      </w:r>
      <w:r w:rsidR="00D0798D">
        <w:rPr>
          <w:rFonts w:ascii="Calibri" w:hAnsi="Calibri"/>
          <w:sz w:val="22"/>
          <w:szCs w:val="22"/>
          <w:lang w:val="en-AU"/>
        </w:rPr>
        <w:t>associated with such an episode.</w:t>
      </w:r>
      <w:r w:rsidR="00864271">
        <w:rPr>
          <w:rFonts w:ascii="Calibri" w:hAnsi="Calibri"/>
          <w:sz w:val="22"/>
          <w:szCs w:val="22"/>
          <w:lang w:val="en-AU"/>
        </w:rPr>
        <w:t xml:space="preserve"> </w:t>
      </w:r>
      <w:r w:rsidR="00864271" w:rsidRPr="00DB518E">
        <w:rPr>
          <w:rFonts w:ascii="Calibri" w:hAnsi="Calibri"/>
          <w:sz w:val="22"/>
          <w:szCs w:val="22"/>
          <w:lang w:val="en-AU"/>
        </w:rPr>
        <w:t xml:space="preserve">For yet others, those whose mild or risk mental </w:t>
      </w:r>
      <w:r w:rsidR="00DB518E" w:rsidRPr="00DB518E">
        <w:rPr>
          <w:rFonts w:ascii="Calibri" w:hAnsi="Calibri"/>
          <w:sz w:val="22"/>
          <w:szCs w:val="22"/>
          <w:lang w:val="en-AU"/>
        </w:rPr>
        <w:t>ill-health</w:t>
      </w:r>
      <w:r w:rsidR="00864271" w:rsidRPr="00DB518E">
        <w:rPr>
          <w:rFonts w:ascii="Calibri" w:hAnsi="Calibri"/>
          <w:sz w:val="22"/>
          <w:szCs w:val="22"/>
          <w:lang w:val="en-AU"/>
        </w:rPr>
        <w:t xml:space="preserve"> would likely be meaningfully diminished by an experience of homelessness</w:t>
      </w:r>
      <w:r w:rsidR="0041034F" w:rsidRPr="00DB518E">
        <w:rPr>
          <w:rFonts w:ascii="Calibri" w:hAnsi="Calibri"/>
          <w:sz w:val="22"/>
          <w:szCs w:val="22"/>
          <w:lang w:val="en-AU"/>
        </w:rPr>
        <w:t xml:space="preserve"> safe and</w:t>
      </w:r>
      <w:r w:rsidR="00864271" w:rsidRPr="00DB518E">
        <w:rPr>
          <w:rFonts w:ascii="Calibri" w:hAnsi="Calibri"/>
          <w:sz w:val="22"/>
          <w:szCs w:val="22"/>
          <w:lang w:val="en-AU"/>
        </w:rPr>
        <w:t xml:space="preserve"> </w:t>
      </w:r>
      <w:r w:rsidR="00864271" w:rsidRPr="00DB518E">
        <w:rPr>
          <w:rFonts w:ascii="Calibri" w:hAnsi="Calibri"/>
          <w:i/>
          <w:sz w:val="22"/>
          <w:szCs w:val="22"/>
          <w:lang w:val="en-AU"/>
        </w:rPr>
        <w:t>appropriate</w:t>
      </w:r>
      <w:r w:rsidR="00864271" w:rsidRPr="00DB518E">
        <w:rPr>
          <w:rFonts w:ascii="Calibri" w:hAnsi="Calibri"/>
          <w:sz w:val="22"/>
          <w:szCs w:val="22"/>
          <w:lang w:val="en-AU"/>
        </w:rPr>
        <w:t xml:space="preserve"> affordable housing options, particularly for those on low incomes</w:t>
      </w:r>
      <w:r w:rsidR="00D0798D" w:rsidRPr="00DB518E">
        <w:rPr>
          <w:rFonts w:ascii="Calibri" w:hAnsi="Calibri"/>
          <w:sz w:val="22"/>
          <w:szCs w:val="22"/>
          <w:lang w:val="en-AU"/>
        </w:rPr>
        <w:t xml:space="preserve"> </w:t>
      </w:r>
      <w:r w:rsidR="0041034F" w:rsidRPr="00DB518E">
        <w:rPr>
          <w:rFonts w:ascii="Calibri" w:hAnsi="Calibri"/>
          <w:sz w:val="22"/>
          <w:szCs w:val="22"/>
          <w:lang w:val="en-AU"/>
        </w:rPr>
        <w:t>would likely be an effective population health measure.</w:t>
      </w:r>
    </w:p>
    <w:p w14:paraId="461FD7EE" w14:textId="6A0188E8" w:rsidR="003E1C20" w:rsidRDefault="003E1C20" w:rsidP="00FF6740">
      <w:pPr>
        <w:rPr>
          <w:rFonts w:ascii="Calibri" w:hAnsi="Calibri"/>
          <w:sz w:val="22"/>
          <w:szCs w:val="22"/>
          <w:lang w:val="en-AU"/>
        </w:rPr>
      </w:pPr>
    </w:p>
    <w:p w14:paraId="24B0B9B1" w14:textId="1CB5E562" w:rsidR="003E1C20" w:rsidRPr="00912EDB" w:rsidRDefault="003E1C20" w:rsidP="003E1C20">
      <w:pPr>
        <w:pStyle w:val="CHPText"/>
        <w:jc w:val="center"/>
        <w:rPr>
          <w:i/>
          <w:color w:val="929F2D" w:themeColor="accent1"/>
          <w:szCs w:val="22"/>
          <w:lang w:val="en-AU"/>
        </w:rPr>
      </w:pPr>
      <w:r w:rsidRPr="0081707A">
        <w:rPr>
          <w:i/>
          <w:color w:val="929F2D" w:themeColor="accent1"/>
          <w:szCs w:val="22"/>
          <w:lang w:val="en-AU"/>
        </w:rPr>
        <w:t xml:space="preserve">‘When I was living </w:t>
      </w:r>
      <w:r w:rsidR="0081707A">
        <w:rPr>
          <w:i/>
          <w:color w:val="929F2D" w:themeColor="accent1"/>
          <w:szCs w:val="22"/>
          <w:lang w:val="en-AU"/>
        </w:rPr>
        <w:t>in</w:t>
      </w:r>
      <w:r w:rsidRPr="0081707A">
        <w:rPr>
          <w:i/>
          <w:color w:val="929F2D" w:themeColor="accent1"/>
          <w:szCs w:val="22"/>
          <w:lang w:val="en-AU"/>
        </w:rPr>
        <w:t xml:space="preserve"> supported accommodation, it really helped me. Even though it was only for a year. Just the ki</w:t>
      </w:r>
      <w:r w:rsidR="0081707A">
        <w:rPr>
          <w:i/>
          <w:color w:val="929F2D" w:themeColor="accent1"/>
          <w:szCs w:val="22"/>
          <w:lang w:val="en-AU"/>
        </w:rPr>
        <w:t>n</w:t>
      </w:r>
      <w:r w:rsidRPr="0081707A">
        <w:rPr>
          <w:i/>
          <w:color w:val="929F2D" w:themeColor="accent1"/>
          <w:szCs w:val="22"/>
          <w:lang w:val="en-AU"/>
        </w:rPr>
        <w:t>dness of the people there really worked for me. They under</w:t>
      </w:r>
      <w:r w:rsidR="0081707A">
        <w:rPr>
          <w:i/>
          <w:color w:val="929F2D" w:themeColor="accent1"/>
          <w:szCs w:val="22"/>
          <w:lang w:val="en-AU"/>
        </w:rPr>
        <w:t>sto</w:t>
      </w:r>
      <w:r w:rsidRPr="0081707A">
        <w:rPr>
          <w:i/>
          <w:color w:val="929F2D" w:themeColor="accent1"/>
          <w:szCs w:val="22"/>
          <w:lang w:val="en-AU"/>
        </w:rPr>
        <w:t>od that I</w:t>
      </w:r>
      <w:r w:rsidR="0081707A">
        <w:rPr>
          <w:i/>
          <w:color w:val="929F2D" w:themeColor="accent1"/>
          <w:szCs w:val="22"/>
          <w:lang w:val="en-AU"/>
        </w:rPr>
        <w:t xml:space="preserve"> was probably quite traumatised</w:t>
      </w:r>
      <w:r w:rsidRPr="0081707A">
        <w:rPr>
          <w:i/>
          <w:color w:val="929F2D" w:themeColor="accent1"/>
          <w:szCs w:val="22"/>
          <w:lang w:val="en-AU"/>
        </w:rPr>
        <w:t>.</w:t>
      </w:r>
      <w:r>
        <w:rPr>
          <w:i/>
          <w:color w:val="929F2D" w:themeColor="accent1"/>
          <w:szCs w:val="22"/>
        </w:rPr>
        <w:t>’</w:t>
      </w:r>
    </w:p>
    <w:p w14:paraId="2AD084E2" w14:textId="15039AFF" w:rsidR="003E1C20" w:rsidRPr="003F2CF9" w:rsidRDefault="0081707A" w:rsidP="003E1C20">
      <w:pPr>
        <w:pStyle w:val="CHPText"/>
        <w:numPr>
          <w:ilvl w:val="0"/>
          <w:numId w:val="33"/>
        </w:numPr>
        <w:jc w:val="right"/>
        <w:rPr>
          <w:color w:val="929F2D" w:themeColor="accent1"/>
          <w:szCs w:val="22"/>
          <w:lang w:val="en-AU"/>
        </w:rPr>
      </w:pPr>
      <w:r>
        <w:rPr>
          <w:color w:val="929F2D" w:themeColor="accent1"/>
          <w:szCs w:val="22"/>
          <w:lang w:val="en-AU"/>
        </w:rPr>
        <w:t xml:space="preserve">Nigel </w:t>
      </w:r>
      <w:proofErr w:type="spellStart"/>
      <w:r>
        <w:rPr>
          <w:color w:val="929F2D" w:themeColor="accent1"/>
          <w:szCs w:val="22"/>
          <w:lang w:val="en-AU"/>
        </w:rPr>
        <w:t>Pernu</w:t>
      </w:r>
      <w:proofErr w:type="spellEnd"/>
      <w:r w:rsidR="003E1C20">
        <w:rPr>
          <w:color w:val="929F2D" w:themeColor="accent1"/>
          <w:szCs w:val="22"/>
          <w:lang w:val="en-AU"/>
        </w:rPr>
        <w:t>, Consumer / Advocate</w:t>
      </w:r>
    </w:p>
    <w:p w14:paraId="57EE29DC" w14:textId="77777777" w:rsidR="003E1C20" w:rsidRDefault="003E1C20" w:rsidP="00FF6740">
      <w:pPr>
        <w:rPr>
          <w:rFonts w:ascii="Calibri" w:hAnsi="Calibri"/>
          <w:sz w:val="22"/>
          <w:szCs w:val="22"/>
          <w:lang w:val="en-AU"/>
        </w:rPr>
      </w:pPr>
    </w:p>
    <w:p w14:paraId="6B40DF5E" w14:textId="3D4D91E5" w:rsidR="004F204F" w:rsidRDefault="00E16641" w:rsidP="00FF6740">
      <w:pPr>
        <w:rPr>
          <w:rFonts w:ascii="Calibri" w:hAnsi="Calibri"/>
          <w:sz w:val="22"/>
          <w:szCs w:val="22"/>
          <w:lang w:val="en-AU"/>
        </w:rPr>
      </w:pPr>
      <w:r>
        <w:rPr>
          <w:rFonts w:ascii="Calibri" w:hAnsi="Calibri"/>
          <w:sz w:val="22"/>
          <w:szCs w:val="22"/>
          <w:lang w:val="en-AU"/>
        </w:rPr>
        <w:t xml:space="preserve">Approximately half of all Australians experiencing mental ill-health have mild needs. </w:t>
      </w:r>
      <w:r w:rsidR="00EB7442">
        <w:rPr>
          <w:rFonts w:ascii="Calibri" w:hAnsi="Calibri"/>
          <w:sz w:val="22"/>
          <w:szCs w:val="22"/>
          <w:lang w:val="en-AU"/>
        </w:rPr>
        <w:t xml:space="preserve">Many in this cohort will not require the public, community, or supported housing that we have discussed </w:t>
      </w:r>
      <w:r w:rsidR="00D25EA0">
        <w:rPr>
          <w:rFonts w:ascii="Calibri" w:hAnsi="Calibri"/>
          <w:sz w:val="22"/>
          <w:szCs w:val="22"/>
          <w:lang w:val="en-AU"/>
        </w:rPr>
        <w:t>above</w:t>
      </w:r>
      <w:r w:rsidR="00EB7442">
        <w:rPr>
          <w:rFonts w:ascii="Calibri" w:hAnsi="Calibri"/>
          <w:sz w:val="22"/>
          <w:szCs w:val="22"/>
          <w:lang w:val="en-AU"/>
        </w:rPr>
        <w:t>, yet may on occasion require support to</w:t>
      </w:r>
      <w:r w:rsidR="001647A4">
        <w:rPr>
          <w:rFonts w:ascii="Calibri" w:hAnsi="Calibri"/>
          <w:sz w:val="22"/>
          <w:szCs w:val="22"/>
          <w:lang w:val="en-AU"/>
        </w:rPr>
        <w:t xml:space="preserve"> resolve a crisis and</w:t>
      </w:r>
      <w:r w:rsidR="00EB7442">
        <w:rPr>
          <w:rFonts w:ascii="Calibri" w:hAnsi="Calibri"/>
          <w:sz w:val="22"/>
          <w:szCs w:val="22"/>
          <w:lang w:val="en-AU"/>
        </w:rPr>
        <w:t xml:space="preserve"> maintain their tenancy</w:t>
      </w:r>
      <w:r>
        <w:rPr>
          <w:rFonts w:ascii="Calibri" w:hAnsi="Calibri"/>
          <w:sz w:val="22"/>
          <w:szCs w:val="22"/>
          <w:lang w:val="en-AU"/>
        </w:rPr>
        <w:t>.</w:t>
      </w:r>
      <w:r w:rsidR="008F208E">
        <w:rPr>
          <w:rFonts w:ascii="Calibri" w:hAnsi="Calibri"/>
          <w:sz w:val="22"/>
          <w:szCs w:val="22"/>
          <w:lang w:val="en-AU"/>
        </w:rPr>
        <w:t xml:space="preserve"> </w:t>
      </w:r>
      <w:r w:rsidR="00DE1727">
        <w:rPr>
          <w:rFonts w:ascii="Calibri" w:hAnsi="Calibri"/>
          <w:sz w:val="22"/>
          <w:szCs w:val="22"/>
          <w:lang w:val="en-AU"/>
        </w:rPr>
        <w:t xml:space="preserve">There is significant research to show that </w:t>
      </w:r>
      <w:r w:rsidR="00EB7442">
        <w:rPr>
          <w:rFonts w:ascii="Calibri" w:hAnsi="Calibri"/>
          <w:sz w:val="22"/>
          <w:szCs w:val="22"/>
          <w:lang w:val="en-AU"/>
        </w:rPr>
        <w:t xml:space="preserve">strong </w:t>
      </w:r>
      <w:r w:rsidR="00DE1727">
        <w:rPr>
          <w:rFonts w:ascii="Calibri" w:hAnsi="Calibri"/>
          <w:sz w:val="22"/>
          <w:szCs w:val="22"/>
          <w:lang w:val="en-AU"/>
        </w:rPr>
        <w:t>security of tenure provides greater ontological security, and as such, is better for a person’s mental health.</w:t>
      </w:r>
      <w:r w:rsidR="00DE1727">
        <w:rPr>
          <w:rStyle w:val="FootnoteReference"/>
          <w:rFonts w:ascii="Calibri" w:hAnsi="Calibri"/>
          <w:sz w:val="22"/>
          <w:szCs w:val="22"/>
          <w:lang w:val="en-AU"/>
        </w:rPr>
        <w:footnoteReference w:id="15"/>
      </w:r>
      <w:r w:rsidR="00320C47">
        <w:rPr>
          <w:rFonts w:ascii="Calibri" w:hAnsi="Calibri"/>
          <w:sz w:val="22"/>
          <w:szCs w:val="22"/>
          <w:lang w:val="en-AU"/>
        </w:rPr>
        <w:t xml:space="preserve"> The Productivity Commission should consider ways to improve the security of tenure of Australians experiencing mental ill-health – particularly in the low-security private rental market.</w:t>
      </w:r>
    </w:p>
    <w:p w14:paraId="75A6F166" w14:textId="20EEE1D3" w:rsidR="003E36FE" w:rsidRDefault="003E36FE" w:rsidP="00FF6740">
      <w:pPr>
        <w:rPr>
          <w:rFonts w:ascii="Calibri" w:hAnsi="Calibri"/>
          <w:sz w:val="22"/>
          <w:szCs w:val="22"/>
          <w:lang w:val="en-AU"/>
        </w:rPr>
      </w:pPr>
    </w:p>
    <w:p w14:paraId="075A1DF8" w14:textId="7FE9D5FB" w:rsidR="003E36FE" w:rsidRPr="00E72CBF" w:rsidRDefault="00D25EA0" w:rsidP="00FF6740">
      <w:pPr>
        <w:rPr>
          <w:rFonts w:ascii="Calibri" w:hAnsi="Calibri"/>
          <w:sz w:val="22"/>
          <w:szCs w:val="22"/>
          <w:lang w:val="en-AU"/>
        </w:rPr>
      </w:pPr>
      <w:r>
        <w:rPr>
          <w:rFonts w:ascii="Calibri" w:hAnsi="Calibri"/>
          <w:sz w:val="22"/>
          <w:szCs w:val="22"/>
          <w:lang w:val="en-AU"/>
        </w:rPr>
        <w:t>Some in this cohort will have</w:t>
      </w:r>
      <w:r w:rsidR="00E72CBF">
        <w:rPr>
          <w:rFonts w:ascii="Calibri" w:hAnsi="Calibri"/>
          <w:sz w:val="22"/>
          <w:szCs w:val="22"/>
          <w:lang w:val="en-AU"/>
        </w:rPr>
        <w:t xml:space="preserve"> intermittent support needs. In order to reduce the number of people whose mental ill-health leads to homelessness, there should be an expansion of programs that offer time limited support for a person’s mental ill-health or associated crisis, with access to brokerage funds that can support tenancy sustainment. Programs like Victoria’s </w:t>
      </w:r>
      <w:r w:rsidR="00E72CBF">
        <w:rPr>
          <w:rFonts w:ascii="Calibri" w:hAnsi="Calibri"/>
          <w:i/>
          <w:sz w:val="22"/>
          <w:szCs w:val="22"/>
          <w:lang w:val="en-AU"/>
        </w:rPr>
        <w:t>Private Rental Access Program</w:t>
      </w:r>
      <w:r w:rsidR="00E72CBF">
        <w:rPr>
          <w:rFonts w:ascii="Calibri" w:hAnsi="Calibri"/>
          <w:sz w:val="22"/>
          <w:szCs w:val="22"/>
          <w:lang w:val="en-AU"/>
        </w:rPr>
        <w:t xml:space="preserve"> </w:t>
      </w:r>
      <w:r w:rsidR="003D75B8">
        <w:rPr>
          <w:rFonts w:ascii="Calibri" w:hAnsi="Calibri"/>
          <w:sz w:val="22"/>
          <w:szCs w:val="22"/>
          <w:lang w:val="en-AU"/>
        </w:rPr>
        <w:t xml:space="preserve">and </w:t>
      </w:r>
      <w:r w:rsidR="003D75B8">
        <w:rPr>
          <w:rFonts w:ascii="Calibri" w:hAnsi="Calibri"/>
          <w:i/>
          <w:sz w:val="22"/>
          <w:szCs w:val="22"/>
          <w:lang w:val="en-AU"/>
        </w:rPr>
        <w:t>Tenancy</w:t>
      </w:r>
      <w:r w:rsidR="005D4094">
        <w:rPr>
          <w:rFonts w:ascii="Calibri" w:hAnsi="Calibri"/>
          <w:i/>
          <w:sz w:val="22"/>
          <w:szCs w:val="22"/>
          <w:lang w:val="en-AU"/>
        </w:rPr>
        <w:t xml:space="preserve"> </w:t>
      </w:r>
      <w:r w:rsidR="003D75B8">
        <w:rPr>
          <w:rFonts w:ascii="Calibri" w:hAnsi="Calibri"/>
          <w:i/>
          <w:sz w:val="22"/>
          <w:szCs w:val="22"/>
          <w:lang w:val="en-AU"/>
        </w:rPr>
        <w:t xml:space="preserve">Plus </w:t>
      </w:r>
      <w:r w:rsidR="00E72CBF">
        <w:rPr>
          <w:rFonts w:ascii="Calibri" w:hAnsi="Calibri"/>
          <w:sz w:val="22"/>
          <w:szCs w:val="22"/>
          <w:lang w:val="en-AU"/>
        </w:rPr>
        <w:t xml:space="preserve">have proven both cost-effective and </w:t>
      </w:r>
      <w:r w:rsidR="00485A98">
        <w:rPr>
          <w:rFonts w:ascii="Calibri" w:hAnsi="Calibri"/>
          <w:sz w:val="22"/>
          <w:szCs w:val="22"/>
          <w:lang w:val="en-AU"/>
        </w:rPr>
        <w:t>effective at achieving tenancy sustainment interventions.</w:t>
      </w:r>
      <w:r w:rsidR="00485A98">
        <w:rPr>
          <w:rStyle w:val="FootnoteReference"/>
          <w:rFonts w:ascii="Calibri" w:hAnsi="Calibri"/>
          <w:sz w:val="22"/>
          <w:szCs w:val="22"/>
          <w:lang w:val="en-AU"/>
        </w:rPr>
        <w:footnoteReference w:id="16"/>
      </w:r>
    </w:p>
    <w:p w14:paraId="37E223A4" w14:textId="3569A047" w:rsidR="00A96893" w:rsidRDefault="00A96893" w:rsidP="00FF6740">
      <w:pPr>
        <w:rPr>
          <w:rFonts w:ascii="Calibri" w:hAnsi="Calibri"/>
          <w:sz w:val="22"/>
          <w:szCs w:val="22"/>
          <w:lang w:val="en-AU"/>
        </w:rPr>
      </w:pPr>
    </w:p>
    <w:p w14:paraId="08A7E83E" w14:textId="66576323" w:rsidR="004F204F" w:rsidRDefault="004F204F" w:rsidP="00FF6740">
      <w:pPr>
        <w:rPr>
          <w:rFonts w:ascii="Calibri" w:hAnsi="Calibri"/>
          <w:sz w:val="22"/>
          <w:szCs w:val="22"/>
          <w:lang w:val="en-AU"/>
        </w:rPr>
      </w:pPr>
      <w:r w:rsidRPr="004F204F">
        <w:rPr>
          <w:rFonts w:ascii="Calibri" w:hAnsi="Calibri"/>
          <w:b/>
          <w:sz w:val="22"/>
          <w:szCs w:val="22"/>
          <w:lang w:val="en-AU"/>
        </w:rPr>
        <w:t>Recommendation</w:t>
      </w:r>
      <w:r>
        <w:rPr>
          <w:rFonts w:ascii="Calibri" w:hAnsi="Calibri"/>
          <w:b/>
          <w:sz w:val="22"/>
          <w:szCs w:val="22"/>
          <w:lang w:val="en-AU"/>
        </w:rPr>
        <w:t>:</w:t>
      </w:r>
      <w:r>
        <w:rPr>
          <w:rFonts w:ascii="Calibri" w:hAnsi="Calibri"/>
          <w:sz w:val="22"/>
          <w:szCs w:val="22"/>
          <w:lang w:val="en-AU"/>
        </w:rPr>
        <w:t xml:space="preserve"> Governments to measure housing and housing support needs of people living with mental ill</w:t>
      </w:r>
      <w:r w:rsidR="00860609">
        <w:rPr>
          <w:rFonts w:ascii="Calibri" w:hAnsi="Calibri"/>
          <w:sz w:val="22"/>
          <w:szCs w:val="22"/>
          <w:lang w:val="en-AU"/>
        </w:rPr>
        <w:t>-</w:t>
      </w:r>
      <w:r>
        <w:rPr>
          <w:rFonts w:ascii="Calibri" w:hAnsi="Calibri"/>
          <w:sz w:val="22"/>
          <w:szCs w:val="22"/>
          <w:lang w:val="en-AU"/>
        </w:rPr>
        <w:t xml:space="preserve">health and develop plan to </w:t>
      </w:r>
      <w:r w:rsidR="00860609">
        <w:rPr>
          <w:rFonts w:ascii="Calibri" w:hAnsi="Calibri"/>
          <w:sz w:val="22"/>
          <w:szCs w:val="22"/>
          <w:lang w:val="en-AU"/>
        </w:rPr>
        <w:t>deliver it.</w:t>
      </w:r>
    </w:p>
    <w:p w14:paraId="41831D31" w14:textId="3B8BB82E" w:rsidR="00F229B0" w:rsidRDefault="00F229B0" w:rsidP="00FF6740">
      <w:pPr>
        <w:rPr>
          <w:rFonts w:ascii="Calibri" w:hAnsi="Calibri"/>
          <w:sz w:val="22"/>
          <w:szCs w:val="22"/>
          <w:lang w:val="en-AU"/>
        </w:rPr>
      </w:pPr>
    </w:p>
    <w:p w14:paraId="7A2582EA" w14:textId="6EF13EB3" w:rsidR="00F229B0" w:rsidRPr="00D25EA0" w:rsidRDefault="00F229B0" w:rsidP="00FF6740">
      <w:pPr>
        <w:rPr>
          <w:rFonts w:ascii="Calibri" w:hAnsi="Calibri"/>
          <w:sz w:val="22"/>
          <w:szCs w:val="22"/>
          <w:lang w:val="en-AU"/>
        </w:rPr>
      </w:pPr>
      <w:r>
        <w:rPr>
          <w:rFonts w:ascii="Calibri" w:hAnsi="Calibri"/>
          <w:b/>
          <w:sz w:val="22"/>
          <w:szCs w:val="22"/>
          <w:lang w:val="en-AU"/>
        </w:rPr>
        <w:lastRenderedPageBreak/>
        <w:t xml:space="preserve">Recommendation: </w:t>
      </w:r>
      <w:r w:rsidR="00D25EA0">
        <w:rPr>
          <w:rFonts w:ascii="Calibri" w:hAnsi="Calibri"/>
          <w:sz w:val="22"/>
          <w:szCs w:val="22"/>
          <w:lang w:val="en-AU"/>
        </w:rPr>
        <w:t>Expand tenancy saving programs</w:t>
      </w:r>
    </w:p>
    <w:p w14:paraId="5FAC935E" w14:textId="78F6A822" w:rsidR="00AF7CE6" w:rsidRDefault="00352FF4" w:rsidP="00AF7CE6">
      <w:pPr>
        <w:pStyle w:val="Heading3"/>
        <w:rPr>
          <w:rFonts w:ascii="Calibri" w:eastAsia="MS PGothic" w:hAnsi="Calibri" w:cs="Times New Roman"/>
          <w:color w:val="929F2D"/>
          <w:sz w:val="26"/>
          <w:szCs w:val="26"/>
          <w:lang w:val="en-AU"/>
        </w:rPr>
      </w:pPr>
      <w:bookmarkStart w:id="9" w:name="_Toc5287487"/>
      <w:r>
        <w:rPr>
          <w:rFonts w:ascii="Calibri" w:eastAsia="MS PGothic" w:hAnsi="Calibri" w:cs="Times New Roman"/>
          <w:color w:val="929F2D"/>
          <w:sz w:val="26"/>
          <w:szCs w:val="26"/>
          <w:lang w:val="en-AU"/>
        </w:rPr>
        <w:t>I</w:t>
      </w:r>
      <w:r w:rsidR="00DD1CD7">
        <w:rPr>
          <w:rFonts w:ascii="Calibri" w:eastAsia="MS PGothic" w:hAnsi="Calibri" w:cs="Times New Roman"/>
          <w:color w:val="929F2D"/>
          <w:sz w:val="26"/>
          <w:szCs w:val="26"/>
          <w:lang w:val="en-AU"/>
        </w:rPr>
        <w:t>ntegratin</w:t>
      </w:r>
      <w:r>
        <w:rPr>
          <w:rFonts w:ascii="Calibri" w:eastAsia="MS PGothic" w:hAnsi="Calibri" w:cs="Times New Roman"/>
          <w:color w:val="929F2D"/>
          <w:sz w:val="26"/>
          <w:szCs w:val="26"/>
          <w:lang w:val="en-AU"/>
        </w:rPr>
        <w:t>g</w:t>
      </w:r>
      <w:r w:rsidR="00DD1CD7">
        <w:rPr>
          <w:rFonts w:ascii="Calibri" w:eastAsia="MS PGothic" w:hAnsi="Calibri" w:cs="Times New Roman"/>
          <w:color w:val="929F2D"/>
          <w:sz w:val="26"/>
          <w:szCs w:val="26"/>
          <w:lang w:val="en-AU"/>
        </w:rPr>
        <w:t xml:space="preserve"> services for housing, homelessness and mental health</w:t>
      </w:r>
      <w:bookmarkEnd w:id="9"/>
    </w:p>
    <w:p w14:paraId="7A9E704F" w14:textId="77777777" w:rsidR="00B21601" w:rsidRDefault="00B21601" w:rsidP="00B21601">
      <w:pPr>
        <w:rPr>
          <w:lang w:val="en-AU"/>
        </w:rPr>
      </w:pPr>
    </w:p>
    <w:p w14:paraId="2B478DDF" w14:textId="0D76C9F9" w:rsidR="00B21601" w:rsidRPr="00061F67" w:rsidRDefault="00B21601" w:rsidP="00696A4D">
      <w:pPr>
        <w:pStyle w:val="ListParagraph"/>
        <w:spacing w:after="160" w:line="259" w:lineRule="auto"/>
        <w:jc w:val="center"/>
        <w:rPr>
          <w:rFonts w:ascii="Calibri" w:hAnsi="Calibri"/>
          <w:i/>
          <w:color w:val="6A83A9"/>
        </w:rPr>
      </w:pPr>
      <w:r w:rsidRPr="00696A4D">
        <w:rPr>
          <w:rFonts w:ascii="Calibri" w:eastAsia="MS PGothic" w:hAnsi="Calibri" w:cs="Times New Roman"/>
          <w:i/>
          <w:color w:val="6A83A9"/>
          <w:lang w:eastAsia="ja-JP"/>
        </w:rPr>
        <w:t>‘</w:t>
      </w:r>
      <w:r w:rsidR="00696A4D" w:rsidRPr="00696A4D">
        <w:rPr>
          <w:rFonts w:ascii="Calibri" w:eastAsia="MS PGothic" w:hAnsi="Calibri" w:cs="Times New Roman"/>
          <w:i/>
          <w:color w:val="6A83A9"/>
          <w:lang w:eastAsia="ja-JP"/>
        </w:rPr>
        <w:t>With mental health and homelessness you need staff with specialist skills to deal with that. It’s not a disconnected mental health response and homelessness response.</w:t>
      </w:r>
      <w:r w:rsidRPr="00696A4D">
        <w:rPr>
          <w:rFonts w:ascii="Calibri" w:hAnsi="Calibri"/>
          <w:i/>
          <w:color w:val="6A83A9"/>
        </w:rPr>
        <w:t>’</w:t>
      </w:r>
    </w:p>
    <w:p w14:paraId="731A718F" w14:textId="2880D057" w:rsidR="00B21601" w:rsidRPr="00F21D8F" w:rsidRDefault="00696A4D" w:rsidP="00B21601">
      <w:pPr>
        <w:pStyle w:val="ListParagraph"/>
        <w:numPr>
          <w:ilvl w:val="0"/>
          <w:numId w:val="32"/>
        </w:numPr>
        <w:jc w:val="right"/>
        <w:rPr>
          <w:rFonts w:ascii="Calibri" w:hAnsi="Calibri"/>
        </w:rPr>
      </w:pPr>
      <w:r>
        <w:rPr>
          <w:color w:val="6A83A9"/>
        </w:rPr>
        <w:t>Jason Russel</w:t>
      </w:r>
      <w:r w:rsidR="00DB518E">
        <w:rPr>
          <w:color w:val="6A83A9"/>
        </w:rPr>
        <w:t>l</w:t>
      </w:r>
      <w:r w:rsidR="00B21601" w:rsidRPr="00061F67">
        <w:rPr>
          <w:color w:val="6A83A9"/>
        </w:rPr>
        <w:t>, Consumer / Advocate</w:t>
      </w:r>
    </w:p>
    <w:p w14:paraId="58837B13" w14:textId="77777777" w:rsidR="00B21601" w:rsidRDefault="00B21601" w:rsidP="00B21601">
      <w:pPr>
        <w:rPr>
          <w:rFonts w:ascii="Calibri" w:hAnsi="Calibri"/>
        </w:rPr>
      </w:pPr>
    </w:p>
    <w:p w14:paraId="5F7865BE" w14:textId="04621210" w:rsidR="00AB33D1" w:rsidRDefault="00137653" w:rsidP="00B21601">
      <w:pPr>
        <w:rPr>
          <w:rFonts w:ascii="Calibri" w:hAnsi="Calibri"/>
          <w:sz w:val="22"/>
          <w:szCs w:val="22"/>
          <w:lang w:val="en-AU"/>
        </w:rPr>
      </w:pPr>
      <w:r w:rsidRPr="00B41EF0">
        <w:rPr>
          <w:rFonts w:ascii="Calibri" w:hAnsi="Calibri"/>
          <w:sz w:val="22"/>
          <w:szCs w:val="22"/>
          <w:lang w:val="en-AU"/>
        </w:rPr>
        <w:t xml:space="preserve">A lack of resourcing means that both the homelessness and mental health systems </w:t>
      </w:r>
      <w:r w:rsidR="003E1C20">
        <w:rPr>
          <w:rFonts w:ascii="Calibri" w:hAnsi="Calibri"/>
          <w:sz w:val="22"/>
          <w:szCs w:val="22"/>
          <w:lang w:val="en-AU"/>
        </w:rPr>
        <w:t>often use</w:t>
      </w:r>
      <w:r w:rsidRPr="00B41EF0">
        <w:rPr>
          <w:rFonts w:ascii="Calibri" w:hAnsi="Calibri"/>
          <w:sz w:val="22"/>
          <w:szCs w:val="22"/>
          <w:lang w:val="en-AU"/>
        </w:rPr>
        <w:t xml:space="preserve"> waiting lists for consumers who seek to engage their </w:t>
      </w:r>
      <w:r w:rsidR="0058794A" w:rsidRPr="00B41EF0">
        <w:rPr>
          <w:rFonts w:ascii="Calibri" w:hAnsi="Calibri"/>
          <w:sz w:val="22"/>
          <w:szCs w:val="22"/>
          <w:lang w:val="en-AU"/>
        </w:rPr>
        <w:t>services. In resource constrained environments many services, particularly homelessness services</w:t>
      </w:r>
      <w:r w:rsidR="00930887" w:rsidRPr="00B41EF0">
        <w:rPr>
          <w:rFonts w:ascii="Calibri" w:hAnsi="Calibri"/>
          <w:sz w:val="22"/>
          <w:szCs w:val="22"/>
          <w:lang w:val="en-AU"/>
        </w:rPr>
        <w:t>,</w:t>
      </w:r>
      <w:r w:rsidR="0058794A" w:rsidRPr="00B41EF0">
        <w:rPr>
          <w:rFonts w:ascii="Calibri" w:hAnsi="Calibri"/>
          <w:sz w:val="22"/>
          <w:szCs w:val="22"/>
          <w:lang w:val="en-AU"/>
        </w:rPr>
        <w:t xml:space="preserve"> are required to implement case-periods</w:t>
      </w:r>
      <w:r w:rsidR="00F9684C" w:rsidRPr="00B41EF0">
        <w:rPr>
          <w:rFonts w:ascii="Calibri" w:hAnsi="Calibri"/>
          <w:sz w:val="22"/>
          <w:szCs w:val="22"/>
          <w:lang w:val="en-AU"/>
        </w:rPr>
        <w:t>, which typically end after 6-12 weeks.</w:t>
      </w:r>
      <w:r w:rsidR="004C6F75">
        <w:rPr>
          <w:rFonts w:ascii="Calibri" w:hAnsi="Calibri"/>
          <w:sz w:val="22"/>
          <w:szCs w:val="22"/>
          <w:lang w:val="en-AU"/>
        </w:rPr>
        <w:t xml:space="preserve"> </w:t>
      </w:r>
      <w:r w:rsidR="00AB33D1">
        <w:rPr>
          <w:rFonts w:ascii="Calibri" w:hAnsi="Calibri"/>
          <w:sz w:val="22"/>
          <w:szCs w:val="22"/>
          <w:lang w:val="en-AU"/>
        </w:rPr>
        <w:t>The combination of s</w:t>
      </w:r>
      <w:r w:rsidR="00AA5668" w:rsidRPr="00B41EF0">
        <w:rPr>
          <w:rFonts w:ascii="Calibri" w:hAnsi="Calibri"/>
          <w:sz w:val="22"/>
          <w:szCs w:val="22"/>
          <w:lang w:val="en-AU"/>
        </w:rPr>
        <w:t>hort case</w:t>
      </w:r>
      <w:r w:rsidR="00AB33D1">
        <w:rPr>
          <w:rFonts w:ascii="Calibri" w:hAnsi="Calibri"/>
          <w:sz w:val="22"/>
          <w:szCs w:val="22"/>
          <w:lang w:val="en-AU"/>
        </w:rPr>
        <w:t xml:space="preserve"> periods and long waiting lists means that for many consumers services are not integra</w:t>
      </w:r>
      <w:r w:rsidR="005D4094">
        <w:rPr>
          <w:rFonts w:ascii="Calibri" w:hAnsi="Calibri"/>
          <w:sz w:val="22"/>
          <w:szCs w:val="22"/>
          <w:lang w:val="en-AU"/>
        </w:rPr>
        <w:t>ted at all, but are consecutive, often with gaps where no support is available.</w:t>
      </w:r>
    </w:p>
    <w:p w14:paraId="76E9BA16" w14:textId="77777777" w:rsidR="001E6A4F" w:rsidRDefault="001E6A4F" w:rsidP="00B21601">
      <w:pPr>
        <w:rPr>
          <w:rFonts w:ascii="Calibri" w:hAnsi="Calibri"/>
          <w:sz w:val="22"/>
          <w:szCs w:val="22"/>
          <w:lang w:val="en-AU"/>
        </w:rPr>
      </w:pPr>
    </w:p>
    <w:p w14:paraId="3A67FDC5" w14:textId="171F8E10" w:rsidR="004546FB" w:rsidRDefault="000F7024" w:rsidP="000F7024">
      <w:pPr>
        <w:rPr>
          <w:rFonts w:ascii="Calibri" w:hAnsi="Calibri"/>
          <w:sz w:val="22"/>
          <w:szCs w:val="22"/>
          <w:lang w:val="en-AU"/>
        </w:rPr>
      </w:pPr>
      <w:r>
        <w:rPr>
          <w:rFonts w:ascii="Calibri" w:hAnsi="Calibri"/>
          <w:sz w:val="22"/>
          <w:szCs w:val="22"/>
          <w:lang w:val="en-AU"/>
        </w:rPr>
        <w:t xml:space="preserve">There is increasing recognition that many people, particularly those experiencing homelessness alongside complex mental </w:t>
      </w:r>
      <w:r w:rsidR="00FB49DC">
        <w:rPr>
          <w:rFonts w:ascii="Calibri" w:hAnsi="Calibri"/>
          <w:sz w:val="22"/>
          <w:szCs w:val="22"/>
          <w:lang w:val="en-AU"/>
        </w:rPr>
        <w:t>ill-health</w:t>
      </w:r>
      <w:r>
        <w:rPr>
          <w:rFonts w:ascii="Calibri" w:hAnsi="Calibri"/>
          <w:sz w:val="22"/>
          <w:szCs w:val="22"/>
          <w:lang w:val="en-AU"/>
        </w:rPr>
        <w:t>, will req</w:t>
      </w:r>
      <w:r w:rsidR="005D4094">
        <w:rPr>
          <w:rFonts w:ascii="Calibri" w:hAnsi="Calibri"/>
          <w:sz w:val="22"/>
          <w:szCs w:val="22"/>
          <w:lang w:val="en-AU"/>
        </w:rPr>
        <w:t>uire multidisciplinary supports,</w:t>
      </w:r>
      <w:r w:rsidR="00AB33D1" w:rsidRPr="00AB33D1">
        <w:rPr>
          <w:rStyle w:val="FootnoteReference"/>
          <w:rFonts w:ascii="Calibri" w:hAnsi="Calibri"/>
          <w:sz w:val="22"/>
          <w:szCs w:val="22"/>
          <w:lang w:val="en-AU"/>
        </w:rPr>
        <w:t xml:space="preserve"> </w:t>
      </w:r>
      <w:r w:rsidR="00AB33D1">
        <w:rPr>
          <w:rStyle w:val="FootnoteReference"/>
          <w:rFonts w:ascii="Calibri" w:hAnsi="Calibri"/>
          <w:sz w:val="22"/>
          <w:szCs w:val="22"/>
          <w:lang w:val="en-AU"/>
        </w:rPr>
        <w:footnoteReference w:id="17"/>
      </w:r>
      <w:r w:rsidR="005D4094">
        <w:rPr>
          <w:rFonts w:ascii="Calibri" w:hAnsi="Calibri"/>
          <w:sz w:val="22"/>
          <w:szCs w:val="22"/>
          <w:lang w:val="en-AU"/>
        </w:rPr>
        <w:t xml:space="preserve"> with flexible case period lengths as needed.</w:t>
      </w:r>
    </w:p>
    <w:p w14:paraId="034AC04C" w14:textId="77777777" w:rsidR="005D4094" w:rsidRDefault="005D4094" w:rsidP="000F7024">
      <w:pPr>
        <w:rPr>
          <w:rFonts w:ascii="Calibri" w:hAnsi="Calibri"/>
          <w:sz w:val="22"/>
          <w:szCs w:val="22"/>
          <w:lang w:val="en-AU"/>
        </w:rPr>
      </w:pPr>
    </w:p>
    <w:p w14:paraId="212F6D92" w14:textId="301EFA08" w:rsidR="00F9684C" w:rsidRPr="00B41EF0" w:rsidRDefault="004C6F75" w:rsidP="00B21601">
      <w:pPr>
        <w:rPr>
          <w:rFonts w:ascii="Calibri" w:hAnsi="Calibri"/>
          <w:sz w:val="22"/>
          <w:szCs w:val="22"/>
          <w:lang w:val="en-AU"/>
        </w:rPr>
      </w:pPr>
      <w:r>
        <w:rPr>
          <w:rFonts w:ascii="Calibri" w:hAnsi="Calibri"/>
          <w:sz w:val="22"/>
          <w:szCs w:val="22"/>
          <w:lang w:val="en-AU"/>
        </w:rPr>
        <w:t>Rather than continuing to operate in ‘siloes’ and relying on referrals to other services and programs, a greater focus is required on integrated programs – programs which include professionals</w:t>
      </w:r>
      <w:r w:rsidR="009E374C">
        <w:rPr>
          <w:rFonts w:ascii="Calibri" w:hAnsi="Calibri"/>
          <w:sz w:val="22"/>
          <w:szCs w:val="22"/>
          <w:lang w:val="en-AU"/>
        </w:rPr>
        <w:t xml:space="preserve"> from a range of disciplines</w:t>
      </w:r>
      <w:r>
        <w:rPr>
          <w:rFonts w:ascii="Calibri" w:hAnsi="Calibri"/>
          <w:sz w:val="22"/>
          <w:szCs w:val="22"/>
          <w:lang w:val="en-AU"/>
        </w:rPr>
        <w:t xml:space="preserve"> as part of a service delivery team. </w:t>
      </w:r>
      <w:r w:rsidR="009E374C">
        <w:rPr>
          <w:rFonts w:ascii="Calibri" w:hAnsi="Calibri"/>
          <w:sz w:val="22"/>
          <w:szCs w:val="22"/>
          <w:lang w:val="en-AU"/>
        </w:rPr>
        <w:t xml:space="preserve">Studies have found that there is particular benefit to embedding primary and mental health, and drug and alcohol professionals within homelessness programs </w:t>
      </w:r>
      <w:r w:rsidR="000F7024">
        <w:rPr>
          <w:rFonts w:ascii="Calibri" w:hAnsi="Calibri"/>
          <w:sz w:val="22"/>
          <w:szCs w:val="22"/>
          <w:lang w:val="en-AU"/>
        </w:rPr>
        <w:t>–</w:t>
      </w:r>
      <w:r w:rsidR="009E374C">
        <w:rPr>
          <w:rFonts w:ascii="Calibri" w:hAnsi="Calibri"/>
          <w:sz w:val="22"/>
          <w:szCs w:val="22"/>
          <w:lang w:val="en-AU"/>
        </w:rPr>
        <w:t xml:space="preserve"> </w:t>
      </w:r>
      <w:r w:rsidR="004620BD">
        <w:rPr>
          <w:rFonts w:ascii="Calibri" w:hAnsi="Calibri"/>
          <w:sz w:val="22"/>
          <w:szCs w:val="22"/>
          <w:lang w:val="en-AU"/>
        </w:rPr>
        <w:t xml:space="preserve">an approach designed to stabilise housing and </w:t>
      </w:r>
      <w:r w:rsidR="00656CFC">
        <w:rPr>
          <w:rFonts w:ascii="Calibri" w:hAnsi="Calibri"/>
          <w:sz w:val="22"/>
          <w:szCs w:val="22"/>
          <w:lang w:val="en-AU"/>
        </w:rPr>
        <w:t>wellbeing first. Such stability then</w:t>
      </w:r>
      <w:r w:rsidR="004620BD">
        <w:rPr>
          <w:rFonts w:ascii="Calibri" w:hAnsi="Calibri"/>
          <w:sz w:val="22"/>
          <w:szCs w:val="22"/>
          <w:lang w:val="en-AU"/>
        </w:rPr>
        <w:t xml:space="preserve"> supports greater interaction with other services systems</w:t>
      </w:r>
      <w:r w:rsidR="00656CFC">
        <w:rPr>
          <w:rFonts w:ascii="Calibri" w:hAnsi="Calibri"/>
          <w:sz w:val="22"/>
          <w:szCs w:val="22"/>
          <w:lang w:val="en-AU"/>
        </w:rPr>
        <w:t xml:space="preserve"> such as legal support or education and employment</w:t>
      </w:r>
      <w:r w:rsidR="004620BD">
        <w:rPr>
          <w:rFonts w:ascii="Calibri" w:hAnsi="Calibri"/>
          <w:sz w:val="22"/>
          <w:szCs w:val="22"/>
          <w:lang w:val="en-AU"/>
        </w:rPr>
        <w:t>.</w:t>
      </w:r>
      <w:r w:rsidR="00AB33D1" w:rsidRPr="00AB33D1">
        <w:rPr>
          <w:rStyle w:val="FootnoteReference"/>
          <w:rFonts w:ascii="Calibri" w:hAnsi="Calibri"/>
          <w:sz w:val="22"/>
          <w:szCs w:val="22"/>
          <w:lang w:val="en-AU"/>
        </w:rPr>
        <w:t xml:space="preserve"> </w:t>
      </w:r>
      <w:r w:rsidR="00AB33D1">
        <w:rPr>
          <w:rStyle w:val="FootnoteReference"/>
          <w:rFonts w:ascii="Calibri" w:hAnsi="Calibri"/>
          <w:sz w:val="22"/>
          <w:szCs w:val="22"/>
          <w:lang w:val="en-AU"/>
        </w:rPr>
        <w:footnoteReference w:id="18"/>
      </w:r>
    </w:p>
    <w:p w14:paraId="7735503D" w14:textId="7279FDDE" w:rsidR="00C725E4" w:rsidRDefault="00C725E4" w:rsidP="00B21601">
      <w:pPr>
        <w:rPr>
          <w:rFonts w:ascii="Calibri" w:hAnsi="Calibri"/>
          <w:sz w:val="22"/>
          <w:szCs w:val="22"/>
          <w:lang w:val="en-AU"/>
        </w:rPr>
      </w:pPr>
    </w:p>
    <w:p w14:paraId="794A3F0A" w14:textId="1C089AD0" w:rsidR="00C725E4" w:rsidRDefault="001D1F7C" w:rsidP="00B21601">
      <w:pPr>
        <w:rPr>
          <w:rFonts w:ascii="Calibri" w:hAnsi="Calibri"/>
          <w:sz w:val="22"/>
          <w:szCs w:val="22"/>
          <w:lang w:val="en-AU"/>
        </w:rPr>
      </w:pPr>
      <w:r w:rsidRPr="001D1F7C">
        <w:rPr>
          <w:rFonts w:ascii="Calibri" w:hAnsi="Calibri"/>
          <w:b/>
          <w:bCs/>
          <w:color w:val="929F2D"/>
          <w:sz w:val="26"/>
          <w:szCs w:val="26"/>
          <w:lang w:val="en-AU"/>
        </w:rPr>
        <w:t>Successful evidence-based overseas practices</w:t>
      </w:r>
    </w:p>
    <w:p w14:paraId="2DE9AF8F" w14:textId="273D0711" w:rsidR="00C725E4" w:rsidRDefault="00C725E4" w:rsidP="00B21601">
      <w:pPr>
        <w:rPr>
          <w:rFonts w:ascii="Calibri" w:hAnsi="Calibri"/>
          <w:sz w:val="22"/>
          <w:szCs w:val="22"/>
          <w:lang w:val="en-AU"/>
        </w:rPr>
      </w:pPr>
    </w:p>
    <w:p w14:paraId="240812CE" w14:textId="3CA35E38" w:rsidR="003570C1" w:rsidRPr="00361A92" w:rsidRDefault="003570C1" w:rsidP="00361A92">
      <w:pPr>
        <w:jc w:val="center"/>
        <w:rPr>
          <w:rFonts w:ascii="Calibri" w:hAnsi="Calibri"/>
          <w:i/>
          <w:color w:val="6A83A9"/>
          <w:sz w:val="22"/>
          <w:szCs w:val="22"/>
          <w:lang w:val="en-AU"/>
        </w:rPr>
      </w:pPr>
      <w:r>
        <w:rPr>
          <w:rFonts w:ascii="Calibri" w:hAnsi="Calibri"/>
          <w:i/>
          <w:color w:val="6A83A9"/>
          <w:sz w:val="22"/>
          <w:szCs w:val="22"/>
          <w:lang w:val="en-AU"/>
        </w:rPr>
        <w:t>‘</w:t>
      </w:r>
      <w:r w:rsidR="00361A92" w:rsidRPr="00361A92">
        <w:rPr>
          <w:rFonts w:ascii="Calibri" w:hAnsi="Calibri"/>
          <w:i/>
          <w:color w:val="6A83A9"/>
          <w:sz w:val="22"/>
          <w:szCs w:val="22"/>
        </w:rPr>
        <w:t>There’s a study that shows that for every time you house a person you save money on mental health and prison. I think that’s an important point to make. If you want to address mental health and drugs in system, and improve outcomes for people living with a mental health system, then housing first is the best</w:t>
      </w:r>
      <w:r w:rsidR="00BD3940">
        <w:rPr>
          <w:rFonts w:ascii="Calibri" w:hAnsi="Calibri"/>
          <w:i/>
          <w:color w:val="6A83A9"/>
          <w:sz w:val="22"/>
          <w:szCs w:val="22"/>
        </w:rPr>
        <w:t>’</w:t>
      </w:r>
      <w:r w:rsidR="00361A92" w:rsidRPr="00361A92">
        <w:rPr>
          <w:rFonts w:ascii="Calibri" w:hAnsi="Calibri"/>
          <w:i/>
          <w:color w:val="6A83A9"/>
          <w:sz w:val="22"/>
          <w:szCs w:val="22"/>
        </w:rPr>
        <w:t xml:space="preserve"> </w:t>
      </w:r>
    </w:p>
    <w:p w14:paraId="6B44EF4A" w14:textId="4F768793" w:rsidR="003570C1" w:rsidRPr="00BD3940" w:rsidRDefault="00BD3940" w:rsidP="00BD3940">
      <w:pPr>
        <w:pStyle w:val="ListParagraph"/>
        <w:numPr>
          <w:ilvl w:val="0"/>
          <w:numId w:val="32"/>
        </w:numPr>
        <w:jc w:val="right"/>
        <w:rPr>
          <w:color w:val="6A83A9"/>
        </w:rPr>
      </w:pPr>
      <w:r w:rsidRPr="00BD3940">
        <w:rPr>
          <w:color w:val="6A83A9"/>
        </w:rPr>
        <w:t xml:space="preserve">Christine </w:t>
      </w:r>
      <w:proofErr w:type="spellStart"/>
      <w:r w:rsidRPr="00BD3940">
        <w:rPr>
          <w:color w:val="6A83A9"/>
        </w:rPr>
        <w:t>Thirkell</w:t>
      </w:r>
      <w:proofErr w:type="spellEnd"/>
      <w:r w:rsidR="003570C1" w:rsidRPr="00BD3940">
        <w:rPr>
          <w:color w:val="6A83A9"/>
        </w:rPr>
        <w:t>, Consumer / Advocate</w:t>
      </w:r>
    </w:p>
    <w:p w14:paraId="4EF6E954" w14:textId="77777777" w:rsidR="008453E3" w:rsidRDefault="008453E3" w:rsidP="00B21601">
      <w:pPr>
        <w:rPr>
          <w:rFonts w:ascii="Calibri" w:hAnsi="Calibri"/>
          <w:sz w:val="22"/>
          <w:szCs w:val="22"/>
          <w:lang w:val="en-AU"/>
        </w:rPr>
      </w:pPr>
    </w:p>
    <w:p w14:paraId="154263C9" w14:textId="177A6EBC" w:rsidR="00940E17" w:rsidRDefault="00CF5EC2" w:rsidP="00B21601">
      <w:pPr>
        <w:rPr>
          <w:rFonts w:ascii="Calibri" w:hAnsi="Calibri"/>
          <w:sz w:val="22"/>
          <w:szCs w:val="22"/>
          <w:lang w:val="en-AU"/>
        </w:rPr>
      </w:pPr>
      <w:r>
        <w:rPr>
          <w:rFonts w:ascii="Calibri" w:hAnsi="Calibri"/>
          <w:sz w:val="22"/>
          <w:szCs w:val="22"/>
          <w:lang w:val="en-AU"/>
        </w:rPr>
        <w:lastRenderedPageBreak/>
        <w:t>There has been considerable research and evaluation undertaken to demonstrate the effectiveness of Housing First as a response to people experiencing homelessness and who also have complex needs, including mental ill-health.</w:t>
      </w:r>
    </w:p>
    <w:p w14:paraId="729322BD" w14:textId="77777777" w:rsidR="00940E17" w:rsidRDefault="00940E17" w:rsidP="00B21601">
      <w:pPr>
        <w:rPr>
          <w:rFonts w:ascii="Calibri" w:hAnsi="Calibri"/>
          <w:sz w:val="22"/>
          <w:szCs w:val="22"/>
          <w:lang w:val="en-AU"/>
        </w:rPr>
      </w:pPr>
    </w:p>
    <w:p w14:paraId="695046AC" w14:textId="35003F38" w:rsidR="00940E17" w:rsidRDefault="00E3363D" w:rsidP="00B21601">
      <w:pPr>
        <w:rPr>
          <w:rFonts w:ascii="Calibri" w:hAnsi="Calibri"/>
          <w:sz w:val="22"/>
          <w:szCs w:val="22"/>
          <w:lang w:val="en-AU"/>
        </w:rPr>
      </w:pPr>
      <w:r>
        <w:rPr>
          <w:rFonts w:ascii="Calibri" w:hAnsi="Calibri"/>
          <w:sz w:val="22"/>
          <w:szCs w:val="22"/>
          <w:lang w:val="en-AU"/>
        </w:rPr>
        <w:t xml:space="preserve">Housing </w:t>
      </w:r>
      <w:proofErr w:type="gramStart"/>
      <w:r>
        <w:rPr>
          <w:rFonts w:ascii="Calibri" w:hAnsi="Calibri"/>
          <w:sz w:val="22"/>
          <w:szCs w:val="22"/>
          <w:lang w:val="en-AU"/>
        </w:rPr>
        <w:t>First</w:t>
      </w:r>
      <w:proofErr w:type="gramEnd"/>
      <w:r>
        <w:rPr>
          <w:rFonts w:ascii="Calibri" w:hAnsi="Calibri"/>
          <w:sz w:val="22"/>
          <w:szCs w:val="22"/>
          <w:lang w:val="en-AU"/>
        </w:rPr>
        <w:t xml:space="preserve"> is not</w:t>
      </w:r>
      <w:r w:rsidR="00280AFD">
        <w:rPr>
          <w:rFonts w:ascii="Calibri" w:hAnsi="Calibri"/>
          <w:sz w:val="22"/>
          <w:szCs w:val="22"/>
          <w:lang w:val="en-AU"/>
        </w:rPr>
        <w:t xml:space="preserve"> intended as</w:t>
      </w:r>
      <w:r>
        <w:rPr>
          <w:rFonts w:ascii="Calibri" w:hAnsi="Calibri"/>
          <w:sz w:val="22"/>
          <w:szCs w:val="22"/>
          <w:lang w:val="en-AU"/>
        </w:rPr>
        <w:t xml:space="preserve"> a response to all forms </w:t>
      </w:r>
      <w:r w:rsidRPr="00A50A9E">
        <w:rPr>
          <w:rFonts w:ascii="Calibri" w:hAnsi="Calibri"/>
          <w:sz w:val="22"/>
          <w:szCs w:val="22"/>
          <w:lang w:val="en-AU"/>
        </w:rPr>
        <w:t>of homelessness</w:t>
      </w:r>
      <w:r w:rsidR="00A50A9E">
        <w:rPr>
          <w:rFonts w:ascii="Calibri" w:hAnsi="Calibri"/>
          <w:sz w:val="22"/>
          <w:szCs w:val="22"/>
          <w:lang w:val="en-AU"/>
        </w:rPr>
        <w:t xml:space="preserve"> or all forms of mental ill-health</w:t>
      </w:r>
      <w:r>
        <w:rPr>
          <w:rFonts w:ascii="Calibri" w:hAnsi="Calibri"/>
          <w:sz w:val="22"/>
          <w:szCs w:val="22"/>
          <w:lang w:val="en-AU"/>
        </w:rPr>
        <w:t xml:space="preserve">. Housing </w:t>
      </w:r>
      <w:proofErr w:type="gramStart"/>
      <w:r>
        <w:rPr>
          <w:rFonts w:ascii="Calibri" w:hAnsi="Calibri"/>
          <w:sz w:val="22"/>
          <w:szCs w:val="22"/>
          <w:lang w:val="en-AU"/>
        </w:rPr>
        <w:t>First</w:t>
      </w:r>
      <w:proofErr w:type="gramEnd"/>
      <w:r>
        <w:rPr>
          <w:rFonts w:ascii="Calibri" w:hAnsi="Calibri"/>
          <w:sz w:val="22"/>
          <w:szCs w:val="22"/>
          <w:lang w:val="en-AU"/>
        </w:rPr>
        <w:t xml:space="preserve"> is a </w:t>
      </w:r>
      <w:r w:rsidR="00037DBE">
        <w:rPr>
          <w:rFonts w:ascii="Calibri" w:hAnsi="Calibri"/>
          <w:sz w:val="22"/>
          <w:szCs w:val="22"/>
          <w:lang w:val="en-AU"/>
        </w:rPr>
        <w:t>model of housing and support for people with severe mental ill-health</w:t>
      </w:r>
      <w:r w:rsidR="00D14CEF">
        <w:rPr>
          <w:rFonts w:ascii="Calibri" w:hAnsi="Calibri"/>
          <w:sz w:val="22"/>
          <w:szCs w:val="22"/>
          <w:lang w:val="en-AU"/>
        </w:rPr>
        <w:t xml:space="preserve"> </w:t>
      </w:r>
      <w:r w:rsidR="00977328">
        <w:rPr>
          <w:rFonts w:ascii="Calibri" w:hAnsi="Calibri"/>
          <w:sz w:val="22"/>
          <w:szCs w:val="22"/>
          <w:lang w:val="en-AU"/>
        </w:rPr>
        <w:t>who are experiencing or at risk of long-term homelessness</w:t>
      </w:r>
      <w:r w:rsidR="00A50A9E">
        <w:rPr>
          <w:rFonts w:ascii="Calibri" w:hAnsi="Calibri"/>
          <w:sz w:val="22"/>
          <w:szCs w:val="22"/>
          <w:lang w:val="en-AU"/>
        </w:rPr>
        <w:t>.</w:t>
      </w:r>
      <w:r w:rsidR="0008296C">
        <w:rPr>
          <w:rFonts w:ascii="Calibri" w:hAnsi="Calibri"/>
          <w:sz w:val="22"/>
          <w:szCs w:val="22"/>
          <w:lang w:val="en-AU"/>
        </w:rPr>
        <w:t xml:space="preserve"> </w:t>
      </w:r>
      <w:r w:rsidR="00A50A9E">
        <w:rPr>
          <w:rFonts w:ascii="Calibri" w:hAnsi="Calibri"/>
          <w:sz w:val="22"/>
          <w:szCs w:val="22"/>
          <w:lang w:val="en-AU"/>
        </w:rPr>
        <w:t xml:space="preserve">Housing </w:t>
      </w:r>
      <w:proofErr w:type="gramStart"/>
      <w:r w:rsidR="00A50A9E">
        <w:rPr>
          <w:rFonts w:ascii="Calibri" w:hAnsi="Calibri"/>
          <w:sz w:val="22"/>
          <w:szCs w:val="22"/>
          <w:lang w:val="en-AU"/>
        </w:rPr>
        <w:t>First</w:t>
      </w:r>
      <w:proofErr w:type="gramEnd"/>
      <w:r w:rsidR="00A50A9E">
        <w:rPr>
          <w:rFonts w:ascii="Calibri" w:hAnsi="Calibri"/>
          <w:sz w:val="22"/>
          <w:szCs w:val="22"/>
          <w:lang w:val="en-AU"/>
        </w:rPr>
        <w:t xml:space="preserve"> </w:t>
      </w:r>
      <w:r w:rsidR="00394891">
        <w:rPr>
          <w:rFonts w:ascii="Calibri" w:hAnsi="Calibri"/>
          <w:sz w:val="22"/>
          <w:szCs w:val="22"/>
          <w:lang w:val="en-AU"/>
        </w:rPr>
        <w:t>can successfully su</w:t>
      </w:r>
      <w:r w:rsidR="00977328">
        <w:rPr>
          <w:rFonts w:ascii="Calibri" w:hAnsi="Calibri"/>
          <w:sz w:val="22"/>
          <w:szCs w:val="22"/>
          <w:lang w:val="en-AU"/>
        </w:rPr>
        <w:t>stain housing for</w:t>
      </w:r>
      <w:r w:rsidR="00394891">
        <w:rPr>
          <w:rFonts w:ascii="Calibri" w:hAnsi="Calibri"/>
          <w:sz w:val="22"/>
          <w:szCs w:val="22"/>
          <w:lang w:val="en-AU"/>
        </w:rPr>
        <w:t xml:space="preserve"> 80 per cent of this cohort</w:t>
      </w:r>
      <w:r w:rsidR="008221CB">
        <w:rPr>
          <w:rFonts w:ascii="Calibri" w:hAnsi="Calibri"/>
          <w:sz w:val="22"/>
          <w:szCs w:val="22"/>
          <w:lang w:val="en-AU"/>
        </w:rPr>
        <w:t>,</w:t>
      </w:r>
      <w:r w:rsidR="00AB33D1" w:rsidRPr="00AB33D1">
        <w:rPr>
          <w:rStyle w:val="FootnoteReference"/>
          <w:rFonts w:ascii="Calibri" w:hAnsi="Calibri"/>
          <w:sz w:val="22"/>
          <w:szCs w:val="22"/>
          <w:lang w:val="en-AU"/>
        </w:rPr>
        <w:t xml:space="preserve"> </w:t>
      </w:r>
      <w:r w:rsidR="00AB33D1">
        <w:rPr>
          <w:rStyle w:val="FootnoteReference"/>
          <w:rFonts w:ascii="Calibri" w:hAnsi="Calibri"/>
          <w:sz w:val="22"/>
          <w:szCs w:val="22"/>
          <w:lang w:val="en-AU"/>
        </w:rPr>
        <w:footnoteReference w:id="19"/>
      </w:r>
      <w:r w:rsidR="008221CB">
        <w:rPr>
          <w:rFonts w:ascii="Calibri" w:hAnsi="Calibri"/>
          <w:sz w:val="22"/>
          <w:szCs w:val="22"/>
          <w:lang w:val="en-AU"/>
        </w:rPr>
        <w:t xml:space="preserve"> while recognising that there are those for whom </w:t>
      </w:r>
      <w:r w:rsidR="003E11CC">
        <w:rPr>
          <w:rFonts w:ascii="Calibri" w:hAnsi="Calibri"/>
          <w:sz w:val="22"/>
          <w:szCs w:val="22"/>
          <w:lang w:val="en-AU"/>
        </w:rPr>
        <w:t>residential</w:t>
      </w:r>
      <w:r w:rsidR="00E95D16">
        <w:rPr>
          <w:rFonts w:ascii="Calibri" w:hAnsi="Calibri"/>
          <w:sz w:val="22"/>
          <w:szCs w:val="22"/>
          <w:lang w:val="en-AU"/>
        </w:rPr>
        <w:t xml:space="preserve"> clinical</w:t>
      </w:r>
      <w:r w:rsidR="00B41EF0">
        <w:rPr>
          <w:rFonts w:ascii="Calibri" w:hAnsi="Calibri"/>
          <w:sz w:val="22"/>
          <w:szCs w:val="22"/>
          <w:lang w:val="en-AU"/>
        </w:rPr>
        <w:t xml:space="preserve"> </w:t>
      </w:r>
      <w:r w:rsidR="003E11CC">
        <w:rPr>
          <w:rFonts w:ascii="Calibri" w:hAnsi="Calibri"/>
          <w:sz w:val="22"/>
          <w:szCs w:val="22"/>
          <w:lang w:val="en-AU"/>
        </w:rPr>
        <w:t>care</w:t>
      </w:r>
      <w:r w:rsidR="00E95D16">
        <w:rPr>
          <w:rFonts w:ascii="Calibri" w:hAnsi="Calibri"/>
          <w:sz w:val="22"/>
          <w:szCs w:val="22"/>
          <w:lang w:val="en-AU"/>
        </w:rPr>
        <w:t xml:space="preserve"> is required</w:t>
      </w:r>
      <w:r w:rsidR="003E11CC">
        <w:rPr>
          <w:rFonts w:ascii="Calibri" w:hAnsi="Calibri"/>
          <w:sz w:val="22"/>
          <w:szCs w:val="22"/>
          <w:lang w:val="en-AU"/>
        </w:rPr>
        <w:t xml:space="preserve"> on a short or long term basis</w:t>
      </w:r>
      <w:r w:rsidR="008221CB">
        <w:rPr>
          <w:rFonts w:ascii="Calibri" w:hAnsi="Calibri"/>
          <w:sz w:val="22"/>
          <w:szCs w:val="22"/>
          <w:lang w:val="en-AU"/>
        </w:rPr>
        <w:t>.</w:t>
      </w:r>
    </w:p>
    <w:p w14:paraId="7945D9C5" w14:textId="6A746C06" w:rsidR="00E95D16" w:rsidRDefault="00E95D16" w:rsidP="00B21601">
      <w:pPr>
        <w:rPr>
          <w:rFonts w:ascii="Calibri" w:hAnsi="Calibri"/>
          <w:sz w:val="22"/>
          <w:szCs w:val="22"/>
          <w:lang w:val="en-AU"/>
        </w:rPr>
      </w:pPr>
    </w:p>
    <w:p w14:paraId="46F926FF" w14:textId="080F241D" w:rsidR="008E3A88" w:rsidRDefault="008C1621" w:rsidP="00B21601">
      <w:pPr>
        <w:rPr>
          <w:rFonts w:ascii="Calibri" w:hAnsi="Calibri"/>
          <w:sz w:val="22"/>
          <w:szCs w:val="22"/>
          <w:lang w:val="en-AU"/>
        </w:rPr>
      </w:pPr>
      <w:r>
        <w:rPr>
          <w:rFonts w:ascii="Calibri" w:hAnsi="Calibri"/>
          <w:sz w:val="22"/>
          <w:szCs w:val="22"/>
          <w:lang w:val="en-AU"/>
        </w:rPr>
        <w:t xml:space="preserve">In </w:t>
      </w:r>
      <w:r w:rsidR="00E95D16">
        <w:rPr>
          <w:rFonts w:ascii="Calibri" w:hAnsi="Calibri"/>
          <w:sz w:val="22"/>
          <w:szCs w:val="22"/>
          <w:lang w:val="en-AU"/>
        </w:rPr>
        <w:t xml:space="preserve">Figure 1 (below) </w:t>
      </w:r>
      <w:r>
        <w:rPr>
          <w:rFonts w:ascii="Calibri" w:hAnsi="Calibri"/>
          <w:sz w:val="22"/>
          <w:szCs w:val="22"/>
          <w:lang w:val="en-AU"/>
        </w:rPr>
        <w:t xml:space="preserve">the least restrictive option ‘Permanent housing (scatter-site off site services)’ is a Housing First approach </w:t>
      </w:r>
      <w:r w:rsidR="0045480F">
        <w:rPr>
          <w:rFonts w:ascii="Calibri" w:hAnsi="Calibri"/>
          <w:sz w:val="22"/>
          <w:szCs w:val="22"/>
          <w:lang w:val="en-AU"/>
        </w:rPr>
        <w:t xml:space="preserve">that meets the needs of most people experiencing co-occurring homelessness and severe mental illness. ‘Permanent Single Site (on site services)’ would also represent a Housing First approach, akin to the Common Ground model discussed above. </w:t>
      </w:r>
      <w:r w:rsidR="008E3A88">
        <w:rPr>
          <w:rFonts w:ascii="Calibri" w:hAnsi="Calibri"/>
          <w:sz w:val="22"/>
          <w:szCs w:val="22"/>
          <w:lang w:val="en-AU"/>
        </w:rPr>
        <w:t>The remaining two settings are in</w:t>
      </w:r>
      <w:r w:rsidR="00DB47C1">
        <w:rPr>
          <w:rFonts w:ascii="Calibri" w:hAnsi="Calibri"/>
          <w:sz w:val="22"/>
          <w:szCs w:val="22"/>
          <w:lang w:val="en-AU"/>
        </w:rPr>
        <w:t>-</w:t>
      </w:r>
      <w:r w:rsidR="008E3A88">
        <w:rPr>
          <w:rFonts w:ascii="Calibri" w:hAnsi="Calibri"/>
          <w:sz w:val="22"/>
          <w:szCs w:val="22"/>
          <w:lang w:val="en-AU"/>
        </w:rPr>
        <w:t xml:space="preserve">patient care. </w:t>
      </w:r>
      <w:r w:rsidR="00DB47C1">
        <w:rPr>
          <w:rFonts w:ascii="Calibri" w:hAnsi="Calibri"/>
          <w:sz w:val="22"/>
          <w:szCs w:val="22"/>
          <w:lang w:val="en-AU"/>
        </w:rPr>
        <w:t>Common to a</w:t>
      </w:r>
      <w:r w:rsidR="008E3A88">
        <w:rPr>
          <w:rFonts w:ascii="Calibri" w:hAnsi="Calibri"/>
          <w:sz w:val="22"/>
          <w:szCs w:val="22"/>
          <w:lang w:val="en-AU"/>
        </w:rPr>
        <w:t xml:space="preserve">ll mental health service settings highlighted in Figure 1 </w:t>
      </w:r>
      <w:r w:rsidR="00DB47C1">
        <w:rPr>
          <w:rFonts w:ascii="Calibri" w:hAnsi="Calibri"/>
          <w:sz w:val="22"/>
          <w:szCs w:val="22"/>
          <w:lang w:val="en-AU"/>
        </w:rPr>
        <w:t xml:space="preserve">is that they </w:t>
      </w:r>
      <w:r w:rsidR="008E3A88">
        <w:rPr>
          <w:rFonts w:ascii="Calibri" w:hAnsi="Calibri"/>
          <w:sz w:val="22"/>
          <w:szCs w:val="22"/>
          <w:lang w:val="en-AU"/>
        </w:rPr>
        <w:t>recognise housing as a precondition for mental healthcare</w:t>
      </w:r>
      <w:r w:rsidR="00FB49DC">
        <w:rPr>
          <w:rFonts w:ascii="Calibri" w:hAnsi="Calibri"/>
          <w:sz w:val="22"/>
          <w:szCs w:val="22"/>
          <w:lang w:val="en-AU"/>
        </w:rPr>
        <w:t>, and indeed, a necessary component of that healthcare.</w:t>
      </w:r>
    </w:p>
    <w:p w14:paraId="601B94E4" w14:textId="77777777" w:rsidR="00E95D16" w:rsidRDefault="00E95D16" w:rsidP="00B21601">
      <w:pPr>
        <w:rPr>
          <w:rFonts w:ascii="Calibri" w:hAnsi="Calibri"/>
          <w:sz w:val="22"/>
          <w:szCs w:val="22"/>
          <w:lang w:val="en-AU"/>
        </w:rPr>
      </w:pPr>
    </w:p>
    <w:p w14:paraId="205489B1" w14:textId="05F4574A" w:rsidR="008221CB" w:rsidRPr="00E95D16" w:rsidRDefault="00E95D16" w:rsidP="00B21601">
      <w:pPr>
        <w:rPr>
          <w:rFonts w:ascii="Calibri" w:hAnsi="Calibri"/>
          <w:b/>
          <w:sz w:val="22"/>
          <w:szCs w:val="22"/>
          <w:lang w:val="en-AU"/>
        </w:rPr>
      </w:pPr>
      <w:r>
        <w:rPr>
          <w:rFonts w:ascii="Calibri" w:hAnsi="Calibri"/>
          <w:b/>
          <w:sz w:val="22"/>
          <w:szCs w:val="22"/>
          <w:lang w:val="en-AU"/>
        </w:rPr>
        <w:t xml:space="preserve">Figure 1. </w:t>
      </w:r>
      <w:r w:rsidR="008E3A88">
        <w:rPr>
          <w:rStyle w:val="FootnoteReference"/>
          <w:rFonts w:ascii="Calibri" w:hAnsi="Calibri"/>
          <w:sz w:val="22"/>
          <w:szCs w:val="22"/>
          <w:lang w:val="en-AU"/>
        </w:rPr>
        <w:footnoteReference w:id="20"/>
      </w:r>
    </w:p>
    <w:p w14:paraId="4191D7EF" w14:textId="44B8F0A2" w:rsidR="008221CB" w:rsidRDefault="008221CB" w:rsidP="00B21601">
      <w:pPr>
        <w:rPr>
          <w:rFonts w:ascii="Calibri" w:hAnsi="Calibri"/>
          <w:sz w:val="22"/>
          <w:szCs w:val="22"/>
          <w:lang w:val="en-AU"/>
        </w:rPr>
      </w:pPr>
      <w:r>
        <w:rPr>
          <w:noProof/>
          <w:lang w:val="en-AU" w:eastAsia="en-AU"/>
        </w:rPr>
        <w:drawing>
          <wp:inline distT="0" distB="0" distL="0" distR="0" wp14:anchorId="67DD6906" wp14:editId="105C8B5B">
            <wp:extent cx="4950460" cy="19907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10837"/>
                    <a:stretch/>
                  </pic:blipFill>
                  <pic:spPr bwMode="auto">
                    <a:xfrm>
                      <a:off x="0" y="0"/>
                      <a:ext cx="4950460" cy="1990725"/>
                    </a:xfrm>
                    <a:prstGeom prst="rect">
                      <a:avLst/>
                    </a:prstGeom>
                    <a:ln>
                      <a:noFill/>
                    </a:ln>
                    <a:extLst>
                      <a:ext uri="{53640926-AAD7-44D8-BBD7-CCE9431645EC}">
                        <a14:shadowObscured xmlns:a14="http://schemas.microsoft.com/office/drawing/2010/main"/>
                      </a:ext>
                    </a:extLst>
                  </pic:spPr>
                </pic:pic>
              </a:graphicData>
            </a:graphic>
          </wp:inline>
        </w:drawing>
      </w:r>
    </w:p>
    <w:p w14:paraId="79CC8D3D" w14:textId="77777777" w:rsidR="00940E17" w:rsidRDefault="00940E17" w:rsidP="00B21601">
      <w:pPr>
        <w:rPr>
          <w:rFonts w:ascii="Calibri" w:hAnsi="Calibri"/>
          <w:sz w:val="22"/>
          <w:szCs w:val="22"/>
          <w:lang w:val="en-AU"/>
        </w:rPr>
      </w:pPr>
    </w:p>
    <w:p w14:paraId="564B19F7" w14:textId="56AD6260" w:rsidR="00C25297" w:rsidRDefault="00B91150" w:rsidP="00B21601">
      <w:pPr>
        <w:rPr>
          <w:rFonts w:ascii="Calibri" w:hAnsi="Calibri"/>
          <w:sz w:val="22"/>
          <w:szCs w:val="22"/>
          <w:lang w:val="en-AU"/>
        </w:rPr>
      </w:pPr>
      <w:r>
        <w:rPr>
          <w:rFonts w:ascii="Calibri" w:hAnsi="Calibri"/>
          <w:sz w:val="22"/>
          <w:szCs w:val="22"/>
          <w:lang w:val="en-AU"/>
        </w:rPr>
        <w:t xml:space="preserve">While Housing First is often considered a “gold standard” approach to addressing a person’s co-occurring homelessness and mental </w:t>
      </w:r>
      <w:r w:rsidR="0008296C">
        <w:rPr>
          <w:rFonts w:ascii="Calibri" w:hAnsi="Calibri"/>
          <w:sz w:val="22"/>
          <w:szCs w:val="22"/>
          <w:lang w:val="en-AU"/>
        </w:rPr>
        <w:t>ill-</w:t>
      </w:r>
      <w:r>
        <w:rPr>
          <w:rFonts w:ascii="Calibri" w:hAnsi="Calibri"/>
          <w:sz w:val="22"/>
          <w:szCs w:val="22"/>
          <w:lang w:val="en-AU"/>
        </w:rPr>
        <w:t xml:space="preserve">health needs, </w:t>
      </w:r>
      <w:r w:rsidR="0045480F">
        <w:rPr>
          <w:rFonts w:ascii="Calibri" w:hAnsi="Calibri"/>
          <w:sz w:val="22"/>
          <w:szCs w:val="22"/>
          <w:lang w:val="en-AU"/>
        </w:rPr>
        <w:t>Tsemberis makes clear that it is not an appr</w:t>
      </w:r>
      <w:r w:rsidR="00E37EDA">
        <w:rPr>
          <w:rFonts w:ascii="Calibri" w:hAnsi="Calibri"/>
          <w:sz w:val="22"/>
          <w:szCs w:val="22"/>
          <w:lang w:val="en-AU"/>
        </w:rPr>
        <w:t>oach that can successfully meet the needs of those who require clinical or institutional care. What all four stages approaches in Figure 1 do demonstrate</w:t>
      </w:r>
      <w:r w:rsidR="00AE36D6">
        <w:rPr>
          <w:rFonts w:ascii="Calibri" w:hAnsi="Calibri"/>
          <w:sz w:val="22"/>
          <w:szCs w:val="22"/>
          <w:lang w:val="en-AU"/>
        </w:rPr>
        <w:t xml:space="preserve"> is the need to consider housing as an important mental health support.</w:t>
      </w:r>
    </w:p>
    <w:p w14:paraId="5DDC48CC" w14:textId="6709E68E" w:rsidR="003674E3" w:rsidRDefault="003674E3" w:rsidP="00B21601">
      <w:pPr>
        <w:rPr>
          <w:rFonts w:ascii="Calibri" w:hAnsi="Calibri"/>
          <w:sz w:val="22"/>
          <w:szCs w:val="22"/>
          <w:lang w:val="en-AU"/>
        </w:rPr>
      </w:pPr>
    </w:p>
    <w:p w14:paraId="72E0EF76" w14:textId="34120BBC" w:rsidR="00987582" w:rsidRDefault="00987582" w:rsidP="00B21601">
      <w:pPr>
        <w:rPr>
          <w:rFonts w:ascii="Calibri" w:hAnsi="Calibri"/>
          <w:sz w:val="22"/>
          <w:szCs w:val="22"/>
          <w:lang w:val="en-AU"/>
        </w:rPr>
      </w:pPr>
      <w:proofErr w:type="spellStart"/>
      <w:r>
        <w:rPr>
          <w:rFonts w:ascii="Calibri" w:hAnsi="Calibri"/>
          <w:sz w:val="22"/>
          <w:szCs w:val="22"/>
          <w:lang w:val="en-AU"/>
        </w:rPr>
        <w:t>Pleace</w:t>
      </w:r>
      <w:proofErr w:type="spellEnd"/>
      <w:r>
        <w:rPr>
          <w:rFonts w:ascii="Calibri" w:hAnsi="Calibri"/>
          <w:sz w:val="22"/>
          <w:szCs w:val="22"/>
          <w:lang w:val="en-AU"/>
        </w:rPr>
        <w:t xml:space="preserve"> argues that while </w:t>
      </w:r>
      <w:r w:rsidR="00136446">
        <w:rPr>
          <w:rFonts w:ascii="Calibri" w:hAnsi="Calibri"/>
          <w:sz w:val="22"/>
          <w:szCs w:val="22"/>
          <w:lang w:val="en-AU"/>
        </w:rPr>
        <w:t xml:space="preserve">it is to be expected that programs should be contextually different when implemented </w:t>
      </w:r>
      <w:r w:rsidR="001226F5">
        <w:rPr>
          <w:rFonts w:ascii="Calibri" w:hAnsi="Calibri"/>
          <w:sz w:val="22"/>
          <w:szCs w:val="22"/>
          <w:lang w:val="en-AU"/>
        </w:rPr>
        <w:t>in</w:t>
      </w:r>
      <w:r w:rsidR="008353C5">
        <w:rPr>
          <w:rFonts w:ascii="Calibri" w:hAnsi="Calibri"/>
          <w:sz w:val="22"/>
          <w:szCs w:val="22"/>
          <w:lang w:val="en-AU"/>
        </w:rPr>
        <w:t xml:space="preserve"> different </w:t>
      </w:r>
      <w:r w:rsidR="00136446">
        <w:rPr>
          <w:rFonts w:ascii="Calibri" w:hAnsi="Calibri"/>
          <w:sz w:val="22"/>
          <w:szCs w:val="22"/>
          <w:lang w:val="en-AU"/>
        </w:rPr>
        <w:t>j</w:t>
      </w:r>
      <w:r w:rsidR="00027BD2">
        <w:rPr>
          <w:rFonts w:ascii="Calibri" w:hAnsi="Calibri"/>
          <w:sz w:val="22"/>
          <w:szCs w:val="22"/>
          <w:lang w:val="en-AU"/>
        </w:rPr>
        <w:t xml:space="preserve">urisdictions, some incarnations of Housing </w:t>
      </w:r>
      <w:r w:rsidR="00027BD2">
        <w:rPr>
          <w:rFonts w:ascii="Calibri" w:hAnsi="Calibri"/>
          <w:sz w:val="22"/>
          <w:szCs w:val="22"/>
          <w:lang w:val="en-AU"/>
        </w:rPr>
        <w:lastRenderedPageBreak/>
        <w:t>First have failed due to low fidelity to the model’s core principles.</w:t>
      </w:r>
      <w:r w:rsidR="00027BD2">
        <w:rPr>
          <w:rStyle w:val="FootnoteReference"/>
          <w:rFonts w:ascii="Calibri" w:hAnsi="Calibri"/>
          <w:sz w:val="22"/>
          <w:szCs w:val="22"/>
          <w:lang w:val="en-AU"/>
        </w:rPr>
        <w:footnoteReference w:id="21"/>
      </w:r>
      <w:r w:rsidR="00027BD2">
        <w:rPr>
          <w:rFonts w:ascii="Calibri" w:hAnsi="Calibri"/>
          <w:sz w:val="22"/>
          <w:szCs w:val="22"/>
          <w:lang w:val="en-AU"/>
        </w:rPr>
        <w:t xml:space="preserve"> </w:t>
      </w:r>
      <w:r w:rsidR="008353C5">
        <w:rPr>
          <w:rFonts w:ascii="Calibri" w:hAnsi="Calibri"/>
          <w:sz w:val="22"/>
          <w:szCs w:val="22"/>
          <w:lang w:val="en-AU"/>
        </w:rPr>
        <w:t>Similarly, Johnson has argued that Australian Housing First programs should not aim for total fidelity with</w:t>
      </w:r>
      <w:r w:rsidR="00FB49DC">
        <w:rPr>
          <w:rFonts w:ascii="Calibri" w:hAnsi="Calibri"/>
          <w:sz w:val="22"/>
          <w:szCs w:val="22"/>
          <w:lang w:val="en-AU"/>
        </w:rPr>
        <w:t xml:space="preserve"> the</w:t>
      </w:r>
      <w:r w:rsidR="008353C5">
        <w:rPr>
          <w:rFonts w:ascii="Calibri" w:hAnsi="Calibri"/>
          <w:sz w:val="22"/>
          <w:szCs w:val="22"/>
          <w:lang w:val="en-AU"/>
        </w:rPr>
        <w:t xml:space="preserve"> </w:t>
      </w:r>
      <w:r w:rsidR="001226F5" w:rsidRPr="001226F5">
        <w:rPr>
          <w:rFonts w:ascii="Calibri" w:hAnsi="Calibri"/>
          <w:i/>
          <w:sz w:val="22"/>
          <w:szCs w:val="22"/>
          <w:lang w:val="en-AU"/>
        </w:rPr>
        <w:t>Pathways to Housing</w:t>
      </w:r>
      <w:r w:rsidR="008353C5" w:rsidRPr="001226F5">
        <w:rPr>
          <w:rFonts w:ascii="Calibri" w:hAnsi="Calibri"/>
          <w:i/>
          <w:sz w:val="22"/>
          <w:szCs w:val="22"/>
          <w:lang w:val="en-AU"/>
        </w:rPr>
        <w:t xml:space="preserve"> </w:t>
      </w:r>
      <w:r w:rsidR="008353C5">
        <w:rPr>
          <w:rFonts w:ascii="Calibri" w:hAnsi="Calibri"/>
          <w:sz w:val="22"/>
          <w:szCs w:val="22"/>
          <w:lang w:val="en-AU"/>
        </w:rPr>
        <w:t>program from which Housing First derives, but that “</w:t>
      </w:r>
      <w:r w:rsidR="008353C5" w:rsidRPr="008353C5">
        <w:rPr>
          <w:rFonts w:ascii="Calibri" w:hAnsi="Calibri"/>
          <w:sz w:val="22"/>
          <w:szCs w:val="22"/>
        </w:rPr>
        <w:t>having the capacity to access and manage permanent housing</w:t>
      </w:r>
      <w:r w:rsidR="00FA0D31">
        <w:rPr>
          <w:rFonts w:ascii="Calibri" w:hAnsi="Calibri"/>
          <w:sz w:val="22"/>
          <w:szCs w:val="22"/>
        </w:rPr>
        <w:t>…</w:t>
      </w:r>
      <w:r w:rsidR="008353C5" w:rsidRPr="008353C5">
        <w:rPr>
          <w:rFonts w:ascii="Calibri" w:hAnsi="Calibri"/>
          <w:sz w:val="22"/>
          <w:szCs w:val="22"/>
        </w:rPr>
        <w:t xml:space="preserve"> are fundamental to the Pathways to Housing program achieving significant housing retention success</w:t>
      </w:r>
      <w:r w:rsidR="00FA0D31">
        <w:rPr>
          <w:rFonts w:ascii="Calibri" w:hAnsi="Calibri"/>
          <w:sz w:val="22"/>
          <w:szCs w:val="22"/>
        </w:rPr>
        <w:t>”</w:t>
      </w:r>
      <w:r w:rsidR="008353C5" w:rsidRPr="008353C5">
        <w:rPr>
          <w:rFonts w:ascii="Calibri" w:hAnsi="Calibri"/>
          <w:sz w:val="22"/>
          <w:szCs w:val="22"/>
        </w:rPr>
        <w:t>.</w:t>
      </w:r>
      <w:r w:rsidR="00FA0D31">
        <w:rPr>
          <w:rStyle w:val="FootnoteReference"/>
          <w:rFonts w:ascii="Calibri" w:hAnsi="Calibri"/>
          <w:sz w:val="22"/>
          <w:szCs w:val="22"/>
        </w:rPr>
        <w:footnoteReference w:id="22"/>
      </w:r>
    </w:p>
    <w:p w14:paraId="30287FDC" w14:textId="1950A81F" w:rsidR="00987582" w:rsidRDefault="00987582" w:rsidP="00B21601">
      <w:pPr>
        <w:rPr>
          <w:rFonts w:ascii="Calibri" w:hAnsi="Calibri"/>
          <w:sz w:val="22"/>
          <w:szCs w:val="22"/>
          <w:lang w:val="en-AU"/>
        </w:rPr>
      </w:pPr>
    </w:p>
    <w:p w14:paraId="464E6143" w14:textId="42D81B74" w:rsidR="00B83EB9" w:rsidRPr="00B83EB9" w:rsidRDefault="00B83EB9" w:rsidP="00B21601">
      <w:pPr>
        <w:rPr>
          <w:rFonts w:ascii="Calibri" w:hAnsi="Calibri"/>
          <w:sz w:val="22"/>
          <w:szCs w:val="22"/>
          <w:lang w:val="en-AU"/>
        </w:rPr>
      </w:pPr>
      <w:r>
        <w:rPr>
          <w:rFonts w:ascii="Calibri" w:hAnsi="Calibri"/>
          <w:b/>
          <w:sz w:val="22"/>
          <w:szCs w:val="22"/>
          <w:lang w:val="en-AU"/>
        </w:rPr>
        <w:t>Recommendation:</w:t>
      </w:r>
      <w:r>
        <w:rPr>
          <w:rFonts w:ascii="Calibri" w:hAnsi="Calibri"/>
          <w:sz w:val="22"/>
          <w:szCs w:val="22"/>
          <w:lang w:val="en-AU"/>
        </w:rPr>
        <w:t xml:space="preserve"> </w:t>
      </w:r>
      <w:r w:rsidR="00671DB6">
        <w:rPr>
          <w:rFonts w:ascii="Calibri" w:hAnsi="Calibri"/>
          <w:sz w:val="22"/>
          <w:szCs w:val="22"/>
          <w:lang w:val="en-AU"/>
        </w:rPr>
        <w:t xml:space="preserve">The Productivity Commission should consider housing as a necessary </w:t>
      </w:r>
      <w:r w:rsidR="00FB49DC">
        <w:rPr>
          <w:rFonts w:ascii="Calibri" w:hAnsi="Calibri"/>
          <w:sz w:val="22"/>
          <w:szCs w:val="22"/>
          <w:lang w:val="en-AU"/>
        </w:rPr>
        <w:t>component</w:t>
      </w:r>
      <w:r w:rsidR="00977328">
        <w:rPr>
          <w:rFonts w:ascii="Calibri" w:hAnsi="Calibri"/>
          <w:sz w:val="22"/>
          <w:szCs w:val="22"/>
          <w:lang w:val="en-AU"/>
        </w:rPr>
        <w:t xml:space="preserve"> for mental health treatment for those experiencing or at risk of homelessness.</w:t>
      </w:r>
    </w:p>
    <w:p w14:paraId="66E1AC39" w14:textId="4660E9F7" w:rsidR="003674E3" w:rsidRDefault="003674E3" w:rsidP="00B21601">
      <w:pPr>
        <w:rPr>
          <w:rFonts w:ascii="Calibri" w:hAnsi="Calibri"/>
          <w:sz w:val="22"/>
          <w:szCs w:val="22"/>
          <w:lang w:val="en-AU"/>
        </w:rPr>
      </w:pPr>
    </w:p>
    <w:p w14:paraId="625DBF7C" w14:textId="39C818D0" w:rsidR="00671DB6" w:rsidRPr="00B83EB9" w:rsidRDefault="00671DB6" w:rsidP="00671DB6">
      <w:pPr>
        <w:rPr>
          <w:rFonts w:ascii="Calibri" w:hAnsi="Calibri"/>
          <w:sz w:val="22"/>
          <w:szCs w:val="22"/>
          <w:lang w:val="en-AU"/>
        </w:rPr>
      </w:pPr>
      <w:r>
        <w:rPr>
          <w:rFonts w:ascii="Calibri" w:hAnsi="Calibri"/>
          <w:b/>
          <w:sz w:val="22"/>
          <w:szCs w:val="22"/>
          <w:lang w:val="en-AU"/>
        </w:rPr>
        <w:t>Recommendation:</w:t>
      </w:r>
      <w:r>
        <w:rPr>
          <w:rFonts w:ascii="Calibri" w:hAnsi="Calibri"/>
          <w:sz w:val="22"/>
          <w:szCs w:val="22"/>
          <w:lang w:val="en-AU"/>
        </w:rPr>
        <w:t xml:space="preserve"> Housing First approaches must have meaningful access to housing.</w:t>
      </w:r>
    </w:p>
    <w:p w14:paraId="0EFC92FB" w14:textId="77777777" w:rsidR="00671DB6" w:rsidRDefault="00671DB6" w:rsidP="00B21601">
      <w:pPr>
        <w:rPr>
          <w:rFonts w:ascii="Calibri" w:hAnsi="Calibri"/>
          <w:sz w:val="22"/>
          <w:szCs w:val="22"/>
          <w:lang w:val="en-AU"/>
        </w:rPr>
      </w:pPr>
    </w:p>
    <w:p w14:paraId="16B5788D" w14:textId="77777777" w:rsidR="003674E3" w:rsidRDefault="003674E3" w:rsidP="00B21601">
      <w:pPr>
        <w:rPr>
          <w:rFonts w:ascii="Calibri" w:hAnsi="Calibri"/>
          <w:sz w:val="22"/>
          <w:szCs w:val="22"/>
          <w:lang w:val="en-AU"/>
        </w:rPr>
      </w:pPr>
    </w:p>
    <w:p w14:paraId="4AFA297E" w14:textId="4FAE1730" w:rsidR="00DB51A4" w:rsidRDefault="00FB2E91" w:rsidP="00DB51A4">
      <w:pPr>
        <w:rPr>
          <w:rFonts w:ascii="Calibri" w:hAnsi="Calibri"/>
          <w:sz w:val="22"/>
          <w:szCs w:val="22"/>
          <w:lang w:val="en-AU"/>
        </w:rPr>
      </w:pPr>
      <w:r>
        <w:rPr>
          <w:rFonts w:ascii="Calibri" w:hAnsi="Calibri"/>
          <w:b/>
          <w:bCs/>
          <w:color w:val="929F2D"/>
          <w:sz w:val="26"/>
          <w:szCs w:val="26"/>
          <w:lang w:val="en-AU"/>
        </w:rPr>
        <w:t>Child safety, mental health, and housing</w:t>
      </w:r>
    </w:p>
    <w:p w14:paraId="4ADE6D39" w14:textId="75F7446A" w:rsidR="003674E3" w:rsidRDefault="003674E3" w:rsidP="00B21601">
      <w:pPr>
        <w:rPr>
          <w:rFonts w:ascii="Calibri" w:hAnsi="Calibri"/>
          <w:sz w:val="22"/>
          <w:szCs w:val="22"/>
          <w:lang w:val="en-AU"/>
        </w:rPr>
      </w:pPr>
    </w:p>
    <w:p w14:paraId="2A088CBF" w14:textId="35A7B6A0" w:rsidR="00741983" w:rsidRDefault="00DF1D93" w:rsidP="00741983">
      <w:pPr>
        <w:rPr>
          <w:rFonts w:ascii="Calibri" w:hAnsi="Calibri"/>
          <w:sz w:val="22"/>
          <w:szCs w:val="22"/>
          <w:lang w:val="en-AU"/>
        </w:rPr>
      </w:pPr>
      <w:r>
        <w:rPr>
          <w:rFonts w:ascii="Calibri" w:hAnsi="Calibri"/>
          <w:sz w:val="22"/>
          <w:szCs w:val="22"/>
          <w:lang w:val="en-AU"/>
        </w:rPr>
        <w:t>The causes and conditions of youth homelessness are</w:t>
      </w:r>
      <w:r w:rsidR="00977328">
        <w:rPr>
          <w:rFonts w:ascii="Calibri" w:hAnsi="Calibri"/>
          <w:sz w:val="22"/>
          <w:szCs w:val="22"/>
          <w:lang w:val="en-AU"/>
        </w:rPr>
        <w:t xml:space="preserve"> often</w:t>
      </w:r>
      <w:r>
        <w:rPr>
          <w:rFonts w:ascii="Calibri" w:hAnsi="Calibri"/>
          <w:sz w:val="22"/>
          <w:szCs w:val="22"/>
          <w:lang w:val="en-AU"/>
        </w:rPr>
        <w:t xml:space="preserve"> different from those of adults.</w:t>
      </w:r>
      <w:r w:rsidR="00216E4F">
        <w:rPr>
          <w:rFonts w:ascii="Calibri" w:hAnsi="Calibri"/>
          <w:sz w:val="22"/>
          <w:szCs w:val="22"/>
          <w:lang w:val="en-AU"/>
        </w:rPr>
        <w:t xml:space="preserve"> </w:t>
      </w:r>
      <w:r w:rsidR="00C350C2">
        <w:rPr>
          <w:rFonts w:ascii="Calibri" w:hAnsi="Calibri"/>
          <w:sz w:val="22"/>
          <w:szCs w:val="22"/>
          <w:lang w:val="en-AU"/>
        </w:rPr>
        <w:t>Young people also experience mental ill-health differently from adults. W</w:t>
      </w:r>
      <w:r w:rsidR="00216E4F">
        <w:rPr>
          <w:rFonts w:ascii="Calibri" w:hAnsi="Calibri"/>
          <w:sz w:val="22"/>
          <w:szCs w:val="22"/>
          <w:lang w:val="en-AU"/>
        </w:rPr>
        <w:t xml:space="preserve">e shouldn’t assume that programs or models that are proven to be effective in supporting adults experiencing </w:t>
      </w:r>
      <w:r w:rsidR="00C350C2">
        <w:rPr>
          <w:rFonts w:ascii="Calibri" w:hAnsi="Calibri"/>
          <w:sz w:val="22"/>
          <w:szCs w:val="22"/>
          <w:lang w:val="en-AU"/>
        </w:rPr>
        <w:t xml:space="preserve">homelessness and/or mental ill-health are effective in supporting young people. </w:t>
      </w:r>
      <w:r w:rsidR="00705DE3">
        <w:rPr>
          <w:rFonts w:ascii="Calibri" w:hAnsi="Calibri"/>
          <w:sz w:val="22"/>
          <w:szCs w:val="22"/>
          <w:lang w:val="en-AU"/>
        </w:rPr>
        <w:t>Of particular concern is that Housing First supports a consumer’s independ</w:t>
      </w:r>
      <w:r w:rsidR="00162EDF">
        <w:rPr>
          <w:rFonts w:ascii="Calibri" w:hAnsi="Calibri"/>
          <w:sz w:val="22"/>
          <w:szCs w:val="22"/>
          <w:lang w:val="en-AU"/>
        </w:rPr>
        <w:t xml:space="preserve">ence, whereas young people </w:t>
      </w:r>
      <w:r w:rsidR="00812DAA">
        <w:rPr>
          <w:rFonts w:ascii="Calibri" w:hAnsi="Calibri"/>
          <w:sz w:val="22"/>
          <w:szCs w:val="22"/>
          <w:lang w:val="en-AU"/>
        </w:rPr>
        <w:t>may not be</w:t>
      </w:r>
      <w:r w:rsidR="00162EDF">
        <w:rPr>
          <w:rFonts w:ascii="Calibri" w:hAnsi="Calibri"/>
          <w:sz w:val="22"/>
          <w:szCs w:val="22"/>
          <w:lang w:val="en-AU"/>
        </w:rPr>
        <w:t xml:space="preserve"> fully independent and </w:t>
      </w:r>
      <w:r w:rsidR="00812DAA">
        <w:rPr>
          <w:rFonts w:ascii="Calibri" w:hAnsi="Calibri"/>
          <w:sz w:val="22"/>
          <w:szCs w:val="22"/>
          <w:lang w:val="en-AU"/>
        </w:rPr>
        <w:t xml:space="preserve">often </w:t>
      </w:r>
      <w:r w:rsidR="00162EDF">
        <w:rPr>
          <w:rFonts w:ascii="Calibri" w:hAnsi="Calibri"/>
          <w:sz w:val="22"/>
          <w:szCs w:val="22"/>
          <w:lang w:val="en-AU"/>
        </w:rPr>
        <w:t>require adult support and guidance.</w:t>
      </w:r>
    </w:p>
    <w:p w14:paraId="65BE9CBB" w14:textId="77777777" w:rsidR="00DD1CD7" w:rsidRDefault="00DD1CD7" w:rsidP="00E121A0">
      <w:pPr>
        <w:pStyle w:val="CHPText"/>
        <w:jc w:val="center"/>
      </w:pPr>
    </w:p>
    <w:p w14:paraId="09CA1CFF" w14:textId="68EAD840" w:rsidR="00E121A0" w:rsidRPr="00FD57FB" w:rsidRDefault="00470665" w:rsidP="00FD57FB">
      <w:pPr>
        <w:pStyle w:val="CHPText"/>
        <w:jc w:val="center"/>
        <w:rPr>
          <w:i/>
          <w:color w:val="929F2D" w:themeColor="accent1"/>
          <w:szCs w:val="22"/>
          <w:lang w:val="en-AU"/>
        </w:rPr>
      </w:pPr>
      <w:r>
        <w:rPr>
          <w:i/>
          <w:color w:val="929F2D" w:themeColor="accent1"/>
          <w:szCs w:val="22"/>
          <w:lang w:val="en-AU"/>
        </w:rPr>
        <w:t>‘</w:t>
      </w:r>
      <w:r w:rsidR="00FD57FB">
        <w:rPr>
          <w:i/>
          <w:color w:val="929F2D" w:themeColor="accent1"/>
          <w:szCs w:val="22"/>
        </w:rPr>
        <w:t>A</w:t>
      </w:r>
      <w:r w:rsidR="00FD57FB" w:rsidRPr="00FD57FB">
        <w:rPr>
          <w:i/>
          <w:color w:val="929F2D" w:themeColor="accent1"/>
          <w:szCs w:val="22"/>
        </w:rPr>
        <w:t xml:space="preserve"> Housing First approach for youth must not merely replicate an established approach that works for adults and simply create Housing First ‘Junior’ by changing the age mandate. If Housing First is to work for youth, it must be built upon our understanding of the developmental, social a</w:t>
      </w:r>
      <w:r w:rsidR="00FD57FB">
        <w:rPr>
          <w:i/>
          <w:color w:val="929F2D" w:themeColor="accent1"/>
          <w:szCs w:val="22"/>
        </w:rPr>
        <w:t>nd legal needs of young persons’</w:t>
      </w:r>
    </w:p>
    <w:p w14:paraId="54BC72D0" w14:textId="41EF2043" w:rsidR="006A7690" w:rsidRPr="006F24A4" w:rsidRDefault="00FD57FB" w:rsidP="004A642C">
      <w:pPr>
        <w:pStyle w:val="CHPText"/>
        <w:numPr>
          <w:ilvl w:val="0"/>
          <w:numId w:val="33"/>
        </w:numPr>
        <w:jc w:val="right"/>
        <w:rPr>
          <w:szCs w:val="22"/>
          <w:lang w:val="en-AU"/>
        </w:rPr>
      </w:pPr>
      <w:proofErr w:type="spellStart"/>
      <w:r w:rsidRPr="00FD57FB">
        <w:rPr>
          <w:color w:val="929F2D" w:themeColor="accent1"/>
          <w:szCs w:val="22"/>
          <w:lang w:val="en-AU"/>
        </w:rPr>
        <w:t>Gaetz</w:t>
      </w:r>
      <w:proofErr w:type="spellEnd"/>
      <w:r w:rsidRPr="00FD57FB">
        <w:rPr>
          <w:color w:val="929F2D" w:themeColor="accent1"/>
          <w:szCs w:val="22"/>
          <w:lang w:val="en-AU"/>
        </w:rPr>
        <w:t>, S., 2014</w:t>
      </w:r>
      <w:r>
        <w:rPr>
          <w:rStyle w:val="FootnoteReference"/>
          <w:color w:val="929F2D" w:themeColor="accent1"/>
          <w:szCs w:val="22"/>
          <w:lang w:val="en-AU"/>
        </w:rPr>
        <w:footnoteReference w:id="23"/>
      </w:r>
    </w:p>
    <w:p w14:paraId="6CAAA256" w14:textId="29E00609" w:rsidR="006F24A4" w:rsidRDefault="006F24A4" w:rsidP="006F24A4">
      <w:pPr>
        <w:pStyle w:val="CHPText"/>
        <w:rPr>
          <w:color w:val="929F2D" w:themeColor="accent1"/>
          <w:szCs w:val="22"/>
          <w:lang w:val="en-AU"/>
        </w:rPr>
      </w:pPr>
    </w:p>
    <w:p w14:paraId="125447DC" w14:textId="69D9C2C1" w:rsidR="006F24A4" w:rsidRDefault="00A23C14" w:rsidP="006F24A4">
      <w:pPr>
        <w:pStyle w:val="CHPText"/>
        <w:rPr>
          <w:szCs w:val="22"/>
          <w:lang w:val="en-AU"/>
        </w:rPr>
      </w:pPr>
      <w:proofErr w:type="spellStart"/>
      <w:r>
        <w:rPr>
          <w:szCs w:val="22"/>
          <w:lang w:val="en-AU"/>
        </w:rPr>
        <w:t>Gaetz</w:t>
      </w:r>
      <w:proofErr w:type="spellEnd"/>
      <w:r>
        <w:rPr>
          <w:szCs w:val="22"/>
          <w:lang w:val="en-AU"/>
        </w:rPr>
        <w:t xml:space="preserve"> provides a detailed consideration of </w:t>
      </w:r>
      <w:r w:rsidR="00F71397">
        <w:rPr>
          <w:szCs w:val="22"/>
          <w:lang w:val="en-AU"/>
        </w:rPr>
        <w:t>the application of the Housing First model to young people in his literature review</w:t>
      </w:r>
      <w:r w:rsidR="00F71397">
        <w:rPr>
          <w:rStyle w:val="FootnoteReference"/>
          <w:szCs w:val="22"/>
          <w:lang w:val="en-AU"/>
        </w:rPr>
        <w:footnoteReference w:id="24"/>
      </w:r>
      <w:r w:rsidR="00F71397">
        <w:rPr>
          <w:szCs w:val="22"/>
          <w:lang w:val="en-AU"/>
        </w:rPr>
        <w:t>.</w:t>
      </w:r>
      <w:r w:rsidR="00AA4747">
        <w:rPr>
          <w:szCs w:val="22"/>
          <w:lang w:val="en-AU"/>
        </w:rPr>
        <w:t xml:space="preserve"> CHP notes </w:t>
      </w:r>
      <w:r w:rsidR="0062368D">
        <w:rPr>
          <w:szCs w:val="22"/>
          <w:lang w:val="en-AU"/>
        </w:rPr>
        <w:t>that many young people are more comfortable and achieve better outcomes in congregate care</w:t>
      </w:r>
      <w:r w:rsidR="0062368D">
        <w:rPr>
          <w:rStyle w:val="FootnoteReference"/>
          <w:szCs w:val="22"/>
          <w:lang w:val="en-AU"/>
        </w:rPr>
        <w:footnoteReference w:id="25"/>
      </w:r>
      <w:r w:rsidR="0062368D">
        <w:rPr>
          <w:szCs w:val="22"/>
          <w:lang w:val="en-AU"/>
        </w:rPr>
        <w:t xml:space="preserve"> </w:t>
      </w:r>
      <w:r w:rsidR="0062368D">
        <w:rPr>
          <w:rStyle w:val="FootnoteReference"/>
          <w:szCs w:val="22"/>
          <w:lang w:val="en-AU"/>
        </w:rPr>
        <w:footnoteReference w:id="26"/>
      </w:r>
      <w:r w:rsidR="0062368D">
        <w:rPr>
          <w:szCs w:val="22"/>
          <w:lang w:val="en-AU"/>
        </w:rPr>
        <w:t>.</w:t>
      </w:r>
      <w:r w:rsidR="00863931">
        <w:rPr>
          <w:szCs w:val="22"/>
          <w:lang w:val="en-AU"/>
        </w:rPr>
        <w:t xml:space="preserve"> Housing First then </w:t>
      </w:r>
      <w:r w:rsidR="00863931" w:rsidRPr="00863931">
        <w:rPr>
          <w:i/>
          <w:szCs w:val="22"/>
          <w:lang w:val="en-AU"/>
        </w:rPr>
        <w:t>can</w:t>
      </w:r>
      <w:r w:rsidR="00863931">
        <w:rPr>
          <w:szCs w:val="22"/>
          <w:lang w:val="en-AU"/>
        </w:rPr>
        <w:t xml:space="preserve"> work for young people experiencing homelessness and mental ill-health, but in a context where the support delivered is commensurate with their need</w:t>
      </w:r>
      <w:r w:rsidR="00812DAA">
        <w:rPr>
          <w:szCs w:val="22"/>
          <w:lang w:val="en-AU"/>
        </w:rPr>
        <w:t>s</w:t>
      </w:r>
      <w:r w:rsidR="00863931">
        <w:rPr>
          <w:szCs w:val="22"/>
          <w:lang w:val="en-AU"/>
        </w:rPr>
        <w:t xml:space="preserve">, which </w:t>
      </w:r>
      <w:r w:rsidR="00812DAA">
        <w:rPr>
          <w:szCs w:val="22"/>
          <w:lang w:val="en-AU"/>
        </w:rPr>
        <w:t>are</w:t>
      </w:r>
      <w:r w:rsidR="00863931">
        <w:rPr>
          <w:szCs w:val="22"/>
          <w:lang w:val="en-AU"/>
        </w:rPr>
        <w:t xml:space="preserve"> likely to be </w:t>
      </w:r>
      <w:r w:rsidR="00A50711">
        <w:rPr>
          <w:szCs w:val="22"/>
          <w:lang w:val="en-AU"/>
        </w:rPr>
        <w:t xml:space="preserve">both </w:t>
      </w:r>
      <w:r w:rsidR="00863931">
        <w:rPr>
          <w:szCs w:val="22"/>
          <w:lang w:val="en-AU"/>
        </w:rPr>
        <w:t>greater</w:t>
      </w:r>
      <w:r w:rsidR="00A50711">
        <w:rPr>
          <w:szCs w:val="22"/>
          <w:lang w:val="en-AU"/>
        </w:rPr>
        <w:t xml:space="preserve"> and different from that of</w:t>
      </w:r>
      <w:r w:rsidR="00863931">
        <w:rPr>
          <w:szCs w:val="22"/>
          <w:lang w:val="en-AU"/>
        </w:rPr>
        <w:t xml:space="preserve"> the adult population.</w:t>
      </w:r>
    </w:p>
    <w:p w14:paraId="33FE9251" w14:textId="371189E2" w:rsidR="00AF271E" w:rsidRDefault="00AF271E" w:rsidP="006F24A4">
      <w:pPr>
        <w:pStyle w:val="CHPText"/>
        <w:rPr>
          <w:szCs w:val="22"/>
          <w:lang w:val="en-AU"/>
        </w:rPr>
      </w:pPr>
    </w:p>
    <w:p w14:paraId="36E365DD" w14:textId="63D3EB3D" w:rsidR="00AF271E" w:rsidRDefault="00AF271E" w:rsidP="006F24A4">
      <w:pPr>
        <w:pStyle w:val="CHPText"/>
        <w:rPr>
          <w:szCs w:val="22"/>
          <w:lang w:val="en-AU"/>
        </w:rPr>
      </w:pPr>
      <w:r>
        <w:rPr>
          <w:szCs w:val="22"/>
          <w:lang w:val="en-AU"/>
        </w:rPr>
        <w:t xml:space="preserve">Baldry notes </w:t>
      </w:r>
      <w:r w:rsidR="00DB701E">
        <w:rPr>
          <w:szCs w:val="22"/>
          <w:lang w:val="en-AU"/>
        </w:rPr>
        <w:t xml:space="preserve">that </w:t>
      </w:r>
      <w:r w:rsidR="00BE31DE">
        <w:rPr>
          <w:szCs w:val="22"/>
          <w:lang w:val="en-AU"/>
        </w:rPr>
        <w:t>in particular</w:t>
      </w:r>
      <w:r w:rsidR="00DB72FA">
        <w:rPr>
          <w:szCs w:val="22"/>
          <w:lang w:val="en-AU"/>
        </w:rPr>
        <w:t>,</w:t>
      </w:r>
      <w:r w:rsidR="00BE31DE">
        <w:rPr>
          <w:szCs w:val="22"/>
          <w:lang w:val="en-AU"/>
        </w:rPr>
        <w:t xml:space="preserve"> </w:t>
      </w:r>
      <w:r w:rsidR="00DB72FA">
        <w:rPr>
          <w:szCs w:val="22"/>
          <w:lang w:val="en-AU"/>
        </w:rPr>
        <w:t>those</w:t>
      </w:r>
      <w:r w:rsidR="0016170A">
        <w:rPr>
          <w:szCs w:val="22"/>
          <w:lang w:val="en-AU"/>
        </w:rPr>
        <w:t xml:space="preserve"> </w:t>
      </w:r>
      <w:r w:rsidR="00DB701E">
        <w:rPr>
          <w:szCs w:val="22"/>
          <w:lang w:val="en-AU"/>
        </w:rPr>
        <w:t>young people whose needs are among the highest in the country have no appropriate support service</w:t>
      </w:r>
      <w:r w:rsidR="00DB701E">
        <w:rPr>
          <w:rStyle w:val="FootnoteReference"/>
          <w:szCs w:val="22"/>
          <w:lang w:val="en-AU"/>
        </w:rPr>
        <w:footnoteReference w:id="27"/>
      </w:r>
      <w:r w:rsidR="00DB701E">
        <w:rPr>
          <w:szCs w:val="22"/>
          <w:lang w:val="en-AU"/>
        </w:rPr>
        <w:t>.</w:t>
      </w:r>
      <w:r w:rsidR="00BE31DE">
        <w:rPr>
          <w:szCs w:val="22"/>
          <w:lang w:val="en-AU"/>
        </w:rPr>
        <w:t xml:space="preserve"> The lifetime institutional cost of agency contacts with these individuals </w:t>
      </w:r>
      <w:r w:rsidR="0016170A">
        <w:rPr>
          <w:szCs w:val="22"/>
          <w:lang w:val="en-AU"/>
        </w:rPr>
        <w:t xml:space="preserve">runs to millions of dollars per person. These young people are identifiable before they become </w:t>
      </w:r>
      <w:r w:rsidR="00812DAA">
        <w:rPr>
          <w:szCs w:val="22"/>
          <w:lang w:val="en-AU"/>
        </w:rPr>
        <w:t>entrenched users of institutions and services</w:t>
      </w:r>
      <w:r w:rsidR="0016170A">
        <w:rPr>
          <w:szCs w:val="22"/>
          <w:lang w:val="en-AU"/>
        </w:rPr>
        <w:t xml:space="preserve">. </w:t>
      </w:r>
      <w:r w:rsidR="008D0077">
        <w:rPr>
          <w:szCs w:val="22"/>
          <w:lang w:val="en-AU"/>
        </w:rPr>
        <w:t>This work shows that even supports which are more intensive than anything that is currently available for young people with</w:t>
      </w:r>
      <w:r w:rsidR="00A50711">
        <w:rPr>
          <w:szCs w:val="22"/>
          <w:lang w:val="en-AU"/>
        </w:rPr>
        <w:t xml:space="preserve"> multiple</w:t>
      </w:r>
      <w:r w:rsidR="008D0077">
        <w:rPr>
          <w:szCs w:val="22"/>
          <w:lang w:val="en-AU"/>
        </w:rPr>
        <w:t xml:space="preserve"> mental health, justice, and child protection interactions might be considered preventative when considered against a lifetime of high-cost service use.</w:t>
      </w:r>
    </w:p>
    <w:p w14:paraId="3BE007F9" w14:textId="71B08A29" w:rsidR="00863931" w:rsidRDefault="00863931" w:rsidP="006F24A4">
      <w:pPr>
        <w:pStyle w:val="CHPText"/>
        <w:rPr>
          <w:szCs w:val="22"/>
          <w:lang w:val="en-AU"/>
        </w:rPr>
      </w:pPr>
    </w:p>
    <w:p w14:paraId="3B860C97" w14:textId="227EFF9C" w:rsidR="00104BCE" w:rsidRPr="00B83EB9" w:rsidRDefault="00104BCE" w:rsidP="00104BCE">
      <w:pPr>
        <w:rPr>
          <w:rFonts w:ascii="Calibri" w:hAnsi="Calibri"/>
          <w:sz w:val="22"/>
          <w:szCs w:val="22"/>
          <w:lang w:val="en-AU"/>
        </w:rPr>
      </w:pPr>
      <w:r>
        <w:rPr>
          <w:rFonts w:ascii="Calibri" w:hAnsi="Calibri"/>
          <w:b/>
          <w:sz w:val="22"/>
          <w:szCs w:val="22"/>
          <w:lang w:val="en-AU"/>
        </w:rPr>
        <w:t>Recommendation:</w:t>
      </w:r>
      <w:r>
        <w:rPr>
          <w:rFonts w:ascii="Calibri" w:hAnsi="Calibri"/>
          <w:sz w:val="22"/>
          <w:szCs w:val="22"/>
          <w:lang w:val="en-AU"/>
        </w:rPr>
        <w:t xml:space="preserve"> Housing First approaches must recognise the different needs that young people have compared to adults. Each Housing First program for young people must be specifically tailored to ensure that it is delivering support commensurate to </w:t>
      </w:r>
      <w:r w:rsidR="009A48F1">
        <w:rPr>
          <w:rFonts w:ascii="Calibri" w:hAnsi="Calibri"/>
          <w:sz w:val="22"/>
          <w:szCs w:val="22"/>
          <w:lang w:val="en-AU"/>
        </w:rPr>
        <w:t xml:space="preserve">and appropriate for </w:t>
      </w:r>
      <w:r>
        <w:rPr>
          <w:rFonts w:ascii="Calibri" w:hAnsi="Calibri"/>
          <w:sz w:val="22"/>
          <w:szCs w:val="22"/>
          <w:lang w:val="en-AU"/>
        </w:rPr>
        <w:t>the needs of the young cohort it supports.</w:t>
      </w:r>
    </w:p>
    <w:p w14:paraId="1CB14839" w14:textId="44BE206E" w:rsidR="00863931" w:rsidRPr="00104BCE" w:rsidRDefault="00863931" w:rsidP="006F24A4">
      <w:pPr>
        <w:pStyle w:val="CHPText"/>
        <w:rPr>
          <w:b/>
          <w:color w:val="929F2D" w:themeColor="accent1"/>
          <w:szCs w:val="22"/>
          <w:lang w:val="en-AU"/>
        </w:rPr>
      </w:pPr>
    </w:p>
    <w:p w14:paraId="7918C0E6" w14:textId="77777777" w:rsidR="006F24A4" w:rsidRPr="00FD57FB" w:rsidRDefault="006F24A4" w:rsidP="006F24A4">
      <w:pPr>
        <w:pStyle w:val="CHPText"/>
        <w:rPr>
          <w:szCs w:val="22"/>
          <w:lang w:val="en-AU"/>
        </w:rPr>
      </w:pPr>
    </w:p>
    <w:p w14:paraId="11C971B4" w14:textId="629D55E6" w:rsidR="00A26479" w:rsidRPr="00586A75" w:rsidRDefault="00DC1332" w:rsidP="00A26479">
      <w:pPr>
        <w:pStyle w:val="Heading2"/>
        <w:rPr>
          <w:lang w:val="en-AU"/>
        </w:rPr>
      </w:pPr>
      <w:bookmarkStart w:id="10" w:name="_Toc5287488"/>
      <w:r>
        <w:rPr>
          <w:lang w:val="en-AU"/>
        </w:rPr>
        <w:t>Homelessness, mental health, and justice interactions</w:t>
      </w:r>
      <w:bookmarkEnd w:id="10"/>
    </w:p>
    <w:p w14:paraId="60AA2C1A" w14:textId="77777777" w:rsidR="00DC1332" w:rsidRDefault="00DC1332" w:rsidP="00A26479">
      <w:pPr>
        <w:jc w:val="center"/>
        <w:rPr>
          <w:rFonts w:ascii="Calibri" w:hAnsi="Calibri"/>
          <w:i/>
          <w:color w:val="6A83A9"/>
          <w:sz w:val="22"/>
          <w:szCs w:val="22"/>
          <w:lang w:val="en-AU"/>
        </w:rPr>
      </w:pPr>
    </w:p>
    <w:p w14:paraId="781BB90A" w14:textId="70AF8F3A" w:rsidR="00A26479" w:rsidRPr="00061F67" w:rsidRDefault="00A26479" w:rsidP="00A26479">
      <w:pPr>
        <w:jc w:val="center"/>
        <w:rPr>
          <w:rFonts w:ascii="Calibri" w:hAnsi="Calibri"/>
          <w:i/>
          <w:color w:val="6A83A9"/>
          <w:sz w:val="22"/>
          <w:szCs w:val="22"/>
          <w:lang w:val="en-AU"/>
        </w:rPr>
      </w:pPr>
      <w:r>
        <w:rPr>
          <w:rFonts w:ascii="Calibri" w:hAnsi="Calibri"/>
          <w:i/>
          <w:color w:val="6A83A9"/>
          <w:sz w:val="22"/>
          <w:szCs w:val="22"/>
          <w:lang w:val="en-AU"/>
        </w:rPr>
        <w:t>‘</w:t>
      </w:r>
      <w:r w:rsidR="004677BA" w:rsidRPr="004677BA">
        <w:rPr>
          <w:rFonts w:ascii="Calibri" w:hAnsi="Calibri"/>
          <w:i/>
          <w:color w:val="6A83A9"/>
          <w:sz w:val="22"/>
          <w:szCs w:val="22"/>
          <w:lang w:val="en-AU"/>
        </w:rPr>
        <w:t>It’s laughable that people think you get the same response if you’re homeless</w:t>
      </w:r>
      <w:r w:rsidR="004677BA">
        <w:rPr>
          <w:rFonts w:ascii="Calibri" w:hAnsi="Calibri"/>
          <w:i/>
          <w:color w:val="6A83A9"/>
          <w:sz w:val="22"/>
          <w:szCs w:val="22"/>
          <w:lang w:val="en-AU"/>
        </w:rPr>
        <w:t>…</w:t>
      </w:r>
      <w:r w:rsidR="004677BA" w:rsidRPr="004677BA">
        <w:rPr>
          <w:rFonts w:ascii="Calibri" w:hAnsi="Calibri"/>
          <w:i/>
          <w:color w:val="6A83A9"/>
          <w:sz w:val="22"/>
          <w:szCs w:val="22"/>
          <w:lang w:val="en-AU"/>
        </w:rPr>
        <w:t xml:space="preserve"> </w:t>
      </w:r>
      <w:r w:rsidR="00075A86" w:rsidRPr="00075A86">
        <w:rPr>
          <w:rFonts w:ascii="Calibri" w:hAnsi="Calibri"/>
          <w:i/>
          <w:color w:val="6A83A9"/>
          <w:sz w:val="22"/>
          <w:szCs w:val="22"/>
          <w:lang w:val="en-AU"/>
        </w:rPr>
        <w:t>If you’re not a threat, but you’re behaving like a chicken on the street corner, I’ll guarantee you that you’re in the back of the wagon for the first 5-8 hours… Police processes need to be looked at.</w:t>
      </w:r>
      <w:r w:rsidR="00075A86">
        <w:rPr>
          <w:rFonts w:ascii="Calibri" w:hAnsi="Calibri"/>
          <w:i/>
          <w:color w:val="6A83A9"/>
          <w:sz w:val="22"/>
          <w:szCs w:val="22"/>
          <w:lang w:val="en-AU"/>
        </w:rPr>
        <w:t>’</w:t>
      </w:r>
    </w:p>
    <w:p w14:paraId="616DD574" w14:textId="12CC37ED" w:rsidR="00A26479" w:rsidRPr="00553FBC" w:rsidRDefault="00075A86" w:rsidP="00553FBC">
      <w:pPr>
        <w:pStyle w:val="ListParagraph"/>
        <w:numPr>
          <w:ilvl w:val="0"/>
          <w:numId w:val="32"/>
        </w:numPr>
        <w:jc w:val="right"/>
        <w:rPr>
          <w:rFonts w:ascii="Calibri" w:hAnsi="Calibri"/>
        </w:rPr>
      </w:pPr>
      <w:r>
        <w:rPr>
          <w:color w:val="6A83A9"/>
        </w:rPr>
        <w:t>Jason Russell</w:t>
      </w:r>
      <w:r w:rsidR="00A26479" w:rsidRPr="00061F67">
        <w:rPr>
          <w:color w:val="6A83A9"/>
        </w:rPr>
        <w:t>, Consumer / Advocate</w:t>
      </w:r>
    </w:p>
    <w:p w14:paraId="52C84E40" w14:textId="77777777" w:rsidR="00B96CF7" w:rsidRDefault="00B96CF7" w:rsidP="00B41EF0">
      <w:pPr>
        <w:rPr>
          <w:rFonts w:ascii="Calibri" w:hAnsi="Calibri"/>
          <w:sz w:val="22"/>
          <w:szCs w:val="22"/>
          <w:lang w:val="en-AU"/>
        </w:rPr>
      </w:pPr>
    </w:p>
    <w:p w14:paraId="039CF3EA" w14:textId="609083F3" w:rsidR="00B41EF0" w:rsidRPr="00B41EF0" w:rsidRDefault="00CC4106" w:rsidP="00B41EF0">
      <w:pPr>
        <w:rPr>
          <w:rFonts w:ascii="Calibri" w:hAnsi="Calibri"/>
          <w:sz w:val="22"/>
          <w:szCs w:val="22"/>
          <w:lang w:val="en-AU"/>
        </w:rPr>
      </w:pPr>
      <w:r>
        <w:rPr>
          <w:rFonts w:ascii="Calibri" w:hAnsi="Calibri"/>
          <w:sz w:val="22"/>
          <w:szCs w:val="22"/>
          <w:lang w:val="en-AU"/>
        </w:rPr>
        <w:t>M</w:t>
      </w:r>
      <w:r w:rsidR="00F14DD4">
        <w:rPr>
          <w:rFonts w:ascii="Calibri" w:hAnsi="Calibri"/>
          <w:sz w:val="22"/>
          <w:szCs w:val="22"/>
          <w:lang w:val="en-AU"/>
        </w:rPr>
        <w:t>any people wh</w:t>
      </w:r>
      <w:r>
        <w:rPr>
          <w:rFonts w:ascii="Calibri" w:hAnsi="Calibri"/>
          <w:sz w:val="22"/>
          <w:szCs w:val="22"/>
          <w:lang w:val="en-AU"/>
        </w:rPr>
        <w:t>o experience mental ill-health and</w:t>
      </w:r>
      <w:r w:rsidR="00B41EF0" w:rsidRPr="00B41EF0">
        <w:rPr>
          <w:rFonts w:ascii="Calibri" w:hAnsi="Calibri"/>
          <w:sz w:val="22"/>
          <w:szCs w:val="22"/>
          <w:lang w:val="en-AU"/>
        </w:rPr>
        <w:t xml:space="preserve"> have not had access to the full suite of services that they require to live s</w:t>
      </w:r>
      <w:r w:rsidR="006355C7">
        <w:rPr>
          <w:rFonts w:ascii="Calibri" w:hAnsi="Calibri"/>
          <w:sz w:val="22"/>
          <w:szCs w:val="22"/>
          <w:lang w:val="en-AU"/>
        </w:rPr>
        <w:t>afely and well in the community experience worsening mental health</w:t>
      </w:r>
      <w:r w:rsidR="00B41EF0" w:rsidRPr="00B41EF0">
        <w:rPr>
          <w:rFonts w:ascii="Calibri" w:hAnsi="Calibri"/>
          <w:sz w:val="22"/>
          <w:szCs w:val="22"/>
          <w:lang w:val="en-AU"/>
        </w:rPr>
        <w:t xml:space="preserve">. Consequently, people experiencing mental ill-health are now cycling through acute mental health care and exiting into homelessness, only to return repeatedly to hospital based care, and/or are being accommodated in prisons. </w:t>
      </w:r>
    </w:p>
    <w:p w14:paraId="374601AB" w14:textId="77777777" w:rsidR="00B41EF0" w:rsidRPr="00B41EF0" w:rsidRDefault="00B41EF0" w:rsidP="00B41EF0">
      <w:pPr>
        <w:rPr>
          <w:rFonts w:ascii="Calibri" w:hAnsi="Calibri"/>
          <w:sz w:val="22"/>
          <w:szCs w:val="22"/>
          <w:lang w:val="en-AU"/>
        </w:rPr>
      </w:pPr>
    </w:p>
    <w:p w14:paraId="13BAD6AA" w14:textId="77A5C964" w:rsidR="00B41EF0" w:rsidRPr="00B41EF0" w:rsidRDefault="00B41EF0" w:rsidP="00B41EF0">
      <w:pPr>
        <w:rPr>
          <w:rFonts w:ascii="Calibri" w:hAnsi="Calibri"/>
          <w:sz w:val="22"/>
          <w:szCs w:val="22"/>
          <w:lang w:val="en-AU"/>
        </w:rPr>
      </w:pPr>
      <w:r w:rsidRPr="00CC4106">
        <w:rPr>
          <w:rFonts w:ascii="Calibri" w:hAnsi="Calibri"/>
          <w:sz w:val="22"/>
          <w:szCs w:val="22"/>
          <w:lang w:val="en-AU"/>
        </w:rPr>
        <w:t xml:space="preserve">The latest survey of prisoner health revealed that </w:t>
      </w:r>
      <w:r w:rsidR="00597DCA" w:rsidRPr="00CC4106">
        <w:rPr>
          <w:rFonts w:ascii="Calibri" w:hAnsi="Calibri"/>
          <w:sz w:val="22"/>
          <w:szCs w:val="22"/>
          <w:lang w:val="en-AU"/>
        </w:rPr>
        <w:t>49</w:t>
      </w:r>
      <w:r w:rsidRPr="00CC4106">
        <w:rPr>
          <w:rFonts w:ascii="Calibri" w:hAnsi="Calibri"/>
          <w:sz w:val="22"/>
          <w:szCs w:val="22"/>
          <w:lang w:val="en-AU"/>
        </w:rPr>
        <w:t xml:space="preserve"> per cent of </w:t>
      </w:r>
      <w:r w:rsidR="000D12CA" w:rsidRPr="00CC4106">
        <w:rPr>
          <w:rFonts w:ascii="Calibri" w:hAnsi="Calibri"/>
          <w:sz w:val="22"/>
          <w:szCs w:val="22"/>
          <w:lang w:val="en-AU"/>
        </w:rPr>
        <w:t>Australian</w:t>
      </w:r>
      <w:r w:rsidRPr="00CC4106">
        <w:rPr>
          <w:rFonts w:ascii="Calibri" w:hAnsi="Calibri"/>
          <w:sz w:val="22"/>
          <w:szCs w:val="22"/>
          <w:lang w:val="en-AU"/>
        </w:rPr>
        <w:t xml:space="preserve"> prison entrants report being diagnosed with a mental health disorder prior to imprisonment.</w:t>
      </w:r>
      <w:r w:rsidRPr="00CC4106">
        <w:rPr>
          <w:rFonts w:ascii="Calibri" w:hAnsi="Calibri"/>
          <w:sz w:val="22"/>
          <w:szCs w:val="22"/>
          <w:vertAlign w:val="superscript"/>
          <w:lang w:val="en-AU"/>
        </w:rPr>
        <w:footnoteReference w:id="28"/>
      </w:r>
      <w:r w:rsidRPr="00CC4106">
        <w:rPr>
          <w:rFonts w:ascii="Calibri" w:hAnsi="Calibri"/>
          <w:sz w:val="22"/>
          <w:szCs w:val="22"/>
          <w:lang w:val="en-AU"/>
        </w:rPr>
        <w:t xml:space="preserve"> Those experiencing comorbid homelessness and mental ill-health are 40 times more likely to be arrested, and 20 times more likely to be imprisoned than those in stable accommodation.</w:t>
      </w:r>
      <w:r w:rsidRPr="00CC4106">
        <w:rPr>
          <w:rFonts w:ascii="Calibri" w:hAnsi="Calibri"/>
          <w:sz w:val="22"/>
          <w:szCs w:val="22"/>
          <w:vertAlign w:val="superscript"/>
          <w:lang w:val="en-AU"/>
        </w:rPr>
        <w:footnoteReference w:id="29"/>
      </w:r>
      <w:r w:rsidRPr="00CC4106">
        <w:rPr>
          <w:rFonts w:ascii="Calibri" w:hAnsi="Calibri"/>
          <w:sz w:val="22"/>
          <w:szCs w:val="22"/>
          <w:lang w:val="en-AU"/>
        </w:rPr>
        <w:t xml:space="preserve"> In the absence of appropriate housing, prisons have effectively replaced the institutions that </w:t>
      </w:r>
      <w:r w:rsidR="00CC4106" w:rsidRPr="00CC4106">
        <w:rPr>
          <w:rFonts w:ascii="Calibri" w:hAnsi="Calibri"/>
          <w:sz w:val="22"/>
          <w:szCs w:val="22"/>
          <w:lang w:val="en-AU"/>
        </w:rPr>
        <w:t>Australia</w:t>
      </w:r>
      <w:r w:rsidRPr="00CC4106">
        <w:rPr>
          <w:rFonts w:ascii="Calibri" w:hAnsi="Calibri"/>
          <w:sz w:val="22"/>
          <w:szCs w:val="22"/>
          <w:lang w:val="en-AU"/>
        </w:rPr>
        <w:t xml:space="preserve"> so fulsomely rejected </w:t>
      </w:r>
      <w:r w:rsidR="00CC4106" w:rsidRPr="00CC4106">
        <w:rPr>
          <w:rFonts w:ascii="Calibri" w:hAnsi="Calibri"/>
          <w:sz w:val="22"/>
          <w:szCs w:val="22"/>
          <w:lang w:val="en-AU"/>
        </w:rPr>
        <w:t>in the past</w:t>
      </w:r>
      <w:r w:rsidRPr="00CC4106">
        <w:rPr>
          <w:rFonts w:ascii="Calibri" w:hAnsi="Calibri"/>
          <w:sz w:val="22"/>
          <w:szCs w:val="22"/>
          <w:lang w:val="en-AU"/>
        </w:rPr>
        <w:t>.</w:t>
      </w:r>
    </w:p>
    <w:p w14:paraId="423C4A90" w14:textId="429E8FB0" w:rsidR="00A26479" w:rsidRDefault="00A26479">
      <w:pPr>
        <w:rPr>
          <w:rFonts w:ascii="Calibri" w:hAnsi="Calibri"/>
          <w:sz w:val="22"/>
          <w:szCs w:val="22"/>
          <w:lang w:val="en-AU"/>
        </w:rPr>
      </w:pPr>
    </w:p>
    <w:p w14:paraId="45F9CC21" w14:textId="5C604692" w:rsidR="00A9021E" w:rsidRDefault="00BF0541">
      <w:pPr>
        <w:rPr>
          <w:rFonts w:ascii="Calibri" w:hAnsi="Calibri"/>
          <w:sz w:val="22"/>
          <w:szCs w:val="22"/>
          <w:lang w:val="en-AU"/>
        </w:rPr>
      </w:pPr>
      <w:r>
        <w:rPr>
          <w:rFonts w:ascii="Calibri" w:hAnsi="Calibri"/>
          <w:sz w:val="22"/>
          <w:szCs w:val="22"/>
          <w:lang w:val="en-AU"/>
        </w:rPr>
        <w:t>This outcome is not inevitable, and while supporting people’s housing as part of a comprehensive mental health system would greatly improve people’</w:t>
      </w:r>
      <w:r w:rsidR="00C83804">
        <w:rPr>
          <w:rFonts w:ascii="Calibri" w:hAnsi="Calibri"/>
          <w:sz w:val="22"/>
          <w:szCs w:val="22"/>
          <w:lang w:val="en-AU"/>
        </w:rPr>
        <w:t>s mental health</w:t>
      </w:r>
      <w:r>
        <w:rPr>
          <w:rFonts w:ascii="Calibri" w:hAnsi="Calibri"/>
          <w:sz w:val="22"/>
          <w:szCs w:val="22"/>
          <w:lang w:val="en-AU"/>
        </w:rPr>
        <w:t xml:space="preserve"> and decrease incarceration, </w:t>
      </w:r>
      <w:r w:rsidR="00F6167B">
        <w:rPr>
          <w:rFonts w:ascii="Calibri" w:hAnsi="Calibri"/>
          <w:sz w:val="22"/>
          <w:szCs w:val="22"/>
          <w:lang w:val="en-AU"/>
        </w:rPr>
        <w:t xml:space="preserve">we should also look at </w:t>
      </w:r>
      <w:r w:rsidR="002B0989">
        <w:rPr>
          <w:rFonts w:ascii="Calibri" w:hAnsi="Calibri"/>
          <w:sz w:val="22"/>
          <w:szCs w:val="22"/>
          <w:lang w:val="en-AU"/>
        </w:rPr>
        <w:t>how the justice system can respond.</w:t>
      </w:r>
    </w:p>
    <w:p w14:paraId="2FEE34FB" w14:textId="77777777" w:rsidR="00A9021E" w:rsidRDefault="00A9021E">
      <w:pPr>
        <w:rPr>
          <w:rFonts w:ascii="Calibri" w:hAnsi="Calibri"/>
          <w:sz w:val="22"/>
          <w:szCs w:val="22"/>
          <w:lang w:val="en-AU"/>
        </w:rPr>
      </w:pPr>
    </w:p>
    <w:p w14:paraId="57FB3C6F" w14:textId="3AF4BB07" w:rsidR="00BF0541" w:rsidRDefault="00174733">
      <w:pPr>
        <w:rPr>
          <w:rFonts w:ascii="Calibri" w:hAnsi="Calibri"/>
          <w:sz w:val="22"/>
          <w:szCs w:val="22"/>
          <w:lang w:val="en-AU"/>
        </w:rPr>
      </w:pPr>
      <w:r>
        <w:rPr>
          <w:rFonts w:ascii="Calibri" w:hAnsi="Calibri"/>
          <w:sz w:val="22"/>
          <w:szCs w:val="22"/>
          <w:lang w:val="en-AU"/>
        </w:rPr>
        <w:t>Whether a person is experiencing street-based homelessness, or they are</w:t>
      </w:r>
      <w:r w:rsidR="00E4265D">
        <w:rPr>
          <w:rFonts w:ascii="Calibri" w:hAnsi="Calibri"/>
          <w:sz w:val="22"/>
          <w:szCs w:val="22"/>
          <w:lang w:val="en-AU"/>
        </w:rPr>
        <w:t xml:space="preserve"> in accommodation that makes them feel unsafe, people experiencing homelessness spend a lot more time in public spaces than do those who are suitably housed.</w:t>
      </w:r>
      <w:r w:rsidR="00C83804">
        <w:rPr>
          <w:rFonts w:ascii="Calibri" w:hAnsi="Calibri"/>
          <w:sz w:val="22"/>
          <w:szCs w:val="22"/>
          <w:lang w:val="en-AU"/>
        </w:rPr>
        <w:t xml:space="preserve"> As such, people experiencing homelessness are highly visible to law enforcement officers, and have a disproportionate amount of contact with police and law enforcement.</w:t>
      </w:r>
      <w:r w:rsidR="009A48F1" w:rsidRPr="009A48F1">
        <w:rPr>
          <w:rStyle w:val="FootnoteReference"/>
          <w:rFonts w:ascii="Calibri" w:hAnsi="Calibri"/>
          <w:sz w:val="22"/>
          <w:szCs w:val="22"/>
          <w:lang w:val="en-AU"/>
        </w:rPr>
        <w:t xml:space="preserve"> </w:t>
      </w:r>
      <w:r w:rsidR="009A48F1">
        <w:rPr>
          <w:rStyle w:val="FootnoteReference"/>
          <w:rFonts w:ascii="Calibri" w:hAnsi="Calibri"/>
          <w:sz w:val="22"/>
          <w:szCs w:val="22"/>
          <w:lang w:val="en-AU"/>
        </w:rPr>
        <w:footnoteReference w:id="30"/>
      </w:r>
    </w:p>
    <w:p w14:paraId="22E59E6E" w14:textId="73A165BC" w:rsidR="00563C65" w:rsidRDefault="00563C65">
      <w:pPr>
        <w:rPr>
          <w:rFonts w:ascii="Calibri" w:hAnsi="Calibri"/>
          <w:sz w:val="22"/>
          <w:szCs w:val="22"/>
          <w:lang w:val="en-AU"/>
        </w:rPr>
      </w:pPr>
    </w:p>
    <w:p w14:paraId="11C8E419" w14:textId="7B9C4673" w:rsidR="00563C65" w:rsidRDefault="00563C65">
      <w:pPr>
        <w:rPr>
          <w:rFonts w:ascii="Calibri" w:hAnsi="Calibri"/>
          <w:sz w:val="22"/>
          <w:szCs w:val="22"/>
          <w:lang w:val="en-AU"/>
        </w:rPr>
      </w:pPr>
      <w:r>
        <w:rPr>
          <w:rFonts w:ascii="Calibri" w:hAnsi="Calibri"/>
          <w:sz w:val="22"/>
          <w:szCs w:val="22"/>
          <w:lang w:val="en-AU"/>
        </w:rPr>
        <w:t>Homelessness can lead to deteriorating mental health</w:t>
      </w:r>
      <w:r w:rsidR="00DA5C08">
        <w:rPr>
          <w:rFonts w:ascii="Calibri" w:hAnsi="Calibri"/>
          <w:sz w:val="22"/>
          <w:szCs w:val="22"/>
          <w:lang w:val="en-AU"/>
        </w:rPr>
        <w:t xml:space="preserve">, as well as increased substance use; all three of which can lead to greater police interaction. </w:t>
      </w:r>
      <w:r w:rsidR="00A81755">
        <w:rPr>
          <w:rFonts w:ascii="Calibri" w:hAnsi="Calibri"/>
          <w:sz w:val="22"/>
          <w:szCs w:val="22"/>
          <w:lang w:val="en-AU"/>
        </w:rPr>
        <w:t xml:space="preserve">Increased police interaction, particularly among those with histories of trauma, those experiencing mental ill-health, or those with past negative police interactions often results in more charges, more fines, </w:t>
      </w:r>
      <w:r w:rsidR="00DC3A18">
        <w:rPr>
          <w:rFonts w:ascii="Calibri" w:hAnsi="Calibri"/>
          <w:sz w:val="22"/>
          <w:szCs w:val="22"/>
          <w:lang w:val="en-AU"/>
        </w:rPr>
        <w:t>and more penalties.</w:t>
      </w:r>
      <w:r w:rsidR="00DC3A18">
        <w:rPr>
          <w:rStyle w:val="FootnoteReference"/>
          <w:rFonts w:ascii="Calibri" w:hAnsi="Calibri"/>
          <w:sz w:val="22"/>
          <w:szCs w:val="22"/>
          <w:lang w:val="en-AU"/>
        </w:rPr>
        <w:footnoteReference w:id="31"/>
      </w:r>
      <w:r w:rsidR="00DC3A18">
        <w:rPr>
          <w:rFonts w:ascii="Calibri" w:hAnsi="Calibri"/>
          <w:sz w:val="22"/>
          <w:szCs w:val="22"/>
          <w:lang w:val="en-AU"/>
        </w:rPr>
        <w:t xml:space="preserve"> This can lead to imprisonment.</w:t>
      </w:r>
      <w:r w:rsidR="00DC3A18">
        <w:rPr>
          <w:rStyle w:val="FootnoteReference"/>
          <w:rFonts w:ascii="Calibri" w:hAnsi="Calibri"/>
          <w:sz w:val="22"/>
          <w:szCs w:val="22"/>
          <w:lang w:val="en-AU"/>
        </w:rPr>
        <w:footnoteReference w:id="32"/>
      </w:r>
    </w:p>
    <w:p w14:paraId="0940CD1B" w14:textId="2E5CBF22" w:rsidR="00A26479" w:rsidRDefault="00A26479">
      <w:pPr>
        <w:rPr>
          <w:rFonts w:ascii="Calibri" w:hAnsi="Calibri"/>
          <w:sz w:val="22"/>
          <w:szCs w:val="22"/>
          <w:lang w:val="en-AU"/>
        </w:rPr>
      </w:pPr>
    </w:p>
    <w:p w14:paraId="05659FEB" w14:textId="20B9F7C3" w:rsidR="00DA5C08" w:rsidRPr="00912EDB" w:rsidRDefault="00DA5C08" w:rsidP="00DA5C08">
      <w:pPr>
        <w:pStyle w:val="CHPText"/>
        <w:jc w:val="center"/>
        <w:rPr>
          <w:i/>
          <w:color w:val="929F2D" w:themeColor="accent1"/>
          <w:szCs w:val="22"/>
          <w:lang w:val="en-AU"/>
        </w:rPr>
      </w:pPr>
      <w:r w:rsidRPr="0081707A">
        <w:rPr>
          <w:i/>
          <w:color w:val="929F2D" w:themeColor="accent1"/>
          <w:szCs w:val="22"/>
          <w:lang w:val="en-AU"/>
        </w:rPr>
        <w:t>‘</w:t>
      </w:r>
      <w:r w:rsidR="00B04062" w:rsidRPr="00B04062">
        <w:rPr>
          <w:i/>
          <w:color w:val="929F2D" w:themeColor="accent1"/>
          <w:szCs w:val="22"/>
          <w:lang w:val="en-AU"/>
        </w:rPr>
        <w:t>If I was at my own house and I flip out, I’d get a different response than if I was standing on the corner, homeless. It’s laughable that people think you get the same response if you’re homeless – not even fucking close</w:t>
      </w:r>
      <w:r w:rsidRPr="0081707A">
        <w:rPr>
          <w:i/>
          <w:color w:val="929F2D" w:themeColor="accent1"/>
          <w:szCs w:val="22"/>
          <w:lang w:val="en-AU"/>
        </w:rPr>
        <w:t>.</w:t>
      </w:r>
      <w:r>
        <w:rPr>
          <w:i/>
          <w:color w:val="929F2D" w:themeColor="accent1"/>
          <w:szCs w:val="22"/>
        </w:rPr>
        <w:t>’</w:t>
      </w:r>
    </w:p>
    <w:p w14:paraId="26B49C3E" w14:textId="36620435" w:rsidR="00DA5C08" w:rsidRPr="003F2CF9" w:rsidRDefault="00B04062" w:rsidP="00DA5C08">
      <w:pPr>
        <w:pStyle w:val="CHPText"/>
        <w:numPr>
          <w:ilvl w:val="0"/>
          <w:numId w:val="33"/>
        </w:numPr>
        <w:jc w:val="right"/>
        <w:rPr>
          <w:color w:val="929F2D" w:themeColor="accent1"/>
          <w:szCs w:val="22"/>
          <w:lang w:val="en-AU"/>
        </w:rPr>
      </w:pPr>
      <w:r>
        <w:rPr>
          <w:color w:val="929F2D" w:themeColor="accent1"/>
          <w:szCs w:val="22"/>
          <w:lang w:val="en-AU"/>
        </w:rPr>
        <w:t>Jason Russell</w:t>
      </w:r>
      <w:r w:rsidR="00DA5C08">
        <w:rPr>
          <w:color w:val="929F2D" w:themeColor="accent1"/>
          <w:szCs w:val="22"/>
          <w:lang w:val="en-AU"/>
        </w:rPr>
        <w:t>, Consumer / Advocate</w:t>
      </w:r>
    </w:p>
    <w:p w14:paraId="371D3BDE" w14:textId="6B5EFE49" w:rsidR="00DA5C08" w:rsidRDefault="00DA5C08">
      <w:pPr>
        <w:rPr>
          <w:rFonts w:ascii="Calibri" w:hAnsi="Calibri"/>
          <w:sz w:val="22"/>
          <w:szCs w:val="22"/>
          <w:lang w:val="en-AU"/>
        </w:rPr>
      </w:pPr>
    </w:p>
    <w:p w14:paraId="6EFCCCEB" w14:textId="04CA189F" w:rsidR="008B3300" w:rsidRDefault="00E32C8A" w:rsidP="00DC3A18">
      <w:pPr>
        <w:rPr>
          <w:rFonts w:ascii="Calibri" w:hAnsi="Calibri"/>
          <w:sz w:val="22"/>
          <w:szCs w:val="22"/>
          <w:lang w:val="en-AU"/>
        </w:rPr>
      </w:pPr>
      <w:r>
        <w:rPr>
          <w:rFonts w:ascii="Calibri" w:hAnsi="Calibri"/>
          <w:sz w:val="22"/>
          <w:szCs w:val="22"/>
          <w:lang w:val="en-AU"/>
        </w:rPr>
        <w:t>While there is some scope for improved practice among law enforcement officers (see</w:t>
      </w:r>
      <w:r w:rsidR="00444B10">
        <w:rPr>
          <w:rFonts w:ascii="Calibri" w:hAnsi="Calibri"/>
          <w:sz w:val="22"/>
          <w:szCs w:val="22"/>
          <w:lang w:val="en-AU"/>
        </w:rPr>
        <w:t xml:space="preserve"> Justice Connect Homeless Law 2013),</w:t>
      </w:r>
      <w:r w:rsidR="009A48F1" w:rsidRPr="009A48F1">
        <w:rPr>
          <w:rStyle w:val="FootnoteReference"/>
          <w:rFonts w:ascii="Calibri" w:hAnsi="Calibri"/>
          <w:sz w:val="22"/>
          <w:szCs w:val="22"/>
          <w:lang w:val="en-AU"/>
        </w:rPr>
        <w:t xml:space="preserve"> </w:t>
      </w:r>
      <w:r w:rsidR="009A48F1">
        <w:rPr>
          <w:rStyle w:val="FootnoteReference"/>
          <w:rFonts w:ascii="Calibri" w:hAnsi="Calibri"/>
          <w:sz w:val="22"/>
          <w:szCs w:val="22"/>
          <w:lang w:val="en-AU"/>
        </w:rPr>
        <w:footnoteReference w:id="33"/>
      </w:r>
      <w:r w:rsidR="00444B10">
        <w:rPr>
          <w:rFonts w:ascii="Calibri" w:hAnsi="Calibri"/>
          <w:sz w:val="22"/>
          <w:szCs w:val="22"/>
          <w:lang w:val="en-AU"/>
        </w:rPr>
        <w:t xml:space="preserve"> it is also important to recognise that </w:t>
      </w:r>
      <w:r w:rsidR="00D72483">
        <w:rPr>
          <w:rFonts w:ascii="Calibri" w:hAnsi="Calibri"/>
          <w:sz w:val="22"/>
          <w:szCs w:val="22"/>
          <w:lang w:val="en-AU"/>
        </w:rPr>
        <w:t xml:space="preserve">law </w:t>
      </w:r>
      <w:r w:rsidR="00444B10">
        <w:rPr>
          <w:rFonts w:ascii="Calibri" w:hAnsi="Calibri"/>
          <w:sz w:val="22"/>
          <w:szCs w:val="22"/>
          <w:lang w:val="en-AU"/>
        </w:rPr>
        <w:t xml:space="preserve">enforcement officers are being relied upon to respond in situations where specialist </w:t>
      </w:r>
      <w:r w:rsidR="00D77816">
        <w:rPr>
          <w:rFonts w:ascii="Calibri" w:hAnsi="Calibri"/>
          <w:sz w:val="22"/>
          <w:szCs w:val="22"/>
          <w:lang w:val="en-AU"/>
        </w:rPr>
        <w:t xml:space="preserve">mental health </w:t>
      </w:r>
      <w:r w:rsidR="00444B10">
        <w:rPr>
          <w:rFonts w:ascii="Calibri" w:hAnsi="Calibri"/>
          <w:sz w:val="22"/>
          <w:szCs w:val="22"/>
          <w:lang w:val="en-AU"/>
        </w:rPr>
        <w:t xml:space="preserve">supports are required. </w:t>
      </w:r>
    </w:p>
    <w:p w14:paraId="43C4749B" w14:textId="77777777" w:rsidR="008B3300" w:rsidRDefault="008B3300" w:rsidP="00DC3A18">
      <w:pPr>
        <w:rPr>
          <w:rFonts w:ascii="Calibri" w:hAnsi="Calibri"/>
          <w:sz w:val="22"/>
          <w:szCs w:val="22"/>
          <w:lang w:val="en-AU"/>
        </w:rPr>
      </w:pPr>
    </w:p>
    <w:p w14:paraId="364E239E" w14:textId="6781CBAA" w:rsidR="00DC3A18" w:rsidRDefault="008B3300" w:rsidP="00DC3A18">
      <w:pPr>
        <w:rPr>
          <w:rFonts w:ascii="Calibri" w:hAnsi="Calibri"/>
          <w:sz w:val="22"/>
          <w:szCs w:val="22"/>
          <w:lang w:val="en-AU"/>
        </w:rPr>
      </w:pPr>
      <w:r>
        <w:rPr>
          <w:rFonts w:ascii="Calibri" w:hAnsi="Calibri"/>
          <w:sz w:val="22"/>
          <w:szCs w:val="22"/>
          <w:lang w:val="en-AU"/>
        </w:rPr>
        <w:t>Currently, i</w:t>
      </w:r>
      <w:r w:rsidR="00D244DE">
        <w:rPr>
          <w:rFonts w:ascii="Calibri" w:hAnsi="Calibri"/>
          <w:sz w:val="22"/>
          <w:szCs w:val="22"/>
          <w:lang w:val="en-AU"/>
        </w:rPr>
        <w:t xml:space="preserve">f a person </w:t>
      </w:r>
      <w:r>
        <w:rPr>
          <w:rFonts w:ascii="Calibri" w:hAnsi="Calibri"/>
          <w:sz w:val="22"/>
          <w:szCs w:val="22"/>
          <w:lang w:val="en-AU"/>
        </w:rPr>
        <w:t>experiencing</w:t>
      </w:r>
      <w:r w:rsidR="00D244DE">
        <w:rPr>
          <w:rFonts w:ascii="Calibri" w:hAnsi="Calibri"/>
          <w:sz w:val="22"/>
          <w:szCs w:val="22"/>
          <w:lang w:val="en-AU"/>
        </w:rPr>
        <w:t xml:space="preserve"> mental ill-health or a </w:t>
      </w:r>
      <w:r>
        <w:rPr>
          <w:rFonts w:ascii="Calibri" w:hAnsi="Calibri"/>
          <w:sz w:val="22"/>
          <w:szCs w:val="22"/>
          <w:lang w:val="en-AU"/>
        </w:rPr>
        <w:t>cognitive</w:t>
      </w:r>
      <w:r w:rsidR="00D244DE">
        <w:rPr>
          <w:rFonts w:ascii="Calibri" w:hAnsi="Calibri"/>
          <w:sz w:val="22"/>
          <w:szCs w:val="22"/>
          <w:lang w:val="en-AU"/>
        </w:rPr>
        <w:t xml:space="preserve"> impairment is experiencing homelessness</w:t>
      </w:r>
      <w:r>
        <w:rPr>
          <w:rFonts w:ascii="Calibri" w:hAnsi="Calibri"/>
          <w:sz w:val="22"/>
          <w:szCs w:val="22"/>
          <w:lang w:val="en-AU"/>
        </w:rPr>
        <w:t xml:space="preserve"> and</w:t>
      </w:r>
      <w:r w:rsidR="00D244DE">
        <w:rPr>
          <w:rFonts w:ascii="Calibri" w:hAnsi="Calibri"/>
          <w:sz w:val="22"/>
          <w:szCs w:val="22"/>
          <w:lang w:val="en-AU"/>
        </w:rPr>
        <w:t xml:space="preserve"> is arrested, it is common for them to be placed in prison or police custody as a method of safe management and containment.</w:t>
      </w:r>
      <w:r w:rsidR="009A48F1">
        <w:rPr>
          <w:rStyle w:val="FootnoteReference"/>
          <w:rFonts w:ascii="Calibri" w:hAnsi="Calibri"/>
          <w:sz w:val="22"/>
          <w:szCs w:val="22"/>
          <w:lang w:val="en-AU"/>
        </w:rPr>
        <w:footnoteReference w:id="34"/>
      </w:r>
      <w:r w:rsidR="009A48F1">
        <w:rPr>
          <w:rFonts w:ascii="Calibri" w:hAnsi="Calibri"/>
          <w:sz w:val="22"/>
          <w:szCs w:val="22"/>
          <w:lang w:val="en-AU"/>
        </w:rPr>
        <w:t xml:space="preserve"> </w:t>
      </w:r>
      <w:r w:rsidR="00D244DE">
        <w:rPr>
          <w:rFonts w:ascii="Calibri" w:hAnsi="Calibri"/>
          <w:sz w:val="22"/>
          <w:szCs w:val="22"/>
          <w:lang w:val="en-AU"/>
        </w:rPr>
        <w:t>This is extremely disruptive to their life, and makes tenancy sustainment and treatment adherence extremely difficult. A</w:t>
      </w:r>
      <w:r w:rsidR="005651C6">
        <w:rPr>
          <w:rFonts w:ascii="Calibri" w:hAnsi="Calibri"/>
          <w:sz w:val="22"/>
          <w:szCs w:val="22"/>
          <w:lang w:val="en-AU"/>
        </w:rPr>
        <w:t xml:space="preserve"> law enforcement response to an episode of mental ill-</w:t>
      </w:r>
      <w:r w:rsidR="005651C6">
        <w:rPr>
          <w:rFonts w:ascii="Calibri" w:hAnsi="Calibri"/>
          <w:sz w:val="22"/>
          <w:szCs w:val="22"/>
          <w:lang w:val="en-AU"/>
        </w:rPr>
        <w:lastRenderedPageBreak/>
        <w:t>health is a misplaced intervention</w:t>
      </w:r>
      <w:r w:rsidR="00262A3D">
        <w:rPr>
          <w:rFonts w:ascii="Calibri" w:hAnsi="Calibri"/>
          <w:sz w:val="22"/>
          <w:szCs w:val="22"/>
          <w:lang w:val="en-AU"/>
        </w:rPr>
        <w:t xml:space="preserve"> for a person requiring healthcare</w:t>
      </w:r>
      <w:r w:rsidR="005651C6">
        <w:rPr>
          <w:rFonts w:ascii="Calibri" w:hAnsi="Calibri"/>
          <w:sz w:val="22"/>
          <w:szCs w:val="22"/>
          <w:lang w:val="en-AU"/>
        </w:rPr>
        <w:t>.</w:t>
      </w:r>
      <w:r w:rsidR="00D72483">
        <w:rPr>
          <w:rFonts w:ascii="Calibri" w:hAnsi="Calibri"/>
          <w:sz w:val="22"/>
          <w:szCs w:val="22"/>
          <w:lang w:val="en-AU"/>
        </w:rPr>
        <w:t xml:space="preserve"> It can also be a traum</w:t>
      </w:r>
      <w:r w:rsidR="000103E1">
        <w:rPr>
          <w:rFonts w:ascii="Calibri" w:hAnsi="Calibri"/>
          <w:sz w:val="22"/>
          <w:szCs w:val="22"/>
          <w:lang w:val="en-AU"/>
        </w:rPr>
        <w:t>atic experience for a person who is unwell.</w:t>
      </w:r>
    </w:p>
    <w:p w14:paraId="613D7F55" w14:textId="7D0CB5E0" w:rsidR="00936437" w:rsidRDefault="00936437" w:rsidP="00DC3A18">
      <w:pPr>
        <w:rPr>
          <w:rFonts w:ascii="Calibri" w:hAnsi="Calibri"/>
          <w:sz w:val="22"/>
          <w:szCs w:val="22"/>
          <w:lang w:val="en-AU"/>
        </w:rPr>
      </w:pPr>
    </w:p>
    <w:p w14:paraId="0A4D1DAC" w14:textId="42629653" w:rsidR="000103E1" w:rsidRPr="00912EDB" w:rsidRDefault="000103E1" w:rsidP="000103E1">
      <w:pPr>
        <w:pStyle w:val="CHPText"/>
        <w:jc w:val="center"/>
        <w:rPr>
          <w:i/>
          <w:color w:val="929F2D" w:themeColor="accent1"/>
          <w:szCs w:val="22"/>
          <w:lang w:val="en-AU"/>
        </w:rPr>
      </w:pPr>
      <w:r w:rsidRPr="0081707A">
        <w:rPr>
          <w:i/>
          <w:color w:val="929F2D" w:themeColor="accent1"/>
          <w:szCs w:val="22"/>
          <w:lang w:val="en-AU"/>
        </w:rPr>
        <w:t>‘</w:t>
      </w:r>
      <w:r w:rsidR="00EF1AFD">
        <w:rPr>
          <w:i/>
          <w:color w:val="929F2D" w:themeColor="accent1"/>
          <w:szCs w:val="22"/>
          <w:lang w:val="en-AU"/>
        </w:rPr>
        <w:t>CAT (Crisis Assessment and Treatment) Teams</w:t>
      </w:r>
      <w:r w:rsidRPr="000103E1">
        <w:rPr>
          <w:i/>
          <w:color w:val="929F2D" w:themeColor="accent1"/>
          <w:szCs w:val="22"/>
          <w:lang w:val="en-AU"/>
        </w:rPr>
        <w:t xml:space="preserve"> need to be expanded. Now they don’t turn up, and when they turn up they come with </w:t>
      </w:r>
      <w:r w:rsidR="0005034F">
        <w:rPr>
          <w:i/>
          <w:color w:val="929F2D" w:themeColor="accent1"/>
          <w:szCs w:val="22"/>
          <w:lang w:val="en-AU"/>
        </w:rPr>
        <w:t>too many</w:t>
      </w:r>
      <w:r w:rsidRPr="000103E1">
        <w:rPr>
          <w:i/>
          <w:color w:val="929F2D" w:themeColor="accent1"/>
          <w:szCs w:val="22"/>
          <w:lang w:val="en-AU"/>
        </w:rPr>
        <w:t xml:space="preserve"> coppers. I understand that they need two, but they don’t need ten. You feel threatened and it makes you more aggressive… You only need four to hold a person down, not ten.</w:t>
      </w:r>
      <w:r>
        <w:rPr>
          <w:i/>
          <w:color w:val="929F2D" w:themeColor="accent1"/>
          <w:szCs w:val="22"/>
        </w:rPr>
        <w:t>’</w:t>
      </w:r>
    </w:p>
    <w:p w14:paraId="4B780821" w14:textId="27852D85" w:rsidR="000103E1" w:rsidRPr="003F2CF9" w:rsidRDefault="000103E1" w:rsidP="000103E1">
      <w:pPr>
        <w:pStyle w:val="CHPText"/>
        <w:numPr>
          <w:ilvl w:val="0"/>
          <w:numId w:val="33"/>
        </w:numPr>
        <w:jc w:val="right"/>
        <w:rPr>
          <w:color w:val="929F2D" w:themeColor="accent1"/>
          <w:szCs w:val="22"/>
          <w:lang w:val="en-AU"/>
        </w:rPr>
      </w:pPr>
      <w:r>
        <w:rPr>
          <w:color w:val="929F2D" w:themeColor="accent1"/>
          <w:szCs w:val="22"/>
          <w:lang w:val="en-AU"/>
        </w:rPr>
        <w:t>John Kenney, Consumer / Advocate</w:t>
      </w:r>
    </w:p>
    <w:p w14:paraId="6BAA4D08" w14:textId="77777777" w:rsidR="00936437" w:rsidRDefault="00936437" w:rsidP="00DC3A18">
      <w:pPr>
        <w:rPr>
          <w:rFonts w:ascii="Calibri" w:hAnsi="Calibri"/>
          <w:sz w:val="22"/>
          <w:szCs w:val="22"/>
          <w:lang w:val="en-AU"/>
        </w:rPr>
      </w:pPr>
    </w:p>
    <w:p w14:paraId="7E931794" w14:textId="04FC4D97" w:rsidR="0027127F" w:rsidRDefault="00D77816" w:rsidP="00DC3A18">
      <w:pPr>
        <w:rPr>
          <w:rFonts w:ascii="Calibri" w:hAnsi="Calibri"/>
          <w:sz w:val="22"/>
          <w:szCs w:val="22"/>
          <w:lang w:val="en-AU"/>
        </w:rPr>
      </w:pPr>
      <w:r>
        <w:rPr>
          <w:rFonts w:ascii="Calibri" w:hAnsi="Calibri"/>
          <w:sz w:val="22"/>
          <w:szCs w:val="22"/>
          <w:lang w:val="en-AU"/>
        </w:rPr>
        <w:t>Appropriate health-focused emergency responses must be made available at a sufficient scale to prevent the continued churn of people between acute mental healthcare settings, correctional facilities and homelessness.</w:t>
      </w:r>
      <w:r w:rsidR="00A02DBC">
        <w:rPr>
          <w:rFonts w:ascii="Calibri" w:hAnsi="Calibri"/>
          <w:sz w:val="22"/>
          <w:szCs w:val="22"/>
          <w:lang w:val="en-AU"/>
        </w:rPr>
        <w:t xml:space="preserve"> </w:t>
      </w:r>
      <w:r w:rsidR="00F16F83">
        <w:rPr>
          <w:rFonts w:ascii="Calibri" w:hAnsi="Calibri"/>
          <w:sz w:val="22"/>
          <w:szCs w:val="22"/>
          <w:lang w:val="en-AU"/>
        </w:rPr>
        <w:t>As we discuss in the next section, there als</w:t>
      </w:r>
      <w:r w:rsidR="00A30764">
        <w:rPr>
          <w:rFonts w:ascii="Calibri" w:hAnsi="Calibri"/>
          <w:sz w:val="22"/>
          <w:szCs w:val="22"/>
          <w:lang w:val="en-AU"/>
        </w:rPr>
        <w:t>o needs to be appropriate housing and support once a person leaves emergency care.</w:t>
      </w:r>
    </w:p>
    <w:p w14:paraId="67CBBB50" w14:textId="56969FEB" w:rsidR="0027127F" w:rsidRDefault="0027127F" w:rsidP="00DC3A18">
      <w:pPr>
        <w:rPr>
          <w:rFonts w:ascii="Calibri" w:hAnsi="Calibri"/>
          <w:sz w:val="22"/>
          <w:szCs w:val="22"/>
          <w:lang w:val="en-AU"/>
        </w:rPr>
      </w:pPr>
    </w:p>
    <w:p w14:paraId="5D899F49" w14:textId="34AE6967" w:rsidR="0027127F" w:rsidRPr="00912EDB" w:rsidRDefault="0027127F" w:rsidP="0027127F">
      <w:pPr>
        <w:pStyle w:val="CHPText"/>
        <w:jc w:val="center"/>
        <w:rPr>
          <w:i/>
          <w:color w:val="929F2D" w:themeColor="accent1"/>
          <w:szCs w:val="22"/>
          <w:lang w:val="en-AU"/>
        </w:rPr>
      </w:pPr>
      <w:r w:rsidRPr="0081707A">
        <w:rPr>
          <w:i/>
          <w:color w:val="929F2D" w:themeColor="accent1"/>
          <w:szCs w:val="22"/>
          <w:lang w:val="en-AU"/>
        </w:rPr>
        <w:t>‘</w:t>
      </w:r>
      <w:r w:rsidRPr="0027127F">
        <w:rPr>
          <w:i/>
          <w:color w:val="929F2D" w:themeColor="accent1"/>
          <w:szCs w:val="22"/>
        </w:rPr>
        <w:t>Early and well-timed community and human service interventions to establish and maintain secure supported housing are likely to reduce if not eliminate years of high levels of police contacts, court appearances, associated legal processes, frequent custody and community corrections interventions and ambulance use.</w:t>
      </w:r>
      <w:r>
        <w:rPr>
          <w:i/>
          <w:color w:val="929F2D" w:themeColor="accent1"/>
          <w:szCs w:val="22"/>
        </w:rPr>
        <w:t>’</w:t>
      </w:r>
    </w:p>
    <w:p w14:paraId="03B09C20" w14:textId="66911F45" w:rsidR="0027127F" w:rsidRPr="003F2CF9" w:rsidRDefault="0027127F" w:rsidP="0027127F">
      <w:pPr>
        <w:pStyle w:val="CHPText"/>
        <w:numPr>
          <w:ilvl w:val="0"/>
          <w:numId w:val="33"/>
        </w:numPr>
        <w:jc w:val="right"/>
        <w:rPr>
          <w:color w:val="929F2D" w:themeColor="accent1"/>
          <w:szCs w:val="22"/>
          <w:lang w:val="en-AU"/>
        </w:rPr>
      </w:pPr>
      <w:r>
        <w:rPr>
          <w:color w:val="929F2D" w:themeColor="accent1"/>
          <w:szCs w:val="22"/>
          <w:lang w:val="en-AU"/>
        </w:rPr>
        <w:t>Baldry, E., 2012</w:t>
      </w:r>
      <w:r w:rsidR="00FB30C4">
        <w:rPr>
          <w:rStyle w:val="FootnoteReference"/>
          <w:color w:val="929F2D" w:themeColor="accent1"/>
          <w:szCs w:val="22"/>
          <w:lang w:val="en-AU"/>
        </w:rPr>
        <w:footnoteReference w:id="35"/>
      </w:r>
    </w:p>
    <w:p w14:paraId="6B81D602" w14:textId="0A0E7D0E" w:rsidR="0027127F" w:rsidRDefault="0027127F" w:rsidP="00DC3A18">
      <w:pPr>
        <w:rPr>
          <w:rFonts w:ascii="Calibri" w:hAnsi="Calibri"/>
          <w:sz w:val="22"/>
          <w:szCs w:val="22"/>
          <w:lang w:val="en-AU"/>
        </w:rPr>
      </w:pPr>
    </w:p>
    <w:p w14:paraId="7702F76C" w14:textId="01389D1F" w:rsidR="00A30764" w:rsidRPr="00B83EB9" w:rsidRDefault="00A30764" w:rsidP="00A30764">
      <w:pPr>
        <w:rPr>
          <w:rFonts w:ascii="Calibri" w:hAnsi="Calibri"/>
          <w:sz w:val="22"/>
          <w:szCs w:val="22"/>
          <w:lang w:val="en-AU"/>
        </w:rPr>
      </w:pPr>
      <w:r>
        <w:rPr>
          <w:rFonts w:ascii="Calibri" w:hAnsi="Calibri"/>
          <w:b/>
          <w:sz w:val="22"/>
          <w:szCs w:val="22"/>
          <w:lang w:val="en-AU"/>
        </w:rPr>
        <w:t>Recommendation:</w:t>
      </w:r>
      <w:r>
        <w:rPr>
          <w:rFonts w:ascii="Calibri" w:hAnsi="Calibri"/>
          <w:sz w:val="22"/>
          <w:szCs w:val="22"/>
          <w:lang w:val="en-AU"/>
        </w:rPr>
        <w:t xml:space="preserve"> Improved police practices when interacting with people experiencing homelessness and/or mental ill-health.</w:t>
      </w:r>
    </w:p>
    <w:p w14:paraId="47DAEDBC" w14:textId="77777777" w:rsidR="00A30764" w:rsidRDefault="00A30764" w:rsidP="00A30764">
      <w:pPr>
        <w:rPr>
          <w:rFonts w:ascii="Calibri" w:hAnsi="Calibri"/>
          <w:sz w:val="22"/>
          <w:szCs w:val="22"/>
          <w:lang w:val="en-AU"/>
        </w:rPr>
      </w:pPr>
    </w:p>
    <w:p w14:paraId="34DF16BF" w14:textId="73B8E3CF" w:rsidR="00A30764" w:rsidRPr="00B83EB9" w:rsidRDefault="00A30764" w:rsidP="00A30764">
      <w:pPr>
        <w:rPr>
          <w:rFonts w:ascii="Calibri" w:hAnsi="Calibri"/>
          <w:sz w:val="22"/>
          <w:szCs w:val="22"/>
          <w:lang w:val="en-AU"/>
        </w:rPr>
      </w:pPr>
      <w:r>
        <w:rPr>
          <w:rFonts w:ascii="Calibri" w:hAnsi="Calibri"/>
          <w:b/>
          <w:sz w:val="22"/>
          <w:szCs w:val="22"/>
          <w:lang w:val="en-AU"/>
        </w:rPr>
        <w:t>Recommendation:</w:t>
      </w:r>
      <w:r>
        <w:rPr>
          <w:rFonts w:ascii="Calibri" w:hAnsi="Calibri"/>
          <w:sz w:val="22"/>
          <w:szCs w:val="22"/>
          <w:lang w:val="en-AU"/>
        </w:rPr>
        <w:t xml:space="preserve"> </w:t>
      </w:r>
      <w:r w:rsidR="00AD2857">
        <w:rPr>
          <w:rFonts w:ascii="Calibri" w:hAnsi="Calibri"/>
          <w:sz w:val="22"/>
          <w:szCs w:val="22"/>
          <w:lang w:val="en-AU"/>
        </w:rPr>
        <w:t>Expand CAT Teams and other</w:t>
      </w:r>
      <w:r w:rsidR="00764E12">
        <w:rPr>
          <w:rFonts w:ascii="Calibri" w:hAnsi="Calibri"/>
          <w:sz w:val="22"/>
          <w:szCs w:val="22"/>
          <w:lang w:val="en-AU"/>
        </w:rPr>
        <w:t xml:space="preserve"> mental</w:t>
      </w:r>
      <w:r w:rsidR="00AD2857">
        <w:rPr>
          <w:rFonts w:ascii="Calibri" w:hAnsi="Calibri"/>
          <w:sz w:val="22"/>
          <w:szCs w:val="22"/>
          <w:lang w:val="en-AU"/>
        </w:rPr>
        <w:t xml:space="preserve"> health-focused emergency response programs for people experiencing mental ill-health.</w:t>
      </w:r>
    </w:p>
    <w:p w14:paraId="68E03748" w14:textId="77777777" w:rsidR="00A30764" w:rsidRDefault="00A30764" w:rsidP="00DC3A18">
      <w:pPr>
        <w:rPr>
          <w:rFonts w:ascii="Calibri" w:hAnsi="Calibri"/>
          <w:sz w:val="22"/>
          <w:szCs w:val="22"/>
          <w:lang w:val="en-AU"/>
        </w:rPr>
      </w:pPr>
    </w:p>
    <w:p w14:paraId="5D36886F" w14:textId="5853D598" w:rsidR="00513E12" w:rsidRDefault="00513E12">
      <w:pPr>
        <w:rPr>
          <w:rFonts w:ascii="Calibri" w:hAnsi="Calibri"/>
          <w:sz w:val="22"/>
          <w:szCs w:val="22"/>
          <w:lang w:val="en-AU"/>
        </w:rPr>
      </w:pPr>
    </w:p>
    <w:p w14:paraId="5A15C704" w14:textId="13BA7AD3" w:rsidR="00513E12" w:rsidRPr="00586A75" w:rsidRDefault="00513E12" w:rsidP="00513E12">
      <w:pPr>
        <w:pStyle w:val="Heading2"/>
        <w:rPr>
          <w:lang w:val="en-AU"/>
        </w:rPr>
      </w:pPr>
      <w:bookmarkStart w:id="11" w:name="_Toc5287489"/>
      <w:r>
        <w:rPr>
          <w:lang w:val="en-AU"/>
        </w:rPr>
        <w:t>Prison and hospital exits, homelessness, and mental health</w:t>
      </w:r>
      <w:bookmarkEnd w:id="11"/>
    </w:p>
    <w:p w14:paraId="651F5592" w14:textId="77777777" w:rsidR="002A7D73" w:rsidRDefault="002A7D73" w:rsidP="00A30764">
      <w:pPr>
        <w:jc w:val="center"/>
        <w:rPr>
          <w:rFonts w:ascii="Calibri" w:hAnsi="Calibri"/>
          <w:i/>
          <w:color w:val="6A83A9"/>
          <w:sz w:val="22"/>
          <w:szCs w:val="22"/>
          <w:lang w:val="en-AU"/>
        </w:rPr>
      </w:pPr>
    </w:p>
    <w:p w14:paraId="01B133F4" w14:textId="1C904121" w:rsidR="00A30764" w:rsidRDefault="00A30764" w:rsidP="00A30764">
      <w:pPr>
        <w:jc w:val="center"/>
        <w:rPr>
          <w:rFonts w:ascii="Calibri" w:hAnsi="Calibri"/>
          <w:i/>
          <w:color w:val="6A83A9"/>
          <w:sz w:val="22"/>
          <w:szCs w:val="22"/>
          <w:lang w:val="en-AU"/>
        </w:rPr>
      </w:pPr>
      <w:r w:rsidRPr="0026758F">
        <w:rPr>
          <w:rFonts w:ascii="Calibri" w:hAnsi="Calibri"/>
          <w:i/>
          <w:color w:val="6A83A9"/>
          <w:sz w:val="22"/>
          <w:szCs w:val="22"/>
          <w:lang w:val="en-AU"/>
        </w:rPr>
        <w:t>‘</w:t>
      </w:r>
      <w:r w:rsidR="00834AC7" w:rsidRPr="00834AC7">
        <w:rPr>
          <w:rFonts w:ascii="Calibri" w:hAnsi="Calibri"/>
          <w:i/>
          <w:color w:val="6A83A9"/>
          <w:sz w:val="22"/>
          <w:szCs w:val="22"/>
          <w:lang w:val="en-AU"/>
        </w:rPr>
        <w:t>I don’t think people should be exited</w:t>
      </w:r>
      <w:r w:rsidR="00834AC7">
        <w:rPr>
          <w:rFonts w:ascii="Calibri" w:hAnsi="Calibri"/>
          <w:i/>
          <w:color w:val="6A83A9"/>
          <w:sz w:val="22"/>
          <w:szCs w:val="22"/>
          <w:lang w:val="en-AU"/>
        </w:rPr>
        <w:t xml:space="preserve"> from either hospital or prison </w:t>
      </w:r>
      <w:r w:rsidR="00834AC7" w:rsidRPr="00834AC7">
        <w:rPr>
          <w:rFonts w:ascii="Calibri" w:hAnsi="Calibri"/>
          <w:i/>
          <w:color w:val="6A83A9"/>
          <w:sz w:val="22"/>
          <w:szCs w:val="22"/>
          <w:lang w:val="en-AU"/>
        </w:rPr>
        <w:t>without a good tenure on a house. Not a rooming house. It’s not a good enough</w:t>
      </w:r>
      <w:r w:rsidRPr="00834AC7">
        <w:rPr>
          <w:rFonts w:ascii="Calibri" w:hAnsi="Calibri"/>
          <w:i/>
          <w:color w:val="6A83A9"/>
          <w:sz w:val="22"/>
          <w:szCs w:val="22"/>
          <w:lang w:val="en-AU"/>
        </w:rPr>
        <w:t>.</w:t>
      </w:r>
      <w:r w:rsidRPr="0026758F">
        <w:rPr>
          <w:rFonts w:ascii="Calibri" w:hAnsi="Calibri"/>
          <w:i/>
          <w:color w:val="6A83A9"/>
          <w:sz w:val="22"/>
          <w:szCs w:val="22"/>
          <w:lang w:val="en-AU"/>
        </w:rPr>
        <w:t>’</w:t>
      </w:r>
    </w:p>
    <w:p w14:paraId="0622D037" w14:textId="71C7C9A1" w:rsidR="00A30764" w:rsidRPr="004546FB" w:rsidRDefault="00834AC7" w:rsidP="00A30764">
      <w:pPr>
        <w:pStyle w:val="ListParagraph"/>
        <w:numPr>
          <w:ilvl w:val="0"/>
          <w:numId w:val="32"/>
        </w:numPr>
        <w:jc w:val="right"/>
        <w:rPr>
          <w:rFonts w:ascii="Calibri" w:hAnsi="Calibri"/>
        </w:rPr>
      </w:pPr>
      <w:r>
        <w:rPr>
          <w:color w:val="6A83A9"/>
        </w:rPr>
        <w:t xml:space="preserve">Christine </w:t>
      </w:r>
      <w:proofErr w:type="spellStart"/>
      <w:r>
        <w:rPr>
          <w:color w:val="6A83A9"/>
        </w:rPr>
        <w:t>Thirkell</w:t>
      </w:r>
      <w:proofErr w:type="spellEnd"/>
      <w:r w:rsidR="00A30764" w:rsidRPr="00061F67">
        <w:rPr>
          <w:color w:val="6A83A9"/>
        </w:rPr>
        <w:t>, Consumer / Advocate</w:t>
      </w:r>
    </w:p>
    <w:p w14:paraId="4DF1E3D8" w14:textId="77777777" w:rsidR="00513E12" w:rsidRPr="002A7D73" w:rsidRDefault="00513E12" w:rsidP="00513E12">
      <w:pPr>
        <w:jc w:val="center"/>
        <w:rPr>
          <w:rFonts w:ascii="Calibri" w:hAnsi="Calibri"/>
          <w:color w:val="6A83A9"/>
          <w:sz w:val="22"/>
          <w:szCs w:val="22"/>
          <w:lang w:val="en-AU"/>
        </w:rPr>
      </w:pPr>
    </w:p>
    <w:p w14:paraId="23360B47" w14:textId="57AE2809" w:rsidR="00513E12" w:rsidRDefault="001E694B" w:rsidP="00513E12">
      <w:pPr>
        <w:rPr>
          <w:rFonts w:ascii="Calibri" w:hAnsi="Calibri"/>
          <w:sz w:val="22"/>
          <w:szCs w:val="22"/>
          <w:lang w:val="en-AU"/>
        </w:rPr>
      </w:pPr>
      <w:r>
        <w:rPr>
          <w:rFonts w:ascii="Calibri" w:hAnsi="Calibri"/>
          <w:sz w:val="22"/>
          <w:szCs w:val="22"/>
          <w:lang w:val="en-AU"/>
        </w:rPr>
        <w:t xml:space="preserve">People exiting acute health or mental health in-patient services or correctional facilities experience high rates of homelessness. </w:t>
      </w:r>
      <w:r w:rsidR="00606C44">
        <w:rPr>
          <w:rFonts w:ascii="Calibri" w:hAnsi="Calibri"/>
          <w:sz w:val="22"/>
          <w:szCs w:val="22"/>
          <w:lang w:val="en-AU"/>
        </w:rPr>
        <w:t>With low incomes, limited or negative rental histories, and often health issues or disabilities that present additional challenges</w:t>
      </w:r>
      <w:r w:rsidR="00BB1808">
        <w:rPr>
          <w:rFonts w:ascii="Calibri" w:hAnsi="Calibri"/>
          <w:sz w:val="22"/>
          <w:szCs w:val="22"/>
          <w:lang w:val="en-AU"/>
        </w:rPr>
        <w:t>, securing housing can be difficult.</w:t>
      </w:r>
    </w:p>
    <w:p w14:paraId="4F42D4CF" w14:textId="2BAC4B08" w:rsidR="00BB1808" w:rsidRDefault="00BB1808" w:rsidP="00513E12">
      <w:pPr>
        <w:rPr>
          <w:rFonts w:ascii="Calibri" w:hAnsi="Calibri"/>
          <w:sz w:val="22"/>
          <w:szCs w:val="22"/>
          <w:lang w:val="en-AU"/>
        </w:rPr>
      </w:pPr>
    </w:p>
    <w:p w14:paraId="211C3B90" w14:textId="02C5CE24" w:rsidR="00BB1808" w:rsidRPr="00BB1808" w:rsidRDefault="00BB1808" w:rsidP="00BB1808">
      <w:pPr>
        <w:rPr>
          <w:rFonts w:ascii="Calibri" w:hAnsi="Calibri"/>
          <w:sz w:val="22"/>
          <w:szCs w:val="22"/>
          <w:lang w:val="en-AU"/>
        </w:rPr>
      </w:pPr>
      <w:r w:rsidRPr="00BB1808">
        <w:rPr>
          <w:rFonts w:ascii="Calibri" w:hAnsi="Calibri"/>
          <w:sz w:val="22"/>
          <w:szCs w:val="22"/>
          <w:lang w:val="en-AU"/>
        </w:rPr>
        <w:t xml:space="preserve">Exiting acute care or correctional facilities into homelessness is self-defeating. Prisoners who exit prison into homelessness are more likely to reoffend than those </w:t>
      </w:r>
      <w:r w:rsidRPr="00BB1808">
        <w:rPr>
          <w:rFonts w:ascii="Calibri" w:hAnsi="Calibri"/>
          <w:sz w:val="22"/>
          <w:szCs w:val="22"/>
          <w:lang w:val="en-AU"/>
        </w:rPr>
        <w:lastRenderedPageBreak/>
        <w:t>who don’t</w:t>
      </w:r>
      <w:r w:rsidRPr="00BB1808">
        <w:rPr>
          <w:rFonts w:ascii="Calibri" w:hAnsi="Calibri"/>
          <w:sz w:val="22"/>
          <w:szCs w:val="22"/>
          <w:vertAlign w:val="superscript"/>
          <w:lang w:val="en-AU"/>
        </w:rPr>
        <w:footnoteReference w:id="36"/>
      </w:r>
      <w:r w:rsidRPr="00BB1808">
        <w:rPr>
          <w:rFonts w:ascii="Calibri" w:hAnsi="Calibri"/>
          <w:sz w:val="22"/>
          <w:szCs w:val="22"/>
          <w:lang w:val="en-AU"/>
        </w:rPr>
        <w:t>. Homelessness is not only destructive to a person’s mental health, but a lack of suitable accommodation undermines the provision of subacute and outpatient support required by hospital-leavers.</w:t>
      </w:r>
    </w:p>
    <w:p w14:paraId="0BC73904" w14:textId="77777777" w:rsidR="00BB1808" w:rsidRDefault="00BB1808" w:rsidP="00513E12">
      <w:pPr>
        <w:rPr>
          <w:rFonts w:ascii="Calibri" w:hAnsi="Calibri"/>
          <w:sz w:val="22"/>
          <w:szCs w:val="22"/>
          <w:lang w:val="en-AU"/>
        </w:rPr>
      </w:pPr>
    </w:p>
    <w:p w14:paraId="6C2057E0" w14:textId="265BB161" w:rsidR="007A480C" w:rsidRDefault="003232EE" w:rsidP="00513E12">
      <w:pPr>
        <w:rPr>
          <w:rFonts w:ascii="Calibri" w:hAnsi="Calibri"/>
          <w:sz w:val="22"/>
          <w:szCs w:val="22"/>
          <w:lang w:val="en-AU"/>
        </w:rPr>
      </w:pPr>
      <w:r>
        <w:rPr>
          <w:rFonts w:ascii="Calibri" w:hAnsi="Calibri"/>
          <w:sz w:val="22"/>
          <w:szCs w:val="22"/>
          <w:lang w:val="en-AU"/>
        </w:rPr>
        <w:t>The number of Australians who have exited mental health, correctional, or rehabilitation facilities into homelessness has grown by 67 per cent since 2011-12.</w:t>
      </w:r>
      <w:r w:rsidR="00A87DB4">
        <w:rPr>
          <w:rFonts w:ascii="Calibri" w:hAnsi="Calibri"/>
          <w:sz w:val="22"/>
          <w:szCs w:val="22"/>
          <w:lang w:val="en-AU"/>
        </w:rPr>
        <w:t xml:space="preserve"> Thousands of Australians are being put at risk due to the lack of housing attached to follow up supports for those leaving state services.</w:t>
      </w:r>
    </w:p>
    <w:p w14:paraId="3FC73616" w14:textId="20BC6E15" w:rsidR="007A480C" w:rsidRDefault="007A480C" w:rsidP="00513E12">
      <w:pPr>
        <w:rPr>
          <w:rFonts w:ascii="Calibri" w:hAnsi="Calibri"/>
          <w:sz w:val="22"/>
          <w:szCs w:val="22"/>
          <w:lang w:val="en-AU"/>
        </w:rPr>
      </w:pPr>
    </w:p>
    <w:p w14:paraId="48C0884C" w14:textId="01757819" w:rsidR="00A87DB4" w:rsidRPr="00912EDB" w:rsidRDefault="00A87DB4" w:rsidP="00A87DB4">
      <w:pPr>
        <w:pStyle w:val="CHPText"/>
        <w:jc w:val="center"/>
        <w:rPr>
          <w:i/>
          <w:color w:val="929F2D" w:themeColor="accent1"/>
          <w:szCs w:val="22"/>
          <w:lang w:val="en-AU"/>
        </w:rPr>
      </w:pPr>
      <w:r w:rsidRPr="0081707A">
        <w:rPr>
          <w:i/>
          <w:color w:val="929F2D" w:themeColor="accent1"/>
          <w:szCs w:val="22"/>
          <w:lang w:val="en-AU"/>
        </w:rPr>
        <w:t>‘</w:t>
      </w:r>
      <w:r w:rsidRPr="00A87DB4">
        <w:rPr>
          <w:i/>
          <w:color w:val="929F2D" w:themeColor="accent1"/>
          <w:szCs w:val="22"/>
          <w:lang w:val="en-AU"/>
        </w:rPr>
        <w:t>They need to have housing! I</w:t>
      </w:r>
      <w:r>
        <w:rPr>
          <w:i/>
          <w:color w:val="929F2D" w:themeColor="accent1"/>
          <w:szCs w:val="22"/>
          <w:lang w:val="en-AU"/>
        </w:rPr>
        <w:t>t</w:t>
      </w:r>
      <w:r w:rsidRPr="00A87DB4">
        <w:rPr>
          <w:i/>
          <w:color w:val="929F2D" w:themeColor="accent1"/>
          <w:szCs w:val="22"/>
          <w:lang w:val="en-AU"/>
        </w:rPr>
        <w:t>’s no good putting them on the street where t</w:t>
      </w:r>
      <w:r>
        <w:rPr>
          <w:i/>
          <w:color w:val="929F2D" w:themeColor="accent1"/>
          <w:szCs w:val="22"/>
          <w:lang w:val="en-AU"/>
        </w:rPr>
        <w:t>h</w:t>
      </w:r>
      <w:r w:rsidRPr="00A87DB4">
        <w:rPr>
          <w:i/>
          <w:color w:val="929F2D" w:themeColor="accent1"/>
          <w:szCs w:val="22"/>
          <w:lang w:val="en-AU"/>
        </w:rPr>
        <w:t>ey’re going to be problems for society. It’s not society’s fault.</w:t>
      </w:r>
      <w:r>
        <w:rPr>
          <w:i/>
          <w:color w:val="929F2D" w:themeColor="accent1"/>
          <w:szCs w:val="22"/>
          <w:lang w:val="en-AU"/>
        </w:rPr>
        <w:t xml:space="preserve"> </w:t>
      </w:r>
      <w:r w:rsidRPr="00A87DB4">
        <w:rPr>
          <w:i/>
          <w:color w:val="929F2D" w:themeColor="accent1"/>
          <w:szCs w:val="22"/>
          <w:lang w:val="en-AU"/>
        </w:rPr>
        <w:t>Instead of putting them on the street and saying you’re on your own, they need to be put into a housing situation and get the support they need for the transition back into society.</w:t>
      </w:r>
      <w:r>
        <w:rPr>
          <w:i/>
          <w:color w:val="929F2D" w:themeColor="accent1"/>
          <w:szCs w:val="22"/>
        </w:rPr>
        <w:t>’</w:t>
      </w:r>
    </w:p>
    <w:p w14:paraId="1D399677" w14:textId="77777777" w:rsidR="00A87DB4" w:rsidRPr="003F2CF9" w:rsidRDefault="00A87DB4" w:rsidP="00A87DB4">
      <w:pPr>
        <w:pStyle w:val="CHPText"/>
        <w:numPr>
          <w:ilvl w:val="0"/>
          <w:numId w:val="33"/>
        </w:numPr>
        <w:jc w:val="right"/>
        <w:rPr>
          <w:color w:val="929F2D" w:themeColor="accent1"/>
          <w:szCs w:val="22"/>
          <w:lang w:val="en-AU"/>
        </w:rPr>
      </w:pPr>
      <w:r>
        <w:rPr>
          <w:color w:val="929F2D" w:themeColor="accent1"/>
          <w:szCs w:val="22"/>
          <w:lang w:val="en-AU"/>
        </w:rPr>
        <w:t>John Kenney, Consumer / Advocate</w:t>
      </w:r>
    </w:p>
    <w:p w14:paraId="77D7DDA3" w14:textId="69DD687E" w:rsidR="007A480C" w:rsidRDefault="007A480C" w:rsidP="00513E12">
      <w:pPr>
        <w:rPr>
          <w:rFonts w:ascii="Calibri" w:hAnsi="Calibri"/>
          <w:sz w:val="22"/>
          <w:szCs w:val="22"/>
          <w:lang w:val="en-AU"/>
        </w:rPr>
      </w:pPr>
    </w:p>
    <w:p w14:paraId="6DFEA34E" w14:textId="5F475A5B" w:rsidR="00250081" w:rsidRDefault="00250081" w:rsidP="00513E12">
      <w:pPr>
        <w:rPr>
          <w:rFonts w:ascii="Calibri" w:hAnsi="Calibri"/>
          <w:sz w:val="22"/>
          <w:szCs w:val="22"/>
          <w:lang w:val="en-AU"/>
        </w:rPr>
      </w:pPr>
    </w:p>
    <w:p w14:paraId="3D780D9A" w14:textId="77777777" w:rsidR="00250081" w:rsidRPr="009A6B82" w:rsidRDefault="00250081" w:rsidP="00250081">
      <w:pPr>
        <w:rPr>
          <w:rFonts w:ascii="Calibri" w:hAnsi="Calibri"/>
          <w:b/>
          <w:sz w:val="22"/>
          <w:szCs w:val="22"/>
          <w:lang w:val="en-AU"/>
        </w:rPr>
      </w:pPr>
      <w:r w:rsidRPr="009A6B82">
        <w:rPr>
          <w:rFonts w:ascii="Calibri" w:hAnsi="Calibri"/>
          <w:b/>
          <w:sz w:val="22"/>
          <w:szCs w:val="22"/>
          <w:lang w:val="en-AU"/>
        </w:rPr>
        <w:t>Figure 2</w:t>
      </w:r>
      <w:r>
        <w:rPr>
          <w:rStyle w:val="FootnoteReference"/>
          <w:rFonts w:ascii="Calibri" w:hAnsi="Calibri"/>
          <w:sz w:val="22"/>
          <w:szCs w:val="22"/>
          <w:lang w:val="en-AU"/>
        </w:rPr>
        <w:footnoteReference w:id="37"/>
      </w:r>
    </w:p>
    <w:p w14:paraId="7C41DC87" w14:textId="77777777" w:rsidR="00250081" w:rsidRDefault="00250081" w:rsidP="00513E12">
      <w:pPr>
        <w:rPr>
          <w:rFonts w:ascii="Calibri" w:hAnsi="Calibri"/>
          <w:sz w:val="22"/>
          <w:szCs w:val="22"/>
          <w:lang w:val="en-AU"/>
        </w:rPr>
      </w:pPr>
      <w:r>
        <w:rPr>
          <w:noProof/>
          <w:lang w:val="en-AU" w:eastAsia="en-AU"/>
        </w:rPr>
        <w:drawing>
          <wp:inline distT="0" distB="0" distL="0" distR="0" wp14:anchorId="1D883DD6" wp14:editId="7393604C">
            <wp:extent cx="4950460" cy="3500755"/>
            <wp:effectExtent l="0" t="0" r="2540"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856375" w14:textId="77777777" w:rsidR="00250081" w:rsidRDefault="00250081" w:rsidP="00513E12">
      <w:pPr>
        <w:rPr>
          <w:rFonts w:ascii="Calibri" w:hAnsi="Calibri"/>
          <w:sz w:val="22"/>
          <w:szCs w:val="22"/>
          <w:lang w:val="en-AU"/>
        </w:rPr>
      </w:pPr>
    </w:p>
    <w:p w14:paraId="6D4A9A12" w14:textId="2FD9FB2B" w:rsidR="00A76239" w:rsidRDefault="000F6619" w:rsidP="00513E12">
      <w:pPr>
        <w:rPr>
          <w:rFonts w:ascii="Calibri" w:hAnsi="Calibri"/>
          <w:sz w:val="22"/>
          <w:szCs w:val="22"/>
          <w:lang w:val="en-AU"/>
        </w:rPr>
      </w:pPr>
      <w:r>
        <w:rPr>
          <w:rFonts w:ascii="Calibri" w:hAnsi="Calibri"/>
          <w:sz w:val="22"/>
          <w:szCs w:val="22"/>
          <w:lang w:val="en-AU"/>
        </w:rPr>
        <w:t xml:space="preserve">The period of transition from a state facility (health or justice) into the community is marked by instability and stress. In particular, a lack of housing and poorly coordinated supports mean that many people exiting such facilities do not have their needs </w:t>
      </w:r>
      <w:r>
        <w:rPr>
          <w:rFonts w:ascii="Calibri" w:hAnsi="Calibri"/>
          <w:sz w:val="22"/>
          <w:szCs w:val="22"/>
          <w:lang w:val="en-AU"/>
        </w:rPr>
        <w:lastRenderedPageBreak/>
        <w:t>adequately met</w:t>
      </w:r>
      <w:r w:rsidR="00064BF8">
        <w:rPr>
          <w:rFonts w:ascii="Calibri" w:hAnsi="Calibri"/>
          <w:sz w:val="22"/>
          <w:szCs w:val="22"/>
          <w:lang w:val="en-AU"/>
        </w:rPr>
        <w:t xml:space="preserve"> during this time.</w:t>
      </w:r>
      <w:r w:rsidR="009A6B82" w:rsidRPr="009A6B82">
        <w:rPr>
          <w:rStyle w:val="FootnoteReference"/>
          <w:rFonts w:ascii="Calibri" w:hAnsi="Calibri"/>
          <w:sz w:val="22"/>
          <w:szCs w:val="22"/>
          <w:lang w:val="en-AU"/>
        </w:rPr>
        <w:t xml:space="preserve"> </w:t>
      </w:r>
      <w:r w:rsidR="009A6B82">
        <w:rPr>
          <w:rStyle w:val="FootnoteReference"/>
          <w:rFonts w:ascii="Calibri" w:hAnsi="Calibri"/>
          <w:sz w:val="22"/>
          <w:szCs w:val="22"/>
          <w:lang w:val="en-AU"/>
        </w:rPr>
        <w:footnoteReference w:id="38"/>
      </w:r>
      <w:r w:rsidR="00205211">
        <w:rPr>
          <w:rFonts w:ascii="Calibri" w:hAnsi="Calibri"/>
          <w:sz w:val="22"/>
          <w:szCs w:val="22"/>
          <w:lang w:val="en-AU"/>
        </w:rPr>
        <w:t xml:space="preserve"> One study that compared the outcomes of mental health hospital </w:t>
      </w:r>
      <w:proofErr w:type="spellStart"/>
      <w:r w:rsidR="00205211">
        <w:rPr>
          <w:rFonts w:ascii="Calibri" w:hAnsi="Calibri"/>
          <w:sz w:val="22"/>
          <w:szCs w:val="22"/>
          <w:lang w:val="en-AU"/>
        </w:rPr>
        <w:t>dischargees</w:t>
      </w:r>
      <w:proofErr w:type="spellEnd"/>
      <w:r w:rsidR="00205211">
        <w:rPr>
          <w:rFonts w:ascii="Calibri" w:hAnsi="Calibri"/>
          <w:sz w:val="22"/>
          <w:szCs w:val="22"/>
          <w:lang w:val="en-AU"/>
        </w:rPr>
        <w:t xml:space="preserve"> who received transitional housing support against a control group who did not found that the program averted over 22 psychiatric in-patient bed days per participant – the financial savings of which </w:t>
      </w:r>
      <w:r w:rsidR="00EB0B4E">
        <w:rPr>
          <w:rFonts w:ascii="Calibri" w:hAnsi="Calibri"/>
          <w:sz w:val="22"/>
          <w:szCs w:val="22"/>
          <w:lang w:val="en-AU"/>
        </w:rPr>
        <w:t>eclipsed</w:t>
      </w:r>
      <w:r w:rsidR="00842DBC">
        <w:rPr>
          <w:rFonts w:ascii="Calibri" w:hAnsi="Calibri"/>
          <w:sz w:val="22"/>
          <w:szCs w:val="22"/>
          <w:lang w:val="en-AU"/>
        </w:rPr>
        <w:t xml:space="preserve"> the cost of providing such support. Consumers’ living conditions also improved.</w:t>
      </w:r>
      <w:r w:rsidR="009A6B82" w:rsidRPr="009A6B82">
        <w:rPr>
          <w:rStyle w:val="FootnoteReference"/>
          <w:rFonts w:ascii="Calibri" w:hAnsi="Calibri"/>
          <w:sz w:val="22"/>
          <w:szCs w:val="22"/>
          <w:lang w:val="en-AU"/>
        </w:rPr>
        <w:t xml:space="preserve"> </w:t>
      </w:r>
      <w:r w:rsidR="009A6B82">
        <w:rPr>
          <w:rStyle w:val="FootnoteReference"/>
          <w:rFonts w:ascii="Calibri" w:hAnsi="Calibri"/>
          <w:sz w:val="22"/>
          <w:szCs w:val="22"/>
          <w:lang w:val="en-AU"/>
        </w:rPr>
        <w:footnoteReference w:id="39"/>
      </w:r>
    </w:p>
    <w:p w14:paraId="0FBE5305" w14:textId="77777777" w:rsidR="00761BE5" w:rsidRDefault="00761BE5" w:rsidP="00761BE5">
      <w:pPr>
        <w:pStyle w:val="CHPText"/>
        <w:jc w:val="center"/>
        <w:rPr>
          <w:i/>
          <w:color w:val="929F2D" w:themeColor="accent1"/>
          <w:szCs w:val="22"/>
          <w:lang w:val="en-AU"/>
        </w:rPr>
      </w:pPr>
    </w:p>
    <w:p w14:paraId="535A09F3" w14:textId="70C9FB65" w:rsidR="00761BE5" w:rsidRPr="00912EDB" w:rsidRDefault="00761BE5" w:rsidP="00761BE5">
      <w:pPr>
        <w:pStyle w:val="CHPText"/>
        <w:jc w:val="center"/>
        <w:rPr>
          <w:i/>
          <w:color w:val="929F2D" w:themeColor="accent1"/>
          <w:szCs w:val="22"/>
          <w:lang w:val="en-AU"/>
        </w:rPr>
      </w:pPr>
      <w:r w:rsidRPr="0081707A">
        <w:rPr>
          <w:i/>
          <w:color w:val="929F2D" w:themeColor="accent1"/>
          <w:szCs w:val="22"/>
          <w:lang w:val="en-AU"/>
        </w:rPr>
        <w:t>‘</w:t>
      </w:r>
      <w:r w:rsidRPr="00834AC7">
        <w:rPr>
          <w:i/>
          <w:color w:val="929F2D" w:themeColor="accent1"/>
          <w:szCs w:val="22"/>
          <w:lang w:val="en-AU"/>
        </w:rPr>
        <w:t>You get better after sale care on a laptop</w:t>
      </w:r>
      <w:r w:rsidRPr="0027127F">
        <w:rPr>
          <w:i/>
          <w:color w:val="929F2D" w:themeColor="accent1"/>
          <w:szCs w:val="22"/>
        </w:rPr>
        <w:t>.</w:t>
      </w:r>
      <w:r>
        <w:rPr>
          <w:i/>
          <w:color w:val="929F2D" w:themeColor="accent1"/>
          <w:szCs w:val="22"/>
        </w:rPr>
        <w:t>’</w:t>
      </w:r>
    </w:p>
    <w:p w14:paraId="403C9D46" w14:textId="77777777" w:rsidR="00761BE5" w:rsidRPr="003F2CF9" w:rsidRDefault="00761BE5" w:rsidP="00761BE5">
      <w:pPr>
        <w:pStyle w:val="CHPText"/>
        <w:numPr>
          <w:ilvl w:val="0"/>
          <w:numId w:val="33"/>
        </w:numPr>
        <w:jc w:val="right"/>
        <w:rPr>
          <w:color w:val="929F2D" w:themeColor="accent1"/>
          <w:szCs w:val="22"/>
          <w:lang w:val="en-AU"/>
        </w:rPr>
      </w:pPr>
      <w:r>
        <w:rPr>
          <w:color w:val="929F2D" w:themeColor="accent1"/>
          <w:szCs w:val="22"/>
          <w:lang w:val="en-AU"/>
        </w:rPr>
        <w:t>Jason Russell, Consumer / Advocate</w:t>
      </w:r>
    </w:p>
    <w:p w14:paraId="61912860" w14:textId="74789DE6" w:rsidR="00256795" w:rsidRDefault="00256795" w:rsidP="00256795">
      <w:pPr>
        <w:rPr>
          <w:rFonts w:ascii="Calibri" w:hAnsi="Calibri"/>
          <w:color w:val="6A83A9"/>
          <w:sz w:val="22"/>
          <w:szCs w:val="22"/>
          <w:lang w:val="en-AU"/>
        </w:rPr>
      </w:pPr>
    </w:p>
    <w:p w14:paraId="524E6B2D" w14:textId="0F201903" w:rsidR="00256795" w:rsidRPr="00256795" w:rsidRDefault="00256795" w:rsidP="00256795">
      <w:pPr>
        <w:rPr>
          <w:rFonts w:ascii="Calibri" w:hAnsi="Calibri"/>
          <w:color w:val="6A83A9"/>
          <w:sz w:val="22"/>
          <w:szCs w:val="22"/>
          <w:lang w:val="en-AU"/>
        </w:rPr>
      </w:pPr>
      <w:r>
        <w:rPr>
          <w:rFonts w:ascii="Calibri" w:hAnsi="Calibri"/>
          <w:b/>
          <w:sz w:val="22"/>
          <w:szCs w:val="22"/>
          <w:lang w:val="en-AU"/>
        </w:rPr>
        <w:t>Recommendation:</w:t>
      </w:r>
      <w:r>
        <w:rPr>
          <w:rFonts w:ascii="Calibri" w:hAnsi="Calibri"/>
          <w:sz w:val="22"/>
          <w:szCs w:val="22"/>
          <w:lang w:val="en-AU"/>
        </w:rPr>
        <w:t xml:space="preserve"> Provide transitional housing support to people who do not have access to a suitable home who are exiting correctional facilities, hospitals, and psychiatric hospitals.</w:t>
      </w:r>
    </w:p>
    <w:p w14:paraId="1D703B8B" w14:textId="77777777" w:rsidR="00834AC7" w:rsidRPr="004546FB" w:rsidRDefault="00834AC7" w:rsidP="00834AC7">
      <w:pPr>
        <w:jc w:val="center"/>
        <w:rPr>
          <w:rFonts w:ascii="Calibri" w:hAnsi="Calibri"/>
        </w:rPr>
      </w:pPr>
    </w:p>
    <w:p w14:paraId="67CE25F1" w14:textId="77777777" w:rsidR="00513E12" w:rsidRDefault="00513E12">
      <w:pPr>
        <w:rPr>
          <w:rFonts w:ascii="Calibri" w:hAnsi="Calibri"/>
          <w:sz w:val="22"/>
          <w:szCs w:val="22"/>
          <w:lang w:val="en-AU"/>
        </w:rPr>
      </w:pPr>
    </w:p>
    <w:p w14:paraId="60D62154" w14:textId="7EA1742A" w:rsidR="00A26479" w:rsidRPr="00586A75" w:rsidRDefault="00A26479" w:rsidP="00A26479">
      <w:pPr>
        <w:pStyle w:val="Heading2"/>
        <w:rPr>
          <w:lang w:val="en-AU"/>
        </w:rPr>
      </w:pPr>
      <w:bookmarkStart w:id="12" w:name="_Toc5287490"/>
      <w:r>
        <w:rPr>
          <w:lang w:val="en-AU"/>
        </w:rPr>
        <w:t>Other areas of the housing system to improve mental health outcomes</w:t>
      </w:r>
      <w:bookmarkEnd w:id="12"/>
    </w:p>
    <w:p w14:paraId="0F3FA6A9" w14:textId="77777777" w:rsidR="00B22C8E" w:rsidRDefault="00B22C8E" w:rsidP="00A26479">
      <w:pPr>
        <w:jc w:val="center"/>
        <w:rPr>
          <w:rFonts w:ascii="Calibri" w:hAnsi="Calibri"/>
          <w:i/>
          <w:color w:val="6A83A9"/>
          <w:sz w:val="22"/>
          <w:szCs w:val="22"/>
          <w:lang w:val="en-AU"/>
        </w:rPr>
      </w:pPr>
    </w:p>
    <w:p w14:paraId="11C978D2" w14:textId="0B2E6E07" w:rsidR="00A26479" w:rsidRPr="00061F67" w:rsidRDefault="00A26479" w:rsidP="00A26479">
      <w:pPr>
        <w:jc w:val="center"/>
        <w:rPr>
          <w:rFonts w:ascii="Calibri" w:hAnsi="Calibri"/>
          <w:i/>
          <w:color w:val="6A83A9"/>
          <w:sz w:val="22"/>
          <w:szCs w:val="22"/>
          <w:lang w:val="en-AU"/>
        </w:rPr>
      </w:pPr>
      <w:r>
        <w:rPr>
          <w:rFonts w:ascii="Calibri" w:hAnsi="Calibri"/>
          <w:i/>
          <w:color w:val="6A83A9"/>
          <w:sz w:val="22"/>
          <w:szCs w:val="22"/>
          <w:lang w:val="en-AU"/>
        </w:rPr>
        <w:t>‘</w:t>
      </w:r>
      <w:r w:rsidR="00B22C8E" w:rsidRPr="00B22C8E">
        <w:rPr>
          <w:rFonts w:ascii="Calibri" w:hAnsi="Calibri"/>
          <w:i/>
          <w:color w:val="6A83A9"/>
          <w:sz w:val="22"/>
          <w:szCs w:val="22"/>
          <w:lang w:val="en-AU"/>
        </w:rPr>
        <w:t>I lived with someone with extreme schizophrenia, and he tried to set himself on fire, he was trying to kick my door down and kill me</w:t>
      </w:r>
      <w:r w:rsidR="00B22C8E">
        <w:rPr>
          <w:rFonts w:ascii="Calibri" w:hAnsi="Calibri"/>
          <w:i/>
          <w:color w:val="6A83A9"/>
          <w:sz w:val="22"/>
          <w:szCs w:val="22"/>
          <w:lang w:val="en-AU"/>
        </w:rPr>
        <w:t>’</w:t>
      </w:r>
    </w:p>
    <w:p w14:paraId="792CD9F1" w14:textId="37689EC0" w:rsidR="00A26479" w:rsidRPr="00F21D8F" w:rsidRDefault="00B22C8E" w:rsidP="00A26479">
      <w:pPr>
        <w:pStyle w:val="ListParagraph"/>
        <w:numPr>
          <w:ilvl w:val="0"/>
          <w:numId w:val="32"/>
        </w:numPr>
        <w:jc w:val="right"/>
        <w:rPr>
          <w:rFonts w:ascii="Calibri" w:hAnsi="Calibri"/>
        </w:rPr>
      </w:pPr>
      <w:r>
        <w:rPr>
          <w:color w:val="6A83A9"/>
        </w:rPr>
        <w:t>David Montgomery</w:t>
      </w:r>
      <w:r w:rsidR="00A26479" w:rsidRPr="00061F67">
        <w:rPr>
          <w:color w:val="6A83A9"/>
        </w:rPr>
        <w:t>, Consumer / Advocate</w:t>
      </w:r>
    </w:p>
    <w:p w14:paraId="6B28658C" w14:textId="6051EDE7" w:rsidR="00A26479" w:rsidRDefault="00A26479" w:rsidP="00A26479">
      <w:pPr>
        <w:rPr>
          <w:rFonts w:ascii="Calibri" w:hAnsi="Calibri"/>
          <w:i/>
          <w:color w:val="6A83A9"/>
          <w:sz w:val="22"/>
          <w:szCs w:val="22"/>
          <w:lang w:val="en-AU"/>
        </w:rPr>
      </w:pPr>
    </w:p>
    <w:p w14:paraId="181AEAD4" w14:textId="320CEB9B" w:rsidR="00266F5A" w:rsidRDefault="00266F5A" w:rsidP="00A26479">
      <w:pPr>
        <w:rPr>
          <w:rFonts w:ascii="Calibri" w:hAnsi="Calibri"/>
          <w:sz w:val="22"/>
          <w:szCs w:val="22"/>
          <w:lang w:val="en-AU"/>
        </w:rPr>
      </w:pPr>
      <w:r>
        <w:rPr>
          <w:rFonts w:ascii="Calibri" w:hAnsi="Calibri"/>
          <w:sz w:val="22"/>
          <w:szCs w:val="22"/>
          <w:lang w:val="en-AU"/>
        </w:rPr>
        <w:t xml:space="preserve">Rooming houses are a common form of housing </w:t>
      </w:r>
      <w:r w:rsidR="0069731F">
        <w:rPr>
          <w:rFonts w:ascii="Calibri" w:hAnsi="Calibri"/>
          <w:sz w:val="22"/>
          <w:szCs w:val="22"/>
          <w:lang w:val="en-AU"/>
        </w:rPr>
        <w:t xml:space="preserve">for </w:t>
      </w:r>
      <w:r>
        <w:rPr>
          <w:rFonts w:ascii="Calibri" w:hAnsi="Calibri"/>
          <w:sz w:val="22"/>
          <w:szCs w:val="22"/>
          <w:lang w:val="en-AU"/>
        </w:rPr>
        <w:t>people experiencing disadvantage. This includes those who are unemployed, have a disability, are socially isolated, and who are not connected to services.</w:t>
      </w:r>
      <w:r w:rsidR="00DF050F" w:rsidRPr="00DF050F">
        <w:rPr>
          <w:rStyle w:val="FootnoteReference"/>
          <w:rFonts w:ascii="Calibri" w:hAnsi="Calibri"/>
          <w:sz w:val="22"/>
          <w:szCs w:val="22"/>
          <w:lang w:val="en-AU"/>
        </w:rPr>
        <w:t xml:space="preserve"> </w:t>
      </w:r>
      <w:r w:rsidR="00DF050F">
        <w:rPr>
          <w:rStyle w:val="FootnoteReference"/>
          <w:rFonts w:ascii="Calibri" w:hAnsi="Calibri"/>
          <w:sz w:val="22"/>
          <w:szCs w:val="22"/>
          <w:lang w:val="en-AU"/>
        </w:rPr>
        <w:footnoteReference w:id="40"/>
      </w:r>
      <w:r w:rsidR="00DF050F">
        <w:rPr>
          <w:rFonts w:ascii="Calibri" w:hAnsi="Calibri"/>
          <w:sz w:val="22"/>
          <w:szCs w:val="22"/>
          <w:lang w:val="en-AU"/>
        </w:rPr>
        <w:t xml:space="preserve"> </w:t>
      </w:r>
      <w:r w:rsidR="00DF050F">
        <w:rPr>
          <w:rStyle w:val="FootnoteReference"/>
          <w:rFonts w:ascii="Calibri" w:hAnsi="Calibri"/>
          <w:sz w:val="22"/>
          <w:szCs w:val="22"/>
          <w:lang w:val="en-AU"/>
        </w:rPr>
        <w:footnoteReference w:id="41"/>
      </w:r>
    </w:p>
    <w:p w14:paraId="1344FA1E" w14:textId="77777777" w:rsidR="00266F5A" w:rsidRDefault="00266F5A" w:rsidP="00A26479">
      <w:pPr>
        <w:rPr>
          <w:rFonts w:ascii="Calibri" w:hAnsi="Calibri"/>
          <w:sz w:val="22"/>
          <w:szCs w:val="22"/>
          <w:lang w:val="en-AU"/>
        </w:rPr>
      </w:pPr>
    </w:p>
    <w:p w14:paraId="4220A703" w14:textId="6E3C5B19" w:rsidR="00086790" w:rsidRDefault="004C1698" w:rsidP="00A26479">
      <w:pPr>
        <w:rPr>
          <w:rFonts w:ascii="Calibri" w:hAnsi="Calibri"/>
          <w:sz w:val="22"/>
          <w:szCs w:val="22"/>
          <w:lang w:val="en-AU"/>
        </w:rPr>
      </w:pPr>
      <w:r>
        <w:rPr>
          <w:rFonts w:ascii="Calibri" w:hAnsi="Calibri"/>
          <w:sz w:val="22"/>
          <w:szCs w:val="22"/>
          <w:lang w:val="en-AU"/>
        </w:rPr>
        <w:t xml:space="preserve">Rooming house residents across Australia overwhelmingly </w:t>
      </w:r>
      <w:r w:rsidR="00F51602">
        <w:rPr>
          <w:rFonts w:ascii="Calibri" w:hAnsi="Calibri"/>
          <w:sz w:val="22"/>
          <w:szCs w:val="22"/>
          <w:lang w:val="en-AU"/>
        </w:rPr>
        <w:t xml:space="preserve">advise that they are dangerous and violent, dirty, and harmful to their mental health. </w:t>
      </w:r>
      <w:r>
        <w:rPr>
          <w:rStyle w:val="FootnoteReference"/>
          <w:rFonts w:ascii="Calibri" w:hAnsi="Calibri"/>
          <w:sz w:val="22"/>
          <w:szCs w:val="22"/>
          <w:lang w:val="en-AU"/>
        </w:rPr>
        <w:footnoteReference w:id="42"/>
      </w:r>
      <w:r>
        <w:rPr>
          <w:rFonts w:ascii="Calibri" w:hAnsi="Calibri"/>
          <w:sz w:val="22"/>
          <w:szCs w:val="22"/>
          <w:lang w:val="en-AU"/>
        </w:rPr>
        <w:t xml:space="preserve"> </w:t>
      </w:r>
      <w:r w:rsidR="00B903B8">
        <w:rPr>
          <w:rFonts w:ascii="Calibri" w:hAnsi="Calibri"/>
          <w:sz w:val="22"/>
          <w:szCs w:val="22"/>
          <w:lang w:val="en-AU"/>
        </w:rPr>
        <w:t>Rooming houses are characterised by their density, a cohort comprised of people on low incomes and often high needs, and the use of shared facilities.</w:t>
      </w:r>
      <w:r w:rsidR="00191DAC">
        <w:rPr>
          <w:rFonts w:ascii="Calibri" w:hAnsi="Calibri"/>
          <w:sz w:val="22"/>
          <w:szCs w:val="22"/>
          <w:lang w:val="en-AU"/>
        </w:rPr>
        <w:t xml:space="preserve"> A prominent cohort within rooming houses are those with psychiatric illnesses</w:t>
      </w:r>
      <w:r w:rsidR="00DF050F">
        <w:rPr>
          <w:rFonts w:ascii="Calibri" w:hAnsi="Calibri"/>
          <w:sz w:val="22"/>
          <w:szCs w:val="22"/>
          <w:lang w:val="en-AU"/>
        </w:rPr>
        <w:t>.</w:t>
      </w:r>
      <w:r w:rsidR="00DF050F">
        <w:rPr>
          <w:rStyle w:val="FootnoteReference"/>
          <w:rFonts w:ascii="Calibri" w:hAnsi="Calibri"/>
          <w:sz w:val="22"/>
          <w:szCs w:val="22"/>
          <w:lang w:val="en-AU"/>
        </w:rPr>
        <w:footnoteReference w:id="43"/>
      </w:r>
      <w:r w:rsidR="00DF050F">
        <w:rPr>
          <w:rFonts w:ascii="Calibri" w:hAnsi="Calibri"/>
          <w:sz w:val="22"/>
          <w:szCs w:val="22"/>
          <w:lang w:val="en-AU"/>
        </w:rPr>
        <w:t xml:space="preserve"> </w:t>
      </w:r>
      <w:r w:rsidR="00191DAC">
        <w:rPr>
          <w:rFonts w:ascii="Calibri" w:hAnsi="Calibri"/>
          <w:sz w:val="22"/>
          <w:szCs w:val="22"/>
          <w:lang w:val="en-AU"/>
        </w:rPr>
        <w:t>This environment</w:t>
      </w:r>
      <w:r w:rsidR="0069731F">
        <w:rPr>
          <w:rFonts w:ascii="Calibri" w:hAnsi="Calibri"/>
          <w:sz w:val="22"/>
          <w:szCs w:val="22"/>
          <w:lang w:val="en-AU"/>
        </w:rPr>
        <w:t xml:space="preserve"> </w:t>
      </w:r>
      <w:r w:rsidR="00191DAC">
        <w:rPr>
          <w:rFonts w:ascii="Calibri" w:hAnsi="Calibri"/>
          <w:sz w:val="22"/>
          <w:szCs w:val="22"/>
          <w:lang w:val="en-AU"/>
        </w:rPr>
        <w:t xml:space="preserve">can be volatile. </w:t>
      </w:r>
    </w:p>
    <w:p w14:paraId="3F4746C2" w14:textId="421546A9" w:rsidR="00B903B8" w:rsidRDefault="00B903B8" w:rsidP="00A26479">
      <w:pPr>
        <w:rPr>
          <w:rFonts w:ascii="Calibri" w:hAnsi="Calibri"/>
          <w:sz w:val="22"/>
          <w:szCs w:val="22"/>
          <w:lang w:val="en-AU"/>
        </w:rPr>
      </w:pPr>
    </w:p>
    <w:p w14:paraId="45448D12" w14:textId="06D9BE53" w:rsidR="00B903B8" w:rsidRDefault="0069731F" w:rsidP="00A26479">
      <w:pPr>
        <w:rPr>
          <w:rFonts w:ascii="Calibri" w:hAnsi="Calibri"/>
          <w:sz w:val="22"/>
          <w:szCs w:val="22"/>
          <w:lang w:val="en-AU"/>
        </w:rPr>
      </w:pPr>
      <w:r>
        <w:rPr>
          <w:rFonts w:ascii="Calibri" w:hAnsi="Calibri"/>
          <w:sz w:val="22"/>
          <w:szCs w:val="22"/>
          <w:lang w:val="en-AU"/>
        </w:rPr>
        <w:lastRenderedPageBreak/>
        <w:t>The provision of i</w:t>
      </w:r>
      <w:r w:rsidR="00BF34C8">
        <w:rPr>
          <w:rFonts w:ascii="Calibri" w:hAnsi="Calibri"/>
          <w:sz w:val="22"/>
          <w:szCs w:val="22"/>
          <w:lang w:val="en-AU"/>
        </w:rPr>
        <w:t>n-reach services to rooming houses are extremely poor. Despite the social isolation, service disconnection, and mental health needs of residents, very few services exist to provide services in the home of rooming house residents. There is some limited evidence that group based rooming house outreach programs can achieve dramatic improvements in residents’ wellbeing.</w:t>
      </w:r>
      <w:r w:rsidR="00DF050F" w:rsidRPr="00DF050F">
        <w:rPr>
          <w:rStyle w:val="FootnoteReference"/>
          <w:rFonts w:ascii="Calibri" w:hAnsi="Calibri"/>
          <w:sz w:val="22"/>
          <w:szCs w:val="22"/>
          <w:lang w:val="en-AU"/>
        </w:rPr>
        <w:t xml:space="preserve"> </w:t>
      </w:r>
      <w:r w:rsidR="00DF050F">
        <w:rPr>
          <w:rStyle w:val="FootnoteReference"/>
          <w:rFonts w:ascii="Calibri" w:hAnsi="Calibri"/>
          <w:sz w:val="22"/>
          <w:szCs w:val="22"/>
          <w:lang w:val="en-AU"/>
        </w:rPr>
        <w:footnoteReference w:id="44"/>
      </w:r>
      <w:r>
        <w:rPr>
          <w:rFonts w:ascii="Calibri" w:hAnsi="Calibri"/>
          <w:sz w:val="22"/>
          <w:szCs w:val="22"/>
          <w:lang w:val="en-AU"/>
        </w:rPr>
        <w:t xml:space="preserve"> However these pilot programs have typically lacked institutional funding, and as a result have been short-lived, with low-quality evaluations.</w:t>
      </w:r>
    </w:p>
    <w:p w14:paraId="6A671DA3" w14:textId="34246DAC" w:rsidR="001C4163" w:rsidRDefault="001C4163" w:rsidP="00A26479">
      <w:pPr>
        <w:rPr>
          <w:rFonts w:ascii="Calibri" w:hAnsi="Calibri"/>
          <w:sz w:val="22"/>
          <w:szCs w:val="22"/>
          <w:lang w:val="en-AU"/>
        </w:rPr>
      </w:pPr>
    </w:p>
    <w:p w14:paraId="2FEA36A8" w14:textId="0C91FF60" w:rsidR="001C4163" w:rsidRPr="00912EDB" w:rsidRDefault="001C4163" w:rsidP="001C4163">
      <w:pPr>
        <w:pStyle w:val="CHPText"/>
        <w:jc w:val="center"/>
        <w:rPr>
          <w:i/>
          <w:color w:val="929F2D" w:themeColor="accent1"/>
          <w:szCs w:val="22"/>
          <w:lang w:val="en-AU"/>
        </w:rPr>
      </w:pPr>
      <w:r w:rsidRPr="0081707A">
        <w:rPr>
          <w:i/>
          <w:color w:val="929F2D" w:themeColor="accent1"/>
          <w:szCs w:val="22"/>
          <w:lang w:val="en-AU"/>
        </w:rPr>
        <w:t>‘</w:t>
      </w:r>
      <w:r w:rsidRPr="001C4163">
        <w:rPr>
          <w:i/>
          <w:color w:val="929F2D" w:themeColor="accent1"/>
          <w:szCs w:val="22"/>
          <w:lang w:val="en-AU"/>
        </w:rPr>
        <w:t>When I</w:t>
      </w:r>
      <w:r>
        <w:rPr>
          <w:i/>
          <w:color w:val="929F2D" w:themeColor="accent1"/>
          <w:szCs w:val="22"/>
          <w:lang w:val="en-AU"/>
        </w:rPr>
        <w:t xml:space="preserve"> </w:t>
      </w:r>
      <w:r w:rsidRPr="001C4163">
        <w:rPr>
          <w:i/>
          <w:color w:val="929F2D" w:themeColor="accent1"/>
          <w:szCs w:val="22"/>
          <w:lang w:val="en-AU"/>
        </w:rPr>
        <w:t xml:space="preserve">was getting released after </w:t>
      </w:r>
      <w:r>
        <w:rPr>
          <w:i/>
          <w:color w:val="929F2D" w:themeColor="accent1"/>
          <w:szCs w:val="22"/>
          <w:lang w:val="en-AU"/>
        </w:rPr>
        <w:t>six</w:t>
      </w:r>
      <w:r w:rsidRPr="001C4163">
        <w:rPr>
          <w:i/>
          <w:color w:val="929F2D" w:themeColor="accent1"/>
          <w:szCs w:val="22"/>
          <w:lang w:val="en-AU"/>
        </w:rPr>
        <w:t xml:space="preserve"> mon</w:t>
      </w:r>
      <w:r>
        <w:rPr>
          <w:i/>
          <w:color w:val="929F2D" w:themeColor="accent1"/>
          <w:szCs w:val="22"/>
          <w:lang w:val="en-AU"/>
        </w:rPr>
        <w:t>t</w:t>
      </w:r>
      <w:r w:rsidRPr="001C4163">
        <w:rPr>
          <w:i/>
          <w:color w:val="929F2D" w:themeColor="accent1"/>
          <w:szCs w:val="22"/>
          <w:lang w:val="en-AU"/>
        </w:rPr>
        <w:t>hs in</w:t>
      </w:r>
      <w:r>
        <w:rPr>
          <w:i/>
          <w:color w:val="929F2D" w:themeColor="accent1"/>
          <w:szCs w:val="22"/>
          <w:lang w:val="en-AU"/>
        </w:rPr>
        <w:t xml:space="preserve"> (psychiatric)</w:t>
      </w:r>
      <w:r w:rsidRPr="001C4163">
        <w:rPr>
          <w:i/>
          <w:color w:val="929F2D" w:themeColor="accent1"/>
          <w:szCs w:val="22"/>
          <w:lang w:val="en-AU"/>
        </w:rPr>
        <w:t xml:space="preserve"> hospital, they just set me up in a rooming hou</w:t>
      </w:r>
      <w:r>
        <w:rPr>
          <w:i/>
          <w:color w:val="929F2D" w:themeColor="accent1"/>
          <w:szCs w:val="22"/>
          <w:lang w:val="en-AU"/>
        </w:rPr>
        <w:t>s</w:t>
      </w:r>
      <w:r w:rsidRPr="001C4163">
        <w:rPr>
          <w:i/>
          <w:color w:val="929F2D" w:themeColor="accent1"/>
          <w:szCs w:val="22"/>
          <w:lang w:val="en-AU"/>
        </w:rPr>
        <w:t>e. There was no support, and no connection to services</w:t>
      </w:r>
      <w:r w:rsidRPr="0027127F">
        <w:rPr>
          <w:i/>
          <w:color w:val="929F2D" w:themeColor="accent1"/>
          <w:szCs w:val="22"/>
        </w:rPr>
        <w:t>.</w:t>
      </w:r>
      <w:r>
        <w:rPr>
          <w:i/>
          <w:color w:val="929F2D" w:themeColor="accent1"/>
          <w:szCs w:val="22"/>
        </w:rPr>
        <w:t>’</w:t>
      </w:r>
    </w:p>
    <w:p w14:paraId="473F8CAB" w14:textId="6D967001" w:rsidR="001C4163" w:rsidRPr="003F2CF9" w:rsidRDefault="001C4163" w:rsidP="001C4163">
      <w:pPr>
        <w:pStyle w:val="CHPText"/>
        <w:numPr>
          <w:ilvl w:val="0"/>
          <w:numId w:val="33"/>
        </w:numPr>
        <w:jc w:val="right"/>
        <w:rPr>
          <w:color w:val="929F2D" w:themeColor="accent1"/>
          <w:szCs w:val="22"/>
          <w:lang w:val="en-AU"/>
        </w:rPr>
      </w:pPr>
      <w:r>
        <w:rPr>
          <w:color w:val="929F2D" w:themeColor="accent1"/>
          <w:szCs w:val="22"/>
          <w:lang w:val="en-AU"/>
        </w:rPr>
        <w:t xml:space="preserve">Nigel </w:t>
      </w:r>
      <w:proofErr w:type="spellStart"/>
      <w:r>
        <w:rPr>
          <w:color w:val="929F2D" w:themeColor="accent1"/>
          <w:szCs w:val="22"/>
          <w:lang w:val="en-AU"/>
        </w:rPr>
        <w:t>Pernu</w:t>
      </w:r>
      <w:proofErr w:type="spellEnd"/>
      <w:r>
        <w:rPr>
          <w:color w:val="929F2D" w:themeColor="accent1"/>
          <w:szCs w:val="22"/>
          <w:lang w:val="en-AU"/>
        </w:rPr>
        <w:t>, Consumer / Advocate</w:t>
      </w:r>
    </w:p>
    <w:p w14:paraId="74902863" w14:textId="77777777" w:rsidR="001C4163" w:rsidRDefault="001C4163" w:rsidP="00A26479">
      <w:pPr>
        <w:rPr>
          <w:rFonts w:ascii="Calibri" w:hAnsi="Calibri"/>
          <w:sz w:val="22"/>
          <w:szCs w:val="22"/>
          <w:lang w:val="en-AU"/>
        </w:rPr>
      </w:pPr>
    </w:p>
    <w:p w14:paraId="25BCCF56" w14:textId="1FA2969F" w:rsidR="00502FBF" w:rsidRDefault="00502FBF" w:rsidP="00A26479">
      <w:pPr>
        <w:rPr>
          <w:rFonts w:ascii="Calibri" w:hAnsi="Calibri"/>
          <w:sz w:val="22"/>
          <w:szCs w:val="22"/>
          <w:lang w:val="en-AU"/>
        </w:rPr>
      </w:pPr>
    </w:p>
    <w:p w14:paraId="3B791294" w14:textId="36FF1AED" w:rsidR="00502FBF" w:rsidRDefault="00DF050F" w:rsidP="00A26479">
      <w:pPr>
        <w:rPr>
          <w:rFonts w:ascii="Calibri" w:hAnsi="Calibri"/>
          <w:sz w:val="22"/>
          <w:szCs w:val="22"/>
          <w:lang w:val="en-AU"/>
        </w:rPr>
      </w:pPr>
      <w:r>
        <w:rPr>
          <w:rFonts w:ascii="Calibri" w:hAnsi="Calibri"/>
          <w:sz w:val="22"/>
          <w:szCs w:val="22"/>
          <w:lang w:val="en-AU"/>
        </w:rPr>
        <w:t xml:space="preserve">In the absence of a strategy to ensure that </w:t>
      </w:r>
      <w:r>
        <w:rPr>
          <w:rFonts w:ascii="Calibri" w:hAnsi="Calibri"/>
          <w:i/>
          <w:sz w:val="22"/>
          <w:szCs w:val="22"/>
          <w:lang w:val="en-AU"/>
        </w:rPr>
        <w:t>appropriate</w:t>
      </w:r>
      <w:r>
        <w:rPr>
          <w:rFonts w:ascii="Calibri" w:hAnsi="Calibri"/>
          <w:sz w:val="22"/>
          <w:szCs w:val="22"/>
          <w:lang w:val="en-AU"/>
        </w:rPr>
        <w:t xml:space="preserve"> affordable housing is made available to all people experiencing mental ill-health</w:t>
      </w:r>
      <w:r w:rsidR="00B043AE">
        <w:rPr>
          <w:rFonts w:ascii="Calibri" w:hAnsi="Calibri"/>
          <w:sz w:val="22"/>
          <w:szCs w:val="22"/>
          <w:lang w:val="en-AU"/>
        </w:rPr>
        <w:t>, the mental health needs of rooming house residents cannot continue to be ignored.</w:t>
      </w:r>
    </w:p>
    <w:p w14:paraId="73B8D6FA" w14:textId="48012686" w:rsidR="00B043AE" w:rsidRDefault="00B043AE" w:rsidP="00A26479">
      <w:pPr>
        <w:rPr>
          <w:rFonts w:ascii="Calibri" w:hAnsi="Calibri"/>
          <w:sz w:val="22"/>
          <w:szCs w:val="22"/>
          <w:lang w:val="en-AU"/>
        </w:rPr>
      </w:pPr>
    </w:p>
    <w:p w14:paraId="02AADC91" w14:textId="6E1CB2B8" w:rsidR="00BD3940" w:rsidRPr="00256795" w:rsidRDefault="00BD3940" w:rsidP="00BD3940">
      <w:pPr>
        <w:rPr>
          <w:rFonts w:ascii="Calibri" w:hAnsi="Calibri"/>
          <w:color w:val="6A83A9"/>
          <w:sz w:val="22"/>
          <w:szCs w:val="22"/>
          <w:lang w:val="en-AU"/>
        </w:rPr>
      </w:pPr>
      <w:r>
        <w:rPr>
          <w:rFonts w:ascii="Calibri" w:hAnsi="Calibri"/>
          <w:b/>
          <w:sz w:val="22"/>
          <w:szCs w:val="22"/>
          <w:lang w:val="en-AU"/>
        </w:rPr>
        <w:t>Recommendation:</w:t>
      </w:r>
      <w:r>
        <w:rPr>
          <w:rFonts w:ascii="Calibri" w:hAnsi="Calibri"/>
          <w:sz w:val="22"/>
          <w:szCs w:val="22"/>
          <w:lang w:val="en-AU"/>
        </w:rPr>
        <w:t xml:space="preserve"> </w:t>
      </w:r>
      <w:r w:rsidR="00EE0225">
        <w:rPr>
          <w:rFonts w:ascii="Calibri" w:hAnsi="Calibri"/>
          <w:sz w:val="22"/>
          <w:szCs w:val="22"/>
          <w:lang w:val="en-AU"/>
        </w:rPr>
        <w:t>Pilot and evaluate</w:t>
      </w:r>
      <w:r w:rsidR="00597F10">
        <w:rPr>
          <w:rFonts w:ascii="Calibri" w:hAnsi="Calibri"/>
          <w:sz w:val="22"/>
          <w:szCs w:val="22"/>
          <w:lang w:val="en-AU"/>
        </w:rPr>
        <w:t xml:space="preserve"> interdisciplinary</w:t>
      </w:r>
      <w:r w:rsidR="00EE0225">
        <w:rPr>
          <w:rFonts w:ascii="Calibri" w:hAnsi="Calibri"/>
          <w:sz w:val="22"/>
          <w:szCs w:val="22"/>
          <w:lang w:val="en-AU"/>
        </w:rPr>
        <w:t xml:space="preserve"> rooming house outreach programs</w:t>
      </w:r>
    </w:p>
    <w:p w14:paraId="6F2FC0F0" w14:textId="77777777" w:rsidR="00B043AE" w:rsidRPr="00DF050F" w:rsidRDefault="00B043AE" w:rsidP="00A26479">
      <w:pPr>
        <w:rPr>
          <w:rFonts w:ascii="Calibri" w:hAnsi="Calibri"/>
          <w:sz w:val="22"/>
          <w:szCs w:val="22"/>
          <w:lang w:val="en-AU"/>
        </w:rPr>
      </w:pPr>
    </w:p>
    <w:p w14:paraId="3DA5C7E8" w14:textId="473A7211" w:rsidR="00347CAA" w:rsidRDefault="00347CAA">
      <w:pPr>
        <w:rPr>
          <w:rFonts w:ascii="Calibri" w:hAnsi="Calibri"/>
          <w:sz w:val="22"/>
          <w:szCs w:val="22"/>
          <w:lang w:val="en-AU"/>
        </w:rPr>
      </w:pPr>
      <w:r>
        <w:rPr>
          <w:rFonts w:ascii="Calibri" w:hAnsi="Calibri"/>
          <w:sz w:val="22"/>
          <w:szCs w:val="22"/>
          <w:lang w:val="en-AU"/>
        </w:rPr>
        <w:br w:type="page"/>
      </w:r>
    </w:p>
    <w:p w14:paraId="6B771126" w14:textId="77777777" w:rsidR="0000149B" w:rsidRDefault="0000149B" w:rsidP="00802231">
      <w:pPr>
        <w:rPr>
          <w:rFonts w:ascii="Calibri" w:hAnsi="Calibri"/>
          <w:sz w:val="22"/>
          <w:szCs w:val="22"/>
          <w:lang w:val="en-AU"/>
        </w:rPr>
      </w:pPr>
    </w:p>
    <w:p w14:paraId="1BF2ED2B" w14:textId="77777777" w:rsidR="00D53EFD" w:rsidRPr="007468A4" w:rsidRDefault="00D53EFD" w:rsidP="000B2CAD">
      <w:pPr>
        <w:rPr>
          <w:lang w:val="en-AU"/>
        </w:rPr>
      </w:pPr>
    </w:p>
    <w:p w14:paraId="518154F3" w14:textId="77777777" w:rsidR="005E57C9" w:rsidRPr="007468A4" w:rsidRDefault="005E57C9" w:rsidP="005E57C9">
      <w:pPr>
        <w:pStyle w:val="Heading1"/>
        <w:rPr>
          <w:lang w:val="en-AU"/>
        </w:rPr>
      </w:pPr>
      <w:bookmarkStart w:id="13" w:name="_Toc5287491"/>
      <w:r w:rsidRPr="007468A4">
        <w:rPr>
          <w:lang w:val="en-AU"/>
        </w:rPr>
        <w:t>Conclusion</w:t>
      </w:r>
      <w:bookmarkEnd w:id="13"/>
    </w:p>
    <w:p w14:paraId="69A4CF4F" w14:textId="54B418DD" w:rsidR="000C351D" w:rsidRDefault="00741987" w:rsidP="000C351D">
      <w:pPr>
        <w:rPr>
          <w:rFonts w:ascii="Calibri" w:hAnsi="Calibri"/>
          <w:sz w:val="22"/>
          <w:szCs w:val="22"/>
          <w:lang w:val="en-AU"/>
        </w:rPr>
      </w:pPr>
      <w:r w:rsidRPr="008144D7">
        <w:rPr>
          <w:rFonts w:ascii="Calibri" w:hAnsi="Calibri"/>
          <w:sz w:val="22"/>
          <w:szCs w:val="22"/>
          <w:lang w:val="en-AU"/>
        </w:rPr>
        <w:t xml:space="preserve">CHP is pleased to have had the opportunity to provide feedback on the </w:t>
      </w:r>
      <w:r w:rsidR="008144D7">
        <w:rPr>
          <w:rFonts w:ascii="Calibri" w:hAnsi="Calibri"/>
          <w:sz w:val="22"/>
          <w:szCs w:val="22"/>
          <w:lang w:val="en-AU"/>
        </w:rPr>
        <w:t>Productivity Commission’s issues paper on the social and economic impacts of mental health</w:t>
      </w:r>
      <w:r w:rsidR="000C351D">
        <w:rPr>
          <w:rFonts w:ascii="Calibri" w:hAnsi="Calibri"/>
          <w:sz w:val="22"/>
          <w:szCs w:val="22"/>
          <w:lang w:val="en-AU"/>
        </w:rPr>
        <w:t>. The relationship between housing and mental health is bi-directional, and for people receiving in-community mental healthcare any recovery is hampered by a lack of appropriate housing.</w:t>
      </w:r>
    </w:p>
    <w:p w14:paraId="1C2AC7CE" w14:textId="71CC771F" w:rsidR="000C351D" w:rsidRDefault="000C351D" w:rsidP="000C351D">
      <w:pPr>
        <w:rPr>
          <w:rFonts w:ascii="Calibri" w:hAnsi="Calibri"/>
          <w:sz w:val="22"/>
          <w:szCs w:val="22"/>
          <w:lang w:val="en-AU"/>
        </w:rPr>
      </w:pPr>
    </w:p>
    <w:p w14:paraId="4C02DFCA" w14:textId="04CDC593" w:rsidR="000C351D" w:rsidRDefault="000C351D" w:rsidP="000C351D">
      <w:pPr>
        <w:rPr>
          <w:rFonts w:ascii="Calibri" w:hAnsi="Calibri"/>
          <w:sz w:val="22"/>
          <w:szCs w:val="22"/>
          <w:lang w:val="en-AU"/>
        </w:rPr>
      </w:pPr>
      <w:r>
        <w:rPr>
          <w:rFonts w:ascii="Calibri" w:hAnsi="Calibri"/>
          <w:sz w:val="22"/>
          <w:szCs w:val="22"/>
          <w:lang w:val="en-AU"/>
        </w:rPr>
        <w:t xml:space="preserve">Considering housing as a mental health support will both improve the mental health outcomes of mental health consumers, as well as decrease episodes of homelessness by those living with mental ill-health, and </w:t>
      </w:r>
      <w:r w:rsidR="00D436FC">
        <w:rPr>
          <w:rFonts w:ascii="Calibri" w:hAnsi="Calibri"/>
          <w:sz w:val="22"/>
          <w:szCs w:val="22"/>
          <w:lang w:val="en-AU"/>
        </w:rPr>
        <w:t>improve the mental health of those experiencing homelessness. In all instances the Government’s investments in mental health will be more effective – in many instances greater expenditure on housing and support will save money in other service systems while improving outcomes for consumers.</w:t>
      </w:r>
    </w:p>
    <w:p w14:paraId="65215970" w14:textId="124B0C3F" w:rsidR="00D436FC" w:rsidRDefault="00D436FC" w:rsidP="000C351D">
      <w:pPr>
        <w:rPr>
          <w:rFonts w:ascii="Calibri" w:hAnsi="Calibri"/>
          <w:sz w:val="22"/>
          <w:szCs w:val="22"/>
          <w:lang w:val="en-AU"/>
        </w:rPr>
      </w:pPr>
    </w:p>
    <w:p w14:paraId="6421787E" w14:textId="17E01D82" w:rsidR="00D436FC" w:rsidRDefault="00D436FC" w:rsidP="000C351D">
      <w:pPr>
        <w:rPr>
          <w:rFonts w:ascii="Calibri" w:hAnsi="Calibri"/>
          <w:sz w:val="22"/>
          <w:szCs w:val="22"/>
          <w:lang w:val="en-AU"/>
        </w:rPr>
      </w:pPr>
      <w:r>
        <w:rPr>
          <w:rFonts w:ascii="Calibri" w:hAnsi="Calibri"/>
          <w:sz w:val="22"/>
          <w:szCs w:val="22"/>
          <w:lang w:val="en-AU"/>
        </w:rPr>
        <w:t>We look forward to continuing to engage with this inquiry in its later stages.</w:t>
      </w:r>
    </w:p>
    <w:p w14:paraId="0B73647D" w14:textId="56C4981F" w:rsidR="0085152B" w:rsidRDefault="0085152B" w:rsidP="005E57C9">
      <w:pPr>
        <w:rPr>
          <w:rFonts w:ascii="Calibri" w:hAnsi="Calibri"/>
          <w:sz w:val="22"/>
          <w:szCs w:val="22"/>
          <w:lang w:val="en-AU"/>
        </w:rPr>
      </w:pPr>
    </w:p>
    <w:sectPr w:rsidR="0085152B" w:rsidSect="007E4881">
      <w:headerReference w:type="default" r:id="rId16"/>
      <w:footerReference w:type="default" r:id="rId17"/>
      <w:headerReference w:type="first" r:id="rId18"/>
      <w:pgSz w:w="11900" w:h="16840"/>
      <w:pgMar w:top="2244" w:right="2119" w:bottom="1843" w:left="1985"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2BB03" w14:textId="77777777" w:rsidR="00056563" w:rsidRDefault="00056563" w:rsidP="00283C32">
      <w:r>
        <w:separator/>
      </w:r>
    </w:p>
  </w:endnote>
  <w:endnote w:type="continuationSeparator" w:id="0">
    <w:p w14:paraId="0BDA17AE" w14:textId="77777777" w:rsidR="00056563" w:rsidRDefault="00056563" w:rsidP="0028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enir LT Std 45 Book">
    <w:panose1 w:val="00000000000000000000"/>
    <w:charset w:val="00"/>
    <w:family w:val="swiss"/>
    <w:notTrueType/>
    <w:pitch w:val="variable"/>
    <w:sig w:usb0="800000AF" w:usb1="4000204A" w:usb2="00000000" w:usb3="00000000" w:csb0="00000001" w:csb1="00000000"/>
  </w:font>
  <w:font w:name="Lucida Grande">
    <w:altName w:val="Times New Roman"/>
    <w:charset w:val="00"/>
    <w:family w:val="auto"/>
    <w:pitch w:val="variable"/>
    <w:sig w:usb0="00000000" w:usb1="5000A1FF" w:usb2="00000000" w:usb3="00000000" w:csb0="000001BF" w:csb1="00000000"/>
  </w:font>
  <w:font w:name="MinionPro-Regular">
    <w:altName w:val="Arial"/>
    <w:panose1 w:val="00000000000000000000"/>
    <w:charset w:val="4D"/>
    <w:family w:val="auto"/>
    <w:notTrueType/>
    <w:pitch w:val="default"/>
    <w:sig w:usb0="00000003" w:usb1="00000000" w:usb2="00000000" w:usb3="00000000" w:csb0="00000001" w:csb1="00000000"/>
  </w:font>
  <w:font w:name="Calibri-Bold">
    <w:altName w:val="Arial"/>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ArialUnicode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3DE6B" w14:textId="46FAB926" w:rsidR="00056563" w:rsidRPr="00D84EA8" w:rsidRDefault="00056563" w:rsidP="001A40D2">
    <w:pPr>
      <w:framePr w:wrap="around" w:vAnchor="text" w:hAnchor="page" w:x="9718" w:y="74"/>
      <w:rPr>
        <w:rFonts w:ascii="Calibri" w:hAnsi="Calibri" w:cs="Arial"/>
        <w:color w:val="A6A6A6"/>
        <w:sz w:val="18"/>
        <w:szCs w:val="18"/>
      </w:rPr>
    </w:pPr>
    <w:r w:rsidRPr="00D84EA8">
      <w:rPr>
        <w:rFonts w:ascii="Calibri" w:hAnsi="Calibri" w:cs="Arial"/>
        <w:color w:val="A6A6A6"/>
        <w:sz w:val="18"/>
        <w:szCs w:val="18"/>
      </w:rPr>
      <w:fldChar w:fldCharType="begin"/>
    </w:r>
    <w:r w:rsidRPr="00D84EA8">
      <w:rPr>
        <w:rFonts w:ascii="Calibri" w:hAnsi="Calibri" w:cs="Arial"/>
        <w:color w:val="A6A6A6"/>
        <w:sz w:val="18"/>
        <w:szCs w:val="18"/>
      </w:rPr>
      <w:instrText xml:space="preserve">PAGE  </w:instrText>
    </w:r>
    <w:r w:rsidRPr="00D84EA8">
      <w:rPr>
        <w:rFonts w:ascii="Calibri" w:hAnsi="Calibri" w:cs="Arial"/>
        <w:color w:val="A6A6A6"/>
        <w:sz w:val="18"/>
        <w:szCs w:val="18"/>
      </w:rPr>
      <w:fldChar w:fldCharType="separate"/>
    </w:r>
    <w:r w:rsidR="00CB45BD">
      <w:rPr>
        <w:rFonts w:ascii="Calibri" w:hAnsi="Calibri" w:cs="Arial"/>
        <w:noProof/>
        <w:color w:val="A6A6A6"/>
        <w:sz w:val="18"/>
        <w:szCs w:val="18"/>
      </w:rPr>
      <w:t>17</w:t>
    </w:r>
    <w:r w:rsidRPr="00D84EA8">
      <w:rPr>
        <w:rFonts w:ascii="Calibri" w:hAnsi="Calibri" w:cs="Arial"/>
        <w:color w:val="A6A6A6"/>
        <w:sz w:val="18"/>
        <w:szCs w:val="18"/>
      </w:rPr>
      <w:fldChar w:fldCharType="end"/>
    </w:r>
  </w:p>
  <w:p w14:paraId="40087381" w14:textId="77777777" w:rsidR="00056563" w:rsidRPr="00B152C6" w:rsidRDefault="00056563" w:rsidP="008C4E09">
    <w:pPr>
      <w:pStyle w:val="CHPText"/>
      <w:rPr>
        <w:sz w:val="16"/>
        <w:szCs w:val="16"/>
      </w:rPr>
    </w:pPr>
    <w:r>
      <w:rPr>
        <w:sz w:val="16"/>
        <w:szCs w:val="16"/>
      </w:rPr>
      <w:t>C</w:t>
    </w:r>
    <w:r w:rsidRPr="008C4E09">
      <w:rPr>
        <w:sz w:val="16"/>
        <w:szCs w:val="16"/>
      </w:rPr>
      <w:t>ouncil to Homeless Persons – Productivity Commission draft report Introducing Competition</w:t>
    </w:r>
    <w:r>
      <w:rPr>
        <w:sz w:val="16"/>
        <w:szCs w:val="16"/>
      </w:rPr>
      <w:t xml:space="preserve"> </w:t>
    </w:r>
    <w:r w:rsidRPr="008C4E09">
      <w:rPr>
        <w:sz w:val="16"/>
        <w:szCs w:val="16"/>
      </w:rPr>
      <w:t>and Informed User Choice into Human Services: Reforms to Human Services – July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85B80" w14:textId="77777777" w:rsidR="00056563" w:rsidRDefault="00056563" w:rsidP="00283C32">
      <w:r>
        <w:separator/>
      </w:r>
    </w:p>
  </w:footnote>
  <w:footnote w:type="continuationSeparator" w:id="0">
    <w:p w14:paraId="75943D76" w14:textId="77777777" w:rsidR="00056563" w:rsidRDefault="00056563" w:rsidP="00283C32">
      <w:r>
        <w:continuationSeparator/>
      </w:r>
    </w:p>
  </w:footnote>
  <w:footnote w:id="1">
    <w:p w14:paraId="62829A81" w14:textId="77777777" w:rsidR="00E804A9" w:rsidRDefault="00E804A9" w:rsidP="00E804A9">
      <w:pPr>
        <w:pStyle w:val="FootnoteText"/>
      </w:pPr>
      <w:r>
        <w:rPr>
          <w:rStyle w:val="FootnoteReference"/>
        </w:rPr>
        <w:footnoteRef/>
      </w:r>
      <w:r>
        <w:t xml:space="preserve"> Johnson, G., and Chamberlain, C., 2011, </w:t>
      </w:r>
      <w:r w:rsidRPr="009672EE">
        <w:rPr>
          <w:i/>
        </w:rPr>
        <w:t>Are the homeless mentally ill</w:t>
      </w:r>
      <w:proofErr w:type="gramStart"/>
      <w:r w:rsidRPr="009672EE">
        <w:rPr>
          <w:i/>
        </w:rPr>
        <w:t>?</w:t>
      </w:r>
      <w:r>
        <w:t>,</w:t>
      </w:r>
      <w:proofErr w:type="gramEnd"/>
      <w:r>
        <w:t xml:space="preserve"> Australian Journal of Social Issues, Volume 46, Issue 1, p.36.</w:t>
      </w:r>
    </w:p>
  </w:footnote>
  <w:footnote w:id="2">
    <w:p w14:paraId="399DFDB8" w14:textId="1D0276FE" w:rsidR="00725CF1" w:rsidRPr="00903F43" w:rsidRDefault="00725CF1">
      <w:pPr>
        <w:pStyle w:val="FootnoteText"/>
      </w:pPr>
      <w:r>
        <w:rPr>
          <w:rStyle w:val="FootnoteReference"/>
        </w:rPr>
        <w:footnoteRef/>
      </w:r>
      <w:r>
        <w:t xml:space="preserve"> </w:t>
      </w:r>
      <w:proofErr w:type="spellStart"/>
      <w:r w:rsidR="00903F43" w:rsidRPr="00903F43">
        <w:t>Brackertz</w:t>
      </w:r>
      <w:proofErr w:type="spellEnd"/>
      <w:r w:rsidR="00903F43" w:rsidRPr="00903F43">
        <w:t>, N., Wilkinson, A., and Davison, J., 2018, Housing, homelessness and mental health: towards systems change, AHURI Research Paper, Australian Housing and Urban Research Institute Limited, Melbourne</w:t>
      </w:r>
    </w:p>
  </w:footnote>
  <w:footnote w:id="3">
    <w:p w14:paraId="0521D20E" w14:textId="77777777" w:rsidR="00C36DEC" w:rsidRPr="002E0188" w:rsidRDefault="00C36DEC" w:rsidP="00C36DEC">
      <w:pPr>
        <w:pStyle w:val="FootnoteText"/>
      </w:pPr>
      <w:r>
        <w:rPr>
          <w:rStyle w:val="FootnoteReference"/>
        </w:rPr>
        <w:footnoteRef/>
      </w:r>
      <w:r>
        <w:t xml:space="preserve"> Holmes, A., Carlisle, T., Vale, Z., </w:t>
      </w:r>
      <w:proofErr w:type="spellStart"/>
      <w:r>
        <w:t>Hatvani</w:t>
      </w:r>
      <w:proofErr w:type="spellEnd"/>
      <w:r>
        <w:t xml:space="preserve">, G., </w:t>
      </w:r>
      <w:proofErr w:type="spellStart"/>
      <w:r>
        <w:t>Heagney</w:t>
      </w:r>
      <w:proofErr w:type="spellEnd"/>
      <w:r>
        <w:t xml:space="preserve">, C., &amp; Jones, S., 2017, </w:t>
      </w:r>
      <w:r>
        <w:rPr>
          <w:i/>
        </w:rPr>
        <w:t>Housing First: permanent supported accommodation for people with psychosis who have experienced chronic homelessness</w:t>
      </w:r>
      <w:r>
        <w:t>, in Australian Psychiatry, Volume 25 Issue 1, pp. 56-59.</w:t>
      </w:r>
    </w:p>
  </w:footnote>
  <w:footnote w:id="4">
    <w:p w14:paraId="7D8421B9" w14:textId="77777777" w:rsidR="00C36DEC" w:rsidRPr="002E0188" w:rsidRDefault="00C36DEC" w:rsidP="00C36DEC">
      <w:pPr>
        <w:pStyle w:val="FootnoteText"/>
      </w:pPr>
      <w:r>
        <w:rPr>
          <w:rStyle w:val="FootnoteReference"/>
        </w:rPr>
        <w:footnoteRef/>
      </w:r>
      <w:r>
        <w:t xml:space="preserve"> Ibid</w:t>
      </w:r>
    </w:p>
  </w:footnote>
  <w:footnote w:id="5">
    <w:p w14:paraId="40BD362B" w14:textId="77777777" w:rsidR="000263B6" w:rsidRPr="002A719B" w:rsidRDefault="000263B6" w:rsidP="000263B6">
      <w:pPr>
        <w:pStyle w:val="FootnoteText"/>
        <w:rPr>
          <w:lang w:val="en-AU"/>
        </w:rPr>
      </w:pPr>
      <w:r>
        <w:rPr>
          <w:rStyle w:val="FootnoteReference"/>
        </w:rPr>
        <w:footnoteRef/>
      </w:r>
      <w:r>
        <w:t xml:space="preserve"> </w:t>
      </w:r>
      <w:proofErr w:type="spellStart"/>
      <w:r>
        <w:rPr>
          <w:lang w:val="en-AU"/>
        </w:rPr>
        <w:t>Parsell</w:t>
      </w:r>
      <w:proofErr w:type="spellEnd"/>
      <w:r>
        <w:rPr>
          <w:lang w:val="en-AU"/>
        </w:rPr>
        <w:t xml:space="preserve"> C., Petersen, M., </w:t>
      </w:r>
      <w:proofErr w:type="spellStart"/>
      <w:r>
        <w:rPr>
          <w:lang w:val="en-AU"/>
        </w:rPr>
        <w:t>Moutou</w:t>
      </w:r>
      <w:proofErr w:type="spellEnd"/>
      <w:r>
        <w:rPr>
          <w:lang w:val="en-AU"/>
        </w:rPr>
        <w:t xml:space="preserve">, O., Lucio, E., and Dick, A., 2016, </w:t>
      </w:r>
      <w:r>
        <w:rPr>
          <w:i/>
          <w:lang w:val="en-AU"/>
        </w:rPr>
        <w:t>Brisbane Common Ground Evaluation,</w:t>
      </w:r>
      <w:r>
        <w:rPr>
          <w:lang w:val="en-AU"/>
        </w:rPr>
        <w:t xml:space="preserve"> University of Queensland.</w:t>
      </w:r>
    </w:p>
  </w:footnote>
  <w:footnote w:id="6">
    <w:p w14:paraId="28BD8A0E" w14:textId="77777777" w:rsidR="00206FB0" w:rsidRPr="009602DD" w:rsidRDefault="00206FB0" w:rsidP="00206FB0">
      <w:pPr>
        <w:pStyle w:val="FootnoteText"/>
      </w:pPr>
      <w:r>
        <w:rPr>
          <w:rStyle w:val="FootnoteReference"/>
        </w:rPr>
        <w:footnoteRef/>
      </w:r>
      <w:r>
        <w:t xml:space="preserve"> Australian Institute of Health and Welfare, 2018, </w:t>
      </w:r>
      <w:r>
        <w:rPr>
          <w:i/>
        </w:rPr>
        <w:t>Specialist Homelessness Services Collection</w:t>
      </w:r>
      <w:r>
        <w:t xml:space="preserve"> </w:t>
      </w:r>
      <w:r>
        <w:rPr>
          <w:i/>
        </w:rPr>
        <w:t>2016-17</w:t>
      </w:r>
    </w:p>
  </w:footnote>
  <w:footnote w:id="7">
    <w:p w14:paraId="0A65FCF4" w14:textId="77777777" w:rsidR="00206FB0" w:rsidRPr="00B13ED5" w:rsidRDefault="00206FB0" w:rsidP="00206FB0">
      <w:pPr>
        <w:pStyle w:val="FootnoteText"/>
      </w:pPr>
      <w:r>
        <w:rPr>
          <w:rStyle w:val="FootnoteReference"/>
        </w:rPr>
        <w:footnoteRef/>
      </w:r>
      <w:r>
        <w:t xml:space="preserve"> Australian Bureau of Statistics, 2015, </w:t>
      </w:r>
      <w:r>
        <w:rPr>
          <w:i/>
        </w:rPr>
        <w:t>4159.0 – General Social Survey: Summary Results, Australia, 2014, Table 03. State and Territory</w:t>
      </w:r>
    </w:p>
  </w:footnote>
  <w:footnote w:id="8">
    <w:p w14:paraId="05A5C328" w14:textId="77777777" w:rsidR="00206FB0" w:rsidRDefault="00206FB0" w:rsidP="00206FB0">
      <w:pPr>
        <w:pStyle w:val="FootnoteText"/>
      </w:pPr>
      <w:r>
        <w:rPr>
          <w:rStyle w:val="FootnoteReference"/>
        </w:rPr>
        <w:footnoteRef/>
      </w:r>
      <w:r>
        <w:t xml:space="preserve"> Johnson, G., and Chamberlain, C., 2011, </w:t>
      </w:r>
      <w:r w:rsidRPr="009672EE">
        <w:rPr>
          <w:i/>
        </w:rPr>
        <w:t>Are the homeless mentally ill</w:t>
      </w:r>
      <w:proofErr w:type="gramStart"/>
      <w:r w:rsidRPr="009672EE">
        <w:rPr>
          <w:i/>
        </w:rPr>
        <w:t>?</w:t>
      </w:r>
      <w:r>
        <w:t>,</w:t>
      </w:r>
      <w:proofErr w:type="gramEnd"/>
      <w:r>
        <w:t xml:space="preserve"> Australian Journal of Social Issues, Volume 46, Issue 1, p.36.</w:t>
      </w:r>
    </w:p>
  </w:footnote>
  <w:footnote w:id="9">
    <w:p w14:paraId="510EB0B7" w14:textId="77777777" w:rsidR="00C36DEC" w:rsidRDefault="00C36DEC" w:rsidP="00C36DEC">
      <w:pPr>
        <w:pStyle w:val="FootnoteText"/>
      </w:pPr>
      <w:r>
        <w:rPr>
          <w:rStyle w:val="FootnoteReference"/>
        </w:rPr>
        <w:footnoteRef/>
      </w:r>
      <w:r>
        <w:t xml:space="preserve"> Discussion in meetings between clinical mental health and homelessness services, 2018 </w:t>
      </w:r>
    </w:p>
  </w:footnote>
  <w:footnote w:id="10">
    <w:p w14:paraId="3B9E35B8" w14:textId="0AC7BF37" w:rsidR="00C36DEC" w:rsidRPr="008C4947" w:rsidRDefault="00C36DEC" w:rsidP="00C36DEC">
      <w:pPr>
        <w:pStyle w:val="FootnoteText"/>
      </w:pPr>
      <w:r>
        <w:rPr>
          <w:rStyle w:val="FootnoteReference"/>
        </w:rPr>
        <w:footnoteRef/>
      </w:r>
      <w:r>
        <w:t xml:space="preserve"> Australian Institute of Health and Welfare, 2018, </w:t>
      </w:r>
      <w:r>
        <w:rPr>
          <w:i/>
        </w:rPr>
        <w:t>Specialist Homelessness Services Collection</w:t>
      </w:r>
    </w:p>
  </w:footnote>
  <w:footnote w:id="11">
    <w:p w14:paraId="3F7FBA7F" w14:textId="733BED03" w:rsidR="00C36DEC" w:rsidRPr="00D112D9" w:rsidRDefault="00C36DEC" w:rsidP="00C36DEC">
      <w:pPr>
        <w:pStyle w:val="FootnoteText"/>
      </w:pPr>
      <w:r>
        <w:rPr>
          <w:rStyle w:val="FootnoteReference"/>
        </w:rPr>
        <w:footnoteRef/>
      </w:r>
      <w:r>
        <w:t xml:space="preserve"> Australian Institute of Health and Welfare, 2018 and 2013, </w:t>
      </w:r>
      <w:r>
        <w:rPr>
          <w:i/>
        </w:rPr>
        <w:t xml:space="preserve">Specialist Homelessness Services Collection </w:t>
      </w:r>
    </w:p>
  </w:footnote>
  <w:footnote w:id="12">
    <w:p w14:paraId="22226E22" w14:textId="77777777" w:rsidR="00C36DEC" w:rsidRPr="009E7105" w:rsidRDefault="00C36DEC" w:rsidP="00C36DEC">
      <w:pPr>
        <w:pStyle w:val="FootnoteText"/>
      </w:pPr>
      <w:r>
        <w:rPr>
          <w:rStyle w:val="FootnoteReference"/>
        </w:rPr>
        <w:footnoteRef/>
      </w:r>
      <w:r>
        <w:t xml:space="preserve"> NSW Ombudsman, 2012, </w:t>
      </w:r>
      <w:r>
        <w:rPr>
          <w:i/>
        </w:rPr>
        <w:t xml:space="preserve">Denial of rights: the need to improve accommodation and support for people with psychiatric disability, </w:t>
      </w:r>
      <w:r>
        <w:t>p.55</w:t>
      </w:r>
    </w:p>
  </w:footnote>
  <w:footnote w:id="13">
    <w:p w14:paraId="255A429D" w14:textId="77777777" w:rsidR="001C7029" w:rsidRPr="002F4861" w:rsidRDefault="001C7029" w:rsidP="001C7029">
      <w:pPr>
        <w:pStyle w:val="FootnoteText"/>
      </w:pPr>
      <w:r>
        <w:rPr>
          <w:rStyle w:val="FootnoteReference"/>
        </w:rPr>
        <w:footnoteRef/>
      </w:r>
      <w:r>
        <w:t xml:space="preserve"> Mental Health Council of Australia, 2009, </w:t>
      </w:r>
      <w:r>
        <w:rPr>
          <w:i/>
        </w:rPr>
        <w:t>Home Truths; Mental Health, Housing and Homelessness in Australia’</w:t>
      </w:r>
      <w:r>
        <w:t>, p.22</w:t>
      </w:r>
    </w:p>
  </w:footnote>
  <w:footnote w:id="14">
    <w:p w14:paraId="5216397E" w14:textId="77777777" w:rsidR="00592C9C" w:rsidRDefault="00592C9C" w:rsidP="00592C9C">
      <w:pPr>
        <w:pStyle w:val="FootnoteText"/>
      </w:pPr>
      <w:r>
        <w:rPr>
          <w:rStyle w:val="FootnoteReference"/>
        </w:rPr>
        <w:footnoteRef/>
      </w:r>
      <w:r>
        <w:t xml:space="preserve"> Green, D., 2003, </w:t>
      </w:r>
      <w:r>
        <w:rPr>
          <w:i/>
        </w:rPr>
        <w:t>The End of Institutions: Housing and Homelessness</w:t>
      </w:r>
      <w:r>
        <w:t>, in Parity Magazine April 2003, p.5</w:t>
      </w:r>
    </w:p>
  </w:footnote>
  <w:footnote w:id="15">
    <w:p w14:paraId="2E5AC1DF" w14:textId="4B7B8ACC" w:rsidR="00DE1727" w:rsidRPr="00DE1727" w:rsidRDefault="00DE1727" w:rsidP="00DE1727">
      <w:pPr>
        <w:autoSpaceDE w:val="0"/>
        <w:autoSpaceDN w:val="0"/>
        <w:adjustRightInd w:val="0"/>
        <w:rPr>
          <w:lang w:val="en-AU"/>
        </w:rPr>
      </w:pPr>
      <w:r>
        <w:rPr>
          <w:rStyle w:val="FootnoteReference"/>
        </w:rPr>
        <w:footnoteRef/>
      </w:r>
      <w:r>
        <w:t xml:space="preserve"> </w:t>
      </w:r>
      <w:r>
        <w:rPr>
          <w:rFonts w:ascii="ArialUnicodeMS" w:hAnsi="ArialUnicodeMS" w:cs="ArialUnicodeMS"/>
          <w:sz w:val="20"/>
          <w:szCs w:val="20"/>
          <w:lang w:val="en-AU" w:eastAsia="en-US"/>
        </w:rPr>
        <w:t xml:space="preserve">Rebecca J. Bentley, David </w:t>
      </w:r>
      <w:proofErr w:type="spellStart"/>
      <w:r>
        <w:rPr>
          <w:rFonts w:ascii="ArialUnicodeMS" w:hAnsi="ArialUnicodeMS" w:cs="ArialUnicodeMS"/>
          <w:sz w:val="20"/>
          <w:szCs w:val="20"/>
          <w:lang w:val="en-AU" w:eastAsia="en-US"/>
        </w:rPr>
        <w:t>Pevalin</w:t>
      </w:r>
      <w:proofErr w:type="spellEnd"/>
      <w:r>
        <w:rPr>
          <w:rFonts w:ascii="ArialUnicodeMS" w:hAnsi="ArialUnicodeMS" w:cs="ArialUnicodeMS"/>
          <w:sz w:val="20"/>
          <w:szCs w:val="20"/>
          <w:lang w:val="en-AU" w:eastAsia="en-US"/>
        </w:rPr>
        <w:t>, Emma Baker, Kate Mason, Aaron Reeves &amp; Andrew Beer (2016) Housing affordability, tenure and mental health in Australia and the United Kingdom: a comparative panel analysis, Housing Studies,</w:t>
      </w:r>
    </w:p>
  </w:footnote>
  <w:footnote w:id="16">
    <w:p w14:paraId="3F60A4C0" w14:textId="1B5237F7" w:rsidR="00485A98" w:rsidRPr="00485A98" w:rsidRDefault="00485A98">
      <w:pPr>
        <w:pStyle w:val="FootnoteText"/>
        <w:rPr>
          <w:lang w:val="en-AU"/>
        </w:rPr>
      </w:pPr>
      <w:r>
        <w:rPr>
          <w:rStyle w:val="FootnoteReference"/>
        </w:rPr>
        <w:footnoteRef/>
      </w:r>
      <w:r w:rsidR="00903F43">
        <w:t xml:space="preserve"> Council to Homeless Persons, 2019, </w:t>
      </w:r>
      <w:r w:rsidR="00903F43">
        <w:rPr>
          <w:i/>
        </w:rPr>
        <w:t xml:space="preserve">Council to Homeless Persons pre-budget submission 2019-2020, </w:t>
      </w:r>
      <w:r w:rsidR="00903F43">
        <w:t xml:space="preserve">p.5. Available at: </w:t>
      </w:r>
      <w:hyperlink r:id="rId1" w:history="1">
        <w:r>
          <w:rPr>
            <w:rStyle w:val="Hyperlink"/>
          </w:rPr>
          <w:t>chp.org.au/wp-content/uploads/2019/03/CHP-Pre-Budget-Submission-2019.pdf</w:t>
        </w:r>
      </w:hyperlink>
    </w:p>
  </w:footnote>
  <w:footnote w:id="17">
    <w:p w14:paraId="388191D9" w14:textId="550C9860" w:rsidR="00AB33D1" w:rsidRPr="006D3E2A" w:rsidRDefault="00AB33D1" w:rsidP="00AB33D1">
      <w:pPr>
        <w:pStyle w:val="FootnoteText"/>
        <w:rPr>
          <w:lang w:val="en-AU"/>
        </w:rPr>
      </w:pPr>
      <w:r>
        <w:rPr>
          <w:rStyle w:val="FootnoteReference"/>
        </w:rPr>
        <w:footnoteRef/>
      </w:r>
      <w:r>
        <w:t xml:space="preserve"> </w:t>
      </w:r>
      <w:r w:rsidR="00903F43" w:rsidRPr="00903F43">
        <w:rPr>
          <w:rFonts w:ascii="ArialUnicodeMS" w:hAnsi="ArialUnicodeMS" w:cs="ArialUnicodeMS"/>
          <w:lang w:val="en-AU" w:eastAsia="en-US"/>
        </w:rPr>
        <w:t xml:space="preserve">Phillips, R. and </w:t>
      </w:r>
      <w:proofErr w:type="spellStart"/>
      <w:r w:rsidR="00903F43" w:rsidRPr="00903F43">
        <w:rPr>
          <w:rFonts w:ascii="ArialUnicodeMS" w:hAnsi="ArialUnicodeMS" w:cs="ArialUnicodeMS"/>
          <w:lang w:val="en-AU" w:eastAsia="en-US"/>
        </w:rPr>
        <w:t>Parsell</w:t>
      </w:r>
      <w:proofErr w:type="spellEnd"/>
      <w:r w:rsidR="00903F43" w:rsidRPr="00903F43">
        <w:rPr>
          <w:rFonts w:ascii="ArialUnicodeMS" w:hAnsi="ArialUnicodeMS" w:cs="ArialUnicodeMS"/>
          <w:lang w:val="en-AU" w:eastAsia="en-US"/>
        </w:rPr>
        <w:t>, C., 2012, The role of assertive outreach in ending 'rough sleeping', AHURI Final Report No. 179, Australian Housing and Urban Research Institute Limited, Melbourne, p.1</w:t>
      </w:r>
    </w:p>
  </w:footnote>
  <w:footnote w:id="18">
    <w:p w14:paraId="7E4B76F1" w14:textId="09B0A68C" w:rsidR="00AB33D1" w:rsidRPr="004620BD" w:rsidRDefault="00AB33D1" w:rsidP="00AB33D1">
      <w:pPr>
        <w:pStyle w:val="FootnoteText"/>
        <w:rPr>
          <w:lang w:val="en-AU"/>
        </w:rPr>
      </w:pPr>
      <w:r>
        <w:rPr>
          <w:rStyle w:val="FootnoteReference"/>
        </w:rPr>
        <w:footnoteRef/>
      </w:r>
      <w:r>
        <w:t xml:space="preserve"> </w:t>
      </w:r>
      <w:r w:rsidR="00903F43" w:rsidRPr="00903F43">
        <w:rPr>
          <w:rFonts w:ascii="ArialUnicodeMS" w:hAnsi="ArialUnicodeMS" w:cs="ArialUnicodeMS"/>
          <w:lang w:val="en-AU" w:eastAsia="en-US"/>
        </w:rPr>
        <w:t xml:space="preserve">Phillips, R. and </w:t>
      </w:r>
      <w:proofErr w:type="spellStart"/>
      <w:r w:rsidR="00903F43" w:rsidRPr="00903F43">
        <w:rPr>
          <w:rFonts w:ascii="ArialUnicodeMS" w:hAnsi="ArialUnicodeMS" w:cs="ArialUnicodeMS"/>
          <w:lang w:val="en-AU" w:eastAsia="en-US"/>
        </w:rPr>
        <w:t>Parsell</w:t>
      </w:r>
      <w:proofErr w:type="spellEnd"/>
      <w:r w:rsidR="00903F43" w:rsidRPr="00903F43">
        <w:rPr>
          <w:rFonts w:ascii="ArialUnicodeMS" w:hAnsi="ArialUnicodeMS" w:cs="ArialUnicodeMS"/>
          <w:lang w:val="en-AU" w:eastAsia="en-US"/>
        </w:rPr>
        <w:t xml:space="preserve">, C., 2012, The role of assertive outreach in ending 'rough sleeping', AHURI Final Report No. 179, Australian Housing and Urban Research Institute Limited, Melbourne, </w:t>
      </w:r>
      <w:r>
        <w:t>p.69</w:t>
      </w:r>
    </w:p>
  </w:footnote>
  <w:footnote w:id="19">
    <w:p w14:paraId="7BA348BB" w14:textId="6C46059B" w:rsidR="00AB33D1" w:rsidRPr="008221CB" w:rsidRDefault="00AB33D1" w:rsidP="00AB33D1">
      <w:pPr>
        <w:pStyle w:val="FootnoteText"/>
        <w:rPr>
          <w:lang w:val="en-AU"/>
        </w:rPr>
      </w:pPr>
      <w:r>
        <w:rPr>
          <w:rStyle w:val="FootnoteReference"/>
        </w:rPr>
        <w:footnoteRef/>
      </w:r>
      <w:r>
        <w:t xml:space="preserve"> </w:t>
      </w:r>
      <w:proofErr w:type="spellStart"/>
      <w:r w:rsidR="003D0B18">
        <w:t>Pleace</w:t>
      </w:r>
      <w:proofErr w:type="spellEnd"/>
      <w:r w:rsidR="003D0B18">
        <w:t xml:space="preserve">, N., 2016, </w:t>
      </w:r>
      <w:r w:rsidR="003D0B18">
        <w:rPr>
          <w:i/>
        </w:rPr>
        <w:t>Housing First Guide Europe,</w:t>
      </w:r>
      <w:r w:rsidR="003D0B18">
        <w:t xml:space="preserve"> FEANTSA the European Federation of National </w:t>
      </w:r>
      <w:proofErr w:type="spellStart"/>
      <w:r w:rsidR="003D0B18">
        <w:t>Organisations</w:t>
      </w:r>
      <w:proofErr w:type="spellEnd"/>
      <w:r w:rsidR="003D0B18">
        <w:t xml:space="preserve"> working with the homeless, </w:t>
      </w:r>
      <w:r>
        <w:t>p.12</w:t>
      </w:r>
    </w:p>
  </w:footnote>
  <w:footnote w:id="20">
    <w:p w14:paraId="09C55C98" w14:textId="1FD3502C" w:rsidR="008E3A88" w:rsidRPr="008221CB" w:rsidRDefault="008E3A88" w:rsidP="008E3A88">
      <w:pPr>
        <w:pStyle w:val="FootnoteText"/>
        <w:rPr>
          <w:lang w:val="en-AU"/>
        </w:rPr>
      </w:pPr>
      <w:r>
        <w:rPr>
          <w:rStyle w:val="FootnoteReference"/>
        </w:rPr>
        <w:footnoteRef/>
      </w:r>
      <w:r w:rsidR="003D0B18">
        <w:t xml:space="preserve"> Tsemberis, S., 2013,</w:t>
      </w:r>
      <w:r>
        <w:t xml:space="preserve"> Presentation at the Final Conference of Housing First Europe in Amsterdam, </w:t>
      </w:r>
      <w:r w:rsidR="003D0B18">
        <w:t xml:space="preserve">as cited in </w:t>
      </w:r>
      <w:r>
        <w:t xml:space="preserve"> </w:t>
      </w:r>
      <w:proofErr w:type="spellStart"/>
      <w:r w:rsidR="003D0B18">
        <w:t>Pleace</w:t>
      </w:r>
      <w:proofErr w:type="spellEnd"/>
      <w:r w:rsidR="003D0B18">
        <w:t xml:space="preserve">, N., 2016, </w:t>
      </w:r>
      <w:r w:rsidR="003D0B18">
        <w:rPr>
          <w:i/>
        </w:rPr>
        <w:t>Housing First Guide Europe,</w:t>
      </w:r>
      <w:r w:rsidR="003D0B18">
        <w:t xml:space="preserve"> FEANTSA the European Federation of National </w:t>
      </w:r>
      <w:proofErr w:type="spellStart"/>
      <w:r w:rsidR="003D0B18">
        <w:t>Organisations</w:t>
      </w:r>
      <w:proofErr w:type="spellEnd"/>
      <w:r w:rsidR="003D0B18">
        <w:t xml:space="preserve"> working with the homeless, p.76</w:t>
      </w:r>
    </w:p>
  </w:footnote>
  <w:footnote w:id="21">
    <w:p w14:paraId="1B14760E" w14:textId="7A476DEF" w:rsidR="00027BD2" w:rsidRPr="003D0B18" w:rsidRDefault="00027BD2">
      <w:pPr>
        <w:pStyle w:val="FootnoteText"/>
        <w:rPr>
          <w:lang w:val="en-AU"/>
        </w:rPr>
      </w:pPr>
      <w:r>
        <w:rPr>
          <w:rStyle w:val="FootnoteReference"/>
        </w:rPr>
        <w:footnoteRef/>
      </w:r>
      <w:r>
        <w:t xml:space="preserve"> </w:t>
      </w:r>
      <w:proofErr w:type="spellStart"/>
      <w:r w:rsidR="003D0B18" w:rsidRPr="003D0B18">
        <w:t>Pleace</w:t>
      </w:r>
      <w:proofErr w:type="spellEnd"/>
      <w:r w:rsidR="003D0B18">
        <w:t xml:space="preserve">, N., and Bretherton, J., 2013, </w:t>
      </w:r>
      <w:proofErr w:type="gramStart"/>
      <w:r w:rsidR="003D0B18">
        <w:rPr>
          <w:i/>
        </w:rPr>
        <w:t>The</w:t>
      </w:r>
      <w:proofErr w:type="gramEnd"/>
      <w:r w:rsidR="003D0B18">
        <w:rPr>
          <w:i/>
        </w:rPr>
        <w:t xml:space="preserve"> Case for Housing First in the European Union: A Critical Evaluation of Concerns about Effectiveness,</w:t>
      </w:r>
      <w:r w:rsidR="003D0B18">
        <w:t xml:space="preserve"> European Journal of Homelessness, Volume 7. No. 2, December 2013</w:t>
      </w:r>
    </w:p>
  </w:footnote>
  <w:footnote w:id="22">
    <w:p w14:paraId="59B444D0" w14:textId="4CC24FA8" w:rsidR="00FA0D31" w:rsidRPr="00FA0D31" w:rsidRDefault="00FA0D31">
      <w:pPr>
        <w:pStyle w:val="FootnoteText"/>
        <w:rPr>
          <w:lang w:val="en-AU"/>
        </w:rPr>
      </w:pPr>
      <w:r>
        <w:rPr>
          <w:rStyle w:val="FootnoteReference"/>
        </w:rPr>
        <w:footnoteRef/>
      </w:r>
      <w:r>
        <w:t xml:space="preserve"> </w:t>
      </w:r>
      <w:r w:rsidR="003D0B18">
        <w:t xml:space="preserve">Johnson, G. et al., 2012, </w:t>
      </w:r>
      <w:r w:rsidR="003D0B18" w:rsidRPr="003D0B18">
        <w:rPr>
          <w:i/>
        </w:rPr>
        <w:t>Policy shift or program drift? Implementing Housing First in Australia</w:t>
      </w:r>
      <w:r w:rsidR="003D0B18">
        <w:t>, AHURI Final Report No.184. Melbourne: Australian Housing and Urban Research Institute, p.14</w:t>
      </w:r>
    </w:p>
  </w:footnote>
  <w:footnote w:id="23">
    <w:p w14:paraId="2EBBEDF1" w14:textId="349944C9" w:rsidR="00FD57FB" w:rsidRPr="00FD57FB" w:rsidRDefault="00FD57FB">
      <w:pPr>
        <w:pStyle w:val="FootnoteText"/>
        <w:rPr>
          <w:lang w:val="en-AU"/>
        </w:rPr>
      </w:pPr>
      <w:r>
        <w:rPr>
          <w:rStyle w:val="FootnoteReference"/>
        </w:rPr>
        <w:footnoteRef/>
      </w:r>
      <w:r w:rsidR="003D0B18">
        <w:t xml:space="preserve"> </w:t>
      </w:r>
      <w:proofErr w:type="spellStart"/>
      <w:r w:rsidR="003D0B18">
        <w:t>Gaetz</w:t>
      </w:r>
      <w:proofErr w:type="spellEnd"/>
      <w:r w:rsidR="003D0B18">
        <w:t xml:space="preserve">, S., 2014, </w:t>
      </w:r>
      <w:r w:rsidR="003D0B18">
        <w:rPr>
          <w:i/>
        </w:rPr>
        <w:t xml:space="preserve">Can Housing First Work for Youth, </w:t>
      </w:r>
      <w:r w:rsidR="003D0B18">
        <w:t>European Journal of Homelessness, Volume 8. No. 2, December 2014, p.164</w:t>
      </w:r>
    </w:p>
  </w:footnote>
  <w:footnote w:id="24">
    <w:p w14:paraId="0CA98969" w14:textId="252829F3" w:rsidR="00F71397" w:rsidRPr="00F71397" w:rsidRDefault="00F71397">
      <w:pPr>
        <w:pStyle w:val="FootnoteText"/>
        <w:rPr>
          <w:lang w:val="en-AU"/>
        </w:rPr>
      </w:pPr>
      <w:r>
        <w:rPr>
          <w:rStyle w:val="FootnoteReference"/>
        </w:rPr>
        <w:footnoteRef/>
      </w:r>
      <w:r>
        <w:t xml:space="preserve"> </w:t>
      </w:r>
      <w:proofErr w:type="spellStart"/>
      <w:r w:rsidR="003D0B18">
        <w:t>Gaetz</w:t>
      </w:r>
      <w:proofErr w:type="spellEnd"/>
      <w:r w:rsidR="003D0B18">
        <w:t xml:space="preserve">, S., 2014, </w:t>
      </w:r>
      <w:r w:rsidR="003D0B18">
        <w:rPr>
          <w:i/>
        </w:rPr>
        <w:t xml:space="preserve">Can Housing First Work for Youth, </w:t>
      </w:r>
      <w:r w:rsidR="003D0B18">
        <w:t>European Journal of Homelessness, Volume 8. No. 2, December 2014</w:t>
      </w:r>
    </w:p>
  </w:footnote>
  <w:footnote w:id="25">
    <w:p w14:paraId="133A3144" w14:textId="4E8B267D" w:rsidR="0062368D" w:rsidRPr="0062368D" w:rsidRDefault="0062368D">
      <w:pPr>
        <w:pStyle w:val="FootnoteText"/>
        <w:rPr>
          <w:lang w:val="en-AU"/>
        </w:rPr>
      </w:pPr>
      <w:r>
        <w:rPr>
          <w:rStyle w:val="FootnoteReference"/>
        </w:rPr>
        <w:footnoteRef/>
      </w:r>
      <w:r>
        <w:t xml:space="preserve"> </w:t>
      </w:r>
      <w:r w:rsidR="003D0B18">
        <w:t>Ibid, p.167</w:t>
      </w:r>
    </w:p>
  </w:footnote>
  <w:footnote w:id="26">
    <w:p w14:paraId="426AEEFD" w14:textId="71E59A02" w:rsidR="0062368D" w:rsidRPr="003D0B18" w:rsidRDefault="0062368D">
      <w:pPr>
        <w:pStyle w:val="FootnoteText"/>
      </w:pPr>
      <w:r>
        <w:rPr>
          <w:rStyle w:val="FootnoteReference"/>
        </w:rPr>
        <w:footnoteRef/>
      </w:r>
      <w:r>
        <w:t xml:space="preserve"> </w:t>
      </w:r>
      <w:proofErr w:type="spellStart"/>
      <w:r w:rsidR="003D0B18">
        <w:t>Gaetz</w:t>
      </w:r>
      <w:proofErr w:type="spellEnd"/>
      <w:r w:rsidR="003D0B18">
        <w:t>, S, 2017, THIS is Housing First for Youth: A Program Model Guide. Toronto: Canadian Observatory on Homelessness Press, p.7</w:t>
      </w:r>
    </w:p>
  </w:footnote>
  <w:footnote w:id="27">
    <w:p w14:paraId="2CBC38DE" w14:textId="7373C8AA" w:rsidR="00DB701E" w:rsidRPr="00DB701E" w:rsidRDefault="00DB701E">
      <w:pPr>
        <w:pStyle w:val="FootnoteText"/>
        <w:rPr>
          <w:lang w:val="en-AU"/>
        </w:rPr>
      </w:pPr>
      <w:r>
        <w:rPr>
          <w:rStyle w:val="FootnoteReference"/>
        </w:rPr>
        <w:footnoteRef/>
      </w:r>
      <w:r>
        <w:t xml:space="preserve"> </w:t>
      </w:r>
      <w:r w:rsidR="001638EF">
        <w:t xml:space="preserve">Baldry, E., Dowse, L., </w:t>
      </w:r>
      <w:proofErr w:type="spellStart"/>
      <w:r w:rsidR="001638EF">
        <w:t>McCausland</w:t>
      </w:r>
      <w:proofErr w:type="spellEnd"/>
      <w:r w:rsidR="001638EF">
        <w:t>, R., and Clarence, M., 2012, Lifetime institutional costs of homelessness for vulnerable groups, School of Social Sciences University of New South Wales, Sydney, for Australian Government Department of Families, Housing, Community Services and Indigenous Affairs.</w:t>
      </w:r>
    </w:p>
  </w:footnote>
  <w:footnote w:id="28">
    <w:p w14:paraId="01C9ED8F" w14:textId="77777777" w:rsidR="00B41EF0" w:rsidRPr="007C0E9A" w:rsidRDefault="00B41EF0" w:rsidP="00B41EF0">
      <w:pPr>
        <w:pStyle w:val="FootnoteText"/>
      </w:pPr>
      <w:r>
        <w:rPr>
          <w:rStyle w:val="FootnoteReference"/>
        </w:rPr>
        <w:footnoteRef/>
      </w:r>
      <w:r>
        <w:t xml:space="preserve"> Australian Institute of Health and Welfare, 2015, </w:t>
      </w:r>
      <w:r>
        <w:rPr>
          <w:i/>
        </w:rPr>
        <w:t>The health of Australia’s prisoners 2015, Data tables: Mental health s30-s55</w:t>
      </w:r>
    </w:p>
  </w:footnote>
  <w:footnote w:id="29">
    <w:p w14:paraId="3AAB4A76" w14:textId="47A3D70B" w:rsidR="00B41EF0" w:rsidRPr="00054FB9" w:rsidRDefault="00B41EF0" w:rsidP="00B41EF0">
      <w:pPr>
        <w:pStyle w:val="FootnoteText"/>
      </w:pPr>
      <w:r>
        <w:rPr>
          <w:rStyle w:val="FootnoteReference"/>
        </w:rPr>
        <w:footnoteRef/>
      </w:r>
      <w:r>
        <w:t xml:space="preserve"> NSW Department of Corrective Services, 2004, </w:t>
      </w:r>
      <w:r>
        <w:rPr>
          <w:i/>
        </w:rPr>
        <w:t>Submission to Experiences of Injustice and Despair in Mental Health Care in Australia consultations b</w:t>
      </w:r>
      <w:r w:rsidR="002B5712">
        <w:rPr>
          <w:i/>
        </w:rPr>
        <w:t>y</w:t>
      </w:r>
      <w:r>
        <w:rPr>
          <w:i/>
        </w:rPr>
        <w:t xml:space="preserve"> the Mental Health Council of Australia and the Brain and Mind Research Institute in association with the Human Rights and Equal Opportunity Commission, </w:t>
      </w:r>
      <w:r>
        <w:t xml:space="preserve">cited in Mental Health Council of Australia, 2014, </w:t>
      </w:r>
      <w:r>
        <w:rPr>
          <w:i/>
        </w:rPr>
        <w:t>Not for Service,</w:t>
      </w:r>
      <w:r>
        <w:t xml:space="preserve"> p.220</w:t>
      </w:r>
    </w:p>
  </w:footnote>
  <w:footnote w:id="30">
    <w:p w14:paraId="1F271F9E" w14:textId="7903AD0F" w:rsidR="009A48F1" w:rsidRPr="00C83804" w:rsidRDefault="009A48F1" w:rsidP="009A48F1">
      <w:pPr>
        <w:pStyle w:val="FootnoteText"/>
        <w:rPr>
          <w:lang w:val="en-AU"/>
        </w:rPr>
      </w:pPr>
      <w:r>
        <w:rPr>
          <w:rStyle w:val="FootnoteReference"/>
        </w:rPr>
        <w:footnoteRef/>
      </w:r>
      <w:r>
        <w:t xml:space="preserve"> </w:t>
      </w:r>
      <w:proofErr w:type="spellStart"/>
      <w:r w:rsidR="00D215F2">
        <w:t>Povey</w:t>
      </w:r>
      <w:proofErr w:type="spellEnd"/>
      <w:r w:rsidR="00D215F2">
        <w:t xml:space="preserve">, C., Adams, L., and Roberts, S., 2013, </w:t>
      </w:r>
      <w:r w:rsidR="00D215F2">
        <w:rPr>
          <w:i/>
        </w:rPr>
        <w:t>Homelessness and Policing; Submission to the Consultation on the Victoria Police Field Contact Policy and Cross Cultural Training</w:t>
      </w:r>
      <w:r w:rsidR="00D215F2">
        <w:t xml:space="preserve">, p.3. Available at: </w:t>
      </w:r>
      <w:hyperlink r:id="rId2" w:history="1">
        <w:r>
          <w:rPr>
            <w:rStyle w:val="Hyperlink"/>
          </w:rPr>
          <w:t>https://justiceconnect.org.au/wp-content/uploads/2018/08/Homelessness-and-Policing-August-2013.pdf</w:t>
        </w:r>
      </w:hyperlink>
      <w:r>
        <w:t xml:space="preserve"> </w:t>
      </w:r>
    </w:p>
  </w:footnote>
  <w:footnote w:id="31">
    <w:p w14:paraId="74722B50" w14:textId="3CAFE080" w:rsidR="00DC3A18" w:rsidRPr="00D215F2" w:rsidRDefault="00DC3A18">
      <w:pPr>
        <w:pStyle w:val="FootnoteText"/>
      </w:pPr>
      <w:r>
        <w:rPr>
          <w:rStyle w:val="FootnoteReference"/>
        </w:rPr>
        <w:footnoteRef/>
      </w:r>
      <w:r>
        <w:t xml:space="preserve"> </w:t>
      </w:r>
      <w:r w:rsidR="00D215F2">
        <w:t>Ibid, p.10</w:t>
      </w:r>
    </w:p>
  </w:footnote>
  <w:footnote w:id="32">
    <w:p w14:paraId="35479932" w14:textId="5EA7963C" w:rsidR="00DC3A18" w:rsidRPr="00DC3A18" w:rsidRDefault="00DC3A18">
      <w:pPr>
        <w:pStyle w:val="FootnoteText"/>
        <w:rPr>
          <w:lang w:val="en-AU"/>
        </w:rPr>
      </w:pPr>
      <w:r>
        <w:rPr>
          <w:rStyle w:val="FootnoteReference"/>
        </w:rPr>
        <w:footnoteRef/>
      </w:r>
      <w:r>
        <w:t xml:space="preserve"> </w:t>
      </w:r>
      <w:r w:rsidR="00250081">
        <w:t>Ibid</w:t>
      </w:r>
      <w:r w:rsidR="001620DC">
        <w:t xml:space="preserve">, </w:t>
      </w:r>
      <w:r w:rsidR="001620DC" w:rsidRPr="001620DC">
        <w:t>p.14</w:t>
      </w:r>
    </w:p>
  </w:footnote>
  <w:footnote w:id="33">
    <w:p w14:paraId="1E9993DC" w14:textId="7D8E0C50" w:rsidR="009A48F1" w:rsidRPr="009E642A" w:rsidRDefault="009A48F1" w:rsidP="009A48F1">
      <w:pPr>
        <w:pStyle w:val="FootnoteText"/>
      </w:pPr>
      <w:r>
        <w:rPr>
          <w:rStyle w:val="FootnoteReference"/>
        </w:rPr>
        <w:footnoteRef/>
      </w:r>
      <w:r>
        <w:t xml:space="preserve"> </w:t>
      </w:r>
      <w:r w:rsidR="00D215F2">
        <w:t xml:space="preserve">Adams, L., 2014, </w:t>
      </w:r>
      <w:proofErr w:type="gramStart"/>
      <w:r w:rsidR="00D215F2">
        <w:rPr>
          <w:i/>
        </w:rPr>
        <w:t>In</w:t>
      </w:r>
      <w:proofErr w:type="gramEnd"/>
      <w:r w:rsidR="00D215F2">
        <w:rPr>
          <w:i/>
        </w:rPr>
        <w:t xml:space="preserve"> the public eye; Addressing the negative impact </w:t>
      </w:r>
      <w:proofErr w:type="spellStart"/>
      <w:r w:rsidR="00D215F2">
        <w:rPr>
          <w:i/>
        </w:rPr>
        <w:t>os</w:t>
      </w:r>
      <w:proofErr w:type="spellEnd"/>
      <w:r w:rsidR="00D215F2">
        <w:rPr>
          <w:i/>
        </w:rPr>
        <w:t xml:space="preserve"> laws regulating public space on people experiencing homelessness</w:t>
      </w:r>
      <w:r w:rsidR="009E642A">
        <w:t xml:space="preserve">, p.3. </w:t>
      </w:r>
      <w:r w:rsidR="00D215F2">
        <w:t xml:space="preserve">Available at: </w:t>
      </w:r>
      <w:hyperlink r:id="rId3" w:history="1">
        <w:r w:rsidR="00D215F2">
          <w:rPr>
            <w:rStyle w:val="Hyperlink"/>
          </w:rPr>
          <w:t>https://justiceconnect.org.au/wp-content/uploads/2018/08/Homelessness-and-Policing-August-2013.pdf</w:t>
        </w:r>
      </w:hyperlink>
    </w:p>
  </w:footnote>
  <w:footnote w:id="34">
    <w:p w14:paraId="044CA9D9" w14:textId="0E80ABEE" w:rsidR="009A48F1" w:rsidRPr="00D244DE" w:rsidRDefault="009A48F1" w:rsidP="009A48F1">
      <w:pPr>
        <w:pStyle w:val="FootnoteText"/>
        <w:rPr>
          <w:lang w:val="en-AU"/>
        </w:rPr>
      </w:pPr>
      <w:r>
        <w:rPr>
          <w:rStyle w:val="FootnoteReference"/>
        </w:rPr>
        <w:footnoteRef/>
      </w:r>
      <w:r>
        <w:t xml:space="preserve"> </w:t>
      </w:r>
      <w:r>
        <w:rPr>
          <w:lang w:val="en-AU"/>
        </w:rPr>
        <w:t>Baldry,</w:t>
      </w:r>
      <w:r w:rsidR="009E642A">
        <w:rPr>
          <w:lang w:val="en-AU"/>
        </w:rPr>
        <w:t xml:space="preserve"> E., 2014, </w:t>
      </w:r>
      <w:r w:rsidR="00520E1A">
        <w:rPr>
          <w:i/>
          <w:lang w:val="en-AU"/>
        </w:rPr>
        <w:t>Complex needs and the justice system,</w:t>
      </w:r>
      <w:r w:rsidR="00520E1A">
        <w:rPr>
          <w:lang w:val="en-AU"/>
        </w:rPr>
        <w:t xml:space="preserve"> in</w:t>
      </w:r>
      <w:r>
        <w:rPr>
          <w:lang w:val="en-AU"/>
        </w:rPr>
        <w:t xml:space="preserve"> </w:t>
      </w:r>
      <w:r w:rsidRPr="00520E1A">
        <w:rPr>
          <w:i/>
          <w:lang w:val="en-AU"/>
        </w:rPr>
        <w:t>Homelessness in Australia</w:t>
      </w:r>
      <w:r>
        <w:rPr>
          <w:lang w:val="en-AU"/>
        </w:rPr>
        <w:t>,</w:t>
      </w:r>
      <w:r w:rsidR="00520E1A">
        <w:rPr>
          <w:lang w:val="en-AU"/>
        </w:rPr>
        <w:t xml:space="preserve"> Council to Homeless Persons, Sydney, p.201</w:t>
      </w:r>
    </w:p>
  </w:footnote>
  <w:footnote w:id="35">
    <w:p w14:paraId="68698330" w14:textId="03044D27" w:rsidR="00FB30C4" w:rsidRPr="00FB30C4" w:rsidRDefault="00FB30C4">
      <w:pPr>
        <w:pStyle w:val="FootnoteText"/>
        <w:rPr>
          <w:lang w:val="en-AU"/>
        </w:rPr>
      </w:pPr>
      <w:r>
        <w:rPr>
          <w:rStyle w:val="FootnoteReference"/>
        </w:rPr>
        <w:footnoteRef/>
      </w:r>
      <w:r>
        <w:t xml:space="preserve"> Baldry, E., Dowse, L., </w:t>
      </w:r>
      <w:proofErr w:type="spellStart"/>
      <w:r>
        <w:t>McCausland</w:t>
      </w:r>
      <w:proofErr w:type="spellEnd"/>
      <w:r>
        <w:t>, R., and Clarence, M., 2012, Lifetime institutional costs of homelessness for vulnerable groups, School of Social Sciences University of New South Wales, Sydney, for Australian Government Department of Families, Housing, Community Services and Indigenous Affairs, p.107</w:t>
      </w:r>
    </w:p>
  </w:footnote>
  <w:footnote w:id="36">
    <w:p w14:paraId="5325B91C" w14:textId="368F28F1" w:rsidR="00BB1808" w:rsidRDefault="00BB1808" w:rsidP="00BB1808">
      <w:pPr>
        <w:pStyle w:val="FootnoteText"/>
      </w:pPr>
      <w:r>
        <w:rPr>
          <w:rStyle w:val="FootnoteReference"/>
        </w:rPr>
        <w:footnoteRef/>
      </w:r>
      <w:r>
        <w:t xml:space="preserve">  </w:t>
      </w:r>
      <w:r w:rsidR="004E1D15">
        <w:t xml:space="preserve">Willis, M., 2018, </w:t>
      </w:r>
      <w:r w:rsidR="004E1D15">
        <w:rPr>
          <w:i/>
        </w:rPr>
        <w:t xml:space="preserve">Supported Housing for Prisoners Returning to the Community: a review of the literature, </w:t>
      </w:r>
      <w:r w:rsidR="004E1D15">
        <w:t>Australian Institute of Criminology for State of Victoria, Corrections Victoria</w:t>
      </w:r>
      <w:r>
        <w:t>, p.11</w:t>
      </w:r>
    </w:p>
  </w:footnote>
  <w:footnote w:id="37">
    <w:p w14:paraId="41AEA9A2" w14:textId="77777777" w:rsidR="00250081" w:rsidRPr="002A7D73" w:rsidRDefault="00250081" w:rsidP="00250081">
      <w:pPr>
        <w:pStyle w:val="FootnoteText"/>
        <w:rPr>
          <w:lang w:val="en-AU"/>
        </w:rPr>
      </w:pPr>
      <w:r>
        <w:rPr>
          <w:rStyle w:val="FootnoteReference"/>
        </w:rPr>
        <w:footnoteRef/>
      </w:r>
      <w:r>
        <w:t xml:space="preserve"> Australian Institute of Health and Welfare, 2018, </w:t>
      </w:r>
      <w:r>
        <w:rPr>
          <w:i/>
        </w:rPr>
        <w:t>Specialist Homelessness Services Collection</w:t>
      </w:r>
    </w:p>
  </w:footnote>
  <w:footnote w:id="38">
    <w:p w14:paraId="4C9D0384" w14:textId="7C6BF96E" w:rsidR="009A6B82" w:rsidRPr="00064BF8" w:rsidRDefault="009A6B82" w:rsidP="009A6B82">
      <w:pPr>
        <w:pStyle w:val="FootnoteText"/>
        <w:rPr>
          <w:lang w:val="en-AU"/>
        </w:rPr>
      </w:pPr>
      <w:r>
        <w:rPr>
          <w:rStyle w:val="FootnoteReference"/>
        </w:rPr>
        <w:footnoteRef/>
      </w:r>
      <w:proofErr w:type="spellStart"/>
      <w:r w:rsidR="00C030AC" w:rsidRPr="00903F43">
        <w:t>Brackertz</w:t>
      </w:r>
      <w:proofErr w:type="spellEnd"/>
      <w:r w:rsidR="00C030AC" w:rsidRPr="00903F43">
        <w:t>, N., Wilkinson, A., and Davison, J., 2018, Housing, homelessness and mental health: towards systems change, AHURI Research Paper, Australian Housing and Urban Research Institute Limited, Melbourne</w:t>
      </w:r>
      <w:r w:rsidR="00C030AC">
        <w:t>, p.43</w:t>
      </w:r>
    </w:p>
  </w:footnote>
  <w:footnote w:id="39">
    <w:p w14:paraId="11D20EE5" w14:textId="63E24C86" w:rsidR="009A6B82" w:rsidRPr="00842DBC" w:rsidRDefault="009A6B82" w:rsidP="009A6B82">
      <w:pPr>
        <w:pStyle w:val="FootnoteText"/>
        <w:rPr>
          <w:lang w:val="en-AU"/>
        </w:rPr>
      </w:pPr>
      <w:r>
        <w:rPr>
          <w:rStyle w:val="FootnoteReference"/>
        </w:rPr>
        <w:footnoteRef/>
      </w:r>
      <w:r>
        <w:t xml:space="preserve"> </w:t>
      </w:r>
      <w:proofErr w:type="spellStart"/>
      <w:r>
        <w:rPr>
          <w:lang w:val="en-AU"/>
        </w:rPr>
        <w:t>Siskind</w:t>
      </w:r>
      <w:proofErr w:type="spellEnd"/>
      <w:r w:rsidR="00C030AC">
        <w:rPr>
          <w:lang w:val="en-AU"/>
        </w:rPr>
        <w:t>, D., et al,</w:t>
      </w:r>
      <w:r>
        <w:rPr>
          <w:lang w:val="en-AU"/>
        </w:rPr>
        <w:t xml:space="preserve"> 2014</w:t>
      </w:r>
      <w:r w:rsidR="00C030AC">
        <w:rPr>
          <w:lang w:val="en-AU"/>
        </w:rPr>
        <w:t xml:space="preserve">, </w:t>
      </w:r>
      <w:r w:rsidR="00C030AC">
        <w:rPr>
          <w:i/>
          <w:lang w:val="en-AU"/>
        </w:rPr>
        <w:t xml:space="preserve">A retrospective quasi-experimental study of transitional housing programs for patients with severe and persistent mental illness </w:t>
      </w:r>
      <w:r w:rsidR="00C030AC">
        <w:rPr>
          <w:lang w:val="en-AU"/>
        </w:rPr>
        <w:t>cited in</w:t>
      </w:r>
      <w:r>
        <w:rPr>
          <w:lang w:val="en-AU"/>
        </w:rPr>
        <w:t xml:space="preserve"> </w:t>
      </w:r>
      <w:r w:rsidR="00C030AC">
        <w:rPr>
          <w:rStyle w:val="FootnoteReference"/>
        </w:rPr>
        <w:footnoteRef/>
      </w:r>
      <w:proofErr w:type="spellStart"/>
      <w:r w:rsidR="00C030AC" w:rsidRPr="00903F43">
        <w:t>Brackertz</w:t>
      </w:r>
      <w:proofErr w:type="spellEnd"/>
      <w:r w:rsidR="00C030AC" w:rsidRPr="00903F43">
        <w:t>, N., Wilkinson, A., and Davison, J., 2018, Housing, homelessness and mental health: towards systems change, AHURI Research Paper, Australian Housing and Urban Research Institute Limited, Melbourne</w:t>
      </w:r>
      <w:r w:rsidR="00C030AC">
        <w:t>, p.23</w:t>
      </w:r>
    </w:p>
  </w:footnote>
  <w:footnote w:id="40">
    <w:p w14:paraId="5B4F3A70" w14:textId="689894EA" w:rsidR="00DF050F" w:rsidRPr="00266F5A" w:rsidRDefault="00DF050F" w:rsidP="00DF050F">
      <w:pPr>
        <w:pStyle w:val="FootnoteText"/>
        <w:rPr>
          <w:lang w:val="en-AU"/>
        </w:rPr>
      </w:pPr>
      <w:r>
        <w:rPr>
          <w:rStyle w:val="FootnoteReference"/>
        </w:rPr>
        <w:footnoteRef/>
      </w:r>
      <w:r w:rsidR="005E267F">
        <w:t xml:space="preserve"> Goodman, R., Nelson, A., Dalton, T., </w:t>
      </w:r>
      <w:proofErr w:type="spellStart"/>
      <w:r w:rsidR="005E267F">
        <w:t>Cigdem</w:t>
      </w:r>
      <w:proofErr w:type="spellEnd"/>
      <w:r w:rsidR="005E267F">
        <w:t xml:space="preserve">, M., Gabriel, M. and Jacobs, K., 2013, </w:t>
      </w:r>
      <w:proofErr w:type="gramStart"/>
      <w:r w:rsidR="005E267F" w:rsidRPr="005E267F">
        <w:rPr>
          <w:i/>
        </w:rPr>
        <w:t>The</w:t>
      </w:r>
      <w:proofErr w:type="gramEnd"/>
      <w:r w:rsidR="005E267F" w:rsidRPr="005E267F">
        <w:rPr>
          <w:i/>
        </w:rPr>
        <w:t xml:space="preserve"> experience of marginal rental housing in Australia</w:t>
      </w:r>
      <w:r w:rsidR="005E267F">
        <w:t>, AHURI Final Report No.210. Melbourne: Australian Housing and Urban Research Institute</w:t>
      </w:r>
      <w:r>
        <w:t>, p 36</w:t>
      </w:r>
    </w:p>
  </w:footnote>
  <w:footnote w:id="41">
    <w:p w14:paraId="5E963B51" w14:textId="0ADFC1D3" w:rsidR="00DF050F" w:rsidRPr="00DF050F" w:rsidRDefault="00DF050F">
      <w:pPr>
        <w:pStyle w:val="FootnoteText"/>
        <w:rPr>
          <w:b/>
          <w:lang w:val="en-AU"/>
        </w:rPr>
      </w:pPr>
      <w:r>
        <w:rPr>
          <w:rStyle w:val="FootnoteReference"/>
        </w:rPr>
        <w:footnoteRef/>
      </w:r>
      <w:r>
        <w:t xml:space="preserve"> The Salvation Army Adult Services, 2011, ‘No room to move? Report of the Outer West Rooming House Project’, p.16</w:t>
      </w:r>
    </w:p>
  </w:footnote>
  <w:footnote w:id="42">
    <w:p w14:paraId="0E1D1459" w14:textId="60E1B8E2" w:rsidR="004C1698" w:rsidRPr="004C1698" w:rsidRDefault="004C1698">
      <w:pPr>
        <w:pStyle w:val="FootnoteText"/>
        <w:rPr>
          <w:lang w:val="en-AU"/>
        </w:rPr>
      </w:pPr>
      <w:r>
        <w:rPr>
          <w:rStyle w:val="FootnoteReference"/>
        </w:rPr>
        <w:footnoteRef/>
      </w:r>
      <w:r>
        <w:t xml:space="preserve"> </w:t>
      </w:r>
      <w:r w:rsidR="00250081">
        <w:t xml:space="preserve">Goodman, R., Nelson, A., Dalton, T., </w:t>
      </w:r>
      <w:proofErr w:type="spellStart"/>
      <w:r w:rsidR="00250081">
        <w:t>Cigdem</w:t>
      </w:r>
      <w:proofErr w:type="spellEnd"/>
      <w:r w:rsidR="00250081">
        <w:t xml:space="preserve">, M., Gabriel, M. and Jacobs, K., 2013, </w:t>
      </w:r>
      <w:proofErr w:type="gramStart"/>
      <w:r w:rsidR="00250081" w:rsidRPr="005E267F">
        <w:rPr>
          <w:i/>
        </w:rPr>
        <w:t>The</w:t>
      </w:r>
      <w:proofErr w:type="gramEnd"/>
      <w:r w:rsidR="00250081" w:rsidRPr="005E267F">
        <w:rPr>
          <w:i/>
        </w:rPr>
        <w:t xml:space="preserve"> experience of marginal rental housing in Australia</w:t>
      </w:r>
      <w:r w:rsidR="00250081">
        <w:t xml:space="preserve">, AHURI Final Report No.210. Melbourne: Australian Housing and Urban Research Institute, </w:t>
      </w:r>
      <w:r>
        <w:t xml:space="preserve">p.25 </w:t>
      </w:r>
    </w:p>
  </w:footnote>
  <w:footnote w:id="43">
    <w:p w14:paraId="6678E5D4" w14:textId="5603FD9F" w:rsidR="00DF050F" w:rsidRPr="00191DAC" w:rsidRDefault="00DF050F" w:rsidP="00DF050F">
      <w:pPr>
        <w:pStyle w:val="FootnoteText"/>
        <w:rPr>
          <w:lang w:val="en-AU"/>
        </w:rPr>
      </w:pPr>
      <w:r>
        <w:rPr>
          <w:rStyle w:val="FootnoteReference"/>
        </w:rPr>
        <w:footnoteRef/>
      </w:r>
      <w:r w:rsidR="00250081">
        <w:t xml:space="preserve"> Ibid, </w:t>
      </w:r>
      <w:r>
        <w:t>pp.35 - 36</w:t>
      </w:r>
    </w:p>
  </w:footnote>
  <w:footnote w:id="44">
    <w:p w14:paraId="20F14DE8" w14:textId="3B5CD413" w:rsidR="00DF050F" w:rsidRPr="00BF34C8" w:rsidRDefault="00DF050F" w:rsidP="00DF050F">
      <w:pPr>
        <w:pStyle w:val="FootnoteText"/>
        <w:rPr>
          <w:lang w:val="en-AU"/>
        </w:rPr>
      </w:pPr>
      <w:r>
        <w:rPr>
          <w:rStyle w:val="FootnoteReference"/>
        </w:rPr>
        <w:footnoteRef/>
      </w:r>
      <w:r>
        <w:t xml:space="preserve"> </w:t>
      </w:r>
      <w:r w:rsidR="00761BE5">
        <w:t xml:space="preserve">Council to Homeless Persons, 2019, </w:t>
      </w:r>
      <w:r w:rsidR="00761BE5">
        <w:rPr>
          <w:i/>
        </w:rPr>
        <w:t>Council to Homeless Persons pre-budget submission 2019-2020</w:t>
      </w:r>
      <w:r>
        <w:t>, p.6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0F395" w14:textId="77777777" w:rsidR="00056563" w:rsidRDefault="00056563" w:rsidP="00283C32">
    <w:pPr>
      <w:pStyle w:val="Header"/>
      <w:ind w:left="15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932B8" w14:textId="77777777" w:rsidR="00056563" w:rsidRDefault="00056563">
    <w:pPr>
      <w:pStyle w:val="Header"/>
    </w:pPr>
    <w:r>
      <w:rPr>
        <w:noProof/>
        <w:lang w:val="en-AU" w:eastAsia="en-AU"/>
      </w:rPr>
      <w:drawing>
        <wp:anchor distT="0" distB="0" distL="114300" distR="114300" simplePos="0" relativeHeight="251657216" behindDoc="1" locked="0" layoutInCell="1" allowOverlap="1" wp14:anchorId="025036FA" wp14:editId="5A59D64E">
          <wp:simplePos x="0" y="0"/>
          <wp:positionH relativeFrom="page">
            <wp:posOffset>0</wp:posOffset>
          </wp:positionH>
          <wp:positionV relativeFrom="page">
            <wp:posOffset>0</wp:posOffset>
          </wp:positionV>
          <wp:extent cx="7560000" cy="10703007"/>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p_report_submissions_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703007"/>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73CF"/>
    <w:multiLevelType w:val="hybridMultilevel"/>
    <w:tmpl w:val="433A7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323D2C"/>
    <w:multiLevelType w:val="multilevel"/>
    <w:tmpl w:val="8F600390"/>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2" w15:restartNumberingAfterBreak="0">
    <w:nsid w:val="18145F7F"/>
    <w:multiLevelType w:val="hybridMultilevel"/>
    <w:tmpl w:val="A6BC0C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8DB37CC"/>
    <w:multiLevelType w:val="hybridMultilevel"/>
    <w:tmpl w:val="921A9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CD2B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E81CB7"/>
    <w:multiLevelType w:val="hybridMultilevel"/>
    <w:tmpl w:val="96CA6AF0"/>
    <w:lvl w:ilvl="0" w:tplc="309E7C22">
      <w:numFmt w:val="bullet"/>
      <w:lvlText w:val="-"/>
      <w:lvlJc w:val="left"/>
      <w:pPr>
        <w:ind w:left="1080" w:hanging="360"/>
      </w:pPr>
      <w:rPr>
        <w:rFonts w:ascii="Calibri" w:eastAsia="MS PGothic"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7424A53"/>
    <w:multiLevelType w:val="multilevel"/>
    <w:tmpl w:val="4978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E29E8"/>
    <w:multiLevelType w:val="hybridMultilevel"/>
    <w:tmpl w:val="C0B46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642B82"/>
    <w:multiLevelType w:val="hybridMultilevel"/>
    <w:tmpl w:val="5838C602"/>
    <w:lvl w:ilvl="0" w:tplc="9356EC28">
      <w:start w:val="31"/>
      <w:numFmt w:val="bullet"/>
      <w:lvlText w:val="-"/>
      <w:lvlJc w:val="left"/>
      <w:pPr>
        <w:ind w:left="720" w:hanging="360"/>
      </w:pPr>
      <w:rPr>
        <w:rFonts w:ascii="Calibri" w:eastAsia="MS P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1F1BED"/>
    <w:multiLevelType w:val="hybridMultilevel"/>
    <w:tmpl w:val="37541B86"/>
    <w:lvl w:ilvl="0" w:tplc="309E7C22">
      <w:numFmt w:val="bullet"/>
      <w:lvlText w:val="-"/>
      <w:lvlJc w:val="left"/>
      <w:pPr>
        <w:ind w:left="1080" w:hanging="360"/>
      </w:pPr>
      <w:rPr>
        <w:rFonts w:ascii="Calibri" w:eastAsia="MS P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C672A3"/>
    <w:multiLevelType w:val="multilevel"/>
    <w:tmpl w:val="5F36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66E86"/>
    <w:multiLevelType w:val="hybridMultilevel"/>
    <w:tmpl w:val="D924B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59226E"/>
    <w:multiLevelType w:val="hybridMultilevel"/>
    <w:tmpl w:val="FCAA9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2E7573"/>
    <w:multiLevelType w:val="hybridMultilevel"/>
    <w:tmpl w:val="0F0212A6"/>
    <w:lvl w:ilvl="0" w:tplc="8AAAFEEA">
      <w:numFmt w:val="bullet"/>
      <w:lvlText w:val="-"/>
      <w:lvlJc w:val="left"/>
      <w:pPr>
        <w:ind w:left="4680" w:hanging="360"/>
      </w:pPr>
      <w:rPr>
        <w:rFonts w:ascii="Arial" w:eastAsia="MS PGothic" w:hAnsi="Arial" w:cs="Arial" w:hint="default"/>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14" w15:restartNumberingAfterBreak="0">
    <w:nsid w:val="44106000"/>
    <w:multiLevelType w:val="multilevel"/>
    <w:tmpl w:val="6C8E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E3763"/>
    <w:multiLevelType w:val="multilevel"/>
    <w:tmpl w:val="0344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A6F7C"/>
    <w:multiLevelType w:val="hybridMultilevel"/>
    <w:tmpl w:val="56A433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BDF75E6"/>
    <w:multiLevelType w:val="hybridMultilevel"/>
    <w:tmpl w:val="6F127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C15E55"/>
    <w:multiLevelType w:val="multilevel"/>
    <w:tmpl w:val="74E0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759E0"/>
    <w:multiLevelType w:val="multilevel"/>
    <w:tmpl w:val="5DB2D022"/>
    <w:lvl w:ilvl="0">
      <w:start w:val="1"/>
      <w:numFmt w:val="bullet"/>
      <w:lvlText w:val=""/>
      <w:lvlJc w:val="left"/>
      <w:pPr>
        <w:tabs>
          <w:tab w:val="num" w:pos="566"/>
        </w:tabs>
        <w:ind w:left="566" w:hanging="283"/>
      </w:pPr>
      <w:rPr>
        <w:rFonts w:ascii="Symbol" w:hAnsi="Symbol" w:hint="default"/>
        <w:b w:val="0"/>
        <w:i w:val="0"/>
        <w:sz w:val="18"/>
      </w:rPr>
    </w:lvl>
    <w:lvl w:ilvl="1">
      <w:start w:val="1"/>
      <w:numFmt w:val="lowerLetter"/>
      <w:lvlText w:val="%2)"/>
      <w:lvlJc w:val="left"/>
      <w:pPr>
        <w:tabs>
          <w:tab w:val="num" w:pos="566"/>
        </w:tabs>
        <w:ind w:left="566" w:hanging="283"/>
      </w:pPr>
      <w:rPr>
        <w:rFonts w:ascii="Verdana" w:hAnsi="Verdana" w:hint="default"/>
      </w:rPr>
    </w:lvl>
    <w:lvl w:ilvl="2">
      <w:start w:val="1"/>
      <w:numFmt w:val="lowerRoman"/>
      <w:lvlText w:val="%3"/>
      <w:lvlJc w:val="left"/>
      <w:pPr>
        <w:tabs>
          <w:tab w:val="num" w:pos="850"/>
        </w:tabs>
        <w:ind w:left="850" w:hanging="284"/>
      </w:pPr>
      <w:rPr>
        <w:rFonts w:ascii="Verdana" w:hAnsi="Verdana" w:hint="default"/>
      </w:rPr>
    </w:lvl>
    <w:lvl w:ilvl="3">
      <w:start w:val="1"/>
      <w:numFmt w:val="decimal"/>
      <w:lvlText w:val="%1.%2.%3.%4."/>
      <w:lvlJc w:val="left"/>
      <w:pPr>
        <w:tabs>
          <w:tab w:val="num" w:pos="2443"/>
        </w:tabs>
        <w:ind w:left="2012" w:hanging="652"/>
      </w:pPr>
      <w:rPr>
        <w:rFonts w:ascii="Verdana" w:hAnsi="Verdana" w:hint="default"/>
      </w:rPr>
    </w:lvl>
    <w:lvl w:ilvl="4">
      <w:start w:val="1"/>
      <w:numFmt w:val="decimal"/>
      <w:lvlText w:val="%1.%2.%3.%4.%5."/>
      <w:lvlJc w:val="left"/>
      <w:pPr>
        <w:tabs>
          <w:tab w:val="num" w:pos="2800"/>
        </w:tabs>
        <w:ind w:left="2517" w:hanging="794"/>
      </w:pPr>
      <w:rPr>
        <w:rFonts w:ascii="Verdana" w:hAnsi="Verdana" w:hint="default"/>
      </w:rPr>
    </w:lvl>
    <w:lvl w:ilvl="5">
      <w:start w:val="1"/>
      <w:numFmt w:val="decimal"/>
      <w:lvlText w:val="%1.%2.%3.%4.%5.%6."/>
      <w:lvlJc w:val="left"/>
      <w:pPr>
        <w:tabs>
          <w:tab w:val="num" w:pos="3520"/>
        </w:tabs>
        <w:ind w:left="3021" w:hanging="941"/>
      </w:pPr>
      <w:rPr>
        <w:rFonts w:ascii="Verdana" w:hAnsi="Verdana" w:hint="default"/>
      </w:rPr>
    </w:lvl>
    <w:lvl w:ilvl="6">
      <w:start w:val="1"/>
      <w:numFmt w:val="decimal"/>
      <w:lvlText w:val="%1.%2.%3.%4.%5.%6.%7."/>
      <w:lvlJc w:val="left"/>
      <w:pPr>
        <w:tabs>
          <w:tab w:val="num" w:pos="4240"/>
        </w:tabs>
        <w:ind w:left="3520" w:hanging="1077"/>
      </w:pPr>
      <w:rPr>
        <w:rFonts w:ascii="Verdana" w:hAnsi="Verdana" w:hint="default"/>
      </w:rPr>
    </w:lvl>
    <w:lvl w:ilvl="7">
      <w:start w:val="1"/>
      <w:numFmt w:val="decimal"/>
      <w:lvlText w:val="%1.%2.%3.%4.%5.%6.%7.%8."/>
      <w:lvlJc w:val="left"/>
      <w:pPr>
        <w:tabs>
          <w:tab w:val="num" w:pos="4603"/>
        </w:tabs>
        <w:ind w:left="4025" w:hanging="1225"/>
      </w:pPr>
      <w:rPr>
        <w:rFonts w:ascii="Verdana" w:hAnsi="Verdana" w:hint="default"/>
      </w:rPr>
    </w:lvl>
    <w:lvl w:ilvl="8">
      <w:start w:val="1"/>
      <w:numFmt w:val="decimal"/>
      <w:lvlText w:val="%1.%2.%3.%4.%5.%6.%7.%8.%9."/>
      <w:lvlJc w:val="left"/>
      <w:pPr>
        <w:tabs>
          <w:tab w:val="num" w:pos="5323"/>
        </w:tabs>
        <w:ind w:left="4603" w:hanging="1440"/>
      </w:pPr>
      <w:rPr>
        <w:rFonts w:ascii="Verdana" w:hAnsi="Verdana" w:hint="default"/>
      </w:rPr>
    </w:lvl>
  </w:abstractNum>
  <w:abstractNum w:abstractNumId="20" w15:restartNumberingAfterBreak="0">
    <w:nsid w:val="61F41A8D"/>
    <w:multiLevelType w:val="hybridMultilevel"/>
    <w:tmpl w:val="5FCA5496"/>
    <w:lvl w:ilvl="0" w:tplc="879E2114">
      <w:numFmt w:val="bullet"/>
      <w:lvlText w:val="-"/>
      <w:lvlJc w:val="left"/>
      <w:pPr>
        <w:ind w:left="720" w:hanging="360"/>
      </w:pPr>
      <w:rPr>
        <w:rFonts w:ascii="Avenir LT Std 45 Book" w:eastAsiaTheme="minorHAnsi" w:hAnsi="Avenir LT Std 45 Book"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666F1A"/>
    <w:multiLevelType w:val="multilevel"/>
    <w:tmpl w:val="0614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696471"/>
    <w:multiLevelType w:val="hybridMultilevel"/>
    <w:tmpl w:val="ADCAA6D6"/>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3" w15:restartNumberingAfterBreak="0">
    <w:nsid w:val="76D80F9B"/>
    <w:multiLevelType w:val="hybridMultilevel"/>
    <w:tmpl w:val="61C2C5AC"/>
    <w:lvl w:ilvl="0" w:tplc="8D9AEC20">
      <w:start w:val="1"/>
      <w:numFmt w:val="bullet"/>
      <w:pStyle w:val="CHPBullet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DF7DD7"/>
    <w:multiLevelType w:val="hybridMultilevel"/>
    <w:tmpl w:val="B83665C0"/>
    <w:lvl w:ilvl="0" w:tplc="625827EA">
      <w:start w:val="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B2E5818"/>
    <w:multiLevelType w:val="hybridMultilevel"/>
    <w:tmpl w:val="99DAE89C"/>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6" w15:restartNumberingAfterBreak="0">
    <w:nsid w:val="7C6B76A1"/>
    <w:multiLevelType w:val="hybridMultilevel"/>
    <w:tmpl w:val="9D72A6FC"/>
    <w:lvl w:ilvl="0" w:tplc="F7DE9A86">
      <w:numFmt w:val="bullet"/>
      <w:lvlText w:val="-"/>
      <w:lvlJc w:val="left"/>
      <w:pPr>
        <w:ind w:left="720" w:hanging="360"/>
      </w:pPr>
      <w:rPr>
        <w:rFonts w:ascii="Arial" w:eastAsia="MS P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8C496D"/>
    <w:multiLevelType w:val="hybridMultilevel"/>
    <w:tmpl w:val="17C06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BE4B64"/>
    <w:multiLevelType w:val="hybridMultilevel"/>
    <w:tmpl w:val="FE98C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D0A472F"/>
    <w:multiLevelType w:val="hybridMultilevel"/>
    <w:tmpl w:val="341A26B8"/>
    <w:lvl w:ilvl="0" w:tplc="E7A078B4">
      <w:numFmt w:val="bullet"/>
      <w:lvlText w:val="-"/>
      <w:lvlJc w:val="left"/>
      <w:pPr>
        <w:ind w:left="720" w:hanging="360"/>
      </w:pPr>
      <w:rPr>
        <w:rFonts w:ascii="Arial" w:eastAsia="MS PGothic" w:hAnsi="Arial" w:cs="Arial" w:hint="default"/>
        <w:color w:val="929F2D" w:themeColor="accent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4D7364"/>
    <w:multiLevelType w:val="hybridMultilevel"/>
    <w:tmpl w:val="59B607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F954A9C"/>
    <w:multiLevelType w:val="hybridMultilevel"/>
    <w:tmpl w:val="10A4E3F4"/>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32" w15:restartNumberingAfterBreak="0">
    <w:nsid w:val="7FCC082E"/>
    <w:multiLevelType w:val="hybridMultilevel"/>
    <w:tmpl w:val="B8F893BC"/>
    <w:lvl w:ilvl="0" w:tplc="C09474FE">
      <w:numFmt w:val="bullet"/>
      <w:lvlText w:val="-"/>
      <w:lvlJc w:val="left"/>
      <w:pPr>
        <w:ind w:left="720" w:hanging="360"/>
      </w:pPr>
      <w:rPr>
        <w:rFonts w:ascii="Calibri" w:eastAsia="MS PGothic"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2"/>
  </w:num>
  <w:num w:numId="4">
    <w:abstractNumId w:val="27"/>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5"/>
  </w:num>
  <w:num w:numId="9">
    <w:abstractNumId w:val="22"/>
  </w:num>
  <w:num w:numId="10">
    <w:abstractNumId w:val="31"/>
  </w:num>
  <w:num w:numId="11">
    <w:abstractNumId w:val="0"/>
  </w:num>
  <w:num w:numId="12">
    <w:abstractNumId w:val="24"/>
  </w:num>
  <w:num w:numId="13">
    <w:abstractNumId w:val="16"/>
  </w:num>
  <w:num w:numId="14">
    <w:abstractNumId w:val="5"/>
  </w:num>
  <w:num w:numId="15">
    <w:abstractNumId w:val="9"/>
  </w:num>
  <w:num w:numId="16">
    <w:abstractNumId w:val="7"/>
  </w:num>
  <w:num w:numId="17">
    <w:abstractNumId w:val="10"/>
  </w:num>
  <w:num w:numId="18">
    <w:abstractNumId w:val="14"/>
  </w:num>
  <w:num w:numId="19">
    <w:abstractNumId w:val="18"/>
  </w:num>
  <w:num w:numId="20">
    <w:abstractNumId w:val="15"/>
  </w:num>
  <w:num w:numId="21">
    <w:abstractNumId w:val="17"/>
  </w:num>
  <w:num w:numId="22">
    <w:abstractNumId w:val="8"/>
  </w:num>
  <w:num w:numId="23">
    <w:abstractNumId w:val="21"/>
  </w:num>
  <w:num w:numId="24">
    <w:abstractNumId w:val="3"/>
  </w:num>
  <w:num w:numId="25">
    <w:abstractNumId w:val="2"/>
  </w:num>
  <w:num w:numId="26">
    <w:abstractNumId w:val="11"/>
  </w:num>
  <w:num w:numId="27">
    <w:abstractNumId w:val="6"/>
  </w:num>
  <w:num w:numId="28">
    <w:abstractNumId w:val="30"/>
  </w:num>
  <w:num w:numId="29">
    <w:abstractNumId w:val="13"/>
  </w:num>
  <w:num w:numId="30">
    <w:abstractNumId w:val="28"/>
  </w:num>
  <w:num w:numId="31">
    <w:abstractNumId w:val="26"/>
  </w:num>
  <w:num w:numId="32">
    <w:abstractNumId w:val="29"/>
  </w:num>
  <w:num w:numId="33">
    <w:abstractNumId w:val="3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65"/>
    <w:rsid w:val="000010B9"/>
    <w:rsid w:val="0000149B"/>
    <w:rsid w:val="000054AB"/>
    <w:rsid w:val="00006EAA"/>
    <w:rsid w:val="000103E1"/>
    <w:rsid w:val="00010F57"/>
    <w:rsid w:val="0001188D"/>
    <w:rsid w:val="00011B5B"/>
    <w:rsid w:val="00012338"/>
    <w:rsid w:val="00016302"/>
    <w:rsid w:val="00016705"/>
    <w:rsid w:val="0002031F"/>
    <w:rsid w:val="00020B15"/>
    <w:rsid w:val="00021162"/>
    <w:rsid w:val="00026078"/>
    <w:rsid w:val="00026303"/>
    <w:rsid w:val="000263B6"/>
    <w:rsid w:val="0002695C"/>
    <w:rsid w:val="00026CD5"/>
    <w:rsid w:val="000271FA"/>
    <w:rsid w:val="00027BD2"/>
    <w:rsid w:val="000311A3"/>
    <w:rsid w:val="00034D52"/>
    <w:rsid w:val="000364E3"/>
    <w:rsid w:val="00036C75"/>
    <w:rsid w:val="00037DBE"/>
    <w:rsid w:val="00044130"/>
    <w:rsid w:val="00045F78"/>
    <w:rsid w:val="0005034F"/>
    <w:rsid w:val="0005399C"/>
    <w:rsid w:val="00054548"/>
    <w:rsid w:val="00056563"/>
    <w:rsid w:val="00057D70"/>
    <w:rsid w:val="00064BF8"/>
    <w:rsid w:val="00067C5C"/>
    <w:rsid w:val="00070271"/>
    <w:rsid w:val="00075264"/>
    <w:rsid w:val="00075A86"/>
    <w:rsid w:val="000766D4"/>
    <w:rsid w:val="00077D96"/>
    <w:rsid w:val="0008199C"/>
    <w:rsid w:val="0008223B"/>
    <w:rsid w:val="0008296C"/>
    <w:rsid w:val="00082DA5"/>
    <w:rsid w:val="00083757"/>
    <w:rsid w:val="00083FD9"/>
    <w:rsid w:val="00086790"/>
    <w:rsid w:val="00090899"/>
    <w:rsid w:val="00092182"/>
    <w:rsid w:val="0009230A"/>
    <w:rsid w:val="00092E93"/>
    <w:rsid w:val="000942DF"/>
    <w:rsid w:val="00096A6D"/>
    <w:rsid w:val="00097AA2"/>
    <w:rsid w:val="000A0CF7"/>
    <w:rsid w:val="000A3A82"/>
    <w:rsid w:val="000A563A"/>
    <w:rsid w:val="000A606C"/>
    <w:rsid w:val="000B2CAD"/>
    <w:rsid w:val="000B77D6"/>
    <w:rsid w:val="000C351D"/>
    <w:rsid w:val="000C447C"/>
    <w:rsid w:val="000C4B57"/>
    <w:rsid w:val="000C5973"/>
    <w:rsid w:val="000C5C1B"/>
    <w:rsid w:val="000C6C41"/>
    <w:rsid w:val="000C7D76"/>
    <w:rsid w:val="000D12CA"/>
    <w:rsid w:val="000D17B3"/>
    <w:rsid w:val="000D3A2B"/>
    <w:rsid w:val="000D3AC2"/>
    <w:rsid w:val="000D3DE3"/>
    <w:rsid w:val="000D58F4"/>
    <w:rsid w:val="000E30F1"/>
    <w:rsid w:val="000E3BF7"/>
    <w:rsid w:val="000E47B0"/>
    <w:rsid w:val="000E5EC1"/>
    <w:rsid w:val="000E74E9"/>
    <w:rsid w:val="000E7BD7"/>
    <w:rsid w:val="000F051D"/>
    <w:rsid w:val="000F0D10"/>
    <w:rsid w:val="000F2CAE"/>
    <w:rsid w:val="000F303D"/>
    <w:rsid w:val="000F4E21"/>
    <w:rsid w:val="000F55B4"/>
    <w:rsid w:val="000F5812"/>
    <w:rsid w:val="000F6619"/>
    <w:rsid w:val="000F6919"/>
    <w:rsid w:val="000F7024"/>
    <w:rsid w:val="001002DE"/>
    <w:rsid w:val="00104BCE"/>
    <w:rsid w:val="00104FB0"/>
    <w:rsid w:val="001051ED"/>
    <w:rsid w:val="001064B0"/>
    <w:rsid w:val="00111DA0"/>
    <w:rsid w:val="00112ABE"/>
    <w:rsid w:val="001131DC"/>
    <w:rsid w:val="0011403C"/>
    <w:rsid w:val="001157E9"/>
    <w:rsid w:val="0011702F"/>
    <w:rsid w:val="001202E4"/>
    <w:rsid w:val="00120FA3"/>
    <w:rsid w:val="001211C5"/>
    <w:rsid w:val="00121236"/>
    <w:rsid w:val="001218BA"/>
    <w:rsid w:val="001224ED"/>
    <w:rsid w:val="001226F5"/>
    <w:rsid w:val="001231B9"/>
    <w:rsid w:val="00124A1C"/>
    <w:rsid w:val="001269D5"/>
    <w:rsid w:val="0013122B"/>
    <w:rsid w:val="00131749"/>
    <w:rsid w:val="001320F6"/>
    <w:rsid w:val="00132FF0"/>
    <w:rsid w:val="00136446"/>
    <w:rsid w:val="00136CED"/>
    <w:rsid w:val="00137653"/>
    <w:rsid w:val="001426FA"/>
    <w:rsid w:val="00143F25"/>
    <w:rsid w:val="00144C55"/>
    <w:rsid w:val="0014589D"/>
    <w:rsid w:val="00147349"/>
    <w:rsid w:val="00147956"/>
    <w:rsid w:val="001500AE"/>
    <w:rsid w:val="00151088"/>
    <w:rsid w:val="00152216"/>
    <w:rsid w:val="00152D2B"/>
    <w:rsid w:val="00160132"/>
    <w:rsid w:val="0016170A"/>
    <w:rsid w:val="001620DC"/>
    <w:rsid w:val="001621D4"/>
    <w:rsid w:val="001622E3"/>
    <w:rsid w:val="00162B1C"/>
    <w:rsid w:val="00162EDF"/>
    <w:rsid w:val="001638EF"/>
    <w:rsid w:val="001647A4"/>
    <w:rsid w:val="0016515F"/>
    <w:rsid w:val="001724B3"/>
    <w:rsid w:val="00174360"/>
    <w:rsid w:val="00174733"/>
    <w:rsid w:val="00174CA3"/>
    <w:rsid w:val="001756D4"/>
    <w:rsid w:val="001761D8"/>
    <w:rsid w:val="00180D5F"/>
    <w:rsid w:val="00186609"/>
    <w:rsid w:val="00191DAC"/>
    <w:rsid w:val="00193151"/>
    <w:rsid w:val="00197990"/>
    <w:rsid w:val="001A18C0"/>
    <w:rsid w:val="001A40D2"/>
    <w:rsid w:val="001A5971"/>
    <w:rsid w:val="001B1672"/>
    <w:rsid w:val="001B3934"/>
    <w:rsid w:val="001B76B3"/>
    <w:rsid w:val="001C2AF9"/>
    <w:rsid w:val="001C4163"/>
    <w:rsid w:val="001C44CD"/>
    <w:rsid w:val="001C7029"/>
    <w:rsid w:val="001D1F7C"/>
    <w:rsid w:val="001D29D2"/>
    <w:rsid w:val="001D3DCC"/>
    <w:rsid w:val="001D3FAD"/>
    <w:rsid w:val="001D4512"/>
    <w:rsid w:val="001D461F"/>
    <w:rsid w:val="001D4857"/>
    <w:rsid w:val="001D5DF1"/>
    <w:rsid w:val="001D6953"/>
    <w:rsid w:val="001D7A1A"/>
    <w:rsid w:val="001E1618"/>
    <w:rsid w:val="001E1D1B"/>
    <w:rsid w:val="001E4806"/>
    <w:rsid w:val="001E694B"/>
    <w:rsid w:val="001E6A4F"/>
    <w:rsid w:val="001E7FD9"/>
    <w:rsid w:val="001F3EA0"/>
    <w:rsid w:val="001F44B5"/>
    <w:rsid w:val="001F496B"/>
    <w:rsid w:val="00201467"/>
    <w:rsid w:val="002034CC"/>
    <w:rsid w:val="00204D50"/>
    <w:rsid w:val="00205211"/>
    <w:rsid w:val="00205BA1"/>
    <w:rsid w:val="00206FB0"/>
    <w:rsid w:val="00211A2C"/>
    <w:rsid w:val="00215405"/>
    <w:rsid w:val="00216A41"/>
    <w:rsid w:val="00216E4F"/>
    <w:rsid w:val="00221255"/>
    <w:rsid w:val="00224422"/>
    <w:rsid w:val="002269E0"/>
    <w:rsid w:val="00226D03"/>
    <w:rsid w:val="00227414"/>
    <w:rsid w:val="00227B8D"/>
    <w:rsid w:val="00230102"/>
    <w:rsid w:val="0023073D"/>
    <w:rsid w:val="00230906"/>
    <w:rsid w:val="002321C5"/>
    <w:rsid w:val="0023377D"/>
    <w:rsid w:val="00234636"/>
    <w:rsid w:val="00235ADF"/>
    <w:rsid w:val="00245A47"/>
    <w:rsid w:val="00245DD0"/>
    <w:rsid w:val="002473C4"/>
    <w:rsid w:val="00250081"/>
    <w:rsid w:val="00252835"/>
    <w:rsid w:val="0025361B"/>
    <w:rsid w:val="00253B2F"/>
    <w:rsid w:val="00256795"/>
    <w:rsid w:val="00260C29"/>
    <w:rsid w:val="00260D46"/>
    <w:rsid w:val="00262A3D"/>
    <w:rsid w:val="00263EC9"/>
    <w:rsid w:val="002643C1"/>
    <w:rsid w:val="00265A07"/>
    <w:rsid w:val="0026618C"/>
    <w:rsid w:val="0026698F"/>
    <w:rsid w:val="00266F5A"/>
    <w:rsid w:val="0026758F"/>
    <w:rsid w:val="00271122"/>
    <w:rsid w:val="0027127F"/>
    <w:rsid w:val="00273D9B"/>
    <w:rsid w:val="002767F8"/>
    <w:rsid w:val="00276B48"/>
    <w:rsid w:val="002774DA"/>
    <w:rsid w:val="00280AFD"/>
    <w:rsid w:val="00281764"/>
    <w:rsid w:val="00282621"/>
    <w:rsid w:val="00282AAE"/>
    <w:rsid w:val="00283C32"/>
    <w:rsid w:val="00283D96"/>
    <w:rsid w:val="00287E20"/>
    <w:rsid w:val="00295F4E"/>
    <w:rsid w:val="00296776"/>
    <w:rsid w:val="00297B12"/>
    <w:rsid w:val="002A3DD8"/>
    <w:rsid w:val="002A50F6"/>
    <w:rsid w:val="002A719B"/>
    <w:rsid w:val="002A72C7"/>
    <w:rsid w:val="002A7D73"/>
    <w:rsid w:val="002B0989"/>
    <w:rsid w:val="002B0DD8"/>
    <w:rsid w:val="002B4520"/>
    <w:rsid w:val="002B5712"/>
    <w:rsid w:val="002B66EF"/>
    <w:rsid w:val="002C7CA8"/>
    <w:rsid w:val="002D1C5A"/>
    <w:rsid w:val="002D1DF7"/>
    <w:rsid w:val="002D4FFE"/>
    <w:rsid w:val="002D7471"/>
    <w:rsid w:val="002E05BE"/>
    <w:rsid w:val="002E0EEC"/>
    <w:rsid w:val="002E17DB"/>
    <w:rsid w:val="002E1A7A"/>
    <w:rsid w:val="002E45D0"/>
    <w:rsid w:val="002E46F3"/>
    <w:rsid w:val="002F3336"/>
    <w:rsid w:val="002F7F29"/>
    <w:rsid w:val="00300675"/>
    <w:rsid w:val="00304233"/>
    <w:rsid w:val="00304F28"/>
    <w:rsid w:val="00312BCF"/>
    <w:rsid w:val="00313ADA"/>
    <w:rsid w:val="0031456F"/>
    <w:rsid w:val="003163EE"/>
    <w:rsid w:val="003200A0"/>
    <w:rsid w:val="00320C47"/>
    <w:rsid w:val="0032292F"/>
    <w:rsid w:val="003232EE"/>
    <w:rsid w:val="00325403"/>
    <w:rsid w:val="00330D9D"/>
    <w:rsid w:val="00332917"/>
    <w:rsid w:val="003348E3"/>
    <w:rsid w:val="00345863"/>
    <w:rsid w:val="00346939"/>
    <w:rsid w:val="00347617"/>
    <w:rsid w:val="00347BBB"/>
    <w:rsid w:val="00347CAA"/>
    <w:rsid w:val="00347DC4"/>
    <w:rsid w:val="0035258E"/>
    <w:rsid w:val="0035293A"/>
    <w:rsid w:val="00352E1F"/>
    <w:rsid w:val="00352FF4"/>
    <w:rsid w:val="00353D0D"/>
    <w:rsid w:val="00354538"/>
    <w:rsid w:val="00356C23"/>
    <w:rsid w:val="003570C1"/>
    <w:rsid w:val="00360875"/>
    <w:rsid w:val="003615E6"/>
    <w:rsid w:val="00361A92"/>
    <w:rsid w:val="00361D2C"/>
    <w:rsid w:val="00365F65"/>
    <w:rsid w:val="00366C50"/>
    <w:rsid w:val="003673AE"/>
    <w:rsid w:val="003674E3"/>
    <w:rsid w:val="0036757F"/>
    <w:rsid w:val="003677F3"/>
    <w:rsid w:val="00367D41"/>
    <w:rsid w:val="00367FB9"/>
    <w:rsid w:val="00370061"/>
    <w:rsid w:val="00370C11"/>
    <w:rsid w:val="003836AF"/>
    <w:rsid w:val="003839E3"/>
    <w:rsid w:val="003840F7"/>
    <w:rsid w:val="00391F78"/>
    <w:rsid w:val="00392E96"/>
    <w:rsid w:val="00394891"/>
    <w:rsid w:val="00395540"/>
    <w:rsid w:val="00395719"/>
    <w:rsid w:val="00395E1E"/>
    <w:rsid w:val="00397B78"/>
    <w:rsid w:val="003A0967"/>
    <w:rsid w:val="003A12A9"/>
    <w:rsid w:val="003A44D5"/>
    <w:rsid w:val="003A4F9F"/>
    <w:rsid w:val="003A6D09"/>
    <w:rsid w:val="003B0188"/>
    <w:rsid w:val="003B09C8"/>
    <w:rsid w:val="003B1001"/>
    <w:rsid w:val="003B4E97"/>
    <w:rsid w:val="003B60AC"/>
    <w:rsid w:val="003B7095"/>
    <w:rsid w:val="003B7831"/>
    <w:rsid w:val="003B7C17"/>
    <w:rsid w:val="003C0B46"/>
    <w:rsid w:val="003C1222"/>
    <w:rsid w:val="003C2701"/>
    <w:rsid w:val="003C538A"/>
    <w:rsid w:val="003C77BE"/>
    <w:rsid w:val="003D0B18"/>
    <w:rsid w:val="003D32A3"/>
    <w:rsid w:val="003D3667"/>
    <w:rsid w:val="003D5A0F"/>
    <w:rsid w:val="003D75B8"/>
    <w:rsid w:val="003E0CA0"/>
    <w:rsid w:val="003E11CC"/>
    <w:rsid w:val="003E1C20"/>
    <w:rsid w:val="003E2242"/>
    <w:rsid w:val="003E36FE"/>
    <w:rsid w:val="003F1AC3"/>
    <w:rsid w:val="003F52CD"/>
    <w:rsid w:val="003F62E9"/>
    <w:rsid w:val="00401626"/>
    <w:rsid w:val="004033FA"/>
    <w:rsid w:val="00405186"/>
    <w:rsid w:val="0040621D"/>
    <w:rsid w:val="0041034F"/>
    <w:rsid w:val="00417614"/>
    <w:rsid w:val="00423F4F"/>
    <w:rsid w:val="00425617"/>
    <w:rsid w:val="00426528"/>
    <w:rsid w:val="00426A6F"/>
    <w:rsid w:val="00427C83"/>
    <w:rsid w:val="0043170E"/>
    <w:rsid w:val="00432DEC"/>
    <w:rsid w:val="004332A4"/>
    <w:rsid w:val="004338D1"/>
    <w:rsid w:val="00433A1A"/>
    <w:rsid w:val="00433E49"/>
    <w:rsid w:val="00436C76"/>
    <w:rsid w:val="00437CA4"/>
    <w:rsid w:val="00440BFE"/>
    <w:rsid w:val="00440C08"/>
    <w:rsid w:val="00442E9E"/>
    <w:rsid w:val="004440F5"/>
    <w:rsid w:val="00444B10"/>
    <w:rsid w:val="00446711"/>
    <w:rsid w:val="00446BD1"/>
    <w:rsid w:val="00447BC4"/>
    <w:rsid w:val="004546FB"/>
    <w:rsid w:val="0045480F"/>
    <w:rsid w:val="00455E29"/>
    <w:rsid w:val="00456E28"/>
    <w:rsid w:val="0045781C"/>
    <w:rsid w:val="00461B67"/>
    <w:rsid w:val="004620BD"/>
    <w:rsid w:val="004643EF"/>
    <w:rsid w:val="00464DBB"/>
    <w:rsid w:val="00465325"/>
    <w:rsid w:val="00465385"/>
    <w:rsid w:val="004677BA"/>
    <w:rsid w:val="00470309"/>
    <w:rsid w:val="00470665"/>
    <w:rsid w:val="00472F9B"/>
    <w:rsid w:val="00473408"/>
    <w:rsid w:val="00473976"/>
    <w:rsid w:val="004756BE"/>
    <w:rsid w:val="00475787"/>
    <w:rsid w:val="00485080"/>
    <w:rsid w:val="00485A98"/>
    <w:rsid w:val="00487764"/>
    <w:rsid w:val="0049710E"/>
    <w:rsid w:val="004A1709"/>
    <w:rsid w:val="004A697C"/>
    <w:rsid w:val="004A7E0D"/>
    <w:rsid w:val="004B27E8"/>
    <w:rsid w:val="004B492F"/>
    <w:rsid w:val="004B6AEB"/>
    <w:rsid w:val="004B714E"/>
    <w:rsid w:val="004C15FF"/>
    <w:rsid w:val="004C1698"/>
    <w:rsid w:val="004C62EE"/>
    <w:rsid w:val="004C64DB"/>
    <w:rsid w:val="004C6F75"/>
    <w:rsid w:val="004C7FB7"/>
    <w:rsid w:val="004D0252"/>
    <w:rsid w:val="004D1205"/>
    <w:rsid w:val="004D6B0B"/>
    <w:rsid w:val="004D7012"/>
    <w:rsid w:val="004E04B9"/>
    <w:rsid w:val="004E1909"/>
    <w:rsid w:val="004E1D15"/>
    <w:rsid w:val="004E224F"/>
    <w:rsid w:val="004E2823"/>
    <w:rsid w:val="004E4379"/>
    <w:rsid w:val="004E685D"/>
    <w:rsid w:val="004E7F4A"/>
    <w:rsid w:val="004F180C"/>
    <w:rsid w:val="004F1C97"/>
    <w:rsid w:val="004F204F"/>
    <w:rsid w:val="004F3EEC"/>
    <w:rsid w:val="004F5FED"/>
    <w:rsid w:val="004F7853"/>
    <w:rsid w:val="00502FBF"/>
    <w:rsid w:val="00507BFD"/>
    <w:rsid w:val="00507EDC"/>
    <w:rsid w:val="00510161"/>
    <w:rsid w:val="00513D0E"/>
    <w:rsid w:val="00513E12"/>
    <w:rsid w:val="005141B9"/>
    <w:rsid w:val="0051445F"/>
    <w:rsid w:val="005154CB"/>
    <w:rsid w:val="00516A24"/>
    <w:rsid w:val="00520E1A"/>
    <w:rsid w:val="0052123A"/>
    <w:rsid w:val="00521BE4"/>
    <w:rsid w:val="005235C2"/>
    <w:rsid w:val="00523FEF"/>
    <w:rsid w:val="0052573C"/>
    <w:rsid w:val="00533620"/>
    <w:rsid w:val="0053599E"/>
    <w:rsid w:val="00541821"/>
    <w:rsid w:val="00542B86"/>
    <w:rsid w:val="0055176F"/>
    <w:rsid w:val="00552B12"/>
    <w:rsid w:val="00553FBC"/>
    <w:rsid w:val="0055447E"/>
    <w:rsid w:val="00560F02"/>
    <w:rsid w:val="00561075"/>
    <w:rsid w:val="0056281F"/>
    <w:rsid w:val="00563452"/>
    <w:rsid w:val="00563C65"/>
    <w:rsid w:val="005651C6"/>
    <w:rsid w:val="00567ECB"/>
    <w:rsid w:val="00570DE9"/>
    <w:rsid w:val="00570E12"/>
    <w:rsid w:val="00570E15"/>
    <w:rsid w:val="0057147D"/>
    <w:rsid w:val="00572899"/>
    <w:rsid w:val="005731C6"/>
    <w:rsid w:val="005735B2"/>
    <w:rsid w:val="00574CC2"/>
    <w:rsid w:val="00574DC5"/>
    <w:rsid w:val="0057591D"/>
    <w:rsid w:val="00586A75"/>
    <w:rsid w:val="0058771A"/>
    <w:rsid w:val="0058794A"/>
    <w:rsid w:val="005903EE"/>
    <w:rsid w:val="00592052"/>
    <w:rsid w:val="00592C9C"/>
    <w:rsid w:val="00594C97"/>
    <w:rsid w:val="00595739"/>
    <w:rsid w:val="00597211"/>
    <w:rsid w:val="00597A4A"/>
    <w:rsid w:val="00597DCA"/>
    <w:rsid w:val="00597F10"/>
    <w:rsid w:val="005A5868"/>
    <w:rsid w:val="005A63B8"/>
    <w:rsid w:val="005A6B68"/>
    <w:rsid w:val="005A7C00"/>
    <w:rsid w:val="005B4D0B"/>
    <w:rsid w:val="005B54E3"/>
    <w:rsid w:val="005B7594"/>
    <w:rsid w:val="005C0415"/>
    <w:rsid w:val="005C1999"/>
    <w:rsid w:val="005C3E3D"/>
    <w:rsid w:val="005D1EFF"/>
    <w:rsid w:val="005D4094"/>
    <w:rsid w:val="005D646D"/>
    <w:rsid w:val="005E0BEC"/>
    <w:rsid w:val="005E1D39"/>
    <w:rsid w:val="005E267F"/>
    <w:rsid w:val="005E57C9"/>
    <w:rsid w:val="005E5959"/>
    <w:rsid w:val="005E64BB"/>
    <w:rsid w:val="005E726D"/>
    <w:rsid w:val="005F07DE"/>
    <w:rsid w:val="005F387E"/>
    <w:rsid w:val="005F5EE3"/>
    <w:rsid w:val="005F6A6B"/>
    <w:rsid w:val="00601C50"/>
    <w:rsid w:val="00606C44"/>
    <w:rsid w:val="00611B11"/>
    <w:rsid w:val="00613940"/>
    <w:rsid w:val="00616209"/>
    <w:rsid w:val="00616DAF"/>
    <w:rsid w:val="006173E9"/>
    <w:rsid w:val="00617F65"/>
    <w:rsid w:val="00622055"/>
    <w:rsid w:val="00622123"/>
    <w:rsid w:val="0062368D"/>
    <w:rsid w:val="0062419E"/>
    <w:rsid w:val="00624455"/>
    <w:rsid w:val="00625EED"/>
    <w:rsid w:val="006346A9"/>
    <w:rsid w:val="006355C7"/>
    <w:rsid w:val="006364DF"/>
    <w:rsid w:val="00642CFC"/>
    <w:rsid w:val="006458D7"/>
    <w:rsid w:val="00647B41"/>
    <w:rsid w:val="0065095A"/>
    <w:rsid w:val="00650B65"/>
    <w:rsid w:val="006519A6"/>
    <w:rsid w:val="006526A0"/>
    <w:rsid w:val="00652AC6"/>
    <w:rsid w:val="00656CFC"/>
    <w:rsid w:val="0066271B"/>
    <w:rsid w:val="00663E1D"/>
    <w:rsid w:val="0067061A"/>
    <w:rsid w:val="0067083A"/>
    <w:rsid w:val="00670F89"/>
    <w:rsid w:val="00671DB6"/>
    <w:rsid w:val="006724A5"/>
    <w:rsid w:val="006744F5"/>
    <w:rsid w:val="00676AD8"/>
    <w:rsid w:val="00680D51"/>
    <w:rsid w:val="006811EF"/>
    <w:rsid w:val="006853A1"/>
    <w:rsid w:val="00685D8C"/>
    <w:rsid w:val="0069298A"/>
    <w:rsid w:val="0069378A"/>
    <w:rsid w:val="00694866"/>
    <w:rsid w:val="00695A8C"/>
    <w:rsid w:val="00696A4D"/>
    <w:rsid w:val="0069731F"/>
    <w:rsid w:val="00697644"/>
    <w:rsid w:val="006A1C08"/>
    <w:rsid w:val="006A338E"/>
    <w:rsid w:val="006A3B6F"/>
    <w:rsid w:val="006A7690"/>
    <w:rsid w:val="006A7F1D"/>
    <w:rsid w:val="006B0CC9"/>
    <w:rsid w:val="006B2357"/>
    <w:rsid w:val="006B473A"/>
    <w:rsid w:val="006B6879"/>
    <w:rsid w:val="006B6ED7"/>
    <w:rsid w:val="006C2BDC"/>
    <w:rsid w:val="006C3CDC"/>
    <w:rsid w:val="006C6CC1"/>
    <w:rsid w:val="006C6EE3"/>
    <w:rsid w:val="006D12DA"/>
    <w:rsid w:val="006D138D"/>
    <w:rsid w:val="006D2A6A"/>
    <w:rsid w:val="006D340A"/>
    <w:rsid w:val="006D3C4D"/>
    <w:rsid w:val="006D3E2A"/>
    <w:rsid w:val="006D429F"/>
    <w:rsid w:val="006D6544"/>
    <w:rsid w:val="006E1A05"/>
    <w:rsid w:val="006E205F"/>
    <w:rsid w:val="006E24DC"/>
    <w:rsid w:val="006E79FD"/>
    <w:rsid w:val="006F24A4"/>
    <w:rsid w:val="006F2A40"/>
    <w:rsid w:val="006F4D93"/>
    <w:rsid w:val="006F5689"/>
    <w:rsid w:val="006F578C"/>
    <w:rsid w:val="006F6B19"/>
    <w:rsid w:val="00700C3E"/>
    <w:rsid w:val="00705DE3"/>
    <w:rsid w:val="00706C43"/>
    <w:rsid w:val="00710997"/>
    <w:rsid w:val="00710CEE"/>
    <w:rsid w:val="007219D9"/>
    <w:rsid w:val="00721B2F"/>
    <w:rsid w:val="0072462E"/>
    <w:rsid w:val="00725549"/>
    <w:rsid w:val="00725CF1"/>
    <w:rsid w:val="007266E2"/>
    <w:rsid w:val="00726DAB"/>
    <w:rsid w:val="00727A5E"/>
    <w:rsid w:val="007311A0"/>
    <w:rsid w:val="00731857"/>
    <w:rsid w:val="0073429C"/>
    <w:rsid w:val="00740E63"/>
    <w:rsid w:val="00741983"/>
    <w:rsid w:val="00741987"/>
    <w:rsid w:val="00741B49"/>
    <w:rsid w:val="00742BCC"/>
    <w:rsid w:val="00742F86"/>
    <w:rsid w:val="00743D50"/>
    <w:rsid w:val="00743EB0"/>
    <w:rsid w:val="0074499E"/>
    <w:rsid w:val="00744B4D"/>
    <w:rsid w:val="00744E4E"/>
    <w:rsid w:val="007468A4"/>
    <w:rsid w:val="00746D88"/>
    <w:rsid w:val="00746FCF"/>
    <w:rsid w:val="00755F77"/>
    <w:rsid w:val="007603A2"/>
    <w:rsid w:val="00761BE5"/>
    <w:rsid w:val="00764E12"/>
    <w:rsid w:val="00766B54"/>
    <w:rsid w:val="00766ECE"/>
    <w:rsid w:val="007675DF"/>
    <w:rsid w:val="007710FE"/>
    <w:rsid w:val="00772E9C"/>
    <w:rsid w:val="007802FA"/>
    <w:rsid w:val="0078074D"/>
    <w:rsid w:val="00780766"/>
    <w:rsid w:val="00780A37"/>
    <w:rsid w:val="00782223"/>
    <w:rsid w:val="00782F6D"/>
    <w:rsid w:val="00783378"/>
    <w:rsid w:val="00784C13"/>
    <w:rsid w:val="00785DEA"/>
    <w:rsid w:val="00786D64"/>
    <w:rsid w:val="00791218"/>
    <w:rsid w:val="00791A26"/>
    <w:rsid w:val="00791BC3"/>
    <w:rsid w:val="007A0502"/>
    <w:rsid w:val="007A480C"/>
    <w:rsid w:val="007A7EBD"/>
    <w:rsid w:val="007A7F92"/>
    <w:rsid w:val="007B4DD6"/>
    <w:rsid w:val="007B7A5E"/>
    <w:rsid w:val="007C0502"/>
    <w:rsid w:val="007C0A46"/>
    <w:rsid w:val="007C15D7"/>
    <w:rsid w:val="007C3FCC"/>
    <w:rsid w:val="007C4183"/>
    <w:rsid w:val="007C433F"/>
    <w:rsid w:val="007C6FE2"/>
    <w:rsid w:val="007D331D"/>
    <w:rsid w:val="007D3EB6"/>
    <w:rsid w:val="007D5596"/>
    <w:rsid w:val="007D68C2"/>
    <w:rsid w:val="007E2331"/>
    <w:rsid w:val="007E2C5A"/>
    <w:rsid w:val="007E3D86"/>
    <w:rsid w:val="007E40C2"/>
    <w:rsid w:val="007E4881"/>
    <w:rsid w:val="007E6FC6"/>
    <w:rsid w:val="007F2D35"/>
    <w:rsid w:val="007F424D"/>
    <w:rsid w:val="007F600D"/>
    <w:rsid w:val="007F7CEE"/>
    <w:rsid w:val="00802231"/>
    <w:rsid w:val="00803313"/>
    <w:rsid w:val="008034A9"/>
    <w:rsid w:val="00806BF2"/>
    <w:rsid w:val="008072A8"/>
    <w:rsid w:val="00812DAA"/>
    <w:rsid w:val="008138B2"/>
    <w:rsid w:val="00813CB7"/>
    <w:rsid w:val="008144D7"/>
    <w:rsid w:val="00816610"/>
    <w:rsid w:val="0081707A"/>
    <w:rsid w:val="008177AF"/>
    <w:rsid w:val="00821329"/>
    <w:rsid w:val="00821EED"/>
    <w:rsid w:val="00821F99"/>
    <w:rsid w:val="008221CB"/>
    <w:rsid w:val="00824761"/>
    <w:rsid w:val="00824A10"/>
    <w:rsid w:val="008270DB"/>
    <w:rsid w:val="008273FC"/>
    <w:rsid w:val="00827AA0"/>
    <w:rsid w:val="008306B6"/>
    <w:rsid w:val="00832A7F"/>
    <w:rsid w:val="00833EBE"/>
    <w:rsid w:val="00833EEA"/>
    <w:rsid w:val="008342DE"/>
    <w:rsid w:val="0083440F"/>
    <w:rsid w:val="00834AC7"/>
    <w:rsid w:val="00834B4E"/>
    <w:rsid w:val="00834FBA"/>
    <w:rsid w:val="00835252"/>
    <w:rsid w:val="008353C5"/>
    <w:rsid w:val="00835D3B"/>
    <w:rsid w:val="00842DBC"/>
    <w:rsid w:val="0084351D"/>
    <w:rsid w:val="00843739"/>
    <w:rsid w:val="008453E3"/>
    <w:rsid w:val="008501C0"/>
    <w:rsid w:val="008505C7"/>
    <w:rsid w:val="0085152B"/>
    <w:rsid w:val="0085668A"/>
    <w:rsid w:val="00860609"/>
    <w:rsid w:val="008625F4"/>
    <w:rsid w:val="00863931"/>
    <w:rsid w:val="00864271"/>
    <w:rsid w:val="008672F5"/>
    <w:rsid w:val="008673D8"/>
    <w:rsid w:val="008766BD"/>
    <w:rsid w:val="008771EA"/>
    <w:rsid w:val="0088212C"/>
    <w:rsid w:val="008836AB"/>
    <w:rsid w:val="00884B17"/>
    <w:rsid w:val="00887994"/>
    <w:rsid w:val="00890621"/>
    <w:rsid w:val="00890E49"/>
    <w:rsid w:val="008927C1"/>
    <w:rsid w:val="00893C77"/>
    <w:rsid w:val="0089567B"/>
    <w:rsid w:val="00895D8F"/>
    <w:rsid w:val="00897899"/>
    <w:rsid w:val="008A1124"/>
    <w:rsid w:val="008A25B9"/>
    <w:rsid w:val="008A5BD3"/>
    <w:rsid w:val="008A73BC"/>
    <w:rsid w:val="008A7714"/>
    <w:rsid w:val="008B11CF"/>
    <w:rsid w:val="008B3300"/>
    <w:rsid w:val="008B37BB"/>
    <w:rsid w:val="008B3B37"/>
    <w:rsid w:val="008B43ED"/>
    <w:rsid w:val="008C1621"/>
    <w:rsid w:val="008C236C"/>
    <w:rsid w:val="008C32BD"/>
    <w:rsid w:val="008C352E"/>
    <w:rsid w:val="008C3668"/>
    <w:rsid w:val="008C4E09"/>
    <w:rsid w:val="008C6666"/>
    <w:rsid w:val="008C7331"/>
    <w:rsid w:val="008C7D38"/>
    <w:rsid w:val="008D0077"/>
    <w:rsid w:val="008D1D7E"/>
    <w:rsid w:val="008D7035"/>
    <w:rsid w:val="008E153F"/>
    <w:rsid w:val="008E38C0"/>
    <w:rsid w:val="008E3A88"/>
    <w:rsid w:val="008E4B4B"/>
    <w:rsid w:val="008E5939"/>
    <w:rsid w:val="008E6139"/>
    <w:rsid w:val="008E6876"/>
    <w:rsid w:val="008E70E8"/>
    <w:rsid w:val="008E72A3"/>
    <w:rsid w:val="008E7D4B"/>
    <w:rsid w:val="008F156B"/>
    <w:rsid w:val="008F208E"/>
    <w:rsid w:val="008F2A83"/>
    <w:rsid w:val="008F2F09"/>
    <w:rsid w:val="008F35BB"/>
    <w:rsid w:val="008F561D"/>
    <w:rsid w:val="008F6908"/>
    <w:rsid w:val="00903F43"/>
    <w:rsid w:val="00906540"/>
    <w:rsid w:val="00906F6E"/>
    <w:rsid w:val="00910EE6"/>
    <w:rsid w:val="00912AB8"/>
    <w:rsid w:val="00912D22"/>
    <w:rsid w:val="00912EDB"/>
    <w:rsid w:val="009133F7"/>
    <w:rsid w:val="009172EB"/>
    <w:rsid w:val="00917BDB"/>
    <w:rsid w:val="009207E0"/>
    <w:rsid w:val="00920AB1"/>
    <w:rsid w:val="00927E3A"/>
    <w:rsid w:val="00930091"/>
    <w:rsid w:val="00930887"/>
    <w:rsid w:val="0093240E"/>
    <w:rsid w:val="009334CF"/>
    <w:rsid w:val="00933ADA"/>
    <w:rsid w:val="00934801"/>
    <w:rsid w:val="00934829"/>
    <w:rsid w:val="00935B6A"/>
    <w:rsid w:val="00936437"/>
    <w:rsid w:val="00940E17"/>
    <w:rsid w:val="009501E5"/>
    <w:rsid w:val="00952700"/>
    <w:rsid w:val="0095543B"/>
    <w:rsid w:val="00955B87"/>
    <w:rsid w:val="009571AE"/>
    <w:rsid w:val="009601B0"/>
    <w:rsid w:val="00960FC3"/>
    <w:rsid w:val="0096293C"/>
    <w:rsid w:val="00963758"/>
    <w:rsid w:val="0096389A"/>
    <w:rsid w:val="00963E11"/>
    <w:rsid w:val="009645AB"/>
    <w:rsid w:val="0096493B"/>
    <w:rsid w:val="00965E9D"/>
    <w:rsid w:val="0097635A"/>
    <w:rsid w:val="00977328"/>
    <w:rsid w:val="00980938"/>
    <w:rsid w:val="00982731"/>
    <w:rsid w:val="0098463D"/>
    <w:rsid w:val="009846F4"/>
    <w:rsid w:val="00984954"/>
    <w:rsid w:val="00987582"/>
    <w:rsid w:val="00987FC1"/>
    <w:rsid w:val="009900AB"/>
    <w:rsid w:val="00994AB3"/>
    <w:rsid w:val="009953A9"/>
    <w:rsid w:val="009A48F1"/>
    <w:rsid w:val="009A4923"/>
    <w:rsid w:val="009A6B82"/>
    <w:rsid w:val="009B4110"/>
    <w:rsid w:val="009C54D5"/>
    <w:rsid w:val="009C5849"/>
    <w:rsid w:val="009C71D5"/>
    <w:rsid w:val="009D0CDD"/>
    <w:rsid w:val="009D2ABD"/>
    <w:rsid w:val="009D3A88"/>
    <w:rsid w:val="009D44C8"/>
    <w:rsid w:val="009E1EF2"/>
    <w:rsid w:val="009E374C"/>
    <w:rsid w:val="009E4383"/>
    <w:rsid w:val="009E502A"/>
    <w:rsid w:val="009E55C6"/>
    <w:rsid w:val="009E642A"/>
    <w:rsid w:val="009E6667"/>
    <w:rsid w:val="009F012A"/>
    <w:rsid w:val="009F2159"/>
    <w:rsid w:val="009F4B43"/>
    <w:rsid w:val="009F4C11"/>
    <w:rsid w:val="009F67FE"/>
    <w:rsid w:val="00A00E22"/>
    <w:rsid w:val="00A020CC"/>
    <w:rsid w:val="00A02DBC"/>
    <w:rsid w:val="00A11355"/>
    <w:rsid w:val="00A12A6C"/>
    <w:rsid w:val="00A14481"/>
    <w:rsid w:val="00A22359"/>
    <w:rsid w:val="00A22776"/>
    <w:rsid w:val="00A23C14"/>
    <w:rsid w:val="00A24699"/>
    <w:rsid w:val="00A26479"/>
    <w:rsid w:val="00A26A61"/>
    <w:rsid w:val="00A30764"/>
    <w:rsid w:val="00A30A00"/>
    <w:rsid w:val="00A31E77"/>
    <w:rsid w:val="00A31F08"/>
    <w:rsid w:val="00A357C9"/>
    <w:rsid w:val="00A3589A"/>
    <w:rsid w:val="00A363C6"/>
    <w:rsid w:val="00A373E1"/>
    <w:rsid w:val="00A37CB5"/>
    <w:rsid w:val="00A40130"/>
    <w:rsid w:val="00A40289"/>
    <w:rsid w:val="00A4649F"/>
    <w:rsid w:val="00A50711"/>
    <w:rsid w:val="00A50A9E"/>
    <w:rsid w:val="00A50F6F"/>
    <w:rsid w:val="00A5189B"/>
    <w:rsid w:val="00A55A06"/>
    <w:rsid w:val="00A62076"/>
    <w:rsid w:val="00A62210"/>
    <w:rsid w:val="00A62662"/>
    <w:rsid w:val="00A62A18"/>
    <w:rsid w:val="00A646E6"/>
    <w:rsid w:val="00A751B2"/>
    <w:rsid w:val="00A76239"/>
    <w:rsid w:val="00A771A3"/>
    <w:rsid w:val="00A774C8"/>
    <w:rsid w:val="00A80AD5"/>
    <w:rsid w:val="00A81755"/>
    <w:rsid w:val="00A82280"/>
    <w:rsid w:val="00A8326F"/>
    <w:rsid w:val="00A87DB4"/>
    <w:rsid w:val="00A9021E"/>
    <w:rsid w:val="00A9044C"/>
    <w:rsid w:val="00A90B0E"/>
    <w:rsid w:val="00A90D27"/>
    <w:rsid w:val="00A91451"/>
    <w:rsid w:val="00A91A9D"/>
    <w:rsid w:val="00A9335B"/>
    <w:rsid w:val="00A93484"/>
    <w:rsid w:val="00A94E36"/>
    <w:rsid w:val="00A96893"/>
    <w:rsid w:val="00AA0BDE"/>
    <w:rsid w:val="00AA1232"/>
    <w:rsid w:val="00AA308B"/>
    <w:rsid w:val="00AA4747"/>
    <w:rsid w:val="00AA48F0"/>
    <w:rsid w:val="00AA4D14"/>
    <w:rsid w:val="00AA4E48"/>
    <w:rsid w:val="00AA5668"/>
    <w:rsid w:val="00AB2155"/>
    <w:rsid w:val="00AB2D2E"/>
    <w:rsid w:val="00AB33D1"/>
    <w:rsid w:val="00AB5371"/>
    <w:rsid w:val="00AB57C2"/>
    <w:rsid w:val="00AB6517"/>
    <w:rsid w:val="00AC0B07"/>
    <w:rsid w:val="00AC0E8F"/>
    <w:rsid w:val="00AC3000"/>
    <w:rsid w:val="00AC3035"/>
    <w:rsid w:val="00AC4099"/>
    <w:rsid w:val="00AC4C88"/>
    <w:rsid w:val="00AC502A"/>
    <w:rsid w:val="00AC54DB"/>
    <w:rsid w:val="00AC5695"/>
    <w:rsid w:val="00AC7BBC"/>
    <w:rsid w:val="00AD1CCE"/>
    <w:rsid w:val="00AD2857"/>
    <w:rsid w:val="00AD6CA0"/>
    <w:rsid w:val="00AD7A55"/>
    <w:rsid w:val="00AD7D29"/>
    <w:rsid w:val="00AE36D6"/>
    <w:rsid w:val="00AE4BDF"/>
    <w:rsid w:val="00AE5736"/>
    <w:rsid w:val="00AF0199"/>
    <w:rsid w:val="00AF271E"/>
    <w:rsid w:val="00AF309D"/>
    <w:rsid w:val="00AF5341"/>
    <w:rsid w:val="00AF5919"/>
    <w:rsid w:val="00AF5B3C"/>
    <w:rsid w:val="00AF7CE6"/>
    <w:rsid w:val="00B0101C"/>
    <w:rsid w:val="00B03C8D"/>
    <w:rsid w:val="00B04062"/>
    <w:rsid w:val="00B043AE"/>
    <w:rsid w:val="00B11926"/>
    <w:rsid w:val="00B13266"/>
    <w:rsid w:val="00B152C6"/>
    <w:rsid w:val="00B20D1B"/>
    <w:rsid w:val="00B21601"/>
    <w:rsid w:val="00B21E29"/>
    <w:rsid w:val="00B22C8E"/>
    <w:rsid w:val="00B23C8A"/>
    <w:rsid w:val="00B25B53"/>
    <w:rsid w:val="00B25FA9"/>
    <w:rsid w:val="00B27679"/>
    <w:rsid w:val="00B317B9"/>
    <w:rsid w:val="00B40DD4"/>
    <w:rsid w:val="00B41EF0"/>
    <w:rsid w:val="00B452EA"/>
    <w:rsid w:val="00B46766"/>
    <w:rsid w:val="00B46C9A"/>
    <w:rsid w:val="00B542FC"/>
    <w:rsid w:val="00B62018"/>
    <w:rsid w:val="00B70352"/>
    <w:rsid w:val="00B7049B"/>
    <w:rsid w:val="00B729E5"/>
    <w:rsid w:val="00B77E27"/>
    <w:rsid w:val="00B80010"/>
    <w:rsid w:val="00B839CF"/>
    <w:rsid w:val="00B83EB9"/>
    <w:rsid w:val="00B8505E"/>
    <w:rsid w:val="00B852D6"/>
    <w:rsid w:val="00B854B0"/>
    <w:rsid w:val="00B85CD0"/>
    <w:rsid w:val="00B86B41"/>
    <w:rsid w:val="00B87329"/>
    <w:rsid w:val="00B87381"/>
    <w:rsid w:val="00B87F5D"/>
    <w:rsid w:val="00B903B8"/>
    <w:rsid w:val="00B91150"/>
    <w:rsid w:val="00B9133C"/>
    <w:rsid w:val="00B935F9"/>
    <w:rsid w:val="00B94150"/>
    <w:rsid w:val="00B96CF7"/>
    <w:rsid w:val="00B97029"/>
    <w:rsid w:val="00BA0845"/>
    <w:rsid w:val="00BA0E11"/>
    <w:rsid w:val="00BA1C97"/>
    <w:rsid w:val="00BA2497"/>
    <w:rsid w:val="00BA3014"/>
    <w:rsid w:val="00BA7694"/>
    <w:rsid w:val="00BB1808"/>
    <w:rsid w:val="00BB22DF"/>
    <w:rsid w:val="00BB26EE"/>
    <w:rsid w:val="00BB4716"/>
    <w:rsid w:val="00BB5A7D"/>
    <w:rsid w:val="00BC030B"/>
    <w:rsid w:val="00BC0A59"/>
    <w:rsid w:val="00BC1641"/>
    <w:rsid w:val="00BC513C"/>
    <w:rsid w:val="00BC5F0F"/>
    <w:rsid w:val="00BC5FEF"/>
    <w:rsid w:val="00BD3940"/>
    <w:rsid w:val="00BD5A43"/>
    <w:rsid w:val="00BE1217"/>
    <w:rsid w:val="00BE24A2"/>
    <w:rsid w:val="00BE31DE"/>
    <w:rsid w:val="00BE6E8F"/>
    <w:rsid w:val="00BF0541"/>
    <w:rsid w:val="00BF2151"/>
    <w:rsid w:val="00BF34C8"/>
    <w:rsid w:val="00BF3504"/>
    <w:rsid w:val="00C027D0"/>
    <w:rsid w:val="00C030AC"/>
    <w:rsid w:val="00C06034"/>
    <w:rsid w:val="00C072FB"/>
    <w:rsid w:val="00C137D4"/>
    <w:rsid w:val="00C14EFA"/>
    <w:rsid w:val="00C20F08"/>
    <w:rsid w:val="00C21AA9"/>
    <w:rsid w:val="00C240D0"/>
    <w:rsid w:val="00C24F07"/>
    <w:rsid w:val="00C25297"/>
    <w:rsid w:val="00C25CA4"/>
    <w:rsid w:val="00C300BF"/>
    <w:rsid w:val="00C350C2"/>
    <w:rsid w:val="00C36DEC"/>
    <w:rsid w:val="00C378BA"/>
    <w:rsid w:val="00C40046"/>
    <w:rsid w:val="00C4041F"/>
    <w:rsid w:val="00C406BA"/>
    <w:rsid w:val="00C4228E"/>
    <w:rsid w:val="00C456C3"/>
    <w:rsid w:val="00C45812"/>
    <w:rsid w:val="00C475E2"/>
    <w:rsid w:val="00C515E4"/>
    <w:rsid w:val="00C538B6"/>
    <w:rsid w:val="00C604B8"/>
    <w:rsid w:val="00C60717"/>
    <w:rsid w:val="00C60CFD"/>
    <w:rsid w:val="00C619A4"/>
    <w:rsid w:val="00C61B33"/>
    <w:rsid w:val="00C61CC3"/>
    <w:rsid w:val="00C64E5E"/>
    <w:rsid w:val="00C65CE4"/>
    <w:rsid w:val="00C67496"/>
    <w:rsid w:val="00C71D46"/>
    <w:rsid w:val="00C725E4"/>
    <w:rsid w:val="00C73465"/>
    <w:rsid w:val="00C73F91"/>
    <w:rsid w:val="00C75109"/>
    <w:rsid w:val="00C75573"/>
    <w:rsid w:val="00C7614D"/>
    <w:rsid w:val="00C76EBE"/>
    <w:rsid w:val="00C77F2F"/>
    <w:rsid w:val="00C811A6"/>
    <w:rsid w:val="00C82500"/>
    <w:rsid w:val="00C83804"/>
    <w:rsid w:val="00C83D7A"/>
    <w:rsid w:val="00C854B4"/>
    <w:rsid w:val="00C87212"/>
    <w:rsid w:val="00C905D8"/>
    <w:rsid w:val="00C9252E"/>
    <w:rsid w:val="00C93F6D"/>
    <w:rsid w:val="00C94641"/>
    <w:rsid w:val="00C95805"/>
    <w:rsid w:val="00C95E8E"/>
    <w:rsid w:val="00CA07C5"/>
    <w:rsid w:val="00CA1AA6"/>
    <w:rsid w:val="00CA2499"/>
    <w:rsid w:val="00CA3DD5"/>
    <w:rsid w:val="00CB45BD"/>
    <w:rsid w:val="00CB5C0E"/>
    <w:rsid w:val="00CB6366"/>
    <w:rsid w:val="00CB6ED2"/>
    <w:rsid w:val="00CC1699"/>
    <w:rsid w:val="00CC2B7B"/>
    <w:rsid w:val="00CC307B"/>
    <w:rsid w:val="00CC3201"/>
    <w:rsid w:val="00CC4106"/>
    <w:rsid w:val="00CC5A35"/>
    <w:rsid w:val="00CD086D"/>
    <w:rsid w:val="00CD3CA5"/>
    <w:rsid w:val="00CD5A59"/>
    <w:rsid w:val="00CD7A96"/>
    <w:rsid w:val="00CD7F11"/>
    <w:rsid w:val="00CE41B6"/>
    <w:rsid w:val="00CE436B"/>
    <w:rsid w:val="00CE4FB4"/>
    <w:rsid w:val="00CE5A99"/>
    <w:rsid w:val="00CF0666"/>
    <w:rsid w:val="00CF10CD"/>
    <w:rsid w:val="00CF11A2"/>
    <w:rsid w:val="00CF5D48"/>
    <w:rsid w:val="00CF5EC2"/>
    <w:rsid w:val="00CF7541"/>
    <w:rsid w:val="00D00B32"/>
    <w:rsid w:val="00D06149"/>
    <w:rsid w:val="00D0798D"/>
    <w:rsid w:val="00D102A3"/>
    <w:rsid w:val="00D110F9"/>
    <w:rsid w:val="00D11820"/>
    <w:rsid w:val="00D14CEF"/>
    <w:rsid w:val="00D20281"/>
    <w:rsid w:val="00D215F2"/>
    <w:rsid w:val="00D22A27"/>
    <w:rsid w:val="00D2381C"/>
    <w:rsid w:val="00D244DE"/>
    <w:rsid w:val="00D25EA0"/>
    <w:rsid w:val="00D26E4E"/>
    <w:rsid w:val="00D27F93"/>
    <w:rsid w:val="00D31D87"/>
    <w:rsid w:val="00D32850"/>
    <w:rsid w:val="00D32DF8"/>
    <w:rsid w:val="00D338AB"/>
    <w:rsid w:val="00D33B58"/>
    <w:rsid w:val="00D33F3F"/>
    <w:rsid w:val="00D36CE9"/>
    <w:rsid w:val="00D40546"/>
    <w:rsid w:val="00D40591"/>
    <w:rsid w:val="00D43493"/>
    <w:rsid w:val="00D436FC"/>
    <w:rsid w:val="00D44E39"/>
    <w:rsid w:val="00D45DF4"/>
    <w:rsid w:val="00D477BD"/>
    <w:rsid w:val="00D47D84"/>
    <w:rsid w:val="00D53EFD"/>
    <w:rsid w:val="00D5502B"/>
    <w:rsid w:val="00D55C34"/>
    <w:rsid w:val="00D57924"/>
    <w:rsid w:val="00D60AC5"/>
    <w:rsid w:val="00D61FE8"/>
    <w:rsid w:val="00D6248C"/>
    <w:rsid w:val="00D66DE4"/>
    <w:rsid w:val="00D66E59"/>
    <w:rsid w:val="00D70681"/>
    <w:rsid w:val="00D70B1D"/>
    <w:rsid w:val="00D72483"/>
    <w:rsid w:val="00D73456"/>
    <w:rsid w:val="00D76142"/>
    <w:rsid w:val="00D77172"/>
    <w:rsid w:val="00D77816"/>
    <w:rsid w:val="00D77E77"/>
    <w:rsid w:val="00D81F36"/>
    <w:rsid w:val="00D84EA8"/>
    <w:rsid w:val="00D868C0"/>
    <w:rsid w:val="00D908EF"/>
    <w:rsid w:val="00D90F59"/>
    <w:rsid w:val="00D94CCA"/>
    <w:rsid w:val="00DA0267"/>
    <w:rsid w:val="00DA207B"/>
    <w:rsid w:val="00DA27CC"/>
    <w:rsid w:val="00DA5C08"/>
    <w:rsid w:val="00DB2604"/>
    <w:rsid w:val="00DB38AD"/>
    <w:rsid w:val="00DB47C1"/>
    <w:rsid w:val="00DB518E"/>
    <w:rsid w:val="00DB51A4"/>
    <w:rsid w:val="00DB701E"/>
    <w:rsid w:val="00DB72FA"/>
    <w:rsid w:val="00DB7F8E"/>
    <w:rsid w:val="00DC1332"/>
    <w:rsid w:val="00DC3A18"/>
    <w:rsid w:val="00DC4D17"/>
    <w:rsid w:val="00DC6FD8"/>
    <w:rsid w:val="00DD1150"/>
    <w:rsid w:val="00DD1CD7"/>
    <w:rsid w:val="00DD1FEB"/>
    <w:rsid w:val="00DD418E"/>
    <w:rsid w:val="00DD4AE8"/>
    <w:rsid w:val="00DD7623"/>
    <w:rsid w:val="00DD7EF6"/>
    <w:rsid w:val="00DE16A9"/>
    <w:rsid w:val="00DE1727"/>
    <w:rsid w:val="00DE1CCA"/>
    <w:rsid w:val="00DF007B"/>
    <w:rsid w:val="00DF050F"/>
    <w:rsid w:val="00DF1D93"/>
    <w:rsid w:val="00DF1E89"/>
    <w:rsid w:val="00DF25DC"/>
    <w:rsid w:val="00DF42F6"/>
    <w:rsid w:val="00E0094A"/>
    <w:rsid w:val="00E027FE"/>
    <w:rsid w:val="00E07E1F"/>
    <w:rsid w:val="00E121A0"/>
    <w:rsid w:val="00E13F0D"/>
    <w:rsid w:val="00E14DB9"/>
    <w:rsid w:val="00E1595B"/>
    <w:rsid w:val="00E16034"/>
    <w:rsid w:val="00E16641"/>
    <w:rsid w:val="00E16FA6"/>
    <w:rsid w:val="00E2358F"/>
    <w:rsid w:val="00E25C65"/>
    <w:rsid w:val="00E30AEF"/>
    <w:rsid w:val="00E32C8A"/>
    <w:rsid w:val="00E3363D"/>
    <w:rsid w:val="00E35C06"/>
    <w:rsid w:val="00E36193"/>
    <w:rsid w:val="00E37EDA"/>
    <w:rsid w:val="00E41DFE"/>
    <w:rsid w:val="00E41F9A"/>
    <w:rsid w:val="00E41FB4"/>
    <w:rsid w:val="00E4265D"/>
    <w:rsid w:val="00E434AE"/>
    <w:rsid w:val="00E4448C"/>
    <w:rsid w:val="00E4500E"/>
    <w:rsid w:val="00E512C2"/>
    <w:rsid w:val="00E52E77"/>
    <w:rsid w:val="00E55F36"/>
    <w:rsid w:val="00E604C5"/>
    <w:rsid w:val="00E62A07"/>
    <w:rsid w:val="00E6455B"/>
    <w:rsid w:val="00E64F20"/>
    <w:rsid w:val="00E66987"/>
    <w:rsid w:val="00E703D2"/>
    <w:rsid w:val="00E72CBF"/>
    <w:rsid w:val="00E733E4"/>
    <w:rsid w:val="00E7368B"/>
    <w:rsid w:val="00E771E3"/>
    <w:rsid w:val="00E777BC"/>
    <w:rsid w:val="00E804A9"/>
    <w:rsid w:val="00E83F15"/>
    <w:rsid w:val="00E84381"/>
    <w:rsid w:val="00E8438F"/>
    <w:rsid w:val="00E844BF"/>
    <w:rsid w:val="00E8633C"/>
    <w:rsid w:val="00E87BEC"/>
    <w:rsid w:val="00E95D16"/>
    <w:rsid w:val="00E95D71"/>
    <w:rsid w:val="00E974C2"/>
    <w:rsid w:val="00E97A8C"/>
    <w:rsid w:val="00EA1C22"/>
    <w:rsid w:val="00EA2167"/>
    <w:rsid w:val="00EA22B7"/>
    <w:rsid w:val="00EA2DB8"/>
    <w:rsid w:val="00EA30A9"/>
    <w:rsid w:val="00EA4F2D"/>
    <w:rsid w:val="00EA4FE8"/>
    <w:rsid w:val="00EA587E"/>
    <w:rsid w:val="00EA7F7F"/>
    <w:rsid w:val="00EB0B4E"/>
    <w:rsid w:val="00EB7442"/>
    <w:rsid w:val="00EB7BF1"/>
    <w:rsid w:val="00EC1228"/>
    <w:rsid w:val="00EC2866"/>
    <w:rsid w:val="00EC3DAC"/>
    <w:rsid w:val="00EC4C08"/>
    <w:rsid w:val="00EC6F13"/>
    <w:rsid w:val="00ED04C1"/>
    <w:rsid w:val="00ED29DD"/>
    <w:rsid w:val="00ED3728"/>
    <w:rsid w:val="00ED424C"/>
    <w:rsid w:val="00EE0225"/>
    <w:rsid w:val="00EE10B2"/>
    <w:rsid w:val="00EE14EF"/>
    <w:rsid w:val="00EE39AA"/>
    <w:rsid w:val="00EE4982"/>
    <w:rsid w:val="00EE5D68"/>
    <w:rsid w:val="00EE5FF2"/>
    <w:rsid w:val="00EE661F"/>
    <w:rsid w:val="00EE6916"/>
    <w:rsid w:val="00EE7F6B"/>
    <w:rsid w:val="00EF1AFD"/>
    <w:rsid w:val="00EF212A"/>
    <w:rsid w:val="00EF26DF"/>
    <w:rsid w:val="00EF3779"/>
    <w:rsid w:val="00EF4950"/>
    <w:rsid w:val="00EF5D82"/>
    <w:rsid w:val="00EF69CB"/>
    <w:rsid w:val="00EF7A3A"/>
    <w:rsid w:val="00F0059F"/>
    <w:rsid w:val="00F02D59"/>
    <w:rsid w:val="00F02EE1"/>
    <w:rsid w:val="00F03A95"/>
    <w:rsid w:val="00F06B60"/>
    <w:rsid w:val="00F07138"/>
    <w:rsid w:val="00F07856"/>
    <w:rsid w:val="00F14DD4"/>
    <w:rsid w:val="00F167B6"/>
    <w:rsid w:val="00F16F83"/>
    <w:rsid w:val="00F2029E"/>
    <w:rsid w:val="00F22417"/>
    <w:rsid w:val="00F229B0"/>
    <w:rsid w:val="00F23B9F"/>
    <w:rsid w:val="00F23E35"/>
    <w:rsid w:val="00F23F41"/>
    <w:rsid w:val="00F32E63"/>
    <w:rsid w:val="00F332E8"/>
    <w:rsid w:val="00F33671"/>
    <w:rsid w:val="00F417B6"/>
    <w:rsid w:val="00F439EA"/>
    <w:rsid w:val="00F51087"/>
    <w:rsid w:val="00F51602"/>
    <w:rsid w:val="00F519A7"/>
    <w:rsid w:val="00F537CE"/>
    <w:rsid w:val="00F5719D"/>
    <w:rsid w:val="00F57B4B"/>
    <w:rsid w:val="00F605E7"/>
    <w:rsid w:val="00F6167B"/>
    <w:rsid w:val="00F66145"/>
    <w:rsid w:val="00F67869"/>
    <w:rsid w:val="00F71397"/>
    <w:rsid w:val="00F757AB"/>
    <w:rsid w:val="00F75C8B"/>
    <w:rsid w:val="00F77B76"/>
    <w:rsid w:val="00F82562"/>
    <w:rsid w:val="00F8372F"/>
    <w:rsid w:val="00F9290F"/>
    <w:rsid w:val="00F936BA"/>
    <w:rsid w:val="00F939A7"/>
    <w:rsid w:val="00F9684C"/>
    <w:rsid w:val="00F96D32"/>
    <w:rsid w:val="00F96E78"/>
    <w:rsid w:val="00FA00C3"/>
    <w:rsid w:val="00FA0D31"/>
    <w:rsid w:val="00FA1E6E"/>
    <w:rsid w:val="00FA2232"/>
    <w:rsid w:val="00FA4EC3"/>
    <w:rsid w:val="00FB2E91"/>
    <w:rsid w:val="00FB30C4"/>
    <w:rsid w:val="00FB34F6"/>
    <w:rsid w:val="00FB3CCD"/>
    <w:rsid w:val="00FB48C8"/>
    <w:rsid w:val="00FB49DC"/>
    <w:rsid w:val="00FB5FDB"/>
    <w:rsid w:val="00FC0463"/>
    <w:rsid w:val="00FC18AF"/>
    <w:rsid w:val="00FC2198"/>
    <w:rsid w:val="00FC3C84"/>
    <w:rsid w:val="00FC3EF3"/>
    <w:rsid w:val="00FD0700"/>
    <w:rsid w:val="00FD1186"/>
    <w:rsid w:val="00FD2497"/>
    <w:rsid w:val="00FD329F"/>
    <w:rsid w:val="00FD41B8"/>
    <w:rsid w:val="00FD56DC"/>
    <w:rsid w:val="00FD57FB"/>
    <w:rsid w:val="00FD6438"/>
    <w:rsid w:val="00FE099F"/>
    <w:rsid w:val="00FE2086"/>
    <w:rsid w:val="00FE34C0"/>
    <w:rsid w:val="00FE5190"/>
    <w:rsid w:val="00FE5479"/>
    <w:rsid w:val="00FF3459"/>
    <w:rsid w:val="00FF3AE3"/>
    <w:rsid w:val="00FF4ABE"/>
    <w:rsid w:val="00FF59CD"/>
    <w:rsid w:val="00FF6254"/>
    <w:rsid w:val="00FF674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0138412"/>
  <w15:docId w15:val="{6DDECF26-673D-41ED-BA50-819C2FDA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PGothic"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02F"/>
    <w:rPr>
      <w:rFonts w:ascii="Arial" w:hAnsi="Arial"/>
      <w:sz w:val="16"/>
      <w:szCs w:val="24"/>
      <w:lang w:val="en-US" w:eastAsia="ja-JP"/>
    </w:rPr>
  </w:style>
  <w:style w:type="paragraph" w:styleId="Heading1">
    <w:name w:val="heading 1"/>
    <w:basedOn w:val="Normal"/>
    <w:next w:val="Normal"/>
    <w:link w:val="Heading1Char"/>
    <w:uiPriority w:val="9"/>
    <w:qFormat/>
    <w:rsid w:val="00312BCF"/>
    <w:pPr>
      <w:keepNext/>
      <w:keepLines/>
      <w:spacing w:before="360" w:after="120"/>
      <w:outlineLvl w:val="0"/>
    </w:pPr>
    <w:rPr>
      <w:rFonts w:ascii="Calibri" w:hAnsi="Calibri"/>
      <w:b/>
      <w:bCs/>
      <w:color w:val="677020"/>
      <w:sz w:val="32"/>
      <w:szCs w:val="32"/>
    </w:rPr>
  </w:style>
  <w:style w:type="paragraph" w:styleId="Heading2">
    <w:name w:val="heading 2"/>
    <w:basedOn w:val="Normal"/>
    <w:next w:val="Normal"/>
    <w:link w:val="Heading2Char"/>
    <w:uiPriority w:val="9"/>
    <w:unhideWhenUsed/>
    <w:qFormat/>
    <w:rsid w:val="000F2CAE"/>
    <w:pPr>
      <w:keepNext/>
      <w:keepLines/>
      <w:spacing w:before="200"/>
      <w:outlineLvl w:val="1"/>
    </w:pPr>
    <w:rPr>
      <w:rFonts w:ascii="Calibri" w:hAnsi="Calibri"/>
      <w:b/>
      <w:bCs/>
      <w:color w:val="929F2D"/>
      <w:sz w:val="26"/>
      <w:szCs w:val="26"/>
    </w:rPr>
  </w:style>
  <w:style w:type="paragraph" w:styleId="Heading3">
    <w:name w:val="heading 3"/>
    <w:basedOn w:val="Normal"/>
    <w:next w:val="Normal"/>
    <w:link w:val="Heading3Char"/>
    <w:uiPriority w:val="9"/>
    <w:unhideWhenUsed/>
    <w:qFormat/>
    <w:rsid w:val="00C67496"/>
    <w:pPr>
      <w:keepNext/>
      <w:keepLines/>
      <w:spacing w:before="200"/>
      <w:outlineLvl w:val="2"/>
    </w:pPr>
    <w:rPr>
      <w:rFonts w:asciiTheme="majorHAnsi" w:eastAsiaTheme="majorEastAsia" w:hAnsiTheme="majorHAnsi" w:cstheme="majorBidi"/>
      <w:b/>
      <w:bCs/>
      <w:color w:val="929F2D" w:themeColor="accent1"/>
    </w:rPr>
  </w:style>
  <w:style w:type="paragraph" w:styleId="Heading4">
    <w:name w:val="heading 4"/>
    <w:basedOn w:val="Normal"/>
    <w:next w:val="Normal"/>
    <w:link w:val="Heading4Char"/>
    <w:uiPriority w:val="9"/>
    <w:semiHidden/>
    <w:unhideWhenUsed/>
    <w:qFormat/>
    <w:rsid w:val="00C21AA9"/>
    <w:pPr>
      <w:keepNext/>
      <w:keepLines/>
      <w:spacing w:before="200"/>
      <w:outlineLvl w:val="3"/>
    </w:pPr>
    <w:rPr>
      <w:rFonts w:asciiTheme="majorHAnsi" w:eastAsiaTheme="majorEastAsia" w:hAnsiTheme="majorHAnsi" w:cstheme="majorBidi"/>
      <w:b/>
      <w:bCs/>
      <w:i/>
      <w:iCs/>
      <w:color w:val="929F2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C32"/>
    <w:pPr>
      <w:tabs>
        <w:tab w:val="center" w:pos="4320"/>
        <w:tab w:val="right" w:pos="8640"/>
      </w:tabs>
    </w:pPr>
  </w:style>
  <w:style w:type="character" w:customStyle="1" w:styleId="HeaderChar">
    <w:name w:val="Header Char"/>
    <w:link w:val="Header"/>
    <w:uiPriority w:val="99"/>
    <w:rsid w:val="00283C32"/>
    <w:rPr>
      <w:rFonts w:ascii="Arial" w:hAnsi="Arial"/>
      <w:sz w:val="16"/>
    </w:rPr>
  </w:style>
  <w:style w:type="paragraph" w:styleId="Footer">
    <w:name w:val="footer"/>
    <w:basedOn w:val="Normal"/>
    <w:link w:val="FooterChar"/>
    <w:uiPriority w:val="99"/>
    <w:unhideWhenUsed/>
    <w:rsid w:val="00283C32"/>
    <w:pPr>
      <w:tabs>
        <w:tab w:val="center" w:pos="4320"/>
        <w:tab w:val="right" w:pos="8640"/>
      </w:tabs>
    </w:pPr>
  </w:style>
  <w:style w:type="character" w:customStyle="1" w:styleId="FooterChar">
    <w:name w:val="Footer Char"/>
    <w:link w:val="Footer"/>
    <w:uiPriority w:val="99"/>
    <w:rsid w:val="00283C32"/>
    <w:rPr>
      <w:rFonts w:ascii="Arial" w:hAnsi="Arial"/>
      <w:sz w:val="16"/>
    </w:rPr>
  </w:style>
  <w:style w:type="paragraph" w:styleId="BalloonText">
    <w:name w:val="Balloon Text"/>
    <w:basedOn w:val="Normal"/>
    <w:link w:val="BalloonTextChar"/>
    <w:uiPriority w:val="99"/>
    <w:semiHidden/>
    <w:unhideWhenUsed/>
    <w:rsid w:val="00283C32"/>
    <w:rPr>
      <w:rFonts w:ascii="Lucida Grande" w:hAnsi="Lucida Grande" w:cs="Lucida Grande"/>
      <w:sz w:val="18"/>
      <w:szCs w:val="18"/>
    </w:rPr>
  </w:style>
  <w:style w:type="character" w:customStyle="1" w:styleId="BalloonTextChar">
    <w:name w:val="Balloon Text Char"/>
    <w:link w:val="BalloonText"/>
    <w:uiPriority w:val="99"/>
    <w:semiHidden/>
    <w:rsid w:val="00283C32"/>
    <w:rPr>
      <w:rFonts w:ascii="Lucida Grande" w:hAnsi="Lucida Grande" w:cs="Lucida Grande"/>
      <w:sz w:val="18"/>
      <w:szCs w:val="18"/>
    </w:rPr>
  </w:style>
  <w:style w:type="paragraph" w:customStyle="1" w:styleId="BasicParagraph">
    <w:name w:val="[Basic Paragraph]"/>
    <w:basedOn w:val="Normal"/>
    <w:uiPriority w:val="99"/>
    <w:rsid w:val="00283C32"/>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character" w:customStyle="1" w:styleId="Heading1Char">
    <w:name w:val="Heading 1 Char"/>
    <w:link w:val="Heading1"/>
    <w:uiPriority w:val="9"/>
    <w:rsid w:val="00312BCF"/>
    <w:rPr>
      <w:b/>
      <w:bCs/>
      <w:color w:val="677020"/>
      <w:sz w:val="32"/>
      <w:szCs w:val="32"/>
      <w:lang w:val="en-US" w:eastAsia="ja-JP"/>
    </w:rPr>
  </w:style>
  <w:style w:type="character" w:customStyle="1" w:styleId="Heading2Char">
    <w:name w:val="Heading 2 Char"/>
    <w:link w:val="Heading2"/>
    <w:uiPriority w:val="9"/>
    <w:rsid w:val="000F2CAE"/>
    <w:rPr>
      <w:rFonts w:ascii="Calibri" w:eastAsia="MS PGothic" w:hAnsi="Calibri" w:cs="Times New Roman"/>
      <w:b/>
      <w:bCs/>
      <w:color w:val="929F2D"/>
      <w:sz w:val="26"/>
      <w:szCs w:val="26"/>
    </w:rPr>
  </w:style>
  <w:style w:type="character" w:styleId="PageNumber">
    <w:name w:val="page number"/>
    <w:uiPriority w:val="99"/>
    <w:semiHidden/>
    <w:unhideWhenUsed/>
    <w:rsid w:val="00A80AD5"/>
  </w:style>
  <w:style w:type="paragraph" w:customStyle="1" w:styleId="CHPInviteTitleWhite">
    <w:name w:val="CHP Invite Title White"/>
    <w:basedOn w:val="Heading2"/>
    <w:rsid w:val="00744B4D"/>
    <w:pPr>
      <w:jc w:val="center"/>
    </w:pPr>
    <w:rPr>
      <w:b w:val="0"/>
      <w:color w:val="FFFFFF" w:themeColor="background1"/>
      <w:sz w:val="60"/>
      <w:szCs w:val="30"/>
    </w:rPr>
  </w:style>
  <w:style w:type="paragraph" w:customStyle="1" w:styleId="CHPHeader1">
    <w:name w:val="CHP Header 1"/>
    <w:basedOn w:val="Heading1"/>
    <w:qFormat/>
    <w:rsid w:val="00625EED"/>
    <w:rPr>
      <w:rFonts w:cs="Calibri"/>
      <w:b w:val="0"/>
      <w:color w:val="929F2D" w:themeColor="accent1"/>
      <w:sz w:val="56"/>
      <w:szCs w:val="56"/>
    </w:rPr>
  </w:style>
  <w:style w:type="paragraph" w:customStyle="1" w:styleId="CHPtextGreen">
    <w:name w:val="CHP text Green"/>
    <w:basedOn w:val="Normal"/>
    <w:qFormat/>
    <w:rsid w:val="00625EED"/>
    <w:pPr>
      <w:widowControl w:val="0"/>
      <w:autoSpaceDE w:val="0"/>
      <w:autoSpaceDN w:val="0"/>
      <w:adjustRightInd w:val="0"/>
    </w:pPr>
    <w:rPr>
      <w:rFonts w:ascii="Calibri" w:hAnsi="Calibri"/>
      <w:color w:val="929F2D" w:themeColor="accent1"/>
      <w:sz w:val="24"/>
      <w:lang w:eastAsia="en-US"/>
    </w:rPr>
  </w:style>
  <w:style w:type="paragraph" w:customStyle="1" w:styleId="CHPText">
    <w:name w:val="CHP Text"/>
    <w:basedOn w:val="Normal"/>
    <w:qFormat/>
    <w:rsid w:val="00C378BA"/>
    <w:rPr>
      <w:rFonts w:ascii="Calibri" w:hAnsi="Calibri"/>
      <w:color w:val="000000" w:themeColor="text1"/>
      <w:sz w:val="22"/>
      <w:szCs w:val="20"/>
    </w:rPr>
  </w:style>
  <w:style w:type="paragraph" w:customStyle="1" w:styleId="CHPPullQuoteGreen">
    <w:name w:val="CHP Pull Quote Green"/>
    <w:basedOn w:val="CHPText"/>
    <w:next w:val="CHPText"/>
    <w:qFormat/>
    <w:rsid w:val="00473976"/>
    <w:rPr>
      <w:color w:val="929F2D" w:themeColor="accent1"/>
      <w:sz w:val="34"/>
    </w:rPr>
  </w:style>
  <w:style w:type="paragraph" w:customStyle="1" w:styleId="CHPTitlePageBlue">
    <w:name w:val="CHP TitlePage Blue"/>
    <w:basedOn w:val="CHPInviteTitleWhite"/>
    <w:qFormat/>
    <w:rsid w:val="00563452"/>
    <w:rPr>
      <w:color w:val="6A83A9" w:themeColor="accent2"/>
    </w:rPr>
  </w:style>
  <w:style w:type="paragraph" w:customStyle="1" w:styleId="CHPTextHeaderBlue">
    <w:name w:val="CHP TextHeader Blue"/>
    <w:qFormat/>
    <w:rsid w:val="00CA07C5"/>
    <w:rPr>
      <w:rFonts w:cs="Calibri"/>
      <w:color w:val="6A83A9" w:themeColor="accent2"/>
      <w:sz w:val="56"/>
      <w:szCs w:val="56"/>
      <w:lang w:val="en-GB"/>
    </w:rPr>
  </w:style>
  <w:style w:type="paragraph" w:customStyle="1" w:styleId="CHPLetterQuoteBlue">
    <w:name w:val="CHP LetterQuote Blue"/>
    <w:basedOn w:val="CHPtextGreen"/>
    <w:rsid w:val="00D66DE4"/>
    <w:rPr>
      <w:color w:val="6A83A9" w:themeColor="accent2"/>
    </w:rPr>
  </w:style>
  <w:style w:type="paragraph" w:customStyle="1" w:styleId="CHPSubheader1">
    <w:name w:val="CHP Subheader 1"/>
    <w:basedOn w:val="CHPPullQuoteGreen"/>
    <w:qFormat/>
    <w:rsid w:val="00DB38AD"/>
    <w:rPr>
      <w:b/>
      <w:sz w:val="24"/>
    </w:rPr>
  </w:style>
  <w:style w:type="paragraph" w:customStyle="1" w:styleId="CHPSubhead2">
    <w:name w:val="CHP Subhead2"/>
    <w:basedOn w:val="CHPSubheader1"/>
    <w:qFormat/>
    <w:rsid w:val="00DB38AD"/>
  </w:style>
  <w:style w:type="paragraph" w:customStyle="1" w:styleId="CHPBulletText">
    <w:name w:val="CHP Bullet Text"/>
    <w:basedOn w:val="CHPText"/>
    <w:next w:val="Normal"/>
    <w:qFormat/>
    <w:rsid w:val="00C71D46"/>
    <w:pPr>
      <w:numPr>
        <w:numId w:val="1"/>
      </w:numPr>
    </w:pPr>
  </w:style>
  <w:style w:type="table" w:styleId="TableGrid">
    <w:name w:val="Table Grid"/>
    <w:basedOn w:val="TableNormal"/>
    <w:uiPriority w:val="59"/>
    <w:rsid w:val="00917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PTableText">
    <w:name w:val="CHP Table Text"/>
    <w:basedOn w:val="CHPText"/>
    <w:qFormat/>
    <w:rsid w:val="00E434AE"/>
    <w:rPr>
      <w:sz w:val="20"/>
    </w:rPr>
  </w:style>
  <w:style w:type="paragraph" w:styleId="TOC1">
    <w:name w:val="toc 1"/>
    <w:basedOn w:val="Normal"/>
    <w:next w:val="Normal"/>
    <w:autoRedefine/>
    <w:uiPriority w:val="39"/>
    <w:unhideWhenUsed/>
    <w:rsid w:val="00C67496"/>
    <w:pPr>
      <w:spacing w:before="120"/>
    </w:pPr>
    <w:rPr>
      <w:rFonts w:asciiTheme="minorHAnsi" w:hAnsiTheme="minorHAnsi"/>
      <w:b/>
      <w:sz w:val="24"/>
    </w:rPr>
  </w:style>
  <w:style w:type="paragraph" w:styleId="TOC2">
    <w:name w:val="toc 2"/>
    <w:basedOn w:val="Normal"/>
    <w:next w:val="Normal"/>
    <w:autoRedefine/>
    <w:uiPriority w:val="39"/>
    <w:unhideWhenUsed/>
    <w:rsid w:val="00694866"/>
    <w:pPr>
      <w:tabs>
        <w:tab w:val="right" w:leader="dot" w:pos="7786"/>
      </w:tabs>
    </w:pPr>
    <w:rPr>
      <w:rFonts w:asciiTheme="minorHAnsi" w:hAnsiTheme="minorHAnsi"/>
      <w:noProof/>
      <w:sz w:val="22"/>
      <w:szCs w:val="22"/>
    </w:rPr>
  </w:style>
  <w:style w:type="paragraph" w:styleId="TOC3">
    <w:name w:val="toc 3"/>
    <w:basedOn w:val="Normal"/>
    <w:next w:val="Normal"/>
    <w:autoRedefine/>
    <w:uiPriority w:val="39"/>
    <w:unhideWhenUsed/>
    <w:rsid w:val="00694866"/>
    <w:pPr>
      <w:tabs>
        <w:tab w:val="right" w:leader="dot" w:pos="7786"/>
      </w:tabs>
    </w:pPr>
    <w:rPr>
      <w:rFonts w:asciiTheme="minorHAnsi" w:hAnsiTheme="minorHAnsi"/>
      <w:sz w:val="22"/>
      <w:szCs w:val="22"/>
    </w:rPr>
  </w:style>
  <w:style w:type="paragraph" w:styleId="TOC4">
    <w:name w:val="toc 4"/>
    <w:basedOn w:val="Normal"/>
    <w:next w:val="Normal"/>
    <w:autoRedefine/>
    <w:uiPriority w:val="39"/>
    <w:unhideWhenUsed/>
    <w:rsid w:val="00C67496"/>
    <w:pPr>
      <w:ind w:left="480"/>
    </w:pPr>
    <w:rPr>
      <w:rFonts w:asciiTheme="minorHAnsi" w:hAnsiTheme="minorHAnsi"/>
      <w:sz w:val="20"/>
      <w:szCs w:val="20"/>
    </w:rPr>
  </w:style>
  <w:style w:type="paragraph" w:styleId="TOC5">
    <w:name w:val="toc 5"/>
    <w:basedOn w:val="Normal"/>
    <w:next w:val="Normal"/>
    <w:autoRedefine/>
    <w:uiPriority w:val="39"/>
    <w:unhideWhenUsed/>
    <w:rsid w:val="00C67496"/>
    <w:pPr>
      <w:ind w:left="640"/>
    </w:pPr>
    <w:rPr>
      <w:rFonts w:asciiTheme="minorHAnsi" w:hAnsiTheme="minorHAnsi"/>
      <w:sz w:val="20"/>
      <w:szCs w:val="20"/>
    </w:rPr>
  </w:style>
  <w:style w:type="paragraph" w:styleId="TOC6">
    <w:name w:val="toc 6"/>
    <w:basedOn w:val="Normal"/>
    <w:next w:val="Normal"/>
    <w:autoRedefine/>
    <w:uiPriority w:val="39"/>
    <w:unhideWhenUsed/>
    <w:rsid w:val="00C67496"/>
    <w:pPr>
      <w:ind w:left="800"/>
    </w:pPr>
    <w:rPr>
      <w:rFonts w:asciiTheme="minorHAnsi" w:hAnsiTheme="minorHAnsi"/>
      <w:sz w:val="20"/>
      <w:szCs w:val="20"/>
    </w:rPr>
  </w:style>
  <w:style w:type="paragraph" w:styleId="TOC7">
    <w:name w:val="toc 7"/>
    <w:basedOn w:val="Normal"/>
    <w:next w:val="Normal"/>
    <w:autoRedefine/>
    <w:uiPriority w:val="39"/>
    <w:unhideWhenUsed/>
    <w:rsid w:val="00C67496"/>
    <w:pPr>
      <w:ind w:left="960"/>
    </w:pPr>
    <w:rPr>
      <w:rFonts w:asciiTheme="minorHAnsi" w:hAnsiTheme="minorHAnsi"/>
      <w:sz w:val="20"/>
      <w:szCs w:val="20"/>
    </w:rPr>
  </w:style>
  <w:style w:type="paragraph" w:styleId="TOC8">
    <w:name w:val="toc 8"/>
    <w:basedOn w:val="Normal"/>
    <w:next w:val="Normal"/>
    <w:autoRedefine/>
    <w:uiPriority w:val="39"/>
    <w:unhideWhenUsed/>
    <w:rsid w:val="00C67496"/>
    <w:pPr>
      <w:ind w:left="1120"/>
    </w:pPr>
    <w:rPr>
      <w:rFonts w:asciiTheme="minorHAnsi" w:hAnsiTheme="minorHAnsi"/>
      <w:sz w:val="20"/>
      <w:szCs w:val="20"/>
    </w:rPr>
  </w:style>
  <w:style w:type="paragraph" w:styleId="TOC9">
    <w:name w:val="toc 9"/>
    <w:basedOn w:val="Normal"/>
    <w:next w:val="Normal"/>
    <w:autoRedefine/>
    <w:uiPriority w:val="39"/>
    <w:unhideWhenUsed/>
    <w:rsid w:val="00C67496"/>
    <w:pPr>
      <w:ind w:left="1280"/>
    </w:pPr>
    <w:rPr>
      <w:rFonts w:asciiTheme="minorHAnsi" w:hAnsiTheme="minorHAnsi"/>
      <w:sz w:val="20"/>
      <w:szCs w:val="20"/>
    </w:rPr>
  </w:style>
  <w:style w:type="paragraph" w:styleId="TOCHeading">
    <w:name w:val="TOC Heading"/>
    <w:basedOn w:val="CHPHeader1"/>
    <w:next w:val="Normal"/>
    <w:uiPriority w:val="39"/>
    <w:unhideWhenUsed/>
    <w:qFormat/>
    <w:rsid w:val="00A020CC"/>
    <w:pPr>
      <w:spacing w:line="276" w:lineRule="auto"/>
      <w:outlineLvl w:val="9"/>
    </w:pPr>
    <w:rPr>
      <w:rFonts w:asciiTheme="majorHAnsi" w:eastAsiaTheme="majorEastAsia" w:hAnsiTheme="majorHAnsi" w:cstheme="majorBidi"/>
      <w:szCs w:val="28"/>
      <w:lang w:eastAsia="en-US"/>
    </w:rPr>
  </w:style>
  <w:style w:type="character" w:customStyle="1" w:styleId="Heading3Char">
    <w:name w:val="Heading 3 Char"/>
    <w:basedOn w:val="DefaultParagraphFont"/>
    <w:link w:val="Heading3"/>
    <w:uiPriority w:val="9"/>
    <w:rsid w:val="00C67496"/>
    <w:rPr>
      <w:rFonts w:asciiTheme="majorHAnsi" w:eastAsiaTheme="majorEastAsia" w:hAnsiTheme="majorHAnsi" w:cstheme="majorBidi"/>
      <w:b/>
      <w:bCs/>
      <w:color w:val="929F2D" w:themeColor="accent1"/>
      <w:sz w:val="16"/>
      <w:szCs w:val="24"/>
      <w:lang w:val="en-US" w:eastAsia="ja-JP"/>
    </w:rPr>
  </w:style>
  <w:style w:type="paragraph" w:customStyle="1" w:styleId="Style1">
    <w:name w:val="Style1"/>
    <w:basedOn w:val="TOC1"/>
    <w:qFormat/>
    <w:rsid w:val="00A020CC"/>
    <w:pPr>
      <w:tabs>
        <w:tab w:val="right" w:leader="dot" w:pos="7786"/>
      </w:tabs>
    </w:pPr>
    <w:rPr>
      <w:noProof/>
      <w:color w:val="929F2D" w:themeColor="accent1"/>
    </w:rPr>
  </w:style>
  <w:style w:type="paragraph" w:styleId="ListParagraph">
    <w:name w:val="List Paragraph"/>
    <w:basedOn w:val="Normal"/>
    <w:uiPriority w:val="34"/>
    <w:qFormat/>
    <w:rsid w:val="00617F65"/>
    <w:pPr>
      <w:spacing w:after="200" w:line="276" w:lineRule="auto"/>
      <w:ind w:left="720"/>
      <w:contextualSpacing/>
    </w:pPr>
    <w:rPr>
      <w:rFonts w:asciiTheme="minorHAnsi" w:eastAsiaTheme="minorHAnsi" w:hAnsiTheme="minorHAnsi" w:cstheme="minorBidi"/>
      <w:sz w:val="22"/>
      <w:szCs w:val="22"/>
      <w:lang w:val="en-AU" w:eastAsia="en-US"/>
    </w:rPr>
  </w:style>
  <w:style w:type="character" w:styleId="Hyperlink">
    <w:name w:val="Hyperlink"/>
    <w:basedOn w:val="DefaultParagraphFont"/>
    <w:uiPriority w:val="99"/>
    <w:unhideWhenUsed/>
    <w:rsid w:val="00560F02"/>
    <w:rPr>
      <w:color w:val="0000FF" w:themeColor="hyperlink"/>
      <w:u w:val="single"/>
    </w:rPr>
  </w:style>
  <w:style w:type="character" w:styleId="CommentReference">
    <w:name w:val="annotation reference"/>
    <w:basedOn w:val="DefaultParagraphFont"/>
    <w:uiPriority w:val="99"/>
    <w:semiHidden/>
    <w:unhideWhenUsed/>
    <w:rsid w:val="00A31F08"/>
    <w:rPr>
      <w:sz w:val="16"/>
      <w:szCs w:val="16"/>
    </w:rPr>
  </w:style>
  <w:style w:type="paragraph" w:styleId="CommentText">
    <w:name w:val="annotation text"/>
    <w:basedOn w:val="Normal"/>
    <w:link w:val="CommentTextChar"/>
    <w:uiPriority w:val="99"/>
    <w:unhideWhenUsed/>
    <w:rsid w:val="00A31F08"/>
    <w:rPr>
      <w:sz w:val="20"/>
      <w:szCs w:val="20"/>
    </w:rPr>
  </w:style>
  <w:style w:type="character" w:customStyle="1" w:styleId="CommentTextChar">
    <w:name w:val="Comment Text Char"/>
    <w:basedOn w:val="DefaultParagraphFont"/>
    <w:link w:val="CommentText"/>
    <w:uiPriority w:val="99"/>
    <w:rsid w:val="00A31F08"/>
    <w:rPr>
      <w:rFonts w:ascii="Arial" w:hAnsi="Arial"/>
      <w:lang w:val="en-US" w:eastAsia="ja-JP"/>
    </w:rPr>
  </w:style>
  <w:style w:type="paragraph" w:styleId="CommentSubject">
    <w:name w:val="annotation subject"/>
    <w:basedOn w:val="CommentText"/>
    <w:next w:val="CommentText"/>
    <w:link w:val="CommentSubjectChar"/>
    <w:uiPriority w:val="99"/>
    <w:semiHidden/>
    <w:unhideWhenUsed/>
    <w:rsid w:val="00A31F08"/>
    <w:rPr>
      <w:b/>
      <w:bCs/>
    </w:rPr>
  </w:style>
  <w:style w:type="character" w:customStyle="1" w:styleId="CommentSubjectChar">
    <w:name w:val="Comment Subject Char"/>
    <w:basedOn w:val="CommentTextChar"/>
    <w:link w:val="CommentSubject"/>
    <w:uiPriority w:val="99"/>
    <w:semiHidden/>
    <w:rsid w:val="00A31F08"/>
    <w:rPr>
      <w:rFonts w:ascii="Arial" w:hAnsi="Arial"/>
      <w:b/>
      <w:bCs/>
      <w:lang w:val="en-US" w:eastAsia="ja-JP"/>
    </w:rPr>
  </w:style>
  <w:style w:type="paragraph" w:customStyle="1" w:styleId="CAVTableColumnHead">
    <w:name w:val="CAV Table Column Head"/>
    <w:basedOn w:val="Normal"/>
    <w:uiPriority w:val="2"/>
    <w:qFormat/>
    <w:rsid w:val="00A9044C"/>
    <w:pPr>
      <w:spacing w:before="80" w:after="60"/>
    </w:pPr>
    <w:rPr>
      <w:rFonts w:ascii="Calibri" w:eastAsia="Times New Roman" w:hAnsi="Calibri" w:cs="Calibri-Bold"/>
      <w:b/>
      <w:bCs/>
      <w:color w:val="000000"/>
      <w:sz w:val="20"/>
      <w:szCs w:val="20"/>
      <w:lang w:val="en-AU" w:eastAsia="en-US"/>
    </w:rPr>
  </w:style>
  <w:style w:type="paragraph" w:customStyle="1" w:styleId="Table-Number">
    <w:name w:val="Table - Number"/>
    <w:rsid w:val="00A9044C"/>
    <w:pPr>
      <w:numPr>
        <w:numId w:val="5"/>
      </w:numPr>
      <w:spacing w:before="60" w:after="60"/>
    </w:pPr>
    <w:rPr>
      <w:rFonts w:ascii="Arial" w:eastAsia="Times New Roman" w:hAnsi="Arial" w:cs="Arial"/>
      <w:noProof/>
      <w:sz w:val="18"/>
      <w:szCs w:val="18"/>
    </w:rPr>
  </w:style>
  <w:style w:type="character" w:styleId="Emphasis">
    <w:name w:val="Emphasis"/>
    <w:basedOn w:val="DefaultParagraphFont"/>
    <w:uiPriority w:val="20"/>
    <w:qFormat/>
    <w:rsid w:val="0074499E"/>
    <w:rPr>
      <w:i/>
      <w:iCs/>
    </w:rPr>
  </w:style>
  <w:style w:type="character" w:customStyle="1" w:styleId="Heading4Char">
    <w:name w:val="Heading 4 Char"/>
    <w:basedOn w:val="DefaultParagraphFont"/>
    <w:link w:val="Heading4"/>
    <w:uiPriority w:val="9"/>
    <w:semiHidden/>
    <w:rsid w:val="00C21AA9"/>
    <w:rPr>
      <w:rFonts w:asciiTheme="majorHAnsi" w:eastAsiaTheme="majorEastAsia" w:hAnsiTheme="majorHAnsi" w:cstheme="majorBidi"/>
      <w:b/>
      <w:bCs/>
      <w:i/>
      <w:iCs/>
      <w:color w:val="929F2D" w:themeColor="accent1"/>
      <w:sz w:val="16"/>
      <w:szCs w:val="24"/>
      <w:lang w:val="en-US" w:eastAsia="ja-JP"/>
    </w:rPr>
  </w:style>
  <w:style w:type="paragraph" w:styleId="NormalWeb">
    <w:name w:val="Normal (Web)"/>
    <w:basedOn w:val="Normal"/>
    <w:uiPriority w:val="99"/>
    <w:semiHidden/>
    <w:unhideWhenUsed/>
    <w:rsid w:val="00092E93"/>
    <w:pPr>
      <w:spacing w:before="100" w:beforeAutospacing="1" w:after="100" w:afterAutospacing="1"/>
    </w:pPr>
    <w:rPr>
      <w:rFonts w:ascii="Times New Roman" w:eastAsia="Times New Roman" w:hAnsi="Times New Roman"/>
      <w:sz w:val="24"/>
      <w:lang w:val="en-AU" w:eastAsia="en-AU"/>
    </w:rPr>
  </w:style>
  <w:style w:type="character" w:customStyle="1" w:styleId="apple-converted-space">
    <w:name w:val="apple-converted-space"/>
    <w:basedOn w:val="DefaultParagraphFont"/>
    <w:rsid w:val="004B6AEB"/>
  </w:style>
  <w:style w:type="paragraph" w:styleId="Revision">
    <w:name w:val="Revision"/>
    <w:hidden/>
    <w:uiPriority w:val="99"/>
    <w:semiHidden/>
    <w:rsid w:val="00BE6E8F"/>
    <w:rPr>
      <w:rFonts w:ascii="Arial" w:hAnsi="Arial"/>
      <w:sz w:val="16"/>
      <w:szCs w:val="24"/>
      <w:lang w:val="en-US" w:eastAsia="ja-JP"/>
    </w:rPr>
  </w:style>
  <w:style w:type="paragraph" w:customStyle="1" w:styleId="DHHSbody">
    <w:name w:val="DHHS body"/>
    <w:uiPriority w:val="99"/>
    <w:qFormat/>
    <w:rsid w:val="00FE099F"/>
    <w:pPr>
      <w:spacing w:after="120" w:line="270" w:lineRule="atLeast"/>
    </w:pPr>
    <w:rPr>
      <w:rFonts w:ascii="Arial" w:eastAsia="Times" w:hAnsi="Arial"/>
    </w:rPr>
  </w:style>
  <w:style w:type="paragraph" w:styleId="FootnoteText">
    <w:name w:val="footnote text"/>
    <w:basedOn w:val="Normal"/>
    <w:link w:val="FootnoteTextChar"/>
    <w:uiPriority w:val="99"/>
    <w:semiHidden/>
    <w:unhideWhenUsed/>
    <w:rsid w:val="00CC1699"/>
    <w:rPr>
      <w:sz w:val="20"/>
      <w:szCs w:val="20"/>
    </w:rPr>
  </w:style>
  <w:style w:type="character" w:customStyle="1" w:styleId="FootnoteTextChar">
    <w:name w:val="Footnote Text Char"/>
    <w:basedOn w:val="DefaultParagraphFont"/>
    <w:link w:val="FootnoteText"/>
    <w:uiPriority w:val="99"/>
    <w:semiHidden/>
    <w:rsid w:val="00CC1699"/>
    <w:rPr>
      <w:rFonts w:ascii="Arial" w:hAnsi="Arial"/>
      <w:lang w:val="en-US" w:eastAsia="ja-JP"/>
    </w:rPr>
  </w:style>
  <w:style w:type="character" w:styleId="FootnoteReference">
    <w:name w:val="footnote reference"/>
    <w:basedOn w:val="DefaultParagraphFont"/>
    <w:uiPriority w:val="99"/>
    <w:semiHidden/>
    <w:unhideWhenUsed/>
    <w:rsid w:val="00CC1699"/>
    <w:rPr>
      <w:vertAlign w:val="superscript"/>
    </w:rPr>
  </w:style>
  <w:style w:type="character" w:styleId="FollowedHyperlink">
    <w:name w:val="FollowedHyperlink"/>
    <w:basedOn w:val="DefaultParagraphFont"/>
    <w:uiPriority w:val="99"/>
    <w:semiHidden/>
    <w:unhideWhenUsed/>
    <w:rsid w:val="00FE34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4161">
      <w:bodyDiv w:val="1"/>
      <w:marLeft w:val="0"/>
      <w:marRight w:val="0"/>
      <w:marTop w:val="0"/>
      <w:marBottom w:val="0"/>
      <w:divBdr>
        <w:top w:val="none" w:sz="0" w:space="0" w:color="auto"/>
        <w:left w:val="none" w:sz="0" w:space="0" w:color="auto"/>
        <w:bottom w:val="none" w:sz="0" w:space="0" w:color="auto"/>
        <w:right w:val="none" w:sz="0" w:space="0" w:color="auto"/>
      </w:divBdr>
    </w:div>
    <w:div w:id="178469692">
      <w:bodyDiv w:val="1"/>
      <w:marLeft w:val="0"/>
      <w:marRight w:val="0"/>
      <w:marTop w:val="0"/>
      <w:marBottom w:val="0"/>
      <w:divBdr>
        <w:top w:val="none" w:sz="0" w:space="0" w:color="auto"/>
        <w:left w:val="none" w:sz="0" w:space="0" w:color="auto"/>
        <w:bottom w:val="none" w:sz="0" w:space="0" w:color="auto"/>
        <w:right w:val="none" w:sz="0" w:space="0" w:color="auto"/>
      </w:divBdr>
    </w:div>
    <w:div w:id="762990996">
      <w:bodyDiv w:val="1"/>
      <w:marLeft w:val="0"/>
      <w:marRight w:val="0"/>
      <w:marTop w:val="0"/>
      <w:marBottom w:val="0"/>
      <w:divBdr>
        <w:top w:val="none" w:sz="0" w:space="0" w:color="auto"/>
        <w:left w:val="none" w:sz="0" w:space="0" w:color="auto"/>
        <w:bottom w:val="none" w:sz="0" w:space="0" w:color="auto"/>
        <w:right w:val="none" w:sz="0" w:space="0" w:color="auto"/>
      </w:divBdr>
    </w:div>
    <w:div w:id="765341892">
      <w:bodyDiv w:val="1"/>
      <w:marLeft w:val="0"/>
      <w:marRight w:val="0"/>
      <w:marTop w:val="0"/>
      <w:marBottom w:val="0"/>
      <w:divBdr>
        <w:top w:val="none" w:sz="0" w:space="0" w:color="auto"/>
        <w:left w:val="none" w:sz="0" w:space="0" w:color="auto"/>
        <w:bottom w:val="none" w:sz="0" w:space="0" w:color="auto"/>
        <w:right w:val="none" w:sz="0" w:space="0" w:color="auto"/>
      </w:divBdr>
    </w:div>
    <w:div w:id="887184353">
      <w:bodyDiv w:val="1"/>
      <w:marLeft w:val="0"/>
      <w:marRight w:val="0"/>
      <w:marTop w:val="0"/>
      <w:marBottom w:val="0"/>
      <w:divBdr>
        <w:top w:val="none" w:sz="0" w:space="0" w:color="auto"/>
        <w:left w:val="none" w:sz="0" w:space="0" w:color="auto"/>
        <w:bottom w:val="none" w:sz="0" w:space="0" w:color="auto"/>
        <w:right w:val="none" w:sz="0" w:space="0" w:color="auto"/>
      </w:divBdr>
    </w:div>
    <w:div w:id="1399089097">
      <w:bodyDiv w:val="1"/>
      <w:marLeft w:val="0"/>
      <w:marRight w:val="0"/>
      <w:marTop w:val="0"/>
      <w:marBottom w:val="0"/>
      <w:divBdr>
        <w:top w:val="none" w:sz="0" w:space="0" w:color="auto"/>
        <w:left w:val="none" w:sz="0" w:space="0" w:color="auto"/>
        <w:bottom w:val="none" w:sz="0" w:space="0" w:color="auto"/>
        <w:right w:val="none" w:sz="0" w:space="0" w:color="auto"/>
      </w:divBdr>
    </w:div>
    <w:div w:id="1495291887">
      <w:bodyDiv w:val="1"/>
      <w:marLeft w:val="0"/>
      <w:marRight w:val="0"/>
      <w:marTop w:val="0"/>
      <w:marBottom w:val="0"/>
      <w:divBdr>
        <w:top w:val="none" w:sz="0" w:space="0" w:color="auto"/>
        <w:left w:val="none" w:sz="0" w:space="0" w:color="auto"/>
        <w:bottom w:val="none" w:sz="0" w:space="0" w:color="auto"/>
        <w:right w:val="none" w:sz="0" w:space="0" w:color="auto"/>
      </w:divBdr>
    </w:div>
    <w:div w:id="1532571933">
      <w:bodyDiv w:val="1"/>
      <w:marLeft w:val="0"/>
      <w:marRight w:val="0"/>
      <w:marTop w:val="0"/>
      <w:marBottom w:val="0"/>
      <w:divBdr>
        <w:top w:val="none" w:sz="0" w:space="0" w:color="auto"/>
        <w:left w:val="none" w:sz="0" w:space="0" w:color="auto"/>
        <w:bottom w:val="none" w:sz="0" w:space="0" w:color="auto"/>
        <w:right w:val="none" w:sz="0" w:space="0" w:color="auto"/>
      </w:divBdr>
    </w:div>
    <w:div w:id="1559584935">
      <w:bodyDiv w:val="1"/>
      <w:marLeft w:val="0"/>
      <w:marRight w:val="0"/>
      <w:marTop w:val="0"/>
      <w:marBottom w:val="0"/>
      <w:divBdr>
        <w:top w:val="none" w:sz="0" w:space="0" w:color="auto"/>
        <w:left w:val="none" w:sz="0" w:space="0" w:color="auto"/>
        <w:bottom w:val="none" w:sz="0" w:space="0" w:color="auto"/>
        <w:right w:val="none" w:sz="0" w:space="0" w:color="auto"/>
      </w:divBdr>
    </w:div>
    <w:div w:id="1795371725">
      <w:bodyDiv w:val="1"/>
      <w:marLeft w:val="0"/>
      <w:marRight w:val="0"/>
      <w:marTop w:val="0"/>
      <w:marBottom w:val="0"/>
      <w:divBdr>
        <w:top w:val="none" w:sz="0" w:space="0" w:color="auto"/>
        <w:left w:val="none" w:sz="0" w:space="0" w:color="auto"/>
        <w:bottom w:val="none" w:sz="0" w:space="0" w:color="auto"/>
        <w:right w:val="none" w:sz="0" w:space="0" w:color="auto"/>
      </w:divBdr>
    </w:div>
    <w:div w:id="1891644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hart" Target="charts/chart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justiceconnect.org.au/wp-content/uploads/2018/08/Homelessness-and-Policing-August-2013.pdf" TargetMode="External"/><Relationship Id="rId2" Type="http://schemas.openxmlformats.org/officeDocument/2006/relationships/hyperlink" Target="https://justiceconnect.org.au/wp-content/uploads/2018/08/Homelessness-and-Policing-August-2013.pdf" TargetMode="External"/><Relationship Id="rId1" Type="http://schemas.openxmlformats.org/officeDocument/2006/relationships/hyperlink" Target="http://chp.org.au/wp-content/uploads/2019/03/CHP-Pre-Budget-Submission-20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istration%20and%20organisational%20resources\Forms%20&amp;%20Templates\Templates\Submissions%20and%20reports%20templates\130327_chp_report_submissions_FINAL.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HP-DC\Public_Share\Policy%20and%20Communications\Submissions\Submissions%202019\Productivity%20Commission%20Mental%20Health\Data%20for%20images.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bg2">
                    <a:lumMod val="25000"/>
                  </a:schemeClr>
                </a:solidFill>
                <a:latin typeface="Avenir LT Std 45 Book" panose="020B0502020203020204" pitchFamily="34" charset="0"/>
                <a:ea typeface="+mn-ea"/>
                <a:cs typeface="+mn-cs"/>
              </a:defRPr>
            </a:pPr>
            <a:r>
              <a:rPr lang="en-AU"/>
              <a:t>Exits from State facilities into homelessness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bg2">
                  <a:lumMod val="25000"/>
                </a:schemeClr>
              </a:solidFill>
              <a:latin typeface="Avenir LT Std 45 Book" panose="020B0502020203020204" pitchFamily="34" charset="0"/>
              <a:ea typeface="+mn-ea"/>
              <a:cs typeface="+mn-cs"/>
            </a:defRPr>
          </a:pPr>
          <a:endParaRPr lang="en-US"/>
        </a:p>
      </c:txPr>
    </c:title>
    <c:autoTitleDeleted val="0"/>
    <c:plotArea>
      <c:layout/>
      <c:barChart>
        <c:barDir val="col"/>
        <c:grouping val="stacked"/>
        <c:varyColors val="0"/>
        <c:ser>
          <c:idx val="0"/>
          <c:order val="0"/>
          <c:tx>
            <c:strRef>
              <c:f>'Getting out and staying out'!$A$2</c:f>
              <c:strCache>
                <c:ptCount val="1"/>
                <c:pt idx="0">
                  <c:v>Adult correctional facility</c:v>
                </c:pt>
              </c:strCache>
            </c:strRef>
          </c:tx>
          <c:spPr>
            <a:solidFill>
              <a:srgbClr val="9FADDB"/>
            </a:solidFill>
            <a:ln>
              <a:noFill/>
            </a:ln>
            <a:effectLst/>
          </c:spPr>
          <c:invertIfNegative val="0"/>
          <c:cat>
            <c:strRef>
              <c:f>'Getting out and staying out'!$B$1:$H$1</c:f>
              <c:strCache>
                <c:ptCount val="7"/>
                <c:pt idx="0">
                  <c:v>2011-12</c:v>
                </c:pt>
                <c:pt idx="1">
                  <c:v>2012-13</c:v>
                </c:pt>
                <c:pt idx="2">
                  <c:v>2013-14</c:v>
                </c:pt>
                <c:pt idx="3">
                  <c:v>2014-15</c:v>
                </c:pt>
                <c:pt idx="4">
                  <c:v>2015-16</c:v>
                </c:pt>
                <c:pt idx="5">
                  <c:v>2016-17</c:v>
                </c:pt>
                <c:pt idx="6">
                  <c:v>2017-18</c:v>
                </c:pt>
              </c:strCache>
            </c:strRef>
          </c:cat>
          <c:val>
            <c:numRef>
              <c:f>'Getting out and staying out'!$B$2:$H$2</c:f>
              <c:numCache>
                <c:formatCode>#,##0</c:formatCode>
                <c:ptCount val="7"/>
                <c:pt idx="0">
                  <c:v>2208</c:v>
                </c:pt>
                <c:pt idx="1">
                  <c:v>2508</c:v>
                </c:pt>
                <c:pt idx="2">
                  <c:v>3507</c:v>
                </c:pt>
                <c:pt idx="3">
                  <c:v>3483</c:v>
                </c:pt>
                <c:pt idx="4">
                  <c:v>3891</c:v>
                </c:pt>
                <c:pt idx="5">
                  <c:v>4062</c:v>
                </c:pt>
                <c:pt idx="6" formatCode="General">
                  <c:v>4190</c:v>
                </c:pt>
              </c:numCache>
            </c:numRef>
          </c:val>
          <c:extLst xmlns:c16r2="http://schemas.microsoft.com/office/drawing/2015/06/chart">
            <c:ext xmlns:c16="http://schemas.microsoft.com/office/drawing/2014/chart" uri="{C3380CC4-5D6E-409C-BE32-E72D297353CC}">
              <c16:uniqueId val="{00000000-0DA1-403A-91FC-272B598FC5DB}"/>
            </c:ext>
          </c:extLst>
        </c:ser>
        <c:ser>
          <c:idx val="1"/>
          <c:order val="1"/>
          <c:tx>
            <c:strRef>
              <c:f>'Getting out and staying out'!$A$3</c:f>
              <c:strCache>
                <c:ptCount val="1"/>
                <c:pt idx="0">
                  <c:v>Psychiatric hospital/unit</c:v>
                </c:pt>
              </c:strCache>
            </c:strRef>
          </c:tx>
          <c:spPr>
            <a:solidFill>
              <a:srgbClr val="ABB23D"/>
            </a:solidFill>
            <a:ln>
              <a:noFill/>
            </a:ln>
            <a:effectLst/>
          </c:spPr>
          <c:invertIfNegative val="0"/>
          <c:dPt>
            <c:idx val="5"/>
            <c:invertIfNegative val="0"/>
            <c:bubble3D val="0"/>
            <c:spPr>
              <a:solidFill>
                <a:srgbClr val="ABB23D"/>
              </a:solidFill>
              <a:ln>
                <a:noFill/>
              </a:ln>
              <a:effectLst/>
            </c:spPr>
            <c:extLst xmlns:c16r2="http://schemas.microsoft.com/office/drawing/2015/06/chart">
              <c:ext xmlns:c16="http://schemas.microsoft.com/office/drawing/2014/chart" uri="{C3380CC4-5D6E-409C-BE32-E72D297353CC}">
                <c16:uniqueId val="{00000002-0DA1-403A-91FC-272B598FC5DB}"/>
              </c:ext>
            </c:extLst>
          </c:dPt>
          <c:cat>
            <c:strRef>
              <c:f>'Getting out and staying out'!$B$1:$H$1</c:f>
              <c:strCache>
                <c:ptCount val="7"/>
                <c:pt idx="0">
                  <c:v>2011-12</c:v>
                </c:pt>
                <c:pt idx="1">
                  <c:v>2012-13</c:v>
                </c:pt>
                <c:pt idx="2">
                  <c:v>2013-14</c:v>
                </c:pt>
                <c:pt idx="3">
                  <c:v>2014-15</c:v>
                </c:pt>
                <c:pt idx="4">
                  <c:v>2015-16</c:v>
                </c:pt>
                <c:pt idx="5">
                  <c:v>2016-17</c:v>
                </c:pt>
                <c:pt idx="6">
                  <c:v>2017-18</c:v>
                </c:pt>
              </c:strCache>
            </c:strRef>
          </c:cat>
          <c:val>
            <c:numRef>
              <c:f>'Getting out and staying out'!$B$3:$H$3</c:f>
              <c:numCache>
                <c:formatCode>#,##0</c:formatCode>
                <c:ptCount val="7"/>
                <c:pt idx="0">
                  <c:v>808</c:v>
                </c:pt>
                <c:pt idx="1">
                  <c:v>864</c:v>
                </c:pt>
                <c:pt idx="2">
                  <c:v>891</c:v>
                </c:pt>
                <c:pt idx="3">
                  <c:v>1162</c:v>
                </c:pt>
                <c:pt idx="4">
                  <c:v>1402</c:v>
                </c:pt>
                <c:pt idx="5">
                  <c:v>1352</c:v>
                </c:pt>
                <c:pt idx="6" formatCode="General">
                  <c:v>1288</c:v>
                </c:pt>
              </c:numCache>
            </c:numRef>
          </c:val>
          <c:extLst xmlns:c16r2="http://schemas.microsoft.com/office/drawing/2015/06/chart">
            <c:ext xmlns:c16="http://schemas.microsoft.com/office/drawing/2014/chart" uri="{C3380CC4-5D6E-409C-BE32-E72D297353CC}">
              <c16:uniqueId val="{00000003-0DA1-403A-91FC-272B598FC5DB}"/>
            </c:ext>
          </c:extLst>
        </c:ser>
        <c:ser>
          <c:idx val="2"/>
          <c:order val="2"/>
          <c:tx>
            <c:strRef>
              <c:f>'Getting out and staying out'!$A$4</c:f>
              <c:strCache>
                <c:ptCount val="1"/>
                <c:pt idx="0">
                  <c:v>Rehabilitation</c:v>
                </c:pt>
              </c:strCache>
            </c:strRef>
          </c:tx>
          <c:spPr>
            <a:solidFill>
              <a:srgbClr val="BEC7A1"/>
            </a:solidFill>
            <a:ln>
              <a:noFill/>
            </a:ln>
            <a:effectLst/>
          </c:spPr>
          <c:invertIfNegative val="0"/>
          <c:cat>
            <c:strRef>
              <c:f>'Getting out and staying out'!$B$1:$H$1</c:f>
              <c:strCache>
                <c:ptCount val="7"/>
                <c:pt idx="0">
                  <c:v>2011-12</c:v>
                </c:pt>
                <c:pt idx="1">
                  <c:v>2012-13</c:v>
                </c:pt>
                <c:pt idx="2">
                  <c:v>2013-14</c:v>
                </c:pt>
                <c:pt idx="3">
                  <c:v>2014-15</c:v>
                </c:pt>
                <c:pt idx="4">
                  <c:v>2015-16</c:v>
                </c:pt>
                <c:pt idx="5">
                  <c:v>2016-17</c:v>
                </c:pt>
                <c:pt idx="6">
                  <c:v>2017-18</c:v>
                </c:pt>
              </c:strCache>
            </c:strRef>
          </c:cat>
          <c:val>
            <c:numRef>
              <c:f>'Getting out and staying out'!$B$4:$H$4</c:f>
              <c:numCache>
                <c:formatCode>#,##0</c:formatCode>
                <c:ptCount val="7"/>
                <c:pt idx="0">
                  <c:v>1003</c:v>
                </c:pt>
                <c:pt idx="1">
                  <c:v>926</c:v>
                </c:pt>
                <c:pt idx="2">
                  <c:v>932</c:v>
                </c:pt>
                <c:pt idx="3">
                  <c:v>891</c:v>
                </c:pt>
                <c:pt idx="4">
                  <c:v>1153</c:v>
                </c:pt>
                <c:pt idx="5">
                  <c:v>1298</c:v>
                </c:pt>
                <c:pt idx="6" formatCode="General">
                  <c:v>1224</c:v>
                </c:pt>
              </c:numCache>
            </c:numRef>
          </c:val>
          <c:extLst xmlns:c16r2="http://schemas.microsoft.com/office/drawing/2015/06/chart">
            <c:ext xmlns:c16="http://schemas.microsoft.com/office/drawing/2014/chart" uri="{C3380CC4-5D6E-409C-BE32-E72D297353CC}">
              <c16:uniqueId val="{00000004-0DA1-403A-91FC-272B598FC5DB}"/>
            </c:ext>
          </c:extLst>
        </c:ser>
        <c:ser>
          <c:idx val="3"/>
          <c:order val="3"/>
          <c:tx>
            <c:strRef>
              <c:f>'Getting out and staying out'!$A$5</c:f>
              <c:strCache>
                <c:ptCount val="1"/>
              </c:strCache>
            </c:strRef>
          </c:tx>
          <c:spPr>
            <a:solidFill>
              <a:srgbClr val="393C14"/>
            </a:solidFill>
            <a:ln>
              <a:noFill/>
            </a:ln>
            <a:effectLst/>
          </c:spPr>
          <c:invertIfNegative val="0"/>
          <c:cat>
            <c:strRef>
              <c:f>'Getting out and staying out'!$B$1:$H$1</c:f>
              <c:strCache>
                <c:ptCount val="7"/>
                <c:pt idx="0">
                  <c:v>2011-12</c:v>
                </c:pt>
                <c:pt idx="1">
                  <c:v>2012-13</c:v>
                </c:pt>
                <c:pt idx="2">
                  <c:v>2013-14</c:v>
                </c:pt>
                <c:pt idx="3">
                  <c:v>2014-15</c:v>
                </c:pt>
                <c:pt idx="4">
                  <c:v>2015-16</c:v>
                </c:pt>
                <c:pt idx="5">
                  <c:v>2016-17</c:v>
                </c:pt>
                <c:pt idx="6">
                  <c:v>2017-18</c:v>
                </c:pt>
              </c:strCache>
            </c:strRef>
          </c:cat>
          <c:val>
            <c:numRef>
              <c:f>'Getting out and staying out'!$B$5:$G$5</c:f>
              <c:numCache>
                <c:formatCode>General</c:formatCode>
                <c:ptCount val="6"/>
              </c:numCache>
            </c:numRef>
          </c:val>
          <c:extLst xmlns:c16r2="http://schemas.microsoft.com/office/drawing/2015/06/chart">
            <c:ext xmlns:c16="http://schemas.microsoft.com/office/drawing/2014/chart" uri="{C3380CC4-5D6E-409C-BE32-E72D297353CC}">
              <c16:uniqueId val="{00000005-0DA1-403A-91FC-272B598FC5DB}"/>
            </c:ext>
          </c:extLst>
        </c:ser>
        <c:ser>
          <c:idx val="4"/>
          <c:order val="4"/>
          <c:tx>
            <c:strRef>
              <c:f>'Getting out and staying out'!$A$6</c:f>
              <c:strCache>
                <c:ptCount val="1"/>
              </c:strCache>
            </c:strRef>
          </c:tx>
          <c:spPr>
            <a:solidFill>
              <a:srgbClr val="ED7C2F"/>
            </a:solidFill>
            <a:ln>
              <a:noFill/>
            </a:ln>
            <a:effectLst/>
          </c:spPr>
          <c:invertIfNegative val="0"/>
          <c:cat>
            <c:strRef>
              <c:f>'Getting out and staying out'!$B$1:$H$1</c:f>
              <c:strCache>
                <c:ptCount val="7"/>
                <c:pt idx="0">
                  <c:v>2011-12</c:v>
                </c:pt>
                <c:pt idx="1">
                  <c:v>2012-13</c:v>
                </c:pt>
                <c:pt idx="2">
                  <c:v>2013-14</c:v>
                </c:pt>
                <c:pt idx="3">
                  <c:v>2014-15</c:v>
                </c:pt>
                <c:pt idx="4">
                  <c:v>2015-16</c:v>
                </c:pt>
                <c:pt idx="5">
                  <c:v>2016-17</c:v>
                </c:pt>
                <c:pt idx="6">
                  <c:v>2017-18</c:v>
                </c:pt>
              </c:strCache>
            </c:strRef>
          </c:cat>
          <c:val>
            <c:numRef>
              <c:f>'Getting out and staying out'!$B$6:$G$6</c:f>
              <c:numCache>
                <c:formatCode>General</c:formatCode>
                <c:ptCount val="6"/>
              </c:numCache>
            </c:numRef>
          </c:val>
          <c:extLst xmlns:c16r2="http://schemas.microsoft.com/office/drawing/2015/06/chart">
            <c:ext xmlns:c16="http://schemas.microsoft.com/office/drawing/2014/chart" uri="{C3380CC4-5D6E-409C-BE32-E72D297353CC}">
              <c16:uniqueId val="{00000006-0DA1-403A-91FC-272B598FC5DB}"/>
            </c:ext>
          </c:extLst>
        </c:ser>
        <c:dLbls>
          <c:showLegendKey val="0"/>
          <c:showVal val="0"/>
          <c:showCatName val="0"/>
          <c:showSerName val="0"/>
          <c:showPercent val="0"/>
          <c:showBubbleSize val="0"/>
        </c:dLbls>
        <c:gapWidth val="150"/>
        <c:overlap val="100"/>
        <c:axId val="387818816"/>
        <c:axId val="387816856"/>
      </c:barChart>
      <c:catAx>
        <c:axId val="38781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2">
                    <a:lumMod val="25000"/>
                  </a:schemeClr>
                </a:solidFill>
                <a:latin typeface="Avenir LT Std 45 Book" panose="020B0502020203020204" pitchFamily="34" charset="0"/>
                <a:ea typeface="+mn-ea"/>
                <a:cs typeface="+mn-cs"/>
              </a:defRPr>
            </a:pPr>
            <a:endParaRPr lang="en-US"/>
          </a:p>
        </c:txPr>
        <c:crossAx val="387816856"/>
        <c:crosses val="autoZero"/>
        <c:auto val="1"/>
        <c:lblAlgn val="ctr"/>
        <c:lblOffset val="100"/>
        <c:noMultiLvlLbl val="0"/>
      </c:catAx>
      <c:valAx>
        <c:axId val="387816856"/>
        <c:scaling>
          <c:orientation val="minMax"/>
        </c:scaling>
        <c:delete val="0"/>
        <c:axPos val="l"/>
        <c:majorGridlines>
          <c:spPr>
            <a:ln w="9525"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2">
                    <a:lumMod val="25000"/>
                  </a:schemeClr>
                </a:solidFill>
                <a:latin typeface="Avenir LT Std 45 Book" panose="020B0502020203020204" pitchFamily="34" charset="0"/>
                <a:ea typeface="+mn-ea"/>
                <a:cs typeface="+mn-cs"/>
              </a:defRPr>
            </a:pPr>
            <a:endParaRPr lang="en-US"/>
          </a:p>
        </c:txPr>
        <c:crossAx val="387818816"/>
        <c:crosses val="autoZero"/>
        <c:crossBetween val="between"/>
      </c:valAx>
      <c:spPr>
        <a:noFill/>
        <a:ln>
          <a:noFill/>
        </a:ln>
        <a:effectLst/>
      </c:spPr>
    </c:plotArea>
    <c:legend>
      <c:legendPos val="b"/>
      <c:legendEntry>
        <c:idx val="3"/>
        <c:delete val="1"/>
      </c:legendEntry>
      <c:legendEntry>
        <c:idx val="4"/>
        <c:delete val="1"/>
      </c:legendEntry>
      <c:layout/>
      <c:overlay val="0"/>
      <c:spPr>
        <a:noFill/>
        <a:ln>
          <a:noFill/>
        </a:ln>
        <a:effectLst/>
      </c:spPr>
      <c:txPr>
        <a:bodyPr rot="0" spcFirstLastPara="1" vertOverflow="ellipsis" vert="horz" wrap="square" anchor="ctr" anchorCtr="1"/>
        <a:lstStyle/>
        <a:p>
          <a:pPr>
            <a:defRPr sz="1100" b="0" i="0" u="none" strike="noStrike" kern="1200" baseline="0">
              <a:solidFill>
                <a:schemeClr val="bg2">
                  <a:lumMod val="25000"/>
                </a:schemeClr>
              </a:solidFill>
              <a:latin typeface="Avenir LT Std 45 Book" panose="020B0502020203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Avenir LT Std 45 Book" panose="020B0502020203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HP">
  <a:themeElements>
    <a:clrScheme name="CHP">
      <a:dk1>
        <a:srgbClr val="000000"/>
      </a:dk1>
      <a:lt1>
        <a:sysClr val="window" lastClr="FFFFFF"/>
      </a:lt1>
      <a:dk2>
        <a:srgbClr val="1F497D"/>
      </a:dk2>
      <a:lt2>
        <a:srgbClr val="EEECE1"/>
      </a:lt2>
      <a:accent1>
        <a:srgbClr val="929F2D"/>
      </a:accent1>
      <a:accent2>
        <a:srgbClr val="6A83A9"/>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819FE-3657-4E04-A872-B8C7D8EE56DF}">
  <ds:schemaRefs>
    <ds:schemaRef ds:uri="http://purl.org/dc/terms/"/>
    <ds:schemaRef ds:uri="http://schemas.microsoft.com/office/2006/documentManagement/types"/>
    <ds:schemaRef ds:uri="3f4bcce7-ac1a-4c9d-aa3e-7e77695652db"/>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028D86C-A1DA-48C1-BE39-58DA9A452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AB7D0-3CE0-4D56-9E55-7152F3B7334B}">
  <ds:schemaRefs>
    <ds:schemaRef ds:uri="http://schemas.microsoft.com/sharepoint/v3/contenttype/forms"/>
  </ds:schemaRefs>
</ds:datastoreItem>
</file>

<file path=customXml/itemProps4.xml><?xml version="1.0" encoding="utf-8"?>
<ds:datastoreItem xmlns:ds="http://schemas.openxmlformats.org/officeDocument/2006/customXml" ds:itemID="{48E3B1E5-4560-40CE-BD7E-F05DDED6756A}">
  <ds:schemaRefs>
    <ds:schemaRef ds:uri="http://schemas.microsoft.com/sharepoint/events"/>
  </ds:schemaRefs>
</ds:datastoreItem>
</file>

<file path=customXml/itemProps5.xml><?xml version="1.0" encoding="utf-8"?>
<ds:datastoreItem xmlns:ds="http://schemas.openxmlformats.org/officeDocument/2006/customXml" ds:itemID="{67A16E20-6636-4625-811B-73D97FAD971B}">
  <ds:schemaRefs>
    <ds:schemaRef ds:uri="Microsoft.SharePoint.Taxonomy.ContentTypeSync"/>
  </ds:schemaRefs>
</ds:datastoreItem>
</file>

<file path=customXml/itemProps6.xml><?xml version="1.0" encoding="utf-8"?>
<ds:datastoreItem xmlns:ds="http://schemas.openxmlformats.org/officeDocument/2006/customXml" ds:itemID="{98F892D3-314E-4183-96C8-BDD6B5EC8791}">
  <ds:schemaRefs>
    <ds:schemaRef ds:uri="http://schemas.microsoft.com/office/2006/metadata/customXsn"/>
  </ds:schemaRefs>
</ds:datastoreItem>
</file>

<file path=customXml/itemProps7.xml><?xml version="1.0" encoding="utf-8"?>
<ds:datastoreItem xmlns:ds="http://schemas.openxmlformats.org/officeDocument/2006/customXml" ds:itemID="{139BC402-3BFA-4114-BC5B-4521B9AB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130327_chp_report_submissions_FINAL.dotx</Template>
  <TotalTime>2881</TotalTime>
  <Pages>17</Pages>
  <Words>4446</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Submission 145 - Council to Homeless Persons (CHP) - Mental Health - Public inquiry</vt:lpstr>
    </vt:vector>
  </TitlesOfParts>
  <Company>Council to Homeless Persons (CHP) </Company>
  <LinksUpToDate>false</LinksUpToDate>
  <CharactersWithSpaces>29730</CharactersWithSpaces>
  <SharedDoc>false</SharedDoc>
  <HLinks>
    <vt:vector size="6" baseType="variant">
      <vt:variant>
        <vt:i4>3604564</vt:i4>
      </vt:variant>
      <vt:variant>
        <vt:i4>-1</vt:i4>
      </vt:variant>
      <vt:variant>
        <vt:i4>1038</vt:i4>
      </vt:variant>
      <vt:variant>
        <vt:i4>1</vt:i4>
      </vt:variant>
      <vt:variant>
        <vt:lpwstr>K12214_PEEL_CHP_WordTemp_A4CoverREV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145 - Council to Homeless Persons (CHP) - Mental Health - Public inquiry</dc:title>
  <dc:creator>Council to Homeless Persons (CHP) </dc:creator>
  <cp:keywords/>
  <cp:lastModifiedBy>Productivity Commission</cp:lastModifiedBy>
  <cp:revision>111</cp:revision>
  <cp:lastPrinted>2019-03-28T00:13:00Z</cp:lastPrinted>
  <dcterms:created xsi:type="dcterms:W3CDTF">2019-03-25T04:23:00Z</dcterms:created>
  <dcterms:modified xsi:type="dcterms:W3CDTF">2019-04-10T00:58:00Z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