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B86" w:rsidRDefault="007E55F5" w:rsidP="007E55F5">
      <w:pPr>
        <w:pStyle w:val="Norm6pt"/>
      </w:pPr>
      <w:bookmarkStart w:id="0" w:name="_GoBack"/>
      <w:bookmarkEnd w:id="0"/>
      <w:r>
        <w:t xml:space="preserve">To Whom It May Concern </w:t>
      </w:r>
    </w:p>
    <w:p w:rsidR="007E55F5" w:rsidRDefault="007E55F5" w:rsidP="007E55F5">
      <w:pPr>
        <w:pStyle w:val="Norm6pt"/>
        <w:shd w:val="clear" w:color="auto" w:fill="F2F2F2" w:themeFill="background1" w:themeFillShade="F2"/>
        <w:rPr>
          <w:b/>
        </w:rPr>
      </w:pPr>
      <w:r w:rsidRPr="007E55F5">
        <w:rPr>
          <w:b/>
        </w:rPr>
        <w:t xml:space="preserve">Re: </w:t>
      </w:r>
      <w:r>
        <w:rPr>
          <w:b/>
        </w:rPr>
        <w:tab/>
        <w:t xml:space="preserve">Remote Area Tax Concessions and Payments – Productivity Commission Issues Paper </w:t>
      </w:r>
    </w:p>
    <w:p w:rsidR="00457ADF" w:rsidRDefault="00C24E29" w:rsidP="007E55F5">
      <w:pPr>
        <w:pStyle w:val="Norm6pt"/>
      </w:pPr>
      <w:r>
        <w:t>I</w:t>
      </w:r>
      <w:r w:rsidR="00A13060">
        <w:t xml:space="preserve"> am a </w:t>
      </w:r>
      <w:r w:rsidR="00457ADF">
        <w:t xml:space="preserve">young  </w:t>
      </w:r>
      <w:r w:rsidR="00A13060">
        <w:t xml:space="preserve">woman currently </w:t>
      </w:r>
      <w:r>
        <w:t>liv</w:t>
      </w:r>
      <w:r w:rsidR="00A13060">
        <w:t>ing</w:t>
      </w:r>
      <w:r>
        <w:t xml:space="preserve"> in </w:t>
      </w:r>
      <w:proofErr w:type="spellStart"/>
      <w:r>
        <w:t>Burketown</w:t>
      </w:r>
      <w:proofErr w:type="spellEnd"/>
      <w:r>
        <w:t xml:space="preserve">, a remote community located in </w:t>
      </w:r>
      <w:r w:rsidR="00922E93">
        <w:t>North West Queensland</w:t>
      </w:r>
      <w:r w:rsidR="000453A8">
        <w:t>,</w:t>
      </w:r>
      <w:r w:rsidR="004B789C">
        <w:t xml:space="preserve"> with</w:t>
      </w:r>
      <w:r w:rsidR="00922E93">
        <w:t xml:space="preserve"> our nearest Major Centre being Mount Isa is </w:t>
      </w:r>
      <w:proofErr w:type="spellStart"/>
      <w:r w:rsidR="00922E93">
        <w:t>600km</w:t>
      </w:r>
      <w:proofErr w:type="spellEnd"/>
      <w:r w:rsidR="00922E93">
        <w:t xml:space="preserve"> (6-</w:t>
      </w:r>
      <w:proofErr w:type="spellStart"/>
      <w:r w:rsidR="00922E93">
        <w:t>7hours</w:t>
      </w:r>
      <w:proofErr w:type="spellEnd"/>
      <w:r w:rsidR="00922E93">
        <w:t xml:space="preserve"> drive) away.</w:t>
      </w:r>
      <w:r w:rsidR="00457ADF">
        <w:t xml:space="preserve"> </w:t>
      </w:r>
    </w:p>
    <w:p w:rsidR="00B605F5" w:rsidRDefault="009347B9" w:rsidP="00E17B1F">
      <w:pPr>
        <w:pStyle w:val="Norm6pt"/>
      </w:pPr>
      <w:r>
        <w:t xml:space="preserve">As </w:t>
      </w:r>
      <w:proofErr w:type="spellStart"/>
      <w:r>
        <w:t>Burketown</w:t>
      </w:r>
      <w:proofErr w:type="spellEnd"/>
      <w:r>
        <w:t xml:space="preserve"> </w:t>
      </w:r>
      <w:r w:rsidR="00B605F5">
        <w:t>is so remote, we have minimal services in town</w:t>
      </w:r>
      <w:r w:rsidR="000453A8">
        <w:t>. These services are</w:t>
      </w:r>
      <w:r w:rsidR="00B605F5">
        <w:t>:</w:t>
      </w:r>
    </w:p>
    <w:p w:rsidR="009347B9" w:rsidRDefault="00B605F5" w:rsidP="00B605F5">
      <w:pPr>
        <w:pStyle w:val="Norm6pt"/>
        <w:numPr>
          <w:ilvl w:val="0"/>
          <w:numId w:val="5"/>
        </w:numPr>
      </w:pPr>
      <w:r>
        <w:t>Primary school - Prep to Year 6, anything year 7 and above have to do School of the Air or go off to boarding school</w:t>
      </w:r>
    </w:p>
    <w:p w:rsidR="00B605F5" w:rsidRDefault="00B605F5" w:rsidP="00B605F5">
      <w:pPr>
        <w:pStyle w:val="Norm6pt"/>
        <w:numPr>
          <w:ilvl w:val="0"/>
          <w:numId w:val="5"/>
        </w:numPr>
      </w:pPr>
      <w:r>
        <w:t xml:space="preserve">Kindergarten </w:t>
      </w:r>
    </w:p>
    <w:p w:rsidR="00B605F5" w:rsidRDefault="00B605F5" w:rsidP="00B605F5">
      <w:pPr>
        <w:pStyle w:val="Norm6pt"/>
        <w:numPr>
          <w:ilvl w:val="0"/>
          <w:numId w:val="5"/>
        </w:numPr>
      </w:pPr>
      <w:r>
        <w:t xml:space="preserve">Clinic – nurse operated only, Doctors only visit once a week </w:t>
      </w:r>
    </w:p>
    <w:p w:rsidR="00B605F5" w:rsidRDefault="00B605F5" w:rsidP="00B605F5">
      <w:pPr>
        <w:pStyle w:val="Norm6pt"/>
        <w:numPr>
          <w:ilvl w:val="0"/>
          <w:numId w:val="5"/>
        </w:numPr>
      </w:pPr>
      <w:r>
        <w:t>Take away store</w:t>
      </w:r>
    </w:p>
    <w:p w:rsidR="00B605F5" w:rsidRDefault="00B605F5" w:rsidP="00B605F5">
      <w:pPr>
        <w:pStyle w:val="Norm6pt"/>
        <w:numPr>
          <w:ilvl w:val="0"/>
          <w:numId w:val="5"/>
        </w:numPr>
      </w:pPr>
      <w:r>
        <w:t>Store/ service station – basic mechanical work – for special services that require it to be done by a dealership, this has be done either in Mount Isa, Cairns or Townsville</w:t>
      </w:r>
    </w:p>
    <w:p w:rsidR="00B605F5" w:rsidRDefault="00B605F5" w:rsidP="00B605F5">
      <w:pPr>
        <w:pStyle w:val="Norm6pt"/>
        <w:numPr>
          <w:ilvl w:val="0"/>
          <w:numId w:val="5"/>
        </w:numPr>
      </w:pPr>
      <w:r>
        <w:t>Convenience store/post office – basic grocery items</w:t>
      </w:r>
    </w:p>
    <w:p w:rsidR="00B605F5" w:rsidRDefault="00B605F5" w:rsidP="00B605F5">
      <w:pPr>
        <w:pStyle w:val="Norm6pt"/>
        <w:numPr>
          <w:ilvl w:val="0"/>
          <w:numId w:val="5"/>
        </w:numPr>
      </w:pPr>
      <w:r>
        <w:t xml:space="preserve">Nursery – plants and basic food supplies. They also to weekly freight runs to Cairns or Mount Isa </w:t>
      </w:r>
    </w:p>
    <w:p w:rsidR="00B605F5" w:rsidRDefault="00B605F5" w:rsidP="00B605F5">
      <w:pPr>
        <w:pStyle w:val="Norm6pt"/>
        <w:numPr>
          <w:ilvl w:val="0"/>
          <w:numId w:val="5"/>
        </w:numPr>
      </w:pPr>
      <w:r>
        <w:t xml:space="preserve">Caravan Park </w:t>
      </w:r>
    </w:p>
    <w:p w:rsidR="00B605F5" w:rsidRDefault="00B605F5" w:rsidP="00B605F5">
      <w:pPr>
        <w:pStyle w:val="Norm6pt"/>
        <w:numPr>
          <w:ilvl w:val="0"/>
          <w:numId w:val="5"/>
        </w:numPr>
      </w:pPr>
      <w:r>
        <w:t>Accommodation provider</w:t>
      </w:r>
    </w:p>
    <w:p w:rsidR="00954697" w:rsidRDefault="00954697" w:rsidP="00954697">
      <w:pPr>
        <w:pStyle w:val="Norm6pt"/>
      </w:pPr>
      <w:r>
        <w:t xml:space="preserve">For specialist health appointments we have to travel to Mount Isa or Townsville as there aren’t services other than a weekly doctor provided here. To go to these specialist appointments, minimum fees are </w:t>
      </w:r>
      <w:proofErr w:type="spellStart"/>
      <w:r>
        <w:t>subsidised</w:t>
      </w:r>
      <w:proofErr w:type="spellEnd"/>
      <w:r>
        <w:t xml:space="preserve"> and most expenses incurred (travel, accommodation, meals) are to be covered by the individual themselves.</w:t>
      </w:r>
    </w:p>
    <w:p w:rsidR="00954697" w:rsidRDefault="00954697" w:rsidP="00954697">
      <w:pPr>
        <w:pStyle w:val="Norm6pt"/>
      </w:pPr>
      <w:r>
        <w:t xml:space="preserve">There are no public transport providers in/out of </w:t>
      </w:r>
      <w:proofErr w:type="spellStart"/>
      <w:r>
        <w:t>Burketown</w:t>
      </w:r>
      <w:proofErr w:type="spellEnd"/>
      <w:r>
        <w:t xml:space="preserve"> other than Regional Express Airlines. Even though there is a service provided by Regional Express, there are very limited options for days to fly in and out. The cost of a return trip from </w:t>
      </w:r>
      <w:proofErr w:type="spellStart"/>
      <w:r>
        <w:t>Burketown</w:t>
      </w:r>
      <w:proofErr w:type="spellEnd"/>
      <w:r>
        <w:t xml:space="preserve"> to Cairns is approximately $927.00</w:t>
      </w:r>
      <w:r w:rsidR="002871F1">
        <w:t xml:space="preserve"> per person</w:t>
      </w:r>
      <w:r>
        <w:t xml:space="preserve">. </w:t>
      </w:r>
    </w:p>
    <w:p w:rsidR="000453A8" w:rsidRDefault="000453A8" w:rsidP="00954697">
      <w:pPr>
        <w:pStyle w:val="Norm6pt"/>
      </w:pPr>
      <w:r>
        <w:t xml:space="preserve">The costs associated to professional development/training are also quite expensive as we need to rely on services/professionals from out of </w:t>
      </w:r>
      <w:proofErr w:type="spellStart"/>
      <w:r>
        <w:t>Burket</w:t>
      </w:r>
      <w:r w:rsidR="004B789C">
        <w:t>own</w:t>
      </w:r>
      <w:proofErr w:type="spellEnd"/>
      <w:r w:rsidR="004B789C">
        <w:t xml:space="preserve"> to conduct these courses. </w:t>
      </w:r>
    </w:p>
    <w:p w:rsidR="000453A8" w:rsidRDefault="000453A8" w:rsidP="000453A8">
      <w:pPr>
        <w:pStyle w:val="Norm6pt"/>
      </w:pPr>
      <w:r>
        <w:t xml:space="preserve">The costs associated with living in </w:t>
      </w:r>
      <w:proofErr w:type="spellStart"/>
      <w:r>
        <w:t>Burketown</w:t>
      </w:r>
      <w:proofErr w:type="spellEnd"/>
      <w:r>
        <w:t xml:space="preserve"> are quite expensive due to the remoteness and limited services provided here. Below is an example of my monthly budget: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0"/>
        <w:gridCol w:w="1511"/>
        <w:gridCol w:w="4819"/>
      </w:tblGrid>
      <w:tr w:rsidR="000453A8" w:rsidRPr="00E17B1F" w:rsidTr="003A2881">
        <w:tc>
          <w:tcPr>
            <w:tcW w:w="2850" w:type="dxa"/>
          </w:tcPr>
          <w:p w:rsidR="000453A8" w:rsidRPr="00E17B1F" w:rsidRDefault="000453A8" w:rsidP="003A2881">
            <w:pPr>
              <w:pStyle w:val="Norm6pt"/>
              <w:rPr>
                <w:b/>
              </w:rPr>
            </w:pPr>
            <w:r w:rsidRPr="00E17B1F">
              <w:rPr>
                <w:b/>
              </w:rPr>
              <w:t>Description</w:t>
            </w:r>
          </w:p>
        </w:tc>
        <w:tc>
          <w:tcPr>
            <w:tcW w:w="1511" w:type="dxa"/>
          </w:tcPr>
          <w:p w:rsidR="000453A8" w:rsidRPr="00E17B1F" w:rsidRDefault="000453A8" w:rsidP="003A2881">
            <w:pPr>
              <w:pStyle w:val="Norm6pt"/>
              <w:tabs>
                <w:tab w:val="left" w:pos="1725"/>
              </w:tabs>
              <w:rPr>
                <w:b/>
              </w:rPr>
            </w:pPr>
            <w:r w:rsidRPr="00E17B1F">
              <w:rPr>
                <w:b/>
              </w:rPr>
              <w:t>Monthly Cost</w:t>
            </w:r>
          </w:p>
        </w:tc>
        <w:tc>
          <w:tcPr>
            <w:tcW w:w="4819" w:type="dxa"/>
          </w:tcPr>
          <w:p w:rsidR="000453A8" w:rsidRPr="00E17B1F" w:rsidRDefault="000453A8" w:rsidP="003A2881">
            <w:pPr>
              <w:pStyle w:val="Norm6pt"/>
              <w:tabs>
                <w:tab w:val="left" w:pos="1725"/>
              </w:tabs>
              <w:rPr>
                <w:b/>
              </w:rPr>
            </w:pPr>
            <w:r w:rsidRPr="00E17B1F">
              <w:rPr>
                <w:b/>
              </w:rPr>
              <w:t>Comments</w:t>
            </w:r>
          </w:p>
        </w:tc>
      </w:tr>
      <w:tr w:rsidR="000453A8" w:rsidTr="003A28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50" w:type="dxa"/>
          </w:tcPr>
          <w:p w:rsidR="000453A8" w:rsidRDefault="000453A8" w:rsidP="003A2881">
            <w:pPr>
              <w:pStyle w:val="Norm6pt"/>
            </w:pPr>
            <w:r>
              <w:t>Rent</w:t>
            </w:r>
          </w:p>
        </w:tc>
        <w:tc>
          <w:tcPr>
            <w:tcW w:w="1511" w:type="dxa"/>
          </w:tcPr>
          <w:p w:rsidR="000453A8" w:rsidRDefault="000453A8" w:rsidP="003A2881">
            <w:pPr>
              <w:pStyle w:val="Norm6pt"/>
              <w:jc w:val="right"/>
            </w:pPr>
            <w:r>
              <w:t>$ 816.00</w:t>
            </w:r>
          </w:p>
        </w:tc>
        <w:tc>
          <w:tcPr>
            <w:tcW w:w="4819" w:type="dxa"/>
          </w:tcPr>
          <w:p w:rsidR="000453A8" w:rsidRDefault="000453A8" w:rsidP="003A2881">
            <w:pPr>
              <w:pStyle w:val="Norm6pt"/>
            </w:pPr>
            <w:r>
              <w:t xml:space="preserve">Accommodation provided through employer </w:t>
            </w:r>
          </w:p>
        </w:tc>
      </w:tr>
      <w:tr w:rsidR="000453A8" w:rsidTr="003A2881">
        <w:tc>
          <w:tcPr>
            <w:tcW w:w="2850" w:type="dxa"/>
          </w:tcPr>
          <w:p w:rsidR="000453A8" w:rsidRDefault="000453A8" w:rsidP="003A2881">
            <w:pPr>
              <w:pStyle w:val="Norm6pt"/>
            </w:pPr>
            <w:r>
              <w:t>Food</w:t>
            </w:r>
          </w:p>
        </w:tc>
        <w:tc>
          <w:tcPr>
            <w:tcW w:w="1511" w:type="dxa"/>
          </w:tcPr>
          <w:p w:rsidR="000453A8" w:rsidRDefault="000453A8" w:rsidP="003A2881">
            <w:pPr>
              <w:pStyle w:val="Norm6pt"/>
              <w:jc w:val="right"/>
            </w:pPr>
            <w:r>
              <w:t>$ 300.00</w:t>
            </w:r>
          </w:p>
        </w:tc>
        <w:tc>
          <w:tcPr>
            <w:tcW w:w="4819" w:type="dxa"/>
          </w:tcPr>
          <w:p w:rsidR="000453A8" w:rsidRDefault="000453A8" w:rsidP="003A2881">
            <w:pPr>
              <w:pStyle w:val="Norm6pt"/>
            </w:pPr>
            <w:r>
              <w:t>Comparison of essential items: (buying from Woolworths vs. buying locally)</w:t>
            </w:r>
          </w:p>
          <w:p w:rsidR="000453A8" w:rsidRDefault="000453A8" w:rsidP="003A2881">
            <w:pPr>
              <w:pStyle w:val="Norm6pt"/>
              <w:numPr>
                <w:ilvl w:val="0"/>
                <w:numId w:val="4"/>
              </w:numPr>
            </w:pPr>
            <w:proofErr w:type="spellStart"/>
            <w:r>
              <w:t>2L</w:t>
            </w:r>
            <w:proofErr w:type="spellEnd"/>
            <w:r>
              <w:t xml:space="preserve"> Milk - $3.00 vs. $5.80</w:t>
            </w:r>
          </w:p>
          <w:p w:rsidR="000453A8" w:rsidRDefault="000453A8" w:rsidP="003A2881">
            <w:pPr>
              <w:pStyle w:val="Norm6pt"/>
              <w:numPr>
                <w:ilvl w:val="0"/>
                <w:numId w:val="4"/>
              </w:numPr>
            </w:pPr>
            <w:r>
              <w:t>Bread – as little as $1.25 vs. $5.50</w:t>
            </w:r>
          </w:p>
        </w:tc>
      </w:tr>
      <w:tr w:rsidR="000453A8" w:rsidTr="003A28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50" w:type="dxa"/>
          </w:tcPr>
          <w:p w:rsidR="000453A8" w:rsidRDefault="000453A8" w:rsidP="003A2881">
            <w:pPr>
              <w:pStyle w:val="Norm6pt"/>
              <w:tabs>
                <w:tab w:val="left" w:pos="1920"/>
              </w:tabs>
            </w:pPr>
            <w:r>
              <w:t>Electricity</w:t>
            </w:r>
          </w:p>
        </w:tc>
        <w:tc>
          <w:tcPr>
            <w:tcW w:w="1511" w:type="dxa"/>
          </w:tcPr>
          <w:p w:rsidR="000453A8" w:rsidRDefault="000453A8" w:rsidP="003A2881">
            <w:pPr>
              <w:pStyle w:val="Norm6pt"/>
              <w:jc w:val="right"/>
            </w:pPr>
            <w:r>
              <w:t>$ 200.00</w:t>
            </w:r>
          </w:p>
        </w:tc>
        <w:tc>
          <w:tcPr>
            <w:tcW w:w="4819" w:type="dxa"/>
          </w:tcPr>
          <w:p w:rsidR="000453A8" w:rsidRDefault="000453A8" w:rsidP="003A2881">
            <w:pPr>
              <w:pStyle w:val="Norm6pt"/>
            </w:pPr>
            <w:r>
              <w:t xml:space="preserve">I put money on my electricity account every fortnight but this still doesn’t cover the full bill for the quarter. </w:t>
            </w:r>
          </w:p>
        </w:tc>
      </w:tr>
      <w:tr w:rsidR="000453A8" w:rsidTr="003A2881">
        <w:tc>
          <w:tcPr>
            <w:tcW w:w="2850" w:type="dxa"/>
          </w:tcPr>
          <w:p w:rsidR="000453A8" w:rsidRDefault="000453A8" w:rsidP="003A2881">
            <w:pPr>
              <w:pStyle w:val="Norm6pt"/>
            </w:pPr>
            <w:r>
              <w:lastRenderedPageBreak/>
              <w:t>Vehicle Fuel</w:t>
            </w:r>
          </w:p>
        </w:tc>
        <w:tc>
          <w:tcPr>
            <w:tcW w:w="1511" w:type="dxa"/>
          </w:tcPr>
          <w:p w:rsidR="000453A8" w:rsidRDefault="000453A8" w:rsidP="003A2881">
            <w:pPr>
              <w:pStyle w:val="Norm6pt"/>
              <w:jc w:val="right"/>
            </w:pPr>
            <w:r>
              <w:t>$ 200.00</w:t>
            </w:r>
          </w:p>
        </w:tc>
        <w:tc>
          <w:tcPr>
            <w:tcW w:w="4819" w:type="dxa"/>
          </w:tcPr>
          <w:p w:rsidR="000453A8" w:rsidRDefault="000453A8" w:rsidP="003A2881">
            <w:pPr>
              <w:pStyle w:val="Norm6pt"/>
            </w:pPr>
            <w:r>
              <w:t xml:space="preserve">Approximate cost per month. </w:t>
            </w:r>
          </w:p>
          <w:p w:rsidR="000453A8" w:rsidRDefault="000453A8" w:rsidP="003A2881">
            <w:pPr>
              <w:pStyle w:val="Norm6pt"/>
            </w:pPr>
            <w:r>
              <w:t>Super petrol – $1.47 vs. $ 1.76 (Brisbane price)</w:t>
            </w:r>
          </w:p>
        </w:tc>
      </w:tr>
      <w:tr w:rsidR="000453A8" w:rsidTr="003A28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50" w:type="dxa"/>
          </w:tcPr>
          <w:p w:rsidR="000453A8" w:rsidRDefault="000453A8" w:rsidP="003A2881">
            <w:pPr>
              <w:pStyle w:val="Norm6pt"/>
            </w:pPr>
            <w:r>
              <w:t xml:space="preserve">Other bills </w:t>
            </w:r>
          </w:p>
        </w:tc>
        <w:tc>
          <w:tcPr>
            <w:tcW w:w="1511" w:type="dxa"/>
          </w:tcPr>
          <w:p w:rsidR="000453A8" w:rsidRDefault="000453A8" w:rsidP="003A2881">
            <w:pPr>
              <w:pStyle w:val="Norm6pt"/>
              <w:jc w:val="right"/>
            </w:pPr>
            <w:r>
              <w:t>$ 1800.00</w:t>
            </w:r>
          </w:p>
        </w:tc>
        <w:tc>
          <w:tcPr>
            <w:tcW w:w="4819" w:type="dxa"/>
          </w:tcPr>
          <w:p w:rsidR="000453A8" w:rsidRDefault="000453A8" w:rsidP="003A2881">
            <w:pPr>
              <w:pStyle w:val="Norm6pt"/>
            </w:pPr>
            <w:r>
              <w:t xml:space="preserve">These other bills include – vehicle insurance, internet expenses, vehicle repayments, entertainment (Austar) and pet food. </w:t>
            </w:r>
          </w:p>
        </w:tc>
      </w:tr>
      <w:tr w:rsidR="000453A8" w:rsidRPr="00954697" w:rsidTr="003A2881">
        <w:tc>
          <w:tcPr>
            <w:tcW w:w="2850" w:type="dxa"/>
          </w:tcPr>
          <w:p w:rsidR="000453A8" w:rsidRPr="00115061" w:rsidRDefault="000453A8" w:rsidP="00115061">
            <w:pPr>
              <w:pStyle w:val="Norm6pt"/>
              <w:rPr>
                <w:i/>
              </w:rPr>
            </w:pPr>
            <w:r w:rsidRPr="00115061">
              <w:rPr>
                <w:b/>
                <w:i/>
              </w:rPr>
              <w:t xml:space="preserve">Total Monthly income </w:t>
            </w:r>
            <w:r w:rsidR="00115061" w:rsidRPr="00115061">
              <w:rPr>
                <w:i/>
              </w:rPr>
              <w:t>(approximate)</w:t>
            </w:r>
          </w:p>
        </w:tc>
        <w:tc>
          <w:tcPr>
            <w:tcW w:w="1511" w:type="dxa"/>
          </w:tcPr>
          <w:p w:rsidR="000453A8" w:rsidRPr="00115061" w:rsidRDefault="000453A8" w:rsidP="00115061">
            <w:pPr>
              <w:pStyle w:val="Norm6pt"/>
              <w:jc w:val="right"/>
              <w:rPr>
                <w:b/>
                <w:i/>
              </w:rPr>
            </w:pPr>
            <w:r w:rsidRPr="00115061">
              <w:rPr>
                <w:b/>
                <w:i/>
              </w:rPr>
              <w:t xml:space="preserve">$ </w:t>
            </w:r>
            <w:r w:rsidR="00115061">
              <w:rPr>
                <w:b/>
                <w:i/>
              </w:rPr>
              <w:t>4</w:t>
            </w:r>
            <w:r w:rsidRPr="00115061">
              <w:rPr>
                <w:b/>
                <w:i/>
              </w:rPr>
              <w:t>000.00</w:t>
            </w:r>
          </w:p>
        </w:tc>
        <w:tc>
          <w:tcPr>
            <w:tcW w:w="4819" w:type="dxa"/>
          </w:tcPr>
          <w:p w:rsidR="000453A8" w:rsidRPr="00115061" w:rsidRDefault="000453A8" w:rsidP="003A2881">
            <w:pPr>
              <w:pStyle w:val="Norm6pt"/>
              <w:rPr>
                <w:b/>
                <w:i/>
              </w:rPr>
            </w:pPr>
          </w:p>
        </w:tc>
      </w:tr>
      <w:tr w:rsidR="000453A8" w:rsidRPr="00954697" w:rsidTr="003A28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50" w:type="dxa"/>
          </w:tcPr>
          <w:p w:rsidR="000453A8" w:rsidRPr="00115061" w:rsidRDefault="000453A8" w:rsidP="003A2881">
            <w:pPr>
              <w:pStyle w:val="Norm6pt"/>
              <w:rPr>
                <w:b/>
                <w:i/>
              </w:rPr>
            </w:pPr>
            <w:r w:rsidRPr="00115061">
              <w:rPr>
                <w:b/>
                <w:i/>
              </w:rPr>
              <w:t xml:space="preserve">Money leftover </w:t>
            </w:r>
          </w:p>
        </w:tc>
        <w:tc>
          <w:tcPr>
            <w:tcW w:w="1511" w:type="dxa"/>
          </w:tcPr>
          <w:p w:rsidR="000453A8" w:rsidRPr="00115061" w:rsidRDefault="00115061" w:rsidP="003A2881">
            <w:pPr>
              <w:pStyle w:val="Norm6pt"/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$ </w:t>
            </w:r>
            <w:r w:rsidR="000453A8" w:rsidRPr="00115061">
              <w:rPr>
                <w:b/>
                <w:i/>
              </w:rPr>
              <w:t>684.00</w:t>
            </w:r>
          </w:p>
        </w:tc>
        <w:tc>
          <w:tcPr>
            <w:tcW w:w="4819" w:type="dxa"/>
          </w:tcPr>
          <w:p w:rsidR="000453A8" w:rsidRPr="00115061" w:rsidRDefault="000453A8" w:rsidP="003A2881">
            <w:pPr>
              <w:pStyle w:val="Norm6pt"/>
              <w:rPr>
                <w:b/>
                <w:i/>
              </w:rPr>
            </w:pPr>
          </w:p>
        </w:tc>
      </w:tr>
    </w:tbl>
    <w:p w:rsidR="002871F1" w:rsidRDefault="000453A8" w:rsidP="002871F1">
      <w:pPr>
        <w:pStyle w:val="Norm6pt"/>
      </w:pPr>
      <w:r>
        <w:t xml:space="preserve">The prices above don’t include one off expenses for items like vehicle registration, vehicle services, etc.  </w:t>
      </w:r>
      <w:r w:rsidR="002871F1">
        <w:t xml:space="preserve">The costs associated with living in </w:t>
      </w:r>
      <w:proofErr w:type="spellStart"/>
      <w:r w:rsidR="002871F1">
        <w:t>Burketown</w:t>
      </w:r>
      <w:proofErr w:type="spellEnd"/>
      <w:r w:rsidR="002871F1">
        <w:t xml:space="preserve"> are quite expensive due to the remoteness and limited services provided here. Below is an example of my monthly budget: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0"/>
        <w:gridCol w:w="1511"/>
        <w:gridCol w:w="4819"/>
      </w:tblGrid>
      <w:tr w:rsidR="002871F1" w:rsidRPr="00E17B1F" w:rsidTr="003A2881">
        <w:tc>
          <w:tcPr>
            <w:tcW w:w="2850" w:type="dxa"/>
          </w:tcPr>
          <w:p w:rsidR="002871F1" w:rsidRPr="00E17B1F" w:rsidRDefault="002871F1" w:rsidP="003A2881">
            <w:pPr>
              <w:pStyle w:val="Norm6pt"/>
              <w:rPr>
                <w:b/>
              </w:rPr>
            </w:pPr>
            <w:r w:rsidRPr="00E17B1F">
              <w:rPr>
                <w:b/>
              </w:rPr>
              <w:t>Description</w:t>
            </w:r>
          </w:p>
        </w:tc>
        <w:tc>
          <w:tcPr>
            <w:tcW w:w="1511" w:type="dxa"/>
          </w:tcPr>
          <w:p w:rsidR="002871F1" w:rsidRPr="00E17B1F" w:rsidRDefault="002871F1" w:rsidP="003A2881">
            <w:pPr>
              <w:pStyle w:val="Norm6pt"/>
              <w:tabs>
                <w:tab w:val="left" w:pos="1725"/>
              </w:tabs>
              <w:rPr>
                <w:b/>
              </w:rPr>
            </w:pPr>
            <w:r w:rsidRPr="00E17B1F">
              <w:rPr>
                <w:b/>
              </w:rPr>
              <w:t>Monthly Cost</w:t>
            </w:r>
          </w:p>
        </w:tc>
        <w:tc>
          <w:tcPr>
            <w:tcW w:w="4819" w:type="dxa"/>
          </w:tcPr>
          <w:p w:rsidR="002871F1" w:rsidRPr="00E17B1F" w:rsidRDefault="002871F1" w:rsidP="003A2881">
            <w:pPr>
              <w:pStyle w:val="Norm6pt"/>
              <w:tabs>
                <w:tab w:val="left" w:pos="1725"/>
              </w:tabs>
              <w:rPr>
                <w:b/>
              </w:rPr>
            </w:pPr>
            <w:r w:rsidRPr="00E17B1F">
              <w:rPr>
                <w:b/>
              </w:rPr>
              <w:t>Comments</w:t>
            </w:r>
          </w:p>
        </w:tc>
      </w:tr>
      <w:tr w:rsidR="002871F1" w:rsidTr="003A28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50" w:type="dxa"/>
          </w:tcPr>
          <w:p w:rsidR="002871F1" w:rsidRDefault="002871F1" w:rsidP="003A2881">
            <w:pPr>
              <w:pStyle w:val="Norm6pt"/>
            </w:pPr>
            <w:r>
              <w:t>Rent</w:t>
            </w:r>
          </w:p>
        </w:tc>
        <w:tc>
          <w:tcPr>
            <w:tcW w:w="1511" w:type="dxa"/>
          </w:tcPr>
          <w:p w:rsidR="002871F1" w:rsidRDefault="002871F1" w:rsidP="003A2881">
            <w:pPr>
              <w:pStyle w:val="Norm6pt"/>
              <w:jc w:val="right"/>
            </w:pPr>
            <w:r>
              <w:t>$ 816.00</w:t>
            </w:r>
          </w:p>
        </w:tc>
        <w:tc>
          <w:tcPr>
            <w:tcW w:w="4819" w:type="dxa"/>
          </w:tcPr>
          <w:p w:rsidR="002871F1" w:rsidRDefault="002871F1" w:rsidP="003A2881">
            <w:pPr>
              <w:pStyle w:val="Norm6pt"/>
            </w:pPr>
            <w:r>
              <w:t xml:space="preserve">Accommodation provided through employer </w:t>
            </w:r>
          </w:p>
        </w:tc>
      </w:tr>
      <w:tr w:rsidR="002871F1" w:rsidTr="003A2881">
        <w:tc>
          <w:tcPr>
            <w:tcW w:w="2850" w:type="dxa"/>
          </w:tcPr>
          <w:p w:rsidR="002871F1" w:rsidRDefault="002871F1" w:rsidP="003A2881">
            <w:pPr>
              <w:pStyle w:val="Norm6pt"/>
            </w:pPr>
            <w:r>
              <w:t>Food</w:t>
            </w:r>
          </w:p>
        </w:tc>
        <w:tc>
          <w:tcPr>
            <w:tcW w:w="1511" w:type="dxa"/>
          </w:tcPr>
          <w:p w:rsidR="002871F1" w:rsidRDefault="002871F1" w:rsidP="003A2881">
            <w:pPr>
              <w:pStyle w:val="Norm6pt"/>
              <w:jc w:val="right"/>
            </w:pPr>
            <w:r>
              <w:t>$ 300.00</w:t>
            </w:r>
          </w:p>
        </w:tc>
        <w:tc>
          <w:tcPr>
            <w:tcW w:w="4819" w:type="dxa"/>
          </w:tcPr>
          <w:p w:rsidR="002871F1" w:rsidRDefault="002871F1" w:rsidP="003A2881">
            <w:pPr>
              <w:pStyle w:val="Norm6pt"/>
            </w:pPr>
            <w:r>
              <w:t>Comparison of essential items: (buying from Woolworths vs. buying locally)</w:t>
            </w:r>
          </w:p>
          <w:p w:rsidR="002871F1" w:rsidRDefault="002871F1" w:rsidP="003A2881">
            <w:pPr>
              <w:pStyle w:val="Norm6pt"/>
              <w:numPr>
                <w:ilvl w:val="0"/>
                <w:numId w:val="4"/>
              </w:numPr>
            </w:pPr>
            <w:proofErr w:type="spellStart"/>
            <w:r>
              <w:t>2L</w:t>
            </w:r>
            <w:proofErr w:type="spellEnd"/>
            <w:r>
              <w:t xml:space="preserve"> Milk - $3.00 vs. $5.80</w:t>
            </w:r>
          </w:p>
          <w:p w:rsidR="002871F1" w:rsidRDefault="002871F1" w:rsidP="003A2881">
            <w:pPr>
              <w:pStyle w:val="Norm6pt"/>
              <w:numPr>
                <w:ilvl w:val="0"/>
                <w:numId w:val="4"/>
              </w:numPr>
            </w:pPr>
            <w:r>
              <w:t>Bread – as little as $1.25 vs. $5.50</w:t>
            </w:r>
          </w:p>
        </w:tc>
      </w:tr>
      <w:tr w:rsidR="002871F1" w:rsidTr="003A28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50" w:type="dxa"/>
          </w:tcPr>
          <w:p w:rsidR="002871F1" w:rsidRDefault="002871F1" w:rsidP="003A2881">
            <w:pPr>
              <w:pStyle w:val="Norm6pt"/>
              <w:tabs>
                <w:tab w:val="left" w:pos="1920"/>
              </w:tabs>
            </w:pPr>
            <w:r>
              <w:t>Electricity</w:t>
            </w:r>
          </w:p>
        </w:tc>
        <w:tc>
          <w:tcPr>
            <w:tcW w:w="1511" w:type="dxa"/>
          </w:tcPr>
          <w:p w:rsidR="002871F1" w:rsidRDefault="002871F1" w:rsidP="003A2881">
            <w:pPr>
              <w:pStyle w:val="Norm6pt"/>
              <w:jc w:val="right"/>
            </w:pPr>
            <w:r>
              <w:t>$ 200.00</w:t>
            </w:r>
          </w:p>
        </w:tc>
        <w:tc>
          <w:tcPr>
            <w:tcW w:w="4819" w:type="dxa"/>
          </w:tcPr>
          <w:p w:rsidR="002871F1" w:rsidRDefault="002871F1" w:rsidP="003A2881">
            <w:pPr>
              <w:pStyle w:val="Norm6pt"/>
            </w:pPr>
            <w:r>
              <w:t xml:space="preserve">I put money on my electricity account every fortnight but this still doesn’t cover the full bill for the quarter. </w:t>
            </w:r>
          </w:p>
        </w:tc>
      </w:tr>
      <w:tr w:rsidR="002871F1" w:rsidTr="003A2881">
        <w:tc>
          <w:tcPr>
            <w:tcW w:w="2850" w:type="dxa"/>
          </w:tcPr>
          <w:p w:rsidR="002871F1" w:rsidRDefault="002871F1" w:rsidP="003A2881">
            <w:pPr>
              <w:pStyle w:val="Norm6pt"/>
            </w:pPr>
            <w:r>
              <w:t>Vehicle Fuel</w:t>
            </w:r>
          </w:p>
        </w:tc>
        <w:tc>
          <w:tcPr>
            <w:tcW w:w="1511" w:type="dxa"/>
          </w:tcPr>
          <w:p w:rsidR="002871F1" w:rsidRDefault="002871F1" w:rsidP="003A2881">
            <w:pPr>
              <w:pStyle w:val="Norm6pt"/>
              <w:jc w:val="right"/>
            </w:pPr>
            <w:r>
              <w:t>$ 200.00</w:t>
            </w:r>
          </w:p>
        </w:tc>
        <w:tc>
          <w:tcPr>
            <w:tcW w:w="4819" w:type="dxa"/>
          </w:tcPr>
          <w:p w:rsidR="002871F1" w:rsidRDefault="002871F1" w:rsidP="003A2881">
            <w:pPr>
              <w:pStyle w:val="Norm6pt"/>
            </w:pPr>
            <w:r>
              <w:t xml:space="preserve">Approximate cost per month. </w:t>
            </w:r>
          </w:p>
          <w:p w:rsidR="002871F1" w:rsidRDefault="002871F1" w:rsidP="003A2881">
            <w:pPr>
              <w:pStyle w:val="Norm6pt"/>
            </w:pPr>
            <w:r>
              <w:t>Super petrol – $1.47 vs. $ 1.76 (Brisbane price)</w:t>
            </w:r>
          </w:p>
        </w:tc>
      </w:tr>
      <w:tr w:rsidR="002871F1" w:rsidTr="003A28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50" w:type="dxa"/>
          </w:tcPr>
          <w:p w:rsidR="002871F1" w:rsidRDefault="002871F1" w:rsidP="003A2881">
            <w:pPr>
              <w:pStyle w:val="Norm6pt"/>
            </w:pPr>
            <w:r>
              <w:t xml:space="preserve">Other bills </w:t>
            </w:r>
          </w:p>
        </w:tc>
        <w:tc>
          <w:tcPr>
            <w:tcW w:w="1511" w:type="dxa"/>
          </w:tcPr>
          <w:p w:rsidR="002871F1" w:rsidRDefault="002871F1" w:rsidP="003A2881">
            <w:pPr>
              <w:pStyle w:val="Norm6pt"/>
              <w:jc w:val="right"/>
            </w:pPr>
            <w:r>
              <w:t>$ 1800.00</w:t>
            </w:r>
          </w:p>
        </w:tc>
        <w:tc>
          <w:tcPr>
            <w:tcW w:w="4819" w:type="dxa"/>
          </w:tcPr>
          <w:p w:rsidR="002871F1" w:rsidRDefault="002871F1" w:rsidP="003A2881">
            <w:pPr>
              <w:pStyle w:val="Norm6pt"/>
            </w:pPr>
            <w:r>
              <w:t xml:space="preserve">These other bills include – vehicle insurance, internet expenses, vehicle repayments, entertainment (Austar) and pet food. </w:t>
            </w:r>
          </w:p>
        </w:tc>
      </w:tr>
      <w:tr w:rsidR="002871F1" w:rsidRPr="00954697" w:rsidTr="003A2881">
        <w:tc>
          <w:tcPr>
            <w:tcW w:w="2850" w:type="dxa"/>
          </w:tcPr>
          <w:p w:rsidR="002871F1" w:rsidRPr="00954697" w:rsidRDefault="002871F1" w:rsidP="003A2881">
            <w:pPr>
              <w:pStyle w:val="Norm6pt"/>
              <w:rPr>
                <w:i/>
                <w:color w:val="FF0000"/>
              </w:rPr>
            </w:pPr>
            <w:r w:rsidRPr="00954697">
              <w:rPr>
                <w:b/>
                <w:i/>
                <w:color w:val="FF0000"/>
              </w:rPr>
              <w:t xml:space="preserve">Total Monthly income </w:t>
            </w:r>
            <w:r w:rsidRPr="00954697">
              <w:rPr>
                <w:i/>
                <w:color w:val="FF0000"/>
              </w:rPr>
              <w:t>(before tax – approximate.)</w:t>
            </w:r>
          </w:p>
        </w:tc>
        <w:tc>
          <w:tcPr>
            <w:tcW w:w="1511" w:type="dxa"/>
          </w:tcPr>
          <w:p w:rsidR="002871F1" w:rsidRPr="00954697" w:rsidRDefault="002871F1" w:rsidP="003A2881">
            <w:pPr>
              <w:pStyle w:val="Norm6pt"/>
              <w:jc w:val="right"/>
              <w:rPr>
                <w:b/>
                <w:i/>
                <w:color w:val="FF0000"/>
              </w:rPr>
            </w:pPr>
            <w:r w:rsidRPr="00954697">
              <w:rPr>
                <w:b/>
                <w:i/>
                <w:color w:val="FF0000"/>
              </w:rPr>
              <w:t>$ 5000.00</w:t>
            </w:r>
          </w:p>
        </w:tc>
        <w:tc>
          <w:tcPr>
            <w:tcW w:w="4819" w:type="dxa"/>
          </w:tcPr>
          <w:p w:rsidR="002871F1" w:rsidRPr="00954697" w:rsidRDefault="002871F1" w:rsidP="003A2881">
            <w:pPr>
              <w:pStyle w:val="Norm6pt"/>
              <w:rPr>
                <w:b/>
                <w:i/>
                <w:color w:val="FF0000"/>
              </w:rPr>
            </w:pPr>
          </w:p>
        </w:tc>
      </w:tr>
      <w:tr w:rsidR="002871F1" w:rsidRPr="00954697" w:rsidTr="003A28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50" w:type="dxa"/>
          </w:tcPr>
          <w:p w:rsidR="002871F1" w:rsidRPr="00954697" w:rsidRDefault="002871F1" w:rsidP="003A2881">
            <w:pPr>
              <w:pStyle w:val="Norm6pt"/>
              <w:rPr>
                <w:b/>
                <w:i/>
                <w:color w:val="FF0000"/>
              </w:rPr>
            </w:pPr>
            <w:r w:rsidRPr="00954697">
              <w:rPr>
                <w:b/>
                <w:i/>
                <w:color w:val="FF0000"/>
              </w:rPr>
              <w:t xml:space="preserve">Money leftover </w:t>
            </w:r>
          </w:p>
        </w:tc>
        <w:tc>
          <w:tcPr>
            <w:tcW w:w="1511" w:type="dxa"/>
          </w:tcPr>
          <w:p w:rsidR="002871F1" w:rsidRPr="00954697" w:rsidRDefault="002871F1" w:rsidP="003A2881">
            <w:pPr>
              <w:pStyle w:val="Norm6pt"/>
              <w:jc w:val="right"/>
              <w:rPr>
                <w:b/>
                <w:i/>
                <w:color w:val="FF0000"/>
              </w:rPr>
            </w:pPr>
            <w:r w:rsidRPr="00954697">
              <w:rPr>
                <w:b/>
                <w:i/>
                <w:color w:val="FF0000"/>
              </w:rPr>
              <w:t>$ 1684.00</w:t>
            </w:r>
          </w:p>
        </w:tc>
        <w:tc>
          <w:tcPr>
            <w:tcW w:w="4819" w:type="dxa"/>
          </w:tcPr>
          <w:p w:rsidR="002871F1" w:rsidRPr="00954697" w:rsidRDefault="002871F1" w:rsidP="003A2881">
            <w:pPr>
              <w:pStyle w:val="Norm6pt"/>
              <w:rPr>
                <w:b/>
                <w:i/>
                <w:color w:val="FF0000"/>
              </w:rPr>
            </w:pPr>
          </w:p>
        </w:tc>
      </w:tr>
    </w:tbl>
    <w:p w:rsidR="002871F1" w:rsidRDefault="002871F1" w:rsidP="002871F1">
      <w:pPr>
        <w:pStyle w:val="Norm6pt"/>
      </w:pPr>
      <w:r>
        <w:t xml:space="preserve">The prices above don’t include one off expenses for items like vehicle registration, vehicle services, etc.  </w:t>
      </w:r>
    </w:p>
    <w:p w:rsidR="0094290D" w:rsidRDefault="0094290D" w:rsidP="0094290D">
      <w:pPr>
        <w:pStyle w:val="Norm6pt"/>
      </w:pPr>
      <w:r>
        <w:t>In regards to the</w:t>
      </w:r>
      <w:r w:rsidRPr="00922E93">
        <w:t xml:space="preserve"> Produ</w:t>
      </w:r>
      <w:r>
        <w:t xml:space="preserve">ctivity Commission Issues Paper on </w:t>
      </w:r>
      <w:r w:rsidRPr="00922E93">
        <w:t>Remote Are</w:t>
      </w:r>
      <w:r>
        <w:t xml:space="preserve">a Tax Concessions and Payments, I believe a review needs to be undertaken to ensure equity for those like myself living in very remote areas of Australia. </w:t>
      </w:r>
    </w:p>
    <w:p w:rsidR="000453A8" w:rsidRDefault="000453A8" w:rsidP="000453A8">
      <w:pPr>
        <w:pStyle w:val="Norm6pt"/>
      </w:pPr>
    </w:p>
    <w:p w:rsidR="00954697" w:rsidRDefault="00954697" w:rsidP="00954697">
      <w:pPr>
        <w:pStyle w:val="Norm6pt"/>
      </w:pPr>
    </w:p>
    <w:sectPr w:rsidR="00954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25F3"/>
    <w:multiLevelType w:val="hybridMultilevel"/>
    <w:tmpl w:val="41EA10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460754"/>
    <w:multiLevelType w:val="hybridMultilevel"/>
    <w:tmpl w:val="94F2B2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E6676"/>
    <w:multiLevelType w:val="hybridMultilevel"/>
    <w:tmpl w:val="0802B824"/>
    <w:lvl w:ilvl="0" w:tplc="DC461916">
      <w:start w:val="1"/>
      <w:numFmt w:val="decimal"/>
      <w:pStyle w:val="Heading5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B3BAC"/>
    <w:multiLevelType w:val="hybridMultilevel"/>
    <w:tmpl w:val="3EEA2712"/>
    <w:lvl w:ilvl="0" w:tplc="4A38C352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C169EC"/>
    <w:multiLevelType w:val="hybridMultilevel"/>
    <w:tmpl w:val="B4444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F5"/>
    <w:rsid w:val="00016F7F"/>
    <w:rsid w:val="000453A8"/>
    <w:rsid w:val="00115061"/>
    <w:rsid w:val="00146DF3"/>
    <w:rsid w:val="001601EE"/>
    <w:rsid w:val="002871F1"/>
    <w:rsid w:val="002C4017"/>
    <w:rsid w:val="00457ADF"/>
    <w:rsid w:val="004B789C"/>
    <w:rsid w:val="0066440A"/>
    <w:rsid w:val="006D313C"/>
    <w:rsid w:val="00767B35"/>
    <w:rsid w:val="00781B7E"/>
    <w:rsid w:val="0079300E"/>
    <w:rsid w:val="007E55F5"/>
    <w:rsid w:val="00801688"/>
    <w:rsid w:val="00815FC6"/>
    <w:rsid w:val="00887637"/>
    <w:rsid w:val="009025BC"/>
    <w:rsid w:val="00922E93"/>
    <w:rsid w:val="009347B9"/>
    <w:rsid w:val="0094290D"/>
    <w:rsid w:val="00954697"/>
    <w:rsid w:val="00A13060"/>
    <w:rsid w:val="00AB5B86"/>
    <w:rsid w:val="00AD1FAA"/>
    <w:rsid w:val="00B605F5"/>
    <w:rsid w:val="00C10045"/>
    <w:rsid w:val="00C24E29"/>
    <w:rsid w:val="00C63E12"/>
    <w:rsid w:val="00CA5644"/>
    <w:rsid w:val="00D10192"/>
    <w:rsid w:val="00D136D7"/>
    <w:rsid w:val="00D565BE"/>
    <w:rsid w:val="00E17B1F"/>
    <w:rsid w:val="00E3377E"/>
    <w:rsid w:val="00E60CA7"/>
    <w:rsid w:val="00EE1C53"/>
    <w:rsid w:val="00E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B54102-B31A-4259-9531-5B205F66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688"/>
    <w:pPr>
      <w:spacing w:after="0" w:line="240" w:lineRule="auto"/>
    </w:pPr>
    <w:rPr>
      <w:rFonts w:ascii="Calibri" w:hAnsi="Calibri" w:cs="Times New Roman"/>
      <w:szCs w:val="20"/>
      <w:lang w:val="en-GB"/>
    </w:rPr>
  </w:style>
  <w:style w:type="paragraph" w:styleId="Heading1">
    <w:name w:val="heading 1"/>
    <w:basedOn w:val="Normal"/>
    <w:next w:val="Norm6pt"/>
    <w:link w:val="Heading1Char"/>
    <w:uiPriority w:val="9"/>
    <w:qFormat/>
    <w:rsid w:val="0080168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bCs/>
      <w:sz w:val="32"/>
      <w:szCs w:val="28"/>
    </w:rPr>
  </w:style>
  <w:style w:type="paragraph" w:styleId="Heading2">
    <w:name w:val="heading 2"/>
    <w:basedOn w:val="Normal"/>
    <w:next w:val="Norm6pt"/>
    <w:link w:val="Heading2Char"/>
    <w:uiPriority w:val="9"/>
    <w:unhideWhenUsed/>
    <w:qFormat/>
    <w:rsid w:val="00801688"/>
    <w:pPr>
      <w:keepNext/>
      <w:keepLines/>
      <w:spacing w:before="360" w:after="240"/>
      <w:ind w:left="720" w:hanging="72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6pt"/>
    <w:link w:val="Heading3Char"/>
    <w:uiPriority w:val="9"/>
    <w:unhideWhenUsed/>
    <w:qFormat/>
    <w:rsid w:val="00801688"/>
    <w:pPr>
      <w:keepNext/>
      <w:keepLines/>
      <w:spacing w:before="240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Normal"/>
    <w:next w:val="Norm6pt"/>
    <w:link w:val="Heading4Char"/>
    <w:uiPriority w:val="9"/>
    <w:unhideWhenUsed/>
    <w:qFormat/>
    <w:rsid w:val="00801688"/>
    <w:pPr>
      <w:keepNext/>
      <w:keepLines/>
      <w:spacing w:before="24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01EE"/>
    <w:pPr>
      <w:keepNext/>
      <w:numPr>
        <w:numId w:val="2"/>
      </w:numPr>
      <w:spacing w:before="360" w:after="120"/>
      <w:outlineLvl w:val="4"/>
    </w:pPr>
    <w:rPr>
      <w:rFonts w:eastAsiaTheme="minorHAnsi"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6pt">
    <w:name w:val="Norm6pt"/>
    <w:basedOn w:val="Normal"/>
    <w:link w:val="Norm6ptChar"/>
    <w:qFormat/>
    <w:rsid w:val="00781B7E"/>
    <w:pPr>
      <w:spacing w:before="120" w:after="120"/>
    </w:pPr>
    <w:rPr>
      <w:lang w:val="en-US"/>
    </w:rPr>
  </w:style>
  <w:style w:type="character" w:customStyle="1" w:styleId="Norm6ptChar">
    <w:name w:val="Norm6pt Char"/>
    <w:basedOn w:val="DefaultParagraphFont"/>
    <w:link w:val="Norm6pt"/>
    <w:rsid w:val="00781B7E"/>
    <w:rPr>
      <w:rFonts w:ascii="Calibri" w:hAnsi="Calibri" w:cs="Times New Roman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1601EE"/>
    <w:rPr>
      <w:rFonts w:ascii="Calibri" w:eastAsiaTheme="minorHAnsi" w:hAnsi="Calibri" w:cs="Times New Roman"/>
      <w:caps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01688"/>
    <w:rPr>
      <w:rFonts w:eastAsiaTheme="majorEastAsia" w:cstheme="majorBidi"/>
      <w:bCs/>
      <w:sz w:val="32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01688"/>
    <w:rPr>
      <w:rFonts w:ascii="Calibri" w:eastAsiaTheme="majorEastAsia" w:hAnsi="Calibri" w:cstheme="majorBidi"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01688"/>
    <w:rPr>
      <w:rFonts w:ascii="Calibri" w:eastAsiaTheme="majorEastAsia" w:hAnsi="Calibri" w:cstheme="majorBidi"/>
      <w:bCs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801688"/>
    <w:rPr>
      <w:rFonts w:ascii="Calibri" w:eastAsiaTheme="majorEastAsia" w:hAnsi="Calibri" w:cstheme="majorBidi"/>
      <w:bCs/>
      <w:i/>
      <w:iCs/>
      <w:szCs w:val="20"/>
      <w:lang w:val="en-GB"/>
    </w:rPr>
  </w:style>
  <w:style w:type="paragraph" w:styleId="Title">
    <w:name w:val="Title"/>
    <w:basedOn w:val="Normal"/>
    <w:next w:val="Norm6pt"/>
    <w:link w:val="TitleChar"/>
    <w:uiPriority w:val="10"/>
    <w:qFormat/>
    <w:rsid w:val="00801688"/>
    <w:pPr>
      <w:pBdr>
        <w:bottom w:val="single" w:sz="8" w:space="4" w:color="4F81BD" w:themeColor="accent1"/>
      </w:pBdr>
      <w:spacing w:after="300"/>
      <w:contextualSpacing/>
    </w:pPr>
    <w:rPr>
      <w:rFonts w:ascii="Calibri Light" w:eastAsiaTheme="majorEastAsia" w:hAnsi="Calibri Light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1688"/>
    <w:rPr>
      <w:rFonts w:ascii="Calibri Light" w:eastAsiaTheme="majorEastAsia" w:hAnsi="Calibri Light" w:cstheme="majorBidi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6pt"/>
    <w:link w:val="SubtitleChar"/>
    <w:uiPriority w:val="11"/>
    <w:qFormat/>
    <w:rsid w:val="00767B35"/>
    <w:pPr>
      <w:numPr>
        <w:ilvl w:val="1"/>
      </w:numPr>
      <w:spacing w:before="120"/>
    </w:pPr>
    <w:rPr>
      <w:rFonts w:ascii="Calibri Light" w:eastAsiaTheme="majorEastAsia" w:hAnsi="Calibri Light" w:cstheme="majorBidi"/>
      <w:iCs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7B35"/>
    <w:rPr>
      <w:rFonts w:ascii="Calibri Light" w:eastAsiaTheme="majorEastAsia" w:hAnsi="Calibri Light" w:cstheme="majorBidi"/>
      <w:iCs/>
      <w:spacing w:val="15"/>
      <w:sz w:val="32"/>
      <w:szCs w:val="24"/>
      <w:lang w:val="en-GB"/>
    </w:rPr>
  </w:style>
  <w:style w:type="paragraph" w:customStyle="1" w:styleId="Other">
    <w:name w:val="Other"/>
    <w:basedOn w:val="Normal"/>
    <w:next w:val="Other2"/>
    <w:link w:val="OtherChar"/>
    <w:qFormat/>
    <w:rsid w:val="00EF47E1"/>
    <w:pPr>
      <w:spacing w:before="240"/>
    </w:pPr>
    <w:rPr>
      <w:rFonts w:ascii="Calibri Light" w:hAnsi="Calibri Light"/>
      <w:spacing w:val="20"/>
      <w:sz w:val="28"/>
    </w:rPr>
  </w:style>
  <w:style w:type="character" w:customStyle="1" w:styleId="OtherChar">
    <w:name w:val="Other Char"/>
    <w:basedOn w:val="DefaultParagraphFont"/>
    <w:link w:val="Other"/>
    <w:rsid w:val="00EF47E1"/>
    <w:rPr>
      <w:rFonts w:ascii="Calibri Light" w:hAnsi="Calibri Light" w:cs="Times New Roman"/>
      <w:spacing w:val="20"/>
      <w:sz w:val="28"/>
      <w:szCs w:val="20"/>
      <w:lang w:val="en-GB"/>
    </w:rPr>
  </w:style>
  <w:style w:type="paragraph" w:customStyle="1" w:styleId="Other2">
    <w:name w:val="Other 2"/>
    <w:basedOn w:val="Normal"/>
    <w:next w:val="Norm6pt"/>
    <w:link w:val="Other2Char"/>
    <w:qFormat/>
    <w:rsid w:val="009025BC"/>
    <w:pPr>
      <w:spacing w:after="360"/>
    </w:pPr>
  </w:style>
  <w:style w:type="character" w:customStyle="1" w:styleId="Other2Char">
    <w:name w:val="Other 2 Char"/>
    <w:basedOn w:val="DefaultParagraphFont"/>
    <w:link w:val="Other2"/>
    <w:rsid w:val="009025BC"/>
    <w:rPr>
      <w:rFonts w:ascii="Calibri" w:hAnsi="Calibri" w:cs="Times New Roman"/>
      <w:szCs w:val="20"/>
      <w:lang w:val="en-GB"/>
    </w:rPr>
  </w:style>
  <w:style w:type="table" w:customStyle="1" w:styleId="PlainTable11">
    <w:name w:val="Plain Table 11"/>
    <w:basedOn w:val="TableNormal"/>
    <w:uiPriority w:val="41"/>
    <w:rsid w:val="00E60CA7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aliases w:val="Custom Table"/>
    <w:basedOn w:val="TableNormal"/>
    <w:uiPriority w:val="59"/>
    <w:rsid w:val="00815FC6"/>
    <w:pPr>
      <w:spacing w:after="0" w:line="240" w:lineRule="auto"/>
    </w:pPr>
    <w:tblPr>
      <w:tblStyleRow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blStylePr w:type="band2Horz">
      <w:tblPr/>
      <w:trPr>
        <w:cantSplit/>
        <w:tblHeader/>
      </w:trPr>
      <w:tcPr>
        <w:shd w:val="clear" w:color="auto" w:fill="F2F2F2" w:themeFill="background1" w:themeFillShade="F2"/>
      </w:tcPr>
    </w:tblStylePr>
  </w:style>
  <w:style w:type="table" w:customStyle="1" w:styleId="CustomTableStyle">
    <w:name w:val="Custom Table Style"/>
    <w:basedOn w:val="TableNormal"/>
    <w:uiPriority w:val="99"/>
    <w:rsid w:val="00C63E12"/>
    <w:pPr>
      <w:spacing w:after="0" w:line="240" w:lineRule="auto"/>
    </w:pPr>
    <w:tblPr>
      <w:tblStyleRow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blStylePr w:type="firstRow">
      <w:rPr>
        <w:b/>
      </w:rPr>
    </w:tblStylePr>
    <w:tblStylePr w:type="band1Horz">
      <w:tblPr/>
      <w:trPr>
        <w:cantSplit/>
      </w:trPr>
      <w:tcPr>
        <w:tc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cBorders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51 - Madison Marshall - Remote Area Tax Concessions and Payments - Commissioned study</vt:lpstr>
    </vt:vector>
  </TitlesOfParts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51 - Madison Marshall - Remote Area Tax Concessions and Payments - Commissioned study</dc:title>
  <dc:creator>Madison Marshall</dc:creator>
  <cp:lastModifiedBy>Pimperl, Mark</cp:lastModifiedBy>
  <cp:revision>18</cp:revision>
  <dcterms:created xsi:type="dcterms:W3CDTF">2019-04-29T03:20:00Z</dcterms:created>
  <dcterms:modified xsi:type="dcterms:W3CDTF">2019-05-02T01:19:00Z</dcterms:modified>
</cp:coreProperties>
</file>