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DD725" w14:textId="77777777" w:rsidR="00164BBC" w:rsidRDefault="00164BBC" w:rsidP="00990285">
      <w:pPr>
        <w:pStyle w:val="BodyText"/>
      </w:pPr>
      <w:bookmarkStart w:id="0" w:name="_GoBack"/>
      <w:bookmarkEnd w:id="0"/>
      <w:r>
        <w:t>Jonathan Coppel</w:t>
      </w:r>
    </w:p>
    <w:p w14:paraId="048371D3" w14:textId="77777777" w:rsidR="00164BBC" w:rsidRDefault="00164BBC" w:rsidP="00990285">
      <w:pPr>
        <w:pStyle w:val="BodyText"/>
      </w:pPr>
      <w:r>
        <w:t>Presiding Commissioner</w:t>
      </w:r>
    </w:p>
    <w:p w14:paraId="41B254CA" w14:textId="77777777" w:rsidR="00164BBC" w:rsidRDefault="00164BBC" w:rsidP="00990285">
      <w:pPr>
        <w:pStyle w:val="BodyText"/>
      </w:pPr>
      <w:r>
        <w:t>And</w:t>
      </w:r>
    </w:p>
    <w:p w14:paraId="716B9881" w14:textId="77777777" w:rsidR="00164BBC" w:rsidRDefault="00164BBC" w:rsidP="00990285">
      <w:pPr>
        <w:pStyle w:val="BodyText"/>
      </w:pPr>
      <w:r>
        <w:t>Paul Lindwall</w:t>
      </w:r>
    </w:p>
    <w:p w14:paraId="47C685DF" w14:textId="77777777" w:rsidR="00164BBC" w:rsidRDefault="00164BBC" w:rsidP="00990285">
      <w:pPr>
        <w:pStyle w:val="BodyText"/>
      </w:pPr>
      <w:r>
        <w:t>Commissioner</w:t>
      </w:r>
    </w:p>
    <w:p w14:paraId="260AA357" w14:textId="77777777" w:rsidR="00164BBC" w:rsidRDefault="00164BBC" w:rsidP="00990285">
      <w:pPr>
        <w:pStyle w:val="BodyText"/>
      </w:pPr>
      <w:r>
        <w:t>Productivity Commission</w:t>
      </w:r>
    </w:p>
    <w:p w14:paraId="01290698" w14:textId="77777777" w:rsidR="00164BBC" w:rsidRDefault="00164BBC" w:rsidP="00990285">
      <w:pPr>
        <w:pStyle w:val="BodyText"/>
      </w:pPr>
      <w:r>
        <w:t xml:space="preserve">Canberra </w:t>
      </w:r>
      <w:r w:rsidR="002877B5">
        <w:t xml:space="preserve">   </w:t>
      </w:r>
      <w:r>
        <w:t>ACT  2601</w:t>
      </w:r>
    </w:p>
    <w:p w14:paraId="1DEE9B5C" w14:textId="77777777" w:rsidR="00164BBC" w:rsidRDefault="00164BBC" w:rsidP="00990285">
      <w:pPr>
        <w:pStyle w:val="BodyText"/>
      </w:pPr>
    </w:p>
    <w:p w14:paraId="65CADD5B" w14:textId="77777777" w:rsidR="002877B5" w:rsidRDefault="002877B5" w:rsidP="00990285">
      <w:pPr>
        <w:pStyle w:val="BodyText"/>
      </w:pPr>
    </w:p>
    <w:p w14:paraId="329AD599" w14:textId="77777777" w:rsidR="002877B5" w:rsidRDefault="002877B5" w:rsidP="00990285">
      <w:pPr>
        <w:pStyle w:val="BodyText"/>
      </w:pPr>
      <w:r>
        <w:t>11 October 2019</w:t>
      </w:r>
    </w:p>
    <w:p w14:paraId="79010F2B" w14:textId="77777777" w:rsidR="002877B5" w:rsidRDefault="002877B5" w:rsidP="00990285">
      <w:pPr>
        <w:pStyle w:val="BodyText"/>
      </w:pPr>
    </w:p>
    <w:p w14:paraId="38AFD47D" w14:textId="77777777" w:rsidR="00164BBC" w:rsidRDefault="00164BBC" w:rsidP="00990285">
      <w:pPr>
        <w:pStyle w:val="BodyText"/>
      </w:pPr>
      <w:r>
        <w:t>Dear Sirs</w:t>
      </w:r>
    </w:p>
    <w:p w14:paraId="4C77A097" w14:textId="77777777" w:rsidR="00164BBC" w:rsidRPr="00C95302" w:rsidRDefault="00164BBC" w:rsidP="00990285">
      <w:pPr>
        <w:pStyle w:val="BodyText"/>
        <w:rPr>
          <w:b/>
          <w:sz w:val="24"/>
          <w:szCs w:val="24"/>
        </w:rPr>
      </w:pPr>
    </w:p>
    <w:p w14:paraId="2458B140" w14:textId="77777777" w:rsidR="002877B5" w:rsidRPr="00C95302" w:rsidRDefault="00164BBC" w:rsidP="00990285">
      <w:pPr>
        <w:pStyle w:val="BodyText"/>
        <w:rPr>
          <w:b/>
          <w:sz w:val="24"/>
          <w:szCs w:val="24"/>
        </w:rPr>
      </w:pPr>
      <w:r w:rsidRPr="00C95302">
        <w:rPr>
          <w:b/>
          <w:sz w:val="24"/>
          <w:szCs w:val="24"/>
        </w:rPr>
        <w:t>REMOTE AREA TAX CONCESSIONS AND PAYMENTS</w:t>
      </w:r>
      <w:r w:rsidR="002877B5" w:rsidRPr="00C95302">
        <w:rPr>
          <w:b/>
          <w:sz w:val="24"/>
          <w:szCs w:val="24"/>
        </w:rPr>
        <w:t xml:space="preserve"> - PRODUCTIVITY COMMISSION DRAFT REPORT</w:t>
      </w:r>
    </w:p>
    <w:p w14:paraId="7994A968" w14:textId="77777777" w:rsidR="002877B5" w:rsidRPr="00C95302" w:rsidRDefault="002877B5" w:rsidP="00990285">
      <w:pPr>
        <w:pStyle w:val="BodyText"/>
        <w:rPr>
          <w:b/>
          <w:sz w:val="24"/>
          <w:szCs w:val="24"/>
        </w:rPr>
      </w:pPr>
      <w:r w:rsidRPr="00C95302">
        <w:rPr>
          <w:b/>
          <w:sz w:val="24"/>
          <w:szCs w:val="24"/>
        </w:rPr>
        <w:t>RESPONSE TO INVITATION TO COMMENT - AUSTRALIAN SALARY PACKAGING INDUSTRY ASSOCIATION (ASPIA)</w:t>
      </w:r>
    </w:p>
    <w:p w14:paraId="5733EDB8" w14:textId="77777777" w:rsidR="00164BBC" w:rsidRDefault="00164BBC" w:rsidP="00990285">
      <w:pPr>
        <w:pStyle w:val="BodyText"/>
      </w:pPr>
    </w:p>
    <w:p w14:paraId="7E339E41" w14:textId="77777777" w:rsidR="002877B5" w:rsidRDefault="002877B5" w:rsidP="00990285">
      <w:pPr>
        <w:pStyle w:val="BodyText"/>
      </w:pPr>
      <w:r>
        <w:t xml:space="preserve">ASPIA </w:t>
      </w:r>
      <w:r w:rsidR="00D97149">
        <w:t xml:space="preserve">is an industry body representing eleven outsourced salary packaging and novated leasing providers across Australia. Many of our members administer salary packaging of remote area benefits on behalf of employer clients located in remote areas. We </w:t>
      </w:r>
      <w:r>
        <w:t xml:space="preserve">appreciate the opportunity to provide input to the Productivity Commission’s review of the remote area tax concessions and payments framework. Provided below are some general comments </w:t>
      </w:r>
      <w:r w:rsidR="00D97149">
        <w:t xml:space="preserve">based on our experience, which we trust will be helpful in relation to this review, </w:t>
      </w:r>
      <w:r>
        <w:t xml:space="preserve">as well as </w:t>
      </w:r>
      <w:r w:rsidR="00D97149">
        <w:t xml:space="preserve">our </w:t>
      </w:r>
      <w:r>
        <w:t xml:space="preserve">specific responses to Information Requests </w:t>
      </w:r>
      <w:r w:rsidR="00C95302">
        <w:t>2</w:t>
      </w:r>
      <w:r>
        <w:t xml:space="preserve"> – 6 inclusive.</w:t>
      </w:r>
    </w:p>
    <w:p w14:paraId="1D4B31D4" w14:textId="77777777" w:rsidR="002877B5" w:rsidRDefault="002877B5" w:rsidP="00990285">
      <w:pPr>
        <w:pStyle w:val="BodyText"/>
      </w:pPr>
    </w:p>
    <w:p w14:paraId="68C36290" w14:textId="77777777" w:rsidR="002877B5" w:rsidRPr="00C95302" w:rsidRDefault="002877B5" w:rsidP="00990285">
      <w:pPr>
        <w:pStyle w:val="BodyText"/>
        <w:rPr>
          <w:b/>
          <w:sz w:val="24"/>
          <w:szCs w:val="24"/>
        </w:rPr>
      </w:pPr>
      <w:r w:rsidRPr="00C95302">
        <w:rPr>
          <w:b/>
          <w:sz w:val="24"/>
          <w:szCs w:val="24"/>
        </w:rPr>
        <w:t>General Comments</w:t>
      </w:r>
    </w:p>
    <w:p w14:paraId="2AA91245" w14:textId="77777777" w:rsidR="002877B5" w:rsidRDefault="00B448C5" w:rsidP="00990285">
      <w:pPr>
        <w:pStyle w:val="BodyText"/>
      </w:pPr>
      <w:r>
        <w:t xml:space="preserve">The National Automotive Leasing and Salary Packaging Association (NALSPA) is another industry body representing five outsourced salary packaging and novated leasing providers. </w:t>
      </w:r>
      <w:r w:rsidR="002877B5">
        <w:t>ASPIA</w:t>
      </w:r>
      <w:r w:rsidR="00B63003">
        <w:t xml:space="preserve"> is</w:t>
      </w:r>
      <w:r w:rsidR="002877B5">
        <w:t xml:space="preserve"> largely in agreement with </w:t>
      </w:r>
      <w:r w:rsidR="00B63003">
        <w:t xml:space="preserve">the content of </w:t>
      </w:r>
      <w:proofErr w:type="gramStart"/>
      <w:r w:rsidR="002877B5">
        <w:t>NALSPA</w:t>
      </w:r>
      <w:r>
        <w:t xml:space="preserve">’s </w:t>
      </w:r>
      <w:r w:rsidR="002877B5">
        <w:t xml:space="preserve"> </w:t>
      </w:r>
      <w:r w:rsidR="00CD012C">
        <w:t>original</w:t>
      </w:r>
      <w:proofErr w:type="gramEnd"/>
      <w:r w:rsidR="00CD012C">
        <w:t xml:space="preserve"> </w:t>
      </w:r>
      <w:r w:rsidR="002877B5">
        <w:t>submission</w:t>
      </w:r>
      <w:r>
        <w:t xml:space="preserve"> to the Productivity Commission in relation to remote area tax concessions</w:t>
      </w:r>
      <w:r w:rsidR="00B63003">
        <w:t>.</w:t>
      </w:r>
    </w:p>
    <w:p w14:paraId="332EA062" w14:textId="77777777" w:rsidR="007B178C" w:rsidRDefault="00C9393F" w:rsidP="00990285">
      <w:pPr>
        <w:pStyle w:val="BodyText"/>
      </w:pPr>
      <w:r>
        <w:t xml:space="preserve">The </w:t>
      </w:r>
      <w:r w:rsidR="00B448C5">
        <w:t>s</w:t>
      </w:r>
      <w:r>
        <w:t xml:space="preserve">alary </w:t>
      </w:r>
      <w:r w:rsidR="00B448C5">
        <w:t>p</w:t>
      </w:r>
      <w:r>
        <w:t xml:space="preserve">ackaging </w:t>
      </w:r>
      <w:r w:rsidR="00B448C5">
        <w:t>i</w:t>
      </w:r>
      <w:r>
        <w:t xml:space="preserve">ndustry plays a central </w:t>
      </w:r>
      <w:r w:rsidR="003C1543">
        <w:t>part</w:t>
      </w:r>
      <w:r>
        <w:t xml:space="preserve"> in connecting remote area employers </w:t>
      </w:r>
      <w:r w:rsidR="00B448C5">
        <w:t xml:space="preserve">and their employees </w:t>
      </w:r>
      <w:r>
        <w:t xml:space="preserve">with the remote area </w:t>
      </w:r>
      <w:r w:rsidR="00B448C5">
        <w:t xml:space="preserve">tax </w:t>
      </w:r>
      <w:r>
        <w:t>concessions. Salary packaging businesses have develop</w:t>
      </w:r>
      <w:r w:rsidR="002F37C5">
        <w:t>ed</w:t>
      </w:r>
      <w:r>
        <w:t xml:space="preserve"> systems, processes and technology that efficiently and effectively deliver</w:t>
      </w:r>
      <w:r w:rsidR="00A21D6D">
        <w:t xml:space="preserve"> the value of</w:t>
      </w:r>
      <w:r>
        <w:t xml:space="preserve"> </w:t>
      </w:r>
      <w:r w:rsidR="00A80B68">
        <w:t>legislative concessions to eligible employees</w:t>
      </w:r>
      <w:r w:rsidR="00A21D6D">
        <w:t xml:space="preserve"> while maintaining a high standard</w:t>
      </w:r>
      <w:r w:rsidR="00B448C5">
        <w:t xml:space="preserve"> </w:t>
      </w:r>
      <w:r w:rsidR="007B178C">
        <w:t xml:space="preserve">of compliance </w:t>
      </w:r>
      <w:r w:rsidR="00B448C5">
        <w:t xml:space="preserve">for employers. </w:t>
      </w:r>
    </w:p>
    <w:p w14:paraId="1ECB95BD" w14:textId="77777777" w:rsidR="00B448C5" w:rsidRDefault="00B448C5" w:rsidP="00990285">
      <w:pPr>
        <w:pStyle w:val="BodyText"/>
      </w:pPr>
      <w:r>
        <w:t>I</w:t>
      </w:r>
      <w:r w:rsidR="00A80B68">
        <w:t>n doing so</w:t>
      </w:r>
      <w:r>
        <w:t>, we consider these providers</w:t>
      </w:r>
      <w:r w:rsidR="00A80B68">
        <w:t xml:space="preserve"> play an important role in </w:t>
      </w:r>
      <w:r>
        <w:t>supporting the remote communities in which their clients operate. In particular, in our experience</w:t>
      </w:r>
      <w:r w:rsidR="00176913">
        <w:t>, through the use of salary packaging remote area benefits</w:t>
      </w:r>
      <w:r>
        <w:t>:</w:t>
      </w:r>
    </w:p>
    <w:p w14:paraId="033C27BD" w14:textId="77777777" w:rsidR="00777201" w:rsidRDefault="00777201" w:rsidP="00C95302">
      <w:pPr>
        <w:pStyle w:val="BodyText"/>
        <w:numPr>
          <w:ilvl w:val="0"/>
          <w:numId w:val="33"/>
        </w:numPr>
      </w:pPr>
      <w:r>
        <w:t>Employers in remote areas are better supported where they are forced to provide accommodation to employees due to a lack of suitable accommodation in the area;</w:t>
      </w:r>
    </w:p>
    <w:p w14:paraId="35CD3A5A" w14:textId="77777777" w:rsidR="00B448C5" w:rsidRDefault="00B448C5" w:rsidP="00C95302">
      <w:pPr>
        <w:pStyle w:val="BodyText"/>
        <w:numPr>
          <w:ilvl w:val="0"/>
          <w:numId w:val="33"/>
        </w:numPr>
      </w:pPr>
      <w:r>
        <w:t>Employers in remote ar</w:t>
      </w:r>
      <w:r w:rsidR="00176913">
        <w:t xml:space="preserve">eas are better able to attract and </w:t>
      </w:r>
      <w:r>
        <w:t xml:space="preserve">retain </w:t>
      </w:r>
      <w:r w:rsidR="00176913">
        <w:t>quality staff</w:t>
      </w:r>
      <w:r w:rsidR="00AC5A90">
        <w:t xml:space="preserve"> with the requisite skills</w:t>
      </w:r>
      <w:r w:rsidR="000A3381">
        <w:t xml:space="preserve"> needed</w:t>
      </w:r>
      <w:r w:rsidR="00176913">
        <w:t>;</w:t>
      </w:r>
    </w:p>
    <w:p w14:paraId="1D446D7C" w14:textId="77777777" w:rsidR="00B13D79" w:rsidRDefault="00B13D79" w:rsidP="00C95302">
      <w:pPr>
        <w:pStyle w:val="BodyText"/>
        <w:numPr>
          <w:ilvl w:val="0"/>
          <w:numId w:val="33"/>
        </w:numPr>
      </w:pPr>
      <w:r>
        <w:t>M</w:t>
      </w:r>
      <w:r w:rsidR="00176913">
        <w:t>ore people</w:t>
      </w:r>
      <w:r>
        <w:t xml:space="preserve"> are encouraged to settle permanently</w:t>
      </w:r>
      <w:r w:rsidR="00176913">
        <w:t xml:space="preserve"> in the area</w:t>
      </w:r>
      <w:r>
        <w:t xml:space="preserve">, which develops a stronger sense of community in the </w:t>
      </w:r>
      <w:r w:rsidR="00E80210">
        <w:t xml:space="preserve">remote </w:t>
      </w:r>
      <w:r>
        <w:t>location; and</w:t>
      </w:r>
    </w:p>
    <w:p w14:paraId="6528EFE8" w14:textId="77777777" w:rsidR="00176913" w:rsidRDefault="00B13D79" w:rsidP="00C95302">
      <w:pPr>
        <w:pStyle w:val="BodyText"/>
        <w:numPr>
          <w:ilvl w:val="0"/>
          <w:numId w:val="33"/>
        </w:numPr>
      </w:pPr>
      <w:r>
        <w:t xml:space="preserve">Communities are enhanced by having </w:t>
      </w:r>
      <w:r w:rsidR="00176913">
        <w:t xml:space="preserve">less </w:t>
      </w:r>
      <w:r>
        <w:t xml:space="preserve">‘transient’ </w:t>
      </w:r>
      <w:r w:rsidR="00176913">
        <w:t>people</w:t>
      </w:r>
      <w:r>
        <w:t xml:space="preserve"> moving through and therefore less of the problems this can create. </w:t>
      </w:r>
    </w:p>
    <w:p w14:paraId="6E888A85" w14:textId="77777777" w:rsidR="00E80210" w:rsidRDefault="00E80210">
      <w:pPr>
        <w:spacing w:after="0" w:line="240" w:lineRule="auto"/>
      </w:pPr>
      <w:r>
        <w:br w:type="page"/>
      </w:r>
    </w:p>
    <w:p w14:paraId="0736F819" w14:textId="77777777" w:rsidR="002877B5" w:rsidRDefault="002877B5" w:rsidP="00990285">
      <w:pPr>
        <w:pStyle w:val="BodyText"/>
      </w:pPr>
      <w:r>
        <w:lastRenderedPageBreak/>
        <w:t>In the experience of ASPIA members</w:t>
      </w:r>
      <w:r w:rsidR="00B13D79">
        <w:t>,</w:t>
      </w:r>
      <w:r>
        <w:t xml:space="preserve"> the remote area FBT concessions</w:t>
      </w:r>
      <w:r w:rsidR="00C9393F">
        <w:t xml:space="preserve"> are a central component of the remuneration offer</w:t>
      </w:r>
      <w:r w:rsidR="00B13D79">
        <w:t>ing</w:t>
      </w:r>
      <w:r w:rsidR="00C9393F">
        <w:t xml:space="preserve"> made </w:t>
      </w:r>
      <w:r w:rsidR="00B13D79">
        <w:t>by</w:t>
      </w:r>
      <w:r w:rsidR="00C9393F">
        <w:t xml:space="preserve"> remote area employers</w:t>
      </w:r>
      <w:r>
        <w:t xml:space="preserve"> in </w:t>
      </w:r>
      <w:r w:rsidR="00C9393F">
        <w:t xml:space="preserve">order to </w:t>
      </w:r>
      <w:r>
        <w:t>attract and retain high performing staff</w:t>
      </w:r>
      <w:r w:rsidR="00395D57">
        <w:t xml:space="preserve"> with the right skills</w:t>
      </w:r>
      <w:r w:rsidR="00A80B68">
        <w:t xml:space="preserve">.  </w:t>
      </w:r>
      <w:r w:rsidR="00B63003">
        <w:t>However</w:t>
      </w:r>
      <w:r w:rsidR="00395D57">
        <w:t>,</w:t>
      </w:r>
      <w:r w:rsidR="00A80B68">
        <w:t xml:space="preserve"> take up of these benefits is frustrated by</w:t>
      </w:r>
      <w:r w:rsidR="00B63003">
        <w:t xml:space="preserve"> the </w:t>
      </w:r>
      <w:r w:rsidR="00C9393F">
        <w:t xml:space="preserve">inherent </w:t>
      </w:r>
      <w:r w:rsidR="00B63003">
        <w:t>complexity</w:t>
      </w:r>
      <w:r w:rsidR="00C9393F">
        <w:t xml:space="preserve">, inconsistent legislative operation, </w:t>
      </w:r>
      <w:r w:rsidR="00B63003">
        <w:t>and</w:t>
      </w:r>
      <w:r w:rsidR="00C9393F">
        <w:t xml:space="preserve"> resulting</w:t>
      </w:r>
      <w:r w:rsidR="00B63003">
        <w:t xml:space="preserve"> lack of understanding of the concessions.</w:t>
      </w:r>
    </w:p>
    <w:p w14:paraId="62D87A39" w14:textId="77777777" w:rsidR="00B63003" w:rsidRDefault="00B63003" w:rsidP="00990285">
      <w:pPr>
        <w:pStyle w:val="BodyText"/>
      </w:pPr>
      <w:r>
        <w:t xml:space="preserve">In our view, </w:t>
      </w:r>
      <w:r w:rsidRPr="006D662C">
        <w:rPr>
          <w:b/>
          <w:u w:val="single"/>
        </w:rPr>
        <w:t>it is therefore important to retain or expand the concessions</w:t>
      </w:r>
      <w:r>
        <w:t xml:space="preserve"> and to </w:t>
      </w:r>
      <w:r w:rsidR="00E42469">
        <w:t xml:space="preserve">both </w:t>
      </w:r>
      <w:r w:rsidRPr="006D662C">
        <w:rPr>
          <w:b/>
          <w:u w:val="single"/>
        </w:rPr>
        <w:t>simplify their operation</w:t>
      </w:r>
      <w:r w:rsidR="00E42469">
        <w:t xml:space="preserve"> and adjust the legislative instruments in order </w:t>
      </w:r>
      <w:r w:rsidR="00E059EA">
        <w:t xml:space="preserve">provide for a </w:t>
      </w:r>
      <w:r w:rsidR="00E059EA" w:rsidRPr="006D662C">
        <w:rPr>
          <w:b/>
          <w:u w:val="single"/>
        </w:rPr>
        <w:t>more equ</w:t>
      </w:r>
      <w:r w:rsidR="00535618" w:rsidRPr="006D662C">
        <w:rPr>
          <w:b/>
          <w:u w:val="single"/>
        </w:rPr>
        <w:t xml:space="preserve">itable </w:t>
      </w:r>
      <w:r w:rsidR="00B57464" w:rsidRPr="006D662C">
        <w:rPr>
          <w:b/>
          <w:u w:val="single"/>
        </w:rPr>
        <w:t>outcome that aligns with national objectives</w:t>
      </w:r>
      <w:r w:rsidR="005316C1" w:rsidRPr="006D662C">
        <w:rPr>
          <w:b/>
          <w:u w:val="single"/>
        </w:rPr>
        <w:t xml:space="preserve"> for </w:t>
      </w:r>
      <w:r w:rsidR="00B13D79" w:rsidRPr="006D662C">
        <w:rPr>
          <w:b/>
          <w:u w:val="single"/>
        </w:rPr>
        <w:t xml:space="preserve">the </w:t>
      </w:r>
      <w:r w:rsidR="005316C1" w:rsidRPr="006D662C">
        <w:rPr>
          <w:b/>
          <w:u w:val="single"/>
        </w:rPr>
        <w:t>development of regional Australia</w:t>
      </w:r>
      <w:r>
        <w:t>.</w:t>
      </w:r>
    </w:p>
    <w:p w14:paraId="25D5BDD1" w14:textId="77777777" w:rsidR="00B13D79" w:rsidRDefault="00B13D79" w:rsidP="00990285">
      <w:pPr>
        <w:pStyle w:val="BodyText"/>
        <w:rPr>
          <w:b/>
        </w:rPr>
      </w:pPr>
    </w:p>
    <w:p w14:paraId="13DFBDFD" w14:textId="77777777" w:rsidR="002877B5" w:rsidRPr="00C95302" w:rsidRDefault="002877B5" w:rsidP="00990285">
      <w:pPr>
        <w:pStyle w:val="BodyText"/>
        <w:rPr>
          <w:sz w:val="24"/>
          <w:szCs w:val="24"/>
        </w:rPr>
      </w:pPr>
      <w:r w:rsidRPr="00C95302">
        <w:rPr>
          <w:b/>
          <w:sz w:val="24"/>
          <w:szCs w:val="24"/>
        </w:rPr>
        <w:t xml:space="preserve">Information Request 2 </w:t>
      </w:r>
    </w:p>
    <w:p w14:paraId="09885C32" w14:textId="77777777" w:rsidR="005C23C4" w:rsidRPr="002877B5" w:rsidRDefault="00164BBC" w:rsidP="00990285">
      <w:pPr>
        <w:pStyle w:val="BodyText"/>
        <w:rPr>
          <w:b/>
        </w:rPr>
      </w:pPr>
      <w:r w:rsidRPr="002877B5">
        <w:rPr>
          <w:b/>
        </w:rPr>
        <w:t xml:space="preserve">The Commission invites feedback on its estimates of the </w:t>
      </w:r>
      <w:proofErr w:type="spellStart"/>
      <w:r w:rsidRPr="002877B5">
        <w:rPr>
          <w:b/>
        </w:rPr>
        <w:t>utilisation</w:t>
      </w:r>
      <w:proofErr w:type="spellEnd"/>
      <w:r w:rsidRPr="002877B5">
        <w:rPr>
          <w:b/>
        </w:rPr>
        <w:t xml:space="preserve"> of the FBT concessions. Are the Commission’s assumptions plausible? If not, what alternative assumptions should apply? Are there other data that could assist in gauging the use of FBT concessions?</w:t>
      </w:r>
    </w:p>
    <w:p w14:paraId="4F459001" w14:textId="77777777" w:rsidR="005B07DB" w:rsidRDefault="00B13D79" w:rsidP="00990285">
      <w:pPr>
        <w:pStyle w:val="BodyText"/>
      </w:pPr>
      <w:r>
        <w:t xml:space="preserve">In relation to the </w:t>
      </w:r>
      <w:proofErr w:type="spellStart"/>
      <w:r>
        <w:t>utilisation</w:t>
      </w:r>
      <w:proofErr w:type="spellEnd"/>
      <w:r>
        <w:t xml:space="preserve"> of the concessions, we suggest it is relevant to note that </w:t>
      </w:r>
      <w:r w:rsidR="00A80B68" w:rsidRPr="00C95302">
        <w:t xml:space="preserve">salary packaging administrators can </w:t>
      </w:r>
      <w:r>
        <w:t xml:space="preserve">play an important role in </w:t>
      </w:r>
      <w:r w:rsidR="00A80B68" w:rsidRPr="00C95302">
        <w:t>ensuring efficient and effective appli</w:t>
      </w:r>
      <w:r w:rsidR="0003717E" w:rsidRPr="00C95302">
        <w:t xml:space="preserve">cation of policy intent. </w:t>
      </w:r>
      <w:r w:rsidR="00041D19">
        <w:t xml:space="preserve">ASPIA is focused on supporting its members in the provision of </w:t>
      </w:r>
      <w:r w:rsidR="00041D19" w:rsidRPr="00041D19">
        <w:t>the effective application of salary packaging between employers and employees through salary</w:t>
      </w:r>
      <w:r w:rsidR="00041D19">
        <w:t xml:space="preserve"> </w:t>
      </w:r>
      <w:r w:rsidR="00041D19" w:rsidRPr="00041D19">
        <w:t>packaging providers</w:t>
      </w:r>
      <w:r w:rsidR="00041D19">
        <w:t>.</w:t>
      </w:r>
    </w:p>
    <w:p w14:paraId="3AB245CA" w14:textId="77777777" w:rsidR="005B07DB" w:rsidRDefault="00B13D79" w:rsidP="00990285">
      <w:pPr>
        <w:pStyle w:val="BodyText"/>
      </w:pPr>
      <w:r>
        <w:t>Salary p</w:t>
      </w:r>
      <w:r w:rsidR="0003717E" w:rsidRPr="00C95302">
        <w:t xml:space="preserve">ackaging administrators provide a critical link in connecting remote area employers </w:t>
      </w:r>
      <w:r w:rsidR="000E191D">
        <w:t xml:space="preserve">and employees </w:t>
      </w:r>
      <w:r w:rsidR="0003717E" w:rsidRPr="00C95302">
        <w:t>with</w:t>
      </w:r>
      <w:r w:rsidR="000E191D">
        <w:t xml:space="preserve"> what are essentially</w:t>
      </w:r>
      <w:r w:rsidR="0003717E" w:rsidRPr="00C95302">
        <w:t xml:space="preserve"> employee assistance programs</w:t>
      </w:r>
      <w:r w:rsidR="000E191D">
        <w:t xml:space="preserve">. They </w:t>
      </w:r>
      <w:r w:rsidR="0003717E" w:rsidRPr="00C95302">
        <w:t xml:space="preserve">can facilitate complex programs in a </w:t>
      </w:r>
      <w:r w:rsidR="000E191D">
        <w:t xml:space="preserve">simple </w:t>
      </w:r>
      <w:r w:rsidR="0003717E" w:rsidRPr="00C95302">
        <w:t>way that improves overall productivity.</w:t>
      </w:r>
      <w:r w:rsidR="00CD1F24">
        <w:t xml:space="preserve">  </w:t>
      </w:r>
    </w:p>
    <w:p w14:paraId="642C1E89" w14:textId="77777777" w:rsidR="00A80B68" w:rsidRPr="00C95302" w:rsidRDefault="005B07DB" w:rsidP="00990285">
      <w:pPr>
        <w:pStyle w:val="BodyText"/>
      </w:pPr>
      <w:r>
        <w:t>Salary p</w:t>
      </w:r>
      <w:r w:rsidRPr="00C95302">
        <w:t xml:space="preserve">ackaging administrators </w:t>
      </w:r>
      <w:r w:rsidR="00CD1F24">
        <w:t xml:space="preserve">can also ensure that regulatory compliance </w:t>
      </w:r>
      <w:r>
        <w:t xml:space="preserve">and governance </w:t>
      </w:r>
      <w:r w:rsidR="00CD1F24">
        <w:t xml:space="preserve">is maintained for the accurate and </w:t>
      </w:r>
      <w:r w:rsidR="001E4D2A">
        <w:t>abiding</w:t>
      </w:r>
      <w:r w:rsidR="00CD1F24">
        <w:t xml:space="preserve"> provision of </w:t>
      </w:r>
      <w:r>
        <w:t>such concessions</w:t>
      </w:r>
      <w:r w:rsidR="001E4D2A">
        <w:t xml:space="preserve"> as it was intended</w:t>
      </w:r>
      <w:r w:rsidR="00D93D1F">
        <w:t>.</w:t>
      </w:r>
    </w:p>
    <w:p w14:paraId="0B9C6AE7" w14:textId="77777777" w:rsidR="00164BBC" w:rsidRDefault="00164BBC" w:rsidP="00990285">
      <w:pPr>
        <w:pStyle w:val="BodyText"/>
      </w:pPr>
    </w:p>
    <w:p w14:paraId="0ABDE06F" w14:textId="77777777" w:rsidR="002877B5" w:rsidRPr="00C95302" w:rsidRDefault="002877B5" w:rsidP="00990285">
      <w:pPr>
        <w:pStyle w:val="BodyText"/>
        <w:rPr>
          <w:b/>
          <w:sz w:val="24"/>
          <w:szCs w:val="24"/>
        </w:rPr>
      </w:pPr>
      <w:r w:rsidRPr="00C95302">
        <w:rPr>
          <w:b/>
          <w:sz w:val="24"/>
          <w:szCs w:val="24"/>
        </w:rPr>
        <w:t xml:space="preserve">Information Request </w:t>
      </w:r>
      <w:r w:rsidR="00164BBC" w:rsidRPr="00C95302">
        <w:rPr>
          <w:b/>
          <w:sz w:val="24"/>
          <w:szCs w:val="24"/>
        </w:rPr>
        <w:t>3</w:t>
      </w:r>
    </w:p>
    <w:p w14:paraId="3157C4DD" w14:textId="77777777" w:rsidR="00164BBC" w:rsidRPr="002877B5" w:rsidRDefault="00164BBC" w:rsidP="00990285">
      <w:pPr>
        <w:pStyle w:val="BodyText"/>
        <w:rPr>
          <w:b/>
        </w:rPr>
      </w:pPr>
      <w:r w:rsidRPr="002877B5">
        <w:rPr>
          <w:b/>
        </w:rPr>
        <w:t>Should the revised remote area concessions be considered ‘reportable’ or ‘excluded’ benefits? Are there additional compliance burdens from allocating these benefits to individual employees that justify excluding them? Are there any other factors that should be considered in implementing these changes?</w:t>
      </w:r>
    </w:p>
    <w:p w14:paraId="0F281127" w14:textId="77777777" w:rsidR="00164BBC" w:rsidRPr="0022786D" w:rsidRDefault="0003717E" w:rsidP="00990285">
      <w:pPr>
        <w:pStyle w:val="BodyText"/>
      </w:pPr>
      <w:r w:rsidRPr="0022786D">
        <w:t>As a general rule</w:t>
      </w:r>
      <w:r w:rsidR="00D31860" w:rsidRPr="0022786D">
        <w:t>,</w:t>
      </w:r>
      <w:r w:rsidR="00CD012C" w:rsidRPr="0022786D">
        <w:t xml:space="preserve"> we consider salary packaged benefits should be reportable</w:t>
      </w:r>
      <w:r w:rsidR="000E191D" w:rsidRPr="0022786D">
        <w:t xml:space="preserve"> on payment summaries</w:t>
      </w:r>
      <w:r w:rsidR="00CD012C" w:rsidRPr="0022786D">
        <w:t>, and other benefits provided by an employer to its employees should not be reportable.</w:t>
      </w:r>
      <w:r w:rsidR="000E191D" w:rsidRPr="0022786D">
        <w:t xml:space="preserve"> However, as part of a concession with particular policy intent, it also makes sense to remove the reporting requirement for the particular benefits. </w:t>
      </w:r>
    </w:p>
    <w:p w14:paraId="0F26C7DC" w14:textId="77777777" w:rsidR="00471BA9" w:rsidRDefault="00471BA9" w:rsidP="00990285">
      <w:pPr>
        <w:pStyle w:val="BodyText"/>
      </w:pPr>
      <w:r w:rsidRPr="0022786D">
        <w:t xml:space="preserve">Therefore, ASPIA does not recommend that </w:t>
      </w:r>
      <w:r w:rsidR="0022786D">
        <w:t xml:space="preserve">the </w:t>
      </w:r>
      <w:r w:rsidRPr="0022786D">
        <w:t>remote area concession</w:t>
      </w:r>
      <w:r w:rsidR="0022786D">
        <w:t>s</w:t>
      </w:r>
      <w:r w:rsidRPr="0022786D">
        <w:t xml:space="preserve"> should become reportable benefits as it could adversely impact employers and employees in areas of Australia that rely significantly on the allowances and concessions available to them.</w:t>
      </w:r>
    </w:p>
    <w:p w14:paraId="5DCDE95C" w14:textId="77777777" w:rsidR="00777201" w:rsidRDefault="00777201" w:rsidP="00990285">
      <w:pPr>
        <w:pStyle w:val="BodyText"/>
        <w:rPr>
          <w:i/>
        </w:rPr>
      </w:pPr>
      <w:r>
        <w:rPr>
          <w:i/>
        </w:rPr>
        <w:t>Accommodation concessions</w:t>
      </w:r>
    </w:p>
    <w:p w14:paraId="3F7E4F3B" w14:textId="77777777" w:rsidR="00777201" w:rsidRDefault="000E191D" w:rsidP="00990285">
      <w:pPr>
        <w:pStyle w:val="BodyText"/>
      </w:pPr>
      <w:r>
        <w:t xml:space="preserve">We do not </w:t>
      </w:r>
      <w:r w:rsidR="00B63003">
        <w:t xml:space="preserve">agree with </w:t>
      </w:r>
      <w:r>
        <w:t xml:space="preserve">the </w:t>
      </w:r>
      <w:r w:rsidR="00B63003">
        <w:t xml:space="preserve">proposal to revert </w:t>
      </w:r>
      <w:r>
        <w:t xml:space="preserve">the </w:t>
      </w:r>
      <w:r w:rsidR="00B63003">
        <w:t xml:space="preserve">exemption for employer provided </w:t>
      </w:r>
      <w:r w:rsidR="00777201">
        <w:t xml:space="preserve">accommodation </w:t>
      </w:r>
      <w:r w:rsidR="00B63003">
        <w:t xml:space="preserve">to </w:t>
      </w:r>
      <w:r>
        <w:t xml:space="preserve">a </w:t>
      </w:r>
      <w:r w:rsidR="00B63003">
        <w:t xml:space="preserve">50% </w:t>
      </w:r>
      <w:r>
        <w:t xml:space="preserve">concession, </w:t>
      </w:r>
      <w:r w:rsidR="00B63003">
        <w:t xml:space="preserve">since take up of this benefit is predominantly in situations where employers </w:t>
      </w:r>
      <w:r>
        <w:t xml:space="preserve">have to provide housing due to a lack of suitable housing otherwise available in the area. Specific common examples in this regard are </w:t>
      </w:r>
      <w:r w:rsidR="00B63003">
        <w:t>health care professionals</w:t>
      </w:r>
      <w:r>
        <w:t xml:space="preserve"> and where </w:t>
      </w:r>
      <w:r w:rsidR="00CD012C">
        <w:t xml:space="preserve">employees </w:t>
      </w:r>
      <w:r>
        <w:t xml:space="preserve">are required </w:t>
      </w:r>
      <w:r w:rsidR="00CD012C">
        <w:t>to live on farms</w:t>
      </w:r>
      <w:r>
        <w:t xml:space="preserve"> or similar properties</w:t>
      </w:r>
      <w:r w:rsidR="00CD012C">
        <w:t xml:space="preserve">. </w:t>
      </w:r>
    </w:p>
    <w:p w14:paraId="6BB257FB" w14:textId="77777777" w:rsidR="00777201" w:rsidRDefault="00777201" w:rsidP="00990285">
      <w:pPr>
        <w:pStyle w:val="BodyText"/>
      </w:pPr>
      <w:r>
        <w:t xml:space="preserve">In other cases, employers require support to attract and retain appropriate talent, and in these cases we consider a 50% concession applied to accommodation benefits, other than employer provided accommodation, to be suitable. However, for simplicity, we suggest aligning the manner in which such a concession is applied across benefits such as rent and mortgage interest. </w:t>
      </w:r>
    </w:p>
    <w:p w14:paraId="33E63850" w14:textId="77777777" w:rsidR="000E191D" w:rsidRDefault="00CD012C" w:rsidP="00990285">
      <w:pPr>
        <w:pStyle w:val="BodyText"/>
      </w:pPr>
      <w:r>
        <w:t>I</w:t>
      </w:r>
      <w:r w:rsidR="00777201">
        <w:t xml:space="preserve">f even further simplicity and </w:t>
      </w:r>
      <w:r>
        <w:t xml:space="preserve">parity </w:t>
      </w:r>
      <w:r w:rsidR="00777201">
        <w:t>across the benefits is desired</w:t>
      </w:r>
      <w:r>
        <w:t xml:space="preserve">, the 100% concession </w:t>
      </w:r>
      <w:r w:rsidR="0078306A">
        <w:t>should</w:t>
      </w:r>
      <w:r>
        <w:t xml:space="preserve"> instead be extended to</w:t>
      </w:r>
      <w:r w:rsidR="00777201">
        <w:t xml:space="preserve"> all accommodation </w:t>
      </w:r>
      <w:r>
        <w:t xml:space="preserve">provided under </w:t>
      </w:r>
      <w:r w:rsidR="00777201">
        <w:t xml:space="preserve">the </w:t>
      </w:r>
      <w:r>
        <w:t>different arrangements.</w:t>
      </w:r>
      <w:r w:rsidR="000E191D" w:rsidRPr="000E191D">
        <w:t xml:space="preserve"> </w:t>
      </w:r>
    </w:p>
    <w:p w14:paraId="220B1FEB" w14:textId="77777777" w:rsidR="00777201" w:rsidRDefault="00777201" w:rsidP="00990285">
      <w:pPr>
        <w:pStyle w:val="BodyText"/>
      </w:pPr>
      <w:r>
        <w:rPr>
          <w:i/>
        </w:rPr>
        <w:t>Customary in the industry requirement</w:t>
      </w:r>
    </w:p>
    <w:p w14:paraId="1FD43F75" w14:textId="77777777" w:rsidR="00B63003" w:rsidRDefault="00777201" w:rsidP="00990285">
      <w:pPr>
        <w:pStyle w:val="BodyText"/>
      </w:pPr>
      <w:r>
        <w:t xml:space="preserve">ASPIA is in agreement </w:t>
      </w:r>
      <w:r w:rsidR="00B63003">
        <w:t xml:space="preserve">with </w:t>
      </w:r>
      <w:r>
        <w:t xml:space="preserve">the </w:t>
      </w:r>
      <w:r w:rsidR="00B63003">
        <w:t>proposal to remove the requirement for benefit</w:t>
      </w:r>
      <w:r>
        <w:t>s</w:t>
      </w:r>
      <w:r w:rsidR="00B63003">
        <w:t xml:space="preserve"> to be ‘customary in the industry’ </w:t>
      </w:r>
      <w:r>
        <w:t xml:space="preserve">in order to qualify for concessional FBT treatment. This is </w:t>
      </w:r>
      <w:r w:rsidR="00B63003">
        <w:t xml:space="preserve">due to </w:t>
      </w:r>
      <w:r>
        <w:t xml:space="preserve">the </w:t>
      </w:r>
      <w:r w:rsidR="00B63003">
        <w:t xml:space="preserve">unreasonable burden </w:t>
      </w:r>
      <w:r>
        <w:t xml:space="preserve">we consider </w:t>
      </w:r>
      <w:r w:rsidR="00B63003">
        <w:t>this places on certain employers compared to others</w:t>
      </w:r>
      <w:r w:rsidR="0003717E">
        <w:t>, the subjective and therefore inconsistent application of the legislative test,</w:t>
      </w:r>
      <w:r w:rsidR="00B63003">
        <w:t xml:space="preserve"> as well as </w:t>
      </w:r>
      <w:r>
        <w:t xml:space="preserve">a </w:t>
      </w:r>
      <w:r w:rsidR="00B63003">
        <w:t xml:space="preserve">lack of parity between employers in different industries. </w:t>
      </w:r>
    </w:p>
    <w:p w14:paraId="2C93311D" w14:textId="77777777" w:rsidR="00777201" w:rsidRPr="00C95302" w:rsidRDefault="00777201" w:rsidP="00990285">
      <w:pPr>
        <w:pStyle w:val="BodyText"/>
        <w:rPr>
          <w:i/>
        </w:rPr>
      </w:pPr>
      <w:r>
        <w:rPr>
          <w:i/>
        </w:rPr>
        <w:lastRenderedPageBreak/>
        <w:t>Definition of remote area</w:t>
      </w:r>
    </w:p>
    <w:p w14:paraId="25CFF58F" w14:textId="77777777" w:rsidR="00B63003" w:rsidRDefault="00777201" w:rsidP="00990285">
      <w:pPr>
        <w:pStyle w:val="BodyText"/>
      </w:pPr>
      <w:r>
        <w:t>We also a</w:t>
      </w:r>
      <w:r w:rsidR="00CD012C">
        <w:t xml:space="preserve">gree with </w:t>
      </w:r>
      <w:r>
        <w:t xml:space="preserve">the </w:t>
      </w:r>
      <w:r w:rsidR="00CD012C">
        <w:t xml:space="preserve">proposal to remove </w:t>
      </w:r>
      <w:r>
        <w:t xml:space="preserve">the </w:t>
      </w:r>
      <w:r w:rsidR="00CD012C">
        <w:t xml:space="preserve">provision </w:t>
      </w:r>
      <w:r>
        <w:t xml:space="preserve">that effectively </w:t>
      </w:r>
      <w:r w:rsidR="00CD012C">
        <w:t>extend</w:t>
      </w:r>
      <w:r>
        <w:t>s</w:t>
      </w:r>
      <w:r w:rsidR="00CD012C">
        <w:t xml:space="preserve"> the definition of ‘remote area’ for certain employers, </w:t>
      </w:r>
      <w:r>
        <w:t xml:space="preserve">as this creates a lot of confusion. We </w:t>
      </w:r>
      <w:r w:rsidR="00CD012C">
        <w:t xml:space="preserve">also consider </w:t>
      </w:r>
      <w:r>
        <w:t xml:space="preserve">that the </w:t>
      </w:r>
      <w:r w:rsidR="00CD012C">
        <w:t xml:space="preserve">definition </w:t>
      </w:r>
      <w:r>
        <w:t xml:space="preserve">of a remote area </w:t>
      </w:r>
      <w:r w:rsidR="00CD012C">
        <w:t xml:space="preserve">should be widened </w:t>
      </w:r>
      <w:r>
        <w:t xml:space="preserve">(in order to support more employers and communities in rural areas) </w:t>
      </w:r>
      <w:r w:rsidR="00CD012C">
        <w:t xml:space="preserve">and simplified for all employers. </w:t>
      </w:r>
    </w:p>
    <w:p w14:paraId="360C487D" w14:textId="77777777" w:rsidR="00B63003" w:rsidRDefault="00B63003" w:rsidP="00990285">
      <w:pPr>
        <w:pStyle w:val="BodyText"/>
      </w:pPr>
    </w:p>
    <w:p w14:paraId="1045BF93" w14:textId="77777777" w:rsidR="002877B5" w:rsidRPr="00C95302" w:rsidRDefault="002877B5" w:rsidP="00990285">
      <w:pPr>
        <w:pStyle w:val="BodyText"/>
        <w:rPr>
          <w:b/>
          <w:sz w:val="24"/>
          <w:szCs w:val="24"/>
        </w:rPr>
      </w:pPr>
      <w:r w:rsidRPr="00C95302">
        <w:rPr>
          <w:b/>
          <w:sz w:val="24"/>
          <w:szCs w:val="24"/>
        </w:rPr>
        <w:t xml:space="preserve">Information Request </w:t>
      </w:r>
      <w:r w:rsidR="00164BBC" w:rsidRPr="00C95302">
        <w:rPr>
          <w:b/>
          <w:sz w:val="24"/>
          <w:szCs w:val="24"/>
        </w:rPr>
        <w:t xml:space="preserve">4 </w:t>
      </w:r>
    </w:p>
    <w:p w14:paraId="5ED32DE9" w14:textId="77777777" w:rsidR="00164BBC" w:rsidRPr="002877B5" w:rsidRDefault="00164BBC" w:rsidP="00990285">
      <w:pPr>
        <w:pStyle w:val="BodyText"/>
        <w:rPr>
          <w:b/>
        </w:rPr>
      </w:pPr>
      <w:r w:rsidRPr="002877B5">
        <w:rPr>
          <w:b/>
        </w:rPr>
        <w:t>The Commission invites further information on the compliance burdens that could arise from this change in the FBT treatment of employer-provided housing, and on what could be done to reduce these burdens while addressing equity concerns.</w:t>
      </w:r>
    </w:p>
    <w:p w14:paraId="669536BB" w14:textId="77777777" w:rsidR="00C91DDF" w:rsidRDefault="00995ED4" w:rsidP="00990285">
      <w:pPr>
        <w:pStyle w:val="BodyText"/>
      </w:pPr>
      <w:r>
        <w:t xml:space="preserve">The participation of the </w:t>
      </w:r>
      <w:r w:rsidR="00993DFF">
        <w:t>s</w:t>
      </w:r>
      <w:r>
        <w:t xml:space="preserve">alary </w:t>
      </w:r>
      <w:r w:rsidR="00993DFF">
        <w:t>p</w:t>
      </w:r>
      <w:r>
        <w:t xml:space="preserve">ackaging </w:t>
      </w:r>
      <w:r w:rsidR="00993DFF">
        <w:t>i</w:t>
      </w:r>
      <w:r>
        <w:t xml:space="preserve">ndustry in the provision of remote area benefits to employers and employees </w:t>
      </w:r>
      <w:r w:rsidR="00270530">
        <w:t>significantly relieves</w:t>
      </w:r>
      <w:r>
        <w:t xml:space="preserve"> the compliance burden</w:t>
      </w:r>
      <w:r w:rsidR="007444BD">
        <w:t>s</w:t>
      </w:r>
      <w:r>
        <w:t xml:space="preserve"> of the existing concessions</w:t>
      </w:r>
      <w:r w:rsidR="007D046B">
        <w:t xml:space="preserve"> and as stated above</w:t>
      </w:r>
      <w:r>
        <w:t>.  The systems, technology</w:t>
      </w:r>
      <w:r w:rsidR="007D046B">
        <w:t>,</w:t>
      </w:r>
      <w:r>
        <w:t xml:space="preserve"> processes</w:t>
      </w:r>
      <w:r w:rsidR="007D046B">
        <w:t xml:space="preserve"> and compliance regimes</w:t>
      </w:r>
      <w:r>
        <w:t xml:space="preserve"> developed by the industry</w:t>
      </w:r>
      <w:r w:rsidR="00993DFF">
        <w:t xml:space="preserve">, </w:t>
      </w:r>
      <w:r w:rsidR="007444BD">
        <w:t xml:space="preserve">and the </w:t>
      </w:r>
      <w:r w:rsidR="0058512C">
        <w:t xml:space="preserve">facilitation role these play in connecting </w:t>
      </w:r>
      <w:r w:rsidR="00244EB6">
        <w:t>employers and employees with the legislated benefit concessions</w:t>
      </w:r>
      <w:r w:rsidR="00993DFF">
        <w:t>,</w:t>
      </w:r>
      <w:r w:rsidR="00244EB6">
        <w:t xml:space="preserve"> </w:t>
      </w:r>
      <w:r>
        <w:t xml:space="preserve">should not be overlooked in considering </w:t>
      </w:r>
      <w:r w:rsidR="00C91DDF">
        <w:t>the capacity of the</w:t>
      </w:r>
      <w:r>
        <w:t xml:space="preserve"> Australian marketplace to manage </w:t>
      </w:r>
      <w:r w:rsidR="00C91DDF">
        <w:t>benefit compliance</w:t>
      </w:r>
      <w:r w:rsidR="007D046B">
        <w:t xml:space="preserve"> and policy adherence</w:t>
      </w:r>
      <w:r w:rsidR="00C91DDF">
        <w:t>.</w:t>
      </w:r>
    </w:p>
    <w:p w14:paraId="0561A424" w14:textId="77777777" w:rsidR="00995ED4" w:rsidRDefault="007F0ABA" w:rsidP="00990285">
      <w:pPr>
        <w:pStyle w:val="BodyText"/>
      </w:pPr>
      <w:r>
        <w:t xml:space="preserve">The </w:t>
      </w:r>
      <w:r w:rsidR="00993DFF">
        <w:t xml:space="preserve">Productivity </w:t>
      </w:r>
      <w:r>
        <w:t>Commission’s priority in reducing the compliance burden of the remote area concessions should therefore be to</w:t>
      </w:r>
      <w:r w:rsidR="00C91DDF">
        <w:t xml:space="preserve"> ensur</w:t>
      </w:r>
      <w:r>
        <w:t>e</w:t>
      </w:r>
      <w:r w:rsidR="00C91DDF">
        <w:t xml:space="preserve"> eligibility and operation of the </w:t>
      </w:r>
      <w:r>
        <w:t xml:space="preserve">FBT </w:t>
      </w:r>
      <w:r w:rsidR="00C91DDF">
        <w:t>concessions is clear, objective and based on equitable principles.</w:t>
      </w:r>
      <w:r w:rsidR="00207518">
        <w:t xml:space="preserve"> Complex</w:t>
      </w:r>
      <w:r w:rsidR="00993DFF">
        <w:t xml:space="preserve"> </w:t>
      </w:r>
      <w:r w:rsidR="006C578F">
        <w:t>compliance</w:t>
      </w:r>
      <w:r w:rsidR="00207518">
        <w:t xml:space="preserve"> can be manage</w:t>
      </w:r>
      <w:r w:rsidR="006C578F">
        <w:t>d</w:t>
      </w:r>
      <w:r w:rsidR="00207518">
        <w:t xml:space="preserve"> by increasingly sophisticated tax technology tools, however complex</w:t>
      </w:r>
      <w:r w:rsidR="007E67E2">
        <w:t xml:space="preserve"> employee</w:t>
      </w:r>
      <w:r w:rsidR="00B10CB0">
        <w:t xml:space="preserve"> </w:t>
      </w:r>
      <w:r w:rsidR="006C578F">
        <w:t xml:space="preserve">outcomes that </w:t>
      </w:r>
      <w:r w:rsidR="00E23816">
        <w:t xml:space="preserve">are unclear and </w:t>
      </w:r>
      <w:r w:rsidR="006C578F">
        <w:t>appl</w:t>
      </w:r>
      <w:r w:rsidR="00993DFF">
        <w:t>ied</w:t>
      </w:r>
      <w:r w:rsidR="006C578F">
        <w:t xml:space="preserve"> inconsistently </w:t>
      </w:r>
      <w:r w:rsidR="007E67E2">
        <w:t xml:space="preserve">are </w:t>
      </w:r>
      <w:r w:rsidR="00A7109F">
        <w:t xml:space="preserve">far more damaging to </w:t>
      </w:r>
      <w:r w:rsidR="008C1055">
        <w:t>the effectiveness of the concession program.</w:t>
      </w:r>
    </w:p>
    <w:p w14:paraId="0DE2A464" w14:textId="77777777" w:rsidR="00164BBC" w:rsidRDefault="00CD012C" w:rsidP="00990285">
      <w:pPr>
        <w:pStyle w:val="BodyText"/>
      </w:pPr>
      <w:r>
        <w:t>We propose a number of measures to address compliance concerns with both the existing rules and the proposed changes, as follows:</w:t>
      </w:r>
    </w:p>
    <w:p w14:paraId="4AC9435B" w14:textId="77777777" w:rsidR="00CD012C" w:rsidRDefault="00CD012C" w:rsidP="00CD012C">
      <w:pPr>
        <w:pStyle w:val="BodyText"/>
        <w:numPr>
          <w:ilvl w:val="0"/>
          <w:numId w:val="31"/>
        </w:numPr>
      </w:pPr>
      <w:r>
        <w:t>Simplify the definition of ‘remote area’ (see below)</w:t>
      </w:r>
    </w:p>
    <w:p w14:paraId="2629C849" w14:textId="77777777" w:rsidR="00CD012C" w:rsidRDefault="003B4753" w:rsidP="00CD012C">
      <w:pPr>
        <w:pStyle w:val="BodyText"/>
        <w:numPr>
          <w:ilvl w:val="0"/>
          <w:numId w:val="31"/>
        </w:numPr>
      </w:pPr>
      <w:r>
        <w:t xml:space="preserve">Make the concessions consistent – </w:t>
      </w:r>
      <w:proofErr w:type="spellStart"/>
      <w:r>
        <w:t>eg</w:t>
      </w:r>
      <w:proofErr w:type="spellEnd"/>
      <w:r>
        <w:t>. 50% of taxable value or 50% of recipient’s expenditure, but not a mixture of the two</w:t>
      </w:r>
    </w:p>
    <w:p w14:paraId="2BF56446" w14:textId="77777777" w:rsidR="003B4753" w:rsidRDefault="003B4753" w:rsidP="00CD012C">
      <w:pPr>
        <w:pStyle w:val="BodyText"/>
        <w:numPr>
          <w:ilvl w:val="0"/>
          <w:numId w:val="31"/>
        </w:numPr>
      </w:pPr>
      <w:r>
        <w:t>Simplify and make consistent the conditions attached to the various concession categories</w:t>
      </w:r>
    </w:p>
    <w:p w14:paraId="00149D69" w14:textId="77777777" w:rsidR="00164BBC" w:rsidRDefault="00164BBC" w:rsidP="00990285">
      <w:pPr>
        <w:pStyle w:val="BodyText"/>
      </w:pPr>
    </w:p>
    <w:p w14:paraId="31E77FAA" w14:textId="77777777" w:rsidR="002877B5" w:rsidRPr="00C95302" w:rsidRDefault="002877B5" w:rsidP="00990285">
      <w:pPr>
        <w:pStyle w:val="BodyText"/>
        <w:rPr>
          <w:b/>
          <w:sz w:val="24"/>
          <w:szCs w:val="24"/>
        </w:rPr>
      </w:pPr>
      <w:r w:rsidRPr="00C95302">
        <w:rPr>
          <w:b/>
          <w:sz w:val="24"/>
          <w:szCs w:val="24"/>
        </w:rPr>
        <w:t xml:space="preserve">Information Request 5 </w:t>
      </w:r>
    </w:p>
    <w:p w14:paraId="19197148" w14:textId="77777777" w:rsidR="00164BBC" w:rsidRPr="002877B5" w:rsidRDefault="00164BBC" w:rsidP="00990285">
      <w:pPr>
        <w:pStyle w:val="BodyText"/>
        <w:rPr>
          <w:b/>
        </w:rPr>
      </w:pPr>
      <w:r w:rsidRPr="002877B5">
        <w:rPr>
          <w:b/>
        </w:rPr>
        <w:t>How often should the FBT remote area boundaries be updated? Should the FBT remote area boundaries be decoupled from the ZTO boundaries? If so, how? Can the other eligibility rules for remote area concessions be improved sufficiently to make geographical boundaries redundant?</w:t>
      </w:r>
    </w:p>
    <w:p w14:paraId="001B9414" w14:textId="77777777" w:rsidR="00164BBC" w:rsidRDefault="00993DFF" w:rsidP="00990285">
      <w:pPr>
        <w:pStyle w:val="BodyText"/>
      </w:pPr>
      <w:r>
        <w:t xml:space="preserve">Due to the positive benefits for remote communities, we consider the </w:t>
      </w:r>
      <w:r w:rsidR="003B4753">
        <w:t xml:space="preserve">concept of </w:t>
      </w:r>
      <w:r>
        <w:t xml:space="preserve">a </w:t>
      </w:r>
      <w:r w:rsidR="003B4753">
        <w:t>remote area</w:t>
      </w:r>
      <w:r>
        <w:t xml:space="preserve"> and associated tax concessions should be retained. </w:t>
      </w:r>
    </w:p>
    <w:p w14:paraId="3D0C6A3B" w14:textId="77777777" w:rsidR="003B4753" w:rsidRDefault="00993DFF" w:rsidP="00990285">
      <w:pPr>
        <w:pStyle w:val="BodyText"/>
      </w:pPr>
      <w:r>
        <w:t>We consider alignment with the Zone Tax Offset boundaries is a ‘nice to have’</w:t>
      </w:r>
      <w:r w:rsidR="003B4753">
        <w:t>, but not essential</w:t>
      </w:r>
      <w:r>
        <w:t>.</w:t>
      </w:r>
      <w:r w:rsidR="003B4753">
        <w:t xml:space="preserve"> </w:t>
      </w:r>
      <w:r w:rsidR="007F0ABA">
        <w:t xml:space="preserve"> </w:t>
      </w:r>
      <w:r>
        <w:t xml:space="preserve">In our view, </w:t>
      </w:r>
      <w:r w:rsidR="007F0ABA">
        <w:t>simplicity should be the key.</w:t>
      </w:r>
    </w:p>
    <w:p w14:paraId="20541E4C" w14:textId="77777777" w:rsidR="00DC54AE" w:rsidRPr="0022786D" w:rsidRDefault="006F7697" w:rsidP="00990285">
      <w:pPr>
        <w:pStyle w:val="BodyText"/>
      </w:pPr>
      <w:r w:rsidRPr="0022786D">
        <w:t>We do consider that the remote area boundaries should be updated regularly</w:t>
      </w:r>
      <w:r w:rsidR="00DC54AE" w:rsidRPr="0022786D">
        <w:t xml:space="preserve"> and agree with NALSPA’s recommendation as to:</w:t>
      </w:r>
      <w:r w:rsidRPr="0022786D">
        <w:t xml:space="preserve"> </w:t>
      </w:r>
    </w:p>
    <w:p w14:paraId="561B08B3" w14:textId="77777777" w:rsidR="00DC54AE" w:rsidRPr="00DC54AE" w:rsidRDefault="00DC54AE" w:rsidP="00DC54AE">
      <w:pPr>
        <w:pStyle w:val="BodyText"/>
        <w:ind w:left="720"/>
        <w:rPr>
          <w:i/>
          <w:highlight w:val="yellow"/>
        </w:rPr>
      </w:pPr>
      <w:r>
        <w:rPr>
          <w:i/>
        </w:rPr>
        <w:t xml:space="preserve">“… </w:t>
      </w:r>
      <w:r w:rsidRPr="00DC54AE">
        <w:rPr>
          <w:i/>
        </w:rPr>
        <w:t>include updating the remote area parameters to be reflective of current population figures and thresholds. In light of this view, it would be expected that the remote area boundaries be updated as regularly as possible, based on the ABS data and other sources of information available to the Government at the time of revision</w:t>
      </w:r>
      <w:r>
        <w:rPr>
          <w:i/>
        </w:rPr>
        <w:t>”.</w:t>
      </w:r>
    </w:p>
    <w:p w14:paraId="6629929E" w14:textId="77777777" w:rsidR="00164BBC" w:rsidRDefault="006F7697" w:rsidP="00990285">
      <w:pPr>
        <w:pStyle w:val="BodyText"/>
      </w:pPr>
      <w:r>
        <w:t xml:space="preserve">If practical, using </w:t>
      </w:r>
      <w:r w:rsidR="003B4753">
        <w:t xml:space="preserve">post codes to define remote areas </w:t>
      </w:r>
      <w:r>
        <w:t xml:space="preserve">would be a simple methodology to apply.  Further, </w:t>
      </w:r>
      <w:r w:rsidR="003B4753">
        <w:t xml:space="preserve">a map on </w:t>
      </w:r>
      <w:r>
        <w:t xml:space="preserve">the </w:t>
      </w:r>
      <w:r w:rsidR="003B4753">
        <w:t>ATO website</w:t>
      </w:r>
      <w:r>
        <w:t xml:space="preserve"> clearly showing the boundaries would be really useful.</w:t>
      </w:r>
    </w:p>
    <w:p w14:paraId="63EA9E33" w14:textId="77777777" w:rsidR="00F92D17" w:rsidRDefault="00F92D17" w:rsidP="00990285">
      <w:pPr>
        <w:pStyle w:val="BodyText"/>
      </w:pPr>
      <w:r>
        <w:t xml:space="preserve">Therefore, </w:t>
      </w:r>
      <w:r w:rsidRPr="00F92D17">
        <w:t>if the remote area parameters were updated, there would be no need for any reduction to the FBT remote area concessions</w:t>
      </w:r>
      <w:r w:rsidR="00E325DA">
        <w:t>.</w:t>
      </w:r>
    </w:p>
    <w:p w14:paraId="3AC3EC76" w14:textId="77777777" w:rsidR="003B4753" w:rsidRDefault="003B4753" w:rsidP="00990285">
      <w:pPr>
        <w:pStyle w:val="BodyText"/>
      </w:pPr>
    </w:p>
    <w:p w14:paraId="09532DDB" w14:textId="77777777" w:rsidR="00E325DA" w:rsidRDefault="00E325DA">
      <w:pPr>
        <w:spacing w:after="0" w:line="240" w:lineRule="auto"/>
        <w:rPr>
          <w:b/>
          <w:sz w:val="24"/>
          <w:szCs w:val="24"/>
        </w:rPr>
      </w:pPr>
      <w:r>
        <w:rPr>
          <w:b/>
          <w:sz w:val="24"/>
          <w:szCs w:val="24"/>
        </w:rPr>
        <w:br w:type="page"/>
      </w:r>
    </w:p>
    <w:p w14:paraId="5712ECDE" w14:textId="77777777" w:rsidR="002877B5" w:rsidRPr="00C95302" w:rsidRDefault="002877B5" w:rsidP="00990285">
      <w:pPr>
        <w:pStyle w:val="BodyText"/>
        <w:rPr>
          <w:b/>
          <w:sz w:val="24"/>
          <w:szCs w:val="24"/>
        </w:rPr>
      </w:pPr>
      <w:r w:rsidRPr="00C95302">
        <w:rPr>
          <w:b/>
          <w:sz w:val="24"/>
          <w:szCs w:val="24"/>
        </w:rPr>
        <w:lastRenderedPageBreak/>
        <w:t xml:space="preserve">Information Request </w:t>
      </w:r>
      <w:r w:rsidR="00164BBC" w:rsidRPr="00C95302">
        <w:rPr>
          <w:b/>
          <w:sz w:val="24"/>
          <w:szCs w:val="24"/>
        </w:rPr>
        <w:t xml:space="preserve">6 </w:t>
      </w:r>
    </w:p>
    <w:p w14:paraId="0C15F757" w14:textId="77777777" w:rsidR="00164BBC" w:rsidRDefault="00164BBC" w:rsidP="00990285">
      <w:pPr>
        <w:pStyle w:val="BodyText"/>
        <w:rPr>
          <w:b/>
        </w:rPr>
      </w:pPr>
      <w:r w:rsidRPr="002877B5">
        <w:rPr>
          <w:b/>
        </w:rPr>
        <w:t>What impacts would the proposed changes to FBT remote area concessions (particularly for housing) have on the provision of key public services, such as health services, in remote areas?</w:t>
      </w:r>
    </w:p>
    <w:p w14:paraId="41BE6D4B" w14:textId="77777777" w:rsidR="003B4753" w:rsidRDefault="003B4753" w:rsidP="00990285">
      <w:pPr>
        <w:pStyle w:val="BodyText"/>
      </w:pPr>
      <w:r>
        <w:t>If the right changes are made (</w:t>
      </w:r>
      <w:r w:rsidR="00612D98">
        <w:t xml:space="preserve">as </w:t>
      </w:r>
      <w:r>
        <w:t>per above),</w:t>
      </w:r>
      <w:r w:rsidR="006F7697">
        <w:t xml:space="preserve"> </w:t>
      </w:r>
      <w:r w:rsidR="00612D98">
        <w:t>our view is that it would</w:t>
      </w:r>
      <w:r>
        <w:t xml:space="preserve"> assist employers in these areas to provide better services to the community and </w:t>
      </w:r>
      <w:r w:rsidR="00E72F4B">
        <w:t xml:space="preserve">would </w:t>
      </w:r>
      <w:r>
        <w:t xml:space="preserve">encourage more people to settle in </w:t>
      </w:r>
      <w:r w:rsidR="00E72F4B">
        <w:t>remote</w:t>
      </w:r>
      <w:r>
        <w:t xml:space="preserve"> areas, </w:t>
      </w:r>
      <w:r w:rsidR="00E72F4B">
        <w:t>therefore</w:t>
      </w:r>
      <w:r>
        <w:t xml:space="preserve"> enhancing the sense of community and remove the problems created by having a transient population.</w:t>
      </w:r>
      <w:r w:rsidR="006F7697">
        <w:t xml:space="preserve"> In particular:</w:t>
      </w:r>
    </w:p>
    <w:p w14:paraId="4173A1ED" w14:textId="77777777" w:rsidR="00A721F4" w:rsidRDefault="007F0ABA" w:rsidP="007F0ABA">
      <w:pPr>
        <w:pStyle w:val="BodyText"/>
        <w:numPr>
          <w:ilvl w:val="0"/>
          <w:numId w:val="32"/>
        </w:numPr>
      </w:pPr>
      <w:r>
        <w:t xml:space="preserve">Simplifying and/or expanding the remote area concessions will help key public service employers attract talent from urban centers into regional and remote areas - a </w:t>
      </w:r>
      <w:r w:rsidR="00A721F4">
        <w:t>national</w:t>
      </w:r>
      <w:r>
        <w:t xml:space="preserve"> policy priority</w:t>
      </w:r>
      <w:r w:rsidR="00A721F4">
        <w:t>.</w:t>
      </w:r>
    </w:p>
    <w:p w14:paraId="0C17C61C" w14:textId="77777777" w:rsidR="007F0ABA" w:rsidRDefault="00A721F4" w:rsidP="007F0ABA">
      <w:pPr>
        <w:pStyle w:val="BodyText"/>
        <w:numPr>
          <w:ilvl w:val="0"/>
          <w:numId w:val="32"/>
        </w:numPr>
      </w:pPr>
      <w:r>
        <w:t>Increased transition of urban employees to regional Australia will improve the knowledge, capacity and resources of those employers/services, while also contributing to the overall health and economy of those locations.</w:t>
      </w:r>
    </w:p>
    <w:p w14:paraId="0717DED1" w14:textId="77777777" w:rsidR="00A721F4" w:rsidRDefault="00A721F4" w:rsidP="00C95302">
      <w:pPr>
        <w:pStyle w:val="BodyText"/>
        <w:numPr>
          <w:ilvl w:val="0"/>
          <w:numId w:val="32"/>
        </w:numPr>
      </w:pPr>
      <w:r>
        <w:t xml:space="preserve">Improved remote area concessions will make it easier for the salary packaging industry to </w:t>
      </w:r>
      <w:r w:rsidR="0040518D">
        <w:t>partner</w:t>
      </w:r>
      <w:r>
        <w:t xml:space="preserve"> with employers to develop effective remuneration package</w:t>
      </w:r>
      <w:r w:rsidR="0040518D">
        <w:t>s</w:t>
      </w:r>
      <w:r>
        <w:t xml:space="preserve"> that in</w:t>
      </w:r>
      <w:r w:rsidR="0040518D">
        <w:t>corporate</w:t>
      </w:r>
      <w:r>
        <w:t xml:space="preserve"> clear and equitable remote area assistance</w:t>
      </w:r>
      <w:r w:rsidR="0040518D">
        <w:t>.</w:t>
      </w:r>
    </w:p>
    <w:p w14:paraId="39CBA5B5" w14:textId="77777777" w:rsidR="006F7697" w:rsidRDefault="006F7697" w:rsidP="00C95302">
      <w:pPr>
        <w:pStyle w:val="BodyText"/>
      </w:pPr>
    </w:p>
    <w:p w14:paraId="54A0E9EB" w14:textId="77777777" w:rsidR="006F7697" w:rsidRDefault="006F7697" w:rsidP="00C95302">
      <w:pPr>
        <w:pStyle w:val="BodyText"/>
      </w:pPr>
      <w:r>
        <w:t>Thank</w:t>
      </w:r>
      <w:r w:rsidR="00E33FF5">
        <w:t xml:space="preserve"> </w:t>
      </w:r>
      <w:r>
        <w:t xml:space="preserve">you again for the opportunity to express our views. Should you require any further information from our members or wish to discuss any aspect of our submission, please contact me on </w:t>
      </w:r>
      <w:r w:rsidR="005461B3">
        <w:t>0438 658 548.</w:t>
      </w:r>
    </w:p>
    <w:p w14:paraId="3C3ABC0E" w14:textId="77777777" w:rsidR="006F7697" w:rsidRDefault="006F7697" w:rsidP="00C95302">
      <w:pPr>
        <w:pStyle w:val="BodyText"/>
      </w:pPr>
    </w:p>
    <w:p w14:paraId="344D3D34" w14:textId="77777777" w:rsidR="006F7697" w:rsidRDefault="006F7697" w:rsidP="00C95302">
      <w:pPr>
        <w:pStyle w:val="BodyText"/>
      </w:pPr>
      <w:r>
        <w:t>Yours sincerely</w:t>
      </w:r>
    </w:p>
    <w:p w14:paraId="1231BEBF" w14:textId="77777777" w:rsidR="006F7697" w:rsidRDefault="006F7697" w:rsidP="00C95302">
      <w:pPr>
        <w:pStyle w:val="BodyText"/>
      </w:pPr>
    </w:p>
    <w:p w14:paraId="196F6A79" w14:textId="77777777" w:rsidR="006F7697" w:rsidRDefault="00E325DA" w:rsidP="00C95302">
      <w:pPr>
        <w:pStyle w:val="BodyText"/>
      </w:pPr>
      <w:r>
        <w:rPr>
          <w:noProof/>
          <w:lang w:val="en-AU" w:eastAsia="en-AU"/>
        </w:rPr>
        <mc:AlternateContent>
          <mc:Choice Requires="wpi">
            <w:drawing>
              <wp:anchor distT="0" distB="0" distL="114300" distR="114300" simplePos="0" relativeHeight="251661312" behindDoc="0" locked="0" layoutInCell="1" allowOverlap="1" wp14:anchorId="62C969DD" wp14:editId="63EF3B3E">
                <wp:simplePos x="0" y="0"/>
                <wp:positionH relativeFrom="margin">
                  <wp:align>left</wp:align>
                </wp:positionH>
                <wp:positionV relativeFrom="paragraph">
                  <wp:posOffset>-192056</wp:posOffset>
                </wp:positionV>
                <wp:extent cx="1496579" cy="721995"/>
                <wp:effectExtent l="57150" t="38100" r="46990" b="40005"/>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1496579" cy="721995"/>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D6DB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0;margin-top:-15.8pt;width:119.3pt;height:58.25pt;z-index:251661312;visibility:visible;mso-wrap-style:square;mso-wrap-distance-left:9pt;mso-wrap-distance-top:0;mso-wrap-distance-right:9pt;mso-wrap-distance-bottom:0;mso-position-horizontal:left;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">
                <v:imagedata r:id="rId12" o:title=""/>
                <w10:wrap anchorx="margin"/>
              </v:shape>
            </w:pict>
          </mc:Fallback>
        </mc:AlternateContent>
      </w:r>
    </w:p>
    <w:p w14:paraId="62546990" w14:textId="77777777" w:rsidR="006F7697" w:rsidRDefault="006F7697" w:rsidP="00C95302">
      <w:pPr>
        <w:pStyle w:val="BodyText"/>
      </w:pPr>
    </w:p>
    <w:p w14:paraId="5B62AFB3" w14:textId="77777777" w:rsidR="006F7697" w:rsidRDefault="006F7697" w:rsidP="00C95302">
      <w:pPr>
        <w:pStyle w:val="BodyText"/>
      </w:pPr>
    </w:p>
    <w:p w14:paraId="73FB3F90" w14:textId="77777777" w:rsidR="006F7697" w:rsidRDefault="006F7697" w:rsidP="00C95302">
      <w:pPr>
        <w:pStyle w:val="BodyText"/>
      </w:pPr>
      <w:r>
        <w:t>Antony Sabato</w:t>
      </w:r>
    </w:p>
    <w:p w14:paraId="08C279D7" w14:textId="77777777" w:rsidR="00E325DA" w:rsidRDefault="006F7697" w:rsidP="00C95302">
      <w:pPr>
        <w:pStyle w:val="BodyText"/>
      </w:pPr>
      <w:r>
        <w:t>Chairman</w:t>
      </w:r>
      <w:r w:rsidR="00E325DA" w:rsidRPr="00E325DA">
        <w:t xml:space="preserve"> </w:t>
      </w:r>
    </w:p>
    <w:p w14:paraId="27C8F0C4" w14:textId="77777777" w:rsidR="006F7697" w:rsidRPr="003B4753" w:rsidRDefault="00E325DA" w:rsidP="00C95302">
      <w:pPr>
        <w:pStyle w:val="BodyText"/>
      </w:pPr>
      <w:r>
        <w:t>ASPIA (Australian Salary Packaging Industry Association)</w:t>
      </w:r>
    </w:p>
    <w:sectPr w:rsidR="006F7697" w:rsidRPr="003B4753" w:rsidSect="00E80210">
      <w:headerReference w:type="even" r:id="rId13"/>
      <w:headerReference w:type="default" r:id="rId14"/>
      <w:footerReference w:type="even" r:id="rId15"/>
      <w:footerReference w:type="default" r:id="rId16"/>
      <w:headerReference w:type="first" r:id="rId17"/>
      <w:footerReference w:type="first" r:id="rId18"/>
      <w:pgSz w:w="11907" w:h="16839" w:code="9"/>
      <w:pgMar w:top="1985" w:right="890" w:bottom="890" w:left="890" w:header="680"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9B3F0" w14:textId="77777777" w:rsidR="001B2096" w:rsidRDefault="001B2096">
      <w:r>
        <w:separator/>
      </w:r>
    </w:p>
  </w:endnote>
  <w:endnote w:type="continuationSeparator" w:id="0">
    <w:p w14:paraId="0F7F5952" w14:textId="77777777" w:rsidR="001B2096" w:rsidRDefault="001B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F664F" w14:textId="77777777" w:rsidR="00E80210" w:rsidRDefault="00E802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D16D1" w14:textId="77777777" w:rsidR="00E80210" w:rsidRDefault="00E802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4A538" w14:textId="77777777" w:rsidR="00E80210" w:rsidRDefault="00E80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11A77" w14:textId="77777777" w:rsidR="001B2096" w:rsidRDefault="001B2096">
      <w:r>
        <w:separator/>
      </w:r>
    </w:p>
  </w:footnote>
  <w:footnote w:type="continuationSeparator" w:id="0">
    <w:p w14:paraId="451C7F24" w14:textId="77777777" w:rsidR="001B2096" w:rsidRDefault="001B2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664B8" w14:textId="77777777" w:rsidR="00E80210" w:rsidRDefault="00E802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95440" w14:textId="77777777" w:rsidR="00BE0F42" w:rsidRPr="00BE0F42" w:rsidRDefault="00BE0F42" w:rsidP="00BE0F42">
    <w:pPr>
      <w:pStyle w:val="Header"/>
      <w:jc w:val="right"/>
      <w:rPr>
        <w:color w:val="92D050"/>
      </w:rPr>
    </w:pPr>
    <w:r>
      <w:rPr>
        <w:noProof/>
        <w:lang w:val="en-AU" w:eastAsia="en-AU"/>
      </w:rPr>
      <w:drawing>
        <wp:anchor distT="0" distB="0" distL="114300" distR="114300" simplePos="0" relativeHeight="251658240" behindDoc="1" locked="0" layoutInCell="1" allowOverlap="1" wp14:anchorId="568CD3D6" wp14:editId="73A795E0">
          <wp:simplePos x="0" y="0"/>
          <wp:positionH relativeFrom="margin">
            <wp:align>left</wp:align>
          </wp:positionH>
          <wp:positionV relativeFrom="paragraph">
            <wp:posOffset>-165100</wp:posOffset>
          </wp:positionV>
          <wp:extent cx="1390650" cy="628650"/>
          <wp:effectExtent l="0" t="0" r="0" b="0"/>
          <wp:wrapNone/>
          <wp:docPr id="1" name="Picture 1" descr="ASPIA"/>
          <wp:cNvGraphicFramePr/>
          <a:graphic xmlns:a="http://schemas.openxmlformats.org/drawingml/2006/main">
            <a:graphicData uri="http://schemas.openxmlformats.org/drawingml/2006/picture">
              <pic:pic xmlns:pic="http://schemas.openxmlformats.org/drawingml/2006/picture">
                <pic:nvPicPr>
                  <pic:cNvPr id="1" name="Picture 1" descr="ASPI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anchor>
      </w:drawing>
    </w:r>
    <w:r>
      <w:tab/>
    </w:r>
    <w:r>
      <w:tab/>
    </w:r>
    <w:r w:rsidRPr="00BE0F42">
      <w:rPr>
        <w:color w:val="92D050"/>
      </w:rPr>
      <w:t>Australian</w:t>
    </w:r>
  </w:p>
  <w:p w14:paraId="54A1D372" w14:textId="77777777" w:rsidR="00BE0F42" w:rsidRPr="00BE0F42" w:rsidRDefault="00BE0F42" w:rsidP="00BE0F42">
    <w:pPr>
      <w:pStyle w:val="Header"/>
      <w:jc w:val="right"/>
      <w:rPr>
        <w:color w:val="92D050"/>
      </w:rPr>
    </w:pPr>
    <w:r w:rsidRPr="00BE0F42">
      <w:rPr>
        <w:color w:val="92D050"/>
      </w:rPr>
      <w:t>Salary Packaging</w:t>
    </w:r>
  </w:p>
  <w:p w14:paraId="5F399F18" w14:textId="77777777" w:rsidR="00FD1865" w:rsidRPr="00BE0F42" w:rsidRDefault="00BE0F42" w:rsidP="00BE0F42">
    <w:pPr>
      <w:pStyle w:val="Header"/>
      <w:jc w:val="right"/>
      <w:rPr>
        <w:color w:val="92D050"/>
      </w:rPr>
    </w:pPr>
    <w:r w:rsidRPr="00BE0F42">
      <w:rPr>
        <w:color w:val="92D050"/>
      </w:rPr>
      <w:t>Industry Association</w:t>
    </w:r>
  </w:p>
  <w:p w14:paraId="40993E06" w14:textId="77777777" w:rsidR="00BE0F42" w:rsidRDefault="00BE0F42" w:rsidP="00DA6281">
    <w:pPr>
      <w:pStyle w:val="Header"/>
      <w:pBdr>
        <w:bottom w:val="single" w:sz="4" w:space="1" w:color="auto"/>
      </w:pBdr>
      <w:jc w:val="right"/>
      <w:rPr>
        <w:color w:val="BFBFBF" w:themeColor="background1" w:themeShade="BF"/>
      </w:rPr>
    </w:pPr>
    <w:r w:rsidRPr="00BE0F42">
      <w:rPr>
        <w:color w:val="BFBFBF" w:themeColor="background1" w:themeShade="BF"/>
      </w:rPr>
      <w:t>ABN 61 169 826 724</w:t>
    </w:r>
  </w:p>
  <w:p w14:paraId="51ED5202" w14:textId="77777777" w:rsidR="00DA6281" w:rsidRPr="00BE0F42" w:rsidRDefault="00DA6281" w:rsidP="00DA6281">
    <w:pPr>
      <w:pStyle w:val="Header"/>
      <w:pBdr>
        <w:bottom w:val="single" w:sz="4" w:space="1" w:color="auto"/>
      </w:pBdr>
      <w:jc w:val="right"/>
      <w:rPr>
        <w:color w:val="BFBFBF" w:themeColor="background1" w:themeShade="B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0773" w14:textId="77777777" w:rsidR="00E80210" w:rsidRDefault="00E80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E4C3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0A00A9F"/>
    <w:multiLevelType w:val="hybridMultilevel"/>
    <w:tmpl w:val="2C982248"/>
    <w:lvl w:ilvl="0" w:tplc="EE6C23A8">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A933704"/>
    <w:multiLevelType w:val="multilevel"/>
    <w:tmpl w:val="8460F8B0"/>
    <w:numStyleLink w:val="GTTableBullets"/>
  </w:abstractNum>
  <w:abstractNum w:abstractNumId="10"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1"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BA976CF"/>
    <w:multiLevelType w:val="multilevel"/>
    <w:tmpl w:val="98FC98AC"/>
    <w:numStyleLink w:val="GTListNumber"/>
  </w:abstractNum>
  <w:abstractNum w:abstractNumId="13" w15:restartNumberingAfterBreak="0">
    <w:nsid w:val="47B53AEB"/>
    <w:multiLevelType w:val="hybridMultilevel"/>
    <w:tmpl w:val="FD10E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732420"/>
    <w:multiLevelType w:val="multilevel"/>
    <w:tmpl w:val="FAE6F968"/>
    <w:numStyleLink w:val="GTListBullet"/>
  </w:abstractNum>
  <w:abstractNum w:abstractNumId="15"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D5E1EC1"/>
    <w:multiLevelType w:val="hybridMultilevel"/>
    <w:tmpl w:val="4B625BA4"/>
    <w:lvl w:ilvl="0" w:tplc="F01E393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B5E6E"/>
    <w:multiLevelType w:val="multilevel"/>
    <w:tmpl w:val="FAE6F968"/>
    <w:numStyleLink w:val="GTListBullet"/>
  </w:abstractNum>
  <w:abstractNum w:abstractNumId="18"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7F924C95"/>
    <w:multiLevelType w:val="multilevel"/>
    <w:tmpl w:val="0D561ACA"/>
    <w:numStyleLink w:val="GTNumberedHeadings"/>
  </w:abstractNum>
  <w:num w:numId="1">
    <w:abstractNumId w:val="18"/>
  </w:num>
  <w:num w:numId="2">
    <w:abstractNumId w:val="15"/>
  </w:num>
  <w:num w:numId="3">
    <w:abstractNumId w:val="8"/>
  </w:num>
  <w:num w:numId="4">
    <w:abstractNumId w:val="6"/>
  </w:num>
  <w:num w:numId="5">
    <w:abstractNumId w:val="11"/>
  </w:num>
  <w:num w:numId="6">
    <w:abstractNumId w:val="14"/>
  </w:num>
  <w:num w:numId="7">
    <w:abstractNumId w:val="15"/>
  </w:num>
  <w:num w:numId="8">
    <w:abstractNumId w:val="19"/>
  </w:num>
  <w:num w:numId="9">
    <w:abstractNumId w:val="6"/>
  </w:num>
  <w:num w:numId="10">
    <w:abstractNumId w:val="4"/>
  </w:num>
  <w:num w:numId="11">
    <w:abstractNumId w:val="3"/>
  </w:num>
  <w:num w:numId="12">
    <w:abstractNumId w:val="2"/>
  </w:num>
  <w:num w:numId="13">
    <w:abstractNumId w:val="1"/>
  </w:num>
  <w:num w:numId="14">
    <w:abstractNumId w:val="0"/>
  </w:num>
  <w:num w:numId="15">
    <w:abstractNumId w:val="18"/>
  </w:num>
  <w:num w:numId="16">
    <w:abstractNumId w:val="15"/>
  </w:num>
  <w:num w:numId="17">
    <w:abstractNumId w:val="5"/>
  </w:num>
  <w:num w:numId="18">
    <w:abstractNumId w:val="10"/>
  </w:num>
  <w:num w:numId="19">
    <w:abstractNumId w:val="9"/>
  </w:num>
  <w:num w:numId="20">
    <w:abstractNumId w:val="9"/>
  </w:num>
  <w:num w:numId="21">
    <w:abstractNumId w:val="9"/>
  </w:num>
  <w:num w:numId="22">
    <w:abstractNumId w:val="10"/>
  </w:num>
  <w:num w:numId="23">
    <w:abstractNumId w:val="10"/>
  </w:num>
  <w:num w:numId="24">
    <w:abstractNumId w:val="10"/>
  </w:num>
  <w:num w:numId="25">
    <w:abstractNumId w:val="17"/>
  </w:num>
  <w:num w:numId="26">
    <w:abstractNumId w:val="17"/>
  </w:num>
  <w:num w:numId="27">
    <w:abstractNumId w:val="17"/>
  </w:num>
  <w:num w:numId="28">
    <w:abstractNumId w:val="12"/>
  </w:num>
  <w:num w:numId="29">
    <w:abstractNumId w:val="12"/>
  </w:num>
  <w:num w:numId="30">
    <w:abstractNumId w:val="12"/>
  </w:num>
  <w:num w:numId="31">
    <w:abstractNumId w:val="7"/>
  </w:num>
  <w:num w:numId="32">
    <w:abstractNumId w:val="13"/>
  </w:num>
  <w:num w:numId="3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164BBC"/>
    <w:rsid w:val="00013749"/>
    <w:rsid w:val="0001412C"/>
    <w:rsid w:val="00024BB8"/>
    <w:rsid w:val="0003717E"/>
    <w:rsid w:val="00041D19"/>
    <w:rsid w:val="00067FBE"/>
    <w:rsid w:val="00075825"/>
    <w:rsid w:val="000A2985"/>
    <w:rsid w:val="000A3381"/>
    <w:rsid w:val="000A4DFB"/>
    <w:rsid w:val="000A5471"/>
    <w:rsid w:val="000D61DD"/>
    <w:rsid w:val="000E191D"/>
    <w:rsid w:val="001347BC"/>
    <w:rsid w:val="001366D0"/>
    <w:rsid w:val="00143EB2"/>
    <w:rsid w:val="001558F7"/>
    <w:rsid w:val="00160746"/>
    <w:rsid w:val="00164BBC"/>
    <w:rsid w:val="00167CAC"/>
    <w:rsid w:val="0017467E"/>
    <w:rsid w:val="00176913"/>
    <w:rsid w:val="00181F25"/>
    <w:rsid w:val="0018286E"/>
    <w:rsid w:val="00187A66"/>
    <w:rsid w:val="00192CE7"/>
    <w:rsid w:val="00197471"/>
    <w:rsid w:val="0019793F"/>
    <w:rsid w:val="001B2096"/>
    <w:rsid w:val="001B485F"/>
    <w:rsid w:val="001B6557"/>
    <w:rsid w:val="001D5D48"/>
    <w:rsid w:val="001E4D2A"/>
    <w:rsid w:val="001E7FFB"/>
    <w:rsid w:val="001F10E0"/>
    <w:rsid w:val="001F1AF0"/>
    <w:rsid w:val="00202A81"/>
    <w:rsid w:val="00205F8C"/>
    <w:rsid w:val="00207518"/>
    <w:rsid w:val="00223C38"/>
    <w:rsid w:val="0022786D"/>
    <w:rsid w:val="00232894"/>
    <w:rsid w:val="00237BD1"/>
    <w:rsid w:val="00240935"/>
    <w:rsid w:val="00244EB6"/>
    <w:rsid w:val="00254B3A"/>
    <w:rsid w:val="002578FF"/>
    <w:rsid w:val="00262326"/>
    <w:rsid w:val="0026290B"/>
    <w:rsid w:val="00263263"/>
    <w:rsid w:val="002658CE"/>
    <w:rsid w:val="00270530"/>
    <w:rsid w:val="002877B5"/>
    <w:rsid w:val="002D2DC5"/>
    <w:rsid w:val="002F2027"/>
    <w:rsid w:val="002F37C5"/>
    <w:rsid w:val="00300833"/>
    <w:rsid w:val="0030218D"/>
    <w:rsid w:val="003462D8"/>
    <w:rsid w:val="00351DDE"/>
    <w:rsid w:val="003552AB"/>
    <w:rsid w:val="00355E7D"/>
    <w:rsid w:val="003704CE"/>
    <w:rsid w:val="003720FC"/>
    <w:rsid w:val="003762FC"/>
    <w:rsid w:val="00385D7E"/>
    <w:rsid w:val="00387F2F"/>
    <w:rsid w:val="00390019"/>
    <w:rsid w:val="00395D57"/>
    <w:rsid w:val="003B4753"/>
    <w:rsid w:val="003B550A"/>
    <w:rsid w:val="003B5657"/>
    <w:rsid w:val="003C13F1"/>
    <w:rsid w:val="003C1543"/>
    <w:rsid w:val="00400DFB"/>
    <w:rsid w:val="00401CB2"/>
    <w:rsid w:val="0040518D"/>
    <w:rsid w:val="00407FBE"/>
    <w:rsid w:val="00425244"/>
    <w:rsid w:val="00435EA1"/>
    <w:rsid w:val="00441D97"/>
    <w:rsid w:val="0044525F"/>
    <w:rsid w:val="00462B97"/>
    <w:rsid w:val="00471150"/>
    <w:rsid w:val="00471BA9"/>
    <w:rsid w:val="00476FEE"/>
    <w:rsid w:val="00481F79"/>
    <w:rsid w:val="004939BE"/>
    <w:rsid w:val="004952F5"/>
    <w:rsid w:val="004A652A"/>
    <w:rsid w:val="004A7137"/>
    <w:rsid w:val="004C1FE9"/>
    <w:rsid w:val="004D1EB2"/>
    <w:rsid w:val="004E3A82"/>
    <w:rsid w:val="004E5F46"/>
    <w:rsid w:val="004F6078"/>
    <w:rsid w:val="00513853"/>
    <w:rsid w:val="0051765E"/>
    <w:rsid w:val="00520717"/>
    <w:rsid w:val="0052705B"/>
    <w:rsid w:val="005316C1"/>
    <w:rsid w:val="00535618"/>
    <w:rsid w:val="00543A03"/>
    <w:rsid w:val="005461B3"/>
    <w:rsid w:val="00553170"/>
    <w:rsid w:val="00576254"/>
    <w:rsid w:val="005773A1"/>
    <w:rsid w:val="0058512C"/>
    <w:rsid w:val="00585D4B"/>
    <w:rsid w:val="005A066F"/>
    <w:rsid w:val="005B07DB"/>
    <w:rsid w:val="005B65D4"/>
    <w:rsid w:val="005B7A11"/>
    <w:rsid w:val="005C1C5A"/>
    <w:rsid w:val="005C23C4"/>
    <w:rsid w:val="005C6CDE"/>
    <w:rsid w:val="005C6ECC"/>
    <w:rsid w:val="005E6FCA"/>
    <w:rsid w:val="005F7C6B"/>
    <w:rsid w:val="00612D98"/>
    <w:rsid w:val="00617718"/>
    <w:rsid w:val="006311B1"/>
    <w:rsid w:val="00634500"/>
    <w:rsid w:val="0064317C"/>
    <w:rsid w:val="0065033C"/>
    <w:rsid w:val="00656DEF"/>
    <w:rsid w:val="006805D5"/>
    <w:rsid w:val="006909F2"/>
    <w:rsid w:val="006A3A46"/>
    <w:rsid w:val="006C286D"/>
    <w:rsid w:val="006C3454"/>
    <w:rsid w:val="006C578F"/>
    <w:rsid w:val="006D662C"/>
    <w:rsid w:val="006D70B5"/>
    <w:rsid w:val="006E3473"/>
    <w:rsid w:val="006E7DF0"/>
    <w:rsid w:val="006F6F69"/>
    <w:rsid w:val="006F7697"/>
    <w:rsid w:val="00715888"/>
    <w:rsid w:val="00733C42"/>
    <w:rsid w:val="007444BD"/>
    <w:rsid w:val="00760209"/>
    <w:rsid w:val="007639D8"/>
    <w:rsid w:val="00776338"/>
    <w:rsid w:val="00777201"/>
    <w:rsid w:val="0078306A"/>
    <w:rsid w:val="00786789"/>
    <w:rsid w:val="007A3144"/>
    <w:rsid w:val="007A51BD"/>
    <w:rsid w:val="007B178C"/>
    <w:rsid w:val="007B1BB2"/>
    <w:rsid w:val="007B2087"/>
    <w:rsid w:val="007B3A33"/>
    <w:rsid w:val="007B67FC"/>
    <w:rsid w:val="007D0128"/>
    <w:rsid w:val="007D0274"/>
    <w:rsid w:val="007D046B"/>
    <w:rsid w:val="007D28B8"/>
    <w:rsid w:val="007D5956"/>
    <w:rsid w:val="007E096B"/>
    <w:rsid w:val="007E67E2"/>
    <w:rsid w:val="007F0ABA"/>
    <w:rsid w:val="007F4D9A"/>
    <w:rsid w:val="007F58F4"/>
    <w:rsid w:val="008012A2"/>
    <w:rsid w:val="00801676"/>
    <w:rsid w:val="00810B17"/>
    <w:rsid w:val="00815CCE"/>
    <w:rsid w:val="008204EB"/>
    <w:rsid w:val="00837726"/>
    <w:rsid w:val="00840490"/>
    <w:rsid w:val="008404BE"/>
    <w:rsid w:val="008645CA"/>
    <w:rsid w:val="008830CE"/>
    <w:rsid w:val="0089338D"/>
    <w:rsid w:val="00893520"/>
    <w:rsid w:val="00895CF7"/>
    <w:rsid w:val="008A1CD0"/>
    <w:rsid w:val="008B2749"/>
    <w:rsid w:val="008C1055"/>
    <w:rsid w:val="008C4D0D"/>
    <w:rsid w:val="008D3A88"/>
    <w:rsid w:val="008E3B80"/>
    <w:rsid w:val="00907933"/>
    <w:rsid w:val="00921B25"/>
    <w:rsid w:val="00923A87"/>
    <w:rsid w:val="00926221"/>
    <w:rsid w:val="0093057B"/>
    <w:rsid w:val="00947FA4"/>
    <w:rsid w:val="00956405"/>
    <w:rsid w:val="009623AD"/>
    <w:rsid w:val="00966490"/>
    <w:rsid w:val="00990285"/>
    <w:rsid w:val="00993DFF"/>
    <w:rsid w:val="00994A39"/>
    <w:rsid w:val="00994ECE"/>
    <w:rsid w:val="00995ED4"/>
    <w:rsid w:val="009A0405"/>
    <w:rsid w:val="009A5CCB"/>
    <w:rsid w:val="009A722E"/>
    <w:rsid w:val="009B5CCD"/>
    <w:rsid w:val="009C3FA4"/>
    <w:rsid w:val="009E53E7"/>
    <w:rsid w:val="009E6A78"/>
    <w:rsid w:val="009F5EF5"/>
    <w:rsid w:val="009F7EC2"/>
    <w:rsid w:val="00A21D6D"/>
    <w:rsid w:val="00A24C9F"/>
    <w:rsid w:val="00A45B6F"/>
    <w:rsid w:val="00A51555"/>
    <w:rsid w:val="00A54401"/>
    <w:rsid w:val="00A7109F"/>
    <w:rsid w:val="00A721F4"/>
    <w:rsid w:val="00A80B68"/>
    <w:rsid w:val="00AA3C3B"/>
    <w:rsid w:val="00AB5660"/>
    <w:rsid w:val="00AC5A90"/>
    <w:rsid w:val="00AD076E"/>
    <w:rsid w:val="00AD47ED"/>
    <w:rsid w:val="00AE4B96"/>
    <w:rsid w:val="00AF220D"/>
    <w:rsid w:val="00AF2F43"/>
    <w:rsid w:val="00B04BC4"/>
    <w:rsid w:val="00B10CB0"/>
    <w:rsid w:val="00B1118C"/>
    <w:rsid w:val="00B13D79"/>
    <w:rsid w:val="00B147AC"/>
    <w:rsid w:val="00B3098B"/>
    <w:rsid w:val="00B30B06"/>
    <w:rsid w:val="00B448C5"/>
    <w:rsid w:val="00B51315"/>
    <w:rsid w:val="00B51FA6"/>
    <w:rsid w:val="00B57464"/>
    <w:rsid w:val="00B57ADB"/>
    <w:rsid w:val="00B63003"/>
    <w:rsid w:val="00B63941"/>
    <w:rsid w:val="00B8501D"/>
    <w:rsid w:val="00B87A33"/>
    <w:rsid w:val="00B93D83"/>
    <w:rsid w:val="00BB4622"/>
    <w:rsid w:val="00BD4D0B"/>
    <w:rsid w:val="00BE06BE"/>
    <w:rsid w:val="00BE0F42"/>
    <w:rsid w:val="00BE2AF3"/>
    <w:rsid w:val="00BE7717"/>
    <w:rsid w:val="00BF5AC3"/>
    <w:rsid w:val="00C1089A"/>
    <w:rsid w:val="00C143AD"/>
    <w:rsid w:val="00C31F78"/>
    <w:rsid w:val="00C40A43"/>
    <w:rsid w:val="00C42A61"/>
    <w:rsid w:val="00C4637C"/>
    <w:rsid w:val="00C5689E"/>
    <w:rsid w:val="00C655EE"/>
    <w:rsid w:val="00C7575E"/>
    <w:rsid w:val="00C77D03"/>
    <w:rsid w:val="00C86A7A"/>
    <w:rsid w:val="00C91DDF"/>
    <w:rsid w:val="00C9393F"/>
    <w:rsid w:val="00C94ED7"/>
    <w:rsid w:val="00C95302"/>
    <w:rsid w:val="00CA7B49"/>
    <w:rsid w:val="00CB29C3"/>
    <w:rsid w:val="00CC2C31"/>
    <w:rsid w:val="00CD012C"/>
    <w:rsid w:val="00CD0945"/>
    <w:rsid w:val="00CD1174"/>
    <w:rsid w:val="00CD1F24"/>
    <w:rsid w:val="00CD2293"/>
    <w:rsid w:val="00CD2462"/>
    <w:rsid w:val="00CD4E39"/>
    <w:rsid w:val="00CD55D0"/>
    <w:rsid w:val="00CE58E1"/>
    <w:rsid w:val="00CF2550"/>
    <w:rsid w:val="00D03287"/>
    <w:rsid w:val="00D31860"/>
    <w:rsid w:val="00D40003"/>
    <w:rsid w:val="00D47D0B"/>
    <w:rsid w:val="00D53953"/>
    <w:rsid w:val="00D61AD0"/>
    <w:rsid w:val="00D63DA3"/>
    <w:rsid w:val="00D65105"/>
    <w:rsid w:val="00D93691"/>
    <w:rsid w:val="00D93D1F"/>
    <w:rsid w:val="00D9608F"/>
    <w:rsid w:val="00D97149"/>
    <w:rsid w:val="00D97270"/>
    <w:rsid w:val="00DA6281"/>
    <w:rsid w:val="00DC1B9F"/>
    <w:rsid w:val="00DC54AE"/>
    <w:rsid w:val="00DD1D27"/>
    <w:rsid w:val="00DE0967"/>
    <w:rsid w:val="00DE4E2E"/>
    <w:rsid w:val="00DE7184"/>
    <w:rsid w:val="00DF0D56"/>
    <w:rsid w:val="00DF4437"/>
    <w:rsid w:val="00DF4758"/>
    <w:rsid w:val="00DF6F8B"/>
    <w:rsid w:val="00DF7158"/>
    <w:rsid w:val="00E02D2B"/>
    <w:rsid w:val="00E059EA"/>
    <w:rsid w:val="00E14093"/>
    <w:rsid w:val="00E23816"/>
    <w:rsid w:val="00E30934"/>
    <w:rsid w:val="00E325DA"/>
    <w:rsid w:val="00E33FF5"/>
    <w:rsid w:val="00E42469"/>
    <w:rsid w:val="00E54014"/>
    <w:rsid w:val="00E547B4"/>
    <w:rsid w:val="00E72F4B"/>
    <w:rsid w:val="00E74E1F"/>
    <w:rsid w:val="00E80210"/>
    <w:rsid w:val="00E9189D"/>
    <w:rsid w:val="00E95DDB"/>
    <w:rsid w:val="00EA6719"/>
    <w:rsid w:val="00EB57D0"/>
    <w:rsid w:val="00EC470D"/>
    <w:rsid w:val="00EF265F"/>
    <w:rsid w:val="00F040B5"/>
    <w:rsid w:val="00F10E4E"/>
    <w:rsid w:val="00F14981"/>
    <w:rsid w:val="00F469D3"/>
    <w:rsid w:val="00F567A9"/>
    <w:rsid w:val="00F62BF3"/>
    <w:rsid w:val="00F65A78"/>
    <w:rsid w:val="00F707A6"/>
    <w:rsid w:val="00F721CC"/>
    <w:rsid w:val="00F7568B"/>
    <w:rsid w:val="00F77E6C"/>
    <w:rsid w:val="00F81766"/>
    <w:rsid w:val="00F82369"/>
    <w:rsid w:val="00F8639A"/>
    <w:rsid w:val="00F92D17"/>
    <w:rsid w:val="00FA0F35"/>
    <w:rsid w:val="00FC1E0B"/>
    <w:rsid w:val="00FD1865"/>
    <w:rsid w:val="00FD3528"/>
    <w:rsid w:val="00FF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E3D834"/>
  <w15:chartTrackingRefBased/>
  <w15:docId w15:val="{A4CAD8E2-54A3-488D-BECE-533EE82C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rsid w:val="003B550A"/>
    <w:pPr>
      <w:spacing w:after="120" w:line="240" w:lineRule="atLeast"/>
    </w:pPr>
    <w:rPr>
      <w:rFonts w:asciiTheme="minorHAnsi" w:hAnsiTheme="minorHAnsi" w:cs="Arial"/>
      <w:sz w:val="18"/>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27"/>
      </w:numPr>
    </w:pPr>
    <w:rPr>
      <w:lang w:val="en-GB"/>
    </w:rPr>
  </w:style>
  <w:style w:type="paragraph" w:styleId="ListNumber">
    <w:name w:val="List Number"/>
    <w:basedOn w:val="Normal"/>
    <w:uiPriority w:val="1"/>
    <w:qFormat/>
    <w:rsid w:val="008C4D0D"/>
    <w:pPr>
      <w:numPr>
        <w:numId w:val="30"/>
      </w:numPr>
    </w:pPr>
    <w:rPr>
      <w:lang w:val="en-GB"/>
    </w:rPr>
  </w:style>
  <w:style w:type="paragraph" w:styleId="Header">
    <w:name w:val="header"/>
    <w:semiHidden/>
    <w:rsid w:val="00B04BC4"/>
    <w:pPr>
      <w:tabs>
        <w:tab w:val="right" w:pos="8562"/>
      </w:tabs>
    </w:pPr>
    <w:rPr>
      <w:rFonts w:asciiTheme="minorHAnsi" w:hAnsiTheme="minorHAnsi" w:cs="Arial"/>
      <w:b/>
      <w:color w:val="747678" w:themeColor="background2"/>
      <w:sz w:val="16"/>
    </w:rPr>
  </w:style>
  <w:style w:type="paragraph" w:styleId="Footer">
    <w:name w:val="footer"/>
    <w:uiPriority w:val="9"/>
    <w:semiHidden/>
    <w:rsid w:val="000D61DD"/>
    <w:pPr>
      <w:jc w:val="right"/>
    </w:pPr>
    <w:rPr>
      <w:rFonts w:asciiTheme="minorHAnsi" w:hAnsiTheme="minorHAnsi" w:cstheme="minorHAnsi"/>
      <w:color w:val="747678"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ListBullet2">
    <w:name w:val="List Bullet 2"/>
    <w:basedOn w:val="Normal"/>
    <w:uiPriority w:val="1"/>
    <w:qFormat/>
    <w:rsid w:val="008C4D0D"/>
    <w:pPr>
      <w:numPr>
        <w:ilvl w:val="1"/>
        <w:numId w:val="27"/>
      </w:numPr>
    </w:pPr>
    <w:rPr>
      <w:lang w:val="en-GB"/>
    </w:rPr>
  </w:style>
  <w:style w:type="paragraph" w:styleId="ListNumber2">
    <w:name w:val="List Number 2"/>
    <w:basedOn w:val="Normal"/>
    <w:uiPriority w:val="1"/>
    <w:qFormat/>
    <w:rsid w:val="008C4D0D"/>
    <w:pPr>
      <w:numPr>
        <w:ilvl w:val="1"/>
        <w:numId w:val="30"/>
      </w:numPr>
    </w:pPr>
    <w:rPr>
      <w:lang w:val="en-GB"/>
    </w:rPr>
  </w:style>
  <w:style w:type="paragraph" w:styleId="ListNumber3">
    <w:name w:val="List Number 3"/>
    <w:basedOn w:val="Normal"/>
    <w:uiPriority w:val="1"/>
    <w:qFormat/>
    <w:rsid w:val="008C4D0D"/>
    <w:pPr>
      <w:numPr>
        <w:ilvl w:val="2"/>
        <w:numId w:val="30"/>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8"/>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8"/>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9"/>
      </w:numPr>
    </w:pPr>
  </w:style>
  <w:style w:type="paragraph" w:customStyle="1" w:styleId="ParagraphBullet2">
    <w:name w:val="Paragraph Bullet 2"/>
    <w:basedOn w:val="Normal"/>
    <w:uiPriority w:val="1"/>
    <w:rsid w:val="00B04BC4"/>
    <w:pPr>
      <w:numPr>
        <w:ilvl w:val="1"/>
        <w:numId w:val="9"/>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47678"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4" w:themeFillTint="33"/>
    </w:tcPr>
    <w:tblStylePr w:type="firstRow">
      <w:rPr>
        <w:b/>
        <w:bCs/>
      </w:rPr>
      <w:tblPr/>
      <w:tcPr>
        <w:shd w:val="clear" w:color="auto" w:fill="FFCAA5" w:themeFill="accent4" w:themeFillTint="66"/>
      </w:tcPr>
    </w:tblStylePr>
    <w:tblStylePr w:type="lastRow">
      <w:rPr>
        <w:b/>
        <w:bCs/>
        <w:color w:val="000000" w:themeColor="text1"/>
      </w:rPr>
      <w:tblPr/>
      <w:tcPr>
        <w:shd w:val="clear" w:color="auto" w:fill="FFCAA5" w:themeFill="accent4" w:themeFillTint="66"/>
      </w:tcPr>
    </w:tblStylePr>
    <w:tblStylePr w:type="firstCol">
      <w:rPr>
        <w:color w:val="FFFFFF" w:themeColor="background1"/>
      </w:rPr>
      <w:tblPr/>
      <w:tcPr>
        <w:shd w:val="clear" w:color="auto" w:fill="D55900" w:themeFill="accent4" w:themeFillShade="BF"/>
      </w:tcPr>
    </w:tblStylePr>
    <w:tblStylePr w:type="lastCol">
      <w:rPr>
        <w:color w:val="FFFFFF" w:themeColor="background1"/>
      </w:rPr>
      <w:tblPr/>
      <w:tcPr>
        <w:shd w:val="clear" w:color="auto" w:fill="D55900" w:themeFill="accent4" w:themeFillShade="BF"/>
      </w:tc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5" w:themeFillTint="33"/>
    </w:tcPr>
    <w:tblStylePr w:type="firstRow">
      <w:rPr>
        <w:b/>
        <w:bCs/>
      </w:rPr>
      <w:tblPr/>
      <w:tcPr>
        <w:shd w:val="clear" w:color="auto" w:fill="D6EFAD" w:themeFill="accent5" w:themeFillTint="66"/>
      </w:tcPr>
    </w:tblStylePr>
    <w:tblStylePr w:type="lastRow">
      <w:rPr>
        <w:b/>
        <w:bCs/>
        <w:color w:val="000000" w:themeColor="text1"/>
      </w:rPr>
      <w:tblPr/>
      <w:tcPr>
        <w:shd w:val="clear" w:color="auto" w:fill="D6EFAD" w:themeFill="accent5" w:themeFillTint="66"/>
      </w:tcPr>
    </w:tblStylePr>
    <w:tblStylePr w:type="firstCol">
      <w:rPr>
        <w:color w:val="FFFFFF" w:themeColor="background1"/>
      </w:rPr>
      <w:tblPr/>
      <w:tcPr>
        <w:shd w:val="clear" w:color="auto" w:fill="75A520" w:themeFill="accent5" w:themeFillShade="BF"/>
      </w:tcPr>
    </w:tblStylePr>
    <w:tblStylePr w:type="lastCol">
      <w:rPr>
        <w:color w:val="FFFFFF" w:themeColor="background1"/>
      </w:rPr>
      <w:tblPr/>
      <w:tcPr>
        <w:shd w:val="clear" w:color="auto" w:fill="75A520" w:themeFill="accent5" w:themeFillShade="BF"/>
      </w:tc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E45F00" w:themeFill="accent4" w:themeFillShade="CC"/>
      </w:tcPr>
    </w:tblStylePr>
    <w:tblStylePr w:type="lastRow">
      <w:rPr>
        <w:b/>
        <w:bCs/>
        <w:color w:val="E45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FF2E8"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4" w:themeFillTint="3F"/>
      </w:tcPr>
    </w:tblStylePr>
    <w:tblStylePr w:type="band1Horz">
      <w:tblPr/>
      <w:tcPr>
        <w:shd w:val="clear" w:color="auto" w:fill="FFE4D2"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5FBEA"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5" w:themeFillTint="3F"/>
      </w:tcPr>
    </w:tblStylePr>
    <w:tblStylePr w:type="band1Horz">
      <w:tblPr/>
      <w:tcPr>
        <w:shd w:val="clear" w:color="auto" w:fill="EAF7D6"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7DB122" w:themeFill="accent5" w:themeFillShade="CC"/>
      </w:tcPr>
    </w:tblStylePr>
    <w:tblStylePr w:type="lastRow">
      <w:rPr>
        <w:b/>
        <w:bCs/>
        <w:color w:val="7DB1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FF7D1E"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FF7D1E" w:themeColor="accent4"/>
        <w:bottom w:val="single" w:sz="4" w:space="0" w:color="FF7D1E" w:themeColor="accent4"/>
        <w:right w:val="single" w:sz="4" w:space="0" w:color="FF7D1E" w:themeColor="accent4"/>
        <w:insideH w:val="single" w:sz="4" w:space="0" w:color="FFFFFF" w:themeColor="background1"/>
        <w:insideV w:val="single" w:sz="4" w:space="0" w:color="FFFFFF" w:themeColor="background1"/>
      </w:tblBorders>
    </w:tblPr>
    <w:tcPr>
      <w:shd w:val="clear" w:color="auto" w:fill="FFF2E8"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4" w:themeFillShade="99"/>
      </w:tcPr>
    </w:tblStylePr>
    <w:tblStylePr w:type="firstCol">
      <w:rPr>
        <w:color w:val="FFFFFF" w:themeColor="background1"/>
      </w:rPr>
      <w:tblPr/>
      <w:tcPr>
        <w:tcBorders>
          <w:top w:val="nil"/>
          <w:left w:val="nil"/>
          <w:bottom w:val="nil"/>
          <w:right w:val="nil"/>
          <w:insideH w:val="single" w:sz="4" w:space="0" w:color="AB4700" w:themeColor="accent4" w:themeShade="99"/>
          <w:insideV w:val="nil"/>
        </w:tcBorders>
        <w:shd w:val="clear" w:color="auto" w:fill="AB4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4" w:themeFillShade="99"/>
      </w:tcPr>
    </w:tblStylePr>
    <w:tblStylePr w:type="band1Vert">
      <w:tblPr/>
      <w:tcPr>
        <w:shd w:val="clear" w:color="auto" w:fill="FFCAA5" w:themeFill="accent4" w:themeFillTint="66"/>
      </w:tcPr>
    </w:tblStylePr>
    <w:tblStylePr w:type="band1Horz">
      <w:tblPr/>
      <w:tcPr>
        <w:shd w:val="clear" w:color="auto" w:fill="FFBD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9BD732" w:themeColor="accent5"/>
        <w:bottom w:val="single" w:sz="4" w:space="0" w:color="9BD732" w:themeColor="accent5"/>
        <w:right w:val="single" w:sz="4" w:space="0" w:color="9BD732" w:themeColor="accent5"/>
        <w:insideH w:val="single" w:sz="4" w:space="0" w:color="FFFFFF" w:themeColor="background1"/>
        <w:insideV w:val="single" w:sz="4" w:space="0" w:color="FFFFFF" w:themeColor="background1"/>
      </w:tblBorders>
    </w:tblPr>
    <w:tcPr>
      <w:shd w:val="clear" w:color="auto" w:fill="F5FBEA"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5" w:themeFillShade="99"/>
      </w:tcPr>
    </w:tblStylePr>
    <w:tblStylePr w:type="firstCol">
      <w:rPr>
        <w:color w:val="FFFFFF" w:themeColor="background1"/>
      </w:rPr>
      <w:tblPr/>
      <w:tcPr>
        <w:tcBorders>
          <w:top w:val="nil"/>
          <w:left w:val="nil"/>
          <w:bottom w:val="nil"/>
          <w:right w:val="nil"/>
          <w:insideH w:val="single" w:sz="4" w:space="0" w:color="5D851A" w:themeColor="accent5" w:themeShade="99"/>
          <w:insideV w:val="nil"/>
        </w:tcBorders>
        <w:shd w:val="clear" w:color="auto" w:fill="5D851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5" w:themeFillShade="99"/>
      </w:tcPr>
    </w:tblStylePr>
    <w:tblStylePr w:type="band1Vert">
      <w:tblPr/>
      <w:tcPr>
        <w:shd w:val="clear" w:color="auto" w:fill="D6EFAD" w:themeFill="accent5" w:themeFillTint="66"/>
      </w:tcPr>
    </w:tblStylePr>
    <w:tblStylePr w:type="band1Horz">
      <w:tblPr/>
      <w:tcPr>
        <w:shd w:val="clear" w:color="auto" w:fill="CDEB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9BD732"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pPr>
      <w:spacing w:line="240" w:lineRule="auto"/>
    </w:pPr>
    <w:rPr>
      <w:sz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FF7D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4" w:themeFillShade="BF"/>
      </w:tcPr>
    </w:tblStylePr>
    <w:tblStylePr w:type="band1Vert">
      <w:tblPr/>
      <w:tcPr>
        <w:tcBorders>
          <w:top w:val="nil"/>
          <w:left w:val="nil"/>
          <w:bottom w:val="nil"/>
          <w:right w:val="nil"/>
          <w:insideH w:val="nil"/>
          <w:insideV w:val="nil"/>
        </w:tcBorders>
        <w:shd w:val="clear" w:color="auto" w:fill="D55900" w:themeFill="accent4" w:themeFillShade="BF"/>
      </w:tcPr>
    </w:tblStylePr>
    <w:tblStylePr w:type="band1Horz">
      <w:tblPr/>
      <w:tcPr>
        <w:tcBorders>
          <w:top w:val="nil"/>
          <w:left w:val="nil"/>
          <w:bottom w:val="nil"/>
          <w:right w:val="nil"/>
          <w:insideH w:val="nil"/>
          <w:insideV w:val="nil"/>
        </w:tcBorders>
        <w:shd w:val="clear" w:color="auto" w:fill="D5590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9BD7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5" w:themeFillShade="BF"/>
      </w:tcPr>
    </w:tblStylePr>
    <w:tblStylePr w:type="band1Vert">
      <w:tblPr/>
      <w:tcPr>
        <w:tcBorders>
          <w:top w:val="nil"/>
          <w:left w:val="nil"/>
          <w:bottom w:val="nil"/>
          <w:right w:val="nil"/>
          <w:insideH w:val="nil"/>
          <w:insideV w:val="nil"/>
        </w:tcBorders>
        <w:shd w:val="clear" w:color="auto" w:fill="75A520" w:themeFill="accent5" w:themeFillShade="BF"/>
      </w:tcPr>
    </w:tblStylePr>
    <w:tblStylePr w:type="band1Horz">
      <w:tblPr/>
      <w:tcPr>
        <w:tcBorders>
          <w:top w:val="nil"/>
          <w:left w:val="nil"/>
          <w:bottom w:val="nil"/>
          <w:right w:val="nil"/>
          <w:insideH w:val="nil"/>
          <w:insideV w:val="nil"/>
        </w:tcBorders>
        <w:shd w:val="clear" w:color="auto" w:fill="75A52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800080"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FFCAA5" w:themeColor="accent4" w:themeTint="66"/>
        <w:left w:val="single" w:sz="4" w:space="0" w:color="FFCAA5" w:themeColor="accent4" w:themeTint="66"/>
        <w:bottom w:val="single" w:sz="4" w:space="0" w:color="FFCAA5" w:themeColor="accent4" w:themeTint="66"/>
        <w:right w:val="single" w:sz="4" w:space="0" w:color="FFCAA5" w:themeColor="accent4" w:themeTint="66"/>
        <w:insideH w:val="single" w:sz="4" w:space="0" w:color="FFCAA5" w:themeColor="accent4" w:themeTint="66"/>
        <w:insideV w:val="single" w:sz="4" w:space="0" w:color="FFCAA5" w:themeColor="accent4" w:themeTint="66"/>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2" w:space="0" w:color="FFB07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D6EFAD" w:themeColor="accent5" w:themeTint="66"/>
        <w:left w:val="single" w:sz="4" w:space="0" w:color="D6EFAD" w:themeColor="accent5" w:themeTint="66"/>
        <w:bottom w:val="single" w:sz="4" w:space="0" w:color="D6EFAD" w:themeColor="accent5" w:themeTint="66"/>
        <w:right w:val="single" w:sz="4" w:space="0" w:color="D6EFAD" w:themeColor="accent5" w:themeTint="66"/>
        <w:insideH w:val="single" w:sz="4" w:space="0" w:color="D6EFAD" w:themeColor="accent5" w:themeTint="66"/>
        <w:insideV w:val="single" w:sz="4" w:space="0" w:color="D6EFAD" w:themeColor="accent5" w:themeTint="66"/>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2" w:space="0" w:color="C2E7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FFB078" w:themeColor="accent4" w:themeTint="99"/>
        <w:bottom w:val="single" w:sz="2" w:space="0" w:color="FFB078" w:themeColor="accent4" w:themeTint="99"/>
        <w:insideH w:val="single" w:sz="2" w:space="0" w:color="FFB078" w:themeColor="accent4" w:themeTint="99"/>
        <w:insideV w:val="single" w:sz="2" w:space="0" w:color="FFB078" w:themeColor="accent4" w:themeTint="99"/>
      </w:tblBorders>
    </w:tblPr>
    <w:tblStylePr w:type="firstRow">
      <w:rPr>
        <w:b/>
        <w:bCs/>
      </w:rPr>
      <w:tblPr/>
      <w:tcPr>
        <w:tcBorders>
          <w:top w:val="nil"/>
          <w:bottom w:val="single" w:sz="12" w:space="0" w:color="FFB078" w:themeColor="accent4" w:themeTint="99"/>
          <w:insideH w:val="nil"/>
          <w:insideV w:val="nil"/>
        </w:tcBorders>
        <w:shd w:val="clear" w:color="auto" w:fill="FFFFFF" w:themeFill="background1"/>
      </w:tcPr>
    </w:tblStylePr>
    <w:tblStylePr w:type="lastRow">
      <w:rPr>
        <w:b/>
        <w:bCs/>
      </w:rPr>
      <w:tblPr/>
      <w:tcPr>
        <w:tcBorders>
          <w:top w:val="double" w:sz="2" w:space="0" w:color="FFB0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C2E784" w:themeColor="accent5" w:themeTint="99"/>
        <w:bottom w:val="single" w:sz="2" w:space="0" w:color="C2E784" w:themeColor="accent5" w:themeTint="99"/>
        <w:insideH w:val="single" w:sz="2" w:space="0" w:color="C2E784" w:themeColor="accent5" w:themeTint="99"/>
        <w:insideV w:val="single" w:sz="2" w:space="0" w:color="C2E784" w:themeColor="accent5" w:themeTint="99"/>
      </w:tblBorders>
    </w:tblPr>
    <w:tblStylePr w:type="firstRow">
      <w:rPr>
        <w:b/>
        <w:bCs/>
      </w:rPr>
      <w:tblPr/>
      <w:tcPr>
        <w:tcBorders>
          <w:top w:val="nil"/>
          <w:bottom w:val="single" w:sz="12" w:space="0" w:color="C2E784" w:themeColor="accent5" w:themeTint="99"/>
          <w:insideH w:val="nil"/>
          <w:insideV w:val="nil"/>
        </w:tcBorders>
        <w:shd w:val="clear" w:color="auto" w:fill="FFFFFF" w:themeFill="background1"/>
      </w:tcPr>
    </w:tblStylePr>
    <w:tblStylePr w:type="lastRow">
      <w:rPr>
        <w:b/>
        <w:bCs/>
      </w:rPr>
      <w:tblPr/>
      <w:tcPr>
        <w:tcBorders>
          <w:top w:val="double" w:sz="2" w:space="0" w:color="C2E7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insideV w:val="nil"/>
        </w:tcBorders>
        <w:shd w:val="clear" w:color="auto" w:fill="FF7D1E" w:themeFill="accent4"/>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insideV w:val="nil"/>
        </w:tcBorders>
        <w:shd w:val="clear" w:color="auto" w:fill="9BD732" w:themeFill="accent5"/>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4"/>
      </w:tcPr>
    </w:tblStylePr>
    <w:tblStylePr w:type="band1Vert">
      <w:tblPr/>
      <w:tcPr>
        <w:shd w:val="clear" w:color="auto" w:fill="FFCAA5" w:themeFill="accent4" w:themeFillTint="66"/>
      </w:tcPr>
    </w:tblStylePr>
    <w:tblStylePr w:type="band1Horz">
      <w:tblPr/>
      <w:tcPr>
        <w:shd w:val="clear" w:color="auto" w:fill="FFCAA5"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5"/>
      </w:tcPr>
    </w:tblStylePr>
    <w:tblStylePr w:type="band1Vert">
      <w:tblPr/>
      <w:tcPr>
        <w:shd w:val="clear" w:color="auto" w:fill="D6EFAD" w:themeFill="accent5" w:themeFillTint="66"/>
      </w:tcPr>
    </w:tblStylePr>
    <w:tblStylePr w:type="band1Horz">
      <w:tblPr/>
      <w:tcPr>
        <w:shd w:val="clear" w:color="auto" w:fill="D6EFAD"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6Colorful-Accent5">
    <w:name w:val="Grid Table 6 Colorful Accent 5"/>
    <w:basedOn w:val="TableNormal"/>
    <w:uiPriority w:val="51"/>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7Colorful-Accent5">
    <w:name w:val="Grid Table 7 Colorful Accent 5"/>
    <w:basedOn w:val="TableNormal"/>
    <w:uiPriority w:val="52"/>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18" w:space="0" w:color="FF7D1E" w:themeColor="accent4"/>
          <w:right w:val="single" w:sz="8" w:space="0" w:color="FF7D1E" w:themeColor="accent4"/>
          <w:insideH w:val="nil"/>
          <w:insideV w:val="single" w:sz="8" w:space="0" w:color="FF7D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insideH w:val="nil"/>
          <w:insideV w:val="single" w:sz="8" w:space="0" w:color="FF7D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shd w:val="clear" w:color="auto" w:fill="FFDEC7" w:themeFill="accent4" w:themeFillTint="3F"/>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shd w:val="clear" w:color="auto" w:fill="FFDEC7" w:themeFill="accent4" w:themeFillTint="3F"/>
      </w:tcPr>
    </w:tblStylePr>
    <w:tblStylePr w:type="band2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18" w:space="0" w:color="9BD732" w:themeColor="accent5"/>
          <w:right w:val="single" w:sz="8" w:space="0" w:color="9BD732" w:themeColor="accent5"/>
          <w:insideH w:val="nil"/>
          <w:insideV w:val="single" w:sz="8" w:space="0" w:color="9BD7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insideH w:val="nil"/>
          <w:insideV w:val="single" w:sz="8" w:space="0" w:color="9BD7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shd w:val="clear" w:color="auto" w:fill="E6F5CC" w:themeFill="accent5" w:themeFillTint="3F"/>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shd w:val="clear" w:color="auto" w:fill="E6F5CC" w:themeFill="accent5" w:themeFillTint="3F"/>
      </w:tcPr>
    </w:tblStylePr>
    <w:tblStylePr w:type="band2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pPr>
        <w:spacing w:before="0" w:after="0" w:line="240" w:lineRule="auto"/>
      </w:pPr>
      <w:rPr>
        <w:b/>
        <w:bCs/>
        <w:color w:val="FFFFFF" w:themeColor="background1"/>
      </w:rPr>
      <w:tblPr/>
      <w:tcPr>
        <w:shd w:val="clear" w:color="auto" w:fill="FF7D1E" w:themeFill="accent4"/>
      </w:tcPr>
    </w:tblStylePr>
    <w:tblStylePr w:type="lastRow">
      <w:pPr>
        <w:spacing w:before="0" w:after="0" w:line="240" w:lineRule="auto"/>
      </w:pPr>
      <w:rPr>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tcBorders>
      </w:tcPr>
    </w:tblStylePr>
    <w:tblStylePr w:type="firstCol">
      <w:rPr>
        <w:b/>
        <w:bCs/>
      </w:rPr>
    </w:tblStylePr>
    <w:tblStylePr w:type="lastCol">
      <w:rPr>
        <w:b/>
        <w:bCs/>
      </w:r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pPr>
        <w:spacing w:before="0" w:after="0" w:line="240" w:lineRule="auto"/>
      </w:pPr>
      <w:rPr>
        <w:b/>
        <w:bCs/>
        <w:color w:val="FFFFFF" w:themeColor="background1"/>
      </w:rPr>
      <w:tblPr/>
      <w:tcPr>
        <w:shd w:val="clear" w:color="auto" w:fill="9BD732" w:themeFill="accent5"/>
      </w:tcPr>
    </w:tblStylePr>
    <w:tblStylePr w:type="lastRow">
      <w:pPr>
        <w:spacing w:before="0" w:after="0" w:line="240" w:lineRule="auto"/>
      </w:pPr>
      <w:rPr>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tcBorders>
      </w:tcPr>
    </w:tblStylePr>
    <w:tblStylePr w:type="firstCol">
      <w:rPr>
        <w:b/>
        <w:bCs/>
      </w:rPr>
    </w:tblStylePr>
    <w:tblStylePr w:type="lastCol">
      <w:rPr>
        <w:b/>
        <w:bCs/>
      </w:r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D55900" w:themeColor="accent4" w:themeShade="BF"/>
    </w:rPr>
    <w:tblPr>
      <w:tblStyleRowBandSize w:val="1"/>
      <w:tblStyleColBandSize w:val="1"/>
      <w:tblBorders>
        <w:top w:val="single" w:sz="8" w:space="0" w:color="FF7D1E" w:themeColor="accent4"/>
        <w:bottom w:val="single" w:sz="8" w:space="0" w:color="FF7D1E" w:themeColor="accent4"/>
      </w:tblBorders>
    </w:tblPr>
    <w:tblStylePr w:type="fir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la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left w:val="nil"/>
          <w:right w:val="nil"/>
          <w:insideH w:val="nil"/>
          <w:insideV w:val="nil"/>
        </w:tcBorders>
        <w:shd w:val="clear" w:color="auto" w:fill="FFDEC7" w:themeFill="accent4" w:themeFillTint="3F"/>
      </w:tcPr>
    </w:tblStylePr>
  </w:style>
  <w:style w:type="table" w:styleId="LightShading-Accent5">
    <w:name w:val="Light Shading Accent 5"/>
    <w:basedOn w:val="TableNormal"/>
    <w:uiPriority w:val="60"/>
    <w:semiHidden/>
    <w:unhideWhenUsed/>
    <w:rsid w:val="006C286D"/>
    <w:rPr>
      <w:color w:val="75A520" w:themeColor="accent5" w:themeShade="BF"/>
    </w:rPr>
    <w:tblPr>
      <w:tblStyleRowBandSize w:val="1"/>
      <w:tblStyleColBandSize w:val="1"/>
      <w:tblBorders>
        <w:top w:val="single" w:sz="8" w:space="0" w:color="9BD732" w:themeColor="accent5"/>
        <w:bottom w:val="single" w:sz="8" w:space="0" w:color="9BD732" w:themeColor="accent5"/>
      </w:tblBorders>
    </w:tblPr>
    <w:tblStylePr w:type="fir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la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left w:val="nil"/>
          <w:right w:val="nil"/>
          <w:insideH w:val="nil"/>
          <w:insideV w:val="nil"/>
        </w:tcBorders>
        <w:shd w:val="clear" w:color="auto" w:fill="E6F5CC"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27"/>
      </w:numPr>
      <w:contextualSpacing/>
    </w:pPr>
    <w:rPr>
      <w:lang w:val="en-GB"/>
    </w:rPr>
  </w:style>
  <w:style w:type="paragraph" w:styleId="ListBullet4">
    <w:name w:val="List Bullet 4"/>
    <w:basedOn w:val="Normal"/>
    <w:semiHidden/>
    <w:unhideWhenUsed/>
    <w:rsid w:val="006C286D"/>
    <w:pPr>
      <w:numPr>
        <w:numId w:val="11"/>
      </w:numPr>
      <w:contextualSpacing/>
    </w:pPr>
  </w:style>
  <w:style w:type="paragraph" w:styleId="ListBullet5">
    <w:name w:val="List Bullet 5"/>
    <w:basedOn w:val="Normal"/>
    <w:semiHidden/>
    <w:unhideWhenUsed/>
    <w:rsid w:val="006C286D"/>
    <w:pPr>
      <w:numPr>
        <w:numId w:val="12"/>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3"/>
      </w:numPr>
      <w:contextualSpacing/>
    </w:pPr>
  </w:style>
  <w:style w:type="paragraph" w:styleId="ListNumber5">
    <w:name w:val="List Number 5"/>
    <w:basedOn w:val="Normal"/>
    <w:semiHidden/>
    <w:unhideWhenUsed/>
    <w:rsid w:val="006C286D"/>
    <w:pPr>
      <w:numPr>
        <w:numId w:val="14"/>
      </w:numPr>
      <w:contextualSpacing/>
    </w:pPr>
  </w:style>
  <w:style w:type="paragraph" w:styleId="ListParagraph">
    <w:name w:val="List Paragraph"/>
    <w:basedOn w:val="Normal"/>
    <w:uiPriority w:val="34"/>
    <w:semiHidden/>
    <w:unhideWhenUsed/>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FFB078" w:themeColor="accent4" w:themeTint="99"/>
        </w:tcBorders>
      </w:tcPr>
    </w:tblStylePr>
    <w:tblStylePr w:type="lastRow">
      <w:rPr>
        <w:b/>
        <w:bCs/>
      </w:rPr>
      <w:tblPr/>
      <w:tcPr>
        <w:tcBorders>
          <w:top w:val="sing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C2E784" w:themeColor="accent5" w:themeTint="99"/>
        </w:tcBorders>
      </w:tcPr>
    </w:tblStylePr>
    <w:tblStylePr w:type="lastRow">
      <w:rPr>
        <w:b/>
        <w:bCs/>
      </w:rPr>
      <w:tblPr/>
      <w:tcPr>
        <w:tcBorders>
          <w:top w:val="sing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FFB078" w:themeColor="accent4" w:themeTint="99"/>
        <w:bottom w:val="single" w:sz="4" w:space="0" w:color="FFB078" w:themeColor="accent4" w:themeTint="99"/>
        <w:insideH w:val="single" w:sz="4" w:space="0" w:color="FFB0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C2E784" w:themeColor="accent5" w:themeTint="99"/>
        <w:bottom w:val="single" w:sz="4" w:space="0" w:color="C2E784" w:themeColor="accent5" w:themeTint="99"/>
        <w:insideH w:val="single" w:sz="4" w:space="0" w:color="C2E7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FF7D1E" w:themeColor="accent4"/>
        <w:left w:val="single" w:sz="4" w:space="0" w:color="FF7D1E" w:themeColor="accent4"/>
        <w:bottom w:val="single" w:sz="4" w:space="0" w:color="FF7D1E" w:themeColor="accent4"/>
        <w:right w:val="single" w:sz="4" w:space="0" w:color="FF7D1E" w:themeColor="accent4"/>
      </w:tblBorders>
    </w:tblPr>
    <w:tblStylePr w:type="firstRow">
      <w:rPr>
        <w:b/>
        <w:bCs/>
        <w:color w:val="FFFFFF" w:themeColor="background1"/>
      </w:rPr>
      <w:tblPr/>
      <w:tcPr>
        <w:shd w:val="clear" w:color="auto" w:fill="FF7D1E" w:themeFill="accent4"/>
      </w:tcPr>
    </w:tblStylePr>
    <w:tblStylePr w:type="lastRow">
      <w:rPr>
        <w:b/>
        <w:bCs/>
      </w:rPr>
      <w:tblPr/>
      <w:tcPr>
        <w:tcBorders>
          <w:top w:val="double" w:sz="4" w:space="0" w:color="FF7D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4"/>
          <w:right w:val="single" w:sz="4" w:space="0" w:color="FF7D1E" w:themeColor="accent4"/>
        </w:tcBorders>
      </w:tcPr>
    </w:tblStylePr>
    <w:tblStylePr w:type="band1Horz">
      <w:tblPr/>
      <w:tcPr>
        <w:tcBorders>
          <w:top w:val="single" w:sz="4" w:space="0" w:color="FF7D1E" w:themeColor="accent4"/>
          <w:bottom w:val="single" w:sz="4" w:space="0" w:color="FF7D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4"/>
          <w:left w:val="nil"/>
        </w:tcBorders>
      </w:tcPr>
    </w:tblStylePr>
    <w:tblStylePr w:type="swCell">
      <w:tblPr/>
      <w:tcPr>
        <w:tcBorders>
          <w:top w:val="double" w:sz="4" w:space="0" w:color="FF7D1E"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9BD732" w:themeColor="accent5"/>
        <w:left w:val="single" w:sz="4" w:space="0" w:color="9BD732" w:themeColor="accent5"/>
        <w:bottom w:val="single" w:sz="4" w:space="0" w:color="9BD732" w:themeColor="accent5"/>
        <w:right w:val="single" w:sz="4" w:space="0" w:color="9BD732" w:themeColor="accent5"/>
      </w:tblBorders>
    </w:tblPr>
    <w:tblStylePr w:type="firstRow">
      <w:rPr>
        <w:b/>
        <w:bCs/>
        <w:color w:val="FFFFFF" w:themeColor="background1"/>
      </w:rPr>
      <w:tblPr/>
      <w:tcPr>
        <w:shd w:val="clear" w:color="auto" w:fill="9BD732" w:themeFill="accent5"/>
      </w:tcPr>
    </w:tblStylePr>
    <w:tblStylePr w:type="lastRow">
      <w:rPr>
        <w:b/>
        <w:bCs/>
      </w:rPr>
      <w:tblPr/>
      <w:tcPr>
        <w:tcBorders>
          <w:top w:val="double" w:sz="4" w:space="0" w:color="9BD7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5"/>
          <w:right w:val="single" w:sz="4" w:space="0" w:color="9BD732" w:themeColor="accent5"/>
        </w:tcBorders>
      </w:tcPr>
    </w:tblStylePr>
    <w:tblStylePr w:type="band1Horz">
      <w:tblPr/>
      <w:tcPr>
        <w:tcBorders>
          <w:top w:val="single" w:sz="4" w:space="0" w:color="9BD732" w:themeColor="accent5"/>
          <w:bottom w:val="single" w:sz="4" w:space="0" w:color="9BD7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5"/>
          <w:left w:val="nil"/>
        </w:tcBorders>
      </w:tcPr>
    </w:tblStylePr>
    <w:tblStylePr w:type="swCell">
      <w:tblPr/>
      <w:tcPr>
        <w:tcBorders>
          <w:top w:val="double" w:sz="4" w:space="0" w:color="9BD732"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tcBorders>
        <w:shd w:val="clear" w:color="auto" w:fill="FF7D1E" w:themeFill="accent4"/>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tcBorders>
        <w:shd w:val="clear" w:color="auto" w:fill="9BD732" w:themeFill="accent5"/>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FF7D1E" w:themeColor="accent4"/>
        <w:left w:val="single" w:sz="24" w:space="0" w:color="FF7D1E" w:themeColor="accent4"/>
        <w:bottom w:val="single" w:sz="24" w:space="0" w:color="FF7D1E" w:themeColor="accent4"/>
        <w:right w:val="single" w:sz="24" w:space="0" w:color="FF7D1E" w:themeColor="accent4"/>
      </w:tblBorders>
    </w:tblPr>
    <w:tcPr>
      <w:shd w:val="clear" w:color="auto" w:fill="FF7D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9BD732" w:themeColor="accent5"/>
        <w:left w:val="single" w:sz="24" w:space="0" w:color="9BD732" w:themeColor="accent5"/>
        <w:bottom w:val="single" w:sz="24" w:space="0" w:color="9BD732" w:themeColor="accent5"/>
        <w:right w:val="single" w:sz="24" w:space="0" w:color="9BD732" w:themeColor="accent5"/>
      </w:tblBorders>
    </w:tblPr>
    <w:tcPr>
      <w:shd w:val="clear" w:color="auto" w:fill="9BD7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D55900" w:themeColor="accent4" w:themeShade="BF"/>
    </w:rPr>
    <w:tblPr>
      <w:tblStyleRowBandSize w:val="1"/>
      <w:tblStyleColBandSize w:val="1"/>
      <w:tblBorders>
        <w:top w:val="single" w:sz="4" w:space="0" w:color="FF7D1E" w:themeColor="accent4"/>
        <w:bottom w:val="single" w:sz="4" w:space="0" w:color="FF7D1E" w:themeColor="accent4"/>
      </w:tblBorders>
    </w:tblPr>
    <w:tblStylePr w:type="firstRow">
      <w:rPr>
        <w:b/>
        <w:bCs/>
      </w:rPr>
      <w:tblPr/>
      <w:tcPr>
        <w:tcBorders>
          <w:bottom w:val="single" w:sz="4" w:space="0" w:color="FF7D1E" w:themeColor="accent4"/>
        </w:tcBorders>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6Colorful-Accent5">
    <w:name w:val="List Table 6 Colorful Accent 5"/>
    <w:basedOn w:val="TableNormal"/>
    <w:uiPriority w:val="51"/>
    <w:rsid w:val="006C286D"/>
    <w:rPr>
      <w:color w:val="75A520" w:themeColor="accent5" w:themeShade="BF"/>
    </w:rPr>
    <w:tblPr>
      <w:tblStyleRowBandSize w:val="1"/>
      <w:tblStyleColBandSize w:val="1"/>
      <w:tblBorders>
        <w:top w:val="single" w:sz="4" w:space="0" w:color="9BD732" w:themeColor="accent5"/>
        <w:bottom w:val="single" w:sz="4" w:space="0" w:color="9BD732" w:themeColor="accent5"/>
      </w:tblBorders>
    </w:tblPr>
    <w:tblStylePr w:type="firstRow">
      <w:rPr>
        <w:b/>
        <w:bCs/>
      </w:rPr>
      <w:tblPr/>
      <w:tcPr>
        <w:tcBorders>
          <w:bottom w:val="single" w:sz="4" w:space="0" w:color="9BD732" w:themeColor="accent5"/>
        </w:tcBorders>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D55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4"/>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75A5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5"/>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insideV w:val="single" w:sz="8" w:space="0" w:color="FF9D56" w:themeColor="accent4" w:themeTint="BF"/>
      </w:tblBorders>
    </w:tblPr>
    <w:tcPr>
      <w:shd w:val="clear" w:color="auto" w:fill="FFDEC7" w:themeFill="accent4" w:themeFillTint="3F"/>
    </w:tcPr>
    <w:tblStylePr w:type="firstRow">
      <w:rPr>
        <w:b/>
        <w:bCs/>
      </w:rPr>
    </w:tblStylePr>
    <w:tblStylePr w:type="lastRow">
      <w:rPr>
        <w:b/>
        <w:bCs/>
      </w:rPr>
      <w:tblPr/>
      <w:tcPr>
        <w:tcBorders>
          <w:top w:val="single" w:sz="18" w:space="0" w:color="FF9D56" w:themeColor="accent4" w:themeTint="BF"/>
        </w:tcBorders>
      </w:tcPr>
    </w:tblStylePr>
    <w:tblStylePr w:type="firstCol">
      <w:rPr>
        <w:b/>
        <w:bCs/>
      </w:rPr>
    </w:tblStylePr>
    <w:tblStylePr w:type="lastCol">
      <w:rPr>
        <w:b/>
        <w:bCs/>
      </w:r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insideV w:val="single" w:sz="8" w:space="0" w:color="B3E165" w:themeColor="accent5" w:themeTint="BF"/>
      </w:tblBorders>
    </w:tblPr>
    <w:tcPr>
      <w:shd w:val="clear" w:color="auto" w:fill="E6F5CC" w:themeFill="accent5" w:themeFillTint="3F"/>
    </w:tcPr>
    <w:tblStylePr w:type="firstRow">
      <w:rPr>
        <w:b/>
        <w:bCs/>
      </w:rPr>
    </w:tblStylePr>
    <w:tblStylePr w:type="lastRow">
      <w:rPr>
        <w:b/>
        <w:bCs/>
      </w:rPr>
      <w:tblPr/>
      <w:tcPr>
        <w:tcBorders>
          <w:top w:val="single" w:sz="18" w:space="0" w:color="B3E165" w:themeColor="accent5" w:themeTint="BF"/>
        </w:tcBorders>
      </w:tcPr>
    </w:tblStylePr>
    <w:tblStylePr w:type="firstCol">
      <w:rPr>
        <w:b/>
        <w:bCs/>
      </w:rPr>
    </w:tblStylePr>
    <w:tblStylePr w:type="lastCol">
      <w:rPr>
        <w:b/>
        <w:bCs/>
      </w:r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cPr>
      <w:shd w:val="clear" w:color="auto" w:fill="FFDEC7" w:themeFill="accent4" w:themeFillTint="3F"/>
    </w:tcPr>
    <w:tblStylePr w:type="firstRow">
      <w:rPr>
        <w:b/>
        <w:bCs/>
        <w:color w:val="000000" w:themeColor="text1"/>
      </w:rPr>
      <w:tblPr/>
      <w:tcPr>
        <w:shd w:val="clear" w:color="auto" w:fill="FF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4" w:themeFillTint="33"/>
      </w:tcPr>
    </w:tblStylePr>
    <w:tblStylePr w:type="band1Vert">
      <w:tblPr/>
      <w:tcPr>
        <w:shd w:val="clear" w:color="auto" w:fill="FFBD8E" w:themeFill="accent4" w:themeFillTint="7F"/>
      </w:tcPr>
    </w:tblStylePr>
    <w:tblStylePr w:type="band1Horz">
      <w:tblPr/>
      <w:tcPr>
        <w:tcBorders>
          <w:insideH w:val="single" w:sz="6" w:space="0" w:color="FF7D1E" w:themeColor="accent4"/>
          <w:insideV w:val="single" w:sz="6" w:space="0" w:color="FF7D1E" w:themeColor="accent4"/>
        </w:tcBorders>
        <w:shd w:val="clear" w:color="auto" w:fill="FFBD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cPr>
      <w:shd w:val="clear" w:color="auto" w:fill="E6F5CC" w:themeFill="accent5" w:themeFillTint="3F"/>
    </w:tcPr>
    <w:tblStylePr w:type="firstRow">
      <w:rPr>
        <w:b/>
        <w:bCs/>
        <w:color w:val="000000" w:themeColor="text1"/>
      </w:rPr>
      <w:tblPr/>
      <w:tcPr>
        <w:shd w:val="clear" w:color="auto" w:fill="F5FB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5" w:themeFillTint="33"/>
      </w:tcPr>
    </w:tblStylePr>
    <w:tblStylePr w:type="band1Vert">
      <w:tblPr/>
      <w:tcPr>
        <w:shd w:val="clear" w:color="auto" w:fill="CDEB98" w:themeFill="accent5" w:themeFillTint="7F"/>
      </w:tcPr>
    </w:tblStylePr>
    <w:tblStylePr w:type="band1Horz">
      <w:tblPr/>
      <w:tcPr>
        <w:tcBorders>
          <w:insideH w:val="single" w:sz="6" w:space="0" w:color="9BD732" w:themeColor="accent5"/>
          <w:insideV w:val="single" w:sz="6" w:space="0" w:color="9BD732" w:themeColor="accent5"/>
        </w:tcBorders>
        <w:shd w:val="clear" w:color="auto" w:fill="CDEB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6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47678"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47678"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47678"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FF7D1E" w:themeColor="accent4"/>
        <w:bottom w:val="single" w:sz="8" w:space="0" w:color="FF7D1E" w:themeColor="accent4"/>
      </w:tblBorders>
    </w:tblPr>
    <w:tblStylePr w:type="firstRow">
      <w:rPr>
        <w:rFonts w:asciiTheme="majorHAnsi" w:eastAsiaTheme="majorEastAsia" w:hAnsiTheme="majorHAnsi" w:cstheme="majorBidi"/>
      </w:rPr>
      <w:tblPr/>
      <w:tcPr>
        <w:tcBorders>
          <w:top w:val="nil"/>
          <w:bottom w:val="single" w:sz="8" w:space="0" w:color="FF7D1E" w:themeColor="accent4"/>
        </w:tcBorders>
      </w:tcPr>
    </w:tblStylePr>
    <w:tblStylePr w:type="lastRow">
      <w:rPr>
        <w:b/>
        <w:bCs/>
        <w:color w:val="747678" w:themeColor="text2"/>
      </w:rPr>
      <w:tblPr/>
      <w:tcPr>
        <w:tcBorders>
          <w:top w:val="single" w:sz="8" w:space="0" w:color="FF7D1E" w:themeColor="accent4"/>
          <w:bottom w:val="single" w:sz="8" w:space="0" w:color="FF7D1E" w:themeColor="accent4"/>
        </w:tcBorders>
      </w:tcPr>
    </w:tblStylePr>
    <w:tblStylePr w:type="firstCol">
      <w:rPr>
        <w:b/>
        <w:bCs/>
      </w:rPr>
    </w:tblStylePr>
    <w:tblStylePr w:type="lastCol">
      <w:rPr>
        <w:b/>
        <w:bCs/>
      </w:rPr>
      <w:tblPr/>
      <w:tcPr>
        <w:tcBorders>
          <w:top w:val="single" w:sz="8" w:space="0" w:color="FF7D1E" w:themeColor="accent4"/>
          <w:bottom w:val="single" w:sz="8" w:space="0" w:color="FF7D1E" w:themeColor="accent4"/>
        </w:tcBorders>
      </w:tcPr>
    </w:tblStylePr>
    <w:tblStylePr w:type="band1Vert">
      <w:tblPr/>
      <w:tcPr>
        <w:shd w:val="clear" w:color="auto" w:fill="FFDEC7" w:themeFill="accent4" w:themeFillTint="3F"/>
      </w:tcPr>
    </w:tblStylePr>
    <w:tblStylePr w:type="band1Horz">
      <w:tblPr/>
      <w:tcPr>
        <w:shd w:val="clear" w:color="auto" w:fill="FFDEC7"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9BD732" w:themeColor="accent5"/>
        <w:bottom w:val="single" w:sz="8" w:space="0" w:color="9BD732" w:themeColor="accent5"/>
      </w:tblBorders>
    </w:tblPr>
    <w:tblStylePr w:type="firstRow">
      <w:rPr>
        <w:rFonts w:asciiTheme="majorHAnsi" w:eastAsiaTheme="majorEastAsia" w:hAnsiTheme="majorHAnsi" w:cstheme="majorBidi"/>
      </w:rPr>
      <w:tblPr/>
      <w:tcPr>
        <w:tcBorders>
          <w:top w:val="nil"/>
          <w:bottom w:val="single" w:sz="8" w:space="0" w:color="9BD732" w:themeColor="accent5"/>
        </w:tcBorders>
      </w:tcPr>
    </w:tblStylePr>
    <w:tblStylePr w:type="lastRow">
      <w:rPr>
        <w:b/>
        <w:bCs/>
        <w:color w:val="747678" w:themeColor="text2"/>
      </w:rPr>
      <w:tblPr/>
      <w:tcPr>
        <w:tcBorders>
          <w:top w:val="single" w:sz="8" w:space="0" w:color="9BD732" w:themeColor="accent5"/>
          <w:bottom w:val="single" w:sz="8" w:space="0" w:color="9BD732" w:themeColor="accent5"/>
        </w:tcBorders>
      </w:tcPr>
    </w:tblStylePr>
    <w:tblStylePr w:type="firstCol">
      <w:rPr>
        <w:b/>
        <w:bCs/>
      </w:rPr>
    </w:tblStylePr>
    <w:tblStylePr w:type="lastCol">
      <w:rPr>
        <w:b/>
        <w:bCs/>
      </w:rPr>
      <w:tblPr/>
      <w:tcPr>
        <w:tcBorders>
          <w:top w:val="single" w:sz="8" w:space="0" w:color="9BD732" w:themeColor="accent5"/>
          <w:bottom w:val="single" w:sz="8" w:space="0" w:color="9BD732" w:themeColor="accent5"/>
        </w:tcBorders>
      </w:tcPr>
    </w:tblStylePr>
    <w:tblStylePr w:type="band1Vert">
      <w:tblPr/>
      <w:tcPr>
        <w:shd w:val="clear" w:color="auto" w:fill="E6F5CC" w:themeFill="accent5" w:themeFillTint="3F"/>
      </w:tcPr>
    </w:tblStylePr>
    <w:tblStylePr w:type="band1Horz">
      <w:tblPr/>
      <w:tcPr>
        <w:shd w:val="clear" w:color="auto" w:fill="E6F5CC"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47678"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rPr>
        <w:sz w:val="24"/>
        <w:szCs w:val="24"/>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4"/>
          <w:insideH w:val="nil"/>
          <w:insideV w:val="nil"/>
        </w:tcBorders>
        <w:shd w:val="clear" w:color="auto" w:fill="FFFFFF" w:themeFill="background1"/>
      </w:tcPr>
    </w:tblStylePr>
    <w:tblStylePr w:type="lastCol">
      <w:tblPr/>
      <w:tcPr>
        <w:tcBorders>
          <w:top w:val="nil"/>
          <w:left w:val="single" w:sz="8" w:space="0" w:color="FF7D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top w:val="nil"/>
          <w:bottom w:val="nil"/>
          <w:insideH w:val="nil"/>
          <w:insideV w:val="nil"/>
        </w:tcBorders>
        <w:shd w:val="clear" w:color="auto" w:fill="FFDE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rPr>
        <w:sz w:val="24"/>
        <w:szCs w:val="24"/>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5"/>
          <w:insideH w:val="nil"/>
          <w:insideV w:val="nil"/>
        </w:tcBorders>
        <w:shd w:val="clear" w:color="auto" w:fill="FFFFFF" w:themeFill="background1"/>
      </w:tcPr>
    </w:tblStylePr>
    <w:tblStylePr w:type="lastCol">
      <w:tblPr/>
      <w:tcPr>
        <w:tcBorders>
          <w:top w:val="nil"/>
          <w:left w:val="single" w:sz="8" w:space="0" w:color="9BD7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top w:val="nil"/>
          <w:bottom w:val="nil"/>
          <w:insideH w:val="nil"/>
          <w:insideV w:val="nil"/>
        </w:tcBorders>
        <w:shd w:val="clear" w:color="auto" w:fill="E6F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tblBorders>
    </w:tblPr>
    <w:tblStylePr w:type="firstRow">
      <w:pPr>
        <w:spacing w:before="0" w:after="0" w:line="240" w:lineRule="auto"/>
      </w:pPr>
      <w:rPr>
        <w:b/>
        <w:bCs/>
        <w:color w:val="FFFFFF" w:themeColor="background1"/>
      </w:rPr>
      <w:tblPr/>
      <w:tcPr>
        <w:tc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shd w:val="clear" w:color="auto" w:fill="FF7D1E" w:themeFill="accent4"/>
      </w:tcPr>
    </w:tblStylePr>
    <w:tblStylePr w:type="lastRow">
      <w:pPr>
        <w:spacing w:before="0" w:after="0" w:line="240" w:lineRule="auto"/>
      </w:pPr>
      <w:rPr>
        <w:b/>
        <w:bCs/>
      </w:rPr>
      <w:tblPr/>
      <w:tcPr>
        <w:tcBorders>
          <w:top w:val="double" w:sz="6"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4" w:themeFillTint="3F"/>
      </w:tcPr>
    </w:tblStylePr>
    <w:tblStylePr w:type="band1Horz">
      <w:tblPr/>
      <w:tcPr>
        <w:tcBorders>
          <w:insideH w:val="nil"/>
          <w:insideV w:val="nil"/>
        </w:tcBorders>
        <w:shd w:val="clear" w:color="auto" w:fill="FFDE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tblBorders>
    </w:tblPr>
    <w:tblStylePr w:type="firstRow">
      <w:pPr>
        <w:spacing w:before="0" w:after="0" w:line="240" w:lineRule="auto"/>
      </w:pPr>
      <w:rPr>
        <w:b/>
        <w:bCs/>
        <w:color w:val="FFFFFF" w:themeColor="background1"/>
      </w:rPr>
      <w:tblPr/>
      <w:tcPr>
        <w:tc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shd w:val="clear" w:color="auto" w:fill="9BD732" w:themeFill="accent5"/>
      </w:tcPr>
    </w:tblStylePr>
    <w:tblStylePr w:type="lastRow">
      <w:pPr>
        <w:spacing w:before="0" w:after="0" w:line="240" w:lineRule="auto"/>
      </w:pPr>
      <w:rPr>
        <w:b/>
        <w:bCs/>
      </w:rPr>
      <w:tblPr/>
      <w:tcPr>
        <w:tcBorders>
          <w:top w:val="double" w:sz="6"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5" w:themeFillTint="3F"/>
      </w:tcPr>
    </w:tblStylePr>
    <w:tblStylePr w:type="band1Horz">
      <w:tblPr/>
      <w:tcPr>
        <w:tcBorders>
          <w:insideH w:val="nil"/>
          <w:insideV w:val="nil"/>
        </w:tcBorders>
        <w:shd w:val="clear" w:color="auto" w:fill="E6F5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4"/>
      </w:tcPr>
    </w:tblStylePr>
    <w:tblStylePr w:type="lastCol">
      <w:rPr>
        <w:b/>
        <w:bCs/>
        <w:color w:val="FFFFFF" w:themeColor="background1"/>
      </w:rPr>
      <w:tblPr/>
      <w:tcPr>
        <w:tcBorders>
          <w:left w:val="nil"/>
          <w:right w:val="nil"/>
          <w:insideH w:val="nil"/>
          <w:insideV w:val="nil"/>
        </w:tcBorders>
        <w:shd w:val="clear" w:color="auto" w:fill="FF7D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5"/>
      </w:tcPr>
    </w:tblStylePr>
    <w:tblStylePr w:type="lastCol">
      <w:rPr>
        <w:b/>
        <w:bCs/>
        <w:color w:val="FFFFFF" w:themeColor="background1"/>
      </w:rPr>
      <w:tblPr/>
      <w:tcPr>
        <w:tcBorders>
          <w:left w:val="nil"/>
          <w:right w:val="nil"/>
          <w:insideH w:val="nil"/>
          <w:insideV w:val="nil"/>
        </w:tcBorders>
        <w:shd w:val="clear" w:color="auto" w:fill="9BD7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7"/>
      </w:numPr>
    </w:pPr>
  </w:style>
  <w:style w:type="numbering" w:customStyle="1" w:styleId="GTTableNumbers">
    <w:name w:val="GT Table Numbers"/>
    <w:uiPriority w:val="99"/>
    <w:rsid w:val="008C4D0D"/>
    <w:pPr>
      <w:numPr>
        <w:numId w:val="18"/>
      </w:numPr>
    </w:pPr>
  </w:style>
  <w:style w:type="paragraph" w:customStyle="1" w:styleId="TableBullet1">
    <w:name w:val="Table Bullet 1"/>
    <w:basedOn w:val="ListBullet"/>
    <w:uiPriority w:val="9"/>
    <w:qFormat/>
    <w:rsid w:val="008C4D0D"/>
    <w:pPr>
      <w:numPr>
        <w:numId w:val="21"/>
      </w:numPr>
      <w:spacing w:before="60" w:after="60"/>
    </w:pPr>
  </w:style>
  <w:style w:type="paragraph" w:customStyle="1" w:styleId="TableBullet2">
    <w:name w:val="Table Bullet 2"/>
    <w:basedOn w:val="ListBullet2"/>
    <w:uiPriority w:val="9"/>
    <w:qFormat/>
    <w:rsid w:val="008C4D0D"/>
    <w:pPr>
      <w:numPr>
        <w:numId w:val="21"/>
      </w:numPr>
      <w:spacing w:before="60" w:after="60"/>
    </w:pPr>
  </w:style>
  <w:style w:type="paragraph" w:customStyle="1" w:styleId="TableBullet3">
    <w:name w:val="Table Bullet 3"/>
    <w:basedOn w:val="ListBullet3"/>
    <w:uiPriority w:val="9"/>
    <w:qFormat/>
    <w:rsid w:val="008C4D0D"/>
    <w:pPr>
      <w:numPr>
        <w:numId w:val="21"/>
      </w:numPr>
      <w:spacing w:before="60" w:after="60"/>
    </w:pPr>
  </w:style>
  <w:style w:type="paragraph" w:customStyle="1" w:styleId="TableNumber">
    <w:name w:val="Table Number"/>
    <w:basedOn w:val="ListNumber"/>
    <w:uiPriority w:val="9"/>
    <w:qFormat/>
    <w:rsid w:val="008C4D0D"/>
    <w:pPr>
      <w:numPr>
        <w:numId w:val="24"/>
      </w:numPr>
      <w:spacing w:before="60" w:after="60"/>
    </w:pPr>
  </w:style>
  <w:style w:type="paragraph" w:customStyle="1" w:styleId="TableNumber2">
    <w:name w:val="Table Number 2"/>
    <w:basedOn w:val="ListNumber2"/>
    <w:uiPriority w:val="9"/>
    <w:qFormat/>
    <w:rsid w:val="008C4D0D"/>
    <w:pPr>
      <w:numPr>
        <w:numId w:val="24"/>
      </w:numPr>
      <w:spacing w:before="60" w:after="60"/>
    </w:pPr>
  </w:style>
  <w:style w:type="paragraph" w:customStyle="1" w:styleId="TableNumber3">
    <w:name w:val="Table Number 3"/>
    <w:basedOn w:val="ListNumber3"/>
    <w:uiPriority w:val="9"/>
    <w:qFormat/>
    <w:rsid w:val="008C4D0D"/>
    <w:pPr>
      <w:numPr>
        <w:numId w:val="24"/>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11T02:39:43.383"/>
    </inkml:context>
    <inkml:brush xml:id="br0">
      <inkml:brushProperty name="width" value="0.05" units="cm"/>
      <inkml:brushProperty name="height" value="0.05" units="cm"/>
      <inkml:brushProperty name="ignorePressure" value="1"/>
    </inkml:brush>
  </inkml:definitions>
  <inkml:trace contextRef="#ctx0" brushRef="#br0">184 729,'0'0,"0"0,0 0,0-1,0 1,0 0,0 0,0 0,0 0,0 0,0 0,0 0,0 0,0 0,0 0,0 0,-1 0,1 0,0 0,0 0,0-1,0 1,0 0,0 0,0 0,0 0,0 0,0 0,0 0,0 0,-1 0,1 0,0 0,0 0,0 0,0 0,0 0,0 0,0 0,0 0,0 0,0 0,0 0,-1 1,1-1,0 0,0 0,0 0,0 0,0 0,0 0,0 0,0 0,0 0,0 0,0 0,0 0,0 0,0 0,0 0,0 1,0-1,0 0,0 0,0 0,-6 9,-20 58,-24 61,-32 132,79-248,-8 37,10-44,1 0,-1 0,1 0,0 0,0 0,1 0,-1 0,2 1,-2-6,0 1,0-1,0 1,0-1,0 0,0 1,0-1,0 0,1 0,-1 1,0-1,0 0,0 1,1-1,-1 0,0 0,0 1,1-1,-1 0,0 0,1 0,-1 1,0-1,0 0,1 0,-1 0,0 0,1 0,-1 0,1 0,-1 0,0 0,12-5,8-15,-11 8,-2-1,1 0,-2 0,0 0,3-10,20-74,-26 88,81-358,-32 127,71-240,-121 478,0 6,2 8,7 59,-3 0,-3 1,-4 14,2 1,0-24,39 639,-51-788,-4 0,-9-21,13 70,-1 1,-3 0,0 0,-3 2,-1 0,-11-17,19 38,1 1,-2 0,0 0,0 1,-1 0,0 1,-1 0,-9-5,17 12,0 1,-1-1,0 1,1 0,-1 1,0-1,0 1,0 0,0 0,0 0,0 1,-2-1,3 2,0-1,0 1,0 0,0 0,0 0,0 0,0 1,1 0,-1 0,1 0,-1 0,1 0,0 0,0 1,0 0,0 0,-1 1,-2 3,0 1,1 0,-1 0,2 1,-1-1,1 1,0 0,1 1,0-1,1 0,0 1,0 0,1-1,0 1,0 2,1 6,1 1,0-1,1 0,1 0,1 0,0 0,6 12,-5-16,0 0,2 0,0-1,0 0,1 0,1-1,0 0,1 0,0-1,8 6,-9-9,1-1,-1 0,1-1,0 0,1 0,0-1,0 0,0-1,0-1,0 1,1-2,0 0,9 1,2-2,0-2,0 0,-1-1,1-2,-1 0,1-1,-1-2,-1 0,18-8,20-12,-1-3,43-31,2-7,-33 21,18-7,-85 53,4-3,0 0,0 1,1-1,5 0,-11 3,0 1,-1-1,1 1,0 0,0 0,-1 0,1 0,0 0,0 0,-1 0,1 0,0 1,0-1,-1 1,1-1,0 1,-1 0,1-1,-1 1,1 0,-1 0,1 0,-1 0,1 1,1 2,0-1,-1 1,1 0,-1 1,0-1,1 0,-2 1,1-1,-1 1,1-1,-1 3,2 12,0-1,-1 8,-2-19,3 55,-3 0,-3 0,-4 10,-30 186,32-234,-22 127,6-39,4 0,3 33,13-133,1 41,0-49,0-1,1 1,-1-1,1 1,0-1,0 1,0-1,0 0,1 1,0-1,-1 0,2 1,-2-3,-1-1,1 1,-1 0,1-1,-1 1,1-1,-1 1,1-1,0 1,-1-1,1 0,0 1,0-1,-1 0,1 0,0 1,0-1,-1 0,1 0,0 0,0 0,0 0,-1 0,2 0,0-1,-1 1,1-1,-1 1,1-1,-1 0,1 0,-1 0,1 0,-1 0,0 0,2-1,1-3,1 0,-1-1,0 1,0-1,2-5,3-8,-1-1,0-1,-2 1,0-1,-1 0,-1 0,-1-3,2-27,-3-1,-2-22,-2 27,-1-1,-3 2,-2-1,-1 1,-16-44,16 66,0 0,-1 0,-2 1,0 1,-1 0,-2 1,0 0,-1 1,-1 1,-1 0,-16-12,23 22,-1 0,-1 1,0 1,0 0,0 1,-1 0,1 1,-2 1,1 0,0 1,-1 0,1 1,-10 1,13 0,-1 1,0 1,1 0,-1 0,0 2,1-1,0 1,0 1,0 0,0 0,0 1,1 1,0 0,0 0,1 1,-1 0,-1 3,7-6,0-1,1 1,0 0,0 0,0 0,0 0,1 0,0 0,0 1,0-1,0 1,1 0,-1 0,0 4,2-6,0 0,0 0,0 1,1-1,-1 0,1 0,-1 0,1 0,0 0,0 0,0-1,1 1,-1 0,1 0,-1-1,1 1,0-1,0 1,0-1,0 0,1 0,-1 0,1 0,0 0,5 3,0-1,0 0,1 0,-1-1,1 0,0 0,0-1,0 0,0-1,0 0,0 0,0-1,0 0,4-1,15-2,0-1,0-1,0-1,3-3,35-13,-1-3,-1-3,6-6,-2-1</inkml:trace>
  <inkml:trace contextRef="#ctx0" brushRef="#br0" timeOffset="2681.052">277 1852,'-7'-1,"3"-1,9-7,-2 4,38-52,3 1,42-39,-63 70,445-474,-184 201,205-212,-332 349,-141 145,-9 10,-1-1,1 0,-1-1,0 1,1-3,-7 10,0 0,0-1,0 1,0 0,1 0,-1-1,0 1,0 0,0 0,0-1,0 1,0 0,0 0,0-1,0 1,0 0,0 0,0-1,0 1,0 0,0 0,0-1,0 1,0 0,0 0,0-1,-1 1,1 0,0 0,0-1,0 1,0 0,0 0,-10-4,-13 5,6 3,0 0,1 1,0 0,0 2,0 0,-7 5,-12 7,1 2,-8 9,11-7,0 2,-6 8,27-23,0 0,1 1,0 0,1 0,0 1,0 0,2 0,-1 2,5-8,0 1,0-1,1 1,-1-1,1 1,1-1,-1 1,1 0,1-1,-1 1,1 0,0-1,1 1,-1-1,1 0,1 1,-1-1,1 0,0 0,0 0,3 3,6 8,0-1,2 0,0-1,0 0,1-1,7 4,43 30,1-2,13 3,88 60,-164-106,5 2,0 1,-1 0,0 1,0 0,4 5,-10-10,1-1,-1 1,0 0,0 0,0 1,0-1,0 0,0 0,0 0,-1 1,1-1,-1 0,0 1,0-1,0 0,0 1,0-1,0 0,0 1,-1-1,1 0,-1 1,0-1,0 0,-1 2,-2 4,-1 1,0-1,-1-1,0 1,0-1,-4 4,-46 38,40-37,-87 71,-4-6,-69 36,163-105,2-1,0 0,0 0,-1-2,0 0,0 0,0-1,-1 0,0-1,12-2,-1-1,1 0,0 0,0 0,-1 0,1 0,0 0,0 0,-1-1,1 1,0 0,0-1,0 1,-1-1,1 1,0-1,0 1,0-1,0 0,0 0,0 1,0-1,0 0,0 0,1 0,-1 0,0 0,0 0,1 0,-1 0,1-1,-1 1,1 0,0 0,-1 0,1-1,0 1,0 0,0 0,-1-1,2 0,-2-5,2 1,-1-1,1 0,0 1,0-1,1 0,0-1,1-1,1 0,-1 0,2 0,-1 1,1 0,0-1,1 2,0-1,0 1,1 0,0 0,0 1,2-1,0 0,1 1,-1 0,1 1,1 0,-1 0,1 2,0-1,-1 1,2 1,-1-1,1 2,22-2,0 1,0 2,0 1,22 4,133 28,-115-18,0-3,35-1,-87-10,-1-1,0-2,1 0,-1-1,0-1,0-1,-1-1,1 0,-1-2,13-7,-10 3,0-2,-1 0,-1-1,0-2,-1 0,-1-1,-1-1,9-11,5-12,-1-1,-2-1,-3-2,-1-1,-2-1,-1-3,11-40,-3 0,15-84,-43 167,3-15,0 0,-2 0,1-15,-4 37,0 0,0 0,0 0,0 0,0 0,0 0,0 0,0 0,-1 0,1 0,0 0,0 0,-1 0,1 0,-1 0,1 0,-1 1,1-1,-1 0,0 0,1 0,-1 1,0 0,0 0,0 0,0-1,0 1,0 0,0 1,0-1,0 0,0 0,0 0,0 0,0 1,0-1,0 1,0-1,0 1,0-1,0 1,1-1,-1 1,0-1,0 2,-15 10,1 2,0 0,1 0,1 2,-2 2,-129 169,-37 75,113-161,-232 334,295-424,5-11,1 0,-1 0,0 0,1 0,-1 0,1 0,-1 0,1 0,-1 0,0 0,1 0,-1 0,1 0,-1 0,0 0,1-1,-1 1,1 0,-1 0,0-1,1 1,-1 0,0 0,1-1,-1 1,0 0,1-1,29-19,-1-2,-1 0,-1-2,2-4,11-9,-14 14,112-97,-110 99,0 1,1 1,1 2,8-3,-27 15,-1 1,1 0,0 0,0 1,0 1,0 0,1 0,-1 1,0 1,1 0,-1 0,0 1,1 1,-1 0,0 0,0 1,0 0,0 1,-1 1,1-1,-1 2,0-1,-1 1,1 1,-1 0,-1 0,5 5,16 17,-2 1,13 21,-20-25,1-1,0-1,2 0,16 11,-29-27,1 0,0-1,1 0,-1 0,1-1,1-1,-1 0,1 0,0-2,0 1,0-2,0 0,1 0,-1-1,1-1,-1 0,1-1,-1-1,0 0,0 0,0-1,11-5,-3 0,-1-2,0 0,0-2,-1 0,-1-1,0-1,0 0,-2-1,2-3,12-15,-1-1,-2-1,-1-1,2-8,4-11,-3 0,-3-2,-1-1,12-51,-17 37,-2-1,-4-1,3-64,-15 114,0-1,-2 0,-1 0,-3-22,3 43,1 1,-1 0,0-1,0 1,0 0,0-1,-1 1,1 0,-1 0,0 0,0 0,0 0,0 1,0-1,-1 0,1 1,-1 0,-1-1,2 1,-1 1,0 0,0 0,0 0,0 1,0-1,0 0,0 1,-1 0,1 0,0 0,0 0,0 1,0-1,0 1,0 0,0-1,0 1,0 1,-2 0,-6 3,0 1,0 0,1 0,-1 1,-8 8,-3 5,0 0,0 3,-25 31,3 2,2 1,-23 44,1 12,-28 72,54-101,4 2,3 1,-13 71,42-153,1-2,1 0,-1 1,0-1,1 1,0-1,0 1,0 1,0-4,0-1,0 0,0 1,0-1,1 0,-1 1,0-1,0 0,0 1,0-1,1 0,-1 1,0-1,0 0,1 1,-1-1,0 0,1 0,-1 1,0-1,1 0,-1 0,0 0,1 0,-1 1,1-1,1 0,-1 0,0 0,0 0,0 0,0-1,0 1,0 0,1 0,-1-1,0 1,0-1,0 1,32-16,-1-1,1-2,4-2,12-5,-28 17,-1 1,1 0,1 2,-1 0,1 1,0 1,6 1,-17 2,0 1,0 0,0 1,0 0,1 1,-1 0,-1 1,1 0,0 1,-1 0,0 0,1 1,-2 1,1 0,2 2,2 3,-2 1,1 0,-1 1,-1 0,0 1,2 6,20 23,-32-41,1 0,-1 0,1-1,0 1,-1 0,1-1,0 0,0 1,0-1,0 0,0 0,0 0,0 0,0 0,1-1,-1 1,0-1,1 1,0-1,1 0,-1-1,0 1,1-1,-1 0,0 0,0 0,1 0,-1 0,0-1,0 1,-1-1,1 0,1-1,4-3,0-1,0-1,-1 1,0-1,-1 0,0 0,0-1,0 0,-1 0,-1 0,0-1,0 1,-1-1,0 0,0 0,-1 0,1-10,-1-2,-1 0,-1-1,0 1,-2 0,-1 0,0 0,-7-19,7 28,-1 0,0 1,-1 0,-1 0,0 0,0 0,-2 1,1 0,-6-6,10 14,0 0,0-1,-1 1,1 0,-1 1,0-1,1 1,-1-1,0 1,-1 0,1 1,0-1,0 1,-1 0,1 0,-1 0,1 1,-1-1,1 1,-1 0,0 0,1 1,-1-1,1 1,-1 0,1 0,0 1,0-1,-1 1,-4 2,1 0,0 1,1 0,-1 0,1 0,0 1,0 0,1 1,-2 1,-4 6,0 1,1 1,-7 14,-13 27</inkml:trace>
</inkml:ink>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63100980194A4D8142D55246BAE959" ma:contentTypeVersion="9" ma:contentTypeDescription="Create a new document." ma:contentTypeScope="" ma:versionID="c1d5e67476585f75a6f13949dccb9558">
  <xsd:schema xmlns:xsd="http://www.w3.org/2001/XMLSchema" xmlns:xs="http://www.w3.org/2001/XMLSchema" xmlns:p="http://schemas.microsoft.com/office/2006/metadata/properties" xmlns:ns2="66222093-19dd-4e41-80af-a7ba86285641" xmlns:ns3="e0c32c79-ebaa-4c8e-9555-5219f8258948" targetNamespace="http://schemas.microsoft.com/office/2006/metadata/properties" ma:root="true" ma:fieldsID="9e9fc5d8c0d33d96264351f13c977aa3" ns2:_="" ns3:_="">
    <xsd:import namespace="66222093-19dd-4e41-80af-a7ba86285641"/>
    <xsd:import namespace="e0c32c79-ebaa-4c8e-9555-5219f8258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22093-19dd-4e41-80af-a7ba86285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c32c79-ebaa-4c8e-9555-5219f82589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2.xml><?xml version="1.0" encoding="utf-8"?>
<ds:datastoreItem xmlns:ds="http://schemas.openxmlformats.org/officeDocument/2006/customXml" ds:itemID="{63340691-3B4F-4820-AFA0-EA46171D87E8}">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e0c32c79-ebaa-4c8e-9555-5219f8258948"/>
    <ds:schemaRef ds:uri="66222093-19dd-4e41-80af-a7ba86285641"/>
    <ds:schemaRef ds:uri="http://www.w3.org/XML/1998/namespace"/>
    <ds:schemaRef ds:uri="http://purl.org/dc/dcmitype/"/>
  </ds:schemaRefs>
</ds:datastoreItem>
</file>

<file path=customXml/itemProps3.xml><?xml version="1.0" encoding="utf-8"?>
<ds:datastoreItem xmlns:ds="http://schemas.openxmlformats.org/officeDocument/2006/customXml" ds:itemID="{06D2924B-DF2D-49D4-B226-26D9ABB80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22093-19dd-4e41-80af-a7ba86285641"/>
    <ds:schemaRef ds:uri="e0c32c79-ebaa-4c8e-9555-5219f8258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C3267-3141-497C-BB30-93D87839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919095FE.dotm</Template>
  <TotalTime>1</TotalTime>
  <Pages>4</Pages>
  <Words>1725</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Submission DR127 - Australian Salary Packaging Industry Association (ASPIA) - Remote Area Tax Concessions and Payments - Commissioned study</vt:lpstr>
    </vt:vector>
  </TitlesOfParts>
  <Company>Australian Salary Packaging Industry Association (ASPIA)</Company>
  <LinksUpToDate>false</LinksUpToDate>
  <CharactersWithSpaces>11451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Submission DR127 - Australian Salary Packaging Industry Association (ASPIA) - Remote Area Tax Concessions and Payments - Commissioned study</dc:title>
  <dc:subject/>
  <dc:creator>Australian Salary Packaging Industry Association (ASPIA)</dc:creator>
  <cp:keywords/>
  <dc:description/>
  <cp:lastModifiedBy>Productivity Commission</cp:lastModifiedBy>
  <cp:revision>3</cp:revision>
  <cp:lastPrinted>2007-08-23T16:47:00Z</cp:lastPrinted>
  <dcterms:created xsi:type="dcterms:W3CDTF">2019-10-11T05:53:00Z</dcterms:created>
  <dcterms:modified xsi:type="dcterms:W3CDTF">2019-10-14T02:12:00Z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0x0101000263100980194A4D8142D55246BAE959</vt:lpwstr>
  </property>
  <property fmtid="{D5CDD505-2E9C-101B-9397-08002B2CF9AE}" pid="3" name="TitusGUID">
    <vt:lpwstr>bac82d21-80e3-4269-9a99-ce8960357d9f</vt:lpwstr>
  </property>
  <property fmtid="{D5CDD505-2E9C-101B-9397-08002B2CF9AE}" pid="4" name="OriginatingUser">
    <vt:lpwstr>ASABATO</vt:lpwstr>
  </property>
  <property fmtid="{D5CDD505-2E9C-101B-9397-08002B2CF9AE}" pid="5" name="CLASSIFICATION">
    <vt:lpwstr>CONFIDENTIAL</vt:lpwstr>
  </property>
</Properties>
</file>