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0C" w:rsidRDefault="00830FD2" w:rsidP="008318BE">
      <w:pPr>
        <w:spacing w:after="0"/>
        <w:jc w:val="center"/>
        <w:rPr>
          <w:b/>
        </w:rPr>
      </w:pPr>
      <w:bookmarkStart w:id="0" w:name="_GoBack"/>
      <w:bookmarkEnd w:id="0"/>
      <w:r w:rsidRPr="008318BE">
        <w:rPr>
          <w:b/>
        </w:rPr>
        <w:t>Submission to Productivity Commission on Mental Health</w:t>
      </w:r>
    </w:p>
    <w:p w:rsidR="00A90E01" w:rsidRPr="008318BE" w:rsidRDefault="00A90E01" w:rsidP="008318BE">
      <w:pPr>
        <w:spacing w:after="0"/>
        <w:jc w:val="center"/>
        <w:rPr>
          <w:b/>
        </w:rPr>
      </w:pPr>
    </w:p>
    <w:p w:rsidR="00830FD2" w:rsidRPr="008318BE" w:rsidRDefault="00830FD2" w:rsidP="008318BE">
      <w:pPr>
        <w:spacing w:after="0"/>
        <w:jc w:val="center"/>
        <w:rPr>
          <w:b/>
        </w:rPr>
      </w:pPr>
      <w:r w:rsidRPr="008318BE">
        <w:rPr>
          <w:b/>
        </w:rPr>
        <w:t>Strengthening Learning, Health &amp; Community Relationships</w:t>
      </w:r>
    </w:p>
    <w:p w:rsidR="00830FD2" w:rsidRPr="008318BE" w:rsidRDefault="00830FD2" w:rsidP="008318BE">
      <w:pPr>
        <w:spacing w:after="0"/>
        <w:ind w:left="360"/>
        <w:jc w:val="center"/>
        <w:rPr>
          <w:b/>
        </w:rPr>
      </w:pPr>
      <w:r w:rsidRPr="008318BE">
        <w:rPr>
          <w:b/>
        </w:rPr>
        <w:t>Some international experience</w:t>
      </w:r>
    </w:p>
    <w:p w:rsidR="00830FD2" w:rsidRPr="008318BE" w:rsidRDefault="00830FD2" w:rsidP="008318BE">
      <w:pPr>
        <w:pStyle w:val="ListParagraph"/>
        <w:spacing w:after="0"/>
        <w:ind w:left="360"/>
        <w:rPr>
          <w:b/>
        </w:rPr>
      </w:pPr>
    </w:p>
    <w:p w:rsidR="00830FD2" w:rsidRPr="008318BE" w:rsidRDefault="00830FD2" w:rsidP="008318BE">
      <w:pPr>
        <w:spacing w:after="0"/>
        <w:ind w:left="5040"/>
      </w:pPr>
      <w:r w:rsidRPr="008318BE">
        <w:t>Peter Kearns OAM FACE</w:t>
      </w:r>
    </w:p>
    <w:p w:rsidR="00830FD2" w:rsidRPr="008318BE" w:rsidRDefault="00830FD2" w:rsidP="008318BE">
      <w:pPr>
        <w:spacing w:after="0"/>
        <w:ind w:left="5040"/>
      </w:pPr>
      <w:r w:rsidRPr="008318BE">
        <w:t>PASCAL International Observatory Board</w:t>
      </w:r>
    </w:p>
    <w:p w:rsidR="00830FD2" w:rsidRPr="008318BE" w:rsidRDefault="00830FD2" w:rsidP="00830FD2">
      <w:pPr>
        <w:ind w:left="5040"/>
      </w:pPr>
    </w:p>
    <w:p w:rsidR="00830FD2" w:rsidRPr="008318BE" w:rsidRDefault="00830FD2" w:rsidP="00830FD2">
      <w:pPr>
        <w:ind w:left="284"/>
      </w:pPr>
      <w:r w:rsidRPr="008318BE">
        <w:t>This submission is based on international experi</w:t>
      </w:r>
      <w:r w:rsidR="00537794" w:rsidRPr="008318BE">
        <w:t>ence in learning city and neigh</w:t>
      </w:r>
      <w:r w:rsidRPr="008318BE">
        <w:t>bourhood development that enhances the role of local neighbourhood</w:t>
      </w:r>
      <w:r w:rsidR="00537794" w:rsidRPr="008318BE">
        <w:t>s</w:t>
      </w:r>
      <w:r w:rsidRPr="008318BE">
        <w:t xml:space="preserve"> and cities in fostering lifelong learning and healthy living, addressing exclusion, and bonding individuals in communities for strategic development.</w:t>
      </w:r>
    </w:p>
    <w:p w:rsidR="00537794" w:rsidRPr="008318BE" w:rsidRDefault="00537794" w:rsidP="00830FD2">
      <w:pPr>
        <w:ind w:left="284"/>
      </w:pPr>
      <w:r w:rsidRPr="008318BE">
        <w:t>The approaches discussed show how lifelong learning and health objectives integrated in learning city development can</w:t>
      </w:r>
      <w:r w:rsidR="00EB6C04">
        <w:t xml:space="preserve"> offer a cost-effective approa</w:t>
      </w:r>
      <w:r w:rsidRPr="008318BE">
        <w:t>ch to addre</w:t>
      </w:r>
      <w:r w:rsidR="00BB5FBE">
        <w:t xml:space="preserve">ssing isolation and exclusion, </w:t>
      </w:r>
      <w:r w:rsidRPr="008318BE">
        <w:t>building partnership, and overall fostering healthy living and well-being.</w:t>
      </w:r>
    </w:p>
    <w:p w:rsidR="00537794" w:rsidRPr="008318BE" w:rsidRDefault="00537794" w:rsidP="00830FD2">
      <w:pPr>
        <w:ind w:left="284"/>
      </w:pPr>
      <w:r w:rsidRPr="008318BE">
        <w:t>The submission covers:</w:t>
      </w:r>
    </w:p>
    <w:p w:rsidR="00537794" w:rsidRPr="008318BE" w:rsidRDefault="00537794" w:rsidP="00537794">
      <w:pPr>
        <w:pStyle w:val="ListParagraph"/>
        <w:numPr>
          <w:ilvl w:val="0"/>
          <w:numId w:val="2"/>
        </w:numPr>
        <w:ind w:right="-46"/>
        <w:jc w:val="both"/>
      </w:pPr>
      <w:r w:rsidRPr="008318BE">
        <w:t>The work of UNESCO in building a Global Network of Learning Cities with over 200 members around the world</w:t>
      </w:r>
      <w:r w:rsidR="00B0028A" w:rsidRPr="008318BE">
        <w:t>.</w:t>
      </w:r>
    </w:p>
    <w:p w:rsidR="00B0028A" w:rsidRPr="008318BE" w:rsidRDefault="00B0028A" w:rsidP="00537794">
      <w:pPr>
        <w:pStyle w:val="ListParagraph"/>
        <w:numPr>
          <w:ilvl w:val="0"/>
          <w:numId w:val="2"/>
        </w:numPr>
        <w:ind w:right="-46"/>
        <w:jc w:val="both"/>
      </w:pPr>
      <w:r w:rsidRPr="008318BE">
        <w:t xml:space="preserve">The work of the PASCAL International Observatory in developing the concept of </w:t>
      </w:r>
      <w:proofErr w:type="spellStart"/>
      <w:r w:rsidRPr="008318BE">
        <w:t>EcCoWell</w:t>
      </w:r>
      <w:proofErr w:type="spellEnd"/>
      <w:r w:rsidRPr="008318BE">
        <w:t xml:space="preserve"> as integrated development in cities and neighbourhoods with a particular focus on community learning and health with Cork in Ireland given as an example.</w:t>
      </w:r>
    </w:p>
    <w:p w:rsidR="00B0028A" w:rsidRPr="008318BE" w:rsidRDefault="00B0028A" w:rsidP="00537794">
      <w:pPr>
        <w:pStyle w:val="ListParagraph"/>
        <w:numPr>
          <w:ilvl w:val="0"/>
          <w:numId w:val="2"/>
        </w:numPr>
        <w:ind w:right="-46"/>
        <w:jc w:val="both"/>
      </w:pPr>
      <w:r w:rsidRPr="008318BE">
        <w:t>The UK Centre for Sustainable Healthy Learning Cities and Neighbourhood</w:t>
      </w:r>
      <w:r w:rsidR="007F6361" w:rsidRPr="008318BE">
        <w:t>s, located in Glasgow Universit</w:t>
      </w:r>
      <w:r w:rsidR="008318BE">
        <w:t>y with UK</w:t>
      </w:r>
      <w:r w:rsidR="007F6361" w:rsidRPr="008318BE">
        <w:t xml:space="preserve"> Government funding from UK Research and Innovation as part of the Global Challenge Research Fund with 14 cities in Asia and Africa participating, and with 9 partner universities.</w:t>
      </w:r>
    </w:p>
    <w:p w:rsidR="007F6361" w:rsidRPr="008318BE" w:rsidRDefault="007F6361" w:rsidP="00537794">
      <w:pPr>
        <w:pStyle w:val="ListParagraph"/>
        <w:numPr>
          <w:ilvl w:val="0"/>
          <w:numId w:val="2"/>
        </w:numPr>
        <w:ind w:right="-46"/>
        <w:jc w:val="both"/>
      </w:pPr>
      <w:r w:rsidRPr="008318BE">
        <w:t xml:space="preserve">The PASCAL report on </w:t>
      </w:r>
      <w:r w:rsidRPr="008318BE">
        <w:rPr>
          <w:i/>
        </w:rPr>
        <w:t xml:space="preserve">Towards Good Active Ageing </w:t>
      </w:r>
      <w:r w:rsidRPr="008318BE">
        <w:t>which reports on learning community initiatives around the world.</w:t>
      </w:r>
    </w:p>
    <w:p w:rsidR="007F6361" w:rsidRPr="008318BE" w:rsidRDefault="007F6361" w:rsidP="007F6361">
      <w:pPr>
        <w:ind w:right="-46" w:hanging="142"/>
        <w:jc w:val="both"/>
        <w:rPr>
          <w:b/>
        </w:rPr>
      </w:pPr>
      <w:r w:rsidRPr="008318BE">
        <w:rPr>
          <w:b/>
        </w:rPr>
        <w:t>Key points</w:t>
      </w:r>
    </w:p>
    <w:p w:rsidR="007F6361" w:rsidRPr="008318BE" w:rsidRDefault="00C047B3" w:rsidP="00C047B3">
      <w:pPr>
        <w:pStyle w:val="ListParagraph"/>
        <w:numPr>
          <w:ilvl w:val="0"/>
          <w:numId w:val="1"/>
        </w:numPr>
        <w:ind w:right="-46"/>
        <w:jc w:val="both"/>
        <w:rPr>
          <w:b/>
        </w:rPr>
      </w:pPr>
      <w:r w:rsidRPr="008318BE">
        <w:t>We support the importance of non-health services and organisations in both preventing mental illness and facilitating a persons’ recovery, and wish to point to the value of learning cities and neighbourhoods in initiating and co-ordinating such partnership action.</w:t>
      </w:r>
    </w:p>
    <w:p w:rsidR="007139AF" w:rsidRPr="008318BE" w:rsidRDefault="007139AF" w:rsidP="00C047B3">
      <w:pPr>
        <w:pStyle w:val="ListParagraph"/>
        <w:numPr>
          <w:ilvl w:val="0"/>
          <w:numId w:val="1"/>
        </w:numPr>
        <w:ind w:right="-46"/>
        <w:jc w:val="both"/>
        <w:rPr>
          <w:b/>
        </w:rPr>
      </w:pPr>
      <w:r w:rsidRPr="008318BE">
        <w:t>The UNESCO Global Network of Learning Cities provides examples from over 200 cities around the world with the recent Medellin Manife</w:t>
      </w:r>
      <w:r w:rsidR="00A87B62" w:rsidRPr="008318BE">
        <w:t>s</w:t>
      </w:r>
      <w:r w:rsidRPr="008318BE">
        <w:t>to on</w:t>
      </w:r>
      <w:r w:rsidR="0035161C" w:rsidRPr="008318BE">
        <w:t xml:space="preserve"> Learning Cities for  </w:t>
      </w:r>
      <w:r w:rsidRPr="008318BE">
        <w:t xml:space="preserve"> Inclusion resulting from the Fourth UNESCO International Conference on Learning</w:t>
      </w:r>
      <w:r w:rsidR="008318BE">
        <w:t xml:space="preserve"> Cities illustrating this role.</w:t>
      </w:r>
    </w:p>
    <w:p w:rsidR="007139AF" w:rsidRPr="008318BE" w:rsidRDefault="007139AF" w:rsidP="00C047B3">
      <w:pPr>
        <w:pStyle w:val="ListParagraph"/>
        <w:numPr>
          <w:ilvl w:val="0"/>
          <w:numId w:val="1"/>
        </w:numPr>
        <w:ind w:right="-46"/>
        <w:jc w:val="both"/>
        <w:rPr>
          <w:b/>
        </w:rPr>
      </w:pPr>
      <w:r w:rsidRPr="008318BE">
        <w:t>The Pascal International Observatory has developed since 2011 the</w:t>
      </w:r>
      <w:r w:rsidR="0035161C" w:rsidRPr="008318BE">
        <w:t xml:space="preserve"> concept of integrated</w:t>
      </w:r>
      <w:r w:rsidR="008318BE">
        <w:t xml:space="preserve"> </w:t>
      </w:r>
      <w:r w:rsidR="005A7A5B">
        <w:t>development in</w:t>
      </w:r>
      <w:r w:rsidR="008318BE">
        <w:t xml:space="preserve"> learning cities and learning neighbourhoods </w:t>
      </w:r>
      <w:r w:rsidR="00A30589" w:rsidRPr="008318BE">
        <w:t xml:space="preserve">under an initiative named </w:t>
      </w:r>
      <w:proofErr w:type="spellStart"/>
      <w:r w:rsidR="00A30589" w:rsidRPr="008318BE">
        <w:t>E</w:t>
      </w:r>
      <w:r w:rsidRPr="008318BE">
        <w:t>cCoWell</w:t>
      </w:r>
      <w:proofErr w:type="spellEnd"/>
      <w:r w:rsidRPr="008318BE">
        <w:t xml:space="preserve"> with the city of Co</w:t>
      </w:r>
      <w:r w:rsidR="00561464" w:rsidRPr="008318BE">
        <w:t>r</w:t>
      </w:r>
      <w:r w:rsidRPr="008318BE">
        <w:t>k in Ireland leading this initiative</w:t>
      </w:r>
      <w:r w:rsidR="008824F2" w:rsidRPr="008318BE">
        <w:t xml:space="preserve"> with a particular focus on learning, health, and community relationships.</w:t>
      </w:r>
    </w:p>
    <w:p w:rsidR="008824F2" w:rsidRPr="008318BE" w:rsidRDefault="008824F2" w:rsidP="00C047B3">
      <w:pPr>
        <w:pStyle w:val="ListParagraph"/>
        <w:numPr>
          <w:ilvl w:val="0"/>
          <w:numId w:val="1"/>
        </w:numPr>
        <w:ind w:right="-46"/>
        <w:jc w:val="both"/>
        <w:rPr>
          <w:b/>
        </w:rPr>
      </w:pPr>
      <w:r w:rsidRPr="008318BE">
        <w:t xml:space="preserve">The </w:t>
      </w:r>
      <w:proofErr w:type="spellStart"/>
      <w:r w:rsidRPr="008318BE">
        <w:t>EcCoWell</w:t>
      </w:r>
      <w:proofErr w:type="spellEnd"/>
      <w:r w:rsidRPr="008318BE">
        <w:t xml:space="preserve"> concept has been furthered by the UK Centre for Sustainable Healthy Learning Cities and Neighbourhoods with funding</w:t>
      </w:r>
      <w:r w:rsidR="008318BE">
        <w:t xml:space="preserve"> from </w:t>
      </w:r>
      <w:r w:rsidR="00A30589" w:rsidRPr="008318BE">
        <w:t>the UK Government and wi</w:t>
      </w:r>
      <w:r w:rsidRPr="008318BE">
        <w:t>th a network of 14 cities in Asia and Africa, and 9 partner universities.</w:t>
      </w:r>
      <w:r w:rsidR="004A155C">
        <w:t xml:space="preserve"> Comparative research in a diversity of contexts is bringing fresh insights into key relationships.</w:t>
      </w:r>
    </w:p>
    <w:p w:rsidR="008824F2" w:rsidRPr="008318BE" w:rsidRDefault="002807E7" w:rsidP="00C047B3">
      <w:pPr>
        <w:pStyle w:val="ListParagraph"/>
        <w:numPr>
          <w:ilvl w:val="0"/>
          <w:numId w:val="1"/>
        </w:numPr>
        <w:ind w:right="-46"/>
        <w:jc w:val="both"/>
        <w:rPr>
          <w:b/>
        </w:rPr>
      </w:pPr>
      <w:r w:rsidRPr="008318BE">
        <w:lastRenderedPageBreak/>
        <w:t>The Learning  Ci</w:t>
      </w:r>
      <w:r w:rsidR="008824F2" w:rsidRPr="008318BE">
        <w:t>ty and Neighbourhood concepts provides a cost-effective way of harnessing resour</w:t>
      </w:r>
      <w:r w:rsidRPr="008318BE">
        <w:t>ces already in communities for strate</w:t>
      </w:r>
      <w:r w:rsidR="008824F2" w:rsidRPr="008318BE">
        <w:t>gic development directed at lifelong learning, healthy living, community building and i</w:t>
      </w:r>
      <w:r w:rsidR="005A7A5B">
        <w:t xml:space="preserve">nclusion.  </w:t>
      </w:r>
    </w:p>
    <w:p w:rsidR="008824F2" w:rsidRPr="008318BE" w:rsidRDefault="008824F2" w:rsidP="00C047B3">
      <w:pPr>
        <w:pStyle w:val="ListParagraph"/>
        <w:numPr>
          <w:ilvl w:val="0"/>
          <w:numId w:val="1"/>
        </w:numPr>
        <w:ind w:right="-46"/>
        <w:jc w:val="both"/>
        <w:rPr>
          <w:b/>
        </w:rPr>
      </w:pPr>
      <w:r w:rsidRPr="008318BE">
        <w:t xml:space="preserve">A recent PASCAL report on </w:t>
      </w:r>
      <w:r w:rsidRPr="008318BE">
        <w:rPr>
          <w:i/>
        </w:rPr>
        <w:t xml:space="preserve">Towards Good Active Ageing for All </w:t>
      </w:r>
      <w:r w:rsidRPr="008318BE">
        <w:t>illust</w:t>
      </w:r>
      <w:r w:rsidR="002807E7" w:rsidRPr="008318BE">
        <w:t>rates how learning community ap</w:t>
      </w:r>
      <w:r w:rsidRPr="008318BE">
        <w:t xml:space="preserve">proaches are being implemented in a range of countries including Germany, Japan, Australia, Taiwan, </w:t>
      </w:r>
      <w:r w:rsidR="00A30589" w:rsidRPr="008318BE">
        <w:t>and China. While not specifically focused on mental health, they all support inclusion, well-being and community building and what Makino termed “the decentralised revitalisation of Japan</w:t>
      </w:r>
      <w:r w:rsidR="002807E7" w:rsidRPr="008318BE">
        <w:t>e</w:t>
      </w:r>
      <w:r w:rsidR="00A90E01">
        <w:t>se society.”</w:t>
      </w:r>
    </w:p>
    <w:p w:rsidR="00A30589" w:rsidRPr="00BB5FBE" w:rsidRDefault="00A30589" w:rsidP="00A90E01">
      <w:pPr>
        <w:pStyle w:val="ListParagraph"/>
        <w:numPr>
          <w:ilvl w:val="0"/>
          <w:numId w:val="1"/>
        </w:numPr>
        <w:ind w:right="-46"/>
      </w:pPr>
      <w:r w:rsidRPr="008318BE">
        <w:t>There would be</w:t>
      </w:r>
      <w:r w:rsidR="00BB5FBE">
        <w:t xml:space="preserve"> much value in a few government-</w:t>
      </w:r>
      <w:proofErr w:type="gramStart"/>
      <w:r w:rsidRPr="008318BE">
        <w:t>supported  pilot</w:t>
      </w:r>
      <w:proofErr w:type="gramEnd"/>
      <w:r w:rsidRPr="008318BE">
        <w:t xml:space="preserve"> projects testing the learning city/neighbourhood approach in Australian conditions with a focus on strengthening learning, health, and community relationships with mental health benefits for these </w:t>
      </w:r>
      <w:r w:rsidRPr="00BB5FBE">
        <w:t>communities.</w:t>
      </w:r>
    </w:p>
    <w:p w:rsidR="00BB5FBE" w:rsidRPr="00BB5FBE" w:rsidRDefault="00BB5FBE" w:rsidP="00A90E01">
      <w:pPr>
        <w:pStyle w:val="ListParagraph"/>
        <w:numPr>
          <w:ilvl w:val="0"/>
          <w:numId w:val="1"/>
        </w:numPr>
        <w:ind w:right="-46"/>
      </w:pPr>
      <w:r w:rsidRPr="00BB5FBE">
        <w:t xml:space="preserve">The learning community </w:t>
      </w:r>
      <w:r>
        <w:t>approach will have most value in the draft report</w:t>
      </w:r>
      <w:r w:rsidR="00FB10BD">
        <w:t>’</w:t>
      </w:r>
      <w:r>
        <w:t>s Reform Area 1 in building on community resources for prevention, cultural change, support, and early intervention.  Cultural change requires such strategic local community action.</w:t>
      </w:r>
    </w:p>
    <w:p w:rsidR="00A30589" w:rsidRPr="008318BE" w:rsidRDefault="00A30589" w:rsidP="00A30589">
      <w:pPr>
        <w:ind w:right="-46" w:hanging="360"/>
        <w:jc w:val="both"/>
        <w:rPr>
          <w:b/>
        </w:rPr>
      </w:pPr>
      <w:r w:rsidRPr="008318BE">
        <w:rPr>
          <w:b/>
        </w:rPr>
        <w:t>Background</w:t>
      </w:r>
    </w:p>
    <w:p w:rsidR="00A30589" w:rsidRPr="008318BE" w:rsidRDefault="001D2C56" w:rsidP="008318BE">
      <w:pPr>
        <w:ind w:right="-46"/>
        <w:jc w:val="both"/>
      </w:pPr>
      <w:r w:rsidRPr="008318BE">
        <w:t>The contemporary concept of leaning cities was developed by OECD from its work on l</w:t>
      </w:r>
      <w:r w:rsidR="008318BE">
        <w:t>ifelong learning. The European U</w:t>
      </w:r>
      <w:r w:rsidRPr="008318BE">
        <w:t xml:space="preserve">nion then supported these developments with the PASCAL International Observatory in 2011 developing an international network of </w:t>
      </w:r>
      <w:r w:rsidR="008318BE">
        <w:t xml:space="preserve">learning cities, known as </w:t>
      </w:r>
      <w:proofErr w:type="gramStart"/>
      <w:r w:rsidR="008318BE">
        <w:t>PIE, t</w:t>
      </w:r>
      <w:r w:rsidRPr="008318BE">
        <w:t>hat</w:t>
      </w:r>
      <w:proofErr w:type="gramEnd"/>
      <w:r w:rsidRPr="008318BE">
        <w:t xml:space="preserve"> included Beijing, Shanghai, Cork, and Vancouver.</w:t>
      </w:r>
    </w:p>
    <w:p w:rsidR="001D2C56" w:rsidRPr="008318BE" w:rsidRDefault="001D2C56" w:rsidP="008318BE">
      <w:pPr>
        <w:ind w:right="-46"/>
        <w:jc w:val="both"/>
      </w:pPr>
      <w:r w:rsidRPr="008318BE">
        <w:t>UNESCO then convened in 2013 the First International Conference on Learning Cities in Beijing leading t</w:t>
      </w:r>
      <w:r w:rsidR="008318BE">
        <w:t xml:space="preserve">o the establishment </w:t>
      </w:r>
      <w:r w:rsidRPr="008318BE">
        <w:t>of the UNESCO Global Network of Learning Cities with some 200 member cities. The GNLC is administered by the UNESCO Institute for Lifelong Learning located in Hamburg (UIL). PASCAL</w:t>
      </w:r>
      <w:r w:rsidR="008318BE">
        <w:t xml:space="preserve"> has a MOU with the Institute fo</w:t>
      </w:r>
      <w:r w:rsidRPr="008318BE">
        <w:t>r collaboration.</w:t>
      </w:r>
    </w:p>
    <w:p w:rsidR="008318BE" w:rsidRPr="008318BE" w:rsidRDefault="001D2C56" w:rsidP="008318BE">
      <w:pPr>
        <w:ind w:right="-46"/>
        <w:jc w:val="both"/>
      </w:pPr>
      <w:r w:rsidRPr="008318BE">
        <w:t>PASCAL work on learning cities led to the development of the concept of learning neighbourhoods as the best conte</w:t>
      </w:r>
      <w:r w:rsidR="00A87B62" w:rsidRPr="008318BE">
        <w:t>x</w:t>
      </w:r>
      <w:r w:rsidRPr="008318BE">
        <w:t>t for</w:t>
      </w:r>
      <w:r w:rsidR="008318BE">
        <w:t xml:space="preserve"> building sustainable partnersh</w:t>
      </w:r>
      <w:r w:rsidRPr="008318BE">
        <w:t>ips and bonding organisations for shared strategic action.  Inclusion and well-being throughout the life course are particular objectives</w:t>
      </w:r>
      <w:r w:rsidR="00A87B62" w:rsidRPr="008318BE">
        <w:t>.</w:t>
      </w:r>
    </w:p>
    <w:p w:rsidR="00A87B62" w:rsidRPr="008318BE" w:rsidRDefault="00A87B62" w:rsidP="008318BE">
      <w:pPr>
        <w:ind w:right="-46"/>
        <w:jc w:val="both"/>
      </w:pPr>
      <w:r w:rsidRPr="008318BE">
        <w:t xml:space="preserve">PASCAL is discussing with Cork extending </w:t>
      </w:r>
      <w:proofErr w:type="spellStart"/>
      <w:r w:rsidR="00A90E01">
        <w:t>EcCoWell</w:t>
      </w:r>
      <w:proofErr w:type="spellEnd"/>
      <w:r w:rsidR="00A90E01">
        <w:t xml:space="preserve"> ideas further, possibly</w:t>
      </w:r>
      <w:r w:rsidRPr="008318BE">
        <w:t xml:space="preserve"> with some cities involved with the UK Centre for Sustainable Healthy Learning Cities and Neighbourhoods participating.  It is expected that this will initially have a learning and health focus with mental health included as one of the areas for development.</w:t>
      </w:r>
    </w:p>
    <w:p w:rsidR="00A87B62" w:rsidRPr="008318BE" w:rsidRDefault="00A87B62" w:rsidP="00A30589">
      <w:pPr>
        <w:ind w:right="-46" w:hanging="360"/>
        <w:jc w:val="both"/>
        <w:rPr>
          <w:b/>
        </w:rPr>
      </w:pPr>
      <w:r w:rsidRPr="008318BE">
        <w:rPr>
          <w:b/>
        </w:rPr>
        <w:t>References</w:t>
      </w:r>
    </w:p>
    <w:p w:rsidR="00A87B62" w:rsidRPr="008318BE" w:rsidRDefault="00A87B62" w:rsidP="008318BE">
      <w:pPr>
        <w:ind w:right="-46" w:hanging="360"/>
      </w:pPr>
      <w:r w:rsidRPr="008318BE">
        <w:t>UNESCO Institute for Lifelong Learning, 2017.  Unlocking the</w:t>
      </w:r>
      <w:r w:rsidR="008318BE">
        <w:t xml:space="preserve"> potential of urban communities</w:t>
      </w:r>
      <w:r w:rsidR="00EB6C04">
        <w:t>: C</w:t>
      </w:r>
      <w:r w:rsidRPr="008318BE">
        <w:t>ase s</w:t>
      </w:r>
      <w:r w:rsidR="00561464" w:rsidRPr="008318BE">
        <w:t>tu</w:t>
      </w:r>
      <w:r w:rsidRPr="008318BE">
        <w:t>dies of si</w:t>
      </w:r>
      <w:r w:rsidR="00561464" w:rsidRPr="008318BE">
        <w:t xml:space="preserve">xteen learning cities.  </w:t>
      </w:r>
      <w:proofErr w:type="spellStart"/>
      <w:r w:rsidR="00561464" w:rsidRPr="008318BE">
        <w:t>Hamburg</w:t>
      </w:r>
      <w:proofErr w:type="gramStart"/>
      <w:r w:rsidR="00561464" w:rsidRPr="008318BE">
        <w:t>:</w:t>
      </w:r>
      <w:r w:rsidRPr="008318BE">
        <w:t>UIL</w:t>
      </w:r>
      <w:proofErr w:type="spellEnd"/>
      <w:proofErr w:type="gramEnd"/>
    </w:p>
    <w:p w:rsidR="00A87B62" w:rsidRPr="008318BE" w:rsidRDefault="002807E7" w:rsidP="008318BE">
      <w:pPr>
        <w:ind w:right="-46" w:hanging="360"/>
      </w:pPr>
      <w:r w:rsidRPr="008318BE">
        <w:t>UNESC</w:t>
      </w:r>
      <w:r w:rsidR="00857AC6" w:rsidRPr="008318BE">
        <w:t>O Institute f</w:t>
      </w:r>
      <w:r w:rsidR="008318BE">
        <w:t>o</w:t>
      </w:r>
      <w:r w:rsidR="00857AC6" w:rsidRPr="008318BE">
        <w:t>r Lifelong Le</w:t>
      </w:r>
      <w:r w:rsidR="00EB6C04">
        <w:t>arning 2019. Medellin Manifesto</w:t>
      </w:r>
      <w:r w:rsidR="00857AC6" w:rsidRPr="008318BE">
        <w:t>: Learnin</w:t>
      </w:r>
      <w:r w:rsidR="00A90E01">
        <w:t xml:space="preserve">g Cities for Inclusion. </w:t>
      </w:r>
      <w:proofErr w:type="spellStart"/>
      <w:r w:rsidR="00A90E01">
        <w:t>Hamburg</w:t>
      </w:r>
      <w:proofErr w:type="gramStart"/>
      <w:r w:rsidR="00A90E01">
        <w:t>:</w:t>
      </w:r>
      <w:r w:rsidR="00857AC6" w:rsidRPr="008318BE">
        <w:t>UIL</w:t>
      </w:r>
      <w:proofErr w:type="spellEnd"/>
      <w:proofErr w:type="gramEnd"/>
      <w:r w:rsidR="00857AC6" w:rsidRPr="008318BE">
        <w:t>.</w:t>
      </w:r>
    </w:p>
    <w:p w:rsidR="00857AC6" w:rsidRPr="008318BE" w:rsidRDefault="0071001F" w:rsidP="008318BE">
      <w:pPr>
        <w:ind w:right="-46" w:hanging="360"/>
      </w:pPr>
      <w:r w:rsidRPr="008318BE">
        <w:t xml:space="preserve">Kearns, P. &amp; </w:t>
      </w:r>
      <w:proofErr w:type="spellStart"/>
      <w:r w:rsidRPr="008318BE">
        <w:t>Reghenzani</w:t>
      </w:r>
      <w:proofErr w:type="spellEnd"/>
      <w:r w:rsidRPr="008318BE">
        <w:t>, D. 2019. Buil</w:t>
      </w:r>
      <w:r w:rsidR="002807E7" w:rsidRPr="008318BE">
        <w:t>ding good sustainable communitie</w:t>
      </w:r>
      <w:r w:rsidRPr="008318BE">
        <w:t xml:space="preserve">s through the learning city </w:t>
      </w:r>
      <w:proofErr w:type="spellStart"/>
      <w:r w:rsidRPr="008318BE">
        <w:t>EcCoWell</w:t>
      </w:r>
      <w:proofErr w:type="spellEnd"/>
      <w:r w:rsidRPr="008318BE">
        <w:t xml:space="preserve"> approach.  Accessed f</w:t>
      </w:r>
      <w:r w:rsidR="002807E7" w:rsidRPr="008318BE">
        <w:t>r</w:t>
      </w:r>
      <w:r w:rsidRPr="008318BE">
        <w:t>om Glasgow CR&amp;DALL working papers, WP 501/2019</w:t>
      </w:r>
      <w:r w:rsidR="008318BE">
        <w:t xml:space="preserve">. Accessed 2.1.2020: </w:t>
      </w:r>
      <w:hyperlink r:id="rId11" w:history="1">
        <w:r w:rsidR="008318BE">
          <w:rPr>
            <w:rStyle w:val="Hyperlink"/>
          </w:rPr>
          <w:t>http://cradall.org/workingpapers/building-good-sustainable-communities-through-learning-city-eccowell-approach</w:t>
        </w:r>
      </w:hyperlink>
    </w:p>
    <w:p w:rsidR="0071001F" w:rsidRPr="008318BE" w:rsidRDefault="0071001F" w:rsidP="008318BE">
      <w:pPr>
        <w:ind w:right="-46" w:hanging="360"/>
      </w:pPr>
      <w:proofErr w:type="spellStart"/>
      <w:r w:rsidRPr="008318BE">
        <w:t>Kearns</w:t>
      </w:r>
      <w:proofErr w:type="gramStart"/>
      <w:r w:rsidRPr="008318BE">
        <w:t>,P</w:t>
      </w:r>
      <w:proofErr w:type="spellEnd"/>
      <w:proofErr w:type="gramEnd"/>
      <w:r w:rsidRPr="008318BE">
        <w:t xml:space="preserve"> &amp; </w:t>
      </w:r>
      <w:proofErr w:type="spellStart"/>
      <w:r w:rsidRPr="008318BE">
        <w:t>Reghenzani</w:t>
      </w:r>
      <w:proofErr w:type="spellEnd"/>
      <w:r w:rsidRPr="008318BE">
        <w:t>, D</w:t>
      </w:r>
      <w:r w:rsidR="002807E7" w:rsidRPr="008318BE">
        <w:t xml:space="preserve">. </w:t>
      </w:r>
      <w:r w:rsidR="00561464" w:rsidRPr="008318BE">
        <w:t>(</w:t>
      </w:r>
      <w:proofErr w:type="spellStart"/>
      <w:r w:rsidR="00561464" w:rsidRPr="008318BE">
        <w:t>ed</w:t>
      </w:r>
      <w:proofErr w:type="spellEnd"/>
      <w:r w:rsidR="00561464" w:rsidRPr="008318BE">
        <w:t xml:space="preserve">), </w:t>
      </w:r>
      <w:r w:rsidRPr="008318BE">
        <w:t>2019, Towards good</w:t>
      </w:r>
      <w:r w:rsidR="00561464" w:rsidRPr="008318BE">
        <w:t xml:space="preserve"> active ageing for all</w:t>
      </w:r>
      <w:r w:rsidR="008318BE">
        <w:t xml:space="preserve">.  Accessed 2.1.2020: </w:t>
      </w:r>
      <w:hyperlink r:id="rId12" w:history="1">
        <w:r w:rsidR="008318BE">
          <w:rPr>
            <w:rStyle w:val="Hyperlink"/>
          </w:rPr>
          <w:t>https://ala.asn.au/wp-content/uploads/2019/01/SIG-LLL-PIMA20ALA.pdf</w:t>
        </w:r>
      </w:hyperlink>
    </w:p>
    <w:sectPr w:rsidR="0071001F" w:rsidRPr="008318BE" w:rsidSect="008318BE">
      <w:pgSz w:w="11906" w:h="16838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5D98"/>
    <w:multiLevelType w:val="hybridMultilevel"/>
    <w:tmpl w:val="90EAD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81F26"/>
    <w:multiLevelType w:val="hybridMultilevel"/>
    <w:tmpl w:val="4246D76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0FD2"/>
    <w:rsid w:val="001268D7"/>
    <w:rsid w:val="0019231D"/>
    <w:rsid w:val="001D2C56"/>
    <w:rsid w:val="002807E7"/>
    <w:rsid w:val="002B1BD1"/>
    <w:rsid w:val="00323E6F"/>
    <w:rsid w:val="0035161C"/>
    <w:rsid w:val="003940A7"/>
    <w:rsid w:val="004A155C"/>
    <w:rsid w:val="00537794"/>
    <w:rsid w:val="00561464"/>
    <w:rsid w:val="005A7A5B"/>
    <w:rsid w:val="0071001F"/>
    <w:rsid w:val="007139AF"/>
    <w:rsid w:val="00735E0C"/>
    <w:rsid w:val="007F6361"/>
    <w:rsid w:val="00830FD2"/>
    <w:rsid w:val="008318BE"/>
    <w:rsid w:val="00857AC6"/>
    <w:rsid w:val="008824F2"/>
    <w:rsid w:val="00991374"/>
    <w:rsid w:val="00A30589"/>
    <w:rsid w:val="00A87B62"/>
    <w:rsid w:val="00A90E01"/>
    <w:rsid w:val="00B0028A"/>
    <w:rsid w:val="00BB5FBE"/>
    <w:rsid w:val="00C047B3"/>
    <w:rsid w:val="00EB6C04"/>
    <w:rsid w:val="00FB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009FF3-5393-497B-8DA5-B6BA83AA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3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ala.asn.au/wp-content/uploads/2019/01/SIG-LLL-PIMA20ALA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cradall.org/workingpapers/building-good-sustainable-communities-through-learning-city-eccowell-approach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PCDOC-1378080517-850</_dlc_DocId>
    <_dlc_DocIdUrl xmlns="3f4bcce7-ac1a-4c9d-aa3e-7e77695652db">
      <Url>http://inet.pc.gov.au/pmo/inq/mentalhealth/_layouts/15/DocIdRedir.aspx?ID=PCDOC-1378080517-850</Url>
      <Description>PCDOC-1378080517-850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FBCB6-6646-4647-A1CD-110DE4DB8B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32D6B6D-E24E-4FFD-A536-8ABF07795A0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8C05AC6-AF84-4253-B8C7-FBFB453F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FB5C2-24E5-4FB3-BB19-9E4250EA26E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f4bcce7-ac1a-4c9d-aa3e-7e77695652d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24D8833-C7AD-482E-B01A-A57B59B5DB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28F408B-E62C-40F4-A00B-EE259A88CE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CC0511BC.dotm</Template>
  <TotalTime>220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632 - Peter Kearns - Mental health - Public inquiry</vt:lpstr>
    </vt:vector>
  </TitlesOfParts>
  <Company>Peter Kearns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632 - Peter Kearns - Mental Health - Public inquiry</dc:title>
  <dc:creator>Peter Kearns</dc:creator>
  <cp:keywords/>
  <cp:lastModifiedBy>Productivity Commission</cp:lastModifiedBy>
  <cp:revision>10</cp:revision>
  <cp:lastPrinted>2020-01-09T02:13:00Z</cp:lastPrinted>
  <dcterms:created xsi:type="dcterms:W3CDTF">2020-01-01T03:32:00Z</dcterms:created>
  <dcterms:modified xsi:type="dcterms:W3CDTF">2020-01-09T02:14:00Z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ec129c81-3819-437d-96f3-126298be5f87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