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40F0" w14:textId="77777777" w:rsidR="00473BC9" w:rsidRDefault="00473BC9" w:rsidP="00473BC9">
      <w:pPr>
        <w:rPr>
          <w:rStyle w:val="Strong"/>
          <w:rFonts w:ascii="Helvetica" w:eastAsia="Times New Roman" w:hAnsi="Helvetica" w:cs="Helvetica"/>
          <w:color w:val="222222"/>
          <w:sz w:val="35"/>
          <w:szCs w:val="35"/>
        </w:rPr>
      </w:pPr>
      <w:bookmarkStart w:id="0" w:name="_GoBack"/>
      <w:bookmarkEnd w:id="0"/>
      <w:r>
        <w:rPr>
          <w:rStyle w:val="Strong"/>
          <w:rFonts w:ascii="Helvetica" w:eastAsia="Times New Roman" w:hAnsi="Helvetica" w:cs="Helvetica"/>
          <w:color w:val="222222"/>
          <w:sz w:val="35"/>
          <w:szCs w:val="35"/>
        </w:rPr>
        <w:t>Submission to Productivity Commission Review of VET</w:t>
      </w:r>
    </w:p>
    <w:p w14:paraId="4FECA2AA" w14:textId="77777777" w:rsidR="00473BC9" w:rsidRDefault="00473BC9" w:rsidP="00473BC9">
      <w:pPr>
        <w:rPr>
          <w:rStyle w:val="Strong"/>
          <w:rFonts w:ascii="Helvetica" w:eastAsia="Times New Roman" w:hAnsi="Helvetica" w:cs="Helvetica"/>
          <w:color w:val="222222"/>
          <w:sz w:val="35"/>
          <w:szCs w:val="35"/>
        </w:rPr>
      </w:pPr>
    </w:p>
    <w:p w14:paraId="54E6C3C3" w14:textId="77777777" w:rsidR="00473BC9" w:rsidRPr="00473BC9" w:rsidRDefault="00473BC9" w:rsidP="00473BC9">
      <w:pPr>
        <w:rPr>
          <w:rStyle w:val="Strong"/>
          <w:rFonts w:asciiTheme="minorHAnsi" w:eastAsia="Times New Roman" w:hAnsiTheme="minorHAnsi" w:cstheme="minorHAnsi"/>
          <w:color w:val="222222"/>
          <w:sz w:val="24"/>
          <w:szCs w:val="24"/>
        </w:rPr>
      </w:pPr>
      <w:r w:rsidRPr="00473BC9">
        <w:rPr>
          <w:rStyle w:val="Strong"/>
          <w:rFonts w:asciiTheme="minorHAnsi" w:eastAsia="Times New Roman" w:hAnsiTheme="minorHAnsi" w:cstheme="minorHAnsi"/>
          <w:color w:val="222222"/>
          <w:sz w:val="24"/>
          <w:szCs w:val="24"/>
        </w:rPr>
        <w:t>Prepared by:</w:t>
      </w:r>
    </w:p>
    <w:p w14:paraId="3F2168C7" w14:textId="77777777" w:rsidR="00473BC9" w:rsidRPr="00473BC9" w:rsidRDefault="00473BC9" w:rsidP="00473BC9">
      <w:pPr>
        <w:rPr>
          <w:rStyle w:val="Strong"/>
          <w:rFonts w:asciiTheme="minorHAnsi" w:eastAsia="Times New Roman" w:hAnsiTheme="minorHAnsi" w:cstheme="minorHAnsi"/>
          <w:color w:val="222222"/>
          <w:sz w:val="24"/>
          <w:szCs w:val="24"/>
        </w:rPr>
      </w:pPr>
    </w:p>
    <w:p w14:paraId="4D9F89FF" w14:textId="77777777" w:rsidR="00473BC9" w:rsidRPr="00473BC9" w:rsidRDefault="00473BC9" w:rsidP="00473BC9">
      <w:pPr>
        <w:rPr>
          <w:rStyle w:val="Strong"/>
          <w:rFonts w:asciiTheme="minorHAnsi" w:eastAsia="Times New Roman" w:hAnsiTheme="minorHAnsi" w:cstheme="minorHAnsi"/>
          <w:b w:val="0"/>
          <w:bCs w:val="0"/>
          <w:color w:val="222222"/>
          <w:sz w:val="24"/>
          <w:szCs w:val="24"/>
        </w:rPr>
      </w:pPr>
      <w:r w:rsidRPr="00473BC9">
        <w:rPr>
          <w:rStyle w:val="Strong"/>
          <w:rFonts w:asciiTheme="minorHAnsi" w:eastAsia="Times New Roman" w:hAnsiTheme="minorHAnsi" w:cstheme="minorHAnsi"/>
          <w:b w:val="0"/>
          <w:bCs w:val="0"/>
          <w:color w:val="222222"/>
          <w:sz w:val="24"/>
          <w:szCs w:val="24"/>
        </w:rPr>
        <w:t>Alan Sparks</w:t>
      </w:r>
    </w:p>
    <w:p w14:paraId="0D60EB5C" w14:textId="77777777" w:rsidR="00473BC9" w:rsidRPr="00473BC9" w:rsidRDefault="00473BC9" w:rsidP="00473BC9">
      <w:pPr>
        <w:rPr>
          <w:rStyle w:val="Strong"/>
          <w:rFonts w:asciiTheme="minorHAnsi" w:eastAsia="Times New Roman" w:hAnsiTheme="minorHAnsi" w:cstheme="minorHAnsi"/>
          <w:b w:val="0"/>
          <w:bCs w:val="0"/>
          <w:color w:val="222222"/>
          <w:sz w:val="24"/>
          <w:szCs w:val="24"/>
        </w:rPr>
      </w:pPr>
      <w:r w:rsidRPr="00473BC9">
        <w:rPr>
          <w:rStyle w:val="Strong"/>
          <w:rFonts w:asciiTheme="minorHAnsi" w:eastAsia="Times New Roman" w:hAnsiTheme="minorHAnsi" w:cstheme="minorHAnsi"/>
          <w:b w:val="0"/>
          <w:bCs w:val="0"/>
          <w:color w:val="222222"/>
          <w:sz w:val="24"/>
          <w:szCs w:val="24"/>
        </w:rPr>
        <w:t>CEO</w:t>
      </w:r>
    </w:p>
    <w:p w14:paraId="72A4AA9A" w14:textId="77777777" w:rsidR="00473BC9" w:rsidRDefault="00473BC9" w:rsidP="00473BC9">
      <w:pPr>
        <w:rPr>
          <w:rStyle w:val="Strong"/>
          <w:rFonts w:asciiTheme="minorHAnsi" w:eastAsia="Times New Roman" w:hAnsiTheme="minorHAnsi" w:cstheme="minorHAnsi"/>
          <w:b w:val="0"/>
          <w:bCs w:val="0"/>
          <w:color w:val="222222"/>
          <w:sz w:val="24"/>
          <w:szCs w:val="24"/>
        </w:rPr>
      </w:pPr>
      <w:r w:rsidRPr="00473BC9">
        <w:rPr>
          <w:rStyle w:val="Strong"/>
          <w:rFonts w:asciiTheme="minorHAnsi" w:eastAsia="Times New Roman" w:hAnsiTheme="minorHAnsi" w:cstheme="minorHAnsi"/>
          <w:b w:val="0"/>
          <w:bCs w:val="0"/>
          <w:color w:val="222222"/>
          <w:sz w:val="24"/>
          <w:szCs w:val="24"/>
        </w:rPr>
        <w:t>East Coast Apprenticeships</w:t>
      </w:r>
    </w:p>
    <w:p w14:paraId="07AFF55B" w14:textId="10838C05" w:rsidR="00473BC9" w:rsidRPr="00473BC9" w:rsidRDefault="00473BC9" w:rsidP="00473BC9">
      <w:pPr>
        <w:rPr>
          <w:rFonts w:asciiTheme="minorHAnsi" w:hAnsiTheme="minorHAnsi" w:cstheme="minorHAnsi"/>
          <w:sz w:val="24"/>
          <w:szCs w:val="24"/>
        </w:rPr>
      </w:pPr>
      <w:r>
        <w:rPr>
          <w:rStyle w:val="Strong"/>
          <w:rFonts w:asciiTheme="minorHAnsi" w:eastAsia="Times New Roman" w:hAnsiTheme="minorHAnsi" w:cstheme="minorHAnsi"/>
          <w:b w:val="0"/>
          <w:bCs w:val="0"/>
          <w:color w:val="222222"/>
          <w:sz w:val="24"/>
          <w:szCs w:val="24"/>
        </w:rPr>
        <w:t>21 July 2020</w:t>
      </w:r>
      <w:r w:rsidRPr="00473BC9">
        <w:rPr>
          <w:rFonts w:asciiTheme="minorHAnsi" w:eastAsia="Times New Roman" w:hAnsiTheme="minorHAnsi" w:cstheme="minorHAnsi"/>
          <w:b/>
          <w:bCs/>
          <w:color w:val="222222"/>
          <w:sz w:val="24"/>
          <w:szCs w:val="24"/>
        </w:rPr>
        <w:br/>
      </w:r>
    </w:p>
    <w:p w14:paraId="1B5353DB" w14:textId="77777777" w:rsidR="00473BC9" w:rsidRDefault="00473BC9" w:rsidP="00473BC9"/>
    <w:p w14:paraId="2AF7D9CC" w14:textId="04646A6C" w:rsidR="00473BC9" w:rsidRDefault="00473BC9" w:rsidP="00473BC9">
      <w:r>
        <w:t>I offer the following observations on this Interim Report:</w:t>
      </w:r>
    </w:p>
    <w:p w14:paraId="016B272D" w14:textId="77777777" w:rsidR="00473BC9" w:rsidRDefault="00473BC9" w:rsidP="00473BC9"/>
    <w:p w14:paraId="06CAA871" w14:textId="3B1DC046" w:rsidR="00473BC9" w:rsidRDefault="00473BC9" w:rsidP="00473BC9">
      <w:pPr>
        <w:pStyle w:val="ListParagraph"/>
        <w:numPr>
          <w:ilvl w:val="0"/>
          <w:numId w:val="1"/>
        </w:numPr>
        <w:rPr>
          <w:rFonts w:eastAsia="Times New Roman"/>
        </w:rPr>
      </w:pPr>
      <w:r>
        <w:rPr>
          <w:rFonts w:eastAsia="Times New Roman"/>
          <w:b/>
          <w:bCs/>
        </w:rPr>
        <w:t>Purpose of VET.</w:t>
      </w:r>
      <w:r>
        <w:rPr>
          <w:rFonts w:eastAsia="Times New Roman"/>
        </w:rPr>
        <w:t xml:space="preserve"> </w:t>
      </w:r>
      <w:r>
        <w:rPr>
          <w:rFonts w:eastAsia="Times New Roman"/>
          <w:b/>
          <w:bCs/>
        </w:rPr>
        <w:t> Page 5.</w:t>
      </w:r>
      <w:r>
        <w:rPr>
          <w:rFonts w:eastAsia="Times New Roman"/>
        </w:rPr>
        <w:t xml:space="preserve">  There is reference to VET being “… geared more to younger people seeking to acquire skills to obtain a job </w:t>
      </w:r>
      <w:r>
        <w:rPr>
          <w:rFonts w:eastAsia="Times New Roman"/>
          <w:b/>
          <w:bCs/>
          <w:i/>
          <w:iCs/>
        </w:rPr>
        <w:t>rather than</w:t>
      </w:r>
      <w:r>
        <w:rPr>
          <w:rFonts w:eastAsia="Times New Roman"/>
        </w:rPr>
        <w:t xml:space="preserve"> people who need to upskill or reskill for an existing job.”  This is a foundation argument that needs to be clearer.  My recent argument that entry level employment calls for a different strategy to upskilling training appears a feature of this statement, but greater clarity of purpose is warranted.</w:t>
      </w:r>
    </w:p>
    <w:p w14:paraId="27ACA848" w14:textId="77777777" w:rsidR="00473BC9" w:rsidRDefault="00473BC9" w:rsidP="00473BC9">
      <w:pPr>
        <w:pStyle w:val="ListParagraph"/>
        <w:numPr>
          <w:ilvl w:val="0"/>
          <w:numId w:val="1"/>
        </w:numPr>
        <w:rPr>
          <w:rFonts w:eastAsia="Times New Roman"/>
        </w:rPr>
      </w:pPr>
      <w:r>
        <w:rPr>
          <w:rFonts w:eastAsia="Times New Roman"/>
          <w:b/>
          <w:bCs/>
        </w:rPr>
        <w:t>VET and Higher Education. Page 6.</w:t>
      </w:r>
      <w:r>
        <w:rPr>
          <w:rFonts w:eastAsia="Times New Roman"/>
        </w:rPr>
        <w:t>  I agree with the statement that there is little over-arching policy linking the sectors.  In practice we are seeing more and more a merging of roles without controls.</w:t>
      </w:r>
    </w:p>
    <w:p w14:paraId="25C09E19" w14:textId="77777777" w:rsidR="00473BC9" w:rsidRDefault="00473BC9" w:rsidP="00473BC9">
      <w:pPr>
        <w:pStyle w:val="ListParagraph"/>
        <w:numPr>
          <w:ilvl w:val="0"/>
          <w:numId w:val="1"/>
        </w:numPr>
        <w:rPr>
          <w:rFonts w:eastAsia="Times New Roman"/>
        </w:rPr>
      </w:pPr>
      <w:r>
        <w:rPr>
          <w:rFonts w:eastAsia="Times New Roman"/>
          <w:b/>
          <w:bCs/>
        </w:rPr>
        <w:t xml:space="preserve">Decrease of Employer Satisfaction. Page 8.  </w:t>
      </w:r>
      <w:r>
        <w:rPr>
          <w:rFonts w:eastAsia="Times New Roman"/>
        </w:rPr>
        <w:t>In my opinion, this is because VET has not delivered the expectation of quality contributors to the skilled workforce requirements of employers.  It has shifted focus to entry level employment goals offering these early entrants as quality workers.</w:t>
      </w:r>
    </w:p>
    <w:p w14:paraId="697DEF4C" w14:textId="77777777" w:rsidR="00473BC9" w:rsidRDefault="00473BC9" w:rsidP="00473BC9">
      <w:pPr>
        <w:pStyle w:val="ListParagraph"/>
        <w:numPr>
          <w:ilvl w:val="0"/>
          <w:numId w:val="1"/>
        </w:numPr>
        <w:rPr>
          <w:rFonts w:eastAsia="Times New Roman"/>
        </w:rPr>
      </w:pPr>
      <w:r>
        <w:rPr>
          <w:rFonts w:eastAsia="Times New Roman"/>
          <w:b/>
          <w:bCs/>
        </w:rPr>
        <w:t xml:space="preserve">Completions in Remote and Rural Areas. Page 8.  </w:t>
      </w:r>
      <w:r>
        <w:rPr>
          <w:rFonts w:eastAsia="Times New Roman"/>
        </w:rPr>
        <w:t>Access to training in remote and rural areas has declined with the closure of TAFE campuses and inadequate ‘regional loadings’ for RTOs.</w:t>
      </w:r>
    </w:p>
    <w:p w14:paraId="1F52205F" w14:textId="77777777" w:rsidR="00473BC9" w:rsidRDefault="00473BC9" w:rsidP="00473BC9">
      <w:pPr>
        <w:pStyle w:val="ListParagraph"/>
        <w:numPr>
          <w:ilvl w:val="0"/>
          <w:numId w:val="1"/>
        </w:numPr>
        <w:rPr>
          <w:rFonts w:eastAsia="Times New Roman"/>
          <w:b/>
          <w:bCs/>
        </w:rPr>
      </w:pPr>
      <w:r>
        <w:rPr>
          <w:rFonts w:eastAsia="Times New Roman"/>
          <w:b/>
          <w:bCs/>
        </w:rPr>
        <w:t xml:space="preserve">Accountability of Government Grants.  </w:t>
      </w:r>
      <w:r>
        <w:rPr>
          <w:rFonts w:eastAsia="Times New Roman"/>
        </w:rPr>
        <w:t>A new Agreement must restore accountability of the States to management and usage.</w:t>
      </w:r>
    </w:p>
    <w:p w14:paraId="2CB0B1EE" w14:textId="77777777" w:rsidR="00473BC9" w:rsidRDefault="00473BC9" w:rsidP="00473BC9">
      <w:pPr>
        <w:pStyle w:val="ListParagraph"/>
        <w:numPr>
          <w:ilvl w:val="0"/>
          <w:numId w:val="1"/>
        </w:numPr>
        <w:rPr>
          <w:rFonts w:eastAsia="Times New Roman"/>
          <w:b/>
          <w:bCs/>
        </w:rPr>
      </w:pPr>
      <w:r>
        <w:rPr>
          <w:rFonts w:eastAsia="Times New Roman"/>
          <w:b/>
          <w:bCs/>
        </w:rPr>
        <w:t xml:space="preserve">Certificate III Guarantee. Page 11. </w:t>
      </w:r>
      <w:r>
        <w:rPr>
          <w:rFonts w:eastAsia="Times New Roman"/>
        </w:rPr>
        <w:t> Entitlement strategies will only succeed when there are sound selections processes.</w:t>
      </w:r>
    </w:p>
    <w:p w14:paraId="11A6D400" w14:textId="77777777" w:rsidR="00473BC9" w:rsidRDefault="00473BC9" w:rsidP="00473BC9">
      <w:pPr>
        <w:pStyle w:val="ListParagraph"/>
        <w:numPr>
          <w:ilvl w:val="0"/>
          <w:numId w:val="1"/>
        </w:numPr>
        <w:rPr>
          <w:rFonts w:eastAsia="Times New Roman"/>
          <w:b/>
          <w:bCs/>
        </w:rPr>
      </w:pPr>
      <w:r>
        <w:rPr>
          <w:rFonts w:eastAsia="Times New Roman"/>
          <w:b/>
          <w:bCs/>
        </w:rPr>
        <w:t xml:space="preserve">Contestability. Page 12.  </w:t>
      </w:r>
      <w:r>
        <w:rPr>
          <w:rFonts w:eastAsia="Times New Roman"/>
        </w:rPr>
        <w:t xml:space="preserve">Public providers (TAFE) must receive some funding that is outside of contestability.  This accommodates increased access to training in regions that are not economically viable to private RTOs.  It promotes ‘benchmarking’ and close linkage to government strategies.  </w:t>
      </w:r>
    </w:p>
    <w:p w14:paraId="481FC3FD" w14:textId="77777777" w:rsidR="00473BC9" w:rsidRDefault="00473BC9" w:rsidP="00473BC9">
      <w:pPr>
        <w:pStyle w:val="ListParagraph"/>
        <w:numPr>
          <w:ilvl w:val="0"/>
          <w:numId w:val="1"/>
        </w:numPr>
        <w:rPr>
          <w:rFonts w:eastAsia="Times New Roman"/>
          <w:b/>
          <w:bCs/>
        </w:rPr>
      </w:pPr>
      <w:r>
        <w:rPr>
          <w:rFonts w:eastAsia="Times New Roman"/>
          <w:b/>
          <w:bCs/>
        </w:rPr>
        <w:t>Reliability of Career Advice in Schools.</w:t>
      </w:r>
      <w:r>
        <w:rPr>
          <w:rFonts w:eastAsia="Times New Roman"/>
        </w:rPr>
        <w:t>  This criticism has been enduring.  There is a role for GTOs in this space and using GTOs would help close in on extensive networks of employers locally to the school(s).</w:t>
      </w:r>
    </w:p>
    <w:p w14:paraId="05AE9F66" w14:textId="77777777" w:rsidR="00473BC9" w:rsidRDefault="00473BC9" w:rsidP="00473BC9">
      <w:pPr>
        <w:pStyle w:val="ListParagraph"/>
        <w:numPr>
          <w:ilvl w:val="0"/>
          <w:numId w:val="1"/>
        </w:numPr>
        <w:rPr>
          <w:rFonts w:eastAsia="Times New Roman"/>
        </w:rPr>
      </w:pPr>
      <w:r>
        <w:rPr>
          <w:rFonts w:eastAsia="Times New Roman"/>
          <w:b/>
          <w:bCs/>
        </w:rPr>
        <w:t xml:space="preserve">Mentoring and Pastoral Care.  </w:t>
      </w:r>
      <w:r>
        <w:rPr>
          <w:rFonts w:eastAsia="Times New Roman"/>
        </w:rPr>
        <w:t xml:space="preserve">This report like many others over the past 20 years, highlights the importance of mentoring and pastoral care but does not acknowledge that Group Training remains the leading national exponent and champion of this will best practice.  Why is there never a recommendation to support and expand this role for Group  Training? </w:t>
      </w:r>
    </w:p>
    <w:p w14:paraId="1725C168" w14:textId="77777777" w:rsidR="00473BC9" w:rsidRDefault="00473BC9" w:rsidP="00473BC9">
      <w:pPr>
        <w:pStyle w:val="ListParagraph"/>
        <w:numPr>
          <w:ilvl w:val="0"/>
          <w:numId w:val="1"/>
        </w:numPr>
        <w:rPr>
          <w:rFonts w:eastAsia="Times New Roman"/>
          <w:b/>
          <w:bCs/>
        </w:rPr>
      </w:pPr>
      <w:r>
        <w:rPr>
          <w:rFonts w:eastAsia="Times New Roman"/>
          <w:b/>
          <w:bCs/>
        </w:rPr>
        <w:t xml:space="preserve">Industry Training Levies.  </w:t>
      </w:r>
      <w:r>
        <w:rPr>
          <w:rFonts w:eastAsia="Times New Roman"/>
        </w:rPr>
        <w:t>Consideration around industry training levies should first identify where and how such levies might be applied  In Queensland the Building Sectors Levy has not one dollar of $47 million annually on average allocated to support Certificate III training or to incentivise employers to take on more apprentices.  The argument is that User Choice is for that purpose so the BCITF is directed at Cert IV and above raining for existing workers and research and development.  Most funding is past to RTOs.</w:t>
      </w:r>
    </w:p>
    <w:p w14:paraId="1E7972D9" w14:textId="77777777" w:rsidR="00473BC9" w:rsidRDefault="00473BC9" w:rsidP="00473BC9">
      <w:pPr>
        <w:pStyle w:val="ListParagraph"/>
        <w:numPr>
          <w:ilvl w:val="0"/>
          <w:numId w:val="1"/>
        </w:numPr>
        <w:rPr>
          <w:rFonts w:eastAsia="Times New Roman"/>
        </w:rPr>
      </w:pPr>
      <w:r>
        <w:rPr>
          <w:rFonts w:eastAsia="Times New Roman"/>
          <w:b/>
          <w:bCs/>
        </w:rPr>
        <w:lastRenderedPageBreak/>
        <w:t xml:space="preserve">Commonwealth and States Responsibility for Regulation of Apprentices. Page 196.  </w:t>
      </w:r>
      <w:r>
        <w:rPr>
          <w:rFonts w:eastAsia="Times New Roman"/>
        </w:rPr>
        <w:t>Why?  Why not truly nationalise tis responsibility?</w:t>
      </w:r>
    </w:p>
    <w:p w14:paraId="3437ADEC" w14:textId="3927AD19" w:rsidR="00473BC9" w:rsidRDefault="00473BC9" w:rsidP="00473BC9">
      <w:pPr>
        <w:pStyle w:val="ListParagraph"/>
        <w:numPr>
          <w:ilvl w:val="0"/>
          <w:numId w:val="1"/>
        </w:numPr>
        <w:rPr>
          <w:rFonts w:eastAsia="Times New Roman"/>
          <w:b/>
          <w:bCs/>
        </w:rPr>
      </w:pPr>
      <w:r>
        <w:rPr>
          <w:rFonts w:eastAsia="Times New Roman"/>
          <w:b/>
          <w:bCs/>
        </w:rPr>
        <w:t>Defining an Apprenticeship. Page 197.</w:t>
      </w:r>
      <w:r>
        <w:rPr>
          <w:rFonts w:eastAsia="Times New Roman"/>
        </w:rPr>
        <w:t>  There is no definition of “apprenticeship” in the Fair Work Act.  Establishing a clear and consistent definition is a good starting point.  I believe that in that definition must be the purpose of training.</w:t>
      </w:r>
    </w:p>
    <w:p w14:paraId="57180E53" w14:textId="77777777" w:rsidR="00473BC9" w:rsidRDefault="00473BC9" w:rsidP="00473BC9">
      <w:pPr>
        <w:pStyle w:val="ListParagraph"/>
        <w:numPr>
          <w:ilvl w:val="0"/>
          <w:numId w:val="1"/>
        </w:numPr>
        <w:rPr>
          <w:rFonts w:eastAsia="Times New Roman"/>
          <w:b/>
          <w:bCs/>
        </w:rPr>
      </w:pPr>
      <w:r>
        <w:rPr>
          <w:rFonts w:eastAsia="Times New Roman"/>
          <w:b/>
          <w:bCs/>
        </w:rPr>
        <w:t>New Trials of Apprenticeships Models.</w:t>
      </w:r>
      <w:r>
        <w:rPr>
          <w:rFonts w:eastAsia="Times New Roman"/>
        </w:rPr>
        <w:t xml:space="preserve">  Consider carefully the successful National Apprenticeships Program model.  </w:t>
      </w:r>
    </w:p>
    <w:p w14:paraId="50EA6CF4" w14:textId="77777777" w:rsidR="00473BC9" w:rsidRDefault="00473BC9" w:rsidP="00473BC9">
      <w:pPr>
        <w:pStyle w:val="ListParagraph"/>
        <w:numPr>
          <w:ilvl w:val="0"/>
          <w:numId w:val="1"/>
        </w:numPr>
        <w:rPr>
          <w:rFonts w:eastAsia="Times New Roman"/>
          <w:b/>
          <w:bCs/>
        </w:rPr>
      </w:pPr>
      <w:r>
        <w:rPr>
          <w:rFonts w:eastAsia="Times New Roman"/>
          <w:b/>
          <w:bCs/>
        </w:rPr>
        <w:t>Current $4,000 incentive.</w:t>
      </w:r>
      <w:r>
        <w:rPr>
          <w:rFonts w:eastAsia="Times New Roman"/>
        </w:rPr>
        <w:t xml:space="preserve"> </w:t>
      </w:r>
      <w:r>
        <w:rPr>
          <w:rFonts w:eastAsia="Times New Roman"/>
          <w:b/>
          <w:bCs/>
        </w:rPr>
        <w:t xml:space="preserve">Page 203.  </w:t>
      </w:r>
      <w:r>
        <w:rPr>
          <w:rFonts w:eastAsia="Times New Roman"/>
        </w:rPr>
        <w:t>Reversing this incentive back to pre-2003 when $2,500 was paid upfront in commencement and progression payments must be considered to fund the risk and increase commencements.</w:t>
      </w:r>
    </w:p>
    <w:p w14:paraId="4C62AE92" w14:textId="07158DE2" w:rsidR="00473BC9" w:rsidRDefault="00473BC9" w:rsidP="00473BC9">
      <w:pPr>
        <w:pStyle w:val="ListParagraph"/>
        <w:numPr>
          <w:ilvl w:val="0"/>
          <w:numId w:val="1"/>
        </w:numPr>
        <w:rPr>
          <w:rFonts w:eastAsia="Times New Roman"/>
          <w:b/>
          <w:bCs/>
        </w:rPr>
      </w:pPr>
      <w:r>
        <w:rPr>
          <w:rFonts w:eastAsia="Times New Roman"/>
          <w:b/>
          <w:bCs/>
        </w:rPr>
        <w:t xml:space="preserve">The Overlap of Apprentice Support Services. Page 207, 210.  </w:t>
      </w:r>
      <w:r>
        <w:rPr>
          <w:rFonts w:eastAsia="Times New Roman"/>
        </w:rPr>
        <w:t xml:space="preserve">  The creation of this overlap occurred when the standing service of Group Training in mentoring and pastoral care was not acknowledged but rather duplicated and paid for from ASSN when the service was already delivered.  Why was this duplication allowed when the service by Group Training should have been recognised as “industry best practice” and Group Training paid for this delivery?  The statement that GTOs and RTOs could better plan their services and avoid duplication is presumptive that RTOs and GTOs are the duplicators.  Where the service of mentoring and pastoral care is an established and critical feature of the business model of GTOs, the duplication should be eliminated from the </w:t>
      </w:r>
      <w:proofErr w:type="spellStart"/>
      <w:r>
        <w:rPr>
          <w:rFonts w:eastAsia="Times New Roman"/>
        </w:rPr>
        <w:t>ASSNs.</w:t>
      </w:r>
      <w:proofErr w:type="spellEnd"/>
      <w:r>
        <w:rPr>
          <w:rFonts w:eastAsia="Times New Roman"/>
        </w:rPr>
        <w:t xml:space="preserve"> </w:t>
      </w:r>
    </w:p>
    <w:p w14:paraId="00D00064" w14:textId="12980A6C" w:rsidR="00473BC9" w:rsidRDefault="00473BC9" w:rsidP="00473BC9">
      <w:pPr>
        <w:pStyle w:val="ListParagraph"/>
        <w:numPr>
          <w:ilvl w:val="0"/>
          <w:numId w:val="1"/>
        </w:numPr>
        <w:rPr>
          <w:rFonts w:eastAsia="Times New Roman"/>
          <w:b/>
          <w:bCs/>
        </w:rPr>
      </w:pPr>
      <w:r>
        <w:rPr>
          <w:rFonts w:eastAsia="Times New Roman"/>
          <w:b/>
          <w:bCs/>
        </w:rPr>
        <w:t xml:space="preserve">Poor Continuity of On-the-Job Rotation. Page 208.  </w:t>
      </w:r>
      <w:r>
        <w:rPr>
          <w:rFonts w:eastAsia="Times New Roman"/>
        </w:rPr>
        <w:t>If correctly conducted the benefits of “rotations” far exceed any negative view of poor continuity.</w:t>
      </w:r>
    </w:p>
    <w:p w14:paraId="46ABBEA4" w14:textId="77777777" w:rsidR="00473BC9" w:rsidRDefault="00473BC9" w:rsidP="00473BC9">
      <w:pPr>
        <w:rPr>
          <w:b/>
          <w:bCs/>
        </w:rPr>
      </w:pPr>
    </w:p>
    <w:p w14:paraId="45BD69E7" w14:textId="67B48240" w:rsidR="00473BC9" w:rsidRDefault="00473BC9" w:rsidP="00473BC9">
      <w:r>
        <w:t xml:space="preserve">In summary, this report spotlights many areas that deserve review and if improved would create a more efficient and effective significant spend on VET.  Several the conclusions are contested and the threshold arguments around who is best placed to deliver a service need further consideration.  Such arguments would identify the Federal Government must exercise greater control on hold taxpayer funds are accounted for VET.  </w:t>
      </w:r>
    </w:p>
    <w:p w14:paraId="0E949D6F" w14:textId="77777777" w:rsidR="00473BC9" w:rsidRDefault="00473BC9" w:rsidP="00473BC9"/>
    <w:p w14:paraId="76686EFB" w14:textId="77777777" w:rsidR="00473BC9" w:rsidRDefault="00473BC9" w:rsidP="00473BC9">
      <w:r>
        <w:t>The role and contribution of Group Training holds significant potential to make a far greater contribution to Government strategies.</w:t>
      </w:r>
    </w:p>
    <w:p w14:paraId="1F769436" w14:textId="77777777" w:rsidR="00473BC9" w:rsidRDefault="00473BC9" w:rsidP="00473BC9">
      <w:pPr>
        <w:rPr>
          <w:b/>
          <w:bCs/>
        </w:rPr>
      </w:pPr>
    </w:p>
    <w:p w14:paraId="3533A916" w14:textId="77777777" w:rsidR="00473BC9" w:rsidRDefault="00473BC9"/>
    <w:sectPr w:rsidR="00473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15517"/>
    <w:multiLevelType w:val="hybridMultilevel"/>
    <w:tmpl w:val="4EF22D58"/>
    <w:lvl w:ilvl="0" w:tplc="D506CA4A">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C9"/>
    <w:rsid w:val="00473BC9"/>
    <w:rsid w:val="00F44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AA1E"/>
  <w15:chartTrackingRefBased/>
  <w15:docId w15:val="{FEE3AA03-9902-48B6-B31A-92858FFF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BC9"/>
    <w:pPr>
      <w:ind w:left="720"/>
    </w:pPr>
  </w:style>
  <w:style w:type="character" w:styleId="Strong">
    <w:name w:val="Strong"/>
    <w:basedOn w:val="DefaultParagraphFont"/>
    <w:uiPriority w:val="22"/>
    <w:qFormat/>
    <w:rsid w:val="00473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9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AD8969CB.dotm</Template>
  <TotalTime>5</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IR131 - Alan Sparks - Skills and Workforce Agreement - Commissioned study</vt:lpstr>
    </vt:vector>
  </TitlesOfParts>
  <Company>Alan Sparks</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IR131 - Alan Sparks - Skills and Workforce Agreement - Commissioned study</dc:title>
  <dc:subject/>
  <dc:creator>Alan Sparks</dc:creator>
  <cp:keywords/>
  <dc:description/>
  <cp:lastModifiedBy>Productivity Commission</cp:lastModifiedBy>
  <cp:revision>2</cp:revision>
  <dcterms:created xsi:type="dcterms:W3CDTF">2020-07-20T21:47:00Z</dcterms:created>
  <dcterms:modified xsi:type="dcterms:W3CDTF">2020-07-27T06:13:00Z</dcterms:modified>
</cp:coreProperties>
</file>