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17653" w14:textId="5ED4A602" w:rsidR="00F0117C" w:rsidRDefault="00F0117C" w:rsidP="004B15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bdr w:val="none" w:sz="0" w:space="0" w:color="auto" w:frame="1"/>
          <w:lang w:eastAsia="en-AU"/>
        </w:rPr>
      </w:pPr>
    </w:p>
    <w:p w14:paraId="3B1B8766" w14:textId="70B9D906" w:rsidR="00F0117C" w:rsidRPr="00CA2261" w:rsidRDefault="00CA2261" w:rsidP="00CA22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bdr w:val="none" w:sz="0" w:space="0" w:color="auto" w:frame="1"/>
          <w:lang w:eastAsia="en-AU"/>
        </w:rPr>
      </w:pPr>
      <w:r w:rsidRPr="00CA226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>Submission in Response to National Water Reform Issues Paper</w:t>
      </w:r>
    </w:p>
    <w:p w14:paraId="24C7C0A1" w14:textId="1E35A74C" w:rsidR="00CA2261" w:rsidRDefault="00CA2261" w:rsidP="004B15A4">
      <w:pPr>
        <w:shd w:val="clear" w:color="auto" w:fill="FFFFFF"/>
        <w:spacing w:after="0" w:line="240" w:lineRule="auto"/>
        <w:rPr>
          <w:rFonts w:ascii="Arial" w:eastAsia="Times New Roman" w:hAnsi="Arial" w:cs="Arial"/>
          <w:bdr w:val="none" w:sz="0" w:space="0" w:color="auto" w:frame="1"/>
          <w:lang w:eastAsia="en-AU"/>
        </w:rPr>
      </w:pPr>
    </w:p>
    <w:p w14:paraId="76C926B2" w14:textId="77777777" w:rsidR="00CA2261" w:rsidRDefault="00CA2261" w:rsidP="00CA2261">
      <w:pPr>
        <w:shd w:val="clear" w:color="auto" w:fill="FFFFFF"/>
        <w:spacing w:after="0" w:line="240" w:lineRule="auto"/>
        <w:rPr>
          <w:rFonts w:ascii="Arial" w:eastAsia="Times New Roman" w:hAnsi="Arial" w:cs="Arial"/>
          <w:bdr w:val="none" w:sz="0" w:space="0" w:color="auto" w:frame="1"/>
          <w:lang w:eastAsia="en-AU"/>
        </w:rPr>
      </w:pPr>
    </w:p>
    <w:p w14:paraId="1DDE7B2B" w14:textId="2D0F3BCD" w:rsidR="00CA2261" w:rsidRDefault="00CA2261" w:rsidP="00CA226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dr w:val="none" w:sz="0" w:space="0" w:color="auto" w:frame="1"/>
          <w:lang w:eastAsia="en-AU"/>
        </w:rPr>
      </w:pPr>
      <w:r>
        <w:rPr>
          <w:rFonts w:ascii="Arial" w:eastAsia="Times New Roman" w:hAnsi="Arial" w:cs="Arial"/>
          <w:bdr w:val="none" w:sz="0" w:space="0" w:color="auto" w:frame="1"/>
          <w:lang w:eastAsia="en-AU"/>
        </w:rPr>
        <w:t>2</w:t>
      </w:r>
      <w:r w:rsidR="0076531F">
        <w:rPr>
          <w:rFonts w:ascii="Arial" w:eastAsia="Times New Roman" w:hAnsi="Arial" w:cs="Arial"/>
          <w:bdr w:val="none" w:sz="0" w:space="0" w:color="auto" w:frame="1"/>
          <w:lang w:eastAsia="en-AU"/>
        </w:rPr>
        <w:t>1</w:t>
      </w:r>
      <w:r>
        <w:rPr>
          <w:rFonts w:ascii="Arial" w:eastAsia="Times New Roman" w:hAnsi="Arial" w:cs="Arial"/>
          <w:bdr w:val="none" w:sz="0" w:space="0" w:color="auto" w:frame="1"/>
          <w:lang w:eastAsia="en-AU"/>
        </w:rPr>
        <w:t>/8/2020</w:t>
      </w:r>
    </w:p>
    <w:p w14:paraId="34C70866" w14:textId="64BC0FFE" w:rsidR="0076531F" w:rsidRDefault="0076531F" w:rsidP="00CA226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Michael Smit, </w:t>
      </w:r>
      <w:proofErr w:type="spellStart"/>
      <w:r>
        <w:rPr>
          <w:rFonts w:ascii="Arial" w:hAnsi="Arial" w:cs="Arial"/>
        </w:rPr>
        <w:t>Kingspan</w:t>
      </w:r>
      <w:proofErr w:type="spellEnd"/>
    </w:p>
    <w:p w14:paraId="7762CC98" w14:textId="250B123A" w:rsidR="00CA2261" w:rsidRDefault="00CA2261" w:rsidP="00CA226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Adam Jones, BMT</w:t>
      </w:r>
    </w:p>
    <w:p w14:paraId="244FEBBD" w14:textId="77777777" w:rsidR="00CA2261" w:rsidRDefault="00CA2261" w:rsidP="00CA226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Simon Fane, Institute for Sustainable Futures</w:t>
      </w:r>
    </w:p>
    <w:p w14:paraId="291389B4" w14:textId="77777777" w:rsidR="00CA2261" w:rsidRDefault="00CA2261" w:rsidP="00CA226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Chris Philpot, Smart Approved Watermark</w:t>
      </w:r>
    </w:p>
    <w:p w14:paraId="6D968246" w14:textId="77777777" w:rsidR="00CA2261" w:rsidRPr="004B15A4" w:rsidRDefault="00CA2261" w:rsidP="00CA226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Reid Butler, </w:t>
      </w:r>
      <w:proofErr w:type="spellStart"/>
      <w:r>
        <w:rPr>
          <w:rFonts w:ascii="Arial" w:hAnsi="Arial" w:cs="Arial"/>
        </w:rPr>
        <w:t>REIDenvironmental</w:t>
      </w:r>
      <w:proofErr w:type="spellEnd"/>
    </w:p>
    <w:p w14:paraId="5083F0A2" w14:textId="77777777" w:rsidR="00CA2261" w:rsidRDefault="00CA2261" w:rsidP="004B15A4">
      <w:pPr>
        <w:shd w:val="clear" w:color="auto" w:fill="FFFFFF"/>
        <w:spacing w:after="0" w:line="240" w:lineRule="auto"/>
        <w:rPr>
          <w:rFonts w:ascii="Arial" w:eastAsia="Times New Roman" w:hAnsi="Arial" w:cs="Arial"/>
          <w:bdr w:val="none" w:sz="0" w:space="0" w:color="auto" w:frame="1"/>
          <w:lang w:eastAsia="en-AU"/>
        </w:rPr>
      </w:pPr>
    </w:p>
    <w:p w14:paraId="1EF19310" w14:textId="6C89C874" w:rsidR="00F0117C" w:rsidRPr="00F0117C" w:rsidRDefault="00F0117C" w:rsidP="004B15A4">
      <w:pPr>
        <w:shd w:val="clear" w:color="auto" w:fill="FFFFFF"/>
        <w:spacing w:after="0" w:line="240" w:lineRule="auto"/>
        <w:rPr>
          <w:rFonts w:ascii="Arial" w:eastAsia="Times New Roman" w:hAnsi="Arial" w:cs="Arial"/>
          <w:bdr w:val="none" w:sz="0" w:space="0" w:color="auto" w:frame="1"/>
          <w:lang w:eastAsia="en-AU"/>
        </w:rPr>
      </w:pPr>
      <w:r w:rsidRPr="00F0117C">
        <w:rPr>
          <w:rFonts w:ascii="Arial" w:eastAsia="Times New Roman" w:hAnsi="Arial" w:cs="Arial"/>
          <w:bdr w:val="none" w:sz="0" w:space="0" w:color="auto" w:frame="1"/>
          <w:lang w:eastAsia="en-AU"/>
        </w:rPr>
        <w:t xml:space="preserve">We welcome the opportunity to comment on the </w:t>
      </w:r>
      <w:r w:rsidR="00CA2261">
        <w:rPr>
          <w:rFonts w:ascii="Arial" w:eastAsia="Times New Roman" w:hAnsi="Arial" w:cs="Arial"/>
          <w:bdr w:val="none" w:sz="0" w:space="0" w:color="auto" w:frame="1"/>
          <w:lang w:eastAsia="en-AU"/>
        </w:rPr>
        <w:t xml:space="preserve">Productivity Commission </w:t>
      </w:r>
      <w:r w:rsidRPr="00F0117C">
        <w:rPr>
          <w:rFonts w:ascii="Arial" w:eastAsia="Times New Roman" w:hAnsi="Arial" w:cs="Arial"/>
          <w:bdr w:val="none" w:sz="0" w:space="0" w:color="auto" w:frame="1"/>
          <w:lang w:eastAsia="en-AU"/>
        </w:rPr>
        <w:t>National Water Reform Issues Paper (May 2020)</w:t>
      </w:r>
      <w:r>
        <w:rPr>
          <w:rFonts w:ascii="Arial" w:eastAsia="Times New Roman" w:hAnsi="Arial" w:cs="Arial"/>
          <w:bdr w:val="none" w:sz="0" w:space="0" w:color="auto" w:frame="1"/>
          <w:lang w:eastAsia="en-AU"/>
        </w:rPr>
        <w:t>.</w:t>
      </w:r>
    </w:p>
    <w:p w14:paraId="65B941E1" w14:textId="77777777" w:rsidR="00F0117C" w:rsidRDefault="00F0117C" w:rsidP="004B15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bdr w:val="none" w:sz="0" w:space="0" w:color="auto" w:frame="1"/>
          <w:lang w:eastAsia="en-AU"/>
        </w:rPr>
      </w:pPr>
    </w:p>
    <w:p w14:paraId="41FD9DEF" w14:textId="77777777" w:rsidR="004F03E7" w:rsidRDefault="004F03E7" w:rsidP="004B15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bdr w:val="none" w:sz="0" w:space="0" w:color="auto" w:frame="1"/>
          <w:lang w:eastAsia="en-AU"/>
        </w:rPr>
      </w:pPr>
    </w:p>
    <w:p w14:paraId="443CA676" w14:textId="3396F9E5" w:rsidR="004B15A4" w:rsidRPr="004B15A4" w:rsidRDefault="004B15A4" w:rsidP="004B15A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/>
          <w:bCs/>
          <w:bdr w:val="none" w:sz="0" w:space="0" w:color="auto" w:frame="1"/>
          <w:lang w:eastAsia="en-AU"/>
        </w:rPr>
        <w:t>Information Request 2</w:t>
      </w:r>
    </w:p>
    <w:p w14:paraId="30A19AAE" w14:textId="36783457" w:rsidR="004B15A4" w:rsidRPr="004B15A4" w:rsidRDefault="004B15A4" w:rsidP="004B15A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hAnsi="Arial" w:cs="Arial"/>
          <w:noProof/>
          <w:lang w:eastAsia="en-AU"/>
        </w:rPr>
        <w:drawing>
          <wp:inline distT="0" distB="0" distL="0" distR="0" wp14:anchorId="70643FFF" wp14:editId="339A602C">
            <wp:extent cx="5305425" cy="1257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br/>
      </w:r>
    </w:p>
    <w:p w14:paraId="71161C4A" w14:textId="421404EC" w:rsidR="004B15A4" w:rsidRDefault="004B15A4" w:rsidP="004B15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 xml:space="preserve">There is an emerging issue of water conservation efforts being under-represented and under-resourced throughout Australia's water industry, risking a lower levels of productivity due to inefficient water use and a growing cost base. It is recommended the NWI consider what are the best options for improving oversight of appropriate ongoing investment in water conservation initiatives across the country. </w:t>
      </w:r>
    </w:p>
    <w:p w14:paraId="03AA9E21" w14:textId="77777777" w:rsidR="004B15A4" w:rsidRDefault="004B15A4" w:rsidP="004B15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en-AU"/>
        </w:rPr>
      </w:pPr>
    </w:p>
    <w:p w14:paraId="4606C3E8" w14:textId="77777777" w:rsidR="004B15A4" w:rsidRDefault="004B15A4" w:rsidP="004B15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As an example, the Auditor General's Report (Water Conservation in Greater Sydney) has highlighted that governance, planning, reporting and support for water conservation is "</w:t>
      </w:r>
      <w:proofErr w:type="gramStart"/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weak</w:t>
      </w:r>
      <w:proofErr w:type="gramEnd"/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" and that DPIE "should establish clear mechanisms to ensure water conservation is treated explicitly in the management of Greater Sydney's water resources"</w:t>
      </w: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br/>
      </w:r>
      <w:hyperlink r:id="rId6" w:tgtFrame="_blank" w:history="1">
        <w:r w:rsidRPr="004B15A4">
          <w:rPr>
            <w:rFonts w:ascii="Arial" w:eastAsia="Times New Roman" w:hAnsi="Arial" w:cs="Arial"/>
            <w:u w:val="single"/>
            <w:bdr w:val="none" w:sz="0" w:space="0" w:color="auto" w:frame="1"/>
            <w:lang w:eastAsia="en-AU"/>
          </w:rPr>
          <w:t>https://www.audit.nsw.gov.au/our-work/reports/water-conservation-in-greater-sydney</w:t>
        </w:r>
      </w:hyperlink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 xml:space="preserve"> . </w:t>
      </w:r>
    </w:p>
    <w:p w14:paraId="0293BDE3" w14:textId="77777777" w:rsidR="004B15A4" w:rsidRDefault="004B15A4" w:rsidP="004B15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en-AU"/>
        </w:rPr>
      </w:pPr>
    </w:p>
    <w:p w14:paraId="42B7C580" w14:textId="0C9671AD" w:rsidR="004B15A4" w:rsidRDefault="004B15A4" w:rsidP="004B15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These issues are not in any way unique to the situation in NSW and the issues should be considered nationally.</w:t>
      </w:r>
    </w:p>
    <w:p w14:paraId="10291230" w14:textId="12AB7D01" w:rsidR="004B15A4" w:rsidRDefault="004B15A4" w:rsidP="004B15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en-AU"/>
        </w:rPr>
      </w:pPr>
    </w:p>
    <w:p w14:paraId="57E7405E" w14:textId="77777777" w:rsidR="004B15A4" w:rsidRPr="004B15A4" w:rsidRDefault="004B15A4" w:rsidP="004B15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</w:p>
    <w:p w14:paraId="63618637" w14:textId="77777777" w:rsidR="004F03E7" w:rsidRDefault="004F03E7">
      <w:pPr>
        <w:rPr>
          <w:rFonts w:ascii="Arial" w:eastAsia="Times New Roman" w:hAnsi="Arial" w:cs="Arial"/>
          <w:b/>
          <w:bCs/>
          <w:bdr w:val="none" w:sz="0" w:space="0" w:color="auto" w:frame="1"/>
          <w:lang w:eastAsia="en-AU"/>
        </w:rPr>
      </w:pPr>
      <w:r>
        <w:rPr>
          <w:rFonts w:ascii="Arial" w:eastAsia="Times New Roman" w:hAnsi="Arial" w:cs="Arial"/>
          <w:b/>
          <w:bCs/>
          <w:bdr w:val="none" w:sz="0" w:space="0" w:color="auto" w:frame="1"/>
          <w:lang w:eastAsia="en-AU"/>
        </w:rPr>
        <w:br w:type="page"/>
      </w:r>
    </w:p>
    <w:p w14:paraId="1F20937F" w14:textId="39A0A833" w:rsidR="004B15A4" w:rsidRPr="004B15A4" w:rsidRDefault="004B15A4" w:rsidP="004B15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/>
          <w:bCs/>
          <w:bdr w:val="none" w:sz="0" w:space="0" w:color="auto" w:frame="1"/>
          <w:lang w:eastAsia="en-AU"/>
        </w:rPr>
        <w:lastRenderedPageBreak/>
        <w:t> Information Request 4</w:t>
      </w:r>
    </w:p>
    <w:p w14:paraId="3FC73A5D" w14:textId="7ACD67D3" w:rsidR="004B15A4" w:rsidRPr="004B15A4" w:rsidRDefault="004B15A4" w:rsidP="004B15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 </w:t>
      </w:r>
      <w:r w:rsidRPr="004B15A4">
        <w:rPr>
          <w:rFonts w:ascii="Arial" w:hAnsi="Arial" w:cs="Arial"/>
          <w:noProof/>
          <w:lang w:eastAsia="en-AU"/>
        </w:rPr>
        <w:drawing>
          <wp:inline distT="0" distB="0" distL="0" distR="0" wp14:anchorId="50F7FB7E" wp14:editId="45481EAB">
            <wp:extent cx="5295900" cy="1876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6E9B6" w14:textId="77777777" w:rsidR="004B15A4" w:rsidRPr="004B15A4" w:rsidRDefault="004B15A4" w:rsidP="004B15A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Recent drought conditions triggered panic for many water supply utilities that realised they did not have sufficient lead-time to react to dropping water supply levels without rainfall relief. This highlights that the 'resilience' considered in existing water plans needs a firmer foundation to drive more effective proactive preparation for rainfall variability. This could be underpinned by: </w:t>
      </w:r>
    </w:p>
    <w:p w14:paraId="5F10C27B" w14:textId="77777777" w:rsidR="004B15A4" w:rsidRPr="004B15A4" w:rsidRDefault="004B15A4" w:rsidP="004B15A4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Gaining a better understanding the economic value of water security </w:t>
      </w:r>
    </w:p>
    <w:p w14:paraId="2101E0F2" w14:textId="77777777" w:rsidR="004B15A4" w:rsidRPr="004B15A4" w:rsidRDefault="004B15A4" w:rsidP="004B15A4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Improving our assumptions about the potential severity of 'severe' drought, and expanding our planning scope in line with this </w:t>
      </w:r>
    </w:p>
    <w:p w14:paraId="601F6BD8" w14:textId="77777777" w:rsidR="004B15A4" w:rsidRPr="004B15A4" w:rsidRDefault="004B15A4" w:rsidP="004B15A4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Ensuring that a true assessment of all supply and demand management options for improving resilience are continuously and appropriately assessed well ahead of a reactive emergency scenario so measures and timeframes are known and can be effectively staged.</w:t>
      </w:r>
    </w:p>
    <w:p w14:paraId="307925B2" w14:textId="628690EF" w:rsidR="004B15A4" w:rsidRPr="004B15A4" w:rsidRDefault="004B15A4" w:rsidP="004B15A4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 xml:space="preserve">Having a suite of demand-side options developed before droughts strikes that </w:t>
      </w:r>
      <w:r w:rsidR="000D09FC">
        <w:rPr>
          <w:rFonts w:ascii="Arial" w:eastAsia="Times New Roman" w:hAnsi="Arial" w:cs="Arial"/>
          <w:bdr w:val="none" w:sz="0" w:space="0" w:color="auto" w:frame="1"/>
          <w:lang w:eastAsia="en-AU"/>
        </w:rPr>
        <w:t>can be</w:t>
      </w: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 xml:space="preserve"> assessed against supply augmentation - especially as these often have much shorter implementation lead-times once a suite of options is identified. This requires both an ongoing investment in understanding urban water demand in detail including particularly non-residential demand and an on-going investment in ‘foundation’ demand management programs and staffing that allows the ‘ramped up’ of programs during drought   </w:t>
      </w:r>
    </w:p>
    <w:p w14:paraId="32A7EA8B" w14:textId="77777777" w:rsidR="004B15A4" w:rsidRPr="004B15A4" w:rsidRDefault="004B15A4" w:rsidP="004B15A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Investment in minimising water wastage and continuous improvement in maximising the utility of available water sources is a prudent response to long-term changes in climate, especially for communities with projected growth. This appears to be a gap across the Australian water industry, with investment in water conservation low throughout Australia. </w:t>
      </w:r>
    </w:p>
    <w:p w14:paraId="6EDD97E8" w14:textId="77777777" w:rsidR="004B15A4" w:rsidRPr="004B15A4" w:rsidRDefault="004B15A4" w:rsidP="004B15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br/>
      </w: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br/>
      </w:r>
    </w:p>
    <w:p w14:paraId="46198F13" w14:textId="77777777" w:rsidR="004B15A4" w:rsidRPr="004B15A4" w:rsidRDefault="004B15A4" w:rsidP="004B15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/>
          <w:bCs/>
          <w:bdr w:val="none" w:sz="0" w:space="0" w:color="auto" w:frame="1"/>
          <w:lang w:eastAsia="en-AU"/>
        </w:rPr>
        <w:t>Information Request 5</w:t>
      </w:r>
    </w:p>
    <w:p w14:paraId="5DF8BB2D" w14:textId="2FCDB731" w:rsidR="004B15A4" w:rsidRPr="004B15A4" w:rsidRDefault="004B15A4" w:rsidP="004B15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br/>
      </w:r>
      <w:r w:rsidRPr="004B15A4">
        <w:rPr>
          <w:rFonts w:ascii="Arial" w:hAnsi="Arial" w:cs="Arial"/>
          <w:noProof/>
          <w:lang w:eastAsia="en-AU"/>
        </w:rPr>
        <w:drawing>
          <wp:inline distT="0" distB="0" distL="0" distR="0" wp14:anchorId="5477F34E" wp14:editId="352296EE">
            <wp:extent cx="5438775" cy="952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br/>
      </w: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br/>
      </w:r>
    </w:p>
    <w:p w14:paraId="2A319C9E" w14:textId="77777777" w:rsidR="004B15A4" w:rsidRPr="004B15A4" w:rsidRDefault="004B15A4" w:rsidP="004B15A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Water conservation, water efficiency and demand management by households and industry appear to be absent from the 166 performance indicators.</w:t>
      </w: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br/>
      </w:r>
      <w:hyperlink r:id="rId9" w:tgtFrame="_blank" w:history="1">
        <w:r w:rsidRPr="004B15A4">
          <w:rPr>
            <w:rFonts w:ascii="Arial" w:eastAsia="Times New Roman" w:hAnsi="Arial" w:cs="Arial"/>
            <w:u w:val="single"/>
            <w:bdr w:val="none" w:sz="0" w:space="0" w:color="auto" w:frame="1"/>
            <w:lang w:eastAsia="en-AU"/>
          </w:rPr>
          <w:t>http://www.bom.gov.au/water/npr/docs/Appendix_D_Urban_performance_indicators.pdf</w:t>
        </w:r>
      </w:hyperlink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 </w:t>
      </w:r>
    </w:p>
    <w:p w14:paraId="4C52291F" w14:textId="77777777" w:rsidR="004B15A4" w:rsidRPr="004B15A4" w:rsidRDefault="004B15A4" w:rsidP="004B15A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lastRenderedPageBreak/>
        <w:t xml:space="preserve">The NPR needs to be amended to include both dollars spent on water efficiency programs in domestic and commercial settings and </w:t>
      </w:r>
      <w:proofErr w:type="spellStart"/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megalitres</w:t>
      </w:r>
      <w:proofErr w:type="spellEnd"/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 xml:space="preserve"> saved by each water utility. </w:t>
      </w:r>
    </w:p>
    <w:p w14:paraId="07006E4B" w14:textId="77777777" w:rsidR="004B15A4" w:rsidRPr="004B15A4" w:rsidRDefault="004B15A4" w:rsidP="004B15A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 xml:space="preserve">The NPR needs to be amended to include measures to use pricing to encourage the efficient use of water in domestic and commercial settings and </w:t>
      </w:r>
      <w:proofErr w:type="spellStart"/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megalitres</w:t>
      </w:r>
      <w:proofErr w:type="spellEnd"/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 xml:space="preserve"> saved by each water utility </w:t>
      </w:r>
    </w:p>
    <w:p w14:paraId="3693F988" w14:textId="77777777" w:rsidR="004B15A4" w:rsidRPr="004B15A4" w:rsidRDefault="004B15A4" w:rsidP="004B15A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 </w:t>
      </w:r>
    </w:p>
    <w:p w14:paraId="65D8986B" w14:textId="77777777" w:rsidR="004B15A4" w:rsidRPr="004B15A4" w:rsidRDefault="004B15A4" w:rsidP="004B15A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 </w:t>
      </w:r>
    </w:p>
    <w:p w14:paraId="415C1BAF" w14:textId="77777777" w:rsidR="004B15A4" w:rsidRPr="004B15A4" w:rsidRDefault="004B15A4" w:rsidP="004B15A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/>
          <w:bCs/>
          <w:bdr w:val="none" w:sz="0" w:space="0" w:color="auto" w:frame="1"/>
          <w:lang w:eastAsia="en-AU"/>
        </w:rPr>
        <w:t> Information Request 12</w:t>
      </w:r>
    </w:p>
    <w:p w14:paraId="3C3B445A" w14:textId="606F979F" w:rsidR="004B15A4" w:rsidRPr="004B15A4" w:rsidRDefault="004B15A4" w:rsidP="004B15A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br/>
      </w:r>
      <w:bookmarkStart w:id="0" w:name="_GoBack"/>
      <w:r w:rsidRPr="004B15A4">
        <w:rPr>
          <w:rFonts w:ascii="Arial" w:hAnsi="Arial" w:cs="Arial"/>
          <w:noProof/>
          <w:lang w:eastAsia="en-AU"/>
        </w:rPr>
        <w:drawing>
          <wp:inline distT="0" distB="0" distL="0" distR="0" wp14:anchorId="18BDCBB5" wp14:editId="53E732C7">
            <wp:extent cx="5553075" cy="1438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br/>
      </w: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br/>
      </w:r>
    </w:p>
    <w:p w14:paraId="48BA03CA" w14:textId="77777777" w:rsidR="004B15A4" w:rsidRPr="004B15A4" w:rsidRDefault="004B15A4" w:rsidP="004B15A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In the interest of the public good, Government financing of new water infrastructure should require a careful options assessment to ensure that all reasonable alternative options have been considered equivalently, and all costs have been taken into account in the assessment.  </w:t>
      </w:r>
    </w:p>
    <w:p w14:paraId="23304715" w14:textId="77777777" w:rsidR="004B15A4" w:rsidRPr="004B15A4" w:rsidRDefault="004B15A4" w:rsidP="004B15A4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 xml:space="preserve">This is necessary to avoid significant infrastructure spending being </w:t>
      </w:r>
      <w:proofErr w:type="spellStart"/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expediated</w:t>
      </w:r>
      <w:proofErr w:type="spellEnd"/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 xml:space="preserve"> by political drivers or existing financial incentives from stakeholders to favour revenue and asset-</w:t>
      </w:r>
      <w:proofErr w:type="spellStart"/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base</w:t>
      </w:r>
      <w:proofErr w:type="spellEnd"/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 xml:space="preserve"> building.  </w:t>
      </w:r>
    </w:p>
    <w:p w14:paraId="0E23BD49" w14:textId="77777777" w:rsidR="004B15A4" w:rsidRPr="004B15A4" w:rsidRDefault="004B15A4" w:rsidP="004B15A4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It is likely that improved options assessment will require a review of methods for comparing options - for example an assessment that captures advantages and disadvantages of decentralised water supply options and demand management options alongside traditional centralised water supply options. </w:t>
      </w:r>
    </w:p>
    <w:p w14:paraId="0C214608" w14:textId="22522806" w:rsidR="004B15A4" w:rsidRPr="004B15A4" w:rsidRDefault="004B15A4" w:rsidP="004B15A4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This will require setting a higher standard for the inclusion of costs in the assessment of water supply infrastructure </w:t>
      </w: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br/>
      </w:r>
    </w:p>
    <w:p w14:paraId="73885055" w14:textId="19E28698" w:rsidR="004B15A4" w:rsidRPr="004B15A4" w:rsidRDefault="004B15A4" w:rsidP="004B15A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 xml:space="preserve">The Commissioners might like to consider whether the infrastructure investment decision making process for the </w:t>
      </w:r>
      <w:proofErr w:type="spellStart"/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Dangowan</w:t>
      </w:r>
      <w:proofErr w:type="spellEnd"/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 xml:space="preserve"> dam, with the stated purpose of providing urban water security for Tamworth in NSW</w:t>
      </w:r>
      <w:r>
        <w:rPr>
          <w:rFonts w:ascii="Arial" w:eastAsia="Times New Roman" w:hAnsi="Arial" w:cs="Arial"/>
          <w:bdr w:val="none" w:sz="0" w:space="0" w:color="auto" w:frame="1"/>
          <w:lang w:eastAsia="en-AU"/>
        </w:rPr>
        <w:t xml:space="preserve"> </w:t>
      </w: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would meet the National urban water planning principles</w:t>
      </w:r>
      <w:r>
        <w:rPr>
          <w:rFonts w:ascii="Arial" w:eastAsia="Times New Roman" w:hAnsi="Arial" w:cs="Arial"/>
          <w:bdr w:val="none" w:sz="0" w:space="0" w:color="auto" w:frame="1"/>
          <w:lang w:eastAsia="en-AU"/>
        </w:rPr>
        <w:t xml:space="preserve">, </w:t>
      </w:r>
      <w:r w:rsidRPr="004B15A4">
        <w:rPr>
          <w:rFonts w:ascii="Arial" w:eastAsia="Times New Roman" w:hAnsi="Arial" w:cs="Arial"/>
          <w:bdr w:val="none" w:sz="0" w:space="0" w:color="auto" w:frame="1"/>
          <w:lang w:eastAsia="en-AU"/>
        </w:rPr>
        <w:t>particularly in relation to principle 4 and 5.”</w:t>
      </w:r>
    </w:p>
    <w:p w14:paraId="25ABCB40" w14:textId="7E3F3F8F" w:rsidR="004B15A4" w:rsidRDefault="00E505AD" w:rsidP="004B15A4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hyperlink r:id="rId11" w:tgtFrame="_blank" w:history="1">
        <w:r w:rsidR="004B15A4" w:rsidRPr="004B15A4">
          <w:rPr>
            <w:rFonts w:ascii="Arial" w:eastAsia="Times New Roman" w:hAnsi="Arial" w:cs="Arial"/>
            <w:u w:val="single"/>
            <w:bdr w:val="none" w:sz="0" w:space="0" w:color="auto" w:frame="1"/>
            <w:lang w:eastAsia="en-AU"/>
          </w:rPr>
          <w:t>https://www.waternsw.com.au/projects/new-dams-for-nsw/dungowan-dam</w:t>
        </w:r>
      </w:hyperlink>
      <w:r w:rsidR="004B15A4" w:rsidRPr="004B15A4">
        <w:rPr>
          <w:rFonts w:ascii="Arial" w:eastAsia="Times New Roman" w:hAnsi="Arial" w:cs="Arial"/>
          <w:lang w:eastAsia="en-AU"/>
        </w:rPr>
        <w:t> </w:t>
      </w:r>
    </w:p>
    <w:p w14:paraId="5B765E90" w14:textId="67169FD7" w:rsidR="004B15A4" w:rsidRPr="004B15A4" w:rsidRDefault="00E505AD" w:rsidP="004B15A4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hyperlink r:id="rId12" w:tgtFrame="_blank" w:history="1">
        <w:r w:rsidR="004B15A4" w:rsidRPr="004B15A4">
          <w:rPr>
            <w:rFonts w:ascii="Arial" w:eastAsia="Times New Roman" w:hAnsi="Arial" w:cs="Arial"/>
            <w:u w:val="single"/>
            <w:bdr w:val="none" w:sz="0" w:space="0" w:color="auto" w:frame="1"/>
            <w:lang w:eastAsia="en-AU"/>
          </w:rPr>
          <w:t>https://www.agriculture.gov.au/water/urban/policy-reform-urban-water/planning-principles</w:t>
        </w:r>
      </w:hyperlink>
    </w:p>
    <w:p w14:paraId="2D3FE792" w14:textId="2828FA83" w:rsidR="004B15A4" w:rsidRDefault="004B15A4">
      <w:pPr>
        <w:rPr>
          <w:rFonts w:ascii="Arial" w:hAnsi="Arial" w:cs="Arial"/>
        </w:rPr>
      </w:pPr>
    </w:p>
    <w:sectPr w:rsidR="004B1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01781"/>
    <w:multiLevelType w:val="multilevel"/>
    <w:tmpl w:val="DE4C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D15DD9"/>
    <w:multiLevelType w:val="multilevel"/>
    <w:tmpl w:val="2D26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AB0B34"/>
    <w:multiLevelType w:val="multilevel"/>
    <w:tmpl w:val="EB24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A9602D"/>
    <w:multiLevelType w:val="multilevel"/>
    <w:tmpl w:val="B5DA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DF5F71"/>
    <w:multiLevelType w:val="multilevel"/>
    <w:tmpl w:val="5F2E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207D14"/>
    <w:multiLevelType w:val="multilevel"/>
    <w:tmpl w:val="9870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A4"/>
    <w:rsid w:val="000D09FC"/>
    <w:rsid w:val="004B15A4"/>
    <w:rsid w:val="004E00ED"/>
    <w:rsid w:val="004F03E7"/>
    <w:rsid w:val="00512D57"/>
    <w:rsid w:val="0076531F"/>
    <w:rsid w:val="009B71AA"/>
    <w:rsid w:val="00CA2261"/>
    <w:rsid w:val="00F0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DE34"/>
  <w15:chartTrackingRefBased/>
  <w15:docId w15:val="{AD7FF482-60D0-4278-B8F7-6C1CFA74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B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msolistparagraph">
    <w:name w:val="x_msolistparagraph"/>
    <w:basedOn w:val="Normal"/>
    <w:rsid w:val="004B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4B15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protect-eu.mimecast.com/s/1RyECl25vC8DGlc965gH?domain=agriculture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tect-eu.mimecast.com/s/TBHYCmYQ2H3GXqFB8qdt?domain=audit.nsw.gov.au" TargetMode="External"/><Relationship Id="rId11" Type="http://schemas.openxmlformats.org/officeDocument/2006/relationships/hyperlink" Target="https://protect-eu.mimecast.com/s/BexpCkrZwfjZlvu2NyEK?domain=waternsw.com.au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protect-eu.mimecast.com/s/a6IcCngrYf2QwVSZ-GY_?domain=bom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C5F668F2.dotm</Template>
  <TotalTime>43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31 - Michael Smit; Adam Jones; Simon Fane; Chris Philpot and Reid Butler - National Water Reform - Public inquiry</vt:lpstr>
    </vt:vector>
  </TitlesOfParts>
  <Company>Michael Smit; Adam Jones; Simon Fane; Chris Philpot and Reid Butler</Company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31 - Michael Smit; Adam Jones; Simon Fane; Chris Philpot and Reid Butler - National Water Reform - Public inquiry</dc:title>
  <dc:subject/>
  <dc:creator>Michael Smit;Adam Jones;Simon Fane;Chris Philpot and Reid Butler</dc:creator>
  <cp:keywords/>
  <dc:description/>
  <cp:lastModifiedBy>Productivity Commission</cp:lastModifiedBy>
  <cp:revision>6</cp:revision>
  <cp:lastPrinted>2020-08-25T23:34:00Z</cp:lastPrinted>
  <dcterms:created xsi:type="dcterms:W3CDTF">2020-08-18T07:24:00Z</dcterms:created>
  <dcterms:modified xsi:type="dcterms:W3CDTF">2020-08-25T23:35:00Z</dcterms:modified>
</cp:coreProperties>
</file>