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212684" w14:textId="77777777" w:rsidR="0082702C" w:rsidRDefault="00D92D28" w:rsidP="00D92D28">
      <w:pPr>
        <w:rPr>
          <w:rFonts w:ascii="Palatino Linotype" w:hAnsi="Palatino Linotype"/>
          <w:b/>
          <w:bCs/>
          <w:sz w:val="24"/>
          <w:szCs w:val="24"/>
        </w:rPr>
      </w:pPr>
      <w:r w:rsidRPr="002E05FA">
        <w:rPr>
          <w:rFonts w:ascii="Palatino Linotype" w:hAnsi="Palatino Linotype"/>
          <w:b/>
          <w:bCs/>
          <w:sz w:val="24"/>
          <w:szCs w:val="24"/>
        </w:rPr>
        <w:t>Productivity Commission</w:t>
      </w:r>
    </w:p>
    <w:p w14:paraId="5566997D" w14:textId="1BF8E976" w:rsidR="00D92D28" w:rsidRPr="002E05FA" w:rsidRDefault="00D92D28" w:rsidP="00D92D28">
      <w:pPr>
        <w:rPr>
          <w:rFonts w:ascii="Palatino Linotype" w:hAnsi="Palatino Linotype"/>
          <w:sz w:val="24"/>
          <w:szCs w:val="24"/>
        </w:rPr>
      </w:pPr>
      <w:r w:rsidRPr="002E05FA">
        <w:rPr>
          <w:rFonts w:ascii="Palatino Linotype" w:hAnsi="Palatino Linotype"/>
          <w:b/>
          <w:bCs/>
          <w:sz w:val="24"/>
          <w:szCs w:val="24"/>
        </w:rPr>
        <w:t>Re: Right to Repair</w:t>
      </w:r>
      <w:r w:rsidRPr="002E05FA">
        <w:rPr>
          <w:rFonts w:ascii="Palatino Linotype" w:hAnsi="Palatino Linotype"/>
          <w:sz w:val="24"/>
          <w:szCs w:val="24"/>
        </w:rPr>
        <w:br/>
        <w:t>Locked Bag 2</w:t>
      </w:r>
      <w:r w:rsidRPr="002E05FA">
        <w:rPr>
          <w:rFonts w:ascii="Palatino Linotype" w:hAnsi="Palatino Linotype"/>
          <w:sz w:val="24"/>
          <w:szCs w:val="24"/>
        </w:rPr>
        <w:br/>
        <w:t>Collins Street East</w:t>
      </w:r>
      <w:r w:rsidRPr="002E05FA">
        <w:rPr>
          <w:rFonts w:ascii="Palatino Linotype" w:hAnsi="Palatino Linotype"/>
          <w:sz w:val="24"/>
          <w:szCs w:val="24"/>
        </w:rPr>
        <w:br/>
        <w:t>Melbourne Vic 8003</w:t>
      </w:r>
      <w:r w:rsidRPr="002E05FA">
        <w:rPr>
          <w:rFonts w:ascii="Palatino Linotype" w:hAnsi="Palatino Linotype"/>
          <w:sz w:val="24"/>
          <w:szCs w:val="24"/>
        </w:rPr>
        <w:br/>
        <w:t>repair@pc.gov.au</w:t>
      </w:r>
    </w:p>
    <w:p w14:paraId="29EC5523" w14:textId="3442E5F6" w:rsidR="00D92D28" w:rsidRPr="002E05FA" w:rsidRDefault="00D92D28">
      <w:pPr>
        <w:rPr>
          <w:rFonts w:ascii="Palatino Linotype" w:hAnsi="Palatino Linotype"/>
          <w:sz w:val="24"/>
          <w:szCs w:val="24"/>
        </w:rPr>
      </w:pPr>
      <w:r w:rsidRPr="002E05FA">
        <w:rPr>
          <w:rFonts w:ascii="Palatino Linotype" w:hAnsi="Palatino Linotype"/>
          <w:sz w:val="24"/>
          <w:szCs w:val="24"/>
        </w:rPr>
        <w:t>Jan. 31, 2021</w:t>
      </w:r>
    </w:p>
    <w:p w14:paraId="2058B3CC" w14:textId="77777777" w:rsidR="00D92D28" w:rsidRPr="002E05FA" w:rsidRDefault="00D92D28">
      <w:pPr>
        <w:rPr>
          <w:rFonts w:ascii="Palatino Linotype" w:hAnsi="Palatino Linotype"/>
          <w:sz w:val="24"/>
          <w:szCs w:val="24"/>
        </w:rPr>
      </w:pPr>
    </w:p>
    <w:p w14:paraId="6DDA0DAE" w14:textId="057CD088" w:rsidR="00D92D28" w:rsidRPr="002E05FA" w:rsidRDefault="00D92D28">
      <w:pPr>
        <w:rPr>
          <w:rFonts w:ascii="Palatino Linotype" w:hAnsi="Palatino Linotype"/>
          <w:sz w:val="24"/>
          <w:szCs w:val="24"/>
        </w:rPr>
      </w:pPr>
      <w:r w:rsidRPr="002E05FA">
        <w:rPr>
          <w:rFonts w:ascii="Palatino Linotype" w:hAnsi="Palatino Linotype"/>
          <w:sz w:val="24"/>
          <w:szCs w:val="24"/>
        </w:rPr>
        <w:t xml:space="preserve">Dear representatives of the Productivity Commission, </w:t>
      </w:r>
    </w:p>
    <w:p w14:paraId="2B0CE0A1" w14:textId="658F706A" w:rsidR="00D92D28" w:rsidRPr="002E05FA" w:rsidRDefault="00D92D28" w:rsidP="002E66FE">
      <w:pPr>
        <w:ind w:firstLine="360"/>
        <w:rPr>
          <w:rFonts w:ascii="Palatino Linotype" w:hAnsi="Palatino Linotype"/>
          <w:sz w:val="24"/>
          <w:szCs w:val="24"/>
        </w:rPr>
      </w:pPr>
      <w:r w:rsidRPr="002E05FA">
        <w:rPr>
          <w:rFonts w:ascii="Palatino Linotype" w:hAnsi="Palatino Linotype"/>
          <w:sz w:val="24"/>
          <w:szCs w:val="24"/>
        </w:rPr>
        <w:t>Thank you for investigati</w:t>
      </w:r>
      <w:r w:rsidR="0082702C">
        <w:rPr>
          <w:rFonts w:ascii="Palatino Linotype" w:hAnsi="Palatino Linotype"/>
          <w:sz w:val="24"/>
          <w:szCs w:val="24"/>
        </w:rPr>
        <w:t>ng</w:t>
      </w:r>
      <w:r w:rsidRPr="002E05FA">
        <w:rPr>
          <w:rFonts w:ascii="Palatino Linotype" w:hAnsi="Palatino Linotype"/>
          <w:sz w:val="24"/>
          <w:szCs w:val="24"/>
        </w:rPr>
        <w:t xml:space="preserve"> repair restrictions common in modern electronic equipment. Through my work on behalf of U.S. PIRG, an American non-profit advocacy organization, and U.S. PIRG Education Fund, its sister research and public education group, I have researched how repair is restricted in modern devices, and what impact that has on consumers and the planet. </w:t>
      </w:r>
    </w:p>
    <w:p w14:paraId="2B292A12" w14:textId="09429D81" w:rsidR="00D92D28" w:rsidRPr="002E05FA" w:rsidRDefault="00D92D28" w:rsidP="002E66FE">
      <w:pPr>
        <w:ind w:firstLine="360"/>
        <w:rPr>
          <w:rFonts w:ascii="Palatino Linotype" w:hAnsi="Palatino Linotype"/>
          <w:sz w:val="24"/>
          <w:szCs w:val="24"/>
        </w:rPr>
      </w:pPr>
      <w:r w:rsidRPr="002E05FA">
        <w:rPr>
          <w:rFonts w:ascii="Palatino Linotype" w:hAnsi="Palatino Linotype"/>
          <w:sz w:val="24"/>
          <w:szCs w:val="24"/>
        </w:rPr>
        <w:t>My work has included collecting tens of thousands of public comments and (along with my staff) interviewing more than 200 repair technicians from a wide variety of repair fields (from personal electronics, to tractors and medical equipment</w:t>
      </w:r>
      <w:r w:rsidR="0082702C">
        <w:rPr>
          <w:rFonts w:ascii="Palatino Linotype" w:hAnsi="Palatino Linotype"/>
          <w:sz w:val="24"/>
          <w:szCs w:val="24"/>
        </w:rPr>
        <w:t>)</w:t>
      </w:r>
      <w:r w:rsidRPr="002E05FA">
        <w:rPr>
          <w:rFonts w:ascii="Palatino Linotype" w:hAnsi="Palatino Linotype"/>
          <w:sz w:val="24"/>
          <w:szCs w:val="24"/>
        </w:rPr>
        <w:t xml:space="preserve">. </w:t>
      </w:r>
    </w:p>
    <w:p w14:paraId="54832C8F" w14:textId="575D754A" w:rsidR="00D92D28" w:rsidRPr="002E05FA" w:rsidRDefault="0082702C" w:rsidP="002E05FA">
      <w:pPr>
        <w:ind w:firstLine="36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I have concluded that r</w:t>
      </w:r>
      <w:r w:rsidR="00D92D28" w:rsidRPr="002E05FA">
        <w:rPr>
          <w:rFonts w:ascii="Palatino Linotype" w:hAnsi="Palatino Linotype"/>
          <w:sz w:val="24"/>
          <w:szCs w:val="24"/>
        </w:rPr>
        <w:t xml:space="preserve">epair is restricted in many ways. In some cases, consumers are </w:t>
      </w:r>
      <w:r w:rsidRPr="002E05FA">
        <w:rPr>
          <w:rFonts w:ascii="Palatino Linotype" w:hAnsi="Palatino Linotype"/>
          <w:sz w:val="24"/>
          <w:szCs w:val="24"/>
        </w:rPr>
        <w:t>misled</w:t>
      </w:r>
      <w:r w:rsidR="00D92D28" w:rsidRPr="002E05FA">
        <w:rPr>
          <w:rFonts w:ascii="Palatino Linotype" w:hAnsi="Palatino Linotype"/>
          <w:sz w:val="24"/>
          <w:szCs w:val="24"/>
        </w:rPr>
        <w:t xml:space="preserve"> about their rights to seek alternative repair options – such as the practice of putting “Warranty Void if Removed” stickers on products, even when consumer law would forbid this practice. </w:t>
      </w:r>
      <w:r w:rsidR="007E4F3E" w:rsidRPr="002E05FA">
        <w:rPr>
          <w:rFonts w:ascii="Palatino Linotype" w:hAnsi="Palatino Linotype"/>
          <w:sz w:val="24"/>
          <w:szCs w:val="24"/>
        </w:rPr>
        <w:t>In other cases, the technology is designed to require software tools to complete repairs, tools which the original equipment manufacturer (OEM) will not provide – a common occurrence on heavy equipment or agricultural equipment. Additionally, companies create exclusive deals with parts suppliers, such that necessary spare parts become unavailable outside of the manufacturers “authorized” repair provider</w:t>
      </w:r>
      <w:r>
        <w:rPr>
          <w:rFonts w:ascii="Palatino Linotype" w:hAnsi="Palatino Linotype"/>
          <w:sz w:val="24"/>
          <w:szCs w:val="24"/>
        </w:rPr>
        <w:t>s</w:t>
      </w:r>
      <w:r w:rsidR="007E4F3E" w:rsidRPr="002E05FA">
        <w:rPr>
          <w:rFonts w:ascii="Palatino Linotype" w:hAnsi="Palatino Linotype"/>
          <w:sz w:val="24"/>
          <w:szCs w:val="24"/>
        </w:rPr>
        <w:t xml:space="preserve">. I would like to submit the following surveys and reports that I have participated in professionally for consideration in your investigation. </w:t>
      </w:r>
    </w:p>
    <w:p w14:paraId="4C7FEC04" w14:textId="4B7B2795" w:rsidR="007E4F3E" w:rsidRPr="002E05FA" w:rsidRDefault="00394217" w:rsidP="007E4F3E">
      <w:pPr>
        <w:pStyle w:val="ListParagraph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hyperlink r:id="rId9" w:history="1">
        <w:r w:rsidR="007E4F3E" w:rsidRPr="002E05FA">
          <w:rPr>
            <w:rStyle w:val="Hyperlink"/>
            <w:rFonts w:ascii="Palatino Linotype" w:hAnsi="Palatino Linotype"/>
            <w:sz w:val="24"/>
            <w:szCs w:val="24"/>
          </w:rPr>
          <w:t>Recharge Repair</w:t>
        </w:r>
      </w:hyperlink>
      <w:r w:rsidR="007E4F3E" w:rsidRPr="002E05FA">
        <w:rPr>
          <w:rFonts w:ascii="Palatino Linotype" w:hAnsi="Palatino Linotype"/>
          <w:sz w:val="24"/>
          <w:szCs w:val="24"/>
        </w:rPr>
        <w:t>, Feb. 2018. This report investigates the impact of Apple’s “</w:t>
      </w:r>
      <w:proofErr w:type="spellStart"/>
      <w:r w:rsidR="007E4F3E" w:rsidRPr="002E05FA">
        <w:rPr>
          <w:rFonts w:ascii="Palatino Linotype" w:hAnsi="Palatino Linotype"/>
          <w:sz w:val="24"/>
          <w:szCs w:val="24"/>
        </w:rPr>
        <w:t>BatteryGate</w:t>
      </w:r>
      <w:proofErr w:type="spellEnd"/>
      <w:r w:rsidR="007E4F3E" w:rsidRPr="002E05FA">
        <w:rPr>
          <w:rFonts w:ascii="Palatino Linotype" w:hAnsi="Palatino Linotype"/>
          <w:sz w:val="24"/>
          <w:szCs w:val="24"/>
        </w:rPr>
        <w:t>” or “</w:t>
      </w:r>
      <w:proofErr w:type="spellStart"/>
      <w:r w:rsidR="007E4F3E" w:rsidRPr="002E05FA">
        <w:rPr>
          <w:rFonts w:ascii="Palatino Linotype" w:hAnsi="Palatino Linotype"/>
          <w:sz w:val="24"/>
          <w:szCs w:val="24"/>
        </w:rPr>
        <w:t>ThrottleGate</w:t>
      </w:r>
      <w:proofErr w:type="spellEnd"/>
      <w:r w:rsidR="007E4F3E" w:rsidRPr="002E05FA">
        <w:rPr>
          <w:rFonts w:ascii="Palatino Linotype" w:hAnsi="Palatino Linotype"/>
          <w:sz w:val="24"/>
          <w:szCs w:val="24"/>
        </w:rPr>
        <w:t xml:space="preserve">” on independent battery repair through interviews and surveys from technicians and repair shops. </w:t>
      </w:r>
    </w:p>
    <w:p w14:paraId="4EAA5CDD" w14:textId="3B78FC2A" w:rsidR="007E4F3E" w:rsidRPr="002E05FA" w:rsidRDefault="00394217" w:rsidP="007E4F3E">
      <w:pPr>
        <w:pStyle w:val="ListParagraph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hyperlink r:id="rId10" w:history="1">
        <w:r w:rsidR="007E4F3E" w:rsidRPr="002E05FA">
          <w:rPr>
            <w:rStyle w:val="Hyperlink"/>
            <w:rFonts w:ascii="Palatino Linotype" w:hAnsi="Palatino Linotype"/>
            <w:sz w:val="24"/>
            <w:szCs w:val="24"/>
          </w:rPr>
          <w:t>Warranties in the Void</w:t>
        </w:r>
      </w:hyperlink>
      <w:r w:rsidR="007E4F3E" w:rsidRPr="002E05FA">
        <w:rPr>
          <w:rFonts w:ascii="Palatino Linotype" w:hAnsi="Palatino Linotype"/>
          <w:sz w:val="24"/>
          <w:szCs w:val="24"/>
        </w:rPr>
        <w:t xml:space="preserve">, Oct 2018. This report </w:t>
      </w:r>
      <w:proofErr w:type="gramStart"/>
      <w:r w:rsidR="007E4F3E" w:rsidRPr="002E05FA">
        <w:rPr>
          <w:rFonts w:ascii="Palatino Linotype" w:hAnsi="Palatino Linotype"/>
          <w:sz w:val="24"/>
          <w:szCs w:val="24"/>
        </w:rPr>
        <w:t>looked into</w:t>
      </w:r>
      <w:proofErr w:type="gramEnd"/>
      <w:r w:rsidR="007E4F3E" w:rsidRPr="002E05FA">
        <w:rPr>
          <w:rFonts w:ascii="Palatino Linotype" w:hAnsi="Palatino Linotype"/>
          <w:sz w:val="24"/>
          <w:szCs w:val="24"/>
        </w:rPr>
        <w:t xml:space="preserve"> warranty practices from major appliance manufacturers and found that companies frequently tell </w:t>
      </w:r>
      <w:r w:rsidR="007E4F3E" w:rsidRPr="002E05FA">
        <w:rPr>
          <w:rFonts w:ascii="Palatino Linotype" w:hAnsi="Palatino Linotype"/>
          <w:sz w:val="24"/>
          <w:szCs w:val="24"/>
        </w:rPr>
        <w:lastRenderedPageBreak/>
        <w:t xml:space="preserve">consumers their warranty is conditioned on using only manufacturer-approved repair – 45 of the 50 companies </w:t>
      </w:r>
      <w:r w:rsidR="002E66FE">
        <w:rPr>
          <w:rFonts w:ascii="Palatino Linotype" w:hAnsi="Palatino Linotype"/>
          <w:sz w:val="24"/>
          <w:szCs w:val="24"/>
        </w:rPr>
        <w:t>were judged to make</w:t>
      </w:r>
      <w:r w:rsidR="007E4F3E" w:rsidRPr="002E05FA">
        <w:rPr>
          <w:rFonts w:ascii="Palatino Linotype" w:hAnsi="Palatino Linotype"/>
          <w:sz w:val="24"/>
          <w:szCs w:val="24"/>
        </w:rPr>
        <w:t xml:space="preserve"> this claim</w:t>
      </w:r>
      <w:r w:rsidR="002E66FE">
        <w:rPr>
          <w:rFonts w:ascii="Palatino Linotype" w:hAnsi="Palatino Linotype"/>
          <w:sz w:val="24"/>
          <w:szCs w:val="24"/>
        </w:rPr>
        <w:t xml:space="preserve">. </w:t>
      </w:r>
    </w:p>
    <w:p w14:paraId="2CA3B136" w14:textId="42EB1753" w:rsidR="007E4F3E" w:rsidRDefault="00394217" w:rsidP="007E4F3E">
      <w:pPr>
        <w:pStyle w:val="ListParagraph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hyperlink r:id="rId11" w:history="1">
        <w:r w:rsidR="007E4F3E" w:rsidRPr="002E05FA">
          <w:rPr>
            <w:rStyle w:val="Hyperlink"/>
            <w:rFonts w:ascii="Palatino Linotype" w:hAnsi="Palatino Linotype"/>
            <w:sz w:val="24"/>
            <w:szCs w:val="24"/>
          </w:rPr>
          <w:t>The Fix Is In</w:t>
        </w:r>
      </w:hyperlink>
      <w:r w:rsidR="007E4F3E" w:rsidRPr="002E05FA">
        <w:rPr>
          <w:rFonts w:ascii="Palatino Linotype" w:hAnsi="Palatino Linotype"/>
          <w:sz w:val="24"/>
          <w:szCs w:val="24"/>
        </w:rPr>
        <w:t xml:space="preserve">, March 2020. This report includes a survey of more than 300 </w:t>
      </w:r>
      <w:r w:rsidR="002E66FE">
        <w:rPr>
          <w:rFonts w:ascii="Palatino Linotype" w:hAnsi="Palatino Linotype"/>
          <w:sz w:val="24"/>
          <w:szCs w:val="24"/>
        </w:rPr>
        <w:t xml:space="preserve">personal electronic repair </w:t>
      </w:r>
      <w:r w:rsidR="007E4F3E" w:rsidRPr="002E05FA">
        <w:rPr>
          <w:rFonts w:ascii="Palatino Linotype" w:hAnsi="Palatino Linotype"/>
          <w:sz w:val="24"/>
          <w:szCs w:val="24"/>
        </w:rPr>
        <w:t xml:space="preserve">technicians about the kind of repair </w:t>
      </w:r>
      <w:r w:rsidR="002E05FA" w:rsidRPr="002E05FA">
        <w:rPr>
          <w:rFonts w:ascii="Palatino Linotype" w:hAnsi="Palatino Linotype"/>
          <w:sz w:val="24"/>
          <w:szCs w:val="24"/>
        </w:rPr>
        <w:t xml:space="preserve">they offer and what restrictions they face. </w:t>
      </w:r>
      <w:r w:rsidR="002E66FE">
        <w:rPr>
          <w:rFonts w:ascii="Palatino Linotype" w:hAnsi="Palatino Linotype"/>
          <w:sz w:val="24"/>
          <w:szCs w:val="24"/>
        </w:rPr>
        <w:t>The report also</w:t>
      </w:r>
      <w:r w:rsidR="002E05FA" w:rsidRPr="002E05FA">
        <w:rPr>
          <w:rFonts w:ascii="Palatino Linotype" w:hAnsi="Palatino Linotype"/>
          <w:sz w:val="24"/>
          <w:szCs w:val="24"/>
        </w:rPr>
        <w:t xml:space="preserve"> estimate</w:t>
      </w:r>
      <w:r w:rsidR="002E66FE">
        <w:rPr>
          <w:rFonts w:ascii="Palatino Linotype" w:hAnsi="Palatino Linotype"/>
          <w:sz w:val="24"/>
          <w:szCs w:val="24"/>
        </w:rPr>
        <w:t>s</w:t>
      </w:r>
      <w:r w:rsidR="002E05FA" w:rsidRPr="002E05FA">
        <w:rPr>
          <w:rFonts w:ascii="Palatino Linotype" w:hAnsi="Palatino Linotype"/>
          <w:sz w:val="24"/>
          <w:szCs w:val="24"/>
        </w:rPr>
        <w:t xml:space="preserve"> the </w:t>
      </w:r>
      <w:r w:rsidR="002E66FE">
        <w:rPr>
          <w:rFonts w:ascii="Palatino Linotype" w:hAnsi="Palatino Linotype"/>
          <w:sz w:val="24"/>
          <w:szCs w:val="24"/>
        </w:rPr>
        <w:t xml:space="preserve">immense </w:t>
      </w:r>
      <w:r w:rsidR="002E05FA" w:rsidRPr="002E05FA">
        <w:rPr>
          <w:rFonts w:ascii="Palatino Linotype" w:hAnsi="Palatino Linotype"/>
          <w:sz w:val="24"/>
          <w:szCs w:val="24"/>
        </w:rPr>
        <w:t xml:space="preserve">amount of waste and pollution generated by the rapid obsolescence timelines for smartphones. </w:t>
      </w:r>
    </w:p>
    <w:p w14:paraId="2009E142" w14:textId="7964F2F2" w:rsidR="002E05FA" w:rsidRDefault="00394217" w:rsidP="007E4F3E">
      <w:pPr>
        <w:pStyle w:val="ListParagraph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hyperlink r:id="rId12" w:history="1">
        <w:r w:rsidR="002E05FA" w:rsidRPr="002E05FA">
          <w:rPr>
            <w:rStyle w:val="Hyperlink"/>
            <w:rFonts w:ascii="Palatino Linotype" w:hAnsi="Palatino Linotype"/>
            <w:sz w:val="24"/>
            <w:szCs w:val="24"/>
          </w:rPr>
          <w:t>Hospital Repair Restrictions</w:t>
        </w:r>
      </w:hyperlink>
      <w:r w:rsidR="002E05FA">
        <w:rPr>
          <w:rFonts w:ascii="Palatino Linotype" w:hAnsi="Palatino Linotype"/>
          <w:sz w:val="24"/>
          <w:szCs w:val="24"/>
        </w:rPr>
        <w:t>, July 2020. This report looked at the impact of the COVID-19 pandemic on hospital equipment repair</w:t>
      </w:r>
      <w:r w:rsidR="002E66FE">
        <w:rPr>
          <w:rFonts w:ascii="Palatino Linotype" w:hAnsi="Palatino Linotype"/>
          <w:sz w:val="24"/>
          <w:szCs w:val="24"/>
        </w:rPr>
        <w:t xml:space="preserve">, and how issues were exacerbated by restrictions to critical information, training and other repair material. </w:t>
      </w:r>
    </w:p>
    <w:p w14:paraId="4F55432C" w14:textId="5397DD54" w:rsidR="002E05FA" w:rsidRDefault="00394217" w:rsidP="007E4F3E">
      <w:pPr>
        <w:pStyle w:val="ListParagraph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hyperlink r:id="rId13" w:history="1">
        <w:r w:rsidR="002E05FA" w:rsidRPr="002E05FA">
          <w:rPr>
            <w:rStyle w:val="Hyperlink"/>
            <w:rFonts w:ascii="Palatino Linotype" w:hAnsi="Palatino Linotype"/>
            <w:sz w:val="24"/>
            <w:szCs w:val="24"/>
          </w:rPr>
          <w:t>Repair Saves Families Big</w:t>
        </w:r>
      </w:hyperlink>
      <w:r w:rsidR="002E05FA">
        <w:rPr>
          <w:rFonts w:ascii="Palatino Linotype" w:hAnsi="Palatino Linotype"/>
          <w:sz w:val="24"/>
          <w:szCs w:val="24"/>
        </w:rPr>
        <w:t xml:space="preserve">, Jan. 2021. </w:t>
      </w:r>
      <w:r w:rsidR="002E66FE">
        <w:rPr>
          <w:rFonts w:ascii="Palatino Linotype" w:hAnsi="Palatino Linotype"/>
          <w:sz w:val="24"/>
          <w:szCs w:val="24"/>
        </w:rPr>
        <w:t>T</w:t>
      </w:r>
      <w:r w:rsidR="002E05FA">
        <w:rPr>
          <w:rFonts w:ascii="Palatino Linotype" w:hAnsi="Palatino Linotype"/>
          <w:sz w:val="24"/>
          <w:szCs w:val="24"/>
        </w:rPr>
        <w:t>his paper</w:t>
      </w:r>
      <w:r w:rsidR="002E66FE">
        <w:rPr>
          <w:rFonts w:ascii="Palatino Linotype" w:hAnsi="Palatino Linotype"/>
          <w:sz w:val="24"/>
          <w:szCs w:val="24"/>
        </w:rPr>
        <w:t xml:space="preserve"> attempts</w:t>
      </w:r>
      <w:r w:rsidR="002E05FA">
        <w:rPr>
          <w:rFonts w:ascii="Palatino Linotype" w:hAnsi="Palatino Linotype"/>
          <w:sz w:val="24"/>
          <w:szCs w:val="24"/>
        </w:rPr>
        <w:t xml:space="preserve"> to calculate how much potential consumer savings would arise from expanding repair and product lifespans – </w:t>
      </w:r>
      <w:r w:rsidR="002E66FE">
        <w:rPr>
          <w:rFonts w:ascii="Palatino Linotype" w:hAnsi="Palatino Linotype"/>
          <w:sz w:val="24"/>
          <w:szCs w:val="24"/>
        </w:rPr>
        <w:t>and estimates that it would result in</w:t>
      </w:r>
      <w:r w:rsidR="002E05FA">
        <w:rPr>
          <w:rFonts w:ascii="Palatino Linotype" w:hAnsi="Palatino Linotype"/>
          <w:sz w:val="24"/>
          <w:szCs w:val="24"/>
        </w:rPr>
        <w:t xml:space="preserve"> $330 in saving from an average American family.  </w:t>
      </w:r>
    </w:p>
    <w:p w14:paraId="1559979E" w14:textId="5B34A5FE" w:rsidR="0082702C" w:rsidRDefault="002E05FA" w:rsidP="0082702C">
      <w:pPr>
        <w:ind w:firstLine="45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I would be happy to discuss these findings or their implications further, but I believe you will see that: 1) Repair restrictions are common across </w:t>
      </w:r>
      <w:r w:rsidR="0082702C">
        <w:rPr>
          <w:rFonts w:ascii="Palatino Linotype" w:hAnsi="Palatino Linotype"/>
          <w:sz w:val="24"/>
          <w:szCs w:val="24"/>
        </w:rPr>
        <w:t>much</w:t>
      </w:r>
      <w:r>
        <w:rPr>
          <w:rFonts w:ascii="Palatino Linotype" w:hAnsi="Palatino Linotype"/>
          <w:sz w:val="24"/>
          <w:szCs w:val="24"/>
        </w:rPr>
        <w:t xml:space="preserve"> modern equipment 2) these restrictions have significant consequences on costs, timeliness and convenience for repair customers 3) manufacturer-only repair </w:t>
      </w:r>
      <w:r w:rsidR="0082702C">
        <w:rPr>
          <w:rFonts w:ascii="Palatino Linotype" w:hAnsi="Palatino Linotype"/>
          <w:sz w:val="24"/>
          <w:szCs w:val="24"/>
        </w:rPr>
        <w:t>systems are</w:t>
      </w:r>
      <w:r>
        <w:rPr>
          <w:rFonts w:ascii="Palatino Linotype" w:hAnsi="Palatino Linotype"/>
          <w:sz w:val="24"/>
          <w:szCs w:val="24"/>
        </w:rPr>
        <w:t xml:space="preserve"> fragile, and prone to disruptions </w:t>
      </w:r>
      <w:r w:rsidR="0082702C">
        <w:rPr>
          <w:rFonts w:ascii="Palatino Linotype" w:hAnsi="Palatino Linotype"/>
          <w:sz w:val="24"/>
          <w:szCs w:val="24"/>
        </w:rPr>
        <w:t xml:space="preserve">and backlogs when issues arise. </w:t>
      </w:r>
    </w:p>
    <w:p w14:paraId="6AB3A039" w14:textId="77777777" w:rsidR="0082702C" w:rsidRDefault="0082702C" w:rsidP="0082702C">
      <w:pPr>
        <w:rPr>
          <w:rFonts w:ascii="Palatino Linotype" w:hAnsi="Palatino Linotype"/>
          <w:sz w:val="24"/>
          <w:szCs w:val="24"/>
        </w:rPr>
      </w:pPr>
    </w:p>
    <w:p w14:paraId="0DD0DBF1" w14:textId="0816ABF6" w:rsidR="0082702C" w:rsidRDefault="0082702C" w:rsidP="0082702C">
      <w:pPr>
        <w:ind w:left="720" w:firstLine="72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Sincerely, </w:t>
      </w:r>
      <w:r>
        <w:rPr>
          <w:rFonts w:ascii="Palatino Linotype" w:hAnsi="Palatino Linotype"/>
          <w:sz w:val="24"/>
          <w:szCs w:val="24"/>
        </w:rPr>
        <w:br/>
      </w:r>
    </w:p>
    <w:p w14:paraId="07BD00FA" w14:textId="4CE8F024" w:rsidR="0082702C" w:rsidRPr="002E05FA" w:rsidRDefault="0082702C" w:rsidP="0082702C">
      <w:pPr>
        <w:ind w:left="144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Nathan Proctor</w:t>
      </w:r>
      <w:r>
        <w:rPr>
          <w:rFonts w:ascii="Palatino Linotype" w:hAnsi="Palatino Linotype"/>
          <w:sz w:val="24"/>
          <w:szCs w:val="24"/>
        </w:rPr>
        <w:br/>
      </w:r>
      <w:r>
        <w:rPr>
          <w:rFonts w:ascii="Palatino Linotype" w:hAnsi="Palatino Linotype"/>
          <w:sz w:val="24"/>
          <w:szCs w:val="24"/>
        </w:rPr>
        <w:br/>
      </w:r>
    </w:p>
    <w:sectPr w:rsidR="0082702C" w:rsidRPr="002E05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6759B"/>
    <w:multiLevelType w:val="hybridMultilevel"/>
    <w:tmpl w:val="430689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D28"/>
    <w:rsid w:val="002E05FA"/>
    <w:rsid w:val="002E66FE"/>
    <w:rsid w:val="00394217"/>
    <w:rsid w:val="007E4F3E"/>
    <w:rsid w:val="0082702C"/>
    <w:rsid w:val="008F5A08"/>
    <w:rsid w:val="00D9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E411A"/>
  <w15:chartTrackingRefBased/>
  <w15:docId w15:val="{4A755D62-7538-4F78-A67D-040D39951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4F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4F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4F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spirg.org/sites/pirg/files/reports/RepairSavesFamiliesBig/Repair-Saves-Families-Big_USP_Jan2021_FINAL1a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spirg.org/sites/pirg/files/reports/Hospital_Repair_Restrictions_USPEF_7.8.20b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pirg.org/sites/pirg/files/reports/The-Fix-Is-In/The_Fix_Is_In_March2020_USPEF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s://uspirg.org/sites/pirg/files/reports/Warranties%20in%20the%20Void%20-%20U.S.%20PIRG%20Education%20Fund%20-%20Oct2018.pdf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uspirg.org/sites/pirg/files/reports/CAP_Recharge_Repair_Feb1_2018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be827b-229f-4d45-a454-c5723c898f52">
      <Value>1</Value>
    </TaxCatchAll>
    <i0f84bba906045b4af568ee102a52dcb xmlns="ffbe827b-229f-4d45-a454-c5723c898f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3955eeb1-2d18-4582-aeb2-00144ec3aaf5</TermId>
        </TermInfo>
      </Terms>
    </i0f84bba906045b4af568ee102a52dcb>
    <_dlc_DocId xmlns="ffbe827b-229f-4d45-a454-c5723c898f52">RREP-2110725275-2136</_dlc_DocId>
    <_dlc_DocIdUrl xmlns="ffbe827b-229f-4d45-a454-c5723c898f52">
      <Url>https://pcgov.sharepoint.com/teams/repair/_layouts/15/DocIdRedir.aspx?ID=RREP-2110725275-2136</Url>
      <Description>RREP-2110725275-2136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C Document" ma:contentTypeID="0x010100E986B77DDA341440A0BA73A466B245C3009C2AF6649FD9F940A4E3E90CCA9B9763" ma:contentTypeVersion="17" ma:contentTypeDescription="" ma:contentTypeScope="" ma:versionID="3301ab215bbf951c198b531cb3a0d442">
  <xsd:schema xmlns:xsd="http://www.w3.org/2001/XMLSchema" xmlns:xs="http://www.w3.org/2001/XMLSchema" xmlns:p="http://schemas.microsoft.com/office/2006/metadata/properties" xmlns:ns2="ffbe827b-229f-4d45-a454-c5723c898f52" xmlns:ns3="0ad56286-c3bf-404c-927b-63d63b20e0ba" targetNamespace="http://schemas.microsoft.com/office/2006/metadata/properties" ma:root="true" ma:fieldsID="e98a55079af1e9f5ba991ead5c07884d" ns2:_="" ns3:_="">
    <xsd:import namespace="ffbe827b-229f-4d45-a454-c5723c898f52"/>
    <xsd:import namespace="0ad56286-c3bf-404c-927b-63d63b20e0b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2:i0f84bba906045b4af568ee102a52dcb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e827b-229f-4d45-a454-c5723c898f5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i0f84bba906045b4af568ee102a52dcb" ma:index="23" nillable="true" ma:taxonomy="true" ma:internalName="i0f84bba906045b4af568ee102a52dcb" ma:taxonomyFieldName="RevIMBCS" ma:displayName="Record" ma:indexed="true" ma:default="1;#Unclassified|3955eeb1-2d18-4582-aeb2-00144ec3aaf5" ma:fieldId="{20f84bba-9060-45b4-af56-8ee102a52dcb}" ma:sspId="9e7832e3-0c1d-4697-8be2-0d137dca2da6" ma:termSetId="3c672b5e-1100-4960-a8a3-535520ee11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4" nillable="true" ma:displayName="Taxonomy Catch All Column" ma:hidden="true" ma:list="{1bd7333a-2fb7-4af5-bd17-6f1109803254}" ma:internalName="TaxCatchAll" ma:showField="CatchAllData" ma:web="ffbe827b-229f-4d45-a454-c5723c898f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56286-c3bf-404c-927b-63d63b20e0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CB7572-9C1B-44F2-B9C9-07F970DEE201}">
  <ds:schemaRefs>
    <ds:schemaRef ds:uri="http://purl.org/dc/dcmitype/"/>
    <ds:schemaRef ds:uri="http://www.w3.org/XML/1998/namespace"/>
    <ds:schemaRef ds:uri="ffbe827b-229f-4d45-a454-c5723c898f52"/>
    <ds:schemaRef ds:uri="http://purl.org/dc/elements/1.1/"/>
    <ds:schemaRef ds:uri="http://schemas.microsoft.com/office/infopath/2007/PartnerControls"/>
    <ds:schemaRef ds:uri="0ad56286-c3bf-404c-927b-63d63b20e0ba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C8516D5-3F7D-4136-828B-799BD2004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2FE763-415B-463E-B0CB-93050FD1C1E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C0E5A05-22BA-4C0A-BE7E-268D653F15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be827b-229f-4d45-a454-c5723c898f52"/>
    <ds:schemaRef ds:uri="0ad56286-c3bf-404c-927b-63d63b20e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92 - Nathan Proctor - Right to Repair - Public inquiry</vt:lpstr>
    </vt:vector>
  </TitlesOfParts>
  <Company>Nathan Proctor</Company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92 - Nathan Proctor - Right to Repair - Public inquiry</dc:title>
  <dc:subject/>
  <dc:creator>Nathan Proctor</dc:creator>
  <cp:keywords/>
  <dc:description/>
  <cp:lastModifiedBy>Alston, Chris</cp:lastModifiedBy>
  <cp:revision>3</cp:revision>
  <dcterms:created xsi:type="dcterms:W3CDTF">2021-02-04T23:59:00Z</dcterms:created>
  <dcterms:modified xsi:type="dcterms:W3CDTF">2021-02-10T01:43:00Z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0x010100E986B77DDA341440A0BA73A466B245C3009C2AF6649FD9F940A4E3E90CCA9B9763</vt:lpwstr>
  </property>
  <property fmtid="{D5CDD505-2E9C-101B-9397-08002B2CF9AE}" pid="3" name="RevIMBCS">
    <vt:lpwstr>1;#Unclassified|3955eeb1-2d18-4582-aeb2-00144ec3aaf5</vt:lpwstr>
  </property>
  <property fmtid="{D5CDD505-2E9C-101B-9397-08002B2CF9AE}" pid="4" name="_dlc_DocIdItemGuid">
    <vt:lpwstr>b0c0e82a-2434-4aa5-9c40-35ce73bbf6b7</vt:lpwstr>
  </property>
</Properties>
</file>