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4476" w14:textId="77777777" w:rsidR="005275C4" w:rsidRDefault="005275C4" w:rsidP="00454157">
      <w:pPr>
        <w:jc w:val="center"/>
        <w:rPr>
          <w:b/>
          <w:bCs/>
        </w:rPr>
      </w:pPr>
    </w:p>
    <w:p w14:paraId="34F4E4E6" w14:textId="77777777" w:rsidR="00303483" w:rsidRPr="00753C49" w:rsidRDefault="00303483" w:rsidP="00303483">
      <w:pPr>
        <w:pStyle w:val="header14ptorangebold"/>
        <w:jc w:val="center"/>
        <w:rPr>
          <w:color w:val="192A67"/>
        </w:rPr>
      </w:pPr>
      <w:r w:rsidRPr="00753C49">
        <w:rPr>
          <w:color w:val="192A67"/>
        </w:rPr>
        <w:t>I</w:t>
      </w:r>
      <w:r>
        <w:rPr>
          <w:color w:val="192A67"/>
        </w:rPr>
        <w:t xml:space="preserve">PA-Deakin SME Research Centre’s Submission </w:t>
      </w:r>
      <w:r w:rsidRPr="00F0416C">
        <w:rPr>
          <w:color w:val="192A67"/>
        </w:rPr>
        <w:t>to the Productivity Commission’s Inquiry into Australia’s Productivity Performance</w:t>
      </w:r>
    </w:p>
    <w:p w14:paraId="31FE24CC" w14:textId="77777777" w:rsidR="00303483" w:rsidRDefault="00303483" w:rsidP="00303483">
      <w:pPr>
        <w:jc w:val="center"/>
        <w:rPr>
          <w:b/>
          <w:bCs/>
        </w:rPr>
      </w:pPr>
    </w:p>
    <w:p w14:paraId="7DD66665" w14:textId="77777777" w:rsidR="00303483" w:rsidRDefault="00303483" w:rsidP="00303483">
      <w:pPr>
        <w:jc w:val="center"/>
        <w:rPr>
          <w:b/>
          <w:bCs/>
        </w:rPr>
      </w:pPr>
    </w:p>
    <w:p w14:paraId="25232B0D" w14:textId="77777777" w:rsidR="00303483" w:rsidRPr="00540F0A" w:rsidRDefault="00303483" w:rsidP="00303483">
      <w:pPr>
        <w:jc w:val="center"/>
        <w:rPr>
          <w:b/>
          <w:bCs/>
          <w:sz w:val="32"/>
          <w:szCs w:val="32"/>
        </w:rPr>
      </w:pPr>
      <w:r>
        <w:rPr>
          <w:b/>
          <w:bCs/>
          <w:sz w:val="32"/>
          <w:szCs w:val="32"/>
        </w:rPr>
        <w:t xml:space="preserve">Innovation, exports and productivity among Australia’s SMEs </w:t>
      </w:r>
    </w:p>
    <w:p w14:paraId="0D6572E1" w14:textId="77777777" w:rsidR="006028BC" w:rsidRDefault="006028BC" w:rsidP="00247AA5">
      <w:pPr>
        <w:spacing w:after="0" w:line="240" w:lineRule="auto"/>
        <w:jc w:val="center"/>
      </w:pPr>
    </w:p>
    <w:p w14:paraId="18E831F8" w14:textId="787075D5" w:rsidR="0013342B" w:rsidRPr="0013342B" w:rsidRDefault="0013342B" w:rsidP="00247AA5">
      <w:pPr>
        <w:spacing w:after="0" w:line="240" w:lineRule="auto"/>
        <w:jc w:val="center"/>
      </w:pPr>
      <w:r w:rsidRPr="0013342B">
        <w:t>George Tanewski, Miethy Zaman</w:t>
      </w:r>
      <w:r w:rsidR="00C81504">
        <w:t>*</w:t>
      </w:r>
      <w:r w:rsidRPr="0013342B">
        <w:t xml:space="preserve"> and James Kavourakis</w:t>
      </w:r>
    </w:p>
    <w:p w14:paraId="47392B54" w14:textId="77777777" w:rsidR="0013342B" w:rsidRPr="0013342B" w:rsidRDefault="0013342B" w:rsidP="00247AA5">
      <w:pPr>
        <w:spacing w:after="0" w:line="240" w:lineRule="auto"/>
        <w:jc w:val="center"/>
      </w:pPr>
      <w:r w:rsidRPr="0013342B">
        <w:t>IPA-Deakin SME Research Centre</w:t>
      </w:r>
    </w:p>
    <w:p w14:paraId="6446F39F" w14:textId="7C2B1782" w:rsidR="0013342B" w:rsidRPr="0013342B" w:rsidRDefault="0013342B" w:rsidP="00247AA5">
      <w:pPr>
        <w:spacing w:after="0" w:line="240" w:lineRule="auto"/>
        <w:jc w:val="center"/>
      </w:pPr>
      <w:r w:rsidRPr="0013342B">
        <w:t>Deakin Business School</w:t>
      </w:r>
    </w:p>
    <w:p w14:paraId="1C31D708" w14:textId="06BF1C6A" w:rsidR="0013342B" w:rsidRPr="0013342B" w:rsidRDefault="0013342B" w:rsidP="00247AA5">
      <w:pPr>
        <w:spacing w:after="0" w:line="240" w:lineRule="auto"/>
        <w:jc w:val="center"/>
      </w:pPr>
      <w:r w:rsidRPr="0013342B">
        <w:t>Deakin University</w:t>
      </w:r>
    </w:p>
    <w:p w14:paraId="4AC37C90" w14:textId="77777777" w:rsidR="00247AA5" w:rsidRDefault="0013342B" w:rsidP="00247AA5">
      <w:pPr>
        <w:spacing w:after="0" w:line="240" w:lineRule="auto"/>
        <w:jc w:val="center"/>
      </w:pPr>
      <w:r w:rsidRPr="0013342B">
        <w:t>Burwood</w:t>
      </w:r>
    </w:p>
    <w:p w14:paraId="123B61FF" w14:textId="36882B88" w:rsidR="0013342B" w:rsidRDefault="00247AA5" w:rsidP="00247AA5">
      <w:pPr>
        <w:spacing w:after="0" w:line="240" w:lineRule="auto"/>
        <w:jc w:val="center"/>
      </w:pPr>
      <w:r>
        <w:t>VIC</w:t>
      </w:r>
      <w:r w:rsidR="0013342B" w:rsidRPr="0013342B">
        <w:t xml:space="preserve">  </w:t>
      </w:r>
    </w:p>
    <w:p w14:paraId="364E44A5" w14:textId="64A05CB2" w:rsidR="005275C4" w:rsidRDefault="005275C4" w:rsidP="00454157">
      <w:pPr>
        <w:jc w:val="center"/>
      </w:pPr>
    </w:p>
    <w:p w14:paraId="7711054F" w14:textId="0C620A65" w:rsidR="005275C4" w:rsidRDefault="005275C4" w:rsidP="00454157">
      <w:pPr>
        <w:jc w:val="center"/>
      </w:pPr>
      <w:r>
        <w:t>23</w:t>
      </w:r>
      <w:r w:rsidRPr="005275C4">
        <w:rPr>
          <w:vertAlign w:val="superscript"/>
        </w:rPr>
        <w:t>rd</w:t>
      </w:r>
      <w:r>
        <w:t xml:space="preserve"> March 2022</w:t>
      </w:r>
    </w:p>
    <w:p w14:paraId="0EC8980A" w14:textId="77777777" w:rsidR="00C81504" w:rsidRDefault="00C81504"/>
    <w:p w14:paraId="554488BC" w14:textId="77777777" w:rsidR="00C81504" w:rsidRDefault="00C81504">
      <w:pPr>
        <w:rPr>
          <w:b/>
          <w:bCs/>
        </w:rPr>
      </w:pPr>
      <w:r w:rsidRPr="00C81504">
        <w:rPr>
          <w:b/>
          <w:bCs/>
        </w:rPr>
        <w:t>Abstract</w:t>
      </w:r>
    </w:p>
    <w:p w14:paraId="35E4ECD9" w14:textId="6CAF76EF" w:rsidR="00C81504" w:rsidRPr="00E159D2" w:rsidRDefault="005A332E">
      <w:r>
        <w:t>W</w:t>
      </w:r>
      <w:r w:rsidR="00E159D2" w:rsidRPr="00E159D2">
        <w:t xml:space="preserve">e outline the link between innovation, exports and productivity in Australian </w:t>
      </w:r>
      <w:r w:rsidR="00E159D2">
        <w:t>SMEs</w:t>
      </w:r>
      <w:r w:rsidR="00E159D2" w:rsidRPr="00E159D2">
        <w:t xml:space="preserve"> by estimating a series of production functions to obtain a better understanding of how productivity differs across different types of private companies. </w:t>
      </w:r>
      <w:r w:rsidR="00E159D2">
        <w:t>R</w:t>
      </w:r>
      <w:r w:rsidR="00E159D2" w:rsidRPr="00E159D2">
        <w:t xml:space="preserve">esults </w:t>
      </w:r>
      <w:r w:rsidR="00C5338A">
        <w:t>show</w:t>
      </w:r>
      <w:r w:rsidR="00E159D2" w:rsidRPr="00E159D2">
        <w:t xml:space="preserve"> that average productivity growth of all private companies (including SMEs) increased by a mediocre 2.04 per cent across all industries in Australia between 2006 and 2018, providing support to Australian Treasury and OECD research </w:t>
      </w:r>
      <w:r w:rsidR="00C5338A">
        <w:t>indicating</w:t>
      </w:r>
      <w:r w:rsidR="00E159D2" w:rsidRPr="00E159D2">
        <w:t xml:space="preserve"> slowdown of productivity growth across OECD member countries</w:t>
      </w:r>
      <w:r w:rsidR="00E159D2">
        <w:t>. We</w:t>
      </w:r>
      <w:r w:rsidR="00E159D2" w:rsidRPr="00E159D2">
        <w:t xml:space="preserve"> </w:t>
      </w:r>
      <w:r>
        <w:t xml:space="preserve">observe </w:t>
      </w:r>
      <w:r w:rsidR="00E159D2" w:rsidRPr="00E159D2">
        <w:t xml:space="preserve">substantial heterogeneity in productivity across different private entities by size, age and industry sectors, </w:t>
      </w:r>
      <w:r w:rsidR="00C5338A">
        <w:t>suggesting</w:t>
      </w:r>
      <w:r w:rsidR="00E159D2" w:rsidRPr="00E159D2">
        <w:t xml:space="preserve"> that productivity gains are more challenging for resource-constrained smaller and younger firms compared to larger and older firms. Similarly, we </w:t>
      </w:r>
      <w:r w:rsidR="00C5338A">
        <w:t>reveal</w:t>
      </w:r>
      <w:r w:rsidR="00E159D2" w:rsidRPr="00E159D2">
        <w:t xml:space="preserve"> that private company innovators, exporters and companies operating in export-heavy industries are significantly more efficient than companies that are non-innovators and non-exporters, with modelling showing that exporters decrease their productivity gap from the efficient frontier by at least 3 points.</w:t>
      </w:r>
      <w:r w:rsidR="00C5338A">
        <w:t xml:space="preserve">  We conclude by highlighting </w:t>
      </w:r>
      <w:r w:rsidR="00D76315">
        <w:t>the implications of these findings for</w:t>
      </w:r>
      <w:r w:rsidR="00C5338A">
        <w:t xml:space="preserve"> </w:t>
      </w:r>
      <w:r w:rsidR="00D76315">
        <w:t>evidence-based</w:t>
      </w:r>
      <w:r w:rsidR="00C5338A">
        <w:t xml:space="preserve"> policy</w:t>
      </w:r>
      <w:r w:rsidR="00D76315">
        <w:t>.</w:t>
      </w:r>
      <w:r w:rsidR="00C5338A">
        <w:t xml:space="preserve"> </w:t>
      </w:r>
    </w:p>
    <w:p w14:paraId="111D844B" w14:textId="77777777" w:rsidR="00C81504" w:rsidRDefault="00C81504" w:rsidP="00C81504">
      <w:pPr>
        <w:rPr>
          <w:b/>
          <w:bCs/>
        </w:rPr>
      </w:pPr>
    </w:p>
    <w:p w14:paraId="2CAD5D6B" w14:textId="0CA13A83" w:rsidR="00C81504" w:rsidRDefault="00C81504" w:rsidP="00C81504">
      <w:pPr>
        <w:rPr>
          <w:rStyle w:val="Hyperlink"/>
          <w:sz w:val="24"/>
          <w:szCs w:val="24"/>
        </w:rPr>
      </w:pPr>
      <w:r>
        <w:rPr>
          <w:sz w:val="24"/>
          <w:szCs w:val="24"/>
        </w:rPr>
        <w:t>*</w:t>
      </w:r>
      <w:r>
        <w:rPr>
          <w:b/>
          <w:bCs/>
        </w:rPr>
        <w:t>Contact Details</w:t>
      </w:r>
      <w:r>
        <w:rPr>
          <w:sz w:val="24"/>
          <w:szCs w:val="24"/>
        </w:rPr>
        <w:t xml:space="preserve">: Dr Miethy Zaman, </w:t>
      </w:r>
      <w:r w:rsidRPr="00F51873">
        <w:rPr>
          <w:sz w:val="24"/>
          <w:szCs w:val="24"/>
        </w:rPr>
        <w:t>IPA-Deakin SME Research Centre</w:t>
      </w:r>
      <w:r>
        <w:rPr>
          <w:sz w:val="24"/>
          <w:szCs w:val="24"/>
        </w:rPr>
        <w:t xml:space="preserve">, </w:t>
      </w:r>
      <w:r w:rsidRPr="00F51873">
        <w:rPr>
          <w:sz w:val="24"/>
          <w:szCs w:val="24"/>
        </w:rPr>
        <w:t>Deakin Business School</w:t>
      </w:r>
      <w:r>
        <w:rPr>
          <w:sz w:val="24"/>
          <w:szCs w:val="24"/>
        </w:rPr>
        <w:t xml:space="preserve">, </w:t>
      </w:r>
      <w:r w:rsidRPr="00F51873">
        <w:rPr>
          <w:sz w:val="24"/>
          <w:szCs w:val="24"/>
        </w:rPr>
        <w:t>Deakin University</w:t>
      </w:r>
      <w:r>
        <w:rPr>
          <w:sz w:val="24"/>
          <w:szCs w:val="24"/>
        </w:rPr>
        <w:t xml:space="preserve">, </w:t>
      </w:r>
      <w:r w:rsidRPr="00F51873">
        <w:rPr>
          <w:sz w:val="24"/>
          <w:szCs w:val="24"/>
        </w:rPr>
        <w:t>Melbourne, Australia</w:t>
      </w:r>
      <w:r>
        <w:rPr>
          <w:sz w:val="24"/>
          <w:szCs w:val="24"/>
        </w:rPr>
        <w:t xml:space="preserve">. Tel: </w:t>
      </w:r>
      <w:r w:rsidRPr="007E0675">
        <w:rPr>
          <w:sz w:val="24"/>
          <w:szCs w:val="24"/>
        </w:rPr>
        <w:t>+61 3 924 68466</w:t>
      </w:r>
      <w:r>
        <w:rPr>
          <w:sz w:val="24"/>
          <w:szCs w:val="24"/>
        </w:rPr>
        <w:t xml:space="preserve">; </w:t>
      </w:r>
    </w:p>
    <w:p w14:paraId="56E96D8C" w14:textId="77777777" w:rsidR="006028BC" w:rsidRDefault="006028BC" w:rsidP="00C81504">
      <w:pPr>
        <w:rPr>
          <w:sz w:val="24"/>
          <w:szCs w:val="24"/>
        </w:rPr>
      </w:pPr>
    </w:p>
    <w:p w14:paraId="1401A102" w14:textId="2D738309" w:rsidR="005275C4" w:rsidRPr="00C81504" w:rsidRDefault="00C76C2B">
      <w:pPr>
        <w:rPr>
          <w:b/>
          <w:bCs/>
        </w:rPr>
      </w:pPr>
      <w:r w:rsidRPr="00C76C2B">
        <w:rPr>
          <w:b/>
          <w:bCs/>
          <w:noProof/>
        </w:rPr>
        <w:drawing>
          <wp:inline distT="0" distB="0" distL="0" distR="0" wp14:anchorId="66A34A82" wp14:editId="4AC4D7D4">
            <wp:extent cx="4086225" cy="743337"/>
            <wp:effectExtent l="0" t="0" r="0" b="0"/>
            <wp:docPr id="1027" name="Picture 1" descr="DBS-EQUIS-Email-Signature-Int.Acc.1%Globally-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DBS-EQUIS-Email-Signature-Int.Acc.1%Globally-F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8890" cy="758375"/>
                    </a:xfrm>
                    <a:prstGeom prst="rect">
                      <a:avLst/>
                    </a:prstGeom>
                    <a:noFill/>
                    <a:ln>
                      <a:noFill/>
                    </a:ln>
                  </pic:spPr>
                </pic:pic>
              </a:graphicData>
            </a:graphic>
          </wp:inline>
        </w:drawing>
      </w:r>
      <w:r w:rsidRPr="00C76C2B">
        <w:rPr>
          <w:b/>
          <w:bCs/>
        </w:rPr>
        <w:t xml:space="preserve">  </w:t>
      </w:r>
      <w:r w:rsidR="002362C0">
        <w:rPr>
          <w:noProof/>
        </w:rPr>
        <w:drawing>
          <wp:inline distT="0" distB="0" distL="0" distR="0" wp14:anchorId="4376C58A" wp14:editId="459959E2">
            <wp:extent cx="1514475" cy="768479"/>
            <wp:effectExtent l="0" t="0" r="0" b="0"/>
            <wp:docPr id="9" name="Picture 9" descr="IPA Institute of Public Accounta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PA Institute of Public Accountant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5502" cy="779149"/>
                    </a:xfrm>
                    <a:prstGeom prst="rect">
                      <a:avLst/>
                    </a:prstGeom>
                  </pic:spPr>
                </pic:pic>
              </a:graphicData>
            </a:graphic>
          </wp:inline>
        </w:drawing>
      </w:r>
      <w:r w:rsidR="005275C4" w:rsidRPr="04FC83EA">
        <w:rPr>
          <w:b/>
          <w:bCs/>
        </w:rPr>
        <w:br w:type="page"/>
      </w:r>
    </w:p>
    <w:p w14:paraId="48A83C87" w14:textId="02422ECC" w:rsidR="00326A8B" w:rsidRPr="00200279" w:rsidRDefault="00200279" w:rsidP="00200279">
      <w:pPr>
        <w:pStyle w:val="ListParagraph"/>
        <w:numPr>
          <w:ilvl w:val="0"/>
          <w:numId w:val="1"/>
        </w:numPr>
        <w:spacing w:after="0" w:line="360" w:lineRule="auto"/>
        <w:rPr>
          <w:rFonts w:cstheme="minorHAnsi"/>
          <w:b/>
          <w:bCs/>
          <w:sz w:val="28"/>
          <w:szCs w:val="28"/>
        </w:rPr>
      </w:pPr>
      <w:r w:rsidRPr="00200279">
        <w:rPr>
          <w:rFonts w:cstheme="minorHAnsi"/>
          <w:b/>
          <w:bCs/>
          <w:sz w:val="28"/>
          <w:szCs w:val="28"/>
        </w:rPr>
        <w:lastRenderedPageBreak/>
        <w:t xml:space="preserve">Background and </w:t>
      </w:r>
      <w:r w:rsidR="00D45E2D" w:rsidRPr="00200279">
        <w:rPr>
          <w:rFonts w:cstheme="minorHAnsi"/>
          <w:b/>
          <w:bCs/>
          <w:sz w:val="28"/>
          <w:szCs w:val="28"/>
        </w:rPr>
        <w:t>Introduction</w:t>
      </w:r>
      <w:r w:rsidR="00326A8B" w:rsidRPr="00200279">
        <w:rPr>
          <w:rFonts w:cstheme="minorHAnsi"/>
          <w:b/>
          <w:bCs/>
          <w:sz w:val="28"/>
          <w:szCs w:val="28"/>
        </w:rPr>
        <w:t xml:space="preserve"> </w:t>
      </w:r>
    </w:p>
    <w:p w14:paraId="2B0BA05B" w14:textId="77777777" w:rsidR="00200279" w:rsidRDefault="00200279" w:rsidP="1D7BC71A">
      <w:pPr>
        <w:spacing w:after="0" w:line="360" w:lineRule="auto"/>
        <w:rPr>
          <w:rFonts w:cstheme="minorHAnsi"/>
          <w:sz w:val="24"/>
          <w:szCs w:val="24"/>
        </w:rPr>
      </w:pPr>
    </w:p>
    <w:p w14:paraId="04496946" w14:textId="0265CFAB" w:rsidR="0040509A" w:rsidRDefault="00244F0F" w:rsidP="1D7BC71A">
      <w:pPr>
        <w:spacing w:after="0" w:line="360" w:lineRule="auto"/>
        <w:rPr>
          <w:rFonts w:cstheme="minorHAnsi"/>
          <w:sz w:val="24"/>
          <w:szCs w:val="24"/>
        </w:rPr>
      </w:pPr>
      <w:r w:rsidRPr="003558E2">
        <w:rPr>
          <w:rFonts w:cstheme="minorHAnsi"/>
          <w:sz w:val="24"/>
          <w:szCs w:val="24"/>
        </w:rPr>
        <w:t>Since its inception in 2013, the IPA-Deakin SME Research Centre</w:t>
      </w:r>
      <w:r w:rsidR="00EE784F" w:rsidRPr="003558E2">
        <w:rPr>
          <w:rFonts w:cstheme="minorHAnsi"/>
          <w:sz w:val="24"/>
          <w:szCs w:val="24"/>
        </w:rPr>
        <w:t xml:space="preserve"> (IDSRC)</w:t>
      </w:r>
      <w:r w:rsidRPr="003558E2">
        <w:rPr>
          <w:rFonts w:cstheme="minorHAnsi"/>
          <w:sz w:val="24"/>
          <w:szCs w:val="24"/>
        </w:rPr>
        <w:t xml:space="preserve"> has been tracking the economic behaviours of small to medium-sized enterprises (SMEs) in Australia,</w:t>
      </w:r>
      <w:r w:rsidR="009D4F17" w:rsidRPr="003558E2">
        <w:rPr>
          <w:rFonts w:cstheme="minorHAnsi"/>
          <w:sz w:val="24"/>
          <w:szCs w:val="24"/>
        </w:rPr>
        <w:t xml:space="preserve"> </w:t>
      </w:r>
      <w:r w:rsidRPr="003558E2">
        <w:rPr>
          <w:rFonts w:cstheme="minorHAnsi"/>
          <w:sz w:val="24"/>
          <w:szCs w:val="24"/>
        </w:rPr>
        <w:t xml:space="preserve">highlighting </w:t>
      </w:r>
      <w:r w:rsidR="009D4F17" w:rsidRPr="003558E2">
        <w:rPr>
          <w:rFonts w:cstheme="minorHAnsi"/>
          <w:sz w:val="24"/>
          <w:szCs w:val="24"/>
        </w:rPr>
        <w:t xml:space="preserve">and reporting </w:t>
      </w:r>
      <w:r w:rsidRPr="003558E2">
        <w:rPr>
          <w:rFonts w:cstheme="minorHAnsi"/>
          <w:sz w:val="24"/>
          <w:szCs w:val="24"/>
        </w:rPr>
        <w:t>in its</w:t>
      </w:r>
      <w:r w:rsidR="006A6D77" w:rsidRPr="003558E2">
        <w:rPr>
          <w:rFonts w:cstheme="minorHAnsi"/>
          <w:sz w:val="24"/>
          <w:szCs w:val="24"/>
        </w:rPr>
        <w:t xml:space="preserve"> </w:t>
      </w:r>
      <w:r w:rsidRPr="003558E2">
        <w:rPr>
          <w:rFonts w:cstheme="minorHAnsi"/>
          <w:sz w:val="24"/>
          <w:szCs w:val="24"/>
        </w:rPr>
        <w:t>Small Business White Papers</w:t>
      </w:r>
      <w:r w:rsidR="006A6D77" w:rsidRPr="003558E2">
        <w:rPr>
          <w:rFonts w:cstheme="minorHAnsi"/>
          <w:sz w:val="24"/>
          <w:szCs w:val="24"/>
        </w:rPr>
        <w:t xml:space="preserve"> (SBWPs)</w:t>
      </w:r>
      <w:r w:rsidRPr="003558E2">
        <w:rPr>
          <w:rFonts w:cstheme="minorHAnsi"/>
          <w:sz w:val="24"/>
          <w:szCs w:val="24"/>
        </w:rPr>
        <w:t xml:space="preserve"> (2015, 2018, 2021) the performance of these businesses in relation to financing, innovation, skills and human capital, competition, and regulation.  </w:t>
      </w:r>
      <w:r w:rsidR="00981BCC" w:rsidRPr="003558E2">
        <w:rPr>
          <w:rFonts w:cstheme="minorHAnsi"/>
          <w:sz w:val="24"/>
          <w:szCs w:val="24"/>
        </w:rPr>
        <w:t xml:space="preserve">In 2021, the SBWP focused </w:t>
      </w:r>
      <w:r w:rsidR="009D4F17" w:rsidRPr="003558E2">
        <w:rPr>
          <w:rFonts w:cstheme="minorHAnsi"/>
          <w:sz w:val="24"/>
          <w:szCs w:val="24"/>
        </w:rPr>
        <w:t xml:space="preserve">on </w:t>
      </w:r>
      <w:r w:rsidR="00886026" w:rsidRPr="003558E2">
        <w:rPr>
          <w:rFonts w:cstheme="minorHAnsi"/>
          <w:sz w:val="24"/>
          <w:szCs w:val="24"/>
        </w:rPr>
        <w:t xml:space="preserve">highlighting </w:t>
      </w:r>
      <w:r w:rsidR="009D4F17" w:rsidRPr="003558E2">
        <w:rPr>
          <w:rFonts w:cstheme="minorHAnsi"/>
          <w:sz w:val="24"/>
          <w:szCs w:val="24"/>
        </w:rPr>
        <w:t xml:space="preserve">Australia’s private sector’s persistently poor performance on innovation and R&amp;D, which have been long considered by economists to be primary drivers of a nation’s productivity and growth. The SBWP </w:t>
      </w:r>
      <w:r w:rsidR="0040509A" w:rsidRPr="003558E2">
        <w:rPr>
          <w:rFonts w:cstheme="minorHAnsi"/>
          <w:sz w:val="24"/>
          <w:szCs w:val="24"/>
        </w:rPr>
        <w:t xml:space="preserve">(2021) </w:t>
      </w:r>
      <w:r w:rsidR="009D4F17" w:rsidRPr="003558E2">
        <w:rPr>
          <w:rFonts w:cstheme="minorHAnsi"/>
          <w:sz w:val="24"/>
          <w:szCs w:val="24"/>
        </w:rPr>
        <w:t>reported that on almost every measure, Australian private companies have been lagging their global peers in this critical area for years. Australian business sector expenditure on R&amp;D, for example, has been at or below OECD averages for most of the past two decades</w:t>
      </w:r>
      <w:r w:rsidR="0040509A" w:rsidRPr="003558E2">
        <w:rPr>
          <w:rFonts w:cstheme="minorHAnsi"/>
          <w:sz w:val="24"/>
          <w:szCs w:val="24"/>
        </w:rPr>
        <w:t xml:space="preserve"> and that Australian</w:t>
      </w:r>
      <w:r w:rsidR="009D4F17" w:rsidRPr="003558E2">
        <w:rPr>
          <w:rFonts w:cstheme="minorHAnsi"/>
          <w:sz w:val="24"/>
          <w:szCs w:val="24"/>
        </w:rPr>
        <w:t xml:space="preserve"> businesses rank among the least effective in the OECD at introducing product and process innovations.  </w:t>
      </w:r>
      <w:r w:rsidR="00AC1E1D">
        <w:rPr>
          <w:rFonts w:cstheme="minorHAnsi"/>
          <w:sz w:val="24"/>
          <w:szCs w:val="24"/>
        </w:rPr>
        <w:t>In t</w:t>
      </w:r>
      <w:r w:rsidR="00886026" w:rsidRPr="003558E2">
        <w:rPr>
          <w:rFonts w:cstheme="minorHAnsi"/>
          <w:sz w:val="24"/>
          <w:szCs w:val="24"/>
        </w:rPr>
        <w:t xml:space="preserve">his </w:t>
      </w:r>
      <w:r w:rsidR="006A6D77" w:rsidRPr="003558E2">
        <w:rPr>
          <w:rFonts w:cstheme="minorHAnsi"/>
          <w:sz w:val="24"/>
          <w:szCs w:val="24"/>
        </w:rPr>
        <w:t>Productivity Commission submission</w:t>
      </w:r>
      <w:r w:rsidR="004875F2">
        <w:rPr>
          <w:rFonts w:cstheme="minorHAnsi"/>
          <w:sz w:val="24"/>
          <w:szCs w:val="24"/>
        </w:rPr>
        <w:t xml:space="preserve"> </w:t>
      </w:r>
      <w:r w:rsidR="004875F2" w:rsidRPr="003558E2">
        <w:rPr>
          <w:rFonts w:cstheme="minorHAnsi"/>
          <w:sz w:val="24"/>
          <w:szCs w:val="24"/>
        </w:rPr>
        <w:t>report,</w:t>
      </w:r>
      <w:r w:rsidR="00AC1E1D">
        <w:rPr>
          <w:rFonts w:cstheme="minorHAnsi"/>
          <w:sz w:val="24"/>
          <w:szCs w:val="24"/>
        </w:rPr>
        <w:t xml:space="preserve"> we</w:t>
      </w:r>
      <w:r w:rsidR="006A6D77" w:rsidRPr="003558E2">
        <w:rPr>
          <w:rFonts w:cstheme="minorHAnsi"/>
          <w:sz w:val="24"/>
          <w:szCs w:val="24"/>
        </w:rPr>
        <w:t xml:space="preserve"> </w:t>
      </w:r>
      <w:r w:rsidRPr="003558E2">
        <w:rPr>
          <w:rFonts w:cstheme="minorHAnsi"/>
          <w:sz w:val="24"/>
          <w:szCs w:val="24"/>
        </w:rPr>
        <w:t>extend the SBWP</w:t>
      </w:r>
      <w:r w:rsidR="006A6D77" w:rsidRPr="003558E2">
        <w:rPr>
          <w:rFonts w:cstheme="minorHAnsi"/>
          <w:sz w:val="24"/>
          <w:szCs w:val="24"/>
        </w:rPr>
        <w:t xml:space="preserve"> 2021</w:t>
      </w:r>
      <w:r w:rsidRPr="003558E2">
        <w:rPr>
          <w:rFonts w:cstheme="minorHAnsi"/>
          <w:sz w:val="24"/>
          <w:szCs w:val="24"/>
        </w:rPr>
        <w:t xml:space="preserve"> analys</w:t>
      </w:r>
      <w:r w:rsidR="006A6D77" w:rsidRPr="003558E2">
        <w:rPr>
          <w:rFonts w:cstheme="minorHAnsi"/>
          <w:sz w:val="24"/>
          <w:szCs w:val="24"/>
        </w:rPr>
        <w:t>e</w:t>
      </w:r>
      <w:r w:rsidRPr="003558E2">
        <w:rPr>
          <w:rFonts w:cstheme="minorHAnsi"/>
          <w:sz w:val="24"/>
          <w:szCs w:val="24"/>
        </w:rPr>
        <w:t xml:space="preserve">s </w:t>
      </w:r>
      <w:r w:rsidR="00AC1E1D">
        <w:rPr>
          <w:rFonts w:cstheme="minorHAnsi"/>
          <w:sz w:val="24"/>
          <w:szCs w:val="24"/>
        </w:rPr>
        <w:t xml:space="preserve">by </w:t>
      </w:r>
      <w:r w:rsidRPr="003558E2">
        <w:rPr>
          <w:rFonts w:cstheme="minorHAnsi"/>
          <w:sz w:val="24"/>
          <w:szCs w:val="24"/>
        </w:rPr>
        <w:t xml:space="preserve">focusing on </w:t>
      </w:r>
      <w:r w:rsidR="00EE784F" w:rsidRPr="003558E2">
        <w:rPr>
          <w:rFonts w:cstheme="minorHAnsi"/>
          <w:sz w:val="24"/>
          <w:szCs w:val="24"/>
        </w:rPr>
        <w:t xml:space="preserve">investigating </w:t>
      </w:r>
      <w:r w:rsidRPr="003558E2">
        <w:rPr>
          <w:rFonts w:cstheme="minorHAnsi"/>
          <w:sz w:val="24"/>
          <w:szCs w:val="24"/>
        </w:rPr>
        <w:t>the</w:t>
      </w:r>
      <w:r w:rsidR="006A6D77" w:rsidRPr="003558E2">
        <w:rPr>
          <w:rFonts w:cstheme="minorHAnsi"/>
          <w:sz w:val="24"/>
          <w:szCs w:val="24"/>
        </w:rPr>
        <w:t xml:space="preserve"> </w:t>
      </w:r>
      <w:r w:rsidR="0040509A" w:rsidRPr="003558E2">
        <w:rPr>
          <w:rFonts w:cstheme="minorHAnsi"/>
          <w:sz w:val="24"/>
          <w:szCs w:val="24"/>
        </w:rPr>
        <w:t>impact</w:t>
      </w:r>
      <w:r w:rsidR="006A6D77" w:rsidRPr="003558E2">
        <w:rPr>
          <w:rFonts w:cstheme="minorHAnsi"/>
          <w:sz w:val="24"/>
          <w:szCs w:val="24"/>
        </w:rPr>
        <w:t xml:space="preserve"> that innovation</w:t>
      </w:r>
      <w:r w:rsidR="00EB692E" w:rsidRPr="003558E2">
        <w:rPr>
          <w:rFonts w:cstheme="minorHAnsi"/>
          <w:sz w:val="24"/>
          <w:szCs w:val="24"/>
        </w:rPr>
        <w:t xml:space="preserve"> (measured by </w:t>
      </w:r>
      <w:r w:rsidR="1D7BC71A" w:rsidRPr="003558E2">
        <w:rPr>
          <w:rFonts w:eastAsia="Calibri" w:cstheme="minorHAnsi"/>
          <w:sz w:val="24"/>
          <w:szCs w:val="24"/>
        </w:rPr>
        <w:t xml:space="preserve">the </w:t>
      </w:r>
      <w:r w:rsidR="0024354D" w:rsidRPr="003558E2">
        <w:rPr>
          <w:rFonts w:cstheme="minorHAnsi"/>
          <w:sz w:val="24"/>
          <w:szCs w:val="24"/>
        </w:rPr>
        <w:t>firm’s</w:t>
      </w:r>
      <w:r w:rsidR="1D7BC71A" w:rsidRPr="003558E2">
        <w:rPr>
          <w:rFonts w:eastAsia="Calibri" w:cstheme="minorHAnsi"/>
          <w:sz w:val="24"/>
          <w:szCs w:val="24"/>
        </w:rPr>
        <w:t xml:space="preserve"> introduction of a new or significantly improved good or service, operational process, organisational/managerial process, or marketing method</w:t>
      </w:r>
      <w:r w:rsidR="0024354D" w:rsidRPr="003558E2">
        <w:rPr>
          <w:rFonts w:cstheme="minorHAnsi"/>
          <w:sz w:val="24"/>
          <w:szCs w:val="24"/>
        </w:rPr>
        <w:t>)</w:t>
      </w:r>
      <w:r w:rsidR="00AC1E1D">
        <w:rPr>
          <w:rFonts w:cstheme="minorHAnsi"/>
          <w:sz w:val="24"/>
          <w:szCs w:val="24"/>
        </w:rPr>
        <w:t xml:space="preserve"> and </w:t>
      </w:r>
      <w:r w:rsidR="006A6D77" w:rsidRPr="003558E2">
        <w:rPr>
          <w:rFonts w:cstheme="minorHAnsi"/>
          <w:sz w:val="24"/>
          <w:szCs w:val="24"/>
        </w:rPr>
        <w:t>exports have</w:t>
      </w:r>
      <w:r w:rsidR="00886026" w:rsidRPr="003558E2">
        <w:rPr>
          <w:rFonts w:cstheme="minorHAnsi"/>
          <w:sz w:val="24"/>
          <w:szCs w:val="24"/>
        </w:rPr>
        <w:t xml:space="preserve"> on</w:t>
      </w:r>
      <w:r w:rsidRPr="003558E2">
        <w:rPr>
          <w:rFonts w:cstheme="minorHAnsi"/>
          <w:sz w:val="24"/>
          <w:szCs w:val="24"/>
        </w:rPr>
        <w:t xml:space="preserve"> Australia</w:t>
      </w:r>
      <w:r w:rsidR="00886026" w:rsidRPr="003558E2">
        <w:rPr>
          <w:rFonts w:cstheme="minorHAnsi"/>
          <w:sz w:val="24"/>
          <w:szCs w:val="24"/>
        </w:rPr>
        <w:t>’s</w:t>
      </w:r>
      <w:r w:rsidRPr="003558E2">
        <w:rPr>
          <w:rFonts w:cstheme="minorHAnsi"/>
          <w:sz w:val="24"/>
          <w:szCs w:val="24"/>
        </w:rPr>
        <w:t xml:space="preserve"> </w:t>
      </w:r>
      <w:r w:rsidR="00886026" w:rsidRPr="003558E2">
        <w:rPr>
          <w:rFonts w:cstheme="minorHAnsi"/>
          <w:sz w:val="24"/>
          <w:szCs w:val="24"/>
        </w:rPr>
        <w:t>small and medium sized enterprises (</w:t>
      </w:r>
      <w:r w:rsidRPr="003558E2">
        <w:rPr>
          <w:rFonts w:cstheme="minorHAnsi"/>
          <w:sz w:val="24"/>
          <w:szCs w:val="24"/>
        </w:rPr>
        <w:t>SMEs</w:t>
      </w:r>
      <w:r w:rsidR="00886026" w:rsidRPr="003558E2">
        <w:rPr>
          <w:rFonts w:cstheme="minorHAnsi"/>
          <w:sz w:val="24"/>
          <w:szCs w:val="24"/>
        </w:rPr>
        <w:t>)</w:t>
      </w:r>
      <w:r w:rsidR="0040509A" w:rsidRPr="003558E2">
        <w:rPr>
          <w:rFonts w:cstheme="minorHAnsi"/>
          <w:sz w:val="24"/>
          <w:szCs w:val="24"/>
        </w:rPr>
        <w:t xml:space="preserve"> productivity. </w:t>
      </w:r>
    </w:p>
    <w:p w14:paraId="5FBC256D" w14:textId="0F7A5476" w:rsidR="00BE6F34" w:rsidRDefault="00BE6F34" w:rsidP="00BE6F34">
      <w:pPr>
        <w:spacing w:after="0" w:line="360" w:lineRule="auto"/>
        <w:ind w:firstLine="720"/>
        <w:rPr>
          <w:rFonts w:cstheme="minorHAnsi"/>
          <w:sz w:val="24"/>
          <w:szCs w:val="24"/>
        </w:rPr>
      </w:pPr>
      <w:r w:rsidRPr="003558E2">
        <w:rPr>
          <w:rFonts w:cstheme="minorHAnsi"/>
          <w:sz w:val="24"/>
          <w:szCs w:val="24"/>
        </w:rPr>
        <w:t>Australia’s Chief Scientist, Dr Cathy Foley, called on the Federal Government in 2021 to make science and innovation the “heart” of Australian policy development</w:t>
      </w:r>
      <w:r w:rsidRPr="003558E2">
        <w:rPr>
          <w:rStyle w:val="FootnoteReference"/>
          <w:rFonts w:cstheme="minorHAnsi"/>
          <w:sz w:val="24"/>
          <w:szCs w:val="24"/>
        </w:rPr>
        <w:footnoteReference w:id="1"/>
      </w:r>
      <w:r w:rsidRPr="003558E2">
        <w:rPr>
          <w:rFonts w:cstheme="minorHAnsi"/>
          <w:sz w:val="24"/>
          <w:szCs w:val="24"/>
        </w:rPr>
        <w:t xml:space="preserve">.  In a cautionary presentation, Dr Foley warned that many local innovation opportunities were being under-utilised by Australians and capitalised on by foreign businesses. There is considerable evidence to support Dr Foley’s warning. On a range of measures, Australia’s performance in commercial research and innovation has been lagging relative to other countries. Business expenditure on research and development (R&amp;D) has been consistently at or below OECD averages, and Australian businesses rank among the least effective in the OECD at introducing product and process innovations (Australian Innovation System Report, 2016). Australia has a pressing need to diversify its sources of economic growth and an </w:t>
      </w:r>
      <w:r w:rsidRPr="003558E2">
        <w:rPr>
          <w:rFonts w:cstheme="minorHAnsi"/>
          <w:sz w:val="24"/>
          <w:szCs w:val="24"/>
        </w:rPr>
        <w:lastRenderedPageBreak/>
        <w:t>obvious area in which Australia can – and should – diversify its sources of growth and security is in the areas of SME innovation and exports.</w:t>
      </w:r>
    </w:p>
    <w:p w14:paraId="1D6E90BC" w14:textId="77777777" w:rsidR="00BE6F34" w:rsidRPr="003558E2" w:rsidRDefault="00BE6F34" w:rsidP="00BE6F34">
      <w:pPr>
        <w:spacing w:after="0" w:line="360" w:lineRule="auto"/>
        <w:ind w:firstLine="720"/>
        <w:rPr>
          <w:rFonts w:eastAsia="Times New Roman" w:cstheme="minorHAnsi"/>
          <w:i/>
          <w:iCs/>
          <w:sz w:val="24"/>
          <w:szCs w:val="24"/>
        </w:rPr>
      </w:pPr>
      <w:r w:rsidRPr="003558E2">
        <w:rPr>
          <w:rFonts w:eastAsia="Times New Roman" w:cstheme="minorHAnsi"/>
          <w:sz w:val="24"/>
          <w:szCs w:val="24"/>
        </w:rPr>
        <w:t xml:space="preserve">The economic measure of productivity fundamentally assesses the efficiency of the production of goods and services and, hence, it is usually defined as total outputs (e.g., goods or services) that can be produced with given amounts of input (e.g., labour, capital, resources). As productivity is a key driver of economic growth, social prosperity and living standards, it is vital that a country’s economy achieves productivity growth as it is only through these efficiencies that economies can improve their per capita incomes and living standards, especially over the longer term.  In fact, as stated by Nobel Laureate Paul Krugman: </w:t>
      </w:r>
      <w:r w:rsidRPr="003558E2">
        <w:rPr>
          <w:rFonts w:eastAsia="Times New Roman" w:cstheme="minorHAnsi"/>
          <w:i/>
          <w:iCs/>
          <w:sz w:val="24"/>
          <w:szCs w:val="24"/>
        </w:rPr>
        <w:t>Productivity isn’t everything, but in the long run it is almost everything.  A country’s ability to improve its standard of living over time depends almost entirely on its ability to raise its output per worker.</w:t>
      </w:r>
      <w:r w:rsidRPr="003558E2">
        <w:rPr>
          <w:rStyle w:val="FootnoteReference"/>
          <w:rFonts w:eastAsia="Times New Roman" w:cstheme="minorHAnsi"/>
          <w:i/>
          <w:iCs/>
          <w:sz w:val="24"/>
          <w:szCs w:val="24"/>
        </w:rPr>
        <w:footnoteReference w:id="2"/>
      </w:r>
      <w:r w:rsidRPr="003558E2">
        <w:rPr>
          <w:rFonts w:eastAsia="Times New Roman" w:cstheme="minorHAnsi"/>
          <w:i/>
          <w:iCs/>
          <w:sz w:val="24"/>
          <w:szCs w:val="24"/>
        </w:rPr>
        <w:t xml:space="preserve"> </w:t>
      </w:r>
      <w:r w:rsidRPr="003558E2">
        <w:rPr>
          <w:rFonts w:eastAsia="Times New Roman" w:cstheme="minorHAnsi"/>
          <w:sz w:val="24"/>
          <w:szCs w:val="24"/>
        </w:rPr>
        <w:t>Moreover, productivity is about how well businesses, industries or countries combine resources to produce goods and services.  This includes resources such as raw materials, labour, skills, capital equipment, land, intellectual property, managerial capability, technology, financial capital, knowledge and ideas. Simply put, growth in productivity is vital for growth in national income and living standards into the future.</w:t>
      </w:r>
    </w:p>
    <w:p w14:paraId="445F0156" w14:textId="6CD69C6C" w:rsidR="004A4FB5" w:rsidRPr="003558E2" w:rsidRDefault="004A4FB5" w:rsidP="04FC83EA">
      <w:pPr>
        <w:spacing w:after="0" w:line="360" w:lineRule="auto"/>
        <w:ind w:firstLine="720"/>
        <w:rPr>
          <w:rFonts w:eastAsiaTheme="minorEastAsia" w:cstheme="minorHAnsi"/>
          <w:sz w:val="24"/>
          <w:szCs w:val="24"/>
        </w:rPr>
      </w:pPr>
      <w:r w:rsidRPr="003558E2">
        <w:rPr>
          <w:rFonts w:cstheme="minorHAnsi"/>
          <w:sz w:val="24"/>
          <w:szCs w:val="24"/>
        </w:rPr>
        <w:t xml:space="preserve">Before providing a more detailed analysis of innovation and exports in relation to productivity among </w:t>
      </w:r>
      <w:r w:rsidR="00BA0D7D" w:rsidRPr="003558E2">
        <w:rPr>
          <w:rFonts w:cstheme="minorHAnsi"/>
          <w:sz w:val="24"/>
          <w:szCs w:val="24"/>
        </w:rPr>
        <w:t>private companies in Australia, in particular companies that fall within the definition of SMEs</w:t>
      </w:r>
      <w:r w:rsidR="00433A76">
        <w:rPr>
          <w:rFonts w:cstheme="minorHAnsi"/>
          <w:sz w:val="24"/>
          <w:szCs w:val="24"/>
        </w:rPr>
        <w:t>,</w:t>
      </w:r>
      <w:r w:rsidRPr="003558E2">
        <w:rPr>
          <w:rStyle w:val="FootnoteReference"/>
          <w:rFonts w:cstheme="minorHAnsi"/>
          <w:sz w:val="24"/>
          <w:szCs w:val="24"/>
        </w:rPr>
        <w:footnoteReference w:id="3"/>
      </w:r>
      <w:r w:rsidR="00BA0D7D" w:rsidRPr="003558E2">
        <w:rPr>
          <w:rFonts w:cstheme="minorHAnsi"/>
          <w:sz w:val="24"/>
          <w:szCs w:val="24"/>
        </w:rPr>
        <w:t xml:space="preserve"> </w:t>
      </w:r>
      <w:r w:rsidRPr="003558E2">
        <w:rPr>
          <w:rFonts w:cstheme="minorHAnsi"/>
          <w:sz w:val="24"/>
          <w:szCs w:val="24"/>
        </w:rPr>
        <w:t xml:space="preserve">it is notable to highlight the importance of SMEs and their employment capabilities in the Australian economy.  While large public corporations and businesses have a significant impact on the Australian economy, SMEs play a critical role in determining the strength of the economy. SMEs are prevalent in all sectors of the Australian economy, covering a wide diversity of different types of business activities from agriculture, manufacturing to a range of different services such as accounting and other professional services.  According to the counts of businesses compiled by the ABS in </w:t>
      </w:r>
      <w:r w:rsidR="3041B392" w:rsidRPr="003558E2">
        <w:rPr>
          <w:rFonts w:cstheme="minorHAnsi"/>
          <w:sz w:val="24"/>
          <w:szCs w:val="24"/>
        </w:rPr>
        <w:t>December</w:t>
      </w:r>
      <w:r w:rsidRPr="003558E2">
        <w:rPr>
          <w:rFonts w:cstheme="minorHAnsi"/>
          <w:sz w:val="24"/>
          <w:szCs w:val="24"/>
        </w:rPr>
        <w:t xml:space="preserve"> 202</w:t>
      </w:r>
      <w:r w:rsidR="3041B392" w:rsidRPr="003558E2">
        <w:rPr>
          <w:rFonts w:cstheme="minorHAnsi"/>
          <w:sz w:val="24"/>
          <w:szCs w:val="24"/>
        </w:rPr>
        <w:t>1</w:t>
      </w:r>
      <w:r w:rsidRPr="003558E2">
        <w:rPr>
          <w:rFonts w:cstheme="minorHAnsi"/>
          <w:sz w:val="24"/>
          <w:szCs w:val="24"/>
        </w:rPr>
        <w:t>, there were 2,</w:t>
      </w:r>
      <w:r w:rsidR="2516B51B" w:rsidRPr="003558E2">
        <w:rPr>
          <w:rFonts w:cstheme="minorHAnsi"/>
          <w:sz w:val="24"/>
          <w:szCs w:val="24"/>
        </w:rPr>
        <w:t>310</w:t>
      </w:r>
      <w:r w:rsidRPr="003558E2">
        <w:rPr>
          <w:rFonts w:cstheme="minorHAnsi"/>
          <w:sz w:val="24"/>
          <w:szCs w:val="24"/>
        </w:rPr>
        <w:t>,</w:t>
      </w:r>
      <w:r w:rsidR="2516B51B" w:rsidRPr="003558E2">
        <w:rPr>
          <w:rFonts w:cstheme="minorHAnsi"/>
          <w:sz w:val="24"/>
          <w:szCs w:val="24"/>
        </w:rPr>
        <w:t>091</w:t>
      </w:r>
      <w:r w:rsidRPr="003558E2">
        <w:rPr>
          <w:rFonts w:cstheme="minorHAnsi"/>
          <w:sz w:val="24"/>
          <w:szCs w:val="24"/>
        </w:rPr>
        <w:t xml:space="preserve"> SME firms in Australia at the end of the 20</w:t>
      </w:r>
      <w:r w:rsidR="2516B51B" w:rsidRPr="003558E2">
        <w:rPr>
          <w:rFonts w:cstheme="minorHAnsi"/>
          <w:sz w:val="24"/>
          <w:szCs w:val="24"/>
        </w:rPr>
        <w:t>20</w:t>
      </w:r>
      <w:r w:rsidRPr="003558E2">
        <w:rPr>
          <w:rFonts w:cstheme="minorHAnsi"/>
          <w:sz w:val="24"/>
          <w:szCs w:val="24"/>
        </w:rPr>
        <w:t>-</w:t>
      </w:r>
      <w:r w:rsidR="2516B51B" w:rsidRPr="003558E2">
        <w:rPr>
          <w:rFonts w:cstheme="minorHAnsi"/>
          <w:sz w:val="24"/>
          <w:szCs w:val="24"/>
        </w:rPr>
        <w:t>21</w:t>
      </w:r>
      <w:r w:rsidRPr="003558E2">
        <w:rPr>
          <w:rFonts w:cstheme="minorHAnsi"/>
          <w:sz w:val="24"/>
          <w:szCs w:val="24"/>
        </w:rPr>
        <w:t xml:space="preserve"> financial period, making up 99.8 percent of all counts of businesses. The composition of Australian </w:t>
      </w:r>
      <w:r w:rsidRPr="003558E2">
        <w:rPr>
          <w:rFonts w:cstheme="minorHAnsi"/>
          <w:sz w:val="24"/>
          <w:szCs w:val="24"/>
        </w:rPr>
        <w:lastRenderedPageBreak/>
        <w:t>businesses is characterised by a high number of non-employing businesses – 1,</w:t>
      </w:r>
      <w:r w:rsidR="2516B51B" w:rsidRPr="003558E2">
        <w:rPr>
          <w:rFonts w:cstheme="minorHAnsi"/>
          <w:sz w:val="24"/>
          <w:szCs w:val="24"/>
        </w:rPr>
        <w:t>441</w:t>
      </w:r>
      <w:r w:rsidRPr="003558E2">
        <w:rPr>
          <w:rFonts w:cstheme="minorHAnsi"/>
          <w:sz w:val="24"/>
          <w:szCs w:val="24"/>
        </w:rPr>
        <w:t>,</w:t>
      </w:r>
      <w:r w:rsidR="2516B51B" w:rsidRPr="003558E2">
        <w:rPr>
          <w:rFonts w:cstheme="minorHAnsi"/>
          <w:sz w:val="24"/>
          <w:szCs w:val="24"/>
        </w:rPr>
        <w:t>105</w:t>
      </w:r>
      <w:r w:rsidRPr="003558E2">
        <w:rPr>
          <w:rFonts w:cstheme="minorHAnsi"/>
          <w:sz w:val="24"/>
          <w:szCs w:val="24"/>
        </w:rPr>
        <w:t xml:space="preserve"> – comprising around 6</w:t>
      </w:r>
      <w:r w:rsidR="2516B51B" w:rsidRPr="003558E2">
        <w:rPr>
          <w:rFonts w:cstheme="minorHAnsi"/>
          <w:sz w:val="24"/>
          <w:szCs w:val="24"/>
        </w:rPr>
        <w:t>2</w:t>
      </w:r>
      <w:r w:rsidRPr="003558E2">
        <w:rPr>
          <w:rFonts w:cstheme="minorHAnsi"/>
          <w:sz w:val="24"/>
          <w:szCs w:val="24"/>
        </w:rPr>
        <w:t xml:space="preserve"> per cent of all businesses. SMEs account for the largest proportion of businesses in Australia </w:t>
      </w:r>
      <w:r w:rsidRPr="003558E2">
        <w:rPr>
          <w:rFonts w:eastAsiaTheme="minorEastAsia" w:cstheme="minorHAnsi"/>
          <w:sz w:val="24"/>
          <w:szCs w:val="24"/>
        </w:rPr>
        <w:t xml:space="preserve">and </w:t>
      </w:r>
      <w:r w:rsidR="507EFCC6" w:rsidRPr="003558E2">
        <w:rPr>
          <w:rFonts w:eastAsiaTheme="minorEastAsia" w:cstheme="minorHAnsi"/>
          <w:sz w:val="24"/>
          <w:szCs w:val="24"/>
        </w:rPr>
        <w:t>for more than 95 per cent of all businesses in the OECD (OECD, 2022).</w:t>
      </w:r>
      <w:r w:rsidR="04FC83EA" w:rsidRPr="003558E2">
        <w:rPr>
          <w:rFonts w:eastAsiaTheme="minorEastAsia" w:cstheme="minorHAnsi"/>
          <w:sz w:val="24"/>
          <w:szCs w:val="24"/>
        </w:rPr>
        <w:t xml:space="preserve"> </w:t>
      </w:r>
    </w:p>
    <w:p w14:paraId="26C2C2D8" w14:textId="794C62C1" w:rsidR="00A773E7" w:rsidRPr="003558E2" w:rsidRDefault="00BE6F34" w:rsidP="00BE6F34">
      <w:pPr>
        <w:spacing w:after="0" w:line="360" w:lineRule="auto"/>
        <w:ind w:firstLine="720"/>
        <w:rPr>
          <w:rFonts w:cstheme="minorHAnsi"/>
          <w:sz w:val="24"/>
          <w:szCs w:val="24"/>
        </w:rPr>
      </w:pPr>
      <w:r w:rsidRPr="003558E2">
        <w:rPr>
          <w:rFonts w:cstheme="minorHAnsi"/>
          <w:sz w:val="24"/>
          <w:szCs w:val="24"/>
        </w:rPr>
        <w:t>The international research literature reports that varying patterns and causes of</w:t>
      </w:r>
      <w:r>
        <w:rPr>
          <w:rFonts w:cstheme="minorHAnsi"/>
          <w:sz w:val="24"/>
          <w:szCs w:val="24"/>
        </w:rPr>
        <w:t xml:space="preserve"> </w:t>
      </w:r>
      <w:r w:rsidR="00022580" w:rsidRPr="003558E2">
        <w:rPr>
          <w:rFonts w:cstheme="minorHAnsi"/>
          <w:sz w:val="24"/>
          <w:szCs w:val="24"/>
        </w:rPr>
        <w:t>productivity slowdown at the firm level have been observed among OECD member countries</w:t>
      </w:r>
      <w:r w:rsidR="00112A2E" w:rsidRPr="003558E2">
        <w:rPr>
          <w:rFonts w:cstheme="minorHAnsi"/>
          <w:sz w:val="24"/>
          <w:szCs w:val="24"/>
        </w:rPr>
        <w:t>, including Australia,</w:t>
      </w:r>
      <w:r w:rsidR="00BD1CA9" w:rsidRPr="003558E2">
        <w:rPr>
          <w:rFonts w:cstheme="minorHAnsi"/>
          <w:sz w:val="24"/>
          <w:szCs w:val="24"/>
        </w:rPr>
        <w:t xml:space="preserve"> since the</w:t>
      </w:r>
      <w:r w:rsidR="008955F4" w:rsidRPr="003558E2">
        <w:rPr>
          <w:rFonts w:cstheme="minorHAnsi"/>
          <w:sz w:val="24"/>
          <w:szCs w:val="24"/>
        </w:rPr>
        <w:t xml:space="preserve"> beginning of the</w:t>
      </w:r>
      <w:r w:rsidR="00BD1CA9" w:rsidRPr="003558E2">
        <w:rPr>
          <w:rFonts w:cstheme="minorHAnsi"/>
          <w:sz w:val="24"/>
          <w:szCs w:val="24"/>
        </w:rPr>
        <w:t xml:space="preserve"> 2008-09 global financial crisis (Owalla et al., 2022</w:t>
      </w:r>
      <w:r w:rsidR="00E8031A" w:rsidRPr="003558E2">
        <w:rPr>
          <w:rFonts w:cstheme="minorHAnsi"/>
          <w:sz w:val="24"/>
          <w:szCs w:val="24"/>
        </w:rPr>
        <w:t>; Cowling &amp; Tanewski, 2019; Criscuolo, 2018; OECD, 2018</w:t>
      </w:r>
      <w:r w:rsidR="00BD1CA9" w:rsidRPr="003558E2">
        <w:rPr>
          <w:rFonts w:cstheme="minorHAnsi"/>
          <w:sz w:val="24"/>
          <w:szCs w:val="24"/>
        </w:rPr>
        <w:t xml:space="preserve">).  Some studies </w:t>
      </w:r>
      <w:r w:rsidR="6438259E" w:rsidRPr="003558E2">
        <w:rPr>
          <w:rFonts w:cstheme="minorHAnsi"/>
          <w:sz w:val="24"/>
          <w:szCs w:val="24"/>
        </w:rPr>
        <w:t>demonstrate significant and persistent productivity differences across all private firms in different industries (Syverson 2011), with OECD firm-level data for the period 2001 to 2012 showing differences of 14 per cent between firms in the top and bottom deciles of productivity levels (</w:t>
      </w:r>
      <w:r w:rsidR="00BD1CA9" w:rsidRPr="003558E2">
        <w:rPr>
          <w:rFonts w:cstheme="minorHAnsi"/>
          <w:sz w:val="24"/>
          <w:szCs w:val="24"/>
        </w:rPr>
        <w:t>Owalla et al., 2022)</w:t>
      </w:r>
      <w:r w:rsidR="6438259E" w:rsidRPr="003558E2">
        <w:rPr>
          <w:rFonts w:cstheme="minorHAnsi"/>
          <w:sz w:val="24"/>
          <w:szCs w:val="24"/>
        </w:rPr>
        <w:t>. T</w:t>
      </w:r>
      <w:r w:rsidR="00BD1CA9" w:rsidRPr="003558E2">
        <w:rPr>
          <w:rFonts w:cstheme="minorHAnsi"/>
          <w:sz w:val="24"/>
          <w:szCs w:val="24"/>
        </w:rPr>
        <w:t xml:space="preserve">hese </w:t>
      </w:r>
      <w:r w:rsidR="008955F4" w:rsidRPr="003558E2">
        <w:rPr>
          <w:rFonts w:cstheme="minorHAnsi"/>
          <w:sz w:val="24"/>
          <w:szCs w:val="24"/>
        </w:rPr>
        <w:t xml:space="preserve">productivity differences </w:t>
      </w:r>
      <w:r w:rsidR="00DA31E7" w:rsidRPr="003558E2">
        <w:rPr>
          <w:rFonts w:cstheme="minorHAnsi"/>
          <w:sz w:val="24"/>
          <w:szCs w:val="24"/>
        </w:rPr>
        <w:t xml:space="preserve">especially </w:t>
      </w:r>
      <w:r w:rsidR="00112A2E" w:rsidRPr="003558E2">
        <w:rPr>
          <w:rFonts w:cstheme="minorHAnsi"/>
          <w:sz w:val="24"/>
          <w:szCs w:val="24"/>
        </w:rPr>
        <w:t>can be</w:t>
      </w:r>
      <w:r w:rsidR="008955F4" w:rsidRPr="003558E2">
        <w:rPr>
          <w:rFonts w:cstheme="minorHAnsi"/>
          <w:sz w:val="24"/>
          <w:szCs w:val="24"/>
        </w:rPr>
        <w:t xml:space="preserve"> observed </w:t>
      </w:r>
      <w:r w:rsidR="00E8031A" w:rsidRPr="003558E2">
        <w:rPr>
          <w:rFonts w:cstheme="minorHAnsi"/>
          <w:sz w:val="24"/>
          <w:szCs w:val="24"/>
        </w:rPr>
        <w:t>between technological and non-technological frontier firms (Andrew et al., 2016) and between large and small firms</w:t>
      </w:r>
      <w:r w:rsidR="00170D08" w:rsidRPr="003558E2">
        <w:rPr>
          <w:rFonts w:cstheme="minorHAnsi"/>
          <w:sz w:val="24"/>
          <w:szCs w:val="24"/>
        </w:rPr>
        <w:t>, particularly</w:t>
      </w:r>
      <w:r w:rsidR="00E8031A" w:rsidRPr="003558E2">
        <w:rPr>
          <w:rFonts w:cstheme="minorHAnsi"/>
          <w:sz w:val="24"/>
          <w:szCs w:val="24"/>
        </w:rPr>
        <w:t xml:space="preserve"> in the manufacturing sectors</w:t>
      </w:r>
      <w:r w:rsidR="006523AE" w:rsidRPr="003558E2">
        <w:rPr>
          <w:rFonts w:cstheme="minorHAnsi"/>
          <w:sz w:val="24"/>
          <w:szCs w:val="24"/>
        </w:rPr>
        <w:t xml:space="preserve"> (OECD, 2018)</w:t>
      </w:r>
      <w:r w:rsidR="00E8031A" w:rsidRPr="003558E2">
        <w:rPr>
          <w:rFonts w:cstheme="minorHAnsi"/>
          <w:sz w:val="24"/>
          <w:szCs w:val="24"/>
        </w:rPr>
        <w:t>. Furthermore</w:t>
      </w:r>
      <w:r w:rsidR="6438259E" w:rsidRPr="003558E2">
        <w:rPr>
          <w:rFonts w:cstheme="minorHAnsi"/>
          <w:sz w:val="24"/>
          <w:szCs w:val="24"/>
        </w:rPr>
        <w:t xml:space="preserve">, Cowling and Tanewski (2019) identify that the Australian SME sector is faced with </w:t>
      </w:r>
      <w:r w:rsidR="04FC83EA" w:rsidRPr="003558E2">
        <w:rPr>
          <w:rFonts w:cstheme="minorHAnsi"/>
          <w:sz w:val="24"/>
          <w:szCs w:val="24"/>
        </w:rPr>
        <w:t xml:space="preserve">decreasing returns to scale indicating that not all firm growth will lead to productivity gains. Moreover, the capital contribution to value added among the largest 25 per cent of private firms in Australia is four times that of the smallest 25 per cent of firms, including significant industry sector variations in productivity (Cowling &amp; Tanewski, 2019). </w:t>
      </w:r>
      <w:r w:rsidR="00E8031A" w:rsidRPr="003558E2">
        <w:rPr>
          <w:rFonts w:cstheme="minorHAnsi"/>
          <w:sz w:val="24"/>
          <w:szCs w:val="24"/>
        </w:rPr>
        <w:t xml:space="preserve"> Following on this literature</w:t>
      </w:r>
      <w:r w:rsidR="00316F52" w:rsidRPr="003558E2">
        <w:rPr>
          <w:rFonts w:cstheme="minorHAnsi"/>
          <w:sz w:val="24"/>
          <w:szCs w:val="24"/>
        </w:rPr>
        <w:t>,</w:t>
      </w:r>
      <w:r w:rsidR="00004717" w:rsidRPr="003558E2">
        <w:rPr>
          <w:rFonts w:cstheme="minorHAnsi"/>
          <w:sz w:val="24"/>
          <w:szCs w:val="24"/>
        </w:rPr>
        <w:t xml:space="preserve"> </w:t>
      </w:r>
      <w:r w:rsidR="00DA31E7" w:rsidRPr="003558E2">
        <w:rPr>
          <w:rFonts w:cstheme="minorHAnsi"/>
          <w:sz w:val="24"/>
          <w:szCs w:val="24"/>
        </w:rPr>
        <w:t xml:space="preserve">which recommends capturing productivity growth heterogeneity among different firm size groups </w:t>
      </w:r>
      <w:r w:rsidR="00316F52" w:rsidRPr="003558E2">
        <w:rPr>
          <w:rFonts w:cstheme="minorHAnsi"/>
          <w:sz w:val="24"/>
          <w:szCs w:val="24"/>
        </w:rPr>
        <w:t>(Owalla et al., 2022; Cowling &amp; Tanewski, 2019),</w:t>
      </w:r>
      <w:r w:rsidR="00DA31E7" w:rsidRPr="003558E2">
        <w:rPr>
          <w:rFonts w:cstheme="minorHAnsi"/>
          <w:sz w:val="24"/>
          <w:szCs w:val="24"/>
        </w:rPr>
        <w:t xml:space="preserve"> </w:t>
      </w:r>
      <w:r w:rsidR="00964B65" w:rsidRPr="003558E2">
        <w:rPr>
          <w:rFonts w:cstheme="minorHAnsi"/>
          <w:sz w:val="24"/>
          <w:szCs w:val="24"/>
        </w:rPr>
        <w:t xml:space="preserve">this </w:t>
      </w:r>
      <w:r w:rsidR="00304704">
        <w:rPr>
          <w:rFonts w:cstheme="minorHAnsi"/>
          <w:sz w:val="24"/>
          <w:szCs w:val="24"/>
        </w:rPr>
        <w:t xml:space="preserve">submission report </w:t>
      </w:r>
      <w:r w:rsidR="00964B65" w:rsidRPr="003558E2">
        <w:rPr>
          <w:rFonts w:cstheme="minorHAnsi"/>
          <w:sz w:val="24"/>
          <w:szCs w:val="24"/>
        </w:rPr>
        <w:t xml:space="preserve"> essentially focuses on the areas of firm-level innovation and exports in relation to firm-level productivity among different private company size, </w:t>
      </w:r>
      <w:r w:rsidR="00DA31E7" w:rsidRPr="003558E2">
        <w:rPr>
          <w:rFonts w:cstheme="minorHAnsi"/>
          <w:sz w:val="24"/>
          <w:szCs w:val="24"/>
        </w:rPr>
        <w:t>age and sector</w:t>
      </w:r>
      <w:r w:rsidR="507EFCC6" w:rsidRPr="003558E2">
        <w:rPr>
          <w:rFonts w:cstheme="minorHAnsi"/>
          <w:sz w:val="24"/>
          <w:szCs w:val="24"/>
        </w:rPr>
        <w:t xml:space="preserve"> </w:t>
      </w:r>
      <w:r w:rsidR="00964B65" w:rsidRPr="003558E2">
        <w:rPr>
          <w:rFonts w:cstheme="minorHAnsi"/>
          <w:sz w:val="24"/>
          <w:szCs w:val="24"/>
        </w:rPr>
        <w:t xml:space="preserve">groups to </w:t>
      </w:r>
      <w:r w:rsidR="006523AE" w:rsidRPr="003558E2">
        <w:rPr>
          <w:rFonts w:cstheme="minorHAnsi"/>
          <w:sz w:val="24"/>
          <w:szCs w:val="24"/>
        </w:rPr>
        <w:t xml:space="preserve">address </w:t>
      </w:r>
      <w:r w:rsidR="00004717" w:rsidRPr="003558E2">
        <w:rPr>
          <w:rFonts w:cstheme="minorHAnsi"/>
          <w:sz w:val="24"/>
          <w:szCs w:val="24"/>
        </w:rPr>
        <w:t xml:space="preserve">the primary objectives of the </w:t>
      </w:r>
      <w:r w:rsidR="00304704">
        <w:rPr>
          <w:rFonts w:cstheme="minorHAnsi"/>
          <w:sz w:val="24"/>
          <w:szCs w:val="24"/>
        </w:rPr>
        <w:t xml:space="preserve">Productivity Commission </w:t>
      </w:r>
      <w:r w:rsidR="00004717" w:rsidRPr="003558E2">
        <w:rPr>
          <w:rFonts w:cstheme="minorHAnsi"/>
          <w:sz w:val="24"/>
          <w:szCs w:val="24"/>
        </w:rPr>
        <w:t>inquiry, namely, to identify some of the</w:t>
      </w:r>
      <w:r w:rsidR="00964B65" w:rsidRPr="003558E2">
        <w:rPr>
          <w:rFonts w:cstheme="minorHAnsi"/>
          <w:sz w:val="24"/>
          <w:szCs w:val="24"/>
        </w:rPr>
        <w:t xml:space="preserve"> unique</w:t>
      </w:r>
      <w:r w:rsidR="00004717" w:rsidRPr="003558E2">
        <w:rPr>
          <w:rFonts w:cstheme="minorHAnsi"/>
          <w:sz w:val="24"/>
          <w:szCs w:val="24"/>
        </w:rPr>
        <w:t xml:space="preserve"> key drivers of productivity growth </w:t>
      </w:r>
      <w:r w:rsidR="00170D08" w:rsidRPr="003558E2">
        <w:rPr>
          <w:rFonts w:cstheme="minorHAnsi"/>
          <w:sz w:val="24"/>
          <w:szCs w:val="24"/>
        </w:rPr>
        <w:t>in Australia that can assist government policy and to prioritise reform</w:t>
      </w:r>
      <w:r w:rsidR="00964B65" w:rsidRPr="003558E2">
        <w:rPr>
          <w:rFonts w:cstheme="minorHAnsi"/>
          <w:sz w:val="24"/>
          <w:szCs w:val="24"/>
        </w:rPr>
        <w:t>.</w:t>
      </w:r>
      <w:r w:rsidR="00170D08" w:rsidRPr="003558E2">
        <w:rPr>
          <w:rFonts w:cstheme="minorHAnsi"/>
          <w:sz w:val="24"/>
          <w:szCs w:val="24"/>
        </w:rPr>
        <w:t xml:space="preserve"> </w:t>
      </w:r>
    </w:p>
    <w:p w14:paraId="4D726FDA" w14:textId="4A4DFD4A" w:rsidR="004A4FB5" w:rsidRPr="003558E2" w:rsidRDefault="507EFCC6" w:rsidP="507EFCC6">
      <w:pPr>
        <w:spacing w:after="0" w:line="360" w:lineRule="auto"/>
        <w:ind w:firstLine="720"/>
        <w:rPr>
          <w:rFonts w:cstheme="minorHAnsi"/>
          <w:sz w:val="24"/>
          <w:szCs w:val="24"/>
        </w:rPr>
      </w:pPr>
      <w:r w:rsidRPr="003558E2">
        <w:rPr>
          <w:rFonts w:eastAsia="Calibri" w:cstheme="minorHAnsi"/>
          <w:sz w:val="24"/>
          <w:szCs w:val="24"/>
        </w:rPr>
        <w:t>I</w:t>
      </w:r>
      <w:r w:rsidR="004A4FB5" w:rsidRPr="003558E2">
        <w:rPr>
          <w:rFonts w:cstheme="minorHAnsi"/>
          <w:sz w:val="24"/>
          <w:szCs w:val="24"/>
        </w:rPr>
        <w:t xml:space="preserve">t is also important to take into consideration that SMEs operate under different constraints compared to large firms, indicating that productivity among SMEs will vary according to the firm’s size, age and industry.  For example, not only are economies of scale different between small and large firms, but small firms tend to be owner-managed and decision-making is usually confined to one key decision-maker, who is constrained by her/his </w:t>
      </w:r>
      <w:r w:rsidR="00304704">
        <w:rPr>
          <w:rFonts w:cstheme="minorHAnsi"/>
          <w:sz w:val="24"/>
          <w:szCs w:val="24"/>
        </w:rPr>
        <w:t xml:space="preserve">bounded rationality, </w:t>
      </w:r>
      <w:r w:rsidR="004A4FB5" w:rsidRPr="003558E2">
        <w:rPr>
          <w:rFonts w:cstheme="minorHAnsi"/>
          <w:sz w:val="24"/>
          <w:szCs w:val="24"/>
        </w:rPr>
        <w:t xml:space="preserve">understanding, experience, education-level, skills and the </w:t>
      </w:r>
      <w:r w:rsidR="004A4FB5" w:rsidRPr="003558E2">
        <w:rPr>
          <w:rFonts w:cstheme="minorHAnsi"/>
          <w:sz w:val="24"/>
          <w:szCs w:val="24"/>
        </w:rPr>
        <w:lastRenderedPageBreak/>
        <w:t xml:space="preserve">quality of the information content being utlised to make an informed decision (Owalla et al., 2022; Gherhes et al., 2016; </w:t>
      </w:r>
      <w:r w:rsidR="256B515F" w:rsidRPr="003558E2">
        <w:rPr>
          <w:rFonts w:eastAsia="Calibri" w:cstheme="minorHAnsi"/>
          <w:sz w:val="24"/>
          <w:szCs w:val="24"/>
        </w:rPr>
        <w:t>Onkelinx et al., 2016)</w:t>
      </w:r>
      <w:r w:rsidR="004A4FB5" w:rsidRPr="003558E2">
        <w:rPr>
          <w:rFonts w:cstheme="minorHAnsi"/>
          <w:sz w:val="24"/>
          <w:szCs w:val="24"/>
        </w:rPr>
        <w:t xml:space="preserve">. Hence, to obtain a better understanding of </w:t>
      </w:r>
      <w:r w:rsidR="00DA31E7" w:rsidRPr="003558E2">
        <w:rPr>
          <w:rFonts w:cstheme="minorHAnsi"/>
          <w:sz w:val="24"/>
          <w:szCs w:val="24"/>
        </w:rPr>
        <w:t>heterogeneity</w:t>
      </w:r>
      <w:r w:rsidRPr="003558E2">
        <w:rPr>
          <w:rFonts w:cstheme="minorHAnsi"/>
          <w:sz w:val="24"/>
          <w:szCs w:val="24"/>
        </w:rPr>
        <w:t xml:space="preserve"> in </w:t>
      </w:r>
      <w:r w:rsidR="00DA31E7" w:rsidRPr="003558E2">
        <w:rPr>
          <w:rFonts w:cstheme="minorHAnsi"/>
          <w:sz w:val="24"/>
          <w:szCs w:val="24"/>
        </w:rPr>
        <w:t xml:space="preserve">productivity among SMEs in Australia, </w:t>
      </w:r>
      <w:r w:rsidR="256B515F" w:rsidRPr="003558E2">
        <w:rPr>
          <w:rFonts w:cstheme="minorHAnsi"/>
          <w:sz w:val="24"/>
          <w:szCs w:val="24"/>
        </w:rPr>
        <w:t>we extend Cowling and Tanewski’s (2019) research by first focusing on productivity differences at the firm-level across different size, age, and industry sector groups to identify how the responsiveness of output with respect to labour and capital varies across these distinctive firm categories   We then examine firm-level productivity variations in private companies that innovate (do not innovate) and export (do not export) to understand how value added is created, what combinations of labour and capital are combined to create value added, and the role of human capital and collaboration in productivity growth when firms innovate and export.</w:t>
      </w:r>
    </w:p>
    <w:p w14:paraId="2F22B5EA" w14:textId="003BD1A0" w:rsidR="04FC83EA" w:rsidRPr="003558E2" w:rsidRDefault="04FC83EA" w:rsidP="04FC83EA">
      <w:pPr>
        <w:spacing w:after="0" w:line="360" w:lineRule="auto"/>
        <w:ind w:firstLine="720"/>
        <w:rPr>
          <w:rFonts w:eastAsia="Calibri" w:cstheme="minorHAnsi"/>
          <w:sz w:val="24"/>
          <w:szCs w:val="24"/>
        </w:rPr>
      </w:pPr>
      <w:r w:rsidRPr="003558E2">
        <w:rPr>
          <w:rFonts w:cstheme="minorHAnsi"/>
          <w:sz w:val="24"/>
          <w:szCs w:val="24"/>
        </w:rPr>
        <w:t xml:space="preserve">Our focus on innovation and exports draws upon the economic theory of the production function which examines the effects of financial capital, human capital and innovation on productivity and economic growth.  All three factors, both individually and collectively, have been found to significantly and positively </w:t>
      </w:r>
      <w:r w:rsidR="00257B91">
        <w:rPr>
          <w:rFonts w:cstheme="minorHAnsi"/>
          <w:sz w:val="24"/>
          <w:szCs w:val="24"/>
        </w:rPr>
        <w:t>a</w:t>
      </w:r>
      <w:r w:rsidRPr="003558E2">
        <w:rPr>
          <w:rFonts w:cstheme="minorHAnsi"/>
          <w:sz w:val="24"/>
          <w:szCs w:val="24"/>
        </w:rPr>
        <w:t xml:space="preserve">ffect productivity growth. Moreover, endogenous growth theory </w:t>
      </w:r>
      <w:r w:rsidRPr="003558E2">
        <w:rPr>
          <w:rFonts w:eastAsia="Calibri" w:cstheme="minorHAnsi"/>
          <w:sz w:val="24"/>
          <w:szCs w:val="24"/>
        </w:rPr>
        <w:t xml:space="preserve">(e.g., Romer, </w:t>
      </w:r>
      <w:r w:rsidR="00AF56DA" w:rsidRPr="003558E2">
        <w:rPr>
          <w:rFonts w:eastAsia="Calibri" w:cstheme="minorHAnsi"/>
          <w:sz w:val="24"/>
          <w:szCs w:val="24"/>
        </w:rPr>
        <w:t>1</w:t>
      </w:r>
      <w:r w:rsidR="00AF56DA">
        <w:rPr>
          <w:rFonts w:eastAsia="Calibri" w:cstheme="minorHAnsi"/>
          <w:sz w:val="24"/>
          <w:szCs w:val="24"/>
        </w:rPr>
        <w:t>986</w:t>
      </w:r>
      <w:r w:rsidRPr="003558E2">
        <w:rPr>
          <w:rFonts w:eastAsia="Calibri" w:cstheme="minorHAnsi"/>
          <w:sz w:val="24"/>
          <w:szCs w:val="24"/>
        </w:rPr>
        <w:t xml:space="preserve">; Aghion et al., 1998) recognises </w:t>
      </w:r>
      <w:r w:rsidR="003D1AE0">
        <w:rPr>
          <w:rFonts w:eastAsia="Calibri" w:cstheme="minorHAnsi"/>
          <w:sz w:val="24"/>
          <w:szCs w:val="24"/>
        </w:rPr>
        <w:t xml:space="preserve">both </w:t>
      </w:r>
      <w:r w:rsidRPr="003558E2">
        <w:rPr>
          <w:rFonts w:eastAsia="Calibri" w:cstheme="minorHAnsi"/>
          <w:sz w:val="24"/>
          <w:szCs w:val="24"/>
        </w:rPr>
        <w:t xml:space="preserve">innovation </w:t>
      </w:r>
      <w:r w:rsidR="003D1AE0" w:rsidRPr="003558E2">
        <w:rPr>
          <w:rFonts w:eastAsia="Calibri" w:cstheme="minorHAnsi"/>
          <w:sz w:val="24"/>
          <w:szCs w:val="24"/>
        </w:rPr>
        <w:t xml:space="preserve">and exports </w:t>
      </w:r>
      <w:r w:rsidRPr="003558E2">
        <w:rPr>
          <w:rFonts w:eastAsia="Calibri" w:cstheme="minorHAnsi"/>
          <w:sz w:val="24"/>
          <w:szCs w:val="24"/>
        </w:rPr>
        <w:t>as important driver</w:t>
      </w:r>
      <w:r w:rsidR="003D1AE0">
        <w:rPr>
          <w:rFonts w:eastAsia="Calibri" w:cstheme="minorHAnsi"/>
          <w:sz w:val="24"/>
          <w:szCs w:val="24"/>
        </w:rPr>
        <w:t>s</w:t>
      </w:r>
      <w:r w:rsidRPr="003558E2">
        <w:rPr>
          <w:rFonts w:eastAsia="Calibri" w:cstheme="minorHAnsi"/>
          <w:sz w:val="24"/>
          <w:szCs w:val="24"/>
        </w:rPr>
        <w:t xml:space="preserve"> of productivity and key long-term antecedent</w:t>
      </w:r>
      <w:r w:rsidR="003D1AE0">
        <w:rPr>
          <w:rFonts w:eastAsia="Calibri" w:cstheme="minorHAnsi"/>
          <w:sz w:val="24"/>
          <w:szCs w:val="24"/>
        </w:rPr>
        <w:t>s</w:t>
      </w:r>
      <w:r w:rsidRPr="003558E2">
        <w:rPr>
          <w:rFonts w:eastAsia="Calibri" w:cstheme="minorHAnsi"/>
          <w:sz w:val="24"/>
          <w:szCs w:val="24"/>
        </w:rPr>
        <w:t xml:space="preserve"> of competitiveness and economic growth. So, while there is wide agreement that innovation</w:t>
      </w:r>
      <w:r w:rsidR="003D1AE0">
        <w:rPr>
          <w:rFonts w:eastAsia="Calibri" w:cstheme="minorHAnsi"/>
          <w:sz w:val="24"/>
          <w:szCs w:val="24"/>
        </w:rPr>
        <w:t xml:space="preserve"> and exports</w:t>
      </w:r>
      <w:r w:rsidRPr="003558E2">
        <w:rPr>
          <w:rFonts w:eastAsia="Calibri" w:cstheme="minorHAnsi"/>
          <w:sz w:val="24"/>
          <w:szCs w:val="24"/>
        </w:rPr>
        <w:t xml:space="preserve"> lead to productivity growth</w:t>
      </w:r>
      <w:r w:rsidR="003D1AE0">
        <w:rPr>
          <w:rFonts w:eastAsia="Calibri" w:cstheme="minorHAnsi"/>
          <w:sz w:val="24"/>
          <w:szCs w:val="24"/>
        </w:rPr>
        <w:t>,</w:t>
      </w:r>
      <w:r w:rsidRPr="003558E2">
        <w:rPr>
          <w:rFonts w:eastAsia="Calibri" w:cstheme="minorHAnsi"/>
          <w:sz w:val="24"/>
          <w:szCs w:val="24"/>
        </w:rPr>
        <w:t xml:space="preserve"> this submission takes into </w:t>
      </w:r>
      <w:r w:rsidR="003E0674">
        <w:rPr>
          <w:rFonts w:eastAsia="Calibri" w:cstheme="minorHAnsi"/>
          <w:sz w:val="24"/>
          <w:szCs w:val="24"/>
        </w:rPr>
        <w:t>account the</w:t>
      </w:r>
      <w:r w:rsidR="003E0674" w:rsidRPr="003558E2">
        <w:rPr>
          <w:rFonts w:eastAsia="Calibri" w:cstheme="minorHAnsi"/>
          <w:sz w:val="24"/>
          <w:szCs w:val="24"/>
        </w:rPr>
        <w:t xml:space="preserve"> resource constrain</w:t>
      </w:r>
      <w:r w:rsidR="003E0674">
        <w:rPr>
          <w:rFonts w:eastAsia="Calibri" w:cstheme="minorHAnsi"/>
          <w:sz w:val="24"/>
          <w:szCs w:val="24"/>
        </w:rPr>
        <w:t xml:space="preserve">ts experienced by </w:t>
      </w:r>
      <w:r w:rsidR="003E0674" w:rsidRPr="003558E2">
        <w:rPr>
          <w:rFonts w:eastAsia="Calibri" w:cstheme="minorHAnsi"/>
          <w:sz w:val="24"/>
          <w:szCs w:val="24"/>
        </w:rPr>
        <w:t xml:space="preserve">SMEs </w:t>
      </w:r>
      <w:r w:rsidR="003E0674">
        <w:rPr>
          <w:rFonts w:eastAsia="Calibri" w:cstheme="minorHAnsi"/>
          <w:sz w:val="24"/>
          <w:szCs w:val="24"/>
        </w:rPr>
        <w:t xml:space="preserve">and hence it </w:t>
      </w:r>
      <w:r w:rsidR="003E0674" w:rsidRPr="003558E2">
        <w:rPr>
          <w:rFonts w:eastAsia="Calibri" w:cstheme="minorHAnsi"/>
          <w:sz w:val="24"/>
          <w:szCs w:val="24"/>
        </w:rPr>
        <w:t>consider</w:t>
      </w:r>
      <w:r w:rsidR="003E0674">
        <w:rPr>
          <w:rFonts w:eastAsia="Calibri" w:cstheme="minorHAnsi"/>
          <w:sz w:val="24"/>
          <w:szCs w:val="24"/>
        </w:rPr>
        <w:t>s</w:t>
      </w:r>
      <w:r w:rsidR="003E0674" w:rsidRPr="003558E2">
        <w:rPr>
          <w:rFonts w:eastAsia="Calibri" w:cstheme="minorHAnsi"/>
          <w:sz w:val="24"/>
          <w:szCs w:val="24"/>
        </w:rPr>
        <w:t xml:space="preserve"> </w:t>
      </w:r>
      <w:r w:rsidRPr="003558E2">
        <w:rPr>
          <w:rFonts w:eastAsia="Calibri" w:cstheme="minorHAnsi"/>
          <w:sz w:val="24"/>
          <w:szCs w:val="24"/>
        </w:rPr>
        <w:t xml:space="preserve">firm-heterogeneity factors such as size and age when analysing several potential internal firm capabilities that are associated with innovation and exports.  </w:t>
      </w:r>
    </w:p>
    <w:p w14:paraId="4F6F2D94" w14:textId="0E7E1B0C" w:rsidR="04FC83EA" w:rsidRPr="003558E2" w:rsidRDefault="04FC83EA" w:rsidP="04FC83EA">
      <w:pPr>
        <w:spacing w:after="0" w:line="360" w:lineRule="auto"/>
        <w:ind w:firstLine="720"/>
        <w:rPr>
          <w:rFonts w:eastAsia="Calibri" w:cstheme="minorHAnsi"/>
          <w:sz w:val="24"/>
          <w:szCs w:val="24"/>
        </w:rPr>
      </w:pPr>
    </w:p>
    <w:p w14:paraId="198B5012" w14:textId="2957A520" w:rsidR="04FC83EA" w:rsidRPr="00200279" w:rsidRDefault="04FC83EA" w:rsidP="00200279">
      <w:pPr>
        <w:pStyle w:val="ListParagraph"/>
        <w:numPr>
          <w:ilvl w:val="0"/>
          <w:numId w:val="1"/>
        </w:numPr>
        <w:spacing w:after="0" w:line="360" w:lineRule="auto"/>
        <w:rPr>
          <w:rFonts w:cstheme="minorHAnsi"/>
          <w:b/>
          <w:bCs/>
          <w:sz w:val="28"/>
          <w:szCs w:val="28"/>
        </w:rPr>
      </w:pPr>
      <w:r w:rsidRPr="00200279">
        <w:rPr>
          <w:rFonts w:cstheme="minorHAnsi"/>
          <w:b/>
          <w:bCs/>
          <w:sz w:val="28"/>
          <w:szCs w:val="28"/>
        </w:rPr>
        <w:t>Data and Research Methods</w:t>
      </w:r>
    </w:p>
    <w:p w14:paraId="0A29DE74" w14:textId="77777777" w:rsidR="00200279" w:rsidRDefault="00200279" w:rsidP="00200279">
      <w:pPr>
        <w:spacing w:after="0" w:line="360" w:lineRule="auto"/>
        <w:rPr>
          <w:rFonts w:cstheme="minorHAnsi"/>
          <w:sz w:val="24"/>
          <w:szCs w:val="24"/>
        </w:rPr>
      </w:pPr>
    </w:p>
    <w:p w14:paraId="3954489A" w14:textId="79A6AC38" w:rsidR="00320681" w:rsidRPr="003558E2" w:rsidRDefault="00320681" w:rsidP="00200279">
      <w:pPr>
        <w:spacing w:after="0" w:line="360" w:lineRule="auto"/>
        <w:rPr>
          <w:rFonts w:cstheme="minorHAnsi"/>
          <w:sz w:val="24"/>
          <w:szCs w:val="24"/>
        </w:rPr>
      </w:pPr>
      <w:r w:rsidRPr="003558E2">
        <w:rPr>
          <w:rFonts w:cstheme="minorHAnsi"/>
          <w:sz w:val="24"/>
          <w:szCs w:val="24"/>
        </w:rPr>
        <w:t xml:space="preserve">Our data comes from the ABS’s Business Longitudinal Analysis Data Environment (BLADE), which contains firm-level longitudinal data from tax filings, business registrations, and various ABS surveys. These data are anonymised by the ABS and firm-level observations are available between the financial years 2001-02 and 2018-19. Financial data comes primarily from the ATO’s Business Income Tax (BIT) and where BIT data are missing, we supplement these with data obtained from the ATO’s Business Activity Statement (BAS) and from the ABS’s EAS (Economic Activity Survey). Data on R&amp;D comes from the ABS’s survey of Business </w:t>
      </w:r>
      <w:r w:rsidRPr="003558E2">
        <w:rPr>
          <w:rFonts w:cstheme="minorHAnsi"/>
          <w:sz w:val="24"/>
          <w:szCs w:val="24"/>
        </w:rPr>
        <w:lastRenderedPageBreak/>
        <w:t xml:space="preserve">Expenditure on R&amp;D (BERD) and is supplemented by additional BIT data and data obtained from the ABS’s Business Characteristics Survey (BCS). Data on intellectual property filings comes from IP Australia’s Intellectual Property Longitudinal Research Dataset (IPLORD).  </w:t>
      </w:r>
    </w:p>
    <w:p w14:paraId="5FBB6DF7" w14:textId="12FDB6EB" w:rsidR="006F7681" w:rsidRDefault="006F7681" w:rsidP="1D7BC71A">
      <w:pPr>
        <w:spacing w:after="0" w:line="360" w:lineRule="auto"/>
        <w:ind w:firstLine="720"/>
        <w:rPr>
          <w:rFonts w:cstheme="minorHAnsi"/>
          <w:sz w:val="24"/>
          <w:szCs w:val="24"/>
        </w:rPr>
      </w:pPr>
      <w:r w:rsidRPr="003558E2">
        <w:rPr>
          <w:rFonts w:cstheme="minorHAnsi"/>
          <w:sz w:val="24"/>
          <w:szCs w:val="24"/>
        </w:rPr>
        <w:t>In this report we examine the effect of innovation</w:t>
      </w:r>
      <w:r w:rsidR="002E50B4">
        <w:rPr>
          <w:rFonts w:cstheme="minorHAnsi"/>
          <w:sz w:val="24"/>
          <w:szCs w:val="24"/>
        </w:rPr>
        <w:t xml:space="preserve"> and</w:t>
      </w:r>
      <w:r w:rsidRPr="003558E2">
        <w:rPr>
          <w:rFonts w:cstheme="minorHAnsi"/>
          <w:sz w:val="24"/>
          <w:szCs w:val="24"/>
        </w:rPr>
        <w:t xml:space="preserve"> exports </w:t>
      </w:r>
      <w:r w:rsidR="002E50B4">
        <w:rPr>
          <w:rFonts w:cstheme="minorHAnsi"/>
          <w:sz w:val="24"/>
          <w:szCs w:val="24"/>
        </w:rPr>
        <w:t>by taking into consideration</w:t>
      </w:r>
      <w:r w:rsidRPr="003558E2">
        <w:rPr>
          <w:rFonts w:cstheme="minorHAnsi"/>
          <w:sz w:val="24"/>
          <w:szCs w:val="24"/>
        </w:rPr>
        <w:t xml:space="preserve"> </w:t>
      </w:r>
      <w:r w:rsidR="04FC83EA" w:rsidRPr="003558E2">
        <w:rPr>
          <w:rFonts w:eastAsia="Calibri" w:cstheme="minorHAnsi"/>
          <w:sz w:val="24"/>
          <w:szCs w:val="24"/>
        </w:rPr>
        <w:t>several potential internal firm</w:t>
      </w:r>
      <w:r w:rsidR="002E50B4">
        <w:rPr>
          <w:rFonts w:eastAsia="Calibri" w:cstheme="minorHAnsi"/>
          <w:sz w:val="24"/>
          <w:szCs w:val="24"/>
        </w:rPr>
        <w:t xml:space="preserve"> </w:t>
      </w:r>
      <w:r w:rsidR="04FC83EA" w:rsidRPr="003558E2">
        <w:rPr>
          <w:rFonts w:eastAsia="Calibri" w:cstheme="minorHAnsi"/>
          <w:sz w:val="24"/>
          <w:szCs w:val="24"/>
        </w:rPr>
        <w:t xml:space="preserve">capabilities such as </w:t>
      </w:r>
      <w:r w:rsidR="002E50B4">
        <w:rPr>
          <w:rFonts w:eastAsia="Calibri" w:cstheme="minorHAnsi"/>
          <w:sz w:val="24"/>
          <w:szCs w:val="24"/>
        </w:rPr>
        <w:t>technical</w:t>
      </w:r>
      <w:r w:rsidR="04FC83EA" w:rsidRPr="003558E2">
        <w:rPr>
          <w:rFonts w:eastAsia="Calibri" w:cstheme="minorHAnsi"/>
          <w:sz w:val="24"/>
          <w:szCs w:val="24"/>
        </w:rPr>
        <w:t xml:space="preserve"> </w:t>
      </w:r>
      <w:r w:rsidR="002E50B4">
        <w:rPr>
          <w:rFonts w:eastAsia="Calibri" w:cstheme="minorHAnsi"/>
          <w:sz w:val="24"/>
          <w:szCs w:val="24"/>
        </w:rPr>
        <w:t xml:space="preserve">and business </w:t>
      </w:r>
      <w:r w:rsidR="04FC83EA" w:rsidRPr="003558E2">
        <w:rPr>
          <w:rFonts w:eastAsia="Calibri" w:cstheme="minorHAnsi"/>
          <w:sz w:val="24"/>
          <w:szCs w:val="24"/>
        </w:rPr>
        <w:t>skills</w:t>
      </w:r>
      <w:r w:rsidRPr="003558E2">
        <w:rPr>
          <w:rFonts w:cstheme="minorHAnsi"/>
          <w:sz w:val="24"/>
          <w:szCs w:val="24"/>
        </w:rPr>
        <w:t xml:space="preserve"> on SME productivity and efficiency. We estimate the efficiency of private companies by utilising a Cobb-Douglas production stochastic frontier model to create a measure of relative efficiency of each private company </w:t>
      </w:r>
      <w:bookmarkStart w:id="0" w:name="_Hlk98755306"/>
      <w:r w:rsidRPr="003558E2">
        <w:rPr>
          <w:rFonts w:cstheme="minorHAnsi"/>
          <w:sz w:val="24"/>
          <w:szCs w:val="24"/>
        </w:rPr>
        <w:t>within its respective industry for each year between 2006 and 2018</w:t>
      </w:r>
      <w:bookmarkEnd w:id="0"/>
      <w:r w:rsidRPr="003558E2">
        <w:rPr>
          <w:rFonts w:cstheme="minorHAnsi"/>
          <w:sz w:val="24"/>
          <w:szCs w:val="24"/>
        </w:rPr>
        <w:t>. We estimate an efficient frontier for all private companies across 19 industries over the 13-year period by assessing the amount and mix of resources used by the company to generate output, measured by total income, within the company’s industry. The inputs for each company are measured by the capital expenditure, labour, R&amp;D expenditure and several human skill indicators. We expect companies that operate on the frontier are the most efficient and, hence, assign these companies a score of one.  In contrast, companies assigned lower scores (less than one) are deemed inefficient relative to companies operating on the frontier. Hence, the further the score is towards unity, the lower its efficiency.</w:t>
      </w:r>
    </w:p>
    <w:p w14:paraId="2A5F01CE" w14:textId="77777777" w:rsidR="002E50B4" w:rsidRPr="003558E2" w:rsidRDefault="002E50B4" w:rsidP="1D7BC71A">
      <w:pPr>
        <w:spacing w:after="0" w:line="360" w:lineRule="auto"/>
        <w:ind w:firstLine="720"/>
        <w:rPr>
          <w:rFonts w:cstheme="minorHAnsi"/>
          <w:sz w:val="24"/>
          <w:szCs w:val="24"/>
        </w:rPr>
      </w:pPr>
    </w:p>
    <w:p w14:paraId="298982C1" w14:textId="77777777" w:rsidR="00382933" w:rsidRDefault="04FC83EA" w:rsidP="00382933">
      <w:pPr>
        <w:pStyle w:val="ListParagraph"/>
        <w:numPr>
          <w:ilvl w:val="1"/>
          <w:numId w:val="1"/>
        </w:numPr>
        <w:spacing w:after="0" w:line="360" w:lineRule="auto"/>
        <w:rPr>
          <w:rFonts w:cstheme="minorHAnsi"/>
          <w:b/>
          <w:bCs/>
          <w:sz w:val="24"/>
          <w:szCs w:val="24"/>
        </w:rPr>
      </w:pPr>
      <w:r w:rsidRPr="00382933">
        <w:rPr>
          <w:rFonts w:cstheme="minorHAnsi"/>
          <w:b/>
          <w:bCs/>
          <w:sz w:val="24"/>
          <w:szCs w:val="24"/>
        </w:rPr>
        <w:t>Measure of Productivity</w:t>
      </w:r>
      <w:r w:rsidR="001379AB" w:rsidRPr="00382933">
        <w:rPr>
          <w:rFonts w:cstheme="minorHAnsi"/>
          <w:b/>
          <w:bCs/>
          <w:sz w:val="24"/>
          <w:szCs w:val="24"/>
        </w:rPr>
        <w:t xml:space="preserve"> </w:t>
      </w:r>
    </w:p>
    <w:p w14:paraId="346CCE5D" w14:textId="2BCE6F1D" w:rsidR="0024354D" w:rsidRPr="00382933" w:rsidRDefault="0024354D" w:rsidP="00382933">
      <w:pPr>
        <w:spacing w:after="0" w:line="360" w:lineRule="auto"/>
        <w:ind w:firstLine="709"/>
        <w:rPr>
          <w:rFonts w:cstheme="minorHAnsi"/>
          <w:b/>
          <w:bCs/>
          <w:sz w:val="24"/>
          <w:szCs w:val="24"/>
        </w:rPr>
      </w:pPr>
      <w:r w:rsidRPr="00382933">
        <w:rPr>
          <w:rFonts w:eastAsia="Times New Roman" w:cstheme="minorHAnsi"/>
          <w:sz w:val="24"/>
          <w:szCs w:val="24"/>
        </w:rPr>
        <w:t xml:space="preserve">Productivity growth in Australia is measured by the ABS and others using one or two interrelated measures. The first is </w:t>
      </w:r>
      <w:r w:rsidRPr="00382933">
        <w:rPr>
          <w:rFonts w:eastAsia="Times New Roman" w:cstheme="minorHAnsi"/>
          <w:i/>
          <w:iCs/>
          <w:sz w:val="24"/>
          <w:szCs w:val="24"/>
        </w:rPr>
        <w:t>labour productivity</w:t>
      </w:r>
      <w:r w:rsidRPr="00382933">
        <w:rPr>
          <w:rFonts w:eastAsia="Times New Roman" w:cstheme="minorHAnsi"/>
          <w:sz w:val="24"/>
          <w:szCs w:val="24"/>
        </w:rPr>
        <w:t xml:space="preserve">, which is defined as output per unit of labour input (typically measured in terms of hours worked).  The second is </w:t>
      </w:r>
      <w:r w:rsidRPr="00382933">
        <w:rPr>
          <w:rFonts w:eastAsia="Times New Roman" w:cstheme="minorHAnsi"/>
          <w:i/>
          <w:iCs/>
          <w:sz w:val="24"/>
          <w:szCs w:val="24"/>
        </w:rPr>
        <w:t>multifactor productivity</w:t>
      </w:r>
      <w:r w:rsidRPr="00382933">
        <w:rPr>
          <w:rFonts w:eastAsia="Times New Roman" w:cstheme="minorHAnsi"/>
          <w:sz w:val="24"/>
          <w:szCs w:val="24"/>
        </w:rPr>
        <w:t xml:space="preserve"> (MFP), which is a residual measure after taking out the contribution made by the increased use of capital inputs per unit of labour input in production (termed ‘capital deepening’).  MFP is generally interpreted as a measure of the efficiency with which labour and capital inputs combined are used in productivity.  Most analysis typically assesses changes in productivity growth rates over time rather than focusing on the underlying level of productivity.</w:t>
      </w:r>
    </w:p>
    <w:p w14:paraId="3D7B87E0" w14:textId="76923CBC" w:rsidR="006A50B9" w:rsidRPr="003558E2" w:rsidRDefault="1D7BC71A" w:rsidP="006A50B9">
      <w:pPr>
        <w:spacing w:line="360" w:lineRule="auto"/>
        <w:ind w:firstLine="720"/>
        <w:jc w:val="both"/>
        <w:rPr>
          <w:rFonts w:eastAsia="Calibri" w:cstheme="minorHAnsi"/>
          <w:sz w:val="24"/>
          <w:szCs w:val="24"/>
        </w:rPr>
      </w:pPr>
      <w:r w:rsidRPr="003558E2">
        <w:rPr>
          <w:rFonts w:eastAsia="Calibri" w:cstheme="minorHAnsi"/>
          <w:sz w:val="24"/>
          <w:szCs w:val="24"/>
        </w:rPr>
        <w:t xml:space="preserve">The starting point in terms of generating </w:t>
      </w:r>
      <w:r w:rsidR="00275B59">
        <w:rPr>
          <w:rFonts w:eastAsia="Calibri" w:cstheme="minorHAnsi"/>
          <w:sz w:val="24"/>
          <w:szCs w:val="24"/>
        </w:rPr>
        <w:t xml:space="preserve">an </w:t>
      </w:r>
      <w:r w:rsidRPr="003558E2">
        <w:rPr>
          <w:rFonts w:eastAsia="Calibri" w:cstheme="minorHAnsi"/>
          <w:sz w:val="24"/>
          <w:szCs w:val="24"/>
        </w:rPr>
        <w:t>efficiency measure is the Cobb-Douglas stochastic frontier model. The specification of the model is represented as:</w:t>
      </w:r>
    </w:p>
    <w:p w14:paraId="07996488" w14:textId="39C108CE" w:rsidR="006A50B9" w:rsidRPr="003558E2" w:rsidRDefault="1D7BC71A" w:rsidP="006A50B9">
      <w:pPr>
        <w:spacing w:line="360" w:lineRule="auto"/>
        <w:ind w:firstLine="720"/>
        <w:jc w:val="both"/>
        <w:rPr>
          <w:rFonts w:cstheme="minorHAnsi"/>
          <w:sz w:val="24"/>
          <w:szCs w:val="24"/>
        </w:rPr>
      </w:pPr>
      <w:r w:rsidRPr="003558E2">
        <w:rPr>
          <w:rFonts w:eastAsia="Calibri" w:cstheme="minorHAnsi"/>
          <w:sz w:val="24"/>
          <w:szCs w:val="24"/>
        </w:rPr>
        <w:t xml:space="preserve"> </w:t>
      </w:r>
      <w:r w:rsidR="006A50B9" w:rsidRPr="003558E2">
        <w:rPr>
          <w:rFonts w:cstheme="minorHAnsi"/>
          <w:i/>
          <w:sz w:val="24"/>
          <w:szCs w:val="24"/>
        </w:rPr>
        <w:br/>
      </w:r>
      <m:oMathPara>
        <m:oMath>
          <m:sSub>
            <m:sSubPr>
              <m:ctrlPr>
                <w:rPr>
                  <w:rFonts w:ascii="Cambria Math" w:hAnsi="Cambria Math" w:cstheme="minorHAnsi"/>
                  <w:i/>
                  <w:sz w:val="24"/>
                  <w:szCs w:val="24"/>
                </w:rPr>
              </m:ctrlPr>
            </m:sSubPr>
            <m:e>
              <m:r>
                <w:rPr>
                  <w:rFonts w:ascii="Cambria Math" w:hAnsi="Cambria Math" w:cstheme="minorHAnsi"/>
                  <w:sz w:val="24"/>
                  <w:szCs w:val="24"/>
                </w:rPr>
                <m:t>Y</m:t>
              </m:r>
            </m:e>
            <m:sub>
              <m:r>
                <w:rPr>
                  <w:rFonts w:ascii="Cambria Math" w:hAnsi="Cambria Math" w:cstheme="minorHAnsi"/>
                  <w:sz w:val="24"/>
                  <w:szCs w:val="24"/>
                </w:rPr>
                <m:t>it</m:t>
              </m:r>
            </m:sub>
          </m:sSub>
          <m:r>
            <w:rPr>
              <w:rFonts w:ascii="Cambria Math" w:hAnsi="Cambria Math" w:cstheme="minorHAnsi"/>
              <w:sz w:val="24"/>
              <w:szCs w:val="24"/>
            </w:rPr>
            <m:t>=</m:t>
          </m:r>
          <m:func>
            <m:funcPr>
              <m:ctrlPr>
                <w:rPr>
                  <w:rFonts w:ascii="Cambria Math" w:hAnsi="Cambria Math" w:cstheme="minorHAnsi"/>
                  <w:i/>
                  <w:sz w:val="24"/>
                  <w:szCs w:val="24"/>
                </w:rPr>
              </m:ctrlPr>
            </m:funcPr>
            <m:fName>
              <m:r>
                <m:rPr>
                  <m:sty m:val="p"/>
                </m:rPr>
                <w:rPr>
                  <w:rFonts w:ascii="Cambria Math" w:hAnsi="Cambria Math" w:cstheme="minorHAnsi"/>
                  <w:sz w:val="24"/>
                  <w:szCs w:val="24"/>
                </w:rPr>
                <m:t>exp</m:t>
              </m:r>
            </m:fName>
            <m:e>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it</m:t>
                  </m:r>
                </m:sub>
              </m:sSub>
              <m:r>
                <w:rPr>
                  <w:rFonts w:ascii="Cambria Math" w:hAnsi="Cambria Math" w:cstheme="minorHAnsi"/>
                  <w:sz w:val="24"/>
                  <w:szCs w:val="24"/>
                </w:rPr>
                <m:t xml:space="preserve">β+ </m:t>
              </m:r>
              <m:sSub>
                <m:sSubPr>
                  <m:ctrlPr>
                    <w:rPr>
                      <w:rFonts w:ascii="Cambria Math" w:hAnsi="Cambria Math" w:cstheme="minorHAnsi"/>
                      <w:i/>
                      <w:sz w:val="24"/>
                      <w:szCs w:val="24"/>
                    </w:rPr>
                  </m:ctrlPr>
                </m:sSubPr>
                <m:e>
                  <m:r>
                    <w:rPr>
                      <w:rFonts w:ascii="Cambria Math" w:hAnsi="Cambria Math" w:cstheme="minorHAnsi"/>
                      <w:sz w:val="24"/>
                      <w:szCs w:val="24"/>
                    </w:rPr>
                    <m:t>ε</m:t>
                  </m:r>
                </m:e>
                <m:sub>
                  <m:r>
                    <w:rPr>
                      <w:rFonts w:ascii="Cambria Math" w:hAnsi="Cambria Math" w:cstheme="minorHAnsi"/>
                      <w:sz w:val="24"/>
                      <w:szCs w:val="24"/>
                    </w:rPr>
                    <m:t>it</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U</m:t>
                  </m:r>
                </m:e>
                <m:sub>
                  <m:r>
                    <w:rPr>
                      <w:rFonts w:ascii="Cambria Math" w:hAnsi="Cambria Math" w:cstheme="minorHAnsi"/>
                      <w:sz w:val="24"/>
                      <w:szCs w:val="24"/>
                    </w:rPr>
                    <m:t>it</m:t>
                  </m:r>
                </m:sub>
              </m:sSub>
              <m:r>
                <w:rPr>
                  <w:rFonts w:ascii="Cambria Math" w:hAnsi="Cambria Math" w:cstheme="minorHAnsi"/>
                  <w:sz w:val="24"/>
                  <w:szCs w:val="24"/>
                </w:rPr>
                <m:t>)</m:t>
              </m:r>
            </m:e>
          </m:func>
        </m:oMath>
      </m:oMathPara>
    </w:p>
    <w:p w14:paraId="6D96C945" w14:textId="77777777" w:rsidR="006A50B9" w:rsidRPr="003558E2" w:rsidRDefault="006A50B9" w:rsidP="006A50B9">
      <w:pPr>
        <w:spacing w:after="0" w:line="360" w:lineRule="auto"/>
        <w:jc w:val="both"/>
        <w:rPr>
          <w:rFonts w:cstheme="minorHAnsi"/>
          <w:sz w:val="24"/>
          <w:szCs w:val="24"/>
        </w:rPr>
      </w:pPr>
    </w:p>
    <w:p w14:paraId="22B27339" w14:textId="404336B6" w:rsidR="006A50B9" w:rsidRPr="003558E2" w:rsidRDefault="006A50B9" w:rsidP="006A50B9">
      <w:pPr>
        <w:spacing w:after="0" w:line="360" w:lineRule="auto"/>
        <w:jc w:val="both"/>
        <w:rPr>
          <w:rFonts w:cstheme="minorHAnsi"/>
          <w:sz w:val="24"/>
          <w:szCs w:val="24"/>
        </w:rPr>
      </w:pPr>
      <w:r w:rsidRPr="003558E2">
        <w:rPr>
          <w:rFonts w:cstheme="minorHAnsi"/>
          <w:sz w:val="24"/>
          <w:szCs w:val="24"/>
        </w:rPr>
        <w:t xml:space="preserve">Where subscripts denote the </w:t>
      </w:r>
      <w:r w:rsidRPr="003558E2">
        <w:rPr>
          <w:rFonts w:cstheme="minorHAnsi"/>
          <w:i/>
          <w:iCs/>
          <w:sz w:val="24"/>
          <w:szCs w:val="24"/>
        </w:rPr>
        <w:t>i</w:t>
      </w:r>
      <w:r w:rsidRPr="003558E2">
        <w:rPr>
          <w:rFonts w:cstheme="minorHAnsi"/>
          <w:sz w:val="24"/>
          <w:szCs w:val="24"/>
        </w:rPr>
        <w:t xml:space="preserve">th firm in the </w:t>
      </w:r>
      <w:r w:rsidRPr="003558E2">
        <w:rPr>
          <w:rFonts w:cstheme="minorHAnsi"/>
          <w:i/>
          <w:iCs/>
          <w:sz w:val="24"/>
          <w:szCs w:val="24"/>
        </w:rPr>
        <w:t>t</w:t>
      </w:r>
      <w:r w:rsidRPr="003558E2">
        <w:rPr>
          <w:rFonts w:cstheme="minorHAnsi"/>
          <w:sz w:val="24"/>
          <w:szCs w:val="24"/>
        </w:rPr>
        <w:t xml:space="preserve">th year respectively. X is a vector of inputs, β is the set of parameters to be estimated, ε is assumed to be independent and identically distributed random error which have normal distribution with mean zero and unknown variance.  </w:t>
      </w:r>
      <m:oMath>
        <m:r>
          <w:rPr>
            <w:rFonts w:ascii="Cambria Math" w:hAnsi="Cambria Math" w:cstheme="minorHAnsi"/>
            <w:sz w:val="24"/>
            <w:szCs w:val="24"/>
          </w:rPr>
          <m:t>U</m:t>
        </m:r>
      </m:oMath>
      <w:r w:rsidRPr="003558E2">
        <w:rPr>
          <w:rFonts w:cstheme="minorHAnsi"/>
          <w:sz w:val="24"/>
          <w:szCs w:val="24"/>
        </w:rPr>
        <w:t xml:space="preserve"> is the non-negative unobservable random variable associated with the technical efficiency of production.</w:t>
      </w:r>
    </w:p>
    <w:p w14:paraId="32FB25ED" w14:textId="77777777" w:rsidR="006A50B9" w:rsidRPr="003558E2" w:rsidRDefault="006A50B9" w:rsidP="006A50B9">
      <w:pPr>
        <w:spacing w:after="0" w:line="360" w:lineRule="auto"/>
        <w:jc w:val="both"/>
        <w:rPr>
          <w:rFonts w:cstheme="minorHAnsi"/>
          <w:sz w:val="24"/>
          <w:szCs w:val="24"/>
        </w:rPr>
      </w:pPr>
    </w:p>
    <w:p w14:paraId="67EAD53B" w14:textId="77777777" w:rsidR="006A50B9" w:rsidRPr="003558E2" w:rsidRDefault="006A50B9" w:rsidP="006A50B9">
      <w:pPr>
        <w:spacing w:after="0" w:line="360" w:lineRule="auto"/>
        <w:jc w:val="both"/>
        <w:rPr>
          <w:rFonts w:cstheme="minorHAnsi"/>
          <w:sz w:val="24"/>
          <w:szCs w:val="24"/>
        </w:rPr>
      </w:pPr>
      <w:r w:rsidRPr="003558E2">
        <w:rPr>
          <w:rFonts w:cstheme="minorHAnsi"/>
          <w:sz w:val="24"/>
          <w:szCs w:val="24"/>
        </w:rPr>
        <w:t>The functional form of the Cobb Douglas stochastic frontier production is thus converted for estimation as:</w:t>
      </w:r>
    </w:p>
    <w:p w14:paraId="370313FF" w14:textId="77777777" w:rsidR="006A50B9" w:rsidRPr="003558E2" w:rsidRDefault="006A50B9" w:rsidP="006A50B9">
      <w:pPr>
        <w:spacing w:after="0" w:line="360" w:lineRule="auto"/>
        <w:jc w:val="both"/>
        <w:rPr>
          <w:rFonts w:cstheme="minorHAnsi"/>
          <w:sz w:val="24"/>
          <w:szCs w:val="24"/>
        </w:rPr>
      </w:pPr>
    </w:p>
    <w:p w14:paraId="0C22F621" w14:textId="2D0FD0A7" w:rsidR="006A50B9" w:rsidRPr="003558E2" w:rsidRDefault="000F2149" w:rsidP="00D71052">
      <w:pPr>
        <w:spacing w:after="0" w:line="360" w:lineRule="auto"/>
        <w:jc w:val="center"/>
        <w:rPr>
          <w:rFonts w:cstheme="minorHAnsi"/>
          <w:sz w:val="24"/>
          <w:szCs w:val="24"/>
        </w:rPr>
      </w:pPr>
      <m:oMathPara>
        <m:oMath>
          <m:func>
            <m:funcPr>
              <m:ctrlPr>
                <w:rPr>
                  <w:rFonts w:ascii="Cambria Math" w:hAnsi="Cambria Math" w:cstheme="minorHAnsi"/>
                  <w:i/>
                  <w:sz w:val="24"/>
                  <w:szCs w:val="24"/>
                </w:rPr>
              </m:ctrlPr>
            </m:funcPr>
            <m:fName>
              <m:r>
                <m:rPr>
                  <m:sty m:val="p"/>
                </m:rPr>
                <w:rPr>
                  <w:rFonts w:ascii="Cambria Math" w:hAnsi="Cambria Math" w:cstheme="minorHAnsi"/>
                  <w:sz w:val="24"/>
                  <w:szCs w:val="24"/>
                </w:rPr>
                <m:t>ln</m:t>
              </m:r>
            </m:fName>
            <m:e>
              <m:sSub>
                <m:sSubPr>
                  <m:ctrlPr>
                    <w:rPr>
                      <w:rFonts w:ascii="Cambria Math" w:hAnsi="Cambria Math" w:cstheme="minorHAnsi"/>
                      <w:i/>
                      <w:sz w:val="24"/>
                      <w:szCs w:val="24"/>
                    </w:rPr>
                  </m:ctrlPr>
                </m:sSubPr>
                <m:e>
                  <m:r>
                    <w:rPr>
                      <w:rFonts w:ascii="Cambria Math" w:hAnsi="Cambria Math" w:cstheme="minorHAnsi"/>
                      <w:sz w:val="24"/>
                      <w:szCs w:val="24"/>
                    </w:rPr>
                    <m:t>Y</m:t>
                  </m:r>
                </m:e>
                <m:sub>
                  <m:r>
                    <w:rPr>
                      <w:rFonts w:ascii="Cambria Math" w:hAnsi="Cambria Math" w:cstheme="minorHAnsi"/>
                      <w:sz w:val="24"/>
                      <w:szCs w:val="24"/>
                    </w:rPr>
                    <m:t>it</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0</m:t>
                  </m:r>
                </m:sub>
              </m:sSub>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1</m:t>
                  </m:r>
                </m:sub>
              </m:sSub>
              <m:sSub>
                <m:sSubPr>
                  <m:ctrlPr>
                    <w:rPr>
                      <w:rFonts w:ascii="Cambria Math" w:hAnsi="Cambria Math" w:cstheme="minorHAnsi"/>
                      <w:i/>
                      <w:sz w:val="24"/>
                      <w:szCs w:val="24"/>
                    </w:rPr>
                  </m:ctrlPr>
                </m:sSubPr>
                <m:e>
                  <m:func>
                    <m:funcPr>
                      <m:ctrlPr>
                        <w:rPr>
                          <w:rFonts w:ascii="Cambria Math" w:hAnsi="Cambria Math" w:cstheme="minorHAnsi"/>
                          <w:i/>
                          <w:sz w:val="24"/>
                          <w:szCs w:val="24"/>
                        </w:rPr>
                      </m:ctrlPr>
                    </m:funcPr>
                    <m:fName>
                      <m:r>
                        <m:rPr>
                          <m:sty m:val="p"/>
                        </m:rPr>
                        <w:rPr>
                          <w:rFonts w:ascii="Cambria Math" w:hAnsi="Cambria Math" w:cstheme="minorHAnsi"/>
                          <w:sz w:val="24"/>
                          <w:szCs w:val="24"/>
                        </w:rPr>
                        <m:t>ln</m:t>
                      </m:r>
                    </m:fName>
                    <m:e>
                      <m:r>
                        <w:rPr>
                          <w:rFonts w:ascii="Cambria Math" w:hAnsi="Cambria Math" w:cstheme="minorHAnsi"/>
                          <w:sz w:val="24"/>
                          <w:szCs w:val="24"/>
                        </w:rPr>
                        <m:t>K</m:t>
                      </m:r>
                    </m:e>
                  </m:func>
                </m:e>
                <m:sub>
                  <m:r>
                    <w:rPr>
                      <w:rFonts w:ascii="Cambria Math" w:hAnsi="Cambria Math" w:cstheme="minorHAnsi"/>
                      <w:sz w:val="24"/>
                      <w:szCs w:val="24"/>
                    </w:rPr>
                    <m:t>it</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2</m:t>
                  </m:r>
                </m:sub>
              </m:sSub>
              <m:sSub>
                <m:sSubPr>
                  <m:ctrlPr>
                    <w:rPr>
                      <w:rFonts w:ascii="Cambria Math" w:hAnsi="Cambria Math" w:cstheme="minorHAnsi"/>
                      <w:i/>
                      <w:sz w:val="24"/>
                      <w:szCs w:val="24"/>
                    </w:rPr>
                  </m:ctrlPr>
                </m:sSubPr>
                <m:e>
                  <m:func>
                    <m:funcPr>
                      <m:ctrlPr>
                        <w:rPr>
                          <w:rFonts w:ascii="Cambria Math" w:hAnsi="Cambria Math" w:cstheme="minorHAnsi"/>
                          <w:i/>
                          <w:sz w:val="24"/>
                          <w:szCs w:val="24"/>
                        </w:rPr>
                      </m:ctrlPr>
                    </m:funcPr>
                    <m:fName>
                      <m:r>
                        <m:rPr>
                          <m:sty m:val="p"/>
                        </m:rPr>
                        <w:rPr>
                          <w:rFonts w:ascii="Cambria Math" w:hAnsi="Cambria Math" w:cstheme="minorHAnsi"/>
                          <w:sz w:val="24"/>
                          <w:szCs w:val="24"/>
                        </w:rPr>
                        <m:t>ln</m:t>
                      </m:r>
                    </m:fName>
                    <m:e>
                      <m:r>
                        <w:rPr>
                          <w:rFonts w:ascii="Cambria Math" w:hAnsi="Cambria Math" w:cstheme="minorHAnsi"/>
                          <w:sz w:val="24"/>
                          <w:szCs w:val="24"/>
                        </w:rPr>
                        <m:t>L</m:t>
                      </m:r>
                    </m:e>
                  </m:func>
                </m:e>
                <m:sub>
                  <m:r>
                    <w:rPr>
                      <w:rFonts w:ascii="Cambria Math" w:hAnsi="Cambria Math" w:cstheme="minorHAnsi"/>
                      <w:sz w:val="24"/>
                      <w:szCs w:val="24"/>
                    </w:rPr>
                    <m:t>it</m:t>
                  </m:r>
                </m:sub>
              </m:sSub>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3</m:t>
                  </m:r>
                </m:sub>
              </m:sSub>
              <m:sSub>
                <m:sSubPr>
                  <m:ctrlPr>
                    <w:rPr>
                      <w:rFonts w:ascii="Cambria Math" w:hAnsi="Cambria Math" w:cstheme="minorHAnsi"/>
                      <w:i/>
                      <w:sz w:val="24"/>
                      <w:szCs w:val="24"/>
                    </w:rPr>
                  </m:ctrlPr>
                </m:sSubPr>
                <m:e>
                  <m:r>
                    <w:rPr>
                      <w:rFonts w:ascii="Cambria Math" w:hAnsi="Cambria Math" w:cstheme="minorHAnsi"/>
                      <w:sz w:val="24"/>
                      <w:szCs w:val="24"/>
                    </w:rPr>
                    <m:t>H</m:t>
                  </m:r>
                </m:e>
                <m:sub>
                  <m:r>
                    <w:rPr>
                      <w:rFonts w:ascii="Cambria Math" w:hAnsi="Cambria Math" w:cstheme="minorHAnsi"/>
                      <w:sz w:val="24"/>
                      <w:szCs w:val="24"/>
                    </w:rPr>
                    <m:t>it</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4</m:t>
                  </m:r>
                </m:sub>
              </m:sSub>
              <m:sSub>
                <m:sSubPr>
                  <m:ctrlPr>
                    <w:rPr>
                      <w:rFonts w:ascii="Cambria Math" w:hAnsi="Cambria Math" w:cstheme="minorHAnsi"/>
                      <w:i/>
                      <w:sz w:val="24"/>
                      <w:szCs w:val="24"/>
                    </w:rPr>
                  </m:ctrlPr>
                </m:sSubPr>
                <m:e>
                  <m:func>
                    <m:funcPr>
                      <m:ctrlPr>
                        <w:rPr>
                          <w:rFonts w:ascii="Cambria Math" w:hAnsi="Cambria Math" w:cstheme="minorHAnsi"/>
                          <w:i/>
                          <w:sz w:val="24"/>
                          <w:szCs w:val="24"/>
                        </w:rPr>
                      </m:ctrlPr>
                    </m:funcPr>
                    <m:fName>
                      <m:r>
                        <m:rPr>
                          <m:sty m:val="p"/>
                        </m:rPr>
                        <w:rPr>
                          <w:rFonts w:ascii="Cambria Math" w:hAnsi="Cambria Math" w:cstheme="minorHAnsi"/>
                          <w:sz w:val="24"/>
                          <w:szCs w:val="24"/>
                        </w:rPr>
                        <m:t>ln</m:t>
                      </m:r>
                    </m:fName>
                    <m:e>
                      <m:r>
                        <w:rPr>
                          <w:rFonts w:ascii="Cambria Math" w:hAnsi="Cambria Math" w:cstheme="minorHAnsi"/>
                          <w:sz w:val="24"/>
                          <w:szCs w:val="24"/>
                        </w:rPr>
                        <m:t>R</m:t>
                      </m:r>
                    </m:e>
                  </m:func>
                </m:e>
                <m:sub>
                  <m:r>
                    <w:rPr>
                      <w:rFonts w:ascii="Cambria Math" w:hAnsi="Cambria Math" w:cstheme="minorHAnsi"/>
                      <w:sz w:val="24"/>
                      <w:szCs w:val="24"/>
                    </w:rPr>
                    <m:t>it</m:t>
                  </m:r>
                </m:sub>
              </m:sSub>
              <m:r>
                <w:rPr>
                  <w:rFonts w:ascii="Cambria Math" w:hAnsi="Cambria Math" w:cstheme="minorHAnsi"/>
                  <w:sz w:val="24"/>
                  <w:szCs w:val="24"/>
                </w:rPr>
                <m:t>+</m:t>
              </m:r>
            </m:e>
          </m:func>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ε</m:t>
              </m:r>
            </m:e>
            <m:sub>
              <m:r>
                <w:rPr>
                  <w:rFonts w:ascii="Cambria Math" w:hAnsi="Cambria Math" w:cstheme="minorHAnsi"/>
                  <w:sz w:val="24"/>
                  <w:szCs w:val="24"/>
                </w:rPr>
                <m:t>it</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U</m:t>
              </m:r>
            </m:e>
            <m:sub>
              <m:r>
                <w:rPr>
                  <w:rFonts w:ascii="Cambria Math" w:hAnsi="Cambria Math" w:cstheme="minorHAnsi"/>
                  <w:sz w:val="24"/>
                  <w:szCs w:val="24"/>
                </w:rPr>
                <m:t>it</m:t>
              </m:r>
            </m:sub>
          </m:sSub>
        </m:oMath>
      </m:oMathPara>
    </w:p>
    <w:p w14:paraId="12AC5B11" w14:textId="6609D3DD" w:rsidR="1D7BC71A" w:rsidRPr="003558E2" w:rsidRDefault="1D7BC71A" w:rsidP="006A50B9">
      <w:pPr>
        <w:spacing w:line="257" w:lineRule="auto"/>
        <w:jc w:val="both"/>
        <w:rPr>
          <w:rFonts w:cstheme="minorHAnsi"/>
          <w:sz w:val="24"/>
          <w:szCs w:val="24"/>
        </w:rPr>
      </w:pPr>
      <w:r w:rsidRPr="003558E2">
        <w:rPr>
          <w:rFonts w:eastAsia="Calibri" w:cstheme="minorHAnsi"/>
          <w:sz w:val="24"/>
          <w:szCs w:val="24"/>
        </w:rPr>
        <w:t xml:space="preserve">  </w:t>
      </w:r>
    </w:p>
    <w:p w14:paraId="45D54972" w14:textId="30427551" w:rsidR="1D7BC71A" w:rsidRPr="003558E2" w:rsidRDefault="1D7BC71A" w:rsidP="1D7BC71A">
      <w:pPr>
        <w:spacing w:line="360" w:lineRule="auto"/>
        <w:jc w:val="both"/>
        <w:rPr>
          <w:rFonts w:cstheme="minorHAnsi"/>
          <w:sz w:val="24"/>
          <w:szCs w:val="24"/>
        </w:rPr>
      </w:pPr>
      <w:r w:rsidRPr="003558E2">
        <w:rPr>
          <w:rFonts w:eastAsia="Calibri" w:cstheme="minorHAnsi"/>
          <w:sz w:val="24"/>
          <w:szCs w:val="24"/>
        </w:rPr>
        <w:t xml:space="preserve">Where Y, the dependent variable is represented as total income. The inputs for each firm are capital expenditure (K), labour (L), a measure of human capital skills (H) and R &amp;D expenditure (R). </w:t>
      </w:r>
      <w:r w:rsidRPr="003558E2">
        <w:rPr>
          <w:rFonts w:eastAsia="Calibri" w:cstheme="minorHAnsi"/>
          <w:color w:val="000000" w:themeColor="text1"/>
          <w:sz w:val="24"/>
          <w:szCs w:val="24"/>
        </w:rPr>
        <w:t>We estimate the efficiency of private companies by utilising the above functional form to generate a measure of relative efficiency of each private company within its respective industry for each year between 2006 and 2018. We estimate an efficient frontier for all private companies across 19 industries over the 13-year period by assessing the above inputs used by the company to generate the output.</w:t>
      </w:r>
    </w:p>
    <w:p w14:paraId="4528A2AC" w14:textId="1D461E4B" w:rsidR="1D7BC71A" w:rsidRDefault="1D7BC71A" w:rsidP="006A50B9">
      <w:pPr>
        <w:spacing w:line="360" w:lineRule="auto"/>
        <w:rPr>
          <w:rFonts w:eastAsia="Calibri" w:cstheme="minorHAnsi"/>
          <w:sz w:val="24"/>
          <w:szCs w:val="24"/>
        </w:rPr>
      </w:pPr>
      <w:r w:rsidRPr="003558E2">
        <w:rPr>
          <w:rFonts w:eastAsia="Calibri" w:cstheme="minorHAnsi"/>
          <w:sz w:val="24"/>
          <w:szCs w:val="24"/>
        </w:rPr>
        <w:t xml:space="preserve"> </w:t>
      </w:r>
      <w:r w:rsidR="006A50B9" w:rsidRPr="003558E2">
        <w:rPr>
          <w:rFonts w:eastAsia="Calibri" w:cstheme="minorHAnsi"/>
          <w:sz w:val="24"/>
          <w:szCs w:val="24"/>
        </w:rPr>
        <w:tab/>
      </w:r>
      <w:r w:rsidRPr="003558E2">
        <w:rPr>
          <w:rFonts w:eastAsia="Calibri" w:cstheme="minorHAnsi"/>
          <w:sz w:val="24"/>
          <w:szCs w:val="24"/>
        </w:rPr>
        <w:t>We use two composite measures to represent the firm’s human cap</w:t>
      </w:r>
      <w:r w:rsidR="00C75968">
        <w:rPr>
          <w:rFonts w:eastAsia="Calibri" w:cstheme="minorHAnsi"/>
          <w:sz w:val="24"/>
          <w:szCs w:val="24"/>
        </w:rPr>
        <w:t>abilities</w:t>
      </w:r>
      <w:r w:rsidRPr="003558E2">
        <w:rPr>
          <w:rFonts w:eastAsia="Calibri" w:cstheme="minorHAnsi"/>
          <w:sz w:val="24"/>
          <w:szCs w:val="24"/>
        </w:rPr>
        <w:t xml:space="preserve">: technical skills and business skills. The composite measure representing technical skills – TECH - comprises skills in the following areas: engineering; scientific and research; information technology professionals; information technology support technicians; transport, plant and machinery operation. The composite measure representing business skills – BUSS – comprises skills in trades; marketing; project management; business management; and financial. </w:t>
      </w:r>
      <w:r w:rsidR="00307BDF">
        <w:rPr>
          <w:rFonts w:eastAsia="Calibri" w:cstheme="minorHAnsi"/>
          <w:sz w:val="24"/>
          <w:szCs w:val="24"/>
        </w:rPr>
        <w:t>Accordingly</w:t>
      </w:r>
      <w:r w:rsidRPr="003558E2">
        <w:rPr>
          <w:rFonts w:eastAsia="Calibri" w:cstheme="minorHAnsi"/>
          <w:sz w:val="24"/>
          <w:szCs w:val="24"/>
        </w:rPr>
        <w:t>, the variable ‘technical skills’ is a</w:t>
      </w:r>
      <w:r w:rsidR="00307BDF">
        <w:rPr>
          <w:rFonts w:eastAsia="Calibri" w:cstheme="minorHAnsi"/>
          <w:sz w:val="24"/>
          <w:szCs w:val="24"/>
        </w:rPr>
        <w:t xml:space="preserve">n indicator variable </w:t>
      </w:r>
      <w:r w:rsidRPr="003558E2">
        <w:rPr>
          <w:rFonts w:eastAsia="Calibri" w:cstheme="minorHAnsi"/>
          <w:sz w:val="24"/>
          <w:szCs w:val="24"/>
        </w:rPr>
        <w:t xml:space="preserve">which takes the value of 1 if a firm comprises at least one of the skills as described above, 0 otherwise. The same </w:t>
      </w:r>
      <w:r w:rsidR="00307BDF">
        <w:rPr>
          <w:rFonts w:eastAsia="Calibri" w:cstheme="minorHAnsi"/>
          <w:sz w:val="24"/>
          <w:szCs w:val="24"/>
        </w:rPr>
        <w:t xml:space="preserve">applies to the indicator </w:t>
      </w:r>
      <w:r w:rsidRPr="003558E2">
        <w:rPr>
          <w:rFonts w:eastAsia="Calibri" w:cstheme="minorHAnsi"/>
          <w:sz w:val="24"/>
          <w:szCs w:val="24"/>
        </w:rPr>
        <w:t xml:space="preserve">variable ‘business skills’. </w:t>
      </w:r>
      <w:r w:rsidR="00307BDF">
        <w:rPr>
          <w:rFonts w:eastAsia="Calibri" w:cstheme="minorHAnsi"/>
          <w:sz w:val="24"/>
          <w:szCs w:val="24"/>
        </w:rPr>
        <w:t xml:space="preserve">While we generated </w:t>
      </w:r>
      <w:r w:rsidR="008B5213">
        <w:rPr>
          <w:rFonts w:eastAsia="Calibri" w:cstheme="minorHAnsi"/>
          <w:sz w:val="24"/>
          <w:szCs w:val="24"/>
        </w:rPr>
        <w:t>technical</w:t>
      </w:r>
      <w:r w:rsidRPr="003558E2">
        <w:rPr>
          <w:rFonts w:eastAsia="Calibri" w:cstheme="minorHAnsi"/>
          <w:sz w:val="24"/>
          <w:szCs w:val="24"/>
        </w:rPr>
        <w:t xml:space="preserve"> efficiency scores based on </w:t>
      </w:r>
      <w:r w:rsidR="008B5213">
        <w:rPr>
          <w:rFonts w:eastAsia="Calibri" w:cstheme="minorHAnsi"/>
          <w:sz w:val="24"/>
          <w:szCs w:val="24"/>
        </w:rPr>
        <w:t xml:space="preserve">separate stochastic frontier </w:t>
      </w:r>
      <w:r w:rsidRPr="003558E2">
        <w:rPr>
          <w:rFonts w:eastAsia="Calibri" w:cstheme="minorHAnsi"/>
          <w:sz w:val="24"/>
          <w:szCs w:val="24"/>
        </w:rPr>
        <w:t>model</w:t>
      </w:r>
      <w:r w:rsidR="008B5213">
        <w:rPr>
          <w:rFonts w:eastAsia="Calibri" w:cstheme="minorHAnsi"/>
          <w:sz w:val="24"/>
          <w:szCs w:val="24"/>
        </w:rPr>
        <w:t>s</w:t>
      </w:r>
      <w:r w:rsidRPr="003558E2">
        <w:rPr>
          <w:rFonts w:eastAsia="Calibri" w:cstheme="minorHAnsi"/>
          <w:sz w:val="24"/>
          <w:szCs w:val="24"/>
        </w:rPr>
        <w:t xml:space="preserve">, </w:t>
      </w:r>
      <w:r w:rsidR="008B5213">
        <w:rPr>
          <w:rFonts w:eastAsia="Calibri" w:cstheme="minorHAnsi"/>
          <w:sz w:val="24"/>
          <w:szCs w:val="24"/>
        </w:rPr>
        <w:t xml:space="preserve">that is, </w:t>
      </w:r>
      <w:r w:rsidRPr="003558E2">
        <w:rPr>
          <w:rFonts w:eastAsia="Calibri" w:cstheme="minorHAnsi"/>
          <w:sz w:val="24"/>
          <w:szCs w:val="24"/>
        </w:rPr>
        <w:t xml:space="preserve">one </w:t>
      </w:r>
      <w:r w:rsidR="008B5213">
        <w:rPr>
          <w:rFonts w:eastAsia="Calibri" w:cstheme="minorHAnsi"/>
          <w:sz w:val="24"/>
          <w:szCs w:val="24"/>
        </w:rPr>
        <w:t>model includes</w:t>
      </w:r>
      <w:r w:rsidRPr="003558E2">
        <w:rPr>
          <w:rFonts w:eastAsia="Calibri" w:cstheme="minorHAnsi"/>
          <w:sz w:val="24"/>
          <w:szCs w:val="24"/>
        </w:rPr>
        <w:t xml:space="preserve"> technical human skills and </w:t>
      </w:r>
      <w:r w:rsidR="008B5213">
        <w:rPr>
          <w:rFonts w:eastAsia="Calibri" w:cstheme="minorHAnsi"/>
          <w:sz w:val="24"/>
          <w:szCs w:val="24"/>
        </w:rPr>
        <w:t xml:space="preserve">the other model includes </w:t>
      </w:r>
      <w:r w:rsidRPr="003558E2">
        <w:rPr>
          <w:rFonts w:eastAsia="Calibri" w:cstheme="minorHAnsi"/>
          <w:sz w:val="24"/>
          <w:szCs w:val="24"/>
        </w:rPr>
        <w:t xml:space="preserve">business skills along with the </w:t>
      </w:r>
      <w:r w:rsidRPr="003558E2">
        <w:rPr>
          <w:rFonts w:eastAsia="Calibri" w:cstheme="minorHAnsi"/>
          <w:sz w:val="24"/>
          <w:szCs w:val="24"/>
        </w:rPr>
        <w:lastRenderedPageBreak/>
        <w:t>other inputs</w:t>
      </w:r>
      <w:r w:rsidR="008B5213">
        <w:rPr>
          <w:rFonts w:eastAsia="Calibri" w:cstheme="minorHAnsi"/>
          <w:sz w:val="24"/>
          <w:szCs w:val="24"/>
        </w:rPr>
        <w:t xml:space="preserve"> as outlined earlier, there were no significant differences in the technical efficiency scores generated by these two models</w:t>
      </w:r>
      <w:r w:rsidRPr="003558E2">
        <w:rPr>
          <w:rFonts w:eastAsia="Calibri" w:cstheme="minorHAnsi"/>
          <w:sz w:val="24"/>
          <w:szCs w:val="24"/>
        </w:rPr>
        <w:t xml:space="preserve">. </w:t>
      </w:r>
    </w:p>
    <w:p w14:paraId="2FFBCF40" w14:textId="7BFD0D86" w:rsidR="00337F33" w:rsidRPr="003558E2" w:rsidRDefault="00337F33" w:rsidP="006A50B9">
      <w:pPr>
        <w:spacing w:line="360" w:lineRule="auto"/>
        <w:rPr>
          <w:rFonts w:cstheme="minorHAnsi"/>
          <w:sz w:val="24"/>
          <w:szCs w:val="24"/>
        </w:rPr>
      </w:pPr>
      <w:r>
        <w:rPr>
          <w:rFonts w:eastAsia="Calibri" w:cstheme="minorHAnsi"/>
          <w:sz w:val="24"/>
          <w:szCs w:val="24"/>
        </w:rPr>
        <w:tab/>
        <w:t xml:space="preserve">Definitions </w:t>
      </w:r>
      <w:r w:rsidR="001F2B6D">
        <w:rPr>
          <w:rFonts w:eastAsia="Calibri" w:cstheme="minorHAnsi"/>
          <w:sz w:val="24"/>
          <w:szCs w:val="24"/>
        </w:rPr>
        <w:t xml:space="preserve">and explanations </w:t>
      </w:r>
      <w:r>
        <w:rPr>
          <w:rFonts w:eastAsia="Calibri" w:cstheme="minorHAnsi"/>
          <w:sz w:val="24"/>
          <w:szCs w:val="24"/>
        </w:rPr>
        <w:t xml:space="preserve">of explanatory and control variables are provided </w:t>
      </w:r>
      <w:r w:rsidR="001F2B6D">
        <w:rPr>
          <w:rFonts w:eastAsia="Calibri" w:cstheme="minorHAnsi"/>
          <w:sz w:val="24"/>
          <w:szCs w:val="24"/>
        </w:rPr>
        <w:t>in the relevant results sections below.</w:t>
      </w:r>
    </w:p>
    <w:p w14:paraId="20BDEB64" w14:textId="3D6F5538" w:rsidR="001379AB" w:rsidRPr="001379AB" w:rsidRDefault="001379AB" w:rsidP="001379AB">
      <w:pPr>
        <w:pStyle w:val="ListParagraph"/>
        <w:numPr>
          <w:ilvl w:val="0"/>
          <w:numId w:val="1"/>
        </w:numPr>
        <w:spacing w:after="0" w:line="360" w:lineRule="auto"/>
        <w:rPr>
          <w:rFonts w:cstheme="minorHAnsi"/>
          <w:b/>
          <w:bCs/>
          <w:sz w:val="28"/>
          <w:szCs w:val="28"/>
        </w:rPr>
      </w:pPr>
      <w:r w:rsidRPr="001379AB">
        <w:rPr>
          <w:rFonts w:cstheme="minorHAnsi"/>
          <w:b/>
          <w:bCs/>
          <w:sz w:val="28"/>
          <w:szCs w:val="28"/>
        </w:rPr>
        <w:t>Results</w:t>
      </w:r>
    </w:p>
    <w:p w14:paraId="31FB1EF2" w14:textId="77777777" w:rsidR="00BE6E1D" w:rsidRPr="00BE6E1D" w:rsidRDefault="00200279" w:rsidP="00BE6E1D">
      <w:pPr>
        <w:pStyle w:val="ListParagraph"/>
        <w:numPr>
          <w:ilvl w:val="1"/>
          <w:numId w:val="1"/>
        </w:numPr>
        <w:spacing w:after="0" w:line="360" w:lineRule="auto"/>
        <w:rPr>
          <w:rFonts w:cstheme="minorHAnsi"/>
          <w:b/>
          <w:bCs/>
          <w:sz w:val="24"/>
          <w:szCs w:val="24"/>
        </w:rPr>
      </w:pPr>
      <w:r w:rsidRPr="00BE6E1D">
        <w:rPr>
          <w:rFonts w:cstheme="minorHAnsi"/>
          <w:b/>
          <w:bCs/>
          <w:sz w:val="24"/>
          <w:szCs w:val="24"/>
        </w:rPr>
        <w:t>Productivity (Technical Efficiency) of Australian Private Companies</w:t>
      </w:r>
      <w:r w:rsidR="001379AB" w:rsidRPr="00BE6E1D">
        <w:rPr>
          <w:rFonts w:cstheme="minorHAnsi"/>
          <w:b/>
          <w:bCs/>
          <w:sz w:val="24"/>
          <w:szCs w:val="24"/>
        </w:rPr>
        <w:t xml:space="preserve"> </w:t>
      </w:r>
    </w:p>
    <w:p w14:paraId="3E0A4E63" w14:textId="2604D6E0" w:rsidR="000604EB" w:rsidRPr="00BE6E1D" w:rsidRDefault="006F7681" w:rsidP="00BE6E1D">
      <w:pPr>
        <w:spacing w:after="0" w:line="360" w:lineRule="auto"/>
        <w:ind w:firstLine="360"/>
        <w:rPr>
          <w:rFonts w:cstheme="minorHAnsi"/>
          <w:sz w:val="24"/>
          <w:szCs w:val="24"/>
        </w:rPr>
      </w:pPr>
      <w:r w:rsidRPr="00BE6E1D">
        <w:rPr>
          <w:rFonts w:cstheme="minorHAnsi"/>
          <w:sz w:val="24"/>
          <w:szCs w:val="24"/>
        </w:rPr>
        <w:t>Analyses of the data in the ABS BLADE environment shows that the</w:t>
      </w:r>
      <w:r w:rsidR="00320681" w:rsidRPr="00BE6E1D">
        <w:rPr>
          <w:rFonts w:cstheme="minorHAnsi"/>
          <w:sz w:val="24"/>
          <w:szCs w:val="24"/>
        </w:rPr>
        <w:t xml:space="preserve"> </w:t>
      </w:r>
      <w:r w:rsidR="009D344E" w:rsidRPr="00BE6E1D">
        <w:rPr>
          <w:rFonts w:cstheme="minorHAnsi"/>
          <w:sz w:val="24"/>
          <w:szCs w:val="24"/>
        </w:rPr>
        <w:t xml:space="preserve">unweighted average </w:t>
      </w:r>
      <w:r w:rsidR="00320681" w:rsidRPr="00BE6E1D">
        <w:rPr>
          <w:rFonts w:cstheme="minorHAnsi"/>
          <w:sz w:val="24"/>
          <w:szCs w:val="24"/>
        </w:rPr>
        <w:t>productivity</w:t>
      </w:r>
      <w:r w:rsidR="00275B59" w:rsidRPr="00BE6E1D">
        <w:rPr>
          <w:rFonts w:cstheme="minorHAnsi"/>
          <w:sz w:val="24"/>
          <w:szCs w:val="24"/>
        </w:rPr>
        <w:t xml:space="preserve">/ </w:t>
      </w:r>
      <w:r w:rsidRPr="00BE6E1D">
        <w:rPr>
          <w:rFonts w:cstheme="minorHAnsi"/>
          <w:sz w:val="24"/>
          <w:szCs w:val="24"/>
        </w:rPr>
        <w:t xml:space="preserve">technical efficiency </w:t>
      </w:r>
      <w:r w:rsidR="00383056" w:rsidRPr="00BE6E1D">
        <w:rPr>
          <w:rFonts w:cstheme="minorHAnsi"/>
          <w:sz w:val="24"/>
          <w:szCs w:val="24"/>
        </w:rPr>
        <w:t xml:space="preserve">growth </w:t>
      </w:r>
      <w:r w:rsidRPr="00BE6E1D">
        <w:rPr>
          <w:rFonts w:cstheme="minorHAnsi"/>
          <w:sz w:val="24"/>
          <w:szCs w:val="24"/>
        </w:rPr>
        <w:t xml:space="preserve">of </w:t>
      </w:r>
      <w:r w:rsidR="00501002" w:rsidRPr="00BE6E1D">
        <w:rPr>
          <w:rFonts w:cstheme="minorHAnsi"/>
          <w:sz w:val="24"/>
          <w:szCs w:val="24"/>
        </w:rPr>
        <w:t xml:space="preserve">all </w:t>
      </w:r>
      <w:r w:rsidRPr="00BE6E1D">
        <w:rPr>
          <w:rFonts w:cstheme="minorHAnsi"/>
          <w:sz w:val="24"/>
          <w:szCs w:val="24"/>
        </w:rPr>
        <w:t xml:space="preserve">private companies </w:t>
      </w:r>
      <w:r w:rsidR="00501002" w:rsidRPr="00BE6E1D">
        <w:rPr>
          <w:rFonts w:cstheme="minorHAnsi"/>
          <w:sz w:val="24"/>
          <w:szCs w:val="24"/>
        </w:rPr>
        <w:t xml:space="preserve">(including SMEs) </w:t>
      </w:r>
      <w:r w:rsidR="00CF6453" w:rsidRPr="00BE6E1D">
        <w:rPr>
          <w:rFonts w:cstheme="minorHAnsi"/>
          <w:sz w:val="24"/>
          <w:szCs w:val="24"/>
        </w:rPr>
        <w:t>increased</w:t>
      </w:r>
      <w:r w:rsidRPr="00BE6E1D">
        <w:rPr>
          <w:rFonts w:cstheme="minorHAnsi"/>
          <w:sz w:val="24"/>
          <w:szCs w:val="24"/>
        </w:rPr>
        <w:t xml:space="preserve"> by </w:t>
      </w:r>
      <w:r w:rsidR="00383056" w:rsidRPr="00BE6E1D">
        <w:rPr>
          <w:rFonts w:cstheme="minorHAnsi"/>
          <w:sz w:val="24"/>
          <w:szCs w:val="24"/>
        </w:rPr>
        <w:t xml:space="preserve">a </w:t>
      </w:r>
      <w:r w:rsidR="00C7470C" w:rsidRPr="00BE6E1D">
        <w:rPr>
          <w:rFonts w:cstheme="minorHAnsi"/>
          <w:sz w:val="24"/>
          <w:szCs w:val="24"/>
        </w:rPr>
        <w:t>mediocre</w:t>
      </w:r>
      <w:r w:rsidR="00383056" w:rsidRPr="00BE6E1D">
        <w:rPr>
          <w:rFonts w:cstheme="minorHAnsi"/>
          <w:sz w:val="24"/>
          <w:szCs w:val="24"/>
        </w:rPr>
        <w:t xml:space="preserve"> </w:t>
      </w:r>
      <w:r w:rsidR="006F2BB5" w:rsidRPr="00BE6E1D">
        <w:rPr>
          <w:rFonts w:cstheme="minorHAnsi"/>
          <w:sz w:val="24"/>
          <w:szCs w:val="24"/>
        </w:rPr>
        <w:t>2.04</w:t>
      </w:r>
      <w:r w:rsidRPr="00BE6E1D">
        <w:rPr>
          <w:rFonts w:cstheme="minorHAnsi"/>
          <w:sz w:val="24"/>
          <w:szCs w:val="24"/>
        </w:rPr>
        <w:t xml:space="preserve"> per cent across all industries in Australia between 2006 and 201</w:t>
      </w:r>
      <w:r w:rsidR="00CF6453" w:rsidRPr="00BE6E1D">
        <w:rPr>
          <w:rFonts w:cstheme="minorHAnsi"/>
          <w:sz w:val="24"/>
          <w:szCs w:val="24"/>
        </w:rPr>
        <w:t>8</w:t>
      </w:r>
      <w:r w:rsidR="000604EB" w:rsidRPr="00BE6E1D">
        <w:rPr>
          <w:rFonts w:cstheme="minorHAnsi"/>
          <w:sz w:val="24"/>
          <w:szCs w:val="24"/>
        </w:rPr>
        <w:t>.  Figure 1 shows that</w:t>
      </w:r>
      <w:r w:rsidRPr="00BE6E1D">
        <w:rPr>
          <w:rFonts w:cstheme="minorHAnsi"/>
          <w:sz w:val="24"/>
          <w:szCs w:val="24"/>
        </w:rPr>
        <w:t xml:space="preserve"> the highest average efficiency score of </w:t>
      </w:r>
      <w:r w:rsidR="00CF6453" w:rsidRPr="00BE6E1D">
        <w:rPr>
          <w:rFonts w:cstheme="minorHAnsi"/>
          <w:sz w:val="24"/>
          <w:szCs w:val="24"/>
        </w:rPr>
        <w:t>36.25</w:t>
      </w:r>
      <w:r w:rsidRPr="00BE6E1D">
        <w:rPr>
          <w:rFonts w:cstheme="minorHAnsi"/>
          <w:sz w:val="24"/>
          <w:szCs w:val="24"/>
        </w:rPr>
        <w:t xml:space="preserve"> </w:t>
      </w:r>
      <w:r w:rsidR="000604EB" w:rsidRPr="00BE6E1D">
        <w:rPr>
          <w:rFonts w:cstheme="minorHAnsi"/>
          <w:sz w:val="24"/>
          <w:szCs w:val="24"/>
        </w:rPr>
        <w:t xml:space="preserve">was </w:t>
      </w:r>
      <w:r w:rsidRPr="00BE6E1D">
        <w:rPr>
          <w:rFonts w:cstheme="minorHAnsi"/>
          <w:sz w:val="24"/>
          <w:szCs w:val="24"/>
        </w:rPr>
        <w:t>observed in 20</w:t>
      </w:r>
      <w:r w:rsidR="00765847" w:rsidRPr="00BE6E1D">
        <w:rPr>
          <w:rFonts w:cstheme="minorHAnsi"/>
          <w:sz w:val="24"/>
          <w:szCs w:val="24"/>
        </w:rPr>
        <w:t>18</w:t>
      </w:r>
      <w:r w:rsidRPr="00BE6E1D">
        <w:rPr>
          <w:rFonts w:cstheme="minorHAnsi"/>
          <w:sz w:val="24"/>
          <w:szCs w:val="24"/>
        </w:rPr>
        <w:t xml:space="preserve">, </w:t>
      </w:r>
      <w:r w:rsidR="000604EB" w:rsidRPr="00BE6E1D">
        <w:rPr>
          <w:rFonts w:cstheme="minorHAnsi"/>
          <w:sz w:val="24"/>
          <w:szCs w:val="24"/>
        </w:rPr>
        <w:t>which had a growth rate of 8.06 per cent</w:t>
      </w:r>
      <w:r w:rsidR="00383056" w:rsidRPr="00BE6E1D">
        <w:rPr>
          <w:rFonts w:cstheme="minorHAnsi"/>
          <w:sz w:val="24"/>
          <w:szCs w:val="24"/>
        </w:rPr>
        <w:t xml:space="preserve"> over the previous year</w:t>
      </w:r>
      <w:r w:rsidR="000604EB" w:rsidRPr="00BE6E1D">
        <w:rPr>
          <w:rFonts w:cstheme="minorHAnsi"/>
          <w:sz w:val="24"/>
          <w:szCs w:val="24"/>
        </w:rPr>
        <w:t xml:space="preserve">, </w:t>
      </w:r>
      <w:r w:rsidR="00C7470C" w:rsidRPr="00BE6E1D">
        <w:rPr>
          <w:rFonts w:cstheme="minorHAnsi"/>
          <w:sz w:val="24"/>
          <w:szCs w:val="24"/>
        </w:rPr>
        <w:t xml:space="preserve">with the lowest </w:t>
      </w:r>
      <w:r w:rsidR="00F52736" w:rsidRPr="00BE6E1D">
        <w:rPr>
          <w:rFonts w:cstheme="minorHAnsi"/>
          <w:sz w:val="24"/>
          <w:szCs w:val="24"/>
        </w:rPr>
        <w:t xml:space="preserve">average efficiency score of </w:t>
      </w:r>
      <w:r w:rsidR="00765847" w:rsidRPr="00BE6E1D">
        <w:rPr>
          <w:rFonts w:cstheme="minorHAnsi"/>
          <w:sz w:val="24"/>
          <w:szCs w:val="24"/>
        </w:rPr>
        <w:t>2</w:t>
      </w:r>
      <w:r w:rsidRPr="00BE6E1D">
        <w:rPr>
          <w:rFonts w:cstheme="minorHAnsi"/>
          <w:sz w:val="24"/>
          <w:szCs w:val="24"/>
        </w:rPr>
        <w:t>8</w:t>
      </w:r>
      <w:r w:rsidR="00765847" w:rsidRPr="00BE6E1D">
        <w:rPr>
          <w:rFonts w:cstheme="minorHAnsi"/>
          <w:sz w:val="24"/>
          <w:szCs w:val="24"/>
        </w:rPr>
        <w:t>.5</w:t>
      </w:r>
      <w:r w:rsidRPr="00BE6E1D">
        <w:rPr>
          <w:rFonts w:cstheme="minorHAnsi"/>
          <w:sz w:val="24"/>
          <w:szCs w:val="24"/>
        </w:rPr>
        <w:t xml:space="preserve"> </w:t>
      </w:r>
      <w:r w:rsidR="00C7470C" w:rsidRPr="00BE6E1D">
        <w:rPr>
          <w:rFonts w:cstheme="minorHAnsi"/>
          <w:sz w:val="24"/>
          <w:szCs w:val="24"/>
        </w:rPr>
        <w:t xml:space="preserve">observed </w:t>
      </w:r>
      <w:r w:rsidRPr="00BE6E1D">
        <w:rPr>
          <w:rFonts w:cstheme="minorHAnsi"/>
          <w:sz w:val="24"/>
          <w:szCs w:val="24"/>
        </w:rPr>
        <w:t>in 20</w:t>
      </w:r>
      <w:r w:rsidR="00765847" w:rsidRPr="00BE6E1D">
        <w:rPr>
          <w:rFonts w:cstheme="minorHAnsi"/>
          <w:sz w:val="24"/>
          <w:szCs w:val="24"/>
        </w:rPr>
        <w:t>06</w:t>
      </w:r>
      <w:r w:rsidR="006154DD" w:rsidRPr="00BE6E1D">
        <w:rPr>
          <w:rFonts w:cstheme="minorHAnsi"/>
          <w:sz w:val="24"/>
          <w:szCs w:val="24"/>
        </w:rPr>
        <w:t xml:space="preserve">, providing additional evidence </w:t>
      </w:r>
      <w:r w:rsidR="00C53FB6" w:rsidRPr="00BE6E1D">
        <w:rPr>
          <w:rFonts w:cstheme="minorHAnsi"/>
          <w:sz w:val="24"/>
          <w:szCs w:val="24"/>
        </w:rPr>
        <w:t>of</w:t>
      </w:r>
      <w:r w:rsidR="006154DD" w:rsidRPr="00BE6E1D">
        <w:rPr>
          <w:rFonts w:cstheme="minorHAnsi"/>
          <w:sz w:val="24"/>
          <w:szCs w:val="24"/>
        </w:rPr>
        <w:t xml:space="preserve"> </w:t>
      </w:r>
      <w:r w:rsidR="00246EAE" w:rsidRPr="00BE6E1D">
        <w:rPr>
          <w:rFonts w:cstheme="minorHAnsi"/>
          <w:sz w:val="24"/>
          <w:szCs w:val="24"/>
        </w:rPr>
        <w:t>a slowdown in productivity growth in Australia</w:t>
      </w:r>
      <w:r w:rsidR="00F41496" w:rsidRPr="00BE6E1D">
        <w:rPr>
          <w:rFonts w:cstheme="minorHAnsi"/>
          <w:sz w:val="24"/>
          <w:szCs w:val="24"/>
        </w:rPr>
        <w:t>’s private company sector</w:t>
      </w:r>
      <w:r w:rsidR="00246EAE" w:rsidRPr="00BE6E1D">
        <w:rPr>
          <w:rFonts w:cstheme="minorHAnsi"/>
          <w:sz w:val="24"/>
          <w:szCs w:val="24"/>
        </w:rPr>
        <w:t xml:space="preserve"> (Andrews et al., 2022; OECD, 2018; Cowling &amp; Tanewski, 2019).</w:t>
      </w:r>
    </w:p>
    <w:p w14:paraId="3F143101" w14:textId="11E59A4E" w:rsidR="000604EB" w:rsidRDefault="00AF3C9B" w:rsidP="006F7681">
      <w:pPr>
        <w:spacing w:after="0" w:line="360" w:lineRule="auto"/>
        <w:rPr>
          <w:rFonts w:cstheme="minorHAnsi"/>
          <w:sz w:val="24"/>
          <w:szCs w:val="24"/>
        </w:rPr>
      </w:pPr>
      <w:r w:rsidRPr="00AF3C9B">
        <w:rPr>
          <w:noProof/>
        </w:rPr>
        <w:t xml:space="preserve"> </w:t>
      </w:r>
      <w:r>
        <w:rPr>
          <w:noProof/>
        </w:rPr>
        <w:drawing>
          <wp:inline distT="0" distB="0" distL="0" distR="0" wp14:anchorId="05DEDFCC" wp14:editId="14C6D570">
            <wp:extent cx="6057900" cy="3876675"/>
            <wp:effectExtent l="0" t="0" r="0" b="9525"/>
            <wp:docPr id="2" name="Chart 2" descr="Figure 1. Annual unweighted-average productivity (technical efficiency) growth of SMEs in Australia: 2006-2018, described above.">
              <a:extLst xmlns:a="http://schemas.openxmlformats.org/drawingml/2006/main">
                <a:ext uri="{FF2B5EF4-FFF2-40B4-BE49-F238E27FC236}">
                  <a16:creationId xmlns:a16="http://schemas.microsoft.com/office/drawing/2014/main" id="{151FCD33-32D4-44F0-B3F0-9616A17687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58B2FA" w14:textId="55AAE08B" w:rsidR="000604EB" w:rsidRPr="00F52736" w:rsidRDefault="000604EB" w:rsidP="001379AB">
      <w:pPr>
        <w:spacing w:after="0" w:line="240" w:lineRule="auto"/>
        <w:rPr>
          <w:rFonts w:cstheme="minorHAnsi"/>
          <w:b/>
          <w:bCs/>
        </w:rPr>
      </w:pPr>
      <w:r w:rsidRPr="00F52736">
        <w:rPr>
          <w:rFonts w:cstheme="minorHAnsi"/>
          <w:b/>
          <w:bCs/>
        </w:rPr>
        <w:t xml:space="preserve">Figure 1. Annual </w:t>
      </w:r>
      <w:r w:rsidR="000A254C">
        <w:rPr>
          <w:rFonts w:cstheme="minorHAnsi"/>
          <w:b/>
          <w:bCs/>
        </w:rPr>
        <w:t>u</w:t>
      </w:r>
      <w:r w:rsidR="009D344E">
        <w:rPr>
          <w:rFonts w:cstheme="minorHAnsi"/>
          <w:b/>
          <w:bCs/>
        </w:rPr>
        <w:t>nweighted-</w:t>
      </w:r>
      <w:r w:rsidR="000A254C">
        <w:rPr>
          <w:rFonts w:cstheme="minorHAnsi"/>
          <w:b/>
          <w:bCs/>
        </w:rPr>
        <w:t>a</w:t>
      </w:r>
      <w:r w:rsidR="009D344E">
        <w:rPr>
          <w:rFonts w:cstheme="minorHAnsi"/>
          <w:b/>
          <w:bCs/>
        </w:rPr>
        <w:t xml:space="preserve">verage </w:t>
      </w:r>
      <w:r w:rsidR="000A254C">
        <w:rPr>
          <w:rFonts w:cstheme="minorHAnsi"/>
          <w:b/>
          <w:bCs/>
        </w:rPr>
        <w:t>p</w:t>
      </w:r>
      <w:r w:rsidRPr="00F52736">
        <w:rPr>
          <w:rFonts w:cstheme="minorHAnsi"/>
          <w:b/>
          <w:bCs/>
        </w:rPr>
        <w:t>roductivity (</w:t>
      </w:r>
      <w:r w:rsidR="000A254C">
        <w:rPr>
          <w:rFonts w:cstheme="minorHAnsi"/>
          <w:b/>
          <w:bCs/>
        </w:rPr>
        <w:t>t</w:t>
      </w:r>
      <w:r w:rsidRPr="00F52736">
        <w:rPr>
          <w:rFonts w:cstheme="minorHAnsi"/>
          <w:b/>
          <w:bCs/>
        </w:rPr>
        <w:t xml:space="preserve">echnical </w:t>
      </w:r>
      <w:r w:rsidR="000A254C">
        <w:rPr>
          <w:rFonts w:cstheme="minorHAnsi"/>
          <w:b/>
          <w:bCs/>
        </w:rPr>
        <w:t>e</w:t>
      </w:r>
      <w:r w:rsidRPr="00F52736">
        <w:rPr>
          <w:rFonts w:cstheme="minorHAnsi"/>
          <w:b/>
          <w:bCs/>
        </w:rPr>
        <w:t xml:space="preserve">fficiency) </w:t>
      </w:r>
      <w:r w:rsidR="000A254C">
        <w:rPr>
          <w:rFonts w:cstheme="minorHAnsi"/>
          <w:b/>
          <w:bCs/>
        </w:rPr>
        <w:t>g</w:t>
      </w:r>
      <w:r w:rsidRPr="00F52736">
        <w:rPr>
          <w:rFonts w:cstheme="minorHAnsi"/>
          <w:b/>
          <w:bCs/>
        </w:rPr>
        <w:t>rowth of SMEs in Australia: 2006-2018</w:t>
      </w:r>
    </w:p>
    <w:p w14:paraId="7951A67A" w14:textId="77777777" w:rsidR="008B6B3E" w:rsidRDefault="008B6B3E" w:rsidP="00A43F95">
      <w:pPr>
        <w:spacing w:after="0" w:line="360" w:lineRule="auto"/>
        <w:ind w:firstLine="720"/>
        <w:rPr>
          <w:rFonts w:cstheme="minorHAnsi"/>
          <w:sz w:val="24"/>
          <w:szCs w:val="24"/>
        </w:rPr>
      </w:pPr>
    </w:p>
    <w:p w14:paraId="68CCA484" w14:textId="545FC692" w:rsidR="00F52736" w:rsidRPr="003558E2" w:rsidRDefault="006F76B0" w:rsidP="00A43F95">
      <w:pPr>
        <w:spacing w:after="0" w:line="360" w:lineRule="auto"/>
        <w:ind w:firstLine="720"/>
        <w:rPr>
          <w:rFonts w:cstheme="minorHAnsi"/>
          <w:sz w:val="24"/>
          <w:szCs w:val="24"/>
        </w:rPr>
      </w:pPr>
      <w:r>
        <w:rPr>
          <w:rFonts w:cstheme="minorHAnsi"/>
          <w:sz w:val="24"/>
          <w:szCs w:val="24"/>
        </w:rPr>
        <w:t xml:space="preserve">Figure 2 displays the </w:t>
      </w:r>
      <w:r w:rsidR="009D344E">
        <w:rPr>
          <w:rFonts w:cstheme="minorHAnsi"/>
          <w:sz w:val="24"/>
          <w:szCs w:val="24"/>
        </w:rPr>
        <w:t>unweighted-</w:t>
      </w:r>
      <w:r>
        <w:rPr>
          <w:rFonts w:cstheme="minorHAnsi"/>
          <w:sz w:val="24"/>
          <w:szCs w:val="24"/>
        </w:rPr>
        <w:t xml:space="preserve">average technical efficiency of Australia’s private companies by industry. </w:t>
      </w:r>
      <w:r w:rsidR="007D0E1D">
        <w:rPr>
          <w:rFonts w:cstheme="minorHAnsi"/>
          <w:sz w:val="24"/>
          <w:szCs w:val="24"/>
        </w:rPr>
        <w:t>As we estimate a stochastic frontier model, c</w:t>
      </w:r>
      <w:r w:rsidR="007D0E1D" w:rsidRPr="003558E2">
        <w:rPr>
          <w:rFonts w:cstheme="minorHAnsi"/>
          <w:sz w:val="24"/>
          <w:szCs w:val="24"/>
        </w:rPr>
        <w:t>ompanies that operate on the frontier are the most efficient and</w:t>
      </w:r>
      <w:r w:rsidR="004363BA">
        <w:rPr>
          <w:rFonts w:cstheme="minorHAnsi"/>
          <w:sz w:val="24"/>
          <w:szCs w:val="24"/>
        </w:rPr>
        <w:t xml:space="preserve"> are</w:t>
      </w:r>
      <w:r w:rsidR="007D0E1D" w:rsidRPr="003558E2">
        <w:rPr>
          <w:rFonts w:cstheme="minorHAnsi"/>
          <w:sz w:val="24"/>
          <w:szCs w:val="24"/>
        </w:rPr>
        <w:t xml:space="preserve"> assign</w:t>
      </w:r>
      <w:r w:rsidR="004363BA">
        <w:rPr>
          <w:rFonts w:cstheme="minorHAnsi"/>
          <w:sz w:val="24"/>
          <w:szCs w:val="24"/>
        </w:rPr>
        <w:t>ed</w:t>
      </w:r>
      <w:r w:rsidR="007D0E1D" w:rsidRPr="003558E2">
        <w:rPr>
          <w:rFonts w:cstheme="minorHAnsi"/>
          <w:sz w:val="24"/>
          <w:szCs w:val="24"/>
        </w:rPr>
        <w:t xml:space="preserve"> a score of one</w:t>
      </w:r>
      <w:r w:rsidR="004363BA">
        <w:rPr>
          <w:rFonts w:cstheme="minorHAnsi"/>
          <w:sz w:val="24"/>
          <w:szCs w:val="24"/>
        </w:rPr>
        <w:t>, whereas</w:t>
      </w:r>
      <w:r w:rsidR="007D0E1D" w:rsidRPr="003558E2">
        <w:rPr>
          <w:rFonts w:cstheme="minorHAnsi"/>
          <w:sz w:val="24"/>
          <w:szCs w:val="24"/>
        </w:rPr>
        <w:t xml:space="preserve"> companies assigned lower scores (less than one) are deemed inefficient relative to companies operating on the frontier. </w:t>
      </w:r>
      <w:r w:rsidR="006F7681" w:rsidRPr="003558E2">
        <w:rPr>
          <w:rFonts w:cstheme="minorHAnsi"/>
          <w:sz w:val="24"/>
          <w:szCs w:val="24"/>
        </w:rPr>
        <w:t xml:space="preserve">The most efficient industries </w:t>
      </w:r>
      <w:r w:rsidR="00434FA6">
        <w:rPr>
          <w:rFonts w:cstheme="minorHAnsi"/>
          <w:sz w:val="24"/>
          <w:szCs w:val="24"/>
        </w:rPr>
        <w:t>during the 2006-2018 period</w:t>
      </w:r>
      <w:r w:rsidR="00E85E2D">
        <w:rPr>
          <w:rFonts w:cstheme="minorHAnsi"/>
          <w:sz w:val="24"/>
          <w:szCs w:val="24"/>
        </w:rPr>
        <w:t>, that is those with the lowest productivity gap from the frontier,</w:t>
      </w:r>
      <w:r w:rsidR="00434FA6" w:rsidRPr="003558E2">
        <w:rPr>
          <w:rFonts w:cstheme="minorHAnsi"/>
          <w:sz w:val="24"/>
          <w:szCs w:val="24"/>
        </w:rPr>
        <w:t xml:space="preserve"> </w:t>
      </w:r>
      <w:r w:rsidR="006F7681" w:rsidRPr="003558E2">
        <w:rPr>
          <w:rFonts w:cstheme="minorHAnsi"/>
          <w:sz w:val="24"/>
          <w:szCs w:val="24"/>
        </w:rPr>
        <w:t xml:space="preserve">were </w:t>
      </w:r>
      <w:r w:rsidR="00765847">
        <w:rPr>
          <w:rFonts w:cstheme="minorHAnsi"/>
          <w:sz w:val="24"/>
          <w:szCs w:val="24"/>
        </w:rPr>
        <w:t>Public Administration and Safety</w:t>
      </w:r>
      <w:r w:rsidR="006F7681" w:rsidRPr="003558E2">
        <w:rPr>
          <w:rFonts w:cstheme="minorHAnsi"/>
          <w:sz w:val="24"/>
          <w:szCs w:val="24"/>
        </w:rPr>
        <w:t xml:space="preserve"> with an average score of </w:t>
      </w:r>
      <w:r w:rsidR="004363BA">
        <w:rPr>
          <w:rFonts w:cstheme="minorHAnsi"/>
          <w:sz w:val="24"/>
          <w:szCs w:val="24"/>
        </w:rPr>
        <w:t>0.425</w:t>
      </w:r>
      <w:r w:rsidR="006F7681" w:rsidRPr="003558E2">
        <w:rPr>
          <w:rFonts w:cstheme="minorHAnsi"/>
          <w:sz w:val="24"/>
          <w:szCs w:val="24"/>
        </w:rPr>
        <w:t xml:space="preserve">, followed by </w:t>
      </w:r>
      <w:r w:rsidR="00765847">
        <w:rPr>
          <w:rFonts w:cstheme="minorHAnsi"/>
          <w:sz w:val="24"/>
          <w:szCs w:val="24"/>
        </w:rPr>
        <w:t>Education and Training (</w:t>
      </w:r>
      <w:r w:rsidR="004363BA">
        <w:rPr>
          <w:rFonts w:cstheme="minorHAnsi"/>
          <w:sz w:val="24"/>
          <w:szCs w:val="24"/>
        </w:rPr>
        <w:t>0.</w:t>
      </w:r>
      <w:r w:rsidR="00765847">
        <w:rPr>
          <w:rFonts w:cstheme="minorHAnsi"/>
          <w:sz w:val="24"/>
          <w:szCs w:val="24"/>
        </w:rPr>
        <w:t>40</w:t>
      </w:r>
      <w:r w:rsidR="004363BA">
        <w:rPr>
          <w:rFonts w:cstheme="minorHAnsi"/>
          <w:sz w:val="24"/>
          <w:szCs w:val="24"/>
        </w:rPr>
        <w:t>2</w:t>
      </w:r>
      <w:r w:rsidR="00765847">
        <w:rPr>
          <w:rFonts w:cstheme="minorHAnsi"/>
          <w:sz w:val="24"/>
          <w:szCs w:val="24"/>
        </w:rPr>
        <w:t>), Manufacturing (</w:t>
      </w:r>
      <w:r w:rsidR="004363BA">
        <w:rPr>
          <w:rFonts w:cstheme="minorHAnsi"/>
          <w:sz w:val="24"/>
          <w:szCs w:val="24"/>
        </w:rPr>
        <w:t>0.</w:t>
      </w:r>
      <w:r w:rsidR="00765847">
        <w:rPr>
          <w:rFonts w:cstheme="minorHAnsi"/>
          <w:sz w:val="24"/>
          <w:szCs w:val="24"/>
        </w:rPr>
        <w:t>39</w:t>
      </w:r>
      <w:r w:rsidR="004363BA">
        <w:rPr>
          <w:rFonts w:cstheme="minorHAnsi"/>
          <w:sz w:val="24"/>
          <w:szCs w:val="24"/>
        </w:rPr>
        <w:t>9</w:t>
      </w:r>
      <w:r w:rsidR="00765847">
        <w:rPr>
          <w:rFonts w:cstheme="minorHAnsi"/>
          <w:sz w:val="24"/>
          <w:szCs w:val="24"/>
        </w:rPr>
        <w:t xml:space="preserve">) and Mining </w:t>
      </w:r>
      <w:r w:rsidR="00501002">
        <w:rPr>
          <w:rFonts w:cstheme="minorHAnsi"/>
          <w:sz w:val="24"/>
          <w:szCs w:val="24"/>
        </w:rPr>
        <w:t>(</w:t>
      </w:r>
      <w:r w:rsidR="004363BA">
        <w:rPr>
          <w:rFonts w:cstheme="minorHAnsi"/>
          <w:sz w:val="24"/>
          <w:szCs w:val="24"/>
        </w:rPr>
        <w:t>0.</w:t>
      </w:r>
      <w:r w:rsidR="00501002">
        <w:rPr>
          <w:rFonts w:cstheme="minorHAnsi"/>
          <w:sz w:val="24"/>
          <w:szCs w:val="24"/>
        </w:rPr>
        <w:t>39</w:t>
      </w:r>
      <w:r w:rsidR="004363BA">
        <w:rPr>
          <w:rFonts w:cstheme="minorHAnsi"/>
          <w:sz w:val="24"/>
          <w:szCs w:val="24"/>
        </w:rPr>
        <w:t>1</w:t>
      </w:r>
      <w:r w:rsidR="00501002">
        <w:rPr>
          <w:rFonts w:cstheme="minorHAnsi"/>
          <w:sz w:val="24"/>
          <w:szCs w:val="24"/>
        </w:rPr>
        <w:t>)</w:t>
      </w:r>
      <w:r w:rsidR="006F7681" w:rsidRPr="003558E2">
        <w:rPr>
          <w:rFonts w:cstheme="minorHAnsi"/>
          <w:sz w:val="24"/>
          <w:szCs w:val="24"/>
        </w:rPr>
        <w:t xml:space="preserve">, </w:t>
      </w:r>
      <w:r w:rsidR="00434FA6">
        <w:rPr>
          <w:rFonts w:cstheme="minorHAnsi"/>
          <w:sz w:val="24"/>
          <w:szCs w:val="24"/>
        </w:rPr>
        <w:t>whereas</w:t>
      </w:r>
      <w:r w:rsidR="006F7681" w:rsidRPr="003558E2">
        <w:rPr>
          <w:rFonts w:cstheme="minorHAnsi"/>
          <w:sz w:val="24"/>
          <w:szCs w:val="24"/>
        </w:rPr>
        <w:t xml:space="preserve"> sectors </w:t>
      </w:r>
      <w:r w:rsidR="00434FA6">
        <w:rPr>
          <w:rFonts w:cstheme="minorHAnsi"/>
          <w:sz w:val="24"/>
          <w:szCs w:val="24"/>
        </w:rPr>
        <w:t>such as</w:t>
      </w:r>
      <w:r w:rsidR="006F7681" w:rsidRPr="003558E2">
        <w:rPr>
          <w:rFonts w:cstheme="minorHAnsi"/>
          <w:sz w:val="24"/>
          <w:szCs w:val="24"/>
        </w:rPr>
        <w:t xml:space="preserve"> </w:t>
      </w:r>
      <w:r w:rsidR="00501002">
        <w:rPr>
          <w:rFonts w:cstheme="minorHAnsi"/>
          <w:sz w:val="24"/>
          <w:szCs w:val="24"/>
        </w:rPr>
        <w:t>A</w:t>
      </w:r>
      <w:r w:rsidR="006F7681" w:rsidRPr="003558E2">
        <w:rPr>
          <w:rFonts w:cstheme="minorHAnsi"/>
          <w:sz w:val="24"/>
          <w:szCs w:val="24"/>
        </w:rPr>
        <w:t xml:space="preserve">griculture, </w:t>
      </w:r>
      <w:r w:rsidR="00501002">
        <w:rPr>
          <w:rFonts w:cstheme="minorHAnsi"/>
          <w:sz w:val="24"/>
          <w:szCs w:val="24"/>
        </w:rPr>
        <w:t>F</w:t>
      </w:r>
      <w:r w:rsidR="006F7681" w:rsidRPr="003558E2">
        <w:rPr>
          <w:rFonts w:cstheme="minorHAnsi"/>
          <w:sz w:val="24"/>
          <w:szCs w:val="24"/>
        </w:rPr>
        <w:t xml:space="preserve">orestry and </w:t>
      </w:r>
      <w:r w:rsidR="00501002">
        <w:rPr>
          <w:rFonts w:cstheme="minorHAnsi"/>
          <w:sz w:val="24"/>
          <w:szCs w:val="24"/>
        </w:rPr>
        <w:t>F</w:t>
      </w:r>
      <w:r w:rsidR="006F7681" w:rsidRPr="003558E2">
        <w:rPr>
          <w:rFonts w:cstheme="minorHAnsi"/>
          <w:sz w:val="24"/>
          <w:szCs w:val="24"/>
        </w:rPr>
        <w:t>ishing (</w:t>
      </w:r>
      <w:r w:rsidR="004363BA">
        <w:rPr>
          <w:rFonts w:cstheme="minorHAnsi"/>
          <w:sz w:val="24"/>
          <w:szCs w:val="24"/>
        </w:rPr>
        <w:t>0.</w:t>
      </w:r>
      <w:r w:rsidR="00501002">
        <w:rPr>
          <w:rFonts w:cstheme="minorHAnsi"/>
          <w:sz w:val="24"/>
          <w:szCs w:val="24"/>
        </w:rPr>
        <w:t>176</w:t>
      </w:r>
      <w:r w:rsidR="006F7681" w:rsidRPr="003558E2">
        <w:rPr>
          <w:rFonts w:cstheme="minorHAnsi"/>
          <w:sz w:val="24"/>
          <w:szCs w:val="24"/>
        </w:rPr>
        <w:t>)</w:t>
      </w:r>
      <w:r w:rsidR="00434FA6">
        <w:rPr>
          <w:rFonts w:cstheme="minorHAnsi"/>
          <w:sz w:val="24"/>
          <w:szCs w:val="24"/>
        </w:rPr>
        <w:t xml:space="preserve">, </w:t>
      </w:r>
      <w:r w:rsidR="00501002">
        <w:rPr>
          <w:rFonts w:cstheme="minorHAnsi"/>
          <w:sz w:val="24"/>
          <w:szCs w:val="24"/>
        </w:rPr>
        <w:t>Finance and Insurance Service</w:t>
      </w:r>
      <w:r w:rsidR="00434FA6">
        <w:rPr>
          <w:rFonts w:cstheme="minorHAnsi"/>
          <w:sz w:val="24"/>
          <w:szCs w:val="24"/>
        </w:rPr>
        <w:t>s</w:t>
      </w:r>
      <w:r w:rsidR="006F7681" w:rsidRPr="003558E2">
        <w:rPr>
          <w:rFonts w:cstheme="minorHAnsi"/>
          <w:sz w:val="24"/>
          <w:szCs w:val="24"/>
        </w:rPr>
        <w:t xml:space="preserve"> (</w:t>
      </w:r>
      <w:r w:rsidR="004363BA">
        <w:rPr>
          <w:rFonts w:cstheme="minorHAnsi"/>
          <w:sz w:val="24"/>
          <w:szCs w:val="24"/>
        </w:rPr>
        <w:t>0.</w:t>
      </w:r>
      <w:r w:rsidR="00501002">
        <w:rPr>
          <w:rFonts w:cstheme="minorHAnsi"/>
          <w:sz w:val="24"/>
          <w:szCs w:val="24"/>
        </w:rPr>
        <w:t>24</w:t>
      </w:r>
      <w:r w:rsidR="004363BA">
        <w:rPr>
          <w:rFonts w:cstheme="minorHAnsi"/>
          <w:sz w:val="24"/>
          <w:szCs w:val="24"/>
        </w:rPr>
        <w:t>6</w:t>
      </w:r>
      <w:r w:rsidR="006F7681" w:rsidRPr="003558E2">
        <w:rPr>
          <w:rFonts w:cstheme="minorHAnsi"/>
          <w:sz w:val="24"/>
          <w:szCs w:val="24"/>
        </w:rPr>
        <w:t>)</w:t>
      </w:r>
      <w:r w:rsidR="00501002">
        <w:rPr>
          <w:rFonts w:cstheme="minorHAnsi"/>
          <w:sz w:val="24"/>
          <w:szCs w:val="24"/>
        </w:rPr>
        <w:t>, Rental, Hiring and Real Estate Services (</w:t>
      </w:r>
      <w:r w:rsidR="004363BA">
        <w:rPr>
          <w:rFonts w:cstheme="minorHAnsi"/>
          <w:sz w:val="24"/>
          <w:szCs w:val="24"/>
        </w:rPr>
        <w:t>0.</w:t>
      </w:r>
      <w:r w:rsidR="00501002">
        <w:rPr>
          <w:rFonts w:cstheme="minorHAnsi"/>
          <w:sz w:val="24"/>
          <w:szCs w:val="24"/>
        </w:rPr>
        <w:t>28</w:t>
      </w:r>
      <w:r w:rsidR="004363BA">
        <w:rPr>
          <w:rFonts w:cstheme="minorHAnsi"/>
          <w:sz w:val="24"/>
          <w:szCs w:val="24"/>
        </w:rPr>
        <w:t>6</w:t>
      </w:r>
      <w:r w:rsidR="00501002">
        <w:rPr>
          <w:rFonts w:cstheme="minorHAnsi"/>
          <w:sz w:val="24"/>
          <w:szCs w:val="24"/>
        </w:rPr>
        <w:t>), Retail Trade (</w:t>
      </w:r>
      <w:r w:rsidR="004363BA">
        <w:rPr>
          <w:rFonts w:cstheme="minorHAnsi"/>
          <w:sz w:val="24"/>
          <w:szCs w:val="24"/>
        </w:rPr>
        <w:t>0.295</w:t>
      </w:r>
      <w:r w:rsidR="000604EB">
        <w:rPr>
          <w:rFonts w:cstheme="minorHAnsi"/>
          <w:sz w:val="24"/>
          <w:szCs w:val="24"/>
        </w:rPr>
        <w:t>) and Administrative and Support Services (</w:t>
      </w:r>
      <w:r w:rsidR="004363BA">
        <w:rPr>
          <w:rFonts w:cstheme="minorHAnsi"/>
          <w:sz w:val="24"/>
          <w:szCs w:val="24"/>
        </w:rPr>
        <w:t>0.</w:t>
      </w:r>
      <w:r w:rsidR="000604EB">
        <w:rPr>
          <w:rFonts w:cstheme="minorHAnsi"/>
          <w:sz w:val="24"/>
          <w:szCs w:val="24"/>
        </w:rPr>
        <w:t>30</w:t>
      </w:r>
      <w:r w:rsidR="004363BA">
        <w:rPr>
          <w:rFonts w:cstheme="minorHAnsi"/>
          <w:sz w:val="24"/>
          <w:szCs w:val="24"/>
        </w:rPr>
        <w:t>4</w:t>
      </w:r>
      <w:r w:rsidR="000604EB">
        <w:rPr>
          <w:rFonts w:cstheme="minorHAnsi"/>
          <w:sz w:val="24"/>
          <w:szCs w:val="24"/>
        </w:rPr>
        <w:t>)</w:t>
      </w:r>
      <w:r w:rsidR="006F7681" w:rsidRPr="003558E2">
        <w:rPr>
          <w:rFonts w:cstheme="minorHAnsi"/>
          <w:sz w:val="24"/>
          <w:szCs w:val="24"/>
        </w:rPr>
        <w:t xml:space="preserve"> show the lowest efficiency </w:t>
      </w:r>
      <w:r w:rsidR="00434FA6">
        <w:rPr>
          <w:rFonts w:cstheme="minorHAnsi"/>
          <w:sz w:val="24"/>
          <w:szCs w:val="24"/>
        </w:rPr>
        <w:t>averages</w:t>
      </w:r>
      <w:r w:rsidR="00694EF2">
        <w:rPr>
          <w:rFonts w:cstheme="minorHAnsi"/>
          <w:sz w:val="24"/>
          <w:szCs w:val="24"/>
        </w:rPr>
        <w:t xml:space="preserve">.  </w:t>
      </w:r>
      <w:r w:rsidR="007B5331">
        <w:rPr>
          <w:rFonts w:cstheme="minorHAnsi"/>
          <w:sz w:val="24"/>
          <w:szCs w:val="24"/>
        </w:rPr>
        <w:t>The results described above are contrary to what</w:t>
      </w:r>
      <w:r w:rsidR="00694EF2">
        <w:rPr>
          <w:rFonts w:cstheme="minorHAnsi"/>
          <w:sz w:val="24"/>
          <w:szCs w:val="24"/>
        </w:rPr>
        <w:t xml:space="preserve"> </w:t>
      </w:r>
      <w:r w:rsidR="00F41496">
        <w:rPr>
          <w:rFonts w:cstheme="minorHAnsi"/>
          <w:sz w:val="24"/>
          <w:szCs w:val="24"/>
        </w:rPr>
        <w:t xml:space="preserve">Cowling and </w:t>
      </w:r>
      <w:r w:rsidR="00434FA6">
        <w:rPr>
          <w:rFonts w:cstheme="minorHAnsi"/>
          <w:sz w:val="24"/>
          <w:szCs w:val="24"/>
        </w:rPr>
        <w:t>Tanewski</w:t>
      </w:r>
      <w:r w:rsidR="00F41496">
        <w:rPr>
          <w:rFonts w:cstheme="minorHAnsi"/>
          <w:sz w:val="24"/>
          <w:szCs w:val="24"/>
        </w:rPr>
        <w:t xml:space="preserve"> (2019) reported</w:t>
      </w:r>
      <w:r w:rsidR="00710F10">
        <w:rPr>
          <w:rStyle w:val="FootnoteReference"/>
          <w:rFonts w:cstheme="minorHAnsi"/>
          <w:sz w:val="24"/>
          <w:szCs w:val="24"/>
        </w:rPr>
        <w:footnoteReference w:id="4"/>
      </w:r>
      <w:r w:rsidR="009D344E">
        <w:rPr>
          <w:rFonts w:cstheme="minorHAnsi"/>
          <w:sz w:val="24"/>
          <w:szCs w:val="24"/>
        </w:rPr>
        <w:t xml:space="preserve">. </w:t>
      </w:r>
    </w:p>
    <w:p w14:paraId="614F4975" w14:textId="59F29BC2" w:rsidR="006F7681" w:rsidRPr="003558E2" w:rsidRDefault="006F7681" w:rsidP="006F7681">
      <w:pPr>
        <w:spacing w:after="0" w:line="360" w:lineRule="auto"/>
        <w:rPr>
          <w:rFonts w:cstheme="minorHAnsi"/>
          <w:sz w:val="24"/>
          <w:szCs w:val="24"/>
        </w:rPr>
      </w:pPr>
    </w:p>
    <w:p w14:paraId="22FC87C6" w14:textId="3C9D85CD" w:rsidR="006F7681" w:rsidRPr="00F52736" w:rsidRDefault="007D0E1D" w:rsidP="001379AB">
      <w:pPr>
        <w:spacing w:after="0" w:line="240" w:lineRule="auto"/>
        <w:rPr>
          <w:rFonts w:cstheme="minorHAnsi"/>
          <w:b/>
          <w:bCs/>
        </w:rPr>
      </w:pPr>
      <w:r>
        <w:rPr>
          <w:noProof/>
        </w:rPr>
        <w:drawing>
          <wp:inline distT="0" distB="0" distL="0" distR="0" wp14:anchorId="64A7B96A" wp14:editId="1DE5610C">
            <wp:extent cx="5962650" cy="3556000"/>
            <wp:effectExtent l="0" t="0" r="0" b="6350"/>
            <wp:docPr id="1" name="Chart 1" descr="Figure 2. Unweighted-average productivity (technical efficiency) of SMEs in Australia by Industry: 2006-2018, described above">
              <a:extLst xmlns:a="http://schemas.openxmlformats.org/drawingml/2006/main">
                <a:ext uri="{FF2B5EF4-FFF2-40B4-BE49-F238E27FC236}">
                  <a16:creationId xmlns:a16="http://schemas.microsoft.com/office/drawing/2014/main" id="{891D05E4-CA76-43EC-A7C5-459436CD50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7D0E1D">
        <w:rPr>
          <w:rFonts w:cstheme="minorHAnsi"/>
          <w:b/>
          <w:bCs/>
        </w:rPr>
        <w:t xml:space="preserve"> </w:t>
      </w:r>
      <w:r w:rsidRPr="00F52736">
        <w:rPr>
          <w:rFonts w:cstheme="minorHAnsi"/>
          <w:b/>
          <w:bCs/>
        </w:rPr>
        <w:t xml:space="preserve">Figure 2. </w:t>
      </w:r>
      <w:r>
        <w:rPr>
          <w:rFonts w:cstheme="minorHAnsi"/>
          <w:b/>
          <w:bCs/>
        </w:rPr>
        <w:t>Unweighted-average</w:t>
      </w:r>
      <w:r w:rsidRPr="00F52736">
        <w:rPr>
          <w:rFonts w:cstheme="minorHAnsi"/>
          <w:b/>
          <w:bCs/>
        </w:rPr>
        <w:t xml:space="preserve"> productivity (technical efficiency) of SMEs in Australia by </w:t>
      </w:r>
      <w:r>
        <w:rPr>
          <w:rFonts w:cstheme="minorHAnsi"/>
          <w:b/>
          <w:bCs/>
        </w:rPr>
        <w:t>I</w:t>
      </w:r>
      <w:r w:rsidRPr="00F52736">
        <w:rPr>
          <w:rFonts w:cstheme="minorHAnsi"/>
          <w:b/>
          <w:bCs/>
        </w:rPr>
        <w:t xml:space="preserve">ndustry: </w:t>
      </w:r>
      <w:r w:rsidR="006F7681" w:rsidRPr="00F52736">
        <w:rPr>
          <w:rFonts w:cstheme="minorHAnsi"/>
          <w:b/>
          <w:bCs/>
        </w:rPr>
        <w:t>2006-2018</w:t>
      </w:r>
    </w:p>
    <w:p w14:paraId="3FA5B535" w14:textId="77777777" w:rsidR="006D650E" w:rsidRDefault="006D650E" w:rsidP="001379AB">
      <w:pPr>
        <w:spacing w:after="0" w:line="360" w:lineRule="auto"/>
        <w:ind w:firstLine="720"/>
        <w:rPr>
          <w:rFonts w:cstheme="minorHAnsi"/>
          <w:sz w:val="24"/>
          <w:szCs w:val="24"/>
        </w:rPr>
      </w:pPr>
    </w:p>
    <w:p w14:paraId="27C39F0E" w14:textId="53259B87" w:rsidR="001379AB" w:rsidRDefault="001379AB" w:rsidP="001379AB">
      <w:pPr>
        <w:spacing w:after="0" w:line="360" w:lineRule="auto"/>
        <w:ind w:firstLine="720"/>
        <w:rPr>
          <w:rFonts w:cstheme="minorHAnsi"/>
          <w:sz w:val="24"/>
          <w:szCs w:val="24"/>
        </w:rPr>
      </w:pPr>
      <w:r>
        <w:rPr>
          <w:rFonts w:cstheme="minorHAnsi"/>
          <w:sz w:val="24"/>
          <w:szCs w:val="24"/>
        </w:rPr>
        <w:t xml:space="preserve">Turning to the unweighted-average technical efficiency of private companies by size of business entity, it </w:t>
      </w:r>
      <w:r w:rsidRPr="003558E2">
        <w:rPr>
          <w:rFonts w:cstheme="minorHAnsi"/>
          <w:sz w:val="24"/>
          <w:szCs w:val="24"/>
        </w:rPr>
        <w:t xml:space="preserve">appears that </w:t>
      </w:r>
      <w:r>
        <w:rPr>
          <w:rFonts w:cstheme="minorHAnsi"/>
          <w:sz w:val="24"/>
          <w:szCs w:val="24"/>
        </w:rPr>
        <w:t xml:space="preserve">large (0.352) and </w:t>
      </w:r>
      <w:r w:rsidRPr="003558E2">
        <w:rPr>
          <w:rFonts w:cstheme="minorHAnsi"/>
          <w:sz w:val="24"/>
          <w:szCs w:val="24"/>
        </w:rPr>
        <w:t>medium-size companies (</w:t>
      </w:r>
      <w:r>
        <w:rPr>
          <w:rFonts w:cstheme="minorHAnsi"/>
          <w:sz w:val="24"/>
          <w:szCs w:val="24"/>
        </w:rPr>
        <w:t>0.350</w:t>
      </w:r>
      <w:r w:rsidRPr="003558E2">
        <w:rPr>
          <w:rFonts w:cstheme="minorHAnsi"/>
          <w:sz w:val="24"/>
          <w:szCs w:val="24"/>
        </w:rPr>
        <w:t>) are more efficient than small (</w:t>
      </w:r>
      <w:r>
        <w:rPr>
          <w:rFonts w:cstheme="minorHAnsi"/>
          <w:sz w:val="24"/>
          <w:szCs w:val="24"/>
        </w:rPr>
        <w:t>0.316</w:t>
      </w:r>
      <w:r w:rsidRPr="003558E2">
        <w:rPr>
          <w:rFonts w:cstheme="minorHAnsi"/>
          <w:sz w:val="24"/>
          <w:szCs w:val="24"/>
        </w:rPr>
        <w:t>) and micro (</w:t>
      </w:r>
      <w:r>
        <w:rPr>
          <w:rFonts w:cstheme="minorHAnsi"/>
          <w:sz w:val="24"/>
          <w:szCs w:val="24"/>
        </w:rPr>
        <w:t>0.300)</w:t>
      </w:r>
      <w:r w:rsidRPr="003558E2">
        <w:rPr>
          <w:rFonts w:cstheme="minorHAnsi"/>
          <w:sz w:val="24"/>
          <w:szCs w:val="24"/>
        </w:rPr>
        <w:t xml:space="preserve"> businesses, while </w:t>
      </w:r>
      <w:r>
        <w:rPr>
          <w:rFonts w:cstheme="minorHAnsi"/>
          <w:sz w:val="24"/>
          <w:szCs w:val="24"/>
        </w:rPr>
        <w:t xml:space="preserve">old (0.326) and </w:t>
      </w:r>
      <w:r w:rsidRPr="003558E2">
        <w:rPr>
          <w:rFonts w:cstheme="minorHAnsi"/>
          <w:sz w:val="24"/>
          <w:szCs w:val="24"/>
        </w:rPr>
        <w:t>mature companies are more efficient (</w:t>
      </w:r>
      <w:r>
        <w:rPr>
          <w:rFonts w:cstheme="minorHAnsi"/>
          <w:sz w:val="24"/>
          <w:szCs w:val="24"/>
        </w:rPr>
        <w:t>0.322</w:t>
      </w:r>
      <w:r w:rsidRPr="003558E2">
        <w:rPr>
          <w:rFonts w:cstheme="minorHAnsi"/>
          <w:sz w:val="24"/>
          <w:szCs w:val="24"/>
        </w:rPr>
        <w:t>) compared to young (</w:t>
      </w:r>
      <w:r>
        <w:rPr>
          <w:rFonts w:cstheme="minorHAnsi"/>
          <w:sz w:val="24"/>
          <w:szCs w:val="24"/>
        </w:rPr>
        <w:t>0.309</w:t>
      </w:r>
      <w:r w:rsidRPr="003558E2">
        <w:rPr>
          <w:rFonts w:cstheme="minorHAnsi"/>
          <w:sz w:val="24"/>
          <w:szCs w:val="24"/>
        </w:rPr>
        <w:t>) and start-up (</w:t>
      </w:r>
      <w:r>
        <w:rPr>
          <w:rFonts w:cstheme="minorHAnsi"/>
          <w:sz w:val="24"/>
          <w:szCs w:val="24"/>
        </w:rPr>
        <w:t>0.284</w:t>
      </w:r>
      <w:r w:rsidRPr="003558E2">
        <w:rPr>
          <w:rFonts w:cstheme="minorHAnsi"/>
          <w:sz w:val="24"/>
          <w:szCs w:val="24"/>
        </w:rPr>
        <w:t>) companies</w:t>
      </w:r>
      <w:r>
        <w:rPr>
          <w:rFonts w:cstheme="minorHAnsi"/>
          <w:sz w:val="24"/>
          <w:szCs w:val="24"/>
        </w:rPr>
        <w:t>, indicating that productivity gains are more challenging for resource-constrained smaller and younger firms compared to larger and older firms.</w:t>
      </w:r>
    </w:p>
    <w:p w14:paraId="0BD53BD6" w14:textId="77777777" w:rsidR="006D650E" w:rsidRDefault="006D650E" w:rsidP="009C6C94">
      <w:pPr>
        <w:spacing w:after="0" w:line="360" w:lineRule="auto"/>
        <w:ind w:firstLine="720"/>
        <w:rPr>
          <w:rFonts w:cstheme="minorHAnsi"/>
          <w:sz w:val="24"/>
          <w:szCs w:val="24"/>
        </w:rPr>
      </w:pPr>
    </w:p>
    <w:p w14:paraId="7E458D59" w14:textId="4CFF771F" w:rsidR="006D650E" w:rsidRPr="00BE6E1D" w:rsidRDefault="006D650E" w:rsidP="006D650E">
      <w:pPr>
        <w:pStyle w:val="ListParagraph"/>
        <w:numPr>
          <w:ilvl w:val="1"/>
          <w:numId w:val="1"/>
        </w:numPr>
        <w:spacing w:after="0" w:line="360" w:lineRule="auto"/>
        <w:rPr>
          <w:rFonts w:cstheme="minorHAnsi"/>
          <w:b/>
          <w:bCs/>
          <w:sz w:val="24"/>
          <w:szCs w:val="24"/>
        </w:rPr>
      </w:pPr>
      <w:r w:rsidRPr="00BE6E1D">
        <w:rPr>
          <w:rFonts w:cstheme="minorHAnsi"/>
          <w:b/>
          <w:bCs/>
          <w:sz w:val="24"/>
          <w:szCs w:val="24"/>
        </w:rPr>
        <w:t xml:space="preserve">Productivity (Technical Efficiency) </w:t>
      </w:r>
      <w:r>
        <w:rPr>
          <w:rFonts w:cstheme="minorHAnsi"/>
          <w:b/>
          <w:bCs/>
          <w:sz w:val="24"/>
          <w:szCs w:val="24"/>
        </w:rPr>
        <w:t>by Innovation and Exports</w:t>
      </w:r>
      <w:r w:rsidRPr="00BE6E1D">
        <w:rPr>
          <w:rFonts w:cstheme="minorHAnsi"/>
          <w:b/>
          <w:bCs/>
          <w:sz w:val="24"/>
          <w:szCs w:val="24"/>
        </w:rPr>
        <w:t xml:space="preserve"> </w:t>
      </w:r>
    </w:p>
    <w:p w14:paraId="72C34984" w14:textId="68B7A913" w:rsidR="00337F33" w:rsidRPr="00337F33" w:rsidRDefault="006D650E" w:rsidP="00337F33">
      <w:pPr>
        <w:spacing w:after="0" w:line="360" w:lineRule="auto"/>
        <w:ind w:firstLine="709"/>
        <w:jc w:val="both"/>
        <w:rPr>
          <w:rFonts w:cstheme="minorHAnsi"/>
          <w:b/>
          <w:bCs/>
          <w:sz w:val="24"/>
          <w:szCs w:val="24"/>
        </w:rPr>
      </w:pPr>
      <w:r w:rsidRPr="00337F33">
        <w:rPr>
          <w:rFonts w:cstheme="minorHAnsi"/>
          <w:sz w:val="24"/>
          <w:szCs w:val="24"/>
        </w:rPr>
        <w:t>The ABS’s definition of innovation is utilised in this report, which is the introduction of a new or significantly improved good or service, operational process, organisational/managerial process, or marketing method. Accordingly, innovation is a composite measure comprising four items gauging whether the firm introduced any new or significantly improved: (i) goods or services; (ii) new operational processes; (iii) new marketing methods, and (iv) new organisational/managerial processes. The variable takes the value of 1 if the firm has introduced innovation in at least one of the areas, 0 otherwise.</w:t>
      </w:r>
      <w:r w:rsidR="00337F33">
        <w:rPr>
          <w:rFonts w:cstheme="minorHAnsi"/>
          <w:sz w:val="24"/>
          <w:szCs w:val="24"/>
        </w:rPr>
        <w:t xml:space="preserve"> Meanwhile, e</w:t>
      </w:r>
      <w:r w:rsidR="00337F33" w:rsidRPr="00337F33">
        <w:rPr>
          <w:rFonts w:cstheme="minorHAnsi"/>
          <w:sz w:val="24"/>
          <w:szCs w:val="24"/>
        </w:rPr>
        <w:t>xports is a</w:t>
      </w:r>
      <w:r w:rsidR="00337F33">
        <w:rPr>
          <w:rFonts w:cstheme="minorHAnsi"/>
          <w:sz w:val="24"/>
          <w:szCs w:val="24"/>
        </w:rPr>
        <w:t>n indicator</w:t>
      </w:r>
      <w:r w:rsidR="00337F33" w:rsidRPr="003558E2">
        <w:rPr>
          <w:rFonts w:cstheme="minorHAnsi"/>
          <w:sz w:val="24"/>
          <w:szCs w:val="24"/>
        </w:rPr>
        <w:t xml:space="preserve"> variable </w:t>
      </w:r>
      <w:r w:rsidR="00337F33">
        <w:rPr>
          <w:rFonts w:cstheme="minorHAnsi"/>
          <w:sz w:val="24"/>
          <w:szCs w:val="24"/>
        </w:rPr>
        <w:t>that</w:t>
      </w:r>
      <w:r w:rsidR="00337F33" w:rsidRPr="003558E2">
        <w:rPr>
          <w:rFonts w:cstheme="minorHAnsi"/>
          <w:sz w:val="24"/>
          <w:szCs w:val="24"/>
        </w:rPr>
        <w:t xml:space="preserve"> identif</w:t>
      </w:r>
      <w:r w:rsidR="00337F33">
        <w:rPr>
          <w:rFonts w:cstheme="minorHAnsi"/>
          <w:sz w:val="24"/>
          <w:szCs w:val="24"/>
        </w:rPr>
        <w:t>ies</w:t>
      </w:r>
      <w:r w:rsidR="00337F33" w:rsidRPr="003558E2">
        <w:rPr>
          <w:rFonts w:cstheme="minorHAnsi"/>
          <w:sz w:val="24"/>
          <w:szCs w:val="24"/>
        </w:rPr>
        <w:t xml:space="preserve"> whether </w:t>
      </w:r>
      <w:r w:rsidR="00337F33">
        <w:rPr>
          <w:rFonts w:cstheme="minorHAnsi"/>
          <w:sz w:val="24"/>
          <w:szCs w:val="24"/>
        </w:rPr>
        <w:t>a private company</w:t>
      </w:r>
      <w:r w:rsidR="00337F33" w:rsidRPr="003558E2">
        <w:rPr>
          <w:rFonts w:cstheme="minorHAnsi"/>
          <w:sz w:val="24"/>
          <w:szCs w:val="24"/>
        </w:rPr>
        <w:t xml:space="preserve"> exports </w:t>
      </w:r>
      <w:r w:rsidR="00337F33">
        <w:rPr>
          <w:rFonts w:cstheme="minorHAnsi"/>
          <w:sz w:val="24"/>
          <w:szCs w:val="24"/>
        </w:rPr>
        <w:t xml:space="preserve">good/services </w:t>
      </w:r>
      <w:r w:rsidR="00337F33" w:rsidRPr="003558E2">
        <w:rPr>
          <w:rFonts w:cstheme="minorHAnsi"/>
          <w:sz w:val="24"/>
          <w:szCs w:val="24"/>
        </w:rPr>
        <w:t xml:space="preserve">or not. The value 1 indicates </w:t>
      </w:r>
      <w:r w:rsidR="00337F33">
        <w:rPr>
          <w:rFonts w:cstheme="minorHAnsi"/>
          <w:sz w:val="24"/>
          <w:szCs w:val="24"/>
        </w:rPr>
        <w:t xml:space="preserve">whether </w:t>
      </w:r>
      <w:r w:rsidR="00337F33" w:rsidRPr="003558E2">
        <w:rPr>
          <w:rFonts w:cstheme="minorHAnsi"/>
          <w:sz w:val="24"/>
          <w:szCs w:val="24"/>
        </w:rPr>
        <w:t xml:space="preserve">the </w:t>
      </w:r>
      <w:r w:rsidR="00337F33">
        <w:rPr>
          <w:rFonts w:cstheme="minorHAnsi"/>
          <w:sz w:val="24"/>
          <w:szCs w:val="24"/>
        </w:rPr>
        <w:t xml:space="preserve">company </w:t>
      </w:r>
      <w:r w:rsidR="00337F33" w:rsidRPr="003558E2">
        <w:rPr>
          <w:rFonts w:cstheme="minorHAnsi"/>
          <w:sz w:val="24"/>
          <w:szCs w:val="24"/>
        </w:rPr>
        <w:t xml:space="preserve">reports </w:t>
      </w:r>
      <w:r w:rsidR="00337F33">
        <w:rPr>
          <w:rFonts w:cstheme="minorHAnsi"/>
          <w:sz w:val="24"/>
          <w:szCs w:val="24"/>
        </w:rPr>
        <w:t xml:space="preserve">a </w:t>
      </w:r>
      <w:r w:rsidR="00337F33" w:rsidRPr="003558E2">
        <w:rPr>
          <w:rFonts w:cstheme="minorHAnsi"/>
          <w:sz w:val="24"/>
          <w:szCs w:val="24"/>
        </w:rPr>
        <w:t xml:space="preserve">positive </w:t>
      </w:r>
      <w:r w:rsidR="00337F33">
        <w:rPr>
          <w:rFonts w:cstheme="minorHAnsi"/>
          <w:sz w:val="24"/>
          <w:szCs w:val="24"/>
        </w:rPr>
        <w:t xml:space="preserve">dollar </w:t>
      </w:r>
      <w:r w:rsidR="00337F33" w:rsidRPr="003558E2">
        <w:rPr>
          <w:rFonts w:cstheme="minorHAnsi"/>
          <w:sz w:val="24"/>
          <w:szCs w:val="24"/>
        </w:rPr>
        <w:t xml:space="preserve">amount </w:t>
      </w:r>
      <w:r w:rsidR="00337F33">
        <w:rPr>
          <w:rFonts w:cstheme="minorHAnsi"/>
          <w:sz w:val="24"/>
          <w:szCs w:val="24"/>
        </w:rPr>
        <w:t>in</w:t>
      </w:r>
      <w:r w:rsidR="00337F33" w:rsidRPr="003558E2">
        <w:rPr>
          <w:rFonts w:cstheme="minorHAnsi"/>
          <w:sz w:val="24"/>
          <w:szCs w:val="24"/>
        </w:rPr>
        <w:t xml:space="preserve"> export sales</w:t>
      </w:r>
      <w:r w:rsidR="00337F33">
        <w:rPr>
          <w:rFonts w:cstheme="minorHAnsi"/>
          <w:sz w:val="24"/>
          <w:szCs w:val="24"/>
        </w:rPr>
        <w:t>,</w:t>
      </w:r>
      <w:r w:rsidR="00337F33" w:rsidRPr="003558E2">
        <w:rPr>
          <w:rFonts w:cstheme="minorHAnsi"/>
          <w:sz w:val="24"/>
          <w:szCs w:val="24"/>
        </w:rPr>
        <w:t xml:space="preserve"> and 0 otherwise.</w:t>
      </w:r>
    </w:p>
    <w:p w14:paraId="58D1847A" w14:textId="0D0B8469" w:rsidR="000A254C" w:rsidRPr="00337F33" w:rsidRDefault="000A254C" w:rsidP="00337F33">
      <w:pPr>
        <w:spacing w:line="360" w:lineRule="auto"/>
        <w:ind w:firstLine="709"/>
        <w:jc w:val="both"/>
        <w:rPr>
          <w:rFonts w:cstheme="minorHAnsi"/>
          <w:b/>
          <w:bCs/>
          <w:sz w:val="24"/>
          <w:szCs w:val="24"/>
        </w:rPr>
      </w:pPr>
      <w:r>
        <w:rPr>
          <w:rFonts w:cstheme="minorHAnsi"/>
          <w:sz w:val="24"/>
          <w:szCs w:val="24"/>
        </w:rPr>
        <w:t>Bivariate analys</w:t>
      </w:r>
      <w:r w:rsidR="008D1DF5">
        <w:rPr>
          <w:rFonts w:cstheme="minorHAnsi"/>
          <w:sz w:val="24"/>
          <w:szCs w:val="24"/>
        </w:rPr>
        <w:t>e</w:t>
      </w:r>
      <w:r>
        <w:rPr>
          <w:rFonts w:cstheme="minorHAnsi"/>
          <w:sz w:val="24"/>
          <w:szCs w:val="24"/>
        </w:rPr>
        <w:t>s of the unweighted-average technical efficienc</w:t>
      </w:r>
      <w:r w:rsidR="008D1DF5">
        <w:rPr>
          <w:rFonts w:cstheme="minorHAnsi"/>
          <w:sz w:val="24"/>
          <w:szCs w:val="24"/>
        </w:rPr>
        <w:t>ies</w:t>
      </w:r>
      <w:r>
        <w:rPr>
          <w:rFonts w:cstheme="minorHAnsi"/>
          <w:sz w:val="24"/>
          <w:szCs w:val="24"/>
        </w:rPr>
        <w:t xml:space="preserve"> of private companies that </w:t>
      </w:r>
      <w:r w:rsidR="008D1DF5">
        <w:rPr>
          <w:rFonts w:cstheme="minorHAnsi"/>
          <w:sz w:val="24"/>
          <w:szCs w:val="24"/>
        </w:rPr>
        <w:t xml:space="preserve">innovate </w:t>
      </w:r>
      <w:r w:rsidR="009F4CFB">
        <w:rPr>
          <w:rFonts w:cstheme="minorHAnsi"/>
          <w:sz w:val="24"/>
          <w:szCs w:val="24"/>
        </w:rPr>
        <w:t xml:space="preserve">(0.357) </w:t>
      </w:r>
      <w:r w:rsidR="008D1DF5">
        <w:rPr>
          <w:rFonts w:cstheme="minorHAnsi"/>
          <w:sz w:val="24"/>
          <w:szCs w:val="24"/>
        </w:rPr>
        <w:t>compared to non-innovators</w:t>
      </w:r>
      <w:r w:rsidR="009F4CFB">
        <w:rPr>
          <w:rFonts w:cstheme="minorHAnsi"/>
          <w:sz w:val="24"/>
          <w:szCs w:val="24"/>
        </w:rPr>
        <w:t xml:space="preserve"> (0.320</w:t>
      </w:r>
      <w:r w:rsidR="002C0BDC">
        <w:rPr>
          <w:rFonts w:cstheme="minorHAnsi"/>
          <w:sz w:val="24"/>
          <w:szCs w:val="24"/>
        </w:rPr>
        <w:t>, t-value = 20.25, p = .0000)</w:t>
      </w:r>
      <w:r w:rsidR="008D1DF5">
        <w:rPr>
          <w:rFonts w:cstheme="minorHAnsi"/>
          <w:sz w:val="24"/>
          <w:szCs w:val="24"/>
        </w:rPr>
        <w:t xml:space="preserve">, </w:t>
      </w:r>
      <w:r>
        <w:rPr>
          <w:rFonts w:cstheme="minorHAnsi"/>
          <w:sz w:val="24"/>
          <w:szCs w:val="24"/>
        </w:rPr>
        <w:t>export</w:t>
      </w:r>
      <w:r w:rsidR="00163200">
        <w:rPr>
          <w:rFonts w:cstheme="minorHAnsi"/>
          <w:sz w:val="24"/>
          <w:szCs w:val="24"/>
        </w:rPr>
        <w:t>ers</w:t>
      </w:r>
      <w:r>
        <w:rPr>
          <w:rFonts w:cstheme="minorHAnsi"/>
          <w:sz w:val="24"/>
          <w:szCs w:val="24"/>
        </w:rPr>
        <w:t xml:space="preserve"> </w:t>
      </w:r>
      <w:r w:rsidR="009F4CFB">
        <w:rPr>
          <w:rFonts w:cstheme="minorHAnsi"/>
          <w:sz w:val="24"/>
          <w:szCs w:val="24"/>
        </w:rPr>
        <w:t>(0.384) versus</w:t>
      </w:r>
      <w:r>
        <w:rPr>
          <w:rFonts w:cstheme="minorHAnsi"/>
          <w:sz w:val="24"/>
          <w:szCs w:val="24"/>
        </w:rPr>
        <w:t xml:space="preserve"> </w:t>
      </w:r>
      <w:r w:rsidR="008D1DF5">
        <w:rPr>
          <w:rFonts w:cstheme="minorHAnsi"/>
          <w:sz w:val="24"/>
          <w:szCs w:val="24"/>
        </w:rPr>
        <w:t>non-exporters</w:t>
      </w:r>
      <w:r w:rsidR="009F4CFB">
        <w:rPr>
          <w:rFonts w:cstheme="minorHAnsi"/>
          <w:sz w:val="24"/>
          <w:szCs w:val="24"/>
        </w:rPr>
        <w:t xml:space="preserve"> (0.297</w:t>
      </w:r>
      <w:r w:rsidR="00230767">
        <w:rPr>
          <w:rFonts w:cstheme="minorHAnsi"/>
          <w:sz w:val="24"/>
          <w:szCs w:val="24"/>
        </w:rPr>
        <w:t>, t-value = 120.00, p = .0000)</w:t>
      </w:r>
      <w:r w:rsidR="008D1DF5">
        <w:rPr>
          <w:rFonts w:cstheme="minorHAnsi"/>
          <w:sz w:val="24"/>
          <w:szCs w:val="24"/>
        </w:rPr>
        <w:t xml:space="preserve">, and </w:t>
      </w:r>
      <w:r w:rsidR="009F4CFB">
        <w:rPr>
          <w:rFonts w:cstheme="minorHAnsi"/>
          <w:sz w:val="24"/>
          <w:szCs w:val="24"/>
        </w:rPr>
        <w:t xml:space="preserve">companies </w:t>
      </w:r>
      <w:r w:rsidR="008D1DF5">
        <w:rPr>
          <w:rFonts w:cstheme="minorHAnsi"/>
          <w:sz w:val="24"/>
          <w:szCs w:val="24"/>
        </w:rPr>
        <w:t>operat</w:t>
      </w:r>
      <w:r w:rsidR="009F4CFB">
        <w:rPr>
          <w:rFonts w:cstheme="minorHAnsi"/>
          <w:sz w:val="24"/>
          <w:szCs w:val="24"/>
        </w:rPr>
        <w:t>ing</w:t>
      </w:r>
      <w:r w:rsidR="008D1DF5">
        <w:rPr>
          <w:rFonts w:cstheme="minorHAnsi"/>
          <w:sz w:val="24"/>
          <w:szCs w:val="24"/>
        </w:rPr>
        <w:t xml:space="preserve"> in export heavy industr</w:t>
      </w:r>
      <w:r w:rsidR="00163200">
        <w:rPr>
          <w:rFonts w:cstheme="minorHAnsi"/>
          <w:sz w:val="24"/>
          <w:szCs w:val="24"/>
        </w:rPr>
        <w:t>ies</w:t>
      </w:r>
      <w:r w:rsidR="008D1DF5">
        <w:rPr>
          <w:rFonts w:cstheme="minorHAnsi"/>
          <w:sz w:val="24"/>
          <w:szCs w:val="24"/>
        </w:rPr>
        <w:t xml:space="preserve"> </w:t>
      </w:r>
      <w:r w:rsidR="009F4CFB">
        <w:rPr>
          <w:rFonts w:cstheme="minorHAnsi"/>
          <w:sz w:val="24"/>
          <w:szCs w:val="24"/>
        </w:rPr>
        <w:t>(0.381) versus</w:t>
      </w:r>
      <w:r w:rsidR="008D1DF5">
        <w:rPr>
          <w:rFonts w:cstheme="minorHAnsi"/>
          <w:sz w:val="24"/>
          <w:szCs w:val="24"/>
        </w:rPr>
        <w:t xml:space="preserve"> non-export heavy industr</w:t>
      </w:r>
      <w:r w:rsidR="00163200">
        <w:rPr>
          <w:rFonts w:cstheme="minorHAnsi"/>
          <w:sz w:val="24"/>
          <w:szCs w:val="24"/>
        </w:rPr>
        <w:t>ies</w:t>
      </w:r>
      <w:r w:rsidR="009F4CFB">
        <w:rPr>
          <w:rFonts w:cstheme="minorHAnsi"/>
          <w:sz w:val="24"/>
          <w:szCs w:val="24"/>
        </w:rPr>
        <w:t xml:space="preserve"> (0.301</w:t>
      </w:r>
      <w:r w:rsidR="00230767">
        <w:rPr>
          <w:rFonts w:cstheme="minorHAnsi"/>
          <w:sz w:val="24"/>
          <w:szCs w:val="24"/>
        </w:rPr>
        <w:t>, t-value = 99.98, p = .0000)</w:t>
      </w:r>
      <w:r w:rsidR="008D1DF5">
        <w:rPr>
          <w:rFonts w:cstheme="minorHAnsi"/>
          <w:sz w:val="24"/>
          <w:szCs w:val="24"/>
        </w:rPr>
        <w:t xml:space="preserve">, </w:t>
      </w:r>
      <w:r w:rsidR="00230767">
        <w:rPr>
          <w:rFonts w:cstheme="minorHAnsi"/>
          <w:sz w:val="24"/>
          <w:szCs w:val="24"/>
        </w:rPr>
        <w:t>indicate</w:t>
      </w:r>
      <w:r w:rsidR="008D1DF5">
        <w:rPr>
          <w:rFonts w:cstheme="minorHAnsi"/>
          <w:sz w:val="24"/>
          <w:szCs w:val="24"/>
        </w:rPr>
        <w:t xml:space="preserve"> that </w:t>
      </w:r>
      <w:r w:rsidR="004E7FCD">
        <w:rPr>
          <w:rFonts w:cstheme="minorHAnsi"/>
          <w:sz w:val="24"/>
          <w:szCs w:val="24"/>
        </w:rPr>
        <w:t>innovat</w:t>
      </w:r>
      <w:r w:rsidR="00163200">
        <w:rPr>
          <w:rFonts w:cstheme="minorHAnsi"/>
          <w:sz w:val="24"/>
          <w:szCs w:val="24"/>
        </w:rPr>
        <w:t>ors</w:t>
      </w:r>
      <w:r w:rsidR="004E7FCD">
        <w:rPr>
          <w:rFonts w:cstheme="minorHAnsi"/>
          <w:sz w:val="24"/>
          <w:szCs w:val="24"/>
        </w:rPr>
        <w:t xml:space="preserve">, </w:t>
      </w:r>
      <w:r w:rsidR="008D1DF5">
        <w:rPr>
          <w:rFonts w:cstheme="minorHAnsi"/>
          <w:sz w:val="24"/>
          <w:szCs w:val="24"/>
        </w:rPr>
        <w:t>export</w:t>
      </w:r>
      <w:r w:rsidR="00163200">
        <w:rPr>
          <w:rFonts w:cstheme="minorHAnsi"/>
          <w:sz w:val="24"/>
          <w:szCs w:val="24"/>
        </w:rPr>
        <w:t>ers</w:t>
      </w:r>
      <w:r w:rsidR="004E7FCD">
        <w:rPr>
          <w:rFonts w:cstheme="minorHAnsi"/>
          <w:sz w:val="24"/>
          <w:szCs w:val="24"/>
        </w:rPr>
        <w:t xml:space="preserve"> and</w:t>
      </w:r>
      <w:r w:rsidR="00163200">
        <w:rPr>
          <w:rFonts w:cstheme="minorHAnsi"/>
          <w:sz w:val="24"/>
          <w:szCs w:val="24"/>
        </w:rPr>
        <w:t xml:space="preserve"> companies</w:t>
      </w:r>
      <w:r w:rsidR="004E7FCD">
        <w:rPr>
          <w:rFonts w:cstheme="minorHAnsi"/>
          <w:sz w:val="24"/>
          <w:szCs w:val="24"/>
        </w:rPr>
        <w:t xml:space="preserve"> operat</w:t>
      </w:r>
      <w:r w:rsidR="00163200">
        <w:rPr>
          <w:rFonts w:cstheme="minorHAnsi"/>
          <w:sz w:val="24"/>
          <w:szCs w:val="24"/>
        </w:rPr>
        <w:t>ing</w:t>
      </w:r>
      <w:r w:rsidR="004E7FCD">
        <w:rPr>
          <w:rFonts w:cstheme="minorHAnsi"/>
          <w:sz w:val="24"/>
          <w:szCs w:val="24"/>
        </w:rPr>
        <w:t xml:space="preserve"> in export-heavy industr</w:t>
      </w:r>
      <w:r w:rsidR="00DB60BE">
        <w:rPr>
          <w:rFonts w:cstheme="minorHAnsi"/>
          <w:sz w:val="24"/>
          <w:szCs w:val="24"/>
        </w:rPr>
        <w:t>ies</w:t>
      </w:r>
      <w:r w:rsidR="004E7FCD">
        <w:rPr>
          <w:rFonts w:cstheme="minorHAnsi"/>
          <w:sz w:val="24"/>
          <w:szCs w:val="24"/>
        </w:rPr>
        <w:t xml:space="preserve"> </w:t>
      </w:r>
      <w:r w:rsidR="00230767">
        <w:rPr>
          <w:rFonts w:cstheme="minorHAnsi"/>
          <w:sz w:val="24"/>
          <w:szCs w:val="24"/>
        </w:rPr>
        <w:t>have significantly smaller productivity gaps from the frontier</w:t>
      </w:r>
      <w:r w:rsidR="004E7FCD">
        <w:rPr>
          <w:rFonts w:cstheme="minorHAnsi"/>
          <w:sz w:val="24"/>
          <w:szCs w:val="24"/>
        </w:rPr>
        <w:t xml:space="preserve"> than companies that are non-innovators and non-exporters</w:t>
      </w:r>
      <w:r w:rsidR="00DB60BE">
        <w:rPr>
          <w:rFonts w:cstheme="minorHAnsi"/>
          <w:sz w:val="24"/>
          <w:szCs w:val="24"/>
        </w:rPr>
        <w:t xml:space="preserve"> (see Figure 3)</w:t>
      </w:r>
      <w:r w:rsidR="00163200">
        <w:rPr>
          <w:rFonts w:cstheme="minorHAnsi"/>
          <w:sz w:val="24"/>
          <w:szCs w:val="24"/>
        </w:rPr>
        <w:t xml:space="preserve">.  </w:t>
      </w:r>
    </w:p>
    <w:p w14:paraId="15B63C9F" w14:textId="77777777" w:rsidR="00CA5512" w:rsidRDefault="00CA5512" w:rsidP="00BD39E7">
      <w:pPr>
        <w:spacing w:after="0" w:line="360" w:lineRule="auto"/>
        <w:ind w:firstLine="720"/>
        <w:rPr>
          <w:rFonts w:cstheme="minorHAnsi"/>
          <w:sz w:val="24"/>
          <w:szCs w:val="24"/>
        </w:rPr>
      </w:pPr>
    </w:p>
    <w:p w14:paraId="6208E673" w14:textId="33059E02" w:rsidR="000A254C" w:rsidRDefault="001016B0" w:rsidP="006F7681">
      <w:pPr>
        <w:spacing w:after="0" w:line="360" w:lineRule="auto"/>
        <w:rPr>
          <w:rFonts w:cstheme="minorHAnsi"/>
          <w:sz w:val="24"/>
          <w:szCs w:val="24"/>
        </w:rPr>
      </w:pPr>
      <w:r>
        <w:rPr>
          <w:noProof/>
        </w:rPr>
        <w:lastRenderedPageBreak/>
        <w:drawing>
          <wp:inline distT="0" distB="0" distL="0" distR="0" wp14:anchorId="798B8B83" wp14:editId="0A983003">
            <wp:extent cx="5731510" cy="2776220"/>
            <wp:effectExtent l="0" t="0" r="2540" b="5080"/>
            <wp:docPr id="4" name="Chart 4" descr="Figure 3. Unweighted-average productivity (technical efficiency) of SMEs in Australia by Innovation and Exports: 2006-2018, described above.">
              <a:extLst xmlns:a="http://schemas.openxmlformats.org/drawingml/2006/main">
                <a:ext uri="{FF2B5EF4-FFF2-40B4-BE49-F238E27FC236}">
                  <a16:creationId xmlns:a16="http://schemas.microsoft.com/office/drawing/2014/main" id="{78E76E31-14EF-4AA6-8674-026E210222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4EE1D2" w14:textId="5844588A" w:rsidR="00DB60BE" w:rsidRPr="00F52736" w:rsidRDefault="00DB60BE" w:rsidP="00DB60BE">
      <w:pPr>
        <w:spacing w:after="0" w:line="360" w:lineRule="auto"/>
        <w:rPr>
          <w:rFonts w:cstheme="minorHAnsi"/>
          <w:b/>
          <w:bCs/>
        </w:rPr>
      </w:pPr>
      <w:r w:rsidRPr="00F52736">
        <w:rPr>
          <w:rFonts w:cstheme="minorHAnsi"/>
          <w:b/>
          <w:bCs/>
        </w:rPr>
        <w:t xml:space="preserve">Figure </w:t>
      </w:r>
      <w:r>
        <w:rPr>
          <w:rFonts w:cstheme="minorHAnsi"/>
          <w:b/>
          <w:bCs/>
        </w:rPr>
        <w:t>3</w:t>
      </w:r>
      <w:r w:rsidRPr="00F52736">
        <w:rPr>
          <w:rFonts w:cstheme="minorHAnsi"/>
          <w:b/>
          <w:bCs/>
        </w:rPr>
        <w:t xml:space="preserve">. </w:t>
      </w:r>
      <w:r>
        <w:rPr>
          <w:rFonts w:cstheme="minorHAnsi"/>
          <w:b/>
          <w:bCs/>
        </w:rPr>
        <w:t>Unweighted-average</w:t>
      </w:r>
      <w:r w:rsidRPr="00F52736">
        <w:rPr>
          <w:rFonts w:cstheme="minorHAnsi"/>
          <w:b/>
          <w:bCs/>
        </w:rPr>
        <w:t xml:space="preserve"> productivity (technical efficiency) of SMEs in Australia by </w:t>
      </w:r>
      <w:r>
        <w:rPr>
          <w:rFonts w:cstheme="minorHAnsi"/>
          <w:b/>
          <w:bCs/>
        </w:rPr>
        <w:t>Innovation and Exports</w:t>
      </w:r>
      <w:r w:rsidRPr="00F52736">
        <w:rPr>
          <w:rFonts w:cstheme="minorHAnsi"/>
          <w:b/>
          <w:bCs/>
        </w:rPr>
        <w:t>: 2006-2018</w:t>
      </w:r>
    </w:p>
    <w:p w14:paraId="2376C7FC" w14:textId="2B41C816" w:rsidR="0079245E" w:rsidRDefault="0079245E" w:rsidP="006F7681">
      <w:pPr>
        <w:spacing w:after="0" w:line="360" w:lineRule="auto"/>
        <w:rPr>
          <w:rFonts w:cstheme="minorHAnsi"/>
          <w:sz w:val="24"/>
          <w:szCs w:val="24"/>
        </w:rPr>
      </w:pPr>
    </w:p>
    <w:p w14:paraId="17390BE4" w14:textId="2A8EB451" w:rsidR="00CA5512" w:rsidRPr="00BE6E1D" w:rsidRDefault="00BE6E1D" w:rsidP="00BE6E1D">
      <w:pPr>
        <w:pStyle w:val="ListParagraph"/>
        <w:numPr>
          <w:ilvl w:val="1"/>
          <w:numId w:val="1"/>
        </w:numPr>
        <w:spacing w:after="0" w:line="360" w:lineRule="auto"/>
        <w:rPr>
          <w:rFonts w:cstheme="minorHAnsi"/>
          <w:b/>
          <w:bCs/>
          <w:sz w:val="24"/>
          <w:szCs w:val="24"/>
        </w:rPr>
      </w:pPr>
      <w:r w:rsidRPr="00BE6E1D">
        <w:rPr>
          <w:rFonts w:cstheme="minorHAnsi"/>
          <w:b/>
          <w:bCs/>
          <w:sz w:val="24"/>
          <w:szCs w:val="24"/>
        </w:rPr>
        <w:t>Regression</w:t>
      </w:r>
      <w:r w:rsidR="007E32AE" w:rsidRPr="00BE6E1D">
        <w:rPr>
          <w:rFonts w:cstheme="minorHAnsi"/>
          <w:b/>
          <w:bCs/>
          <w:sz w:val="24"/>
          <w:szCs w:val="24"/>
        </w:rPr>
        <w:t xml:space="preserve"> Model</w:t>
      </w:r>
      <w:r w:rsidRPr="00BE6E1D">
        <w:rPr>
          <w:rFonts w:cstheme="minorHAnsi"/>
          <w:b/>
          <w:bCs/>
          <w:sz w:val="24"/>
          <w:szCs w:val="24"/>
        </w:rPr>
        <w:t>s</w:t>
      </w:r>
      <w:r w:rsidR="002034D4">
        <w:rPr>
          <w:rFonts w:cstheme="minorHAnsi"/>
          <w:b/>
          <w:bCs/>
          <w:sz w:val="24"/>
          <w:szCs w:val="24"/>
        </w:rPr>
        <w:t xml:space="preserve"> of Technical Efficiency</w:t>
      </w:r>
    </w:p>
    <w:p w14:paraId="3CABCCE1" w14:textId="54DB72BC" w:rsidR="00BE6E1D" w:rsidRPr="00AE4508" w:rsidRDefault="00BE6E1D" w:rsidP="00AE4508">
      <w:pPr>
        <w:spacing w:after="0" w:line="360" w:lineRule="auto"/>
        <w:ind w:firstLine="360"/>
        <w:jc w:val="both"/>
        <w:rPr>
          <w:rFonts w:cstheme="minorHAnsi"/>
          <w:sz w:val="24"/>
          <w:szCs w:val="24"/>
        </w:rPr>
      </w:pPr>
      <w:r w:rsidRPr="00AE4508">
        <w:rPr>
          <w:rFonts w:cstheme="minorHAnsi"/>
          <w:sz w:val="24"/>
          <w:szCs w:val="24"/>
        </w:rPr>
        <w:t>Based on the sampling of the technical efficiency scores by innovation and export</w:t>
      </w:r>
      <w:r w:rsidR="00AE4508">
        <w:rPr>
          <w:rFonts w:cstheme="minorHAnsi"/>
          <w:sz w:val="24"/>
          <w:szCs w:val="24"/>
        </w:rPr>
        <w:t>s</w:t>
      </w:r>
      <w:r w:rsidR="00161374">
        <w:rPr>
          <w:rFonts w:cstheme="minorHAnsi"/>
          <w:sz w:val="24"/>
          <w:szCs w:val="24"/>
        </w:rPr>
        <w:t xml:space="preserve"> reported in the previous section above</w:t>
      </w:r>
      <w:r w:rsidRPr="00AE4508">
        <w:rPr>
          <w:rFonts w:cstheme="minorHAnsi"/>
          <w:sz w:val="24"/>
          <w:szCs w:val="24"/>
        </w:rPr>
        <w:t xml:space="preserve">, </w:t>
      </w:r>
      <w:r w:rsidR="00161374">
        <w:rPr>
          <w:rFonts w:cstheme="minorHAnsi"/>
          <w:sz w:val="24"/>
          <w:szCs w:val="24"/>
        </w:rPr>
        <w:t>we</w:t>
      </w:r>
      <w:r w:rsidRPr="00AE4508">
        <w:rPr>
          <w:rFonts w:cstheme="minorHAnsi"/>
          <w:sz w:val="24"/>
          <w:szCs w:val="24"/>
        </w:rPr>
        <w:t xml:space="preserve"> observe private companies that innovate and export have on average </w:t>
      </w:r>
      <w:r w:rsidR="00C056E9">
        <w:rPr>
          <w:rFonts w:cstheme="minorHAnsi"/>
          <w:sz w:val="24"/>
          <w:szCs w:val="24"/>
        </w:rPr>
        <w:t xml:space="preserve">significantly </w:t>
      </w:r>
      <w:r w:rsidRPr="00AE4508">
        <w:rPr>
          <w:rFonts w:cstheme="minorHAnsi"/>
          <w:sz w:val="24"/>
          <w:szCs w:val="24"/>
        </w:rPr>
        <w:t xml:space="preserve">higher efficiency scores </w:t>
      </w:r>
      <w:r w:rsidR="00CB5277">
        <w:rPr>
          <w:rFonts w:cstheme="minorHAnsi"/>
          <w:sz w:val="24"/>
          <w:szCs w:val="24"/>
        </w:rPr>
        <w:t>compared to those</w:t>
      </w:r>
      <w:r w:rsidRPr="00AE4508">
        <w:rPr>
          <w:rFonts w:cstheme="minorHAnsi"/>
          <w:sz w:val="24"/>
          <w:szCs w:val="24"/>
        </w:rPr>
        <w:t xml:space="preserve"> that do not innovate and export. To further substantiate these results, we extend our modelling by using the following estimation framework:</w:t>
      </w:r>
    </w:p>
    <w:p w14:paraId="3FFC154A" w14:textId="77777777" w:rsidR="000E0742" w:rsidRPr="000E0742" w:rsidRDefault="000E0742" w:rsidP="000E0742">
      <w:pPr>
        <w:spacing w:after="0" w:line="360" w:lineRule="auto"/>
        <w:jc w:val="both"/>
        <w:rPr>
          <w:rFonts w:eastAsiaTheme="minorEastAsia" w:cstheme="minorHAnsi"/>
          <w:sz w:val="24"/>
          <w:szCs w:val="24"/>
        </w:rPr>
      </w:pPr>
    </w:p>
    <w:p w14:paraId="44C994DE" w14:textId="77777777" w:rsidR="000E0742" w:rsidRPr="000E0742" w:rsidRDefault="000F2149" w:rsidP="000E0742">
      <w:pPr>
        <w:spacing w:after="0" w:line="360" w:lineRule="auto"/>
        <w:jc w:val="both"/>
        <w:rPr>
          <w:rFonts w:cstheme="minorHAnsi"/>
          <w:sz w:val="24"/>
          <w:szCs w:val="24"/>
        </w:rPr>
      </w:pPr>
      <m:oMathPara>
        <m:oMath>
          <m:func>
            <m:funcPr>
              <m:ctrlPr>
                <w:rPr>
                  <w:rFonts w:ascii="Cambria Math" w:hAnsi="Cambria Math" w:cstheme="minorHAnsi"/>
                  <w:i/>
                  <w:sz w:val="24"/>
                  <w:szCs w:val="24"/>
                </w:rPr>
              </m:ctrlPr>
            </m:funcPr>
            <m:fName>
              <m:r>
                <m:rPr>
                  <m:sty m:val="p"/>
                </m:rPr>
                <w:rPr>
                  <w:rFonts w:ascii="Cambria Math" w:hAnsi="Cambria Math" w:cstheme="minorHAnsi"/>
                  <w:sz w:val="24"/>
                  <w:szCs w:val="24"/>
                </w:rPr>
                <m:t>ln</m:t>
              </m:r>
            </m:fName>
            <m:e>
              <m:sSub>
                <m:sSubPr>
                  <m:ctrlPr>
                    <w:rPr>
                      <w:rFonts w:ascii="Cambria Math" w:hAnsi="Cambria Math" w:cstheme="minorHAnsi"/>
                      <w:i/>
                      <w:sz w:val="24"/>
                      <w:szCs w:val="24"/>
                    </w:rPr>
                  </m:ctrlPr>
                </m:sSubPr>
                <m:e>
                  <m:r>
                    <w:rPr>
                      <w:rFonts w:ascii="Cambria Math" w:hAnsi="Cambria Math" w:cstheme="minorHAnsi"/>
                      <w:sz w:val="24"/>
                      <w:szCs w:val="24"/>
                    </w:rPr>
                    <m:t>TE</m:t>
                  </m:r>
                </m:e>
                <m:sub>
                  <m:r>
                    <w:rPr>
                      <w:rFonts w:ascii="Cambria Math" w:hAnsi="Cambria Math" w:cstheme="minorHAnsi"/>
                      <w:sz w:val="24"/>
                      <w:szCs w:val="24"/>
                    </w:rPr>
                    <m:t>it</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0</m:t>
                  </m:r>
                </m:sub>
              </m:sSub>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1</m:t>
                  </m:r>
                </m:sub>
              </m:sSub>
              <m:sSub>
                <m:sSubPr>
                  <m:ctrlPr>
                    <w:rPr>
                      <w:rFonts w:ascii="Cambria Math" w:hAnsi="Cambria Math" w:cstheme="minorHAnsi"/>
                      <w:i/>
                      <w:sz w:val="24"/>
                      <w:szCs w:val="24"/>
                    </w:rPr>
                  </m:ctrlPr>
                </m:sSubPr>
                <m:e>
                  <m:r>
                    <w:rPr>
                      <w:rFonts w:ascii="Cambria Math" w:hAnsi="Cambria Math" w:cstheme="minorHAnsi"/>
                      <w:sz w:val="24"/>
                      <w:szCs w:val="24"/>
                    </w:rPr>
                    <m:t>Innovation</m:t>
                  </m:r>
                </m:e>
                <m:sub>
                  <m:r>
                    <w:rPr>
                      <w:rFonts w:ascii="Cambria Math" w:hAnsi="Cambria Math" w:cstheme="minorHAnsi"/>
                      <w:sz w:val="24"/>
                      <w:szCs w:val="24"/>
                    </w:rPr>
                    <m:t>it</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2</m:t>
                  </m:r>
                </m:sub>
              </m:sSub>
              <m:sSub>
                <m:sSubPr>
                  <m:ctrlPr>
                    <w:rPr>
                      <w:rFonts w:ascii="Cambria Math" w:hAnsi="Cambria Math" w:cstheme="minorHAnsi"/>
                      <w:i/>
                      <w:sz w:val="24"/>
                      <w:szCs w:val="24"/>
                    </w:rPr>
                  </m:ctrlPr>
                </m:sSubPr>
                <m:e>
                  <m:r>
                    <w:rPr>
                      <w:rFonts w:ascii="Cambria Math" w:hAnsi="Cambria Math" w:cstheme="minorHAnsi"/>
                      <w:sz w:val="24"/>
                      <w:szCs w:val="24"/>
                    </w:rPr>
                    <m:t>Export</m:t>
                  </m:r>
                </m:e>
                <m:sub>
                  <m:r>
                    <w:rPr>
                      <w:rFonts w:ascii="Cambria Math" w:hAnsi="Cambria Math" w:cstheme="minorHAnsi"/>
                      <w:sz w:val="24"/>
                      <w:szCs w:val="24"/>
                    </w:rPr>
                    <m:t>it</m:t>
                  </m:r>
                </m:sub>
              </m:sSub>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3</m:t>
                  </m:r>
                </m:sub>
              </m:sSub>
              <m:sSub>
                <m:sSubPr>
                  <m:ctrlPr>
                    <w:rPr>
                      <w:rFonts w:ascii="Cambria Math" w:hAnsi="Cambria Math" w:cstheme="minorHAnsi"/>
                      <w:i/>
                      <w:sz w:val="24"/>
                      <w:szCs w:val="24"/>
                    </w:rPr>
                  </m:ctrlPr>
                </m:sSubPr>
                <m:e>
                  <m:r>
                    <w:rPr>
                      <w:rFonts w:ascii="Cambria Math" w:hAnsi="Cambria Math" w:cstheme="minorHAnsi"/>
                      <w:sz w:val="24"/>
                      <w:szCs w:val="24"/>
                    </w:rPr>
                    <m:t>Innovation. Export</m:t>
                  </m:r>
                </m:e>
                <m:sub>
                  <m:r>
                    <w:rPr>
                      <w:rFonts w:ascii="Cambria Math" w:hAnsi="Cambria Math" w:cstheme="minorHAnsi"/>
                      <w:sz w:val="24"/>
                      <w:szCs w:val="24"/>
                    </w:rPr>
                    <m:t>it</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4</m:t>
                  </m:r>
                </m:sub>
              </m:sSub>
              <m:sSub>
                <m:sSubPr>
                  <m:ctrlPr>
                    <w:rPr>
                      <w:rFonts w:ascii="Cambria Math" w:hAnsi="Cambria Math" w:cstheme="minorHAnsi"/>
                      <w:i/>
                      <w:sz w:val="24"/>
                      <w:szCs w:val="24"/>
                    </w:rPr>
                  </m:ctrlPr>
                </m:sSubPr>
                <m:e>
                  <m:func>
                    <m:funcPr>
                      <m:ctrlPr>
                        <w:rPr>
                          <w:rFonts w:ascii="Cambria Math" w:hAnsi="Cambria Math" w:cstheme="minorHAnsi"/>
                          <w:i/>
                          <w:sz w:val="24"/>
                          <w:szCs w:val="24"/>
                        </w:rPr>
                      </m:ctrlPr>
                    </m:funcPr>
                    <m:fName>
                      <m:r>
                        <m:rPr>
                          <m:sty m:val="p"/>
                        </m:rPr>
                        <w:rPr>
                          <w:rFonts w:ascii="Cambria Math" w:hAnsi="Cambria Math" w:cstheme="minorHAnsi"/>
                          <w:sz w:val="24"/>
                          <w:szCs w:val="24"/>
                        </w:rPr>
                        <m:t>ln</m:t>
                      </m:r>
                    </m:fName>
                    <m:e>
                      <m:r>
                        <w:rPr>
                          <w:rFonts w:ascii="Cambria Math" w:hAnsi="Cambria Math" w:cstheme="minorHAnsi"/>
                          <w:sz w:val="24"/>
                          <w:szCs w:val="24"/>
                        </w:rPr>
                        <m:t>Foreign  Own</m:t>
                      </m:r>
                    </m:e>
                  </m:func>
                </m:e>
                <m:sub>
                  <m:r>
                    <w:rPr>
                      <w:rFonts w:ascii="Cambria Math" w:hAnsi="Cambria Math" w:cstheme="minorHAnsi"/>
                      <w:sz w:val="24"/>
                      <w:szCs w:val="24"/>
                    </w:rPr>
                    <m:t>it</m:t>
                  </m:r>
                </m:sub>
              </m:sSub>
              <m:r>
                <w:rPr>
                  <w:rFonts w:ascii="Cambria Math" w:hAnsi="Cambria Math" w:cstheme="minorHAnsi"/>
                  <w:sz w:val="24"/>
                  <w:szCs w:val="24"/>
                </w:rPr>
                <m:t>+</m:t>
              </m:r>
            </m:e>
          </m:func>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5</m:t>
              </m:r>
            </m:sub>
          </m:sSub>
          <m:sSub>
            <m:sSubPr>
              <m:ctrlPr>
                <w:rPr>
                  <w:rFonts w:ascii="Cambria Math" w:hAnsi="Cambria Math" w:cstheme="minorHAnsi"/>
                  <w:i/>
                  <w:sz w:val="24"/>
                  <w:szCs w:val="24"/>
                </w:rPr>
              </m:ctrlPr>
            </m:sSubPr>
            <m:e>
              <m:r>
                <w:rPr>
                  <w:rFonts w:ascii="Cambria Math" w:hAnsi="Cambria Math" w:cstheme="minorHAnsi"/>
                  <w:sz w:val="24"/>
                  <w:szCs w:val="24"/>
                </w:rPr>
                <m:t>Competition</m:t>
              </m:r>
            </m:e>
            <m:sub>
              <m:r>
                <w:rPr>
                  <w:rFonts w:ascii="Cambria Math" w:hAnsi="Cambria Math" w:cstheme="minorHAnsi"/>
                  <w:sz w:val="24"/>
                  <w:szCs w:val="24"/>
                </w:rPr>
                <m:t>it</m:t>
              </m:r>
            </m:sub>
          </m:sSub>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6</m:t>
              </m:r>
            </m:sub>
          </m:sSub>
          <m:sSub>
            <m:sSubPr>
              <m:ctrlPr>
                <w:rPr>
                  <w:rFonts w:ascii="Cambria Math" w:hAnsi="Cambria Math" w:cstheme="minorHAnsi"/>
                  <w:i/>
                  <w:sz w:val="24"/>
                  <w:szCs w:val="24"/>
                </w:rPr>
              </m:ctrlPr>
            </m:sSubPr>
            <m:e>
              <m:r>
                <w:rPr>
                  <w:rFonts w:ascii="Cambria Math" w:hAnsi="Cambria Math" w:cstheme="minorHAnsi"/>
                  <w:sz w:val="24"/>
                  <w:szCs w:val="24"/>
                </w:rPr>
                <m:t>Size</m:t>
              </m:r>
            </m:e>
            <m:sub>
              <m:r>
                <w:rPr>
                  <w:rFonts w:ascii="Cambria Math" w:hAnsi="Cambria Math" w:cstheme="minorHAnsi"/>
                  <w:sz w:val="24"/>
                  <w:szCs w:val="24"/>
                </w:rPr>
                <m:t>it</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7</m:t>
              </m:r>
            </m:sub>
          </m:sSub>
          <m:sSub>
            <m:sSubPr>
              <m:ctrlPr>
                <w:rPr>
                  <w:rFonts w:ascii="Cambria Math" w:hAnsi="Cambria Math" w:cstheme="minorHAnsi"/>
                  <w:i/>
                  <w:sz w:val="24"/>
                  <w:szCs w:val="24"/>
                </w:rPr>
              </m:ctrlPr>
            </m:sSubPr>
            <m:e>
              <m:r>
                <w:rPr>
                  <w:rFonts w:ascii="Cambria Math" w:hAnsi="Cambria Math" w:cstheme="minorHAnsi"/>
                  <w:sz w:val="24"/>
                  <w:szCs w:val="24"/>
                </w:rPr>
                <m:t>Age</m:t>
              </m:r>
            </m:e>
            <m:sub>
              <m:r>
                <w:rPr>
                  <w:rFonts w:ascii="Cambria Math" w:hAnsi="Cambria Math" w:cstheme="minorHAnsi"/>
                  <w:sz w:val="24"/>
                  <w:szCs w:val="24"/>
                </w:rPr>
                <m:t>it</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ε</m:t>
              </m:r>
            </m:e>
            <m:sub>
              <m:r>
                <w:rPr>
                  <w:rFonts w:ascii="Cambria Math" w:hAnsi="Cambria Math" w:cstheme="minorHAnsi"/>
                  <w:sz w:val="24"/>
                  <w:szCs w:val="24"/>
                </w:rPr>
                <m:t>it</m:t>
              </m:r>
            </m:sub>
          </m:sSub>
        </m:oMath>
      </m:oMathPara>
    </w:p>
    <w:p w14:paraId="0460F273" w14:textId="77777777" w:rsidR="000E0742" w:rsidRPr="000E0742" w:rsidRDefault="000E0742" w:rsidP="000E0742">
      <w:pPr>
        <w:spacing w:after="0" w:line="360" w:lineRule="auto"/>
        <w:jc w:val="both"/>
        <w:rPr>
          <w:rFonts w:cstheme="minorHAnsi"/>
          <w:sz w:val="24"/>
          <w:szCs w:val="24"/>
        </w:rPr>
      </w:pPr>
    </w:p>
    <w:p w14:paraId="1641EB8A" w14:textId="4A8E31E8" w:rsidR="000E0742" w:rsidRPr="000E0742" w:rsidRDefault="000E0742" w:rsidP="000E0742">
      <w:pPr>
        <w:spacing w:after="0" w:line="360" w:lineRule="auto"/>
        <w:jc w:val="both"/>
        <w:rPr>
          <w:rFonts w:cstheme="minorHAnsi"/>
          <w:sz w:val="24"/>
          <w:szCs w:val="24"/>
        </w:rPr>
      </w:pPr>
      <w:r w:rsidRPr="000E0742">
        <w:rPr>
          <w:rFonts w:cstheme="minorHAnsi"/>
          <w:sz w:val="24"/>
          <w:szCs w:val="24"/>
        </w:rPr>
        <w:t>Where the dependent variable is technical efficiency score. The key explanatory variable</w:t>
      </w:r>
      <w:r w:rsidR="00AE4508">
        <w:rPr>
          <w:rFonts w:cstheme="minorHAnsi"/>
          <w:sz w:val="24"/>
          <w:szCs w:val="24"/>
        </w:rPr>
        <w:t>s</w:t>
      </w:r>
      <w:r w:rsidRPr="000E0742">
        <w:rPr>
          <w:rFonts w:cstheme="minorHAnsi"/>
          <w:sz w:val="24"/>
          <w:szCs w:val="24"/>
        </w:rPr>
        <w:t xml:space="preserve"> </w:t>
      </w:r>
      <w:r w:rsidR="00AE4508">
        <w:rPr>
          <w:rFonts w:cstheme="minorHAnsi"/>
          <w:sz w:val="24"/>
          <w:szCs w:val="24"/>
        </w:rPr>
        <w:t>are</w:t>
      </w:r>
      <w:r w:rsidRPr="000E0742">
        <w:rPr>
          <w:rFonts w:cstheme="minorHAnsi"/>
          <w:sz w:val="24"/>
          <w:szCs w:val="24"/>
        </w:rPr>
        <w:t xml:space="preserve"> innovation</w:t>
      </w:r>
      <w:r w:rsidR="00AE4508">
        <w:rPr>
          <w:rFonts w:cstheme="minorHAnsi"/>
          <w:sz w:val="24"/>
          <w:szCs w:val="24"/>
        </w:rPr>
        <w:t xml:space="preserve"> and e</w:t>
      </w:r>
      <w:r w:rsidRPr="000E0742">
        <w:rPr>
          <w:rFonts w:cstheme="minorHAnsi"/>
          <w:sz w:val="24"/>
          <w:szCs w:val="24"/>
        </w:rPr>
        <w:t>xport</w:t>
      </w:r>
      <w:r w:rsidR="00AE4508">
        <w:rPr>
          <w:rFonts w:cstheme="minorHAnsi"/>
          <w:sz w:val="24"/>
          <w:szCs w:val="24"/>
        </w:rPr>
        <w:t>s</w:t>
      </w:r>
      <w:r w:rsidR="00161374">
        <w:rPr>
          <w:rFonts w:cstheme="minorHAnsi"/>
          <w:sz w:val="24"/>
          <w:szCs w:val="24"/>
        </w:rPr>
        <w:t xml:space="preserve"> (</w:t>
      </w:r>
      <w:r w:rsidRPr="000E0742">
        <w:rPr>
          <w:rFonts w:cstheme="minorHAnsi"/>
          <w:sz w:val="24"/>
          <w:szCs w:val="24"/>
        </w:rPr>
        <w:t xml:space="preserve">included </w:t>
      </w:r>
      <w:r w:rsidR="00AE4508">
        <w:rPr>
          <w:rFonts w:cstheme="minorHAnsi"/>
          <w:sz w:val="24"/>
          <w:szCs w:val="24"/>
        </w:rPr>
        <w:t xml:space="preserve">in our model </w:t>
      </w:r>
      <w:r w:rsidRPr="000E0742">
        <w:rPr>
          <w:rFonts w:cstheme="minorHAnsi"/>
          <w:sz w:val="24"/>
          <w:szCs w:val="24"/>
        </w:rPr>
        <w:t>to complement innovation for its considerably large impact on the technical efficiency scores</w:t>
      </w:r>
      <w:r w:rsidR="00061A62">
        <w:rPr>
          <w:rFonts w:cstheme="minorHAnsi"/>
          <w:sz w:val="24"/>
          <w:szCs w:val="24"/>
        </w:rPr>
        <w:t>)</w:t>
      </w:r>
      <w:r w:rsidRPr="000E0742">
        <w:rPr>
          <w:rFonts w:cstheme="minorHAnsi"/>
          <w:sz w:val="24"/>
          <w:szCs w:val="24"/>
        </w:rPr>
        <w:t>.  Control variables documented to be related to firm-level performance are foreign ownership and competition.</w:t>
      </w:r>
    </w:p>
    <w:p w14:paraId="6CDB38B2" w14:textId="5F20A9FA" w:rsidR="00061A62" w:rsidRPr="003558E2" w:rsidRDefault="000E0742" w:rsidP="00061A62">
      <w:pPr>
        <w:spacing w:after="0" w:line="360" w:lineRule="auto"/>
        <w:ind w:firstLine="720"/>
        <w:jc w:val="both"/>
        <w:rPr>
          <w:rFonts w:cstheme="minorHAnsi"/>
          <w:sz w:val="24"/>
          <w:szCs w:val="24"/>
        </w:rPr>
      </w:pPr>
      <w:r w:rsidRPr="000E0742">
        <w:rPr>
          <w:rFonts w:cstheme="minorHAnsi"/>
          <w:sz w:val="24"/>
          <w:szCs w:val="24"/>
        </w:rPr>
        <w:t>Foreign-owned firms can provide useful access to resources,</w:t>
      </w:r>
      <w:r w:rsidRPr="000E0742">
        <w:rPr>
          <w:rFonts w:cstheme="minorHAnsi"/>
          <w:color w:val="FF0000"/>
          <w:sz w:val="24"/>
          <w:szCs w:val="24"/>
        </w:rPr>
        <w:t xml:space="preserve"> </w:t>
      </w:r>
      <w:r w:rsidRPr="000E0742">
        <w:rPr>
          <w:rFonts w:cstheme="minorHAnsi"/>
          <w:sz w:val="24"/>
          <w:szCs w:val="24"/>
        </w:rPr>
        <w:t>such as financing and human capital required for productivity,</w:t>
      </w:r>
      <w:r w:rsidR="006F73C0">
        <w:rPr>
          <w:rFonts w:cstheme="minorHAnsi"/>
          <w:sz w:val="24"/>
          <w:szCs w:val="24"/>
        </w:rPr>
        <w:t xml:space="preserve"> </w:t>
      </w:r>
      <w:r w:rsidRPr="000E0742">
        <w:rPr>
          <w:rFonts w:cstheme="minorHAnsi"/>
          <w:sz w:val="24"/>
          <w:szCs w:val="24"/>
        </w:rPr>
        <w:t xml:space="preserve">as well as possessing more superior knowledge and experience about foreign markets than their domestic counterparts </w:t>
      </w:r>
      <w:r w:rsidRPr="000E0742">
        <w:rPr>
          <w:rFonts w:cstheme="minorHAnsi"/>
          <w:sz w:val="24"/>
          <w:szCs w:val="24"/>
        </w:rPr>
        <w:fldChar w:fldCharType="begin"/>
      </w:r>
      <w:r w:rsidRPr="000E0742">
        <w:rPr>
          <w:rFonts w:cstheme="minorHAnsi"/>
          <w:sz w:val="24"/>
          <w:szCs w:val="24"/>
        </w:rPr>
        <w:instrText xml:space="preserve"> ADDIN EN.CITE &lt;EndNote&gt;&lt;Cite&gt;&lt;Author&gt;Hiep&lt;/Author&gt;&lt;Year&gt;2009&lt;/Year&gt;&lt;RecNum&gt;423&lt;/RecNum&gt;&lt;DisplayText&gt;(Hiep &amp;amp; Ohta 2009)&lt;/DisplayText&gt;&lt;record&gt;&lt;rec-number&gt;423&lt;/rec-number&gt;&lt;foreign-keys&gt;&lt;key app="EN" db-id="rxf590efovffdyexd5avvrxu20x05s5vtre5" timestamp="1541379352"&gt;423&lt;/key&gt;&lt;/foreign-keys&gt;&lt;ref-type name="Journal Article"&gt;17&lt;/ref-type&gt;&lt;contributors&gt;&lt;authors&gt;&lt;author&gt;Hiep, Nguyen&lt;/author&gt;&lt;author&gt;Ohta, Hiroshi&lt;/author&gt;&lt;/authors&gt;&lt;/contributors&gt;&lt;titles&gt;&lt;title&gt;Superiority of exporters and the causality between exporting and firm characteristics in Vietnam&lt;/title&gt;&lt;secondary-title&gt;RIEB (Research Institute for Economics &amp;amp; Business Administration) Discussion Paper Series&lt;/secondary-title&gt;&lt;/titles&gt;&lt;volume&gt;239&lt;/volume&gt;&lt;dates&gt;&lt;year&gt;2009&lt;/year&gt;&lt;/dates&gt;&lt;urls&gt;&lt;/urls&gt;&lt;/record&gt;&lt;/Cite&gt;&lt;/EndNote&gt;</w:instrText>
      </w:r>
      <w:r w:rsidRPr="000E0742">
        <w:rPr>
          <w:rFonts w:cstheme="minorHAnsi"/>
          <w:sz w:val="24"/>
          <w:szCs w:val="24"/>
        </w:rPr>
        <w:fldChar w:fldCharType="separate"/>
      </w:r>
      <w:r w:rsidRPr="000E0742">
        <w:rPr>
          <w:rFonts w:cstheme="minorHAnsi"/>
          <w:noProof/>
          <w:sz w:val="24"/>
          <w:szCs w:val="24"/>
        </w:rPr>
        <w:t>(Hiep &amp; Ohta, 2009)</w:t>
      </w:r>
      <w:r w:rsidRPr="000E0742">
        <w:rPr>
          <w:rFonts w:cstheme="minorHAnsi"/>
          <w:sz w:val="24"/>
          <w:szCs w:val="24"/>
        </w:rPr>
        <w:fldChar w:fldCharType="end"/>
      </w:r>
      <w:r w:rsidR="006F73C0">
        <w:rPr>
          <w:rFonts w:cstheme="minorHAnsi"/>
          <w:sz w:val="24"/>
          <w:szCs w:val="24"/>
        </w:rPr>
        <w:t>.</w:t>
      </w:r>
      <w:r w:rsidRPr="000E0742">
        <w:rPr>
          <w:rFonts w:cstheme="minorHAnsi"/>
          <w:sz w:val="24"/>
          <w:szCs w:val="24"/>
        </w:rPr>
        <w:t xml:space="preserve"> </w:t>
      </w:r>
      <w:r w:rsidR="00061A62">
        <w:rPr>
          <w:rFonts w:cstheme="minorHAnsi"/>
          <w:sz w:val="24"/>
          <w:szCs w:val="24"/>
        </w:rPr>
        <w:t xml:space="preserve">In addition, foreign presence can increase efficiencies for local firms through spill-over effects or by generating positive externalities, which can be generated within the same industry or </w:t>
      </w:r>
      <w:r w:rsidR="00061A62">
        <w:rPr>
          <w:rFonts w:cstheme="minorHAnsi"/>
          <w:sz w:val="24"/>
          <w:szCs w:val="24"/>
        </w:rPr>
        <w:lastRenderedPageBreak/>
        <w:t>across different industries</w:t>
      </w:r>
      <w:r w:rsidR="00061A62">
        <w:t xml:space="preserve"> </w:t>
      </w:r>
      <w:r w:rsidR="00061A62" w:rsidRPr="00D71052">
        <w:rPr>
          <w:sz w:val="24"/>
          <w:szCs w:val="24"/>
        </w:rPr>
        <w:t>(Orlic et al., 2018; Takii, 2011).</w:t>
      </w:r>
      <w:r w:rsidR="00061A62">
        <w:rPr>
          <w:rFonts w:cstheme="minorHAnsi"/>
          <w:sz w:val="24"/>
          <w:szCs w:val="24"/>
        </w:rPr>
        <w:t xml:space="preserve"> </w:t>
      </w:r>
      <w:r w:rsidR="00CB5277">
        <w:rPr>
          <w:rFonts w:cstheme="minorHAnsi"/>
          <w:sz w:val="24"/>
          <w:szCs w:val="24"/>
        </w:rPr>
        <w:t>While</w:t>
      </w:r>
      <w:r w:rsidR="00061A62">
        <w:rPr>
          <w:rFonts w:cstheme="minorHAnsi"/>
          <w:sz w:val="24"/>
          <w:szCs w:val="24"/>
        </w:rPr>
        <w:t xml:space="preserve"> spill-over effects can be transmitted through imitation, R&amp;D, training, etc.</w:t>
      </w:r>
      <w:r w:rsidR="00CB5277">
        <w:rPr>
          <w:rFonts w:cstheme="minorHAnsi"/>
          <w:sz w:val="24"/>
          <w:szCs w:val="24"/>
        </w:rPr>
        <w:t>,</w:t>
      </w:r>
      <w:r w:rsidR="00061A62">
        <w:rPr>
          <w:rFonts w:cstheme="minorHAnsi"/>
          <w:sz w:val="24"/>
          <w:szCs w:val="24"/>
        </w:rPr>
        <w:t xml:space="preserve"> Liu (2018) maintains that foreign players can aid in the ability to absorb technology and skills. </w:t>
      </w:r>
      <w:r w:rsidR="00CB5277">
        <w:rPr>
          <w:rFonts w:cstheme="minorHAnsi"/>
          <w:sz w:val="24"/>
          <w:szCs w:val="24"/>
        </w:rPr>
        <w:t>Accordingly, we</w:t>
      </w:r>
      <w:r w:rsidR="00061A62">
        <w:rPr>
          <w:rFonts w:cstheme="minorHAnsi"/>
          <w:sz w:val="24"/>
          <w:szCs w:val="24"/>
        </w:rPr>
        <w:t xml:space="preserve"> include </w:t>
      </w:r>
      <w:r w:rsidR="00CB5277">
        <w:rPr>
          <w:rFonts w:cstheme="minorHAnsi"/>
          <w:sz w:val="24"/>
          <w:szCs w:val="24"/>
        </w:rPr>
        <w:t>t</w:t>
      </w:r>
      <w:r w:rsidR="00CB5277" w:rsidRPr="003558E2">
        <w:rPr>
          <w:rFonts w:cstheme="minorHAnsi"/>
          <w:sz w:val="24"/>
          <w:szCs w:val="24"/>
        </w:rPr>
        <w:t>he percentage of</w:t>
      </w:r>
      <w:r w:rsidR="00CB5277">
        <w:rPr>
          <w:rFonts w:cstheme="minorHAnsi"/>
          <w:sz w:val="24"/>
          <w:szCs w:val="24"/>
        </w:rPr>
        <w:t xml:space="preserve"> </w:t>
      </w:r>
      <w:r w:rsidR="00061A62">
        <w:rPr>
          <w:rFonts w:cstheme="minorHAnsi"/>
          <w:sz w:val="24"/>
          <w:szCs w:val="24"/>
        </w:rPr>
        <w:t>foreign ownership as a control variable</w:t>
      </w:r>
      <w:r w:rsidR="00CB5277">
        <w:rPr>
          <w:rFonts w:cstheme="minorHAnsi"/>
          <w:sz w:val="24"/>
          <w:szCs w:val="24"/>
        </w:rPr>
        <w:t xml:space="preserve"> </w:t>
      </w:r>
      <w:r w:rsidR="00061A62">
        <w:rPr>
          <w:rFonts w:cstheme="minorHAnsi"/>
          <w:sz w:val="24"/>
          <w:szCs w:val="24"/>
        </w:rPr>
        <w:t>in the regression model</w:t>
      </w:r>
      <w:r w:rsidR="00061A62" w:rsidRPr="003558E2">
        <w:rPr>
          <w:rFonts w:cstheme="minorHAnsi"/>
          <w:sz w:val="24"/>
          <w:szCs w:val="24"/>
        </w:rPr>
        <w:t xml:space="preserve"> as follows: 0 for 0% ownership; 1 for &gt; 0% - &lt; 10%; 2 for </w:t>
      </w:r>
      <w:r w:rsidR="00061A62" w:rsidRPr="003558E2">
        <w:rPr>
          <w:rFonts w:cstheme="minorHAnsi"/>
          <w:sz w:val="24"/>
          <w:szCs w:val="24"/>
        </w:rPr>
        <w:sym w:font="Symbol" w:char="F0B3"/>
      </w:r>
      <w:r w:rsidR="00061A62" w:rsidRPr="003558E2">
        <w:rPr>
          <w:rFonts w:cstheme="minorHAnsi"/>
          <w:sz w:val="24"/>
          <w:szCs w:val="24"/>
        </w:rPr>
        <w:t xml:space="preserve">10% - &lt; 50%, and 3 for &gt; 50% ownerships. </w:t>
      </w:r>
    </w:p>
    <w:p w14:paraId="06761653" w14:textId="586669B0" w:rsidR="00CB5277" w:rsidRDefault="000E0742" w:rsidP="006F73C0">
      <w:pPr>
        <w:spacing w:after="0" w:line="360" w:lineRule="auto"/>
        <w:ind w:firstLine="720"/>
        <w:jc w:val="both"/>
        <w:rPr>
          <w:rFonts w:cstheme="minorHAnsi"/>
          <w:sz w:val="24"/>
          <w:szCs w:val="24"/>
        </w:rPr>
      </w:pPr>
      <w:r w:rsidRPr="000E0742">
        <w:rPr>
          <w:rFonts w:cstheme="minorHAnsi"/>
          <w:bCs/>
          <w:iCs/>
          <w:sz w:val="24"/>
          <w:szCs w:val="24"/>
        </w:rPr>
        <w:t>Degree of competition</w:t>
      </w:r>
      <w:r w:rsidRPr="000E0742">
        <w:rPr>
          <w:rFonts w:cstheme="minorHAnsi"/>
          <w:b/>
          <w:iCs/>
          <w:sz w:val="24"/>
          <w:szCs w:val="24"/>
        </w:rPr>
        <w:t xml:space="preserve"> </w:t>
      </w:r>
      <w:r w:rsidRPr="000E0742">
        <w:rPr>
          <w:rFonts w:cstheme="minorHAnsi"/>
          <w:iCs/>
          <w:sz w:val="24"/>
          <w:szCs w:val="24"/>
        </w:rPr>
        <w:t xml:space="preserve">is seen as an important external driver of performance. Increased competition for resources encourages firms to differentiate </w:t>
      </w:r>
      <w:r w:rsidRPr="000E0742">
        <w:rPr>
          <w:rFonts w:cstheme="minorHAnsi"/>
          <w:iCs/>
          <w:sz w:val="24"/>
          <w:szCs w:val="24"/>
        </w:rPr>
        <w:fldChar w:fldCharType="begin"/>
      </w:r>
      <w:r w:rsidRPr="000E0742">
        <w:rPr>
          <w:rFonts w:cstheme="minorHAnsi"/>
          <w:iCs/>
          <w:sz w:val="24"/>
          <w:szCs w:val="24"/>
        </w:rPr>
        <w:instrText xml:space="preserve"> ADDIN EN.CITE &lt;EndNote&gt;&lt;Cite&gt;&lt;Author&gt;Henderson&lt;/Author&gt;&lt;Year&gt;1997&lt;/Year&gt;&lt;RecNum&gt;452&lt;/RecNum&gt;&lt;DisplayText&gt;(Henderson &amp;amp; Mitchell 1997)&lt;/DisplayText&gt;&lt;record&gt;&lt;rec-number&gt;452&lt;/rec-number&gt;&lt;foreign-keys&gt;&lt;key app="EN" db-id="rxf590efovffdyexd5avvrxu20x05s5vtre5" timestamp="1543791931"&gt;452&lt;/key&gt;&lt;/foreign-keys&gt;&lt;ref-type name="Journal Article"&gt;17&lt;/ref-type&gt;&lt;contributors&gt;&lt;authors&gt;&lt;author&gt;Henderson, Rebecca&lt;/author&gt;&lt;author&gt;Mitchell, Will&lt;/author&gt;&lt;/authors&gt;&lt;/contributors&gt;&lt;titles&gt;&lt;title&gt;THE INTERACTIONS OF ORGANIZATIONAL AND COMPETITIVE INFLUENCES ON STRATEGY AND PERFORMANCE&lt;/title&gt;&lt;secondary-title&gt;Strategic Management Journal&lt;/secondary-title&gt;&lt;/titles&gt;&lt;pages&gt;5-14&lt;/pages&gt;&lt;volume&gt;18&lt;/volume&gt;&lt;number&gt;S1&lt;/number&gt;&lt;dates&gt;&lt;year&gt;1997&lt;/year&gt;&lt;/dates&gt;&lt;urls&gt;&lt;related-urls&gt;&lt;url&gt;https://onlinelibrary.wiley.com/doi/abs/10.1002/%28SICI%291097-0266%28199707%2918%3A1%2B%3C5%3A%3AAID-SMJ930%3E3.0.CO%3B2-I&lt;/url&gt;&lt;/related-urls&gt;&lt;/urls&gt;&lt;electronic-resource-num&gt;doi:10.1002/(SICI)1097-0266(199707)18:1+&amp;lt;5::AID-SMJ930&amp;gt;3.0.CO;2-I&lt;/electronic-resource-num&gt;&lt;/record&gt;&lt;/Cite&gt;&lt;/EndNote&gt;</w:instrText>
      </w:r>
      <w:r w:rsidRPr="000E0742">
        <w:rPr>
          <w:rFonts w:cstheme="minorHAnsi"/>
          <w:iCs/>
          <w:sz w:val="24"/>
          <w:szCs w:val="24"/>
        </w:rPr>
        <w:fldChar w:fldCharType="separate"/>
      </w:r>
      <w:r w:rsidRPr="000E0742">
        <w:rPr>
          <w:rFonts w:cstheme="minorHAnsi"/>
          <w:iCs/>
          <w:sz w:val="24"/>
          <w:szCs w:val="24"/>
        </w:rPr>
        <w:t>(Henderson &amp; Mitchell 1997)</w:t>
      </w:r>
      <w:r w:rsidRPr="000E0742">
        <w:rPr>
          <w:rFonts w:cstheme="minorHAnsi"/>
          <w:sz w:val="24"/>
          <w:szCs w:val="24"/>
        </w:rPr>
        <w:fldChar w:fldCharType="end"/>
      </w:r>
      <w:r w:rsidRPr="000E0742">
        <w:rPr>
          <w:rFonts w:cstheme="minorHAnsi"/>
          <w:iCs/>
          <w:sz w:val="24"/>
          <w:szCs w:val="24"/>
        </w:rPr>
        <w:t xml:space="preserve"> and seek opportunities abroad to secure critical resources to ensure business survival and development </w:t>
      </w:r>
      <w:r w:rsidRPr="000E0742">
        <w:rPr>
          <w:rFonts w:cstheme="minorHAnsi"/>
          <w:iCs/>
          <w:sz w:val="24"/>
          <w:szCs w:val="24"/>
        </w:rPr>
        <w:fldChar w:fldCharType="begin"/>
      </w:r>
      <w:r w:rsidRPr="000E0742">
        <w:rPr>
          <w:rFonts w:cstheme="minorHAnsi"/>
          <w:iCs/>
          <w:sz w:val="24"/>
          <w:szCs w:val="24"/>
        </w:rPr>
        <w:instrText xml:space="preserve"> ADDIN EN.CITE &lt;EndNote&gt;&lt;Cite&gt;&lt;Author&gt;Westhead&lt;/Author&gt;&lt;Year&gt;2001&lt;/Year&gt;&lt;RecNum&gt;52&lt;/RecNum&gt;&lt;DisplayText&gt;(Westhead, Wright &amp;amp; Ucbasaran 2001)&lt;/DisplayText&gt;&lt;record&gt;&lt;rec-number&gt;52&lt;/rec-number&gt;&lt;foreign-keys&gt;&lt;key app="EN" db-id="rxf590efovffdyexd5avvrxu20x05s5vtre5" timestamp="1535583074"&gt;52&lt;/key&gt;&lt;/foreign-keys&gt;&lt;ref-type name="Journal Article"&gt;17&lt;/ref-type&gt;&lt;contributors&gt;&lt;authors&gt;&lt;author&gt;Westhead, Paul&lt;/author&gt;&lt;author&gt;Wright, Mike&lt;/author&gt;&lt;author&gt;Ucbasaran, Deniz&lt;/author&gt;&lt;/authors&gt;&lt;/contributors&gt;&lt;titles&gt;&lt;title&gt;The internationalization of new and small firms: A resource-based view&lt;/title&gt;&lt;secondary-title&gt;Journal of Business Venturing&lt;/secondary-title&gt;&lt;/titles&gt;&lt;pages&gt;333-358&lt;/pages&gt;&lt;volume&gt;16&lt;/volume&gt;&lt;number&gt;4&lt;/number&gt;&lt;dates&gt;&lt;year&gt;2001&lt;/year&gt;&lt;pub-dates&gt;&lt;date&gt;2001/07/01/&lt;/date&gt;&lt;/pub-dates&gt;&lt;/dates&gt;&lt;isbn&gt;0883-9026&lt;/isbn&gt;&lt;urls&gt;&lt;related-urls&gt;&lt;url&gt;http://www.sciencedirect.com/science/article/pii/S0883902699000634&lt;/url&gt;&lt;/related-urls&gt;&lt;/urls&gt;&lt;electronic-resource-num&gt;https://doi.org/10.1016/S0883-9026(99)00063-4&lt;/electronic-resource-num&gt;&lt;/record&gt;&lt;/Cite&gt;&lt;/EndNote&gt;</w:instrText>
      </w:r>
      <w:r w:rsidRPr="000E0742">
        <w:rPr>
          <w:rFonts w:cstheme="minorHAnsi"/>
          <w:iCs/>
          <w:sz w:val="24"/>
          <w:szCs w:val="24"/>
        </w:rPr>
        <w:fldChar w:fldCharType="separate"/>
      </w:r>
      <w:r w:rsidRPr="000E0742">
        <w:rPr>
          <w:rFonts w:cstheme="minorHAnsi"/>
          <w:iCs/>
          <w:sz w:val="24"/>
          <w:szCs w:val="24"/>
        </w:rPr>
        <w:t>(Westhead et al., 2001)</w:t>
      </w:r>
      <w:r w:rsidRPr="000E0742">
        <w:rPr>
          <w:rFonts w:cstheme="minorHAnsi"/>
          <w:sz w:val="24"/>
          <w:szCs w:val="24"/>
        </w:rPr>
        <w:fldChar w:fldCharType="end"/>
      </w:r>
      <w:r w:rsidRPr="000E0742">
        <w:rPr>
          <w:rFonts w:cstheme="minorHAnsi"/>
          <w:iCs/>
          <w:sz w:val="24"/>
          <w:szCs w:val="24"/>
        </w:rPr>
        <w:t>.</w:t>
      </w:r>
      <w:r w:rsidRPr="000E0742">
        <w:rPr>
          <w:rFonts w:cstheme="minorHAnsi"/>
          <w:sz w:val="24"/>
          <w:szCs w:val="24"/>
        </w:rPr>
        <w:t xml:space="preserve"> </w:t>
      </w:r>
      <w:r w:rsidR="00CB5277">
        <w:rPr>
          <w:rFonts w:cstheme="minorHAnsi"/>
          <w:iCs/>
          <w:sz w:val="24"/>
          <w:szCs w:val="24"/>
        </w:rPr>
        <w:t>T</w:t>
      </w:r>
      <w:r w:rsidR="00CB5277" w:rsidRPr="00952F42">
        <w:rPr>
          <w:rFonts w:cstheme="minorHAnsi"/>
          <w:iCs/>
          <w:sz w:val="24"/>
          <w:szCs w:val="24"/>
        </w:rPr>
        <w:t xml:space="preserve">he argument in </w:t>
      </w:r>
      <w:r w:rsidR="00CB5277">
        <w:rPr>
          <w:rFonts w:cstheme="minorHAnsi"/>
          <w:iCs/>
          <w:sz w:val="24"/>
          <w:szCs w:val="24"/>
        </w:rPr>
        <w:t xml:space="preserve">support </w:t>
      </w:r>
      <w:r w:rsidR="00CB5277" w:rsidRPr="00952F42">
        <w:rPr>
          <w:rFonts w:cstheme="minorHAnsi"/>
          <w:iCs/>
          <w:sz w:val="24"/>
          <w:szCs w:val="24"/>
        </w:rPr>
        <w:t>of a positive relationship between competition and productivity performance rests on the</w:t>
      </w:r>
      <w:r w:rsidR="00CB5277">
        <w:rPr>
          <w:rFonts w:cstheme="minorHAnsi"/>
          <w:iCs/>
          <w:sz w:val="24"/>
          <w:szCs w:val="24"/>
        </w:rPr>
        <w:t xml:space="preserve"> idea of slacking in an environment of </w:t>
      </w:r>
      <w:r w:rsidR="00CB5277" w:rsidRPr="00952F42">
        <w:rPr>
          <w:rFonts w:cstheme="minorHAnsi"/>
          <w:iCs/>
          <w:sz w:val="24"/>
          <w:szCs w:val="24"/>
        </w:rPr>
        <w:t>monopoly power</w:t>
      </w:r>
      <w:r w:rsidR="00CB5277">
        <w:rPr>
          <w:rFonts w:cstheme="minorHAnsi"/>
          <w:iCs/>
          <w:sz w:val="24"/>
          <w:szCs w:val="24"/>
        </w:rPr>
        <w:t>. Existence of more firms</w:t>
      </w:r>
      <w:r w:rsidR="00CB5277" w:rsidRPr="00F12BE2">
        <w:t xml:space="preserve"> </w:t>
      </w:r>
      <w:r w:rsidR="00CB5277" w:rsidRPr="00F12BE2">
        <w:rPr>
          <w:rFonts w:cstheme="minorHAnsi"/>
          <w:iCs/>
          <w:sz w:val="24"/>
          <w:szCs w:val="24"/>
        </w:rPr>
        <w:t>in the industry leads to a sharpening of effort because the unobserved productivity shocks are likely to be correlated across firms operating in the same industry</w:t>
      </w:r>
      <w:r w:rsidR="00CB5277">
        <w:rPr>
          <w:rFonts w:cstheme="minorHAnsi"/>
          <w:iCs/>
          <w:sz w:val="24"/>
          <w:szCs w:val="24"/>
        </w:rPr>
        <w:t xml:space="preserve"> (Nickell, 1996). </w:t>
      </w:r>
      <w:r w:rsidR="00CB5277" w:rsidRPr="00F12BE2">
        <w:rPr>
          <w:rFonts w:cstheme="minorHAnsi"/>
          <w:iCs/>
          <w:sz w:val="24"/>
          <w:szCs w:val="24"/>
        </w:rPr>
        <w:t xml:space="preserve">Green and Mayes (1991) and Caves </w:t>
      </w:r>
      <w:r w:rsidR="00CB5277">
        <w:rPr>
          <w:rFonts w:cstheme="minorHAnsi"/>
          <w:iCs/>
          <w:sz w:val="24"/>
          <w:szCs w:val="24"/>
        </w:rPr>
        <w:t xml:space="preserve">and Bailey </w:t>
      </w:r>
      <w:r w:rsidR="00CB5277" w:rsidRPr="00F12BE2">
        <w:rPr>
          <w:rFonts w:cstheme="minorHAnsi"/>
          <w:iCs/>
          <w:sz w:val="24"/>
          <w:szCs w:val="24"/>
        </w:rPr>
        <w:t>(1992)</w:t>
      </w:r>
      <w:r w:rsidR="00CB5277">
        <w:rPr>
          <w:rFonts w:cstheme="minorHAnsi"/>
          <w:iCs/>
          <w:sz w:val="24"/>
          <w:szCs w:val="24"/>
        </w:rPr>
        <w:t xml:space="preserve"> have done comprehensive studies to relate technical efficiency with competition. Empirical findings suggest that competition leads to firms’ employment of more effective decision-making structure.</w:t>
      </w:r>
      <w:r w:rsidR="00CB5277" w:rsidRPr="000E0742">
        <w:rPr>
          <w:rFonts w:cstheme="minorHAnsi"/>
          <w:sz w:val="24"/>
          <w:szCs w:val="24"/>
        </w:rPr>
        <w:t xml:space="preserve"> </w:t>
      </w:r>
      <w:r w:rsidR="00CB5277">
        <w:rPr>
          <w:rFonts w:cstheme="minorHAnsi"/>
          <w:sz w:val="24"/>
          <w:szCs w:val="24"/>
        </w:rPr>
        <w:t xml:space="preserve">The variable </w:t>
      </w:r>
      <w:r w:rsidR="00CB5277" w:rsidRPr="003558E2">
        <w:rPr>
          <w:rFonts w:cstheme="minorHAnsi"/>
          <w:bCs/>
          <w:iCs/>
          <w:sz w:val="24"/>
          <w:szCs w:val="24"/>
        </w:rPr>
        <w:t xml:space="preserve">competition </w:t>
      </w:r>
      <w:r w:rsidR="00CB5277">
        <w:rPr>
          <w:rFonts w:cstheme="minorHAnsi"/>
          <w:bCs/>
          <w:iCs/>
          <w:sz w:val="24"/>
          <w:szCs w:val="24"/>
        </w:rPr>
        <w:t xml:space="preserve">included in the regression </w:t>
      </w:r>
      <w:r w:rsidR="00CB5277" w:rsidRPr="003558E2">
        <w:rPr>
          <w:rFonts w:cstheme="minorHAnsi"/>
          <w:bCs/>
          <w:iCs/>
          <w:sz w:val="24"/>
          <w:szCs w:val="24"/>
        </w:rPr>
        <w:t>is derived as an ordinal variable ranging from 0 to 3 as follows: 0 represents no competition; 1 is minimal competition (in BLADE it is 1 or 2); 2 is moderate competition (3 or 4), and 3 is strong competition (5 or more).</w:t>
      </w:r>
    </w:p>
    <w:p w14:paraId="5CED2486" w14:textId="088F5506" w:rsidR="001F2B6D" w:rsidRPr="00D32B00" w:rsidRDefault="001F2B6D" w:rsidP="001F2B6D">
      <w:pPr>
        <w:spacing w:after="0" w:line="360" w:lineRule="auto"/>
        <w:ind w:firstLine="720"/>
        <w:jc w:val="both"/>
        <w:rPr>
          <w:rFonts w:cstheme="minorHAnsi"/>
          <w:iCs/>
          <w:sz w:val="24"/>
          <w:szCs w:val="24"/>
        </w:rPr>
      </w:pPr>
      <w:r w:rsidRPr="00FA1D92">
        <w:rPr>
          <w:rFonts w:cstheme="minorHAnsi"/>
          <w:iCs/>
          <w:sz w:val="24"/>
          <w:szCs w:val="24"/>
        </w:rPr>
        <w:t xml:space="preserve">We also include size </w:t>
      </w:r>
      <w:r w:rsidR="002034D4">
        <w:rPr>
          <w:rFonts w:cstheme="minorHAnsi"/>
          <w:iCs/>
          <w:sz w:val="24"/>
          <w:szCs w:val="24"/>
        </w:rPr>
        <w:t xml:space="preserve">(as defined by the ABS) </w:t>
      </w:r>
      <w:r w:rsidRPr="00FA1D92">
        <w:rPr>
          <w:rFonts w:cstheme="minorHAnsi"/>
          <w:iCs/>
          <w:sz w:val="24"/>
          <w:szCs w:val="24"/>
        </w:rPr>
        <w:t xml:space="preserve">and age </w:t>
      </w:r>
      <w:r w:rsidR="002034D4">
        <w:rPr>
          <w:rFonts w:cstheme="minorHAnsi"/>
          <w:iCs/>
          <w:sz w:val="24"/>
          <w:szCs w:val="24"/>
        </w:rPr>
        <w:t xml:space="preserve">(as defined by the OECD) </w:t>
      </w:r>
      <w:r w:rsidRPr="00FA1D92">
        <w:rPr>
          <w:rFonts w:cstheme="minorHAnsi"/>
          <w:iCs/>
          <w:sz w:val="24"/>
          <w:szCs w:val="24"/>
        </w:rPr>
        <w:t xml:space="preserve">as control variables in our estimation framework. </w:t>
      </w:r>
      <w:r w:rsidR="002034D4">
        <w:rPr>
          <w:rFonts w:cstheme="minorHAnsi"/>
          <w:iCs/>
          <w:sz w:val="24"/>
          <w:szCs w:val="24"/>
        </w:rPr>
        <w:t>T</w:t>
      </w:r>
      <w:r>
        <w:rPr>
          <w:rFonts w:cstheme="minorHAnsi"/>
          <w:iCs/>
          <w:sz w:val="24"/>
          <w:szCs w:val="24"/>
        </w:rPr>
        <w:t xml:space="preserve">he same classifications </w:t>
      </w:r>
      <w:r w:rsidR="002034D4">
        <w:rPr>
          <w:rFonts w:cstheme="minorHAnsi"/>
          <w:iCs/>
          <w:sz w:val="24"/>
          <w:szCs w:val="24"/>
        </w:rPr>
        <w:t xml:space="preserve">were </w:t>
      </w:r>
      <w:r>
        <w:rPr>
          <w:rFonts w:cstheme="minorHAnsi"/>
          <w:iCs/>
          <w:sz w:val="24"/>
          <w:szCs w:val="24"/>
        </w:rPr>
        <w:t xml:space="preserve">used in the analysis of the technical efficiency scores </w:t>
      </w:r>
      <w:r w:rsidR="002034D4">
        <w:rPr>
          <w:rFonts w:cstheme="minorHAnsi"/>
          <w:iCs/>
          <w:sz w:val="24"/>
          <w:szCs w:val="24"/>
        </w:rPr>
        <w:t>outlined in the Data and Research Methods section of this report</w:t>
      </w:r>
      <w:r>
        <w:rPr>
          <w:rFonts w:cstheme="minorHAnsi"/>
          <w:iCs/>
          <w:sz w:val="24"/>
          <w:szCs w:val="24"/>
        </w:rPr>
        <w:t>.</w:t>
      </w:r>
      <w:r w:rsidRPr="00FA1D92">
        <w:rPr>
          <w:rFonts w:cstheme="minorHAnsi"/>
          <w:iCs/>
          <w:sz w:val="24"/>
          <w:szCs w:val="24"/>
        </w:rPr>
        <w:t xml:space="preserve"> </w:t>
      </w:r>
      <w:r>
        <w:rPr>
          <w:rFonts w:cstheme="minorHAnsi"/>
          <w:iCs/>
          <w:sz w:val="24"/>
          <w:szCs w:val="24"/>
        </w:rPr>
        <w:t>F</w:t>
      </w:r>
      <w:r w:rsidRPr="00FA1D92">
        <w:rPr>
          <w:rFonts w:cstheme="minorHAnsi"/>
          <w:iCs/>
          <w:sz w:val="24"/>
          <w:szCs w:val="24"/>
        </w:rPr>
        <w:t>irms are classified into four dummy variables for size: micro businesses (MICRO) 1-4 employees; small businesses (SMALL) 5-19 employees; medium business (MEDIUM) 20-199 employees</w:t>
      </w:r>
      <w:r w:rsidR="00AF3C9B">
        <w:rPr>
          <w:rFonts w:cstheme="minorHAnsi"/>
          <w:iCs/>
          <w:sz w:val="24"/>
          <w:szCs w:val="24"/>
        </w:rPr>
        <w:t>;</w:t>
      </w:r>
      <w:r w:rsidRPr="00FA1D92">
        <w:rPr>
          <w:rFonts w:cstheme="minorHAnsi"/>
          <w:iCs/>
          <w:sz w:val="24"/>
          <w:szCs w:val="24"/>
        </w:rPr>
        <w:t xml:space="preserve"> and</w:t>
      </w:r>
      <w:r w:rsidR="004D6A30">
        <w:rPr>
          <w:rFonts w:cstheme="minorHAnsi"/>
          <w:iCs/>
          <w:sz w:val="24"/>
          <w:szCs w:val="24"/>
        </w:rPr>
        <w:t>,</w:t>
      </w:r>
      <w:r w:rsidRPr="00FA1D92">
        <w:rPr>
          <w:rFonts w:cstheme="minorHAnsi"/>
          <w:iCs/>
          <w:sz w:val="24"/>
          <w:szCs w:val="24"/>
        </w:rPr>
        <w:t xml:space="preserve"> large business (LARGE) 200</w:t>
      </w:r>
      <w:r w:rsidR="002034D4">
        <w:rPr>
          <w:rFonts w:cstheme="minorHAnsi"/>
          <w:iCs/>
          <w:sz w:val="24"/>
          <w:szCs w:val="24"/>
        </w:rPr>
        <w:t>+</w:t>
      </w:r>
      <w:r w:rsidRPr="00FA1D92">
        <w:rPr>
          <w:rFonts w:cstheme="minorHAnsi"/>
          <w:iCs/>
          <w:sz w:val="24"/>
          <w:szCs w:val="24"/>
        </w:rPr>
        <w:t xml:space="preserve"> employees. </w:t>
      </w:r>
      <w:r w:rsidRPr="00D32B00">
        <w:rPr>
          <w:rFonts w:cstheme="minorHAnsi"/>
          <w:iCs/>
          <w:sz w:val="24"/>
          <w:szCs w:val="24"/>
        </w:rPr>
        <w:t xml:space="preserve">Age is categorised </w:t>
      </w:r>
      <w:r w:rsidR="002034D4">
        <w:rPr>
          <w:rFonts w:cstheme="minorHAnsi"/>
          <w:iCs/>
          <w:sz w:val="24"/>
          <w:szCs w:val="24"/>
        </w:rPr>
        <w:t>by</w:t>
      </w:r>
      <w:r w:rsidRPr="00D32B00">
        <w:rPr>
          <w:rFonts w:cstheme="minorHAnsi"/>
          <w:iCs/>
          <w:sz w:val="24"/>
          <w:szCs w:val="24"/>
        </w:rPr>
        <w:t xml:space="preserve"> four dummy variables as follows: start-up (STARTUP) between 0 to 2 years; young firm (YOUNG) 3 to 5 years; mature firm (MATURE) 6 to 9 years, and</w:t>
      </w:r>
      <w:r w:rsidR="002034D4">
        <w:rPr>
          <w:rFonts w:cstheme="minorHAnsi"/>
          <w:iCs/>
          <w:sz w:val="24"/>
          <w:szCs w:val="24"/>
        </w:rPr>
        <w:t>;</w:t>
      </w:r>
      <w:r w:rsidRPr="00D32B00">
        <w:rPr>
          <w:rFonts w:cstheme="minorHAnsi"/>
          <w:iCs/>
          <w:sz w:val="24"/>
          <w:szCs w:val="24"/>
        </w:rPr>
        <w:t xml:space="preserve"> old firm (OLD) 10 years or more.</w:t>
      </w:r>
      <w:r>
        <w:rPr>
          <w:rFonts w:cstheme="minorHAnsi"/>
          <w:iCs/>
          <w:sz w:val="24"/>
          <w:szCs w:val="24"/>
        </w:rPr>
        <w:t xml:space="preserve"> </w:t>
      </w:r>
    </w:p>
    <w:p w14:paraId="063B8BDF" w14:textId="66438448" w:rsidR="006F73C0" w:rsidRDefault="001F2B6D" w:rsidP="002034D4">
      <w:pPr>
        <w:spacing w:after="0" w:line="360" w:lineRule="auto"/>
        <w:ind w:firstLine="720"/>
        <w:jc w:val="both"/>
        <w:rPr>
          <w:rFonts w:cstheme="minorHAnsi"/>
          <w:sz w:val="24"/>
          <w:szCs w:val="24"/>
        </w:rPr>
      </w:pPr>
      <w:r w:rsidRPr="003558E2">
        <w:rPr>
          <w:rFonts w:cstheme="minorHAnsi"/>
          <w:sz w:val="24"/>
          <w:szCs w:val="24"/>
        </w:rPr>
        <w:t xml:space="preserve">We employ a matching procedure to sample observations to address certain baseline characteristic differences that might be inherent in the population. As potential endogeneity can also arise due to self-selection of firms into innovation (Becker &amp; Egger, 2013), we use an entropy balancing technique to account for these potential endogeneity issues. Entropy </w:t>
      </w:r>
      <w:r w:rsidRPr="003558E2">
        <w:rPr>
          <w:rFonts w:cstheme="minorHAnsi"/>
          <w:sz w:val="24"/>
          <w:szCs w:val="24"/>
        </w:rPr>
        <w:lastRenderedPageBreak/>
        <w:t>balancing (Hainmueller, 2012) addresses the shortcomings of low levels of covariate balance in practice. The indirect search process used in most matching procedures often fails to jointly balance out all the covariates and, in some cases, even counteracts bias reduction when balance on some covariates decreases as a result of the pre-processing (Iacus et al., 2012). As such, entropy balancing uses a pre-processing scheme where covariate balance is directly built into the weight function that is used to adjust the control units.</w:t>
      </w:r>
      <w:r w:rsidRPr="003558E2">
        <w:rPr>
          <w:rFonts w:eastAsia="Times New Roman" w:cstheme="minorHAnsi"/>
          <w:sz w:val="24"/>
          <w:szCs w:val="24"/>
          <w:lang w:eastAsia="en-GB"/>
        </w:rPr>
        <w:t xml:space="preserve"> </w:t>
      </w:r>
      <w:r w:rsidRPr="003558E2">
        <w:rPr>
          <w:rFonts w:cstheme="minorHAnsi"/>
          <w:sz w:val="24"/>
          <w:szCs w:val="24"/>
        </w:rPr>
        <w:t>Accordingly, we match companies obtained from the BLADE datasets by using entropy balancing to maximise the available sample of companies while ensuring mean balancing between innovative and non-innovative companies. We match the companies based on exports, competition, degree of foreign ownerships, firm size and age.</w:t>
      </w:r>
    </w:p>
    <w:p w14:paraId="3BF52F9B" w14:textId="28DA8CFE" w:rsidR="00AC760E" w:rsidRDefault="000E0742" w:rsidP="00AC760E">
      <w:pPr>
        <w:spacing w:after="0" w:line="360" w:lineRule="auto"/>
        <w:ind w:firstLine="720"/>
        <w:jc w:val="both"/>
        <w:rPr>
          <w:rFonts w:cstheme="minorHAnsi"/>
          <w:sz w:val="24"/>
          <w:szCs w:val="24"/>
        </w:rPr>
      </w:pPr>
      <w:r w:rsidRPr="000E0742">
        <w:rPr>
          <w:rFonts w:cstheme="minorHAnsi"/>
          <w:sz w:val="24"/>
          <w:szCs w:val="24"/>
        </w:rPr>
        <w:t xml:space="preserve">After matching our sample of private </w:t>
      </w:r>
      <w:r w:rsidR="00395457">
        <w:rPr>
          <w:rFonts w:cstheme="minorHAnsi"/>
          <w:sz w:val="24"/>
          <w:szCs w:val="24"/>
        </w:rPr>
        <w:t>companies</w:t>
      </w:r>
      <w:r w:rsidRPr="000E0742">
        <w:rPr>
          <w:rFonts w:cstheme="minorHAnsi"/>
          <w:sz w:val="24"/>
          <w:szCs w:val="24"/>
        </w:rPr>
        <w:t xml:space="preserve"> that innovate with those that do not innovate by using an entropy balancing technique, regression estimates are reported in Table </w:t>
      </w:r>
      <w:r w:rsidR="00395457">
        <w:rPr>
          <w:rFonts w:cstheme="minorHAnsi"/>
          <w:sz w:val="24"/>
          <w:szCs w:val="24"/>
        </w:rPr>
        <w:t>1</w:t>
      </w:r>
      <w:r w:rsidRPr="000E0742">
        <w:rPr>
          <w:rFonts w:cstheme="minorHAnsi"/>
          <w:sz w:val="24"/>
          <w:szCs w:val="24"/>
        </w:rPr>
        <w:t xml:space="preserve">. The results show that innovation has a positive </w:t>
      </w:r>
      <w:r w:rsidR="006F73C0">
        <w:rPr>
          <w:rFonts w:cstheme="minorHAnsi"/>
          <w:sz w:val="24"/>
          <w:szCs w:val="24"/>
        </w:rPr>
        <w:t xml:space="preserve">and </w:t>
      </w:r>
      <w:r w:rsidRPr="000E0742">
        <w:rPr>
          <w:rFonts w:cstheme="minorHAnsi"/>
          <w:sz w:val="24"/>
          <w:szCs w:val="24"/>
        </w:rPr>
        <w:t xml:space="preserve">significant effect on </w:t>
      </w:r>
      <w:r w:rsidR="007B04F4">
        <w:rPr>
          <w:rFonts w:cstheme="minorHAnsi"/>
          <w:sz w:val="24"/>
          <w:szCs w:val="24"/>
        </w:rPr>
        <w:t xml:space="preserve">the </w:t>
      </w:r>
      <w:r w:rsidRPr="000E0742">
        <w:rPr>
          <w:rFonts w:cstheme="minorHAnsi"/>
          <w:sz w:val="24"/>
          <w:szCs w:val="24"/>
        </w:rPr>
        <w:t>technical efficiency</w:t>
      </w:r>
      <w:r w:rsidR="00F32E7D">
        <w:rPr>
          <w:rFonts w:cstheme="minorHAnsi"/>
          <w:sz w:val="24"/>
          <w:szCs w:val="24"/>
        </w:rPr>
        <w:t xml:space="preserve"> </w:t>
      </w:r>
      <w:r w:rsidR="007B04F4">
        <w:rPr>
          <w:rFonts w:cstheme="minorHAnsi"/>
          <w:sz w:val="24"/>
          <w:szCs w:val="24"/>
        </w:rPr>
        <w:t xml:space="preserve">private companies </w:t>
      </w:r>
      <w:r w:rsidR="00F32E7D">
        <w:rPr>
          <w:rFonts w:cstheme="minorHAnsi"/>
          <w:sz w:val="24"/>
          <w:szCs w:val="24"/>
        </w:rPr>
        <w:t>a</w:t>
      </w:r>
      <w:r w:rsidRPr="000E0742">
        <w:rPr>
          <w:rFonts w:cstheme="minorHAnsi"/>
          <w:sz w:val="24"/>
          <w:szCs w:val="24"/>
        </w:rPr>
        <w:t xml:space="preserve">nd this is robust </w:t>
      </w:r>
      <w:r w:rsidR="00F32E7D">
        <w:rPr>
          <w:rFonts w:cstheme="minorHAnsi"/>
          <w:sz w:val="24"/>
          <w:szCs w:val="24"/>
        </w:rPr>
        <w:t xml:space="preserve">after </w:t>
      </w:r>
      <w:r w:rsidR="007B04F4">
        <w:rPr>
          <w:rFonts w:cstheme="minorHAnsi"/>
          <w:sz w:val="24"/>
          <w:szCs w:val="24"/>
        </w:rPr>
        <w:t xml:space="preserve">the </w:t>
      </w:r>
      <w:r w:rsidR="00F32E7D">
        <w:rPr>
          <w:rFonts w:cstheme="minorHAnsi"/>
          <w:sz w:val="24"/>
          <w:szCs w:val="24"/>
        </w:rPr>
        <w:t xml:space="preserve">inclusion of different measures of </w:t>
      </w:r>
      <w:r w:rsidR="00F32E7D" w:rsidRPr="000E0742">
        <w:rPr>
          <w:rFonts w:cstheme="minorHAnsi"/>
          <w:sz w:val="24"/>
          <w:szCs w:val="24"/>
        </w:rPr>
        <w:t>technical and business human skills</w:t>
      </w:r>
      <w:r w:rsidR="00F32E7D">
        <w:rPr>
          <w:rFonts w:cstheme="minorHAnsi"/>
          <w:sz w:val="24"/>
          <w:szCs w:val="24"/>
        </w:rPr>
        <w:t xml:space="preserve"> into the </w:t>
      </w:r>
      <w:r w:rsidR="00F32E7D" w:rsidRPr="003558E2">
        <w:rPr>
          <w:rFonts w:cstheme="minorHAnsi"/>
          <w:sz w:val="24"/>
          <w:szCs w:val="24"/>
        </w:rPr>
        <w:t>Cobb Douglas stochastic frontier production</w:t>
      </w:r>
      <w:r w:rsidR="00F32E7D">
        <w:rPr>
          <w:rFonts w:cstheme="minorHAnsi"/>
          <w:sz w:val="24"/>
          <w:szCs w:val="24"/>
        </w:rPr>
        <w:t xml:space="preserve"> model</w:t>
      </w:r>
      <w:r w:rsidRPr="000E0742">
        <w:rPr>
          <w:rFonts w:cstheme="minorHAnsi"/>
          <w:sz w:val="24"/>
          <w:szCs w:val="24"/>
        </w:rPr>
        <w:t xml:space="preserve">. </w:t>
      </w:r>
      <w:r w:rsidR="00F32E7D">
        <w:rPr>
          <w:rFonts w:cstheme="minorHAnsi"/>
          <w:sz w:val="24"/>
          <w:szCs w:val="24"/>
        </w:rPr>
        <w:t>E</w:t>
      </w:r>
      <w:r w:rsidRPr="000E0742">
        <w:rPr>
          <w:rFonts w:cstheme="minorHAnsi"/>
          <w:sz w:val="24"/>
          <w:szCs w:val="24"/>
        </w:rPr>
        <w:t>xport</w:t>
      </w:r>
      <w:r w:rsidR="00F32E7D">
        <w:rPr>
          <w:rFonts w:cstheme="minorHAnsi"/>
          <w:sz w:val="24"/>
          <w:szCs w:val="24"/>
        </w:rPr>
        <w:t>s</w:t>
      </w:r>
      <w:r w:rsidRPr="000E0742">
        <w:rPr>
          <w:rFonts w:cstheme="minorHAnsi"/>
          <w:sz w:val="24"/>
          <w:szCs w:val="24"/>
        </w:rPr>
        <w:t xml:space="preserve"> also show strong robust positive effect</w:t>
      </w:r>
      <w:r w:rsidR="00CF2F79">
        <w:rPr>
          <w:rFonts w:cstheme="minorHAnsi"/>
          <w:sz w:val="24"/>
          <w:szCs w:val="24"/>
        </w:rPr>
        <w:t>s</w:t>
      </w:r>
      <w:r w:rsidRPr="000E0742">
        <w:rPr>
          <w:rFonts w:cstheme="minorHAnsi"/>
          <w:sz w:val="24"/>
          <w:szCs w:val="24"/>
        </w:rPr>
        <w:t xml:space="preserve"> at </w:t>
      </w:r>
      <w:r w:rsidR="00F32E7D">
        <w:rPr>
          <w:rFonts w:cstheme="minorHAnsi"/>
          <w:sz w:val="24"/>
          <w:szCs w:val="24"/>
        </w:rPr>
        <w:t xml:space="preserve">the </w:t>
      </w:r>
      <w:r w:rsidRPr="000E0742">
        <w:rPr>
          <w:rFonts w:cstheme="minorHAnsi"/>
          <w:sz w:val="24"/>
          <w:szCs w:val="24"/>
        </w:rPr>
        <w:t>1</w:t>
      </w:r>
      <w:r w:rsidR="00F32E7D">
        <w:rPr>
          <w:rFonts w:cstheme="minorHAnsi"/>
          <w:sz w:val="24"/>
          <w:szCs w:val="24"/>
        </w:rPr>
        <w:t xml:space="preserve"> per cent</w:t>
      </w:r>
      <w:r w:rsidRPr="000E0742">
        <w:rPr>
          <w:rFonts w:cstheme="minorHAnsi"/>
          <w:sz w:val="24"/>
          <w:szCs w:val="24"/>
        </w:rPr>
        <w:t xml:space="preserve"> level of significance</w:t>
      </w:r>
      <w:r w:rsidR="00F32E7D" w:rsidRPr="00F32E7D">
        <w:rPr>
          <w:rFonts w:cstheme="minorHAnsi"/>
          <w:sz w:val="24"/>
          <w:szCs w:val="24"/>
        </w:rPr>
        <w:t xml:space="preserve"> </w:t>
      </w:r>
      <w:r w:rsidR="00F32E7D" w:rsidRPr="000E0742">
        <w:rPr>
          <w:rFonts w:cstheme="minorHAnsi"/>
          <w:sz w:val="24"/>
          <w:szCs w:val="24"/>
        </w:rPr>
        <w:t>across all the estimation</w:t>
      </w:r>
      <w:r w:rsidR="00F32E7D">
        <w:rPr>
          <w:rFonts w:cstheme="minorHAnsi"/>
          <w:sz w:val="24"/>
          <w:szCs w:val="24"/>
        </w:rPr>
        <w:t>s</w:t>
      </w:r>
      <w:r w:rsidRPr="000E0742">
        <w:rPr>
          <w:rFonts w:cstheme="minorHAnsi"/>
          <w:sz w:val="24"/>
          <w:szCs w:val="24"/>
        </w:rPr>
        <w:t xml:space="preserve">. </w:t>
      </w:r>
      <w:r w:rsidR="00155912">
        <w:rPr>
          <w:rFonts w:cstheme="minorHAnsi"/>
          <w:sz w:val="24"/>
          <w:szCs w:val="24"/>
        </w:rPr>
        <w:t xml:space="preserve">Regardless of the stochastic frontier model used (i.e., inclusion of business skills </w:t>
      </w:r>
      <w:r w:rsidR="00F95258">
        <w:rPr>
          <w:rFonts w:cstheme="minorHAnsi"/>
          <w:sz w:val="24"/>
          <w:szCs w:val="24"/>
        </w:rPr>
        <w:t xml:space="preserve">in equations 1 and 2 </w:t>
      </w:r>
      <w:r w:rsidR="00155912">
        <w:rPr>
          <w:rFonts w:cstheme="minorHAnsi"/>
          <w:sz w:val="24"/>
          <w:szCs w:val="24"/>
        </w:rPr>
        <w:t>or technical skills</w:t>
      </w:r>
      <w:r w:rsidR="00F95258">
        <w:rPr>
          <w:rFonts w:cstheme="minorHAnsi"/>
          <w:sz w:val="24"/>
          <w:szCs w:val="24"/>
        </w:rPr>
        <w:t xml:space="preserve"> in equations 3 and 4</w:t>
      </w:r>
      <w:r w:rsidR="00F95258" w:rsidRPr="00F95258">
        <w:rPr>
          <w:rFonts w:cstheme="minorHAnsi"/>
          <w:sz w:val="24"/>
          <w:szCs w:val="24"/>
        </w:rPr>
        <w:t xml:space="preserve"> </w:t>
      </w:r>
      <w:r w:rsidR="00F95258">
        <w:rPr>
          <w:rFonts w:cstheme="minorHAnsi"/>
          <w:sz w:val="24"/>
          <w:szCs w:val="24"/>
        </w:rPr>
        <w:t>in Table 1</w:t>
      </w:r>
      <w:r w:rsidR="00155912">
        <w:rPr>
          <w:rFonts w:cstheme="minorHAnsi"/>
          <w:sz w:val="24"/>
          <w:szCs w:val="24"/>
        </w:rPr>
        <w:t xml:space="preserve">), </w:t>
      </w:r>
      <w:r w:rsidR="00F95258">
        <w:rPr>
          <w:rFonts w:cstheme="minorHAnsi"/>
          <w:sz w:val="24"/>
          <w:szCs w:val="24"/>
        </w:rPr>
        <w:t>regression estimates</w:t>
      </w:r>
      <w:r w:rsidR="00155912">
        <w:rPr>
          <w:rFonts w:cstheme="minorHAnsi"/>
          <w:sz w:val="24"/>
          <w:szCs w:val="24"/>
        </w:rPr>
        <w:t xml:space="preserve"> show companies </w:t>
      </w:r>
      <w:r w:rsidR="00F32E7D">
        <w:rPr>
          <w:rFonts w:cstheme="minorHAnsi"/>
          <w:sz w:val="24"/>
          <w:szCs w:val="24"/>
        </w:rPr>
        <w:t>that</w:t>
      </w:r>
      <w:r w:rsidRPr="000E0742">
        <w:rPr>
          <w:rFonts w:cstheme="minorHAnsi"/>
          <w:sz w:val="24"/>
          <w:szCs w:val="24"/>
        </w:rPr>
        <w:t xml:space="preserve"> export</w:t>
      </w:r>
      <w:r w:rsidR="00F32E7D">
        <w:rPr>
          <w:rFonts w:cstheme="minorHAnsi"/>
          <w:sz w:val="24"/>
          <w:szCs w:val="24"/>
        </w:rPr>
        <w:t xml:space="preserve"> are associated with</w:t>
      </w:r>
      <w:r w:rsidR="00CF2F79">
        <w:rPr>
          <w:rFonts w:cstheme="minorHAnsi"/>
          <w:sz w:val="24"/>
          <w:szCs w:val="24"/>
        </w:rPr>
        <w:t xml:space="preserve"> on average</w:t>
      </w:r>
      <w:r w:rsidR="00F32E7D">
        <w:rPr>
          <w:rFonts w:cstheme="minorHAnsi"/>
          <w:sz w:val="24"/>
          <w:szCs w:val="24"/>
        </w:rPr>
        <w:t xml:space="preserve"> </w:t>
      </w:r>
      <w:r w:rsidRPr="000E0742">
        <w:rPr>
          <w:rFonts w:cstheme="minorHAnsi"/>
          <w:sz w:val="24"/>
          <w:szCs w:val="24"/>
        </w:rPr>
        <w:t xml:space="preserve">increases </w:t>
      </w:r>
      <w:r w:rsidR="00F32E7D">
        <w:rPr>
          <w:rFonts w:cstheme="minorHAnsi"/>
          <w:sz w:val="24"/>
          <w:szCs w:val="24"/>
        </w:rPr>
        <w:t xml:space="preserve">of </w:t>
      </w:r>
      <w:r w:rsidR="00F32E7D" w:rsidRPr="000E0742">
        <w:rPr>
          <w:rFonts w:cstheme="minorHAnsi"/>
          <w:sz w:val="24"/>
          <w:szCs w:val="24"/>
        </w:rPr>
        <w:t>0.0314</w:t>
      </w:r>
      <w:r w:rsidR="00934BF0">
        <w:rPr>
          <w:rFonts w:cstheme="minorHAnsi"/>
          <w:sz w:val="24"/>
          <w:szCs w:val="24"/>
        </w:rPr>
        <w:t xml:space="preserve">, 0.0342, </w:t>
      </w:r>
      <w:r w:rsidR="00F32E7D" w:rsidRPr="000E0742">
        <w:rPr>
          <w:rFonts w:cstheme="minorHAnsi"/>
          <w:sz w:val="24"/>
          <w:szCs w:val="24"/>
        </w:rPr>
        <w:t>0.0316</w:t>
      </w:r>
      <w:r w:rsidR="00934BF0">
        <w:rPr>
          <w:rFonts w:cstheme="minorHAnsi"/>
          <w:sz w:val="24"/>
          <w:szCs w:val="24"/>
        </w:rPr>
        <w:t xml:space="preserve"> and 0.0342</w:t>
      </w:r>
      <w:r w:rsidR="00C72B24">
        <w:rPr>
          <w:rFonts w:cstheme="minorHAnsi"/>
          <w:sz w:val="24"/>
          <w:szCs w:val="24"/>
        </w:rPr>
        <w:t xml:space="preserve"> in</w:t>
      </w:r>
      <w:r w:rsidR="00F32E7D" w:rsidRPr="000E0742">
        <w:rPr>
          <w:rFonts w:cstheme="minorHAnsi"/>
          <w:sz w:val="24"/>
          <w:szCs w:val="24"/>
        </w:rPr>
        <w:t xml:space="preserve"> </w:t>
      </w:r>
      <w:r w:rsidRPr="000E0742">
        <w:rPr>
          <w:rFonts w:cstheme="minorHAnsi"/>
          <w:sz w:val="24"/>
          <w:szCs w:val="24"/>
        </w:rPr>
        <w:t>efficiency scores</w:t>
      </w:r>
      <w:r w:rsidR="00C72B24">
        <w:rPr>
          <w:rFonts w:cstheme="minorHAnsi"/>
          <w:sz w:val="24"/>
          <w:szCs w:val="24"/>
        </w:rPr>
        <w:t xml:space="preserve">, </w:t>
      </w:r>
      <w:r w:rsidRPr="000E0742">
        <w:rPr>
          <w:rFonts w:cstheme="minorHAnsi"/>
          <w:sz w:val="24"/>
          <w:szCs w:val="24"/>
        </w:rPr>
        <w:t>respectively</w:t>
      </w:r>
      <w:r w:rsidR="00CF2F79">
        <w:rPr>
          <w:rFonts w:cstheme="minorHAnsi"/>
          <w:sz w:val="24"/>
          <w:szCs w:val="24"/>
        </w:rPr>
        <w:t xml:space="preserve">, suggesting that </w:t>
      </w:r>
      <w:r w:rsidR="002C58FA">
        <w:rPr>
          <w:rFonts w:cstheme="minorHAnsi"/>
          <w:sz w:val="24"/>
          <w:szCs w:val="24"/>
        </w:rPr>
        <w:t xml:space="preserve">these </w:t>
      </w:r>
      <w:r w:rsidR="00155912">
        <w:rPr>
          <w:rFonts w:cstheme="minorHAnsi"/>
          <w:sz w:val="24"/>
          <w:szCs w:val="24"/>
        </w:rPr>
        <w:t>entities</w:t>
      </w:r>
      <w:r w:rsidR="002C58FA">
        <w:rPr>
          <w:rFonts w:cstheme="minorHAnsi"/>
          <w:sz w:val="24"/>
          <w:szCs w:val="24"/>
        </w:rPr>
        <w:t xml:space="preserve"> decrease the productivity gap from the </w:t>
      </w:r>
      <w:r w:rsidR="00155912">
        <w:rPr>
          <w:rFonts w:cstheme="minorHAnsi"/>
          <w:sz w:val="24"/>
          <w:szCs w:val="24"/>
        </w:rPr>
        <w:t xml:space="preserve">efficient </w:t>
      </w:r>
      <w:r w:rsidR="002C58FA">
        <w:rPr>
          <w:rFonts w:cstheme="minorHAnsi"/>
          <w:sz w:val="24"/>
          <w:szCs w:val="24"/>
        </w:rPr>
        <w:t>frontier by at least 3 points</w:t>
      </w:r>
      <w:r w:rsidRPr="000E0742">
        <w:rPr>
          <w:rFonts w:cstheme="minorHAnsi"/>
          <w:sz w:val="24"/>
          <w:szCs w:val="24"/>
        </w:rPr>
        <w:t xml:space="preserve">. </w:t>
      </w:r>
      <w:r w:rsidR="00934BF0">
        <w:rPr>
          <w:rFonts w:cstheme="minorHAnsi"/>
          <w:sz w:val="24"/>
          <w:szCs w:val="24"/>
        </w:rPr>
        <w:t xml:space="preserve">Similarly, </w:t>
      </w:r>
      <w:r w:rsidR="00934BF0" w:rsidRPr="000E0742">
        <w:rPr>
          <w:rFonts w:cstheme="minorHAnsi"/>
          <w:sz w:val="24"/>
          <w:szCs w:val="24"/>
        </w:rPr>
        <w:t>innovat</w:t>
      </w:r>
      <w:r w:rsidR="00155912">
        <w:rPr>
          <w:rFonts w:cstheme="minorHAnsi"/>
          <w:sz w:val="24"/>
          <w:szCs w:val="24"/>
        </w:rPr>
        <w:t>ion</w:t>
      </w:r>
      <w:r w:rsidR="00934BF0" w:rsidRPr="000E0742">
        <w:rPr>
          <w:rFonts w:cstheme="minorHAnsi"/>
          <w:sz w:val="24"/>
          <w:szCs w:val="24"/>
        </w:rPr>
        <w:t xml:space="preserve"> </w:t>
      </w:r>
      <w:r w:rsidR="00155912">
        <w:rPr>
          <w:rFonts w:cstheme="minorHAnsi"/>
          <w:sz w:val="24"/>
          <w:szCs w:val="24"/>
        </w:rPr>
        <w:t xml:space="preserve">is associated with on average </w:t>
      </w:r>
      <w:r w:rsidR="00155912" w:rsidRPr="000E0742">
        <w:rPr>
          <w:rFonts w:cstheme="minorHAnsi"/>
          <w:sz w:val="24"/>
          <w:szCs w:val="24"/>
        </w:rPr>
        <w:t xml:space="preserve">increases </w:t>
      </w:r>
      <w:r w:rsidR="00155912">
        <w:rPr>
          <w:rFonts w:cstheme="minorHAnsi"/>
          <w:sz w:val="24"/>
          <w:szCs w:val="24"/>
        </w:rPr>
        <w:t xml:space="preserve">of </w:t>
      </w:r>
      <w:r w:rsidR="00155912" w:rsidRPr="000E0742">
        <w:rPr>
          <w:rFonts w:cstheme="minorHAnsi"/>
          <w:sz w:val="24"/>
          <w:szCs w:val="24"/>
        </w:rPr>
        <w:t>0.0</w:t>
      </w:r>
      <w:r w:rsidR="00155912">
        <w:rPr>
          <w:rFonts w:cstheme="minorHAnsi"/>
          <w:sz w:val="24"/>
          <w:szCs w:val="24"/>
        </w:rPr>
        <w:t>0582, 0.0</w:t>
      </w:r>
      <w:r w:rsidR="005E0BA6">
        <w:rPr>
          <w:rFonts w:cstheme="minorHAnsi"/>
          <w:sz w:val="24"/>
          <w:szCs w:val="24"/>
        </w:rPr>
        <w:t>0269</w:t>
      </w:r>
      <w:r w:rsidR="00155912">
        <w:rPr>
          <w:rFonts w:cstheme="minorHAnsi"/>
          <w:sz w:val="24"/>
          <w:szCs w:val="24"/>
        </w:rPr>
        <w:t xml:space="preserve">, </w:t>
      </w:r>
      <w:r w:rsidR="00155912" w:rsidRPr="000E0742">
        <w:rPr>
          <w:rFonts w:cstheme="minorHAnsi"/>
          <w:sz w:val="24"/>
          <w:szCs w:val="24"/>
        </w:rPr>
        <w:t>0.0</w:t>
      </w:r>
      <w:r w:rsidR="005E0BA6">
        <w:rPr>
          <w:rFonts w:cstheme="minorHAnsi"/>
          <w:sz w:val="24"/>
          <w:szCs w:val="24"/>
        </w:rPr>
        <w:t>0637</w:t>
      </w:r>
      <w:r w:rsidR="00155912">
        <w:rPr>
          <w:rFonts w:cstheme="minorHAnsi"/>
          <w:sz w:val="24"/>
          <w:szCs w:val="24"/>
        </w:rPr>
        <w:t xml:space="preserve"> and 0.0</w:t>
      </w:r>
      <w:r w:rsidR="005E0BA6">
        <w:rPr>
          <w:rFonts w:cstheme="minorHAnsi"/>
          <w:sz w:val="24"/>
          <w:szCs w:val="24"/>
        </w:rPr>
        <w:t>0</w:t>
      </w:r>
      <w:r w:rsidR="00155912">
        <w:rPr>
          <w:rFonts w:cstheme="minorHAnsi"/>
          <w:sz w:val="24"/>
          <w:szCs w:val="24"/>
        </w:rPr>
        <w:t>34</w:t>
      </w:r>
      <w:r w:rsidR="005E0BA6">
        <w:rPr>
          <w:rFonts w:cstheme="minorHAnsi"/>
          <w:sz w:val="24"/>
          <w:szCs w:val="24"/>
        </w:rPr>
        <w:t>1</w:t>
      </w:r>
      <w:r w:rsidR="00155912">
        <w:rPr>
          <w:rFonts w:cstheme="minorHAnsi"/>
          <w:sz w:val="24"/>
          <w:szCs w:val="24"/>
        </w:rPr>
        <w:t xml:space="preserve"> in</w:t>
      </w:r>
      <w:r w:rsidR="00155912" w:rsidRPr="000E0742">
        <w:rPr>
          <w:rFonts w:cstheme="minorHAnsi"/>
          <w:sz w:val="24"/>
          <w:szCs w:val="24"/>
        </w:rPr>
        <w:t xml:space="preserve"> efficiency scores</w:t>
      </w:r>
      <w:r w:rsidR="00155912">
        <w:rPr>
          <w:rFonts w:cstheme="minorHAnsi"/>
          <w:sz w:val="24"/>
          <w:szCs w:val="24"/>
        </w:rPr>
        <w:t xml:space="preserve">, </w:t>
      </w:r>
      <w:r w:rsidR="00155912" w:rsidRPr="000E0742">
        <w:rPr>
          <w:rFonts w:cstheme="minorHAnsi"/>
          <w:sz w:val="24"/>
          <w:szCs w:val="24"/>
        </w:rPr>
        <w:t>respectively</w:t>
      </w:r>
      <w:r w:rsidR="005E0BA6">
        <w:rPr>
          <w:rFonts w:cstheme="minorHAnsi"/>
          <w:sz w:val="24"/>
          <w:szCs w:val="24"/>
        </w:rPr>
        <w:t xml:space="preserve">, although the magnitude of the effect of innovation on technical efficiency is not as strong as that of exports. </w:t>
      </w:r>
      <w:r w:rsidR="00C72B24">
        <w:rPr>
          <w:rFonts w:cstheme="minorHAnsi"/>
          <w:sz w:val="24"/>
          <w:szCs w:val="24"/>
        </w:rPr>
        <w:t>T</w:t>
      </w:r>
      <w:r w:rsidRPr="000E0742">
        <w:rPr>
          <w:rFonts w:cstheme="minorHAnsi"/>
          <w:sz w:val="24"/>
          <w:szCs w:val="24"/>
        </w:rPr>
        <w:t>he interaction</w:t>
      </w:r>
      <w:r w:rsidR="00C72B24">
        <w:rPr>
          <w:rFonts w:cstheme="minorHAnsi"/>
          <w:sz w:val="24"/>
          <w:szCs w:val="24"/>
        </w:rPr>
        <w:t xml:space="preserve"> term</w:t>
      </w:r>
      <w:r w:rsidRPr="000E0742">
        <w:rPr>
          <w:rFonts w:cstheme="minorHAnsi"/>
          <w:sz w:val="24"/>
          <w:szCs w:val="24"/>
        </w:rPr>
        <w:t xml:space="preserve"> between innovation and export</w:t>
      </w:r>
      <w:r w:rsidR="00C72B24">
        <w:rPr>
          <w:rFonts w:cstheme="minorHAnsi"/>
          <w:sz w:val="24"/>
          <w:szCs w:val="24"/>
        </w:rPr>
        <w:t xml:space="preserve">s </w:t>
      </w:r>
      <w:r w:rsidR="00922D00">
        <w:rPr>
          <w:rFonts w:cstheme="minorHAnsi"/>
          <w:sz w:val="24"/>
          <w:szCs w:val="24"/>
        </w:rPr>
        <w:t>shows</w:t>
      </w:r>
      <w:r w:rsidRPr="000E0742">
        <w:rPr>
          <w:rFonts w:cstheme="minorHAnsi"/>
          <w:sz w:val="24"/>
          <w:szCs w:val="24"/>
        </w:rPr>
        <w:t xml:space="preserve"> significant</w:t>
      </w:r>
      <w:r w:rsidRPr="000E0742" w:rsidDel="00C60225">
        <w:rPr>
          <w:rFonts w:cstheme="minorHAnsi"/>
          <w:sz w:val="24"/>
          <w:szCs w:val="24"/>
        </w:rPr>
        <w:t xml:space="preserve"> </w:t>
      </w:r>
      <w:r w:rsidRPr="000E0742">
        <w:rPr>
          <w:rFonts w:cstheme="minorHAnsi"/>
          <w:sz w:val="24"/>
          <w:szCs w:val="24"/>
        </w:rPr>
        <w:t xml:space="preserve">and positive effects on technical efficiency, suggesting that </w:t>
      </w:r>
      <w:r w:rsidR="00CF2F79">
        <w:rPr>
          <w:rFonts w:cstheme="minorHAnsi"/>
          <w:sz w:val="24"/>
          <w:szCs w:val="24"/>
        </w:rPr>
        <w:t>private companies</w:t>
      </w:r>
      <w:r w:rsidRPr="000E0742">
        <w:rPr>
          <w:rFonts w:cstheme="minorHAnsi"/>
          <w:sz w:val="24"/>
          <w:szCs w:val="24"/>
        </w:rPr>
        <w:t xml:space="preserve"> that innovate and export </w:t>
      </w:r>
      <w:r w:rsidR="00934BF0">
        <w:rPr>
          <w:rFonts w:cstheme="minorHAnsi"/>
          <w:sz w:val="24"/>
          <w:szCs w:val="24"/>
        </w:rPr>
        <w:t xml:space="preserve">demonstrate lower productivity gaps from the </w:t>
      </w:r>
      <w:r w:rsidR="005E0BA6">
        <w:rPr>
          <w:rFonts w:cstheme="minorHAnsi"/>
          <w:sz w:val="24"/>
          <w:szCs w:val="24"/>
        </w:rPr>
        <w:t xml:space="preserve">efficient </w:t>
      </w:r>
      <w:r w:rsidR="00934BF0">
        <w:rPr>
          <w:rFonts w:cstheme="minorHAnsi"/>
          <w:sz w:val="24"/>
          <w:szCs w:val="24"/>
        </w:rPr>
        <w:t>frontie</w:t>
      </w:r>
      <w:r w:rsidR="005E0BA6">
        <w:rPr>
          <w:rFonts w:cstheme="minorHAnsi"/>
          <w:sz w:val="24"/>
          <w:szCs w:val="24"/>
        </w:rPr>
        <w:t>r</w:t>
      </w:r>
      <w:r w:rsidRPr="000E0742">
        <w:rPr>
          <w:rFonts w:cstheme="minorHAnsi"/>
          <w:sz w:val="24"/>
          <w:szCs w:val="24"/>
        </w:rPr>
        <w:t xml:space="preserve">. </w:t>
      </w:r>
      <w:r w:rsidR="00AC760E" w:rsidRPr="00F4762B">
        <w:rPr>
          <w:rFonts w:cstheme="minorHAnsi"/>
          <w:sz w:val="24"/>
          <w:szCs w:val="24"/>
        </w:rPr>
        <w:t xml:space="preserve">Results </w:t>
      </w:r>
      <w:r w:rsidR="00AC760E">
        <w:rPr>
          <w:rFonts w:cstheme="minorHAnsi"/>
          <w:sz w:val="24"/>
          <w:szCs w:val="24"/>
        </w:rPr>
        <w:t xml:space="preserve">in Table 1 </w:t>
      </w:r>
      <w:r w:rsidR="00AC760E" w:rsidRPr="00F4762B">
        <w:rPr>
          <w:rFonts w:cstheme="minorHAnsi"/>
          <w:sz w:val="24"/>
          <w:szCs w:val="24"/>
        </w:rPr>
        <w:t xml:space="preserve">also </w:t>
      </w:r>
      <w:r w:rsidR="00AC760E">
        <w:rPr>
          <w:rFonts w:cstheme="minorHAnsi"/>
          <w:sz w:val="24"/>
          <w:szCs w:val="24"/>
        </w:rPr>
        <w:t>disclose</w:t>
      </w:r>
      <w:r w:rsidR="00AC760E" w:rsidRPr="00F4762B">
        <w:rPr>
          <w:rFonts w:cstheme="minorHAnsi"/>
          <w:sz w:val="24"/>
          <w:szCs w:val="24"/>
        </w:rPr>
        <w:t xml:space="preserve"> that </w:t>
      </w:r>
      <w:r w:rsidR="00AC760E">
        <w:rPr>
          <w:rFonts w:cstheme="minorHAnsi"/>
          <w:sz w:val="24"/>
          <w:szCs w:val="24"/>
        </w:rPr>
        <w:t>Australian private companies</w:t>
      </w:r>
      <w:r w:rsidR="00AC760E" w:rsidRPr="00F4762B">
        <w:rPr>
          <w:rFonts w:cstheme="minorHAnsi"/>
          <w:sz w:val="24"/>
          <w:szCs w:val="24"/>
        </w:rPr>
        <w:t xml:space="preserve"> with foreign ownership </w:t>
      </w:r>
      <w:r w:rsidR="00AC760E">
        <w:rPr>
          <w:rFonts w:cstheme="minorHAnsi"/>
          <w:sz w:val="24"/>
          <w:szCs w:val="24"/>
        </w:rPr>
        <w:t>and that companies operating in competitive industries are positively associated with technical efficiencies, although the magnitude of the effect of foreign ownership on technical efficiency is stronger than that of competition.</w:t>
      </w:r>
    </w:p>
    <w:p w14:paraId="4DF2341B" w14:textId="6412AFF5" w:rsidR="00AC760E" w:rsidRPr="00F4762B" w:rsidRDefault="00AC760E" w:rsidP="00AC760E">
      <w:pPr>
        <w:spacing w:after="0" w:line="360" w:lineRule="auto"/>
        <w:ind w:firstLine="720"/>
        <w:jc w:val="both"/>
        <w:rPr>
          <w:rFonts w:cstheme="minorHAnsi"/>
          <w:sz w:val="24"/>
          <w:szCs w:val="24"/>
        </w:rPr>
      </w:pPr>
      <w:r w:rsidRPr="00F4762B">
        <w:rPr>
          <w:rFonts w:cstheme="minorHAnsi"/>
          <w:sz w:val="24"/>
          <w:szCs w:val="24"/>
        </w:rPr>
        <w:t xml:space="preserve"> </w:t>
      </w:r>
    </w:p>
    <w:p w14:paraId="4913B9B9" w14:textId="77777777" w:rsidR="00AC760E" w:rsidRDefault="00AC760E" w:rsidP="00395457">
      <w:pPr>
        <w:spacing w:after="0" w:line="360" w:lineRule="auto"/>
        <w:jc w:val="both"/>
        <w:rPr>
          <w:rFonts w:cstheme="minorHAnsi"/>
          <w:b/>
          <w:bCs/>
          <w:sz w:val="24"/>
          <w:szCs w:val="24"/>
        </w:rPr>
      </w:pPr>
    </w:p>
    <w:p w14:paraId="36F9D2BC" w14:textId="45A426C6" w:rsidR="00395457" w:rsidRDefault="00395457" w:rsidP="00395457">
      <w:pPr>
        <w:spacing w:after="0" w:line="360" w:lineRule="auto"/>
        <w:jc w:val="both"/>
        <w:rPr>
          <w:b/>
          <w:bCs/>
          <w:color w:val="000000"/>
        </w:rPr>
      </w:pPr>
      <w:r w:rsidRPr="00395457">
        <w:rPr>
          <w:rFonts w:cstheme="minorHAnsi"/>
          <w:b/>
          <w:bCs/>
          <w:sz w:val="24"/>
          <w:szCs w:val="24"/>
        </w:rPr>
        <w:lastRenderedPageBreak/>
        <w:t xml:space="preserve">Table 1: </w:t>
      </w:r>
      <w:r w:rsidR="007B04F4" w:rsidRPr="00836CAB">
        <w:rPr>
          <w:b/>
          <w:bCs/>
          <w:color w:val="000000"/>
        </w:rPr>
        <w:t xml:space="preserve">Effect of </w:t>
      </w:r>
      <w:r w:rsidR="007B04F4">
        <w:rPr>
          <w:b/>
          <w:bCs/>
          <w:color w:val="000000"/>
        </w:rPr>
        <w:t>innovation and exports</w:t>
      </w:r>
      <w:r w:rsidR="007B04F4" w:rsidRPr="00836CAB">
        <w:rPr>
          <w:b/>
          <w:bCs/>
          <w:color w:val="000000"/>
        </w:rPr>
        <w:t xml:space="preserve"> on </w:t>
      </w:r>
      <w:r w:rsidR="007B04F4">
        <w:rPr>
          <w:b/>
          <w:bCs/>
          <w:color w:val="000000"/>
        </w:rPr>
        <w:t>Australian private companies’ technical efficiency</w:t>
      </w:r>
    </w:p>
    <w:tbl>
      <w:tblPr>
        <w:tblW w:w="8991" w:type="dxa"/>
        <w:tblLook w:val="04A0" w:firstRow="1" w:lastRow="0" w:firstColumn="1" w:lastColumn="0" w:noHBand="0" w:noVBand="1"/>
      </w:tblPr>
      <w:tblGrid>
        <w:gridCol w:w="2087"/>
        <w:gridCol w:w="1726"/>
        <w:gridCol w:w="1726"/>
        <w:gridCol w:w="1726"/>
        <w:gridCol w:w="1726"/>
      </w:tblGrid>
      <w:tr w:rsidR="00413940" w:rsidRPr="00C24933" w14:paraId="2A4A7776" w14:textId="77777777" w:rsidTr="00432D6B">
        <w:trPr>
          <w:trHeight w:val="193"/>
        </w:trPr>
        <w:tc>
          <w:tcPr>
            <w:tcW w:w="2087" w:type="dxa"/>
            <w:tcBorders>
              <w:top w:val="single" w:sz="4" w:space="0" w:color="000000"/>
              <w:left w:val="nil"/>
              <w:bottom w:val="single" w:sz="4" w:space="0" w:color="auto"/>
              <w:right w:val="nil"/>
            </w:tcBorders>
            <w:shd w:val="clear" w:color="auto" w:fill="auto"/>
            <w:noWrap/>
            <w:vAlign w:val="bottom"/>
            <w:hideMark/>
          </w:tcPr>
          <w:p w14:paraId="7ED4FA8F" w14:textId="77777777" w:rsidR="00413940" w:rsidRPr="00C24933" w:rsidRDefault="00413940" w:rsidP="00432D6B">
            <w:pPr>
              <w:jc w:val="center"/>
              <w:rPr>
                <w:rFonts w:ascii="Times New Roman" w:hAnsi="Times New Roman" w:cs="Times New Roman"/>
              </w:rPr>
            </w:pPr>
          </w:p>
        </w:tc>
        <w:tc>
          <w:tcPr>
            <w:tcW w:w="3452" w:type="dxa"/>
            <w:gridSpan w:val="2"/>
            <w:tcBorders>
              <w:top w:val="single" w:sz="4" w:space="0" w:color="000000"/>
              <w:left w:val="nil"/>
              <w:bottom w:val="single" w:sz="4" w:space="0" w:color="auto"/>
              <w:right w:val="nil"/>
            </w:tcBorders>
            <w:shd w:val="clear" w:color="auto" w:fill="auto"/>
            <w:noWrap/>
            <w:vAlign w:val="bottom"/>
            <w:hideMark/>
          </w:tcPr>
          <w:p w14:paraId="4B9D2D7E" w14:textId="77777777" w:rsidR="00413940" w:rsidRPr="00C24933" w:rsidRDefault="00413940" w:rsidP="00432D6B">
            <w:pPr>
              <w:jc w:val="center"/>
              <w:rPr>
                <w:rFonts w:ascii="Times New Roman" w:hAnsi="Times New Roman" w:cs="Times New Roman"/>
                <w:b/>
                <w:bCs/>
              </w:rPr>
            </w:pPr>
            <w:r w:rsidRPr="00C24933">
              <w:rPr>
                <w:rFonts w:ascii="Times New Roman" w:hAnsi="Times New Roman" w:cs="Times New Roman"/>
                <w:b/>
                <w:bCs/>
              </w:rPr>
              <w:t>Eff_buss</w:t>
            </w:r>
          </w:p>
        </w:tc>
        <w:tc>
          <w:tcPr>
            <w:tcW w:w="3452" w:type="dxa"/>
            <w:gridSpan w:val="2"/>
            <w:tcBorders>
              <w:top w:val="single" w:sz="4" w:space="0" w:color="000000"/>
              <w:left w:val="nil"/>
              <w:bottom w:val="single" w:sz="4" w:space="0" w:color="auto"/>
              <w:right w:val="nil"/>
            </w:tcBorders>
            <w:shd w:val="clear" w:color="auto" w:fill="auto"/>
            <w:noWrap/>
            <w:vAlign w:val="bottom"/>
            <w:hideMark/>
          </w:tcPr>
          <w:p w14:paraId="67E72A31" w14:textId="77777777" w:rsidR="00413940" w:rsidRPr="00C24933" w:rsidRDefault="00413940" w:rsidP="00432D6B">
            <w:pPr>
              <w:jc w:val="center"/>
              <w:rPr>
                <w:rFonts w:ascii="Times New Roman" w:hAnsi="Times New Roman" w:cs="Times New Roman"/>
                <w:b/>
                <w:bCs/>
              </w:rPr>
            </w:pPr>
            <w:r w:rsidRPr="00C24933">
              <w:rPr>
                <w:rFonts w:ascii="Times New Roman" w:hAnsi="Times New Roman" w:cs="Times New Roman"/>
                <w:b/>
                <w:bCs/>
              </w:rPr>
              <w:t>Eff_tech</w:t>
            </w:r>
          </w:p>
        </w:tc>
      </w:tr>
      <w:tr w:rsidR="00413940" w:rsidRPr="00C24933" w14:paraId="02AD24E7" w14:textId="77777777" w:rsidTr="00432D6B">
        <w:trPr>
          <w:trHeight w:val="193"/>
        </w:trPr>
        <w:tc>
          <w:tcPr>
            <w:tcW w:w="2087" w:type="dxa"/>
            <w:tcBorders>
              <w:top w:val="single" w:sz="4" w:space="0" w:color="auto"/>
              <w:left w:val="nil"/>
              <w:right w:val="nil"/>
            </w:tcBorders>
            <w:shd w:val="clear" w:color="auto" w:fill="auto"/>
            <w:noWrap/>
            <w:vAlign w:val="bottom"/>
            <w:hideMark/>
          </w:tcPr>
          <w:p w14:paraId="05D5C5A9" w14:textId="77777777" w:rsidR="00413940" w:rsidRPr="00C24933" w:rsidRDefault="00413940" w:rsidP="00432D6B">
            <w:pPr>
              <w:spacing w:line="240" w:lineRule="auto"/>
              <w:rPr>
                <w:rFonts w:ascii="Times New Roman" w:hAnsi="Times New Roman" w:cs="Times New Roman"/>
                <w:b/>
                <w:bCs/>
              </w:rPr>
            </w:pPr>
          </w:p>
        </w:tc>
        <w:tc>
          <w:tcPr>
            <w:tcW w:w="1726" w:type="dxa"/>
            <w:tcBorders>
              <w:top w:val="nil"/>
              <w:left w:val="nil"/>
              <w:bottom w:val="single" w:sz="4" w:space="0" w:color="auto"/>
              <w:right w:val="nil"/>
            </w:tcBorders>
            <w:shd w:val="clear" w:color="auto" w:fill="auto"/>
            <w:noWrap/>
            <w:vAlign w:val="bottom"/>
            <w:hideMark/>
          </w:tcPr>
          <w:p w14:paraId="750C850F" w14:textId="77777777" w:rsidR="00413940" w:rsidRPr="00C24933" w:rsidRDefault="00413940" w:rsidP="00432D6B">
            <w:pPr>
              <w:spacing w:line="240" w:lineRule="auto"/>
              <w:jc w:val="center"/>
              <w:rPr>
                <w:rFonts w:ascii="Times New Roman" w:hAnsi="Times New Roman" w:cs="Times New Roman"/>
                <w:b/>
                <w:bCs/>
              </w:rPr>
            </w:pPr>
            <w:r w:rsidRPr="00C24933">
              <w:rPr>
                <w:rFonts w:ascii="Times New Roman" w:hAnsi="Times New Roman" w:cs="Times New Roman"/>
                <w:b/>
                <w:bCs/>
              </w:rPr>
              <w:t>Model 1</w:t>
            </w:r>
          </w:p>
        </w:tc>
        <w:tc>
          <w:tcPr>
            <w:tcW w:w="1726" w:type="dxa"/>
            <w:tcBorders>
              <w:top w:val="nil"/>
              <w:left w:val="nil"/>
              <w:bottom w:val="single" w:sz="4" w:space="0" w:color="auto"/>
              <w:right w:val="nil"/>
            </w:tcBorders>
            <w:shd w:val="clear" w:color="auto" w:fill="auto"/>
            <w:noWrap/>
            <w:vAlign w:val="bottom"/>
            <w:hideMark/>
          </w:tcPr>
          <w:p w14:paraId="7C599824" w14:textId="77777777" w:rsidR="00413940" w:rsidRPr="00C24933" w:rsidRDefault="00413940" w:rsidP="00432D6B">
            <w:pPr>
              <w:spacing w:line="240" w:lineRule="auto"/>
              <w:rPr>
                <w:rFonts w:ascii="Times New Roman" w:hAnsi="Times New Roman" w:cs="Times New Roman"/>
                <w:b/>
                <w:bCs/>
              </w:rPr>
            </w:pPr>
            <w:r w:rsidRPr="00C24933">
              <w:rPr>
                <w:rFonts w:ascii="Times New Roman" w:hAnsi="Times New Roman" w:cs="Times New Roman"/>
                <w:b/>
                <w:bCs/>
              </w:rPr>
              <w:t xml:space="preserve">     Model 2</w:t>
            </w:r>
          </w:p>
        </w:tc>
        <w:tc>
          <w:tcPr>
            <w:tcW w:w="1726" w:type="dxa"/>
            <w:tcBorders>
              <w:top w:val="nil"/>
              <w:left w:val="nil"/>
              <w:bottom w:val="single" w:sz="4" w:space="0" w:color="auto"/>
              <w:right w:val="nil"/>
            </w:tcBorders>
            <w:shd w:val="clear" w:color="auto" w:fill="auto"/>
            <w:noWrap/>
            <w:vAlign w:val="bottom"/>
            <w:hideMark/>
          </w:tcPr>
          <w:p w14:paraId="142E9B7C" w14:textId="77777777" w:rsidR="00413940" w:rsidRPr="00C24933" w:rsidRDefault="00413940" w:rsidP="00432D6B">
            <w:pPr>
              <w:spacing w:line="240" w:lineRule="auto"/>
              <w:jc w:val="center"/>
              <w:rPr>
                <w:rFonts w:ascii="Times New Roman" w:hAnsi="Times New Roman" w:cs="Times New Roman"/>
                <w:b/>
                <w:bCs/>
              </w:rPr>
            </w:pPr>
            <w:r w:rsidRPr="00C24933">
              <w:rPr>
                <w:rFonts w:ascii="Times New Roman" w:hAnsi="Times New Roman" w:cs="Times New Roman"/>
                <w:b/>
                <w:bCs/>
              </w:rPr>
              <w:t>Model 3</w:t>
            </w:r>
          </w:p>
        </w:tc>
        <w:tc>
          <w:tcPr>
            <w:tcW w:w="1726" w:type="dxa"/>
            <w:tcBorders>
              <w:top w:val="nil"/>
              <w:left w:val="nil"/>
              <w:bottom w:val="single" w:sz="4" w:space="0" w:color="auto"/>
              <w:right w:val="nil"/>
            </w:tcBorders>
            <w:shd w:val="clear" w:color="auto" w:fill="auto"/>
            <w:noWrap/>
            <w:vAlign w:val="bottom"/>
            <w:hideMark/>
          </w:tcPr>
          <w:p w14:paraId="5B0FA801" w14:textId="77777777" w:rsidR="00413940" w:rsidRPr="00C24933" w:rsidRDefault="00413940" w:rsidP="00432D6B">
            <w:pPr>
              <w:spacing w:line="240" w:lineRule="auto"/>
              <w:jc w:val="center"/>
              <w:rPr>
                <w:rFonts w:ascii="Times New Roman" w:hAnsi="Times New Roman" w:cs="Times New Roman"/>
                <w:b/>
                <w:bCs/>
              </w:rPr>
            </w:pPr>
            <w:r w:rsidRPr="00C24933">
              <w:rPr>
                <w:rFonts w:ascii="Times New Roman" w:hAnsi="Times New Roman" w:cs="Times New Roman"/>
                <w:b/>
                <w:bCs/>
              </w:rPr>
              <w:t>Model 4</w:t>
            </w:r>
          </w:p>
        </w:tc>
      </w:tr>
      <w:tr w:rsidR="00413940" w:rsidRPr="00C24933" w14:paraId="50F6BEBB" w14:textId="77777777" w:rsidTr="00432D6B">
        <w:trPr>
          <w:trHeight w:val="193"/>
        </w:trPr>
        <w:tc>
          <w:tcPr>
            <w:tcW w:w="2087" w:type="dxa"/>
            <w:tcBorders>
              <w:left w:val="nil"/>
              <w:bottom w:val="nil"/>
              <w:right w:val="nil"/>
            </w:tcBorders>
            <w:shd w:val="clear" w:color="auto" w:fill="auto"/>
            <w:noWrap/>
            <w:vAlign w:val="bottom"/>
            <w:hideMark/>
          </w:tcPr>
          <w:p w14:paraId="476D7308" w14:textId="77777777" w:rsidR="00413940" w:rsidRPr="007A78AF" w:rsidRDefault="00413940" w:rsidP="00432D6B">
            <w:pPr>
              <w:spacing w:line="240" w:lineRule="auto"/>
              <w:rPr>
                <w:rFonts w:ascii="Times New Roman" w:hAnsi="Times New Roman" w:cs="Times New Roman"/>
              </w:rPr>
            </w:pPr>
            <w:r w:rsidRPr="007A78AF">
              <w:rPr>
                <w:rFonts w:ascii="Times New Roman" w:hAnsi="Times New Roman" w:cs="Times New Roman"/>
              </w:rPr>
              <w:t>Innovation</w:t>
            </w:r>
          </w:p>
        </w:tc>
        <w:tc>
          <w:tcPr>
            <w:tcW w:w="1726" w:type="dxa"/>
            <w:tcBorders>
              <w:top w:val="single" w:sz="4" w:space="0" w:color="auto"/>
              <w:left w:val="nil"/>
              <w:bottom w:val="nil"/>
              <w:right w:val="nil"/>
            </w:tcBorders>
            <w:shd w:val="clear" w:color="auto" w:fill="auto"/>
            <w:noWrap/>
            <w:vAlign w:val="bottom"/>
            <w:hideMark/>
          </w:tcPr>
          <w:p w14:paraId="4CE2CDD4"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0.00582*</w:t>
            </w:r>
          </w:p>
        </w:tc>
        <w:tc>
          <w:tcPr>
            <w:tcW w:w="1726" w:type="dxa"/>
            <w:tcBorders>
              <w:top w:val="single" w:sz="4" w:space="0" w:color="auto"/>
              <w:left w:val="nil"/>
              <w:bottom w:val="nil"/>
              <w:right w:val="nil"/>
            </w:tcBorders>
            <w:shd w:val="clear" w:color="auto" w:fill="auto"/>
            <w:noWrap/>
            <w:vAlign w:val="bottom"/>
            <w:hideMark/>
          </w:tcPr>
          <w:p w14:paraId="33FF1948"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0.00269*</w:t>
            </w:r>
          </w:p>
        </w:tc>
        <w:tc>
          <w:tcPr>
            <w:tcW w:w="1726" w:type="dxa"/>
            <w:tcBorders>
              <w:top w:val="single" w:sz="4" w:space="0" w:color="auto"/>
              <w:left w:val="nil"/>
              <w:bottom w:val="nil"/>
              <w:right w:val="nil"/>
            </w:tcBorders>
            <w:shd w:val="clear" w:color="auto" w:fill="auto"/>
            <w:noWrap/>
            <w:vAlign w:val="bottom"/>
            <w:hideMark/>
          </w:tcPr>
          <w:p w14:paraId="5C799BC6"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0.00637*</w:t>
            </w:r>
          </w:p>
        </w:tc>
        <w:tc>
          <w:tcPr>
            <w:tcW w:w="1726" w:type="dxa"/>
            <w:tcBorders>
              <w:top w:val="single" w:sz="4" w:space="0" w:color="auto"/>
              <w:left w:val="nil"/>
              <w:bottom w:val="nil"/>
              <w:right w:val="nil"/>
            </w:tcBorders>
            <w:shd w:val="clear" w:color="auto" w:fill="auto"/>
            <w:noWrap/>
            <w:vAlign w:val="bottom"/>
            <w:hideMark/>
          </w:tcPr>
          <w:p w14:paraId="4059D2BF"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0.00341*</w:t>
            </w:r>
          </w:p>
        </w:tc>
      </w:tr>
      <w:tr w:rsidR="00413940" w:rsidRPr="00C24933" w14:paraId="5ED02FA4" w14:textId="77777777" w:rsidTr="00432D6B">
        <w:trPr>
          <w:trHeight w:val="193"/>
        </w:trPr>
        <w:tc>
          <w:tcPr>
            <w:tcW w:w="2087" w:type="dxa"/>
            <w:tcBorders>
              <w:top w:val="nil"/>
              <w:left w:val="nil"/>
              <w:bottom w:val="nil"/>
              <w:right w:val="nil"/>
            </w:tcBorders>
            <w:shd w:val="clear" w:color="auto" w:fill="auto"/>
            <w:noWrap/>
            <w:vAlign w:val="bottom"/>
            <w:hideMark/>
          </w:tcPr>
          <w:p w14:paraId="24FFE181"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077AD5FA"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1.745</w:t>
            </w:r>
            <w:r>
              <w:rPr>
                <w:rFonts w:ascii="Times New Roman" w:hAnsi="Times New Roman" w:cs="Times New Roman"/>
              </w:rPr>
              <w:t>]</w:t>
            </w:r>
          </w:p>
        </w:tc>
        <w:tc>
          <w:tcPr>
            <w:tcW w:w="1726" w:type="dxa"/>
            <w:tcBorders>
              <w:top w:val="nil"/>
              <w:left w:val="nil"/>
              <w:bottom w:val="nil"/>
              <w:right w:val="nil"/>
            </w:tcBorders>
            <w:shd w:val="clear" w:color="auto" w:fill="auto"/>
            <w:noWrap/>
            <w:vAlign w:val="bottom"/>
            <w:hideMark/>
          </w:tcPr>
          <w:p w14:paraId="0E6F8F92"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1.771</w:t>
            </w:r>
            <w:r>
              <w:rPr>
                <w:rFonts w:ascii="Times New Roman" w:hAnsi="Times New Roman" w:cs="Times New Roman"/>
              </w:rPr>
              <w:t>]</w:t>
            </w:r>
          </w:p>
        </w:tc>
        <w:tc>
          <w:tcPr>
            <w:tcW w:w="1726" w:type="dxa"/>
            <w:tcBorders>
              <w:top w:val="nil"/>
              <w:left w:val="nil"/>
              <w:bottom w:val="nil"/>
              <w:right w:val="nil"/>
            </w:tcBorders>
            <w:shd w:val="clear" w:color="auto" w:fill="auto"/>
            <w:noWrap/>
            <w:vAlign w:val="bottom"/>
            <w:hideMark/>
          </w:tcPr>
          <w:p w14:paraId="68E38CE8"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1.905</w:t>
            </w:r>
            <w:r>
              <w:rPr>
                <w:rFonts w:ascii="Times New Roman" w:hAnsi="Times New Roman" w:cs="Times New Roman"/>
              </w:rPr>
              <w:t>]</w:t>
            </w:r>
          </w:p>
        </w:tc>
        <w:tc>
          <w:tcPr>
            <w:tcW w:w="1726" w:type="dxa"/>
            <w:tcBorders>
              <w:top w:val="nil"/>
              <w:left w:val="nil"/>
              <w:bottom w:val="nil"/>
              <w:right w:val="nil"/>
            </w:tcBorders>
            <w:shd w:val="clear" w:color="auto" w:fill="auto"/>
            <w:noWrap/>
            <w:vAlign w:val="bottom"/>
            <w:hideMark/>
          </w:tcPr>
          <w:p w14:paraId="7CA19B4F"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1.910</w:t>
            </w:r>
            <w:r>
              <w:rPr>
                <w:rFonts w:ascii="Times New Roman" w:hAnsi="Times New Roman" w:cs="Times New Roman"/>
              </w:rPr>
              <w:t>]</w:t>
            </w:r>
          </w:p>
        </w:tc>
      </w:tr>
      <w:tr w:rsidR="00413940" w:rsidRPr="00C24933" w14:paraId="1AEB0289" w14:textId="77777777" w:rsidTr="00432D6B">
        <w:trPr>
          <w:trHeight w:val="193"/>
        </w:trPr>
        <w:tc>
          <w:tcPr>
            <w:tcW w:w="2087" w:type="dxa"/>
            <w:tcBorders>
              <w:top w:val="nil"/>
              <w:left w:val="nil"/>
              <w:bottom w:val="nil"/>
              <w:right w:val="nil"/>
            </w:tcBorders>
            <w:shd w:val="clear" w:color="auto" w:fill="auto"/>
            <w:noWrap/>
            <w:vAlign w:val="bottom"/>
            <w:hideMark/>
          </w:tcPr>
          <w:p w14:paraId="73C08FD9"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3D5B7FE7"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7A46955C"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00DCDF77"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34758138" w14:textId="77777777" w:rsidR="00413940" w:rsidRPr="007A78AF" w:rsidRDefault="00413940" w:rsidP="00432D6B">
            <w:pPr>
              <w:spacing w:line="240" w:lineRule="auto"/>
              <w:jc w:val="center"/>
              <w:rPr>
                <w:rFonts w:ascii="Times New Roman" w:hAnsi="Times New Roman" w:cs="Times New Roman"/>
              </w:rPr>
            </w:pPr>
          </w:p>
        </w:tc>
      </w:tr>
      <w:tr w:rsidR="00413940" w:rsidRPr="00C24933" w14:paraId="6049E30E" w14:textId="77777777" w:rsidTr="00432D6B">
        <w:trPr>
          <w:trHeight w:val="193"/>
        </w:trPr>
        <w:tc>
          <w:tcPr>
            <w:tcW w:w="2087" w:type="dxa"/>
            <w:tcBorders>
              <w:top w:val="nil"/>
              <w:left w:val="nil"/>
              <w:bottom w:val="nil"/>
              <w:right w:val="nil"/>
            </w:tcBorders>
            <w:shd w:val="clear" w:color="auto" w:fill="auto"/>
            <w:noWrap/>
            <w:vAlign w:val="bottom"/>
            <w:hideMark/>
          </w:tcPr>
          <w:p w14:paraId="44CD01CC" w14:textId="77777777" w:rsidR="00413940" w:rsidRPr="007A78AF" w:rsidRDefault="00413940" w:rsidP="00432D6B">
            <w:pPr>
              <w:spacing w:line="240" w:lineRule="auto"/>
              <w:rPr>
                <w:rFonts w:ascii="Times New Roman" w:hAnsi="Times New Roman" w:cs="Times New Roman"/>
              </w:rPr>
            </w:pPr>
            <w:r w:rsidRPr="007A78AF">
              <w:rPr>
                <w:rFonts w:ascii="Times New Roman" w:hAnsi="Times New Roman" w:cs="Times New Roman"/>
              </w:rPr>
              <w:t>Export</w:t>
            </w:r>
          </w:p>
        </w:tc>
        <w:tc>
          <w:tcPr>
            <w:tcW w:w="1726" w:type="dxa"/>
            <w:tcBorders>
              <w:top w:val="nil"/>
              <w:left w:val="nil"/>
              <w:bottom w:val="nil"/>
              <w:right w:val="nil"/>
            </w:tcBorders>
            <w:shd w:val="clear" w:color="auto" w:fill="auto"/>
            <w:noWrap/>
            <w:vAlign w:val="bottom"/>
            <w:hideMark/>
          </w:tcPr>
          <w:p w14:paraId="07CABDE6"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0.0314***</w:t>
            </w:r>
          </w:p>
        </w:tc>
        <w:tc>
          <w:tcPr>
            <w:tcW w:w="1726" w:type="dxa"/>
            <w:tcBorders>
              <w:top w:val="nil"/>
              <w:left w:val="nil"/>
              <w:bottom w:val="nil"/>
              <w:right w:val="nil"/>
            </w:tcBorders>
            <w:shd w:val="clear" w:color="auto" w:fill="auto"/>
            <w:noWrap/>
            <w:vAlign w:val="bottom"/>
            <w:hideMark/>
          </w:tcPr>
          <w:p w14:paraId="07E3E6FE"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0.0342***</w:t>
            </w:r>
          </w:p>
        </w:tc>
        <w:tc>
          <w:tcPr>
            <w:tcW w:w="1726" w:type="dxa"/>
            <w:tcBorders>
              <w:top w:val="nil"/>
              <w:left w:val="nil"/>
              <w:bottom w:val="nil"/>
              <w:right w:val="nil"/>
            </w:tcBorders>
            <w:shd w:val="clear" w:color="auto" w:fill="auto"/>
            <w:noWrap/>
            <w:vAlign w:val="bottom"/>
            <w:hideMark/>
          </w:tcPr>
          <w:p w14:paraId="4D2147DC"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0.0316***</w:t>
            </w:r>
          </w:p>
        </w:tc>
        <w:tc>
          <w:tcPr>
            <w:tcW w:w="1726" w:type="dxa"/>
            <w:tcBorders>
              <w:top w:val="nil"/>
              <w:left w:val="nil"/>
              <w:bottom w:val="nil"/>
              <w:right w:val="nil"/>
            </w:tcBorders>
            <w:shd w:val="clear" w:color="auto" w:fill="auto"/>
            <w:noWrap/>
            <w:vAlign w:val="bottom"/>
            <w:hideMark/>
          </w:tcPr>
          <w:p w14:paraId="10CE957F"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0.0342***</w:t>
            </w:r>
          </w:p>
        </w:tc>
      </w:tr>
      <w:tr w:rsidR="00413940" w:rsidRPr="00C24933" w14:paraId="28D2B0DD" w14:textId="77777777" w:rsidTr="00432D6B">
        <w:trPr>
          <w:trHeight w:val="193"/>
        </w:trPr>
        <w:tc>
          <w:tcPr>
            <w:tcW w:w="2087" w:type="dxa"/>
            <w:tcBorders>
              <w:top w:val="nil"/>
              <w:left w:val="nil"/>
              <w:bottom w:val="nil"/>
              <w:right w:val="nil"/>
            </w:tcBorders>
            <w:shd w:val="clear" w:color="auto" w:fill="auto"/>
            <w:noWrap/>
            <w:vAlign w:val="bottom"/>
            <w:hideMark/>
          </w:tcPr>
          <w:p w14:paraId="0D987997"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2D7D3FBE"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7.892</w:t>
            </w:r>
            <w:r>
              <w:rPr>
                <w:rFonts w:ascii="Times New Roman" w:hAnsi="Times New Roman" w:cs="Times New Roman"/>
              </w:rPr>
              <w:t>]</w:t>
            </w:r>
          </w:p>
        </w:tc>
        <w:tc>
          <w:tcPr>
            <w:tcW w:w="1726" w:type="dxa"/>
            <w:tcBorders>
              <w:top w:val="nil"/>
              <w:left w:val="nil"/>
              <w:bottom w:val="nil"/>
              <w:right w:val="nil"/>
            </w:tcBorders>
            <w:shd w:val="clear" w:color="auto" w:fill="auto"/>
            <w:noWrap/>
            <w:vAlign w:val="bottom"/>
            <w:hideMark/>
          </w:tcPr>
          <w:p w14:paraId="3903241B"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5.338</w:t>
            </w:r>
            <w:r>
              <w:rPr>
                <w:rFonts w:ascii="Times New Roman" w:hAnsi="Times New Roman" w:cs="Times New Roman"/>
              </w:rPr>
              <w:t>]</w:t>
            </w:r>
          </w:p>
        </w:tc>
        <w:tc>
          <w:tcPr>
            <w:tcW w:w="1726" w:type="dxa"/>
            <w:tcBorders>
              <w:top w:val="nil"/>
              <w:left w:val="nil"/>
              <w:bottom w:val="nil"/>
              <w:right w:val="nil"/>
            </w:tcBorders>
            <w:shd w:val="clear" w:color="auto" w:fill="auto"/>
            <w:noWrap/>
            <w:vAlign w:val="bottom"/>
            <w:hideMark/>
          </w:tcPr>
          <w:p w14:paraId="488CEF9B"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7.933</w:t>
            </w:r>
            <w:r>
              <w:rPr>
                <w:rFonts w:ascii="Times New Roman" w:hAnsi="Times New Roman" w:cs="Times New Roman"/>
              </w:rPr>
              <w:t>]</w:t>
            </w:r>
          </w:p>
        </w:tc>
        <w:tc>
          <w:tcPr>
            <w:tcW w:w="1726" w:type="dxa"/>
            <w:tcBorders>
              <w:top w:val="nil"/>
              <w:left w:val="nil"/>
              <w:bottom w:val="nil"/>
              <w:right w:val="nil"/>
            </w:tcBorders>
            <w:shd w:val="clear" w:color="auto" w:fill="auto"/>
            <w:noWrap/>
            <w:vAlign w:val="bottom"/>
            <w:hideMark/>
          </w:tcPr>
          <w:p w14:paraId="61D0F84E"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5.331</w:t>
            </w:r>
            <w:r>
              <w:rPr>
                <w:rFonts w:ascii="Times New Roman" w:hAnsi="Times New Roman" w:cs="Times New Roman"/>
              </w:rPr>
              <w:t>]</w:t>
            </w:r>
          </w:p>
        </w:tc>
      </w:tr>
      <w:tr w:rsidR="00413940" w:rsidRPr="00C24933" w14:paraId="25706CC9" w14:textId="77777777" w:rsidTr="00432D6B">
        <w:trPr>
          <w:trHeight w:val="193"/>
        </w:trPr>
        <w:tc>
          <w:tcPr>
            <w:tcW w:w="2087" w:type="dxa"/>
            <w:tcBorders>
              <w:top w:val="nil"/>
              <w:left w:val="nil"/>
              <w:bottom w:val="nil"/>
              <w:right w:val="nil"/>
            </w:tcBorders>
            <w:shd w:val="clear" w:color="auto" w:fill="auto"/>
            <w:noWrap/>
            <w:vAlign w:val="bottom"/>
            <w:hideMark/>
          </w:tcPr>
          <w:p w14:paraId="35D7D0AC"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336D2DC7"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7E81F638"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5ACFB4C2"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6D565E66" w14:textId="77777777" w:rsidR="00413940" w:rsidRPr="007A78AF" w:rsidRDefault="00413940" w:rsidP="00432D6B">
            <w:pPr>
              <w:spacing w:line="240" w:lineRule="auto"/>
              <w:jc w:val="center"/>
              <w:rPr>
                <w:rFonts w:ascii="Times New Roman" w:hAnsi="Times New Roman" w:cs="Times New Roman"/>
              </w:rPr>
            </w:pPr>
          </w:p>
        </w:tc>
      </w:tr>
      <w:tr w:rsidR="00413940" w:rsidRPr="00C24933" w14:paraId="31167BEF" w14:textId="77777777" w:rsidTr="00432D6B">
        <w:trPr>
          <w:trHeight w:val="193"/>
        </w:trPr>
        <w:tc>
          <w:tcPr>
            <w:tcW w:w="3813" w:type="dxa"/>
            <w:gridSpan w:val="2"/>
            <w:tcBorders>
              <w:top w:val="nil"/>
              <w:left w:val="nil"/>
              <w:bottom w:val="nil"/>
              <w:right w:val="nil"/>
            </w:tcBorders>
            <w:shd w:val="clear" w:color="auto" w:fill="auto"/>
            <w:noWrap/>
            <w:vAlign w:val="bottom"/>
            <w:hideMark/>
          </w:tcPr>
          <w:p w14:paraId="650A2D10" w14:textId="77777777" w:rsidR="00413940" w:rsidRPr="007A78AF" w:rsidRDefault="00413940" w:rsidP="00432D6B">
            <w:pPr>
              <w:spacing w:line="240" w:lineRule="auto"/>
              <w:rPr>
                <w:rFonts w:ascii="Times New Roman" w:hAnsi="Times New Roman" w:cs="Times New Roman"/>
              </w:rPr>
            </w:pPr>
            <w:r w:rsidRPr="007A78AF">
              <w:rPr>
                <w:rFonts w:ascii="Times New Roman" w:hAnsi="Times New Roman" w:cs="Times New Roman"/>
              </w:rPr>
              <w:t>Innovation x Export</w:t>
            </w:r>
          </w:p>
        </w:tc>
        <w:tc>
          <w:tcPr>
            <w:tcW w:w="1726" w:type="dxa"/>
            <w:tcBorders>
              <w:top w:val="nil"/>
              <w:left w:val="nil"/>
              <w:bottom w:val="nil"/>
              <w:right w:val="nil"/>
            </w:tcBorders>
            <w:shd w:val="clear" w:color="auto" w:fill="auto"/>
            <w:noWrap/>
            <w:vAlign w:val="bottom"/>
            <w:hideMark/>
          </w:tcPr>
          <w:p w14:paraId="526FBB0B"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0.00483*</w:t>
            </w:r>
          </w:p>
        </w:tc>
        <w:tc>
          <w:tcPr>
            <w:tcW w:w="1726" w:type="dxa"/>
            <w:tcBorders>
              <w:top w:val="nil"/>
              <w:left w:val="nil"/>
              <w:bottom w:val="nil"/>
              <w:right w:val="nil"/>
            </w:tcBorders>
            <w:shd w:val="clear" w:color="auto" w:fill="auto"/>
            <w:noWrap/>
            <w:vAlign w:val="bottom"/>
            <w:hideMark/>
          </w:tcPr>
          <w:p w14:paraId="236774FB"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52FF8ECF"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0.00456*</w:t>
            </w:r>
          </w:p>
        </w:tc>
      </w:tr>
      <w:tr w:rsidR="00413940" w:rsidRPr="00C24933" w14:paraId="37C6844E" w14:textId="77777777" w:rsidTr="00432D6B">
        <w:trPr>
          <w:trHeight w:val="193"/>
        </w:trPr>
        <w:tc>
          <w:tcPr>
            <w:tcW w:w="2087" w:type="dxa"/>
            <w:tcBorders>
              <w:top w:val="nil"/>
              <w:left w:val="nil"/>
              <w:bottom w:val="nil"/>
              <w:right w:val="nil"/>
            </w:tcBorders>
            <w:shd w:val="clear" w:color="auto" w:fill="auto"/>
            <w:noWrap/>
            <w:vAlign w:val="bottom"/>
            <w:hideMark/>
          </w:tcPr>
          <w:p w14:paraId="469D4668"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1AA2E1AB"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75B82772"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1.877</w:t>
            </w:r>
            <w:r>
              <w:rPr>
                <w:rFonts w:ascii="Times New Roman" w:hAnsi="Times New Roman" w:cs="Times New Roman"/>
              </w:rPr>
              <w:t>]</w:t>
            </w:r>
          </w:p>
        </w:tc>
        <w:tc>
          <w:tcPr>
            <w:tcW w:w="1726" w:type="dxa"/>
            <w:tcBorders>
              <w:top w:val="nil"/>
              <w:left w:val="nil"/>
              <w:bottom w:val="nil"/>
              <w:right w:val="nil"/>
            </w:tcBorders>
            <w:shd w:val="clear" w:color="auto" w:fill="auto"/>
            <w:noWrap/>
            <w:vAlign w:val="bottom"/>
            <w:hideMark/>
          </w:tcPr>
          <w:p w14:paraId="34CE47CF"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68A5B2BA"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1.901</w:t>
            </w:r>
            <w:r>
              <w:rPr>
                <w:rFonts w:ascii="Times New Roman" w:hAnsi="Times New Roman" w:cs="Times New Roman"/>
              </w:rPr>
              <w:t>]</w:t>
            </w:r>
          </w:p>
        </w:tc>
      </w:tr>
      <w:tr w:rsidR="00413940" w:rsidRPr="00C24933" w14:paraId="1F63DB12" w14:textId="77777777" w:rsidTr="00432D6B">
        <w:trPr>
          <w:trHeight w:val="193"/>
        </w:trPr>
        <w:tc>
          <w:tcPr>
            <w:tcW w:w="2087" w:type="dxa"/>
            <w:tcBorders>
              <w:top w:val="nil"/>
              <w:left w:val="nil"/>
              <w:bottom w:val="nil"/>
              <w:right w:val="nil"/>
            </w:tcBorders>
            <w:shd w:val="clear" w:color="auto" w:fill="auto"/>
            <w:noWrap/>
            <w:vAlign w:val="bottom"/>
            <w:hideMark/>
          </w:tcPr>
          <w:p w14:paraId="55CE6C0B"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6B13B550"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6E1FBDAA"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52BC097C"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12C4B516" w14:textId="77777777" w:rsidR="00413940" w:rsidRPr="007A78AF" w:rsidRDefault="00413940" w:rsidP="00432D6B">
            <w:pPr>
              <w:spacing w:line="240" w:lineRule="auto"/>
              <w:jc w:val="center"/>
              <w:rPr>
                <w:rFonts w:ascii="Times New Roman" w:hAnsi="Times New Roman" w:cs="Times New Roman"/>
              </w:rPr>
            </w:pPr>
          </w:p>
        </w:tc>
      </w:tr>
      <w:tr w:rsidR="00413940" w:rsidRPr="00C24933" w14:paraId="035734B1" w14:textId="77777777" w:rsidTr="00432D6B">
        <w:trPr>
          <w:trHeight w:val="193"/>
        </w:trPr>
        <w:tc>
          <w:tcPr>
            <w:tcW w:w="2087" w:type="dxa"/>
            <w:tcBorders>
              <w:top w:val="nil"/>
              <w:left w:val="nil"/>
              <w:bottom w:val="nil"/>
              <w:right w:val="nil"/>
            </w:tcBorders>
            <w:shd w:val="clear" w:color="auto" w:fill="auto"/>
            <w:noWrap/>
            <w:vAlign w:val="bottom"/>
            <w:hideMark/>
          </w:tcPr>
          <w:p w14:paraId="54D7FF5B" w14:textId="77777777" w:rsidR="00413940" w:rsidRPr="007A78AF" w:rsidRDefault="00413940" w:rsidP="00432D6B">
            <w:pPr>
              <w:spacing w:line="240" w:lineRule="auto"/>
              <w:rPr>
                <w:rFonts w:ascii="Times New Roman" w:hAnsi="Times New Roman" w:cs="Times New Roman"/>
              </w:rPr>
            </w:pPr>
            <w:r w:rsidRPr="007A78AF">
              <w:rPr>
                <w:rFonts w:ascii="Times New Roman" w:hAnsi="Times New Roman" w:cs="Times New Roman"/>
              </w:rPr>
              <w:t>Competition</w:t>
            </w:r>
          </w:p>
        </w:tc>
        <w:tc>
          <w:tcPr>
            <w:tcW w:w="1726" w:type="dxa"/>
            <w:tcBorders>
              <w:top w:val="nil"/>
              <w:left w:val="nil"/>
              <w:bottom w:val="nil"/>
              <w:right w:val="nil"/>
            </w:tcBorders>
            <w:shd w:val="clear" w:color="auto" w:fill="auto"/>
            <w:noWrap/>
            <w:vAlign w:val="bottom"/>
            <w:hideMark/>
          </w:tcPr>
          <w:p w14:paraId="7D6C1A46"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0.00328*</w:t>
            </w:r>
          </w:p>
        </w:tc>
        <w:tc>
          <w:tcPr>
            <w:tcW w:w="1726" w:type="dxa"/>
            <w:tcBorders>
              <w:top w:val="nil"/>
              <w:left w:val="nil"/>
              <w:bottom w:val="nil"/>
              <w:right w:val="nil"/>
            </w:tcBorders>
            <w:shd w:val="clear" w:color="auto" w:fill="auto"/>
            <w:noWrap/>
            <w:vAlign w:val="bottom"/>
            <w:hideMark/>
          </w:tcPr>
          <w:p w14:paraId="3738F5ED"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0.00320*</w:t>
            </w:r>
          </w:p>
        </w:tc>
        <w:tc>
          <w:tcPr>
            <w:tcW w:w="1726" w:type="dxa"/>
            <w:tcBorders>
              <w:top w:val="nil"/>
              <w:left w:val="nil"/>
              <w:bottom w:val="nil"/>
              <w:right w:val="nil"/>
            </w:tcBorders>
            <w:shd w:val="clear" w:color="auto" w:fill="auto"/>
            <w:noWrap/>
            <w:vAlign w:val="bottom"/>
            <w:hideMark/>
          </w:tcPr>
          <w:p w14:paraId="1F3F60BD"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0.00368**</w:t>
            </w:r>
          </w:p>
        </w:tc>
        <w:tc>
          <w:tcPr>
            <w:tcW w:w="1726" w:type="dxa"/>
            <w:tcBorders>
              <w:top w:val="nil"/>
              <w:left w:val="nil"/>
              <w:bottom w:val="nil"/>
              <w:right w:val="nil"/>
            </w:tcBorders>
            <w:shd w:val="clear" w:color="auto" w:fill="auto"/>
            <w:noWrap/>
            <w:vAlign w:val="bottom"/>
            <w:hideMark/>
          </w:tcPr>
          <w:p w14:paraId="5D6EEBC1"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0.00361**</w:t>
            </w:r>
          </w:p>
        </w:tc>
      </w:tr>
      <w:tr w:rsidR="00413940" w:rsidRPr="00C24933" w14:paraId="67258482" w14:textId="77777777" w:rsidTr="00432D6B">
        <w:trPr>
          <w:trHeight w:val="193"/>
        </w:trPr>
        <w:tc>
          <w:tcPr>
            <w:tcW w:w="2087" w:type="dxa"/>
            <w:tcBorders>
              <w:top w:val="nil"/>
              <w:left w:val="nil"/>
              <w:bottom w:val="nil"/>
              <w:right w:val="nil"/>
            </w:tcBorders>
            <w:shd w:val="clear" w:color="auto" w:fill="auto"/>
            <w:noWrap/>
            <w:vAlign w:val="bottom"/>
            <w:hideMark/>
          </w:tcPr>
          <w:p w14:paraId="438D1B27"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1757917E"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1.909</w:t>
            </w:r>
            <w:r>
              <w:rPr>
                <w:rFonts w:ascii="Times New Roman" w:hAnsi="Times New Roman" w:cs="Times New Roman"/>
              </w:rPr>
              <w:t>]</w:t>
            </w:r>
          </w:p>
        </w:tc>
        <w:tc>
          <w:tcPr>
            <w:tcW w:w="1726" w:type="dxa"/>
            <w:tcBorders>
              <w:top w:val="nil"/>
              <w:left w:val="nil"/>
              <w:bottom w:val="nil"/>
              <w:right w:val="nil"/>
            </w:tcBorders>
            <w:shd w:val="clear" w:color="auto" w:fill="auto"/>
            <w:noWrap/>
            <w:vAlign w:val="bottom"/>
            <w:hideMark/>
          </w:tcPr>
          <w:p w14:paraId="15755EF3"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1.863</w:t>
            </w:r>
            <w:r>
              <w:rPr>
                <w:rFonts w:ascii="Times New Roman" w:hAnsi="Times New Roman" w:cs="Times New Roman"/>
              </w:rPr>
              <w:t>]</w:t>
            </w:r>
          </w:p>
        </w:tc>
        <w:tc>
          <w:tcPr>
            <w:tcW w:w="1726" w:type="dxa"/>
            <w:tcBorders>
              <w:top w:val="nil"/>
              <w:left w:val="nil"/>
              <w:bottom w:val="nil"/>
              <w:right w:val="nil"/>
            </w:tcBorders>
            <w:shd w:val="clear" w:color="auto" w:fill="auto"/>
            <w:noWrap/>
            <w:vAlign w:val="bottom"/>
            <w:hideMark/>
          </w:tcPr>
          <w:p w14:paraId="52C85164"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2.141</w:t>
            </w:r>
            <w:r>
              <w:rPr>
                <w:rFonts w:ascii="Times New Roman" w:hAnsi="Times New Roman" w:cs="Times New Roman"/>
              </w:rPr>
              <w:t>]</w:t>
            </w:r>
          </w:p>
        </w:tc>
        <w:tc>
          <w:tcPr>
            <w:tcW w:w="1726" w:type="dxa"/>
            <w:tcBorders>
              <w:top w:val="nil"/>
              <w:left w:val="nil"/>
              <w:bottom w:val="nil"/>
              <w:right w:val="nil"/>
            </w:tcBorders>
            <w:shd w:val="clear" w:color="auto" w:fill="auto"/>
            <w:noWrap/>
            <w:vAlign w:val="bottom"/>
            <w:hideMark/>
          </w:tcPr>
          <w:p w14:paraId="69E73D3F"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2.097</w:t>
            </w:r>
            <w:r>
              <w:rPr>
                <w:rFonts w:ascii="Times New Roman" w:hAnsi="Times New Roman" w:cs="Times New Roman"/>
              </w:rPr>
              <w:t>]</w:t>
            </w:r>
          </w:p>
        </w:tc>
      </w:tr>
      <w:tr w:rsidR="00413940" w:rsidRPr="00C24933" w14:paraId="364C9829" w14:textId="77777777" w:rsidTr="00432D6B">
        <w:trPr>
          <w:trHeight w:val="193"/>
        </w:trPr>
        <w:tc>
          <w:tcPr>
            <w:tcW w:w="2087" w:type="dxa"/>
            <w:tcBorders>
              <w:top w:val="nil"/>
              <w:left w:val="nil"/>
              <w:bottom w:val="nil"/>
              <w:right w:val="nil"/>
            </w:tcBorders>
            <w:shd w:val="clear" w:color="auto" w:fill="auto"/>
            <w:noWrap/>
            <w:vAlign w:val="bottom"/>
            <w:hideMark/>
          </w:tcPr>
          <w:p w14:paraId="25595B46"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700F636B"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1965FBA8"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78741234"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17EB3B3F" w14:textId="77777777" w:rsidR="00413940" w:rsidRPr="007A78AF" w:rsidRDefault="00413940" w:rsidP="00432D6B">
            <w:pPr>
              <w:spacing w:line="240" w:lineRule="auto"/>
              <w:jc w:val="center"/>
              <w:rPr>
                <w:rFonts w:ascii="Times New Roman" w:hAnsi="Times New Roman" w:cs="Times New Roman"/>
              </w:rPr>
            </w:pPr>
          </w:p>
        </w:tc>
      </w:tr>
      <w:tr w:rsidR="00413940" w:rsidRPr="00C24933" w14:paraId="218A0637" w14:textId="77777777" w:rsidTr="00432D6B">
        <w:trPr>
          <w:trHeight w:val="193"/>
        </w:trPr>
        <w:tc>
          <w:tcPr>
            <w:tcW w:w="2087" w:type="dxa"/>
            <w:tcBorders>
              <w:top w:val="nil"/>
              <w:left w:val="nil"/>
              <w:bottom w:val="nil"/>
              <w:right w:val="nil"/>
            </w:tcBorders>
            <w:shd w:val="clear" w:color="auto" w:fill="auto"/>
            <w:noWrap/>
            <w:vAlign w:val="bottom"/>
            <w:hideMark/>
          </w:tcPr>
          <w:p w14:paraId="3376202E" w14:textId="77777777" w:rsidR="00413940" w:rsidRPr="007A78AF" w:rsidRDefault="00413940" w:rsidP="00432D6B">
            <w:pPr>
              <w:spacing w:line="240" w:lineRule="auto"/>
              <w:rPr>
                <w:rFonts w:ascii="Times New Roman" w:hAnsi="Times New Roman" w:cs="Times New Roman"/>
              </w:rPr>
            </w:pPr>
            <w:r w:rsidRPr="007A78AF">
              <w:rPr>
                <w:rFonts w:ascii="Times New Roman" w:hAnsi="Times New Roman" w:cs="Times New Roman"/>
              </w:rPr>
              <w:t>Foreign_own</w:t>
            </w:r>
          </w:p>
        </w:tc>
        <w:tc>
          <w:tcPr>
            <w:tcW w:w="1726" w:type="dxa"/>
            <w:tcBorders>
              <w:top w:val="nil"/>
              <w:left w:val="nil"/>
              <w:bottom w:val="nil"/>
              <w:right w:val="nil"/>
            </w:tcBorders>
            <w:shd w:val="clear" w:color="auto" w:fill="auto"/>
            <w:noWrap/>
            <w:vAlign w:val="bottom"/>
            <w:hideMark/>
          </w:tcPr>
          <w:p w14:paraId="55BD62E5"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0.0758***</w:t>
            </w:r>
          </w:p>
        </w:tc>
        <w:tc>
          <w:tcPr>
            <w:tcW w:w="1726" w:type="dxa"/>
            <w:tcBorders>
              <w:top w:val="nil"/>
              <w:left w:val="nil"/>
              <w:bottom w:val="nil"/>
              <w:right w:val="nil"/>
            </w:tcBorders>
            <w:shd w:val="clear" w:color="auto" w:fill="auto"/>
            <w:noWrap/>
            <w:vAlign w:val="bottom"/>
            <w:hideMark/>
          </w:tcPr>
          <w:p w14:paraId="5D87D164"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0.0759***</w:t>
            </w:r>
          </w:p>
        </w:tc>
        <w:tc>
          <w:tcPr>
            <w:tcW w:w="1726" w:type="dxa"/>
            <w:tcBorders>
              <w:top w:val="nil"/>
              <w:left w:val="nil"/>
              <w:bottom w:val="nil"/>
              <w:right w:val="nil"/>
            </w:tcBorders>
            <w:shd w:val="clear" w:color="auto" w:fill="auto"/>
            <w:noWrap/>
            <w:vAlign w:val="bottom"/>
            <w:hideMark/>
          </w:tcPr>
          <w:p w14:paraId="3E78E03D"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0.0768***</w:t>
            </w:r>
          </w:p>
        </w:tc>
        <w:tc>
          <w:tcPr>
            <w:tcW w:w="1726" w:type="dxa"/>
            <w:tcBorders>
              <w:top w:val="nil"/>
              <w:left w:val="nil"/>
              <w:bottom w:val="nil"/>
              <w:right w:val="nil"/>
            </w:tcBorders>
            <w:shd w:val="clear" w:color="auto" w:fill="auto"/>
            <w:noWrap/>
            <w:vAlign w:val="bottom"/>
            <w:hideMark/>
          </w:tcPr>
          <w:p w14:paraId="3E3F681D" w14:textId="77777777" w:rsidR="00413940" w:rsidRPr="007A78AF" w:rsidRDefault="00413940" w:rsidP="00432D6B">
            <w:pPr>
              <w:spacing w:line="240" w:lineRule="auto"/>
              <w:jc w:val="center"/>
              <w:rPr>
                <w:rFonts w:ascii="Times New Roman" w:hAnsi="Times New Roman" w:cs="Times New Roman"/>
              </w:rPr>
            </w:pPr>
            <w:r w:rsidRPr="007A78AF">
              <w:rPr>
                <w:rFonts w:ascii="Times New Roman" w:hAnsi="Times New Roman" w:cs="Times New Roman"/>
              </w:rPr>
              <w:t>0.0769***</w:t>
            </w:r>
          </w:p>
        </w:tc>
      </w:tr>
      <w:tr w:rsidR="00413940" w:rsidRPr="00C24933" w14:paraId="18691407" w14:textId="77777777" w:rsidTr="00432D6B">
        <w:trPr>
          <w:trHeight w:val="193"/>
        </w:trPr>
        <w:tc>
          <w:tcPr>
            <w:tcW w:w="2087" w:type="dxa"/>
            <w:tcBorders>
              <w:top w:val="nil"/>
              <w:left w:val="nil"/>
              <w:bottom w:val="nil"/>
              <w:right w:val="nil"/>
            </w:tcBorders>
            <w:shd w:val="clear" w:color="auto" w:fill="auto"/>
            <w:noWrap/>
            <w:vAlign w:val="bottom"/>
            <w:hideMark/>
          </w:tcPr>
          <w:p w14:paraId="471D321D" w14:textId="77777777" w:rsidR="00413940" w:rsidRPr="007A78AF" w:rsidRDefault="00413940" w:rsidP="00432D6B">
            <w:pPr>
              <w:spacing w:line="240" w:lineRule="auto"/>
              <w:jc w:val="center"/>
              <w:rPr>
                <w:rFonts w:ascii="Times New Roman" w:hAnsi="Times New Roman" w:cs="Times New Roman"/>
              </w:rPr>
            </w:pPr>
          </w:p>
        </w:tc>
        <w:tc>
          <w:tcPr>
            <w:tcW w:w="1726" w:type="dxa"/>
            <w:tcBorders>
              <w:top w:val="nil"/>
              <w:left w:val="nil"/>
              <w:bottom w:val="nil"/>
              <w:right w:val="nil"/>
            </w:tcBorders>
            <w:shd w:val="clear" w:color="auto" w:fill="auto"/>
            <w:noWrap/>
            <w:vAlign w:val="bottom"/>
            <w:hideMark/>
          </w:tcPr>
          <w:p w14:paraId="46185CF9"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20.02</w:t>
            </w:r>
            <w:r>
              <w:rPr>
                <w:rFonts w:ascii="Times New Roman" w:hAnsi="Times New Roman" w:cs="Times New Roman"/>
              </w:rPr>
              <w:t>]</w:t>
            </w:r>
          </w:p>
        </w:tc>
        <w:tc>
          <w:tcPr>
            <w:tcW w:w="1726" w:type="dxa"/>
            <w:tcBorders>
              <w:top w:val="nil"/>
              <w:left w:val="nil"/>
              <w:bottom w:val="nil"/>
              <w:right w:val="nil"/>
            </w:tcBorders>
            <w:shd w:val="clear" w:color="auto" w:fill="auto"/>
            <w:noWrap/>
            <w:vAlign w:val="bottom"/>
            <w:hideMark/>
          </w:tcPr>
          <w:p w14:paraId="2FB39F83"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20</w:t>
            </w:r>
            <w:r>
              <w:rPr>
                <w:rFonts w:ascii="Times New Roman" w:hAnsi="Times New Roman" w:cs="Times New Roman"/>
              </w:rPr>
              <w:t>]</w:t>
            </w:r>
          </w:p>
        </w:tc>
        <w:tc>
          <w:tcPr>
            <w:tcW w:w="1726" w:type="dxa"/>
            <w:tcBorders>
              <w:top w:val="nil"/>
              <w:left w:val="nil"/>
              <w:bottom w:val="nil"/>
              <w:right w:val="nil"/>
            </w:tcBorders>
            <w:shd w:val="clear" w:color="auto" w:fill="auto"/>
            <w:noWrap/>
            <w:vAlign w:val="bottom"/>
            <w:hideMark/>
          </w:tcPr>
          <w:p w14:paraId="18FB4360"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20.21</w:t>
            </w:r>
            <w:r>
              <w:rPr>
                <w:rFonts w:ascii="Times New Roman" w:hAnsi="Times New Roman" w:cs="Times New Roman"/>
              </w:rPr>
              <w:t>]</w:t>
            </w:r>
          </w:p>
        </w:tc>
        <w:tc>
          <w:tcPr>
            <w:tcW w:w="1726" w:type="dxa"/>
            <w:tcBorders>
              <w:top w:val="nil"/>
              <w:left w:val="nil"/>
              <w:bottom w:val="nil"/>
              <w:right w:val="nil"/>
            </w:tcBorders>
            <w:shd w:val="clear" w:color="auto" w:fill="auto"/>
            <w:noWrap/>
            <w:vAlign w:val="bottom"/>
            <w:hideMark/>
          </w:tcPr>
          <w:p w14:paraId="7A548B18" w14:textId="77777777" w:rsidR="00413940" w:rsidRPr="007A78AF" w:rsidRDefault="00413940" w:rsidP="00432D6B">
            <w:pPr>
              <w:spacing w:line="240" w:lineRule="auto"/>
              <w:jc w:val="center"/>
              <w:rPr>
                <w:rFonts w:ascii="Times New Roman" w:hAnsi="Times New Roman" w:cs="Times New Roman"/>
              </w:rPr>
            </w:pPr>
            <w:r>
              <w:rPr>
                <w:rFonts w:ascii="Times New Roman" w:hAnsi="Times New Roman" w:cs="Times New Roman"/>
              </w:rPr>
              <w:t>[</w:t>
            </w:r>
            <w:r w:rsidRPr="007A78AF">
              <w:rPr>
                <w:rFonts w:ascii="Times New Roman" w:hAnsi="Times New Roman" w:cs="Times New Roman"/>
              </w:rPr>
              <w:t>20.19</w:t>
            </w:r>
            <w:r>
              <w:rPr>
                <w:rFonts w:ascii="Times New Roman" w:hAnsi="Times New Roman" w:cs="Times New Roman"/>
              </w:rPr>
              <w:t>]</w:t>
            </w:r>
          </w:p>
        </w:tc>
      </w:tr>
      <w:tr w:rsidR="00413940" w:rsidRPr="00C24933" w14:paraId="3751592B" w14:textId="77777777" w:rsidTr="00432D6B">
        <w:trPr>
          <w:trHeight w:val="193"/>
        </w:trPr>
        <w:tc>
          <w:tcPr>
            <w:tcW w:w="2087" w:type="dxa"/>
            <w:tcBorders>
              <w:top w:val="nil"/>
              <w:left w:val="nil"/>
              <w:bottom w:val="single" w:sz="4" w:space="0" w:color="auto"/>
              <w:right w:val="nil"/>
            </w:tcBorders>
            <w:shd w:val="clear" w:color="auto" w:fill="auto"/>
            <w:noWrap/>
            <w:vAlign w:val="bottom"/>
            <w:hideMark/>
          </w:tcPr>
          <w:p w14:paraId="12321136" w14:textId="77777777" w:rsidR="00413940" w:rsidRPr="007A78AF" w:rsidRDefault="00413940" w:rsidP="00432D6B">
            <w:pPr>
              <w:jc w:val="center"/>
              <w:rPr>
                <w:rFonts w:ascii="Times New Roman" w:hAnsi="Times New Roman" w:cs="Times New Roman"/>
              </w:rPr>
            </w:pPr>
          </w:p>
        </w:tc>
        <w:tc>
          <w:tcPr>
            <w:tcW w:w="1726" w:type="dxa"/>
            <w:tcBorders>
              <w:top w:val="nil"/>
              <w:left w:val="nil"/>
              <w:bottom w:val="single" w:sz="4" w:space="0" w:color="auto"/>
              <w:right w:val="nil"/>
            </w:tcBorders>
            <w:shd w:val="clear" w:color="auto" w:fill="auto"/>
            <w:noWrap/>
            <w:vAlign w:val="bottom"/>
            <w:hideMark/>
          </w:tcPr>
          <w:p w14:paraId="25CAEEBB" w14:textId="77777777" w:rsidR="00413940" w:rsidRPr="007A78AF" w:rsidRDefault="00413940" w:rsidP="00432D6B">
            <w:pPr>
              <w:jc w:val="center"/>
              <w:rPr>
                <w:rFonts w:ascii="Times New Roman" w:hAnsi="Times New Roman" w:cs="Times New Roman"/>
              </w:rPr>
            </w:pPr>
          </w:p>
        </w:tc>
        <w:tc>
          <w:tcPr>
            <w:tcW w:w="1726" w:type="dxa"/>
            <w:tcBorders>
              <w:top w:val="nil"/>
              <w:left w:val="nil"/>
              <w:bottom w:val="single" w:sz="4" w:space="0" w:color="auto"/>
              <w:right w:val="nil"/>
            </w:tcBorders>
            <w:shd w:val="clear" w:color="auto" w:fill="auto"/>
            <w:noWrap/>
            <w:vAlign w:val="bottom"/>
            <w:hideMark/>
          </w:tcPr>
          <w:p w14:paraId="7535328E" w14:textId="77777777" w:rsidR="00413940" w:rsidRPr="007A78AF" w:rsidRDefault="00413940" w:rsidP="00432D6B">
            <w:pPr>
              <w:jc w:val="center"/>
              <w:rPr>
                <w:rFonts w:ascii="Times New Roman" w:hAnsi="Times New Roman" w:cs="Times New Roman"/>
              </w:rPr>
            </w:pPr>
          </w:p>
        </w:tc>
        <w:tc>
          <w:tcPr>
            <w:tcW w:w="1726" w:type="dxa"/>
            <w:tcBorders>
              <w:top w:val="nil"/>
              <w:left w:val="nil"/>
              <w:bottom w:val="single" w:sz="4" w:space="0" w:color="auto"/>
              <w:right w:val="nil"/>
            </w:tcBorders>
            <w:shd w:val="clear" w:color="auto" w:fill="auto"/>
            <w:noWrap/>
            <w:vAlign w:val="bottom"/>
            <w:hideMark/>
          </w:tcPr>
          <w:p w14:paraId="14E15B63" w14:textId="77777777" w:rsidR="00413940" w:rsidRPr="007A78AF" w:rsidRDefault="00413940" w:rsidP="00432D6B">
            <w:pPr>
              <w:jc w:val="center"/>
              <w:rPr>
                <w:rFonts w:ascii="Times New Roman" w:hAnsi="Times New Roman" w:cs="Times New Roman"/>
              </w:rPr>
            </w:pPr>
          </w:p>
        </w:tc>
        <w:tc>
          <w:tcPr>
            <w:tcW w:w="1726" w:type="dxa"/>
            <w:tcBorders>
              <w:top w:val="nil"/>
              <w:left w:val="nil"/>
              <w:bottom w:val="single" w:sz="4" w:space="0" w:color="auto"/>
              <w:right w:val="nil"/>
            </w:tcBorders>
            <w:shd w:val="clear" w:color="auto" w:fill="auto"/>
            <w:noWrap/>
            <w:vAlign w:val="bottom"/>
            <w:hideMark/>
          </w:tcPr>
          <w:p w14:paraId="247BAABA" w14:textId="77777777" w:rsidR="00413940" w:rsidRPr="007A78AF" w:rsidRDefault="00413940" w:rsidP="00432D6B">
            <w:pPr>
              <w:jc w:val="center"/>
              <w:rPr>
                <w:rFonts w:ascii="Times New Roman" w:hAnsi="Times New Roman" w:cs="Times New Roman"/>
              </w:rPr>
            </w:pPr>
          </w:p>
        </w:tc>
      </w:tr>
      <w:tr w:rsidR="00413940" w:rsidRPr="00C24933" w14:paraId="588F5EE9" w14:textId="77777777" w:rsidTr="00432D6B">
        <w:trPr>
          <w:trHeight w:val="202"/>
        </w:trPr>
        <w:tc>
          <w:tcPr>
            <w:tcW w:w="2087" w:type="dxa"/>
            <w:tcBorders>
              <w:top w:val="single" w:sz="4" w:space="0" w:color="auto"/>
              <w:left w:val="nil"/>
              <w:right w:val="nil"/>
            </w:tcBorders>
            <w:shd w:val="clear" w:color="auto" w:fill="auto"/>
            <w:noWrap/>
            <w:vAlign w:val="bottom"/>
          </w:tcPr>
          <w:p w14:paraId="46D697EB" w14:textId="77777777" w:rsidR="00413940" w:rsidRDefault="00413940" w:rsidP="00432D6B">
            <w:pPr>
              <w:rPr>
                <w:rFonts w:ascii="Times New Roman" w:hAnsi="Times New Roman" w:cs="Times New Roman"/>
              </w:rPr>
            </w:pPr>
            <w:r>
              <w:rPr>
                <w:rFonts w:ascii="Times New Roman" w:hAnsi="Times New Roman" w:cs="Times New Roman"/>
              </w:rPr>
              <w:t>Year FE</w:t>
            </w:r>
          </w:p>
        </w:tc>
        <w:tc>
          <w:tcPr>
            <w:tcW w:w="1726" w:type="dxa"/>
            <w:tcBorders>
              <w:top w:val="single" w:sz="4" w:space="0" w:color="auto"/>
              <w:left w:val="nil"/>
              <w:right w:val="nil"/>
            </w:tcBorders>
            <w:shd w:val="clear" w:color="auto" w:fill="auto"/>
            <w:noWrap/>
            <w:vAlign w:val="bottom"/>
          </w:tcPr>
          <w:p w14:paraId="318EEF49" w14:textId="77777777" w:rsidR="00413940" w:rsidRPr="007A78AF" w:rsidRDefault="00413940" w:rsidP="00432D6B">
            <w:pPr>
              <w:jc w:val="center"/>
              <w:rPr>
                <w:rFonts w:ascii="Times New Roman" w:hAnsi="Times New Roman" w:cs="Times New Roman"/>
              </w:rPr>
            </w:pPr>
            <w:r>
              <w:rPr>
                <w:rFonts w:ascii="Times New Roman" w:hAnsi="Times New Roman" w:cs="Times New Roman"/>
              </w:rPr>
              <w:t>Yes</w:t>
            </w:r>
          </w:p>
        </w:tc>
        <w:tc>
          <w:tcPr>
            <w:tcW w:w="1726" w:type="dxa"/>
            <w:tcBorders>
              <w:top w:val="single" w:sz="4" w:space="0" w:color="auto"/>
              <w:left w:val="nil"/>
              <w:right w:val="nil"/>
            </w:tcBorders>
            <w:shd w:val="clear" w:color="auto" w:fill="auto"/>
            <w:noWrap/>
            <w:vAlign w:val="bottom"/>
          </w:tcPr>
          <w:p w14:paraId="537E7FFC" w14:textId="77777777" w:rsidR="00413940" w:rsidRPr="007A78AF" w:rsidRDefault="00413940" w:rsidP="00432D6B">
            <w:pPr>
              <w:jc w:val="center"/>
              <w:rPr>
                <w:rFonts w:ascii="Times New Roman" w:hAnsi="Times New Roman" w:cs="Times New Roman"/>
              </w:rPr>
            </w:pPr>
            <w:r>
              <w:rPr>
                <w:rFonts w:ascii="Times New Roman" w:hAnsi="Times New Roman" w:cs="Times New Roman"/>
              </w:rPr>
              <w:t>Yes</w:t>
            </w:r>
          </w:p>
        </w:tc>
        <w:tc>
          <w:tcPr>
            <w:tcW w:w="1726" w:type="dxa"/>
            <w:tcBorders>
              <w:top w:val="single" w:sz="4" w:space="0" w:color="auto"/>
              <w:left w:val="nil"/>
              <w:right w:val="nil"/>
            </w:tcBorders>
            <w:shd w:val="clear" w:color="auto" w:fill="auto"/>
            <w:noWrap/>
            <w:vAlign w:val="bottom"/>
          </w:tcPr>
          <w:p w14:paraId="3700D6CA" w14:textId="77777777" w:rsidR="00413940" w:rsidRPr="007A78AF" w:rsidRDefault="00413940" w:rsidP="00432D6B">
            <w:pPr>
              <w:jc w:val="center"/>
              <w:rPr>
                <w:rFonts w:ascii="Times New Roman" w:hAnsi="Times New Roman" w:cs="Times New Roman"/>
              </w:rPr>
            </w:pPr>
            <w:r>
              <w:rPr>
                <w:rFonts w:ascii="Times New Roman" w:hAnsi="Times New Roman" w:cs="Times New Roman"/>
              </w:rPr>
              <w:t>Yes</w:t>
            </w:r>
          </w:p>
        </w:tc>
        <w:tc>
          <w:tcPr>
            <w:tcW w:w="1726" w:type="dxa"/>
            <w:tcBorders>
              <w:top w:val="single" w:sz="4" w:space="0" w:color="auto"/>
              <w:left w:val="nil"/>
              <w:right w:val="nil"/>
            </w:tcBorders>
            <w:shd w:val="clear" w:color="auto" w:fill="auto"/>
            <w:noWrap/>
            <w:vAlign w:val="bottom"/>
          </w:tcPr>
          <w:p w14:paraId="363CE0F8" w14:textId="77777777" w:rsidR="00413940" w:rsidRPr="007A78AF" w:rsidRDefault="00413940" w:rsidP="00432D6B">
            <w:pPr>
              <w:jc w:val="center"/>
              <w:rPr>
                <w:rFonts w:ascii="Times New Roman" w:hAnsi="Times New Roman" w:cs="Times New Roman"/>
              </w:rPr>
            </w:pPr>
            <w:r>
              <w:rPr>
                <w:rFonts w:ascii="Times New Roman" w:hAnsi="Times New Roman" w:cs="Times New Roman"/>
              </w:rPr>
              <w:t>Yes</w:t>
            </w:r>
          </w:p>
        </w:tc>
      </w:tr>
      <w:tr w:rsidR="00413940" w:rsidRPr="00C24933" w14:paraId="7BC2B03C" w14:textId="77777777" w:rsidTr="00432D6B">
        <w:trPr>
          <w:trHeight w:val="202"/>
        </w:trPr>
        <w:tc>
          <w:tcPr>
            <w:tcW w:w="2087" w:type="dxa"/>
            <w:tcBorders>
              <w:left w:val="nil"/>
              <w:right w:val="nil"/>
            </w:tcBorders>
            <w:shd w:val="clear" w:color="auto" w:fill="auto"/>
            <w:noWrap/>
            <w:vAlign w:val="bottom"/>
          </w:tcPr>
          <w:p w14:paraId="0F39022A" w14:textId="77777777" w:rsidR="00413940" w:rsidRDefault="00413940" w:rsidP="00432D6B">
            <w:pPr>
              <w:rPr>
                <w:rFonts w:ascii="Times New Roman" w:hAnsi="Times New Roman" w:cs="Times New Roman"/>
              </w:rPr>
            </w:pPr>
            <w:r>
              <w:rPr>
                <w:rFonts w:ascii="Times New Roman" w:hAnsi="Times New Roman" w:cs="Times New Roman"/>
              </w:rPr>
              <w:t>Industry FE</w:t>
            </w:r>
          </w:p>
        </w:tc>
        <w:tc>
          <w:tcPr>
            <w:tcW w:w="1726" w:type="dxa"/>
            <w:tcBorders>
              <w:left w:val="nil"/>
              <w:right w:val="nil"/>
            </w:tcBorders>
            <w:shd w:val="clear" w:color="auto" w:fill="auto"/>
            <w:noWrap/>
            <w:vAlign w:val="bottom"/>
          </w:tcPr>
          <w:p w14:paraId="1914BFDB" w14:textId="77777777" w:rsidR="00413940" w:rsidRPr="007A78AF" w:rsidRDefault="00413940" w:rsidP="00432D6B">
            <w:pPr>
              <w:jc w:val="center"/>
              <w:rPr>
                <w:rFonts w:ascii="Times New Roman" w:hAnsi="Times New Roman" w:cs="Times New Roman"/>
              </w:rPr>
            </w:pPr>
            <w:r>
              <w:rPr>
                <w:rFonts w:ascii="Times New Roman" w:hAnsi="Times New Roman" w:cs="Times New Roman"/>
              </w:rPr>
              <w:t>Yes</w:t>
            </w:r>
          </w:p>
        </w:tc>
        <w:tc>
          <w:tcPr>
            <w:tcW w:w="1726" w:type="dxa"/>
            <w:tcBorders>
              <w:left w:val="nil"/>
              <w:right w:val="nil"/>
            </w:tcBorders>
            <w:shd w:val="clear" w:color="auto" w:fill="auto"/>
            <w:noWrap/>
            <w:vAlign w:val="bottom"/>
          </w:tcPr>
          <w:p w14:paraId="4C10E9AF" w14:textId="77777777" w:rsidR="00413940" w:rsidRPr="007A78AF" w:rsidRDefault="00413940" w:rsidP="00432D6B">
            <w:pPr>
              <w:jc w:val="center"/>
              <w:rPr>
                <w:rFonts w:ascii="Times New Roman" w:hAnsi="Times New Roman" w:cs="Times New Roman"/>
              </w:rPr>
            </w:pPr>
            <w:r>
              <w:rPr>
                <w:rFonts w:ascii="Times New Roman" w:hAnsi="Times New Roman" w:cs="Times New Roman"/>
              </w:rPr>
              <w:t>Yes</w:t>
            </w:r>
          </w:p>
        </w:tc>
        <w:tc>
          <w:tcPr>
            <w:tcW w:w="1726" w:type="dxa"/>
            <w:tcBorders>
              <w:left w:val="nil"/>
              <w:right w:val="nil"/>
            </w:tcBorders>
            <w:shd w:val="clear" w:color="auto" w:fill="auto"/>
            <w:noWrap/>
            <w:vAlign w:val="bottom"/>
          </w:tcPr>
          <w:p w14:paraId="3FE1B019" w14:textId="77777777" w:rsidR="00413940" w:rsidRPr="007A78AF" w:rsidRDefault="00413940" w:rsidP="00432D6B">
            <w:pPr>
              <w:jc w:val="center"/>
              <w:rPr>
                <w:rFonts w:ascii="Times New Roman" w:hAnsi="Times New Roman" w:cs="Times New Roman"/>
              </w:rPr>
            </w:pPr>
            <w:r>
              <w:rPr>
                <w:rFonts w:ascii="Times New Roman" w:hAnsi="Times New Roman" w:cs="Times New Roman"/>
              </w:rPr>
              <w:t>Yes</w:t>
            </w:r>
          </w:p>
        </w:tc>
        <w:tc>
          <w:tcPr>
            <w:tcW w:w="1726" w:type="dxa"/>
            <w:tcBorders>
              <w:left w:val="nil"/>
              <w:right w:val="nil"/>
            </w:tcBorders>
            <w:shd w:val="clear" w:color="auto" w:fill="auto"/>
            <w:noWrap/>
            <w:vAlign w:val="bottom"/>
          </w:tcPr>
          <w:p w14:paraId="502D7A89" w14:textId="77777777" w:rsidR="00413940" w:rsidRPr="007A78AF" w:rsidRDefault="00413940" w:rsidP="00432D6B">
            <w:pPr>
              <w:jc w:val="center"/>
              <w:rPr>
                <w:rFonts w:ascii="Times New Roman" w:hAnsi="Times New Roman" w:cs="Times New Roman"/>
              </w:rPr>
            </w:pPr>
            <w:r>
              <w:rPr>
                <w:rFonts w:ascii="Times New Roman" w:hAnsi="Times New Roman" w:cs="Times New Roman"/>
              </w:rPr>
              <w:t>Yes</w:t>
            </w:r>
          </w:p>
        </w:tc>
      </w:tr>
      <w:tr w:rsidR="00413940" w:rsidRPr="00C24933" w14:paraId="695F1CFD" w14:textId="77777777" w:rsidTr="00432D6B">
        <w:trPr>
          <w:trHeight w:val="202"/>
        </w:trPr>
        <w:tc>
          <w:tcPr>
            <w:tcW w:w="2087" w:type="dxa"/>
            <w:tcBorders>
              <w:left w:val="nil"/>
              <w:bottom w:val="single" w:sz="4" w:space="0" w:color="auto"/>
              <w:right w:val="nil"/>
            </w:tcBorders>
            <w:shd w:val="clear" w:color="auto" w:fill="auto"/>
            <w:noWrap/>
            <w:vAlign w:val="bottom"/>
          </w:tcPr>
          <w:p w14:paraId="76EFDF29" w14:textId="77777777" w:rsidR="00413940" w:rsidRPr="007A78AF" w:rsidRDefault="00413940" w:rsidP="00432D6B">
            <w:pPr>
              <w:rPr>
                <w:rFonts w:ascii="Times New Roman" w:hAnsi="Times New Roman" w:cs="Times New Roman"/>
              </w:rPr>
            </w:pPr>
            <w:r>
              <w:rPr>
                <w:rFonts w:ascii="Times New Roman" w:hAnsi="Times New Roman" w:cs="Times New Roman"/>
              </w:rPr>
              <w:t>Adj.</w:t>
            </w:r>
            <w:r w:rsidRPr="04FC83EA">
              <w:rPr>
                <w:rFonts w:ascii="Times New Roman" w:eastAsia="Times New Roman" w:hAnsi="Times New Roman" w:cs="Times New Roman"/>
                <w:color w:val="000000" w:themeColor="text1"/>
                <w:sz w:val="24"/>
                <w:szCs w:val="24"/>
              </w:rPr>
              <w:t>R</w:t>
            </w:r>
            <w:r w:rsidRPr="04FC83EA">
              <w:rPr>
                <w:rFonts w:ascii="Times New Roman" w:eastAsia="Times New Roman" w:hAnsi="Times New Roman" w:cs="Times New Roman"/>
                <w:color w:val="000000" w:themeColor="text1"/>
                <w:sz w:val="24"/>
                <w:szCs w:val="24"/>
                <w:vertAlign w:val="superscript"/>
              </w:rPr>
              <w:t>2</w:t>
            </w:r>
          </w:p>
        </w:tc>
        <w:tc>
          <w:tcPr>
            <w:tcW w:w="1726" w:type="dxa"/>
            <w:tcBorders>
              <w:left w:val="nil"/>
              <w:bottom w:val="single" w:sz="4" w:space="0" w:color="auto"/>
              <w:right w:val="nil"/>
            </w:tcBorders>
            <w:shd w:val="clear" w:color="auto" w:fill="auto"/>
            <w:noWrap/>
            <w:vAlign w:val="bottom"/>
          </w:tcPr>
          <w:p w14:paraId="6B51215A" w14:textId="77777777" w:rsidR="00413940" w:rsidRPr="007A78AF" w:rsidRDefault="00413940" w:rsidP="00432D6B">
            <w:pPr>
              <w:jc w:val="center"/>
              <w:rPr>
                <w:rFonts w:ascii="Times New Roman" w:hAnsi="Times New Roman" w:cs="Times New Roman"/>
              </w:rPr>
            </w:pPr>
            <w:r>
              <w:rPr>
                <w:rFonts w:ascii="Times New Roman" w:hAnsi="Times New Roman" w:cs="Times New Roman"/>
              </w:rPr>
              <w:t>0.26</w:t>
            </w:r>
          </w:p>
        </w:tc>
        <w:tc>
          <w:tcPr>
            <w:tcW w:w="1726" w:type="dxa"/>
            <w:tcBorders>
              <w:left w:val="nil"/>
              <w:bottom w:val="single" w:sz="4" w:space="0" w:color="auto"/>
              <w:right w:val="nil"/>
            </w:tcBorders>
            <w:shd w:val="clear" w:color="auto" w:fill="auto"/>
            <w:noWrap/>
            <w:vAlign w:val="bottom"/>
          </w:tcPr>
          <w:p w14:paraId="22796478" w14:textId="77777777" w:rsidR="00413940" w:rsidRPr="007A78AF" w:rsidRDefault="00413940" w:rsidP="00432D6B">
            <w:pPr>
              <w:jc w:val="center"/>
              <w:rPr>
                <w:rFonts w:ascii="Times New Roman" w:hAnsi="Times New Roman" w:cs="Times New Roman"/>
              </w:rPr>
            </w:pPr>
            <w:r>
              <w:rPr>
                <w:rFonts w:ascii="Times New Roman" w:hAnsi="Times New Roman" w:cs="Times New Roman"/>
              </w:rPr>
              <w:t>0.27</w:t>
            </w:r>
          </w:p>
        </w:tc>
        <w:tc>
          <w:tcPr>
            <w:tcW w:w="1726" w:type="dxa"/>
            <w:tcBorders>
              <w:left w:val="nil"/>
              <w:bottom w:val="single" w:sz="4" w:space="0" w:color="auto"/>
              <w:right w:val="nil"/>
            </w:tcBorders>
            <w:shd w:val="clear" w:color="auto" w:fill="auto"/>
            <w:noWrap/>
            <w:vAlign w:val="bottom"/>
          </w:tcPr>
          <w:p w14:paraId="2610234A" w14:textId="77777777" w:rsidR="00413940" w:rsidRPr="007A78AF" w:rsidRDefault="00413940" w:rsidP="00432D6B">
            <w:pPr>
              <w:jc w:val="center"/>
              <w:rPr>
                <w:rFonts w:ascii="Times New Roman" w:hAnsi="Times New Roman" w:cs="Times New Roman"/>
              </w:rPr>
            </w:pPr>
            <w:r>
              <w:rPr>
                <w:rFonts w:ascii="Times New Roman" w:hAnsi="Times New Roman" w:cs="Times New Roman"/>
              </w:rPr>
              <w:t>0.25</w:t>
            </w:r>
          </w:p>
        </w:tc>
        <w:tc>
          <w:tcPr>
            <w:tcW w:w="1726" w:type="dxa"/>
            <w:tcBorders>
              <w:left w:val="nil"/>
              <w:bottom w:val="single" w:sz="4" w:space="0" w:color="auto"/>
              <w:right w:val="nil"/>
            </w:tcBorders>
            <w:shd w:val="clear" w:color="auto" w:fill="auto"/>
            <w:noWrap/>
            <w:vAlign w:val="bottom"/>
          </w:tcPr>
          <w:p w14:paraId="5426A39A" w14:textId="77777777" w:rsidR="00413940" w:rsidRPr="007A78AF" w:rsidRDefault="00413940" w:rsidP="00432D6B">
            <w:pPr>
              <w:jc w:val="center"/>
              <w:rPr>
                <w:rFonts w:ascii="Times New Roman" w:hAnsi="Times New Roman" w:cs="Times New Roman"/>
              </w:rPr>
            </w:pPr>
            <w:r>
              <w:rPr>
                <w:rFonts w:ascii="Times New Roman" w:hAnsi="Times New Roman" w:cs="Times New Roman"/>
              </w:rPr>
              <w:t>0.27</w:t>
            </w:r>
          </w:p>
        </w:tc>
      </w:tr>
      <w:tr w:rsidR="00413940" w:rsidRPr="00C24933" w14:paraId="74152914" w14:textId="77777777" w:rsidTr="00432D6B">
        <w:trPr>
          <w:trHeight w:val="202"/>
        </w:trPr>
        <w:tc>
          <w:tcPr>
            <w:tcW w:w="2087" w:type="dxa"/>
            <w:tcBorders>
              <w:top w:val="single" w:sz="4" w:space="0" w:color="auto"/>
              <w:left w:val="nil"/>
              <w:bottom w:val="single" w:sz="4" w:space="0" w:color="auto"/>
              <w:right w:val="nil"/>
            </w:tcBorders>
            <w:shd w:val="clear" w:color="auto" w:fill="auto"/>
            <w:noWrap/>
            <w:vAlign w:val="bottom"/>
            <w:hideMark/>
          </w:tcPr>
          <w:p w14:paraId="00E81225" w14:textId="77777777" w:rsidR="00413940" w:rsidRPr="007A78AF" w:rsidRDefault="00413940" w:rsidP="00432D6B">
            <w:pPr>
              <w:rPr>
                <w:rFonts w:ascii="Times New Roman" w:hAnsi="Times New Roman" w:cs="Times New Roman"/>
              </w:rPr>
            </w:pPr>
            <w:r>
              <w:rPr>
                <w:rFonts w:ascii="Times New Roman" w:hAnsi="Times New Roman" w:cs="Times New Roman"/>
              </w:rPr>
              <w:t>Num.obs.</w:t>
            </w:r>
          </w:p>
        </w:tc>
        <w:tc>
          <w:tcPr>
            <w:tcW w:w="1726" w:type="dxa"/>
            <w:tcBorders>
              <w:top w:val="single" w:sz="4" w:space="0" w:color="auto"/>
              <w:left w:val="nil"/>
              <w:bottom w:val="single" w:sz="4" w:space="0" w:color="auto"/>
              <w:right w:val="nil"/>
            </w:tcBorders>
            <w:shd w:val="clear" w:color="auto" w:fill="auto"/>
            <w:noWrap/>
            <w:vAlign w:val="bottom"/>
            <w:hideMark/>
          </w:tcPr>
          <w:p w14:paraId="620CCF0F" w14:textId="77777777" w:rsidR="00413940" w:rsidRPr="007A78AF" w:rsidRDefault="00413940" w:rsidP="00432D6B">
            <w:pPr>
              <w:jc w:val="center"/>
              <w:rPr>
                <w:rFonts w:ascii="Times New Roman" w:hAnsi="Times New Roman" w:cs="Times New Roman"/>
              </w:rPr>
            </w:pPr>
            <w:r w:rsidRPr="007A78AF">
              <w:rPr>
                <w:rFonts w:ascii="Times New Roman" w:hAnsi="Times New Roman" w:cs="Times New Roman"/>
              </w:rPr>
              <w:t>366,152</w:t>
            </w:r>
          </w:p>
        </w:tc>
        <w:tc>
          <w:tcPr>
            <w:tcW w:w="1726" w:type="dxa"/>
            <w:tcBorders>
              <w:top w:val="single" w:sz="4" w:space="0" w:color="auto"/>
              <w:left w:val="nil"/>
              <w:bottom w:val="single" w:sz="4" w:space="0" w:color="auto"/>
              <w:right w:val="nil"/>
            </w:tcBorders>
            <w:shd w:val="clear" w:color="auto" w:fill="auto"/>
            <w:noWrap/>
            <w:vAlign w:val="bottom"/>
            <w:hideMark/>
          </w:tcPr>
          <w:p w14:paraId="20706671" w14:textId="77777777" w:rsidR="00413940" w:rsidRPr="007A78AF" w:rsidRDefault="00413940" w:rsidP="00432D6B">
            <w:pPr>
              <w:jc w:val="center"/>
              <w:rPr>
                <w:rFonts w:ascii="Times New Roman" w:hAnsi="Times New Roman" w:cs="Times New Roman"/>
              </w:rPr>
            </w:pPr>
            <w:r w:rsidRPr="007A78AF">
              <w:rPr>
                <w:rFonts w:ascii="Times New Roman" w:hAnsi="Times New Roman" w:cs="Times New Roman"/>
              </w:rPr>
              <w:t>366,152</w:t>
            </w:r>
          </w:p>
        </w:tc>
        <w:tc>
          <w:tcPr>
            <w:tcW w:w="1726" w:type="dxa"/>
            <w:tcBorders>
              <w:top w:val="single" w:sz="4" w:space="0" w:color="auto"/>
              <w:left w:val="nil"/>
              <w:bottom w:val="single" w:sz="4" w:space="0" w:color="auto"/>
              <w:right w:val="nil"/>
            </w:tcBorders>
            <w:shd w:val="clear" w:color="auto" w:fill="auto"/>
            <w:noWrap/>
            <w:vAlign w:val="bottom"/>
            <w:hideMark/>
          </w:tcPr>
          <w:p w14:paraId="1316C2E3" w14:textId="77777777" w:rsidR="00413940" w:rsidRPr="007A78AF" w:rsidRDefault="00413940" w:rsidP="00432D6B">
            <w:pPr>
              <w:jc w:val="center"/>
              <w:rPr>
                <w:rFonts w:ascii="Times New Roman" w:hAnsi="Times New Roman" w:cs="Times New Roman"/>
              </w:rPr>
            </w:pPr>
            <w:r w:rsidRPr="007A78AF">
              <w:rPr>
                <w:rFonts w:ascii="Times New Roman" w:hAnsi="Times New Roman" w:cs="Times New Roman"/>
              </w:rPr>
              <w:t>366,507</w:t>
            </w:r>
          </w:p>
        </w:tc>
        <w:tc>
          <w:tcPr>
            <w:tcW w:w="1726" w:type="dxa"/>
            <w:tcBorders>
              <w:top w:val="single" w:sz="4" w:space="0" w:color="auto"/>
              <w:left w:val="nil"/>
              <w:bottom w:val="single" w:sz="4" w:space="0" w:color="auto"/>
              <w:right w:val="nil"/>
            </w:tcBorders>
            <w:shd w:val="clear" w:color="auto" w:fill="auto"/>
            <w:noWrap/>
            <w:vAlign w:val="bottom"/>
            <w:hideMark/>
          </w:tcPr>
          <w:p w14:paraId="6B3F3D07" w14:textId="77777777" w:rsidR="00413940" w:rsidRPr="007A78AF" w:rsidRDefault="00413940" w:rsidP="00432D6B">
            <w:pPr>
              <w:jc w:val="center"/>
              <w:rPr>
                <w:rFonts w:ascii="Times New Roman" w:hAnsi="Times New Roman" w:cs="Times New Roman"/>
              </w:rPr>
            </w:pPr>
            <w:r w:rsidRPr="007A78AF">
              <w:rPr>
                <w:rFonts w:ascii="Times New Roman" w:hAnsi="Times New Roman" w:cs="Times New Roman"/>
              </w:rPr>
              <w:t>366,507</w:t>
            </w:r>
          </w:p>
        </w:tc>
      </w:tr>
    </w:tbl>
    <w:p w14:paraId="159F74FD" w14:textId="77777777" w:rsidR="00413940" w:rsidRPr="003558E2" w:rsidRDefault="00413940" w:rsidP="00413940">
      <w:pPr>
        <w:spacing w:after="0" w:line="360" w:lineRule="auto"/>
        <w:rPr>
          <w:rFonts w:cstheme="minorHAnsi"/>
          <w:b/>
          <w:bCs/>
          <w:sz w:val="24"/>
          <w:szCs w:val="24"/>
        </w:rPr>
      </w:pPr>
      <w:r w:rsidRPr="006C6551">
        <w:rPr>
          <w:rFonts w:ascii="Times New Roman" w:hAnsi="Times New Roman" w:cs="Times New Roman"/>
          <w:iCs/>
          <w:sz w:val="20"/>
          <w:szCs w:val="20"/>
        </w:rPr>
        <w:t xml:space="preserve">The numbers in parentheses are absolute </w:t>
      </w:r>
      <w:r w:rsidRPr="006C6551">
        <w:rPr>
          <w:rFonts w:ascii="Times New Roman" w:hAnsi="Times New Roman" w:cs="Times New Roman"/>
          <w:i/>
          <w:sz w:val="20"/>
          <w:szCs w:val="20"/>
        </w:rPr>
        <w:t>t</w:t>
      </w:r>
      <w:r w:rsidRPr="006C6551">
        <w:rPr>
          <w:rFonts w:ascii="Times New Roman" w:hAnsi="Times New Roman" w:cs="Times New Roman"/>
          <w:iCs/>
          <w:sz w:val="20"/>
          <w:szCs w:val="20"/>
        </w:rPr>
        <w:t xml:space="preserve">-statistics. This table reports the results of OLS regressions estimating the effect of </w:t>
      </w:r>
      <w:r>
        <w:rPr>
          <w:rFonts w:ascii="Times New Roman" w:hAnsi="Times New Roman" w:cs="Times New Roman"/>
          <w:iCs/>
          <w:sz w:val="20"/>
          <w:szCs w:val="20"/>
        </w:rPr>
        <w:t>innovation</w:t>
      </w:r>
      <w:r w:rsidRPr="006C6551">
        <w:rPr>
          <w:rFonts w:ascii="Times New Roman" w:hAnsi="Times New Roman" w:cs="Times New Roman"/>
          <w:iCs/>
          <w:sz w:val="20"/>
          <w:szCs w:val="20"/>
        </w:rPr>
        <w:t xml:space="preserve"> on </w:t>
      </w:r>
      <w:r>
        <w:rPr>
          <w:rFonts w:ascii="Times New Roman" w:hAnsi="Times New Roman" w:cs="Times New Roman"/>
          <w:iCs/>
          <w:sz w:val="20"/>
          <w:szCs w:val="20"/>
        </w:rPr>
        <w:t>technical efficiency post entropy matching</w:t>
      </w:r>
      <w:r w:rsidRPr="006C6551">
        <w:rPr>
          <w:rFonts w:ascii="Times New Roman" w:hAnsi="Times New Roman" w:cs="Times New Roman"/>
          <w:iCs/>
          <w:sz w:val="20"/>
          <w:szCs w:val="20"/>
        </w:rPr>
        <w:t xml:space="preserve">. </w:t>
      </w:r>
      <w:r w:rsidRPr="04FC83EA">
        <w:rPr>
          <w:rFonts w:ascii="Times New Roman" w:eastAsia="Times New Roman" w:hAnsi="Times New Roman" w:cs="Times New Roman"/>
          <w:color w:val="000000" w:themeColor="text1"/>
          <w:sz w:val="19"/>
          <w:szCs w:val="19"/>
        </w:rPr>
        <w:t>The dependent variable</w:t>
      </w:r>
      <w:r>
        <w:rPr>
          <w:rFonts w:ascii="Times New Roman" w:eastAsia="Times New Roman" w:hAnsi="Times New Roman" w:cs="Times New Roman"/>
          <w:color w:val="000000" w:themeColor="text1"/>
          <w:sz w:val="19"/>
          <w:szCs w:val="19"/>
        </w:rPr>
        <w:t xml:space="preserve">s are </w:t>
      </w:r>
      <w:r w:rsidRPr="00096E3B">
        <w:rPr>
          <w:rFonts w:ascii="Times New Roman" w:eastAsia="Times New Roman" w:hAnsi="Times New Roman" w:cs="Times New Roman"/>
          <w:i/>
          <w:iCs/>
          <w:color w:val="000000" w:themeColor="text1"/>
          <w:sz w:val="19"/>
          <w:szCs w:val="19"/>
        </w:rPr>
        <w:t>eff_buss</w:t>
      </w:r>
      <w:r>
        <w:rPr>
          <w:rFonts w:ascii="Times New Roman" w:eastAsia="Times New Roman" w:hAnsi="Times New Roman" w:cs="Times New Roman"/>
          <w:color w:val="000000" w:themeColor="text1"/>
          <w:sz w:val="19"/>
          <w:szCs w:val="19"/>
        </w:rPr>
        <w:t xml:space="preserve"> and </w:t>
      </w:r>
      <w:r w:rsidRPr="00096E3B">
        <w:rPr>
          <w:rFonts w:ascii="Times New Roman" w:eastAsia="Times New Roman" w:hAnsi="Times New Roman" w:cs="Times New Roman"/>
          <w:i/>
          <w:iCs/>
          <w:color w:val="000000" w:themeColor="text1"/>
          <w:sz w:val="19"/>
          <w:szCs w:val="19"/>
        </w:rPr>
        <w:t>eff_tech</w:t>
      </w:r>
      <w:r>
        <w:rPr>
          <w:rFonts w:ascii="Times New Roman" w:eastAsia="Times New Roman" w:hAnsi="Times New Roman" w:cs="Times New Roman"/>
          <w:color w:val="000000" w:themeColor="text1"/>
          <w:sz w:val="19"/>
          <w:szCs w:val="19"/>
        </w:rPr>
        <w:t xml:space="preserve"> which are the technical efficiency scores based on business skills and technical skills respectively along with the other inputs, generated from the stochastic frontier model. </w:t>
      </w:r>
      <w:r w:rsidRPr="04FC83EA">
        <w:rPr>
          <w:rFonts w:ascii="Times New Roman" w:eastAsia="Times New Roman" w:hAnsi="Times New Roman" w:cs="Times New Roman"/>
          <w:color w:val="000000" w:themeColor="text1"/>
          <w:sz w:val="19"/>
          <w:szCs w:val="19"/>
        </w:rPr>
        <w:t xml:space="preserve">The primary explanatory variable is </w:t>
      </w:r>
      <w:r>
        <w:rPr>
          <w:rFonts w:ascii="Times New Roman" w:eastAsia="Times New Roman" w:hAnsi="Times New Roman" w:cs="Times New Roman"/>
          <w:i/>
          <w:iCs/>
          <w:color w:val="000000" w:themeColor="text1"/>
          <w:sz w:val="19"/>
          <w:szCs w:val="19"/>
        </w:rPr>
        <w:t>innovation</w:t>
      </w:r>
      <w:r w:rsidRPr="04FC83EA">
        <w:rPr>
          <w:rFonts w:ascii="Times New Roman" w:eastAsia="Times New Roman" w:hAnsi="Times New Roman" w:cs="Times New Roman"/>
          <w:color w:val="000000" w:themeColor="text1"/>
          <w:sz w:val="19"/>
          <w:szCs w:val="19"/>
        </w:rPr>
        <w:t xml:space="preserve">, a binary indicator variable equal to one for companies that </w:t>
      </w:r>
      <w:r>
        <w:rPr>
          <w:rFonts w:ascii="Times New Roman" w:eastAsia="Times New Roman" w:hAnsi="Times New Roman" w:cs="Times New Roman"/>
          <w:color w:val="000000" w:themeColor="text1"/>
          <w:sz w:val="19"/>
          <w:szCs w:val="19"/>
        </w:rPr>
        <w:t>innovate</w:t>
      </w:r>
      <w:r w:rsidRPr="04FC83EA">
        <w:rPr>
          <w:rFonts w:ascii="Times New Roman" w:eastAsia="Times New Roman" w:hAnsi="Times New Roman" w:cs="Times New Roman"/>
          <w:color w:val="000000" w:themeColor="text1"/>
          <w:sz w:val="19"/>
          <w:szCs w:val="19"/>
        </w:rPr>
        <w:t>, and equal to zero otherwise</w:t>
      </w:r>
      <w:r>
        <w:rPr>
          <w:rFonts w:ascii="Times New Roman" w:hAnsi="Times New Roman" w:cs="Times New Roman"/>
          <w:iCs/>
          <w:sz w:val="20"/>
          <w:szCs w:val="20"/>
        </w:rPr>
        <w:t xml:space="preserve">. </w:t>
      </w:r>
      <w:r w:rsidRPr="006C6551">
        <w:rPr>
          <w:rFonts w:ascii="Times New Roman" w:hAnsi="Times New Roman" w:cs="Times New Roman"/>
          <w:iCs/>
          <w:sz w:val="20"/>
          <w:szCs w:val="20"/>
        </w:rPr>
        <w:t>Constants, age and size dummies are included in all regressions, but their coefficients are not reported for brevity.</w:t>
      </w:r>
      <w:r w:rsidRPr="006C6551">
        <w:rPr>
          <w:rFonts w:ascii="Times New Roman" w:hAnsi="Times New Roman" w:cs="Times New Roman"/>
          <w:iCs/>
          <w:sz w:val="20"/>
          <w:szCs w:val="20"/>
          <w:vertAlign w:val="superscript"/>
        </w:rPr>
        <w:t xml:space="preserve"> ***</w:t>
      </w:r>
      <w:r w:rsidRPr="006C6551">
        <w:rPr>
          <w:rFonts w:ascii="Times New Roman" w:hAnsi="Times New Roman" w:cs="Times New Roman"/>
          <w:iCs/>
          <w:sz w:val="20"/>
          <w:szCs w:val="20"/>
        </w:rPr>
        <w:t>,</w:t>
      </w:r>
      <w:r w:rsidRPr="006C6551">
        <w:rPr>
          <w:rFonts w:ascii="Times New Roman" w:hAnsi="Times New Roman" w:cs="Times New Roman"/>
          <w:iCs/>
          <w:sz w:val="20"/>
          <w:szCs w:val="20"/>
          <w:vertAlign w:val="superscript"/>
        </w:rPr>
        <w:t>**</w:t>
      </w:r>
      <w:r w:rsidRPr="006C6551">
        <w:rPr>
          <w:rFonts w:ascii="Times New Roman" w:hAnsi="Times New Roman" w:cs="Times New Roman"/>
          <w:iCs/>
          <w:sz w:val="20"/>
          <w:szCs w:val="20"/>
        </w:rPr>
        <w:t xml:space="preserve"> and </w:t>
      </w:r>
      <w:r w:rsidRPr="006C6551">
        <w:rPr>
          <w:rFonts w:ascii="Times New Roman" w:hAnsi="Times New Roman" w:cs="Times New Roman"/>
          <w:iCs/>
          <w:sz w:val="20"/>
          <w:szCs w:val="20"/>
          <w:vertAlign w:val="superscript"/>
        </w:rPr>
        <w:t>*</w:t>
      </w:r>
      <w:r w:rsidRPr="006C6551">
        <w:rPr>
          <w:rFonts w:ascii="Times New Roman" w:hAnsi="Times New Roman" w:cs="Times New Roman"/>
          <w:iCs/>
          <w:sz w:val="20"/>
          <w:szCs w:val="20"/>
        </w:rPr>
        <w:t xml:space="preserve"> signify statistical significance at the 1%, 5% and 10% levels.</w:t>
      </w:r>
      <w:r w:rsidRPr="006C6551">
        <w:rPr>
          <w:rFonts w:ascii="Times New Roman" w:eastAsia="Times New Roman" w:hAnsi="Times New Roman" w:cs="Times New Roman"/>
          <w:color w:val="000000"/>
          <w:sz w:val="19"/>
          <w:szCs w:val="19"/>
          <w:lang w:eastAsia="en-GB"/>
        </w:rPr>
        <w:t xml:space="preserve"> </w:t>
      </w:r>
      <w:r w:rsidRPr="006C6551">
        <w:rPr>
          <w:rFonts w:ascii="Times New Roman" w:hAnsi="Times New Roman" w:cs="Times New Roman"/>
          <w:iCs/>
          <w:sz w:val="20"/>
          <w:szCs w:val="20"/>
        </w:rPr>
        <w:t>Standard errors are clustered by company</w:t>
      </w:r>
      <w:r>
        <w:rPr>
          <w:rFonts w:ascii="Times New Roman" w:hAnsi="Times New Roman" w:cs="Times New Roman"/>
          <w:iCs/>
          <w:sz w:val="20"/>
          <w:szCs w:val="20"/>
        </w:rPr>
        <w:t>.</w:t>
      </w:r>
    </w:p>
    <w:p w14:paraId="2157BA1F" w14:textId="77777777" w:rsidR="00413940" w:rsidRPr="00C24933" w:rsidRDefault="00413940" w:rsidP="00413940">
      <w:pPr>
        <w:rPr>
          <w:rFonts w:ascii="Times New Roman" w:hAnsi="Times New Roman" w:cs="Times New Roman"/>
        </w:rPr>
      </w:pPr>
    </w:p>
    <w:p w14:paraId="4570435C" w14:textId="69557858" w:rsidR="00413940" w:rsidRDefault="00413940" w:rsidP="00395457">
      <w:pPr>
        <w:spacing w:after="0" w:line="360" w:lineRule="auto"/>
        <w:jc w:val="both"/>
        <w:rPr>
          <w:rFonts w:cstheme="minorHAnsi"/>
          <w:b/>
          <w:bCs/>
          <w:sz w:val="24"/>
          <w:szCs w:val="24"/>
        </w:rPr>
      </w:pPr>
    </w:p>
    <w:p w14:paraId="0EF6AD33" w14:textId="285F4037" w:rsidR="004D6A30" w:rsidRDefault="004D6A30" w:rsidP="00395457">
      <w:pPr>
        <w:spacing w:after="0" w:line="360" w:lineRule="auto"/>
        <w:jc w:val="both"/>
        <w:rPr>
          <w:rFonts w:cstheme="minorHAnsi"/>
          <w:b/>
          <w:bCs/>
          <w:sz w:val="24"/>
          <w:szCs w:val="24"/>
        </w:rPr>
      </w:pPr>
    </w:p>
    <w:p w14:paraId="692F4AC8" w14:textId="77777777" w:rsidR="004D6A30" w:rsidRPr="00395457" w:rsidRDefault="004D6A30" w:rsidP="00395457">
      <w:pPr>
        <w:spacing w:after="0" w:line="360" w:lineRule="auto"/>
        <w:jc w:val="both"/>
        <w:rPr>
          <w:rFonts w:cstheme="minorHAnsi"/>
          <w:b/>
          <w:bCs/>
          <w:sz w:val="24"/>
          <w:szCs w:val="24"/>
        </w:rPr>
      </w:pPr>
    </w:p>
    <w:p w14:paraId="26CA88C5" w14:textId="483032D6" w:rsidR="004A2DE4" w:rsidRDefault="004A2DE4" w:rsidP="004A4FB5">
      <w:pPr>
        <w:spacing w:after="0" w:line="360" w:lineRule="auto"/>
        <w:rPr>
          <w:rFonts w:cstheme="minorHAnsi"/>
          <w:b/>
          <w:bCs/>
          <w:sz w:val="24"/>
          <w:szCs w:val="24"/>
        </w:rPr>
      </w:pPr>
    </w:p>
    <w:p w14:paraId="611309CD" w14:textId="241F5264" w:rsidR="00964628" w:rsidRPr="00964628" w:rsidRDefault="00964628" w:rsidP="00964628">
      <w:pPr>
        <w:pStyle w:val="ListParagraph"/>
        <w:numPr>
          <w:ilvl w:val="1"/>
          <w:numId w:val="1"/>
        </w:numPr>
        <w:spacing w:after="0" w:line="360" w:lineRule="auto"/>
        <w:rPr>
          <w:rFonts w:cstheme="minorHAnsi"/>
          <w:b/>
          <w:bCs/>
          <w:sz w:val="24"/>
          <w:szCs w:val="24"/>
        </w:rPr>
      </w:pPr>
      <w:r w:rsidRPr="00964628">
        <w:rPr>
          <w:rFonts w:cstheme="minorHAnsi"/>
          <w:b/>
          <w:bCs/>
          <w:sz w:val="24"/>
          <w:szCs w:val="24"/>
        </w:rPr>
        <w:t xml:space="preserve">R&amp;D Expenditure Activities </w:t>
      </w:r>
    </w:p>
    <w:p w14:paraId="326BDD02" w14:textId="215ACC75" w:rsidR="00964628" w:rsidRDefault="00964628" w:rsidP="00D71052">
      <w:pPr>
        <w:spacing w:after="0" w:line="360" w:lineRule="auto"/>
        <w:ind w:firstLine="720"/>
        <w:jc w:val="both"/>
        <w:rPr>
          <w:rFonts w:cstheme="minorHAnsi"/>
          <w:sz w:val="24"/>
          <w:szCs w:val="24"/>
        </w:rPr>
      </w:pPr>
      <w:r>
        <w:rPr>
          <w:rFonts w:cstheme="minorHAnsi"/>
          <w:sz w:val="24"/>
          <w:szCs w:val="24"/>
        </w:rPr>
        <w:t xml:space="preserve">As mentioned earlier in the introduction that </w:t>
      </w:r>
      <w:r w:rsidRPr="003558E2">
        <w:rPr>
          <w:rFonts w:cstheme="minorHAnsi"/>
          <w:sz w:val="24"/>
          <w:szCs w:val="24"/>
        </w:rPr>
        <w:t>Australian business sector expenditure on R&amp;D</w:t>
      </w:r>
      <w:r>
        <w:rPr>
          <w:rFonts w:cstheme="minorHAnsi"/>
          <w:sz w:val="24"/>
          <w:szCs w:val="24"/>
        </w:rPr>
        <w:t xml:space="preserve"> </w:t>
      </w:r>
      <w:r w:rsidRPr="003558E2">
        <w:rPr>
          <w:rFonts w:cstheme="minorHAnsi"/>
          <w:sz w:val="24"/>
          <w:szCs w:val="24"/>
        </w:rPr>
        <w:t>has been at or below OECD averages for most of the past two decades</w:t>
      </w:r>
      <w:r>
        <w:rPr>
          <w:rFonts w:cstheme="minorHAnsi"/>
          <w:sz w:val="24"/>
          <w:szCs w:val="24"/>
        </w:rPr>
        <w:t xml:space="preserve">, we briefly </w:t>
      </w:r>
      <w:r>
        <w:rPr>
          <w:rFonts w:cstheme="minorHAnsi"/>
          <w:sz w:val="24"/>
          <w:szCs w:val="24"/>
        </w:rPr>
        <w:lastRenderedPageBreak/>
        <w:t xml:space="preserve">focus on examining research and development (R&amp;D) expenditure activities identified in BLADE during the period 2006 to 2018 to provide additional understanding of the </w:t>
      </w:r>
      <w:r w:rsidR="007152E9">
        <w:rPr>
          <w:rFonts w:cstheme="minorHAnsi"/>
          <w:sz w:val="24"/>
          <w:szCs w:val="24"/>
        </w:rPr>
        <w:t xml:space="preserve">link between innovation and </w:t>
      </w:r>
      <w:r>
        <w:rPr>
          <w:rFonts w:cstheme="minorHAnsi"/>
          <w:sz w:val="24"/>
          <w:szCs w:val="24"/>
        </w:rPr>
        <w:t xml:space="preserve">technical efficiency </w:t>
      </w:r>
      <w:r w:rsidR="007152E9">
        <w:rPr>
          <w:rFonts w:cstheme="minorHAnsi"/>
          <w:sz w:val="24"/>
          <w:szCs w:val="24"/>
        </w:rPr>
        <w:t>in</w:t>
      </w:r>
      <w:r>
        <w:rPr>
          <w:rFonts w:cstheme="minorHAnsi"/>
          <w:sz w:val="24"/>
          <w:szCs w:val="24"/>
        </w:rPr>
        <w:t xml:space="preserve"> private companies.  Our analysis reveals that on average around six per cent of private companies annually claim tax deductions based on R&amp;D expenditures, but since 2006 these activities have declined by 9.2 per cent over the 13-year period (see Figures 3).  While there was growth in the number of companies claiming tax deductions on R&amp;D expenditure activities between 2008 and 2011 during the R&amp;D tax concession program, these activities declined under the R&amp;D tax incentive program that was introduced in 2011, hence the significant decline of 119.14 per cent in R&amp;D expenditure activities observed in 2012 during the first year of the tax incentive program.    </w:t>
      </w:r>
    </w:p>
    <w:p w14:paraId="4CDB4E43" w14:textId="77777777" w:rsidR="00964628" w:rsidRDefault="00964628" w:rsidP="00964628">
      <w:pPr>
        <w:spacing w:after="0" w:line="360" w:lineRule="auto"/>
        <w:ind w:firstLine="720"/>
        <w:rPr>
          <w:rFonts w:cstheme="minorHAnsi"/>
          <w:sz w:val="24"/>
          <w:szCs w:val="24"/>
        </w:rPr>
      </w:pPr>
    </w:p>
    <w:p w14:paraId="6F0A5FE7" w14:textId="25139CC5" w:rsidR="00964628" w:rsidRDefault="00E838CC" w:rsidP="00964628">
      <w:pPr>
        <w:spacing w:after="0" w:line="360" w:lineRule="auto"/>
        <w:rPr>
          <w:rFonts w:cstheme="minorHAnsi"/>
          <w:sz w:val="24"/>
          <w:szCs w:val="24"/>
        </w:rPr>
      </w:pPr>
      <w:r>
        <w:rPr>
          <w:noProof/>
        </w:rPr>
        <w:drawing>
          <wp:inline distT="0" distB="0" distL="0" distR="0" wp14:anchorId="095CC103" wp14:editId="27B0D4D0">
            <wp:extent cx="6191250" cy="3448050"/>
            <wp:effectExtent l="0" t="0" r="0" b="0"/>
            <wp:docPr id="6" name="Chart 6" descr="Figure 3. Proportion of Australian SME’s Annual R&amp;D Expenditure Activities: 2006-2018, described above.">
              <a:extLst xmlns:a="http://schemas.openxmlformats.org/drawingml/2006/main">
                <a:ext uri="{FF2B5EF4-FFF2-40B4-BE49-F238E27FC236}">
                  <a16:creationId xmlns:a16="http://schemas.microsoft.com/office/drawing/2014/main" id="{4FED8DC0-F037-4C6E-95B7-597B9DCAD3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0E1A60" w14:textId="683E8608" w:rsidR="00964628" w:rsidRPr="00F52736" w:rsidRDefault="00964628" w:rsidP="00964628">
      <w:pPr>
        <w:spacing w:after="0" w:line="360" w:lineRule="auto"/>
        <w:rPr>
          <w:rFonts w:cstheme="minorHAnsi"/>
          <w:b/>
          <w:bCs/>
        </w:rPr>
      </w:pPr>
      <w:r w:rsidRPr="00F52736">
        <w:rPr>
          <w:rFonts w:cstheme="minorHAnsi"/>
          <w:b/>
          <w:bCs/>
        </w:rPr>
        <w:t xml:space="preserve">Figure </w:t>
      </w:r>
      <w:r>
        <w:rPr>
          <w:rFonts w:cstheme="minorHAnsi"/>
          <w:b/>
          <w:bCs/>
        </w:rPr>
        <w:t>3</w:t>
      </w:r>
      <w:r w:rsidRPr="00F52736">
        <w:rPr>
          <w:rFonts w:cstheme="minorHAnsi"/>
          <w:b/>
          <w:bCs/>
        </w:rPr>
        <w:t>.</w:t>
      </w:r>
      <w:r w:rsidR="00634FD6">
        <w:rPr>
          <w:rFonts w:cstheme="minorHAnsi"/>
          <w:b/>
          <w:bCs/>
        </w:rPr>
        <w:t xml:space="preserve"> Proportion of Australian SME’s Annual </w:t>
      </w:r>
      <w:r>
        <w:rPr>
          <w:rFonts w:cstheme="minorHAnsi"/>
          <w:b/>
          <w:bCs/>
        </w:rPr>
        <w:t>R&amp;D Expenditure Activities</w:t>
      </w:r>
      <w:r w:rsidRPr="00F52736">
        <w:rPr>
          <w:rFonts w:cstheme="minorHAnsi"/>
          <w:b/>
          <w:bCs/>
        </w:rPr>
        <w:t>: 2006-2018</w:t>
      </w:r>
    </w:p>
    <w:p w14:paraId="48CC81DC" w14:textId="77777777" w:rsidR="00964628" w:rsidRDefault="00964628" w:rsidP="00964628">
      <w:pPr>
        <w:spacing w:after="0" w:line="360" w:lineRule="auto"/>
        <w:ind w:firstLine="720"/>
        <w:rPr>
          <w:rFonts w:cstheme="minorHAnsi"/>
          <w:sz w:val="24"/>
          <w:szCs w:val="24"/>
        </w:rPr>
      </w:pPr>
    </w:p>
    <w:p w14:paraId="4416BFA6" w14:textId="14562B6C" w:rsidR="00964628" w:rsidRDefault="00964628" w:rsidP="00D71052">
      <w:pPr>
        <w:spacing w:after="0" w:line="360" w:lineRule="auto"/>
        <w:ind w:firstLine="720"/>
        <w:jc w:val="both"/>
        <w:rPr>
          <w:rFonts w:cstheme="minorHAnsi"/>
          <w:sz w:val="24"/>
          <w:szCs w:val="24"/>
        </w:rPr>
      </w:pPr>
      <w:r>
        <w:rPr>
          <w:rFonts w:cstheme="minorHAnsi"/>
          <w:sz w:val="24"/>
          <w:szCs w:val="24"/>
        </w:rPr>
        <w:t xml:space="preserve">Of the 43,127 entities on average that annually reveal R&amp;D expenditures, around 17 per cent are large private companies, 11.2 per cent are medium size, 5.9 percent are small and 1.9 per cent are micro-businesses.  With respect to age of private company, 8.2 per cent are classified old, 12.8 per cent mature, 11.8 per cent young and 4.0 per cent startup.  The industry sectors that report the highest proportions of companies with R&amp;D expenditures are </w:t>
      </w:r>
      <w:r>
        <w:rPr>
          <w:rFonts w:cstheme="minorHAnsi"/>
          <w:sz w:val="24"/>
          <w:szCs w:val="24"/>
        </w:rPr>
        <w:lastRenderedPageBreak/>
        <w:t xml:space="preserve">the Manufacturing (19.3%), </w:t>
      </w:r>
      <w:r w:rsidRPr="004F4CD9">
        <w:rPr>
          <w:rFonts w:cstheme="minorHAnsi"/>
          <w:sz w:val="24"/>
          <w:szCs w:val="24"/>
        </w:rPr>
        <w:t xml:space="preserve">Professional, Scientific and Technical Services </w:t>
      </w:r>
      <w:r>
        <w:rPr>
          <w:rFonts w:cstheme="minorHAnsi"/>
          <w:sz w:val="24"/>
          <w:szCs w:val="24"/>
        </w:rPr>
        <w:t xml:space="preserve">(16.1%) and </w:t>
      </w:r>
      <w:r w:rsidRPr="00B47E40">
        <w:rPr>
          <w:rFonts w:cstheme="minorHAnsi"/>
          <w:sz w:val="24"/>
          <w:szCs w:val="24"/>
        </w:rPr>
        <w:t>Electricity, Water and Waste Service</w:t>
      </w:r>
      <w:r>
        <w:rPr>
          <w:rFonts w:cstheme="minorHAnsi"/>
          <w:sz w:val="24"/>
          <w:szCs w:val="24"/>
        </w:rPr>
        <w:t>s</w:t>
      </w:r>
      <w:r w:rsidRPr="00B47E40">
        <w:rPr>
          <w:rFonts w:cstheme="minorHAnsi"/>
          <w:sz w:val="24"/>
          <w:szCs w:val="24"/>
        </w:rPr>
        <w:t xml:space="preserve"> </w:t>
      </w:r>
      <w:r>
        <w:rPr>
          <w:rFonts w:cstheme="minorHAnsi"/>
          <w:sz w:val="24"/>
          <w:szCs w:val="24"/>
        </w:rPr>
        <w:t xml:space="preserve">(11.4%). </w:t>
      </w:r>
    </w:p>
    <w:p w14:paraId="7C1B1A4C" w14:textId="36CCDEA7" w:rsidR="00AC760E" w:rsidRDefault="00AC760E" w:rsidP="004A4FB5">
      <w:pPr>
        <w:spacing w:after="0" w:line="360" w:lineRule="auto"/>
        <w:rPr>
          <w:rFonts w:cstheme="minorHAnsi"/>
          <w:b/>
          <w:bCs/>
          <w:sz w:val="24"/>
          <w:szCs w:val="24"/>
        </w:rPr>
      </w:pPr>
    </w:p>
    <w:p w14:paraId="4E4B8B0E" w14:textId="00CD9374" w:rsidR="00AC760E" w:rsidRPr="00366AED" w:rsidRDefault="00AC760E" w:rsidP="00964628">
      <w:pPr>
        <w:pStyle w:val="ListParagraph"/>
        <w:numPr>
          <w:ilvl w:val="1"/>
          <w:numId w:val="1"/>
        </w:numPr>
        <w:spacing w:after="0" w:line="360" w:lineRule="auto"/>
        <w:rPr>
          <w:rFonts w:cstheme="minorHAnsi"/>
          <w:b/>
          <w:bCs/>
          <w:sz w:val="24"/>
          <w:szCs w:val="24"/>
        </w:rPr>
      </w:pPr>
      <w:r w:rsidRPr="00366AED">
        <w:rPr>
          <w:rFonts w:cstheme="minorHAnsi"/>
          <w:b/>
          <w:bCs/>
          <w:sz w:val="24"/>
          <w:szCs w:val="24"/>
        </w:rPr>
        <w:t xml:space="preserve">Regression Models of </w:t>
      </w:r>
      <w:r w:rsidR="00366AED">
        <w:rPr>
          <w:rFonts w:cstheme="minorHAnsi"/>
          <w:b/>
          <w:bCs/>
          <w:sz w:val="24"/>
          <w:szCs w:val="24"/>
        </w:rPr>
        <w:t>R&amp;D Inputs and Outcomes</w:t>
      </w:r>
    </w:p>
    <w:p w14:paraId="0E287DB6" w14:textId="5B4E388C" w:rsidR="00EF5969" w:rsidRPr="003315F9" w:rsidRDefault="00817CD6" w:rsidP="003315F9">
      <w:pPr>
        <w:spacing w:after="0" w:line="360" w:lineRule="auto"/>
        <w:ind w:firstLine="720"/>
        <w:rPr>
          <w:rFonts w:cstheme="minorHAnsi"/>
          <w:sz w:val="24"/>
          <w:szCs w:val="24"/>
        </w:rPr>
      </w:pPr>
      <w:r>
        <w:rPr>
          <w:rFonts w:cstheme="minorHAnsi"/>
          <w:sz w:val="24"/>
          <w:szCs w:val="24"/>
        </w:rPr>
        <w:t xml:space="preserve">We discussed earlier in this report that </w:t>
      </w:r>
      <w:r w:rsidRPr="003558E2">
        <w:rPr>
          <w:rFonts w:cstheme="minorHAnsi"/>
          <w:sz w:val="24"/>
          <w:szCs w:val="24"/>
        </w:rPr>
        <w:t>SMEs operate under different constraints compared to large firms</w:t>
      </w:r>
      <w:r w:rsidR="003315F9">
        <w:rPr>
          <w:rFonts w:cstheme="minorHAnsi"/>
          <w:sz w:val="24"/>
          <w:szCs w:val="24"/>
        </w:rPr>
        <w:t xml:space="preserve">. </w:t>
      </w:r>
      <w:r w:rsidR="000F77D3">
        <w:rPr>
          <w:rFonts w:cstheme="minorHAnsi"/>
          <w:sz w:val="24"/>
          <w:szCs w:val="24"/>
        </w:rPr>
        <w:t>The research literature argues (e.g., Coad et al., 2014) that t</w:t>
      </w:r>
      <w:r w:rsidRPr="00817CD6">
        <w:rPr>
          <w:rFonts w:cstheme="minorHAnsi"/>
          <w:sz w:val="24"/>
          <w:szCs w:val="24"/>
        </w:rPr>
        <w:t>o successfully exploit innovation opportunities, firms</w:t>
      </w:r>
      <w:r>
        <w:rPr>
          <w:rFonts w:cstheme="minorHAnsi"/>
          <w:sz w:val="24"/>
          <w:szCs w:val="24"/>
        </w:rPr>
        <w:t xml:space="preserve"> </w:t>
      </w:r>
      <w:r w:rsidRPr="00817CD6">
        <w:rPr>
          <w:rFonts w:cstheme="minorHAnsi"/>
          <w:sz w:val="24"/>
          <w:szCs w:val="24"/>
        </w:rPr>
        <w:t>need the right combination of financial and human capital resources.</w:t>
      </w:r>
      <w:r w:rsidR="003315F9">
        <w:rPr>
          <w:rFonts w:cstheme="minorHAnsi"/>
          <w:sz w:val="24"/>
          <w:szCs w:val="24"/>
        </w:rPr>
        <w:t xml:space="preserve"> But as these two resources are often in short supply </w:t>
      </w:r>
      <w:r w:rsidR="008A72B0">
        <w:rPr>
          <w:rFonts w:cstheme="minorHAnsi"/>
          <w:sz w:val="24"/>
          <w:szCs w:val="24"/>
        </w:rPr>
        <w:t>among</w:t>
      </w:r>
      <w:r w:rsidRPr="00817CD6">
        <w:rPr>
          <w:rFonts w:cstheme="minorHAnsi"/>
          <w:sz w:val="24"/>
          <w:szCs w:val="24"/>
        </w:rPr>
        <w:t xml:space="preserve"> SMEs</w:t>
      </w:r>
      <w:r w:rsidR="003315F9">
        <w:rPr>
          <w:rFonts w:cstheme="minorHAnsi"/>
          <w:sz w:val="24"/>
          <w:szCs w:val="24"/>
        </w:rPr>
        <w:t xml:space="preserve">, due to constraints associated with the “liability of smallness” (Aldrich &amp; Auster, 1986), </w:t>
      </w:r>
      <w:r w:rsidR="000C4A88">
        <w:rPr>
          <w:rFonts w:cstheme="minorHAnsi"/>
          <w:sz w:val="24"/>
          <w:szCs w:val="24"/>
        </w:rPr>
        <w:t xml:space="preserve">we argue </w:t>
      </w:r>
      <w:r w:rsidR="008A72B0">
        <w:rPr>
          <w:rFonts w:cstheme="minorHAnsi"/>
          <w:sz w:val="24"/>
          <w:szCs w:val="24"/>
        </w:rPr>
        <w:t xml:space="preserve">external </w:t>
      </w:r>
      <w:r w:rsidR="000C4A88">
        <w:rPr>
          <w:rFonts w:cstheme="minorHAnsi"/>
          <w:sz w:val="24"/>
          <w:szCs w:val="24"/>
        </w:rPr>
        <w:t>collaboration</w:t>
      </w:r>
      <w:r w:rsidR="008A72B0">
        <w:rPr>
          <w:rFonts w:cstheme="minorHAnsi"/>
          <w:sz w:val="24"/>
          <w:szCs w:val="24"/>
        </w:rPr>
        <w:t>s</w:t>
      </w:r>
      <w:r w:rsidR="00D028CE">
        <w:rPr>
          <w:rFonts w:cstheme="minorHAnsi"/>
          <w:sz w:val="24"/>
          <w:szCs w:val="24"/>
        </w:rPr>
        <w:t xml:space="preserve"> </w:t>
      </w:r>
      <w:r w:rsidR="003315F9">
        <w:rPr>
          <w:rFonts w:cstheme="minorHAnsi"/>
          <w:sz w:val="24"/>
          <w:szCs w:val="24"/>
        </w:rPr>
        <w:t>can be</w:t>
      </w:r>
      <w:r w:rsidR="00D028CE">
        <w:rPr>
          <w:rFonts w:cstheme="minorHAnsi"/>
          <w:sz w:val="24"/>
          <w:szCs w:val="24"/>
        </w:rPr>
        <w:t xml:space="preserve"> important for innovation and R&amp;D</w:t>
      </w:r>
      <w:r w:rsidR="008A72B0">
        <w:rPr>
          <w:rFonts w:cstheme="minorHAnsi"/>
          <w:sz w:val="24"/>
          <w:szCs w:val="24"/>
        </w:rPr>
        <w:t xml:space="preserve">, and </w:t>
      </w:r>
      <w:r w:rsidR="008C43CD">
        <w:rPr>
          <w:rFonts w:cstheme="minorHAnsi"/>
          <w:sz w:val="24"/>
          <w:szCs w:val="24"/>
        </w:rPr>
        <w:t xml:space="preserve">that </w:t>
      </w:r>
      <w:r w:rsidR="008A72B0">
        <w:rPr>
          <w:rFonts w:cstheme="minorHAnsi"/>
          <w:sz w:val="24"/>
          <w:szCs w:val="24"/>
        </w:rPr>
        <w:t xml:space="preserve">these external collaborations </w:t>
      </w:r>
      <w:r w:rsidR="00D028CE">
        <w:rPr>
          <w:rFonts w:cstheme="minorHAnsi"/>
          <w:sz w:val="24"/>
          <w:szCs w:val="24"/>
        </w:rPr>
        <w:t xml:space="preserve">can </w:t>
      </w:r>
      <w:r>
        <w:rPr>
          <w:rFonts w:cstheme="minorHAnsi"/>
          <w:sz w:val="24"/>
          <w:szCs w:val="24"/>
        </w:rPr>
        <w:t>be translated into productivity</w:t>
      </w:r>
      <w:r w:rsidR="008A72B0">
        <w:rPr>
          <w:rFonts w:cstheme="minorHAnsi"/>
          <w:sz w:val="24"/>
          <w:szCs w:val="24"/>
        </w:rPr>
        <w:t xml:space="preserve"> gains</w:t>
      </w:r>
      <w:r>
        <w:rPr>
          <w:rFonts w:cstheme="minorHAnsi"/>
          <w:sz w:val="24"/>
          <w:szCs w:val="24"/>
        </w:rPr>
        <w:t xml:space="preserve">. </w:t>
      </w:r>
    </w:p>
    <w:p w14:paraId="4F603609" w14:textId="4F5303E9" w:rsidR="04FC83EA" w:rsidRPr="007E32AE" w:rsidRDefault="04FC83EA" w:rsidP="007E32AE">
      <w:pPr>
        <w:spacing w:after="0" w:line="360" w:lineRule="auto"/>
        <w:ind w:firstLine="720"/>
        <w:rPr>
          <w:rFonts w:cstheme="minorHAnsi"/>
          <w:sz w:val="24"/>
          <w:szCs w:val="24"/>
        </w:rPr>
      </w:pPr>
      <w:r w:rsidRPr="007E32AE">
        <w:rPr>
          <w:rFonts w:eastAsia="Times New Roman" w:cstheme="minorHAnsi"/>
          <w:sz w:val="24"/>
          <w:szCs w:val="24"/>
        </w:rPr>
        <w:t xml:space="preserve">To provide evidence to our argument that investment in </w:t>
      </w:r>
      <w:r w:rsidR="008A72B0">
        <w:rPr>
          <w:rFonts w:eastAsia="Times New Roman" w:cstheme="minorHAnsi"/>
          <w:sz w:val="24"/>
          <w:szCs w:val="24"/>
        </w:rPr>
        <w:t xml:space="preserve">external </w:t>
      </w:r>
      <w:r w:rsidRPr="007E32AE">
        <w:rPr>
          <w:rFonts w:eastAsia="Times New Roman" w:cstheme="minorHAnsi"/>
          <w:sz w:val="24"/>
          <w:szCs w:val="24"/>
        </w:rPr>
        <w:t>collaboration</w:t>
      </w:r>
      <w:r w:rsidR="008A72B0">
        <w:rPr>
          <w:rFonts w:eastAsia="Times New Roman" w:cstheme="minorHAnsi"/>
          <w:sz w:val="24"/>
          <w:szCs w:val="24"/>
        </w:rPr>
        <w:t>s</w:t>
      </w:r>
      <w:r w:rsidRPr="007E32AE">
        <w:rPr>
          <w:rFonts w:eastAsia="Times New Roman" w:cstheme="minorHAnsi"/>
          <w:sz w:val="24"/>
          <w:szCs w:val="24"/>
        </w:rPr>
        <w:t xml:space="preserve"> can support innovation and research, we examine the empirical association between </w:t>
      </w:r>
      <w:r w:rsidR="008A72B0">
        <w:rPr>
          <w:rFonts w:eastAsia="Times New Roman" w:cstheme="minorHAnsi"/>
          <w:sz w:val="24"/>
          <w:szCs w:val="24"/>
        </w:rPr>
        <w:t xml:space="preserve">external </w:t>
      </w:r>
      <w:r w:rsidRPr="007E32AE">
        <w:rPr>
          <w:rFonts w:eastAsia="Times New Roman" w:cstheme="minorHAnsi"/>
          <w:sz w:val="24"/>
          <w:szCs w:val="24"/>
        </w:rPr>
        <w:t xml:space="preserve">collaboration and both research inputs and outcomes. The analysis makes use of two measures of </w:t>
      </w:r>
      <w:r w:rsidR="008A72B0">
        <w:rPr>
          <w:rFonts w:eastAsia="Times New Roman" w:cstheme="minorHAnsi"/>
          <w:sz w:val="24"/>
          <w:szCs w:val="24"/>
        </w:rPr>
        <w:t xml:space="preserve">external </w:t>
      </w:r>
      <w:r w:rsidRPr="007E32AE">
        <w:rPr>
          <w:rFonts w:eastAsia="Times New Roman" w:cstheme="minorHAnsi"/>
          <w:sz w:val="24"/>
          <w:szCs w:val="24"/>
        </w:rPr>
        <w:t xml:space="preserve">collaboration provided in </w:t>
      </w:r>
      <w:r w:rsidR="00F17DEA">
        <w:rPr>
          <w:rFonts w:eastAsia="Times New Roman" w:cstheme="minorHAnsi"/>
          <w:sz w:val="24"/>
          <w:szCs w:val="24"/>
        </w:rPr>
        <w:t xml:space="preserve">the </w:t>
      </w:r>
      <w:r w:rsidRPr="007E32AE">
        <w:rPr>
          <w:rFonts w:eastAsia="Times New Roman" w:cstheme="minorHAnsi"/>
          <w:sz w:val="24"/>
          <w:szCs w:val="24"/>
        </w:rPr>
        <w:t xml:space="preserve">ABS BLADE data. The first measure of </w:t>
      </w:r>
      <w:r w:rsidR="008A72B0">
        <w:rPr>
          <w:rFonts w:eastAsia="Times New Roman" w:cstheme="minorHAnsi"/>
          <w:sz w:val="24"/>
          <w:szCs w:val="24"/>
        </w:rPr>
        <w:t xml:space="preserve">external </w:t>
      </w:r>
      <w:r w:rsidRPr="007E32AE">
        <w:rPr>
          <w:rFonts w:eastAsia="Times New Roman" w:cstheme="minorHAnsi"/>
          <w:sz w:val="24"/>
          <w:szCs w:val="24"/>
        </w:rPr>
        <w:t xml:space="preserve">collaboration is </w:t>
      </w:r>
      <w:r w:rsidRPr="007E32AE">
        <w:rPr>
          <w:rFonts w:eastAsia="Times New Roman" w:cstheme="minorHAnsi"/>
          <w:i/>
          <w:iCs/>
          <w:sz w:val="24"/>
          <w:szCs w:val="24"/>
        </w:rPr>
        <w:t>coopjres_bcs</w:t>
      </w:r>
      <w:r w:rsidRPr="007E32AE">
        <w:rPr>
          <w:rFonts w:eastAsia="Times New Roman" w:cstheme="minorHAnsi"/>
          <w:sz w:val="24"/>
          <w:szCs w:val="24"/>
        </w:rPr>
        <w:t xml:space="preserve">, which reflects companies that self-report on the ABS Business Characteristics Survey engagement in </w:t>
      </w:r>
      <w:r w:rsidR="008A72B0">
        <w:rPr>
          <w:rFonts w:eastAsia="Times New Roman" w:cstheme="minorHAnsi"/>
          <w:sz w:val="24"/>
          <w:szCs w:val="24"/>
        </w:rPr>
        <w:t xml:space="preserve">external </w:t>
      </w:r>
      <w:r w:rsidRPr="007E32AE">
        <w:rPr>
          <w:rFonts w:eastAsia="Times New Roman" w:cstheme="minorHAnsi"/>
          <w:sz w:val="24"/>
          <w:szCs w:val="24"/>
        </w:rPr>
        <w:t xml:space="preserve">collaborative agreements to conduct R&amp;D. These </w:t>
      </w:r>
      <w:r w:rsidR="008A72B0">
        <w:rPr>
          <w:rFonts w:eastAsia="Times New Roman" w:cstheme="minorHAnsi"/>
          <w:sz w:val="24"/>
          <w:szCs w:val="24"/>
        </w:rPr>
        <w:t xml:space="preserve">external </w:t>
      </w:r>
      <w:r w:rsidRPr="007E32AE">
        <w:rPr>
          <w:rFonts w:eastAsia="Times New Roman" w:cstheme="minorHAnsi"/>
          <w:sz w:val="24"/>
          <w:szCs w:val="24"/>
        </w:rPr>
        <w:t xml:space="preserve">collaborative agreements may be with either publicly-funded partners or private partners. The second measure of </w:t>
      </w:r>
      <w:r w:rsidR="00830D05">
        <w:rPr>
          <w:rFonts w:eastAsia="Times New Roman" w:cstheme="minorHAnsi"/>
          <w:sz w:val="24"/>
          <w:szCs w:val="24"/>
        </w:rPr>
        <w:t xml:space="preserve">external </w:t>
      </w:r>
      <w:r w:rsidRPr="007E32AE">
        <w:rPr>
          <w:rFonts w:eastAsia="Times New Roman" w:cstheme="minorHAnsi"/>
          <w:sz w:val="24"/>
          <w:szCs w:val="24"/>
        </w:rPr>
        <w:t xml:space="preserve">collaboration is </w:t>
      </w:r>
      <w:r w:rsidRPr="007E32AE">
        <w:rPr>
          <w:rFonts w:eastAsia="Times New Roman" w:cstheme="minorHAnsi"/>
          <w:i/>
          <w:iCs/>
          <w:sz w:val="24"/>
          <w:szCs w:val="24"/>
        </w:rPr>
        <w:t>col_uni</w:t>
      </w:r>
      <w:r w:rsidRPr="007E32AE">
        <w:rPr>
          <w:rFonts w:eastAsia="Times New Roman" w:cstheme="minorHAnsi"/>
          <w:sz w:val="24"/>
          <w:szCs w:val="24"/>
        </w:rPr>
        <w:t xml:space="preserve">, which reflects companies that self-report </w:t>
      </w:r>
      <w:r w:rsidR="00830D05">
        <w:rPr>
          <w:rFonts w:eastAsia="Times New Roman" w:cstheme="minorHAnsi"/>
          <w:sz w:val="24"/>
          <w:szCs w:val="24"/>
        </w:rPr>
        <w:t xml:space="preserve">external </w:t>
      </w:r>
      <w:r w:rsidRPr="007E32AE">
        <w:rPr>
          <w:rFonts w:eastAsia="Times New Roman" w:cstheme="minorHAnsi"/>
          <w:sz w:val="24"/>
          <w:szCs w:val="24"/>
        </w:rPr>
        <w:t xml:space="preserve">collaboration on R&amp;D with publicly- and privately-funded research institutions, specifically. </w:t>
      </w:r>
    </w:p>
    <w:p w14:paraId="38F0086E" w14:textId="130F7951" w:rsidR="04FC83EA" w:rsidRDefault="04FC83EA" w:rsidP="00F17DEA">
      <w:pPr>
        <w:spacing w:after="0" w:line="360" w:lineRule="auto"/>
        <w:ind w:firstLine="720"/>
        <w:rPr>
          <w:rFonts w:eastAsia="Times New Roman" w:cstheme="minorHAnsi"/>
          <w:sz w:val="24"/>
          <w:szCs w:val="24"/>
        </w:rPr>
      </w:pPr>
      <w:r w:rsidRPr="007E32AE">
        <w:rPr>
          <w:rFonts w:eastAsia="Times New Roman" w:cstheme="minorHAnsi"/>
          <w:sz w:val="24"/>
          <w:szCs w:val="24"/>
        </w:rPr>
        <w:t xml:space="preserve">Table </w:t>
      </w:r>
      <w:r w:rsidR="00F17DEA">
        <w:rPr>
          <w:rFonts w:eastAsia="Times New Roman" w:cstheme="minorHAnsi"/>
          <w:sz w:val="24"/>
          <w:szCs w:val="24"/>
        </w:rPr>
        <w:t>2</w:t>
      </w:r>
      <w:r w:rsidRPr="007E32AE">
        <w:rPr>
          <w:rFonts w:eastAsia="Times New Roman" w:cstheme="minorHAnsi"/>
          <w:sz w:val="24"/>
          <w:szCs w:val="24"/>
        </w:rPr>
        <w:t xml:space="preserve"> shows the distribution of these </w:t>
      </w:r>
      <w:r w:rsidR="00830D05">
        <w:rPr>
          <w:rFonts w:eastAsia="Times New Roman" w:cstheme="minorHAnsi"/>
          <w:sz w:val="24"/>
          <w:szCs w:val="24"/>
        </w:rPr>
        <w:t xml:space="preserve">external </w:t>
      </w:r>
      <w:r w:rsidRPr="007E32AE">
        <w:rPr>
          <w:rFonts w:eastAsia="Times New Roman" w:cstheme="minorHAnsi"/>
          <w:sz w:val="24"/>
          <w:szCs w:val="24"/>
        </w:rPr>
        <w:t xml:space="preserve">collaboration measures by year. In Panel A, for the more general measure of </w:t>
      </w:r>
      <w:r w:rsidR="00830D05">
        <w:rPr>
          <w:rFonts w:eastAsia="Times New Roman" w:cstheme="minorHAnsi"/>
          <w:sz w:val="24"/>
          <w:szCs w:val="24"/>
        </w:rPr>
        <w:t xml:space="preserve">external </w:t>
      </w:r>
      <w:r w:rsidRPr="007E32AE">
        <w:rPr>
          <w:rFonts w:eastAsia="Times New Roman" w:cstheme="minorHAnsi"/>
          <w:sz w:val="24"/>
          <w:szCs w:val="24"/>
        </w:rPr>
        <w:t xml:space="preserve">collaboration, </w:t>
      </w:r>
      <w:r w:rsidRPr="007E32AE">
        <w:rPr>
          <w:rFonts w:eastAsia="Times New Roman" w:cstheme="minorHAnsi"/>
          <w:i/>
          <w:iCs/>
          <w:sz w:val="24"/>
          <w:szCs w:val="24"/>
        </w:rPr>
        <w:t>coopjres_bcs</w:t>
      </w:r>
      <w:r w:rsidRPr="007E32AE">
        <w:rPr>
          <w:rFonts w:eastAsia="Times New Roman" w:cstheme="minorHAnsi"/>
          <w:sz w:val="24"/>
          <w:szCs w:val="24"/>
        </w:rPr>
        <w:t xml:space="preserve">, the data span the period from 2007 to 2018. Approximately 25 percent of the sample companies collaborate </w:t>
      </w:r>
      <w:r w:rsidR="00830D05">
        <w:rPr>
          <w:rFonts w:eastAsia="Times New Roman" w:cstheme="minorHAnsi"/>
          <w:sz w:val="24"/>
          <w:szCs w:val="24"/>
        </w:rPr>
        <w:t xml:space="preserve">externally </w:t>
      </w:r>
      <w:r w:rsidRPr="007E32AE">
        <w:rPr>
          <w:rFonts w:eastAsia="Times New Roman" w:cstheme="minorHAnsi"/>
          <w:sz w:val="24"/>
          <w:szCs w:val="24"/>
        </w:rPr>
        <w:t xml:space="preserve">on research. Across the 10-year sample, this rate of </w:t>
      </w:r>
      <w:r w:rsidR="00830D05">
        <w:rPr>
          <w:rFonts w:eastAsia="Times New Roman" w:cstheme="minorHAnsi"/>
          <w:sz w:val="24"/>
          <w:szCs w:val="24"/>
        </w:rPr>
        <w:t xml:space="preserve">external </w:t>
      </w:r>
      <w:r w:rsidRPr="007E32AE">
        <w:rPr>
          <w:rFonts w:eastAsia="Times New Roman" w:cstheme="minorHAnsi"/>
          <w:sz w:val="24"/>
          <w:szCs w:val="24"/>
        </w:rPr>
        <w:t xml:space="preserve">collaboration has been relatively stable. In Panel B, data of research institution collaboration was collected by the ABS in only three fiscal years – 2007, 2009 and 2011. Compared to the more general measure of </w:t>
      </w:r>
      <w:r w:rsidR="00830D05">
        <w:rPr>
          <w:rFonts w:eastAsia="Times New Roman" w:cstheme="minorHAnsi"/>
          <w:sz w:val="24"/>
          <w:szCs w:val="24"/>
        </w:rPr>
        <w:t xml:space="preserve">external </w:t>
      </w:r>
      <w:r w:rsidRPr="007E32AE">
        <w:rPr>
          <w:rFonts w:eastAsia="Times New Roman" w:cstheme="minorHAnsi"/>
          <w:sz w:val="24"/>
          <w:szCs w:val="24"/>
        </w:rPr>
        <w:t xml:space="preserve">collaboration, relatively few companies engage in collaboration with research institutions, with yearly proportions of </w:t>
      </w:r>
      <w:r w:rsidRPr="007E32AE">
        <w:rPr>
          <w:rFonts w:eastAsia="Times New Roman" w:cstheme="minorHAnsi"/>
          <w:i/>
          <w:iCs/>
          <w:sz w:val="24"/>
          <w:szCs w:val="24"/>
        </w:rPr>
        <w:t xml:space="preserve">col_uni </w:t>
      </w:r>
      <w:r w:rsidRPr="007E32AE">
        <w:rPr>
          <w:rFonts w:eastAsia="Times New Roman" w:cstheme="minorHAnsi"/>
          <w:sz w:val="24"/>
          <w:szCs w:val="24"/>
        </w:rPr>
        <w:t>ranging between 4.2 and 6.1 per</w:t>
      </w:r>
      <w:r w:rsidR="006562A7">
        <w:rPr>
          <w:rFonts w:eastAsia="Times New Roman" w:cstheme="minorHAnsi"/>
          <w:sz w:val="24"/>
          <w:szCs w:val="24"/>
        </w:rPr>
        <w:t xml:space="preserve"> </w:t>
      </w:r>
      <w:r w:rsidRPr="007E32AE">
        <w:rPr>
          <w:rFonts w:eastAsia="Times New Roman" w:cstheme="minorHAnsi"/>
          <w:sz w:val="24"/>
          <w:szCs w:val="24"/>
        </w:rPr>
        <w:t xml:space="preserve">cent. The rate of </w:t>
      </w:r>
      <w:r w:rsidR="00830D05">
        <w:rPr>
          <w:rFonts w:eastAsia="Times New Roman" w:cstheme="minorHAnsi"/>
          <w:sz w:val="24"/>
          <w:szCs w:val="24"/>
        </w:rPr>
        <w:t xml:space="preserve">external </w:t>
      </w:r>
      <w:r w:rsidRPr="007E32AE">
        <w:rPr>
          <w:rFonts w:eastAsia="Times New Roman" w:cstheme="minorHAnsi"/>
          <w:sz w:val="24"/>
          <w:szCs w:val="24"/>
        </w:rPr>
        <w:t xml:space="preserve">collaboration grew marginally across the sample period. </w:t>
      </w:r>
    </w:p>
    <w:tbl>
      <w:tblPr>
        <w:tblW w:w="0" w:type="auto"/>
        <w:tblLayout w:type="fixed"/>
        <w:tblLook w:val="04A0" w:firstRow="1" w:lastRow="0" w:firstColumn="1" w:lastColumn="0" w:noHBand="0" w:noVBand="1"/>
      </w:tblPr>
      <w:tblGrid>
        <w:gridCol w:w="1830"/>
        <w:gridCol w:w="300"/>
        <w:gridCol w:w="1980"/>
        <w:gridCol w:w="2400"/>
      </w:tblGrid>
      <w:tr w:rsidR="00F17DEA" w14:paraId="120D166C" w14:textId="77777777" w:rsidTr="003B6997">
        <w:trPr>
          <w:trHeight w:val="315"/>
        </w:trPr>
        <w:tc>
          <w:tcPr>
            <w:tcW w:w="6510" w:type="dxa"/>
            <w:gridSpan w:val="4"/>
            <w:tcBorders>
              <w:top w:val="nil"/>
              <w:left w:val="nil"/>
              <w:bottom w:val="single" w:sz="8" w:space="0" w:color="auto"/>
              <w:right w:val="nil"/>
            </w:tcBorders>
            <w:vAlign w:val="bottom"/>
          </w:tcPr>
          <w:p w14:paraId="4EC6397F" w14:textId="77777777" w:rsidR="00634FD6" w:rsidRDefault="00634FD6" w:rsidP="003B6997">
            <w:pPr>
              <w:rPr>
                <w:rFonts w:ascii="Calibri" w:eastAsia="Calibri" w:hAnsi="Calibri" w:cs="Calibri"/>
                <w:b/>
                <w:bCs/>
                <w:color w:val="000000" w:themeColor="text1"/>
                <w:sz w:val="24"/>
                <w:szCs w:val="24"/>
              </w:rPr>
            </w:pPr>
          </w:p>
          <w:p w14:paraId="6F119EFC" w14:textId="6131CE5A" w:rsidR="00F17DEA" w:rsidRDefault="00F17DEA" w:rsidP="003B6997">
            <w:r w:rsidRPr="04FC83EA">
              <w:rPr>
                <w:rFonts w:ascii="Calibri" w:eastAsia="Calibri" w:hAnsi="Calibri" w:cs="Calibri"/>
                <w:b/>
                <w:bCs/>
                <w:color w:val="000000" w:themeColor="text1"/>
                <w:sz w:val="24"/>
                <w:szCs w:val="24"/>
              </w:rPr>
              <w:t xml:space="preserve">Table </w:t>
            </w:r>
            <w:r>
              <w:rPr>
                <w:rFonts w:ascii="Calibri" w:eastAsia="Calibri" w:hAnsi="Calibri" w:cs="Calibri"/>
                <w:b/>
                <w:bCs/>
                <w:color w:val="000000" w:themeColor="text1"/>
                <w:sz w:val="24"/>
                <w:szCs w:val="24"/>
              </w:rPr>
              <w:t>2</w:t>
            </w:r>
            <w:r w:rsidRPr="04FC83EA">
              <w:rPr>
                <w:rFonts w:ascii="Calibri" w:eastAsia="Calibri" w:hAnsi="Calibri" w:cs="Calibri"/>
                <w:b/>
                <w:bCs/>
                <w:color w:val="000000" w:themeColor="text1"/>
                <w:sz w:val="24"/>
                <w:szCs w:val="24"/>
              </w:rPr>
              <w:t>: Proportion of companies collaborating by year</w:t>
            </w:r>
          </w:p>
        </w:tc>
      </w:tr>
      <w:tr w:rsidR="00F17DEA" w14:paraId="7D493CB3" w14:textId="77777777" w:rsidTr="003B6997">
        <w:trPr>
          <w:trHeight w:val="570"/>
        </w:trPr>
        <w:tc>
          <w:tcPr>
            <w:tcW w:w="6510" w:type="dxa"/>
            <w:gridSpan w:val="4"/>
            <w:tcBorders>
              <w:top w:val="single" w:sz="8" w:space="0" w:color="auto"/>
              <w:left w:val="nil"/>
              <w:bottom w:val="single" w:sz="8" w:space="0" w:color="auto"/>
              <w:right w:val="nil"/>
            </w:tcBorders>
            <w:vAlign w:val="bottom"/>
          </w:tcPr>
          <w:p w14:paraId="1B21DDDE" w14:textId="77777777" w:rsidR="00F17DEA" w:rsidRDefault="00F17DEA" w:rsidP="00EF5969">
            <w:pPr>
              <w:spacing w:after="0" w:line="240" w:lineRule="auto"/>
            </w:pPr>
            <w:r w:rsidRPr="04FC83EA">
              <w:rPr>
                <w:rFonts w:ascii="Calibri" w:eastAsia="Calibri" w:hAnsi="Calibri" w:cs="Calibri"/>
                <w:i/>
                <w:iCs/>
                <w:color w:val="000000" w:themeColor="text1"/>
                <w:sz w:val="24"/>
                <w:szCs w:val="24"/>
              </w:rPr>
              <w:t>Panel A: coopjres_bcs</w:t>
            </w:r>
          </w:p>
        </w:tc>
      </w:tr>
      <w:tr w:rsidR="00F17DEA" w14:paraId="6EAF02A5" w14:textId="77777777" w:rsidTr="003B6997">
        <w:trPr>
          <w:trHeight w:val="315"/>
        </w:trPr>
        <w:tc>
          <w:tcPr>
            <w:tcW w:w="1830" w:type="dxa"/>
            <w:tcBorders>
              <w:top w:val="single" w:sz="8" w:space="0" w:color="auto"/>
              <w:left w:val="nil"/>
              <w:bottom w:val="nil"/>
              <w:right w:val="nil"/>
            </w:tcBorders>
            <w:vAlign w:val="bottom"/>
          </w:tcPr>
          <w:p w14:paraId="7DAAA1EC" w14:textId="77777777" w:rsidR="00F17DEA" w:rsidRDefault="00F17DEA" w:rsidP="00EF5969">
            <w:pPr>
              <w:spacing w:after="0" w:line="240" w:lineRule="auto"/>
            </w:pPr>
            <w:r w:rsidRPr="04FC83EA">
              <w:rPr>
                <w:rFonts w:ascii="Calibri" w:eastAsia="Calibri" w:hAnsi="Calibri" w:cs="Calibri"/>
                <w:b/>
                <w:bCs/>
                <w:color w:val="000000" w:themeColor="text1"/>
                <w:sz w:val="24"/>
                <w:szCs w:val="24"/>
              </w:rPr>
              <w:t xml:space="preserve"> </w:t>
            </w:r>
          </w:p>
          <w:p w14:paraId="1612E787" w14:textId="77777777" w:rsidR="00F17DEA" w:rsidRDefault="00F17DEA" w:rsidP="00EF5969">
            <w:pPr>
              <w:spacing w:after="0" w:line="240" w:lineRule="auto"/>
            </w:pPr>
            <w:r w:rsidRPr="04FC83EA">
              <w:rPr>
                <w:rFonts w:ascii="Calibri" w:eastAsia="Calibri" w:hAnsi="Calibri" w:cs="Calibri"/>
                <w:b/>
                <w:bCs/>
                <w:color w:val="000000" w:themeColor="text1"/>
                <w:sz w:val="24"/>
                <w:szCs w:val="24"/>
              </w:rPr>
              <w:t>Year</w:t>
            </w:r>
          </w:p>
        </w:tc>
        <w:tc>
          <w:tcPr>
            <w:tcW w:w="300" w:type="dxa"/>
            <w:tcBorders>
              <w:top w:val="nil"/>
              <w:left w:val="nil"/>
              <w:bottom w:val="nil"/>
              <w:right w:val="nil"/>
            </w:tcBorders>
            <w:vAlign w:val="bottom"/>
          </w:tcPr>
          <w:p w14:paraId="6E48E534" w14:textId="77777777" w:rsidR="00F17DEA" w:rsidRDefault="00F17DEA" w:rsidP="00EF5969">
            <w:pPr>
              <w:spacing w:after="0" w:line="240" w:lineRule="auto"/>
            </w:pPr>
          </w:p>
        </w:tc>
        <w:tc>
          <w:tcPr>
            <w:tcW w:w="1980" w:type="dxa"/>
            <w:tcBorders>
              <w:top w:val="nil"/>
              <w:left w:val="nil"/>
              <w:bottom w:val="nil"/>
              <w:right w:val="nil"/>
            </w:tcBorders>
            <w:vAlign w:val="bottom"/>
          </w:tcPr>
          <w:p w14:paraId="7D8E00CF" w14:textId="76A1CDBB" w:rsidR="00F17DEA" w:rsidRDefault="00F17DEA" w:rsidP="00EF5969">
            <w:pPr>
              <w:spacing w:after="0" w:line="240" w:lineRule="auto"/>
              <w:jc w:val="right"/>
            </w:pPr>
            <w:r w:rsidRPr="04FC83EA">
              <w:rPr>
                <w:rFonts w:ascii="Calibri" w:eastAsia="Calibri" w:hAnsi="Calibri" w:cs="Calibri"/>
                <w:b/>
                <w:bCs/>
                <w:color w:val="000000" w:themeColor="text1"/>
                <w:sz w:val="24"/>
                <w:szCs w:val="24"/>
              </w:rPr>
              <w:t>Proportion</w:t>
            </w:r>
            <w:r w:rsidR="006562A7">
              <w:rPr>
                <w:rFonts w:ascii="Calibri" w:eastAsia="Calibri" w:hAnsi="Calibri" w:cs="Calibri"/>
                <w:b/>
                <w:bCs/>
                <w:color w:val="000000" w:themeColor="text1"/>
                <w:sz w:val="24"/>
                <w:szCs w:val="24"/>
              </w:rPr>
              <w:t xml:space="preserve"> (%)</w:t>
            </w:r>
          </w:p>
        </w:tc>
        <w:tc>
          <w:tcPr>
            <w:tcW w:w="2400" w:type="dxa"/>
            <w:tcBorders>
              <w:top w:val="nil"/>
              <w:left w:val="nil"/>
              <w:bottom w:val="nil"/>
              <w:right w:val="nil"/>
            </w:tcBorders>
            <w:vAlign w:val="bottom"/>
          </w:tcPr>
          <w:p w14:paraId="4BC20E64" w14:textId="77777777" w:rsidR="00F17DEA" w:rsidRDefault="00F17DEA" w:rsidP="00EF5969">
            <w:pPr>
              <w:spacing w:after="0" w:line="240" w:lineRule="auto"/>
              <w:jc w:val="right"/>
            </w:pPr>
            <w:r w:rsidRPr="04FC83EA">
              <w:rPr>
                <w:rFonts w:ascii="Calibri" w:eastAsia="Calibri" w:hAnsi="Calibri" w:cs="Calibri"/>
                <w:b/>
                <w:bCs/>
                <w:color w:val="000000" w:themeColor="text1"/>
                <w:sz w:val="24"/>
                <w:szCs w:val="24"/>
              </w:rPr>
              <w:t>Observations</w:t>
            </w:r>
          </w:p>
        </w:tc>
      </w:tr>
      <w:tr w:rsidR="00F17DEA" w14:paraId="19653527" w14:textId="77777777" w:rsidTr="003B6997">
        <w:trPr>
          <w:trHeight w:val="315"/>
        </w:trPr>
        <w:tc>
          <w:tcPr>
            <w:tcW w:w="1830" w:type="dxa"/>
            <w:vAlign w:val="bottom"/>
          </w:tcPr>
          <w:p w14:paraId="4B05587F" w14:textId="77777777" w:rsidR="00F17DEA" w:rsidRDefault="00F17DEA" w:rsidP="00EF5969">
            <w:pPr>
              <w:spacing w:after="0" w:line="240" w:lineRule="auto"/>
            </w:pPr>
            <w:r w:rsidRPr="04FC83EA">
              <w:rPr>
                <w:rFonts w:ascii="Calibri" w:eastAsia="Calibri" w:hAnsi="Calibri" w:cs="Calibri"/>
                <w:color w:val="000000" w:themeColor="text1"/>
                <w:sz w:val="24"/>
                <w:szCs w:val="24"/>
              </w:rPr>
              <w:t xml:space="preserve"> </w:t>
            </w:r>
          </w:p>
        </w:tc>
        <w:tc>
          <w:tcPr>
            <w:tcW w:w="300" w:type="dxa"/>
            <w:vAlign w:val="bottom"/>
          </w:tcPr>
          <w:p w14:paraId="2720D0FC" w14:textId="77777777" w:rsidR="00F17DEA" w:rsidRDefault="00F17DEA" w:rsidP="00EF5969">
            <w:pPr>
              <w:spacing w:after="0" w:line="240" w:lineRule="auto"/>
            </w:pPr>
            <w:r w:rsidRPr="04FC83EA">
              <w:rPr>
                <w:rFonts w:ascii="Calibri" w:eastAsia="Calibri" w:hAnsi="Calibri" w:cs="Calibri"/>
                <w:color w:val="000000" w:themeColor="text1"/>
                <w:sz w:val="24"/>
                <w:szCs w:val="24"/>
              </w:rPr>
              <w:t xml:space="preserve"> </w:t>
            </w:r>
          </w:p>
        </w:tc>
        <w:tc>
          <w:tcPr>
            <w:tcW w:w="1980" w:type="dxa"/>
            <w:vAlign w:val="bottom"/>
          </w:tcPr>
          <w:p w14:paraId="30FE2D03"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 xml:space="preserve"> </w:t>
            </w:r>
          </w:p>
        </w:tc>
        <w:tc>
          <w:tcPr>
            <w:tcW w:w="2400" w:type="dxa"/>
            <w:vAlign w:val="bottom"/>
          </w:tcPr>
          <w:p w14:paraId="2211A149"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 xml:space="preserve"> </w:t>
            </w:r>
          </w:p>
        </w:tc>
      </w:tr>
      <w:tr w:rsidR="00F17DEA" w14:paraId="63FD12E9" w14:textId="77777777" w:rsidTr="003B6997">
        <w:trPr>
          <w:trHeight w:val="315"/>
        </w:trPr>
        <w:tc>
          <w:tcPr>
            <w:tcW w:w="1830" w:type="dxa"/>
            <w:vAlign w:val="bottom"/>
          </w:tcPr>
          <w:p w14:paraId="5AB4E585" w14:textId="77777777" w:rsidR="00F17DEA" w:rsidRDefault="00F17DEA" w:rsidP="00EF5969">
            <w:pPr>
              <w:spacing w:after="0" w:line="240" w:lineRule="auto"/>
            </w:pPr>
            <w:r w:rsidRPr="04FC83EA">
              <w:rPr>
                <w:rFonts w:ascii="Calibri" w:eastAsia="Calibri" w:hAnsi="Calibri" w:cs="Calibri"/>
                <w:color w:val="000000" w:themeColor="text1"/>
                <w:sz w:val="24"/>
                <w:szCs w:val="24"/>
              </w:rPr>
              <w:t>2007</w:t>
            </w:r>
          </w:p>
        </w:tc>
        <w:tc>
          <w:tcPr>
            <w:tcW w:w="300" w:type="dxa"/>
            <w:vAlign w:val="bottom"/>
          </w:tcPr>
          <w:p w14:paraId="68D5FCAD" w14:textId="77777777" w:rsidR="00F17DEA" w:rsidRDefault="00F17DEA" w:rsidP="00EF5969">
            <w:pPr>
              <w:spacing w:after="0" w:line="240" w:lineRule="auto"/>
            </w:pPr>
          </w:p>
        </w:tc>
        <w:tc>
          <w:tcPr>
            <w:tcW w:w="1980" w:type="dxa"/>
            <w:vAlign w:val="bottom"/>
          </w:tcPr>
          <w:p w14:paraId="744B5F1F" w14:textId="41A8C503" w:rsidR="00F17DEA" w:rsidRDefault="00F17DEA" w:rsidP="00EF5969">
            <w:pPr>
              <w:spacing w:after="0" w:line="240" w:lineRule="auto"/>
              <w:jc w:val="right"/>
            </w:pPr>
            <w:r w:rsidRPr="04FC83EA">
              <w:rPr>
                <w:rFonts w:ascii="Calibri" w:eastAsia="Calibri" w:hAnsi="Calibri" w:cs="Calibri"/>
                <w:color w:val="000000" w:themeColor="text1"/>
                <w:sz w:val="24"/>
                <w:szCs w:val="24"/>
              </w:rPr>
              <w:t>19.6</w:t>
            </w:r>
          </w:p>
        </w:tc>
        <w:tc>
          <w:tcPr>
            <w:tcW w:w="2400" w:type="dxa"/>
            <w:vAlign w:val="bottom"/>
          </w:tcPr>
          <w:p w14:paraId="0A8D2625"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271</w:t>
            </w:r>
          </w:p>
        </w:tc>
      </w:tr>
      <w:tr w:rsidR="00F17DEA" w14:paraId="4512D0F8" w14:textId="77777777" w:rsidTr="003B6997">
        <w:trPr>
          <w:trHeight w:val="315"/>
        </w:trPr>
        <w:tc>
          <w:tcPr>
            <w:tcW w:w="1830" w:type="dxa"/>
            <w:vAlign w:val="bottom"/>
          </w:tcPr>
          <w:p w14:paraId="7ECB5AB1" w14:textId="77777777" w:rsidR="00F17DEA" w:rsidRDefault="00F17DEA" w:rsidP="00EF5969">
            <w:pPr>
              <w:spacing w:after="0" w:line="240" w:lineRule="auto"/>
            </w:pPr>
            <w:r w:rsidRPr="04FC83EA">
              <w:rPr>
                <w:rFonts w:ascii="Calibri" w:eastAsia="Calibri" w:hAnsi="Calibri" w:cs="Calibri"/>
                <w:color w:val="000000" w:themeColor="text1"/>
                <w:sz w:val="24"/>
                <w:szCs w:val="24"/>
              </w:rPr>
              <w:t>2008</w:t>
            </w:r>
          </w:p>
        </w:tc>
        <w:tc>
          <w:tcPr>
            <w:tcW w:w="300" w:type="dxa"/>
            <w:vAlign w:val="bottom"/>
          </w:tcPr>
          <w:p w14:paraId="5A6347A3" w14:textId="77777777" w:rsidR="00F17DEA" w:rsidRDefault="00F17DEA" w:rsidP="00EF5969">
            <w:pPr>
              <w:spacing w:after="0" w:line="240" w:lineRule="auto"/>
            </w:pPr>
          </w:p>
        </w:tc>
        <w:tc>
          <w:tcPr>
            <w:tcW w:w="1980" w:type="dxa"/>
            <w:vAlign w:val="bottom"/>
          </w:tcPr>
          <w:p w14:paraId="2DC0247D" w14:textId="029AD158" w:rsidR="00F17DEA" w:rsidRDefault="00F17DEA" w:rsidP="00EF5969">
            <w:pPr>
              <w:spacing w:after="0" w:line="240" w:lineRule="auto"/>
              <w:jc w:val="right"/>
            </w:pPr>
            <w:r w:rsidRPr="04FC83EA">
              <w:rPr>
                <w:rFonts w:ascii="Calibri" w:eastAsia="Calibri" w:hAnsi="Calibri" w:cs="Calibri"/>
                <w:color w:val="000000" w:themeColor="text1"/>
                <w:sz w:val="24"/>
                <w:szCs w:val="24"/>
              </w:rPr>
              <w:t>29.1</w:t>
            </w:r>
          </w:p>
        </w:tc>
        <w:tc>
          <w:tcPr>
            <w:tcW w:w="2400" w:type="dxa"/>
            <w:vAlign w:val="bottom"/>
          </w:tcPr>
          <w:p w14:paraId="3F4494F2"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289</w:t>
            </w:r>
          </w:p>
        </w:tc>
      </w:tr>
      <w:tr w:rsidR="00F17DEA" w14:paraId="349A8F88" w14:textId="77777777" w:rsidTr="003B6997">
        <w:trPr>
          <w:trHeight w:val="315"/>
        </w:trPr>
        <w:tc>
          <w:tcPr>
            <w:tcW w:w="1830" w:type="dxa"/>
            <w:vAlign w:val="bottom"/>
          </w:tcPr>
          <w:p w14:paraId="7DE797C0" w14:textId="77777777" w:rsidR="00F17DEA" w:rsidRDefault="00F17DEA" w:rsidP="00EF5969">
            <w:pPr>
              <w:spacing w:after="0" w:line="240" w:lineRule="auto"/>
            </w:pPr>
            <w:r w:rsidRPr="04FC83EA">
              <w:rPr>
                <w:rFonts w:ascii="Calibri" w:eastAsia="Calibri" w:hAnsi="Calibri" w:cs="Calibri"/>
                <w:color w:val="000000" w:themeColor="text1"/>
                <w:sz w:val="24"/>
                <w:szCs w:val="24"/>
              </w:rPr>
              <w:t>2009</w:t>
            </w:r>
          </w:p>
        </w:tc>
        <w:tc>
          <w:tcPr>
            <w:tcW w:w="300" w:type="dxa"/>
            <w:vAlign w:val="bottom"/>
          </w:tcPr>
          <w:p w14:paraId="38B5A2E7" w14:textId="77777777" w:rsidR="00F17DEA" w:rsidRDefault="00F17DEA" w:rsidP="00EF5969">
            <w:pPr>
              <w:spacing w:after="0" w:line="240" w:lineRule="auto"/>
            </w:pPr>
          </w:p>
        </w:tc>
        <w:tc>
          <w:tcPr>
            <w:tcW w:w="1980" w:type="dxa"/>
            <w:vAlign w:val="bottom"/>
          </w:tcPr>
          <w:p w14:paraId="2B373F07" w14:textId="085DDADD" w:rsidR="00F17DEA" w:rsidRDefault="00F17DEA" w:rsidP="00EF5969">
            <w:pPr>
              <w:spacing w:after="0" w:line="240" w:lineRule="auto"/>
              <w:jc w:val="right"/>
            </w:pPr>
            <w:r w:rsidRPr="04FC83EA">
              <w:rPr>
                <w:rFonts w:ascii="Calibri" w:eastAsia="Calibri" w:hAnsi="Calibri" w:cs="Calibri"/>
                <w:color w:val="000000" w:themeColor="text1"/>
                <w:sz w:val="24"/>
                <w:szCs w:val="24"/>
              </w:rPr>
              <w:t>25.4</w:t>
            </w:r>
          </w:p>
        </w:tc>
        <w:tc>
          <w:tcPr>
            <w:tcW w:w="2400" w:type="dxa"/>
            <w:vAlign w:val="bottom"/>
          </w:tcPr>
          <w:p w14:paraId="0179B17C"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291</w:t>
            </w:r>
          </w:p>
        </w:tc>
      </w:tr>
      <w:tr w:rsidR="00F17DEA" w14:paraId="57A9689A" w14:textId="77777777" w:rsidTr="003B6997">
        <w:trPr>
          <w:trHeight w:val="315"/>
        </w:trPr>
        <w:tc>
          <w:tcPr>
            <w:tcW w:w="1830" w:type="dxa"/>
            <w:vAlign w:val="bottom"/>
          </w:tcPr>
          <w:p w14:paraId="288111B3" w14:textId="77777777" w:rsidR="00F17DEA" w:rsidRDefault="00F17DEA" w:rsidP="00EF5969">
            <w:pPr>
              <w:spacing w:after="0" w:line="240" w:lineRule="auto"/>
            </w:pPr>
            <w:r w:rsidRPr="04FC83EA">
              <w:rPr>
                <w:rFonts w:ascii="Calibri" w:eastAsia="Calibri" w:hAnsi="Calibri" w:cs="Calibri"/>
                <w:color w:val="000000" w:themeColor="text1"/>
                <w:sz w:val="24"/>
                <w:szCs w:val="24"/>
              </w:rPr>
              <w:t>2010</w:t>
            </w:r>
          </w:p>
        </w:tc>
        <w:tc>
          <w:tcPr>
            <w:tcW w:w="300" w:type="dxa"/>
            <w:vAlign w:val="bottom"/>
          </w:tcPr>
          <w:p w14:paraId="7A90D554" w14:textId="77777777" w:rsidR="00F17DEA" w:rsidRDefault="00F17DEA" w:rsidP="00EF5969">
            <w:pPr>
              <w:spacing w:after="0" w:line="240" w:lineRule="auto"/>
            </w:pPr>
          </w:p>
        </w:tc>
        <w:tc>
          <w:tcPr>
            <w:tcW w:w="1980" w:type="dxa"/>
            <w:vAlign w:val="bottom"/>
          </w:tcPr>
          <w:p w14:paraId="21550326" w14:textId="13A2051D" w:rsidR="00F17DEA" w:rsidRDefault="00F17DEA" w:rsidP="00EF5969">
            <w:pPr>
              <w:spacing w:after="0" w:line="240" w:lineRule="auto"/>
              <w:jc w:val="right"/>
            </w:pPr>
            <w:r w:rsidRPr="04FC83EA">
              <w:rPr>
                <w:rFonts w:ascii="Calibri" w:eastAsia="Calibri" w:hAnsi="Calibri" w:cs="Calibri"/>
                <w:color w:val="000000" w:themeColor="text1"/>
                <w:sz w:val="24"/>
                <w:szCs w:val="24"/>
              </w:rPr>
              <w:t>28.1</w:t>
            </w:r>
          </w:p>
        </w:tc>
        <w:tc>
          <w:tcPr>
            <w:tcW w:w="2400" w:type="dxa"/>
            <w:vAlign w:val="bottom"/>
          </w:tcPr>
          <w:p w14:paraId="55667BD4"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327</w:t>
            </w:r>
          </w:p>
        </w:tc>
      </w:tr>
      <w:tr w:rsidR="00F17DEA" w14:paraId="56BB2A59" w14:textId="77777777" w:rsidTr="003B6997">
        <w:trPr>
          <w:trHeight w:val="315"/>
        </w:trPr>
        <w:tc>
          <w:tcPr>
            <w:tcW w:w="1830" w:type="dxa"/>
            <w:vAlign w:val="bottom"/>
          </w:tcPr>
          <w:p w14:paraId="191ECE10" w14:textId="77777777" w:rsidR="00F17DEA" w:rsidRDefault="00F17DEA" w:rsidP="00EF5969">
            <w:pPr>
              <w:spacing w:after="0" w:line="240" w:lineRule="auto"/>
            </w:pPr>
            <w:r w:rsidRPr="04FC83EA">
              <w:rPr>
                <w:rFonts w:ascii="Calibri" w:eastAsia="Calibri" w:hAnsi="Calibri" w:cs="Calibri"/>
                <w:color w:val="000000" w:themeColor="text1"/>
                <w:sz w:val="24"/>
                <w:szCs w:val="24"/>
              </w:rPr>
              <w:t>2011</w:t>
            </w:r>
          </w:p>
        </w:tc>
        <w:tc>
          <w:tcPr>
            <w:tcW w:w="300" w:type="dxa"/>
            <w:vAlign w:val="bottom"/>
          </w:tcPr>
          <w:p w14:paraId="4DD407CA" w14:textId="77777777" w:rsidR="00F17DEA" w:rsidRDefault="00F17DEA" w:rsidP="00EF5969">
            <w:pPr>
              <w:spacing w:after="0" w:line="240" w:lineRule="auto"/>
            </w:pPr>
          </w:p>
        </w:tc>
        <w:tc>
          <w:tcPr>
            <w:tcW w:w="1980" w:type="dxa"/>
            <w:vAlign w:val="bottom"/>
          </w:tcPr>
          <w:p w14:paraId="5A3BB144" w14:textId="49AAF62D" w:rsidR="00F17DEA" w:rsidRDefault="00F17DEA" w:rsidP="00EF5969">
            <w:pPr>
              <w:spacing w:after="0" w:line="240" w:lineRule="auto"/>
              <w:jc w:val="right"/>
            </w:pPr>
            <w:r w:rsidRPr="04FC83EA">
              <w:rPr>
                <w:rFonts w:ascii="Calibri" w:eastAsia="Calibri" w:hAnsi="Calibri" w:cs="Calibri"/>
                <w:color w:val="000000" w:themeColor="text1"/>
                <w:sz w:val="24"/>
                <w:szCs w:val="24"/>
              </w:rPr>
              <w:t>25.7</w:t>
            </w:r>
          </w:p>
        </w:tc>
        <w:tc>
          <w:tcPr>
            <w:tcW w:w="2400" w:type="dxa"/>
            <w:vAlign w:val="bottom"/>
          </w:tcPr>
          <w:p w14:paraId="3F0C5239"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358</w:t>
            </w:r>
          </w:p>
        </w:tc>
      </w:tr>
      <w:tr w:rsidR="00F17DEA" w14:paraId="779E39ED" w14:textId="77777777" w:rsidTr="003B6997">
        <w:trPr>
          <w:trHeight w:val="315"/>
        </w:trPr>
        <w:tc>
          <w:tcPr>
            <w:tcW w:w="1830" w:type="dxa"/>
            <w:vAlign w:val="bottom"/>
          </w:tcPr>
          <w:p w14:paraId="655489C6" w14:textId="77777777" w:rsidR="00F17DEA" w:rsidRDefault="00F17DEA" w:rsidP="00EF5969">
            <w:pPr>
              <w:spacing w:after="0" w:line="240" w:lineRule="auto"/>
            </w:pPr>
            <w:r w:rsidRPr="04FC83EA">
              <w:rPr>
                <w:rFonts w:ascii="Calibri" w:eastAsia="Calibri" w:hAnsi="Calibri" w:cs="Calibri"/>
                <w:color w:val="000000" w:themeColor="text1"/>
                <w:sz w:val="24"/>
                <w:szCs w:val="24"/>
              </w:rPr>
              <w:t>2012</w:t>
            </w:r>
          </w:p>
        </w:tc>
        <w:tc>
          <w:tcPr>
            <w:tcW w:w="300" w:type="dxa"/>
            <w:vAlign w:val="bottom"/>
          </w:tcPr>
          <w:p w14:paraId="77364AEA" w14:textId="77777777" w:rsidR="00F17DEA" w:rsidRDefault="00F17DEA" w:rsidP="00EF5969">
            <w:pPr>
              <w:spacing w:after="0" w:line="240" w:lineRule="auto"/>
            </w:pPr>
          </w:p>
        </w:tc>
        <w:tc>
          <w:tcPr>
            <w:tcW w:w="1980" w:type="dxa"/>
            <w:vAlign w:val="bottom"/>
          </w:tcPr>
          <w:p w14:paraId="78E4F8FA" w14:textId="3EB30656" w:rsidR="00F17DEA" w:rsidRDefault="00F17DEA" w:rsidP="00EF5969">
            <w:pPr>
              <w:spacing w:after="0" w:line="240" w:lineRule="auto"/>
              <w:jc w:val="right"/>
            </w:pPr>
            <w:r w:rsidRPr="04FC83EA">
              <w:rPr>
                <w:rFonts w:ascii="Calibri" w:eastAsia="Calibri" w:hAnsi="Calibri" w:cs="Calibri"/>
                <w:color w:val="000000" w:themeColor="text1"/>
                <w:sz w:val="24"/>
                <w:szCs w:val="24"/>
              </w:rPr>
              <w:t>30.2</w:t>
            </w:r>
          </w:p>
        </w:tc>
        <w:tc>
          <w:tcPr>
            <w:tcW w:w="2400" w:type="dxa"/>
            <w:vAlign w:val="bottom"/>
          </w:tcPr>
          <w:p w14:paraId="03308656"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252</w:t>
            </w:r>
          </w:p>
        </w:tc>
      </w:tr>
      <w:tr w:rsidR="00F17DEA" w14:paraId="00B38F47" w14:textId="77777777" w:rsidTr="003B6997">
        <w:trPr>
          <w:trHeight w:val="315"/>
        </w:trPr>
        <w:tc>
          <w:tcPr>
            <w:tcW w:w="1830" w:type="dxa"/>
            <w:vAlign w:val="bottom"/>
          </w:tcPr>
          <w:p w14:paraId="0C212B25" w14:textId="77777777" w:rsidR="00F17DEA" w:rsidRDefault="00F17DEA" w:rsidP="00EF5969">
            <w:pPr>
              <w:spacing w:after="0" w:line="240" w:lineRule="auto"/>
            </w:pPr>
            <w:r w:rsidRPr="04FC83EA">
              <w:rPr>
                <w:rFonts w:ascii="Calibri" w:eastAsia="Calibri" w:hAnsi="Calibri" w:cs="Calibri"/>
                <w:color w:val="000000" w:themeColor="text1"/>
                <w:sz w:val="24"/>
                <w:szCs w:val="24"/>
              </w:rPr>
              <w:t>2014</w:t>
            </w:r>
          </w:p>
        </w:tc>
        <w:tc>
          <w:tcPr>
            <w:tcW w:w="300" w:type="dxa"/>
            <w:vAlign w:val="bottom"/>
          </w:tcPr>
          <w:p w14:paraId="6F80E02A" w14:textId="77777777" w:rsidR="00F17DEA" w:rsidRDefault="00F17DEA" w:rsidP="00EF5969">
            <w:pPr>
              <w:spacing w:after="0" w:line="240" w:lineRule="auto"/>
            </w:pPr>
          </w:p>
        </w:tc>
        <w:tc>
          <w:tcPr>
            <w:tcW w:w="1980" w:type="dxa"/>
            <w:vAlign w:val="bottom"/>
          </w:tcPr>
          <w:p w14:paraId="3E248E2A" w14:textId="7506D546" w:rsidR="00F17DEA" w:rsidRDefault="00F17DEA" w:rsidP="00EF5969">
            <w:pPr>
              <w:spacing w:after="0" w:line="240" w:lineRule="auto"/>
              <w:jc w:val="right"/>
            </w:pPr>
            <w:r w:rsidRPr="04FC83EA">
              <w:rPr>
                <w:rFonts w:ascii="Calibri" w:eastAsia="Calibri" w:hAnsi="Calibri" w:cs="Calibri"/>
                <w:color w:val="000000" w:themeColor="text1"/>
                <w:sz w:val="24"/>
                <w:szCs w:val="24"/>
              </w:rPr>
              <w:t>22.5</w:t>
            </w:r>
          </w:p>
        </w:tc>
        <w:tc>
          <w:tcPr>
            <w:tcW w:w="2400" w:type="dxa"/>
            <w:vAlign w:val="bottom"/>
          </w:tcPr>
          <w:p w14:paraId="1B6EB21C"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333</w:t>
            </w:r>
          </w:p>
        </w:tc>
      </w:tr>
      <w:tr w:rsidR="00F17DEA" w14:paraId="583F88B6" w14:textId="77777777" w:rsidTr="003B6997">
        <w:trPr>
          <w:trHeight w:val="315"/>
        </w:trPr>
        <w:tc>
          <w:tcPr>
            <w:tcW w:w="1830" w:type="dxa"/>
            <w:vAlign w:val="bottom"/>
          </w:tcPr>
          <w:p w14:paraId="038C45A1" w14:textId="77777777" w:rsidR="00F17DEA" w:rsidRDefault="00F17DEA" w:rsidP="00EF5969">
            <w:pPr>
              <w:spacing w:after="0" w:line="240" w:lineRule="auto"/>
            </w:pPr>
            <w:r w:rsidRPr="04FC83EA">
              <w:rPr>
                <w:rFonts w:ascii="Calibri" w:eastAsia="Calibri" w:hAnsi="Calibri" w:cs="Calibri"/>
                <w:color w:val="000000" w:themeColor="text1"/>
                <w:sz w:val="24"/>
                <w:szCs w:val="24"/>
              </w:rPr>
              <w:t>2016</w:t>
            </w:r>
          </w:p>
        </w:tc>
        <w:tc>
          <w:tcPr>
            <w:tcW w:w="300" w:type="dxa"/>
            <w:vAlign w:val="bottom"/>
          </w:tcPr>
          <w:p w14:paraId="3757D2C2" w14:textId="77777777" w:rsidR="00F17DEA" w:rsidRDefault="00F17DEA" w:rsidP="00EF5969">
            <w:pPr>
              <w:spacing w:after="0" w:line="240" w:lineRule="auto"/>
            </w:pPr>
          </w:p>
        </w:tc>
        <w:tc>
          <w:tcPr>
            <w:tcW w:w="1980" w:type="dxa"/>
            <w:vAlign w:val="bottom"/>
          </w:tcPr>
          <w:p w14:paraId="3F3D3453" w14:textId="2230DBF0" w:rsidR="00F17DEA" w:rsidRDefault="00F17DEA" w:rsidP="00EF5969">
            <w:pPr>
              <w:spacing w:after="0" w:line="240" w:lineRule="auto"/>
              <w:jc w:val="right"/>
            </w:pPr>
            <w:r w:rsidRPr="04FC83EA">
              <w:rPr>
                <w:rFonts w:ascii="Calibri" w:eastAsia="Calibri" w:hAnsi="Calibri" w:cs="Calibri"/>
                <w:color w:val="000000" w:themeColor="text1"/>
                <w:sz w:val="24"/>
                <w:szCs w:val="24"/>
              </w:rPr>
              <w:t>24.7</w:t>
            </w:r>
          </w:p>
        </w:tc>
        <w:tc>
          <w:tcPr>
            <w:tcW w:w="2400" w:type="dxa"/>
            <w:vAlign w:val="bottom"/>
          </w:tcPr>
          <w:p w14:paraId="2A0D388F"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190</w:t>
            </w:r>
          </w:p>
        </w:tc>
      </w:tr>
      <w:tr w:rsidR="00F17DEA" w14:paraId="13DEBBE8" w14:textId="77777777" w:rsidTr="003B6997">
        <w:trPr>
          <w:trHeight w:val="315"/>
        </w:trPr>
        <w:tc>
          <w:tcPr>
            <w:tcW w:w="1830" w:type="dxa"/>
            <w:vAlign w:val="bottom"/>
          </w:tcPr>
          <w:p w14:paraId="186C81E4" w14:textId="77777777" w:rsidR="00F17DEA" w:rsidRDefault="00F17DEA" w:rsidP="00EF5969">
            <w:pPr>
              <w:spacing w:after="0" w:line="240" w:lineRule="auto"/>
            </w:pPr>
            <w:r w:rsidRPr="04FC83EA">
              <w:rPr>
                <w:rFonts w:ascii="Calibri" w:eastAsia="Calibri" w:hAnsi="Calibri" w:cs="Calibri"/>
                <w:color w:val="000000" w:themeColor="text1"/>
                <w:sz w:val="24"/>
                <w:szCs w:val="24"/>
              </w:rPr>
              <w:t>2018</w:t>
            </w:r>
          </w:p>
        </w:tc>
        <w:tc>
          <w:tcPr>
            <w:tcW w:w="300" w:type="dxa"/>
            <w:vAlign w:val="bottom"/>
          </w:tcPr>
          <w:p w14:paraId="15BFBE27" w14:textId="77777777" w:rsidR="00F17DEA" w:rsidRDefault="00F17DEA" w:rsidP="00EF5969">
            <w:pPr>
              <w:spacing w:after="0" w:line="240" w:lineRule="auto"/>
            </w:pPr>
          </w:p>
        </w:tc>
        <w:tc>
          <w:tcPr>
            <w:tcW w:w="1980" w:type="dxa"/>
            <w:vAlign w:val="bottom"/>
          </w:tcPr>
          <w:p w14:paraId="77EEAC17" w14:textId="47724341" w:rsidR="00F17DEA" w:rsidRDefault="00F17DEA" w:rsidP="00EF5969">
            <w:pPr>
              <w:spacing w:after="0" w:line="240" w:lineRule="auto"/>
              <w:jc w:val="right"/>
            </w:pPr>
            <w:r w:rsidRPr="04FC83EA">
              <w:rPr>
                <w:rFonts w:ascii="Calibri" w:eastAsia="Calibri" w:hAnsi="Calibri" w:cs="Calibri"/>
                <w:color w:val="000000" w:themeColor="text1"/>
                <w:sz w:val="24"/>
                <w:szCs w:val="24"/>
              </w:rPr>
              <w:t>24.5</w:t>
            </w:r>
          </w:p>
        </w:tc>
        <w:tc>
          <w:tcPr>
            <w:tcW w:w="2400" w:type="dxa"/>
            <w:vAlign w:val="bottom"/>
          </w:tcPr>
          <w:p w14:paraId="1A4CEAF7"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147</w:t>
            </w:r>
          </w:p>
        </w:tc>
      </w:tr>
      <w:tr w:rsidR="00F17DEA" w14:paraId="57F7BFB4" w14:textId="77777777" w:rsidTr="003B6997">
        <w:trPr>
          <w:trHeight w:val="315"/>
        </w:trPr>
        <w:tc>
          <w:tcPr>
            <w:tcW w:w="1830" w:type="dxa"/>
            <w:vAlign w:val="bottom"/>
          </w:tcPr>
          <w:p w14:paraId="62DB7345" w14:textId="77777777" w:rsidR="00F17DEA" w:rsidRDefault="00F17DEA" w:rsidP="00EF5969">
            <w:pPr>
              <w:spacing w:after="0" w:line="240" w:lineRule="auto"/>
            </w:pPr>
          </w:p>
        </w:tc>
        <w:tc>
          <w:tcPr>
            <w:tcW w:w="300" w:type="dxa"/>
            <w:vAlign w:val="bottom"/>
          </w:tcPr>
          <w:p w14:paraId="17E1FC8E" w14:textId="77777777" w:rsidR="00F17DEA" w:rsidRDefault="00F17DEA" w:rsidP="00EF5969">
            <w:pPr>
              <w:spacing w:after="0" w:line="240" w:lineRule="auto"/>
            </w:pPr>
          </w:p>
        </w:tc>
        <w:tc>
          <w:tcPr>
            <w:tcW w:w="1980" w:type="dxa"/>
            <w:vAlign w:val="bottom"/>
          </w:tcPr>
          <w:p w14:paraId="53A288EF" w14:textId="77777777" w:rsidR="00F17DEA" w:rsidRDefault="00F17DEA" w:rsidP="00EF5969">
            <w:pPr>
              <w:spacing w:after="0" w:line="240" w:lineRule="auto"/>
            </w:pPr>
          </w:p>
        </w:tc>
        <w:tc>
          <w:tcPr>
            <w:tcW w:w="2400" w:type="dxa"/>
            <w:vAlign w:val="bottom"/>
          </w:tcPr>
          <w:p w14:paraId="1D6C1F41" w14:textId="77777777" w:rsidR="00F17DEA" w:rsidRDefault="00F17DEA" w:rsidP="00EF5969">
            <w:pPr>
              <w:spacing w:after="0" w:line="240" w:lineRule="auto"/>
            </w:pPr>
          </w:p>
        </w:tc>
      </w:tr>
      <w:tr w:rsidR="00F17DEA" w14:paraId="54C5FCAB" w14:textId="77777777" w:rsidTr="003B6997">
        <w:trPr>
          <w:trHeight w:val="315"/>
        </w:trPr>
        <w:tc>
          <w:tcPr>
            <w:tcW w:w="2130" w:type="dxa"/>
            <w:gridSpan w:val="2"/>
            <w:tcBorders>
              <w:left w:val="nil"/>
              <w:bottom w:val="single" w:sz="8" w:space="0" w:color="auto"/>
              <w:right w:val="nil"/>
            </w:tcBorders>
            <w:vAlign w:val="bottom"/>
          </w:tcPr>
          <w:p w14:paraId="568233FB" w14:textId="77777777" w:rsidR="00F17DEA" w:rsidRDefault="00F17DEA" w:rsidP="00EF5969">
            <w:pPr>
              <w:spacing w:after="0" w:line="240" w:lineRule="auto"/>
            </w:pPr>
            <w:r w:rsidRPr="04FC83EA">
              <w:rPr>
                <w:rFonts w:ascii="Calibri" w:eastAsia="Calibri" w:hAnsi="Calibri" w:cs="Calibri"/>
                <w:i/>
                <w:iCs/>
                <w:color w:val="000000" w:themeColor="text1"/>
                <w:sz w:val="24"/>
                <w:szCs w:val="24"/>
              </w:rPr>
              <w:t>Panel B: col_uni</w:t>
            </w:r>
          </w:p>
        </w:tc>
        <w:tc>
          <w:tcPr>
            <w:tcW w:w="1980" w:type="dxa"/>
            <w:tcBorders>
              <w:left w:val="nil"/>
              <w:bottom w:val="single" w:sz="8" w:space="0" w:color="auto"/>
              <w:right w:val="nil"/>
            </w:tcBorders>
            <w:vAlign w:val="bottom"/>
          </w:tcPr>
          <w:p w14:paraId="5C110AFC" w14:textId="77777777" w:rsidR="00F17DEA" w:rsidRDefault="00F17DEA" w:rsidP="00EF5969">
            <w:pPr>
              <w:spacing w:after="0" w:line="240" w:lineRule="auto"/>
            </w:pPr>
            <w:r w:rsidRPr="04FC83EA">
              <w:rPr>
                <w:rFonts w:ascii="Calibri" w:eastAsia="Calibri" w:hAnsi="Calibri" w:cs="Calibri"/>
                <w:color w:val="000000" w:themeColor="text1"/>
                <w:sz w:val="24"/>
                <w:szCs w:val="24"/>
              </w:rPr>
              <w:t xml:space="preserve"> </w:t>
            </w:r>
          </w:p>
        </w:tc>
        <w:tc>
          <w:tcPr>
            <w:tcW w:w="2400" w:type="dxa"/>
            <w:tcBorders>
              <w:left w:val="nil"/>
              <w:bottom w:val="single" w:sz="8" w:space="0" w:color="auto"/>
              <w:right w:val="nil"/>
            </w:tcBorders>
            <w:vAlign w:val="bottom"/>
          </w:tcPr>
          <w:p w14:paraId="14DF477B" w14:textId="77777777" w:rsidR="00F17DEA" w:rsidRDefault="00F17DEA" w:rsidP="00EF5969">
            <w:pPr>
              <w:spacing w:after="0" w:line="240" w:lineRule="auto"/>
            </w:pPr>
            <w:r w:rsidRPr="04FC83EA">
              <w:rPr>
                <w:rFonts w:ascii="Calibri" w:eastAsia="Calibri" w:hAnsi="Calibri" w:cs="Calibri"/>
                <w:color w:val="000000" w:themeColor="text1"/>
                <w:sz w:val="24"/>
                <w:szCs w:val="24"/>
              </w:rPr>
              <w:t xml:space="preserve"> </w:t>
            </w:r>
          </w:p>
        </w:tc>
      </w:tr>
      <w:tr w:rsidR="00F17DEA" w14:paraId="58539977" w14:textId="77777777" w:rsidTr="003B6997">
        <w:trPr>
          <w:trHeight w:val="315"/>
        </w:trPr>
        <w:tc>
          <w:tcPr>
            <w:tcW w:w="1830" w:type="dxa"/>
            <w:tcBorders>
              <w:left w:val="nil"/>
              <w:bottom w:val="single" w:sz="8" w:space="0" w:color="auto"/>
            </w:tcBorders>
            <w:vAlign w:val="bottom"/>
          </w:tcPr>
          <w:p w14:paraId="4A7B14CC" w14:textId="77777777" w:rsidR="00F17DEA" w:rsidRDefault="00F17DEA" w:rsidP="00EF5969">
            <w:pPr>
              <w:spacing w:after="0" w:line="240" w:lineRule="auto"/>
            </w:pPr>
          </w:p>
        </w:tc>
        <w:tc>
          <w:tcPr>
            <w:tcW w:w="300" w:type="dxa"/>
            <w:tcBorders>
              <w:bottom w:val="single" w:sz="8" w:space="0" w:color="auto"/>
            </w:tcBorders>
            <w:vAlign w:val="bottom"/>
          </w:tcPr>
          <w:p w14:paraId="6ED9A66E" w14:textId="77777777" w:rsidR="00F17DEA" w:rsidRDefault="00F17DEA" w:rsidP="00EF5969">
            <w:pPr>
              <w:spacing w:after="0" w:line="240" w:lineRule="auto"/>
            </w:pPr>
          </w:p>
        </w:tc>
        <w:tc>
          <w:tcPr>
            <w:tcW w:w="1980" w:type="dxa"/>
            <w:vAlign w:val="bottom"/>
          </w:tcPr>
          <w:p w14:paraId="2ED2BF60" w14:textId="77777777" w:rsidR="00F17DEA" w:rsidRDefault="00F17DEA" w:rsidP="00EF5969">
            <w:pPr>
              <w:spacing w:after="0" w:line="240" w:lineRule="auto"/>
            </w:pPr>
          </w:p>
        </w:tc>
        <w:tc>
          <w:tcPr>
            <w:tcW w:w="2400" w:type="dxa"/>
            <w:vAlign w:val="bottom"/>
          </w:tcPr>
          <w:p w14:paraId="660491A0" w14:textId="77777777" w:rsidR="00F17DEA" w:rsidRDefault="00F17DEA" w:rsidP="00EF5969">
            <w:pPr>
              <w:spacing w:after="0" w:line="240" w:lineRule="auto"/>
            </w:pPr>
          </w:p>
        </w:tc>
      </w:tr>
      <w:tr w:rsidR="00F17DEA" w14:paraId="4EE13414" w14:textId="77777777" w:rsidTr="003B6997">
        <w:trPr>
          <w:trHeight w:val="315"/>
        </w:trPr>
        <w:tc>
          <w:tcPr>
            <w:tcW w:w="1830" w:type="dxa"/>
            <w:vAlign w:val="bottom"/>
          </w:tcPr>
          <w:p w14:paraId="1A334B1E" w14:textId="77777777" w:rsidR="00F17DEA" w:rsidRDefault="00F17DEA" w:rsidP="00EF5969">
            <w:pPr>
              <w:spacing w:after="0" w:line="240" w:lineRule="auto"/>
            </w:pPr>
            <w:r w:rsidRPr="04FC83EA">
              <w:rPr>
                <w:rFonts w:ascii="Calibri" w:eastAsia="Calibri" w:hAnsi="Calibri" w:cs="Calibri"/>
                <w:b/>
                <w:bCs/>
                <w:color w:val="000000" w:themeColor="text1"/>
                <w:sz w:val="24"/>
                <w:szCs w:val="24"/>
              </w:rPr>
              <w:t>Year</w:t>
            </w:r>
          </w:p>
        </w:tc>
        <w:tc>
          <w:tcPr>
            <w:tcW w:w="300" w:type="dxa"/>
            <w:vAlign w:val="bottom"/>
          </w:tcPr>
          <w:p w14:paraId="3CD56C0E" w14:textId="77777777" w:rsidR="00F17DEA" w:rsidRDefault="00F17DEA" w:rsidP="00EF5969">
            <w:pPr>
              <w:spacing w:after="0" w:line="240" w:lineRule="auto"/>
            </w:pPr>
          </w:p>
        </w:tc>
        <w:tc>
          <w:tcPr>
            <w:tcW w:w="1980" w:type="dxa"/>
            <w:vAlign w:val="bottom"/>
          </w:tcPr>
          <w:p w14:paraId="629F2ABA" w14:textId="6A9A33F8" w:rsidR="00F17DEA" w:rsidRDefault="00F17DEA" w:rsidP="00EF5969">
            <w:pPr>
              <w:spacing w:after="0" w:line="240" w:lineRule="auto"/>
              <w:jc w:val="right"/>
            </w:pPr>
            <w:r w:rsidRPr="04FC83EA">
              <w:rPr>
                <w:rFonts w:ascii="Calibri" w:eastAsia="Calibri" w:hAnsi="Calibri" w:cs="Calibri"/>
                <w:b/>
                <w:bCs/>
                <w:color w:val="000000" w:themeColor="text1"/>
                <w:sz w:val="24"/>
                <w:szCs w:val="24"/>
              </w:rPr>
              <w:t>Proportion</w:t>
            </w:r>
            <w:r w:rsidR="006562A7">
              <w:rPr>
                <w:rFonts w:ascii="Calibri" w:eastAsia="Calibri" w:hAnsi="Calibri" w:cs="Calibri"/>
                <w:b/>
                <w:bCs/>
                <w:color w:val="000000" w:themeColor="text1"/>
                <w:sz w:val="24"/>
                <w:szCs w:val="24"/>
              </w:rPr>
              <w:t xml:space="preserve"> (%)</w:t>
            </w:r>
          </w:p>
        </w:tc>
        <w:tc>
          <w:tcPr>
            <w:tcW w:w="2400" w:type="dxa"/>
            <w:vAlign w:val="bottom"/>
          </w:tcPr>
          <w:p w14:paraId="0F371304" w14:textId="77777777" w:rsidR="00F17DEA" w:rsidRDefault="00F17DEA" w:rsidP="00EF5969">
            <w:pPr>
              <w:spacing w:after="0" w:line="240" w:lineRule="auto"/>
              <w:jc w:val="right"/>
            </w:pPr>
            <w:r w:rsidRPr="04FC83EA">
              <w:rPr>
                <w:rFonts w:ascii="Calibri" w:eastAsia="Calibri" w:hAnsi="Calibri" w:cs="Calibri"/>
                <w:b/>
                <w:bCs/>
                <w:color w:val="000000" w:themeColor="text1"/>
                <w:sz w:val="24"/>
                <w:szCs w:val="24"/>
              </w:rPr>
              <w:t>Observations</w:t>
            </w:r>
          </w:p>
        </w:tc>
      </w:tr>
      <w:tr w:rsidR="00F17DEA" w14:paraId="108C5628" w14:textId="77777777" w:rsidTr="003B6997">
        <w:trPr>
          <w:trHeight w:val="315"/>
        </w:trPr>
        <w:tc>
          <w:tcPr>
            <w:tcW w:w="1830" w:type="dxa"/>
            <w:vAlign w:val="bottom"/>
          </w:tcPr>
          <w:p w14:paraId="3097C2E0" w14:textId="77777777" w:rsidR="00F17DEA" w:rsidRDefault="00F17DEA" w:rsidP="00EF5969">
            <w:pPr>
              <w:spacing w:after="0" w:line="240" w:lineRule="auto"/>
            </w:pPr>
            <w:r w:rsidRPr="04FC83EA">
              <w:rPr>
                <w:rFonts w:ascii="Calibri" w:eastAsia="Calibri" w:hAnsi="Calibri" w:cs="Calibri"/>
                <w:color w:val="000000" w:themeColor="text1"/>
                <w:sz w:val="24"/>
                <w:szCs w:val="24"/>
              </w:rPr>
              <w:t xml:space="preserve"> </w:t>
            </w:r>
          </w:p>
        </w:tc>
        <w:tc>
          <w:tcPr>
            <w:tcW w:w="300" w:type="dxa"/>
            <w:vAlign w:val="bottom"/>
          </w:tcPr>
          <w:p w14:paraId="491BDC86" w14:textId="77777777" w:rsidR="00F17DEA" w:rsidRDefault="00F17DEA" w:rsidP="00EF5969">
            <w:pPr>
              <w:spacing w:after="0" w:line="240" w:lineRule="auto"/>
            </w:pPr>
            <w:r w:rsidRPr="04FC83EA">
              <w:rPr>
                <w:rFonts w:ascii="Calibri" w:eastAsia="Calibri" w:hAnsi="Calibri" w:cs="Calibri"/>
                <w:color w:val="000000" w:themeColor="text1"/>
                <w:sz w:val="24"/>
                <w:szCs w:val="24"/>
              </w:rPr>
              <w:t xml:space="preserve"> </w:t>
            </w:r>
          </w:p>
        </w:tc>
        <w:tc>
          <w:tcPr>
            <w:tcW w:w="1980" w:type="dxa"/>
            <w:vAlign w:val="bottom"/>
          </w:tcPr>
          <w:p w14:paraId="4CE7CFA7"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 xml:space="preserve"> </w:t>
            </w:r>
          </w:p>
        </w:tc>
        <w:tc>
          <w:tcPr>
            <w:tcW w:w="2400" w:type="dxa"/>
            <w:vAlign w:val="bottom"/>
          </w:tcPr>
          <w:p w14:paraId="741624BD"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 xml:space="preserve"> </w:t>
            </w:r>
          </w:p>
        </w:tc>
      </w:tr>
      <w:tr w:rsidR="00F17DEA" w14:paraId="1D92E71F" w14:textId="77777777" w:rsidTr="003B6997">
        <w:trPr>
          <w:trHeight w:val="315"/>
        </w:trPr>
        <w:tc>
          <w:tcPr>
            <w:tcW w:w="1830" w:type="dxa"/>
            <w:vAlign w:val="bottom"/>
          </w:tcPr>
          <w:p w14:paraId="72D1FACB" w14:textId="77777777" w:rsidR="00F17DEA" w:rsidRDefault="00F17DEA" w:rsidP="00EF5969">
            <w:pPr>
              <w:spacing w:after="0" w:line="240" w:lineRule="auto"/>
            </w:pPr>
            <w:r w:rsidRPr="04FC83EA">
              <w:rPr>
                <w:rFonts w:ascii="Calibri" w:eastAsia="Calibri" w:hAnsi="Calibri" w:cs="Calibri"/>
                <w:color w:val="000000" w:themeColor="text1"/>
                <w:sz w:val="24"/>
                <w:szCs w:val="24"/>
              </w:rPr>
              <w:t>2007</w:t>
            </w:r>
          </w:p>
        </w:tc>
        <w:tc>
          <w:tcPr>
            <w:tcW w:w="300" w:type="dxa"/>
            <w:vAlign w:val="bottom"/>
          </w:tcPr>
          <w:p w14:paraId="7C8F3BC6" w14:textId="77777777" w:rsidR="00F17DEA" w:rsidRDefault="00F17DEA" w:rsidP="00EF5969">
            <w:pPr>
              <w:spacing w:after="0" w:line="240" w:lineRule="auto"/>
            </w:pPr>
          </w:p>
        </w:tc>
        <w:tc>
          <w:tcPr>
            <w:tcW w:w="1980" w:type="dxa"/>
            <w:vAlign w:val="bottom"/>
          </w:tcPr>
          <w:p w14:paraId="1DF508DA" w14:textId="058AEFE1" w:rsidR="00F17DEA" w:rsidRDefault="00F17DEA" w:rsidP="00EF5969">
            <w:pPr>
              <w:spacing w:after="0" w:line="240" w:lineRule="auto"/>
              <w:jc w:val="right"/>
            </w:pPr>
            <w:r w:rsidRPr="04FC83EA">
              <w:rPr>
                <w:rFonts w:ascii="Calibri" w:eastAsia="Calibri" w:hAnsi="Calibri" w:cs="Calibri"/>
                <w:color w:val="000000" w:themeColor="text1"/>
                <w:sz w:val="24"/>
                <w:szCs w:val="24"/>
              </w:rPr>
              <w:t>4.2</w:t>
            </w:r>
          </w:p>
        </w:tc>
        <w:tc>
          <w:tcPr>
            <w:tcW w:w="2400" w:type="dxa"/>
            <w:vAlign w:val="bottom"/>
          </w:tcPr>
          <w:p w14:paraId="5C6158A7"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288</w:t>
            </w:r>
          </w:p>
        </w:tc>
      </w:tr>
      <w:tr w:rsidR="00F17DEA" w14:paraId="658ED41C" w14:textId="77777777" w:rsidTr="003B6997">
        <w:trPr>
          <w:trHeight w:val="315"/>
        </w:trPr>
        <w:tc>
          <w:tcPr>
            <w:tcW w:w="1830" w:type="dxa"/>
            <w:vAlign w:val="bottom"/>
          </w:tcPr>
          <w:p w14:paraId="27B94BAF" w14:textId="77777777" w:rsidR="00F17DEA" w:rsidRDefault="00F17DEA" w:rsidP="00EF5969">
            <w:pPr>
              <w:spacing w:after="0" w:line="240" w:lineRule="auto"/>
            </w:pPr>
            <w:r w:rsidRPr="04FC83EA">
              <w:rPr>
                <w:rFonts w:ascii="Calibri" w:eastAsia="Calibri" w:hAnsi="Calibri" w:cs="Calibri"/>
                <w:color w:val="000000" w:themeColor="text1"/>
                <w:sz w:val="24"/>
                <w:szCs w:val="24"/>
              </w:rPr>
              <w:t>2009</w:t>
            </w:r>
          </w:p>
        </w:tc>
        <w:tc>
          <w:tcPr>
            <w:tcW w:w="300" w:type="dxa"/>
            <w:vAlign w:val="bottom"/>
          </w:tcPr>
          <w:p w14:paraId="0A992DA1" w14:textId="77777777" w:rsidR="00F17DEA" w:rsidRDefault="00F17DEA" w:rsidP="00EF5969">
            <w:pPr>
              <w:spacing w:after="0" w:line="240" w:lineRule="auto"/>
            </w:pPr>
          </w:p>
        </w:tc>
        <w:tc>
          <w:tcPr>
            <w:tcW w:w="1980" w:type="dxa"/>
            <w:vAlign w:val="bottom"/>
          </w:tcPr>
          <w:p w14:paraId="31781DAE" w14:textId="3E21475B" w:rsidR="00F17DEA" w:rsidRDefault="00F17DEA" w:rsidP="00EF5969">
            <w:pPr>
              <w:spacing w:after="0" w:line="240" w:lineRule="auto"/>
              <w:jc w:val="right"/>
            </w:pPr>
            <w:r w:rsidRPr="04FC83EA">
              <w:rPr>
                <w:rFonts w:ascii="Calibri" w:eastAsia="Calibri" w:hAnsi="Calibri" w:cs="Calibri"/>
                <w:color w:val="000000" w:themeColor="text1"/>
                <w:sz w:val="24"/>
                <w:szCs w:val="24"/>
              </w:rPr>
              <w:t>4.7</w:t>
            </w:r>
          </w:p>
        </w:tc>
        <w:tc>
          <w:tcPr>
            <w:tcW w:w="2400" w:type="dxa"/>
            <w:vAlign w:val="bottom"/>
          </w:tcPr>
          <w:p w14:paraId="68176BC8"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295</w:t>
            </w:r>
          </w:p>
        </w:tc>
      </w:tr>
      <w:tr w:rsidR="00F17DEA" w14:paraId="38AE4A5B" w14:textId="77777777" w:rsidTr="003B6997">
        <w:trPr>
          <w:trHeight w:val="315"/>
        </w:trPr>
        <w:tc>
          <w:tcPr>
            <w:tcW w:w="1830" w:type="dxa"/>
            <w:vAlign w:val="bottom"/>
          </w:tcPr>
          <w:p w14:paraId="336C2B10" w14:textId="77777777" w:rsidR="00F17DEA" w:rsidRDefault="00F17DEA" w:rsidP="00EF5969">
            <w:pPr>
              <w:spacing w:after="0" w:line="240" w:lineRule="auto"/>
            </w:pPr>
            <w:r w:rsidRPr="04FC83EA">
              <w:rPr>
                <w:rFonts w:ascii="Calibri" w:eastAsia="Calibri" w:hAnsi="Calibri" w:cs="Calibri"/>
                <w:color w:val="000000" w:themeColor="text1"/>
                <w:sz w:val="24"/>
                <w:szCs w:val="24"/>
              </w:rPr>
              <w:t>2011</w:t>
            </w:r>
          </w:p>
        </w:tc>
        <w:tc>
          <w:tcPr>
            <w:tcW w:w="300" w:type="dxa"/>
            <w:vAlign w:val="bottom"/>
          </w:tcPr>
          <w:p w14:paraId="57BCC613" w14:textId="77777777" w:rsidR="00F17DEA" w:rsidRDefault="00F17DEA" w:rsidP="00EF5969">
            <w:pPr>
              <w:spacing w:after="0" w:line="240" w:lineRule="auto"/>
            </w:pPr>
          </w:p>
        </w:tc>
        <w:tc>
          <w:tcPr>
            <w:tcW w:w="1980" w:type="dxa"/>
            <w:vAlign w:val="bottom"/>
          </w:tcPr>
          <w:p w14:paraId="0007A8C3" w14:textId="1DBB45E1" w:rsidR="00F17DEA" w:rsidRDefault="00F17DEA" w:rsidP="00EF5969">
            <w:pPr>
              <w:spacing w:after="0" w:line="240" w:lineRule="auto"/>
              <w:jc w:val="right"/>
            </w:pPr>
            <w:r w:rsidRPr="04FC83EA">
              <w:rPr>
                <w:rFonts w:ascii="Calibri" w:eastAsia="Calibri" w:hAnsi="Calibri" w:cs="Calibri"/>
                <w:color w:val="000000" w:themeColor="text1"/>
                <w:sz w:val="24"/>
                <w:szCs w:val="24"/>
              </w:rPr>
              <w:t>6.1</w:t>
            </w:r>
          </w:p>
        </w:tc>
        <w:tc>
          <w:tcPr>
            <w:tcW w:w="2400" w:type="dxa"/>
            <w:vAlign w:val="bottom"/>
          </w:tcPr>
          <w:p w14:paraId="40E1FCDC" w14:textId="77777777" w:rsidR="00F17DEA" w:rsidRDefault="00F17DEA" w:rsidP="00EF5969">
            <w:pPr>
              <w:spacing w:after="0" w:line="240" w:lineRule="auto"/>
              <w:jc w:val="right"/>
            </w:pPr>
            <w:r w:rsidRPr="04FC83EA">
              <w:rPr>
                <w:rFonts w:ascii="Calibri" w:eastAsia="Calibri" w:hAnsi="Calibri" w:cs="Calibri"/>
                <w:color w:val="000000" w:themeColor="text1"/>
                <w:sz w:val="24"/>
                <w:szCs w:val="24"/>
              </w:rPr>
              <w:t>361</w:t>
            </w:r>
          </w:p>
        </w:tc>
      </w:tr>
      <w:tr w:rsidR="00F17DEA" w14:paraId="181162EC" w14:textId="77777777" w:rsidTr="003B6997">
        <w:trPr>
          <w:trHeight w:val="315"/>
        </w:trPr>
        <w:tc>
          <w:tcPr>
            <w:tcW w:w="1830" w:type="dxa"/>
            <w:tcBorders>
              <w:left w:val="nil"/>
              <w:bottom w:val="single" w:sz="8" w:space="0" w:color="auto"/>
              <w:right w:val="nil"/>
            </w:tcBorders>
            <w:vAlign w:val="bottom"/>
          </w:tcPr>
          <w:p w14:paraId="116762A6" w14:textId="77777777" w:rsidR="00F17DEA" w:rsidRDefault="00F17DEA" w:rsidP="00EF5969">
            <w:pPr>
              <w:spacing w:after="0" w:line="240" w:lineRule="auto"/>
            </w:pPr>
            <w:r w:rsidRPr="04FC83EA">
              <w:rPr>
                <w:rFonts w:ascii="Calibri" w:eastAsia="Calibri" w:hAnsi="Calibri" w:cs="Calibri"/>
                <w:color w:val="000000" w:themeColor="text1"/>
                <w:sz w:val="24"/>
                <w:szCs w:val="24"/>
              </w:rPr>
              <w:t xml:space="preserve"> </w:t>
            </w:r>
          </w:p>
        </w:tc>
        <w:tc>
          <w:tcPr>
            <w:tcW w:w="300" w:type="dxa"/>
            <w:tcBorders>
              <w:left w:val="nil"/>
              <w:bottom w:val="single" w:sz="8" w:space="0" w:color="auto"/>
              <w:right w:val="nil"/>
            </w:tcBorders>
            <w:vAlign w:val="bottom"/>
          </w:tcPr>
          <w:p w14:paraId="464028C3" w14:textId="77777777" w:rsidR="00F17DEA" w:rsidRDefault="00F17DEA" w:rsidP="00EF5969">
            <w:pPr>
              <w:spacing w:after="0" w:line="240" w:lineRule="auto"/>
            </w:pPr>
            <w:r w:rsidRPr="04FC83EA">
              <w:rPr>
                <w:rFonts w:ascii="Calibri" w:eastAsia="Calibri" w:hAnsi="Calibri" w:cs="Calibri"/>
                <w:color w:val="000000" w:themeColor="text1"/>
                <w:sz w:val="24"/>
                <w:szCs w:val="24"/>
              </w:rPr>
              <w:t xml:space="preserve"> </w:t>
            </w:r>
          </w:p>
        </w:tc>
        <w:tc>
          <w:tcPr>
            <w:tcW w:w="1980" w:type="dxa"/>
            <w:tcBorders>
              <w:left w:val="nil"/>
              <w:bottom w:val="single" w:sz="8" w:space="0" w:color="auto"/>
              <w:right w:val="nil"/>
            </w:tcBorders>
            <w:vAlign w:val="bottom"/>
          </w:tcPr>
          <w:p w14:paraId="26688BFF" w14:textId="77777777" w:rsidR="00F17DEA" w:rsidRDefault="00F17DEA" w:rsidP="00EF5969">
            <w:pPr>
              <w:spacing w:after="0" w:line="240" w:lineRule="auto"/>
            </w:pPr>
            <w:r w:rsidRPr="04FC83EA">
              <w:rPr>
                <w:rFonts w:ascii="Calibri" w:eastAsia="Calibri" w:hAnsi="Calibri" w:cs="Calibri"/>
                <w:color w:val="000000" w:themeColor="text1"/>
                <w:sz w:val="24"/>
                <w:szCs w:val="24"/>
              </w:rPr>
              <w:t xml:space="preserve"> </w:t>
            </w:r>
          </w:p>
        </w:tc>
        <w:tc>
          <w:tcPr>
            <w:tcW w:w="2400" w:type="dxa"/>
            <w:tcBorders>
              <w:left w:val="nil"/>
              <w:bottom w:val="single" w:sz="8" w:space="0" w:color="auto"/>
              <w:right w:val="nil"/>
            </w:tcBorders>
            <w:vAlign w:val="bottom"/>
          </w:tcPr>
          <w:p w14:paraId="13CF703C" w14:textId="77777777" w:rsidR="00F17DEA" w:rsidRDefault="00F17DEA" w:rsidP="00EF5969">
            <w:pPr>
              <w:spacing w:after="0" w:line="240" w:lineRule="auto"/>
            </w:pPr>
            <w:r w:rsidRPr="04FC83EA">
              <w:rPr>
                <w:rFonts w:ascii="Calibri" w:eastAsia="Calibri" w:hAnsi="Calibri" w:cs="Calibri"/>
                <w:color w:val="000000" w:themeColor="text1"/>
                <w:sz w:val="24"/>
                <w:szCs w:val="24"/>
              </w:rPr>
              <w:t xml:space="preserve"> </w:t>
            </w:r>
          </w:p>
        </w:tc>
      </w:tr>
    </w:tbl>
    <w:p w14:paraId="27BF4047" w14:textId="77777777" w:rsidR="00F17DEA" w:rsidRPr="007E32AE" w:rsidRDefault="00F17DEA" w:rsidP="00F17DEA">
      <w:pPr>
        <w:spacing w:after="0" w:line="360" w:lineRule="auto"/>
        <w:ind w:firstLine="720"/>
        <w:rPr>
          <w:rFonts w:cstheme="minorHAnsi"/>
          <w:sz w:val="24"/>
          <w:szCs w:val="24"/>
        </w:rPr>
      </w:pPr>
    </w:p>
    <w:p w14:paraId="5FE95870" w14:textId="30AD3C34" w:rsidR="00EF5969" w:rsidRDefault="04FC83EA" w:rsidP="00F17DEA">
      <w:pPr>
        <w:spacing w:after="0" w:line="360" w:lineRule="auto"/>
        <w:ind w:firstLine="720"/>
        <w:rPr>
          <w:rFonts w:eastAsia="Times New Roman" w:cstheme="minorHAnsi"/>
          <w:sz w:val="24"/>
          <w:szCs w:val="24"/>
        </w:rPr>
      </w:pPr>
      <w:r w:rsidRPr="007E32AE">
        <w:rPr>
          <w:rFonts w:eastAsia="Times New Roman" w:cstheme="minorHAnsi"/>
          <w:sz w:val="24"/>
          <w:szCs w:val="24"/>
        </w:rPr>
        <w:t xml:space="preserve">Tables </w:t>
      </w:r>
      <w:r w:rsidR="00F17DEA">
        <w:rPr>
          <w:rFonts w:eastAsia="Times New Roman" w:cstheme="minorHAnsi"/>
          <w:sz w:val="24"/>
          <w:szCs w:val="24"/>
        </w:rPr>
        <w:t>3</w:t>
      </w:r>
      <w:r w:rsidRPr="007E32AE">
        <w:rPr>
          <w:rFonts w:eastAsia="Times New Roman" w:cstheme="minorHAnsi"/>
          <w:sz w:val="24"/>
          <w:szCs w:val="24"/>
        </w:rPr>
        <w:t xml:space="preserve"> reports our analysis on the association between </w:t>
      </w:r>
      <w:r w:rsidR="00830D05">
        <w:rPr>
          <w:rFonts w:eastAsia="Times New Roman" w:cstheme="minorHAnsi"/>
          <w:sz w:val="24"/>
          <w:szCs w:val="24"/>
        </w:rPr>
        <w:t xml:space="preserve">external </w:t>
      </w:r>
      <w:r w:rsidRPr="007E32AE">
        <w:rPr>
          <w:rFonts w:eastAsia="Times New Roman" w:cstheme="minorHAnsi"/>
          <w:sz w:val="24"/>
          <w:szCs w:val="24"/>
        </w:rPr>
        <w:t>collaboration arrangements and R&amp;D expenditures, an input measure of the resources companies commit to innovation. The dependent variable is the natural logarithm of R&amp;D expenditure. We include in our regression model a range of additional variables to control for effects associated with a range of company characteristics, including the claiming of taxation subsidies (</w:t>
      </w:r>
      <w:r w:rsidRPr="007E32AE">
        <w:rPr>
          <w:rFonts w:eastAsia="Times New Roman" w:cstheme="minorHAnsi"/>
          <w:i/>
          <w:iCs/>
          <w:sz w:val="24"/>
          <w:szCs w:val="24"/>
        </w:rPr>
        <w:t>taxoffset</w:t>
      </w:r>
      <w:r w:rsidRPr="007E32AE">
        <w:rPr>
          <w:rFonts w:eastAsia="Times New Roman" w:cstheme="minorHAnsi"/>
          <w:sz w:val="24"/>
          <w:szCs w:val="24"/>
        </w:rPr>
        <w:t>) and whether these subsidies were claimed under the R&amp;D Tax Concession scheme, or the R&amp;D Tax Incentive scheme introduced in 2012 (</w:t>
      </w:r>
      <w:r w:rsidRPr="007E32AE">
        <w:rPr>
          <w:rFonts w:eastAsia="Times New Roman" w:cstheme="minorHAnsi"/>
          <w:i/>
          <w:iCs/>
          <w:sz w:val="24"/>
          <w:szCs w:val="24"/>
        </w:rPr>
        <w:t>post</w:t>
      </w:r>
      <w:r w:rsidRPr="007E32AE">
        <w:rPr>
          <w:rFonts w:eastAsia="Times New Roman" w:cstheme="minorHAnsi"/>
          <w:sz w:val="24"/>
          <w:szCs w:val="24"/>
        </w:rPr>
        <w:t xml:space="preserve">). We examine the association both within industry and year and within industry-year using fixed effect models. </w:t>
      </w:r>
    </w:p>
    <w:p w14:paraId="3DB0CE1C" w14:textId="2D2CAF09" w:rsidR="04FC83EA" w:rsidRPr="00F17DEA" w:rsidRDefault="04FC83EA" w:rsidP="00F17DEA">
      <w:pPr>
        <w:spacing w:after="0" w:line="360" w:lineRule="auto"/>
        <w:ind w:firstLine="720"/>
        <w:rPr>
          <w:rFonts w:cstheme="minorHAnsi"/>
          <w:sz w:val="24"/>
          <w:szCs w:val="24"/>
        </w:rPr>
      </w:pPr>
      <w:r w:rsidRPr="007E32AE">
        <w:rPr>
          <w:rFonts w:eastAsia="Times New Roman" w:cstheme="minorHAnsi"/>
          <w:sz w:val="24"/>
          <w:szCs w:val="24"/>
        </w:rPr>
        <w:t xml:space="preserve">Table </w:t>
      </w:r>
      <w:r w:rsidR="00F17DEA">
        <w:rPr>
          <w:rFonts w:eastAsia="Times New Roman" w:cstheme="minorHAnsi"/>
          <w:sz w:val="24"/>
          <w:szCs w:val="24"/>
        </w:rPr>
        <w:t>3</w:t>
      </w:r>
      <w:r w:rsidRPr="007E32AE">
        <w:rPr>
          <w:rFonts w:eastAsia="Times New Roman" w:cstheme="minorHAnsi"/>
          <w:sz w:val="24"/>
          <w:szCs w:val="24"/>
        </w:rPr>
        <w:t xml:space="preserve"> shows a strong positive association between </w:t>
      </w:r>
      <w:r w:rsidRPr="007E32AE">
        <w:rPr>
          <w:rFonts w:eastAsia="Times New Roman" w:cstheme="minorHAnsi"/>
          <w:i/>
          <w:iCs/>
          <w:sz w:val="24"/>
          <w:szCs w:val="24"/>
        </w:rPr>
        <w:t>coopjres_bcs</w:t>
      </w:r>
      <w:r w:rsidRPr="007E32AE">
        <w:rPr>
          <w:rFonts w:eastAsia="Times New Roman" w:cstheme="minorHAnsi"/>
          <w:sz w:val="24"/>
          <w:szCs w:val="24"/>
        </w:rPr>
        <w:t xml:space="preserve"> and research expenditures. The magnitude of this effect is equivalent to a 49 percent increase in R&amp;D expenditures (</w:t>
      </w:r>
      <w:r w:rsidRPr="007E32AE">
        <w:rPr>
          <w:rFonts w:eastAsia="Times New Roman" w:cstheme="minorHAnsi"/>
          <w:i/>
          <w:iCs/>
          <w:sz w:val="24"/>
          <w:szCs w:val="24"/>
        </w:rPr>
        <w:t xml:space="preserve">t = </w:t>
      </w:r>
      <w:r w:rsidRPr="007E32AE">
        <w:rPr>
          <w:rFonts w:eastAsia="Times New Roman" w:cstheme="minorHAnsi"/>
          <w:sz w:val="24"/>
          <w:szCs w:val="24"/>
        </w:rPr>
        <w:t>4.60</w:t>
      </w:r>
      <w:r w:rsidR="00634FD6">
        <w:rPr>
          <w:rFonts w:eastAsia="Times New Roman" w:cstheme="minorHAnsi"/>
          <w:sz w:val="24"/>
          <w:szCs w:val="24"/>
        </w:rPr>
        <w:t>, p = .0000</w:t>
      </w:r>
      <w:r w:rsidRPr="007E32AE">
        <w:rPr>
          <w:rFonts w:eastAsia="Times New Roman" w:cstheme="minorHAnsi"/>
          <w:sz w:val="24"/>
          <w:szCs w:val="24"/>
        </w:rPr>
        <w:t xml:space="preserve"> and 4.47</w:t>
      </w:r>
      <w:r w:rsidR="00634FD6">
        <w:rPr>
          <w:rFonts w:eastAsia="Times New Roman" w:cstheme="minorHAnsi"/>
          <w:sz w:val="24"/>
          <w:szCs w:val="24"/>
        </w:rPr>
        <w:t>, p = .0000</w:t>
      </w:r>
      <w:r w:rsidRPr="007E32AE">
        <w:rPr>
          <w:rFonts w:eastAsia="Times New Roman" w:cstheme="minorHAnsi"/>
          <w:sz w:val="24"/>
          <w:szCs w:val="24"/>
        </w:rPr>
        <w:t xml:space="preserve">). This suggests that either companies </w:t>
      </w:r>
      <w:r w:rsidR="00830D05">
        <w:rPr>
          <w:rFonts w:eastAsia="Times New Roman" w:cstheme="minorHAnsi"/>
          <w:sz w:val="24"/>
          <w:szCs w:val="24"/>
        </w:rPr>
        <w:lastRenderedPageBreak/>
        <w:t xml:space="preserve">externally </w:t>
      </w:r>
      <w:r w:rsidRPr="007E32AE">
        <w:rPr>
          <w:rFonts w:eastAsia="Times New Roman" w:cstheme="minorHAnsi"/>
          <w:sz w:val="24"/>
          <w:szCs w:val="24"/>
        </w:rPr>
        <w:t xml:space="preserve">collaborate on larger R&amp;D projects or that companies are prepared to commit more resources to such projects. In either case, </w:t>
      </w:r>
      <w:r w:rsidR="00830D05">
        <w:rPr>
          <w:rFonts w:eastAsia="Times New Roman" w:cstheme="minorHAnsi"/>
          <w:sz w:val="24"/>
          <w:szCs w:val="24"/>
        </w:rPr>
        <w:t xml:space="preserve">external </w:t>
      </w:r>
      <w:r w:rsidRPr="007E32AE">
        <w:rPr>
          <w:rFonts w:eastAsia="Times New Roman" w:cstheme="minorHAnsi"/>
          <w:sz w:val="24"/>
          <w:szCs w:val="24"/>
        </w:rPr>
        <w:t xml:space="preserve">collaboration arrangements appear to be a valuable vehicle for undertaking such research endeavours. In untabulated results, the economic magnitude of the association attributed to research collaborations with research institutions, </w:t>
      </w:r>
      <w:r w:rsidRPr="007E32AE">
        <w:rPr>
          <w:rFonts w:eastAsia="Times New Roman" w:cstheme="minorHAnsi"/>
          <w:i/>
          <w:iCs/>
          <w:sz w:val="24"/>
          <w:szCs w:val="24"/>
        </w:rPr>
        <w:t>col_uni</w:t>
      </w:r>
      <w:r w:rsidRPr="007E32AE">
        <w:rPr>
          <w:rFonts w:eastAsia="Times New Roman" w:cstheme="minorHAnsi"/>
          <w:sz w:val="24"/>
          <w:szCs w:val="24"/>
        </w:rPr>
        <w:t xml:space="preserve">, is similarly meaningful. However, the association falls marginally outside conventional levels of statistical significance, which we attribute to the considerably smaller sample available for study, relative to our more general measure, </w:t>
      </w:r>
      <w:r w:rsidRPr="007E32AE">
        <w:rPr>
          <w:rFonts w:eastAsia="Times New Roman" w:cstheme="minorHAnsi"/>
          <w:i/>
          <w:iCs/>
          <w:sz w:val="24"/>
          <w:szCs w:val="24"/>
        </w:rPr>
        <w:t>coopjres_bcs</w:t>
      </w:r>
      <w:r w:rsidRPr="007E32AE">
        <w:rPr>
          <w:rFonts w:eastAsia="Times New Roman" w:cstheme="minorHAnsi"/>
          <w:sz w:val="24"/>
          <w:szCs w:val="24"/>
        </w:rPr>
        <w:t xml:space="preserve">, particularly for SMEs, which may benefit most from such </w:t>
      </w:r>
      <w:r w:rsidR="00830D05">
        <w:rPr>
          <w:rFonts w:eastAsia="Times New Roman" w:cstheme="minorHAnsi"/>
          <w:sz w:val="24"/>
          <w:szCs w:val="24"/>
        </w:rPr>
        <w:t xml:space="preserve">external </w:t>
      </w:r>
      <w:r w:rsidRPr="007E32AE">
        <w:rPr>
          <w:rFonts w:eastAsia="Times New Roman" w:cstheme="minorHAnsi"/>
          <w:sz w:val="24"/>
          <w:szCs w:val="24"/>
        </w:rPr>
        <w:t xml:space="preserve">collaborations in the absence of internal resources. </w:t>
      </w:r>
    </w:p>
    <w:p w14:paraId="25F8A747" w14:textId="77777777" w:rsidR="00F17DEA" w:rsidRDefault="00F17DEA" w:rsidP="007E32AE">
      <w:pPr>
        <w:spacing w:after="0" w:line="360" w:lineRule="auto"/>
        <w:ind w:firstLine="720"/>
        <w:rPr>
          <w:rFonts w:eastAsia="Times New Roman" w:cstheme="minorHAnsi"/>
          <w:sz w:val="24"/>
          <w:szCs w:val="24"/>
        </w:rPr>
      </w:pPr>
    </w:p>
    <w:tbl>
      <w:tblPr>
        <w:tblW w:w="0" w:type="auto"/>
        <w:tblLayout w:type="fixed"/>
        <w:tblLook w:val="04A0" w:firstRow="1" w:lastRow="0" w:firstColumn="1" w:lastColumn="0" w:noHBand="0" w:noVBand="1"/>
      </w:tblPr>
      <w:tblGrid>
        <w:gridCol w:w="3005"/>
        <w:gridCol w:w="3005"/>
        <w:gridCol w:w="3005"/>
      </w:tblGrid>
      <w:tr w:rsidR="00F17DEA" w14:paraId="4CD52C35" w14:textId="77777777" w:rsidTr="003B6997">
        <w:tc>
          <w:tcPr>
            <w:tcW w:w="9015" w:type="dxa"/>
            <w:gridSpan w:val="3"/>
            <w:tcBorders>
              <w:top w:val="nil"/>
              <w:left w:val="nil"/>
              <w:bottom w:val="single" w:sz="8" w:space="0" w:color="auto"/>
              <w:right w:val="nil"/>
            </w:tcBorders>
            <w:vAlign w:val="center"/>
          </w:tcPr>
          <w:p w14:paraId="1553D9BF" w14:textId="088D5866" w:rsidR="00F17DEA" w:rsidRDefault="00F17DEA" w:rsidP="003B6997">
            <w:pPr>
              <w:spacing w:line="276" w:lineRule="auto"/>
            </w:pPr>
            <w:r w:rsidRPr="04FC83EA">
              <w:rPr>
                <w:rFonts w:ascii="Times New Roman" w:eastAsia="Times New Roman" w:hAnsi="Times New Roman" w:cs="Times New Roman"/>
                <w:b/>
                <w:bCs/>
                <w:color w:val="000000" w:themeColor="text1"/>
                <w:sz w:val="24"/>
                <w:szCs w:val="24"/>
              </w:rPr>
              <w:t xml:space="preserve">Table </w:t>
            </w:r>
            <w:r>
              <w:rPr>
                <w:rFonts w:ascii="Times New Roman" w:eastAsia="Times New Roman" w:hAnsi="Times New Roman" w:cs="Times New Roman"/>
                <w:b/>
                <w:bCs/>
                <w:color w:val="000000" w:themeColor="text1"/>
                <w:sz w:val="24"/>
                <w:szCs w:val="24"/>
              </w:rPr>
              <w:t>3</w:t>
            </w:r>
            <w:r w:rsidRPr="04FC83EA">
              <w:rPr>
                <w:rFonts w:ascii="Times New Roman" w:eastAsia="Times New Roman" w:hAnsi="Times New Roman" w:cs="Times New Roman"/>
                <w:b/>
                <w:bCs/>
                <w:color w:val="000000" w:themeColor="text1"/>
                <w:sz w:val="24"/>
                <w:szCs w:val="24"/>
              </w:rPr>
              <w:t>: Association between collaborative R&amp;D arrangements on R&amp;D expenditure</w:t>
            </w:r>
          </w:p>
        </w:tc>
      </w:tr>
      <w:tr w:rsidR="00F17DEA" w14:paraId="53ECD6AD" w14:textId="77777777" w:rsidTr="003B6997">
        <w:tc>
          <w:tcPr>
            <w:tcW w:w="3005" w:type="dxa"/>
            <w:tcBorders>
              <w:top w:val="single" w:sz="8" w:space="0" w:color="auto"/>
              <w:left w:val="nil"/>
              <w:bottom w:val="nil"/>
              <w:right w:val="nil"/>
            </w:tcBorders>
            <w:vAlign w:val="center"/>
          </w:tcPr>
          <w:p w14:paraId="290DD375" w14:textId="77777777" w:rsidR="00F17DEA" w:rsidRDefault="00F17DEA" w:rsidP="004875F2">
            <w:pPr>
              <w:spacing w:after="0" w:line="240" w:lineRule="auto"/>
              <w:jc w:val="center"/>
            </w:pPr>
            <w:r w:rsidRPr="04FC83EA">
              <w:rPr>
                <w:rFonts w:ascii="Times New Roman" w:eastAsia="Times New Roman" w:hAnsi="Times New Roman" w:cs="Times New Roman"/>
                <w:b/>
                <w:bCs/>
                <w:color w:val="000000" w:themeColor="text1"/>
                <w:sz w:val="24"/>
                <w:szCs w:val="24"/>
              </w:rPr>
              <w:t xml:space="preserve"> </w:t>
            </w:r>
          </w:p>
        </w:tc>
        <w:tc>
          <w:tcPr>
            <w:tcW w:w="6010" w:type="dxa"/>
            <w:gridSpan w:val="2"/>
            <w:tcBorders>
              <w:top w:val="nil"/>
              <w:left w:val="nil"/>
              <w:bottom w:val="single" w:sz="8" w:space="0" w:color="000000" w:themeColor="text1"/>
              <w:right w:val="nil"/>
            </w:tcBorders>
            <w:vAlign w:val="center"/>
          </w:tcPr>
          <w:p w14:paraId="1276000E" w14:textId="77777777" w:rsidR="00F17DEA" w:rsidRDefault="00F17DEA" w:rsidP="004875F2">
            <w:pPr>
              <w:spacing w:after="0" w:line="240" w:lineRule="auto"/>
              <w:jc w:val="center"/>
            </w:pPr>
            <w:r w:rsidRPr="04FC83EA">
              <w:rPr>
                <w:rFonts w:ascii="Times New Roman" w:eastAsia="Times New Roman" w:hAnsi="Times New Roman" w:cs="Times New Roman"/>
                <w:b/>
                <w:bCs/>
                <w:color w:val="000000" w:themeColor="text1"/>
                <w:sz w:val="24"/>
                <w:szCs w:val="24"/>
              </w:rPr>
              <w:t>amttot_berd</w:t>
            </w:r>
          </w:p>
        </w:tc>
      </w:tr>
      <w:tr w:rsidR="00F17DEA" w14:paraId="43C6D313" w14:textId="77777777" w:rsidTr="003B6997">
        <w:tc>
          <w:tcPr>
            <w:tcW w:w="3005" w:type="dxa"/>
            <w:tcBorders>
              <w:top w:val="nil"/>
              <w:left w:val="nil"/>
              <w:bottom w:val="nil"/>
              <w:right w:val="nil"/>
            </w:tcBorders>
            <w:vAlign w:val="center"/>
          </w:tcPr>
          <w:p w14:paraId="3FF49087" w14:textId="77777777" w:rsidR="00F17DEA" w:rsidRDefault="00F17DEA" w:rsidP="004875F2">
            <w:pPr>
              <w:spacing w:after="0" w:line="240" w:lineRule="auto"/>
              <w:jc w:val="center"/>
            </w:pPr>
            <w:r w:rsidRPr="04FC83EA">
              <w:rPr>
                <w:rFonts w:ascii="Times New Roman" w:eastAsia="Times New Roman" w:hAnsi="Times New Roman" w:cs="Times New Roman"/>
                <w:b/>
                <w:bCs/>
                <w:color w:val="000000" w:themeColor="text1"/>
                <w:sz w:val="24"/>
                <w:szCs w:val="24"/>
              </w:rPr>
              <w:t xml:space="preserve"> </w:t>
            </w:r>
          </w:p>
        </w:tc>
        <w:tc>
          <w:tcPr>
            <w:tcW w:w="3005" w:type="dxa"/>
            <w:tcBorders>
              <w:top w:val="single" w:sz="8" w:space="0" w:color="000000" w:themeColor="text1"/>
              <w:left w:val="nil"/>
              <w:bottom w:val="nil"/>
              <w:right w:val="nil"/>
            </w:tcBorders>
            <w:vAlign w:val="center"/>
          </w:tcPr>
          <w:p w14:paraId="2459512E" w14:textId="77777777" w:rsidR="00F17DEA" w:rsidRDefault="00F17DEA" w:rsidP="004875F2">
            <w:pPr>
              <w:spacing w:after="0" w:line="240" w:lineRule="auto"/>
            </w:pPr>
            <w:r w:rsidRPr="04FC83EA">
              <w:rPr>
                <w:rFonts w:ascii="Times New Roman" w:eastAsia="Times New Roman" w:hAnsi="Times New Roman" w:cs="Times New Roman"/>
                <w:b/>
                <w:bCs/>
                <w:color w:val="000000" w:themeColor="text1"/>
                <w:sz w:val="24"/>
                <w:szCs w:val="24"/>
              </w:rPr>
              <w:t>Model 1</w:t>
            </w:r>
          </w:p>
        </w:tc>
        <w:tc>
          <w:tcPr>
            <w:tcW w:w="3005" w:type="dxa"/>
            <w:tcBorders>
              <w:top w:val="nil"/>
              <w:left w:val="nil"/>
              <w:bottom w:val="nil"/>
              <w:right w:val="nil"/>
            </w:tcBorders>
            <w:vAlign w:val="center"/>
          </w:tcPr>
          <w:p w14:paraId="118C05CA" w14:textId="77777777" w:rsidR="00F17DEA" w:rsidRDefault="00F17DEA" w:rsidP="004875F2">
            <w:pPr>
              <w:spacing w:after="0" w:line="240" w:lineRule="auto"/>
            </w:pPr>
            <w:r w:rsidRPr="04FC83EA">
              <w:rPr>
                <w:rFonts w:ascii="Times New Roman" w:eastAsia="Times New Roman" w:hAnsi="Times New Roman" w:cs="Times New Roman"/>
                <w:b/>
                <w:bCs/>
                <w:color w:val="000000" w:themeColor="text1"/>
                <w:sz w:val="24"/>
                <w:szCs w:val="24"/>
              </w:rPr>
              <w:t>Model 2</w:t>
            </w:r>
          </w:p>
        </w:tc>
      </w:tr>
      <w:tr w:rsidR="00F17DEA" w14:paraId="699E19B1" w14:textId="77777777" w:rsidTr="003B6997">
        <w:tc>
          <w:tcPr>
            <w:tcW w:w="3005" w:type="dxa"/>
            <w:tcBorders>
              <w:top w:val="nil"/>
              <w:left w:val="nil"/>
              <w:bottom w:val="nil"/>
              <w:right w:val="nil"/>
            </w:tcBorders>
            <w:vAlign w:val="center"/>
          </w:tcPr>
          <w:p w14:paraId="3D9C5EB0"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coopjres_bcs</w:t>
            </w:r>
          </w:p>
        </w:tc>
        <w:tc>
          <w:tcPr>
            <w:tcW w:w="3005" w:type="dxa"/>
            <w:tcBorders>
              <w:top w:val="nil"/>
              <w:left w:val="nil"/>
              <w:bottom w:val="nil"/>
              <w:right w:val="nil"/>
            </w:tcBorders>
            <w:vAlign w:val="center"/>
          </w:tcPr>
          <w:p w14:paraId="32E95729"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0.40</w:t>
            </w:r>
            <w:r w:rsidRPr="04FC83EA">
              <w:rPr>
                <w:rFonts w:ascii="Times New Roman" w:eastAsia="Times New Roman" w:hAnsi="Times New Roman" w:cs="Times New Roman"/>
                <w:color w:val="000000" w:themeColor="text1"/>
                <w:sz w:val="24"/>
                <w:szCs w:val="24"/>
                <w:vertAlign w:val="superscript"/>
              </w:rPr>
              <w:t>***</w:t>
            </w:r>
          </w:p>
        </w:tc>
        <w:tc>
          <w:tcPr>
            <w:tcW w:w="3005" w:type="dxa"/>
            <w:tcBorders>
              <w:top w:val="nil"/>
              <w:left w:val="nil"/>
              <w:bottom w:val="nil"/>
              <w:right w:val="nil"/>
            </w:tcBorders>
            <w:vAlign w:val="center"/>
          </w:tcPr>
          <w:p w14:paraId="3CC195D6"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0.40</w:t>
            </w:r>
            <w:r w:rsidRPr="04FC83EA">
              <w:rPr>
                <w:rFonts w:ascii="Times New Roman" w:eastAsia="Times New Roman" w:hAnsi="Times New Roman" w:cs="Times New Roman"/>
                <w:color w:val="000000" w:themeColor="text1"/>
                <w:sz w:val="24"/>
                <w:szCs w:val="24"/>
                <w:vertAlign w:val="superscript"/>
              </w:rPr>
              <w:t>***</w:t>
            </w:r>
          </w:p>
        </w:tc>
      </w:tr>
      <w:tr w:rsidR="00F17DEA" w14:paraId="4E7FC0EB" w14:textId="77777777" w:rsidTr="003B6997">
        <w:tc>
          <w:tcPr>
            <w:tcW w:w="3005" w:type="dxa"/>
            <w:tcBorders>
              <w:top w:val="nil"/>
              <w:left w:val="nil"/>
              <w:bottom w:val="nil"/>
              <w:right w:val="nil"/>
            </w:tcBorders>
            <w:vAlign w:val="center"/>
          </w:tcPr>
          <w:p w14:paraId="714C8B2B"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2083D1BB"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[4.60]</w:t>
            </w:r>
          </w:p>
        </w:tc>
        <w:tc>
          <w:tcPr>
            <w:tcW w:w="3005" w:type="dxa"/>
            <w:tcBorders>
              <w:top w:val="nil"/>
              <w:left w:val="nil"/>
              <w:bottom w:val="nil"/>
              <w:right w:val="nil"/>
            </w:tcBorders>
            <w:vAlign w:val="center"/>
          </w:tcPr>
          <w:p w14:paraId="7C11B5FE"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[4.47]</w:t>
            </w:r>
          </w:p>
        </w:tc>
      </w:tr>
      <w:tr w:rsidR="00F17DEA" w14:paraId="4DF51D28" w14:textId="77777777" w:rsidTr="003B6997">
        <w:tc>
          <w:tcPr>
            <w:tcW w:w="3005" w:type="dxa"/>
            <w:tcBorders>
              <w:top w:val="nil"/>
              <w:left w:val="nil"/>
              <w:bottom w:val="nil"/>
              <w:right w:val="nil"/>
            </w:tcBorders>
            <w:vAlign w:val="center"/>
          </w:tcPr>
          <w:p w14:paraId="1618C3BA"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taxoffset</w:t>
            </w:r>
          </w:p>
        </w:tc>
        <w:tc>
          <w:tcPr>
            <w:tcW w:w="3005" w:type="dxa"/>
            <w:tcBorders>
              <w:top w:val="nil"/>
              <w:left w:val="nil"/>
              <w:bottom w:val="nil"/>
              <w:right w:val="nil"/>
            </w:tcBorders>
            <w:vAlign w:val="center"/>
          </w:tcPr>
          <w:p w14:paraId="4F196D91"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0.24</w:t>
            </w:r>
            <w:r w:rsidRPr="04FC83EA">
              <w:rPr>
                <w:rFonts w:ascii="Times New Roman" w:eastAsia="Times New Roman" w:hAnsi="Times New Roman" w:cs="Times New Roman"/>
                <w:color w:val="000000" w:themeColor="text1"/>
                <w:sz w:val="24"/>
                <w:szCs w:val="24"/>
                <w:vertAlign w:val="superscript"/>
              </w:rPr>
              <w:t>**</w:t>
            </w:r>
          </w:p>
        </w:tc>
        <w:tc>
          <w:tcPr>
            <w:tcW w:w="3005" w:type="dxa"/>
            <w:tcBorders>
              <w:top w:val="nil"/>
              <w:left w:val="nil"/>
              <w:bottom w:val="nil"/>
              <w:right w:val="nil"/>
            </w:tcBorders>
            <w:vAlign w:val="center"/>
          </w:tcPr>
          <w:p w14:paraId="1D8D39F5"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0.24</w:t>
            </w:r>
            <w:r w:rsidRPr="04FC83EA">
              <w:rPr>
                <w:rFonts w:ascii="Times New Roman" w:eastAsia="Times New Roman" w:hAnsi="Times New Roman" w:cs="Times New Roman"/>
                <w:color w:val="000000" w:themeColor="text1"/>
                <w:sz w:val="24"/>
                <w:szCs w:val="24"/>
                <w:vertAlign w:val="superscript"/>
              </w:rPr>
              <w:t>*</w:t>
            </w:r>
          </w:p>
        </w:tc>
      </w:tr>
      <w:tr w:rsidR="00F17DEA" w14:paraId="4C836AAD" w14:textId="77777777" w:rsidTr="003B6997">
        <w:tc>
          <w:tcPr>
            <w:tcW w:w="3005" w:type="dxa"/>
            <w:tcBorders>
              <w:top w:val="nil"/>
              <w:left w:val="nil"/>
              <w:bottom w:val="nil"/>
              <w:right w:val="nil"/>
            </w:tcBorders>
            <w:vAlign w:val="center"/>
          </w:tcPr>
          <w:p w14:paraId="4F6C675D"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0CC640D7"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[2.08]</w:t>
            </w:r>
          </w:p>
        </w:tc>
        <w:tc>
          <w:tcPr>
            <w:tcW w:w="3005" w:type="dxa"/>
            <w:tcBorders>
              <w:top w:val="nil"/>
              <w:left w:val="nil"/>
              <w:bottom w:val="nil"/>
              <w:right w:val="nil"/>
            </w:tcBorders>
            <w:vAlign w:val="center"/>
          </w:tcPr>
          <w:p w14:paraId="2CB23AB8"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[1.91]</w:t>
            </w:r>
          </w:p>
        </w:tc>
      </w:tr>
      <w:tr w:rsidR="00F17DEA" w14:paraId="2B46850C" w14:textId="77777777" w:rsidTr="003B6997">
        <w:tc>
          <w:tcPr>
            <w:tcW w:w="3005" w:type="dxa"/>
            <w:tcBorders>
              <w:top w:val="nil"/>
              <w:left w:val="nil"/>
              <w:bottom w:val="nil"/>
              <w:right w:val="nil"/>
            </w:tcBorders>
            <w:vAlign w:val="center"/>
          </w:tcPr>
          <w:p w14:paraId="68A053C6"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post</w:t>
            </w:r>
          </w:p>
        </w:tc>
        <w:tc>
          <w:tcPr>
            <w:tcW w:w="3005" w:type="dxa"/>
            <w:tcBorders>
              <w:top w:val="nil"/>
              <w:left w:val="nil"/>
              <w:bottom w:val="nil"/>
              <w:right w:val="nil"/>
            </w:tcBorders>
            <w:vAlign w:val="center"/>
          </w:tcPr>
          <w:p w14:paraId="69BAC678"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0.22</w:t>
            </w:r>
          </w:p>
        </w:tc>
        <w:tc>
          <w:tcPr>
            <w:tcW w:w="3005" w:type="dxa"/>
            <w:tcBorders>
              <w:top w:val="nil"/>
              <w:left w:val="nil"/>
              <w:bottom w:val="nil"/>
              <w:right w:val="nil"/>
            </w:tcBorders>
            <w:vAlign w:val="center"/>
          </w:tcPr>
          <w:p w14:paraId="3D5CC6E1"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-1.20</w:t>
            </w:r>
            <w:r w:rsidRPr="04FC83EA">
              <w:rPr>
                <w:rFonts w:ascii="Times New Roman" w:eastAsia="Times New Roman" w:hAnsi="Times New Roman" w:cs="Times New Roman"/>
                <w:color w:val="000000" w:themeColor="text1"/>
                <w:sz w:val="24"/>
                <w:szCs w:val="24"/>
                <w:vertAlign w:val="superscript"/>
              </w:rPr>
              <w:t>***</w:t>
            </w:r>
          </w:p>
        </w:tc>
      </w:tr>
      <w:tr w:rsidR="00F17DEA" w14:paraId="52946C76" w14:textId="77777777" w:rsidTr="003B6997">
        <w:tc>
          <w:tcPr>
            <w:tcW w:w="3005" w:type="dxa"/>
            <w:tcBorders>
              <w:top w:val="nil"/>
              <w:left w:val="nil"/>
              <w:bottom w:val="nil"/>
              <w:right w:val="nil"/>
            </w:tcBorders>
            <w:vAlign w:val="center"/>
          </w:tcPr>
          <w:p w14:paraId="4B6AF8FF"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61DF2E18"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[1.17]</w:t>
            </w:r>
          </w:p>
        </w:tc>
        <w:tc>
          <w:tcPr>
            <w:tcW w:w="3005" w:type="dxa"/>
            <w:tcBorders>
              <w:top w:val="nil"/>
              <w:left w:val="nil"/>
              <w:bottom w:val="nil"/>
              <w:right w:val="nil"/>
            </w:tcBorders>
            <w:vAlign w:val="center"/>
          </w:tcPr>
          <w:p w14:paraId="49F8384B"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[-4.21]</w:t>
            </w:r>
          </w:p>
        </w:tc>
      </w:tr>
      <w:tr w:rsidR="00F17DEA" w14:paraId="59F767D1" w14:textId="77777777" w:rsidTr="003B6997">
        <w:tc>
          <w:tcPr>
            <w:tcW w:w="3005" w:type="dxa"/>
            <w:tcBorders>
              <w:top w:val="nil"/>
              <w:left w:val="nil"/>
              <w:bottom w:val="nil"/>
              <w:right w:val="nil"/>
            </w:tcBorders>
            <w:vAlign w:val="center"/>
          </w:tcPr>
          <w:p w14:paraId="2311D531"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taxoffset x post</w:t>
            </w:r>
          </w:p>
        </w:tc>
        <w:tc>
          <w:tcPr>
            <w:tcW w:w="3005" w:type="dxa"/>
            <w:tcBorders>
              <w:top w:val="nil"/>
              <w:left w:val="nil"/>
              <w:bottom w:val="nil"/>
              <w:right w:val="nil"/>
            </w:tcBorders>
            <w:vAlign w:val="center"/>
          </w:tcPr>
          <w:p w14:paraId="7E2C88F8"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-0.00</w:t>
            </w:r>
          </w:p>
        </w:tc>
        <w:tc>
          <w:tcPr>
            <w:tcW w:w="3005" w:type="dxa"/>
            <w:tcBorders>
              <w:top w:val="nil"/>
              <w:left w:val="nil"/>
              <w:bottom w:val="nil"/>
              <w:right w:val="nil"/>
            </w:tcBorders>
            <w:vAlign w:val="center"/>
          </w:tcPr>
          <w:p w14:paraId="0D8F9FF0"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-0.00</w:t>
            </w:r>
          </w:p>
        </w:tc>
      </w:tr>
      <w:tr w:rsidR="00F17DEA" w14:paraId="15B29DB5" w14:textId="77777777" w:rsidTr="003B6997">
        <w:tc>
          <w:tcPr>
            <w:tcW w:w="3005" w:type="dxa"/>
            <w:tcBorders>
              <w:top w:val="nil"/>
              <w:left w:val="nil"/>
              <w:bottom w:val="nil"/>
              <w:right w:val="nil"/>
            </w:tcBorders>
            <w:vAlign w:val="center"/>
          </w:tcPr>
          <w:p w14:paraId="0356AE85"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2F71E5E1"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[-0.00]</w:t>
            </w:r>
          </w:p>
        </w:tc>
        <w:tc>
          <w:tcPr>
            <w:tcW w:w="3005" w:type="dxa"/>
            <w:tcBorders>
              <w:top w:val="nil"/>
              <w:left w:val="nil"/>
              <w:bottom w:val="nil"/>
              <w:right w:val="nil"/>
            </w:tcBorders>
            <w:vAlign w:val="center"/>
          </w:tcPr>
          <w:p w14:paraId="3F8CC01B"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[-0.02]</w:t>
            </w:r>
          </w:p>
        </w:tc>
      </w:tr>
      <w:tr w:rsidR="00F17DEA" w14:paraId="10FA367F" w14:textId="77777777" w:rsidTr="003B6997">
        <w:tc>
          <w:tcPr>
            <w:tcW w:w="3005" w:type="dxa"/>
            <w:tcBorders>
              <w:top w:val="nil"/>
              <w:left w:val="nil"/>
              <w:bottom w:val="nil"/>
              <w:right w:val="nil"/>
            </w:tcBorders>
            <w:vAlign w:val="center"/>
          </w:tcPr>
          <w:p w14:paraId="0058F0B0"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govt_subsidies</w:t>
            </w:r>
          </w:p>
        </w:tc>
        <w:tc>
          <w:tcPr>
            <w:tcW w:w="3005" w:type="dxa"/>
            <w:tcBorders>
              <w:top w:val="nil"/>
              <w:left w:val="nil"/>
              <w:bottom w:val="nil"/>
              <w:right w:val="nil"/>
            </w:tcBorders>
            <w:vAlign w:val="center"/>
          </w:tcPr>
          <w:p w14:paraId="6F1651CC"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0.06</w:t>
            </w:r>
            <w:r w:rsidRPr="04FC83EA">
              <w:rPr>
                <w:rFonts w:ascii="Times New Roman" w:eastAsia="Times New Roman" w:hAnsi="Times New Roman" w:cs="Times New Roman"/>
                <w:color w:val="000000" w:themeColor="text1"/>
                <w:sz w:val="24"/>
                <w:szCs w:val="24"/>
                <w:vertAlign w:val="superscript"/>
              </w:rPr>
              <w:t>***</w:t>
            </w:r>
          </w:p>
        </w:tc>
        <w:tc>
          <w:tcPr>
            <w:tcW w:w="3005" w:type="dxa"/>
            <w:tcBorders>
              <w:top w:val="nil"/>
              <w:left w:val="nil"/>
              <w:bottom w:val="nil"/>
              <w:right w:val="nil"/>
            </w:tcBorders>
            <w:vAlign w:val="center"/>
          </w:tcPr>
          <w:p w14:paraId="464CF25A"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0.07</w:t>
            </w:r>
            <w:r w:rsidRPr="04FC83EA">
              <w:rPr>
                <w:rFonts w:ascii="Times New Roman" w:eastAsia="Times New Roman" w:hAnsi="Times New Roman" w:cs="Times New Roman"/>
                <w:color w:val="000000" w:themeColor="text1"/>
                <w:sz w:val="24"/>
                <w:szCs w:val="24"/>
                <w:vertAlign w:val="superscript"/>
              </w:rPr>
              <w:t>***</w:t>
            </w:r>
          </w:p>
        </w:tc>
      </w:tr>
      <w:tr w:rsidR="00F17DEA" w14:paraId="62096219" w14:textId="77777777" w:rsidTr="003B6997">
        <w:tc>
          <w:tcPr>
            <w:tcW w:w="3005" w:type="dxa"/>
            <w:tcBorders>
              <w:top w:val="nil"/>
              <w:left w:val="nil"/>
              <w:bottom w:val="nil"/>
              <w:right w:val="nil"/>
            </w:tcBorders>
            <w:vAlign w:val="center"/>
          </w:tcPr>
          <w:p w14:paraId="6A096AC5"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0651F018"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[7.38]</w:t>
            </w:r>
          </w:p>
        </w:tc>
        <w:tc>
          <w:tcPr>
            <w:tcW w:w="3005" w:type="dxa"/>
            <w:tcBorders>
              <w:top w:val="nil"/>
              <w:left w:val="nil"/>
              <w:bottom w:val="nil"/>
              <w:right w:val="nil"/>
            </w:tcBorders>
            <w:vAlign w:val="center"/>
          </w:tcPr>
          <w:p w14:paraId="10748B1C"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[7.58]</w:t>
            </w:r>
          </w:p>
        </w:tc>
      </w:tr>
      <w:tr w:rsidR="00F17DEA" w14:paraId="07E1A9D4" w14:textId="77777777" w:rsidTr="003B6997">
        <w:tc>
          <w:tcPr>
            <w:tcW w:w="3005" w:type="dxa"/>
            <w:tcBorders>
              <w:top w:val="nil"/>
              <w:left w:val="nil"/>
              <w:bottom w:val="nil"/>
              <w:right w:val="nil"/>
            </w:tcBorders>
            <w:vAlign w:val="center"/>
          </w:tcPr>
          <w:p w14:paraId="1D054A60"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revenue</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6F0310ED"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0.12</w:t>
            </w:r>
          </w:p>
        </w:tc>
        <w:tc>
          <w:tcPr>
            <w:tcW w:w="3005" w:type="dxa"/>
            <w:tcBorders>
              <w:top w:val="nil"/>
              <w:left w:val="nil"/>
              <w:bottom w:val="nil"/>
              <w:right w:val="nil"/>
            </w:tcBorders>
            <w:vAlign w:val="center"/>
          </w:tcPr>
          <w:p w14:paraId="63AD3BF2"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0.10</w:t>
            </w:r>
          </w:p>
        </w:tc>
      </w:tr>
      <w:tr w:rsidR="00F17DEA" w14:paraId="6B832A61" w14:textId="77777777" w:rsidTr="003B6997">
        <w:tc>
          <w:tcPr>
            <w:tcW w:w="3005" w:type="dxa"/>
            <w:tcBorders>
              <w:top w:val="nil"/>
              <w:left w:val="nil"/>
              <w:bottom w:val="nil"/>
              <w:right w:val="nil"/>
            </w:tcBorders>
            <w:vAlign w:val="center"/>
          </w:tcPr>
          <w:p w14:paraId="773CE79B"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768E0AFC"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[1.30]</w:t>
            </w:r>
          </w:p>
        </w:tc>
        <w:tc>
          <w:tcPr>
            <w:tcW w:w="3005" w:type="dxa"/>
            <w:tcBorders>
              <w:top w:val="nil"/>
              <w:left w:val="nil"/>
              <w:bottom w:val="nil"/>
              <w:right w:val="nil"/>
            </w:tcBorders>
            <w:vAlign w:val="center"/>
          </w:tcPr>
          <w:p w14:paraId="4248521E"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[1.07]</w:t>
            </w:r>
          </w:p>
        </w:tc>
      </w:tr>
      <w:tr w:rsidR="00F17DEA" w14:paraId="3B9385A3" w14:textId="77777777" w:rsidTr="003B6997">
        <w:tc>
          <w:tcPr>
            <w:tcW w:w="3005" w:type="dxa"/>
            <w:tcBorders>
              <w:top w:val="nil"/>
              <w:left w:val="nil"/>
              <w:bottom w:val="nil"/>
              <w:right w:val="nil"/>
            </w:tcBorders>
            <w:vAlign w:val="center"/>
          </w:tcPr>
          <w:p w14:paraId="21FDB125"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ch_sales</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1C818D1E"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-0.10</w:t>
            </w:r>
            <w:r w:rsidRPr="04FC83EA">
              <w:rPr>
                <w:rFonts w:ascii="Times New Roman" w:eastAsia="Times New Roman" w:hAnsi="Times New Roman" w:cs="Times New Roman"/>
                <w:color w:val="000000" w:themeColor="text1"/>
                <w:sz w:val="24"/>
                <w:szCs w:val="24"/>
                <w:vertAlign w:val="superscript"/>
              </w:rPr>
              <w:t>**</w:t>
            </w:r>
          </w:p>
        </w:tc>
        <w:tc>
          <w:tcPr>
            <w:tcW w:w="3005" w:type="dxa"/>
            <w:tcBorders>
              <w:top w:val="nil"/>
              <w:left w:val="nil"/>
              <w:bottom w:val="nil"/>
              <w:right w:val="nil"/>
            </w:tcBorders>
            <w:vAlign w:val="center"/>
          </w:tcPr>
          <w:p w14:paraId="310F85FA"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-0.11</w:t>
            </w:r>
            <w:r w:rsidRPr="04FC83EA">
              <w:rPr>
                <w:rFonts w:ascii="Times New Roman" w:eastAsia="Times New Roman" w:hAnsi="Times New Roman" w:cs="Times New Roman"/>
                <w:color w:val="000000" w:themeColor="text1"/>
                <w:sz w:val="24"/>
                <w:szCs w:val="24"/>
                <w:vertAlign w:val="superscript"/>
              </w:rPr>
              <w:t>**</w:t>
            </w:r>
          </w:p>
        </w:tc>
      </w:tr>
      <w:tr w:rsidR="00F17DEA" w14:paraId="5C8BA4AA" w14:textId="77777777" w:rsidTr="003B6997">
        <w:tc>
          <w:tcPr>
            <w:tcW w:w="3005" w:type="dxa"/>
            <w:tcBorders>
              <w:top w:val="nil"/>
              <w:left w:val="nil"/>
              <w:bottom w:val="nil"/>
              <w:right w:val="nil"/>
            </w:tcBorders>
            <w:vAlign w:val="center"/>
          </w:tcPr>
          <w:p w14:paraId="257A9270"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6A508C74"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[-2.43]</w:t>
            </w:r>
          </w:p>
        </w:tc>
        <w:tc>
          <w:tcPr>
            <w:tcW w:w="3005" w:type="dxa"/>
            <w:tcBorders>
              <w:top w:val="nil"/>
              <w:left w:val="nil"/>
              <w:bottom w:val="nil"/>
              <w:right w:val="nil"/>
            </w:tcBorders>
            <w:vAlign w:val="center"/>
          </w:tcPr>
          <w:p w14:paraId="2F294011"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[-2.56]</w:t>
            </w:r>
          </w:p>
        </w:tc>
      </w:tr>
      <w:tr w:rsidR="00F17DEA" w14:paraId="09562F32" w14:textId="77777777" w:rsidTr="003B6997">
        <w:tc>
          <w:tcPr>
            <w:tcW w:w="3005" w:type="dxa"/>
            <w:tcBorders>
              <w:top w:val="nil"/>
              <w:left w:val="nil"/>
              <w:bottom w:val="nil"/>
              <w:right w:val="nil"/>
            </w:tcBorders>
            <w:vAlign w:val="center"/>
          </w:tcPr>
          <w:p w14:paraId="7438FB73"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roa</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491367FB"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-0.48</w:t>
            </w:r>
            <w:r w:rsidRPr="04FC83EA">
              <w:rPr>
                <w:rFonts w:ascii="Times New Roman" w:eastAsia="Times New Roman" w:hAnsi="Times New Roman" w:cs="Times New Roman"/>
                <w:color w:val="000000" w:themeColor="text1"/>
                <w:sz w:val="24"/>
                <w:szCs w:val="24"/>
                <w:vertAlign w:val="superscript"/>
              </w:rPr>
              <w:t>**</w:t>
            </w:r>
          </w:p>
        </w:tc>
        <w:tc>
          <w:tcPr>
            <w:tcW w:w="3005" w:type="dxa"/>
            <w:tcBorders>
              <w:top w:val="nil"/>
              <w:left w:val="nil"/>
              <w:bottom w:val="nil"/>
              <w:right w:val="nil"/>
            </w:tcBorders>
            <w:vAlign w:val="center"/>
          </w:tcPr>
          <w:p w14:paraId="0888F61B"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-0.48</w:t>
            </w:r>
            <w:r w:rsidRPr="04FC83EA">
              <w:rPr>
                <w:rFonts w:ascii="Times New Roman" w:eastAsia="Times New Roman" w:hAnsi="Times New Roman" w:cs="Times New Roman"/>
                <w:color w:val="000000" w:themeColor="text1"/>
                <w:sz w:val="24"/>
                <w:szCs w:val="24"/>
                <w:vertAlign w:val="superscript"/>
              </w:rPr>
              <w:t>**</w:t>
            </w:r>
          </w:p>
        </w:tc>
      </w:tr>
      <w:tr w:rsidR="00F17DEA" w14:paraId="3B33A790" w14:textId="77777777" w:rsidTr="003B6997">
        <w:tc>
          <w:tcPr>
            <w:tcW w:w="3005" w:type="dxa"/>
            <w:tcBorders>
              <w:top w:val="nil"/>
              <w:left w:val="nil"/>
              <w:bottom w:val="nil"/>
              <w:right w:val="nil"/>
            </w:tcBorders>
            <w:vAlign w:val="center"/>
          </w:tcPr>
          <w:p w14:paraId="4A5D4C48"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78444C0E"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[-2.23]</w:t>
            </w:r>
          </w:p>
        </w:tc>
        <w:tc>
          <w:tcPr>
            <w:tcW w:w="3005" w:type="dxa"/>
            <w:tcBorders>
              <w:top w:val="nil"/>
              <w:left w:val="nil"/>
              <w:bottom w:val="nil"/>
              <w:right w:val="nil"/>
            </w:tcBorders>
            <w:vAlign w:val="center"/>
          </w:tcPr>
          <w:p w14:paraId="6F26B67C"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[-2.24]</w:t>
            </w:r>
          </w:p>
        </w:tc>
      </w:tr>
      <w:tr w:rsidR="00F17DEA" w14:paraId="43F17896" w14:textId="77777777" w:rsidTr="003B6997">
        <w:tc>
          <w:tcPr>
            <w:tcW w:w="3005" w:type="dxa"/>
            <w:tcBorders>
              <w:top w:val="nil"/>
              <w:left w:val="nil"/>
              <w:bottom w:val="nil"/>
              <w:right w:val="nil"/>
            </w:tcBorders>
            <w:vAlign w:val="center"/>
          </w:tcPr>
          <w:p w14:paraId="47B0042C"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loss</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469CE30D"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-0.00</w:t>
            </w:r>
          </w:p>
        </w:tc>
        <w:tc>
          <w:tcPr>
            <w:tcW w:w="3005" w:type="dxa"/>
            <w:tcBorders>
              <w:top w:val="nil"/>
              <w:left w:val="nil"/>
              <w:bottom w:val="nil"/>
              <w:right w:val="nil"/>
            </w:tcBorders>
            <w:vAlign w:val="center"/>
          </w:tcPr>
          <w:p w14:paraId="0BBF461D"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-0.00</w:t>
            </w:r>
          </w:p>
        </w:tc>
      </w:tr>
      <w:tr w:rsidR="00F17DEA" w14:paraId="4C802423" w14:textId="77777777" w:rsidTr="003B6997">
        <w:tc>
          <w:tcPr>
            <w:tcW w:w="3005" w:type="dxa"/>
            <w:tcBorders>
              <w:top w:val="nil"/>
              <w:left w:val="nil"/>
              <w:bottom w:val="nil"/>
              <w:right w:val="nil"/>
            </w:tcBorders>
            <w:vAlign w:val="center"/>
          </w:tcPr>
          <w:p w14:paraId="21ABF939"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5D84B44E"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[-0.01]</w:t>
            </w:r>
          </w:p>
        </w:tc>
        <w:tc>
          <w:tcPr>
            <w:tcW w:w="3005" w:type="dxa"/>
            <w:tcBorders>
              <w:top w:val="nil"/>
              <w:left w:val="nil"/>
              <w:bottom w:val="nil"/>
              <w:right w:val="nil"/>
            </w:tcBorders>
            <w:vAlign w:val="center"/>
          </w:tcPr>
          <w:p w14:paraId="470601CE"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[-0.01]</w:t>
            </w:r>
          </w:p>
        </w:tc>
      </w:tr>
      <w:tr w:rsidR="00F17DEA" w14:paraId="6106B9E4" w14:textId="77777777" w:rsidTr="003B6997">
        <w:tc>
          <w:tcPr>
            <w:tcW w:w="3005" w:type="dxa"/>
            <w:tcBorders>
              <w:top w:val="nil"/>
              <w:left w:val="nil"/>
              <w:bottom w:val="nil"/>
              <w:right w:val="nil"/>
            </w:tcBorders>
            <w:vAlign w:val="center"/>
          </w:tcPr>
          <w:p w14:paraId="6AF7268F"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assets</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268F1F9B"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0.23</w:t>
            </w:r>
            <w:r w:rsidRPr="04FC83EA">
              <w:rPr>
                <w:rFonts w:ascii="Times New Roman" w:eastAsia="Times New Roman" w:hAnsi="Times New Roman" w:cs="Times New Roman"/>
                <w:color w:val="000000" w:themeColor="text1"/>
                <w:sz w:val="24"/>
                <w:szCs w:val="24"/>
                <w:vertAlign w:val="superscript"/>
              </w:rPr>
              <w:t>***</w:t>
            </w:r>
          </w:p>
        </w:tc>
        <w:tc>
          <w:tcPr>
            <w:tcW w:w="3005" w:type="dxa"/>
            <w:tcBorders>
              <w:top w:val="nil"/>
              <w:left w:val="nil"/>
              <w:bottom w:val="nil"/>
              <w:right w:val="nil"/>
            </w:tcBorders>
            <w:vAlign w:val="center"/>
          </w:tcPr>
          <w:p w14:paraId="5BBC4743"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0.25</w:t>
            </w:r>
            <w:r w:rsidRPr="04FC83EA">
              <w:rPr>
                <w:rFonts w:ascii="Times New Roman" w:eastAsia="Times New Roman" w:hAnsi="Times New Roman" w:cs="Times New Roman"/>
                <w:color w:val="000000" w:themeColor="text1"/>
                <w:sz w:val="24"/>
                <w:szCs w:val="24"/>
                <w:vertAlign w:val="superscript"/>
              </w:rPr>
              <w:t>***</w:t>
            </w:r>
          </w:p>
        </w:tc>
      </w:tr>
      <w:tr w:rsidR="00F17DEA" w14:paraId="07DD2306" w14:textId="77777777" w:rsidTr="003B6997">
        <w:tc>
          <w:tcPr>
            <w:tcW w:w="3005" w:type="dxa"/>
            <w:tcBorders>
              <w:top w:val="nil"/>
              <w:left w:val="nil"/>
              <w:bottom w:val="nil"/>
              <w:right w:val="nil"/>
            </w:tcBorders>
            <w:vAlign w:val="center"/>
          </w:tcPr>
          <w:p w14:paraId="5A1656E3"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2610345C"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[3.80]</w:t>
            </w:r>
          </w:p>
        </w:tc>
        <w:tc>
          <w:tcPr>
            <w:tcW w:w="3005" w:type="dxa"/>
            <w:tcBorders>
              <w:top w:val="nil"/>
              <w:left w:val="nil"/>
              <w:bottom w:val="nil"/>
              <w:right w:val="nil"/>
            </w:tcBorders>
            <w:vAlign w:val="center"/>
          </w:tcPr>
          <w:p w14:paraId="56B5647E"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[3.97]</w:t>
            </w:r>
          </w:p>
        </w:tc>
      </w:tr>
      <w:tr w:rsidR="00F17DEA" w14:paraId="2BF01D85" w14:textId="77777777" w:rsidTr="003B6997">
        <w:tc>
          <w:tcPr>
            <w:tcW w:w="3005" w:type="dxa"/>
            <w:tcBorders>
              <w:top w:val="nil"/>
              <w:left w:val="nil"/>
              <w:bottom w:val="nil"/>
              <w:right w:val="nil"/>
            </w:tcBorders>
            <w:vAlign w:val="center"/>
          </w:tcPr>
          <w:p w14:paraId="49954A36"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hcnt</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7F4CD9D2"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-0.00</w:t>
            </w:r>
          </w:p>
        </w:tc>
        <w:tc>
          <w:tcPr>
            <w:tcW w:w="3005" w:type="dxa"/>
            <w:tcBorders>
              <w:top w:val="nil"/>
              <w:left w:val="nil"/>
              <w:bottom w:val="nil"/>
              <w:right w:val="nil"/>
            </w:tcBorders>
            <w:vAlign w:val="center"/>
          </w:tcPr>
          <w:p w14:paraId="424D562F"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0.01</w:t>
            </w:r>
          </w:p>
        </w:tc>
      </w:tr>
      <w:tr w:rsidR="00F17DEA" w14:paraId="0270632C" w14:textId="77777777" w:rsidTr="003B6997">
        <w:tc>
          <w:tcPr>
            <w:tcW w:w="3005" w:type="dxa"/>
            <w:tcBorders>
              <w:top w:val="nil"/>
              <w:left w:val="nil"/>
              <w:bottom w:val="nil"/>
              <w:right w:val="nil"/>
            </w:tcBorders>
            <w:vAlign w:val="center"/>
          </w:tcPr>
          <w:p w14:paraId="35A945FE"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39EEF079"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[-0.05]</w:t>
            </w:r>
          </w:p>
        </w:tc>
        <w:tc>
          <w:tcPr>
            <w:tcW w:w="3005" w:type="dxa"/>
            <w:tcBorders>
              <w:top w:val="nil"/>
              <w:left w:val="nil"/>
              <w:bottom w:val="nil"/>
              <w:right w:val="nil"/>
            </w:tcBorders>
            <w:vAlign w:val="center"/>
          </w:tcPr>
          <w:p w14:paraId="1E8C2B93"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[0.22]</w:t>
            </w:r>
          </w:p>
        </w:tc>
      </w:tr>
      <w:tr w:rsidR="00F17DEA" w14:paraId="50320071" w14:textId="77777777" w:rsidTr="003B6997">
        <w:tc>
          <w:tcPr>
            <w:tcW w:w="3005" w:type="dxa"/>
            <w:tcBorders>
              <w:top w:val="nil"/>
              <w:left w:val="nil"/>
              <w:bottom w:val="nil"/>
              <w:right w:val="nil"/>
            </w:tcBorders>
            <w:vAlign w:val="center"/>
          </w:tcPr>
          <w:p w14:paraId="2C994E60"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salary</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106085FB"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0.10</w:t>
            </w:r>
          </w:p>
        </w:tc>
        <w:tc>
          <w:tcPr>
            <w:tcW w:w="3005" w:type="dxa"/>
            <w:tcBorders>
              <w:top w:val="nil"/>
              <w:left w:val="nil"/>
              <w:bottom w:val="nil"/>
              <w:right w:val="nil"/>
            </w:tcBorders>
            <w:vAlign w:val="center"/>
          </w:tcPr>
          <w:p w14:paraId="6200B524"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0.10</w:t>
            </w:r>
          </w:p>
        </w:tc>
      </w:tr>
      <w:tr w:rsidR="00F17DEA" w14:paraId="6063AE22" w14:textId="77777777" w:rsidTr="003B6997">
        <w:tc>
          <w:tcPr>
            <w:tcW w:w="3005" w:type="dxa"/>
            <w:tcBorders>
              <w:top w:val="nil"/>
              <w:left w:val="nil"/>
              <w:bottom w:val="single" w:sz="8" w:space="0" w:color="auto"/>
              <w:right w:val="nil"/>
            </w:tcBorders>
            <w:vAlign w:val="center"/>
          </w:tcPr>
          <w:p w14:paraId="2947CB24"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single" w:sz="8" w:space="0" w:color="auto"/>
              <w:right w:val="nil"/>
            </w:tcBorders>
            <w:vAlign w:val="center"/>
          </w:tcPr>
          <w:p w14:paraId="4248E09F"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[1.27]</w:t>
            </w:r>
          </w:p>
        </w:tc>
        <w:tc>
          <w:tcPr>
            <w:tcW w:w="3005" w:type="dxa"/>
            <w:tcBorders>
              <w:top w:val="nil"/>
              <w:left w:val="nil"/>
              <w:bottom w:val="single" w:sz="8" w:space="0" w:color="auto"/>
              <w:right w:val="nil"/>
            </w:tcBorders>
            <w:vAlign w:val="center"/>
          </w:tcPr>
          <w:p w14:paraId="00DE049D"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[1.19]</w:t>
            </w:r>
          </w:p>
        </w:tc>
      </w:tr>
      <w:tr w:rsidR="00F17DEA" w14:paraId="0DC070F3" w14:textId="77777777" w:rsidTr="003B6997">
        <w:tc>
          <w:tcPr>
            <w:tcW w:w="3005" w:type="dxa"/>
            <w:tcBorders>
              <w:top w:val="single" w:sz="8" w:space="0" w:color="auto"/>
              <w:left w:val="nil"/>
              <w:bottom w:val="nil"/>
              <w:right w:val="nil"/>
            </w:tcBorders>
            <w:vAlign w:val="center"/>
          </w:tcPr>
          <w:p w14:paraId="6B1C49E8"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Year FE</w:t>
            </w:r>
          </w:p>
        </w:tc>
        <w:tc>
          <w:tcPr>
            <w:tcW w:w="3005" w:type="dxa"/>
            <w:tcBorders>
              <w:top w:val="single" w:sz="8" w:space="0" w:color="auto"/>
              <w:left w:val="nil"/>
              <w:bottom w:val="nil"/>
              <w:right w:val="nil"/>
            </w:tcBorders>
            <w:vAlign w:val="center"/>
          </w:tcPr>
          <w:p w14:paraId="374C42BE"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Yes</w:t>
            </w:r>
          </w:p>
        </w:tc>
        <w:tc>
          <w:tcPr>
            <w:tcW w:w="3005" w:type="dxa"/>
            <w:tcBorders>
              <w:top w:val="single" w:sz="8" w:space="0" w:color="auto"/>
              <w:left w:val="nil"/>
              <w:bottom w:val="nil"/>
              <w:right w:val="nil"/>
            </w:tcBorders>
            <w:vAlign w:val="center"/>
          </w:tcPr>
          <w:p w14:paraId="03A93770"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No</w:t>
            </w:r>
          </w:p>
        </w:tc>
      </w:tr>
      <w:tr w:rsidR="00F17DEA" w14:paraId="0E81AA5D" w14:textId="77777777" w:rsidTr="003B6997">
        <w:tc>
          <w:tcPr>
            <w:tcW w:w="3005" w:type="dxa"/>
            <w:tcBorders>
              <w:top w:val="nil"/>
              <w:left w:val="nil"/>
              <w:bottom w:val="nil"/>
              <w:right w:val="nil"/>
            </w:tcBorders>
            <w:vAlign w:val="center"/>
          </w:tcPr>
          <w:p w14:paraId="2AB9C2AA"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Industry FE</w:t>
            </w:r>
          </w:p>
        </w:tc>
        <w:tc>
          <w:tcPr>
            <w:tcW w:w="3005" w:type="dxa"/>
            <w:tcBorders>
              <w:top w:val="nil"/>
              <w:left w:val="nil"/>
              <w:bottom w:val="nil"/>
              <w:right w:val="nil"/>
            </w:tcBorders>
            <w:vAlign w:val="center"/>
          </w:tcPr>
          <w:p w14:paraId="336DC9ED"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Yes</w:t>
            </w:r>
          </w:p>
        </w:tc>
        <w:tc>
          <w:tcPr>
            <w:tcW w:w="3005" w:type="dxa"/>
            <w:tcBorders>
              <w:top w:val="nil"/>
              <w:left w:val="nil"/>
              <w:bottom w:val="nil"/>
              <w:right w:val="nil"/>
            </w:tcBorders>
            <w:vAlign w:val="center"/>
          </w:tcPr>
          <w:p w14:paraId="15E85E98"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No</w:t>
            </w:r>
          </w:p>
        </w:tc>
      </w:tr>
      <w:tr w:rsidR="00F17DEA" w14:paraId="161CA49F" w14:textId="77777777" w:rsidTr="003B6997">
        <w:tc>
          <w:tcPr>
            <w:tcW w:w="3005" w:type="dxa"/>
            <w:tcBorders>
              <w:top w:val="nil"/>
              <w:left w:val="nil"/>
              <w:bottom w:val="nil"/>
              <w:right w:val="nil"/>
            </w:tcBorders>
            <w:vAlign w:val="center"/>
          </w:tcPr>
          <w:p w14:paraId="1F716DA8"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Industry-Year FE</w:t>
            </w:r>
          </w:p>
        </w:tc>
        <w:tc>
          <w:tcPr>
            <w:tcW w:w="3005" w:type="dxa"/>
            <w:tcBorders>
              <w:top w:val="nil"/>
              <w:left w:val="nil"/>
              <w:bottom w:val="nil"/>
              <w:right w:val="nil"/>
            </w:tcBorders>
            <w:vAlign w:val="center"/>
          </w:tcPr>
          <w:p w14:paraId="5D887E87"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No</w:t>
            </w:r>
          </w:p>
        </w:tc>
        <w:tc>
          <w:tcPr>
            <w:tcW w:w="3005" w:type="dxa"/>
            <w:tcBorders>
              <w:top w:val="nil"/>
              <w:left w:val="nil"/>
              <w:bottom w:val="nil"/>
              <w:right w:val="nil"/>
            </w:tcBorders>
            <w:vAlign w:val="center"/>
          </w:tcPr>
          <w:p w14:paraId="586AD93B"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Yes</w:t>
            </w:r>
          </w:p>
        </w:tc>
      </w:tr>
      <w:tr w:rsidR="00F17DEA" w14:paraId="1FD8D04B" w14:textId="77777777" w:rsidTr="003B6997">
        <w:tc>
          <w:tcPr>
            <w:tcW w:w="3005" w:type="dxa"/>
            <w:tcBorders>
              <w:top w:val="nil"/>
              <w:left w:val="nil"/>
              <w:bottom w:val="nil"/>
              <w:right w:val="nil"/>
            </w:tcBorders>
            <w:vAlign w:val="center"/>
          </w:tcPr>
          <w:p w14:paraId="63E428B9"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Num. obs.</w:t>
            </w:r>
          </w:p>
        </w:tc>
        <w:tc>
          <w:tcPr>
            <w:tcW w:w="3005" w:type="dxa"/>
            <w:tcBorders>
              <w:top w:val="nil"/>
              <w:left w:val="nil"/>
              <w:bottom w:val="nil"/>
              <w:right w:val="nil"/>
            </w:tcBorders>
            <w:vAlign w:val="center"/>
          </w:tcPr>
          <w:p w14:paraId="42FB2D8E" w14:textId="394CEE9C"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2</w:t>
            </w:r>
            <w:r w:rsidR="00416CD0">
              <w:rPr>
                <w:rFonts w:ascii="Times New Roman" w:eastAsia="Times New Roman" w:hAnsi="Times New Roman" w:cs="Times New Roman"/>
                <w:color w:val="000000" w:themeColor="text1"/>
                <w:sz w:val="24"/>
                <w:szCs w:val="24"/>
              </w:rPr>
              <w:t>,</w:t>
            </w:r>
            <w:r w:rsidRPr="04FC83EA">
              <w:rPr>
                <w:rFonts w:ascii="Times New Roman" w:eastAsia="Times New Roman" w:hAnsi="Times New Roman" w:cs="Times New Roman"/>
                <w:color w:val="000000" w:themeColor="text1"/>
                <w:sz w:val="24"/>
                <w:szCs w:val="24"/>
              </w:rPr>
              <w:t>450</w:t>
            </w:r>
          </w:p>
        </w:tc>
        <w:tc>
          <w:tcPr>
            <w:tcW w:w="3005" w:type="dxa"/>
            <w:tcBorders>
              <w:top w:val="nil"/>
              <w:left w:val="nil"/>
              <w:bottom w:val="nil"/>
              <w:right w:val="nil"/>
            </w:tcBorders>
            <w:vAlign w:val="center"/>
          </w:tcPr>
          <w:p w14:paraId="390F6D17" w14:textId="57349912"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2</w:t>
            </w:r>
            <w:r w:rsidR="00416CD0">
              <w:rPr>
                <w:rFonts w:ascii="Times New Roman" w:eastAsia="Times New Roman" w:hAnsi="Times New Roman" w:cs="Times New Roman"/>
                <w:color w:val="000000" w:themeColor="text1"/>
                <w:sz w:val="24"/>
                <w:szCs w:val="24"/>
              </w:rPr>
              <w:t>,</w:t>
            </w:r>
            <w:r w:rsidRPr="04FC83EA">
              <w:rPr>
                <w:rFonts w:ascii="Times New Roman" w:eastAsia="Times New Roman" w:hAnsi="Times New Roman" w:cs="Times New Roman"/>
                <w:color w:val="000000" w:themeColor="text1"/>
                <w:sz w:val="24"/>
                <w:szCs w:val="24"/>
              </w:rPr>
              <w:t>450</w:t>
            </w:r>
          </w:p>
        </w:tc>
      </w:tr>
      <w:tr w:rsidR="00F17DEA" w14:paraId="1A93D292" w14:textId="77777777" w:rsidTr="003B6997">
        <w:tc>
          <w:tcPr>
            <w:tcW w:w="3005" w:type="dxa"/>
            <w:tcBorders>
              <w:top w:val="nil"/>
              <w:left w:val="nil"/>
              <w:bottom w:val="single" w:sz="8" w:space="0" w:color="auto"/>
              <w:right w:val="nil"/>
            </w:tcBorders>
            <w:vAlign w:val="center"/>
          </w:tcPr>
          <w:p w14:paraId="5BBB84EB"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Adj. R</w:t>
            </w:r>
            <w:r w:rsidRPr="04FC83EA">
              <w:rPr>
                <w:rFonts w:ascii="Times New Roman" w:eastAsia="Times New Roman" w:hAnsi="Times New Roman" w:cs="Times New Roman"/>
                <w:color w:val="000000" w:themeColor="text1"/>
                <w:sz w:val="24"/>
                <w:szCs w:val="24"/>
                <w:vertAlign w:val="superscript"/>
              </w:rPr>
              <w:t>2</w:t>
            </w:r>
            <w:r w:rsidRPr="04FC83EA">
              <w:rPr>
                <w:rFonts w:ascii="Times New Roman" w:eastAsia="Times New Roman" w:hAnsi="Times New Roman" w:cs="Times New Roman"/>
                <w:color w:val="000000" w:themeColor="text1"/>
                <w:sz w:val="24"/>
                <w:szCs w:val="24"/>
              </w:rPr>
              <w:t xml:space="preserve"> (full model)</w:t>
            </w:r>
          </w:p>
        </w:tc>
        <w:tc>
          <w:tcPr>
            <w:tcW w:w="3005" w:type="dxa"/>
            <w:tcBorders>
              <w:top w:val="nil"/>
              <w:left w:val="nil"/>
              <w:bottom w:val="single" w:sz="8" w:space="0" w:color="auto"/>
              <w:right w:val="nil"/>
            </w:tcBorders>
            <w:vAlign w:val="center"/>
          </w:tcPr>
          <w:p w14:paraId="43E703A3"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0.39</w:t>
            </w:r>
          </w:p>
        </w:tc>
        <w:tc>
          <w:tcPr>
            <w:tcW w:w="3005" w:type="dxa"/>
            <w:tcBorders>
              <w:top w:val="nil"/>
              <w:left w:val="nil"/>
              <w:bottom w:val="single" w:sz="8" w:space="0" w:color="auto"/>
              <w:right w:val="nil"/>
            </w:tcBorders>
            <w:vAlign w:val="center"/>
          </w:tcPr>
          <w:p w14:paraId="10835D02" w14:textId="77777777" w:rsidR="00F17DEA" w:rsidRDefault="00F17DEA" w:rsidP="004875F2">
            <w:pPr>
              <w:spacing w:after="0" w:line="240" w:lineRule="auto"/>
            </w:pPr>
            <w:r w:rsidRPr="04FC83EA">
              <w:rPr>
                <w:rFonts w:ascii="Times New Roman" w:eastAsia="Times New Roman" w:hAnsi="Times New Roman" w:cs="Times New Roman"/>
                <w:color w:val="000000" w:themeColor="text1"/>
                <w:sz w:val="24"/>
                <w:szCs w:val="24"/>
              </w:rPr>
              <w:t>0.39</w:t>
            </w:r>
          </w:p>
        </w:tc>
      </w:tr>
      <w:tr w:rsidR="00F17DEA" w14:paraId="49969F09" w14:textId="77777777" w:rsidTr="003B6997">
        <w:tc>
          <w:tcPr>
            <w:tcW w:w="9015" w:type="dxa"/>
            <w:gridSpan w:val="3"/>
            <w:tcBorders>
              <w:top w:val="single" w:sz="8" w:space="0" w:color="auto"/>
              <w:left w:val="nil"/>
              <w:bottom w:val="nil"/>
              <w:right w:val="nil"/>
            </w:tcBorders>
            <w:vAlign w:val="center"/>
          </w:tcPr>
          <w:p w14:paraId="3401F166" w14:textId="77777777" w:rsidR="00F17DEA" w:rsidRDefault="00F17DEA" w:rsidP="003B6997">
            <w:pPr>
              <w:spacing w:line="276" w:lineRule="auto"/>
            </w:pPr>
            <w:r w:rsidRPr="04FC83EA">
              <w:rPr>
                <w:rFonts w:ascii="Times New Roman" w:eastAsia="Times New Roman" w:hAnsi="Times New Roman" w:cs="Times New Roman"/>
                <w:color w:val="000000" w:themeColor="text1"/>
                <w:sz w:val="19"/>
                <w:szCs w:val="19"/>
              </w:rPr>
              <w:lastRenderedPageBreak/>
              <w:t xml:space="preserve">This table reports the results of regressions estimating the effect of cooperative R&amp;D arrangements on R&amp;D expenditure. The dependent variable is </w:t>
            </w:r>
            <w:r w:rsidRPr="04FC83EA">
              <w:rPr>
                <w:rFonts w:ascii="Times New Roman" w:eastAsia="Times New Roman" w:hAnsi="Times New Roman" w:cs="Times New Roman"/>
                <w:i/>
                <w:iCs/>
                <w:color w:val="000000" w:themeColor="text1"/>
                <w:sz w:val="19"/>
                <w:szCs w:val="19"/>
              </w:rPr>
              <w:t>amttot_berd</w:t>
            </w:r>
            <w:r w:rsidRPr="04FC83EA">
              <w:rPr>
                <w:rFonts w:ascii="Times New Roman" w:eastAsia="Times New Roman" w:hAnsi="Times New Roman" w:cs="Times New Roman"/>
                <w:color w:val="000000" w:themeColor="text1"/>
                <w:sz w:val="19"/>
                <w:szCs w:val="19"/>
              </w:rPr>
              <w:t xml:space="preserve">, the natural logarithm of reported R&amp;D expenditure. The primary explanatory variable is </w:t>
            </w:r>
            <w:r w:rsidRPr="04FC83EA">
              <w:rPr>
                <w:rFonts w:ascii="Times New Roman" w:eastAsia="Times New Roman" w:hAnsi="Times New Roman" w:cs="Times New Roman"/>
                <w:i/>
                <w:iCs/>
                <w:color w:val="000000" w:themeColor="text1"/>
                <w:sz w:val="19"/>
                <w:szCs w:val="19"/>
              </w:rPr>
              <w:t>coopjres_bcs</w:t>
            </w:r>
            <w:r w:rsidRPr="04FC83EA">
              <w:rPr>
                <w:rFonts w:ascii="Times New Roman" w:eastAsia="Times New Roman" w:hAnsi="Times New Roman" w:cs="Times New Roman"/>
                <w:color w:val="000000" w:themeColor="text1"/>
                <w:sz w:val="19"/>
                <w:szCs w:val="19"/>
              </w:rPr>
              <w:t>, a binary indicator variable equal to one for companies that report cooperative R&amp;D arrangements, and equal to zero otherwise. Standard errors are clustered by company, and t-statistics are presented in brackets.</w:t>
            </w:r>
          </w:p>
        </w:tc>
      </w:tr>
    </w:tbl>
    <w:p w14:paraId="10407EF9" w14:textId="77777777" w:rsidR="00F17DEA" w:rsidRPr="007E32AE" w:rsidRDefault="00F17DEA" w:rsidP="007E32AE">
      <w:pPr>
        <w:spacing w:after="0" w:line="360" w:lineRule="auto"/>
        <w:ind w:firstLine="720"/>
        <w:rPr>
          <w:rFonts w:cstheme="minorHAnsi"/>
          <w:sz w:val="24"/>
          <w:szCs w:val="24"/>
        </w:rPr>
      </w:pPr>
    </w:p>
    <w:p w14:paraId="7C47F717" w14:textId="4B9E4A39" w:rsidR="00EF5969" w:rsidRDefault="04FC83EA" w:rsidP="00EF5969">
      <w:pPr>
        <w:spacing w:after="0" w:line="360" w:lineRule="auto"/>
        <w:ind w:firstLine="720"/>
        <w:rPr>
          <w:rFonts w:eastAsia="Times New Roman" w:cstheme="minorHAnsi"/>
          <w:sz w:val="24"/>
          <w:szCs w:val="24"/>
        </w:rPr>
      </w:pPr>
      <w:r w:rsidRPr="007E32AE">
        <w:rPr>
          <w:rFonts w:eastAsia="Times New Roman" w:cstheme="minorHAnsi"/>
          <w:sz w:val="24"/>
          <w:szCs w:val="24"/>
        </w:rPr>
        <w:t xml:space="preserve">Tables </w:t>
      </w:r>
      <w:r w:rsidR="00EF5969">
        <w:rPr>
          <w:rFonts w:eastAsia="Times New Roman" w:cstheme="minorHAnsi"/>
          <w:sz w:val="24"/>
          <w:szCs w:val="24"/>
        </w:rPr>
        <w:t>4</w:t>
      </w:r>
      <w:r w:rsidRPr="007E32AE">
        <w:rPr>
          <w:rFonts w:eastAsia="Times New Roman" w:cstheme="minorHAnsi"/>
          <w:sz w:val="24"/>
          <w:szCs w:val="24"/>
        </w:rPr>
        <w:t xml:space="preserve"> and </w:t>
      </w:r>
      <w:r w:rsidR="00EF5969">
        <w:rPr>
          <w:rFonts w:eastAsia="Times New Roman" w:cstheme="minorHAnsi"/>
          <w:sz w:val="24"/>
          <w:szCs w:val="24"/>
        </w:rPr>
        <w:t>5</w:t>
      </w:r>
      <w:r w:rsidRPr="007E32AE">
        <w:rPr>
          <w:rFonts w:eastAsia="Times New Roman" w:cstheme="minorHAnsi"/>
          <w:sz w:val="24"/>
          <w:szCs w:val="24"/>
        </w:rPr>
        <w:t xml:space="preserve"> report our analysis of the association between the </w:t>
      </w:r>
      <w:r w:rsidR="00830D05">
        <w:rPr>
          <w:rFonts w:eastAsia="Times New Roman" w:cstheme="minorHAnsi"/>
          <w:sz w:val="24"/>
          <w:szCs w:val="24"/>
        </w:rPr>
        <w:t xml:space="preserve">external </w:t>
      </w:r>
      <w:r w:rsidRPr="007E32AE">
        <w:rPr>
          <w:rFonts w:eastAsia="Times New Roman" w:cstheme="minorHAnsi"/>
          <w:sz w:val="24"/>
          <w:szCs w:val="24"/>
        </w:rPr>
        <w:t xml:space="preserve">collaboration measures and patent filings by companies. The dependent variable is the number of patents filed by a company in the year. We include in our Poisson regression models similar additional variables to our preceding analyses. The regressions are estimated within industry and year using fixed effects. In Model 2, we also include as an additional explanatory variable the level of R&amp;D expenditure made by the company to control for the general level of R&amp;D resource commitment. </w:t>
      </w:r>
    </w:p>
    <w:p w14:paraId="5AC8F4CC" w14:textId="3CB16D16" w:rsidR="04FC83EA" w:rsidRPr="007E32AE" w:rsidRDefault="04FC83EA" w:rsidP="00EF5969">
      <w:pPr>
        <w:spacing w:after="0" w:line="360" w:lineRule="auto"/>
        <w:ind w:firstLine="720"/>
        <w:rPr>
          <w:rFonts w:cstheme="minorHAnsi"/>
          <w:sz w:val="24"/>
          <w:szCs w:val="24"/>
        </w:rPr>
      </w:pPr>
      <w:r w:rsidRPr="007E32AE">
        <w:rPr>
          <w:rFonts w:eastAsia="Times New Roman" w:cstheme="minorHAnsi"/>
          <w:sz w:val="24"/>
          <w:szCs w:val="24"/>
        </w:rPr>
        <w:t xml:space="preserve">Table </w:t>
      </w:r>
      <w:r w:rsidR="00EF5969">
        <w:rPr>
          <w:rFonts w:eastAsia="Times New Roman" w:cstheme="minorHAnsi"/>
          <w:sz w:val="24"/>
          <w:szCs w:val="24"/>
        </w:rPr>
        <w:t>4</w:t>
      </w:r>
      <w:r w:rsidRPr="007E32AE">
        <w:rPr>
          <w:rFonts w:eastAsia="Times New Roman" w:cstheme="minorHAnsi"/>
          <w:sz w:val="24"/>
          <w:szCs w:val="24"/>
        </w:rPr>
        <w:t xml:space="preserve"> shows evidence of a strong association between patent filings and general </w:t>
      </w:r>
      <w:r w:rsidR="00A2049A">
        <w:rPr>
          <w:rFonts w:eastAsia="Times New Roman" w:cstheme="minorHAnsi"/>
          <w:sz w:val="24"/>
          <w:szCs w:val="24"/>
        </w:rPr>
        <w:t xml:space="preserve">external </w:t>
      </w:r>
      <w:r w:rsidRPr="007E32AE">
        <w:rPr>
          <w:rFonts w:eastAsia="Times New Roman" w:cstheme="minorHAnsi"/>
          <w:sz w:val="24"/>
          <w:szCs w:val="24"/>
        </w:rPr>
        <w:t>cooperation. The coefficient estimates for our models range from 1.59 to 1.69 (</w:t>
      </w:r>
      <w:r w:rsidRPr="007E32AE">
        <w:rPr>
          <w:rFonts w:eastAsia="Times New Roman" w:cstheme="minorHAnsi"/>
          <w:i/>
          <w:iCs/>
          <w:sz w:val="24"/>
          <w:szCs w:val="24"/>
        </w:rPr>
        <w:t xml:space="preserve">z = </w:t>
      </w:r>
      <w:r w:rsidRPr="007E32AE">
        <w:rPr>
          <w:rFonts w:eastAsia="Times New Roman" w:cstheme="minorHAnsi"/>
          <w:sz w:val="24"/>
          <w:szCs w:val="24"/>
        </w:rPr>
        <w:t xml:space="preserve">2.55 and 2.82). Similarly, Table </w:t>
      </w:r>
      <w:r w:rsidR="00EF5969">
        <w:rPr>
          <w:rFonts w:eastAsia="Times New Roman" w:cstheme="minorHAnsi"/>
          <w:sz w:val="24"/>
          <w:szCs w:val="24"/>
        </w:rPr>
        <w:t>5</w:t>
      </w:r>
      <w:r w:rsidRPr="007E32AE">
        <w:rPr>
          <w:rFonts w:eastAsia="Times New Roman" w:cstheme="minorHAnsi"/>
          <w:sz w:val="24"/>
          <w:szCs w:val="24"/>
        </w:rPr>
        <w:t xml:space="preserve"> shows evidence a strong association between patent filings and research institution collaboration (</w:t>
      </w:r>
      <w:r w:rsidRPr="007E32AE">
        <w:rPr>
          <w:rFonts w:eastAsia="Times New Roman" w:cstheme="minorHAnsi"/>
          <w:i/>
          <w:iCs/>
          <w:sz w:val="24"/>
          <w:szCs w:val="24"/>
        </w:rPr>
        <w:t xml:space="preserve">z = </w:t>
      </w:r>
      <w:r w:rsidRPr="007E32AE">
        <w:rPr>
          <w:rFonts w:eastAsia="Times New Roman" w:cstheme="minorHAnsi"/>
          <w:sz w:val="24"/>
          <w:szCs w:val="24"/>
        </w:rPr>
        <w:t xml:space="preserve">2.29 and 5.69), albeit off a small sample. While we cannot rule out companies collaborating on projects with higher likelihood of success, or endogenous selection whereby companies more likely to conduct fruitful research are also more likely to engage in collaborative agreements, these results are consistent with </w:t>
      </w:r>
      <w:r w:rsidR="00A2049A">
        <w:rPr>
          <w:rFonts w:eastAsia="Times New Roman" w:cstheme="minorHAnsi"/>
          <w:sz w:val="24"/>
          <w:szCs w:val="24"/>
        </w:rPr>
        <w:t xml:space="preserve">external </w:t>
      </w:r>
      <w:r w:rsidRPr="007E32AE">
        <w:rPr>
          <w:rFonts w:eastAsia="Times New Roman" w:cstheme="minorHAnsi"/>
          <w:sz w:val="24"/>
          <w:szCs w:val="24"/>
        </w:rPr>
        <w:t xml:space="preserve">collaboration forming an important part of the research process for companies that are successful in producing tangible research outputs.  </w:t>
      </w:r>
    </w:p>
    <w:p w14:paraId="3EB2E1F8" w14:textId="1357F411" w:rsidR="04FC83EA" w:rsidRPr="007E32AE" w:rsidRDefault="04FC83EA" w:rsidP="007E32AE">
      <w:pPr>
        <w:spacing w:after="0" w:line="360" w:lineRule="auto"/>
        <w:ind w:firstLine="720"/>
        <w:rPr>
          <w:rFonts w:cstheme="minorHAnsi"/>
          <w:sz w:val="24"/>
          <w:szCs w:val="24"/>
        </w:rPr>
      </w:pPr>
      <w:r w:rsidRPr="007E32AE">
        <w:rPr>
          <w:rFonts w:eastAsia="Times New Roman" w:cstheme="minorHAnsi"/>
          <w:sz w:val="24"/>
          <w:szCs w:val="24"/>
        </w:rPr>
        <w:t xml:space="preserve">To the extent that these associations may reflect a causal relationship between conducting R&amp;D in a collaborative process (either between companies or between companies and research institutions), collaborative research may constitute an important lever in improving labour productivity in Australia. As previously discussed, progressing in labour productivity requires propagation of businesses in technical fields, leveraging highly skilled labour to deliver scalable products and services. Should </w:t>
      </w:r>
      <w:r w:rsidR="00A2049A">
        <w:rPr>
          <w:rFonts w:eastAsia="Times New Roman" w:cstheme="minorHAnsi"/>
          <w:sz w:val="24"/>
          <w:szCs w:val="24"/>
        </w:rPr>
        <w:t xml:space="preserve">external </w:t>
      </w:r>
      <w:r w:rsidRPr="007E32AE">
        <w:rPr>
          <w:rFonts w:eastAsia="Times New Roman" w:cstheme="minorHAnsi"/>
          <w:sz w:val="24"/>
          <w:szCs w:val="24"/>
        </w:rPr>
        <w:t xml:space="preserve">collaboration improve research outcomes, collaborative research may both enhance the quality, and therefore competitiveness, of innovative products and services or reduce cost and knowledge frictions that prevent Australian companies from innovating in technical areas. Accordingly, government policies focussed on R&amp;D should further support collaborative R&amp;D, especially for companies partnering with Australia’s world class teaching and research </w:t>
      </w:r>
      <w:r w:rsidRPr="007E32AE">
        <w:rPr>
          <w:rFonts w:eastAsia="Times New Roman" w:cstheme="minorHAnsi"/>
          <w:sz w:val="24"/>
          <w:szCs w:val="24"/>
        </w:rPr>
        <w:lastRenderedPageBreak/>
        <w:t>institutions.</w:t>
      </w:r>
      <w:r w:rsidR="000D19CA">
        <w:rPr>
          <w:rStyle w:val="FootnoteReference"/>
          <w:rFonts w:eastAsia="Times New Roman" w:cstheme="minorHAnsi"/>
          <w:sz w:val="24"/>
          <w:szCs w:val="24"/>
        </w:rPr>
        <w:footnoteReference w:id="5"/>
      </w:r>
      <w:r w:rsidRPr="007E32AE">
        <w:rPr>
          <w:rFonts w:eastAsia="Times New Roman" w:cstheme="minorHAnsi"/>
          <w:sz w:val="24"/>
          <w:szCs w:val="24"/>
        </w:rPr>
        <w:t xml:space="preserve"> While incentive for such collaboration can be provided through the existing R&amp;DTI tax subsidy for research activity, we strongly recommend policymakers to consider the application of research collaboration vouchers, which have been shown to both support additional research and innovation activities and encouraging value adding collaboration between business and research institutions.</w:t>
      </w:r>
      <w:r w:rsidR="000D19CA">
        <w:rPr>
          <w:rStyle w:val="FootnoteReference"/>
          <w:rFonts w:eastAsia="Times New Roman" w:cstheme="minorHAnsi"/>
          <w:sz w:val="24"/>
          <w:szCs w:val="24"/>
        </w:rPr>
        <w:footnoteReference w:id="6"/>
      </w:r>
      <w:r w:rsidRPr="007E32AE">
        <w:rPr>
          <w:rFonts w:eastAsia="Times New Roman" w:cstheme="minorHAnsi"/>
          <w:sz w:val="24"/>
          <w:szCs w:val="24"/>
        </w:rPr>
        <w:t xml:space="preserve"> </w:t>
      </w:r>
    </w:p>
    <w:p w14:paraId="63B540C3" w14:textId="6B40933F" w:rsidR="04FC83EA" w:rsidRDefault="04FC83EA">
      <w:r w:rsidRPr="04FC83EA">
        <w:rPr>
          <w:rFonts w:ascii="Times New Roman" w:eastAsia="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3005"/>
        <w:gridCol w:w="3005"/>
        <w:gridCol w:w="3005"/>
      </w:tblGrid>
      <w:tr w:rsidR="04FC83EA" w14:paraId="444BCC0F" w14:textId="77777777" w:rsidTr="04FC83EA">
        <w:tc>
          <w:tcPr>
            <w:tcW w:w="9015" w:type="dxa"/>
            <w:gridSpan w:val="3"/>
            <w:tcBorders>
              <w:top w:val="nil"/>
              <w:left w:val="nil"/>
              <w:bottom w:val="single" w:sz="8" w:space="0" w:color="auto"/>
              <w:right w:val="nil"/>
            </w:tcBorders>
            <w:vAlign w:val="center"/>
          </w:tcPr>
          <w:p w14:paraId="4763C827" w14:textId="73ADA73E" w:rsidR="04FC83EA" w:rsidRDefault="04FC83EA" w:rsidP="04FC83EA">
            <w:pPr>
              <w:spacing w:line="276" w:lineRule="auto"/>
            </w:pPr>
            <w:r w:rsidRPr="04FC83EA">
              <w:rPr>
                <w:rFonts w:ascii="Times New Roman" w:eastAsia="Times New Roman" w:hAnsi="Times New Roman" w:cs="Times New Roman"/>
                <w:b/>
                <w:bCs/>
                <w:color w:val="000000" w:themeColor="text1"/>
                <w:sz w:val="24"/>
                <w:szCs w:val="24"/>
              </w:rPr>
              <w:t xml:space="preserve">Table </w:t>
            </w:r>
            <w:r w:rsidR="00EF5969">
              <w:rPr>
                <w:rFonts w:ascii="Times New Roman" w:eastAsia="Times New Roman" w:hAnsi="Times New Roman" w:cs="Times New Roman"/>
                <w:b/>
                <w:bCs/>
                <w:color w:val="000000" w:themeColor="text1"/>
                <w:sz w:val="24"/>
                <w:szCs w:val="24"/>
              </w:rPr>
              <w:t>4</w:t>
            </w:r>
            <w:r w:rsidRPr="04FC83EA">
              <w:rPr>
                <w:rFonts w:ascii="Times New Roman" w:eastAsia="Times New Roman" w:hAnsi="Times New Roman" w:cs="Times New Roman"/>
                <w:b/>
                <w:bCs/>
                <w:color w:val="000000" w:themeColor="text1"/>
                <w:sz w:val="24"/>
                <w:szCs w:val="24"/>
              </w:rPr>
              <w:t>: Association between collaborative R&amp;D agreements on patent filings</w:t>
            </w:r>
          </w:p>
        </w:tc>
      </w:tr>
      <w:tr w:rsidR="04FC83EA" w14:paraId="744ED2B6" w14:textId="77777777" w:rsidTr="04FC83EA">
        <w:tc>
          <w:tcPr>
            <w:tcW w:w="3005" w:type="dxa"/>
            <w:tcBorders>
              <w:top w:val="single" w:sz="8" w:space="0" w:color="auto"/>
              <w:left w:val="nil"/>
              <w:bottom w:val="nil"/>
              <w:right w:val="nil"/>
            </w:tcBorders>
            <w:vAlign w:val="center"/>
          </w:tcPr>
          <w:p w14:paraId="40130B27" w14:textId="1C11A591" w:rsidR="04FC83EA" w:rsidRDefault="04FC83EA" w:rsidP="004875F2">
            <w:pPr>
              <w:spacing w:after="0" w:line="240" w:lineRule="auto"/>
              <w:jc w:val="center"/>
            </w:pPr>
            <w:r w:rsidRPr="04FC83EA">
              <w:rPr>
                <w:rFonts w:ascii="Times New Roman" w:eastAsia="Times New Roman" w:hAnsi="Times New Roman" w:cs="Times New Roman"/>
                <w:b/>
                <w:bCs/>
                <w:color w:val="000000" w:themeColor="text1"/>
                <w:sz w:val="24"/>
                <w:szCs w:val="24"/>
              </w:rPr>
              <w:t xml:space="preserve"> </w:t>
            </w:r>
          </w:p>
        </w:tc>
        <w:tc>
          <w:tcPr>
            <w:tcW w:w="6010" w:type="dxa"/>
            <w:gridSpan w:val="2"/>
            <w:tcBorders>
              <w:top w:val="nil"/>
              <w:left w:val="nil"/>
              <w:bottom w:val="single" w:sz="8" w:space="0" w:color="000000" w:themeColor="text1"/>
              <w:right w:val="nil"/>
            </w:tcBorders>
            <w:vAlign w:val="center"/>
          </w:tcPr>
          <w:p w14:paraId="2CACA93F" w14:textId="06EFF2CE" w:rsidR="04FC83EA" w:rsidRDefault="04FC83EA" w:rsidP="004875F2">
            <w:pPr>
              <w:spacing w:after="0" w:line="240" w:lineRule="auto"/>
              <w:jc w:val="center"/>
            </w:pPr>
            <w:r w:rsidRPr="04FC83EA">
              <w:rPr>
                <w:rFonts w:ascii="Times New Roman" w:eastAsia="Times New Roman" w:hAnsi="Times New Roman" w:cs="Times New Roman"/>
                <w:b/>
                <w:bCs/>
                <w:color w:val="000000" w:themeColor="text1"/>
                <w:sz w:val="24"/>
                <w:szCs w:val="24"/>
              </w:rPr>
              <w:t>p_filed</w:t>
            </w:r>
          </w:p>
        </w:tc>
      </w:tr>
      <w:tr w:rsidR="04FC83EA" w14:paraId="72AF5485" w14:textId="77777777" w:rsidTr="04FC83EA">
        <w:tc>
          <w:tcPr>
            <w:tcW w:w="3005" w:type="dxa"/>
            <w:tcBorders>
              <w:top w:val="nil"/>
              <w:left w:val="nil"/>
              <w:bottom w:val="nil"/>
              <w:right w:val="nil"/>
            </w:tcBorders>
            <w:vAlign w:val="center"/>
          </w:tcPr>
          <w:p w14:paraId="1F978AC5" w14:textId="723149A7" w:rsidR="04FC83EA" w:rsidRDefault="04FC83EA" w:rsidP="004875F2">
            <w:pPr>
              <w:spacing w:after="0" w:line="240" w:lineRule="auto"/>
              <w:jc w:val="center"/>
            </w:pPr>
            <w:r w:rsidRPr="04FC83EA">
              <w:rPr>
                <w:rFonts w:ascii="Times New Roman" w:eastAsia="Times New Roman" w:hAnsi="Times New Roman" w:cs="Times New Roman"/>
                <w:b/>
                <w:bCs/>
                <w:color w:val="000000" w:themeColor="text1"/>
                <w:sz w:val="24"/>
                <w:szCs w:val="24"/>
              </w:rPr>
              <w:t xml:space="preserve"> </w:t>
            </w:r>
          </w:p>
        </w:tc>
        <w:tc>
          <w:tcPr>
            <w:tcW w:w="3005" w:type="dxa"/>
            <w:tcBorders>
              <w:top w:val="single" w:sz="8" w:space="0" w:color="000000" w:themeColor="text1"/>
              <w:left w:val="nil"/>
              <w:bottom w:val="nil"/>
              <w:right w:val="nil"/>
            </w:tcBorders>
            <w:vAlign w:val="center"/>
          </w:tcPr>
          <w:p w14:paraId="535E831E" w14:textId="6DD05BFC" w:rsidR="04FC83EA" w:rsidRDefault="04FC83EA" w:rsidP="004875F2">
            <w:pPr>
              <w:spacing w:after="0" w:line="240" w:lineRule="auto"/>
            </w:pPr>
            <w:r w:rsidRPr="04FC83EA">
              <w:rPr>
                <w:rFonts w:ascii="Times New Roman" w:eastAsia="Times New Roman" w:hAnsi="Times New Roman" w:cs="Times New Roman"/>
                <w:b/>
                <w:bCs/>
                <w:color w:val="000000" w:themeColor="text1"/>
                <w:sz w:val="24"/>
                <w:szCs w:val="24"/>
              </w:rPr>
              <w:t>Model 1</w:t>
            </w:r>
          </w:p>
        </w:tc>
        <w:tc>
          <w:tcPr>
            <w:tcW w:w="3005" w:type="dxa"/>
            <w:tcBorders>
              <w:top w:val="nil"/>
              <w:left w:val="nil"/>
              <w:bottom w:val="nil"/>
              <w:right w:val="nil"/>
            </w:tcBorders>
            <w:vAlign w:val="center"/>
          </w:tcPr>
          <w:p w14:paraId="61F34D5A" w14:textId="1AB8640E" w:rsidR="04FC83EA" w:rsidRDefault="04FC83EA" w:rsidP="004875F2">
            <w:pPr>
              <w:spacing w:after="0" w:line="240" w:lineRule="auto"/>
            </w:pPr>
            <w:r w:rsidRPr="04FC83EA">
              <w:rPr>
                <w:rFonts w:ascii="Times New Roman" w:eastAsia="Times New Roman" w:hAnsi="Times New Roman" w:cs="Times New Roman"/>
                <w:b/>
                <w:bCs/>
                <w:color w:val="000000" w:themeColor="text1"/>
                <w:sz w:val="24"/>
                <w:szCs w:val="24"/>
              </w:rPr>
              <w:t>Model 2</w:t>
            </w:r>
          </w:p>
        </w:tc>
      </w:tr>
      <w:tr w:rsidR="04FC83EA" w14:paraId="0F6CB013" w14:textId="77777777" w:rsidTr="04FC83EA">
        <w:tc>
          <w:tcPr>
            <w:tcW w:w="3005" w:type="dxa"/>
            <w:tcBorders>
              <w:top w:val="nil"/>
              <w:left w:val="nil"/>
              <w:bottom w:val="nil"/>
              <w:right w:val="nil"/>
            </w:tcBorders>
            <w:vAlign w:val="center"/>
          </w:tcPr>
          <w:p w14:paraId="6409AED8" w14:textId="7C33AC49"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coopjres_bcs</w:t>
            </w:r>
          </w:p>
        </w:tc>
        <w:tc>
          <w:tcPr>
            <w:tcW w:w="3005" w:type="dxa"/>
            <w:tcBorders>
              <w:top w:val="nil"/>
              <w:left w:val="nil"/>
              <w:bottom w:val="nil"/>
              <w:right w:val="nil"/>
            </w:tcBorders>
            <w:vAlign w:val="center"/>
          </w:tcPr>
          <w:p w14:paraId="5BA14C2C" w14:textId="182767A9"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1.69</w:t>
            </w:r>
            <w:r w:rsidRPr="04FC83EA">
              <w:rPr>
                <w:rFonts w:ascii="Times New Roman" w:eastAsia="Times New Roman" w:hAnsi="Times New Roman" w:cs="Times New Roman"/>
                <w:color w:val="000000" w:themeColor="text1"/>
                <w:sz w:val="24"/>
                <w:szCs w:val="24"/>
                <w:vertAlign w:val="superscript"/>
              </w:rPr>
              <w:t>***</w:t>
            </w:r>
          </w:p>
        </w:tc>
        <w:tc>
          <w:tcPr>
            <w:tcW w:w="3005" w:type="dxa"/>
            <w:tcBorders>
              <w:top w:val="nil"/>
              <w:left w:val="nil"/>
              <w:bottom w:val="nil"/>
              <w:right w:val="nil"/>
            </w:tcBorders>
            <w:vAlign w:val="center"/>
          </w:tcPr>
          <w:p w14:paraId="7E09F191" w14:textId="46FFADE4"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1.59</w:t>
            </w:r>
            <w:r w:rsidRPr="04FC83EA">
              <w:rPr>
                <w:rFonts w:ascii="Times New Roman" w:eastAsia="Times New Roman" w:hAnsi="Times New Roman" w:cs="Times New Roman"/>
                <w:color w:val="000000" w:themeColor="text1"/>
                <w:sz w:val="24"/>
                <w:szCs w:val="24"/>
                <w:vertAlign w:val="superscript"/>
              </w:rPr>
              <w:t>***</w:t>
            </w:r>
          </w:p>
        </w:tc>
      </w:tr>
      <w:tr w:rsidR="04FC83EA" w14:paraId="7E069607" w14:textId="77777777" w:rsidTr="04FC83EA">
        <w:tc>
          <w:tcPr>
            <w:tcW w:w="3005" w:type="dxa"/>
            <w:tcBorders>
              <w:top w:val="nil"/>
              <w:left w:val="nil"/>
              <w:bottom w:val="nil"/>
              <w:right w:val="nil"/>
            </w:tcBorders>
            <w:vAlign w:val="center"/>
          </w:tcPr>
          <w:p w14:paraId="4EE3F640" w14:textId="2A39DD09"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4BCED9BE" w14:textId="04F0951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[2.82]</w:t>
            </w:r>
          </w:p>
        </w:tc>
        <w:tc>
          <w:tcPr>
            <w:tcW w:w="3005" w:type="dxa"/>
            <w:tcBorders>
              <w:top w:val="nil"/>
              <w:left w:val="nil"/>
              <w:bottom w:val="nil"/>
              <w:right w:val="nil"/>
            </w:tcBorders>
            <w:vAlign w:val="center"/>
          </w:tcPr>
          <w:p w14:paraId="78CA8467" w14:textId="4785F62A"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[2.55]</w:t>
            </w:r>
          </w:p>
        </w:tc>
      </w:tr>
      <w:tr w:rsidR="04FC83EA" w14:paraId="1273DAC7" w14:textId="77777777" w:rsidTr="04FC83EA">
        <w:tc>
          <w:tcPr>
            <w:tcW w:w="3005" w:type="dxa"/>
            <w:tcBorders>
              <w:top w:val="nil"/>
              <w:left w:val="nil"/>
              <w:bottom w:val="nil"/>
              <w:right w:val="nil"/>
            </w:tcBorders>
            <w:vAlign w:val="center"/>
          </w:tcPr>
          <w:p w14:paraId="13A6F1EB" w14:textId="4CA69A66"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taxoffset</w:t>
            </w:r>
          </w:p>
        </w:tc>
        <w:tc>
          <w:tcPr>
            <w:tcW w:w="3005" w:type="dxa"/>
            <w:tcBorders>
              <w:top w:val="nil"/>
              <w:left w:val="nil"/>
              <w:bottom w:val="nil"/>
              <w:right w:val="nil"/>
            </w:tcBorders>
            <w:vAlign w:val="center"/>
          </w:tcPr>
          <w:p w14:paraId="78066477" w14:textId="58C68510"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0.79</w:t>
            </w:r>
          </w:p>
        </w:tc>
        <w:tc>
          <w:tcPr>
            <w:tcW w:w="3005" w:type="dxa"/>
            <w:tcBorders>
              <w:top w:val="nil"/>
              <w:left w:val="nil"/>
              <w:bottom w:val="nil"/>
              <w:right w:val="nil"/>
            </w:tcBorders>
            <w:vAlign w:val="center"/>
          </w:tcPr>
          <w:p w14:paraId="3B16CF24" w14:textId="046FFFF4"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0.71</w:t>
            </w:r>
          </w:p>
        </w:tc>
      </w:tr>
      <w:tr w:rsidR="04FC83EA" w14:paraId="4926D64B" w14:textId="77777777" w:rsidTr="04FC83EA">
        <w:tc>
          <w:tcPr>
            <w:tcW w:w="3005" w:type="dxa"/>
            <w:tcBorders>
              <w:top w:val="nil"/>
              <w:left w:val="nil"/>
              <w:bottom w:val="nil"/>
              <w:right w:val="nil"/>
            </w:tcBorders>
            <w:vAlign w:val="center"/>
          </w:tcPr>
          <w:p w14:paraId="6D3C1D8C" w14:textId="46072EB4"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252E9BB4" w14:textId="407528B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[1.02]</w:t>
            </w:r>
          </w:p>
        </w:tc>
        <w:tc>
          <w:tcPr>
            <w:tcW w:w="3005" w:type="dxa"/>
            <w:tcBorders>
              <w:top w:val="nil"/>
              <w:left w:val="nil"/>
              <w:bottom w:val="nil"/>
              <w:right w:val="nil"/>
            </w:tcBorders>
            <w:vAlign w:val="center"/>
          </w:tcPr>
          <w:p w14:paraId="2DB12F05" w14:textId="4FDC5E7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[0.92]</w:t>
            </w:r>
          </w:p>
        </w:tc>
      </w:tr>
      <w:tr w:rsidR="04FC83EA" w14:paraId="4AEF5E23" w14:textId="77777777" w:rsidTr="04FC83EA">
        <w:tc>
          <w:tcPr>
            <w:tcW w:w="3005" w:type="dxa"/>
            <w:tcBorders>
              <w:top w:val="nil"/>
              <w:left w:val="nil"/>
              <w:bottom w:val="nil"/>
              <w:right w:val="nil"/>
            </w:tcBorders>
            <w:vAlign w:val="center"/>
          </w:tcPr>
          <w:p w14:paraId="07C10E87" w14:textId="62C2426A"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post</w:t>
            </w:r>
          </w:p>
        </w:tc>
        <w:tc>
          <w:tcPr>
            <w:tcW w:w="3005" w:type="dxa"/>
            <w:tcBorders>
              <w:top w:val="nil"/>
              <w:left w:val="nil"/>
              <w:bottom w:val="nil"/>
              <w:right w:val="nil"/>
            </w:tcBorders>
            <w:vAlign w:val="center"/>
          </w:tcPr>
          <w:p w14:paraId="47399934" w14:textId="1E89EB3D"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-4.28</w:t>
            </w:r>
            <w:r w:rsidRPr="04FC83EA">
              <w:rPr>
                <w:rFonts w:ascii="Times New Roman" w:eastAsia="Times New Roman" w:hAnsi="Times New Roman" w:cs="Times New Roman"/>
                <w:color w:val="000000" w:themeColor="text1"/>
                <w:sz w:val="24"/>
                <w:szCs w:val="24"/>
                <w:vertAlign w:val="superscript"/>
              </w:rPr>
              <w:t>**</w:t>
            </w:r>
          </w:p>
        </w:tc>
        <w:tc>
          <w:tcPr>
            <w:tcW w:w="3005" w:type="dxa"/>
            <w:tcBorders>
              <w:top w:val="nil"/>
              <w:left w:val="nil"/>
              <w:bottom w:val="nil"/>
              <w:right w:val="nil"/>
            </w:tcBorders>
            <w:vAlign w:val="center"/>
          </w:tcPr>
          <w:p w14:paraId="6094E682" w14:textId="21EBDF0F"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-4.86</w:t>
            </w:r>
            <w:r w:rsidRPr="04FC83EA">
              <w:rPr>
                <w:rFonts w:ascii="Times New Roman" w:eastAsia="Times New Roman" w:hAnsi="Times New Roman" w:cs="Times New Roman"/>
                <w:color w:val="000000" w:themeColor="text1"/>
                <w:sz w:val="24"/>
                <w:szCs w:val="24"/>
                <w:vertAlign w:val="superscript"/>
              </w:rPr>
              <w:t>**</w:t>
            </w:r>
          </w:p>
        </w:tc>
      </w:tr>
      <w:tr w:rsidR="04FC83EA" w14:paraId="0ABC1613" w14:textId="77777777" w:rsidTr="04FC83EA">
        <w:tc>
          <w:tcPr>
            <w:tcW w:w="3005" w:type="dxa"/>
            <w:tcBorders>
              <w:top w:val="nil"/>
              <w:left w:val="nil"/>
              <w:bottom w:val="nil"/>
              <w:right w:val="nil"/>
            </w:tcBorders>
            <w:vAlign w:val="center"/>
          </w:tcPr>
          <w:p w14:paraId="0FD7EC19" w14:textId="5753041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364844F8" w14:textId="37C73285"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[-2.45]</w:t>
            </w:r>
          </w:p>
        </w:tc>
        <w:tc>
          <w:tcPr>
            <w:tcW w:w="3005" w:type="dxa"/>
            <w:tcBorders>
              <w:top w:val="nil"/>
              <w:left w:val="nil"/>
              <w:bottom w:val="nil"/>
              <w:right w:val="nil"/>
            </w:tcBorders>
            <w:vAlign w:val="center"/>
          </w:tcPr>
          <w:p w14:paraId="67475DAE" w14:textId="58BC12F3"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[-2.32]</w:t>
            </w:r>
          </w:p>
        </w:tc>
      </w:tr>
      <w:tr w:rsidR="04FC83EA" w14:paraId="3199CCE4" w14:textId="77777777" w:rsidTr="04FC83EA">
        <w:tc>
          <w:tcPr>
            <w:tcW w:w="3005" w:type="dxa"/>
            <w:tcBorders>
              <w:top w:val="nil"/>
              <w:left w:val="nil"/>
              <w:bottom w:val="nil"/>
              <w:right w:val="nil"/>
            </w:tcBorders>
            <w:vAlign w:val="center"/>
          </w:tcPr>
          <w:p w14:paraId="0A8CBC45" w14:textId="3DDE22E1"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taxoffset x post</w:t>
            </w:r>
          </w:p>
        </w:tc>
        <w:tc>
          <w:tcPr>
            <w:tcW w:w="3005" w:type="dxa"/>
            <w:tcBorders>
              <w:top w:val="nil"/>
              <w:left w:val="nil"/>
              <w:bottom w:val="nil"/>
              <w:right w:val="nil"/>
            </w:tcBorders>
            <w:vAlign w:val="center"/>
          </w:tcPr>
          <w:p w14:paraId="71D53A70" w14:textId="6318CF9C"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2.52</w:t>
            </w:r>
          </w:p>
        </w:tc>
        <w:tc>
          <w:tcPr>
            <w:tcW w:w="3005" w:type="dxa"/>
            <w:tcBorders>
              <w:top w:val="nil"/>
              <w:left w:val="nil"/>
              <w:bottom w:val="nil"/>
              <w:right w:val="nil"/>
            </w:tcBorders>
            <w:vAlign w:val="center"/>
          </w:tcPr>
          <w:p w14:paraId="7636E7FA" w14:textId="0091CEC0"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3.01</w:t>
            </w:r>
          </w:p>
        </w:tc>
      </w:tr>
      <w:tr w:rsidR="04FC83EA" w14:paraId="07BC1E7A" w14:textId="77777777" w:rsidTr="04FC83EA">
        <w:tc>
          <w:tcPr>
            <w:tcW w:w="3005" w:type="dxa"/>
            <w:tcBorders>
              <w:top w:val="nil"/>
              <w:left w:val="nil"/>
              <w:bottom w:val="nil"/>
              <w:right w:val="nil"/>
            </w:tcBorders>
            <w:vAlign w:val="center"/>
          </w:tcPr>
          <w:p w14:paraId="4B6ADBCB" w14:textId="33F99B54"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05E2E80A" w14:textId="21C9D0C3"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[1.82]</w:t>
            </w:r>
          </w:p>
        </w:tc>
        <w:tc>
          <w:tcPr>
            <w:tcW w:w="3005" w:type="dxa"/>
            <w:tcBorders>
              <w:top w:val="nil"/>
              <w:left w:val="nil"/>
              <w:bottom w:val="nil"/>
              <w:right w:val="nil"/>
            </w:tcBorders>
            <w:vAlign w:val="center"/>
          </w:tcPr>
          <w:p w14:paraId="779409E8" w14:textId="5AF4883B"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[1.63]</w:t>
            </w:r>
          </w:p>
        </w:tc>
      </w:tr>
      <w:tr w:rsidR="04FC83EA" w14:paraId="572BB5C2" w14:textId="77777777" w:rsidTr="04FC83EA">
        <w:tc>
          <w:tcPr>
            <w:tcW w:w="3005" w:type="dxa"/>
            <w:tcBorders>
              <w:top w:val="nil"/>
              <w:left w:val="nil"/>
              <w:bottom w:val="nil"/>
              <w:right w:val="nil"/>
            </w:tcBorders>
            <w:vAlign w:val="center"/>
          </w:tcPr>
          <w:p w14:paraId="20EEEC55" w14:textId="01C77115"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govt_subsidies</w:t>
            </w:r>
          </w:p>
        </w:tc>
        <w:tc>
          <w:tcPr>
            <w:tcW w:w="3005" w:type="dxa"/>
            <w:tcBorders>
              <w:top w:val="nil"/>
              <w:left w:val="nil"/>
              <w:bottom w:val="nil"/>
              <w:right w:val="nil"/>
            </w:tcBorders>
            <w:vAlign w:val="center"/>
          </w:tcPr>
          <w:p w14:paraId="2ECAE6C1" w14:textId="25331A01"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0.00</w:t>
            </w:r>
          </w:p>
        </w:tc>
        <w:tc>
          <w:tcPr>
            <w:tcW w:w="3005" w:type="dxa"/>
            <w:tcBorders>
              <w:top w:val="nil"/>
              <w:left w:val="nil"/>
              <w:bottom w:val="nil"/>
              <w:right w:val="nil"/>
            </w:tcBorders>
            <w:vAlign w:val="center"/>
          </w:tcPr>
          <w:p w14:paraId="553C4B01" w14:textId="289A2688"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-0.02</w:t>
            </w:r>
          </w:p>
        </w:tc>
      </w:tr>
      <w:tr w:rsidR="04FC83EA" w14:paraId="74122949" w14:textId="77777777" w:rsidTr="04FC83EA">
        <w:tc>
          <w:tcPr>
            <w:tcW w:w="3005" w:type="dxa"/>
            <w:tcBorders>
              <w:top w:val="nil"/>
              <w:left w:val="nil"/>
              <w:bottom w:val="nil"/>
              <w:right w:val="nil"/>
            </w:tcBorders>
            <w:vAlign w:val="center"/>
          </w:tcPr>
          <w:p w14:paraId="1ED00B7F" w14:textId="720DC601"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629576C0" w14:textId="1CE94AF1"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[0.09]</w:t>
            </w:r>
          </w:p>
        </w:tc>
        <w:tc>
          <w:tcPr>
            <w:tcW w:w="3005" w:type="dxa"/>
            <w:tcBorders>
              <w:top w:val="nil"/>
              <w:left w:val="nil"/>
              <w:bottom w:val="nil"/>
              <w:right w:val="nil"/>
            </w:tcBorders>
            <w:vAlign w:val="center"/>
          </w:tcPr>
          <w:p w14:paraId="18C59077" w14:textId="4FDB97FB"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[-0.47]</w:t>
            </w:r>
          </w:p>
        </w:tc>
      </w:tr>
      <w:tr w:rsidR="04FC83EA" w14:paraId="1BB8DC71" w14:textId="77777777" w:rsidTr="04FC83EA">
        <w:tc>
          <w:tcPr>
            <w:tcW w:w="3005" w:type="dxa"/>
            <w:tcBorders>
              <w:top w:val="nil"/>
              <w:left w:val="nil"/>
              <w:bottom w:val="nil"/>
              <w:right w:val="nil"/>
            </w:tcBorders>
            <w:vAlign w:val="center"/>
          </w:tcPr>
          <w:p w14:paraId="5218C527" w14:textId="17585EC0"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revenue</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2DC811AD" w14:textId="6C9F09E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-0.75</w:t>
            </w:r>
          </w:p>
        </w:tc>
        <w:tc>
          <w:tcPr>
            <w:tcW w:w="3005" w:type="dxa"/>
            <w:tcBorders>
              <w:top w:val="nil"/>
              <w:left w:val="nil"/>
              <w:bottom w:val="nil"/>
              <w:right w:val="nil"/>
            </w:tcBorders>
            <w:vAlign w:val="center"/>
          </w:tcPr>
          <w:p w14:paraId="52437398" w14:textId="10913B4A"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-0.79</w:t>
            </w:r>
          </w:p>
        </w:tc>
      </w:tr>
      <w:tr w:rsidR="04FC83EA" w14:paraId="46531854" w14:textId="77777777" w:rsidTr="04FC83EA">
        <w:tc>
          <w:tcPr>
            <w:tcW w:w="3005" w:type="dxa"/>
            <w:tcBorders>
              <w:top w:val="nil"/>
              <w:left w:val="nil"/>
              <w:bottom w:val="nil"/>
              <w:right w:val="nil"/>
            </w:tcBorders>
            <w:vAlign w:val="center"/>
          </w:tcPr>
          <w:p w14:paraId="6977FBD1" w14:textId="7409D455"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4AF30065" w14:textId="5845EFDD"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[-1.74]</w:t>
            </w:r>
          </w:p>
        </w:tc>
        <w:tc>
          <w:tcPr>
            <w:tcW w:w="3005" w:type="dxa"/>
            <w:tcBorders>
              <w:top w:val="nil"/>
              <w:left w:val="nil"/>
              <w:bottom w:val="nil"/>
              <w:right w:val="nil"/>
            </w:tcBorders>
            <w:vAlign w:val="center"/>
          </w:tcPr>
          <w:p w14:paraId="7BC934A3" w14:textId="555145F1"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[-1.75]</w:t>
            </w:r>
          </w:p>
        </w:tc>
      </w:tr>
      <w:tr w:rsidR="04FC83EA" w14:paraId="085BD3AC" w14:textId="77777777" w:rsidTr="04FC83EA">
        <w:tc>
          <w:tcPr>
            <w:tcW w:w="3005" w:type="dxa"/>
            <w:tcBorders>
              <w:top w:val="nil"/>
              <w:left w:val="nil"/>
              <w:bottom w:val="nil"/>
              <w:right w:val="nil"/>
            </w:tcBorders>
            <w:vAlign w:val="center"/>
          </w:tcPr>
          <w:p w14:paraId="6144A7F9" w14:textId="19ECBE64"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ch_sales</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1FD166D2" w14:textId="6A45A0CF"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0.17</w:t>
            </w:r>
            <w:r w:rsidRPr="04FC83EA">
              <w:rPr>
                <w:rFonts w:ascii="Times New Roman" w:eastAsia="Times New Roman" w:hAnsi="Times New Roman" w:cs="Times New Roman"/>
                <w:color w:val="000000" w:themeColor="text1"/>
                <w:sz w:val="24"/>
                <w:szCs w:val="24"/>
                <w:vertAlign w:val="superscript"/>
              </w:rPr>
              <w:t>*</w:t>
            </w:r>
          </w:p>
        </w:tc>
        <w:tc>
          <w:tcPr>
            <w:tcW w:w="3005" w:type="dxa"/>
            <w:tcBorders>
              <w:top w:val="nil"/>
              <w:left w:val="nil"/>
              <w:bottom w:val="nil"/>
              <w:right w:val="nil"/>
            </w:tcBorders>
            <w:vAlign w:val="center"/>
          </w:tcPr>
          <w:p w14:paraId="04E63163" w14:textId="0976A5AF"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0.18</w:t>
            </w:r>
          </w:p>
        </w:tc>
      </w:tr>
      <w:tr w:rsidR="04FC83EA" w14:paraId="3F6C2AE3" w14:textId="77777777" w:rsidTr="04FC83EA">
        <w:tc>
          <w:tcPr>
            <w:tcW w:w="3005" w:type="dxa"/>
            <w:tcBorders>
              <w:top w:val="nil"/>
              <w:left w:val="nil"/>
              <w:bottom w:val="nil"/>
              <w:right w:val="nil"/>
            </w:tcBorders>
            <w:vAlign w:val="center"/>
          </w:tcPr>
          <w:p w14:paraId="5B871F72" w14:textId="76B3F002"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79DB8C26" w14:textId="2D3524F2"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[0.66]</w:t>
            </w:r>
          </w:p>
        </w:tc>
        <w:tc>
          <w:tcPr>
            <w:tcW w:w="3005" w:type="dxa"/>
            <w:tcBorders>
              <w:top w:val="nil"/>
              <w:left w:val="nil"/>
              <w:bottom w:val="nil"/>
              <w:right w:val="nil"/>
            </w:tcBorders>
            <w:vAlign w:val="center"/>
          </w:tcPr>
          <w:p w14:paraId="1D67CBB8" w14:textId="73C6F486"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[0.73]</w:t>
            </w:r>
          </w:p>
        </w:tc>
      </w:tr>
      <w:tr w:rsidR="04FC83EA" w14:paraId="7F4CEF90" w14:textId="77777777" w:rsidTr="04FC83EA">
        <w:tc>
          <w:tcPr>
            <w:tcW w:w="3005" w:type="dxa"/>
            <w:tcBorders>
              <w:top w:val="nil"/>
              <w:left w:val="nil"/>
              <w:bottom w:val="nil"/>
              <w:right w:val="nil"/>
            </w:tcBorders>
            <w:vAlign w:val="center"/>
          </w:tcPr>
          <w:p w14:paraId="6C36F246" w14:textId="72DBAA0A"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roa</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2C816B49" w14:textId="7F62E10B"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-1.04</w:t>
            </w:r>
          </w:p>
        </w:tc>
        <w:tc>
          <w:tcPr>
            <w:tcW w:w="3005" w:type="dxa"/>
            <w:tcBorders>
              <w:top w:val="nil"/>
              <w:left w:val="nil"/>
              <w:bottom w:val="nil"/>
              <w:right w:val="nil"/>
            </w:tcBorders>
            <w:vAlign w:val="center"/>
          </w:tcPr>
          <w:p w14:paraId="49E4575A" w14:textId="58E2C614"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-0.73</w:t>
            </w:r>
          </w:p>
        </w:tc>
      </w:tr>
      <w:tr w:rsidR="04FC83EA" w14:paraId="1C854CBA" w14:textId="77777777" w:rsidTr="04FC83EA">
        <w:tc>
          <w:tcPr>
            <w:tcW w:w="3005" w:type="dxa"/>
            <w:tcBorders>
              <w:top w:val="nil"/>
              <w:left w:val="nil"/>
              <w:bottom w:val="nil"/>
              <w:right w:val="nil"/>
            </w:tcBorders>
            <w:vAlign w:val="center"/>
          </w:tcPr>
          <w:p w14:paraId="0E4662B9" w14:textId="14CE3282"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44276F59" w14:textId="695C4DCC"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[-0.93]</w:t>
            </w:r>
          </w:p>
        </w:tc>
        <w:tc>
          <w:tcPr>
            <w:tcW w:w="3005" w:type="dxa"/>
            <w:tcBorders>
              <w:top w:val="nil"/>
              <w:left w:val="nil"/>
              <w:bottom w:val="nil"/>
              <w:right w:val="nil"/>
            </w:tcBorders>
            <w:vAlign w:val="center"/>
          </w:tcPr>
          <w:p w14:paraId="39E48573" w14:textId="5BF0B4F9"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[-0.71]</w:t>
            </w:r>
          </w:p>
        </w:tc>
      </w:tr>
      <w:tr w:rsidR="04FC83EA" w14:paraId="43080D41" w14:textId="77777777" w:rsidTr="04FC83EA">
        <w:tc>
          <w:tcPr>
            <w:tcW w:w="3005" w:type="dxa"/>
            <w:tcBorders>
              <w:top w:val="nil"/>
              <w:left w:val="nil"/>
              <w:bottom w:val="nil"/>
              <w:right w:val="nil"/>
            </w:tcBorders>
            <w:vAlign w:val="center"/>
          </w:tcPr>
          <w:p w14:paraId="365B0170" w14:textId="524C73F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loss</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073D9272" w14:textId="54F610D9"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-0.94</w:t>
            </w:r>
          </w:p>
        </w:tc>
        <w:tc>
          <w:tcPr>
            <w:tcW w:w="3005" w:type="dxa"/>
            <w:tcBorders>
              <w:top w:val="nil"/>
              <w:left w:val="nil"/>
              <w:bottom w:val="nil"/>
              <w:right w:val="nil"/>
            </w:tcBorders>
            <w:vAlign w:val="center"/>
          </w:tcPr>
          <w:p w14:paraId="711640D9" w14:textId="4F556609"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-1.01</w:t>
            </w:r>
          </w:p>
        </w:tc>
      </w:tr>
      <w:tr w:rsidR="04FC83EA" w14:paraId="6CE57266" w14:textId="77777777" w:rsidTr="04FC83EA">
        <w:tc>
          <w:tcPr>
            <w:tcW w:w="3005" w:type="dxa"/>
            <w:tcBorders>
              <w:top w:val="nil"/>
              <w:left w:val="nil"/>
              <w:bottom w:val="nil"/>
              <w:right w:val="nil"/>
            </w:tcBorders>
            <w:vAlign w:val="center"/>
          </w:tcPr>
          <w:p w14:paraId="31D715A9" w14:textId="769015F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0CB9B067" w14:textId="6E558C4E"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[-1.27]</w:t>
            </w:r>
          </w:p>
        </w:tc>
        <w:tc>
          <w:tcPr>
            <w:tcW w:w="3005" w:type="dxa"/>
            <w:tcBorders>
              <w:top w:val="nil"/>
              <w:left w:val="nil"/>
              <w:bottom w:val="nil"/>
              <w:right w:val="nil"/>
            </w:tcBorders>
            <w:vAlign w:val="center"/>
          </w:tcPr>
          <w:p w14:paraId="352AA7AB" w14:textId="55447EA8"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[-1.28]</w:t>
            </w:r>
          </w:p>
        </w:tc>
      </w:tr>
      <w:tr w:rsidR="04FC83EA" w14:paraId="56F537F2" w14:textId="77777777" w:rsidTr="04FC83EA">
        <w:tc>
          <w:tcPr>
            <w:tcW w:w="3005" w:type="dxa"/>
            <w:tcBorders>
              <w:top w:val="nil"/>
              <w:left w:val="nil"/>
              <w:bottom w:val="nil"/>
              <w:right w:val="nil"/>
            </w:tcBorders>
            <w:vAlign w:val="center"/>
          </w:tcPr>
          <w:p w14:paraId="58CF4FC6" w14:textId="00696BD2"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assets</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5197AEBF" w14:textId="5325F79C"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-0.41</w:t>
            </w:r>
          </w:p>
        </w:tc>
        <w:tc>
          <w:tcPr>
            <w:tcW w:w="3005" w:type="dxa"/>
            <w:tcBorders>
              <w:top w:val="nil"/>
              <w:left w:val="nil"/>
              <w:bottom w:val="nil"/>
              <w:right w:val="nil"/>
            </w:tcBorders>
            <w:vAlign w:val="center"/>
          </w:tcPr>
          <w:p w14:paraId="0D52BE5D" w14:textId="7D3686DA"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-0.53</w:t>
            </w:r>
          </w:p>
        </w:tc>
      </w:tr>
      <w:tr w:rsidR="04FC83EA" w14:paraId="17FB9F5C" w14:textId="77777777" w:rsidTr="04FC83EA">
        <w:tc>
          <w:tcPr>
            <w:tcW w:w="3005" w:type="dxa"/>
            <w:tcBorders>
              <w:top w:val="nil"/>
              <w:left w:val="nil"/>
              <w:bottom w:val="nil"/>
              <w:right w:val="nil"/>
            </w:tcBorders>
            <w:vAlign w:val="center"/>
          </w:tcPr>
          <w:p w14:paraId="05EB3772" w14:textId="30B935E0"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290BA78A" w14:textId="4FAAA440"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[-1.28]</w:t>
            </w:r>
          </w:p>
        </w:tc>
        <w:tc>
          <w:tcPr>
            <w:tcW w:w="3005" w:type="dxa"/>
            <w:tcBorders>
              <w:top w:val="nil"/>
              <w:left w:val="nil"/>
              <w:bottom w:val="nil"/>
              <w:right w:val="nil"/>
            </w:tcBorders>
            <w:vAlign w:val="center"/>
          </w:tcPr>
          <w:p w14:paraId="607131C6" w14:textId="2ECC0032"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[-1.56]</w:t>
            </w:r>
          </w:p>
        </w:tc>
      </w:tr>
      <w:tr w:rsidR="04FC83EA" w14:paraId="3F8129FD" w14:textId="77777777" w:rsidTr="04FC83EA">
        <w:tc>
          <w:tcPr>
            <w:tcW w:w="3005" w:type="dxa"/>
            <w:tcBorders>
              <w:top w:val="nil"/>
              <w:left w:val="nil"/>
              <w:bottom w:val="nil"/>
              <w:right w:val="nil"/>
            </w:tcBorders>
            <w:vAlign w:val="center"/>
          </w:tcPr>
          <w:p w14:paraId="2E31A350" w14:textId="5D64AAD6"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hcnt</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51762935" w14:textId="6DD12018"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-0.13</w:t>
            </w:r>
          </w:p>
        </w:tc>
        <w:tc>
          <w:tcPr>
            <w:tcW w:w="3005" w:type="dxa"/>
            <w:tcBorders>
              <w:top w:val="nil"/>
              <w:left w:val="nil"/>
              <w:bottom w:val="nil"/>
              <w:right w:val="nil"/>
            </w:tcBorders>
            <w:vAlign w:val="center"/>
          </w:tcPr>
          <w:p w14:paraId="72F6E72C" w14:textId="6E4EECD9"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-0.15</w:t>
            </w:r>
          </w:p>
        </w:tc>
      </w:tr>
      <w:tr w:rsidR="04FC83EA" w14:paraId="70DC64B1" w14:textId="77777777" w:rsidTr="04FC83EA">
        <w:tc>
          <w:tcPr>
            <w:tcW w:w="3005" w:type="dxa"/>
            <w:tcBorders>
              <w:top w:val="nil"/>
              <w:left w:val="nil"/>
              <w:bottom w:val="nil"/>
              <w:right w:val="nil"/>
            </w:tcBorders>
            <w:vAlign w:val="center"/>
          </w:tcPr>
          <w:p w14:paraId="12955AE1" w14:textId="5FC5D51F"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41F0FE74" w14:textId="37B5AC06"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[-1.12]</w:t>
            </w:r>
          </w:p>
        </w:tc>
        <w:tc>
          <w:tcPr>
            <w:tcW w:w="3005" w:type="dxa"/>
            <w:tcBorders>
              <w:top w:val="nil"/>
              <w:left w:val="nil"/>
              <w:bottom w:val="nil"/>
              <w:right w:val="nil"/>
            </w:tcBorders>
            <w:vAlign w:val="center"/>
          </w:tcPr>
          <w:p w14:paraId="1C4F4671" w14:textId="52BC8AD1"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[-1.55]</w:t>
            </w:r>
          </w:p>
        </w:tc>
      </w:tr>
      <w:tr w:rsidR="04FC83EA" w14:paraId="588FBE2F" w14:textId="77777777" w:rsidTr="04FC83EA">
        <w:tc>
          <w:tcPr>
            <w:tcW w:w="3005" w:type="dxa"/>
            <w:tcBorders>
              <w:top w:val="nil"/>
              <w:left w:val="nil"/>
              <w:bottom w:val="nil"/>
              <w:right w:val="nil"/>
            </w:tcBorders>
            <w:vAlign w:val="center"/>
          </w:tcPr>
          <w:p w14:paraId="60022168" w14:textId="1095D94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amttot_berd</w:t>
            </w:r>
          </w:p>
        </w:tc>
        <w:tc>
          <w:tcPr>
            <w:tcW w:w="3005" w:type="dxa"/>
            <w:tcBorders>
              <w:top w:val="nil"/>
              <w:left w:val="nil"/>
              <w:bottom w:val="nil"/>
              <w:right w:val="nil"/>
            </w:tcBorders>
            <w:vAlign w:val="center"/>
          </w:tcPr>
          <w:p w14:paraId="3AC2E760" w14:textId="0ADE326A"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6312A81D" w14:textId="7FE3D9CD"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0.41</w:t>
            </w:r>
            <w:r w:rsidRPr="04FC83EA">
              <w:rPr>
                <w:rFonts w:ascii="Times New Roman" w:eastAsia="Times New Roman" w:hAnsi="Times New Roman" w:cs="Times New Roman"/>
                <w:color w:val="000000" w:themeColor="text1"/>
                <w:sz w:val="24"/>
                <w:szCs w:val="24"/>
                <w:vertAlign w:val="superscript"/>
              </w:rPr>
              <w:t>**</w:t>
            </w:r>
          </w:p>
        </w:tc>
      </w:tr>
      <w:tr w:rsidR="04FC83EA" w14:paraId="458C23DC" w14:textId="77777777" w:rsidTr="04FC83EA">
        <w:tc>
          <w:tcPr>
            <w:tcW w:w="3005" w:type="dxa"/>
            <w:tcBorders>
              <w:top w:val="nil"/>
              <w:left w:val="nil"/>
              <w:bottom w:val="single" w:sz="8" w:space="0" w:color="auto"/>
              <w:right w:val="nil"/>
            </w:tcBorders>
            <w:vAlign w:val="center"/>
          </w:tcPr>
          <w:p w14:paraId="08A34A2B" w14:textId="4FC7D362"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single" w:sz="8" w:space="0" w:color="auto"/>
              <w:right w:val="nil"/>
            </w:tcBorders>
            <w:vAlign w:val="center"/>
          </w:tcPr>
          <w:p w14:paraId="16D2127C" w14:textId="402AE57D"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single" w:sz="8" w:space="0" w:color="auto"/>
              <w:right w:val="nil"/>
            </w:tcBorders>
            <w:vAlign w:val="center"/>
          </w:tcPr>
          <w:p w14:paraId="4750C969" w14:textId="3EFD5CD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[2.46]</w:t>
            </w:r>
          </w:p>
        </w:tc>
      </w:tr>
      <w:tr w:rsidR="04FC83EA" w14:paraId="510A1798" w14:textId="77777777" w:rsidTr="04FC83EA">
        <w:tc>
          <w:tcPr>
            <w:tcW w:w="3005" w:type="dxa"/>
            <w:tcBorders>
              <w:top w:val="single" w:sz="8" w:space="0" w:color="auto"/>
              <w:left w:val="nil"/>
              <w:bottom w:val="nil"/>
              <w:right w:val="nil"/>
            </w:tcBorders>
            <w:vAlign w:val="center"/>
          </w:tcPr>
          <w:p w14:paraId="3760B3F2" w14:textId="0F707033"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lastRenderedPageBreak/>
              <w:t>Year FE</w:t>
            </w:r>
          </w:p>
        </w:tc>
        <w:tc>
          <w:tcPr>
            <w:tcW w:w="3005" w:type="dxa"/>
            <w:tcBorders>
              <w:top w:val="single" w:sz="8" w:space="0" w:color="auto"/>
              <w:left w:val="nil"/>
              <w:bottom w:val="nil"/>
              <w:right w:val="nil"/>
            </w:tcBorders>
            <w:vAlign w:val="center"/>
          </w:tcPr>
          <w:p w14:paraId="379B0578" w14:textId="5F25B4EC"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Yes</w:t>
            </w:r>
          </w:p>
        </w:tc>
        <w:tc>
          <w:tcPr>
            <w:tcW w:w="3005" w:type="dxa"/>
            <w:tcBorders>
              <w:top w:val="single" w:sz="8" w:space="0" w:color="auto"/>
              <w:left w:val="nil"/>
              <w:bottom w:val="nil"/>
              <w:right w:val="nil"/>
            </w:tcBorders>
            <w:vAlign w:val="center"/>
          </w:tcPr>
          <w:p w14:paraId="37E9B14B" w14:textId="54AE3215"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Yes</w:t>
            </w:r>
          </w:p>
        </w:tc>
      </w:tr>
      <w:tr w:rsidR="04FC83EA" w14:paraId="788762E2" w14:textId="77777777" w:rsidTr="04FC83EA">
        <w:tc>
          <w:tcPr>
            <w:tcW w:w="3005" w:type="dxa"/>
            <w:tcBorders>
              <w:top w:val="nil"/>
              <w:left w:val="nil"/>
              <w:bottom w:val="nil"/>
              <w:right w:val="nil"/>
            </w:tcBorders>
            <w:vAlign w:val="center"/>
          </w:tcPr>
          <w:p w14:paraId="5E4E60F4" w14:textId="79844E9E"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Industry FE</w:t>
            </w:r>
          </w:p>
        </w:tc>
        <w:tc>
          <w:tcPr>
            <w:tcW w:w="3005" w:type="dxa"/>
            <w:tcBorders>
              <w:top w:val="nil"/>
              <w:left w:val="nil"/>
              <w:bottom w:val="nil"/>
              <w:right w:val="nil"/>
            </w:tcBorders>
            <w:vAlign w:val="center"/>
          </w:tcPr>
          <w:p w14:paraId="52D81059" w14:textId="5E4EAF6B"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Yes</w:t>
            </w:r>
          </w:p>
        </w:tc>
        <w:tc>
          <w:tcPr>
            <w:tcW w:w="3005" w:type="dxa"/>
            <w:tcBorders>
              <w:top w:val="nil"/>
              <w:left w:val="nil"/>
              <w:bottom w:val="nil"/>
              <w:right w:val="nil"/>
            </w:tcBorders>
            <w:vAlign w:val="center"/>
          </w:tcPr>
          <w:p w14:paraId="5A43AEC5" w14:textId="663F33EA"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Yes</w:t>
            </w:r>
          </w:p>
        </w:tc>
      </w:tr>
      <w:tr w:rsidR="04FC83EA" w14:paraId="190EBDC6" w14:textId="77777777" w:rsidTr="04FC83EA">
        <w:tc>
          <w:tcPr>
            <w:tcW w:w="3005" w:type="dxa"/>
            <w:tcBorders>
              <w:top w:val="nil"/>
              <w:left w:val="nil"/>
              <w:bottom w:val="nil"/>
              <w:right w:val="nil"/>
            </w:tcBorders>
            <w:vAlign w:val="center"/>
          </w:tcPr>
          <w:p w14:paraId="0376C8F0" w14:textId="5C503480"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Pseudo R</w:t>
            </w:r>
            <w:r w:rsidRPr="04FC83EA">
              <w:rPr>
                <w:rFonts w:ascii="Times New Roman" w:eastAsia="Times New Roman" w:hAnsi="Times New Roman" w:cs="Times New Roman"/>
                <w:color w:val="000000" w:themeColor="text1"/>
                <w:sz w:val="24"/>
                <w:szCs w:val="24"/>
                <w:vertAlign w:val="superscript"/>
              </w:rPr>
              <w:t>2</w:t>
            </w:r>
          </w:p>
        </w:tc>
        <w:tc>
          <w:tcPr>
            <w:tcW w:w="3005" w:type="dxa"/>
            <w:tcBorders>
              <w:top w:val="nil"/>
              <w:left w:val="nil"/>
              <w:bottom w:val="nil"/>
              <w:right w:val="nil"/>
            </w:tcBorders>
            <w:vAlign w:val="center"/>
          </w:tcPr>
          <w:p w14:paraId="1513C3D0" w14:textId="5BA69D03"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0.24</w:t>
            </w:r>
          </w:p>
        </w:tc>
        <w:tc>
          <w:tcPr>
            <w:tcW w:w="3005" w:type="dxa"/>
            <w:tcBorders>
              <w:top w:val="nil"/>
              <w:left w:val="nil"/>
              <w:bottom w:val="nil"/>
              <w:right w:val="nil"/>
            </w:tcBorders>
            <w:vAlign w:val="center"/>
          </w:tcPr>
          <w:p w14:paraId="5FDD58A1" w14:textId="73D6E1B6"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0.26</w:t>
            </w:r>
          </w:p>
        </w:tc>
      </w:tr>
      <w:tr w:rsidR="04FC83EA" w14:paraId="1158CCE2" w14:textId="77777777" w:rsidTr="04FC83EA">
        <w:tc>
          <w:tcPr>
            <w:tcW w:w="3005" w:type="dxa"/>
            <w:tcBorders>
              <w:top w:val="nil"/>
              <w:left w:val="nil"/>
              <w:bottom w:val="single" w:sz="8" w:space="0" w:color="auto"/>
              <w:right w:val="nil"/>
            </w:tcBorders>
            <w:vAlign w:val="center"/>
          </w:tcPr>
          <w:p w14:paraId="2AFB10E2" w14:textId="04BAB22C"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Num. obs.</w:t>
            </w:r>
          </w:p>
        </w:tc>
        <w:tc>
          <w:tcPr>
            <w:tcW w:w="3005" w:type="dxa"/>
            <w:tcBorders>
              <w:top w:val="nil"/>
              <w:left w:val="nil"/>
              <w:bottom w:val="single" w:sz="8" w:space="0" w:color="auto"/>
              <w:right w:val="nil"/>
            </w:tcBorders>
            <w:vAlign w:val="center"/>
          </w:tcPr>
          <w:p w14:paraId="31AAE952" w14:textId="1AEDCAD6"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2,243</w:t>
            </w:r>
          </w:p>
        </w:tc>
        <w:tc>
          <w:tcPr>
            <w:tcW w:w="3005" w:type="dxa"/>
            <w:tcBorders>
              <w:top w:val="nil"/>
              <w:left w:val="nil"/>
              <w:bottom w:val="single" w:sz="8" w:space="0" w:color="auto"/>
              <w:right w:val="nil"/>
            </w:tcBorders>
            <w:vAlign w:val="center"/>
          </w:tcPr>
          <w:p w14:paraId="300C516F" w14:textId="37AFF114"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2,243</w:t>
            </w:r>
          </w:p>
        </w:tc>
      </w:tr>
      <w:tr w:rsidR="04FC83EA" w14:paraId="7F792DEE" w14:textId="77777777" w:rsidTr="04FC83EA">
        <w:tc>
          <w:tcPr>
            <w:tcW w:w="9015" w:type="dxa"/>
            <w:gridSpan w:val="3"/>
            <w:tcBorders>
              <w:top w:val="single" w:sz="8" w:space="0" w:color="auto"/>
              <w:left w:val="nil"/>
              <w:bottom w:val="nil"/>
              <w:right w:val="nil"/>
            </w:tcBorders>
            <w:vAlign w:val="center"/>
          </w:tcPr>
          <w:p w14:paraId="5676B29F" w14:textId="59E9D7EC" w:rsidR="04FC83EA" w:rsidRDefault="04FC83EA" w:rsidP="04FC83EA">
            <w:pPr>
              <w:spacing w:line="276" w:lineRule="auto"/>
            </w:pPr>
            <w:r w:rsidRPr="04FC83EA">
              <w:rPr>
                <w:rFonts w:ascii="Times New Roman" w:eastAsia="Times New Roman" w:hAnsi="Times New Roman" w:cs="Times New Roman"/>
                <w:color w:val="000000" w:themeColor="text1"/>
                <w:sz w:val="19"/>
                <w:szCs w:val="19"/>
              </w:rPr>
              <w:t xml:space="preserve">This table reports the results of Poisson regressions estimating the effect of collaborative R&amp;D arrangements on patent filings. The dependent variable </w:t>
            </w:r>
            <w:r w:rsidRPr="04FC83EA">
              <w:rPr>
                <w:rFonts w:ascii="Times New Roman" w:eastAsia="Times New Roman" w:hAnsi="Times New Roman" w:cs="Times New Roman"/>
                <w:i/>
                <w:iCs/>
                <w:color w:val="000000" w:themeColor="text1"/>
                <w:sz w:val="19"/>
                <w:szCs w:val="19"/>
              </w:rPr>
              <w:t>p_filed</w:t>
            </w:r>
            <w:r w:rsidRPr="04FC83EA">
              <w:rPr>
                <w:rFonts w:ascii="Times New Roman" w:eastAsia="Times New Roman" w:hAnsi="Times New Roman" w:cs="Times New Roman"/>
                <w:color w:val="000000" w:themeColor="text1"/>
                <w:sz w:val="19"/>
                <w:szCs w:val="19"/>
              </w:rPr>
              <w:t xml:space="preserve"> is the number of patents filed in the following three years. The primary explanatory variable is </w:t>
            </w:r>
            <w:r w:rsidRPr="04FC83EA">
              <w:rPr>
                <w:rFonts w:ascii="Times New Roman" w:eastAsia="Times New Roman" w:hAnsi="Times New Roman" w:cs="Times New Roman"/>
                <w:i/>
                <w:iCs/>
                <w:color w:val="000000" w:themeColor="text1"/>
                <w:sz w:val="19"/>
                <w:szCs w:val="19"/>
              </w:rPr>
              <w:t>coopjres_bcs</w:t>
            </w:r>
            <w:r w:rsidRPr="04FC83EA">
              <w:rPr>
                <w:rFonts w:ascii="Times New Roman" w:eastAsia="Times New Roman" w:hAnsi="Times New Roman" w:cs="Times New Roman"/>
                <w:color w:val="000000" w:themeColor="text1"/>
                <w:sz w:val="19"/>
                <w:szCs w:val="19"/>
              </w:rPr>
              <w:t>, a binary indicator variable equal to one for companies that that report collaborative R&amp;D arrangements, and equal to zero otherwise. Pseudo R</w:t>
            </w:r>
            <w:r w:rsidRPr="04FC83EA">
              <w:rPr>
                <w:rFonts w:ascii="Times New Roman" w:eastAsia="Times New Roman" w:hAnsi="Times New Roman" w:cs="Times New Roman"/>
                <w:color w:val="000000" w:themeColor="text1"/>
                <w:sz w:val="19"/>
                <w:szCs w:val="19"/>
                <w:vertAlign w:val="superscript"/>
              </w:rPr>
              <w:t>2</w:t>
            </w:r>
            <w:r w:rsidRPr="04FC83EA">
              <w:rPr>
                <w:rFonts w:ascii="Times New Roman" w:eastAsia="Times New Roman" w:hAnsi="Times New Roman" w:cs="Times New Roman"/>
                <w:color w:val="000000" w:themeColor="text1"/>
                <w:sz w:val="19"/>
                <w:szCs w:val="19"/>
              </w:rPr>
              <w:t xml:space="preserve"> are McFadden R</w:t>
            </w:r>
            <w:r w:rsidRPr="04FC83EA">
              <w:rPr>
                <w:rFonts w:ascii="Times New Roman" w:eastAsia="Times New Roman" w:hAnsi="Times New Roman" w:cs="Times New Roman"/>
                <w:color w:val="000000" w:themeColor="text1"/>
                <w:sz w:val="19"/>
                <w:szCs w:val="19"/>
                <w:vertAlign w:val="superscript"/>
              </w:rPr>
              <w:t>2</w:t>
            </w:r>
            <w:r w:rsidRPr="04FC83EA">
              <w:rPr>
                <w:rFonts w:ascii="Times New Roman" w:eastAsia="Times New Roman" w:hAnsi="Times New Roman" w:cs="Times New Roman"/>
                <w:color w:val="000000" w:themeColor="text1"/>
                <w:sz w:val="19"/>
                <w:szCs w:val="19"/>
              </w:rPr>
              <w:t>. Standard errors are clustered by company, and z-statistics are presented in brackets. Intercepts are absorbed.</w:t>
            </w:r>
          </w:p>
        </w:tc>
      </w:tr>
      <w:tr w:rsidR="04FC83EA" w14:paraId="5A10BAE5" w14:textId="77777777" w:rsidTr="04FC83EA">
        <w:tc>
          <w:tcPr>
            <w:tcW w:w="9015" w:type="dxa"/>
            <w:gridSpan w:val="3"/>
            <w:tcBorders>
              <w:top w:val="nil"/>
              <w:left w:val="nil"/>
              <w:bottom w:val="nil"/>
              <w:right w:val="nil"/>
            </w:tcBorders>
            <w:vAlign w:val="center"/>
          </w:tcPr>
          <w:p w14:paraId="46DE08C8" w14:textId="77777777" w:rsidR="000D19CA" w:rsidRDefault="04FC83EA" w:rsidP="000D19CA">
            <w:pPr>
              <w:spacing w:line="276" w:lineRule="auto"/>
              <w:rPr>
                <w:rFonts w:ascii="Times New Roman" w:eastAsia="Times New Roman" w:hAnsi="Times New Roman" w:cs="Times New Roman"/>
                <w:sz w:val="24"/>
                <w:szCs w:val="24"/>
              </w:rPr>
            </w:pPr>
            <w:r w:rsidRPr="04FC83EA">
              <w:rPr>
                <w:rFonts w:ascii="Times New Roman" w:eastAsia="Times New Roman" w:hAnsi="Times New Roman" w:cs="Times New Roman"/>
                <w:sz w:val="24"/>
                <w:szCs w:val="24"/>
              </w:rPr>
              <w:t xml:space="preserve"> </w:t>
            </w:r>
          </w:p>
          <w:p w14:paraId="2B4DD5A2" w14:textId="5FAE902D" w:rsidR="04FC83EA" w:rsidRDefault="04FC83EA" w:rsidP="000D19CA">
            <w:pPr>
              <w:spacing w:line="276" w:lineRule="auto"/>
            </w:pPr>
            <w:r w:rsidRPr="04FC83EA">
              <w:rPr>
                <w:rFonts w:ascii="Times New Roman" w:eastAsia="Times New Roman" w:hAnsi="Times New Roman" w:cs="Times New Roman"/>
                <w:b/>
                <w:bCs/>
                <w:color w:val="000000" w:themeColor="text1"/>
                <w:sz w:val="24"/>
                <w:szCs w:val="24"/>
              </w:rPr>
              <w:t xml:space="preserve">Table </w:t>
            </w:r>
            <w:r w:rsidR="00EF5969">
              <w:rPr>
                <w:rFonts w:ascii="Times New Roman" w:eastAsia="Times New Roman" w:hAnsi="Times New Roman" w:cs="Times New Roman"/>
                <w:b/>
                <w:bCs/>
                <w:color w:val="000000" w:themeColor="text1"/>
                <w:sz w:val="24"/>
                <w:szCs w:val="24"/>
              </w:rPr>
              <w:t>5</w:t>
            </w:r>
            <w:r w:rsidRPr="04FC83EA">
              <w:rPr>
                <w:rFonts w:ascii="Times New Roman" w:eastAsia="Times New Roman" w:hAnsi="Times New Roman" w:cs="Times New Roman"/>
                <w:b/>
                <w:bCs/>
                <w:color w:val="000000" w:themeColor="text1"/>
                <w:sz w:val="24"/>
                <w:szCs w:val="24"/>
              </w:rPr>
              <w:t>: Association between collaborative R&amp;D agreements with research institutions on patent filings</w:t>
            </w:r>
          </w:p>
        </w:tc>
      </w:tr>
      <w:tr w:rsidR="04FC83EA" w14:paraId="6ED1F04E" w14:textId="77777777" w:rsidTr="04FC83EA">
        <w:tc>
          <w:tcPr>
            <w:tcW w:w="3005" w:type="dxa"/>
            <w:tcBorders>
              <w:top w:val="nil"/>
              <w:left w:val="nil"/>
              <w:bottom w:val="nil"/>
              <w:right w:val="nil"/>
            </w:tcBorders>
            <w:vAlign w:val="center"/>
          </w:tcPr>
          <w:p w14:paraId="524A2613" w14:textId="24A59EA5" w:rsidR="04FC83EA" w:rsidRDefault="04FC83EA" w:rsidP="004875F2">
            <w:pPr>
              <w:spacing w:after="0" w:line="240" w:lineRule="auto"/>
              <w:jc w:val="center"/>
            </w:pPr>
            <w:r w:rsidRPr="04FC83EA">
              <w:rPr>
                <w:rFonts w:ascii="Times New Roman" w:eastAsia="Times New Roman" w:hAnsi="Times New Roman" w:cs="Times New Roman"/>
                <w:b/>
                <w:bCs/>
                <w:color w:val="000000" w:themeColor="text1"/>
                <w:sz w:val="24"/>
                <w:szCs w:val="24"/>
              </w:rPr>
              <w:t xml:space="preserve"> </w:t>
            </w:r>
          </w:p>
        </w:tc>
        <w:tc>
          <w:tcPr>
            <w:tcW w:w="6010" w:type="dxa"/>
            <w:gridSpan w:val="2"/>
            <w:tcBorders>
              <w:top w:val="nil"/>
              <w:left w:val="nil"/>
              <w:bottom w:val="single" w:sz="8" w:space="0" w:color="000000" w:themeColor="text1"/>
              <w:right w:val="nil"/>
            </w:tcBorders>
            <w:vAlign w:val="center"/>
          </w:tcPr>
          <w:p w14:paraId="20A91A6C" w14:textId="31B6D730" w:rsidR="04FC83EA" w:rsidRDefault="04FC83EA" w:rsidP="004875F2">
            <w:pPr>
              <w:spacing w:after="0" w:line="240" w:lineRule="auto"/>
              <w:jc w:val="center"/>
            </w:pPr>
            <w:r w:rsidRPr="04FC83EA">
              <w:rPr>
                <w:rFonts w:ascii="Times New Roman" w:eastAsia="Times New Roman" w:hAnsi="Times New Roman" w:cs="Times New Roman"/>
                <w:b/>
                <w:bCs/>
                <w:color w:val="000000" w:themeColor="text1"/>
                <w:sz w:val="24"/>
                <w:szCs w:val="24"/>
              </w:rPr>
              <w:t>p_filed</w:t>
            </w:r>
          </w:p>
        </w:tc>
      </w:tr>
      <w:tr w:rsidR="04FC83EA" w14:paraId="6EA0AAB4" w14:textId="77777777" w:rsidTr="04FC83EA">
        <w:tc>
          <w:tcPr>
            <w:tcW w:w="3005" w:type="dxa"/>
            <w:tcBorders>
              <w:top w:val="nil"/>
              <w:left w:val="nil"/>
              <w:bottom w:val="nil"/>
              <w:right w:val="nil"/>
            </w:tcBorders>
            <w:vAlign w:val="center"/>
          </w:tcPr>
          <w:p w14:paraId="31B85600" w14:textId="2D9411FC" w:rsidR="04FC83EA" w:rsidRDefault="04FC83EA" w:rsidP="004875F2">
            <w:pPr>
              <w:spacing w:after="0" w:line="240" w:lineRule="auto"/>
              <w:jc w:val="center"/>
            </w:pPr>
            <w:r w:rsidRPr="04FC83EA">
              <w:rPr>
                <w:rFonts w:ascii="Times New Roman" w:eastAsia="Times New Roman" w:hAnsi="Times New Roman" w:cs="Times New Roman"/>
                <w:b/>
                <w:bCs/>
                <w:color w:val="000000" w:themeColor="text1"/>
                <w:sz w:val="24"/>
                <w:szCs w:val="24"/>
              </w:rPr>
              <w:t xml:space="preserve"> </w:t>
            </w:r>
          </w:p>
        </w:tc>
        <w:tc>
          <w:tcPr>
            <w:tcW w:w="3005" w:type="dxa"/>
            <w:tcBorders>
              <w:top w:val="single" w:sz="8" w:space="0" w:color="000000" w:themeColor="text1"/>
              <w:left w:val="nil"/>
              <w:bottom w:val="nil"/>
              <w:right w:val="nil"/>
            </w:tcBorders>
            <w:vAlign w:val="center"/>
          </w:tcPr>
          <w:p w14:paraId="4B71CC0E" w14:textId="617D5162" w:rsidR="04FC83EA" w:rsidRDefault="04FC83EA" w:rsidP="004875F2">
            <w:pPr>
              <w:spacing w:after="0" w:line="240" w:lineRule="auto"/>
              <w:jc w:val="center"/>
            </w:pPr>
            <w:r w:rsidRPr="04FC83EA">
              <w:rPr>
                <w:rFonts w:ascii="Times New Roman" w:eastAsia="Times New Roman" w:hAnsi="Times New Roman" w:cs="Times New Roman"/>
                <w:b/>
                <w:bCs/>
                <w:color w:val="000000" w:themeColor="text1"/>
                <w:sz w:val="24"/>
                <w:szCs w:val="24"/>
              </w:rPr>
              <w:t>Model 1</w:t>
            </w:r>
          </w:p>
        </w:tc>
        <w:tc>
          <w:tcPr>
            <w:tcW w:w="3005" w:type="dxa"/>
            <w:tcBorders>
              <w:top w:val="nil"/>
              <w:left w:val="nil"/>
              <w:bottom w:val="nil"/>
              <w:right w:val="nil"/>
            </w:tcBorders>
            <w:vAlign w:val="center"/>
          </w:tcPr>
          <w:p w14:paraId="5803220F" w14:textId="3AE05724" w:rsidR="04FC83EA" w:rsidRDefault="04FC83EA" w:rsidP="004875F2">
            <w:pPr>
              <w:spacing w:after="0" w:line="240" w:lineRule="auto"/>
              <w:jc w:val="center"/>
            </w:pPr>
            <w:r w:rsidRPr="04FC83EA">
              <w:rPr>
                <w:rFonts w:ascii="Times New Roman" w:eastAsia="Times New Roman" w:hAnsi="Times New Roman" w:cs="Times New Roman"/>
                <w:b/>
                <w:bCs/>
                <w:color w:val="000000" w:themeColor="text1"/>
                <w:sz w:val="24"/>
                <w:szCs w:val="24"/>
              </w:rPr>
              <w:t>Model 2</w:t>
            </w:r>
          </w:p>
        </w:tc>
      </w:tr>
      <w:tr w:rsidR="04FC83EA" w14:paraId="1761702E" w14:textId="77777777" w:rsidTr="04FC83EA">
        <w:tc>
          <w:tcPr>
            <w:tcW w:w="3005" w:type="dxa"/>
            <w:tcBorders>
              <w:top w:val="nil"/>
              <w:left w:val="nil"/>
              <w:bottom w:val="nil"/>
              <w:right w:val="nil"/>
            </w:tcBorders>
            <w:vAlign w:val="center"/>
          </w:tcPr>
          <w:p w14:paraId="384A855F" w14:textId="52F04F66"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col_uni</w:t>
            </w:r>
          </w:p>
        </w:tc>
        <w:tc>
          <w:tcPr>
            <w:tcW w:w="3005" w:type="dxa"/>
            <w:tcBorders>
              <w:top w:val="nil"/>
              <w:left w:val="nil"/>
              <w:bottom w:val="nil"/>
              <w:right w:val="nil"/>
            </w:tcBorders>
            <w:vAlign w:val="center"/>
          </w:tcPr>
          <w:p w14:paraId="57AAF9F0" w14:textId="5D00B416"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3.84</w:t>
            </w:r>
            <w:r w:rsidRPr="04FC83EA">
              <w:rPr>
                <w:rFonts w:ascii="Times New Roman" w:eastAsia="Times New Roman" w:hAnsi="Times New Roman" w:cs="Times New Roman"/>
                <w:color w:val="000000" w:themeColor="text1"/>
                <w:sz w:val="24"/>
                <w:szCs w:val="24"/>
                <w:vertAlign w:val="superscript"/>
              </w:rPr>
              <w:t>**</w:t>
            </w:r>
          </w:p>
        </w:tc>
        <w:tc>
          <w:tcPr>
            <w:tcW w:w="3005" w:type="dxa"/>
            <w:tcBorders>
              <w:top w:val="nil"/>
              <w:left w:val="nil"/>
              <w:bottom w:val="nil"/>
              <w:right w:val="nil"/>
            </w:tcBorders>
            <w:vAlign w:val="center"/>
          </w:tcPr>
          <w:p w14:paraId="6872577C" w14:textId="1FADBDE1"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4.39</w:t>
            </w:r>
            <w:r w:rsidRPr="04FC83EA">
              <w:rPr>
                <w:rFonts w:ascii="Times New Roman" w:eastAsia="Times New Roman" w:hAnsi="Times New Roman" w:cs="Times New Roman"/>
                <w:color w:val="000000" w:themeColor="text1"/>
                <w:sz w:val="24"/>
                <w:szCs w:val="24"/>
                <w:vertAlign w:val="superscript"/>
              </w:rPr>
              <w:t>***</w:t>
            </w:r>
          </w:p>
        </w:tc>
      </w:tr>
      <w:tr w:rsidR="04FC83EA" w14:paraId="74AE471A" w14:textId="77777777" w:rsidTr="04FC83EA">
        <w:tc>
          <w:tcPr>
            <w:tcW w:w="3005" w:type="dxa"/>
            <w:tcBorders>
              <w:top w:val="nil"/>
              <w:left w:val="nil"/>
              <w:bottom w:val="nil"/>
              <w:right w:val="nil"/>
            </w:tcBorders>
            <w:vAlign w:val="center"/>
          </w:tcPr>
          <w:p w14:paraId="55FEE7F4" w14:textId="2427805C"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662F724E" w14:textId="6B7E84C9"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[2.29]</w:t>
            </w:r>
          </w:p>
        </w:tc>
        <w:tc>
          <w:tcPr>
            <w:tcW w:w="3005" w:type="dxa"/>
            <w:tcBorders>
              <w:top w:val="nil"/>
              <w:left w:val="nil"/>
              <w:bottom w:val="nil"/>
              <w:right w:val="nil"/>
            </w:tcBorders>
            <w:vAlign w:val="center"/>
          </w:tcPr>
          <w:p w14:paraId="7B8AD394" w14:textId="4B01A8B8"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[5.69]</w:t>
            </w:r>
          </w:p>
        </w:tc>
      </w:tr>
      <w:tr w:rsidR="04FC83EA" w14:paraId="7683762A" w14:textId="77777777" w:rsidTr="04FC83EA">
        <w:tc>
          <w:tcPr>
            <w:tcW w:w="3005" w:type="dxa"/>
            <w:tcBorders>
              <w:top w:val="nil"/>
              <w:left w:val="nil"/>
              <w:bottom w:val="nil"/>
              <w:right w:val="nil"/>
            </w:tcBorders>
            <w:vAlign w:val="center"/>
          </w:tcPr>
          <w:p w14:paraId="0B36643C" w14:textId="491F443A"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taxoffset</w:t>
            </w:r>
          </w:p>
        </w:tc>
        <w:tc>
          <w:tcPr>
            <w:tcW w:w="3005" w:type="dxa"/>
            <w:tcBorders>
              <w:top w:val="nil"/>
              <w:left w:val="nil"/>
              <w:bottom w:val="nil"/>
              <w:right w:val="nil"/>
            </w:tcBorders>
            <w:vAlign w:val="center"/>
          </w:tcPr>
          <w:p w14:paraId="46C587F6" w14:textId="4AADDDC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2.63</w:t>
            </w:r>
            <w:r w:rsidRPr="04FC83EA">
              <w:rPr>
                <w:rFonts w:ascii="Times New Roman" w:eastAsia="Times New Roman" w:hAnsi="Times New Roman" w:cs="Times New Roman"/>
                <w:color w:val="000000" w:themeColor="text1"/>
                <w:sz w:val="24"/>
                <w:szCs w:val="24"/>
                <w:vertAlign w:val="superscript"/>
              </w:rPr>
              <w:t>**</w:t>
            </w:r>
          </w:p>
        </w:tc>
        <w:tc>
          <w:tcPr>
            <w:tcW w:w="3005" w:type="dxa"/>
            <w:tcBorders>
              <w:top w:val="nil"/>
              <w:left w:val="nil"/>
              <w:bottom w:val="nil"/>
              <w:right w:val="nil"/>
            </w:tcBorders>
            <w:vAlign w:val="center"/>
          </w:tcPr>
          <w:p w14:paraId="135E3A62" w14:textId="48E01B18"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1.19</w:t>
            </w:r>
          </w:p>
        </w:tc>
      </w:tr>
      <w:tr w:rsidR="04FC83EA" w14:paraId="523B21A0" w14:textId="77777777" w:rsidTr="04FC83EA">
        <w:tc>
          <w:tcPr>
            <w:tcW w:w="3005" w:type="dxa"/>
            <w:tcBorders>
              <w:top w:val="nil"/>
              <w:left w:val="nil"/>
              <w:bottom w:val="nil"/>
              <w:right w:val="nil"/>
            </w:tcBorders>
            <w:vAlign w:val="center"/>
          </w:tcPr>
          <w:p w14:paraId="270E72DF" w14:textId="2879C1CA"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7AC2543B" w14:textId="4F4E8823"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[2.23]</w:t>
            </w:r>
          </w:p>
        </w:tc>
        <w:tc>
          <w:tcPr>
            <w:tcW w:w="3005" w:type="dxa"/>
            <w:tcBorders>
              <w:top w:val="nil"/>
              <w:left w:val="nil"/>
              <w:bottom w:val="nil"/>
              <w:right w:val="nil"/>
            </w:tcBorders>
            <w:vAlign w:val="center"/>
          </w:tcPr>
          <w:p w14:paraId="6D175316" w14:textId="6B4862B6"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[1.49]</w:t>
            </w:r>
          </w:p>
        </w:tc>
      </w:tr>
      <w:tr w:rsidR="04FC83EA" w14:paraId="2365B010" w14:textId="77777777" w:rsidTr="04FC83EA">
        <w:tc>
          <w:tcPr>
            <w:tcW w:w="3005" w:type="dxa"/>
            <w:tcBorders>
              <w:top w:val="nil"/>
              <w:left w:val="nil"/>
              <w:bottom w:val="nil"/>
              <w:right w:val="nil"/>
            </w:tcBorders>
            <w:vAlign w:val="center"/>
          </w:tcPr>
          <w:p w14:paraId="2C387C4C" w14:textId="2CEAE9C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govt_subsidies</w:t>
            </w:r>
          </w:p>
        </w:tc>
        <w:tc>
          <w:tcPr>
            <w:tcW w:w="3005" w:type="dxa"/>
            <w:tcBorders>
              <w:top w:val="nil"/>
              <w:left w:val="nil"/>
              <w:bottom w:val="nil"/>
              <w:right w:val="nil"/>
            </w:tcBorders>
            <w:vAlign w:val="center"/>
          </w:tcPr>
          <w:p w14:paraId="13831A7D" w14:textId="1612C6B2"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0.04</w:t>
            </w:r>
          </w:p>
        </w:tc>
        <w:tc>
          <w:tcPr>
            <w:tcW w:w="3005" w:type="dxa"/>
            <w:tcBorders>
              <w:top w:val="nil"/>
              <w:left w:val="nil"/>
              <w:bottom w:val="nil"/>
              <w:right w:val="nil"/>
            </w:tcBorders>
            <w:vAlign w:val="center"/>
          </w:tcPr>
          <w:p w14:paraId="14AAE976" w14:textId="5694CFD9"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-0.13</w:t>
            </w:r>
          </w:p>
        </w:tc>
      </w:tr>
      <w:tr w:rsidR="04FC83EA" w14:paraId="5D943959" w14:textId="77777777" w:rsidTr="04FC83EA">
        <w:tc>
          <w:tcPr>
            <w:tcW w:w="3005" w:type="dxa"/>
            <w:tcBorders>
              <w:top w:val="nil"/>
              <w:left w:val="nil"/>
              <w:bottom w:val="nil"/>
              <w:right w:val="nil"/>
            </w:tcBorders>
            <w:vAlign w:val="center"/>
          </w:tcPr>
          <w:p w14:paraId="74508A7C" w14:textId="478CE81F"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6BC56294" w14:textId="16D519FE"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[0.26]</w:t>
            </w:r>
          </w:p>
        </w:tc>
        <w:tc>
          <w:tcPr>
            <w:tcW w:w="3005" w:type="dxa"/>
            <w:tcBorders>
              <w:top w:val="nil"/>
              <w:left w:val="nil"/>
              <w:bottom w:val="nil"/>
              <w:right w:val="nil"/>
            </w:tcBorders>
            <w:vAlign w:val="center"/>
          </w:tcPr>
          <w:p w14:paraId="7DADCD97" w14:textId="23C46A03"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[-2.46]</w:t>
            </w:r>
          </w:p>
        </w:tc>
      </w:tr>
      <w:tr w:rsidR="04FC83EA" w14:paraId="0BADBAEB" w14:textId="77777777" w:rsidTr="04FC83EA">
        <w:tc>
          <w:tcPr>
            <w:tcW w:w="3005" w:type="dxa"/>
            <w:tcBorders>
              <w:top w:val="nil"/>
              <w:left w:val="nil"/>
              <w:bottom w:val="nil"/>
              <w:right w:val="nil"/>
            </w:tcBorders>
            <w:vAlign w:val="center"/>
          </w:tcPr>
          <w:p w14:paraId="15B2C8AE" w14:textId="72D51449"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revenue</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6F949266" w14:textId="2B23B296"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-2.94</w:t>
            </w:r>
            <w:r w:rsidRPr="04FC83EA">
              <w:rPr>
                <w:rFonts w:ascii="Times New Roman" w:eastAsia="Times New Roman" w:hAnsi="Times New Roman" w:cs="Times New Roman"/>
                <w:color w:val="000000" w:themeColor="text1"/>
                <w:sz w:val="24"/>
                <w:szCs w:val="24"/>
                <w:vertAlign w:val="superscript"/>
              </w:rPr>
              <w:t>**</w:t>
            </w:r>
          </w:p>
        </w:tc>
        <w:tc>
          <w:tcPr>
            <w:tcW w:w="3005" w:type="dxa"/>
            <w:tcBorders>
              <w:top w:val="nil"/>
              <w:left w:val="nil"/>
              <w:bottom w:val="nil"/>
              <w:right w:val="nil"/>
            </w:tcBorders>
            <w:vAlign w:val="center"/>
          </w:tcPr>
          <w:p w14:paraId="67980D53" w14:textId="55A53DE2"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-1.90</w:t>
            </w:r>
            <w:r w:rsidRPr="04FC83EA">
              <w:rPr>
                <w:rFonts w:ascii="Times New Roman" w:eastAsia="Times New Roman" w:hAnsi="Times New Roman" w:cs="Times New Roman"/>
                <w:color w:val="000000" w:themeColor="text1"/>
                <w:sz w:val="24"/>
                <w:szCs w:val="24"/>
                <w:vertAlign w:val="superscript"/>
              </w:rPr>
              <w:t>***</w:t>
            </w:r>
          </w:p>
        </w:tc>
      </w:tr>
      <w:tr w:rsidR="04FC83EA" w14:paraId="4D08E836" w14:textId="77777777" w:rsidTr="04FC83EA">
        <w:tc>
          <w:tcPr>
            <w:tcW w:w="3005" w:type="dxa"/>
            <w:tcBorders>
              <w:top w:val="nil"/>
              <w:left w:val="nil"/>
              <w:bottom w:val="nil"/>
              <w:right w:val="nil"/>
            </w:tcBorders>
            <w:vAlign w:val="center"/>
          </w:tcPr>
          <w:p w14:paraId="3AEB2590" w14:textId="2F75D5F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481C5DB8" w14:textId="3979512C"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[-2.25]</w:t>
            </w:r>
          </w:p>
        </w:tc>
        <w:tc>
          <w:tcPr>
            <w:tcW w:w="3005" w:type="dxa"/>
            <w:tcBorders>
              <w:top w:val="nil"/>
              <w:left w:val="nil"/>
              <w:bottom w:val="nil"/>
              <w:right w:val="nil"/>
            </w:tcBorders>
            <w:vAlign w:val="center"/>
          </w:tcPr>
          <w:p w14:paraId="55F015F7" w14:textId="408675A9"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[-2.92]</w:t>
            </w:r>
          </w:p>
        </w:tc>
      </w:tr>
      <w:tr w:rsidR="04FC83EA" w14:paraId="0B72C79C" w14:textId="77777777" w:rsidTr="04FC83EA">
        <w:tc>
          <w:tcPr>
            <w:tcW w:w="3005" w:type="dxa"/>
            <w:tcBorders>
              <w:top w:val="nil"/>
              <w:left w:val="nil"/>
              <w:bottom w:val="nil"/>
              <w:right w:val="nil"/>
            </w:tcBorders>
            <w:vAlign w:val="center"/>
          </w:tcPr>
          <w:p w14:paraId="02ACE73A" w14:textId="7B531790"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ch_sales</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5A6D496F" w14:textId="01AAADA3"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-0.08</w:t>
            </w:r>
          </w:p>
        </w:tc>
        <w:tc>
          <w:tcPr>
            <w:tcW w:w="3005" w:type="dxa"/>
            <w:tcBorders>
              <w:top w:val="nil"/>
              <w:left w:val="nil"/>
              <w:bottom w:val="nil"/>
              <w:right w:val="nil"/>
            </w:tcBorders>
            <w:vAlign w:val="center"/>
          </w:tcPr>
          <w:p w14:paraId="4009E00D" w14:textId="02FAFE3E"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-0.49</w:t>
            </w:r>
          </w:p>
        </w:tc>
      </w:tr>
      <w:tr w:rsidR="04FC83EA" w14:paraId="7AD60679" w14:textId="77777777" w:rsidTr="04FC83EA">
        <w:tc>
          <w:tcPr>
            <w:tcW w:w="3005" w:type="dxa"/>
            <w:tcBorders>
              <w:top w:val="nil"/>
              <w:left w:val="nil"/>
              <w:bottom w:val="nil"/>
              <w:right w:val="nil"/>
            </w:tcBorders>
            <w:vAlign w:val="center"/>
          </w:tcPr>
          <w:p w14:paraId="2E4A1940" w14:textId="275A9635"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122D1A0E" w14:textId="47F7CD23"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[-0.13]</w:t>
            </w:r>
          </w:p>
        </w:tc>
        <w:tc>
          <w:tcPr>
            <w:tcW w:w="3005" w:type="dxa"/>
            <w:tcBorders>
              <w:top w:val="nil"/>
              <w:left w:val="nil"/>
              <w:bottom w:val="nil"/>
              <w:right w:val="nil"/>
            </w:tcBorders>
            <w:vAlign w:val="center"/>
          </w:tcPr>
          <w:p w14:paraId="1FFF9E97" w14:textId="5F5C5CB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[-2.01]</w:t>
            </w:r>
          </w:p>
        </w:tc>
      </w:tr>
      <w:tr w:rsidR="04FC83EA" w14:paraId="3003AE83" w14:textId="77777777" w:rsidTr="04FC83EA">
        <w:tc>
          <w:tcPr>
            <w:tcW w:w="3005" w:type="dxa"/>
            <w:tcBorders>
              <w:top w:val="nil"/>
              <w:left w:val="nil"/>
              <w:bottom w:val="nil"/>
              <w:right w:val="nil"/>
            </w:tcBorders>
            <w:vAlign w:val="center"/>
          </w:tcPr>
          <w:p w14:paraId="6FAA612B" w14:textId="73A5C7D1"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roa</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35F798E0" w14:textId="2682DC2B"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-2.00</w:t>
            </w:r>
          </w:p>
        </w:tc>
        <w:tc>
          <w:tcPr>
            <w:tcW w:w="3005" w:type="dxa"/>
            <w:tcBorders>
              <w:top w:val="nil"/>
              <w:left w:val="nil"/>
              <w:bottom w:val="nil"/>
              <w:right w:val="nil"/>
            </w:tcBorders>
            <w:vAlign w:val="center"/>
          </w:tcPr>
          <w:p w14:paraId="478C1469" w14:textId="122E99AF"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3.93</w:t>
            </w:r>
            <w:r w:rsidRPr="04FC83EA">
              <w:rPr>
                <w:rFonts w:ascii="Times New Roman" w:eastAsia="Times New Roman" w:hAnsi="Times New Roman" w:cs="Times New Roman"/>
                <w:color w:val="000000" w:themeColor="text1"/>
                <w:sz w:val="24"/>
                <w:szCs w:val="24"/>
                <w:vertAlign w:val="superscript"/>
              </w:rPr>
              <w:t>***</w:t>
            </w:r>
          </w:p>
        </w:tc>
      </w:tr>
      <w:tr w:rsidR="04FC83EA" w14:paraId="5585223E" w14:textId="77777777" w:rsidTr="04FC83EA">
        <w:tc>
          <w:tcPr>
            <w:tcW w:w="3005" w:type="dxa"/>
            <w:tcBorders>
              <w:top w:val="nil"/>
              <w:left w:val="nil"/>
              <w:bottom w:val="nil"/>
              <w:right w:val="nil"/>
            </w:tcBorders>
            <w:vAlign w:val="center"/>
          </w:tcPr>
          <w:p w14:paraId="199A963D" w14:textId="60B89A11"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28675882" w14:textId="6DDA50B7"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[-1.21]</w:t>
            </w:r>
          </w:p>
        </w:tc>
        <w:tc>
          <w:tcPr>
            <w:tcW w:w="3005" w:type="dxa"/>
            <w:tcBorders>
              <w:top w:val="nil"/>
              <w:left w:val="nil"/>
              <w:bottom w:val="nil"/>
              <w:right w:val="nil"/>
            </w:tcBorders>
            <w:vAlign w:val="center"/>
          </w:tcPr>
          <w:p w14:paraId="3F44CAE4" w14:textId="5DFFEEED"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[5.00]</w:t>
            </w:r>
          </w:p>
        </w:tc>
      </w:tr>
      <w:tr w:rsidR="04FC83EA" w14:paraId="22859C57" w14:textId="77777777" w:rsidTr="04FC83EA">
        <w:tc>
          <w:tcPr>
            <w:tcW w:w="3005" w:type="dxa"/>
            <w:tcBorders>
              <w:top w:val="nil"/>
              <w:left w:val="nil"/>
              <w:bottom w:val="nil"/>
              <w:right w:val="nil"/>
            </w:tcBorders>
            <w:vAlign w:val="center"/>
          </w:tcPr>
          <w:p w14:paraId="00C47321" w14:textId="1F432EC4"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loss</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5D923EF0" w14:textId="2314BEB5"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-2.07</w:t>
            </w:r>
          </w:p>
        </w:tc>
        <w:tc>
          <w:tcPr>
            <w:tcW w:w="3005" w:type="dxa"/>
            <w:tcBorders>
              <w:top w:val="nil"/>
              <w:left w:val="nil"/>
              <w:bottom w:val="nil"/>
              <w:right w:val="nil"/>
            </w:tcBorders>
            <w:vAlign w:val="center"/>
          </w:tcPr>
          <w:p w14:paraId="3E7E5AD7" w14:textId="223599FF"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0.74</w:t>
            </w:r>
          </w:p>
        </w:tc>
      </w:tr>
      <w:tr w:rsidR="04FC83EA" w14:paraId="332D6D53" w14:textId="77777777" w:rsidTr="04FC83EA">
        <w:tc>
          <w:tcPr>
            <w:tcW w:w="3005" w:type="dxa"/>
            <w:tcBorders>
              <w:top w:val="nil"/>
              <w:left w:val="nil"/>
              <w:bottom w:val="nil"/>
              <w:right w:val="nil"/>
            </w:tcBorders>
            <w:vAlign w:val="center"/>
          </w:tcPr>
          <w:p w14:paraId="131BCD5F" w14:textId="4F6421AC"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1E73A5F0" w14:textId="0A28B3D3"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[-0.94]</w:t>
            </w:r>
          </w:p>
        </w:tc>
        <w:tc>
          <w:tcPr>
            <w:tcW w:w="3005" w:type="dxa"/>
            <w:tcBorders>
              <w:top w:val="nil"/>
              <w:left w:val="nil"/>
              <w:bottom w:val="nil"/>
              <w:right w:val="nil"/>
            </w:tcBorders>
            <w:vAlign w:val="center"/>
          </w:tcPr>
          <w:p w14:paraId="15863759" w14:textId="7A59D0B1"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[0.95]</w:t>
            </w:r>
          </w:p>
        </w:tc>
      </w:tr>
      <w:tr w:rsidR="04FC83EA" w14:paraId="75A29BC8" w14:textId="77777777" w:rsidTr="04FC83EA">
        <w:tc>
          <w:tcPr>
            <w:tcW w:w="3005" w:type="dxa"/>
            <w:tcBorders>
              <w:top w:val="nil"/>
              <w:left w:val="nil"/>
              <w:bottom w:val="nil"/>
              <w:right w:val="nil"/>
            </w:tcBorders>
            <w:vAlign w:val="center"/>
          </w:tcPr>
          <w:p w14:paraId="502D1097" w14:textId="4DABBA5F"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assets</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74C03B05" w14:textId="30AEC82C"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-0.38</w:t>
            </w:r>
          </w:p>
        </w:tc>
        <w:tc>
          <w:tcPr>
            <w:tcW w:w="3005" w:type="dxa"/>
            <w:tcBorders>
              <w:top w:val="nil"/>
              <w:left w:val="nil"/>
              <w:bottom w:val="nil"/>
              <w:right w:val="nil"/>
            </w:tcBorders>
            <w:vAlign w:val="center"/>
          </w:tcPr>
          <w:p w14:paraId="56A4CF22" w14:textId="08E8B691"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-2.26</w:t>
            </w:r>
            <w:r w:rsidRPr="04FC83EA">
              <w:rPr>
                <w:rFonts w:ascii="Times New Roman" w:eastAsia="Times New Roman" w:hAnsi="Times New Roman" w:cs="Times New Roman"/>
                <w:color w:val="000000" w:themeColor="text1"/>
                <w:sz w:val="24"/>
                <w:szCs w:val="24"/>
                <w:vertAlign w:val="superscript"/>
              </w:rPr>
              <w:t>***</w:t>
            </w:r>
          </w:p>
        </w:tc>
      </w:tr>
      <w:tr w:rsidR="04FC83EA" w14:paraId="38FE59FD" w14:textId="77777777" w:rsidTr="04FC83EA">
        <w:tc>
          <w:tcPr>
            <w:tcW w:w="3005" w:type="dxa"/>
            <w:tcBorders>
              <w:top w:val="nil"/>
              <w:left w:val="nil"/>
              <w:bottom w:val="nil"/>
              <w:right w:val="nil"/>
            </w:tcBorders>
            <w:vAlign w:val="center"/>
          </w:tcPr>
          <w:p w14:paraId="79EB1C3A" w14:textId="7FBDAB48"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4C56DDC7" w14:textId="41B2616D"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[-0.57]</w:t>
            </w:r>
          </w:p>
        </w:tc>
        <w:tc>
          <w:tcPr>
            <w:tcW w:w="3005" w:type="dxa"/>
            <w:tcBorders>
              <w:top w:val="nil"/>
              <w:left w:val="nil"/>
              <w:bottom w:val="nil"/>
              <w:right w:val="nil"/>
            </w:tcBorders>
            <w:vAlign w:val="center"/>
          </w:tcPr>
          <w:p w14:paraId="2CBDDCE7" w14:textId="247CA902"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[-6.16]</w:t>
            </w:r>
          </w:p>
        </w:tc>
      </w:tr>
      <w:tr w:rsidR="04FC83EA" w14:paraId="1BA1C4AE" w14:textId="77777777" w:rsidTr="04FC83EA">
        <w:tc>
          <w:tcPr>
            <w:tcW w:w="3005" w:type="dxa"/>
            <w:tcBorders>
              <w:top w:val="nil"/>
              <w:left w:val="nil"/>
              <w:bottom w:val="nil"/>
              <w:right w:val="nil"/>
            </w:tcBorders>
            <w:vAlign w:val="center"/>
          </w:tcPr>
          <w:p w14:paraId="12156A9D" w14:textId="289D1A81"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hcnt</w:t>
            </w:r>
            <w:r w:rsidRPr="04FC83EA">
              <w:rPr>
                <w:rFonts w:ascii="Times New Roman" w:eastAsia="Times New Roman" w:hAnsi="Times New Roman" w:cs="Times New Roman"/>
                <w:color w:val="000000" w:themeColor="text1"/>
                <w:sz w:val="24"/>
                <w:szCs w:val="24"/>
                <w:vertAlign w:val="subscript"/>
              </w:rPr>
              <w:t>t-1</w:t>
            </w:r>
          </w:p>
        </w:tc>
        <w:tc>
          <w:tcPr>
            <w:tcW w:w="3005" w:type="dxa"/>
            <w:tcBorders>
              <w:top w:val="nil"/>
              <w:left w:val="nil"/>
              <w:bottom w:val="nil"/>
              <w:right w:val="nil"/>
            </w:tcBorders>
            <w:vAlign w:val="center"/>
          </w:tcPr>
          <w:p w14:paraId="4207B4B8" w14:textId="4C01044C"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0.04</w:t>
            </w:r>
          </w:p>
        </w:tc>
        <w:tc>
          <w:tcPr>
            <w:tcW w:w="3005" w:type="dxa"/>
            <w:tcBorders>
              <w:top w:val="nil"/>
              <w:left w:val="nil"/>
              <w:bottom w:val="nil"/>
              <w:right w:val="nil"/>
            </w:tcBorders>
            <w:vAlign w:val="center"/>
          </w:tcPr>
          <w:p w14:paraId="03C05822" w14:textId="71967708"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-0.11</w:t>
            </w:r>
          </w:p>
        </w:tc>
      </w:tr>
      <w:tr w:rsidR="04FC83EA" w14:paraId="11816666" w14:textId="77777777" w:rsidTr="04FC83EA">
        <w:tc>
          <w:tcPr>
            <w:tcW w:w="3005" w:type="dxa"/>
            <w:tcBorders>
              <w:top w:val="nil"/>
              <w:left w:val="nil"/>
              <w:bottom w:val="nil"/>
              <w:right w:val="nil"/>
            </w:tcBorders>
            <w:vAlign w:val="center"/>
          </w:tcPr>
          <w:p w14:paraId="22CBD032" w14:textId="5E9C4CA0"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7485AFA5" w14:textId="038C3E08"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[0.04]</w:t>
            </w:r>
          </w:p>
        </w:tc>
        <w:tc>
          <w:tcPr>
            <w:tcW w:w="3005" w:type="dxa"/>
            <w:tcBorders>
              <w:top w:val="nil"/>
              <w:left w:val="nil"/>
              <w:bottom w:val="nil"/>
              <w:right w:val="nil"/>
            </w:tcBorders>
            <w:vAlign w:val="center"/>
          </w:tcPr>
          <w:p w14:paraId="25D406FF" w14:textId="33444D39"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[-0.39]</w:t>
            </w:r>
          </w:p>
        </w:tc>
      </w:tr>
      <w:tr w:rsidR="04FC83EA" w14:paraId="5EA056A9" w14:textId="77777777" w:rsidTr="04FC83EA">
        <w:tc>
          <w:tcPr>
            <w:tcW w:w="3005" w:type="dxa"/>
            <w:tcBorders>
              <w:top w:val="nil"/>
              <w:left w:val="nil"/>
              <w:bottom w:val="nil"/>
              <w:right w:val="nil"/>
            </w:tcBorders>
            <w:vAlign w:val="center"/>
          </w:tcPr>
          <w:p w14:paraId="308610BC" w14:textId="78524B65"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amttot_berd</w:t>
            </w:r>
          </w:p>
        </w:tc>
        <w:tc>
          <w:tcPr>
            <w:tcW w:w="3005" w:type="dxa"/>
            <w:tcBorders>
              <w:top w:val="nil"/>
              <w:left w:val="nil"/>
              <w:bottom w:val="nil"/>
              <w:right w:val="nil"/>
            </w:tcBorders>
            <w:vAlign w:val="center"/>
          </w:tcPr>
          <w:p w14:paraId="4155AE34" w14:textId="4261ACDF"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nil"/>
              <w:right w:val="nil"/>
            </w:tcBorders>
            <w:vAlign w:val="center"/>
          </w:tcPr>
          <w:p w14:paraId="0C05172E" w14:textId="02E5DB0F"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2.06</w:t>
            </w:r>
            <w:r w:rsidRPr="04FC83EA">
              <w:rPr>
                <w:rFonts w:ascii="Times New Roman" w:eastAsia="Times New Roman" w:hAnsi="Times New Roman" w:cs="Times New Roman"/>
                <w:color w:val="000000" w:themeColor="text1"/>
                <w:sz w:val="24"/>
                <w:szCs w:val="24"/>
                <w:vertAlign w:val="superscript"/>
              </w:rPr>
              <w:t>***</w:t>
            </w:r>
          </w:p>
        </w:tc>
      </w:tr>
      <w:tr w:rsidR="04FC83EA" w14:paraId="07F19492" w14:textId="77777777" w:rsidTr="04FC83EA">
        <w:tc>
          <w:tcPr>
            <w:tcW w:w="3005" w:type="dxa"/>
            <w:tcBorders>
              <w:top w:val="nil"/>
              <w:left w:val="nil"/>
              <w:bottom w:val="single" w:sz="8" w:space="0" w:color="auto"/>
              <w:right w:val="nil"/>
            </w:tcBorders>
            <w:vAlign w:val="center"/>
          </w:tcPr>
          <w:p w14:paraId="57220D38" w14:textId="5052CD2C"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single" w:sz="8" w:space="0" w:color="auto"/>
              <w:right w:val="nil"/>
            </w:tcBorders>
            <w:vAlign w:val="center"/>
          </w:tcPr>
          <w:p w14:paraId="61A8138B" w14:textId="15237ABA"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 xml:space="preserve"> </w:t>
            </w:r>
          </w:p>
        </w:tc>
        <w:tc>
          <w:tcPr>
            <w:tcW w:w="3005" w:type="dxa"/>
            <w:tcBorders>
              <w:top w:val="nil"/>
              <w:left w:val="nil"/>
              <w:bottom w:val="single" w:sz="8" w:space="0" w:color="auto"/>
              <w:right w:val="nil"/>
            </w:tcBorders>
            <w:vAlign w:val="center"/>
          </w:tcPr>
          <w:p w14:paraId="0437CF14" w14:textId="27E0D053"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[8.90]</w:t>
            </w:r>
          </w:p>
        </w:tc>
      </w:tr>
      <w:tr w:rsidR="04FC83EA" w14:paraId="3A42AAC6" w14:textId="77777777" w:rsidTr="04FC83EA">
        <w:tc>
          <w:tcPr>
            <w:tcW w:w="3005" w:type="dxa"/>
            <w:tcBorders>
              <w:top w:val="single" w:sz="8" w:space="0" w:color="auto"/>
              <w:left w:val="nil"/>
              <w:bottom w:val="nil"/>
              <w:right w:val="nil"/>
            </w:tcBorders>
            <w:vAlign w:val="center"/>
          </w:tcPr>
          <w:p w14:paraId="6EA144E1" w14:textId="6FDAC8D3"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Year FE</w:t>
            </w:r>
          </w:p>
        </w:tc>
        <w:tc>
          <w:tcPr>
            <w:tcW w:w="3005" w:type="dxa"/>
            <w:tcBorders>
              <w:top w:val="single" w:sz="8" w:space="0" w:color="auto"/>
              <w:left w:val="nil"/>
              <w:bottom w:val="nil"/>
              <w:right w:val="nil"/>
            </w:tcBorders>
            <w:vAlign w:val="center"/>
          </w:tcPr>
          <w:p w14:paraId="19B2D832" w14:textId="0F86D1CD"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Yes</w:t>
            </w:r>
          </w:p>
        </w:tc>
        <w:tc>
          <w:tcPr>
            <w:tcW w:w="3005" w:type="dxa"/>
            <w:tcBorders>
              <w:top w:val="single" w:sz="8" w:space="0" w:color="auto"/>
              <w:left w:val="nil"/>
              <w:bottom w:val="nil"/>
              <w:right w:val="nil"/>
            </w:tcBorders>
            <w:vAlign w:val="center"/>
          </w:tcPr>
          <w:p w14:paraId="54468E86" w14:textId="525245DB"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Yes</w:t>
            </w:r>
          </w:p>
        </w:tc>
      </w:tr>
      <w:tr w:rsidR="04FC83EA" w14:paraId="07A7B275" w14:textId="77777777" w:rsidTr="04FC83EA">
        <w:tc>
          <w:tcPr>
            <w:tcW w:w="3005" w:type="dxa"/>
            <w:tcBorders>
              <w:top w:val="nil"/>
              <w:left w:val="nil"/>
              <w:bottom w:val="nil"/>
              <w:right w:val="nil"/>
            </w:tcBorders>
            <w:vAlign w:val="center"/>
          </w:tcPr>
          <w:p w14:paraId="0CCD0C3D" w14:textId="334FEF0A"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Industry FE</w:t>
            </w:r>
          </w:p>
        </w:tc>
        <w:tc>
          <w:tcPr>
            <w:tcW w:w="3005" w:type="dxa"/>
            <w:tcBorders>
              <w:top w:val="nil"/>
              <w:left w:val="nil"/>
              <w:bottom w:val="nil"/>
              <w:right w:val="nil"/>
            </w:tcBorders>
            <w:vAlign w:val="center"/>
          </w:tcPr>
          <w:p w14:paraId="6F794F5B" w14:textId="4E9E35BB"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Yes</w:t>
            </w:r>
          </w:p>
        </w:tc>
        <w:tc>
          <w:tcPr>
            <w:tcW w:w="3005" w:type="dxa"/>
            <w:tcBorders>
              <w:top w:val="nil"/>
              <w:left w:val="nil"/>
              <w:bottom w:val="nil"/>
              <w:right w:val="nil"/>
            </w:tcBorders>
            <w:vAlign w:val="center"/>
          </w:tcPr>
          <w:p w14:paraId="299821AF" w14:textId="5F804F14"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Yes</w:t>
            </w:r>
          </w:p>
        </w:tc>
      </w:tr>
      <w:tr w:rsidR="04FC83EA" w14:paraId="472896F6" w14:textId="77777777" w:rsidTr="04FC83EA">
        <w:tc>
          <w:tcPr>
            <w:tcW w:w="3005" w:type="dxa"/>
            <w:tcBorders>
              <w:top w:val="nil"/>
              <w:left w:val="nil"/>
              <w:bottom w:val="nil"/>
              <w:right w:val="nil"/>
            </w:tcBorders>
            <w:vAlign w:val="center"/>
          </w:tcPr>
          <w:p w14:paraId="1CE459DD" w14:textId="58460D81"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Pseudo R</w:t>
            </w:r>
            <w:r w:rsidRPr="04FC83EA">
              <w:rPr>
                <w:rFonts w:ascii="Times New Roman" w:eastAsia="Times New Roman" w:hAnsi="Times New Roman" w:cs="Times New Roman"/>
                <w:color w:val="000000" w:themeColor="text1"/>
                <w:sz w:val="24"/>
                <w:szCs w:val="24"/>
                <w:vertAlign w:val="superscript"/>
              </w:rPr>
              <w:t>2</w:t>
            </w:r>
          </w:p>
        </w:tc>
        <w:tc>
          <w:tcPr>
            <w:tcW w:w="3005" w:type="dxa"/>
            <w:tcBorders>
              <w:top w:val="nil"/>
              <w:left w:val="nil"/>
              <w:bottom w:val="nil"/>
              <w:right w:val="nil"/>
            </w:tcBorders>
            <w:vAlign w:val="center"/>
          </w:tcPr>
          <w:p w14:paraId="110BE941" w14:textId="58CE5569"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0.60</w:t>
            </w:r>
          </w:p>
        </w:tc>
        <w:tc>
          <w:tcPr>
            <w:tcW w:w="3005" w:type="dxa"/>
            <w:tcBorders>
              <w:top w:val="nil"/>
              <w:left w:val="nil"/>
              <w:bottom w:val="nil"/>
              <w:right w:val="nil"/>
            </w:tcBorders>
            <w:vAlign w:val="center"/>
          </w:tcPr>
          <w:p w14:paraId="632B1AF2" w14:textId="3D5041AF"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0.75</w:t>
            </w:r>
          </w:p>
        </w:tc>
      </w:tr>
      <w:tr w:rsidR="04FC83EA" w14:paraId="1B4AC1B8" w14:textId="77777777" w:rsidTr="04FC83EA">
        <w:tc>
          <w:tcPr>
            <w:tcW w:w="3005" w:type="dxa"/>
            <w:tcBorders>
              <w:top w:val="nil"/>
              <w:left w:val="nil"/>
              <w:bottom w:val="single" w:sz="8" w:space="0" w:color="auto"/>
              <w:right w:val="nil"/>
            </w:tcBorders>
            <w:vAlign w:val="center"/>
          </w:tcPr>
          <w:p w14:paraId="7A24E4AC" w14:textId="42268172"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Num. obs.</w:t>
            </w:r>
          </w:p>
        </w:tc>
        <w:tc>
          <w:tcPr>
            <w:tcW w:w="3005" w:type="dxa"/>
            <w:tcBorders>
              <w:top w:val="nil"/>
              <w:left w:val="nil"/>
              <w:bottom w:val="single" w:sz="8" w:space="0" w:color="auto"/>
              <w:right w:val="nil"/>
            </w:tcBorders>
            <w:vAlign w:val="center"/>
          </w:tcPr>
          <w:p w14:paraId="1607E307" w14:textId="56A18F35"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851</w:t>
            </w:r>
          </w:p>
        </w:tc>
        <w:tc>
          <w:tcPr>
            <w:tcW w:w="3005" w:type="dxa"/>
            <w:tcBorders>
              <w:top w:val="nil"/>
              <w:left w:val="nil"/>
              <w:bottom w:val="single" w:sz="8" w:space="0" w:color="auto"/>
              <w:right w:val="nil"/>
            </w:tcBorders>
            <w:vAlign w:val="center"/>
          </w:tcPr>
          <w:p w14:paraId="3E61546C" w14:textId="2108D964" w:rsidR="04FC83EA" w:rsidRDefault="04FC83EA" w:rsidP="004875F2">
            <w:pPr>
              <w:spacing w:after="0" w:line="240" w:lineRule="auto"/>
            </w:pPr>
            <w:r w:rsidRPr="04FC83EA">
              <w:rPr>
                <w:rFonts w:ascii="Times New Roman" w:eastAsia="Times New Roman" w:hAnsi="Times New Roman" w:cs="Times New Roman"/>
                <w:color w:val="000000" w:themeColor="text1"/>
                <w:sz w:val="24"/>
                <w:szCs w:val="24"/>
              </w:rPr>
              <w:t>851</w:t>
            </w:r>
          </w:p>
        </w:tc>
      </w:tr>
      <w:tr w:rsidR="04FC83EA" w14:paraId="287669E8" w14:textId="77777777" w:rsidTr="04FC83EA">
        <w:tc>
          <w:tcPr>
            <w:tcW w:w="9015" w:type="dxa"/>
            <w:gridSpan w:val="3"/>
            <w:tcBorders>
              <w:top w:val="single" w:sz="8" w:space="0" w:color="auto"/>
              <w:left w:val="nil"/>
              <w:bottom w:val="nil"/>
              <w:right w:val="nil"/>
            </w:tcBorders>
            <w:vAlign w:val="center"/>
          </w:tcPr>
          <w:p w14:paraId="30754317" w14:textId="1766DCCD" w:rsidR="04FC83EA" w:rsidRDefault="04FC83EA" w:rsidP="04FC83EA">
            <w:pPr>
              <w:spacing w:line="276" w:lineRule="auto"/>
            </w:pPr>
            <w:r w:rsidRPr="04FC83EA">
              <w:rPr>
                <w:rFonts w:ascii="Times New Roman" w:eastAsia="Times New Roman" w:hAnsi="Times New Roman" w:cs="Times New Roman"/>
                <w:color w:val="000000" w:themeColor="text1"/>
                <w:sz w:val="19"/>
                <w:szCs w:val="19"/>
              </w:rPr>
              <w:t xml:space="preserve">This table reports the results of Poisson regressions estimating the effect of collaborative R&amp;D arrangements with research institutions on patent filings. The dependent variable </w:t>
            </w:r>
            <w:r w:rsidRPr="04FC83EA">
              <w:rPr>
                <w:rFonts w:ascii="Times New Roman" w:eastAsia="Times New Roman" w:hAnsi="Times New Roman" w:cs="Times New Roman"/>
                <w:i/>
                <w:iCs/>
                <w:color w:val="000000" w:themeColor="text1"/>
                <w:sz w:val="19"/>
                <w:szCs w:val="19"/>
              </w:rPr>
              <w:t>p_filed</w:t>
            </w:r>
            <w:r w:rsidRPr="04FC83EA">
              <w:rPr>
                <w:rFonts w:ascii="Times New Roman" w:eastAsia="Times New Roman" w:hAnsi="Times New Roman" w:cs="Times New Roman"/>
                <w:color w:val="000000" w:themeColor="text1"/>
                <w:sz w:val="19"/>
                <w:szCs w:val="19"/>
              </w:rPr>
              <w:t xml:space="preserve"> is the number of patents filed in the following three years. The primary explanatory variable is </w:t>
            </w:r>
            <w:r w:rsidRPr="04FC83EA">
              <w:rPr>
                <w:rFonts w:ascii="Times New Roman" w:eastAsia="Times New Roman" w:hAnsi="Times New Roman" w:cs="Times New Roman"/>
                <w:i/>
                <w:iCs/>
                <w:color w:val="000000" w:themeColor="text1"/>
                <w:sz w:val="19"/>
                <w:szCs w:val="19"/>
              </w:rPr>
              <w:t>col_uni</w:t>
            </w:r>
            <w:r w:rsidRPr="04FC83EA">
              <w:rPr>
                <w:rFonts w:ascii="Times New Roman" w:eastAsia="Times New Roman" w:hAnsi="Times New Roman" w:cs="Times New Roman"/>
                <w:color w:val="000000" w:themeColor="text1"/>
                <w:sz w:val="19"/>
                <w:szCs w:val="19"/>
              </w:rPr>
              <w:t>, a binary indicator variable equal to one for companies that that report collaborative R&amp;D arrangements with research institutions, and equal to zero otherwise. Pseudo R</w:t>
            </w:r>
            <w:r w:rsidRPr="04FC83EA">
              <w:rPr>
                <w:rFonts w:ascii="Times New Roman" w:eastAsia="Times New Roman" w:hAnsi="Times New Roman" w:cs="Times New Roman"/>
                <w:color w:val="000000" w:themeColor="text1"/>
                <w:sz w:val="19"/>
                <w:szCs w:val="19"/>
                <w:vertAlign w:val="superscript"/>
              </w:rPr>
              <w:t>2</w:t>
            </w:r>
            <w:r w:rsidRPr="04FC83EA">
              <w:rPr>
                <w:rFonts w:ascii="Times New Roman" w:eastAsia="Times New Roman" w:hAnsi="Times New Roman" w:cs="Times New Roman"/>
                <w:color w:val="000000" w:themeColor="text1"/>
                <w:sz w:val="19"/>
                <w:szCs w:val="19"/>
              </w:rPr>
              <w:t xml:space="preserve"> are McFadden R</w:t>
            </w:r>
            <w:r w:rsidRPr="04FC83EA">
              <w:rPr>
                <w:rFonts w:ascii="Times New Roman" w:eastAsia="Times New Roman" w:hAnsi="Times New Roman" w:cs="Times New Roman"/>
                <w:color w:val="000000" w:themeColor="text1"/>
                <w:sz w:val="19"/>
                <w:szCs w:val="19"/>
                <w:vertAlign w:val="superscript"/>
              </w:rPr>
              <w:t>2</w:t>
            </w:r>
            <w:r w:rsidRPr="04FC83EA">
              <w:rPr>
                <w:rFonts w:ascii="Times New Roman" w:eastAsia="Times New Roman" w:hAnsi="Times New Roman" w:cs="Times New Roman"/>
                <w:color w:val="000000" w:themeColor="text1"/>
                <w:sz w:val="19"/>
                <w:szCs w:val="19"/>
              </w:rPr>
              <w:t>. Standard errors are clustered by company, and z-statistics are presented in brackets. Intercepts are absorbed.</w:t>
            </w:r>
          </w:p>
        </w:tc>
      </w:tr>
    </w:tbl>
    <w:p w14:paraId="725A9E3A" w14:textId="58D5F06D" w:rsidR="04FC83EA" w:rsidRPr="004875F2" w:rsidRDefault="04FC83EA" w:rsidP="004875F2">
      <w:pPr>
        <w:spacing w:after="0" w:line="360" w:lineRule="auto"/>
        <w:rPr>
          <w:rFonts w:cstheme="minorHAnsi"/>
        </w:rPr>
      </w:pPr>
      <w:r w:rsidRPr="004875F2">
        <w:rPr>
          <w:rFonts w:eastAsia="Times New Roman" w:cstheme="minorHAnsi"/>
          <w:sz w:val="24"/>
          <w:szCs w:val="24"/>
        </w:rPr>
        <w:t xml:space="preserve"> </w:t>
      </w:r>
    </w:p>
    <w:p w14:paraId="4B47E4DD" w14:textId="50248CBE" w:rsidR="00CB4449" w:rsidRPr="004875F2" w:rsidRDefault="00A2049A" w:rsidP="004875F2">
      <w:pPr>
        <w:spacing w:after="0" w:line="360" w:lineRule="auto"/>
        <w:rPr>
          <w:rFonts w:eastAsia="Times New Roman" w:cstheme="minorHAnsi"/>
          <w:b/>
          <w:bCs/>
          <w:sz w:val="24"/>
          <w:szCs w:val="24"/>
        </w:rPr>
      </w:pPr>
      <w:r w:rsidRPr="004875F2">
        <w:rPr>
          <w:rFonts w:eastAsia="Times New Roman" w:cstheme="minorHAnsi"/>
          <w:b/>
          <w:bCs/>
          <w:sz w:val="24"/>
          <w:szCs w:val="24"/>
        </w:rPr>
        <w:t>Conclusion</w:t>
      </w:r>
      <w:r w:rsidR="004C67DD">
        <w:rPr>
          <w:rFonts w:eastAsia="Times New Roman" w:cstheme="minorHAnsi"/>
          <w:b/>
          <w:bCs/>
          <w:sz w:val="24"/>
          <w:szCs w:val="24"/>
        </w:rPr>
        <w:t>s and Recommendations</w:t>
      </w:r>
    </w:p>
    <w:p w14:paraId="302F3872" w14:textId="4040E93D" w:rsidR="00115199" w:rsidRDefault="00CB4449" w:rsidP="002D2016">
      <w:pPr>
        <w:spacing w:after="0" w:line="360" w:lineRule="auto"/>
        <w:ind w:firstLine="720"/>
        <w:rPr>
          <w:rFonts w:cstheme="minorHAnsi"/>
          <w:sz w:val="24"/>
          <w:szCs w:val="24"/>
        </w:rPr>
      </w:pPr>
      <w:bookmarkStart w:id="1" w:name="_Hlk98929084"/>
      <w:r w:rsidRPr="004875F2">
        <w:rPr>
          <w:rFonts w:eastAsia="Times New Roman" w:cstheme="minorHAnsi"/>
          <w:sz w:val="24"/>
          <w:szCs w:val="24"/>
        </w:rPr>
        <w:lastRenderedPageBreak/>
        <w:t xml:space="preserve">In this </w:t>
      </w:r>
      <w:r w:rsidR="002D2016">
        <w:rPr>
          <w:rFonts w:eastAsia="Times New Roman" w:cstheme="minorHAnsi"/>
          <w:sz w:val="24"/>
          <w:szCs w:val="24"/>
        </w:rPr>
        <w:t xml:space="preserve">report </w:t>
      </w:r>
      <w:r w:rsidRPr="004875F2">
        <w:rPr>
          <w:rFonts w:eastAsia="Times New Roman" w:cstheme="minorHAnsi"/>
          <w:sz w:val="24"/>
          <w:szCs w:val="24"/>
        </w:rPr>
        <w:t xml:space="preserve">we </w:t>
      </w:r>
      <w:r w:rsidR="002D2016">
        <w:rPr>
          <w:rFonts w:eastAsia="Times New Roman" w:cstheme="minorHAnsi"/>
          <w:sz w:val="24"/>
          <w:szCs w:val="24"/>
        </w:rPr>
        <w:t>outline</w:t>
      </w:r>
      <w:r w:rsidRPr="004875F2">
        <w:rPr>
          <w:rFonts w:eastAsia="Times New Roman" w:cstheme="minorHAnsi"/>
          <w:sz w:val="24"/>
          <w:szCs w:val="24"/>
        </w:rPr>
        <w:t xml:space="preserve"> the link between innovation</w:t>
      </w:r>
      <w:r w:rsidR="002D2016">
        <w:rPr>
          <w:rFonts w:eastAsia="Times New Roman" w:cstheme="minorHAnsi"/>
          <w:sz w:val="24"/>
          <w:szCs w:val="24"/>
        </w:rPr>
        <w:t>, exports</w:t>
      </w:r>
      <w:r w:rsidRPr="004875F2">
        <w:rPr>
          <w:rFonts w:eastAsia="Times New Roman" w:cstheme="minorHAnsi"/>
          <w:sz w:val="24"/>
          <w:szCs w:val="24"/>
        </w:rPr>
        <w:t xml:space="preserve"> and productivity in </w:t>
      </w:r>
      <w:r w:rsidR="002D2016">
        <w:rPr>
          <w:rFonts w:eastAsia="Times New Roman" w:cstheme="minorHAnsi"/>
          <w:sz w:val="24"/>
          <w:szCs w:val="24"/>
        </w:rPr>
        <w:t xml:space="preserve">Australian </w:t>
      </w:r>
      <w:r w:rsidR="0046723E" w:rsidRPr="004875F2">
        <w:rPr>
          <w:rFonts w:eastAsia="Times New Roman" w:cstheme="minorHAnsi"/>
          <w:sz w:val="24"/>
          <w:szCs w:val="24"/>
        </w:rPr>
        <w:t xml:space="preserve">micro-, small- and medium-sized enterprises </w:t>
      </w:r>
      <w:r w:rsidR="002D2016">
        <w:rPr>
          <w:rFonts w:eastAsia="Times New Roman" w:cstheme="minorHAnsi"/>
          <w:sz w:val="24"/>
          <w:szCs w:val="24"/>
        </w:rPr>
        <w:t xml:space="preserve">by </w:t>
      </w:r>
      <w:r w:rsidR="0046723E">
        <w:rPr>
          <w:rFonts w:eastAsia="Times New Roman" w:cstheme="minorHAnsi"/>
          <w:sz w:val="24"/>
          <w:szCs w:val="24"/>
        </w:rPr>
        <w:t xml:space="preserve">estimating a series of production functions to obtain a better understanding of how productivity differs across </w:t>
      </w:r>
      <w:r w:rsidR="005714B6">
        <w:rPr>
          <w:rFonts w:eastAsia="Times New Roman" w:cstheme="minorHAnsi"/>
          <w:sz w:val="24"/>
          <w:szCs w:val="24"/>
        </w:rPr>
        <w:t xml:space="preserve">different types of </w:t>
      </w:r>
      <w:r w:rsidR="0046723E">
        <w:rPr>
          <w:rFonts w:eastAsia="Times New Roman" w:cstheme="minorHAnsi"/>
          <w:sz w:val="24"/>
          <w:szCs w:val="24"/>
        </w:rPr>
        <w:t>private companies</w:t>
      </w:r>
      <w:r w:rsidRPr="004875F2">
        <w:rPr>
          <w:rFonts w:eastAsia="Times New Roman" w:cstheme="minorHAnsi"/>
          <w:sz w:val="24"/>
          <w:szCs w:val="24"/>
        </w:rPr>
        <w:t xml:space="preserve">. </w:t>
      </w:r>
      <w:r w:rsidR="00865773">
        <w:rPr>
          <w:rFonts w:eastAsia="Times New Roman" w:cstheme="minorHAnsi"/>
          <w:sz w:val="24"/>
          <w:szCs w:val="24"/>
        </w:rPr>
        <w:t>There is limited research in the</w:t>
      </w:r>
      <w:r w:rsidRPr="004875F2">
        <w:rPr>
          <w:rFonts w:eastAsia="Times New Roman" w:cstheme="minorHAnsi"/>
          <w:sz w:val="24"/>
          <w:szCs w:val="24"/>
        </w:rPr>
        <w:t xml:space="preserve"> </w:t>
      </w:r>
      <w:r w:rsidR="005714B6">
        <w:rPr>
          <w:rFonts w:eastAsia="Times New Roman" w:cstheme="minorHAnsi"/>
          <w:sz w:val="24"/>
          <w:szCs w:val="24"/>
        </w:rPr>
        <w:t xml:space="preserve">small business </w:t>
      </w:r>
      <w:r w:rsidR="00865773">
        <w:rPr>
          <w:rFonts w:eastAsia="Times New Roman" w:cstheme="minorHAnsi"/>
          <w:sz w:val="24"/>
          <w:szCs w:val="24"/>
        </w:rPr>
        <w:t>literature that</w:t>
      </w:r>
      <w:r w:rsidRPr="004875F2">
        <w:rPr>
          <w:rFonts w:eastAsia="Times New Roman" w:cstheme="minorHAnsi"/>
          <w:sz w:val="24"/>
          <w:szCs w:val="24"/>
        </w:rPr>
        <w:t xml:space="preserve"> </w:t>
      </w:r>
      <w:r w:rsidR="00BA641C">
        <w:rPr>
          <w:rFonts w:eastAsia="Times New Roman" w:cstheme="minorHAnsi"/>
          <w:sz w:val="24"/>
          <w:szCs w:val="24"/>
        </w:rPr>
        <w:t>examine</w:t>
      </w:r>
      <w:r w:rsidR="00865773">
        <w:rPr>
          <w:rFonts w:eastAsia="Times New Roman" w:cstheme="minorHAnsi"/>
          <w:sz w:val="24"/>
          <w:szCs w:val="24"/>
        </w:rPr>
        <w:t>s</w:t>
      </w:r>
      <w:r w:rsidRPr="004875F2">
        <w:rPr>
          <w:rFonts w:eastAsia="Times New Roman" w:cstheme="minorHAnsi"/>
          <w:sz w:val="24"/>
          <w:szCs w:val="24"/>
        </w:rPr>
        <w:t xml:space="preserve"> how innovati</w:t>
      </w:r>
      <w:r w:rsidR="005714B6">
        <w:rPr>
          <w:rFonts w:eastAsia="Times New Roman" w:cstheme="minorHAnsi"/>
          <w:sz w:val="24"/>
          <w:szCs w:val="24"/>
        </w:rPr>
        <w:t>on and exports</w:t>
      </w:r>
      <w:r w:rsidRPr="004875F2">
        <w:rPr>
          <w:rFonts w:eastAsia="Times New Roman" w:cstheme="minorHAnsi"/>
          <w:sz w:val="24"/>
          <w:szCs w:val="24"/>
        </w:rPr>
        <w:t xml:space="preserve"> </w:t>
      </w:r>
      <w:r w:rsidR="005714B6">
        <w:rPr>
          <w:rFonts w:eastAsia="Times New Roman" w:cstheme="minorHAnsi"/>
          <w:sz w:val="24"/>
          <w:szCs w:val="24"/>
        </w:rPr>
        <w:t xml:space="preserve">affect </w:t>
      </w:r>
      <w:r w:rsidR="00F70450">
        <w:rPr>
          <w:rFonts w:eastAsia="Times New Roman" w:cstheme="minorHAnsi"/>
          <w:sz w:val="24"/>
          <w:szCs w:val="24"/>
        </w:rPr>
        <w:t xml:space="preserve">the productivity of different </w:t>
      </w:r>
      <w:r w:rsidR="007F2757">
        <w:rPr>
          <w:rFonts w:eastAsia="Times New Roman" w:cstheme="minorHAnsi"/>
          <w:sz w:val="24"/>
          <w:szCs w:val="24"/>
        </w:rPr>
        <w:t xml:space="preserve">categories of </w:t>
      </w:r>
      <w:r w:rsidR="00BC1787">
        <w:rPr>
          <w:rFonts w:eastAsia="Times New Roman" w:cstheme="minorHAnsi"/>
          <w:sz w:val="24"/>
          <w:szCs w:val="24"/>
        </w:rPr>
        <w:t>SMEs</w:t>
      </w:r>
      <w:r w:rsidR="007F2757">
        <w:rPr>
          <w:rFonts w:eastAsia="Times New Roman" w:cstheme="minorHAnsi"/>
          <w:sz w:val="24"/>
          <w:szCs w:val="24"/>
        </w:rPr>
        <w:t xml:space="preserve"> and whether innovation </w:t>
      </w:r>
      <w:r w:rsidRPr="004875F2">
        <w:rPr>
          <w:rFonts w:eastAsia="Times New Roman" w:cstheme="minorHAnsi"/>
          <w:sz w:val="24"/>
          <w:szCs w:val="24"/>
        </w:rPr>
        <w:t>translate</w:t>
      </w:r>
      <w:r w:rsidR="007F2757">
        <w:rPr>
          <w:rFonts w:eastAsia="Times New Roman" w:cstheme="minorHAnsi"/>
          <w:sz w:val="24"/>
          <w:szCs w:val="24"/>
        </w:rPr>
        <w:t>s</w:t>
      </w:r>
      <w:r w:rsidRPr="004875F2">
        <w:rPr>
          <w:rFonts w:eastAsia="Times New Roman" w:cstheme="minorHAnsi"/>
          <w:sz w:val="24"/>
          <w:szCs w:val="24"/>
        </w:rPr>
        <w:t xml:space="preserve"> into</w:t>
      </w:r>
      <w:r w:rsidR="007F2757">
        <w:rPr>
          <w:rFonts w:eastAsia="Times New Roman" w:cstheme="minorHAnsi"/>
          <w:sz w:val="24"/>
          <w:szCs w:val="24"/>
        </w:rPr>
        <w:t xml:space="preserve"> </w:t>
      </w:r>
      <w:r w:rsidRPr="004875F2">
        <w:rPr>
          <w:rFonts w:eastAsia="Times New Roman" w:cstheme="minorHAnsi"/>
          <w:sz w:val="24"/>
          <w:szCs w:val="24"/>
        </w:rPr>
        <w:t xml:space="preserve">productivity </w:t>
      </w:r>
      <w:r w:rsidR="008C43CD">
        <w:rPr>
          <w:rFonts w:eastAsia="Times New Roman" w:cstheme="minorHAnsi"/>
          <w:sz w:val="24"/>
          <w:szCs w:val="24"/>
        </w:rPr>
        <w:t>gains, especially among</w:t>
      </w:r>
      <w:r w:rsidRPr="004875F2">
        <w:rPr>
          <w:rFonts w:eastAsia="Times New Roman" w:cstheme="minorHAnsi"/>
          <w:sz w:val="24"/>
          <w:szCs w:val="24"/>
        </w:rPr>
        <w:t xml:space="preserve"> </w:t>
      </w:r>
      <w:r w:rsidR="00865773">
        <w:rPr>
          <w:rFonts w:eastAsia="Times New Roman" w:cstheme="minorHAnsi"/>
          <w:sz w:val="24"/>
          <w:szCs w:val="24"/>
        </w:rPr>
        <w:t>smaller businesses</w:t>
      </w:r>
      <w:r w:rsidRPr="004875F2">
        <w:rPr>
          <w:rFonts w:eastAsia="Times New Roman" w:cstheme="minorHAnsi"/>
          <w:sz w:val="24"/>
          <w:szCs w:val="24"/>
        </w:rPr>
        <w:t xml:space="preserve">. </w:t>
      </w:r>
      <w:r w:rsidR="008C43CD">
        <w:rPr>
          <w:rFonts w:eastAsia="Times New Roman" w:cstheme="minorHAnsi"/>
          <w:sz w:val="24"/>
          <w:szCs w:val="24"/>
        </w:rPr>
        <w:t xml:space="preserve">While </w:t>
      </w:r>
      <w:r w:rsidR="00922D00">
        <w:rPr>
          <w:rFonts w:cstheme="minorHAnsi"/>
          <w:sz w:val="24"/>
          <w:szCs w:val="24"/>
        </w:rPr>
        <w:t xml:space="preserve">results reveal that </w:t>
      </w:r>
      <w:r w:rsidR="00922D00" w:rsidRPr="00BE6E1D">
        <w:rPr>
          <w:rFonts w:cstheme="minorHAnsi"/>
          <w:sz w:val="24"/>
          <w:szCs w:val="24"/>
        </w:rPr>
        <w:t>average productivity growth of all private companies (including SMEs) increased by a mediocre 2.04 per cent across all industries in Australia between 2006 and 2018</w:t>
      </w:r>
      <w:r w:rsidR="00762058">
        <w:rPr>
          <w:rFonts w:cstheme="minorHAnsi"/>
          <w:sz w:val="24"/>
          <w:szCs w:val="24"/>
        </w:rPr>
        <w:t xml:space="preserve">, providing support to </w:t>
      </w:r>
      <w:r w:rsidR="00495DEC">
        <w:rPr>
          <w:rFonts w:cstheme="minorHAnsi"/>
          <w:sz w:val="24"/>
          <w:szCs w:val="24"/>
        </w:rPr>
        <w:t xml:space="preserve">Australian </w:t>
      </w:r>
      <w:r w:rsidR="00762058">
        <w:rPr>
          <w:rFonts w:cstheme="minorHAnsi"/>
          <w:sz w:val="24"/>
          <w:szCs w:val="24"/>
        </w:rPr>
        <w:t xml:space="preserve">Treasury and OECD </w:t>
      </w:r>
      <w:r w:rsidR="00495DEC">
        <w:rPr>
          <w:rFonts w:cstheme="minorHAnsi"/>
          <w:sz w:val="24"/>
          <w:szCs w:val="24"/>
        </w:rPr>
        <w:t>research that shows differing variations and patterns in the slowdown of productivity growth across OECD member countries</w:t>
      </w:r>
      <w:r w:rsidR="00836152">
        <w:rPr>
          <w:rFonts w:cstheme="minorHAnsi"/>
          <w:sz w:val="24"/>
          <w:szCs w:val="24"/>
        </w:rPr>
        <w:t xml:space="preserve">, </w:t>
      </w:r>
      <w:r w:rsidR="00836152">
        <w:rPr>
          <w:rFonts w:eastAsia="Times New Roman" w:cstheme="minorHAnsi"/>
          <w:sz w:val="24"/>
          <w:szCs w:val="24"/>
        </w:rPr>
        <w:t>we</w:t>
      </w:r>
      <w:r w:rsidR="007F2757">
        <w:rPr>
          <w:rFonts w:eastAsia="Times New Roman" w:cstheme="minorHAnsi"/>
          <w:sz w:val="24"/>
          <w:szCs w:val="24"/>
        </w:rPr>
        <w:t xml:space="preserve"> </w:t>
      </w:r>
      <w:r w:rsidR="00495DEC">
        <w:rPr>
          <w:rFonts w:eastAsia="Times New Roman" w:cstheme="minorHAnsi"/>
          <w:sz w:val="24"/>
          <w:szCs w:val="24"/>
        </w:rPr>
        <w:t xml:space="preserve">also </w:t>
      </w:r>
      <w:r w:rsidR="007F2757">
        <w:rPr>
          <w:rFonts w:eastAsia="Times New Roman" w:cstheme="minorHAnsi"/>
          <w:sz w:val="24"/>
          <w:szCs w:val="24"/>
        </w:rPr>
        <w:t xml:space="preserve">demonstrate </w:t>
      </w:r>
      <w:r w:rsidR="00836152">
        <w:rPr>
          <w:rFonts w:eastAsia="Times New Roman" w:cstheme="minorHAnsi"/>
          <w:sz w:val="24"/>
          <w:szCs w:val="24"/>
        </w:rPr>
        <w:t>t</w:t>
      </w:r>
      <w:r w:rsidR="007F2757">
        <w:rPr>
          <w:rFonts w:eastAsia="Times New Roman" w:cstheme="minorHAnsi"/>
          <w:sz w:val="24"/>
          <w:szCs w:val="24"/>
        </w:rPr>
        <w:t xml:space="preserve">here is substantial </w:t>
      </w:r>
      <w:r w:rsidR="00436AA6">
        <w:rPr>
          <w:rFonts w:eastAsia="Times New Roman" w:cstheme="minorHAnsi"/>
          <w:sz w:val="24"/>
          <w:szCs w:val="24"/>
        </w:rPr>
        <w:t>heterogeneity</w:t>
      </w:r>
      <w:r w:rsidR="007F2757">
        <w:rPr>
          <w:rFonts w:eastAsia="Times New Roman" w:cstheme="minorHAnsi"/>
          <w:sz w:val="24"/>
          <w:szCs w:val="24"/>
        </w:rPr>
        <w:t xml:space="preserve"> in productivity </w:t>
      </w:r>
      <w:r w:rsidR="00C96487">
        <w:rPr>
          <w:rFonts w:eastAsia="Times New Roman" w:cstheme="minorHAnsi"/>
          <w:sz w:val="24"/>
          <w:szCs w:val="24"/>
        </w:rPr>
        <w:t xml:space="preserve">across different </w:t>
      </w:r>
      <w:r w:rsidR="00210A65">
        <w:rPr>
          <w:rFonts w:eastAsia="Times New Roman" w:cstheme="minorHAnsi"/>
          <w:sz w:val="24"/>
          <w:szCs w:val="24"/>
        </w:rPr>
        <w:t xml:space="preserve">types of </w:t>
      </w:r>
      <w:r w:rsidR="00C96487">
        <w:rPr>
          <w:rFonts w:cstheme="minorHAnsi"/>
          <w:sz w:val="24"/>
          <w:szCs w:val="24"/>
        </w:rPr>
        <w:t>private companies</w:t>
      </w:r>
      <w:r w:rsidR="00836152">
        <w:rPr>
          <w:rFonts w:cstheme="minorHAnsi"/>
          <w:sz w:val="24"/>
          <w:szCs w:val="24"/>
        </w:rPr>
        <w:t>.  These productivity variations</w:t>
      </w:r>
      <w:r w:rsidR="006B2C6E">
        <w:rPr>
          <w:rFonts w:cstheme="minorHAnsi"/>
          <w:sz w:val="24"/>
          <w:szCs w:val="24"/>
        </w:rPr>
        <w:t>,</w:t>
      </w:r>
      <w:r w:rsidR="00836152">
        <w:rPr>
          <w:rFonts w:cstheme="minorHAnsi"/>
          <w:sz w:val="24"/>
          <w:szCs w:val="24"/>
        </w:rPr>
        <w:t xml:space="preserve"> which</w:t>
      </w:r>
      <w:r w:rsidR="006B2C6E">
        <w:rPr>
          <w:rFonts w:cstheme="minorHAnsi"/>
          <w:sz w:val="24"/>
          <w:szCs w:val="24"/>
        </w:rPr>
        <w:t xml:space="preserve"> exist among different</w:t>
      </w:r>
      <w:r w:rsidR="00836152">
        <w:rPr>
          <w:rFonts w:cstheme="minorHAnsi"/>
          <w:sz w:val="24"/>
          <w:szCs w:val="24"/>
        </w:rPr>
        <w:t xml:space="preserve"> </w:t>
      </w:r>
      <w:r w:rsidR="006B2C6E">
        <w:rPr>
          <w:rFonts w:cstheme="minorHAnsi"/>
          <w:sz w:val="24"/>
          <w:szCs w:val="24"/>
        </w:rPr>
        <w:t xml:space="preserve">private entities by </w:t>
      </w:r>
      <w:r w:rsidR="00C96487">
        <w:rPr>
          <w:rFonts w:cstheme="minorHAnsi"/>
          <w:sz w:val="24"/>
          <w:szCs w:val="24"/>
        </w:rPr>
        <w:t>size, age and industry</w:t>
      </w:r>
      <w:r w:rsidR="00210A65">
        <w:rPr>
          <w:rFonts w:cstheme="minorHAnsi"/>
          <w:sz w:val="24"/>
          <w:szCs w:val="24"/>
        </w:rPr>
        <w:t xml:space="preserve"> sector</w:t>
      </w:r>
      <w:r w:rsidR="006B2C6E">
        <w:rPr>
          <w:rFonts w:cstheme="minorHAnsi"/>
          <w:sz w:val="24"/>
          <w:szCs w:val="24"/>
        </w:rPr>
        <w:t>s</w:t>
      </w:r>
      <w:r w:rsidR="00BA641C">
        <w:rPr>
          <w:rFonts w:cstheme="minorHAnsi"/>
          <w:sz w:val="24"/>
          <w:szCs w:val="24"/>
        </w:rPr>
        <w:t>, indicat</w:t>
      </w:r>
      <w:r w:rsidR="006B2C6E">
        <w:rPr>
          <w:rFonts w:cstheme="minorHAnsi"/>
          <w:sz w:val="24"/>
          <w:szCs w:val="24"/>
        </w:rPr>
        <w:t>e</w:t>
      </w:r>
      <w:r w:rsidR="00BA641C">
        <w:rPr>
          <w:rFonts w:cstheme="minorHAnsi"/>
          <w:sz w:val="24"/>
          <w:szCs w:val="24"/>
        </w:rPr>
        <w:t xml:space="preserve"> that productivity gains are more challenging for resource-constrained smaller and younger firms compared to larger and older firms</w:t>
      </w:r>
      <w:r w:rsidR="00210A65">
        <w:rPr>
          <w:rFonts w:cstheme="minorHAnsi"/>
          <w:sz w:val="24"/>
          <w:szCs w:val="24"/>
        </w:rPr>
        <w:t xml:space="preserve">. </w:t>
      </w:r>
      <w:r w:rsidR="00BA641C">
        <w:rPr>
          <w:rFonts w:cstheme="minorHAnsi"/>
          <w:sz w:val="24"/>
          <w:szCs w:val="24"/>
        </w:rPr>
        <w:t xml:space="preserve">Similarly, </w:t>
      </w:r>
      <w:r w:rsidR="00F70450">
        <w:rPr>
          <w:rFonts w:cstheme="minorHAnsi"/>
          <w:sz w:val="24"/>
          <w:szCs w:val="24"/>
        </w:rPr>
        <w:t>we observe that private company innovators, exporters and companies operating in export-heavy industries are significantly more efficient than companies that are non-innovators and non-exporters</w:t>
      </w:r>
      <w:r w:rsidR="00B9243A">
        <w:rPr>
          <w:rFonts w:cstheme="minorHAnsi"/>
          <w:sz w:val="24"/>
          <w:szCs w:val="24"/>
        </w:rPr>
        <w:t>, with modelling showing that exporters decrease their productivity gap from the efficient frontier by at least 3 points</w:t>
      </w:r>
      <w:r w:rsidR="00922D00">
        <w:rPr>
          <w:rFonts w:cstheme="minorHAnsi"/>
          <w:sz w:val="24"/>
          <w:szCs w:val="24"/>
        </w:rPr>
        <w:t>.</w:t>
      </w:r>
      <w:r w:rsidR="00B9243A">
        <w:rPr>
          <w:rFonts w:cstheme="minorHAnsi"/>
          <w:sz w:val="24"/>
          <w:szCs w:val="24"/>
        </w:rPr>
        <w:t xml:space="preserve"> </w:t>
      </w:r>
    </w:p>
    <w:bookmarkEnd w:id="1"/>
    <w:p w14:paraId="3DE67797" w14:textId="77777777" w:rsidR="00B27BA6" w:rsidRDefault="00115199" w:rsidP="00B27BA6">
      <w:pPr>
        <w:spacing w:after="0" w:line="360" w:lineRule="auto"/>
        <w:ind w:firstLine="720"/>
        <w:rPr>
          <w:rFonts w:cstheme="minorHAnsi"/>
          <w:sz w:val="24"/>
          <w:szCs w:val="24"/>
        </w:rPr>
      </w:pPr>
      <w:r>
        <w:rPr>
          <w:rFonts w:cstheme="minorHAnsi"/>
          <w:sz w:val="24"/>
          <w:szCs w:val="24"/>
        </w:rPr>
        <w:t>T</w:t>
      </w:r>
      <w:r w:rsidR="00DC2A92">
        <w:rPr>
          <w:rFonts w:cstheme="minorHAnsi"/>
          <w:sz w:val="24"/>
          <w:szCs w:val="24"/>
        </w:rPr>
        <w:t xml:space="preserve">o augment </w:t>
      </w:r>
      <w:r w:rsidR="006B2C6E">
        <w:rPr>
          <w:rFonts w:cstheme="minorHAnsi"/>
          <w:sz w:val="24"/>
          <w:szCs w:val="24"/>
        </w:rPr>
        <w:t xml:space="preserve">our </w:t>
      </w:r>
      <w:r w:rsidR="004F47C6">
        <w:rPr>
          <w:rFonts w:cstheme="minorHAnsi"/>
          <w:sz w:val="24"/>
          <w:szCs w:val="24"/>
        </w:rPr>
        <w:t xml:space="preserve">understanding of the link between innovation and technical efficiency in private companies, we consider </w:t>
      </w:r>
      <w:r w:rsidR="00885956">
        <w:rPr>
          <w:rFonts w:cstheme="minorHAnsi"/>
          <w:sz w:val="24"/>
          <w:szCs w:val="24"/>
        </w:rPr>
        <w:t>whether</w:t>
      </w:r>
      <w:r w:rsidR="004F47C6">
        <w:rPr>
          <w:rFonts w:cstheme="minorHAnsi"/>
          <w:sz w:val="24"/>
          <w:szCs w:val="24"/>
        </w:rPr>
        <w:t xml:space="preserve"> external collaborations can </w:t>
      </w:r>
      <w:r>
        <w:rPr>
          <w:rFonts w:cstheme="minorHAnsi"/>
          <w:sz w:val="24"/>
          <w:szCs w:val="24"/>
        </w:rPr>
        <w:t xml:space="preserve">provide </w:t>
      </w:r>
      <w:r w:rsidR="004F47C6">
        <w:rPr>
          <w:rFonts w:cstheme="minorHAnsi"/>
          <w:sz w:val="24"/>
          <w:szCs w:val="24"/>
        </w:rPr>
        <w:t xml:space="preserve">important </w:t>
      </w:r>
      <w:r>
        <w:rPr>
          <w:rFonts w:cstheme="minorHAnsi"/>
          <w:sz w:val="24"/>
          <w:szCs w:val="24"/>
        </w:rPr>
        <w:t xml:space="preserve">support to </w:t>
      </w:r>
      <w:r w:rsidR="004F47C6">
        <w:rPr>
          <w:rFonts w:cstheme="minorHAnsi"/>
          <w:sz w:val="24"/>
          <w:szCs w:val="24"/>
        </w:rPr>
        <w:t xml:space="preserve">innovation and R&amp;D, </w:t>
      </w:r>
      <w:r>
        <w:rPr>
          <w:rFonts w:cstheme="minorHAnsi"/>
          <w:sz w:val="24"/>
          <w:szCs w:val="24"/>
        </w:rPr>
        <w:t>premised on the basis that</w:t>
      </w:r>
      <w:r w:rsidR="004F47C6">
        <w:rPr>
          <w:rFonts w:cstheme="minorHAnsi"/>
          <w:sz w:val="24"/>
          <w:szCs w:val="24"/>
        </w:rPr>
        <w:t xml:space="preserve"> these external collaborations can be translated into productivity gains</w:t>
      </w:r>
      <w:r>
        <w:rPr>
          <w:rFonts w:cstheme="minorHAnsi"/>
          <w:sz w:val="24"/>
          <w:szCs w:val="24"/>
        </w:rPr>
        <w:t xml:space="preserve"> for private companies.</w:t>
      </w:r>
      <w:r w:rsidR="004F47C6">
        <w:rPr>
          <w:rFonts w:cstheme="minorHAnsi"/>
          <w:sz w:val="24"/>
          <w:szCs w:val="24"/>
        </w:rPr>
        <w:t xml:space="preserve"> </w:t>
      </w:r>
      <w:r>
        <w:rPr>
          <w:rFonts w:cstheme="minorHAnsi"/>
          <w:sz w:val="24"/>
          <w:szCs w:val="24"/>
        </w:rPr>
        <w:t xml:space="preserve">Our </w:t>
      </w:r>
      <w:r w:rsidR="006B2C6E">
        <w:rPr>
          <w:rFonts w:cstheme="minorHAnsi"/>
          <w:sz w:val="24"/>
          <w:szCs w:val="24"/>
        </w:rPr>
        <w:t>modelling demonstrates</w:t>
      </w:r>
      <w:r>
        <w:rPr>
          <w:rFonts w:cstheme="minorHAnsi"/>
          <w:sz w:val="24"/>
          <w:szCs w:val="24"/>
        </w:rPr>
        <w:t xml:space="preserve"> that </w:t>
      </w:r>
      <w:r>
        <w:rPr>
          <w:rFonts w:eastAsia="Times New Roman" w:cstheme="minorHAnsi"/>
          <w:sz w:val="24"/>
          <w:szCs w:val="24"/>
        </w:rPr>
        <w:t xml:space="preserve">external </w:t>
      </w:r>
      <w:r w:rsidRPr="007E32AE">
        <w:rPr>
          <w:rFonts w:eastAsia="Times New Roman" w:cstheme="minorHAnsi"/>
          <w:sz w:val="24"/>
          <w:szCs w:val="24"/>
        </w:rPr>
        <w:t xml:space="preserve">collaboration arrangements </w:t>
      </w:r>
      <w:r>
        <w:rPr>
          <w:rFonts w:eastAsia="Times New Roman" w:cstheme="minorHAnsi"/>
          <w:sz w:val="24"/>
          <w:szCs w:val="24"/>
        </w:rPr>
        <w:t>are</w:t>
      </w:r>
      <w:r w:rsidRPr="007E32AE">
        <w:rPr>
          <w:rFonts w:eastAsia="Times New Roman" w:cstheme="minorHAnsi"/>
          <w:sz w:val="24"/>
          <w:szCs w:val="24"/>
        </w:rPr>
        <w:t xml:space="preserve"> a valuable vehicle for </w:t>
      </w:r>
      <w:r w:rsidR="00885956">
        <w:rPr>
          <w:rFonts w:cstheme="minorHAnsi"/>
          <w:sz w:val="24"/>
          <w:szCs w:val="24"/>
        </w:rPr>
        <w:t>supporting private company innovation and R&amp;D</w:t>
      </w:r>
      <w:r w:rsidR="00436AA6">
        <w:rPr>
          <w:rFonts w:cstheme="minorHAnsi"/>
          <w:sz w:val="24"/>
          <w:szCs w:val="24"/>
        </w:rPr>
        <w:t xml:space="preserve"> and that such external </w:t>
      </w:r>
      <w:r w:rsidR="00436AA6" w:rsidRPr="007E32AE">
        <w:rPr>
          <w:rFonts w:eastAsia="Times New Roman" w:cstheme="minorHAnsi"/>
          <w:sz w:val="24"/>
          <w:szCs w:val="24"/>
        </w:rPr>
        <w:t xml:space="preserve">collaborative research </w:t>
      </w:r>
      <w:r w:rsidR="00436AA6">
        <w:rPr>
          <w:rFonts w:eastAsia="Times New Roman" w:cstheme="minorHAnsi"/>
          <w:sz w:val="24"/>
          <w:szCs w:val="24"/>
        </w:rPr>
        <w:t xml:space="preserve">endeavours </w:t>
      </w:r>
      <w:r w:rsidR="00436AA6" w:rsidRPr="007E32AE">
        <w:rPr>
          <w:rFonts w:eastAsia="Times New Roman" w:cstheme="minorHAnsi"/>
          <w:sz w:val="24"/>
          <w:szCs w:val="24"/>
        </w:rPr>
        <w:t>may constitute an important lever in improving labour productivity in Australia</w:t>
      </w:r>
      <w:r w:rsidR="00436AA6">
        <w:rPr>
          <w:rFonts w:eastAsia="Times New Roman" w:cstheme="minorHAnsi"/>
          <w:sz w:val="24"/>
          <w:szCs w:val="24"/>
        </w:rPr>
        <w:t>.</w:t>
      </w:r>
      <w:r w:rsidR="00885956">
        <w:rPr>
          <w:rFonts w:cstheme="minorHAnsi"/>
          <w:sz w:val="24"/>
          <w:szCs w:val="24"/>
        </w:rPr>
        <w:t xml:space="preserve"> </w:t>
      </w:r>
    </w:p>
    <w:p w14:paraId="32919BE4" w14:textId="7E8A0508" w:rsidR="00436AA6" w:rsidRDefault="00B27BA6" w:rsidP="006F22B7">
      <w:pPr>
        <w:spacing w:after="0" w:line="360" w:lineRule="auto"/>
        <w:ind w:firstLine="720"/>
        <w:rPr>
          <w:sz w:val="24"/>
          <w:szCs w:val="24"/>
        </w:rPr>
      </w:pPr>
      <w:r>
        <w:rPr>
          <w:rFonts w:cstheme="minorHAnsi"/>
          <w:sz w:val="24"/>
          <w:szCs w:val="24"/>
        </w:rPr>
        <w:t xml:space="preserve">As the </w:t>
      </w:r>
      <w:r w:rsidRPr="00B27BA6">
        <w:rPr>
          <w:sz w:val="24"/>
          <w:szCs w:val="24"/>
        </w:rPr>
        <w:t xml:space="preserve">Productivity Commission inquiry </w:t>
      </w:r>
      <w:r w:rsidR="00436AA6" w:rsidRPr="00B27BA6">
        <w:rPr>
          <w:sz w:val="24"/>
          <w:szCs w:val="24"/>
        </w:rPr>
        <w:t xml:space="preserve">is interested in </w:t>
      </w:r>
      <w:r w:rsidR="006F22B7" w:rsidRPr="006F22B7">
        <w:rPr>
          <w:sz w:val="24"/>
          <w:szCs w:val="24"/>
        </w:rPr>
        <w:t>considering issues and reform areas that would most likely enhance productivity growth</w:t>
      </w:r>
      <w:r w:rsidR="006F22B7">
        <w:rPr>
          <w:sz w:val="24"/>
          <w:szCs w:val="24"/>
        </w:rPr>
        <w:t xml:space="preserve">, we believe that both state and federal governments in Australia should </w:t>
      </w:r>
      <w:r w:rsidR="00F10543">
        <w:rPr>
          <w:sz w:val="24"/>
          <w:szCs w:val="24"/>
        </w:rPr>
        <w:t xml:space="preserve">do more to </w:t>
      </w:r>
      <w:r w:rsidR="006F22B7">
        <w:rPr>
          <w:sz w:val="24"/>
          <w:szCs w:val="24"/>
        </w:rPr>
        <w:t>direct</w:t>
      </w:r>
      <w:r w:rsidR="00F10543">
        <w:rPr>
          <w:sz w:val="24"/>
          <w:szCs w:val="24"/>
        </w:rPr>
        <w:t>ing</w:t>
      </w:r>
      <w:r w:rsidR="006F22B7">
        <w:rPr>
          <w:sz w:val="24"/>
          <w:szCs w:val="24"/>
        </w:rPr>
        <w:t xml:space="preserve"> </w:t>
      </w:r>
      <w:r w:rsidR="0099310E">
        <w:rPr>
          <w:sz w:val="24"/>
          <w:szCs w:val="24"/>
        </w:rPr>
        <w:t xml:space="preserve">policies toward encouraging </w:t>
      </w:r>
      <w:r w:rsidR="00471605">
        <w:rPr>
          <w:sz w:val="24"/>
          <w:szCs w:val="24"/>
        </w:rPr>
        <w:t xml:space="preserve">a broader </w:t>
      </w:r>
      <w:r w:rsidR="008652CD">
        <w:rPr>
          <w:sz w:val="24"/>
          <w:szCs w:val="24"/>
        </w:rPr>
        <w:t>cross-section</w:t>
      </w:r>
      <w:r w:rsidR="00471605">
        <w:rPr>
          <w:sz w:val="24"/>
          <w:szCs w:val="24"/>
        </w:rPr>
        <w:t xml:space="preserve"> of</w:t>
      </w:r>
      <w:r w:rsidR="0099310E">
        <w:rPr>
          <w:sz w:val="24"/>
          <w:szCs w:val="24"/>
        </w:rPr>
        <w:t xml:space="preserve"> private companies, especially </w:t>
      </w:r>
      <w:r w:rsidR="000171ED">
        <w:rPr>
          <w:sz w:val="24"/>
          <w:szCs w:val="24"/>
        </w:rPr>
        <w:t xml:space="preserve">micro- and </w:t>
      </w:r>
      <w:r w:rsidR="0099310E">
        <w:rPr>
          <w:sz w:val="24"/>
          <w:szCs w:val="24"/>
        </w:rPr>
        <w:t>small</w:t>
      </w:r>
      <w:r w:rsidR="000171ED">
        <w:rPr>
          <w:sz w:val="24"/>
          <w:szCs w:val="24"/>
        </w:rPr>
        <w:t>-</w:t>
      </w:r>
      <w:r w:rsidR="0099310E">
        <w:rPr>
          <w:sz w:val="24"/>
          <w:szCs w:val="24"/>
        </w:rPr>
        <w:t>businesses, to innovate and export</w:t>
      </w:r>
      <w:r w:rsidR="00F10543">
        <w:rPr>
          <w:sz w:val="24"/>
          <w:szCs w:val="24"/>
        </w:rPr>
        <w:t xml:space="preserve">. Results presented in this report show that micro- and small-businesses should not be regarded to be marginal entities with no growth options. While many micro- </w:t>
      </w:r>
      <w:r w:rsidR="00F10543">
        <w:rPr>
          <w:sz w:val="24"/>
          <w:szCs w:val="24"/>
        </w:rPr>
        <w:lastRenderedPageBreak/>
        <w:t xml:space="preserve">and small-businesses in Australia do not innovate and export, however, those that do demonstrate significantly higher </w:t>
      </w:r>
      <w:r w:rsidR="008652CD">
        <w:rPr>
          <w:sz w:val="24"/>
          <w:szCs w:val="24"/>
        </w:rPr>
        <w:t>productivity gains</w:t>
      </w:r>
      <w:r w:rsidR="00F10543">
        <w:rPr>
          <w:sz w:val="24"/>
          <w:szCs w:val="24"/>
        </w:rPr>
        <w:t xml:space="preserve"> compared to those that do not</w:t>
      </w:r>
      <w:r w:rsidR="00471605">
        <w:rPr>
          <w:sz w:val="24"/>
          <w:szCs w:val="24"/>
        </w:rPr>
        <w:t xml:space="preserve"> innovate and export.  More importantly, </w:t>
      </w:r>
      <w:r w:rsidR="008652CD">
        <w:rPr>
          <w:sz w:val="24"/>
          <w:szCs w:val="24"/>
        </w:rPr>
        <w:t xml:space="preserve">as </w:t>
      </w:r>
      <w:r w:rsidR="00471605">
        <w:rPr>
          <w:sz w:val="24"/>
          <w:szCs w:val="24"/>
        </w:rPr>
        <w:t xml:space="preserve">micro- and small-businesses that innovate and export are also associated with </w:t>
      </w:r>
      <w:r w:rsidR="00535CB4">
        <w:rPr>
          <w:sz w:val="24"/>
          <w:szCs w:val="24"/>
        </w:rPr>
        <w:t xml:space="preserve">more competitive </w:t>
      </w:r>
      <w:r w:rsidR="008652CD">
        <w:rPr>
          <w:sz w:val="24"/>
          <w:szCs w:val="24"/>
        </w:rPr>
        <w:t>industries</w:t>
      </w:r>
      <w:r w:rsidR="00535CB4">
        <w:rPr>
          <w:sz w:val="24"/>
          <w:szCs w:val="24"/>
        </w:rPr>
        <w:t xml:space="preserve">, </w:t>
      </w:r>
      <w:r w:rsidR="008652CD">
        <w:rPr>
          <w:sz w:val="24"/>
          <w:szCs w:val="24"/>
        </w:rPr>
        <w:t xml:space="preserve">policies directing innovation and exports among a broader cross-section of SMEs </w:t>
      </w:r>
      <w:r w:rsidR="000171ED">
        <w:rPr>
          <w:sz w:val="24"/>
          <w:szCs w:val="24"/>
        </w:rPr>
        <w:t xml:space="preserve">could increase the Australian economy’s competitiveness by inducing </w:t>
      </w:r>
      <w:r w:rsidR="00535CB4">
        <w:rPr>
          <w:sz w:val="24"/>
          <w:szCs w:val="24"/>
        </w:rPr>
        <w:t xml:space="preserve">SMEs to improve their performance via </w:t>
      </w:r>
      <w:r w:rsidR="000171ED">
        <w:rPr>
          <w:sz w:val="24"/>
          <w:szCs w:val="24"/>
        </w:rPr>
        <w:t xml:space="preserve">more widespread innovation and export activities. </w:t>
      </w:r>
    </w:p>
    <w:p w14:paraId="1CB25868" w14:textId="347477B8" w:rsidR="003620D7" w:rsidRDefault="005B08B7" w:rsidP="003620D7">
      <w:pPr>
        <w:spacing w:after="0" w:line="360" w:lineRule="auto"/>
        <w:ind w:firstLine="720"/>
        <w:rPr>
          <w:rFonts w:cstheme="minorHAnsi"/>
          <w:sz w:val="24"/>
          <w:szCs w:val="24"/>
        </w:rPr>
      </w:pPr>
      <w:r>
        <w:rPr>
          <w:sz w:val="24"/>
          <w:szCs w:val="24"/>
        </w:rPr>
        <w:t xml:space="preserve">We note that </w:t>
      </w:r>
      <w:r w:rsidR="003620D7">
        <w:rPr>
          <w:sz w:val="24"/>
          <w:szCs w:val="24"/>
        </w:rPr>
        <w:t xml:space="preserve">as </w:t>
      </w:r>
      <w:r>
        <w:rPr>
          <w:sz w:val="24"/>
          <w:szCs w:val="24"/>
        </w:rPr>
        <w:t xml:space="preserve">SMEs </w:t>
      </w:r>
      <w:r w:rsidR="003620D7" w:rsidRPr="003558E2">
        <w:rPr>
          <w:rFonts w:cstheme="minorHAnsi"/>
          <w:sz w:val="24"/>
          <w:szCs w:val="24"/>
        </w:rPr>
        <w:t>operate under different constraints compared to large firms</w:t>
      </w:r>
      <w:r w:rsidR="003620D7">
        <w:rPr>
          <w:rFonts w:cstheme="minorHAnsi"/>
          <w:sz w:val="24"/>
          <w:szCs w:val="24"/>
        </w:rPr>
        <w:t xml:space="preserve"> and for SMEs to </w:t>
      </w:r>
      <w:r w:rsidR="003620D7" w:rsidRPr="00817CD6">
        <w:rPr>
          <w:rFonts w:cstheme="minorHAnsi"/>
          <w:sz w:val="24"/>
          <w:szCs w:val="24"/>
        </w:rPr>
        <w:t>successfully exploit innovation opportunities, firms</w:t>
      </w:r>
      <w:r w:rsidR="003620D7">
        <w:rPr>
          <w:rFonts w:cstheme="minorHAnsi"/>
          <w:sz w:val="24"/>
          <w:szCs w:val="24"/>
        </w:rPr>
        <w:t xml:space="preserve"> </w:t>
      </w:r>
      <w:r w:rsidR="003620D7" w:rsidRPr="00817CD6">
        <w:rPr>
          <w:rFonts w:cstheme="minorHAnsi"/>
          <w:sz w:val="24"/>
          <w:szCs w:val="24"/>
        </w:rPr>
        <w:t>need the right combination of financial and human capital resources</w:t>
      </w:r>
      <w:r w:rsidR="003620D7">
        <w:rPr>
          <w:rFonts w:cstheme="minorHAnsi"/>
          <w:sz w:val="24"/>
          <w:szCs w:val="24"/>
        </w:rPr>
        <w:t>.  To overcome these resource-constraints</w:t>
      </w:r>
      <w:r w:rsidR="00B7401B">
        <w:rPr>
          <w:rFonts w:cstheme="minorHAnsi"/>
          <w:sz w:val="24"/>
          <w:szCs w:val="24"/>
        </w:rPr>
        <w:t>, we suggest external collaborations can provide important support to SME innovation and R&amp;D</w:t>
      </w:r>
      <w:r w:rsidR="00846E07">
        <w:rPr>
          <w:rFonts w:cstheme="minorHAnsi"/>
          <w:sz w:val="24"/>
          <w:szCs w:val="24"/>
        </w:rPr>
        <w:t>.  More importantly,</w:t>
      </w:r>
      <w:r w:rsidR="00DD6A60">
        <w:rPr>
          <w:rFonts w:cstheme="minorHAnsi"/>
          <w:sz w:val="24"/>
          <w:szCs w:val="24"/>
        </w:rPr>
        <w:t xml:space="preserve"> </w:t>
      </w:r>
      <w:r w:rsidR="00DD6A60" w:rsidRPr="00436AA6">
        <w:rPr>
          <w:rFonts w:eastAsia="Times New Roman" w:cstheme="minorHAnsi"/>
          <w:sz w:val="24"/>
          <w:szCs w:val="24"/>
        </w:rPr>
        <w:t xml:space="preserve">in today’s complex and knowledge-intensive environment </w:t>
      </w:r>
      <w:r w:rsidR="00DD6A60">
        <w:rPr>
          <w:rFonts w:eastAsia="Times New Roman" w:cstheme="minorHAnsi"/>
          <w:sz w:val="24"/>
          <w:szCs w:val="24"/>
        </w:rPr>
        <w:t>such external collaborations</w:t>
      </w:r>
      <w:r w:rsidR="00846E07">
        <w:rPr>
          <w:rFonts w:eastAsia="Times New Roman" w:cstheme="minorHAnsi"/>
          <w:sz w:val="24"/>
          <w:szCs w:val="24"/>
        </w:rPr>
        <w:t xml:space="preserve"> not only complement resource constraints, but they can assist SMEs in acquiring </w:t>
      </w:r>
      <w:r w:rsidR="00DD6A60" w:rsidRPr="00436AA6">
        <w:rPr>
          <w:rFonts w:eastAsia="Times New Roman" w:cstheme="minorHAnsi"/>
          <w:sz w:val="24"/>
          <w:szCs w:val="24"/>
        </w:rPr>
        <w:t xml:space="preserve">missing knowledge to </w:t>
      </w:r>
      <w:r w:rsidR="00846E07">
        <w:rPr>
          <w:rFonts w:eastAsia="Times New Roman" w:cstheme="minorHAnsi"/>
          <w:sz w:val="24"/>
          <w:szCs w:val="24"/>
        </w:rPr>
        <w:t>encourage</w:t>
      </w:r>
      <w:r w:rsidR="00DD6A60" w:rsidRPr="00436AA6">
        <w:rPr>
          <w:rFonts w:eastAsia="Times New Roman" w:cstheme="minorHAnsi"/>
          <w:sz w:val="24"/>
          <w:szCs w:val="24"/>
        </w:rPr>
        <w:t xml:space="preserve"> innovation and growth outcomes</w:t>
      </w:r>
      <w:r w:rsidR="00B7401B">
        <w:rPr>
          <w:rFonts w:cstheme="minorHAnsi"/>
          <w:sz w:val="24"/>
          <w:szCs w:val="24"/>
        </w:rPr>
        <w:t xml:space="preserve">.  As our results support this proposition, </w:t>
      </w:r>
      <w:r w:rsidR="00DD6A60" w:rsidRPr="007E32AE">
        <w:rPr>
          <w:rFonts w:eastAsia="Times New Roman" w:cstheme="minorHAnsi"/>
          <w:sz w:val="24"/>
          <w:szCs w:val="24"/>
        </w:rPr>
        <w:t xml:space="preserve">government policies focussed on R&amp;D should further support collaborative R&amp;D, especially </w:t>
      </w:r>
      <w:r w:rsidR="000D19CA">
        <w:rPr>
          <w:rFonts w:eastAsia="Times New Roman" w:cstheme="minorHAnsi"/>
          <w:sz w:val="24"/>
          <w:szCs w:val="24"/>
        </w:rPr>
        <w:t xml:space="preserve">among smaller businesses and </w:t>
      </w:r>
      <w:r w:rsidR="00DD6A60" w:rsidRPr="007E32AE">
        <w:rPr>
          <w:rFonts w:eastAsia="Times New Roman" w:cstheme="minorHAnsi"/>
          <w:sz w:val="24"/>
          <w:szCs w:val="24"/>
        </w:rPr>
        <w:t>for companies partnering with Australia’s world class teaching and research institutions</w:t>
      </w:r>
      <w:r w:rsidR="000D19CA">
        <w:rPr>
          <w:rFonts w:eastAsia="Times New Roman" w:cstheme="minorHAnsi"/>
          <w:sz w:val="24"/>
          <w:szCs w:val="24"/>
        </w:rPr>
        <w:t xml:space="preserve">. </w:t>
      </w:r>
      <w:r w:rsidR="000D19CA" w:rsidRPr="007E32AE">
        <w:rPr>
          <w:rFonts w:eastAsia="Times New Roman" w:cstheme="minorHAnsi"/>
          <w:sz w:val="24"/>
          <w:szCs w:val="24"/>
        </w:rPr>
        <w:t>While incentive for such collaboration can be provided through the existing R&amp;DTI tax subsidy for research activity, we strongly recommend policymakers to consider the application of research collaboration vouchers, which have been shown to both support additional research and innovation activities and encourag</w:t>
      </w:r>
      <w:r w:rsidR="00FE0C0B">
        <w:rPr>
          <w:rFonts w:eastAsia="Times New Roman" w:cstheme="minorHAnsi"/>
          <w:sz w:val="24"/>
          <w:szCs w:val="24"/>
        </w:rPr>
        <w:t>e</w:t>
      </w:r>
      <w:r w:rsidR="000D19CA" w:rsidRPr="007E32AE">
        <w:rPr>
          <w:rFonts w:eastAsia="Times New Roman" w:cstheme="minorHAnsi"/>
          <w:sz w:val="24"/>
          <w:szCs w:val="24"/>
        </w:rPr>
        <w:t xml:space="preserve"> value adding collaboration between business and research institutions</w:t>
      </w:r>
      <w:r w:rsidR="00FE0C0B">
        <w:rPr>
          <w:rFonts w:eastAsia="Times New Roman" w:cstheme="minorHAnsi"/>
          <w:sz w:val="24"/>
          <w:szCs w:val="24"/>
        </w:rPr>
        <w:t>, establishing strong cultures of collaboration that improve innovation</w:t>
      </w:r>
      <w:r w:rsidR="00E159D2">
        <w:rPr>
          <w:rFonts w:eastAsia="Times New Roman" w:cstheme="minorHAnsi"/>
          <w:sz w:val="24"/>
          <w:szCs w:val="24"/>
        </w:rPr>
        <w:t>.</w:t>
      </w:r>
      <w:r w:rsidR="003620D7">
        <w:rPr>
          <w:rFonts w:cstheme="minorHAnsi"/>
          <w:sz w:val="24"/>
          <w:szCs w:val="24"/>
        </w:rPr>
        <w:t xml:space="preserve"> </w:t>
      </w:r>
    </w:p>
    <w:p w14:paraId="0FEFEE15" w14:textId="00F63DAA" w:rsidR="005B08B7" w:rsidRPr="00B27BA6" w:rsidRDefault="005B08B7" w:rsidP="006F22B7">
      <w:pPr>
        <w:spacing w:after="0" w:line="360" w:lineRule="auto"/>
        <w:ind w:firstLine="720"/>
        <w:rPr>
          <w:sz w:val="24"/>
          <w:szCs w:val="24"/>
        </w:rPr>
      </w:pPr>
    </w:p>
    <w:p w14:paraId="17164C1A" w14:textId="77777777" w:rsidR="00436AA6" w:rsidRPr="00B27BA6" w:rsidRDefault="00436AA6" w:rsidP="00436AA6">
      <w:pPr>
        <w:spacing w:after="0" w:line="360" w:lineRule="auto"/>
        <w:rPr>
          <w:sz w:val="24"/>
          <w:szCs w:val="24"/>
        </w:rPr>
      </w:pPr>
    </w:p>
    <w:p w14:paraId="515EA54C" w14:textId="77777777" w:rsidR="00F70450" w:rsidRDefault="00F70450" w:rsidP="002D2016">
      <w:pPr>
        <w:spacing w:after="0" w:line="360" w:lineRule="auto"/>
        <w:ind w:firstLine="720"/>
        <w:rPr>
          <w:rFonts w:cstheme="minorHAnsi"/>
          <w:sz w:val="24"/>
          <w:szCs w:val="24"/>
        </w:rPr>
      </w:pPr>
    </w:p>
    <w:p w14:paraId="3F006F52" w14:textId="77777777" w:rsidR="007F2757" w:rsidRDefault="007F2757" w:rsidP="002D2016">
      <w:pPr>
        <w:spacing w:after="0" w:line="360" w:lineRule="auto"/>
        <w:ind w:firstLine="720"/>
        <w:rPr>
          <w:rFonts w:eastAsia="Times New Roman" w:cstheme="minorHAnsi"/>
          <w:sz w:val="24"/>
          <w:szCs w:val="24"/>
        </w:rPr>
      </w:pPr>
    </w:p>
    <w:p w14:paraId="39820508" w14:textId="77777777" w:rsidR="00D3391F" w:rsidRPr="00436AA6" w:rsidRDefault="00D3391F" w:rsidP="00436AA6">
      <w:pPr>
        <w:spacing w:after="0" w:line="360" w:lineRule="auto"/>
        <w:rPr>
          <w:rFonts w:eastAsia="Times New Roman" w:cstheme="minorHAnsi"/>
          <w:sz w:val="24"/>
          <w:szCs w:val="24"/>
        </w:rPr>
      </w:pPr>
    </w:p>
    <w:p w14:paraId="58474695" w14:textId="77777777" w:rsidR="00D3391F" w:rsidRDefault="00D3391F" w:rsidP="04FC83EA">
      <w:pPr>
        <w:spacing w:line="276" w:lineRule="auto"/>
        <w:rPr>
          <w:rFonts w:ascii="Times New Roman" w:eastAsia="Times New Roman" w:hAnsi="Times New Roman" w:cs="Times New Roman"/>
          <w:b/>
          <w:bCs/>
          <w:sz w:val="24"/>
          <w:szCs w:val="24"/>
        </w:rPr>
      </w:pPr>
    </w:p>
    <w:p w14:paraId="6A396CF4" w14:textId="77777777" w:rsidR="000D19CA" w:rsidRDefault="000D19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346E3E8" w14:textId="77777777" w:rsidR="00E159D2" w:rsidRDefault="00E159D2" w:rsidP="00E159D2">
      <w:pPr>
        <w:spacing w:after="0" w:line="360" w:lineRule="auto"/>
        <w:rPr>
          <w:b/>
          <w:bCs/>
        </w:rPr>
      </w:pPr>
      <w:r>
        <w:rPr>
          <w:b/>
          <w:bCs/>
        </w:rPr>
        <w:lastRenderedPageBreak/>
        <w:t>References</w:t>
      </w:r>
    </w:p>
    <w:p w14:paraId="51A1F427" w14:textId="77777777" w:rsidR="00E159D2" w:rsidRDefault="00E159D2" w:rsidP="00E159D2">
      <w:pPr>
        <w:pStyle w:val="Default"/>
        <w:rPr>
          <w:sz w:val="22"/>
          <w:szCs w:val="22"/>
        </w:rPr>
      </w:pPr>
    </w:p>
    <w:p w14:paraId="1DCA9A29" w14:textId="77777777" w:rsidR="00D71052" w:rsidRDefault="00D71052" w:rsidP="00D71052">
      <w:pPr>
        <w:pStyle w:val="Default"/>
        <w:spacing w:line="360" w:lineRule="auto"/>
        <w:ind w:left="426" w:hanging="426"/>
        <w:rPr>
          <w:sz w:val="22"/>
          <w:szCs w:val="22"/>
        </w:rPr>
      </w:pPr>
      <w:r w:rsidRPr="00D71052">
        <w:rPr>
          <w:sz w:val="22"/>
          <w:szCs w:val="22"/>
        </w:rPr>
        <w:t>Aghion, Philippe and Gilles Saint-Paul (1998). “On the Virtue of Bad Times: An Analysis of</w:t>
      </w:r>
      <w:r>
        <w:rPr>
          <w:sz w:val="22"/>
          <w:szCs w:val="22"/>
        </w:rPr>
        <w:t xml:space="preserve"> </w:t>
      </w:r>
      <w:r w:rsidRPr="00D71052">
        <w:rPr>
          <w:sz w:val="22"/>
          <w:szCs w:val="22"/>
        </w:rPr>
        <w:t>the Interaction between Productivity Growth and Economic Fluctuations.” Macroeconomic</w:t>
      </w:r>
      <w:r>
        <w:rPr>
          <w:sz w:val="22"/>
          <w:szCs w:val="22"/>
        </w:rPr>
        <w:t xml:space="preserve"> </w:t>
      </w:r>
      <w:r w:rsidRPr="00D71052">
        <w:rPr>
          <w:sz w:val="22"/>
          <w:szCs w:val="22"/>
        </w:rPr>
        <w:t>Dynamics, 2, 322–344.</w:t>
      </w:r>
    </w:p>
    <w:p w14:paraId="47EE1CAD" w14:textId="575CCA52" w:rsidR="00AF56DA" w:rsidRDefault="00AF56DA" w:rsidP="00D71052">
      <w:pPr>
        <w:pStyle w:val="Default"/>
        <w:spacing w:line="360" w:lineRule="auto"/>
        <w:ind w:left="426" w:hanging="426"/>
        <w:rPr>
          <w:sz w:val="22"/>
          <w:szCs w:val="22"/>
        </w:rPr>
      </w:pPr>
      <w:r w:rsidRPr="00AF56DA">
        <w:rPr>
          <w:sz w:val="22"/>
          <w:szCs w:val="22"/>
        </w:rPr>
        <w:t>Aldrich, H., &amp; Auster, E. R. (1986). Even dwarfs started small:</w:t>
      </w:r>
      <w:r>
        <w:rPr>
          <w:sz w:val="22"/>
          <w:szCs w:val="22"/>
        </w:rPr>
        <w:t xml:space="preserve"> </w:t>
      </w:r>
      <w:r w:rsidRPr="00AF56DA">
        <w:rPr>
          <w:sz w:val="22"/>
          <w:szCs w:val="22"/>
        </w:rPr>
        <w:t>liabilities of age and size and their strategic implications.</w:t>
      </w:r>
      <w:r>
        <w:rPr>
          <w:sz w:val="22"/>
          <w:szCs w:val="22"/>
        </w:rPr>
        <w:t xml:space="preserve"> </w:t>
      </w:r>
      <w:r w:rsidRPr="00AF56DA">
        <w:rPr>
          <w:sz w:val="22"/>
          <w:szCs w:val="22"/>
        </w:rPr>
        <w:t>Research in organizational behavior.</w:t>
      </w:r>
      <w:r>
        <w:rPr>
          <w:sz w:val="22"/>
          <w:szCs w:val="22"/>
        </w:rPr>
        <w:t xml:space="preserve"> </w:t>
      </w:r>
      <w:hyperlink r:id="rId17" w:history="1">
        <w:r w:rsidRPr="007A7F32">
          <w:rPr>
            <w:rStyle w:val="Hyperlink"/>
            <w:sz w:val="22"/>
            <w:szCs w:val="22"/>
          </w:rPr>
          <w:t>https://doi.org/10.2139/ssrn.1497769</w:t>
        </w:r>
      </w:hyperlink>
      <w:r w:rsidRPr="00AF56DA">
        <w:rPr>
          <w:sz w:val="22"/>
          <w:szCs w:val="22"/>
        </w:rPr>
        <w:t>.</w:t>
      </w:r>
    </w:p>
    <w:p w14:paraId="4D2050D7" w14:textId="58C1BA93" w:rsidR="00E159D2" w:rsidRDefault="00E159D2" w:rsidP="00D71052">
      <w:pPr>
        <w:pStyle w:val="Default"/>
        <w:spacing w:line="360" w:lineRule="auto"/>
        <w:ind w:left="426" w:hanging="426"/>
        <w:rPr>
          <w:i/>
          <w:iCs/>
          <w:sz w:val="22"/>
          <w:szCs w:val="22"/>
        </w:rPr>
      </w:pPr>
      <w:r>
        <w:rPr>
          <w:sz w:val="22"/>
          <w:szCs w:val="22"/>
        </w:rPr>
        <w:t>Andrews, D., Hambur, J., Hansell, D., &amp; Wheeler, A. (2022).</w:t>
      </w:r>
      <w:r w:rsidRPr="008F4A0C">
        <w:rPr>
          <w:sz w:val="22"/>
          <w:szCs w:val="22"/>
        </w:rPr>
        <w:t xml:space="preserve"> </w:t>
      </w:r>
      <w:r>
        <w:rPr>
          <w:sz w:val="22"/>
          <w:szCs w:val="22"/>
        </w:rPr>
        <w:t>“</w:t>
      </w:r>
      <w:r w:rsidRPr="008F4A0C">
        <w:rPr>
          <w:sz w:val="22"/>
          <w:szCs w:val="22"/>
        </w:rPr>
        <w:t>Reaching for the stars: Australian firms and the global productivity frontier</w:t>
      </w:r>
      <w:r>
        <w:rPr>
          <w:sz w:val="22"/>
          <w:szCs w:val="22"/>
        </w:rPr>
        <w:t xml:space="preserve">”. Working Paper 2022-01, 7 February 2022. </w:t>
      </w:r>
      <w:r>
        <w:rPr>
          <w:i/>
          <w:iCs/>
          <w:sz w:val="22"/>
          <w:szCs w:val="22"/>
        </w:rPr>
        <w:t>The Australian Government the Treasury.</w:t>
      </w:r>
    </w:p>
    <w:p w14:paraId="1B1F7DF5" w14:textId="6147B214" w:rsidR="006C0AE7" w:rsidRDefault="006C0AE7" w:rsidP="00D71052">
      <w:pPr>
        <w:pStyle w:val="Default"/>
        <w:spacing w:line="360" w:lineRule="auto"/>
        <w:ind w:left="426" w:hanging="426"/>
        <w:rPr>
          <w:sz w:val="22"/>
          <w:szCs w:val="22"/>
        </w:rPr>
      </w:pPr>
      <w:r w:rsidRPr="006C0AE7">
        <w:rPr>
          <w:sz w:val="22"/>
          <w:szCs w:val="22"/>
        </w:rPr>
        <w:t>Andrews, D., Criscuolo, C., &amp; Gal, P. N. (2016). The best versus</w:t>
      </w:r>
      <w:r>
        <w:rPr>
          <w:sz w:val="22"/>
          <w:szCs w:val="22"/>
        </w:rPr>
        <w:t xml:space="preserve"> </w:t>
      </w:r>
      <w:r w:rsidRPr="006C0AE7">
        <w:rPr>
          <w:sz w:val="22"/>
          <w:szCs w:val="22"/>
        </w:rPr>
        <w:t>the rest: the global productivity slowdown, divergence across</w:t>
      </w:r>
      <w:r>
        <w:rPr>
          <w:sz w:val="22"/>
          <w:szCs w:val="22"/>
        </w:rPr>
        <w:t xml:space="preserve"> </w:t>
      </w:r>
      <w:r w:rsidRPr="006C0AE7">
        <w:rPr>
          <w:sz w:val="22"/>
          <w:szCs w:val="22"/>
        </w:rPr>
        <w:t>firms and the role of public policy. OECD Publishing, Paris.</w:t>
      </w:r>
      <w:r>
        <w:rPr>
          <w:sz w:val="22"/>
          <w:szCs w:val="22"/>
        </w:rPr>
        <w:t xml:space="preserve"> </w:t>
      </w:r>
      <w:hyperlink r:id="rId18" w:history="1">
        <w:r w:rsidRPr="007A7F32">
          <w:rPr>
            <w:rStyle w:val="Hyperlink"/>
            <w:sz w:val="22"/>
            <w:szCs w:val="22"/>
          </w:rPr>
          <w:t>https://doi.org/10.1787/63629cc9-en</w:t>
        </w:r>
      </w:hyperlink>
      <w:r w:rsidRPr="006C0AE7">
        <w:rPr>
          <w:sz w:val="22"/>
          <w:szCs w:val="22"/>
        </w:rPr>
        <w:t>.</w:t>
      </w:r>
    </w:p>
    <w:p w14:paraId="6BCA1C53" w14:textId="77777777" w:rsidR="00E159D2" w:rsidRDefault="00E159D2" w:rsidP="00D71052">
      <w:pPr>
        <w:spacing w:after="0" w:line="360" w:lineRule="auto"/>
        <w:ind w:left="426" w:hanging="426"/>
        <w:rPr>
          <w:rFonts w:cstheme="minorHAnsi"/>
          <w:shd w:val="clear" w:color="auto" w:fill="FFFFFF"/>
        </w:rPr>
      </w:pPr>
      <w:r>
        <w:rPr>
          <w:rFonts w:cstheme="minorHAnsi"/>
          <w:shd w:val="clear" w:color="auto" w:fill="FFFFFF"/>
        </w:rPr>
        <w:t>Becker, S.O. and Egger, P.H. (2013). Endogenous product versus process innovation and a firm’s propensity to export. </w:t>
      </w:r>
      <w:r>
        <w:rPr>
          <w:rFonts w:cstheme="minorHAnsi"/>
          <w:i/>
          <w:iCs/>
          <w:shd w:val="clear" w:color="auto" w:fill="FFFFFF"/>
        </w:rPr>
        <w:t>Empirical Economics</w:t>
      </w:r>
      <w:r>
        <w:rPr>
          <w:rFonts w:cstheme="minorHAnsi"/>
          <w:shd w:val="clear" w:color="auto" w:fill="FFFFFF"/>
        </w:rPr>
        <w:t>, </w:t>
      </w:r>
      <w:r>
        <w:rPr>
          <w:rFonts w:cstheme="minorHAnsi"/>
          <w:i/>
          <w:iCs/>
          <w:shd w:val="clear" w:color="auto" w:fill="FFFFFF"/>
        </w:rPr>
        <w:t>44</w:t>
      </w:r>
      <w:r>
        <w:rPr>
          <w:rFonts w:cstheme="minorHAnsi"/>
          <w:shd w:val="clear" w:color="auto" w:fill="FFFFFF"/>
        </w:rPr>
        <w:t>(1), pp.329-354.</w:t>
      </w:r>
    </w:p>
    <w:p w14:paraId="43AD7C49" w14:textId="77777777" w:rsidR="00E159D2" w:rsidRDefault="00E159D2" w:rsidP="00D71052">
      <w:pPr>
        <w:spacing w:after="0" w:line="360" w:lineRule="auto"/>
        <w:ind w:left="426" w:hanging="426"/>
      </w:pPr>
      <w:r>
        <w:t xml:space="preserve">Cowling, M. &amp; Tanewski, G. (2019). On the productive efficiency of Australian businesses: firm size and age class effects. Small Business Economics, 53, 739-752. </w:t>
      </w:r>
      <w:hyperlink r:id="rId19">
        <w:r w:rsidRPr="04FC83EA">
          <w:rPr>
            <w:rStyle w:val="Hyperlink"/>
          </w:rPr>
          <w:t>https://doi.org/10.1007/s11187-018-0070-0</w:t>
        </w:r>
      </w:hyperlink>
      <w:r>
        <w:t>.</w:t>
      </w:r>
    </w:p>
    <w:p w14:paraId="7185D827" w14:textId="77777777" w:rsidR="00E159D2" w:rsidRDefault="00E159D2" w:rsidP="00D71052">
      <w:pPr>
        <w:spacing w:after="0" w:line="360" w:lineRule="auto"/>
        <w:ind w:left="426" w:hanging="426"/>
      </w:pPr>
      <w:r w:rsidRPr="00A54E6C">
        <w:t>Caves, R.E. and Bailey, S.D., 1992. </w:t>
      </w:r>
      <w:r w:rsidRPr="00A54E6C">
        <w:rPr>
          <w:i/>
          <w:iCs/>
        </w:rPr>
        <w:t>Industrial efficiency in six nations</w:t>
      </w:r>
      <w:r w:rsidRPr="00A54E6C">
        <w:t>. MIT Press.</w:t>
      </w:r>
    </w:p>
    <w:p w14:paraId="36C255FE" w14:textId="77777777" w:rsidR="00E159D2" w:rsidRDefault="00E159D2" w:rsidP="00D71052">
      <w:pPr>
        <w:spacing w:after="0" w:line="360" w:lineRule="auto"/>
        <w:ind w:left="426" w:hanging="426"/>
      </w:pPr>
      <w:r>
        <w:t xml:space="preserve">Criscuolo, C. (2018). Slow and divided: what can policies do to lift economies and restart engines of the growth for all? Science, Research and Innovation Performance of the EU. </w:t>
      </w:r>
      <w:hyperlink r:id="rId20">
        <w:r w:rsidRPr="04FC83EA">
          <w:rPr>
            <w:rStyle w:val="Hyperlink"/>
          </w:rPr>
          <w:t>https://doi</w:t>
        </w:r>
      </w:hyperlink>
      <w:r>
        <w:t>. Org/10.2777/14136.</w:t>
      </w:r>
    </w:p>
    <w:p w14:paraId="5869B4A2" w14:textId="77777777" w:rsidR="00E159D2" w:rsidRDefault="00E159D2" w:rsidP="00D71052">
      <w:pPr>
        <w:spacing w:after="0" w:line="360" w:lineRule="auto"/>
        <w:ind w:left="426" w:hanging="426"/>
      </w:pPr>
      <w:r>
        <w:t xml:space="preserve">Gherhes, C., Williams, N., Vorley, T., &amp; Vasconcelos, A. C. (2016). Distinguishing micro-businesses from SMEs: a systematic review of growth constraints. Journal of Small Business and Enterprise Development, 23(4), 939–963. </w:t>
      </w:r>
      <w:hyperlink r:id="rId21">
        <w:r w:rsidRPr="04FC83EA">
          <w:rPr>
            <w:rStyle w:val="Hyperlink"/>
          </w:rPr>
          <w:t>https://doi.org/10.1108/JSBED-05-2016-0075</w:t>
        </w:r>
      </w:hyperlink>
      <w:r>
        <w:t>.</w:t>
      </w:r>
    </w:p>
    <w:p w14:paraId="6A439001" w14:textId="77777777" w:rsidR="00E159D2" w:rsidRDefault="00E159D2" w:rsidP="00D71052">
      <w:pPr>
        <w:spacing w:after="0" w:line="360" w:lineRule="auto"/>
        <w:ind w:left="426" w:hanging="426"/>
      </w:pPr>
      <w:r w:rsidRPr="00393025">
        <w:t>Green, A. and Mayes, D., 1991. Technical inefficiency in manufacturing industries. </w:t>
      </w:r>
      <w:r w:rsidRPr="00393025">
        <w:rPr>
          <w:i/>
          <w:iCs/>
        </w:rPr>
        <w:t>The Economic Journal</w:t>
      </w:r>
      <w:r w:rsidRPr="00393025">
        <w:t>, </w:t>
      </w:r>
      <w:r w:rsidRPr="00393025">
        <w:rPr>
          <w:i/>
          <w:iCs/>
        </w:rPr>
        <w:t>101</w:t>
      </w:r>
      <w:r w:rsidRPr="00393025">
        <w:t>(406), pp.523-538.</w:t>
      </w:r>
    </w:p>
    <w:p w14:paraId="3CF85872" w14:textId="77777777" w:rsidR="00E159D2" w:rsidRDefault="00E159D2" w:rsidP="00D71052">
      <w:pPr>
        <w:spacing w:after="0" w:line="360" w:lineRule="auto"/>
        <w:ind w:left="426" w:hanging="426"/>
        <w:jc w:val="both"/>
        <w:rPr>
          <w:rFonts w:cstheme="minorHAnsi"/>
        </w:rPr>
      </w:pPr>
      <w:r>
        <w:rPr>
          <w:rFonts w:cstheme="minorHAnsi"/>
        </w:rPr>
        <w:t>Hainmueller, J. (2012). Entropy balancing for causal effects: A multivariate reweighting method to produce balanced samples in observational studies. </w:t>
      </w:r>
      <w:r>
        <w:rPr>
          <w:rFonts w:cstheme="minorHAnsi"/>
          <w:i/>
          <w:iCs/>
        </w:rPr>
        <w:t>Political analysis</w:t>
      </w:r>
      <w:r>
        <w:rPr>
          <w:rFonts w:cstheme="minorHAnsi"/>
        </w:rPr>
        <w:t>, </w:t>
      </w:r>
      <w:r>
        <w:rPr>
          <w:rFonts w:cstheme="minorHAnsi"/>
          <w:i/>
          <w:iCs/>
        </w:rPr>
        <w:t>20</w:t>
      </w:r>
      <w:r>
        <w:rPr>
          <w:rFonts w:cstheme="minorHAnsi"/>
        </w:rPr>
        <w:t>(1), pp.25-46.</w:t>
      </w:r>
    </w:p>
    <w:p w14:paraId="1E65DE57" w14:textId="77777777" w:rsidR="00E159D2" w:rsidRDefault="00E159D2" w:rsidP="00D71052">
      <w:pPr>
        <w:spacing w:after="0" w:line="360" w:lineRule="auto"/>
        <w:ind w:left="426" w:hanging="426"/>
        <w:jc w:val="both"/>
        <w:rPr>
          <w:rFonts w:cstheme="minorHAnsi"/>
        </w:rPr>
      </w:pPr>
      <w:r>
        <w:rPr>
          <w:rFonts w:cstheme="minorHAnsi"/>
        </w:rPr>
        <w:t>Iacus et al., 2012</w:t>
      </w:r>
    </w:p>
    <w:p w14:paraId="450F69AD" w14:textId="77777777" w:rsidR="00E159D2" w:rsidRDefault="00E159D2" w:rsidP="00D71052">
      <w:pPr>
        <w:spacing w:after="0" w:line="360" w:lineRule="auto"/>
        <w:ind w:left="426" w:hanging="426"/>
        <w:jc w:val="both"/>
        <w:rPr>
          <w:rFonts w:cstheme="minorHAnsi"/>
        </w:rPr>
      </w:pPr>
      <w:r w:rsidRPr="0073352A">
        <w:rPr>
          <w:rFonts w:cstheme="minorHAnsi"/>
        </w:rPr>
        <w:t>Henderson, R. and Mitchell, W., 1997. The interactions of organizational and competitive influences on strategy and performance. </w:t>
      </w:r>
      <w:r w:rsidRPr="0073352A">
        <w:rPr>
          <w:rFonts w:cstheme="minorHAnsi"/>
          <w:i/>
          <w:iCs/>
        </w:rPr>
        <w:t>Strategic management journal</w:t>
      </w:r>
      <w:r w:rsidRPr="0073352A">
        <w:rPr>
          <w:rFonts w:cstheme="minorHAnsi"/>
        </w:rPr>
        <w:t>, </w:t>
      </w:r>
      <w:r w:rsidRPr="0073352A">
        <w:rPr>
          <w:rFonts w:cstheme="minorHAnsi"/>
          <w:i/>
          <w:iCs/>
        </w:rPr>
        <w:t>18</w:t>
      </w:r>
      <w:r w:rsidRPr="0073352A">
        <w:rPr>
          <w:rFonts w:cstheme="minorHAnsi"/>
        </w:rPr>
        <w:t>(S1), pp.5-14.</w:t>
      </w:r>
    </w:p>
    <w:p w14:paraId="7B55E2EB" w14:textId="77777777" w:rsidR="00E159D2" w:rsidRDefault="00E159D2" w:rsidP="00D71052">
      <w:pPr>
        <w:spacing w:after="0" w:line="360" w:lineRule="auto"/>
        <w:ind w:left="426" w:hanging="426"/>
        <w:jc w:val="both"/>
        <w:rPr>
          <w:rFonts w:cstheme="minorHAnsi"/>
        </w:rPr>
      </w:pPr>
      <w:r w:rsidRPr="00D32B00">
        <w:rPr>
          <w:rFonts w:cstheme="minorHAnsi"/>
        </w:rPr>
        <w:lastRenderedPageBreak/>
        <w:t>Hiep, N. and Ohta, H., 2009. Superiority of exporters and the causality between exporting and firm characteristics in Vietnam. </w:t>
      </w:r>
      <w:r w:rsidRPr="00D32B00">
        <w:rPr>
          <w:rFonts w:cstheme="minorHAnsi"/>
          <w:i/>
          <w:iCs/>
        </w:rPr>
        <w:t>RIEB (Research Institute for Economics &amp; Business Administration) Discussion Paper Series</w:t>
      </w:r>
      <w:r w:rsidRPr="00D32B00">
        <w:rPr>
          <w:rFonts w:cstheme="minorHAnsi"/>
        </w:rPr>
        <w:t>, </w:t>
      </w:r>
      <w:r w:rsidRPr="00D32B00">
        <w:rPr>
          <w:rFonts w:cstheme="minorHAnsi"/>
          <w:i/>
          <w:iCs/>
        </w:rPr>
        <w:t>239</w:t>
      </w:r>
      <w:r w:rsidRPr="00D32B00">
        <w:rPr>
          <w:rFonts w:cstheme="minorHAnsi"/>
        </w:rPr>
        <w:t>.</w:t>
      </w:r>
    </w:p>
    <w:p w14:paraId="28EF3FBE" w14:textId="77777777" w:rsidR="00E159D2" w:rsidRDefault="00E159D2" w:rsidP="00D71052">
      <w:pPr>
        <w:spacing w:after="0" w:line="360" w:lineRule="auto"/>
        <w:ind w:left="426" w:hanging="426"/>
        <w:jc w:val="both"/>
        <w:rPr>
          <w:rFonts w:cstheme="minorHAnsi"/>
        </w:rPr>
      </w:pPr>
      <w:r w:rsidRPr="00D32B00">
        <w:rPr>
          <w:rFonts w:cstheme="minorHAnsi"/>
        </w:rPr>
        <w:t>Liu, Z., 2008. Foreign direct investment and technology spillovers: Theory and evidence. </w:t>
      </w:r>
      <w:r w:rsidRPr="00D32B00">
        <w:rPr>
          <w:rFonts w:cstheme="minorHAnsi"/>
          <w:i/>
          <w:iCs/>
        </w:rPr>
        <w:t>Journal of Development Economics</w:t>
      </w:r>
      <w:r w:rsidRPr="00D32B00">
        <w:rPr>
          <w:rFonts w:cstheme="minorHAnsi"/>
        </w:rPr>
        <w:t>, </w:t>
      </w:r>
      <w:r w:rsidRPr="00D32B00">
        <w:rPr>
          <w:rFonts w:cstheme="minorHAnsi"/>
          <w:i/>
          <w:iCs/>
        </w:rPr>
        <w:t>85</w:t>
      </w:r>
      <w:r w:rsidRPr="00D32B00">
        <w:rPr>
          <w:rFonts w:cstheme="minorHAnsi"/>
        </w:rPr>
        <w:t>(1-2), pp.176-193.</w:t>
      </w:r>
    </w:p>
    <w:p w14:paraId="7D6D24ED" w14:textId="77777777" w:rsidR="00E159D2" w:rsidRDefault="00E159D2" w:rsidP="00D71052">
      <w:pPr>
        <w:spacing w:after="0" w:line="360" w:lineRule="auto"/>
        <w:ind w:left="426" w:hanging="426"/>
        <w:jc w:val="both"/>
        <w:rPr>
          <w:rFonts w:cstheme="minorHAnsi"/>
        </w:rPr>
      </w:pPr>
      <w:r w:rsidRPr="00393025">
        <w:rPr>
          <w:rFonts w:cstheme="minorHAnsi"/>
        </w:rPr>
        <w:t>Nickell, S.J., 1996. Competition and corporate performance. </w:t>
      </w:r>
      <w:r w:rsidRPr="00393025">
        <w:rPr>
          <w:rFonts w:cstheme="minorHAnsi"/>
          <w:i/>
          <w:iCs/>
        </w:rPr>
        <w:t>Journal of political economy</w:t>
      </w:r>
      <w:r w:rsidRPr="00393025">
        <w:rPr>
          <w:rFonts w:cstheme="minorHAnsi"/>
        </w:rPr>
        <w:t>, </w:t>
      </w:r>
      <w:r w:rsidRPr="00393025">
        <w:rPr>
          <w:rFonts w:cstheme="minorHAnsi"/>
          <w:i/>
          <w:iCs/>
        </w:rPr>
        <w:t>104</w:t>
      </w:r>
      <w:r w:rsidRPr="00393025">
        <w:rPr>
          <w:rFonts w:cstheme="minorHAnsi"/>
        </w:rPr>
        <w:t>(4), pp.724-746.</w:t>
      </w:r>
    </w:p>
    <w:p w14:paraId="5F2E8E2F" w14:textId="77777777" w:rsidR="00E159D2" w:rsidRDefault="00E159D2" w:rsidP="00D71052">
      <w:pPr>
        <w:spacing w:after="0" w:line="360" w:lineRule="auto"/>
        <w:ind w:left="426" w:hanging="426"/>
      </w:pPr>
      <w:r>
        <w:t xml:space="preserve">Owalla, B., Gherhes, C., Vorley, T., &amp; Brooks, C. (2022). “Mapping SME productivity research: a systematic review of empirical evidence and future research agenda”. </w:t>
      </w:r>
      <w:r w:rsidRPr="04FC83EA">
        <w:rPr>
          <w:i/>
          <w:iCs/>
        </w:rPr>
        <w:t>Small Business Economics, 58,</w:t>
      </w:r>
      <w:r>
        <w:t xml:space="preserve"> 1285-1307. </w:t>
      </w:r>
      <w:hyperlink r:id="rId22">
        <w:r w:rsidRPr="04FC83EA">
          <w:rPr>
            <w:rStyle w:val="Hyperlink"/>
          </w:rPr>
          <w:t>https://doi.org/10.1007/s11187-021-00450-3</w:t>
        </w:r>
      </w:hyperlink>
    </w:p>
    <w:p w14:paraId="1811851B" w14:textId="77777777" w:rsidR="00E159D2" w:rsidRDefault="00E159D2" w:rsidP="00D71052">
      <w:pPr>
        <w:spacing w:after="0" w:line="360" w:lineRule="auto"/>
        <w:ind w:left="426" w:hanging="426"/>
      </w:pPr>
      <w:r>
        <w:t xml:space="preserve">OECD. (2019). Strengthening SMEs and entrepreneurship for productivity and inclusive growth. </w:t>
      </w:r>
      <w:hyperlink r:id="rId23">
        <w:r w:rsidRPr="04FC83EA">
          <w:rPr>
            <w:rStyle w:val="Hyperlink"/>
          </w:rPr>
          <w:t>https://doi.org/10.1787/c19b6f97-en</w:t>
        </w:r>
      </w:hyperlink>
      <w:r>
        <w:t xml:space="preserve">. </w:t>
      </w:r>
    </w:p>
    <w:p w14:paraId="732C2317" w14:textId="77777777" w:rsidR="00E159D2" w:rsidRDefault="00E159D2" w:rsidP="00D71052">
      <w:pPr>
        <w:spacing w:after="0" w:line="360" w:lineRule="auto"/>
        <w:ind w:left="426" w:hanging="426"/>
      </w:pPr>
      <w:r>
        <w:t xml:space="preserve">OECD. (2018). Productivity and jobs in a globalised world: (how) can all regions benefit? </w:t>
      </w:r>
      <w:hyperlink r:id="rId24">
        <w:r w:rsidRPr="04FC83EA">
          <w:rPr>
            <w:rStyle w:val="Hyperlink"/>
          </w:rPr>
          <w:t>https://doi.org/10.1787/9789264293137-en</w:t>
        </w:r>
      </w:hyperlink>
      <w:r>
        <w:t>.</w:t>
      </w:r>
    </w:p>
    <w:p w14:paraId="7F4B11BA" w14:textId="72AE18FE" w:rsidR="00E159D2" w:rsidRDefault="00E159D2" w:rsidP="00D71052">
      <w:pPr>
        <w:spacing w:after="0" w:line="360" w:lineRule="auto"/>
        <w:ind w:left="426" w:hanging="426"/>
      </w:pPr>
      <w:r w:rsidRPr="00107657">
        <w:t>Orlic, E., Hashi, I. and Hisarciklilar, M., 2018. Cross sectoral FDI spillovers and their impact on manufacturing productivity. </w:t>
      </w:r>
      <w:r w:rsidRPr="00107657">
        <w:rPr>
          <w:i/>
          <w:iCs/>
        </w:rPr>
        <w:t>International Business Review</w:t>
      </w:r>
      <w:r w:rsidRPr="00107657">
        <w:t>, </w:t>
      </w:r>
      <w:r w:rsidRPr="00107657">
        <w:rPr>
          <w:i/>
          <w:iCs/>
        </w:rPr>
        <w:t>27</w:t>
      </w:r>
      <w:r w:rsidRPr="00107657">
        <w:t>(4), pp.777-796.</w:t>
      </w:r>
    </w:p>
    <w:p w14:paraId="1C01C721" w14:textId="4AA28B2B" w:rsidR="006C0AE7" w:rsidRDefault="006C0AE7" w:rsidP="00D71052">
      <w:pPr>
        <w:spacing w:after="0" w:line="360" w:lineRule="auto"/>
        <w:ind w:left="426" w:hanging="426"/>
      </w:pPr>
      <w:r>
        <w:t>Romer, P. (1986) Increasing Returns and Long-run Growth. Journal of Political Economy, 94 (5), 1002-1037.</w:t>
      </w:r>
    </w:p>
    <w:p w14:paraId="1DFBAB54" w14:textId="7321A369" w:rsidR="00D71052" w:rsidRDefault="00E159D2" w:rsidP="00D71052">
      <w:pPr>
        <w:spacing w:after="0" w:line="360" w:lineRule="auto"/>
        <w:ind w:left="426" w:hanging="426"/>
      </w:pPr>
      <w:r w:rsidRPr="00107657">
        <w:t>Takii, S., 2011. Do FDI spillovers vary among home economies?: Evidence from Indonesian manufacturing. </w:t>
      </w:r>
      <w:r w:rsidRPr="00107657">
        <w:rPr>
          <w:i/>
          <w:iCs/>
        </w:rPr>
        <w:t>Journal of Asian Economics</w:t>
      </w:r>
      <w:r w:rsidRPr="00107657">
        <w:t>, </w:t>
      </w:r>
      <w:r w:rsidRPr="00107657">
        <w:rPr>
          <w:i/>
          <w:iCs/>
        </w:rPr>
        <w:t>22</w:t>
      </w:r>
      <w:r w:rsidRPr="00107657">
        <w:t>(2), pp.152-163.</w:t>
      </w:r>
    </w:p>
    <w:p w14:paraId="16C317DE" w14:textId="6C86DD9E" w:rsidR="00E159D2" w:rsidRPr="0073352A" w:rsidRDefault="00E159D2" w:rsidP="00D71052">
      <w:pPr>
        <w:spacing w:after="0" w:line="360" w:lineRule="auto"/>
        <w:ind w:left="426" w:hanging="426"/>
        <w:rPr>
          <w:rFonts w:cstheme="minorHAnsi"/>
        </w:rPr>
      </w:pPr>
      <w:r w:rsidRPr="0073352A">
        <w:rPr>
          <w:rFonts w:cstheme="minorHAnsi"/>
        </w:rPr>
        <w:t>Westhead, P., Wright, M. and Ucbasaran, D., 2001. The internationalization of new and small firms: A resource-based view. </w:t>
      </w:r>
      <w:r w:rsidRPr="0073352A">
        <w:rPr>
          <w:rFonts w:cstheme="minorHAnsi"/>
          <w:i/>
          <w:iCs/>
        </w:rPr>
        <w:t>Journal of business venturing</w:t>
      </w:r>
      <w:r w:rsidRPr="0073352A">
        <w:rPr>
          <w:rFonts w:cstheme="minorHAnsi"/>
        </w:rPr>
        <w:t>, </w:t>
      </w:r>
      <w:r w:rsidRPr="0073352A">
        <w:rPr>
          <w:rFonts w:cstheme="minorHAnsi"/>
          <w:i/>
          <w:iCs/>
        </w:rPr>
        <w:t>16</w:t>
      </w:r>
      <w:r w:rsidRPr="0073352A">
        <w:rPr>
          <w:rFonts w:cstheme="minorHAnsi"/>
        </w:rPr>
        <w:t>(4), pp.333-358.</w:t>
      </w:r>
    </w:p>
    <w:p w14:paraId="3EF2CA47" w14:textId="77777777" w:rsidR="00E159D2" w:rsidRDefault="00E159D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D5742EB" w14:textId="4B420626" w:rsidR="04FC83EA" w:rsidRDefault="04FC83EA" w:rsidP="04FC83EA">
      <w:pPr>
        <w:spacing w:line="276" w:lineRule="auto"/>
      </w:pPr>
      <w:r w:rsidRPr="04FC83EA">
        <w:rPr>
          <w:rFonts w:ascii="Times New Roman" w:eastAsia="Times New Roman" w:hAnsi="Times New Roman" w:cs="Times New Roman"/>
          <w:b/>
          <w:bCs/>
          <w:sz w:val="24"/>
          <w:szCs w:val="24"/>
        </w:rPr>
        <w:lastRenderedPageBreak/>
        <w:t>Appendix A: Other variable definitions</w:t>
      </w:r>
    </w:p>
    <w:p w14:paraId="78CE7858" w14:textId="33EEFE57" w:rsidR="04FC83EA" w:rsidRDefault="04FC83EA" w:rsidP="04FC83EA">
      <w:pPr>
        <w:spacing w:line="276" w:lineRule="auto"/>
      </w:pPr>
      <w:r w:rsidRPr="04FC83EA">
        <w:rPr>
          <w:rFonts w:ascii="Times New Roman" w:eastAsia="Times New Roman" w:hAnsi="Times New Roman" w:cs="Times New Roman"/>
          <w:b/>
          <w:bCs/>
          <w:sz w:val="24"/>
          <w:szCs w:val="24"/>
        </w:rPr>
        <w:t xml:space="preserve"> </w:t>
      </w:r>
    </w:p>
    <w:p w14:paraId="42DA4C58" w14:textId="5F32A521" w:rsidR="04FC83EA" w:rsidRDefault="04FC83EA" w:rsidP="04FC83EA">
      <w:pPr>
        <w:spacing w:line="276" w:lineRule="auto"/>
      </w:pPr>
      <w:r w:rsidRPr="04FC83EA">
        <w:rPr>
          <w:rFonts w:ascii="Times New Roman" w:eastAsia="Times New Roman" w:hAnsi="Times New Roman" w:cs="Times New Roman"/>
          <w:b/>
          <w:bCs/>
          <w:sz w:val="24"/>
          <w:szCs w:val="24"/>
        </w:rPr>
        <w:t xml:space="preserve"> </w:t>
      </w:r>
    </w:p>
    <w:tbl>
      <w:tblPr>
        <w:tblW w:w="0" w:type="auto"/>
        <w:tblLayout w:type="fixed"/>
        <w:tblLook w:val="04A0" w:firstRow="1" w:lastRow="0" w:firstColumn="1" w:lastColumn="0" w:noHBand="0" w:noVBand="1"/>
      </w:tblPr>
      <w:tblGrid>
        <w:gridCol w:w="1424"/>
        <w:gridCol w:w="7591"/>
      </w:tblGrid>
      <w:tr w:rsidR="04FC83EA" w14:paraId="22174311" w14:textId="77777777" w:rsidTr="04FC83EA">
        <w:tc>
          <w:tcPr>
            <w:tcW w:w="1424" w:type="dxa"/>
            <w:vAlign w:val="center"/>
          </w:tcPr>
          <w:p w14:paraId="2F9FACE4" w14:textId="50976D60" w:rsidR="04FC83EA" w:rsidRDefault="04FC83EA" w:rsidP="04FC83EA">
            <w:pPr>
              <w:spacing w:line="276" w:lineRule="auto"/>
            </w:pPr>
            <w:r w:rsidRPr="04FC83EA">
              <w:rPr>
                <w:rFonts w:ascii="Times New Roman" w:eastAsia="Times New Roman" w:hAnsi="Times New Roman" w:cs="Times New Roman"/>
                <w:b/>
                <w:bCs/>
                <w:sz w:val="24"/>
                <w:szCs w:val="24"/>
              </w:rPr>
              <w:t xml:space="preserve">Variable </w:t>
            </w:r>
          </w:p>
        </w:tc>
        <w:tc>
          <w:tcPr>
            <w:tcW w:w="7591" w:type="dxa"/>
            <w:vAlign w:val="center"/>
          </w:tcPr>
          <w:p w14:paraId="40BE0B6E" w14:textId="099AD920" w:rsidR="04FC83EA" w:rsidRDefault="04FC83EA" w:rsidP="04FC83EA">
            <w:pPr>
              <w:spacing w:line="276" w:lineRule="auto"/>
            </w:pPr>
            <w:r w:rsidRPr="04FC83EA">
              <w:rPr>
                <w:rFonts w:ascii="Times New Roman" w:eastAsia="Times New Roman" w:hAnsi="Times New Roman" w:cs="Times New Roman"/>
                <w:b/>
                <w:bCs/>
                <w:sz w:val="24"/>
                <w:szCs w:val="24"/>
              </w:rPr>
              <w:t xml:space="preserve">Definition </w:t>
            </w:r>
          </w:p>
        </w:tc>
      </w:tr>
      <w:tr w:rsidR="04FC83EA" w14:paraId="5B1E7F4C" w14:textId="77777777" w:rsidTr="04FC83EA">
        <w:tc>
          <w:tcPr>
            <w:tcW w:w="1424" w:type="dxa"/>
            <w:vAlign w:val="center"/>
          </w:tcPr>
          <w:p w14:paraId="0E48612B" w14:textId="4DD75ED3" w:rsidR="04FC83EA" w:rsidRDefault="04FC83EA" w:rsidP="04FC83EA">
            <w:pPr>
              <w:spacing w:line="276" w:lineRule="auto"/>
            </w:pPr>
            <w:r w:rsidRPr="04FC83EA">
              <w:rPr>
                <w:rFonts w:ascii="Times New Roman" w:eastAsia="Times New Roman" w:hAnsi="Times New Roman" w:cs="Times New Roman"/>
                <w:sz w:val="24"/>
                <w:szCs w:val="24"/>
              </w:rPr>
              <w:t xml:space="preserve">amttot_berd </w:t>
            </w:r>
          </w:p>
        </w:tc>
        <w:tc>
          <w:tcPr>
            <w:tcW w:w="7591" w:type="dxa"/>
            <w:vAlign w:val="center"/>
          </w:tcPr>
          <w:p w14:paraId="42816FDC" w14:textId="06F77FCB" w:rsidR="04FC83EA" w:rsidRDefault="04FC83EA" w:rsidP="04FC83EA">
            <w:pPr>
              <w:spacing w:line="276" w:lineRule="auto"/>
            </w:pPr>
            <w:r w:rsidRPr="04FC83EA">
              <w:rPr>
                <w:rFonts w:ascii="Times New Roman" w:eastAsia="Times New Roman" w:hAnsi="Times New Roman" w:cs="Times New Roman"/>
                <w:sz w:val="24"/>
                <w:szCs w:val="24"/>
              </w:rPr>
              <w:t xml:space="preserve">The natural logarithm of one plus the dollar value (in thousands) of reported business expenditure on research and development [amttot_berd]. </w:t>
            </w:r>
          </w:p>
        </w:tc>
      </w:tr>
      <w:tr w:rsidR="04FC83EA" w14:paraId="44F9B07C" w14:textId="77777777" w:rsidTr="04FC83EA">
        <w:tc>
          <w:tcPr>
            <w:tcW w:w="1424" w:type="dxa"/>
            <w:vAlign w:val="center"/>
          </w:tcPr>
          <w:p w14:paraId="562A9820" w14:textId="00240BEE" w:rsidR="04FC83EA" w:rsidRDefault="04FC83EA" w:rsidP="04FC83EA">
            <w:pPr>
              <w:spacing w:line="276" w:lineRule="auto"/>
            </w:pPr>
            <w:r w:rsidRPr="04FC83EA">
              <w:rPr>
                <w:rFonts w:ascii="Times New Roman" w:eastAsia="Times New Roman" w:hAnsi="Times New Roman" w:cs="Times New Roman"/>
                <w:sz w:val="24"/>
                <w:szCs w:val="24"/>
              </w:rPr>
              <w:t xml:space="preserve">assets </w:t>
            </w:r>
          </w:p>
        </w:tc>
        <w:tc>
          <w:tcPr>
            <w:tcW w:w="7591" w:type="dxa"/>
            <w:vAlign w:val="center"/>
          </w:tcPr>
          <w:p w14:paraId="2A953751" w14:textId="77D54EC8" w:rsidR="04FC83EA" w:rsidRDefault="04FC83EA" w:rsidP="04FC83EA">
            <w:pPr>
              <w:spacing w:line="276" w:lineRule="auto"/>
            </w:pPr>
            <w:r w:rsidRPr="04FC83EA">
              <w:rPr>
                <w:rFonts w:ascii="Times New Roman" w:eastAsia="Times New Roman" w:hAnsi="Times New Roman" w:cs="Times New Roman"/>
                <w:sz w:val="24"/>
                <w:szCs w:val="24"/>
              </w:rPr>
              <w:t xml:space="preserve">The natural logarithm of one plus the dollar value (in thousands) of total assets [c_totlasst]. </w:t>
            </w:r>
          </w:p>
        </w:tc>
      </w:tr>
      <w:tr w:rsidR="04FC83EA" w14:paraId="72D074DA" w14:textId="77777777" w:rsidTr="04FC83EA">
        <w:tc>
          <w:tcPr>
            <w:tcW w:w="1424" w:type="dxa"/>
            <w:vAlign w:val="center"/>
          </w:tcPr>
          <w:p w14:paraId="384A4626" w14:textId="6D98C07C" w:rsidR="04FC83EA" w:rsidRDefault="04FC83EA" w:rsidP="04FC83EA">
            <w:pPr>
              <w:spacing w:line="276" w:lineRule="auto"/>
            </w:pPr>
            <w:r w:rsidRPr="04FC83EA">
              <w:rPr>
                <w:rFonts w:ascii="Times New Roman" w:eastAsia="Times New Roman" w:hAnsi="Times New Roman" w:cs="Times New Roman"/>
                <w:sz w:val="24"/>
                <w:szCs w:val="24"/>
              </w:rPr>
              <w:t xml:space="preserve">govt_subsidies </w:t>
            </w:r>
          </w:p>
        </w:tc>
        <w:tc>
          <w:tcPr>
            <w:tcW w:w="7591" w:type="dxa"/>
            <w:vAlign w:val="center"/>
          </w:tcPr>
          <w:p w14:paraId="587E01F3" w14:textId="7F08375A" w:rsidR="04FC83EA" w:rsidRDefault="04FC83EA" w:rsidP="04FC83EA">
            <w:pPr>
              <w:spacing w:line="276" w:lineRule="auto"/>
            </w:pPr>
            <w:r w:rsidRPr="04FC83EA">
              <w:rPr>
                <w:rFonts w:ascii="Times New Roman" w:eastAsia="Times New Roman" w:hAnsi="Times New Roman" w:cs="Times New Roman"/>
                <w:sz w:val="24"/>
                <w:szCs w:val="24"/>
              </w:rPr>
              <w:t xml:space="preserve">The natural logarithm of one plus the dollar value (in thousands) received from the Commonwealth and State and Local governments [scecom_berd &amp; scesal_berd; missing replaced with 0]. </w:t>
            </w:r>
          </w:p>
        </w:tc>
      </w:tr>
      <w:tr w:rsidR="04FC83EA" w14:paraId="4881DFFD" w14:textId="77777777" w:rsidTr="04FC83EA">
        <w:tc>
          <w:tcPr>
            <w:tcW w:w="1424" w:type="dxa"/>
            <w:vAlign w:val="center"/>
          </w:tcPr>
          <w:p w14:paraId="5B2C1726" w14:textId="11972D22" w:rsidR="04FC83EA" w:rsidRDefault="04FC83EA" w:rsidP="04FC83EA">
            <w:pPr>
              <w:spacing w:line="276" w:lineRule="auto"/>
            </w:pPr>
            <w:r w:rsidRPr="04FC83EA">
              <w:rPr>
                <w:rFonts w:ascii="Times New Roman" w:eastAsia="Times New Roman" w:hAnsi="Times New Roman" w:cs="Times New Roman"/>
                <w:sz w:val="24"/>
                <w:szCs w:val="24"/>
              </w:rPr>
              <w:t xml:space="preserve">hcnt </w:t>
            </w:r>
          </w:p>
        </w:tc>
        <w:tc>
          <w:tcPr>
            <w:tcW w:w="7591" w:type="dxa"/>
            <w:vAlign w:val="center"/>
          </w:tcPr>
          <w:p w14:paraId="45A932CE" w14:textId="48F5D957" w:rsidR="04FC83EA" w:rsidRDefault="04FC83EA" w:rsidP="04FC83EA">
            <w:pPr>
              <w:spacing w:line="276" w:lineRule="auto"/>
            </w:pPr>
            <w:r w:rsidRPr="04FC83EA">
              <w:rPr>
                <w:rFonts w:ascii="Times New Roman" w:eastAsia="Times New Roman" w:hAnsi="Times New Roman" w:cs="Times New Roman"/>
                <w:sz w:val="24"/>
                <w:szCs w:val="24"/>
              </w:rPr>
              <w:t xml:space="preserve">The natural logarithm of the number of staff employed [hcnt]. </w:t>
            </w:r>
          </w:p>
        </w:tc>
      </w:tr>
      <w:tr w:rsidR="04FC83EA" w14:paraId="5E35DEC9" w14:textId="77777777" w:rsidTr="04FC83EA">
        <w:tc>
          <w:tcPr>
            <w:tcW w:w="1424" w:type="dxa"/>
            <w:vAlign w:val="center"/>
          </w:tcPr>
          <w:p w14:paraId="1C195716" w14:textId="7E8D0757" w:rsidR="04FC83EA" w:rsidRDefault="04FC83EA" w:rsidP="04FC83EA">
            <w:pPr>
              <w:spacing w:line="276" w:lineRule="auto"/>
            </w:pPr>
            <w:r w:rsidRPr="04FC83EA">
              <w:rPr>
                <w:rFonts w:ascii="Times New Roman" w:eastAsia="Times New Roman" w:hAnsi="Times New Roman" w:cs="Times New Roman"/>
                <w:sz w:val="24"/>
                <w:szCs w:val="24"/>
              </w:rPr>
              <w:t xml:space="preserve">loss </w:t>
            </w:r>
          </w:p>
        </w:tc>
        <w:tc>
          <w:tcPr>
            <w:tcW w:w="7591" w:type="dxa"/>
            <w:vAlign w:val="center"/>
          </w:tcPr>
          <w:p w14:paraId="411EF24D" w14:textId="7963F3B3" w:rsidR="04FC83EA" w:rsidRDefault="04FC83EA" w:rsidP="04FC83EA">
            <w:pPr>
              <w:spacing w:line="276" w:lineRule="auto"/>
            </w:pPr>
            <w:r w:rsidRPr="04FC83EA">
              <w:rPr>
                <w:rFonts w:ascii="Times New Roman" w:eastAsia="Times New Roman" w:hAnsi="Times New Roman" w:cs="Times New Roman"/>
                <w:sz w:val="24"/>
                <w:szCs w:val="24"/>
              </w:rPr>
              <w:t xml:space="preserve">Binary indicator variable equal to one for companies with ROA &lt; 0 and zero otherwise. </w:t>
            </w:r>
          </w:p>
        </w:tc>
      </w:tr>
      <w:tr w:rsidR="04FC83EA" w14:paraId="04E70725" w14:textId="77777777" w:rsidTr="04FC83EA">
        <w:tc>
          <w:tcPr>
            <w:tcW w:w="1424" w:type="dxa"/>
            <w:vAlign w:val="center"/>
          </w:tcPr>
          <w:p w14:paraId="47283908" w14:textId="4FAAC02F" w:rsidR="04FC83EA" w:rsidRDefault="04FC83EA" w:rsidP="04FC83EA">
            <w:pPr>
              <w:spacing w:line="276" w:lineRule="auto"/>
            </w:pPr>
            <w:r w:rsidRPr="04FC83EA">
              <w:rPr>
                <w:rFonts w:ascii="Times New Roman" w:eastAsia="Times New Roman" w:hAnsi="Times New Roman" w:cs="Times New Roman"/>
                <w:sz w:val="24"/>
                <w:szCs w:val="24"/>
              </w:rPr>
              <w:t xml:space="preserve">p_certified </w:t>
            </w:r>
          </w:p>
        </w:tc>
        <w:tc>
          <w:tcPr>
            <w:tcW w:w="7591" w:type="dxa"/>
            <w:vAlign w:val="center"/>
          </w:tcPr>
          <w:p w14:paraId="27DD45F5" w14:textId="317CDF4F" w:rsidR="04FC83EA" w:rsidRDefault="04FC83EA" w:rsidP="04FC83EA">
            <w:pPr>
              <w:spacing w:line="276" w:lineRule="auto"/>
            </w:pPr>
            <w:r w:rsidRPr="04FC83EA">
              <w:rPr>
                <w:rFonts w:ascii="Times New Roman" w:eastAsia="Times New Roman" w:hAnsi="Times New Roman" w:cs="Times New Roman"/>
                <w:sz w:val="24"/>
                <w:szCs w:val="24"/>
              </w:rPr>
              <w:t xml:space="preserve">The natural logarithm of the number of patents certified during the year [p_certified]. </w:t>
            </w:r>
          </w:p>
        </w:tc>
      </w:tr>
      <w:tr w:rsidR="04FC83EA" w14:paraId="2BFA10E2" w14:textId="77777777" w:rsidTr="04FC83EA">
        <w:tc>
          <w:tcPr>
            <w:tcW w:w="1424" w:type="dxa"/>
            <w:vAlign w:val="center"/>
          </w:tcPr>
          <w:p w14:paraId="19AD8AB7" w14:textId="15B46B06" w:rsidR="04FC83EA" w:rsidRDefault="04FC83EA" w:rsidP="04FC83EA">
            <w:pPr>
              <w:spacing w:line="276" w:lineRule="auto"/>
            </w:pPr>
            <w:r w:rsidRPr="04FC83EA">
              <w:rPr>
                <w:rFonts w:ascii="Times New Roman" w:eastAsia="Times New Roman" w:hAnsi="Times New Roman" w:cs="Times New Roman"/>
                <w:sz w:val="24"/>
                <w:szCs w:val="24"/>
              </w:rPr>
              <w:t xml:space="preserve">p_filed </w:t>
            </w:r>
          </w:p>
        </w:tc>
        <w:tc>
          <w:tcPr>
            <w:tcW w:w="7591" w:type="dxa"/>
            <w:vAlign w:val="center"/>
          </w:tcPr>
          <w:p w14:paraId="0752EFFE" w14:textId="3156A869" w:rsidR="04FC83EA" w:rsidRDefault="04FC83EA" w:rsidP="04FC83EA">
            <w:pPr>
              <w:spacing w:line="276" w:lineRule="auto"/>
            </w:pPr>
            <w:r w:rsidRPr="04FC83EA">
              <w:rPr>
                <w:rFonts w:ascii="Times New Roman" w:eastAsia="Times New Roman" w:hAnsi="Times New Roman" w:cs="Times New Roman"/>
                <w:sz w:val="24"/>
                <w:szCs w:val="24"/>
              </w:rPr>
              <w:t xml:space="preserve">The natural logarithm of the number of patents applied for during the year [p_filed] </w:t>
            </w:r>
          </w:p>
        </w:tc>
      </w:tr>
      <w:tr w:rsidR="04FC83EA" w14:paraId="4C375BC6" w14:textId="77777777" w:rsidTr="04FC83EA">
        <w:tc>
          <w:tcPr>
            <w:tcW w:w="1424" w:type="dxa"/>
            <w:vAlign w:val="center"/>
          </w:tcPr>
          <w:p w14:paraId="4FCFD535" w14:textId="0325164F" w:rsidR="04FC83EA" w:rsidRDefault="04FC83EA" w:rsidP="04FC83EA">
            <w:pPr>
              <w:spacing w:line="276" w:lineRule="auto"/>
            </w:pPr>
            <w:r w:rsidRPr="04FC83EA">
              <w:rPr>
                <w:rFonts w:ascii="Times New Roman" w:eastAsia="Times New Roman" w:hAnsi="Times New Roman" w:cs="Times New Roman"/>
                <w:sz w:val="24"/>
                <w:szCs w:val="24"/>
              </w:rPr>
              <w:t xml:space="preserve">post </w:t>
            </w:r>
          </w:p>
        </w:tc>
        <w:tc>
          <w:tcPr>
            <w:tcW w:w="7591" w:type="dxa"/>
            <w:vAlign w:val="center"/>
          </w:tcPr>
          <w:p w14:paraId="1CDFBA72" w14:textId="669C7CAF" w:rsidR="04FC83EA" w:rsidRDefault="04FC83EA" w:rsidP="04FC83EA">
            <w:pPr>
              <w:spacing w:line="276" w:lineRule="auto"/>
            </w:pPr>
            <w:r w:rsidRPr="04FC83EA">
              <w:rPr>
                <w:rFonts w:ascii="Times New Roman" w:eastAsia="Times New Roman" w:hAnsi="Times New Roman" w:cs="Times New Roman"/>
                <w:sz w:val="24"/>
                <w:szCs w:val="24"/>
              </w:rPr>
              <w:t xml:space="preserve">Binary indicator variable equal to one for the years 2012 and beyond, and zero otherwise. </w:t>
            </w:r>
          </w:p>
        </w:tc>
      </w:tr>
      <w:tr w:rsidR="04FC83EA" w14:paraId="74BAD827" w14:textId="77777777" w:rsidTr="04FC83EA">
        <w:tc>
          <w:tcPr>
            <w:tcW w:w="1424" w:type="dxa"/>
            <w:vAlign w:val="center"/>
          </w:tcPr>
          <w:p w14:paraId="47584573" w14:textId="2F536C44" w:rsidR="04FC83EA" w:rsidRDefault="04FC83EA" w:rsidP="04FC83EA">
            <w:pPr>
              <w:spacing w:line="276" w:lineRule="auto"/>
            </w:pPr>
            <w:r w:rsidRPr="04FC83EA">
              <w:rPr>
                <w:rFonts w:ascii="Times New Roman" w:eastAsia="Times New Roman" w:hAnsi="Times New Roman" w:cs="Times New Roman"/>
                <w:sz w:val="24"/>
                <w:szCs w:val="24"/>
              </w:rPr>
              <w:t xml:space="preserve">revenue </w:t>
            </w:r>
          </w:p>
        </w:tc>
        <w:tc>
          <w:tcPr>
            <w:tcW w:w="7591" w:type="dxa"/>
            <w:vAlign w:val="center"/>
          </w:tcPr>
          <w:p w14:paraId="759D0E79" w14:textId="40D50263" w:rsidR="04FC83EA" w:rsidRDefault="04FC83EA" w:rsidP="04FC83EA">
            <w:pPr>
              <w:spacing w:line="276" w:lineRule="auto"/>
            </w:pPr>
            <w:r w:rsidRPr="04FC83EA">
              <w:rPr>
                <w:rFonts w:ascii="Times New Roman" w:eastAsia="Times New Roman" w:hAnsi="Times New Roman" w:cs="Times New Roman"/>
                <w:sz w:val="24"/>
                <w:szCs w:val="24"/>
              </w:rPr>
              <w:t xml:space="preserve">The natural logarithm of one plus the dollar value (in thousands) of total revenue [c_totlinc; turnover; d_inctotal_eas] </w:t>
            </w:r>
          </w:p>
        </w:tc>
      </w:tr>
      <w:tr w:rsidR="04FC83EA" w14:paraId="35DEB11B" w14:textId="77777777" w:rsidTr="04FC83EA">
        <w:tc>
          <w:tcPr>
            <w:tcW w:w="1424" w:type="dxa"/>
            <w:vAlign w:val="center"/>
          </w:tcPr>
          <w:p w14:paraId="5F8DAFE9" w14:textId="38108027" w:rsidR="04FC83EA" w:rsidRDefault="04FC83EA" w:rsidP="04FC83EA">
            <w:pPr>
              <w:spacing w:line="276" w:lineRule="auto"/>
            </w:pPr>
            <w:r w:rsidRPr="04FC83EA">
              <w:rPr>
                <w:rFonts w:ascii="Times New Roman" w:eastAsia="Times New Roman" w:hAnsi="Times New Roman" w:cs="Times New Roman"/>
                <w:sz w:val="24"/>
                <w:szCs w:val="24"/>
              </w:rPr>
              <w:t xml:space="preserve">roa </w:t>
            </w:r>
          </w:p>
        </w:tc>
        <w:tc>
          <w:tcPr>
            <w:tcW w:w="7591" w:type="dxa"/>
            <w:vAlign w:val="center"/>
          </w:tcPr>
          <w:p w14:paraId="11278BD5" w14:textId="272BC5EE" w:rsidR="04FC83EA" w:rsidRDefault="04FC83EA" w:rsidP="04FC83EA">
            <w:pPr>
              <w:spacing w:line="276" w:lineRule="auto"/>
            </w:pPr>
            <w:r w:rsidRPr="04FC83EA">
              <w:rPr>
                <w:rFonts w:ascii="Times New Roman" w:eastAsia="Times New Roman" w:hAnsi="Times New Roman" w:cs="Times New Roman"/>
                <w:sz w:val="24"/>
                <w:szCs w:val="24"/>
              </w:rPr>
              <w:t xml:space="preserve">The ratio total profit [c_toprolos] divided by total assets [c_totlasst]. </w:t>
            </w:r>
          </w:p>
        </w:tc>
      </w:tr>
      <w:tr w:rsidR="04FC83EA" w14:paraId="595E9130" w14:textId="77777777" w:rsidTr="04FC83EA">
        <w:tc>
          <w:tcPr>
            <w:tcW w:w="1424" w:type="dxa"/>
            <w:vAlign w:val="center"/>
          </w:tcPr>
          <w:p w14:paraId="32EAF280" w14:textId="322DEFD3" w:rsidR="04FC83EA" w:rsidRDefault="04FC83EA" w:rsidP="04FC83EA">
            <w:pPr>
              <w:spacing w:line="276" w:lineRule="auto"/>
            </w:pPr>
            <w:r w:rsidRPr="04FC83EA">
              <w:rPr>
                <w:rFonts w:ascii="Times New Roman" w:eastAsia="Times New Roman" w:hAnsi="Times New Roman" w:cs="Times New Roman"/>
                <w:sz w:val="24"/>
                <w:szCs w:val="24"/>
              </w:rPr>
              <w:t xml:space="preserve">salary </w:t>
            </w:r>
          </w:p>
        </w:tc>
        <w:tc>
          <w:tcPr>
            <w:tcW w:w="7591" w:type="dxa"/>
            <w:vAlign w:val="center"/>
          </w:tcPr>
          <w:p w14:paraId="29B65755" w14:textId="64508988" w:rsidR="04FC83EA" w:rsidRDefault="04FC83EA" w:rsidP="04FC83EA">
            <w:pPr>
              <w:spacing w:line="276" w:lineRule="auto"/>
            </w:pPr>
            <w:r w:rsidRPr="04FC83EA">
              <w:rPr>
                <w:rFonts w:ascii="Times New Roman" w:eastAsia="Times New Roman" w:hAnsi="Times New Roman" w:cs="Times New Roman"/>
                <w:sz w:val="24"/>
                <w:szCs w:val="24"/>
              </w:rPr>
              <w:t xml:space="preserve">The natural logarithm of one plus the dollar vale (in thousands) of salaries and wages paid during the year [wage]. </w:t>
            </w:r>
          </w:p>
        </w:tc>
      </w:tr>
      <w:tr w:rsidR="04FC83EA" w14:paraId="56FD67D1" w14:textId="77777777" w:rsidTr="04FC83EA">
        <w:tc>
          <w:tcPr>
            <w:tcW w:w="1424" w:type="dxa"/>
            <w:vAlign w:val="center"/>
          </w:tcPr>
          <w:p w14:paraId="64C0CE57" w14:textId="22935F2A" w:rsidR="04FC83EA" w:rsidRDefault="04FC83EA" w:rsidP="04FC83EA">
            <w:pPr>
              <w:spacing w:line="276" w:lineRule="auto"/>
            </w:pPr>
            <w:r w:rsidRPr="04FC83EA">
              <w:rPr>
                <w:rFonts w:ascii="Times New Roman" w:eastAsia="Times New Roman" w:hAnsi="Times New Roman" w:cs="Times New Roman"/>
                <w:sz w:val="24"/>
                <w:szCs w:val="24"/>
              </w:rPr>
              <w:t>taxoffset</w:t>
            </w:r>
          </w:p>
        </w:tc>
        <w:tc>
          <w:tcPr>
            <w:tcW w:w="7591" w:type="dxa"/>
            <w:vAlign w:val="center"/>
          </w:tcPr>
          <w:p w14:paraId="20339046" w14:textId="7B173842" w:rsidR="04FC83EA" w:rsidRDefault="04FC83EA" w:rsidP="04FC83EA">
            <w:pPr>
              <w:spacing w:line="276" w:lineRule="auto"/>
            </w:pPr>
            <w:r w:rsidRPr="04FC83EA">
              <w:rPr>
                <w:rFonts w:ascii="Times New Roman" w:eastAsia="Times New Roman" w:hAnsi="Times New Roman" w:cs="Times New Roman"/>
                <w:sz w:val="24"/>
                <w:szCs w:val="24"/>
              </w:rPr>
              <w:t>An indicator variable equal to one for years where a company claims tax deductions/offsets for R&amp;D expenditure, and zero otherwise.</w:t>
            </w:r>
          </w:p>
        </w:tc>
      </w:tr>
    </w:tbl>
    <w:p w14:paraId="756A15B4" w14:textId="540F743C" w:rsidR="04FC83EA" w:rsidRDefault="04FC83EA" w:rsidP="04FC83EA">
      <w:pPr>
        <w:spacing w:line="276" w:lineRule="auto"/>
      </w:pPr>
      <w:r w:rsidRPr="04FC83EA">
        <w:rPr>
          <w:rFonts w:ascii="Times New Roman" w:eastAsia="Times New Roman" w:hAnsi="Times New Roman" w:cs="Times New Roman"/>
          <w:sz w:val="24"/>
          <w:szCs w:val="24"/>
          <w:lang w:val="en-US"/>
        </w:rPr>
        <w:t xml:space="preserve"> </w:t>
      </w:r>
    </w:p>
    <w:p w14:paraId="0D200D33" w14:textId="60C94E27" w:rsidR="04FC83EA" w:rsidRDefault="04FC83EA" w:rsidP="04FC83EA">
      <w:pPr>
        <w:spacing w:line="276" w:lineRule="auto"/>
      </w:pPr>
      <w:r w:rsidRPr="04FC83EA">
        <w:rPr>
          <w:rFonts w:ascii="Times New Roman" w:eastAsia="Times New Roman" w:hAnsi="Times New Roman" w:cs="Times New Roman"/>
          <w:b/>
          <w:bCs/>
          <w:sz w:val="24"/>
          <w:szCs w:val="24"/>
        </w:rPr>
        <w:t xml:space="preserve"> </w:t>
      </w:r>
    </w:p>
    <w:p w14:paraId="240DDC71" w14:textId="156E6703" w:rsidR="04FC83EA" w:rsidRDefault="04FC83EA">
      <w:r>
        <w:br/>
      </w:r>
      <w:r>
        <w:br/>
      </w:r>
    </w:p>
    <w:p w14:paraId="41D163BA" w14:textId="28C5CE11" w:rsidR="6438259E" w:rsidRDefault="6438259E" w:rsidP="6438259E">
      <w:pPr>
        <w:spacing w:after="0" w:line="360" w:lineRule="auto"/>
        <w:rPr>
          <w:b/>
          <w:bCs/>
        </w:rPr>
      </w:pPr>
    </w:p>
    <w:p w14:paraId="456AA266" w14:textId="5CADF801" w:rsidR="6438259E" w:rsidRDefault="6438259E" w:rsidP="6438259E">
      <w:pPr>
        <w:spacing w:after="0" w:line="360" w:lineRule="auto"/>
        <w:rPr>
          <w:b/>
          <w:bCs/>
        </w:rPr>
      </w:pPr>
    </w:p>
    <w:sectPr w:rsidR="6438259E">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327F" w14:textId="77777777" w:rsidR="00986518" w:rsidRDefault="00986518" w:rsidP="0012570F">
      <w:pPr>
        <w:spacing w:after="0" w:line="240" w:lineRule="auto"/>
      </w:pPr>
      <w:r>
        <w:separator/>
      </w:r>
    </w:p>
  </w:endnote>
  <w:endnote w:type="continuationSeparator" w:id="0">
    <w:p w14:paraId="40916264" w14:textId="77777777" w:rsidR="00986518" w:rsidRDefault="00986518" w:rsidP="0012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Futura-Bold">
    <w:charset w:val="00"/>
    <w:family w:val="auto"/>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F270" w14:textId="77777777" w:rsidR="00986518" w:rsidRDefault="00986518" w:rsidP="0012570F">
      <w:pPr>
        <w:spacing w:after="0" w:line="240" w:lineRule="auto"/>
      </w:pPr>
      <w:r>
        <w:separator/>
      </w:r>
    </w:p>
  </w:footnote>
  <w:footnote w:type="continuationSeparator" w:id="0">
    <w:p w14:paraId="613292AC" w14:textId="77777777" w:rsidR="00986518" w:rsidRDefault="00986518" w:rsidP="0012570F">
      <w:pPr>
        <w:spacing w:after="0" w:line="240" w:lineRule="auto"/>
      </w:pPr>
      <w:r>
        <w:continuationSeparator/>
      </w:r>
    </w:p>
  </w:footnote>
  <w:footnote w:id="1">
    <w:p w14:paraId="4FF4B44B" w14:textId="77777777" w:rsidR="00BE6F34" w:rsidRDefault="00BE6F34" w:rsidP="00BE6F34">
      <w:pPr>
        <w:pStyle w:val="FootnoteText"/>
      </w:pPr>
      <w:r>
        <w:rPr>
          <w:rStyle w:val="FootnoteReference"/>
        </w:rPr>
        <w:footnoteRef/>
      </w:r>
      <w:hyperlink r:id="rId1" w:history="1">
        <w:r w:rsidRPr="00AA4C27">
          <w:rPr>
            <w:rStyle w:val="Hyperlink"/>
          </w:rPr>
          <w:t>https://todayspaper.smedia.com.au/afr/shared/ShowArticle.aspx?doc=AFR%2F2021%2F03%2F18&amp;entity=Ar01303&amp;sk=431F20EE&amp;mode=text</w:t>
        </w:r>
      </w:hyperlink>
    </w:p>
    <w:p w14:paraId="79B58679" w14:textId="77777777" w:rsidR="00BE6F34" w:rsidRDefault="00BE6F34" w:rsidP="00BE6F34">
      <w:pPr>
        <w:pStyle w:val="FootnoteText"/>
      </w:pPr>
    </w:p>
    <w:p w14:paraId="43F4B902" w14:textId="77777777" w:rsidR="00BE6F34" w:rsidRDefault="00BE6F34" w:rsidP="00BE6F34">
      <w:pPr>
        <w:pStyle w:val="FootnoteText"/>
      </w:pPr>
    </w:p>
  </w:footnote>
  <w:footnote w:id="2">
    <w:p w14:paraId="380B5BC8" w14:textId="77777777" w:rsidR="00BE6F34" w:rsidRDefault="00BE6F34" w:rsidP="00BE6F34">
      <w:pPr>
        <w:pStyle w:val="FootnoteText"/>
      </w:pPr>
      <w:r w:rsidRPr="04FC83EA">
        <w:rPr>
          <w:rStyle w:val="FootnoteReference"/>
        </w:rPr>
        <w:footnoteRef/>
      </w:r>
      <w:r>
        <w:t xml:space="preserve"> Paul Krugman 1994, The Age of Diminishing Expectations.</w:t>
      </w:r>
    </w:p>
  </w:footnote>
  <w:footnote w:id="3">
    <w:p w14:paraId="265764BE" w14:textId="427B1E75" w:rsidR="04FC83EA" w:rsidRPr="003558E2" w:rsidRDefault="04FC83EA" w:rsidP="04FC83EA">
      <w:pPr>
        <w:pStyle w:val="FootnoteText"/>
        <w:rPr>
          <w:rFonts w:eastAsia="Times New Roman" w:cstheme="minorHAnsi"/>
        </w:rPr>
      </w:pPr>
      <w:r w:rsidRPr="003558E2">
        <w:rPr>
          <w:rStyle w:val="FootnoteReference"/>
          <w:rFonts w:cstheme="minorHAnsi"/>
        </w:rPr>
        <w:footnoteRef/>
      </w:r>
      <w:r w:rsidRPr="003558E2">
        <w:rPr>
          <w:rFonts w:cstheme="minorHAnsi"/>
        </w:rPr>
        <w:t xml:space="preserve"> </w:t>
      </w:r>
      <w:r w:rsidRPr="003558E2">
        <w:rPr>
          <w:rFonts w:eastAsia="Times New Roman" w:cstheme="minorHAnsi"/>
        </w:rPr>
        <w:t>The Australian Bureau of Statistics (ABS) defines size of a business entity by number of employees. Accordingly, micro-businesses employ up to 4 persons, small businesses between 5 to 20 employees, and medium size businesses between 21 and 199 employees.</w:t>
      </w:r>
    </w:p>
  </w:footnote>
  <w:footnote w:id="4">
    <w:p w14:paraId="49DAE201" w14:textId="349C0269" w:rsidR="00710F10" w:rsidRDefault="00710F10" w:rsidP="0016779F">
      <w:pPr>
        <w:pStyle w:val="FootnoteText"/>
      </w:pPr>
      <w:r>
        <w:rPr>
          <w:rStyle w:val="FootnoteReference"/>
        </w:rPr>
        <w:footnoteRef/>
      </w:r>
      <w:r>
        <w:t>T</w:t>
      </w:r>
      <w:r w:rsidRPr="00710F10">
        <w:t>he results outlined in this report are based on</w:t>
      </w:r>
      <w:r w:rsidR="008E3B75">
        <w:t xml:space="preserve"> longitudinal </w:t>
      </w:r>
      <w:r w:rsidRPr="00710F10">
        <w:t xml:space="preserve">firm-level </w:t>
      </w:r>
      <w:r>
        <w:t xml:space="preserve">data </w:t>
      </w:r>
      <w:r w:rsidRPr="00710F10">
        <w:t>estimate</w:t>
      </w:r>
      <w:r w:rsidR="00011913">
        <w:t>s</w:t>
      </w:r>
      <w:r w:rsidRPr="00710F10">
        <w:t xml:space="preserve"> </w:t>
      </w:r>
      <w:r>
        <w:t>using</w:t>
      </w:r>
      <w:r w:rsidRPr="00710F10">
        <w:t xml:space="preserve"> a stochastic frontier model</w:t>
      </w:r>
      <w:r>
        <w:t xml:space="preserve"> that includes </w:t>
      </w:r>
      <w:r w:rsidR="008E3B75" w:rsidRPr="008E3B75">
        <w:t>capital expenditure, labour, a measure of human capital skills</w:t>
      </w:r>
      <w:r w:rsidR="008E3B75">
        <w:t xml:space="preserve"> </w:t>
      </w:r>
      <w:r w:rsidR="008E3B75" w:rsidRPr="008E3B75">
        <w:t xml:space="preserve">and R &amp;D expenditure </w:t>
      </w:r>
      <w:r w:rsidR="008E3B75">
        <w:t>as</w:t>
      </w:r>
      <w:r w:rsidR="008E3B75" w:rsidRPr="008E3B75">
        <w:t xml:space="preserve"> inputs for each firm</w:t>
      </w:r>
      <w:r w:rsidR="008E3B75">
        <w:t xml:space="preserve"> </w:t>
      </w:r>
      <w:r w:rsidR="008E3B75" w:rsidRPr="008E3B75">
        <w:t>within its respective industry between 2006 and 2018</w:t>
      </w:r>
      <w:r w:rsidR="008E3B75">
        <w:t xml:space="preserve">, whereas Cowling and Tanewski (2019) use </w:t>
      </w:r>
      <w:r w:rsidR="0016779F">
        <w:t>cross-sectional aggregated data grouped by 380 classes of firm for the 2014–15 financial year.</w:t>
      </w:r>
      <w:r w:rsidR="008E3B75">
        <w:t xml:space="preserve"> </w:t>
      </w:r>
    </w:p>
  </w:footnote>
  <w:footnote w:id="5">
    <w:p w14:paraId="4EFC29FE" w14:textId="0E638ED2" w:rsidR="000D19CA" w:rsidRPr="000D19CA" w:rsidRDefault="000D19CA">
      <w:pPr>
        <w:pStyle w:val="FootnoteText"/>
        <w:rPr>
          <w:rFonts w:cstheme="minorHAnsi"/>
        </w:rPr>
      </w:pPr>
      <w:r w:rsidRPr="000D19CA">
        <w:rPr>
          <w:rStyle w:val="FootnoteReference"/>
        </w:rPr>
        <w:footnoteRef/>
      </w:r>
      <w:r w:rsidRPr="000D19CA">
        <w:t xml:space="preserve"> </w:t>
      </w:r>
      <w:r w:rsidRPr="000D19CA">
        <w:rPr>
          <w:rFonts w:eastAsia="Times New Roman" w:cstheme="minorHAnsi"/>
        </w:rPr>
        <w:t xml:space="preserve">We also note recent evidence that strongly supports investment in collaboration. Recent reviews have attempted to quantify these benefits. A review by Universities Australia (2020) suggests a return of $4.47 per dollar invested in collaboration. Similarly, the Department of Education’s </w:t>
      </w:r>
      <w:r w:rsidRPr="000D19CA">
        <w:rPr>
          <w:rFonts w:eastAsia="Times New Roman" w:cstheme="minorHAnsi"/>
          <w:i/>
          <w:iCs/>
        </w:rPr>
        <w:t>Review of Research Policy and Funding Arrangements</w:t>
      </w:r>
      <w:r w:rsidRPr="000D19CA">
        <w:rPr>
          <w:rFonts w:eastAsia="Times New Roman" w:cstheme="minorHAnsi"/>
        </w:rPr>
        <w:t xml:space="preserve"> (2015) suggests that businesses may increase efficiency from engaging in collaborative research, relative to uncollaborative research, by a factor of three.</w:t>
      </w:r>
    </w:p>
  </w:footnote>
  <w:footnote w:id="6">
    <w:p w14:paraId="303AE141" w14:textId="69892806" w:rsidR="000D19CA" w:rsidRPr="000D19CA" w:rsidRDefault="000D19CA">
      <w:pPr>
        <w:pStyle w:val="FootnoteText"/>
      </w:pPr>
      <w:r w:rsidRPr="000D19CA">
        <w:rPr>
          <w:rStyle w:val="FootnoteReference"/>
        </w:rPr>
        <w:footnoteRef/>
      </w:r>
      <w:r w:rsidRPr="000D19CA">
        <w:t xml:space="preserve"> There are several policies that may provide effective at enhancing this form of collaboration. Through the taxation system, the R&amp;DTI can be amended to include a premium for research collaboration with Australian publicly-funded research institutions. This approach has been considered and supported by recent reviews of the Australian R&amp;D ecosystem (Ferris et al. 2016; Tanewski et al., 2021). More directly, the Government may provide collaboration vouchers to businesses, both subsidising research activities and requiring collaboration with research institutions (Tanewski et al., 2021). In foreign jurisdictions, these vouchers have been shown to be highly effective (Cornet et al. 2006, SQW, 2019; Sala et al., 2016; Bravo-Biosca, 2020; Roelandt and van der Wiel,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0AF1" w14:textId="3B892835" w:rsidR="008C56CD" w:rsidRPr="008C56CD" w:rsidRDefault="008C56CD" w:rsidP="008C56CD">
    <w:pPr>
      <w:pStyle w:val="Header"/>
      <w:pBdr>
        <w:bottom w:val="single" w:sz="4" w:space="1" w:color="D9D9D9" w:themeColor="background1" w:themeShade="D9"/>
      </w:pBdr>
      <w:rPr>
        <w:rFonts w:ascii="Calibri Light" w:hAnsi="Calibri Light" w:cs="Calibri Light"/>
        <w:b/>
        <w:bCs/>
        <w:i/>
        <w:iCs/>
        <w:sz w:val="18"/>
        <w:szCs w:val="18"/>
      </w:rPr>
    </w:pPr>
    <w:r w:rsidRPr="008C56CD">
      <w:rPr>
        <w:rFonts w:ascii="Calibri Light" w:hAnsi="Calibri Light" w:cs="Calibri Light"/>
        <w:i/>
        <w:iCs/>
        <w:color w:val="7F7F7F" w:themeColor="background1" w:themeShade="7F"/>
        <w:spacing w:val="60"/>
        <w:sz w:val="18"/>
        <w:szCs w:val="18"/>
      </w:rPr>
      <w:t xml:space="preserve">Productivity Commission Submission </w:t>
    </w:r>
    <w:r w:rsidRPr="008C56CD">
      <w:rPr>
        <w:rFonts w:ascii="Calibri Light" w:hAnsi="Calibri Light" w:cs="Calibri Light"/>
        <w:i/>
        <w:iCs/>
        <w:color w:val="7F7F7F" w:themeColor="background1" w:themeShade="7F"/>
        <w:spacing w:val="60"/>
        <w:sz w:val="18"/>
        <w:szCs w:val="18"/>
      </w:rPr>
      <w:tab/>
    </w:r>
    <w:sdt>
      <w:sdtPr>
        <w:rPr>
          <w:rFonts w:ascii="Calibri Light" w:hAnsi="Calibri Light" w:cs="Calibri Light"/>
          <w:i/>
          <w:iCs/>
          <w:color w:val="7F7F7F" w:themeColor="background1" w:themeShade="7F"/>
          <w:spacing w:val="60"/>
          <w:sz w:val="18"/>
          <w:szCs w:val="18"/>
        </w:rPr>
        <w:id w:val="1302723617"/>
        <w:docPartObj>
          <w:docPartGallery w:val="Page Numbers (Top of Page)"/>
          <w:docPartUnique/>
        </w:docPartObj>
      </w:sdtPr>
      <w:sdtEndPr>
        <w:rPr>
          <w:b/>
          <w:bCs/>
          <w:noProof/>
          <w:color w:val="auto"/>
          <w:spacing w:val="0"/>
        </w:rPr>
      </w:sdtEndPr>
      <w:sdtContent>
        <w:r w:rsidRPr="008C56CD">
          <w:rPr>
            <w:rFonts w:ascii="Calibri Light" w:hAnsi="Calibri Light" w:cs="Calibri Light"/>
            <w:i/>
            <w:iCs/>
            <w:color w:val="7F7F7F" w:themeColor="background1" w:themeShade="7F"/>
            <w:spacing w:val="60"/>
            <w:sz w:val="18"/>
            <w:szCs w:val="18"/>
          </w:rPr>
          <w:t>Page</w:t>
        </w:r>
        <w:r w:rsidRPr="008C56CD">
          <w:rPr>
            <w:rFonts w:ascii="Calibri Light" w:hAnsi="Calibri Light" w:cs="Calibri Light"/>
            <w:i/>
            <w:iCs/>
            <w:sz w:val="18"/>
            <w:szCs w:val="18"/>
          </w:rPr>
          <w:t xml:space="preserve"> | </w:t>
        </w:r>
        <w:r w:rsidRPr="008C56CD">
          <w:rPr>
            <w:rFonts w:ascii="Calibri Light" w:hAnsi="Calibri Light" w:cs="Calibri Light"/>
            <w:i/>
            <w:iCs/>
            <w:sz w:val="18"/>
            <w:szCs w:val="18"/>
          </w:rPr>
          <w:fldChar w:fldCharType="begin"/>
        </w:r>
        <w:r w:rsidRPr="008C56CD">
          <w:rPr>
            <w:rFonts w:ascii="Calibri Light" w:hAnsi="Calibri Light" w:cs="Calibri Light"/>
            <w:i/>
            <w:iCs/>
            <w:sz w:val="18"/>
            <w:szCs w:val="18"/>
          </w:rPr>
          <w:instrText xml:space="preserve"> PAGE   \* MERGEFORMAT </w:instrText>
        </w:r>
        <w:r w:rsidRPr="008C56CD">
          <w:rPr>
            <w:rFonts w:ascii="Calibri Light" w:hAnsi="Calibri Light" w:cs="Calibri Light"/>
            <w:i/>
            <w:iCs/>
            <w:sz w:val="18"/>
            <w:szCs w:val="18"/>
          </w:rPr>
          <w:fldChar w:fldCharType="separate"/>
        </w:r>
        <w:r w:rsidRPr="008C56CD">
          <w:rPr>
            <w:rFonts w:ascii="Calibri Light" w:hAnsi="Calibri Light" w:cs="Calibri Light"/>
            <w:b/>
            <w:bCs/>
            <w:i/>
            <w:iCs/>
            <w:noProof/>
            <w:sz w:val="18"/>
            <w:szCs w:val="18"/>
          </w:rPr>
          <w:t>2</w:t>
        </w:r>
        <w:r w:rsidRPr="008C56CD">
          <w:rPr>
            <w:rFonts w:ascii="Calibri Light" w:hAnsi="Calibri Light" w:cs="Calibri Light"/>
            <w:b/>
            <w:bCs/>
            <w:i/>
            <w:iCs/>
            <w:noProof/>
            <w:sz w:val="18"/>
            <w:szCs w:val="18"/>
          </w:rPr>
          <w:fldChar w:fldCharType="end"/>
        </w:r>
      </w:sdtContent>
    </w:sdt>
  </w:p>
  <w:p w14:paraId="3042045C" w14:textId="77777777" w:rsidR="008C56CD" w:rsidRDefault="008C5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101"/>
    <w:multiLevelType w:val="multilevel"/>
    <w:tmpl w:val="041C01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6F349C9"/>
    <w:multiLevelType w:val="multilevel"/>
    <w:tmpl w:val="041C01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0B24C5"/>
    <w:multiLevelType w:val="multilevel"/>
    <w:tmpl w:val="041C01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57"/>
    <w:rsid w:val="00000C8C"/>
    <w:rsid w:val="00004717"/>
    <w:rsid w:val="000063FE"/>
    <w:rsid w:val="00007ECE"/>
    <w:rsid w:val="00007FDA"/>
    <w:rsid w:val="00011913"/>
    <w:rsid w:val="00012089"/>
    <w:rsid w:val="000171ED"/>
    <w:rsid w:val="00017500"/>
    <w:rsid w:val="00020C62"/>
    <w:rsid w:val="00022580"/>
    <w:rsid w:val="00023897"/>
    <w:rsid w:val="00024088"/>
    <w:rsid w:val="000262E5"/>
    <w:rsid w:val="0002724B"/>
    <w:rsid w:val="0003022F"/>
    <w:rsid w:val="0003046C"/>
    <w:rsid w:val="0003211B"/>
    <w:rsid w:val="00036CCD"/>
    <w:rsid w:val="00037A15"/>
    <w:rsid w:val="000404F4"/>
    <w:rsid w:val="00041E88"/>
    <w:rsid w:val="00046B73"/>
    <w:rsid w:val="00047A96"/>
    <w:rsid w:val="0005079D"/>
    <w:rsid w:val="00056D28"/>
    <w:rsid w:val="000604EB"/>
    <w:rsid w:val="00061A07"/>
    <w:rsid w:val="00061A62"/>
    <w:rsid w:val="00062175"/>
    <w:rsid w:val="000716FC"/>
    <w:rsid w:val="000729E0"/>
    <w:rsid w:val="00076063"/>
    <w:rsid w:val="00081C74"/>
    <w:rsid w:val="00081DA8"/>
    <w:rsid w:val="00084423"/>
    <w:rsid w:val="00085993"/>
    <w:rsid w:val="00091B74"/>
    <w:rsid w:val="00091F80"/>
    <w:rsid w:val="00092CF1"/>
    <w:rsid w:val="00092EE8"/>
    <w:rsid w:val="000939CC"/>
    <w:rsid w:val="0009474B"/>
    <w:rsid w:val="000A0F97"/>
    <w:rsid w:val="000A21B0"/>
    <w:rsid w:val="000A254C"/>
    <w:rsid w:val="000A297E"/>
    <w:rsid w:val="000A4169"/>
    <w:rsid w:val="000B0922"/>
    <w:rsid w:val="000B1D04"/>
    <w:rsid w:val="000B332E"/>
    <w:rsid w:val="000B68FA"/>
    <w:rsid w:val="000B693D"/>
    <w:rsid w:val="000B71DA"/>
    <w:rsid w:val="000B7676"/>
    <w:rsid w:val="000C1C35"/>
    <w:rsid w:val="000C4A88"/>
    <w:rsid w:val="000C5E73"/>
    <w:rsid w:val="000C66FD"/>
    <w:rsid w:val="000C6A99"/>
    <w:rsid w:val="000D17CD"/>
    <w:rsid w:val="000D19CA"/>
    <w:rsid w:val="000D1ADC"/>
    <w:rsid w:val="000D4C51"/>
    <w:rsid w:val="000D5D6D"/>
    <w:rsid w:val="000D76EE"/>
    <w:rsid w:val="000E0742"/>
    <w:rsid w:val="000E102B"/>
    <w:rsid w:val="000E1943"/>
    <w:rsid w:val="000E1D92"/>
    <w:rsid w:val="000E1FEF"/>
    <w:rsid w:val="000E2075"/>
    <w:rsid w:val="000E271E"/>
    <w:rsid w:val="000E2B22"/>
    <w:rsid w:val="000E5536"/>
    <w:rsid w:val="000E5858"/>
    <w:rsid w:val="000E7BA1"/>
    <w:rsid w:val="000F1758"/>
    <w:rsid w:val="000F1C16"/>
    <w:rsid w:val="000F1F43"/>
    <w:rsid w:val="000F2149"/>
    <w:rsid w:val="000F2B9F"/>
    <w:rsid w:val="000F5355"/>
    <w:rsid w:val="000F77D3"/>
    <w:rsid w:val="0010027B"/>
    <w:rsid w:val="001016B0"/>
    <w:rsid w:val="00111458"/>
    <w:rsid w:val="00112A2E"/>
    <w:rsid w:val="00114366"/>
    <w:rsid w:val="00115199"/>
    <w:rsid w:val="001170B0"/>
    <w:rsid w:val="00122D87"/>
    <w:rsid w:val="001249B6"/>
    <w:rsid w:val="0012570F"/>
    <w:rsid w:val="0012764C"/>
    <w:rsid w:val="00127A39"/>
    <w:rsid w:val="00132C08"/>
    <w:rsid w:val="0013342B"/>
    <w:rsid w:val="00134391"/>
    <w:rsid w:val="00135586"/>
    <w:rsid w:val="00135EB2"/>
    <w:rsid w:val="001379AB"/>
    <w:rsid w:val="00146F43"/>
    <w:rsid w:val="00147F87"/>
    <w:rsid w:val="00150660"/>
    <w:rsid w:val="00151A01"/>
    <w:rsid w:val="0015411F"/>
    <w:rsid w:val="00155912"/>
    <w:rsid w:val="001576A5"/>
    <w:rsid w:val="00161374"/>
    <w:rsid w:val="00161D95"/>
    <w:rsid w:val="00163200"/>
    <w:rsid w:val="0016419D"/>
    <w:rsid w:val="00165620"/>
    <w:rsid w:val="0016779F"/>
    <w:rsid w:val="00170C86"/>
    <w:rsid w:val="00170D08"/>
    <w:rsid w:val="00173B1B"/>
    <w:rsid w:val="00174D51"/>
    <w:rsid w:val="001758B2"/>
    <w:rsid w:val="00176246"/>
    <w:rsid w:val="0018408C"/>
    <w:rsid w:val="001854D8"/>
    <w:rsid w:val="00187F2F"/>
    <w:rsid w:val="00190993"/>
    <w:rsid w:val="001926FD"/>
    <w:rsid w:val="00192902"/>
    <w:rsid w:val="00193F39"/>
    <w:rsid w:val="001952C8"/>
    <w:rsid w:val="0019690D"/>
    <w:rsid w:val="001A4623"/>
    <w:rsid w:val="001A4B0A"/>
    <w:rsid w:val="001A72FA"/>
    <w:rsid w:val="001B056A"/>
    <w:rsid w:val="001B071F"/>
    <w:rsid w:val="001B2684"/>
    <w:rsid w:val="001B754C"/>
    <w:rsid w:val="001C0330"/>
    <w:rsid w:val="001C0579"/>
    <w:rsid w:val="001C2223"/>
    <w:rsid w:val="001C22F3"/>
    <w:rsid w:val="001D388C"/>
    <w:rsid w:val="001D56BC"/>
    <w:rsid w:val="001E2EC1"/>
    <w:rsid w:val="001E3BBB"/>
    <w:rsid w:val="001E3DC1"/>
    <w:rsid w:val="001E47BD"/>
    <w:rsid w:val="001E55D6"/>
    <w:rsid w:val="001F1EBD"/>
    <w:rsid w:val="001F27D2"/>
    <w:rsid w:val="001F2B6D"/>
    <w:rsid w:val="001F35EE"/>
    <w:rsid w:val="001F696C"/>
    <w:rsid w:val="00200279"/>
    <w:rsid w:val="0020151A"/>
    <w:rsid w:val="0020232E"/>
    <w:rsid w:val="002034D4"/>
    <w:rsid w:val="00205B41"/>
    <w:rsid w:val="00207E2F"/>
    <w:rsid w:val="00210A65"/>
    <w:rsid w:val="00210B7C"/>
    <w:rsid w:val="00214F47"/>
    <w:rsid w:val="00215DFE"/>
    <w:rsid w:val="00216885"/>
    <w:rsid w:val="00216DF3"/>
    <w:rsid w:val="00223890"/>
    <w:rsid w:val="00230767"/>
    <w:rsid w:val="00230EC9"/>
    <w:rsid w:val="002362C0"/>
    <w:rsid w:val="0024026D"/>
    <w:rsid w:val="00242222"/>
    <w:rsid w:val="0024354D"/>
    <w:rsid w:val="00244F0F"/>
    <w:rsid w:val="00246EAE"/>
    <w:rsid w:val="00247AA5"/>
    <w:rsid w:val="00250589"/>
    <w:rsid w:val="00250DD3"/>
    <w:rsid w:val="00252731"/>
    <w:rsid w:val="00253C39"/>
    <w:rsid w:val="002545EA"/>
    <w:rsid w:val="00257B91"/>
    <w:rsid w:val="00261400"/>
    <w:rsid w:val="00263A7E"/>
    <w:rsid w:val="00263E76"/>
    <w:rsid w:val="00264FB5"/>
    <w:rsid w:val="002663CD"/>
    <w:rsid w:val="00272D31"/>
    <w:rsid w:val="0027456B"/>
    <w:rsid w:val="00275B59"/>
    <w:rsid w:val="00275E55"/>
    <w:rsid w:val="00276C38"/>
    <w:rsid w:val="00280A86"/>
    <w:rsid w:val="002810F4"/>
    <w:rsid w:val="00282CAA"/>
    <w:rsid w:val="00283647"/>
    <w:rsid w:val="002845C9"/>
    <w:rsid w:val="00291C76"/>
    <w:rsid w:val="00292605"/>
    <w:rsid w:val="00292A0D"/>
    <w:rsid w:val="00294802"/>
    <w:rsid w:val="00295458"/>
    <w:rsid w:val="00296FD7"/>
    <w:rsid w:val="00297848"/>
    <w:rsid w:val="00297BC2"/>
    <w:rsid w:val="002A0BA6"/>
    <w:rsid w:val="002A28ED"/>
    <w:rsid w:val="002B23FD"/>
    <w:rsid w:val="002B55D6"/>
    <w:rsid w:val="002C0BDC"/>
    <w:rsid w:val="002C345C"/>
    <w:rsid w:val="002C3E4E"/>
    <w:rsid w:val="002C4245"/>
    <w:rsid w:val="002C58FA"/>
    <w:rsid w:val="002D1A66"/>
    <w:rsid w:val="002D2016"/>
    <w:rsid w:val="002D265D"/>
    <w:rsid w:val="002D4C93"/>
    <w:rsid w:val="002E4F66"/>
    <w:rsid w:val="002E50B4"/>
    <w:rsid w:val="002E5743"/>
    <w:rsid w:val="002E6936"/>
    <w:rsid w:val="002F44F4"/>
    <w:rsid w:val="002F4614"/>
    <w:rsid w:val="002F65BF"/>
    <w:rsid w:val="002F72D5"/>
    <w:rsid w:val="00303483"/>
    <w:rsid w:val="00303FFE"/>
    <w:rsid w:val="00304704"/>
    <w:rsid w:val="00306B2B"/>
    <w:rsid w:val="00307965"/>
    <w:rsid w:val="00307BDF"/>
    <w:rsid w:val="00310EB3"/>
    <w:rsid w:val="00312376"/>
    <w:rsid w:val="00316F52"/>
    <w:rsid w:val="00317543"/>
    <w:rsid w:val="00320681"/>
    <w:rsid w:val="003209BE"/>
    <w:rsid w:val="00326A8B"/>
    <w:rsid w:val="00330CEC"/>
    <w:rsid w:val="00331184"/>
    <w:rsid w:val="003315F9"/>
    <w:rsid w:val="0033305E"/>
    <w:rsid w:val="003340FF"/>
    <w:rsid w:val="00335215"/>
    <w:rsid w:val="00336E0F"/>
    <w:rsid w:val="00337F33"/>
    <w:rsid w:val="00346723"/>
    <w:rsid w:val="00351381"/>
    <w:rsid w:val="0035237B"/>
    <w:rsid w:val="003558E2"/>
    <w:rsid w:val="00356914"/>
    <w:rsid w:val="003620D7"/>
    <w:rsid w:val="00362516"/>
    <w:rsid w:val="00362D8F"/>
    <w:rsid w:val="00365050"/>
    <w:rsid w:val="00366AED"/>
    <w:rsid w:val="003756B7"/>
    <w:rsid w:val="00375BC3"/>
    <w:rsid w:val="00375C23"/>
    <w:rsid w:val="00381560"/>
    <w:rsid w:val="0038166B"/>
    <w:rsid w:val="00382933"/>
    <w:rsid w:val="00383056"/>
    <w:rsid w:val="003831EB"/>
    <w:rsid w:val="003850E3"/>
    <w:rsid w:val="003853F0"/>
    <w:rsid w:val="0038691B"/>
    <w:rsid w:val="00386CBC"/>
    <w:rsid w:val="00391CB8"/>
    <w:rsid w:val="00394A27"/>
    <w:rsid w:val="00394F21"/>
    <w:rsid w:val="00395457"/>
    <w:rsid w:val="00396CA8"/>
    <w:rsid w:val="00397E2E"/>
    <w:rsid w:val="003A0FB4"/>
    <w:rsid w:val="003A241E"/>
    <w:rsid w:val="003A709D"/>
    <w:rsid w:val="003B1FC8"/>
    <w:rsid w:val="003B245F"/>
    <w:rsid w:val="003B6FFD"/>
    <w:rsid w:val="003C004C"/>
    <w:rsid w:val="003C1460"/>
    <w:rsid w:val="003C1CBC"/>
    <w:rsid w:val="003C3220"/>
    <w:rsid w:val="003C54EB"/>
    <w:rsid w:val="003C653D"/>
    <w:rsid w:val="003D0481"/>
    <w:rsid w:val="003D1AE0"/>
    <w:rsid w:val="003D257C"/>
    <w:rsid w:val="003E0674"/>
    <w:rsid w:val="003E28AA"/>
    <w:rsid w:val="003E6C4A"/>
    <w:rsid w:val="003F2266"/>
    <w:rsid w:val="003F2828"/>
    <w:rsid w:val="003F420B"/>
    <w:rsid w:val="00403B04"/>
    <w:rsid w:val="0040509A"/>
    <w:rsid w:val="0040620F"/>
    <w:rsid w:val="00406B0C"/>
    <w:rsid w:val="0040728D"/>
    <w:rsid w:val="004137BF"/>
    <w:rsid w:val="00413940"/>
    <w:rsid w:val="00413C7A"/>
    <w:rsid w:val="00416CD0"/>
    <w:rsid w:val="004202AF"/>
    <w:rsid w:val="00420A13"/>
    <w:rsid w:val="00420C3C"/>
    <w:rsid w:val="00421FA3"/>
    <w:rsid w:val="00424626"/>
    <w:rsid w:val="004268FC"/>
    <w:rsid w:val="00427AD6"/>
    <w:rsid w:val="00433A76"/>
    <w:rsid w:val="00434A4A"/>
    <w:rsid w:val="00434FA6"/>
    <w:rsid w:val="004363BA"/>
    <w:rsid w:val="00436AA6"/>
    <w:rsid w:val="00441891"/>
    <w:rsid w:val="004419D8"/>
    <w:rsid w:val="004436C1"/>
    <w:rsid w:val="004440E0"/>
    <w:rsid w:val="00444894"/>
    <w:rsid w:val="00450162"/>
    <w:rsid w:val="00451481"/>
    <w:rsid w:val="00454157"/>
    <w:rsid w:val="004579B0"/>
    <w:rsid w:val="004600BE"/>
    <w:rsid w:val="004601B1"/>
    <w:rsid w:val="00460D5C"/>
    <w:rsid w:val="00463738"/>
    <w:rsid w:val="00463FEB"/>
    <w:rsid w:val="00465CB2"/>
    <w:rsid w:val="0046723E"/>
    <w:rsid w:val="00471605"/>
    <w:rsid w:val="00480BA1"/>
    <w:rsid w:val="00483DEC"/>
    <w:rsid w:val="00486C55"/>
    <w:rsid w:val="004875F2"/>
    <w:rsid w:val="00494E35"/>
    <w:rsid w:val="00495DEC"/>
    <w:rsid w:val="004A019F"/>
    <w:rsid w:val="004A033E"/>
    <w:rsid w:val="004A2DE4"/>
    <w:rsid w:val="004A3B60"/>
    <w:rsid w:val="004A4FB5"/>
    <w:rsid w:val="004A6D92"/>
    <w:rsid w:val="004B200C"/>
    <w:rsid w:val="004B2C4E"/>
    <w:rsid w:val="004B3DC5"/>
    <w:rsid w:val="004B3DE0"/>
    <w:rsid w:val="004B4C07"/>
    <w:rsid w:val="004B4EC1"/>
    <w:rsid w:val="004B5DDC"/>
    <w:rsid w:val="004B689E"/>
    <w:rsid w:val="004C2F6C"/>
    <w:rsid w:val="004C51C8"/>
    <w:rsid w:val="004C67DD"/>
    <w:rsid w:val="004C6DF9"/>
    <w:rsid w:val="004C76AE"/>
    <w:rsid w:val="004D4572"/>
    <w:rsid w:val="004D58A7"/>
    <w:rsid w:val="004D59E6"/>
    <w:rsid w:val="004D6A30"/>
    <w:rsid w:val="004D7E58"/>
    <w:rsid w:val="004E223B"/>
    <w:rsid w:val="004E2371"/>
    <w:rsid w:val="004E50ED"/>
    <w:rsid w:val="004E7957"/>
    <w:rsid w:val="004E7FCD"/>
    <w:rsid w:val="004F017E"/>
    <w:rsid w:val="004F47C6"/>
    <w:rsid w:val="004F4CD9"/>
    <w:rsid w:val="004F65F4"/>
    <w:rsid w:val="00501002"/>
    <w:rsid w:val="0050208D"/>
    <w:rsid w:val="005026F2"/>
    <w:rsid w:val="005030E3"/>
    <w:rsid w:val="00512CBB"/>
    <w:rsid w:val="0051634F"/>
    <w:rsid w:val="00517F3D"/>
    <w:rsid w:val="005275C4"/>
    <w:rsid w:val="00530E7B"/>
    <w:rsid w:val="005323FE"/>
    <w:rsid w:val="00535CB4"/>
    <w:rsid w:val="005379C0"/>
    <w:rsid w:val="00540F0A"/>
    <w:rsid w:val="00542E2D"/>
    <w:rsid w:val="00542E4E"/>
    <w:rsid w:val="00547486"/>
    <w:rsid w:val="00553978"/>
    <w:rsid w:val="00555525"/>
    <w:rsid w:val="00557035"/>
    <w:rsid w:val="005574D5"/>
    <w:rsid w:val="00557570"/>
    <w:rsid w:val="0056048D"/>
    <w:rsid w:val="005625DC"/>
    <w:rsid w:val="00563C61"/>
    <w:rsid w:val="00567E92"/>
    <w:rsid w:val="005714B6"/>
    <w:rsid w:val="00571D58"/>
    <w:rsid w:val="0057635A"/>
    <w:rsid w:val="00576A3E"/>
    <w:rsid w:val="00580822"/>
    <w:rsid w:val="00582EC4"/>
    <w:rsid w:val="00583BEB"/>
    <w:rsid w:val="00584F5A"/>
    <w:rsid w:val="00585824"/>
    <w:rsid w:val="00591F40"/>
    <w:rsid w:val="00593BBB"/>
    <w:rsid w:val="005946B0"/>
    <w:rsid w:val="00595C35"/>
    <w:rsid w:val="00595DC1"/>
    <w:rsid w:val="005A04FB"/>
    <w:rsid w:val="005A332E"/>
    <w:rsid w:val="005A47F2"/>
    <w:rsid w:val="005B08B7"/>
    <w:rsid w:val="005B468B"/>
    <w:rsid w:val="005C4A3C"/>
    <w:rsid w:val="005C5013"/>
    <w:rsid w:val="005C6149"/>
    <w:rsid w:val="005C7F59"/>
    <w:rsid w:val="005D2878"/>
    <w:rsid w:val="005D3260"/>
    <w:rsid w:val="005E0BA6"/>
    <w:rsid w:val="005E0FBA"/>
    <w:rsid w:val="005E50E7"/>
    <w:rsid w:val="005E64E6"/>
    <w:rsid w:val="005F06B2"/>
    <w:rsid w:val="005F0D70"/>
    <w:rsid w:val="005F2213"/>
    <w:rsid w:val="005F3B94"/>
    <w:rsid w:val="006028BC"/>
    <w:rsid w:val="00604106"/>
    <w:rsid w:val="00605728"/>
    <w:rsid w:val="00610064"/>
    <w:rsid w:val="00612D43"/>
    <w:rsid w:val="006154DD"/>
    <w:rsid w:val="00615F0E"/>
    <w:rsid w:val="00620BA4"/>
    <w:rsid w:val="00622677"/>
    <w:rsid w:val="0062570C"/>
    <w:rsid w:val="00626264"/>
    <w:rsid w:val="006305CC"/>
    <w:rsid w:val="00634FD6"/>
    <w:rsid w:val="00635F74"/>
    <w:rsid w:val="00640CB7"/>
    <w:rsid w:val="00640FEC"/>
    <w:rsid w:val="00641F02"/>
    <w:rsid w:val="0064256F"/>
    <w:rsid w:val="006439EA"/>
    <w:rsid w:val="00646737"/>
    <w:rsid w:val="00651A36"/>
    <w:rsid w:val="006523AE"/>
    <w:rsid w:val="006540E3"/>
    <w:rsid w:val="006545E1"/>
    <w:rsid w:val="00654EF5"/>
    <w:rsid w:val="006562A7"/>
    <w:rsid w:val="00660061"/>
    <w:rsid w:val="00660421"/>
    <w:rsid w:val="0066047B"/>
    <w:rsid w:val="00663428"/>
    <w:rsid w:val="00665D29"/>
    <w:rsid w:val="006727E8"/>
    <w:rsid w:val="00673ECA"/>
    <w:rsid w:val="0067443F"/>
    <w:rsid w:val="0067469F"/>
    <w:rsid w:val="00677FC6"/>
    <w:rsid w:val="00680ED4"/>
    <w:rsid w:val="006829D4"/>
    <w:rsid w:val="00683275"/>
    <w:rsid w:val="00683E75"/>
    <w:rsid w:val="006850BB"/>
    <w:rsid w:val="00686795"/>
    <w:rsid w:val="00691ADC"/>
    <w:rsid w:val="006930C8"/>
    <w:rsid w:val="00694EF2"/>
    <w:rsid w:val="00695BA5"/>
    <w:rsid w:val="00696DF6"/>
    <w:rsid w:val="00696FE5"/>
    <w:rsid w:val="006A101F"/>
    <w:rsid w:val="006A2B7C"/>
    <w:rsid w:val="006A4938"/>
    <w:rsid w:val="006A50B9"/>
    <w:rsid w:val="006A6D77"/>
    <w:rsid w:val="006A7F66"/>
    <w:rsid w:val="006B0939"/>
    <w:rsid w:val="006B2C6E"/>
    <w:rsid w:val="006B58E0"/>
    <w:rsid w:val="006C0459"/>
    <w:rsid w:val="006C0AE7"/>
    <w:rsid w:val="006C1290"/>
    <w:rsid w:val="006C610F"/>
    <w:rsid w:val="006D5AA3"/>
    <w:rsid w:val="006D5AE5"/>
    <w:rsid w:val="006D5F30"/>
    <w:rsid w:val="006D650E"/>
    <w:rsid w:val="006D69BD"/>
    <w:rsid w:val="006E067E"/>
    <w:rsid w:val="006E1A83"/>
    <w:rsid w:val="006E2DB9"/>
    <w:rsid w:val="006E7334"/>
    <w:rsid w:val="006F22B7"/>
    <w:rsid w:val="006F2BB5"/>
    <w:rsid w:val="006F5BF4"/>
    <w:rsid w:val="006F701C"/>
    <w:rsid w:val="006F73C0"/>
    <w:rsid w:val="006F7681"/>
    <w:rsid w:val="006F76B0"/>
    <w:rsid w:val="00700CF1"/>
    <w:rsid w:val="007023A8"/>
    <w:rsid w:val="00704405"/>
    <w:rsid w:val="00707192"/>
    <w:rsid w:val="00710F10"/>
    <w:rsid w:val="00711E32"/>
    <w:rsid w:val="00712F5F"/>
    <w:rsid w:val="00713235"/>
    <w:rsid w:val="00714395"/>
    <w:rsid w:val="0071489D"/>
    <w:rsid w:val="007152E9"/>
    <w:rsid w:val="00717313"/>
    <w:rsid w:val="00722706"/>
    <w:rsid w:val="00727850"/>
    <w:rsid w:val="007321EE"/>
    <w:rsid w:val="0073592C"/>
    <w:rsid w:val="00737728"/>
    <w:rsid w:val="00740B05"/>
    <w:rsid w:val="00742355"/>
    <w:rsid w:val="00744222"/>
    <w:rsid w:val="00747CA7"/>
    <w:rsid w:val="00747FDB"/>
    <w:rsid w:val="007523B5"/>
    <w:rsid w:val="007529EE"/>
    <w:rsid w:val="00752C68"/>
    <w:rsid w:val="00754DDA"/>
    <w:rsid w:val="00755D2C"/>
    <w:rsid w:val="0075719B"/>
    <w:rsid w:val="00762058"/>
    <w:rsid w:val="00764986"/>
    <w:rsid w:val="00764D5A"/>
    <w:rsid w:val="00765847"/>
    <w:rsid w:val="00770693"/>
    <w:rsid w:val="00772C94"/>
    <w:rsid w:val="00775E90"/>
    <w:rsid w:val="007772EC"/>
    <w:rsid w:val="00777516"/>
    <w:rsid w:val="0078553A"/>
    <w:rsid w:val="00787F1A"/>
    <w:rsid w:val="0079117A"/>
    <w:rsid w:val="0079245E"/>
    <w:rsid w:val="0079537E"/>
    <w:rsid w:val="00797839"/>
    <w:rsid w:val="007978E5"/>
    <w:rsid w:val="00797D96"/>
    <w:rsid w:val="007A00AA"/>
    <w:rsid w:val="007A44F3"/>
    <w:rsid w:val="007A5BAD"/>
    <w:rsid w:val="007A61CF"/>
    <w:rsid w:val="007A74FC"/>
    <w:rsid w:val="007B04F4"/>
    <w:rsid w:val="007B3405"/>
    <w:rsid w:val="007B5331"/>
    <w:rsid w:val="007B7661"/>
    <w:rsid w:val="007B7758"/>
    <w:rsid w:val="007C1A45"/>
    <w:rsid w:val="007C33E6"/>
    <w:rsid w:val="007C4FB0"/>
    <w:rsid w:val="007D0A33"/>
    <w:rsid w:val="007D0BC8"/>
    <w:rsid w:val="007D0E1D"/>
    <w:rsid w:val="007D0E70"/>
    <w:rsid w:val="007D3092"/>
    <w:rsid w:val="007D3790"/>
    <w:rsid w:val="007E25EF"/>
    <w:rsid w:val="007E32AE"/>
    <w:rsid w:val="007E51DC"/>
    <w:rsid w:val="007F0935"/>
    <w:rsid w:val="007F1558"/>
    <w:rsid w:val="007F2757"/>
    <w:rsid w:val="007F44DB"/>
    <w:rsid w:val="007F4B42"/>
    <w:rsid w:val="007F4F76"/>
    <w:rsid w:val="00800C28"/>
    <w:rsid w:val="00800D27"/>
    <w:rsid w:val="00804FC5"/>
    <w:rsid w:val="00813B0B"/>
    <w:rsid w:val="0081572B"/>
    <w:rsid w:val="008178A4"/>
    <w:rsid w:val="00817CD6"/>
    <w:rsid w:val="00820209"/>
    <w:rsid w:val="00821C19"/>
    <w:rsid w:val="00822623"/>
    <w:rsid w:val="00825289"/>
    <w:rsid w:val="00827031"/>
    <w:rsid w:val="00830D05"/>
    <w:rsid w:val="0083136B"/>
    <w:rsid w:val="00833341"/>
    <w:rsid w:val="00833760"/>
    <w:rsid w:val="00834ED4"/>
    <w:rsid w:val="00836152"/>
    <w:rsid w:val="00844051"/>
    <w:rsid w:val="00844EDB"/>
    <w:rsid w:val="00845D54"/>
    <w:rsid w:val="00846787"/>
    <w:rsid w:val="00846E07"/>
    <w:rsid w:val="008528B5"/>
    <w:rsid w:val="00853731"/>
    <w:rsid w:val="0085701C"/>
    <w:rsid w:val="00860F17"/>
    <w:rsid w:val="008652CD"/>
    <w:rsid w:val="00865773"/>
    <w:rsid w:val="008716D0"/>
    <w:rsid w:val="0087347C"/>
    <w:rsid w:val="00884A70"/>
    <w:rsid w:val="00885956"/>
    <w:rsid w:val="00886026"/>
    <w:rsid w:val="008862AE"/>
    <w:rsid w:val="008862CF"/>
    <w:rsid w:val="008869B2"/>
    <w:rsid w:val="008909E4"/>
    <w:rsid w:val="008913E5"/>
    <w:rsid w:val="008955F4"/>
    <w:rsid w:val="00896B44"/>
    <w:rsid w:val="008A19DD"/>
    <w:rsid w:val="008A25D8"/>
    <w:rsid w:val="008A2610"/>
    <w:rsid w:val="008A72B0"/>
    <w:rsid w:val="008B3953"/>
    <w:rsid w:val="008B3B64"/>
    <w:rsid w:val="008B5213"/>
    <w:rsid w:val="008B5995"/>
    <w:rsid w:val="008B6B3E"/>
    <w:rsid w:val="008B7101"/>
    <w:rsid w:val="008C21A4"/>
    <w:rsid w:val="008C43CD"/>
    <w:rsid w:val="008C56CD"/>
    <w:rsid w:val="008C5F17"/>
    <w:rsid w:val="008D1D0C"/>
    <w:rsid w:val="008D1DF5"/>
    <w:rsid w:val="008D3562"/>
    <w:rsid w:val="008D3B40"/>
    <w:rsid w:val="008D435F"/>
    <w:rsid w:val="008D5082"/>
    <w:rsid w:val="008D586F"/>
    <w:rsid w:val="008D7B42"/>
    <w:rsid w:val="008E1B2E"/>
    <w:rsid w:val="008E1DA4"/>
    <w:rsid w:val="008E3B75"/>
    <w:rsid w:val="008E462B"/>
    <w:rsid w:val="008E6526"/>
    <w:rsid w:val="008F10D3"/>
    <w:rsid w:val="008F3E57"/>
    <w:rsid w:val="008F4A0C"/>
    <w:rsid w:val="008F4DB0"/>
    <w:rsid w:val="008F58C7"/>
    <w:rsid w:val="008F5F1F"/>
    <w:rsid w:val="008F623B"/>
    <w:rsid w:val="0090167E"/>
    <w:rsid w:val="00902167"/>
    <w:rsid w:val="00905E21"/>
    <w:rsid w:val="0091432C"/>
    <w:rsid w:val="009170F9"/>
    <w:rsid w:val="00917587"/>
    <w:rsid w:val="0092058F"/>
    <w:rsid w:val="00922D00"/>
    <w:rsid w:val="00924058"/>
    <w:rsid w:val="0092530C"/>
    <w:rsid w:val="0092567C"/>
    <w:rsid w:val="00926064"/>
    <w:rsid w:val="00934234"/>
    <w:rsid w:val="00934456"/>
    <w:rsid w:val="00934BF0"/>
    <w:rsid w:val="00935704"/>
    <w:rsid w:val="00935AB3"/>
    <w:rsid w:val="00935BD7"/>
    <w:rsid w:val="00937611"/>
    <w:rsid w:val="009411F6"/>
    <w:rsid w:val="009412EE"/>
    <w:rsid w:val="009479E7"/>
    <w:rsid w:val="009514DE"/>
    <w:rsid w:val="00955AFB"/>
    <w:rsid w:val="0096013D"/>
    <w:rsid w:val="00964628"/>
    <w:rsid w:val="00964B65"/>
    <w:rsid w:val="00965740"/>
    <w:rsid w:val="00967319"/>
    <w:rsid w:val="009725FA"/>
    <w:rsid w:val="0097276A"/>
    <w:rsid w:val="00976573"/>
    <w:rsid w:val="00977B3E"/>
    <w:rsid w:val="00977E72"/>
    <w:rsid w:val="00981BCC"/>
    <w:rsid w:val="00982857"/>
    <w:rsid w:val="00984EC7"/>
    <w:rsid w:val="00985DB9"/>
    <w:rsid w:val="00986518"/>
    <w:rsid w:val="00991C1A"/>
    <w:rsid w:val="00991F68"/>
    <w:rsid w:val="00992FC9"/>
    <w:rsid w:val="0099310E"/>
    <w:rsid w:val="009958AC"/>
    <w:rsid w:val="0099645D"/>
    <w:rsid w:val="0099720F"/>
    <w:rsid w:val="009A2FE1"/>
    <w:rsid w:val="009A4098"/>
    <w:rsid w:val="009A502A"/>
    <w:rsid w:val="009A5086"/>
    <w:rsid w:val="009A54B5"/>
    <w:rsid w:val="009B3430"/>
    <w:rsid w:val="009B4F30"/>
    <w:rsid w:val="009B68DD"/>
    <w:rsid w:val="009B6FDD"/>
    <w:rsid w:val="009C09D1"/>
    <w:rsid w:val="009C1FFA"/>
    <w:rsid w:val="009C2F1C"/>
    <w:rsid w:val="009C3C13"/>
    <w:rsid w:val="009C6C94"/>
    <w:rsid w:val="009C6F2A"/>
    <w:rsid w:val="009C78CA"/>
    <w:rsid w:val="009D344E"/>
    <w:rsid w:val="009D4F17"/>
    <w:rsid w:val="009D54FF"/>
    <w:rsid w:val="009D5573"/>
    <w:rsid w:val="009D5862"/>
    <w:rsid w:val="009D676C"/>
    <w:rsid w:val="009E0305"/>
    <w:rsid w:val="009E0CE5"/>
    <w:rsid w:val="009E0DA8"/>
    <w:rsid w:val="009E166E"/>
    <w:rsid w:val="009E24C9"/>
    <w:rsid w:val="009E24DF"/>
    <w:rsid w:val="009E3664"/>
    <w:rsid w:val="009E664D"/>
    <w:rsid w:val="009E7AE8"/>
    <w:rsid w:val="009F2585"/>
    <w:rsid w:val="009F4CFB"/>
    <w:rsid w:val="009F7C73"/>
    <w:rsid w:val="00A0417C"/>
    <w:rsid w:val="00A04992"/>
    <w:rsid w:val="00A07017"/>
    <w:rsid w:val="00A07F12"/>
    <w:rsid w:val="00A10030"/>
    <w:rsid w:val="00A12054"/>
    <w:rsid w:val="00A13CE6"/>
    <w:rsid w:val="00A2049A"/>
    <w:rsid w:val="00A2142A"/>
    <w:rsid w:val="00A22EF4"/>
    <w:rsid w:val="00A25656"/>
    <w:rsid w:val="00A31B91"/>
    <w:rsid w:val="00A32B22"/>
    <w:rsid w:val="00A32F8E"/>
    <w:rsid w:val="00A33FAB"/>
    <w:rsid w:val="00A37986"/>
    <w:rsid w:val="00A42309"/>
    <w:rsid w:val="00A43F95"/>
    <w:rsid w:val="00A467E4"/>
    <w:rsid w:val="00A527FF"/>
    <w:rsid w:val="00A60D69"/>
    <w:rsid w:val="00A723C8"/>
    <w:rsid w:val="00A72CE2"/>
    <w:rsid w:val="00A730C6"/>
    <w:rsid w:val="00A7717D"/>
    <w:rsid w:val="00A773E7"/>
    <w:rsid w:val="00A811B1"/>
    <w:rsid w:val="00A8369A"/>
    <w:rsid w:val="00A83D0D"/>
    <w:rsid w:val="00A853A9"/>
    <w:rsid w:val="00A8590A"/>
    <w:rsid w:val="00A92170"/>
    <w:rsid w:val="00A93617"/>
    <w:rsid w:val="00A94D8E"/>
    <w:rsid w:val="00AA148D"/>
    <w:rsid w:val="00AA33B7"/>
    <w:rsid w:val="00AA4040"/>
    <w:rsid w:val="00AA5517"/>
    <w:rsid w:val="00AB2E64"/>
    <w:rsid w:val="00AB5782"/>
    <w:rsid w:val="00AB57E0"/>
    <w:rsid w:val="00AB60A6"/>
    <w:rsid w:val="00AB7B42"/>
    <w:rsid w:val="00AC1E1D"/>
    <w:rsid w:val="00AC3C39"/>
    <w:rsid w:val="00AC65B6"/>
    <w:rsid w:val="00AC760E"/>
    <w:rsid w:val="00AD48A9"/>
    <w:rsid w:val="00AE1AF4"/>
    <w:rsid w:val="00AE400D"/>
    <w:rsid w:val="00AE4508"/>
    <w:rsid w:val="00AE486B"/>
    <w:rsid w:val="00AF1FA6"/>
    <w:rsid w:val="00AF2B43"/>
    <w:rsid w:val="00AF36E1"/>
    <w:rsid w:val="00AF3AB8"/>
    <w:rsid w:val="00AF3C9B"/>
    <w:rsid w:val="00AF56DA"/>
    <w:rsid w:val="00AF64D5"/>
    <w:rsid w:val="00AF7A3C"/>
    <w:rsid w:val="00B03C95"/>
    <w:rsid w:val="00B03D8C"/>
    <w:rsid w:val="00B0604A"/>
    <w:rsid w:val="00B1171A"/>
    <w:rsid w:val="00B11C62"/>
    <w:rsid w:val="00B12865"/>
    <w:rsid w:val="00B13DEC"/>
    <w:rsid w:val="00B15A0B"/>
    <w:rsid w:val="00B1605D"/>
    <w:rsid w:val="00B200B2"/>
    <w:rsid w:val="00B24376"/>
    <w:rsid w:val="00B27BA6"/>
    <w:rsid w:val="00B301C6"/>
    <w:rsid w:val="00B310D5"/>
    <w:rsid w:val="00B35CAF"/>
    <w:rsid w:val="00B44EAB"/>
    <w:rsid w:val="00B455F5"/>
    <w:rsid w:val="00B46000"/>
    <w:rsid w:val="00B46727"/>
    <w:rsid w:val="00B47E40"/>
    <w:rsid w:val="00B510E0"/>
    <w:rsid w:val="00B5286A"/>
    <w:rsid w:val="00B53D5A"/>
    <w:rsid w:val="00B55DCC"/>
    <w:rsid w:val="00B6005C"/>
    <w:rsid w:val="00B6217F"/>
    <w:rsid w:val="00B62738"/>
    <w:rsid w:val="00B654D9"/>
    <w:rsid w:val="00B72075"/>
    <w:rsid w:val="00B721B0"/>
    <w:rsid w:val="00B7401B"/>
    <w:rsid w:val="00B761DF"/>
    <w:rsid w:val="00B82421"/>
    <w:rsid w:val="00B83E4C"/>
    <w:rsid w:val="00B84A15"/>
    <w:rsid w:val="00B84CF0"/>
    <w:rsid w:val="00B85C05"/>
    <w:rsid w:val="00B909D7"/>
    <w:rsid w:val="00B91653"/>
    <w:rsid w:val="00B9243A"/>
    <w:rsid w:val="00B94184"/>
    <w:rsid w:val="00B9439E"/>
    <w:rsid w:val="00B9692F"/>
    <w:rsid w:val="00B96A44"/>
    <w:rsid w:val="00BA034C"/>
    <w:rsid w:val="00BA0D7D"/>
    <w:rsid w:val="00BA1EB4"/>
    <w:rsid w:val="00BA5D55"/>
    <w:rsid w:val="00BA641C"/>
    <w:rsid w:val="00BB46A8"/>
    <w:rsid w:val="00BB70DF"/>
    <w:rsid w:val="00BB7BED"/>
    <w:rsid w:val="00BC1787"/>
    <w:rsid w:val="00BC1D8D"/>
    <w:rsid w:val="00BD1CA9"/>
    <w:rsid w:val="00BD27A1"/>
    <w:rsid w:val="00BD39E7"/>
    <w:rsid w:val="00BE5020"/>
    <w:rsid w:val="00BE5F79"/>
    <w:rsid w:val="00BE6E1D"/>
    <w:rsid w:val="00BE6F34"/>
    <w:rsid w:val="00BE7A44"/>
    <w:rsid w:val="00BF221E"/>
    <w:rsid w:val="00BF6D64"/>
    <w:rsid w:val="00BF7D33"/>
    <w:rsid w:val="00C02A30"/>
    <w:rsid w:val="00C056E9"/>
    <w:rsid w:val="00C1166B"/>
    <w:rsid w:val="00C12231"/>
    <w:rsid w:val="00C1516E"/>
    <w:rsid w:val="00C17D3F"/>
    <w:rsid w:val="00C239FE"/>
    <w:rsid w:val="00C24679"/>
    <w:rsid w:val="00C24FC4"/>
    <w:rsid w:val="00C2687A"/>
    <w:rsid w:val="00C27A2F"/>
    <w:rsid w:val="00C30702"/>
    <w:rsid w:val="00C31977"/>
    <w:rsid w:val="00C326B0"/>
    <w:rsid w:val="00C3781C"/>
    <w:rsid w:val="00C40C4D"/>
    <w:rsid w:val="00C443AA"/>
    <w:rsid w:val="00C44A3F"/>
    <w:rsid w:val="00C45CC2"/>
    <w:rsid w:val="00C46D8B"/>
    <w:rsid w:val="00C473B5"/>
    <w:rsid w:val="00C500B1"/>
    <w:rsid w:val="00C523B6"/>
    <w:rsid w:val="00C5338A"/>
    <w:rsid w:val="00C53613"/>
    <w:rsid w:val="00C53FB6"/>
    <w:rsid w:val="00C54553"/>
    <w:rsid w:val="00C615A6"/>
    <w:rsid w:val="00C61FD6"/>
    <w:rsid w:val="00C6523D"/>
    <w:rsid w:val="00C672D7"/>
    <w:rsid w:val="00C72B24"/>
    <w:rsid w:val="00C73CA6"/>
    <w:rsid w:val="00C7470C"/>
    <w:rsid w:val="00C74C87"/>
    <w:rsid w:val="00C75968"/>
    <w:rsid w:val="00C76C2B"/>
    <w:rsid w:val="00C80D40"/>
    <w:rsid w:val="00C81504"/>
    <w:rsid w:val="00C830EB"/>
    <w:rsid w:val="00C83CCD"/>
    <w:rsid w:val="00C843D7"/>
    <w:rsid w:val="00C84649"/>
    <w:rsid w:val="00C86BCA"/>
    <w:rsid w:val="00C87F85"/>
    <w:rsid w:val="00C915ED"/>
    <w:rsid w:val="00C96487"/>
    <w:rsid w:val="00C97CFA"/>
    <w:rsid w:val="00CA222C"/>
    <w:rsid w:val="00CA3519"/>
    <w:rsid w:val="00CA3C75"/>
    <w:rsid w:val="00CA5512"/>
    <w:rsid w:val="00CA6708"/>
    <w:rsid w:val="00CA6815"/>
    <w:rsid w:val="00CB018A"/>
    <w:rsid w:val="00CB1C89"/>
    <w:rsid w:val="00CB3929"/>
    <w:rsid w:val="00CB4449"/>
    <w:rsid w:val="00CB5277"/>
    <w:rsid w:val="00CB591B"/>
    <w:rsid w:val="00CC025F"/>
    <w:rsid w:val="00CC0B32"/>
    <w:rsid w:val="00CC34CF"/>
    <w:rsid w:val="00CC356A"/>
    <w:rsid w:val="00CC531F"/>
    <w:rsid w:val="00CD008B"/>
    <w:rsid w:val="00CD3192"/>
    <w:rsid w:val="00CD4CF3"/>
    <w:rsid w:val="00CD5BBA"/>
    <w:rsid w:val="00CD70E7"/>
    <w:rsid w:val="00CD7AB5"/>
    <w:rsid w:val="00CE11EF"/>
    <w:rsid w:val="00CE3A07"/>
    <w:rsid w:val="00CE4494"/>
    <w:rsid w:val="00CE462B"/>
    <w:rsid w:val="00CE7146"/>
    <w:rsid w:val="00CF02DE"/>
    <w:rsid w:val="00CF2F79"/>
    <w:rsid w:val="00CF420C"/>
    <w:rsid w:val="00CF5CDF"/>
    <w:rsid w:val="00CF6453"/>
    <w:rsid w:val="00CF70B8"/>
    <w:rsid w:val="00CF737C"/>
    <w:rsid w:val="00D01A3B"/>
    <w:rsid w:val="00D028CE"/>
    <w:rsid w:val="00D03D46"/>
    <w:rsid w:val="00D04607"/>
    <w:rsid w:val="00D05547"/>
    <w:rsid w:val="00D159FB"/>
    <w:rsid w:val="00D162A1"/>
    <w:rsid w:val="00D17EB7"/>
    <w:rsid w:val="00D20199"/>
    <w:rsid w:val="00D202BE"/>
    <w:rsid w:val="00D22D87"/>
    <w:rsid w:val="00D24138"/>
    <w:rsid w:val="00D247A3"/>
    <w:rsid w:val="00D31CEC"/>
    <w:rsid w:val="00D32F57"/>
    <w:rsid w:val="00D3391F"/>
    <w:rsid w:val="00D36ADF"/>
    <w:rsid w:val="00D4188A"/>
    <w:rsid w:val="00D429AC"/>
    <w:rsid w:val="00D42F9F"/>
    <w:rsid w:val="00D43006"/>
    <w:rsid w:val="00D45E2D"/>
    <w:rsid w:val="00D46A9A"/>
    <w:rsid w:val="00D50141"/>
    <w:rsid w:val="00D50F63"/>
    <w:rsid w:val="00D52CBB"/>
    <w:rsid w:val="00D52CD1"/>
    <w:rsid w:val="00D564FA"/>
    <w:rsid w:val="00D57008"/>
    <w:rsid w:val="00D602B6"/>
    <w:rsid w:val="00D621C4"/>
    <w:rsid w:val="00D64000"/>
    <w:rsid w:val="00D665BD"/>
    <w:rsid w:val="00D71052"/>
    <w:rsid w:val="00D7323E"/>
    <w:rsid w:val="00D76315"/>
    <w:rsid w:val="00D77DFF"/>
    <w:rsid w:val="00D90E44"/>
    <w:rsid w:val="00D93263"/>
    <w:rsid w:val="00D94C09"/>
    <w:rsid w:val="00D97BEC"/>
    <w:rsid w:val="00DA0D25"/>
    <w:rsid w:val="00DA31E7"/>
    <w:rsid w:val="00DA517C"/>
    <w:rsid w:val="00DA76BA"/>
    <w:rsid w:val="00DA7728"/>
    <w:rsid w:val="00DB23B5"/>
    <w:rsid w:val="00DB3ACB"/>
    <w:rsid w:val="00DB4393"/>
    <w:rsid w:val="00DB60BE"/>
    <w:rsid w:val="00DC0C3C"/>
    <w:rsid w:val="00DC2A92"/>
    <w:rsid w:val="00DC2B82"/>
    <w:rsid w:val="00DC6629"/>
    <w:rsid w:val="00DC78D8"/>
    <w:rsid w:val="00DD1A2E"/>
    <w:rsid w:val="00DD4AFC"/>
    <w:rsid w:val="00DD6A60"/>
    <w:rsid w:val="00DD6C76"/>
    <w:rsid w:val="00DE0319"/>
    <w:rsid w:val="00DE65D2"/>
    <w:rsid w:val="00DF1FB3"/>
    <w:rsid w:val="00DF26F3"/>
    <w:rsid w:val="00DF746B"/>
    <w:rsid w:val="00E050C8"/>
    <w:rsid w:val="00E053C8"/>
    <w:rsid w:val="00E05C17"/>
    <w:rsid w:val="00E078FF"/>
    <w:rsid w:val="00E11879"/>
    <w:rsid w:val="00E154B0"/>
    <w:rsid w:val="00E159D2"/>
    <w:rsid w:val="00E16413"/>
    <w:rsid w:val="00E16A33"/>
    <w:rsid w:val="00E17067"/>
    <w:rsid w:val="00E209C1"/>
    <w:rsid w:val="00E20DBE"/>
    <w:rsid w:val="00E21CC4"/>
    <w:rsid w:val="00E2345C"/>
    <w:rsid w:val="00E24E0E"/>
    <w:rsid w:val="00E26938"/>
    <w:rsid w:val="00E322E5"/>
    <w:rsid w:val="00E36873"/>
    <w:rsid w:val="00E42585"/>
    <w:rsid w:val="00E426E2"/>
    <w:rsid w:val="00E43943"/>
    <w:rsid w:val="00E44060"/>
    <w:rsid w:val="00E452C5"/>
    <w:rsid w:val="00E45E85"/>
    <w:rsid w:val="00E46B1D"/>
    <w:rsid w:val="00E46D64"/>
    <w:rsid w:val="00E47DBF"/>
    <w:rsid w:val="00E5137C"/>
    <w:rsid w:val="00E566BF"/>
    <w:rsid w:val="00E6642F"/>
    <w:rsid w:val="00E67592"/>
    <w:rsid w:val="00E74987"/>
    <w:rsid w:val="00E751E8"/>
    <w:rsid w:val="00E8031A"/>
    <w:rsid w:val="00E80554"/>
    <w:rsid w:val="00E838CC"/>
    <w:rsid w:val="00E83B9D"/>
    <w:rsid w:val="00E85E2D"/>
    <w:rsid w:val="00E86575"/>
    <w:rsid w:val="00E86908"/>
    <w:rsid w:val="00E9052F"/>
    <w:rsid w:val="00EA533D"/>
    <w:rsid w:val="00EB11B6"/>
    <w:rsid w:val="00EB301C"/>
    <w:rsid w:val="00EB3BFD"/>
    <w:rsid w:val="00EB692E"/>
    <w:rsid w:val="00EB6989"/>
    <w:rsid w:val="00EC4E11"/>
    <w:rsid w:val="00EC757B"/>
    <w:rsid w:val="00ED2036"/>
    <w:rsid w:val="00ED32F5"/>
    <w:rsid w:val="00ED3566"/>
    <w:rsid w:val="00ED4102"/>
    <w:rsid w:val="00ED48DC"/>
    <w:rsid w:val="00ED7952"/>
    <w:rsid w:val="00EE249D"/>
    <w:rsid w:val="00EE5F9B"/>
    <w:rsid w:val="00EE7467"/>
    <w:rsid w:val="00EE784F"/>
    <w:rsid w:val="00EF0083"/>
    <w:rsid w:val="00EF5969"/>
    <w:rsid w:val="00EF696F"/>
    <w:rsid w:val="00F00868"/>
    <w:rsid w:val="00F00B14"/>
    <w:rsid w:val="00F00C2D"/>
    <w:rsid w:val="00F03238"/>
    <w:rsid w:val="00F03B0D"/>
    <w:rsid w:val="00F03B20"/>
    <w:rsid w:val="00F056B5"/>
    <w:rsid w:val="00F10543"/>
    <w:rsid w:val="00F13B00"/>
    <w:rsid w:val="00F17DEA"/>
    <w:rsid w:val="00F204B7"/>
    <w:rsid w:val="00F22D95"/>
    <w:rsid w:val="00F24243"/>
    <w:rsid w:val="00F24569"/>
    <w:rsid w:val="00F247D4"/>
    <w:rsid w:val="00F24C8A"/>
    <w:rsid w:val="00F270CA"/>
    <w:rsid w:val="00F31D30"/>
    <w:rsid w:val="00F32E7D"/>
    <w:rsid w:val="00F33304"/>
    <w:rsid w:val="00F40747"/>
    <w:rsid w:val="00F41496"/>
    <w:rsid w:val="00F520E6"/>
    <w:rsid w:val="00F52736"/>
    <w:rsid w:val="00F563F2"/>
    <w:rsid w:val="00F6468D"/>
    <w:rsid w:val="00F65251"/>
    <w:rsid w:val="00F703FC"/>
    <w:rsid w:val="00F70450"/>
    <w:rsid w:val="00F72662"/>
    <w:rsid w:val="00F739B3"/>
    <w:rsid w:val="00F760B9"/>
    <w:rsid w:val="00F7713D"/>
    <w:rsid w:val="00F82002"/>
    <w:rsid w:val="00F84A4A"/>
    <w:rsid w:val="00F87AD2"/>
    <w:rsid w:val="00F90AB3"/>
    <w:rsid w:val="00F95258"/>
    <w:rsid w:val="00F96729"/>
    <w:rsid w:val="00F96C34"/>
    <w:rsid w:val="00FA12CC"/>
    <w:rsid w:val="00FA2677"/>
    <w:rsid w:val="00FA441F"/>
    <w:rsid w:val="00FB1188"/>
    <w:rsid w:val="00FB55C5"/>
    <w:rsid w:val="00FB651D"/>
    <w:rsid w:val="00FC1179"/>
    <w:rsid w:val="00FC3559"/>
    <w:rsid w:val="00FC4A62"/>
    <w:rsid w:val="00FC53AE"/>
    <w:rsid w:val="00FC7DAA"/>
    <w:rsid w:val="00FC7E98"/>
    <w:rsid w:val="00FC7EF7"/>
    <w:rsid w:val="00FD10F5"/>
    <w:rsid w:val="00FD4F1C"/>
    <w:rsid w:val="00FD68A5"/>
    <w:rsid w:val="00FE0B3E"/>
    <w:rsid w:val="00FE0C0B"/>
    <w:rsid w:val="00FE3C42"/>
    <w:rsid w:val="00FF2514"/>
    <w:rsid w:val="01A93014"/>
    <w:rsid w:val="029140D5"/>
    <w:rsid w:val="02984E6D"/>
    <w:rsid w:val="02A2A5E7"/>
    <w:rsid w:val="02FC44DA"/>
    <w:rsid w:val="03AF6601"/>
    <w:rsid w:val="04EC7D02"/>
    <w:rsid w:val="04FC83EA"/>
    <w:rsid w:val="0552E705"/>
    <w:rsid w:val="058BE9C7"/>
    <w:rsid w:val="05C8E197"/>
    <w:rsid w:val="0650F5DF"/>
    <w:rsid w:val="06B9A49A"/>
    <w:rsid w:val="070E91CB"/>
    <w:rsid w:val="0727BA28"/>
    <w:rsid w:val="076BBF90"/>
    <w:rsid w:val="08205F1E"/>
    <w:rsid w:val="08C38A89"/>
    <w:rsid w:val="094755C2"/>
    <w:rsid w:val="0996A1B4"/>
    <w:rsid w:val="0A8411D2"/>
    <w:rsid w:val="0B0C9357"/>
    <w:rsid w:val="0B327215"/>
    <w:rsid w:val="0B80A744"/>
    <w:rsid w:val="0C3F30B3"/>
    <w:rsid w:val="0D4263F8"/>
    <w:rsid w:val="0DB6F313"/>
    <w:rsid w:val="0DDB0114"/>
    <w:rsid w:val="0E633599"/>
    <w:rsid w:val="0E975658"/>
    <w:rsid w:val="0EAB8E22"/>
    <w:rsid w:val="0FD1B9E3"/>
    <w:rsid w:val="103326B9"/>
    <w:rsid w:val="11271B82"/>
    <w:rsid w:val="11C74164"/>
    <w:rsid w:val="12C2EBE3"/>
    <w:rsid w:val="12F03248"/>
    <w:rsid w:val="130EB77A"/>
    <w:rsid w:val="139B2E93"/>
    <w:rsid w:val="14AA87DB"/>
    <w:rsid w:val="14B794CD"/>
    <w:rsid w:val="14E0636F"/>
    <w:rsid w:val="152AFB30"/>
    <w:rsid w:val="1569FDD2"/>
    <w:rsid w:val="15916A32"/>
    <w:rsid w:val="15CDDE9A"/>
    <w:rsid w:val="1671FFEC"/>
    <w:rsid w:val="17C3A36B"/>
    <w:rsid w:val="182AEF5E"/>
    <w:rsid w:val="19ACB66D"/>
    <w:rsid w:val="1A553EAD"/>
    <w:rsid w:val="1AA14FBD"/>
    <w:rsid w:val="1AAA1BC1"/>
    <w:rsid w:val="1ADD1626"/>
    <w:rsid w:val="1B0DF1F1"/>
    <w:rsid w:val="1BDFF6B9"/>
    <w:rsid w:val="1C181E1F"/>
    <w:rsid w:val="1CE14170"/>
    <w:rsid w:val="1D7BC71A"/>
    <w:rsid w:val="1E77EB8E"/>
    <w:rsid w:val="1E7D11D1"/>
    <w:rsid w:val="1F2BBBD4"/>
    <w:rsid w:val="1F7CF56C"/>
    <w:rsid w:val="1F805F02"/>
    <w:rsid w:val="1FC83AB7"/>
    <w:rsid w:val="1FE1E1EA"/>
    <w:rsid w:val="20F37CC8"/>
    <w:rsid w:val="21190EB0"/>
    <w:rsid w:val="2175CC3B"/>
    <w:rsid w:val="217DB24B"/>
    <w:rsid w:val="22014034"/>
    <w:rsid w:val="22A910BF"/>
    <w:rsid w:val="22B7FFC4"/>
    <w:rsid w:val="2326B738"/>
    <w:rsid w:val="23CF80FE"/>
    <w:rsid w:val="23F7EDF6"/>
    <w:rsid w:val="24189E37"/>
    <w:rsid w:val="24233004"/>
    <w:rsid w:val="24B4903A"/>
    <w:rsid w:val="2516B51B"/>
    <w:rsid w:val="251BB278"/>
    <w:rsid w:val="2524DD04"/>
    <w:rsid w:val="25459ADA"/>
    <w:rsid w:val="256B515F"/>
    <w:rsid w:val="25A433FD"/>
    <w:rsid w:val="265E57FA"/>
    <w:rsid w:val="2762BE4C"/>
    <w:rsid w:val="278B70E7"/>
    <w:rsid w:val="29AA6559"/>
    <w:rsid w:val="29FFA138"/>
    <w:rsid w:val="2A62DFF0"/>
    <w:rsid w:val="2ACAC75F"/>
    <w:rsid w:val="2B54987E"/>
    <w:rsid w:val="2B6DB643"/>
    <w:rsid w:val="2C137581"/>
    <w:rsid w:val="2C36CAA8"/>
    <w:rsid w:val="2CE8D37F"/>
    <w:rsid w:val="2D17C93F"/>
    <w:rsid w:val="2D2DDE7E"/>
    <w:rsid w:val="2D6879D6"/>
    <w:rsid w:val="2E6517F7"/>
    <w:rsid w:val="2ED354C3"/>
    <w:rsid w:val="2F54A7D4"/>
    <w:rsid w:val="2F6E6B6A"/>
    <w:rsid w:val="3015231F"/>
    <w:rsid w:val="3041B392"/>
    <w:rsid w:val="30B8F917"/>
    <w:rsid w:val="31AE1DCB"/>
    <w:rsid w:val="31E007E8"/>
    <w:rsid w:val="31F0E9AB"/>
    <w:rsid w:val="32014FA1"/>
    <w:rsid w:val="320AF585"/>
    <w:rsid w:val="3222303C"/>
    <w:rsid w:val="325900EE"/>
    <w:rsid w:val="32CE238E"/>
    <w:rsid w:val="33581503"/>
    <w:rsid w:val="33BE009D"/>
    <w:rsid w:val="33FCAAAC"/>
    <w:rsid w:val="34C18277"/>
    <w:rsid w:val="3559D0FE"/>
    <w:rsid w:val="3592E4D3"/>
    <w:rsid w:val="35C3E958"/>
    <w:rsid w:val="3697B4E4"/>
    <w:rsid w:val="387D6FA6"/>
    <w:rsid w:val="3A754FAC"/>
    <w:rsid w:val="3AFF307B"/>
    <w:rsid w:val="3C14901E"/>
    <w:rsid w:val="3CDA7DCA"/>
    <w:rsid w:val="3D977C1F"/>
    <w:rsid w:val="3E1168AE"/>
    <w:rsid w:val="3ED1AAF0"/>
    <w:rsid w:val="3F049928"/>
    <w:rsid w:val="3F48C0CF"/>
    <w:rsid w:val="3FAD390F"/>
    <w:rsid w:val="406D7B51"/>
    <w:rsid w:val="413EBF05"/>
    <w:rsid w:val="41D7A504"/>
    <w:rsid w:val="41E24561"/>
    <w:rsid w:val="4272DAC8"/>
    <w:rsid w:val="42FBB3E5"/>
    <w:rsid w:val="4332A63C"/>
    <w:rsid w:val="4349BF4E"/>
    <w:rsid w:val="440EAB29"/>
    <w:rsid w:val="441525C2"/>
    <w:rsid w:val="447247F4"/>
    <w:rsid w:val="44B41E49"/>
    <w:rsid w:val="44C879BA"/>
    <w:rsid w:val="44CE769D"/>
    <w:rsid w:val="44E58FAF"/>
    <w:rsid w:val="45CF7B55"/>
    <w:rsid w:val="45ED3A5B"/>
    <w:rsid w:val="461C7A93"/>
    <w:rsid w:val="464FEEAA"/>
    <w:rsid w:val="46816010"/>
    <w:rsid w:val="46F97E83"/>
    <w:rsid w:val="474CC684"/>
    <w:rsid w:val="476B4BB6"/>
    <w:rsid w:val="476C1504"/>
    <w:rsid w:val="47EBBF0B"/>
    <w:rsid w:val="487EDD94"/>
    <w:rsid w:val="48FCB89D"/>
    <w:rsid w:val="49614F85"/>
    <w:rsid w:val="49B900D2"/>
    <w:rsid w:val="49C0EE58"/>
    <w:rsid w:val="4B08208A"/>
    <w:rsid w:val="4B54D550"/>
    <w:rsid w:val="4BB67E56"/>
    <w:rsid w:val="4BC92586"/>
    <w:rsid w:val="4BCF0F3B"/>
    <w:rsid w:val="4CC7F19A"/>
    <w:rsid w:val="4CF88F1A"/>
    <w:rsid w:val="4D5EC2B5"/>
    <w:rsid w:val="4E8C7612"/>
    <w:rsid w:val="4E945F7B"/>
    <w:rsid w:val="4F019495"/>
    <w:rsid w:val="4F1B4F6B"/>
    <w:rsid w:val="4F515DD0"/>
    <w:rsid w:val="50210355"/>
    <w:rsid w:val="507EFCC6"/>
    <w:rsid w:val="50AD0832"/>
    <w:rsid w:val="513CCD9E"/>
    <w:rsid w:val="51671AC0"/>
    <w:rsid w:val="52393557"/>
    <w:rsid w:val="5252F02D"/>
    <w:rsid w:val="529E72E1"/>
    <w:rsid w:val="52DDD7B3"/>
    <w:rsid w:val="53DCF33E"/>
    <w:rsid w:val="54577CC5"/>
    <w:rsid w:val="5466F64C"/>
    <w:rsid w:val="55D696F2"/>
    <w:rsid w:val="55F52F52"/>
    <w:rsid w:val="5602C6AD"/>
    <w:rsid w:val="563FBE7D"/>
    <w:rsid w:val="565D0A27"/>
    <w:rsid w:val="56785F95"/>
    <w:rsid w:val="56E063AA"/>
    <w:rsid w:val="57721E70"/>
    <w:rsid w:val="58881112"/>
    <w:rsid w:val="58EF87C6"/>
    <w:rsid w:val="59775F3F"/>
    <w:rsid w:val="59AEBD3E"/>
    <w:rsid w:val="59B00057"/>
    <w:rsid w:val="59D2DAAC"/>
    <w:rsid w:val="5A2A4E90"/>
    <w:rsid w:val="5A4C34C2"/>
    <w:rsid w:val="5A892E94"/>
    <w:rsid w:val="5B24D71A"/>
    <w:rsid w:val="5B7525A6"/>
    <w:rsid w:val="5C1E7DC8"/>
    <w:rsid w:val="5CB57260"/>
    <w:rsid w:val="5CF2CF01"/>
    <w:rsid w:val="5D0EB2E4"/>
    <w:rsid w:val="5EDDCAED"/>
    <w:rsid w:val="5F661743"/>
    <w:rsid w:val="5FB6571A"/>
    <w:rsid w:val="60421C30"/>
    <w:rsid w:val="604CD6D5"/>
    <w:rsid w:val="6082A13D"/>
    <w:rsid w:val="60DA63B6"/>
    <w:rsid w:val="60F0E1A0"/>
    <w:rsid w:val="6152277B"/>
    <w:rsid w:val="61DDEC91"/>
    <w:rsid w:val="61E22407"/>
    <w:rsid w:val="61E9C3FF"/>
    <w:rsid w:val="624BEE0F"/>
    <w:rsid w:val="625746A7"/>
    <w:rsid w:val="626D46DB"/>
    <w:rsid w:val="6323D12B"/>
    <w:rsid w:val="637DF468"/>
    <w:rsid w:val="638E8222"/>
    <w:rsid w:val="63FA7E29"/>
    <w:rsid w:val="6409173C"/>
    <w:rsid w:val="6438259E"/>
    <w:rsid w:val="6502C77B"/>
    <w:rsid w:val="65158D53"/>
    <w:rsid w:val="654D0C71"/>
    <w:rsid w:val="657D74C2"/>
    <w:rsid w:val="65A4E79D"/>
    <w:rsid w:val="65F94EF7"/>
    <w:rsid w:val="6620D7FD"/>
    <w:rsid w:val="6638E1DE"/>
    <w:rsid w:val="664E1EFC"/>
    <w:rsid w:val="66C622E4"/>
    <w:rsid w:val="6705FBE3"/>
    <w:rsid w:val="67582289"/>
    <w:rsid w:val="67B41F9F"/>
    <w:rsid w:val="67BCA85E"/>
    <w:rsid w:val="68A1CC44"/>
    <w:rsid w:val="68C71AA4"/>
    <w:rsid w:val="68ED41E9"/>
    <w:rsid w:val="69375143"/>
    <w:rsid w:val="69787026"/>
    <w:rsid w:val="69E8FE76"/>
    <w:rsid w:val="69FE72C5"/>
    <w:rsid w:val="6A0ED025"/>
    <w:rsid w:val="6AD321A4"/>
    <w:rsid w:val="6BAAA086"/>
    <w:rsid w:val="6BBC4DF5"/>
    <w:rsid w:val="6C828226"/>
    <w:rsid w:val="6D91AAB8"/>
    <w:rsid w:val="6DC498F0"/>
    <w:rsid w:val="6E64B4D4"/>
    <w:rsid w:val="6F9B41A5"/>
    <w:rsid w:val="70106445"/>
    <w:rsid w:val="70A1EB1A"/>
    <w:rsid w:val="7119FC11"/>
    <w:rsid w:val="71A7900C"/>
    <w:rsid w:val="71F8C9A4"/>
    <w:rsid w:val="7263E550"/>
    <w:rsid w:val="72FB43CC"/>
    <w:rsid w:val="73BE5A2E"/>
    <w:rsid w:val="73FFB5B1"/>
    <w:rsid w:val="74DC30DE"/>
    <w:rsid w:val="756DD876"/>
    <w:rsid w:val="75A59DAC"/>
    <w:rsid w:val="75F36A17"/>
    <w:rsid w:val="76667D6C"/>
    <w:rsid w:val="767B012F"/>
    <w:rsid w:val="76D534E0"/>
    <w:rsid w:val="77375A77"/>
    <w:rsid w:val="78D940E3"/>
    <w:rsid w:val="7928FB8E"/>
    <w:rsid w:val="792C22BC"/>
    <w:rsid w:val="79DD4193"/>
    <w:rsid w:val="7ADDF869"/>
    <w:rsid w:val="7B113BF4"/>
    <w:rsid w:val="7C09684C"/>
    <w:rsid w:val="7C0AC796"/>
    <w:rsid w:val="7C8D0355"/>
    <w:rsid w:val="7CEB61F3"/>
    <w:rsid w:val="7CF0BD06"/>
    <w:rsid w:val="7D545F43"/>
    <w:rsid w:val="7D6846FC"/>
    <w:rsid w:val="7E15950E"/>
    <w:rsid w:val="7E8AB7AE"/>
    <w:rsid w:val="7EA47284"/>
    <w:rsid w:val="7EAF7BA5"/>
    <w:rsid w:val="7EBE244F"/>
    <w:rsid w:val="7F141F83"/>
    <w:rsid w:val="7F15C945"/>
    <w:rsid w:val="7F2F5A0A"/>
    <w:rsid w:val="7FBB7473"/>
    <w:rsid w:val="7FC2A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1F53"/>
  <w15:chartTrackingRefBased/>
  <w15:docId w15:val="{B2051235-ACDA-4D75-8F9A-96F4E12B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570F"/>
    <w:pPr>
      <w:spacing w:after="0" w:line="240" w:lineRule="auto"/>
    </w:pPr>
    <w:rPr>
      <w:sz w:val="20"/>
      <w:szCs w:val="20"/>
    </w:rPr>
  </w:style>
  <w:style w:type="character" w:customStyle="1" w:styleId="FootnoteTextChar">
    <w:name w:val="Footnote Text Char"/>
    <w:basedOn w:val="DefaultParagraphFont"/>
    <w:link w:val="FootnoteText"/>
    <w:uiPriority w:val="99"/>
    <w:rsid w:val="0012570F"/>
    <w:rPr>
      <w:sz w:val="20"/>
      <w:szCs w:val="20"/>
    </w:rPr>
  </w:style>
  <w:style w:type="character" w:styleId="FootnoteReference">
    <w:name w:val="footnote reference"/>
    <w:basedOn w:val="DefaultParagraphFont"/>
    <w:uiPriority w:val="99"/>
    <w:semiHidden/>
    <w:unhideWhenUsed/>
    <w:rsid w:val="0012570F"/>
    <w:rPr>
      <w:vertAlign w:val="superscript"/>
    </w:rPr>
  </w:style>
  <w:style w:type="character" w:styleId="Hyperlink">
    <w:name w:val="Hyperlink"/>
    <w:basedOn w:val="DefaultParagraphFont"/>
    <w:uiPriority w:val="99"/>
    <w:unhideWhenUsed/>
    <w:rsid w:val="00A83D0D"/>
    <w:rPr>
      <w:color w:val="0563C1" w:themeColor="hyperlink"/>
      <w:u w:val="single"/>
    </w:rPr>
  </w:style>
  <w:style w:type="character" w:styleId="UnresolvedMention">
    <w:name w:val="Unresolved Mention"/>
    <w:basedOn w:val="DefaultParagraphFont"/>
    <w:uiPriority w:val="99"/>
    <w:semiHidden/>
    <w:unhideWhenUsed/>
    <w:rsid w:val="00A83D0D"/>
    <w:rPr>
      <w:color w:val="605E5C"/>
      <w:shd w:val="clear" w:color="auto" w:fill="E1DFDD"/>
    </w:rPr>
  </w:style>
  <w:style w:type="paragraph" w:styleId="Header">
    <w:name w:val="header"/>
    <w:basedOn w:val="Normal"/>
    <w:link w:val="HeaderChar"/>
    <w:uiPriority w:val="99"/>
    <w:unhideWhenUsed/>
    <w:rsid w:val="008C5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6CD"/>
  </w:style>
  <w:style w:type="paragraph" w:styleId="Footer">
    <w:name w:val="footer"/>
    <w:basedOn w:val="Normal"/>
    <w:link w:val="FooterChar"/>
    <w:uiPriority w:val="99"/>
    <w:unhideWhenUsed/>
    <w:rsid w:val="008C5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6C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F4A0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00279"/>
    <w:pPr>
      <w:ind w:left="720"/>
      <w:contextualSpacing/>
    </w:pPr>
  </w:style>
  <w:style w:type="paragraph" w:styleId="Revision">
    <w:name w:val="Revision"/>
    <w:hidden/>
    <w:uiPriority w:val="99"/>
    <w:semiHidden/>
    <w:rsid w:val="00433A76"/>
    <w:pPr>
      <w:spacing w:after="0" w:line="240" w:lineRule="auto"/>
    </w:pPr>
  </w:style>
  <w:style w:type="character" w:styleId="CommentReference">
    <w:name w:val="annotation reference"/>
    <w:basedOn w:val="DefaultParagraphFont"/>
    <w:uiPriority w:val="99"/>
    <w:semiHidden/>
    <w:unhideWhenUsed/>
    <w:rsid w:val="00FB1188"/>
    <w:rPr>
      <w:sz w:val="16"/>
      <w:szCs w:val="16"/>
    </w:rPr>
  </w:style>
  <w:style w:type="paragraph" w:styleId="CommentText">
    <w:name w:val="annotation text"/>
    <w:basedOn w:val="Normal"/>
    <w:link w:val="CommentTextChar"/>
    <w:uiPriority w:val="99"/>
    <w:semiHidden/>
    <w:unhideWhenUsed/>
    <w:rsid w:val="00FB1188"/>
    <w:pPr>
      <w:spacing w:line="240" w:lineRule="auto"/>
    </w:pPr>
    <w:rPr>
      <w:sz w:val="20"/>
      <w:szCs w:val="20"/>
    </w:rPr>
  </w:style>
  <w:style w:type="character" w:customStyle="1" w:styleId="CommentTextChar">
    <w:name w:val="Comment Text Char"/>
    <w:basedOn w:val="DefaultParagraphFont"/>
    <w:link w:val="CommentText"/>
    <w:uiPriority w:val="99"/>
    <w:semiHidden/>
    <w:rsid w:val="00FB1188"/>
    <w:rPr>
      <w:sz w:val="20"/>
      <w:szCs w:val="20"/>
    </w:rPr>
  </w:style>
  <w:style w:type="paragraph" w:styleId="CommentSubject">
    <w:name w:val="annotation subject"/>
    <w:basedOn w:val="CommentText"/>
    <w:next w:val="CommentText"/>
    <w:link w:val="CommentSubjectChar"/>
    <w:uiPriority w:val="99"/>
    <w:semiHidden/>
    <w:unhideWhenUsed/>
    <w:rsid w:val="00FB1188"/>
    <w:rPr>
      <w:b/>
      <w:bCs/>
    </w:rPr>
  </w:style>
  <w:style w:type="character" w:customStyle="1" w:styleId="CommentSubjectChar">
    <w:name w:val="Comment Subject Char"/>
    <w:basedOn w:val="CommentTextChar"/>
    <w:link w:val="CommentSubject"/>
    <w:uiPriority w:val="99"/>
    <w:semiHidden/>
    <w:rsid w:val="00FB1188"/>
    <w:rPr>
      <w:b/>
      <w:bCs/>
      <w:sz w:val="20"/>
      <w:szCs w:val="20"/>
    </w:rPr>
  </w:style>
  <w:style w:type="paragraph" w:customStyle="1" w:styleId="header14ptorangebold">
    <w:name w:val="header 14pt orange bold"/>
    <w:basedOn w:val="Normal"/>
    <w:uiPriority w:val="99"/>
    <w:rsid w:val="00303483"/>
    <w:pPr>
      <w:widowControl w:val="0"/>
      <w:suppressAutoHyphens/>
      <w:autoSpaceDE w:val="0"/>
      <w:autoSpaceDN w:val="0"/>
      <w:adjustRightInd w:val="0"/>
      <w:spacing w:after="0" w:line="320" w:lineRule="atLeast"/>
      <w:textAlignment w:val="center"/>
    </w:pPr>
    <w:rPr>
      <w:rFonts w:ascii="Arial Bold" w:eastAsia="Times New Roman" w:hAnsi="Arial Bold" w:cs="Futura-Bold"/>
      <w:bCs/>
      <w:color w:val="DF6C08"/>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82815">
      <w:bodyDiv w:val="1"/>
      <w:marLeft w:val="0"/>
      <w:marRight w:val="0"/>
      <w:marTop w:val="0"/>
      <w:marBottom w:val="0"/>
      <w:divBdr>
        <w:top w:val="none" w:sz="0" w:space="0" w:color="auto"/>
        <w:left w:val="none" w:sz="0" w:space="0" w:color="auto"/>
        <w:bottom w:val="none" w:sz="0" w:space="0" w:color="auto"/>
        <w:right w:val="none" w:sz="0" w:space="0" w:color="auto"/>
      </w:divBdr>
    </w:div>
    <w:div w:id="815531823">
      <w:bodyDiv w:val="1"/>
      <w:marLeft w:val="0"/>
      <w:marRight w:val="0"/>
      <w:marTop w:val="0"/>
      <w:marBottom w:val="0"/>
      <w:divBdr>
        <w:top w:val="none" w:sz="0" w:space="0" w:color="auto"/>
        <w:left w:val="none" w:sz="0" w:space="0" w:color="auto"/>
        <w:bottom w:val="none" w:sz="0" w:space="0" w:color="auto"/>
        <w:right w:val="none" w:sz="0" w:space="0" w:color="auto"/>
      </w:divBdr>
    </w:div>
    <w:div w:id="115968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doi.org/10.1787/63629cc9-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1108/JSBED-05-2016-0075"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oi.org/10.2139/ssrn.1497769"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s://do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787/9789264293137-en" TargetMode="Externa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yperlink" Target="https://doi.org/10.1787/c19b6f97-en" TargetMode="External"/><Relationship Id="rId10" Type="http://schemas.openxmlformats.org/officeDocument/2006/relationships/endnotes" Target="endnotes.xml"/><Relationship Id="rId19" Type="http://schemas.openxmlformats.org/officeDocument/2006/relationships/hyperlink" Target="https://doi.org/10.1007/s11187-018-007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hyperlink" Target="https://doi.org/10.1007/s11187-021-00450-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odayspaper.smedia.com.au/afr/shared/ShowArticle.aspx?doc=AFR%2F2021%2F03%2F18&amp;entity=Ar01303&amp;sk=431F20EE&amp;mode=tex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rds.shares.deakin.edu.au\rds\RDS9505-Governance\Governance-Covenants\SME_RESEARCH_CENTRE_WORK\IPA%20Small%20Business%20White%20Paper\Production%20Efficiency\Productivity%20Submission\ABS%20Data\output_te.od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rds.shares.deakin.edu.au\rds\RDS9505-Governance\Governance-Covenants\SME_RESEARCH_CENTRE_WORK\IPA%20Small%20Business%20White%20Paper\Production%20Efficiency\Productivity%20Submission\ABS%20Data\te_scaled.ods"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rds.shares.deakin.edu.au\rds\RDS9505-Governance\Governance-Covenants\SME_RESEARCH_CENTRE_WORK\IPA%20Small%20Business%20White%20Paper\Production%20Efficiency\Productivity%20Submission\ABS%20Data\te_scaled.ods"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rds.shares.deakin.edu.au\rds\RDS9505-Governance\Governance-Covenants\SME_RESEARCH_CENTRE_WORK\IPA%20Small%20Business%20White%20Paper\Production%20Efficiency\Productivity%20Submission\ABS%20Data\R%20&amp;%20D%20expenditure.od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Productivity Growth</c:v>
          </c:tx>
          <c:spPr>
            <a:ln w="28575" cap="rnd">
              <a:solidFill>
                <a:srgbClr val="4472C4"/>
              </a:solidFill>
              <a:prstDash val="solid"/>
              <a:round/>
            </a:ln>
          </c:spPr>
          <c:marker>
            <c:symbol val="none"/>
          </c:marker>
          <c:cat>
            <c:numRef>
              <c:f>Sheet2!$F$39:$F$51</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Sheet2!$G$39:$G$51</c:f>
              <c:numCache>
                <c:formatCode>0.00%</c:formatCode>
                <c:ptCount val="13"/>
                <c:pt idx="1">
                  <c:v>3.8596491228070212E-2</c:v>
                </c:pt>
                <c:pt idx="2">
                  <c:v>6.7567567567567632E-3</c:v>
                </c:pt>
                <c:pt idx="3">
                  <c:v>4.0268456375838965E-2</c:v>
                </c:pt>
                <c:pt idx="4">
                  <c:v>6.4516129032258125E-3</c:v>
                </c:pt>
                <c:pt idx="5">
                  <c:v>2.8846153846153872E-2</c:v>
                </c:pt>
                <c:pt idx="6">
                  <c:v>6.2305295950155814E-3</c:v>
                </c:pt>
                <c:pt idx="7">
                  <c:v>6.1919504643962904E-3</c:v>
                </c:pt>
                <c:pt idx="8">
                  <c:v>-1.5384615384615398E-2</c:v>
                </c:pt>
                <c:pt idx="9">
                  <c:v>2.8125000000000025E-2</c:v>
                </c:pt>
                <c:pt idx="10">
                  <c:v>1.5197568389057763E-2</c:v>
                </c:pt>
                <c:pt idx="11">
                  <c:v>2.9940119760479065E-3</c:v>
                </c:pt>
                <c:pt idx="12">
                  <c:v>8.0597014925373037E-2</c:v>
                </c:pt>
              </c:numCache>
            </c:numRef>
          </c:val>
          <c:smooth val="0"/>
          <c:extLst>
            <c:ext xmlns:c16="http://schemas.microsoft.com/office/drawing/2014/chart" uri="{C3380CC4-5D6E-409C-BE32-E72D297353CC}">
              <c16:uniqueId val="{00000000-161A-46B5-AAF9-E8A9BE8C5C37}"/>
            </c:ext>
          </c:extLst>
        </c:ser>
        <c:dLbls>
          <c:showLegendKey val="0"/>
          <c:showVal val="0"/>
          <c:showCatName val="0"/>
          <c:showSerName val="0"/>
          <c:showPercent val="0"/>
          <c:showBubbleSize val="0"/>
        </c:dLbls>
        <c:smooth val="0"/>
        <c:axId val="1874205503"/>
        <c:axId val="1874205087"/>
      </c:lineChart>
      <c:valAx>
        <c:axId val="1874205087"/>
        <c:scaling>
          <c:orientation val="minMax"/>
        </c:scaling>
        <c:delete val="0"/>
        <c:axPos val="l"/>
        <c:majorGridlines>
          <c:spPr>
            <a:ln w="9528" cap="flat">
              <a:solidFill>
                <a:srgbClr val="D9D9D9"/>
              </a:solidFill>
              <a:prstDash val="solid"/>
              <a:round/>
            </a:ln>
          </c:spPr>
        </c:majorGridlines>
        <c:numFmt formatCode="0.00%"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1874205503"/>
        <c:crosses val="autoZero"/>
        <c:crossBetween val="between"/>
      </c:valAx>
      <c:catAx>
        <c:axId val="1874205503"/>
        <c:scaling>
          <c:orientation val="minMax"/>
        </c:scaling>
        <c:delete val="1"/>
        <c:axPos val="b"/>
        <c:title>
          <c:tx>
            <c:rich>
              <a:bodyPr/>
              <a:lstStyle/>
              <a:p>
                <a:pPr>
                  <a:defRPr/>
                </a:pPr>
                <a:r>
                  <a:rPr lang="en-AU" b="0"/>
                  <a:t>Year by Year Growth Rate</a:t>
                </a:r>
              </a:p>
            </c:rich>
          </c:tx>
          <c:layout>
            <c:manualLayout>
              <c:xMode val="edge"/>
              <c:yMode val="edge"/>
              <c:x val="0.5102286866470197"/>
              <c:y val="0.94296939173726801"/>
            </c:manualLayout>
          </c:layout>
          <c:overlay val="0"/>
        </c:title>
        <c:numFmt formatCode="General" sourceLinked="1"/>
        <c:majorTickMark val="none"/>
        <c:minorTickMark val="none"/>
        <c:tickLblPos val="nextTo"/>
        <c:crossAx val="1874205087"/>
        <c:crosses val="autoZero"/>
        <c:auto val="1"/>
        <c:lblAlgn val="ctr"/>
        <c:lblOffset val="100"/>
        <c:noMultiLvlLbl val="0"/>
      </c:catAx>
      <c:dTable>
        <c:showHorzBorder val="1"/>
        <c:showVertBorder val="1"/>
        <c:showOutline val="1"/>
        <c:showKeys val="1"/>
      </c:dTable>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Sheet1!$A$1:$A$19</c:f>
              <c:strCache>
                <c:ptCount val="19"/>
                <c:pt idx="0">
                  <c:v>Agriculture, Forestry and Fishing</c:v>
                </c:pt>
                <c:pt idx="1">
                  <c:v>Finance and Insurance Services</c:v>
                </c:pt>
                <c:pt idx="2">
                  <c:v>Rental, Hiring and Real Estate Services</c:v>
                </c:pt>
                <c:pt idx="3">
                  <c:v>Retail Trade</c:v>
                </c:pt>
                <c:pt idx="4">
                  <c:v>Administrative and Support Services</c:v>
                </c:pt>
                <c:pt idx="5">
                  <c:v>Construction</c:v>
                </c:pt>
                <c:pt idx="6">
                  <c:v>Electricity, Water and Waste Service</c:v>
                </c:pt>
                <c:pt idx="7">
                  <c:v>Arts and Recreation Services</c:v>
                </c:pt>
                <c:pt idx="8">
                  <c:v>Professional, Scientific and Technical Services</c:v>
                </c:pt>
                <c:pt idx="9">
                  <c:v>Accommodation and Food Services</c:v>
                </c:pt>
                <c:pt idx="10">
                  <c:v> Transport, Postal and Warehousing</c:v>
                </c:pt>
                <c:pt idx="11">
                  <c:v>Wholesale Trade</c:v>
                </c:pt>
                <c:pt idx="12">
                  <c:v>Information Media and Telecommunications</c:v>
                </c:pt>
                <c:pt idx="13">
                  <c:v>Other Services</c:v>
                </c:pt>
                <c:pt idx="14">
                  <c:v>Healthcare and Social Assistance</c:v>
                </c:pt>
                <c:pt idx="15">
                  <c:v>Mining</c:v>
                </c:pt>
                <c:pt idx="16">
                  <c:v>Manufacturing</c:v>
                </c:pt>
                <c:pt idx="17">
                  <c:v>Education and Training</c:v>
                </c:pt>
                <c:pt idx="18">
                  <c:v>Public Administration and Safety</c:v>
                </c:pt>
              </c:strCache>
            </c:strRef>
          </c:cat>
          <c:val>
            <c:numRef>
              <c:f>Sheet1!$B$1:$B$19</c:f>
              <c:numCache>
                <c:formatCode>0.000</c:formatCode>
                <c:ptCount val="19"/>
                <c:pt idx="0">
                  <c:v>0.17615600000000001</c:v>
                </c:pt>
                <c:pt idx="1">
                  <c:v>0.2462317</c:v>
                </c:pt>
                <c:pt idx="2">
                  <c:v>0.28654190000000002</c:v>
                </c:pt>
                <c:pt idx="3">
                  <c:v>0.2945391</c:v>
                </c:pt>
                <c:pt idx="4">
                  <c:v>0.30432169999999997</c:v>
                </c:pt>
                <c:pt idx="5">
                  <c:v>0.31274570000000002</c:v>
                </c:pt>
                <c:pt idx="6">
                  <c:v>0.31548349999999997</c:v>
                </c:pt>
                <c:pt idx="7">
                  <c:v>0.32175419999999999</c:v>
                </c:pt>
                <c:pt idx="8">
                  <c:v>0.332289</c:v>
                </c:pt>
                <c:pt idx="9">
                  <c:v>0.33318700000000001</c:v>
                </c:pt>
                <c:pt idx="10">
                  <c:v>0.35170289999999998</c:v>
                </c:pt>
                <c:pt idx="11">
                  <c:v>0.35458319999999999</c:v>
                </c:pt>
                <c:pt idx="12">
                  <c:v>0.35588180000000003</c:v>
                </c:pt>
                <c:pt idx="13">
                  <c:v>0.36033979999999999</c:v>
                </c:pt>
                <c:pt idx="14">
                  <c:v>0.38280229999999998</c:v>
                </c:pt>
                <c:pt idx="15">
                  <c:v>0.39124379999999997</c:v>
                </c:pt>
                <c:pt idx="16">
                  <c:v>0.398949</c:v>
                </c:pt>
                <c:pt idx="17">
                  <c:v>0.40237679999999998</c:v>
                </c:pt>
                <c:pt idx="18">
                  <c:v>0.42511840000000001</c:v>
                </c:pt>
              </c:numCache>
            </c:numRef>
          </c:val>
          <c:extLst>
            <c:ext xmlns:c16="http://schemas.microsoft.com/office/drawing/2014/chart" uri="{C3380CC4-5D6E-409C-BE32-E72D297353CC}">
              <c16:uniqueId val="{00000000-3F73-4FC2-A161-A087BD8357AC}"/>
            </c:ext>
          </c:extLst>
        </c:ser>
        <c:dLbls>
          <c:dLblPos val="outEnd"/>
          <c:showLegendKey val="0"/>
          <c:showVal val="1"/>
          <c:showCatName val="0"/>
          <c:showSerName val="0"/>
          <c:showPercent val="0"/>
          <c:showBubbleSize val="0"/>
        </c:dLbls>
        <c:gapWidth val="182"/>
        <c:axId val="1858232127"/>
        <c:axId val="1858240031"/>
      </c:barChart>
      <c:catAx>
        <c:axId val="18582321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8240031"/>
        <c:crosses val="autoZero"/>
        <c:auto val="1"/>
        <c:lblAlgn val="ctr"/>
        <c:lblOffset val="100"/>
        <c:noMultiLvlLbl val="0"/>
      </c:catAx>
      <c:valAx>
        <c:axId val="1858240031"/>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Technical Efficiency Score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crossAx val="18582321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Sheet1!$A$37:$A$44</c:f>
              <c:strCache>
                <c:ptCount val="8"/>
                <c:pt idx="0">
                  <c:v>Innovators</c:v>
                </c:pt>
                <c:pt idx="1">
                  <c:v>Non-Innovators</c:v>
                </c:pt>
                <c:pt idx="3">
                  <c:v>Exporters</c:v>
                </c:pt>
                <c:pt idx="4">
                  <c:v>Non-Exporters</c:v>
                </c:pt>
                <c:pt idx="6">
                  <c:v>Export Heavy Industries</c:v>
                </c:pt>
                <c:pt idx="7">
                  <c:v>Non-Export Heavy Industries</c:v>
                </c:pt>
              </c:strCache>
            </c:strRef>
          </c:cat>
          <c:val>
            <c:numRef>
              <c:f>Sheet1!$B$37:$B$44</c:f>
              <c:numCache>
                <c:formatCode>0.000</c:formatCode>
                <c:ptCount val="8"/>
                <c:pt idx="0">
                  <c:v>0.35699999999999998</c:v>
                </c:pt>
                <c:pt idx="1">
                  <c:v>0.32</c:v>
                </c:pt>
                <c:pt idx="3">
                  <c:v>0.38400000000000001</c:v>
                </c:pt>
                <c:pt idx="4">
                  <c:v>0.29699999999999999</c:v>
                </c:pt>
                <c:pt idx="6">
                  <c:v>0.38100000000000001</c:v>
                </c:pt>
                <c:pt idx="7">
                  <c:v>0.30199999999999999</c:v>
                </c:pt>
              </c:numCache>
            </c:numRef>
          </c:val>
          <c:extLst>
            <c:ext xmlns:c16="http://schemas.microsoft.com/office/drawing/2014/chart" uri="{C3380CC4-5D6E-409C-BE32-E72D297353CC}">
              <c16:uniqueId val="{00000000-8EC6-4D4C-A4CB-DE47278236A2}"/>
            </c:ext>
          </c:extLst>
        </c:ser>
        <c:dLbls>
          <c:dLblPos val="outEnd"/>
          <c:showLegendKey val="0"/>
          <c:showVal val="1"/>
          <c:showCatName val="0"/>
          <c:showSerName val="0"/>
          <c:showPercent val="0"/>
          <c:showBubbleSize val="0"/>
        </c:dLbls>
        <c:gapWidth val="182"/>
        <c:axId val="1858227967"/>
        <c:axId val="1858245855"/>
      </c:barChart>
      <c:catAx>
        <c:axId val="18582279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8245855"/>
        <c:crosses val="autoZero"/>
        <c:auto val="1"/>
        <c:lblAlgn val="ctr"/>
        <c:lblOffset val="100"/>
        <c:noMultiLvlLbl val="0"/>
      </c:catAx>
      <c:valAx>
        <c:axId val="1858245855"/>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Technical Efficency Score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crossAx val="18582279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R&amp;D Expenditure Activities</c:v>
          </c:tx>
          <c:spPr>
            <a:ln w="28575" cap="rnd">
              <a:solidFill>
                <a:schemeClr val="accent1"/>
              </a:solidFill>
              <a:round/>
            </a:ln>
            <a:effectLst/>
          </c:spPr>
          <c:marker>
            <c:symbol val="none"/>
          </c:marker>
          <c:cat>
            <c:numRef>
              <c:f>percentage_rnd!$A$36:$A$48</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percentage_rnd!$D$36:$D$48</c:f>
              <c:numCache>
                <c:formatCode>0.00%</c:formatCode>
                <c:ptCount val="13"/>
                <c:pt idx="1">
                  <c:v>-4.3522611356681402E-2</c:v>
                </c:pt>
                <c:pt idx="2">
                  <c:v>7.8634085213032584E-2</c:v>
                </c:pt>
                <c:pt idx="3">
                  <c:v>6.7757009345794386E-2</c:v>
                </c:pt>
                <c:pt idx="4">
                  <c:v>0.11615900877645845</c:v>
                </c:pt>
                <c:pt idx="5">
                  <c:v>5.211646684609738E-2</c:v>
                </c:pt>
                <c:pt idx="6">
                  <c:v>-1.1914209115281502</c:v>
                </c:pt>
                <c:pt idx="7">
                  <c:v>4.3099025141098E-2</c:v>
                </c:pt>
                <c:pt idx="8">
                  <c:v>-0.10550198525241067</c:v>
                </c:pt>
                <c:pt idx="9">
                  <c:v>-5.128205128205128E-2</c:v>
                </c:pt>
                <c:pt idx="10">
                  <c:v>4.1567695961995249E-3</c:v>
                </c:pt>
                <c:pt idx="11">
                  <c:v>-6.1790668348045398E-2</c:v>
                </c:pt>
                <c:pt idx="12">
                  <c:v>-8.2644628099173556E-3</c:v>
                </c:pt>
              </c:numCache>
            </c:numRef>
          </c:val>
          <c:smooth val="0"/>
          <c:extLst>
            <c:ext xmlns:c16="http://schemas.microsoft.com/office/drawing/2014/chart" uri="{C3380CC4-5D6E-409C-BE32-E72D297353CC}">
              <c16:uniqueId val="{00000000-679E-4C81-9AEF-5444042CE4FF}"/>
            </c:ext>
          </c:extLst>
        </c:ser>
        <c:dLbls>
          <c:showLegendKey val="0"/>
          <c:showVal val="0"/>
          <c:showCatName val="0"/>
          <c:showSerName val="0"/>
          <c:showPercent val="0"/>
          <c:showBubbleSize val="0"/>
        </c:dLbls>
        <c:smooth val="0"/>
        <c:axId val="1429240623"/>
        <c:axId val="1429241039"/>
      </c:lineChart>
      <c:catAx>
        <c:axId val="1429240623"/>
        <c:scaling>
          <c:orientation val="minMax"/>
        </c:scaling>
        <c:delete val="1"/>
        <c:axPos val="b"/>
        <c:numFmt formatCode="General" sourceLinked="1"/>
        <c:majorTickMark val="none"/>
        <c:minorTickMark val="none"/>
        <c:tickLblPos val="nextTo"/>
        <c:crossAx val="1429241039"/>
        <c:crosses val="autoZero"/>
        <c:auto val="1"/>
        <c:lblAlgn val="ctr"/>
        <c:lblOffset val="100"/>
        <c:noMultiLvlLbl val="0"/>
      </c:catAx>
      <c:valAx>
        <c:axId val="142924103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92406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DD0CFF5CA60241AE272273E0F465D8" ma:contentTypeVersion="4" ma:contentTypeDescription="Create a new document." ma:contentTypeScope="" ma:versionID="0f6fe8f61ea2485fd4e57c2c122e9aa6">
  <xsd:schema xmlns:xsd="http://www.w3.org/2001/XMLSchema" xmlns:xs="http://www.w3.org/2001/XMLSchema" xmlns:p="http://schemas.microsoft.com/office/2006/metadata/properties" xmlns:ns2="b9705e1a-3775-4175-b00e-9a29489c6fb9" targetNamespace="http://schemas.microsoft.com/office/2006/metadata/properties" ma:root="true" ma:fieldsID="c184ef44c640e5b70894bda83c52dd67" ns2:_="">
    <xsd:import namespace="b9705e1a-3775-4175-b00e-9a29489c6f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05e1a-3775-4175-b00e-9a29489c6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E451D-7DCA-4B81-8CF3-82EDE0AD31EC}">
  <ds:schemaRefs>
    <ds:schemaRef ds:uri="http://schemas.openxmlformats.org/officeDocument/2006/bibliography"/>
  </ds:schemaRefs>
</ds:datastoreItem>
</file>

<file path=customXml/itemProps2.xml><?xml version="1.0" encoding="utf-8"?>
<ds:datastoreItem xmlns:ds="http://schemas.openxmlformats.org/officeDocument/2006/customXml" ds:itemID="{B4E10054-A6AA-4C10-82DA-60282BDE4F09}">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b9705e1a-3775-4175-b00e-9a29489c6fb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DF46B92-9740-48E7-8BCD-EDA613471242}">
  <ds:schemaRefs>
    <ds:schemaRef ds:uri="http://schemas.microsoft.com/sharepoint/v3/contenttype/forms"/>
  </ds:schemaRefs>
</ds:datastoreItem>
</file>

<file path=customXml/itemProps4.xml><?xml version="1.0" encoding="utf-8"?>
<ds:datastoreItem xmlns:ds="http://schemas.openxmlformats.org/officeDocument/2006/customXml" ds:itemID="{D4803A33-6C67-4CD9-AD12-703707B46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05e1a-3775-4175-b00e-9a29489c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8199</Words>
  <Characters>46736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Submission 31 - IPA-Deakin SME Research Centre (IDSRC) - Productivity - Public inquiry</vt:lpstr>
    </vt:vector>
  </TitlesOfParts>
  <Company>IPA-Deakin SME Research Centre (IDSRC)</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31 - IPA-Deakin SME Research Centre (IDSRC) - Productivity - Public inquiry</dc:title>
  <dc:subject/>
  <dc:creator>IPA-Deakin SME Research Centre (IDSRC)</dc:creator>
  <cp:keywords/>
  <dc:description/>
  <cp:lastModifiedBy>Dobson, Bianca</cp:lastModifiedBy>
  <cp:revision>10</cp:revision>
  <dcterms:created xsi:type="dcterms:W3CDTF">2022-03-23T04:39:00Z</dcterms:created>
  <dcterms:modified xsi:type="dcterms:W3CDTF">2022-03-25T01:20:00Z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0x010100DDDD0CFF5CA60241AE272273E0F465D8</vt:lpwstr>
  </property>
</Properties>
</file>