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A6676" w14:textId="5A84046C" w:rsidR="00294078" w:rsidRPr="0049023D" w:rsidRDefault="00040094">
      <w:pPr>
        <w:rPr>
          <w:color w:val="0070C0"/>
          <w:sz w:val="36"/>
          <w:szCs w:val="36"/>
          <w:lang w:val="en-US"/>
        </w:rPr>
      </w:pPr>
      <w:r w:rsidRPr="0049023D">
        <w:rPr>
          <w:color w:val="0070C0"/>
          <w:sz w:val="36"/>
          <w:szCs w:val="36"/>
          <w:lang w:val="en-US"/>
        </w:rPr>
        <w:t xml:space="preserve">CatholicCare Sydney’s submission </w:t>
      </w:r>
      <w:r w:rsidR="00236E1C" w:rsidRPr="0049023D">
        <w:rPr>
          <w:color w:val="0070C0"/>
          <w:sz w:val="36"/>
          <w:szCs w:val="36"/>
          <w:lang w:val="en-US"/>
        </w:rPr>
        <w:t xml:space="preserve">to the Productivity Commission to </w:t>
      </w:r>
      <w:r w:rsidR="008A3120" w:rsidRPr="0049023D">
        <w:rPr>
          <w:color w:val="0070C0"/>
          <w:sz w:val="36"/>
          <w:szCs w:val="36"/>
          <w:lang w:val="en-US"/>
        </w:rPr>
        <w:t>double giving by 2030</w:t>
      </w:r>
    </w:p>
    <w:p w14:paraId="7E61346B" w14:textId="77777777" w:rsidR="00D13AC1" w:rsidRDefault="00D13AC1">
      <w:pPr>
        <w:rPr>
          <w:b/>
          <w:bCs/>
          <w:color w:val="0070C0"/>
          <w:sz w:val="28"/>
          <w:szCs w:val="28"/>
          <w:lang w:val="en-US"/>
        </w:rPr>
      </w:pPr>
      <w:r>
        <w:rPr>
          <w:b/>
          <w:bCs/>
          <w:color w:val="0070C0"/>
          <w:sz w:val="28"/>
          <w:szCs w:val="28"/>
          <w:lang w:val="en-US"/>
        </w:rPr>
        <w:t>Double Giving by 2023</w:t>
      </w:r>
    </w:p>
    <w:p w14:paraId="55F91C6D" w14:textId="214CB69A" w:rsidR="008A3120" w:rsidRPr="00D13AC1" w:rsidRDefault="00040094">
      <w:pPr>
        <w:rPr>
          <w:lang w:val="en-US"/>
        </w:rPr>
      </w:pPr>
      <w:r w:rsidRPr="00D13AC1">
        <w:rPr>
          <w:lang w:val="en-US"/>
        </w:rPr>
        <w:t xml:space="preserve">CatholicCare Sydney </w:t>
      </w:r>
      <w:r w:rsidR="00293B88">
        <w:rPr>
          <w:lang w:val="en-US"/>
        </w:rPr>
        <w:t xml:space="preserve">supports and endorses </w:t>
      </w:r>
      <w:r w:rsidR="00236E1C" w:rsidRPr="00D13AC1">
        <w:rPr>
          <w:lang w:val="en-US"/>
        </w:rPr>
        <w:t>Philanthropy Australia</w:t>
      </w:r>
      <w:r w:rsidR="00293B88">
        <w:rPr>
          <w:lang w:val="en-US"/>
        </w:rPr>
        <w:t>’s</w:t>
      </w:r>
      <w:r w:rsidRPr="00D13AC1">
        <w:rPr>
          <w:lang w:val="en-US"/>
        </w:rPr>
        <w:t xml:space="preserve"> submission </w:t>
      </w:r>
      <w:r w:rsidR="00293B88">
        <w:rPr>
          <w:lang w:val="en-US"/>
        </w:rPr>
        <w:t xml:space="preserve">to the Productivity Commission </w:t>
      </w:r>
      <w:r w:rsidR="00980A10">
        <w:rPr>
          <w:lang w:val="en-US"/>
        </w:rPr>
        <w:t xml:space="preserve">into Australian Philanthropy </w:t>
      </w:r>
      <w:r w:rsidR="00236E1C" w:rsidRPr="00D13AC1">
        <w:rPr>
          <w:lang w:val="en-US"/>
        </w:rPr>
        <w:t>– A Strategy to Double Giving by 2023.</w:t>
      </w:r>
    </w:p>
    <w:p w14:paraId="3CF2782D" w14:textId="7C501196" w:rsidR="00236E1C" w:rsidRPr="00D13AC1" w:rsidRDefault="00980A10">
      <w:pPr>
        <w:rPr>
          <w:lang w:val="en-US"/>
        </w:rPr>
      </w:pPr>
      <w:r>
        <w:rPr>
          <w:lang w:val="en-US"/>
        </w:rPr>
        <w:t xml:space="preserve">CatholicCare Sydney supports </w:t>
      </w:r>
      <w:r w:rsidR="00D13AC1">
        <w:rPr>
          <w:lang w:val="en-US"/>
        </w:rPr>
        <w:t xml:space="preserve"> key initiatives</w:t>
      </w:r>
      <w:r>
        <w:rPr>
          <w:lang w:val="en-US"/>
        </w:rPr>
        <w:t xml:space="preserve"> that will enhance collaboration between government and community to drive innovative social impact including</w:t>
      </w:r>
      <w:r w:rsidR="00D13AC1">
        <w:rPr>
          <w:lang w:val="en-US"/>
        </w:rPr>
        <w:t>;</w:t>
      </w:r>
    </w:p>
    <w:p w14:paraId="7D3A1275" w14:textId="77777777" w:rsidR="00040094" w:rsidRDefault="00040094" w:rsidP="00040094">
      <w:pPr>
        <w:pStyle w:val="Heading2"/>
        <w:numPr>
          <w:ilvl w:val="0"/>
          <w:numId w:val="1"/>
        </w:numPr>
        <w:tabs>
          <w:tab w:val="num" w:pos="360"/>
          <w:tab w:val="left" w:pos="571"/>
        </w:tabs>
        <w:ind w:left="779" w:hanging="568"/>
      </w:pPr>
      <w:r>
        <w:rPr>
          <w:color w:val="0462C1"/>
        </w:rPr>
        <w:t>A</w:t>
      </w:r>
      <w:r>
        <w:rPr>
          <w:color w:val="0462C1"/>
          <w:spacing w:val="-4"/>
        </w:rPr>
        <w:t xml:space="preserve"> </w:t>
      </w:r>
      <w:r>
        <w:rPr>
          <w:color w:val="0462C1"/>
        </w:rPr>
        <w:t>policy</w:t>
      </w:r>
      <w:r>
        <w:rPr>
          <w:color w:val="0462C1"/>
          <w:spacing w:val="-6"/>
        </w:rPr>
        <w:t xml:space="preserve"> </w:t>
      </w:r>
      <w:r>
        <w:rPr>
          <w:color w:val="0462C1"/>
        </w:rPr>
        <w:t>environment</w:t>
      </w:r>
      <w:r>
        <w:rPr>
          <w:color w:val="0462C1"/>
          <w:spacing w:val="-5"/>
        </w:rPr>
        <w:t xml:space="preserve"> </w:t>
      </w:r>
      <w:r>
        <w:rPr>
          <w:color w:val="0462C1"/>
        </w:rPr>
        <w:t>that</w:t>
      </w:r>
      <w:r>
        <w:rPr>
          <w:color w:val="0462C1"/>
          <w:spacing w:val="-4"/>
        </w:rPr>
        <w:t xml:space="preserve"> </w:t>
      </w:r>
      <w:r>
        <w:rPr>
          <w:color w:val="0462C1"/>
        </w:rPr>
        <w:t>fosters</w:t>
      </w:r>
      <w:r>
        <w:rPr>
          <w:color w:val="0462C1"/>
          <w:spacing w:val="-6"/>
        </w:rPr>
        <w:t xml:space="preserve"> </w:t>
      </w:r>
      <w:r>
        <w:rPr>
          <w:color w:val="0462C1"/>
          <w:spacing w:val="-2"/>
        </w:rPr>
        <w:t>giving</w:t>
      </w:r>
    </w:p>
    <w:p w14:paraId="37E3011A" w14:textId="77777777" w:rsidR="00040094" w:rsidRDefault="00040094" w:rsidP="00040094">
      <w:pPr>
        <w:pStyle w:val="BodyText"/>
        <w:spacing w:before="68" w:line="259" w:lineRule="auto"/>
        <w:ind w:left="212" w:right="282"/>
      </w:pPr>
      <w:r>
        <w:t>The 2022 Global Philanthropy Environment Index shows Australia’s environment for encouraging philanthropy ranks 19</w:t>
      </w:r>
      <w:r>
        <w:rPr>
          <w:vertAlign w:val="superscript"/>
        </w:rPr>
        <w:t>th</w:t>
      </w:r>
      <w:r>
        <w:t xml:space="preserve"> in</w:t>
      </w:r>
      <w:r>
        <w:rPr>
          <w:spacing w:val="-2"/>
        </w:rPr>
        <w:t xml:space="preserve"> </w:t>
      </w:r>
      <w:r>
        <w:t>the</w:t>
      </w:r>
      <w:r>
        <w:rPr>
          <w:spacing w:val="-3"/>
        </w:rPr>
        <w:t xml:space="preserve"> </w:t>
      </w:r>
      <w:r>
        <w:t>world</w:t>
      </w:r>
      <w:r>
        <w:rPr>
          <w:spacing w:val="-2"/>
        </w:rPr>
        <w:t xml:space="preserve"> </w:t>
      </w:r>
      <w:r>
        <w:t>–</w:t>
      </w:r>
      <w:r>
        <w:rPr>
          <w:spacing w:val="-3"/>
        </w:rPr>
        <w:t xml:space="preserve"> </w:t>
      </w:r>
      <w:r>
        <w:t>at</w:t>
      </w:r>
      <w:r>
        <w:rPr>
          <w:spacing w:val="-3"/>
        </w:rPr>
        <w:t xml:space="preserve"> </w:t>
      </w:r>
      <w:r>
        <w:t>4.27</w:t>
      </w:r>
      <w:r>
        <w:rPr>
          <w:spacing w:val="-3"/>
        </w:rPr>
        <w:t xml:space="preserve"> </w:t>
      </w:r>
      <w:r>
        <w:t>out</w:t>
      </w:r>
      <w:r>
        <w:rPr>
          <w:spacing w:val="-1"/>
        </w:rPr>
        <w:t xml:space="preserve"> </w:t>
      </w:r>
      <w:r>
        <w:t>of</w:t>
      </w:r>
      <w:r>
        <w:rPr>
          <w:spacing w:val="-4"/>
        </w:rPr>
        <w:t xml:space="preserve"> </w:t>
      </w:r>
      <w:r>
        <w:t>5 – below</w:t>
      </w:r>
      <w:r>
        <w:rPr>
          <w:spacing w:val="-3"/>
        </w:rPr>
        <w:t xml:space="preserve"> </w:t>
      </w:r>
      <w:r>
        <w:t>a</w:t>
      </w:r>
      <w:r>
        <w:rPr>
          <w:spacing w:val="-1"/>
        </w:rPr>
        <w:t xml:space="preserve"> </w:t>
      </w:r>
      <w:r>
        <w:t>group</w:t>
      </w:r>
      <w:r>
        <w:rPr>
          <w:spacing w:val="-2"/>
        </w:rPr>
        <w:t xml:space="preserve"> </w:t>
      </w:r>
      <w:r>
        <w:t>of</w:t>
      </w:r>
      <w:r>
        <w:rPr>
          <w:spacing w:val="-1"/>
        </w:rPr>
        <w:t xml:space="preserve"> </w:t>
      </w:r>
      <w:r>
        <w:t>advanced</w:t>
      </w:r>
      <w:r>
        <w:rPr>
          <w:spacing w:val="-1"/>
        </w:rPr>
        <w:t xml:space="preserve"> </w:t>
      </w:r>
      <w:r>
        <w:t>economies</w:t>
      </w:r>
      <w:r>
        <w:rPr>
          <w:spacing w:val="-3"/>
        </w:rPr>
        <w:t xml:space="preserve"> </w:t>
      </w:r>
      <w:r>
        <w:t>with</w:t>
      </w:r>
      <w:r>
        <w:rPr>
          <w:spacing w:val="-1"/>
        </w:rPr>
        <w:t xml:space="preserve"> </w:t>
      </w:r>
      <w:r>
        <w:t>scores</w:t>
      </w:r>
      <w:r>
        <w:rPr>
          <w:spacing w:val="-3"/>
        </w:rPr>
        <w:t xml:space="preserve"> </w:t>
      </w:r>
      <w:r>
        <w:t>in</w:t>
      </w:r>
      <w:r>
        <w:rPr>
          <w:spacing w:val="-1"/>
        </w:rPr>
        <w:t xml:space="preserve"> </w:t>
      </w:r>
      <w:r>
        <w:t>the</w:t>
      </w:r>
      <w:r>
        <w:rPr>
          <w:spacing w:val="-4"/>
        </w:rPr>
        <w:t xml:space="preserve"> </w:t>
      </w:r>
      <w:r>
        <w:t>4.5-5.0</w:t>
      </w:r>
      <w:r>
        <w:rPr>
          <w:spacing w:val="-3"/>
        </w:rPr>
        <w:t xml:space="preserve"> </w:t>
      </w:r>
      <w:r>
        <w:t>range, which</w:t>
      </w:r>
      <w:r>
        <w:rPr>
          <w:spacing w:val="-2"/>
        </w:rPr>
        <w:t xml:space="preserve"> </w:t>
      </w:r>
      <w:r>
        <w:t>are</w:t>
      </w:r>
      <w:r>
        <w:rPr>
          <w:spacing w:val="-3"/>
        </w:rPr>
        <w:t xml:space="preserve"> </w:t>
      </w:r>
      <w:r>
        <w:t>Belgium,</w:t>
      </w:r>
      <w:r>
        <w:rPr>
          <w:spacing w:val="-4"/>
        </w:rPr>
        <w:t xml:space="preserve"> </w:t>
      </w:r>
      <w:r>
        <w:t>Denmark,</w:t>
      </w:r>
      <w:r>
        <w:rPr>
          <w:spacing w:val="-1"/>
        </w:rPr>
        <w:t xml:space="preserve"> </w:t>
      </w:r>
      <w:r>
        <w:t>Finland,</w:t>
      </w:r>
      <w:r>
        <w:rPr>
          <w:spacing w:val="-1"/>
        </w:rPr>
        <w:t xml:space="preserve"> </w:t>
      </w:r>
      <w:r>
        <w:t>France,</w:t>
      </w:r>
      <w:r>
        <w:rPr>
          <w:spacing w:val="-3"/>
        </w:rPr>
        <w:t xml:space="preserve"> </w:t>
      </w:r>
      <w:r>
        <w:t>Germany,</w:t>
      </w:r>
      <w:r>
        <w:rPr>
          <w:spacing w:val="-1"/>
        </w:rPr>
        <w:t xml:space="preserve"> </w:t>
      </w:r>
      <w:r>
        <w:t>Liechtenstein,</w:t>
      </w:r>
      <w:r>
        <w:rPr>
          <w:spacing w:val="-1"/>
        </w:rPr>
        <w:t xml:space="preserve"> </w:t>
      </w:r>
      <w:r>
        <w:t>Netherlands,</w:t>
      </w:r>
      <w:r>
        <w:rPr>
          <w:spacing w:val="-1"/>
        </w:rPr>
        <w:t xml:space="preserve"> </w:t>
      </w:r>
      <w:r>
        <w:t>Norway,</w:t>
      </w:r>
      <w:r>
        <w:rPr>
          <w:spacing w:val="-1"/>
        </w:rPr>
        <w:t xml:space="preserve"> </w:t>
      </w:r>
      <w:r>
        <w:t>Singapore, Sweden, Switzerland and the United States.</w:t>
      </w:r>
      <w:r>
        <w:rPr>
          <w:spacing w:val="40"/>
        </w:rPr>
        <w:t xml:space="preserve"> </w:t>
      </w:r>
      <w:r>
        <w:t>We can create the environment to double giving by:</w:t>
      </w:r>
    </w:p>
    <w:p w14:paraId="1AAE055C" w14:textId="77777777" w:rsidR="00040094" w:rsidRDefault="00040094" w:rsidP="00040094">
      <w:pPr>
        <w:pStyle w:val="ListParagraph"/>
        <w:numPr>
          <w:ilvl w:val="1"/>
          <w:numId w:val="1"/>
        </w:numPr>
        <w:tabs>
          <w:tab w:val="left" w:pos="544"/>
        </w:tabs>
        <w:spacing w:before="119" w:line="259" w:lineRule="auto"/>
        <w:ind w:right="347" w:firstLine="0"/>
      </w:pPr>
      <w:r>
        <w:rPr>
          <w:b/>
          <w:color w:val="0462C1"/>
        </w:rPr>
        <w:t>Superannuation</w:t>
      </w:r>
      <w:r>
        <w:rPr>
          <w:b/>
          <w:color w:val="0462C1"/>
          <w:spacing w:val="-3"/>
        </w:rPr>
        <w:t xml:space="preserve"> </w:t>
      </w:r>
      <w:r>
        <w:rPr>
          <w:b/>
          <w:color w:val="0462C1"/>
        </w:rPr>
        <w:t>bequests:</w:t>
      </w:r>
      <w:r>
        <w:rPr>
          <w:b/>
          <w:color w:val="0462C1"/>
          <w:spacing w:val="-4"/>
        </w:rPr>
        <w:t xml:space="preserve"> </w:t>
      </w:r>
      <w:r>
        <w:t>With</w:t>
      </w:r>
      <w:r>
        <w:rPr>
          <w:spacing w:val="-2"/>
        </w:rPr>
        <w:t xml:space="preserve"> </w:t>
      </w:r>
      <w:r>
        <w:t>super</w:t>
      </w:r>
      <w:r>
        <w:rPr>
          <w:spacing w:val="-2"/>
        </w:rPr>
        <w:t xml:space="preserve"> </w:t>
      </w:r>
      <w:r>
        <w:t>balances</w:t>
      </w:r>
      <w:r>
        <w:rPr>
          <w:spacing w:val="-1"/>
        </w:rPr>
        <w:t xml:space="preserve"> </w:t>
      </w:r>
      <w:r>
        <w:t>at</w:t>
      </w:r>
      <w:r>
        <w:rPr>
          <w:spacing w:val="-4"/>
        </w:rPr>
        <w:t xml:space="preserve"> </w:t>
      </w:r>
      <w:r>
        <w:t>death</w:t>
      </w:r>
      <w:r>
        <w:rPr>
          <w:spacing w:val="-2"/>
        </w:rPr>
        <w:t xml:space="preserve"> </w:t>
      </w:r>
      <w:r>
        <w:t>set</w:t>
      </w:r>
      <w:r>
        <w:rPr>
          <w:spacing w:val="-2"/>
        </w:rPr>
        <w:t xml:space="preserve"> </w:t>
      </w:r>
      <w:r>
        <w:t>to</w:t>
      </w:r>
      <w:r>
        <w:rPr>
          <w:spacing w:val="-1"/>
        </w:rPr>
        <w:t xml:space="preserve"> </w:t>
      </w:r>
      <w:r>
        <w:t>reach</w:t>
      </w:r>
      <w:r>
        <w:rPr>
          <w:spacing w:val="-2"/>
        </w:rPr>
        <w:t xml:space="preserve"> </w:t>
      </w:r>
      <w:r>
        <w:t>at</w:t>
      </w:r>
      <w:r>
        <w:rPr>
          <w:spacing w:val="-2"/>
        </w:rPr>
        <w:t xml:space="preserve"> </w:t>
      </w:r>
      <w:r>
        <w:t>least</w:t>
      </w:r>
      <w:r>
        <w:rPr>
          <w:spacing w:val="-4"/>
        </w:rPr>
        <w:t xml:space="preserve"> </w:t>
      </w:r>
      <w:r>
        <w:t>$130</w:t>
      </w:r>
      <w:r>
        <w:rPr>
          <w:spacing w:val="-2"/>
        </w:rPr>
        <w:t xml:space="preserve"> </w:t>
      </w:r>
      <w:r>
        <w:t>billion</w:t>
      </w:r>
      <w:r>
        <w:rPr>
          <w:spacing w:val="-3"/>
        </w:rPr>
        <w:t xml:space="preserve"> </w:t>
      </w:r>
      <w:r>
        <w:t>by</w:t>
      </w:r>
      <w:r>
        <w:rPr>
          <w:spacing w:val="-4"/>
        </w:rPr>
        <w:t xml:space="preserve"> </w:t>
      </w:r>
      <w:r>
        <w:t>2059</w:t>
      </w:r>
      <w:r>
        <w:rPr>
          <w:spacing w:val="-2"/>
        </w:rPr>
        <w:t xml:space="preserve"> </w:t>
      </w:r>
      <w:r>
        <w:t>(in</w:t>
      </w:r>
      <w:r>
        <w:rPr>
          <w:spacing w:val="-5"/>
        </w:rPr>
        <w:t xml:space="preserve"> </w:t>
      </w:r>
      <w:r>
        <w:t>2018-19 dollars), giving Australians the choice through their super arrangements to leave some money to charity when they die (and abolishing the tax penalty for doing so) would unleash tens of billions for charity.</w:t>
      </w:r>
      <w:r>
        <w:rPr>
          <w:spacing w:val="40"/>
        </w:rPr>
        <w:t xml:space="preserve"> </w:t>
      </w:r>
      <w:r>
        <w:t>This reform is by far the most powerful lever we have to lift giving.</w:t>
      </w:r>
      <w:r>
        <w:rPr>
          <w:spacing w:val="40"/>
        </w:rPr>
        <w:t xml:space="preserve"> </w:t>
      </w:r>
      <w:r>
        <w:t xml:space="preserve">It is highly cost-effective as such giving does not attract a tax </w:t>
      </w:r>
      <w:r>
        <w:rPr>
          <w:spacing w:val="-2"/>
        </w:rPr>
        <w:t>deduction.</w:t>
      </w:r>
    </w:p>
    <w:p w14:paraId="211055C4" w14:textId="77777777" w:rsidR="00040094" w:rsidRDefault="00040094" w:rsidP="00040094">
      <w:pPr>
        <w:pStyle w:val="ListParagraph"/>
        <w:numPr>
          <w:ilvl w:val="1"/>
          <w:numId w:val="1"/>
        </w:numPr>
        <w:tabs>
          <w:tab w:val="left" w:pos="546"/>
        </w:tabs>
        <w:spacing w:before="120" w:line="259" w:lineRule="auto"/>
        <w:ind w:right="311" w:firstLine="0"/>
      </w:pPr>
      <w:r>
        <w:rPr>
          <w:b/>
          <w:color w:val="0462C1"/>
        </w:rPr>
        <w:t>DGR for all registered charities, not just half</w:t>
      </w:r>
      <w:r>
        <w:rPr>
          <w:color w:val="0462C1"/>
        </w:rPr>
        <w:t>:</w:t>
      </w:r>
      <w:r>
        <w:rPr>
          <w:color w:val="0462C1"/>
          <w:spacing w:val="40"/>
        </w:rPr>
        <w:t xml:space="preserve"> </w:t>
      </w:r>
      <w:r>
        <w:t xml:space="preserve">As the PC recommended in 2010, all of Australia’s charities (almost 60,000 </w:t>
      </w:r>
      <w:proofErr w:type="spellStart"/>
      <w:r>
        <w:t>organisations</w:t>
      </w:r>
      <w:proofErr w:type="spellEnd"/>
      <w:r>
        <w:t xml:space="preserve">) should have </w:t>
      </w:r>
      <w:proofErr w:type="spellStart"/>
      <w:r>
        <w:t>DGR</w:t>
      </w:r>
      <w:proofErr w:type="spellEnd"/>
      <w:r>
        <w:t xml:space="preserve"> status (allowing the public to donate and get a tax deduction). All policy institutions freely admit the rules that permit one charity to get DGR status (e.g. direct poverty relief), but may disallow another (e.g. preventing poverty) were developed in an ad hoc manner with no clear policy rationale.</w:t>
      </w:r>
      <w:r>
        <w:rPr>
          <w:spacing w:val="40"/>
        </w:rPr>
        <w:t xml:space="preserve"> </w:t>
      </w:r>
      <w:r>
        <w:t>The policy purpose of providing tax incentives to encourage giving is to support charitable activities that provide a positive public benefit.</w:t>
      </w:r>
      <w:r>
        <w:rPr>
          <w:spacing w:val="40"/>
        </w:rPr>
        <w:t xml:space="preserve"> </w:t>
      </w:r>
      <w:r>
        <w:t>All charities do this, so all should be given DGR status, which would boost the</w:t>
      </w:r>
      <w:r>
        <w:rPr>
          <w:spacing w:val="-1"/>
        </w:rPr>
        <w:t xml:space="preserve"> </w:t>
      </w:r>
      <w:r>
        <w:t>funds</w:t>
      </w:r>
      <w:r>
        <w:rPr>
          <w:spacing w:val="-1"/>
        </w:rPr>
        <w:t xml:space="preserve"> </w:t>
      </w:r>
      <w:r>
        <w:t>they</w:t>
      </w:r>
      <w:r>
        <w:rPr>
          <w:spacing w:val="-1"/>
        </w:rPr>
        <w:t xml:space="preserve"> </w:t>
      </w:r>
      <w:r>
        <w:t>can</w:t>
      </w:r>
      <w:r>
        <w:rPr>
          <w:spacing w:val="-4"/>
        </w:rPr>
        <w:t xml:space="preserve"> </w:t>
      </w:r>
      <w:r>
        <w:t>attract for</w:t>
      </w:r>
      <w:r>
        <w:rPr>
          <w:spacing w:val="-1"/>
        </w:rPr>
        <w:t xml:space="preserve"> </w:t>
      </w:r>
      <w:r>
        <w:t>their</w:t>
      </w:r>
      <w:r>
        <w:rPr>
          <w:spacing w:val="-4"/>
        </w:rPr>
        <w:t xml:space="preserve"> </w:t>
      </w:r>
      <w:r>
        <w:t>important</w:t>
      </w:r>
      <w:r>
        <w:rPr>
          <w:spacing w:val="-1"/>
        </w:rPr>
        <w:t xml:space="preserve"> </w:t>
      </w:r>
      <w:r>
        <w:t>work.</w:t>
      </w:r>
      <w:r>
        <w:rPr>
          <w:spacing w:val="40"/>
        </w:rPr>
        <w:t xml:space="preserve"> </w:t>
      </w:r>
      <w:r>
        <w:t>It</w:t>
      </w:r>
      <w:r>
        <w:rPr>
          <w:spacing w:val="-3"/>
        </w:rPr>
        <w:t xml:space="preserve"> </w:t>
      </w:r>
      <w:r>
        <w:t>would</w:t>
      </w:r>
      <w:r>
        <w:rPr>
          <w:spacing w:val="-2"/>
        </w:rPr>
        <w:t xml:space="preserve"> </w:t>
      </w:r>
      <w:r>
        <w:t>cut</w:t>
      </w:r>
      <w:r>
        <w:rPr>
          <w:spacing w:val="-3"/>
        </w:rPr>
        <w:t xml:space="preserve"> </w:t>
      </w:r>
      <w:r>
        <w:t>red</w:t>
      </w:r>
      <w:r>
        <w:rPr>
          <w:spacing w:val="-2"/>
        </w:rPr>
        <w:t xml:space="preserve"> </w:t>
      </w:r>
      <w:r>
        <w:t>tape for</w:t>
      </w:r>
      <w:r>
        <w:rPr>
          <w:spacing w:val="-1"/>
        </w:rPr>
        <w:t xml:space="preserve"> </w:t>
      </w:r>
      <w:r>
        <w:t>government</w:t>
      </w:r>
      <w:r>
        <w:rPr>
          <w:spacing w:val="-1"/>
        </w:rPr>
        <w:t xml:space="preserve"> </w:t>
      </w:r>
      <w:r>
        <w:t>and</w:t>
      </w:r>
      <w:r>
        <w:rPr>
          <w:spacing w:val="-2"/>
        </w:rPr>
        <w:t xml:space="preserve"> </w:t>
      </w:r>
      <w:r>
        <w:t>charities, and</w:t>
      </w:r>
      <w:r>
        <w:rPr>
          <w:spacing w:val="-5"/>
        </w:rPr>
        <w:t xml:space="preserve"> </w:t>
      </w:r>
      <w:r>
        <w:t>bring us in line with nations like the US, UK and New Zealand where giving is higher than in Australia.</w:t>
      </w:r>
    </w:p>
    <w:p w14:paraId="0AB714A7" w14:textId="188C89BB" w:rsidR="00040094" w:rsidRDefault="00040094" w:rsidP="00040094">
      <w:pPr>
        <w:pStyle w:val="ListParagraph"/>
        <w:numPr>
          <w:ilvl w:val="1"/>
          <w:numId w:val="1"/>
        </w:numPr>
        <w:tabs>
          <w:tab w:val="left" w:pos="546"/>
        </w:tabs>
        <w:spacing w:before="119" w:line="259" w:lineRule="auto"/>
        <w:ind w:right="290" w:firstLine="0"/>
      </w:pPr>
      <w:r>
        <w:rPr>
          <w:b/>
          <w:color w:val="0462C1"/>
        </w:rPr>
        <w:t xml:space="preserve">An option to donate at tax time: </w:t>
      </w:r>
      <w:r>
        <w:t>Providing Australians with a choice to return some or all of their tax return</w:t>
      </w:r>
      <w:r>
        <w:rPr>
          <w:spacing w:val="40"/>
        </w:rPr>
        <w:t xml:space="preserve"> </w:t>
      </w:r>
      <w:r>
        <w:t>to charity</w:t>
      </w:r>
      <w:r>
        <w:rPr>
          <w:spacing w:val="-2"/>
        </w:rPr>
        <w:t xml:space="preserve"> </w:t>
      </w:r>
      <w:r>
        <w:t>as</w:t>
      </w:r>
      <w:r>
        <w:rPr>
          <w:spacing w:val="-1"/>
        </w:rPr>
        <w:t xml:space="preserve"> </w:t>
      </w:r>
      <w:r>
        <w:t>part</w:t>
      </w:r>
      <w:r>
        <w:rPr>
          <w:spacing w:val="-3"/>
        </w:rPr>
        <w:t xml:space="preserve"> </w:t>
      </w:r>
      <w:r>
        <w:t>of</w:t>
      </w:r>
      <w:r>
        <w:rPr>
          <w:spacing w:val="-3"/>
        </w:rPr>
        <w:t xml:space="preserve"> </w:t>
      </w:r>
      <w:r>
        <w:t>the</w:t>
      </w:r>
      <w:r>
        <w:rPr>
          <w:spacing w:val="-3"/>
        </w:rPr>
        <w:t xml:space="preserve"> </w:t>
      </w:r>
      <w:r>
        <w:t>tax</w:t>
      </w:r>
      <w:r>
        <w:rPr>
          <w:spacing w:val="-3"/>
        </w:rPr>
        <w:t xml:space="preserve"> </w:t>
      </w:r>
      <w:r>
        <w:t>return</w:t>
      </w:r>
      <w:r>
        <w:rPr>
          <w:spacing w:val="-3"/>
        </w:rPr>
        <w:t xml:space="preserve"> </w:t>
      </w:r>
      <w:r>
        <w:t>process</w:t>
      </w:r>
      <w:r>
        <w:rPr>
          <w:spacing w:val="-4"/>
        </w:rPr>
        <w:t xml:space="preserve"> </w:t>
      </w:r>
      <w:r>
        <w:t>could</w:t>
      </w:r>
      <w:r>
        <w:rPr>
          <w:spacing w:val="-2"/>
        </w:rPr>
        <w:t xml:space="preserve"> </w:t>
      </w:r>
      <w:r>
        <w:t>embed</w:t>
      </w:r>
      <w:r>
        <w:rPr>
          <w:spacing w:val="-2"/>
        </w:rPr>
        <w:t xml:space="preserve"> </w:t>
      </w:r>
      <w:r>
        <w:t>in</w:t>
      </w:r>
      <w:r>
        <w:rPr>
          <w:spacing w:val="-1"/>
        </w:rPr>
        <w:t xml:space="preserve"> </w:t>
      </w:r>
      <w:r>
        <w:t>our</w:t>
      </w:r>
      <w:r>
        <w:rPr>
          <w:spacing w:val="-1"/>
        </w:rPr>
        <w:t xml:space="preserve"> </w:t>
      </w:r>
      <w:r>
        <w:t>culture a valued</w:t>
      </w:r>
      <w:r>
        <w:rPr>
          <w:spacing w:val="-1"/>
        </w:rPr>
        <w:t xml:space="preserve"> </w:t>
      </w:r>
      <w:r>
        <w:t>national</w:t>
      </w:r>
      <w:r>
        <w:rPr>
          <w:spacing w:val="-1"/>
        </w:rPr>
        <w:t xml:space="preserve"> </w:t>
      </w:r>
      <w:r>
        <w:t>custom,</w:t>
      </w:r>
      <w:r>
        <w:rPr>
          <w:spacing w:val="-3"/>
        </w:rPr>
        <w:t xml:space="preserve"> </w:t>
      </w:r>
      <w:r>
        <w:t>where every</w:t>
      </w:r>
      <w:r>
        <w:rPr>
          <w:spacing w:val="-3"/>
        </w:rPr>
        <w:t xml:space="preserve"> </w:t>
      </w:r>
      <w:r>
        <w:t>year we consider providing support for people in need when we can afford to do so.</w:t>
      </w:r>
      <w:r>
        <w:rPr>
          <w:spacing w:val="40"/>
        </w:rPr>
        <w:t xml:space="preserve"> </w:t>
      </w:r>
      <w:r>
        <w:t>With around $30 billion being returned from income taxes each year, this prompt could provide billions in additional funds to charities.</w:t>
      </w:r>
    </w:p>
    <w:p w14:paraId="2C9FF2FB" w14:textId="628C88E6" w:rsidR="00040094" w:rsidRDefault="00040094" w:rsidP="00040094">
      <w:pPr>
        <w:pStyle w:val="ListParagraph"/>
        <w:numPr>
          <w:ilvl w:val="1"/>
          <w:numId w:val="1"/>
        </w:numPr>
        <w:tabs>
          <w:tab w:val="left" w:pos="546"/>
        </w:tabs>
        <w:spacing w:before="119"/>
        <w:ind w:right="444" w:firstLine="0"/>
      </w:pPr>
      <w:r>
        <w:rPr>
          <w:b/>
          <w:color w:val="0462C1"/>
        </w:rPr>
        <w:t>A</w:t>
      </w:r>
      <w:r>
        <w:rPr>
          <w:b/>
          <w:color w:val="0462C1"/>
          <w:spacing w:val="-4"/>
        </w:rPr>
        <w:t xml:space="preserve"> </w:t>
      </w:r>
      <w:r>
        <w:rPr>
          <w:b/>
          <w:color w:val="0462C1"/>
        </w:rPr>
        <w:t>strategy</w:t>
      </w:r>
      <w:r>
        <w:rPr>
          <w:b/>
          <w:color w:val="0462C1"/>
          <w:spacing w:val="-2"/>
        </w:rPr>
        <w:t xml:space="preserve"> </w:t>
      </w:r>
      <w:r>
        <w:rPr>
          <w:b/>
          <w:color w:val="0462C1"/>
        </w:rPr>
        <w:t>to</w:t>
      </w:r>
      <w:r>
        <w:rPr>
          <w:b/>
          <w:color w:val="0462C1"/>
          <w:spacing w:val="-3"/>
        </w:rPr>
        <w:t xml:space="preserve"> </w:t>
      </w:r>
      <w:r>
        <w:rPr>
          <w:b/>
          <w:color w:val="0462C1"/>
        </w:rPr>
        <w:t>drive</w:t>
      </w:r>
      <w:r>
        <w:rPr>
          <w:b/>
          <w:color w:val="0462C1"/>
          <w:spacing w:val="-6"/>
        </w:rPr>
        <w:t xml:space="preserve"> </w:t>
      </w:r>
      <w:r>
        <w:rPr>
          <w:b/>
          <w:color w:val="0462C1"/>
        </w:rPr>
        <w:t>the</w:t>
      </w:r>
      <w:r>
        <w:rPr>
          <w:b/>
          <w:color w:val="0462C1"/>
          <w:spacing w:val="-5"/>
        </w:rPr>
        <w:t xml:space="preserve"> </w:t>
      </w:r>
      <w:r>
        <w:rPr>
          <w:b/>
          <w:color w:val="0462C1"/>
        </w:rPr>
        <w:t>growth</w:t>
      </w:r>
      <w:r>
        <w:rPr>
          <w:b/>
          <w:color w:val="0462C1"/>
          <w:spacing w:val="-3"/>
        </w:rPr>
        <w:t xml:space="preserve"> </w:t>
      </w:r>
      <w:r>
        <w:rPr>
          <w:b/>
          <w:color w:val="0462C1"/>
        </w:rPr>
        <w:t>of</w:t>
      </w:r>
      <w:r>
        <w:rPr>
          <w:b/>
          <w:color w:val="0462C1"/>
          <w:spacing w:val="-3"/>
        </w:rPr>
        <w:t xml:space="preserve"> </w:t>
      </w:r>
      <w:r>
        <w:rPr>
          <w:b/>
          <w:color w:val="0462C1"/>
        </w:rPr>
        <w:t>Australia’s</w:t>
      </w:r>
      <w:r>
        <w:rPr>
          <w:b/>
          <w:color w:val="0462C1"/>
          <w:spacing w:val="-3"/>
        </w:rPr>
        <w:t xml:space="preserve"> </w:t>
      </w:r>
      <w:r>
        <w:rPr>
          <w:b/>
          <w:color w:val="0462C1"/>
        </w:rPr>
        <w:t>Community</w:t>
      </w:r>
      <w:r>
        <w:rPr>
          <w:b/>
          <w:color w:val="0462C1"/>
          <w:spacing w:val="-4"/>
        </w:rPr>
        <w:t xml:space="preserve"> </w:t>
      </w:r>
      <w:r>
        <w:rPr>
          <w:b/>
          <w:color w:val="0462C1"/>
        </w:rPr>
        <w:t>Foundation</w:t>
      </w:r>
      <w:r>
        <w:rPr>
          <w:b/>
          <w:color w:val="0462C1"/>
          <w:spacing w:val="-3"/>
        </w:rPr>
        <w:t xml:space="preserve"> </w:t>
      </w:r>
      <w:r>
        <w:rPr>
          <w:b/>
          <w:color w:val="0462C1"/>
        </w:rPr>
        <w:t>(CF)</w:t>
      </w:r>
      <w:r>
        <w:rPr>
          <w:b/>
          <w:color w:val="0462C1"/>
          <w:spacing w:val="-2"/>
        </w:rPr>
        <w:t xml:space="preserve"> </w:t>
      </w:r>
      <w:r>
        <w:rPr>
          <w:b/>
          <w:color w:val="0462C1"/>
        </w:rPr>
        <w:t xml:space="preserve">network: </w:t>
      </w:r>
      <w:r>
        <w:t>With</w:t>
      </w:r>
      <w:r>
        <w:rPr>
          <w:spacing w:val="-2"/>
        </w:rPr>
        <w:t xml:space="preserve"> </w:t>
      </w:r>
      <w:r>
        <w:t>people</w:t>
      </w:r>
      <w:r>
        <w:rPr>
          <w:spacing w:val="-2"/>
        </w:rPr>
        <w:t xml:space="preserve"> </w:t>
      </w:r>
      <w:r>
        <w:t>keen</w:t>
      </w:r>
      <w:r>
        <w:rPr>
          <w:spacing w:val="-5"/>
        </w:rPr>
        <w:t xml:space="preserve"> </w:t>
      </w:r>
      <w:r>
        <w:t>to</w:t>
      </w:r>
      <w:r>
        <w:rPr>
          <w:spacing w:val="-1"/>
        </w:rPr>
        <w:t xml:space="preserve"> </w:t>
      </w:r>
      <w:r>
        <w:t>get involved locally, a particular opportunity is to grow the national</w:t>
      </w:r>
      <w:r>
        <w:rPr>
          <w:spacing w:val="-2"/>
        </w:rPr>
        <w:t xml:space="preserve"> </w:t>
      </w:r>
      <w:r>
        <w:t>CF network, so that over time, the vast majority of Australians have a local foundation they can get involved with.</w:t>
      </w:r>
      <w:r>
        <w:rPr>
          <w:spacing w:val="40"/>
        </w:rPr>
        <w:t xml:space="preserve"> </w:t>
      </w:r>
      <w:r>
        <w:t>This would have a powerful impact in expanding national giving, community participation, social capital</w:t>
      </w:r>
      <w:r w:rsidR="00C302EF">
        <w:t>,</w:t>
      </w:r>
      <w:r>
        <w:t xml:space="preserve"> and support for Australians in greatest need.</w:t>
      </w:r>
    </w:p>
    <w:p w14:paraId="0F395663" w14:textId="77777777" w:rsidR="00040094" w:rsidRDefault="00040094" w:rsidP="00040094">
      <w:pPr>
        <w:pStyle w:val="BodyText"/>
        <w:spacing w:before="119" w:line="259" w:lineRule="auto"/>
        <w:ind w:left="212" w:right="282"/>
      </w:pPr>
      <w:r>
        <w:t>This would unlock new opportunities for government-charity-philanthropy collaboration to drive impact.</w:t>
      </w:r>
      <w:r>
        <w:rPr>
          <w:spacing w:val="40"/>
        </w:rPr>
        <w:t xml:space="preserve"> </w:t>
      </w:r>
      <w:r>
        <w:t>Local MPs can work to ensure their electorates have CFs and then work with local communities to better understand and</w:t>
      </w:r>
      <w:r>
        <w:rPr>
          <w:spacing w:val="-3"/>
        </w:rPr>
        <w:t xml:space="preserve"> </w:t>
      </w:r>
      <w:r>
        <w:t>address</w:t>
      </w:r>
      <w:r>
        <w:rPr>
          <w:spacing w:val="-2"/>
        </w:rPr>
        <w:t xml:space="preserve"> </w:t>
      </w:r>
      <w:r>
        <w:t>local</w:t>
      </w:r>
      <w:r>
        <w:rPr>
          <w:spacing w:val="-2"/>
        </w:rPr>
        <w:t xml:space="preserve"> </w:t>
      </w:r>
      <w:r>
        <w:t>needs.</w:t>
      </w:r>
      <w:r>
        <w:rPr>
          <w:spacing w:val="40"/>
        </w:rPr>
        <w:t xml:space="preserve"> </w:t>
      </w:r>
      <w:r>
        <w:t>Over</w:t>
      </w:r>
      <w:r>
        <w:rPr>
          <w:spacing w:val="-4"/>
        </w:rPr>
        <w:t xml:space="preserve"> </w:t>
      </w:r>
      <w:r>
        <w:t>time,</w:t>
      </w:r>
      <w:r>
        <w:rPr>
          <w:spacing w:val="-1"/>
        </w:rPr>
        <w:t xml:space="preserve"> </w:t>
      </w:r>
      <w:r>
        <w:t>a</w:t>
      </w:r>
      <w:r>
        <w:rPr>
          <w:spacing w:val="-2"/>
        </w:rPr>
        <w:t xml:space="preserve"> </w:t>
      </w:r>
      <w:r>
        <w:t>national</w:t>
      </w:r>
      <w:r>
        <w:rPr>
          <w:spacing w:val="-5"/>
        </w:rPr>
        <w:t xml:space="preserve"> </w:t>
      </w:r>
      <w:r>
        <w:t>CF</w:t>
      </w:r>
      <w:r>
        <w:rPr>
          <w:spacing w:val="-2"/>
        </w:rPr>
        <w:t xml:space="preserve"> </w:t>
      </w:r>
      <w:r>
        <w:lastRenderedPageBreak/>
        <w:t>network</w:t>
      </w:r>
      <w:r>
        <w:rPr>
          <w:spacing w:val="-5"/>
        </w:rPr>
        <w:t xml:space="preserve"> </w:t>
      </w:r>
      <w:r>
        <w:t>will</w:t>
      </w:r>
      <w:r>
        <w:rPr>
          <w:spacing w:val="-2"/>
        </w:rPr>
        <w:t xml:space="preserve"> </w:t>
      </w:r>
      <w:r>
        <w:t>become</w:t>
      </w:r>
      <w:r>
        <w:rPr>
          <w:spacing w:val="-1"/>
        </w:rPr>
        <w:t xml:space="preserve"> </w:t>
      </w:r>
      <w:r>
        <w:t>powerful</w:t>
      </w:r>
      <w:r>
        <w:rPr>
          <w:spacing w:val="-5"/>
        </w:rPr>
        <w:t xml:space="preserve"> </w:t>
      </w:r>
      <w:r>
        <w:t>national</w:t>
      </w:r>
      <w:r>
        <w:rPr>
          <w:spacing w:val="-2"/>
        </w:rPr>
        <w:t xml:space="preserve"> </w:t>
      </w:r>
      <w:r>
        <w:t>architecture, allowing government and local communities to work together to address challenges suited to local solutions.</w:t>
      </w:r>
    </w:p>
    <w:p w14:paraId="25B3C738" w14:textId="446CC1B6" w:rsidR="00040094" w:rsidRDefault="00040094" w:rsidP="00040094">
      <w:pPr>
        <w:pStyle w:val="ListParagraph"/>
        <w:numPr>
          <w:ilvl w:val="1"/>
          <w:numId w:val="1"/>
        </w:numPr>
        <w:tabs>
          <w:tab w:val="left" w:pos="546"/>
        </w:tabs>
        <w:spacing w:before="119"/>
        <w:ind w:right="322" w:firstLine="0"/>
      </w:pPr>
      <w:r>
        <w:rPr>
          <w:b/>
          <w:color w:val="0462C1"/>
        </w:rPr>
        <w:t>Enhancing the Effectiveness of Ancillary Funds:</w:t>
      </w:r>
      <w:r>
        <w:rPr>
          <w:b/>
          <w:color w:val="0462C1"/>
          <w:spacing w:val="40"/>
        </w:rPr>
        <w:t xml:space="preserve"> </w:t>
      </w:r>
      <w:r>
        <w:t>Allowing funds to distribute to other ancillary funds would facilitate</w:t>
      </w:r>
      <w:r>
        <w:rPr>
          <w:spacing w:val="-3"/>
        </w:rPr>
        <w:t xml:space="preserve"> </w:t>
      </w:r>
      <w:r>
        <w:t>higher</w:t>
      </w:r>
      <w:r>
        <w:rPr>
          <w:spacing w:val="-1"/>
        </w:rPr>
        <w:t xml:space="preserve"> </w:t>
      </w:r>
      <w:r>
        <w:t>value giving,</w:t>
      </w:r>
      <w:r>
        <w:rPr>
          <w:spacing w:val="-1"/>
        </w:rPr>
        <w:t xml:space="preserve"> </w:t>
      </w:r>
      <w:r>
        <w:t>such</w:t>
      </w:r>
      <w:r>
        <w:rPr>
          <w:spacing w:val="-2"/>
        </w:rPr>
        <w:t xml:space="preserve"> </w:t>
      </w:r>
      <w:r>
        <w:t>as</w:t>
      </w:r>
      <w:r>
        <w:rPr>
          <w:spacing w:val="-3"/>
        </w:rPr>
        <w:t xml:space="preserve"> </w:t>
      </w:r>
      <w:r>
        <w:t>where</w:t>
      </w:r>
      <w:r>
        <w:rPr>
          <w:spacing w:val="-3"/>
        </w:rPr>
        <w:t xml:space="preserve"> </w:t>
      </w:r>
      <w:r>
        <w:t>a</w:t>
      </w:r>
      <w:r>
        <w:rPr>
          <w:spacing w:val="-1"/>
        </w:rPr>
        <w:t xml:space="preserve"> </w:t>
      </w:r>
      <w:r>
        <w:t>PAF</w:t>
      </w:r>
      <w:r>
        <w:rPr>
          <w:spacing w:val="-5"/>
        </w:rPr>
        <w:t xml:space="preserve"> </w:t>
      </w:r>
      <w:r>
        <w:t>wishes to give to a</w:t>
      </w:r>
      <w:r>
        <w:rPr>
          <w:spacing w:val="-3"/>
        </w:rPr>
        <w:t xml:space="preserve"> </w:t>
      </w:r>
      <w:proofErr w:type="spellStart"/>
      <w:r>
        <w:t>PuAF</w:t>
      </w:r>
      <w:proofErr w:type="spellEnd"/>
      <w:r>
        <w:t xml:space="preserve"> –</w:t>
      </w:r>
      <w:r>
        <w:rPr>
          <w:spacing w:val="-3"/>
        </w:rPr>
        <w:t xml:space="preserve"> </w:t>
      </w:r>
      <w:r>
        <w:t>such</w:t>
      </w:r>
      <w:r>
        <w:rPr>
          <w:spacing w:val="-2"/>
        </w:rPr>
        <w:t xml:space="preserve"> </w:t>
      </w:r>
      <w:r>
        <w:t>as</w:t>
      </w:r>
      <w:r>
        <w:rPr>
          <w:spacing w:val="-1"/>
        </w:rPr>
        <w:t xml:space="preserve"> </w:t>
      </w:r>
      <w:r>
        <w:t>a</w:t>
      </w:r>
      <w:r>
        <w:rPr>
          <w:spacing w:val="-1"/>
        </w:rPr>
        <w:t xml:space="preserve"> </w:t>
      </w:r>
      <w:r>
        <w:t>community,</w:t>
      </w:r>
      <w:r>
        <w:rPr>
          <w:spacing w:val="-1"/>
        </w:rPr>
        <w:t xml:space="preserve"> </w:t>
      </w:r>
      <w:r>
        <w:t>arts</w:t>
      </w:r>
      <w:r w:rsidR="00C302EF">
        <w:t>,</w:t>
      </w:r>
      <w:r>
        <w:rPr>
          <w:spacing w:val="-3"/>
        </w:rPr>
        <w:t xml:space="preserve"> </w:t>
      </w:r>
      <w:r>
        <w:t>or</w:t>
      </w:r>
      <w:r>
        <w:rPr>
          <w:spacing w:val="-1"/>
        </w:rPr>
        <w:t xml:space="preserve"> </w:t>
      </w:r>
      <w:r>
        <w:t>hospital foundation - operating closer to the ground, and better able to target money for maximum impact.</w:t>
      </w:r>
      <w:r>
        <w:rPr>
          <w:spacing w:val="40"/>
        </w:rPr>
        <w:t xml:space="preserve"> </w:t>
      </w:r>
      <w:r>
        <w:t>More scope</w:t>
      </w:r>
    </w:p>
    <w:p w14:paraId="7CEE6C1B" w14:textId="77777777" w:rsidR="00040094" w:rsidRDefault="00040094" w:rsidP="00040094">
      <w:pPr>
        <w:pStyle w:val="BodyText"/>
        <w:spacing w:before="1"/>
        <w:ind w:left="212" w:right="282"/>
      </w:pPr>
      <w:r>
        <w:t>to ‘spread’ their minimum distributions over 5 years would lift the impact of giving by creating more scope for larger,</w:t>
      </w:r>
      <w:r>
        <w:rPr>
          <w:spacing w:val="-2"/>
        </w:rPr>
        <w:t xml:space="preserve"> </w:t>
      </w:r>
      <w:r>
        <w:t>transformative</w:t>
      </w:r>
      <w:r>
        <w:rPr>
          <w:spacing w:val="-1"/>
        </w:rPr>
        <w:t xml:space="preserve"> </w:t>
      </w:r>
      <w:r>
        <w:t>projects.</w:t>
      </w:r>
      <w:r>
        <w:rPr>
          <w:spacing w:val="40"/>
        </w:rPr>
        <w:t xml:space="preserve"> </w:t>
      </w:r>
      <w:r>
        <w:t>Providing</w:t>
      </w:r>
      <w:r>
        <w:rPr>
          <w:spacing w:val="-3"/>
        </w:rPr>
        <w:t xml:space="preserve"> </w:t>
      </w:r>
      <w:r>
        <w:t>certainty</w:t>
      </w:r>
      <w:r>
        <w:rPr>
          <w:spacing w:val="-4"/>
        </w:rPr>
        <w:t xml:space="preserve"> </w:t>
      </w:r>
      <w:r>
        <w:t>over</w:t>
      </w:r>
      <w:r>
        <w:rPr>
          <w:spacing w:val="-4"/>
        </w:rPr>
        <w:t xml:space="preserve"> </w:t>
      </w:r>
      <w:r>
        <w:t>the</w:t>
      </w:r>
      <w:r>
        <w:rPr>
          <w:spacing w:val="-4"/>
        </w:rPr>
        <w:t xml:space="preserve"> </w:t>
      </w:r>
      <w:r>
        <w:t>valuation</w:t>
      </w:r>
      <w:r>
        <w:rPr>
          <w:spacing w:val="-3"/>
        </w:rPr>
        <w:t xml:space="preserve"> </w:t>
      </w:r>
      <w:r>
        <w:t>of</w:t>
      </w:r>
      <w:r>
        <w:rPr>
          <w:spacing w:val="-5"/>
        </w:rPr>
        <w:t xml:space="preserve"> </w:t>
      </w:r>
      <w:r>
        <w:t>unlisted</w:t>
      </w:r>
      <w:r>
        <w:rPr>
          <w:spacing w:val="-3"/>
        </w:rPr>
        <w:t xml:space="preserve"> </w:t>
      </w:r>
      <w:r>
        <w:t>shares</w:t>
      </w:r>
      <w:r>
        <w:rPr>
          <w:spacing w:val="-2"/>
        </w:rPr>
        <w:t xml:space="preserve"> </w:t>
      </w:r>
      <w:r>
        <w:t>could</w:t>
      </w:r>
      <w:r>
        <w:rPr>
          <w:spacing w:val="-3"/>
        </w:rPr>
        <w:t xml:space="preserve"> </w:t>
      </w:r>
      <w:r>
        <w:t>unleash</w:t>
      </w:r>
      <w:r>
        <w:rPr>
          <w:spacing w:val="-5"/>
        </w:rPr>
        <w:t xml:space="preserve"> </w:t>
      </w:r>
      <w:r>
        <w:t>millions from Australia’s rapidly expanding suite of new technology firms.</w:t>
      </w:r>
    </w:p>
    <w:p w14:paraId="61B653EC" w14:textId="1A29A5FF" w:rsidR="00040094" w:rsidRDefault="00040094" w:rsidP="00040094">
      <w:pPr>
        <w:pStyle w:val="ListParagraph"/>
        <w:numPr>
          <w:ilvl w:val="1"/>
          <w:numId w:val="1"/>
        </w:numPr>
        <w:tabs>
          <w:tab w:val="left" w:pos="546"/>
        </w:tabs>
        <w:spacing w:before="121"/>
        <w:ind w:right="356" w:firstLine="0"/>
      </w:pPr>
      <w:r>
        <w:rPr>
          <w:b/>
          <w:color w:val="0462C1"/>
        </w:rPr>
        <w:t>Fix</w:t>
      </w:r>
      <w:r>
        <w:rPr>
          <w:b/>
          <w:color w:val="0462C1"/>
          <w:spacing w:val="-3"/>
        </w:rPr>
        <w:t xml:space="preserve"> </w:t>
      </w:r>
      <w:r>
        <w:rPr>
          <w:b/>
          <w:color w:val="0462C1"/>
        </w:rPr>
        <w:t>Fundraising:</w:t>
      </w:r>
      <w:r>
        <w:rPr>
          <w:b/>
          <w:color w:val="0462C1"/>
          <w:spacing w:val="-1"/>
        </w:rPr>
        <w:t xml:space="preserve"> </w:t>
      </w:r>
      <w:r>
        <w:t>Creating</w:t>
      </w:r>
      <w:r>
        <w:rPr>
          <w:spacing w:val="-3"/>
        </w:rPr>
        <w:t xml:space="preserve"> </w:t>
      </w:r>
      <w:r>
        <w:t>a</w:t>
      </w:r>
      <w:r>
        <w:rPr>
          <w:spacing w:val="-2"/>
        </w:rPr>
        <w:t xml:space="preserve"> </w:t>
      </w:r>
      <w:r>
        <w:t>single</w:t>
      </w:r>
      <w:r>
        <w:rPr>
          <w:spacing w:val="-2"/>
        </w:rPr>
        <w:t xml:space="preserve"> </w:t>
      </w:r>
      <w:r>
        <w:t>national</w:t>
      </w:r>
      <w:r>
        <w:rPr>
          <w:spacing w:val="-2"/>
        </w:rPr>
        <w:t xml:space="preserve"> </w:t>
      </w:r>
      <w:r>
        <w:t>fundraising</w:t>
      </w:r>
      <w:r>
        <w:rPr>
          <w:spacing w:val="-3"/>
        </w:rPr>
        <w:t xml:space="preserve"> </w:t>
      </w:r>
      <w:r>
        <w:t>regulation</w:t>
      </w:r>
      <w:r>
        <w:rPr>
          <w:spacing w:val="-3"/>
        </w:rPr>
        <w:t xml:space="preserve"> </w:t>
      </w:r>
      <w:r>
        <w:t>regime –</w:t>
      </w:r>
      <w:r>
        <w:rPr>
          <w:spacing w:val="-4"/>
        </w:rPr>
        <w:t xml:space="preserve"> </w:t>
      </w:r>
      <w:r>
        <w:t>to</w:t>
      </w:r>
      <w:r>
        <w:rPr>
          <w:spacing w:val="-5"/>
        </w:rPr>
        <w:t xml:space="preserve"> </w:t>
      </w:r>
      <w:r>
        <w:t>replace</w:t>
      </w:r>
      <w:r>
        <w:rPr>
          <w:spacing w:val="-4"/>
        </w:rPr>
        <w:t xml:space="preserve"> </w:t>
      </w:r>
      <w:r>
        <w:t>the</w:t>
      </w:r>
      <w:r>
        <w:rPr>
          <w:spacing w:val="-2"/>
        </w:rPr>
        <w:t xml:space="preserve"> </w:t>
      </w:r>
      <w:r>
        <w:t>seven</w:t>
      </w:r>
      <w:r>
        <w:rPr>
          <w:spacing w:val="-2"/>
        </w:rPr>
        <w:t xml:space="preserve"> </w:t>
      </w:r>
      <w:r>
        <w:t>different</w:t>
      </w:r>
      <w:r>
        <w:rPr>
          <w:spacing w:val="-5"/>
        </w:rPr>
        <w:t xml:space="preserve"> </w:t>
      </w:r>
      <w:r>
        <w:t>State and Territory sets of rules – would cut costly and time-consuming red tape and enable more funds to go where they are needed most – helping people in need.</w:t>
      </w:r>
      <w:r>
        <w:rPr>
          <w:spacing w:val="40"/>
        </w:rPr>
        <w:t xml:space="preserve"> </w:t>
      </w:r>
      <w:r>
        <w:t xml:space="preserve">Now is the time to </w:t>
      </w:r>
      <w:proofErr w:type="spellStart"/>
      <w:r>
        <w:t>capitalise</w:t>
      </w:r>
      <w:proofErr w:type="spellEnd"/>
      <w:r>
        <w:t xml:space="preserve"> on recent momentum for reform, ending what has been government failure lasting decades that </w:t>
      </w:r>
      <w:r w:rsidR="00C302EF">
        <w:t>cost</w:t>
      </w:r>
      <w:r>
        <w:t xml:space="preserve"> charity $15 million a year - money which should be going to support people in need.</w:t>
      </w:r>
      <w:r>
        <w:rPr>
          <w:spacing w:val="40"/>
        </w:rPr>
        <w:t xml:space="preserve"> </w:t>
      </w:r>
      <w:r>
        <w:t>The PC 2010 report recommended this reform.</w:t>
      </w:r>
    </w:p>
    <w:p w14:paraId="2ABE785A" w14:textId="5BC4531F" w:rsidR="00040094" w:rsidRDefault="00040094" w:rsidP="00C302EF">
      <w:pPr>
        <w:pStyle w:val="ListParagraph"/>
        <w:tabs>
          <w:tab w:val="left" w:pos="496"/>
        </w:tabs>
        <w:spacing w:before="119" w:line="259" w:lineRule="auto"/>
        <w:ind w:left="212" w:right="345" w:firstLine="0"/>
      </w:pPr>
      <w:r>
        <w:rPr>
          <w:b/>
          <w:color w:val="0462C1"/>
        </w:rPr>
        <w:t>:</w:t>
      </w:r>
      <w:r>
        <w:rPr>
          <w:b/>
          <w:color w:val="0462C1"/>
          <w:spacing w:val="-3"/>
        </w:rPr>
        <w:t xml:space="preserve"> </w:t>
      </w:r>
      <w:r>
        <w:rPr>
          <w:b/>
          <w:color w:val="0462C1"/>
        </w:rPr>
        <w:t>Encouraging</w:t>
      </w:r>
      <w:r>
        <w:rPr>
          <w:b/>
          <w:color w:val="0462C1"/>
          <w:spacing w:val="-4"/>
        </w:rPr>
        <w:t xml:space="preserve"> </w:t>
      </w:r>
      <w:r>
        <w:rPr>
          <w:b/>
          <w:color w:val="0462C1"/>
        </w:rPr>
        <w:t>Later-in-Life</w:t>
      </w:r>
      <w:r>
        <w:rPr>
          <w:b/>
          <w:color w:val="0462C1"/>
          <w:spacing w:val="-3"/>
        </w:rPr>
        <w:t xml:space="preserve"> </w:t>
      </w:r>
      <w:r>
        <w:rPr>
          <w:b/>
          <w:color w:val="0462C1"/>
        </w:rPr>
        <w:t>and</w:t>
      </w:r>
      <w:r>
        <w:rPr>
          <w:b/>
          <w:color w:val="0462C1"/>
          <w:spacing w:val="-3"/>
        </w:rPr>
        <w:t xml:space="preserve"> </w:t>
      </w:r>
      <w:r>
        <w:rPr>
          <w:b/>
          <w:color w:val="0462C1"/>
        </w:rPr>
        <w:t>Legacy</w:t>
      </w:r>
      <w:r>
        <w:rPr>
          <w:b/>
          <w:color w:val="0462C1"/>
          <w:spacing w:val="-4"/>
        </w:rPr>
        <w:t xml:space="preserve"> </w:t>
      </w:r>
      <w:r>
        <w:rPr>
          <w:b/>
          <w:color w:val="0462C1"/>
        </w:rPr>
        <w:t xml:space="preserve">Giving: </w:t>
      </w:r>
      <w:r>
        <w:t>While</w:t>
      </w:r>
      <w:r>
        <w:rPr>
          <w:spacing w:val="-1"/>
        </w:rPr>
        <w:t xml:space="preserve"> </w:t>
      </w:r>
      <w:r>
        <w:t>$2.6</w:t>
      </w:r>
      <w:r>
        <w:rPr>
          <w:spacing w:val="-4"/>
        </w:rPr>
        <w:t xml:space="preserve"> </w:t>
      </w:r>
      <w:r>
        <w:t>trillion</w:t>
      </w:r>
      <w:r>
        <w:rPr>
          <w:spacing w:val="-3"/>
        </w:rPr>
        <w:t xml:space="preserve"> </w:t>
      </w:r>
      <w:r>
        <w:t>is</w:t>
      </w:r>
      <w:r>
        <w:rPr>
          <w:spacing w:val="-4"/>
        </w:rPr>
        <w:t xml:space="preserve"> </w:t>
      </w:r>
      <w:r>
        <w:t>set</w:t>
      </w:r>
      <w:r>
        <w:rPr>
          <w:spacing w:val="-2"/>
        </w:rPr>
        <w:t xml:space="preserve"> </w:t>
      </w:r>
      <w:r>
        <w:t>to</w:t>
      </w:r>
      <w:r>
        <w:rPr>
          <w:spacing w:val="-1"/>
        </w:rPr>
        <w:t xml:space="preserve"> </w:t>
      </w:r>
      <w:r>
        <w:t>be</w:t>
      </w:r>
      <w:r>
        <w:rPr>
          <w:spacing w:val="-5"/>
        </w:rPr>
        <w:t xml:space="preserve"> </w:t>
      </w:r>
      <w:r>
        <w:t>passed</w:t>
      </w:r>
      <w:r>
        <w:rPr>
          <w:spacing w:val="-2"/>
        </w:rPr>
        <w:t xml:space="preserve"> </w:t>
      </w:r>
      <w:r>
        <w:t>between</w:t>
      </w:r>
      <w:r>
        <w:rPr>
          <w:spacing w:val="-2"/>
        </w:rPr>
        <w:t xml:space="preserve"> </w:t>
      </w:r>
      <w:r>
        <w:t>generations</w:t>
      </w:r>
      <w:r>
        <w:rPr>
          <w:spacing w:val="-5"/>
        </w:rPr>
        <w:t xml:space="preserve"> </w:t>
      </w:r>
      <w:r>
        <w:t xml:space="preserve">over 20 years to 2040 – a huge opportunity – at present only around 7 </w:t>
      </w:r>
      <w:r w:rsidR="00C302EF">
        <w:t>percent</w:t>
      </w:r>
      <w:r>
        <w:t xml:space="preserve"> of Australians are leaving bequests in their wills.</w:t>
      </w:r>
      <w:r>
        <w:rPr>
          <w:spacing w:val="40"/>
        </w:rPr>
        <w:t xml:space="preserve"> </w:t>
      </w:r>
      <w:r>
        <w:t>An incentive to make a 'living' bequest, as exists in leading countries that donate more of their national income to charity,</w:t>
      </w:r>
      <w:r>
        <w:rPr>
          <w:spacing w:val="-3"/>
        </w:rPr>
        <w:t xml:space="preserve"> </w:t>
      </w:r>
      <w:r>
        <w:t>could</w:t>
      </w:r>
      <w:r>
        <w:rPr>
          <w:spacing w:val="-2"/>
        </w:rPr>
        <w:t xml:space="preserve"> </w:t>
      </w:r>
      <w:r>
        <w:t>make</w:t>
      </w:r>
      <w:r>
        <w:rPr>
          <w:spacing w:val="-1"/>
        </w:rPr>
        <w:t xml:space="preserve"> </w:t>
      </w:r>
      <w:r>
        <w:t>a huge difference.</w:t>
      </w:r>
      <w:r>
        <w:rPr>
          <w:spacing w:val="80"/>
        </w:rPr>
        <w:t xml:space="preserve"> </w:t>
      </w:r>
      <w:r>
        <w:t>We recommend the</w:t>
      </w:r>
      <w:r>
        <w:rPr>
          <w:spacing w:val="-1"/>
        </w:rPr>
        <w:t xml:space="preserve"> </w:t>
      </w:r>
      <w:r>
        <w:t>PC undertake: policy</w:t>
      </w:r>
      <w:r>
        <w:rPr>
          <w:spacing w:val="-1"/>
        </w:rPr>
        <w:t xml:space="preserve"> </w:t>
      </w:r>
      <w:r>
        <w:t>design</w:t>
      </w:r>
      <w:r>
        <w:rPr>
          <w:spacing w:val="-2"/>
        </w:rPr>
        <w:t xml:space="preserve"> </w:t>
      </w:r>
      <w:r>
        <w:t>work aimed at delivering maximum benefit:</w:t>
      </w:r>
      <w:r w:rsidR="00C302EF">
        <w:t xml:space="preserve"> </w:t>
      </w:r>
      <w:r>
        <w:t>cost from establishing a Living Legacy Trust structure, drawing on previous work and advice from interested philanthropists; and consider alternative means to encourage later-in-life giving and bequests when people are better positioned to give, but relatively few do.</w:t>
      </w:r>
    </w:p>
    <w:p w14:paraId="72D45635" w14:textId="3D6121DA" w:rsidR="00236E1C" w:rsidRPr="00D13AC1" w:rsidRDefault="00236E1C">
      <w:pPr>
        <w:rPr>
          <w:b/>
          <w:bCs/>
          <w:color w:val="0070C0"/>
          <w:sz w:val="28"/>
          <w:szCs w:val="28"/>
          <w:lang w:val="en-US"/>
        </w:rPr>
      </w:pPr>
      <w:r w:rsidRPr="00D13AC1">
        <w:rPr>
          <w:b/>
          <w:bCs/>
          <w:color w:val="0070C0"/>
          <w:sz w:val="28"/>
          <w:szCs w:val="28"/>
          <w:lang w:val="en-US"/>
        </w:rPr>
        <w:t>Creating a more giving and generous giving culture</w:t>
      </w:r>
    </w:p>
    <w:p w14:paraId="664DA11C" w14:textId="26BF93EA" w:rsidR="00C17841" w:rsidRDefault="00236E1C">
      <w:pPr>
        <w:rPr>
          <w:lang w:val="en-US"/>
        </w:rPr>
      </w:pPr>
      <w:r w:rsidRPr="00236E1C">
        <w:rPr>
          <w:lang w:val="en-US"/>
        </w:rPr>
        <w:t xml:space="preserve">CatholicCare Sydney currently </w:t>
      </w:r>
      <w:r>
        <w:rPr>
          <w:lang w:val="en-US"/>
        </w:rPr>
        <w:t xml:space="preserve">has </w:t>
      </w:r>
      <w:r w:rsidR="00980A10">
        <w:rPr>
          <w:lang w:val="en-US"/>
        </w:rPr>
        <w:t>two</w:t>
      </w:r>
      <w:r w:rsidRPr="00236E1C">
        <w:rPr>
          <w:lang w:val="en-US"/>
        </w:rPr>
        <w:t xml:space="preserve"> programs that focus </w:t>
      </w:r>
      <w:r w:rsidR="00C17841">
        <w:rPr>
          <w:lang w:val="en-US"/>
        </w:rPr>
        <w:t>on learning about the value of giving as well as learning to walk in the shoes of others.</w:t>
      </w:r>
      <w:r w:rsidR="00D13AC1">
        <w:rPr>
          <w:lang w:val="en-US"/>
        </w:rPr>
        <w:t xml:space="preserve"> </w:t>
      </w:r>
    </w:p>
    <w:p w14:paraId="41432CF6" w14:textId="1A534977" w:rsidR="00236E1C" w:rsidRDefault="00C17841">
      <w:pPr>
        <w:rPr>
          <w:lang w:val="en-US"/>
        </w:rPr>
      </w:pPr>
      <w:r w:rsidRPr="0049023D">
        <w:rPr>
          <w:b/>
          <w:bCs/>
          <w:lang w:val="en-US"/>
        </w:rPr>
        <w:t>Gift of Goodness</w:t>
      </w:r>
      <w:r>
        <w:rPr>
          <w:lang w:val="en-US"/>
        </w:rPr>
        <w:t xml:space="preserve"> – is run across 154 Sydney Catholic Schools to raise funds for people in the community </w:t>
      </w:r>
      <w:r w:rsidR="00980A10">
        <w:rPr>
          <w:lang w:val="en-US"/>
        </w:rPr>
        <w:t>in</w:t>
      </w:r>
      <w:r>
        <w:rPr>
          <w:lang w:val="en-US"/>
        </w:rPr>
        <w:t xml:space="preserve"> need. </w:t>
      </w:r>
      <w:r w:rsidR="00980A10">
        <w:rPr>
          <w:lang w:val="en-US"/>
        </w:rPr>
        <w:t>S</w:t>
      </w:r>
      <w:r>
        <w:rPr>
          <w:lang w:val="en-US"/>
        </w:rPr>
        <w:t xml:space="preserve">tories about people </w:t>
      </w:r>
      <w:r w:rsidR="00980A10">
        <w:rPr>
          <w:lang w:val="en-US"/>
        </w:rPr>
        <w:t>in need in the community are shared with students to raise awareness and empathy for others in the community who may be needing support. The program encourages creative approached to raising money igniting a passion for social justice, impact and purpose in the next generation.</w:t>
      </w:r>
    </w:p>
    <w:p w14:paraId="16F2DFA1" w14:textId="1F263EC7" w:rsidR="00C17841" w:rsidRDefault="00C17841">
      <w:pPr>
        <w:rPr>
          <w:lang w:val="en-US"/>
        </w:rPr>
      </w:pPr>
      <w:r w:rsidRPr="0049023D">
        <w:rPr>
          <w:b/>
          <w:bCs/>
          <w:lang w:val="en-US"/>
        </w:rPr>
        <w:t xml:space="preserve">Solidarity </w:t>
      </w:r>
      <w:r>
        <w:rPr>
          <w:lang w:val="en-US"/>
        </w:rPr>
        <w:t xml:space="preserve">– school students attend our Disability Program with our clients who have an intellectual or physical disability. They walk </w:t>
      </w:r>
      <w:r w:rsidR="00C302EF">
        <w:rPr>
          <w:lang w:val="en-US"/>
        </w:rPr>
        <w:t>alongside</w:t>
      </w:r>
      <w:r>
        <w:rPr>
          <w:lang w:val="en-US"/>
        </w:rPr>
        <w:t xml:space="preserve"> our clients interact</w:t>
      </w:r>
      <w:r w:rsidR="00980A10">
        <w:rPr>
          <w:lang w:val="en-US"/>
        </w:rPr>
        <w:t>ing</w:t>
      </w:r>
      <w:r>
        <w:rPr>
          <w:lang w:val="en-US"/>
        </w:rPr>
        <w:t xml:space="preserve"> and learn</w:t>
      </w:r>
      <w:r w:rsidR="00980A10">
        <w:rPr>
          <w:lang w:val="en-US"/>
        </w:rPr>
        <w:t>ing</w:t>
      </w:r>
      <w:r>
        <w:rPr>
          <w:lang w:val="en-US"/>
        </w:rPr>
        <w:t xml:space="preserve"> from them. This introduction to </w:t>
      </w:r>
      <w:r w:rsidR="001D2A4E">
        <w:rPr>
          <w:lang w:val="en-US"/>
        </w:rPr>
        <w:t xml:space="preserve">disability clients helps </w:t>
      </w:r>
      <w:r>
        <w:rPr>
          <w:lang w:val="en-US"/>
        </w:rPr>
        <w:t>remove the barriers and stigmas people with disability face and for the students</w:t>
      </w:r>
      <w:r w:rsidR="00C302EF">
        <w:rPr>
          <w:lang w:val="en-US"/>
        </w:rPr>
        <w:t>,</w:t>
      </w:r>
      <w:r w:rsidR="001D2A4E">
        <w:rPr>
          <w:lang w:val="en-US"/>
        </w:rPr>
        <w:t xml:space="preserve"> enhances their understanding of diversity, inclusion and dignity for all members of our community.</w:t>
      </w:r>
      <w:r>
        <w:rPr>
          <w:lang w:val="en-US"/>
        </w:rPr>
        <w:t xml:space="preserve"> </w:t>
      </w:r>
    </w:p>
    <w:p w14:paraId="0E7A6B88" w14:textId="77777777" w:rsidR="00293B88" w:rsidRPr="00D13AC1" w:rsidRDefault="00293B88" w:rsidP="00293B88">
      <w:pPr>
        <w:rPr>
          <w:b/>
          <w:bCs/>
          <w:color w:val="0070C0"/>
          <w:sz w:val="28"/>
          <w:szCs w:val="28"/>
          <w:lang w:val="en-US"/>
        </w:rPr>
      </w:pPr>
      <w:r w:rsidRPr="00D13AC1">
        <w:rPr>
          <w:b/>
          <w:bCs/>
          <w:color w:val="0070C0"/>
          <w:sz w:val="28"/>
          <w:szCs w:val="28"/>
          <w:lang w:val="en-US"/>
        </w:rPr>
        <w:t>CatholicCare Sydney</w:t>
      </w:r>
    </w:p>
    <w:p w14:paraId="097BFBE7" w14:textId="77777777" w:rsidR="00293B88" w:rsidRPr="00B75E11" w:rsidRDefault="00293B88" w:rsidP="00293B88">
      <w:pPr>
        <w:rPr>
          <w:lang w:eastAsia="en-AU"/>
        </w:rPr>
      </w:pPr>
      <w:r w:rsidRPr="00B75E11">
        <w:rPr>
          <w:lang w:eastAsia="en-AU"/>
        </w:rPr>
        <w:t xml:space="preserve">CatholicCare Sydney (CCS) is a not-for-profit social welfare agency. </w:t>
      </w:r>
    </w:p>
    <w:p w14:paraId="747B88EF" w14:textId="77777777" w:rsidR="00293B88" w:rsidRPr="00B75E11" w:rsidRDefault="00293B88" w:rsidP="00293B88">
      <w:pPr>
        <w:rPr>
          <w:lang w:eastAsia="en-AU"/>
        </w:rPr>
      </w:pPr>
      <w:r w:rsidRPr="00B75E11">
        <w:rPr>
          <w:lang w:eastAsia="en-AU"/>
        </w:rPr>
        <w:t>We help people that are in the most vulnerable situations, who are facing unexpected crisis or long</w:t>
      </w:r>
      <w:r>
        <w:rPr>
          <w:lang w:eastAsia="en-AU"/>
        </w:rPr>
        <w:t>-term</w:t>
      </w:r>
      <w:r w:rsidRPr="00B75E11">
        <w:rPr>
          <w:lang w:eastAsia="en-AU"/>
        </w:rPr>
        <w:t xml:space="preserve"> disadvantage across Sydney. </w:t>
      </w:r>
    </w:p>
    <w:p w14:paraId="4241259F" w14:textId="77777777" w:rsidR="00293B88" w:rsidRPr="00B75E11" w:rsidRDefault="00293B88" w:rsidP="00293B88">
      <w:pPr>
        <w:rPr>
          <w:lang w:eastAsia="en-AU"/>
        </w:rPr>
      </w:pPr>
      <w:r w:rsidRPr="00B75E11">
        <w:rPr>
          <w:lang w:eastAsia="en-AU"/>
        </w:rPr>
        <w:lastRenderedPageBreak/>
        <w:t>CCS has been successfully delivering community programs for over 80 years. With over 70 programs geographically focused across Sydney including Sout</w:t>
      </w:r>
      <w:r>
        <w:rPr>
          <w:lang w:eastAsia="en-AU"/>
        </w:rPr>
        <w:t>h-</w:t>
      </w:r>
      <w:r w:rsidRPr="00B75E11">
        <w:rPr>
          <w:lang w:eastAsia="en-AU"/>
        </w:rPr>
        <w:t xml:space="preserve">West, Inner West, Central Eastern Sydney; we address significant issues including disadvantage, addiction, homelessness, ageing, mental health concerns and disabilities. </w:t>
      </w:r>
    </w:p>
    <w:p w14:paraId="584D14B6" w14:textId="394C3EE9" w:rsidR="00293B88" w:rsidRPr="00B75E11" w:rsidRDefault="00293B88" w:rsidP="00293B88">
      <w:pPr>
        <w:rPr>
          <w:lang w:eastAsia="en-AU"/>
        </w:rPr>
      </w:pPr>
      <w:r w:rsidRPr="00B75E11">
        <w:rPr>
          <w:lang w:eastAsia="en-AU"/>
        </w:rPr>
        <w:t>Our programs are accessed by all age groups</w:t>
      </w:r>
      <w:r w:rsidR="001D2A4E">
        <w:rPr>
          <w:lang w:eastAsia="en-AU"/>
        </w:rPr>
        <w:t>, cultural backgrounds</w:t>
      </w:r>
      <w:r w:rsidRPr="00B75E11">
        <w:rPr>
          <w:lang w:eastAsia="en-AU"/>
        </w:rPr>
        <w:t xml:space="preserve"> and </w:t>
      </w:r>
      <w:r w:rsidRPr="00703073">
        <w:rPr>
          <w:b/>
          <w:bCs/>
          <w:lang w:eastAsia="en-AU"/>
        </w:rPr>
        <w:t xml:space="preserve"> faiths.</w:t>
      </w:r>
      <w:r w:rsidRPr="00B75E11">
        <w:rPr>
          <w:lang w:eastAsia="en-AU"/>
        </w:rPr>
        <w:t xml:space="preserve"> Beneficiary groups include infants, children, youth and adults, including seniors from a wide range of communities including Culturally and Linguistically Diverse and Refugee communities. </w:t>
      </w:r>
    </w:p>
    <w:p w14:paraId="20205CB1" w14:textId="77777777" w:rsidR="00293B88" w:rsidRPr="00B75E11" w:rsidRDefault="00293B88" w:rsidP="00293B88">
      <w:pPr>
        <w:rPr>
          <w:lang w:eastAsia="en-AU"/>
        </w:rPr>
      </w:pPr>
      <w:r>
        <w:rPr>
          <w:lang w:eastAsia="en-AU"/>
        </w:rPr>
        <w:t>Our other work includes</w:t>
      </w:r>
      <w:r w:rsidRPr="00B75E11">
        <w:rPr>
          <w:lang w:eastAsia="en-AU"/>
        </w:rPr>
        <w:t xml:space="preserve">:- </w:t>
      </w:r>
    </w:p>
    <w:p w14:paraId="1490AC39" w14:textId="77777777" w:rsidR="00293B88" w:rsidRPr="00B75E11" w:rsidRDefault="00293B88" w:rsidP="00293B88">
      <w:pPr>
        <w:rPr>
          <w:lang w:eastAsia="en-AU"/>
        </w:rPr>
      </w:pPr>
      <w:r w:rsidRPr="00B75E11">
        <w:rPr>
          <w:lang w:eastAsia="en-AU"/>
        </w:rPr>
        <w:t xml:space="preserve">• </w:t>
      </w:r>
      <w:r>
        <w:rPr>
          <w:lang w:eastAsia="en-AU"/>
        </w:rPr>
        <w:t>Government-backed</w:t>
      </w:r>
      <w:r w:rsidRPr="00B75E11">
        <w:rPr>
          <w:lang w:eastAsia="en-AU"/>
        </w:rPr>
        <w:t xml:space="preserve"> telephone support and education for NSW parents (Parent Line) and counselling support for unpaid carers across the country (Carers Gateway Counselling Service and Community Forum) as well as people addicted to gambling (GambleAware) plus a support service to help club patrons and staff </w:t>
      </w:r>
      <w:r>
        <w:rPr>
          <w:lang w:eastAsia="en-AU"/>
        </w:rPr>
        <w:t>with</w:t>
      </w:r>
      <w:r w:rsidRPr="00B75E11">
        <w:rPr>
          <w:lang w:eastAsia="en-AU"/>
        </w:rPr>
        <w:t xml:space="preserve"> financial issues, gambling concerns, alcohol and drugs, financial issues, loneliness and isolation (</w:t>
      </w:r>
      <w:proofErr w:type="spellStart"/>
      <w:r w:rsidRPr="00B75E11">
        <w:rPr>
          <w:lang w:eastAsia="en-AU"/>
        </w:rPr>
        <w:t>ClubCare</w:t>
      </w:r>
      <w:proofErr w:type="spellEnd"/>
      <w:r w:rsidRPr="00B75E11">
        <w:rPr>
          <w:lang w:eastAsia="en-AU"/>
        </w:rPr>
        <w:t xml:space="preserve">). </w:t>
      </w:r>
    </w:p>
    <w:p w14:paraId="0D2BC9D9" w14:textId="77777777" w:rsidR="00293B88" w:rsidRPr="00B75E11" w:rsidRDefault="00293B88" w:rsidP="00293B88">
      <w:pPr>
        <w:rPr>
          <w:lang w:eastAsia="en-AU"/>
        </w:rPr>
      </w:pPr>
      <w:r w:rsidRPr="00B75E11">
        <w:rPr>
          <w:lang w:eastAsia="en-AU"/>
        </w:rPr>
        <w:t xml:space="preserve">• School Counselling across all 156 Sydney Catholic Schools </w:t>
      </w:r>
    </w:p>
    <w:p w14:paraId="63EB33B7" w14:textId="77777777" w:rsidR="00293B88" w:rsidRPr="00B75E11" w:rsidRDefault="00293B88" w:rsidP="00293B88">
      <w:pPr>
        <w:rPr>
          <w:lang w:eastAsia="en-AU"/>
        </w:rPr>
      </w:pPr>
      <w:r w:rsidRPr="00B75E11">
        <w:rPr>
          <w:lang w:eastAsia="en-AU"/>
        </w:rPr>
        <w:t xml:space="preserve">• Counselling - family dispute resolution, addiction support, financial abuse recovery support </w:t>
      </w:r>
    </w:p>
    <w:p w14:paraId="512BE1ED" w14:textId="77777777" w:rsidR="00293B88" w:rsidRPr="00B75E11" w:rsidRDefault="00293B88" w:rsidP="00293B88">
      <w:pPr>
        <w:rPr>
          <w:lang w:eastAsia="en-AU"/>
        </w:rPr>
      </w:pPr>
      <w:r w:rsidRPr="00B75E11">
        <w:rPr>
          <w:lang w:eastAsia="en-AU"/>
        </w:rPr>
        <w:t xml:space="preserve">• Home Care support for ageing Australians wishing to remain in their own homes. </w:t>
      </w:r>
    </w:p>
    <w:p w14:paraId="1B8710E6" w14:textId="77777777" w:rsidR="00293B88" w:rsidRPr="00B75E11" w:rsidRDefault="00293B88" w:rsidP="00293B88">
      <w:pPr>
        <w:rPr>
          <w:lang w:eastAsia="en-AU"/>
        </w:rPr>
      </w:pPr>
      <w:r w:rsidRPr="00B75E11">
        <w:rPr>
          <w:lang w:eastAsia="en-AU"/>
        </w:rPr>
        <w:t xml:space="preserve">• Disability Services – creating life skills, training and supported work opportunities for people living with intellectual disabilities </w:t>
      </w:r>
    </w:p>
    <w:p w14:paraId="27A00C31" w14:textId="77777777" w:rsidR="00293B88" w:rsidRPr="00B75E11" w:rsidRDefault="00293B88" w:rsidP="00293B88">
      <w:pPr>
        <w:rPr>
          <w:lang w:eastAsia="en-AU"/>
        </w:rPr>
      </w:pPr>
      <w:r w:rsidRPr="00B75E11">
        <w:rPr>
          <w:lang w:eastAsia="en-AU"/>
        </w:rPr>
        <w:t xml:space="preserve">• Chaplaincy programs in prisons, hospitals and mental health units Accompaniment for people exiting prison or health facilities (Companions Matter) </w:t>
      </w:r>
    </w:p>
    <w:p w14:paraId="3DEF32C7" w14:textId="77777777" w:rsidR="00293B88" w:rsidRDefault="00293B88">
      <w:pPr>
        <w:rPr>
          <w:lang w:val="en-US"/>
        </w:rPr>
      </w:pPr>
    </w:p>
    <w:p w14:paraId="42A4A2DD" w14:textId="77777777" w:rsidR="00293B88" w:rsidRPr="00236E1C" w:rsidRDefault="00293B88">
      <w:pPr>
        <w:rPr>
          <w:lang w:val="en-US"/>
        </w:rPr>
      </w:pPr>
    </w:p>
    <w:p w14:paraId="734C184E" w14:textId="77777777" w:rsidR="00236E1C" w:rsidRPr="00236E1C" w:rsidRDefault="00236E1C">
      <w:pPr>
        <w:rPr>
          <w:lang w:val="en-US"/>
        </w:rPr>
      </w:pPr>
    </w:p>
    <w:p w14:paraId="3820B9C8" w14:textId="77777777" w:rsidR="00236E1C" w:rsidRPr="00236E1C" w:rsidRDefault="00236E1C">
      <w:pPr>
        <w:rPr>
          <w:lang w:val="en-US"/>
        </w:rPr>
      </w:pPr>
    </w:p>
    <w:sectPr w:rsidR="00236E1C" w:rsidRPr="00236E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704"/>
    <w:multiLevelType w:val="multilevel"/>
    <w:tmpl w:val="FA403250"/>
    <w:lvl w:ilvl="0">
      <w:start w:val="1"/>
      <w:numFmt w:val="decimal"/>
      <w:lvlText w:val="%1."/>
      <w:lvlJc w:val="left"/>
      <w:pPr>
        <w:ind w:left="570" w:hanging="359"/>
      </w:pPr>
      <w:rPr>
        <w:rFonts w:ascii="Calibri" w:eastAsia="Calibri" w:hAnsi="Calibri" w:cs="Calibri" w:hint="default"/>
        <w:b/>
        <w:bCs/>
        <w:i w:val="0"/>
        <w:iCs w:val="0"/>
        <w:color w:val="0462C1"/>
        <w:spacing w:val="-1"/>
        <w:w w:val="100"/>
        <w:sz w:val="28"/>
        <w:szCs w:val="28"/>
        <w:lang w:val="en-US" w:eastAsia="en-US" w:bidi="ar-SA"/>
      </w:rPr>
    </w:lvl>
    <w:lvl w:ilvl="1">
      <w:start w:val="1"/>
      <w:numFmt w:val="decimal"/>
      <w:lvlText w:val="%1.%2"/>
      <w:lvlJc w:val="left"/>
      <w:pPr>
        <w:ind w:left="212" w:hanging="331"/>
      </w:pPr>
      <w:rPr>
        <w:rFonts w:ascii="Calibri" w:eastAsia="Calibri" w:hAnsi="Calibri" w:cs="Calibri" w:hint="default"/>
        <w:b/>
        <w:bCs/>
        <w:i w:val="0"/>
        <w:iCs w:val="0"/>
        <w:color w:val="0462C1"/>
        <w:spacing w:val="-2"/>
        <w:w w:val="100"/>
        <w:sz w:val="22"/>
        <w:szCs w:val="22"/>
        <w:lang w:val="en-US" w:eastAsia="en-US" w:bidi="ar-SA"/>
      </w:rPr>
    </w:lvl>
    <w:lvl w:ilvl="2">
      <w:numFmt w:val="bullet"/>
      <w:lvlText w:val="•"/>
      <w:lvlJc w:val="left"/>
      <w:pPr>
        <w:ind w:left="580" w:hanging="331"/>
      </w:pPr>
      <w:rPr>
        <w:rFonts w:hint="default"/>
        <w:lang w:val="en-US" w:eastAsia="en-US" w:bidi="ar-SA"/>
      </w:rPr>
    </w:lvl>
    <w:lvl w:ilvl="3">
      <w:numFmt w:val="bullet"/>
      <w:lvlText w:val="•"/>
      <w:lvlJc w:val="left"/>
      <w:pPr>
        <w:ind w:left="1845" w:hanging="331"/>
      </w:pPr>
      <w:rPr>
        <w:rFonts w:hint="default"/>
        <w:lang w:val="en-US" w:eastAsia="en-US" w:bidi="ar-SA"/>
      </w:rPr>
    </w:lvl>
    <w:lvl w:ilvl="4">
      <w:numFmt w:val="bullet"/>
      <w:lvlText w:val="•"/>
      <w:lvlJc w:val="left"/>
      <w:pPr>
        <w:ind w:left="3111" w:hanging="331"/>
      </w:pPr>
      <w:rPr>
        <w:rFonts w:hint="default"/>
        <w:lang w:val="en-US" w:eastAsia="en-US" w:bidi="ar-SA"/>
      </w:rPr>
    </w:lvl>
    <w:lvl w:ilvl="5">
      <w:numFmt w:val="bullet"/>
      <w:lvlText w:val="•"/>
      <w:lvlJc w:val="left"/>
      <w:pPr>
        <w:ind w:left="4377" w:hanging="331"/>
      </w:pPr>
      <w:rPr>
        <w:rFonts w:hint="default"/>
        <w:lang w:val="en-US" w:eastAsia="en-US" w:bidi="ar-SA"/>
      </w:rPr>
    </w:lvl>
    <w:lvl w:ilvl="6">
      <w:numFmt w:val="bullet"/>
      <w:lvlText w:val="•"/>
      <w:lvlJc w:val="left"/>
      <w:pPr>
        <w:ind w:left="5643" w:hanging="331"/>
      </w:pPr>
      <w:rPr>
        <w:rFonts w:hint="default"/>
        <w:lang w:val="en-US" w:eastAsia="en-US" w:bidi="ar-SA"/>
      </w:rPr>
    </w:lvl>
    <w:lvl w:ilvl="7">
      <w:numFmt w:val="bullet"/>
      <w:lvlText w:val="•"/>
      <w:lvlJc w:val="left"/>
      <w:pPr>
        <w:ind w:left="6909" w:hanging="331"/>
      </w:pPr>
      <w:rPr>
        <w:rFonts w:hint="default"/>
        <w:lang w:val="en-US" w:eastAsia="en-US" w:bidi="ar-SA"/>
      </w:rPr>
    </w:lvl>
    <w:lvl w:ilvl="8">
      <w:numFmt w:val="bullet"/>
      <w:lvlText w:val="•"/>
      <w:lvlJc w:val="left"/>
      <w:pPr>
        <w:ind w:left="8174" w:hanging="331"/>
      </w:pPr>
      <w:rPr>
        <w:rFonts w:hint="default"/>
        <w:lang w:val="en-US" w:eastAsia="en-US" w:bidi="ar-SA"/>
      </w:rPr>
    </w:lvl>
  </w:abstractNum>
  <w:num w:numId="1" w16cid:durableId="174660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120"/>
    <w:rsid w:val="00040094"/>
    <w:rsid w:val="0015404B"/>
    <w:rsid w:val="001D2A4E"/>
    <w:rsid w:val="00236E1C"/>
    <w:rsid w:val="00293B88"/>
    <w:rsid w:val="00294078"/>
    <w:rsid w:val="003B290C"/>
    <w:rsid w:val="0049023D"/>
    <w:rsid w:val="008A3120"/>
    <w:rsid w:val="00980A10"/>
    <w:rsid w:val="00BD5148"/>
    <w:rsid w:val="00C17841"/>
    <w:rsid w:val="00C302EF"/>
    <w:rsid w:val="00D13AC1"/>
    <w:rsid w:val="00F37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0152F"/>
  <w15:chartTrackingRefBased/>
  <w15:docId w15:val="{5DC3A8A6-C217-4545-BE79-CCD75CCB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040094"/>
    <w:pPr>
      <w:widowControl w:val="0"/>
      <w:autoSpaceDE w:val="0"/>
      <w:autoSpaceDN w:val="0"/>
      <w:spacing w:before="14" w:after="0" w:line="240" w:lineRule="auto"/>
      <w:ind w:left="779" w:hanging="568"/>
      <w:outlineLvl w:val="1"/>
    </w:pPr>
    <w:rPr>
      <w:rFonts w:ascii="Calibri" w:eastAsia="Calibri" w:hAnsi="Calibri" w:cs="Calibri"/>
      <w:b/>
      <w:bCs/>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0094"/>
    <w:rPr>
      <w:rFonts w:ascii="Calibri" w:eastAsia="Calibri" w:hAnsi="Calibri" w:cs="Calibri"/>
      <w:b/>
      <w:bCs/>
      <w:kern w:val="0"/>
      <w:sz w:val="28"/>
      <w:szCs w:val="28"/>
      <w:lang w:val="en-US"/>
      <w14:ligatures w14:val="none"/>
    </w:rPr>
  </w:style>
  <w:style w:type="paragraph" w:styleId="BodyText">
    <w:name w:val="Body Text"/>
    <w:basedOn w:val="Normal"/>
    <w:link w:val="BodyTextChar"/>
    <w:uiPriority w:val="1"/>
    <w:qFormat/>
    <w:rsid w:val="00040094"/>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040094"/>
    <w:rPr>
      <w:rFonts w:ascii="Calibri" w:eastAsia="Calibri" w:hAnsi="Calibri" w:cs="Calibri"/>
      <w:kern w:val="0"/>
      <w:lang w:val="en-US"/>
      <w14:ligatures w14:val="none"/>
    </w:rPr>
  </w:style>
  <w:style w:type="paragraph" w:styleId="ListParagraph">
    <w:name w:val="List Paragraph"/>
    <w:basedOn w:val="Normal"/>
    <w:uiPriority w:val="1"/>
    <w:qFormat/>
    <w:rsid w:val="00040094"/>
    <w:pPr>
      <w:widowControl w:val="0"/>
      <w:autoSpaceDE w:val="0"/>
      <w:autoSpaceDN w:val="0"/>
      <w:spacing w:before="40" w:after="0" w:line="240" w:lineRule="auto"/>
      <w:ind w:left="573" w:hanging="361"/>
    </w:pPr>
    <w:rPr>
      <w:rFonts w:ascii="Calibri" w:eastAsia="Calibri" w:hAnsi="Calibri" w:cs="Calibri"/>
      <w:kern w:val="0"/>
      <w:lang w:val="en-US"/>
      <w14:ligatures w14:val="none"/>
    </w:rPr>
  </w:style>
  <w:style w:type="paragraph" w:styleId="Revision">
    <w:name w:val="Revision"/>
    <w:hidden/>
    <w:uiPriority w:val="99"/>
    <w:semiHidden/>
    <w:rsid w:val="00293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4ca7f4aff708645f101fc44aaea8412a">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ef1afcff678fe0c3642503642d31c4e3"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A50D67-173D-4917-8B57-07567AB4C250}">
  <ds:schemaRefs>
    <ds:schemaRef ds:uri="http://schemas.microsoft.com/office/2006/metadata/properties"/>
    <ds:schemaRef ds:uri="http://schemas.microsoft.com/office/infopath/2007/PartnerControls"/>
    <ds:schemaRef ds:uri="e98515d3-35d1-48c7-98b0-9361f3d04ddf"/>
  </ds:schemaRefs>
</ds:datastoreItem>
</file>

<file path=customXml/itemProps2.xml><?xml version="1.0" encoding="utf-8"?>
<ds:datastoreItem xmlns:ds="http://schemas.openxmlformats.org/officeDocument/2006/customXml" ds:itemID="{BA399B5B-BB39-468A-818C-44187262543F}">
  <ds:schemaRefs>
    <ds:schemaRef ds:uri="http://schemas.microsoft.com/sharepoint/v3/contenttype/forms"/>
  </ds:schemaRefs>
</ds:datastoreItem>
</file>

<file path=customXml/itemProps3.xml><?xml version="1.0" encoding="utf-8"?>
<ds:datastoreItem xmlns:ds="http://schemas.openxmlformats.org/officeDocument/2006/customXml" ds:itemID="{560F07F2-B901-42C1-A266-847B6193E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Submission 142 - CatholicCare Sydney - Philanthropy - Public inquiry</vt:lpstr>
    </vt:vector>
  </TitlesOfParts>
  <Company>CatholicCare Sydney</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142 - CatholicCare Sydney - Philanthropy - Public inquiry</dc:title>
  <dc:subject/>
  <dc:creator>CatholicCare Sydney</dc:creator>
  <cp:keywords/>
  <dc:description/>
  <cp:lastModifiedBy>Alexandra Dazey</cp:lastModifiedBy>
  <cp:revision>3</cp:revision>
  <cp:lastPrinted>2023-05-12T06:01:00Z</cp:lastPrinted>
  <dcterms:created xsi:type="dcterms:W3CDTF">2023-05-05T01:39:00Z</dcterms:created>
  <dcterms:modified xsi:type="dcterms:W3CDTF">2023-05-12T06:02:00Z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4e9ceaabb0cfacd4d7760a18a46ad1acdb9239baab0ab29e1dec98126c431d43</vt:lpwstr>
  </property>
  <property fmtid="{D5CDD505-2E9C-101B-9397-08002B2CF9AE}" pid="3" name="ContentTypeId">
    <vt:lpwstr>0x010100701643EB437E814B9F804656CD4347FE</vt:lpwstr>
  </property>
  <property fmtid="{D5CDD505-2E9C-101B-9397-08002B2CF9AE}" pid="4" name="RevIMBCS">
    <vt:lpwstr>1;#Unclassified|3955eeb1-2d18-4582-aeb2-00144ec3aaf5</vt:lpwstr>
  </property>
</Properties>
</file>