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BD39" w14:textId="6CAB0BEE" w:rsidR="005D5FEF" w:rsidRDefault="005D5FEF" w:rsidP="005D5FEF">
      <w:pPr>
        <w:ind w:left="720" w:hanging="720"/>
        <w:jc w:val="center"/>
        <w:rPr>
          <w:b/>
          <w:bCs/>
        </w:rPr>
      </w:pPr>
      <w:r w:rsidRPr="005D5FEF">
        <w:rPr>
          <w:b/>
          <w:bCs/>
        </w:rPr>
        <w:t>MURRAY DARLING BASIN PLAN: IMPLEMENTATION REVIEW 2023</w:t>
      </w:r>
    </w:p>
    <w:p w14:paraId="78F58FCF" w14:textId="77777777" w:rsidR="005D5FEF" w:rsidRPr="005D5FEF" w:rsidRDefault="005D5FEF" w:rsidP="005D5FEF">
      <w:pPr>
        <w:ind w:left="720" w:hanging="720"/>
        <w:jc w:val="center"/>
        <w:rPr>
          <w:b/>
          <w:bCs/>
        </w:rPr>
      </w:pPr>
    </w:p>
    <w:p w14:paraId="12128CAA" w14:textId="77777777" w:rsidR="005D5FEF" w:rsidRPr="005D5FEF" w:rsidRDefault="005D5FEF" w:rsidP="005D5FEF">
      <w:pPr>
        <w:ind w:left="720" w:hanging="720"/>
        <w:jc w:val="center"/>
        <w:rPr>
          <w:b/>
          <w:bCs/>
        </w:rPr>
      </w:pPr>
      <w:r w:rsidRPr="005D5FEF">
        <w:rPr>
          <w:b/>
          <w:bCs/>
        </w:rPr>
        <w:t>SUBMISSION TO THE PRODUCTIVITY COMMISSION</w:t>
      </w:r>
    </w:p>
    <w:p w14:paraId="1A6C67B5" w14:textId="7F26E455" w:rsidR="005D5FEF" w:rsidRDefault="005D5FEF" w:rsidP="00A50E27">
      <w:pPr>
        <w:ind w:left="720" w:hanging="720"/>
      </w:pPr>
      <w:r>
        <w:t xml:space="preserve"> </w:t>
      </w:r>
    </w:p>
    <w:p w14:paraId="3354203E" w14:textId="4901EB34" w:rsidR="00D13D6E" w:rsidRPr="004E4099" w:rsidRDefault="005D5FEF" w:rsidP="00A67503">
      <w:pPr>
        <w:pStyle w:val="ListParagraph"/>
        <w:numPr>
          <w:ilvl w:val="0"/>
          <w:numId w:val="1"/>
        </w:numPr>
        <w:rPr>
          <w:rFonts w:ascii="Garamond" w:hAnsi="Garamond"/>
          <w:szCs w:val="24"/>
        </w:rPr>
      </w:pPr>
      <w:r w:rsidRPr="005D5FEF">
        <w:rPr>
          <w:rFonts w:ascii="Garamond" w:hAnsi="Garamond"/>
          <w:szCs w:val="24"/>
        </w:rPr>
        <w:t>Thank you for the opportunity to provide a submission for this Review. Having regard to the Commission’s “key questions”, I have addressed items 8, 1 and 4</w:t>
      </w:r>
      <w:r w:rsidR="00313417">
        <w:rPr>
          <w:rFonts w:ascii="Garamond" w:hAnsi="Garamond"/>
          <w:szCs w:val="24"/>
        </w:rPr>
        <w:t xml:space="preserve"> (in that order).</w:t>
      </w:r>
      <w:r w:rsidRPr="005D5FEF">
        <w:rPr>
          <w:rFonts w:ascii="Garamond" w:hAnsi="Garamond"/>
          <w:szCs w:val="24"/>
        </w:rPr>
        <w:t xml:space="preserve"> </w:t>
      </w:r>
      <w:bookmarkStart w:id="0" w:name="_Hlk131436871"/>
    </w:p>
    <w:bookmarkEnd w:id="0"/>
    <w:p w14:paraId="2909DDE9" w14:textId="77777777" w:rsidR="00537808" w:rsidRPr="004E4099" w:rsidRDefault="00537808" w:rsidP="00537808">
      <w:pPr>
        <w:rPr>
          <w:rFonts w:ascii="Garamond" w:hAnsi="Garamond"/>
          <w:szCs w:val="24"/>
        </w:rPr>
      </w:pPr>
    </w:p>
    <w:p w14:paraId="416565E8" w14:textId="69A90573" w:rsidR="00537808" w:rsidRDefault="005D5FEF" w:rsidP="00537808">
      <w:pPr>
        <w:rPr>
          <w:rFonts w:ascii="Garamond" w:hAnsi="Garamond"/>
          <w:b/>
          <w:bCs/>
          <w:szCs w:val="24"/>
        </w:rPr>
      </w:pPr>
      <w:r>
        <w:rPr>
          <w:rFonts w:ascii="Garamond" w:hAnsi="Garamond"/>
          <w:b/>
          <w:bCs/>
          <w:szCs w:val="24"/>
        </w:rPr>
        <w:t>Key Question 8: “Does the implementation of the Plan reflect a commitment to the best available scientific knowledge</w:t>
      </w:r>
      <w:r w:rsidR="000E6CC6">
        <w:rPr>
          <w:rFonts w:ascii="Garamond" w:hAnsi="Garamond"/>
          <w:b/>
          <w:bCs/>
          <w:szCs w:val="24"/>
        </w:rPr>
        <w:t>?”</w:t>
      </w:r>
    </w:p>
    <w:p w14:paraId="14430BA2" w14:textId="23A40DD8" w:rsidR="00313417" w:rsidRPr="00664AB8" w:rsidRDefault="00313417" w:rsidP="00537808">
      <w:pPr>
        <w:rPr>
          <w:rFonts w:ascii="Garamond" w:hAnsi="Garamond"/>
          <w:i/>
          <w:iCs/>
          <w:szCs w:val="24"/>
        </w:rPr>
      </w:pPr>
      <w:r w:rsidRPr="00664AB8">
        <w:rPr>
          <w:rFonts w:ascii="Garamond" w:hAnsi="Garamond"/>
          <w:i/>
          <w:iCs/>
          <w:szCs w:val="24"/>
        </w:rPr>
        <w:t xml:space="preserve">ESLT </w:t>
      </w:r>
      <w:r w:rsidR="00664AB8" w:rsidRPr="00664AB8">
        <w:rPr>
          <w:rFonts w:ascii="Garamond" w:hAnsi="Garamond"/>
          <w:i/>
          <w:iCs/>
          <w:szCs w:val="24"/>
        </w:rPr>
        <w:t>determination did not reflect best science</w:t>
      </w:r>
    </w:p>
    <w:p w14:paraId="2EA1ADA4" w14:textId="00170129" w:rsidR="00664AB8" w:rsidRDefault="005D5FEF" w:rsidP="00A50E27">
      <w:pPr>
        <w:pStyle w:val="ListParagraph"/>
        <w:numPr>
          <w:ilvl w:val="0"/>
          <w:numId w:val="1"/>
        </w:numPr>
        <w:rPr>
          <w:rFonts w:ascii="Garamond" w:hAnsi="Garamond"/>
          <w:szCs w:val="24"/>
        </w:rPr>
      </w:pPr>
      <w:r>
        <w:rPr>
          <w:rFonts w:ascii="Garamond" w:hAnsi="Garamond"/>
          <w:szCs w:val="24"/>
        </w:rPr>
        <w:t xml:space="preserve">The short answer to this question is “no”. With respect though, the question could arguably be phrased differently. The word “reflect” is not to be found in s 21(4)(b) of the </w:t>
      </w:r>
      <w:r w:rsidRPr="000425B0">
        <w:rPr>
          <w:rFonts w:ascii="Garamond" w:hAnsi="Garamond"/>
          <w:i/>
          <w:iCs/>
          <w:szCs w:val="24"/>
        </w:rPr>
        <w:t>Water Act</w:t>
      </w:r>
      <w:r>
        <w:rPr>
          <w:rFonts w:ascii="Garamond" w:hAnsi="Garamond"/>
          <w:szCs w:val="24"/>
        </w:rPr>
        <w:t xml:space="preserve"> 2007 (Cth) (</w:t>
      </w:r>
      <w:r w:rsidRPr="000425B0">
        <w:rPr>
          <w:rFonts w:ascii="Garamond" w:hAnsi="Garamond"/>
          <w:b/>
          <w:bCs/>
          <w:szCs w:val="24"/>
        </w:rPr>
        <w:t>Water Act</w:t>
      </w:r>
      <w:r>
        <w:rPr>
          <w:rFonts w:ascii="Garamond" w:hAnsi="Garamond"/>
          <w:szCs w:val="24"/>
        </w:rPr>
        <w:t xml:space="preserve">). This provision requires the MDBA (and the relevant Minister) to </w:t>
      </w:r>
      <w:r w:rsidR="000E6CC6">
        <w:rPr>
          <w:rFonts w:ascii="Garamond" w:hAnsi="Garamond"/>
          <w:szCs w:val="24"/>
        </w:rPr>
        <w:t>“</w:t>
      </w:r>
      <w:r w:rsidRPr="00664AB8">
        <w:rPr>
          <w:rFonts w:ascii="Garamond" w:hAnsi="Garamond"/>
          <w:szCs w:val="24"/>
          <w:u w:val="single"/>
        </w:rPr>
        <w:t>act</w:t>
      </w:r>
      <w:r>
        <w:rPr>
          <w:rFonts w:ascii="Garamond" w:hAnsi="Garamond"/>
          <w:szCs w:val="24"/>
        </w:rPr>
        <w:t xml:space="preserve"> on the basis of the best available scientific knowledge” in exercising their func</w:t>
      </w:r>
      <w:r w:rsidR="00664AB8">
        <w:rPr>
          <w:rFonts w:ascii="Garamond" w:hAnsi="Garamond"/>
          <w:szCs w:val="24"/>
        </w:rPr>
        <w:t>ti</w:t>
      </w:r>
      <w:r>
        <w:rPr>
          <w:rFonts w:ascii="Garamond" w:hAnsi="Garamond"/>
          <w:szCs w:val="24"/>
        </w:rPr>
        <w:t xml:space="preserve">ons. For the MDBA, this included </w:t>
      </w:r>
      <w:r w:rsidR="000E6CC6">
        <w:rPr>
          <w:rFonts w:ascii="Garamond" w:hAnsi="Garamond"/>
          <w:szCs w:val="24"/>
        </w:rPr>
        <w:t>the development of the Basin Plan, and in particular the setting of the “environmentally sustainable level of take” (</w:t>
      </w:r>
      <w:r w:rsidR="000E6CC6" w:rsidRPr="00664AB8">
        <w:rPr>
          <w:rFonts w:ascii="Garamond" w:hAnsi="Garamond"/>
          <w:b/>
          <w:bCs/>
          <w:szCs w:val="24"/>
        </w:rPr>
        <w:t>ESLT</w:t>
      </w:r>
      <w:r w:rsidR="000E6CC6">
        <w:rPr>
          <w:rFonts w:ascii="Garamond" w:hAnsi="Garamond"/>
          <w:szCs w:val="24"/>
        </w:rPr>
        <w:t>) for the Plan</w:t>
      </w:r>
      <w:r w:rsidR="00664AB8">
        <w:rPr>
          <w:rFonts w:ascii="Garamond" w:hAnsi="Garamond"/>
          <w:szCs w:val="24"/>
        </w:rPr>
        <w:t>. The ELST is i</w:t>
      </w:r>
      <w:r w:rsidR="000E6CC6">
        <w:rPr>
          <w:rFonts w:ascii="Garamond" w:hAnsi="Garamond"/>
          <w:szCs w:val="24"/>
        </w:rPr>
        <w:t xml:space="preserve">tself defined in s 4 of the Water Act by purely scientific </w:t>
      </w:r>
      <w:r w:rsidR="00664AB8">
        <w:rPr>
          <w:rFonts w:ascii="Garamond" w:hAnsi="Garamond"/>
          <w:szCs w:val="24"/>
        </w:rPr>
        <w:t>environmental criteria</w:t>
      </w:r>
      <w:r w:rsidR="000425B0">
        <w:rPr>
          <w:rFonts w:ascii="Garamond" w:hAnsi="Garamond"/>
          <w:szCs w:val="24"/>
        </w:rPr>
        <w:t xml:space="preserve"> (see [9] below)</w:t>
      </w:r>
      <w:r w:rsidR="000E6CC6">
        <w:rPr>
          <w:rFonts w:ascii="Garamond" w:hAnsi="Garamond"/>
          <w:szCs w:val="24"/>
        </w:rPr>
        <w:t>. Perhaps because the constitutional validity of the Basin Plan depends on the external affairs power (</w:t>
      </w:r>
      <w:r w:rsidR="000425B0">
        <w:rPr>
          <w:rFonts w:ascii="Garamond" w:hAnsi="Garamond"/>
          <w:szCs w:val="24"/>
        </w:rPr>
        <w:t>Water Act,</w:t>
      </w:r>
      <w:r w:rsidR="000E6CC6">
        <w:rPr>
          <w:rFonts w:ascii="Garamond" w:hAnsi="Garamond"/>
          <w:szCs w:val="24"/>
        </w:rPr>
        <w:t xml:space="preserve"> s 9A), and hence the “faithful implementation” through the Plan of a variety of international environmental treaties and agreements, there is none of the wiggle room here that some might prefer. The </w:t>
      </w:r>
      <w:r w:rsidR="00664AB8">
        <w:rPr>
          <w:rFonts w:ascii="Garamond" w:hAnsi="Garamond"/>
          <w:szCs w:val="24"/>
        </w:rPr>
        <w:t>Basin P</w:t>
      </w:r>
      <w:r w:rsidR="000E6CC6">
        <w:rPr>
          <w:rFonts w:ascii="Garamond" w:hAnsi="Garamond"/>
          <w:szCs w:val="24"/>
        </w:rPr>
        <w:t>lan is not to be merely “informed by best science”</w:t>
      </w:r>
      <w:r w:rsidR="00664AB8">
        <w:rPr>
          <w:rFonts w:ascii="Garamond" w:hAnsi="Garamond"/>
          <w:szCs w:val="24"/>
        </w:rPr>
        <w:t xml:space="preserve">, nor is it lawful to simply “have </w:t>
      </w:r>
      <w:r w:rsidR="000E6CC6">
        <w:rPr>
          <w:rFonts w:ascii="Garamond" w:hAnsi="Garamond"/>
          <w:szCs w:val="24"/>
        </w:rPr>
        <w:t>regard to</w:t>
      </w:r>
      <w:r w:rsidR="00664AB8">
        <w:rPr>
          <w:rFonts w:ascii="Garamond" w:hAnsi="Garamond"/>
          <w:szCs w:val="24"/>
        </w:rPr>
        <w:t>”</w:t>
      </w:r>
      <w:r w:rsidR="000E6CC6">
        <w:rPr>
          <w:rFonts w:ascii="Garamond" w:hAnsi="Garamond"/>
          <w:szCs w:val="24"/>
        </w:rPr>
        <w:t xml:space="preserve"> best science.</w:t>
      </w:r>
    </w:p>
    <w:p w14:paraId="0E295B1D" w14:textId="77777777" w:rsidR="00664AB8" w:rsidRDefault="00664AB8" w:rsidP="00664AB8">
      <w:pPr>
        <w:pStyle w:val="ListParagraph"/>
        <w:rPr>
          <w:rFonts w:ascii="Garamond" w:hAnsi="Garamond"/>
          <w:szCs w:val="24"/>
        </w:rPr>
      </w:pPr>
    </w:p>
    <w:p w14:paraId="0C384C8E" w14:textId="0D871070" w:rsidR="007A22FC" w:rsidRPr="004E4099" w:rsidRDefault="000E6CC6" w:rsidP="00A50E27">
      <w:pPr>
        <w:pStyle w:val="ListParagraph"/>
        <w:numPr>
          <w:ilvl w:val="0"/>
          <w:numId w:val="1"/>
        </w:numPr>
        <w:rPr>
          <w:rFonts w:ascii="Garamond" w:hAnsi="Garamond"/>
          <w:szCs w:val="24"/>
        </w:rPr>
      </w:pPr>
      <w:r>
        <w:rPr>
          <w:rFonts w:ascii="Garamond" w:hAnsi="Garamond"/>
          <w:szCs w:val="24"/>
        </w:rPr>
        <w:t xml:space="preserve">The MDBA had to “act on” best science in developing the </w:t>
      </w:r>
      <w:proofErr w:type="gramStart"/>
      <w:r>
        <w:rPr>
          <w:rFonts w:ascii="Garamond" w:hAnsi="Garamond"/>
          <w:szCs w:val="24"/>
        </w:rPr>
        <w:t>Plan, and</w:t>
      </w:r>
      <w:proofErr w:type="gramEnd"/>
      <w:r>
        <w:rPr>
          <w:rFonts w:ascii="Garamond" w:hAnsi="Garamond"/>
          <w:szCs w:val="24"/>
        </w:rPr>
        <w:t xml:space="preserve"> determining the ESLT. This did not happen. </w:t>
      </w:r>
      <w:r w:rsidR="004F18DE">
        <w:rPr>
          <w:rFonts w:ascii="Garamond" w:hAnsi="Garamond"/>
          <w:szCs w:val="24"/>
        </w:rPr>
        <w:t>No-one</w:t>
      </w:r>
      <w:r>
        <w:rPr>
          <w:rFonts w:ascii="Garamond" w:hAnsi="Garamond"/>
          <w:szCs w:val="24"/>
        </w:rPr>
        <w:t xml:space="preserve"> who has examined this matter in detail could rationally or reasonably (in both the legal and broader sense of that word) reach a different conclusion. Yet politicians and bureaucrats maintain the farcical position that the Basin Plan is lawful. With so much taxpayer money involved (not to mention maters like the Rule of Law, or ethical considerations) it is beyond time the Basin Plan was made lawful</w:t>
      </w:r>
      <w:r w:rsidR="000425B0">
        <w:rPr>
          <w:rFonts w:ascii="Garamond" w:hAnsi="Garamond"/>
          <w:szCs w:val="24"/>
        </w:rPr>
        <w:t>.</w:t>
      </w:r>
    </w:p>
    <w:p w14:paraId="5F0A2632" w14:textId="77777777" w:rsidR="007A22FC" w:rsidRPr="004E4099" w:rsidRDefault="007A22FC" w:rsidP="007A22FC">
      <w:pPr>
        <w:pStyle w:val="ListParagraph"/>
        <w:rPr>
          <w:rFonts w:ascii="Garamond" w:hAnsi="Garamond"/>
          <w:szCs w:val="24"/>
        </w:rPr>
      </w:pPr>
    </w:p>
    <w:p w14:paraId="414C9465" w14:textId="2C902913" w:rsidR="00053303" w:rsidRDefault="00053303" w:rsidP="00A50E27">
      <w:pPr>
        <w:pStyle w:val="ListParagraph"/>
        <w:numPr>
          <w:ilvl w:val="0"/>
          <w:numId w:val="1"/>
        </w:numPr>
        <w:rPr>
          <w:rFonts w:ascii="Garamond" w:hAnsi="Garamond"/>
          <w:szCs w:val="24"/>
        </w:rPr>
      </w:pPr>
      <w:r>
        <w:rPr>
          <w:rFonts w:ascii="Garamond" w:hAnsi="Garamond"/>
          <w:szCs w:val="24"/>
        </w:rPr>
        <w:t>Picking up this them</w:t>
      </w:r>
      <w:r w:rsidR="00A67503">
        <w:rPr>
          <w:rFonts w:ascii="Garamond" w:hAnsi="Garamond"/>
          <w:szCs w:val="24"/>
        </w:rPr>
        <w:t>e</w:t>
      </w:r>
      <w:r>
        <w:rPr>
          <w:rFonts w:ascii="Garamond" w:hAnsi="Garamond"/>
          <w:szCs w:val="24"/>
        </w:rPr>
        <w:t>,</w:t>
      </w:r>
      <w:r w:rsidR="00A67503">
        <w:rPr>
          <w:rFonts w:ascii="Garamond" w:hAnsi="Garamond"/>
          <w:szCs w:val="24"/>
        </w:rPr>
        <w:t xml:space="preserve"> the statutory language</w:t>
      </w:r>
      <w:r>
        <w:rPr>
          <w:rFonts w:ascii="Garamond" w:hAnsi="Garamond"/>
          <w:szCs w:val="24"/>
        </w:rPr>
        <w:t xml:space="preserve"> </w:t>
      </w:r>
      <w:r w:rsidR="00A67503">
        <w:rPr>
          <w:rFonts w:ascii="Garamond" w:hAnsi="Garamond"/>
          <w:szCs w:val="24"/>
        </w:rPr>
        <w:t xml:space="preserve">of the </w:t>
      </w:r>
      <w:r w:rsidR="00A67503" w:rsidRPr="000425B0">
        <w:rPr>
          <w:rFonts w:ascii="Garamond" w:hAnsi="Garamond"/>
          <w:szCs w:val="24"/>
        </w:rPr>
        <w:t>Water Act</w:t>
      </w:r>
      <w:r w:rsidR="00A67503">
        <w:rPr>
          <w:rFonts w:ascii="Garamond" w:hAnsi="Garamond"/>
          <w:szCs w:val="24"/>
        </w:rPr>
        <w:t xml:space="preserve"> did not go unlost on the Commission </w:t>
      </w:r>
      <w:r>
        <w:rPr>
          <w:rFonts w:ascii="Garamond" w:hAnsi="Garamond"/>
          <w:szCs w:val="24"/>
        </w:rPr>
        <w:t xml:space="preserve">in </w:t>
      </w:r>
      <w:r w:rsidR="00A67503">
        <w:rPr>
          <w:rFonts w:ascii="Garamond" w:hAnsi="Garamond"/>
          <w:szCs w:val="24"/>
        </w:rPr>
        <w:t xml:space="preserve">its March </w:t>
      </w:r>
      <w:r>
        <w:rPr>
          <w:rFonts w:ascii="Garamond" w:hAnsi="Garamond"/>
          <w:szCs w:val="24"/>
        </w:rPr>
        <w:t>20</w:t>
      </w:r>
      <w:r w:rsidR="00A67503">
        <w:rPr>
          <w:rFonts w:ascii="Garamond" w:hAnsi="Garamond"/>
          <w:szCs w:val="24"/>
        </w:rPr>
        <w:t>10 research report titled “Market Mechanisms for Recovering Water in the Murray-Darling Basin”</w:t>
      </w:r>
      <w:r w:rsidR="00664AB8">
        <w:rPr>
          <w:rFonts w:ascii="Garamond" w:hAnsi="Garamond"/>
          <w:szCs w:val="24"/>
        </w:rPr>
        <w:t xml:space="preserve"> (</w:t>
      </w:r>
      <w:r w:rsidR="00664AB8" w:rsidRPr="000425B0">
        <w:rPr>
          <w:rFonts w:ascii="Garamond" w:hAnsi="Garamond"/>
          <w:b/>
          <w:bCs/>
          <w:szCs w:val="24"/>
        </w:rPr>
        <w:t>Market Mechanism Report</w:t>
      </w:r>
      <w:r w:rsidR="00664AB8">
        <w:rPr>
          <w:rFonts w:ascii="Garamond" w:hAnsi="Garamond"/>
          <w:szCs w:val="24"/>
        </w:rPr>
        <w:t>)</w:t>
      </w:r>
      <w:r w:rsidR="00A67503">
        <w:rPr>
          <w:rFonts w:ascii="Garamond" w:hAnsi="Garamond"/>
          <w:szCs w:val="24"/>
        </w:rPr>
        <w:t xml:space="preserve">. Specifically, the </w:t>
      </w:r>
      <w:r w:rsidR="00A67503">
        <w:rPr>
          <w:rFonts w:ascii="Garamond" w:hAnsi="Garamond"/>
          <w:szCs w:val="24"/>
        </w:rPr>
        <w:lastRenderedPageBreak/>
        <w:t>Commission noted that the ESLT was defined by only environmental criteria, and as a level of take that cannot “compromise” those criteria</w:t>
      </w:r>
      <w:r w:rsidR="00664AB8">
        <w:rPr>
          <w:rFonts w:ascii="Garamond" w:hAnsi="Garamond"/>
          <w:szCs w:val="24"/>
        </w:rPr>
        <w:t>.</w:t>
      </w:r>
      <w:r w:rsidR="00664AB8">
        <w:rPr>
          <w:rStyle w:val="FootnoteReference"/>
          <w:rFonts w:ascii="Garamond" w:hAnsi="Garamond"/>
          <w:szCs w:val="24"/>
        </w:rPr>
        <w:footnoteReference w:id="1"/>
      </w:r>
      <w:r w:rsidR="00A67503">
        <w:rPr>
          <w:rFonts w:ascii="Garamond" w:hAnsi="Garamond"/>
          <w:szCs w:val="24"/>
        </w:rPr>
        <w:t>. It was suggested that some of the statutory language was “ambiguous”, but that it “would appear to establish a very high hurdle that could consign all other users to share whatever remains after meeting the environment’s needs”</w:t>
      </w:r>
      <w:r w:rsidR="00664AB8">
        <w:rPr>
          <w:rStyle w:val="FootnoteReference"/>
          <w:rFonts w:ascii="Garamond" w:hAnsi="Garamond"/>
          <w:szCs w:val="24"/>
        </w:rPr>
        <w:footnoteReference w:id="2"/>
      </w:r>
      <w:r w:rsidR="00A67503">
        <w:rPr>
          <w:rFonts w:ascii="Garamond" w:hAnsi="Garamond"/>
          <w:szCs w:val="24"/>
        </w:rPr>
        <w:t>. Reference was had to the objectives of the Water Act set out in s 3, and a recommendation was made that if “strict legal interpretation” precludes the ability to “optimise economic, social and environmental outcomes”</w:t>
      </w:r>
      <w:r w:rsidR="000425B0">
        <w:rPr>
          <w:rFonts w:ascii="Garamond" w:hAnsi="Garamond"/>
          <w:szCs w:val="24"/>
        </w:rPr>
        <w:t xml:space="preserve"> then “the Water Act should be amended”</w:t>
      </w:r>
      <w:r w:rsidR="00664AB8">
        <w:rPr>
          <w:rFonts w:ascii="Garamond" w:hAnsi="Garamond"/>
          <w:szCs w:val="24"/>
        </w:rPr>
        <w:t>.</w:t>
      </w:r>
      <w:r w:rsidR="00664AB8">
        <w:rPr>
          <w:rStyle w:val="FootnoteReference"/>
          <w:rFonts w:ascii="Garamond" w:hAnsi="Garamond"/>
          <w:szCs w:val="24"/>
        </w:rPr>
        <w:footnoteReference w:id="3"/>
      </w:r>
    </w:p>
    <w:p w14:paraId="5762F075" w14:textId="77777777" w:rsidR="00A67503" w:rsidRPr="00A67503" w:rsidRDefault="00A67503" w:rsidP="00A67503">
      <w:pPr>
        <w:pStyle w:val="ListParagraph"/>
        <w:rPr>
          <w:rFonts w:ascii="Garamond" w:hAnsi="Garamond"/>
          <w:szCs w:val="24"/>
        </w:rPr>
      </w:pPr>
    </w:p>
    <w:p w14:paraId="018E9E7E" w14:textId="6A797C6D" w:rsidR="00A67503" w:rsidRDefault="00664AB8" w:rsidP="00A50E27">
      <w:pPr>
        <w:pStyle w:val="ListParagraph"/>
        <w:numPr>
          <w:ilvl w:val="0"/>
          <w:numId w:val="1"/>
        </w:numPr>
        <w:rPr>
          <w:rFonts w:ascii="Garamond" w:hAnsi="Garamond"/>
          <w:szCs w:val="24"/>
        </w:rPr>
      </w:pPr>
      <w:r>
        <w:rPr>
          <w:rFonts w:ascii="Garamond" w:hAnsi="Garamond"/>
          <w:szCs w:val="24"/>
        </w:rPr>
        <w:t>T</w:t>
      </w:r>
      <w:r w:rsidR="00A67503">
        <w:rPr>
          <w:rFonts w:ascii="Garamond" w:hAnsi="Garamond"/>
          <w:szCs w:val="24"/>
        </w:rPr>
        <w:t xml:space="preserve">he statutory language </w:t>
      </w:r>
      <w:r w:rsidR="00091F09">
        <w:rPr>
          <w:rFonts w:ascii="Garamond" w:hAnsi="Garamond"/>
          <w:szCs w:val="24"/>
        </w:rPr>
        <w:t>defining the ESLT is not ambiguous. It is clear. The objects of legislation are a tool for construction. They do not change clear text. The setting of the ESLT is by means of consideration only of environmental criteria. No other interpretation is open. Should it be thought desirable to “massage” or reduce the water to be recovered for the environment under the Basin Plan, then</w:t>
      </w:r>
      <w:r w:rsidR="000425B0">
        <w:rPr>
          <w:rFonts w:ascii="Garamond" w:hAnsi="Garamond"/>
          <w:szCs w:val="24"/>
        </w:rPr>
        <w:t xml:space="preserve"> as the Commission has observed</w:t>
      </w:r>
      <w:r w:rsidR="00091F09">
        <w:rPr>
          <w:rFonts w:ascii="Garamond" w:hAnsi="Garamond"/>
          <w:szCs w:val="24"/>
        </w:rPr>
        <w:t xml:space="preserve"> the Water Act would need to be amended. Remembering t</w:t>
      </w:r>
      <w:r>
        <w:rPr>
          <w:rFonts w:ascii="Garamond" w:hAnsi="Garamond"/>
          <w:szCs w:val="24"/>
        </w:rPr>
        <w:t xml:space="preserve">hough that </w:t>
      </w:r>
      <w:r w:rsidR="00091F09">
        <w:rPr>
          <w:rFonts w:ascii="Garamond" w:hAnsi="Garamond"/>
          <w:szCs w:val="24"/>
        </w:rPr>
        <w:t>for validity</w:t>
      </w:r>
      <w:r>
        <w:rPr>
          <w:rFonts w:ascii="Garamond" w:hAnsi="Garamond"/>
          <w:szCs w:val="24"/>
        </w:rPr>
        <w:t xml:space="preserve"> the Basin Plan</w:t>
      </w:r>
      <w:r w:rsidR="00091F09">
        <w:rPr>
          <w:rFonts w:ascii="Garamond" w:hAnsi="Garamond"/>
          <w:szCs w:val="24"/>
        </w:rPr>
        <w:t xml:space="preserve"> must “faithfully implement” a m</w:t>
      </w:r>
      <w:r>
        <w:rPr>
          <w:rFonts w:ascii="Garamond" w:hAnsi="Garamond"/>
          <w:szCs w:val="24"/>
        </w:rPr>
        <w:t>y</w:t>
      </w:r>
      <w:r w:rsidR="00091F09">
        <w:rPr>
          <w:rFonts w:ascii="Garamond" w:hAnsi="Garamond"/>
          <w:szCs w:val="24"/>
        </w:rPr>
        <w:t>riad of treaty obligations</w:t>
      </w:r>
      <w:r>
        <w:rPr>
          <w:rFonts w:ascii="Garamond" w:hAnsi="Garamond"/>
          <w:szCs w:val="24"/>
        </w:rPr>
        <w:t xml:space="preserve">, there are legal risks in amending the Act in </w:t>
      </w:r>
      <w:r w:rsidR="00091F09">
        <w:rPr>
          <w:rFonts w:ascii="Garamond" w:hAnsi="Garamond"/>
          <w:szCs w:val="24"/>
        </w:rPr>
        <w:t xml:space="preserve">such </w:t>
      </w:r>
      <w:r>
        <w:rPr>
          <w:rFonts w:ascii="Garamond" w:hAnsi="Garamond"/>
          <w:szCs w:val="24"/>
        </w:rPr>
        <w:t xml:space="preserve">a manner </w:t>
      </w:r>
      <w:r w:rsidR="00091F09">
        <w:rPr>
          <w:rFonts w:ascii="Garamond" w:hAnsi="Garamond"/>
          <w:szCs w:val="24"/>
        </w:rPr>
        <w:t>that would allow the ESLT to be determined by more than environmental criteria.</w:t>
      </w:r>
      <w:r>
        <w:rPr>
          <w:rFonts w:ascii="Garamond" w:hAnsi="Garamond"/>
          <w:szCs w:val="24"/>
        </w:rPr>
        <w:t xml:space="preserve"> That said, simultaneous optimisation of economic, social and environmental criteria seems a vague notion in any event.</w:t>
      </w:r>
    </w:p>
    <w:p w14:paraId="31E5ADF3" w14:textId="77777777" w:rsidR="00053303" w:rsidRPr="00053303" w:rsidRDefault="00053303" w:rsidP="00053303">
      <w:pPr>
        <w:pStyle w:val="ListParagraph"/>
        <w:rPr>
          <w:rFonts w:ascii="Garamond" w:hAnsi="Garamond"/>
          <w:szCs w:val="24"/>
        </w:rPr>
      </w:pPr>
    </w:p>
    <w:p w14:paraId="7C99F7E4" w14:textId="0E76F500" w:rsidR="00091F09" w:rsidRDefault="00091F09" w:rsidP="00091F09">
      <w:pPr>
        <w:pStyle w:val="ListParagraph"/>
        <w:numPr>
          <w:ilvl w:val="0"/>
          <w:numId w:val="1"/>
        </w:numPr>
        <w:rPr>
          <w:rFonts w:ascii="Garamond" w:hAnsi="Garamond"/>
          <w:szCs w:val="24"/>
        </w:rPr>
      </w:pPr>
      <w:r>
        <w:rPr>
          <w:rFonts w:ascii="Garamond" w:hAnsi="Garamond"/>
          <w:szCs w:val="24"/>
        </w:rPr>
        <w:t>The unlawfulness of the Basin Plan was also noted, indirectly, by the Commission in its 5-year As</w:t>
      </w:r>
      <w:r w:rsidR="00664AB8">
        <w:rPr>
          <w:rFonts w:ascii="Garamond" w:hAnsi="Garamond"/>
          <w:szCs w:val="24"/>
        </w:rPr>
        <w:t>s</w:t>
      </w:r>
      <w:r>
        <w:rPr>
          <w:rFonts w:ascii="Garamond" w:hAnsi="Garamond"/>
          <w:szCs w:val="24"/>
        </w:rPr>
        <w:t>es</w:t>
      </w:r>
      <w:r w:rsidR="00664AB8">
        <w:rPr>
          <w:rFonts w:ascii="Garamond" w:hAnsi="Garamond"/>
          <w:szCs w:val="24"/>
        </w:rPr>
        <w:t>s</w:t>
      </w:r>
      <w:r>
        <w:rPr>
          <w:rFonts w:ascii="Garamond" w:hAnsi="Garamond"/>
          <w:szCs w:val="24"/>
        </w:rPr>
        <w:t>ment dated 19 December</w:t>
      </w:r>
      <w:r w:rsidR="00053303">
        <w:rPr>
          <w:rFonts w:ascii="Garamond" w:hAnsi="Garamond"/>
          <w:szCs w:val="24"/>
        </w:rPr>
        <w:t xml:space="preserve"> 201</w:t>
      </w:r>
      <w:r>
        <w:rPr>
          <w:rFonts w:ascii="Garamond" w:hAnsi="Garamond"/>
          <w:szCs w:val="24"/>
        </w:rPr>
        <w:t>8. At page 3 of the 2018 Assessment, the Commis</w:t>
      </w:r>
      <w:r w:rsidR="00F663AA">
        <w:rPr>
          <w:rFonts w:ascii="Garamond" w:hAnsi="Garamond"/>
          <w:szCs w:val="24"/>
        </w:rPr>
        <w:t>sion</w:t>
      </w:r>
      <w:r>
        <w:rPr>
          <w:rFonts w:ascii="Garamond" w:hAnsi="Garamond"/>
          <w:szCs w:val="24"/>
        </w:rPr>
        <w:t xml:space="preserve"> (correctly) said this:</w:t>
      </w:r>
    </w:p>
    <w:p w14:paraId="39C7E6B5" w14:textId="77777777" w:rsidR="00091F09" w:rsidRPr="00091F09" w:rsidRDefault="00091F09" w:rsidP="00091F09">
      <w:pPr>
        <w:pStyle w:val="ListParagraph"/>
        <w:rPr>
          <w:rFonts w:ascii="TimesNewRomanPSMT" w:hAnsi="TimesNewRomanPSMT" w:hint="eastAsia"/>
        </w:rPr>
      </w:pPr>
    </w:p>
    <w:p w14:paraId="41890C8B" w14:textId="44D4145B" w:rsidR="00091F09" w:rsidRPr="00091F09" w:rsidRDefault="00091F09" w:rsidP="00091F09">
      <w:pPr>
        <w:pStyle w:val="ListParagraph"/>
        <w:rPr>
          <w:rFonts w:ascii="Garamond" w:hAnsi="Garamond"/>
          <w:szCs w:val="24"/>
        </w:rPr>
      </w:pPr>
      <w:r>
        <w:rPr>
          <w:rFonts w:ascii="TimesNewRomanPSMT" w:hAnsi="TimesNewRomanPSMT"/>
        </w:rPr>
        <w:t>“</w:t>
      </w:r>
      <w:r w:rsidRPr="00091F09">
        <w:rPr>
          <w:rFonts w:ascii="TimesNewRomanPSMT" w:hAnsi="TimesNewRomanPSMT"/>
        </w:rPr>
        <w:t>The development of the Basin Plan was a lengthy and contested process, involving negotiation and compromise before it was finalised and became law in November 2012. Making the Plan involved a series of substantial trade-offs between balancing the environmental benefits across the Basin and the socioeconomic impacts on industries and regional communities of a permanent reduction in water available for irrigation.</w:t>
      </w:r>
      <w:r>
        <w:rPr>
          <w:rFonts w:ascii="TimesNewRomanPSMT" w:hAnsi="TimesNewRomanPSMT"/>
        </w:rPr>
        <w:t>”</w:t>
      </w:r>
    </w:p>
    <w:p w14:paraId="2EA6B95E" w14:textId="77777777" w:rsidR="00053303" w:rsidRPr="00091F09" w:rsidRDefault="00053303" w:rsidP="00091F09">
      <w:pPr>
        <w:rPr>
          <w:rFonts w:ascii="Garamond" w:hAnsi="Garamond"/>
          <w:szCs w:val="24"/>
        </w:rPr>
      </w:pPr>
    </w:p>
    <w:p w14:paraId="3648D20B" w14:textId="09A436A9" w:rsidR="003B39A9" w:rsidRDefault="003B39A9" w:rsidP="00A50E27">
      <w:pPr>
        <w:pStyle w:val="ListParagraph"/>
        <w:numPr>
          <w:ilvl w:val="0"/>
          <w:numId w:val="1"/>
        </w:numPr>
        <w:rPr>
          <w:rFonts w:ascii="Garamond" w:hAnsi="Garamond"/>
          <w:szCs w:val="24"/>
        </w:rPr>
      </w:pPr>
      <w:r>
        <w:rPr>
          <w:rFonts w:ascii="Garamond" w:hAnsi="Garamond"/>
          <w:szCs w:val="24"/>
        </w:rPr>
        <w:lastRenderedPageBreak/>
        <w:t>The “negotiation and compromise”, and the “trade-offs”</w:t>
      </w:r>
      <w:r w:rsidR="00F663AA">
        <w:rPr>
          <w:rFonts w:ascii="Garamond" w:hAnsi="Garamond"/>
          <w:szCs w:val="24"/>
        </w:rPr>
        <w:t>,</w:t>
      </w:r>
      <w:r>
        <w:rPr>
          <w:rFonts w:ascii="Garamond" w:hAnsi="Garamond"/>
          <w:szCs w:val="24"/>
        </w:rPr>
        <w:t xml:space="preserve"> are addressed below. None is authorised by the </w:t>
      </w:r>
      <w:r w:rsidRPr="000425B0">
        <w:rPr>
          <w:rFonts w:ascii="Garamond" w:hAnsi="Garamond"/>
          <w:szCs w:val="24"/>
        </w:rPr>
        <w:t>Water Act</w:t>
      </w:r>
      <w:r>
        <w:rPr>
          <w:rFonts w:ascii="Garamond" w:hAnsi="Garamond"/>
          <w:szCs w:val="24"/>
        </w:rPr>
        <w:t xml:space="preserve">. The drafters of the Plan attempted to dress politics up as science. They failed if they thought no one would notice. At a </w:t>
      </w:r>
      <w:r w:rsidR="004F18DE">
        <w:rPr>
          <w:rFonts w:ascii="Garamond" w:hAnsi="Garamond"/>
          <w:szCs w:val="24"/>
        </w:rPr>
        <w:t>practical</w:t>
      </w:r>
      <w:r>
        <w:rPr>
          <w:rFonts w:ascii="Garamond" w:hAnsi="Garamond"/>
          <w:szCs w:val="24"/>
        </w:rPr>
        <w:t xml:space="preserve"> level, so </w:t>
      </w:r>
      <w:proofErr w:type="gramStart"/>
      <w:r>
        <w:rPr>
          <w:rFonts w:ascii="Garamond" w:hAnsi="Garamond"/>
          <w:szCs w:val="24"/>
        </w:rPr>
        <w:t>far</w:t>
      </w:r>
      <w:proofErr w:type="gramEnd"/>
      <w:r>
        <w:rPr>
          <w:rFonts w:ascii="Garamond" w:hAnsi="Garamond"/>
          <w:szCs w:val="24"/>
        </w:rPr>
        <w:t xml:space="preserve"> they have succeeded. The integrity of the Plan, the environment, and good governance are the losers.</w:t>
      </w:r>
    </w:p>
    <w:p w14:paraId="2D7825A2" w14:textId="77777777" w:rsidR="003B39A9" w:rsidRDefault="003B39A9" w:rsidP="003B39A9">
      <w:pPr>
        <w:pStyle w:val="ListParagraph"/>
        <w:rPr>
          <w:rFonts w:ascii="Garamond" w:hAnsi="Garamond"/>
          <w:szCs w:val="24"/>
        </w:rPr>
      </w:pPr>
    </w:p>
    <w:p w14:paraId="4BD2AD53" w14:textId="4E19010F" w:rsidR="00A50E27" w:rsidRPr="004E4099" w:rsidRDefault="00A50E27" w:rsidP="00A50E27">
      <w:pPr>
        <w:pStyle w:val="ListParagraph"/>
        <w:numPr>
          <w:ilvl w:val="0"/>
          <w:numId w:val="1"/>
        </w:numPr>
        <w:rPr>
          <w:rFonts w:ascii="Garamond" w:hAnsi="Garamond"/>
          <w:szCs w:val="24"/>
        </w:rPr>
      </w:pPr>
      <w:r w:rsidRPr="004E4099">
        <w:rPr>
          <w:rFonts w:ascii="Garamond" w:hAnsi="Garamond"/>
          <w:szCs w:val="24"/>
        </w:rPr>
        <w:t>No</w:t>
      </w:r>
      <w:r w:rsidR="00053303">
        <w:rPr>
          <w:rFonts w:ascii="Garamond" w:hAnsi="Garamond"/>
          <w:szCs w:val="24"/>
        </w:rPr>
        <w:t xml:space="preserve">ne of the above, or what follows, should be taken as a preference for a legal challenge to </w:t>
      </w:r>
      <w:r w:rsidR="000425B0">
        <w:rPr>
          <w:rFonts w:ascii="Garamond" w:hAnsi="Garamond"/>
          <w:szCs w:val="24"/>
        </w:rPr>
        <w:t>be commenced</w:t>
      </w:r>
      <w:r w:rsidR="00053303">
        <w:rPr>
          <w:rFonts w:ascii="Garamond" w:hAnsi="Garamond"/>
          <w:szCs w:val="24"/>
        </w:rPr>
        <w:t xml:space="preserve"> seeking to have all or part of the Basin Plan declared unlawful. That risk remains, but there is evidence that </w:t>
      </w:r>
      <w:r w:rsidR="003A20B4" w:rsidRPr="004E4099">
        <w:rPr>
          <w:rFonts w:ascii="Garamond" w:hAnsi="Garamond"/>
          <w:szCs w:val="24"/>
        </w:rPr>
        <w:t xml:space="preserve">even the current </w:t>
      </w:r>
      <w:r w:rsidR="00F663AA">
        <w:rPr>
          <w:rFonts w:ascii="Garamond" w:hAnsi="Garamond"/>
          <w:szCs w:val="24"/>
        </w:rPr>
        <w:t>unlawfully determined</w:t>
      </w:r>
      <w:r w:rsidR="003A20B4" w:rsidRPr="004E4099">
        <w:rPr>
          <w:rFonts w:ascii="Garamond" w:hAnsi="Garamond"/>
          <w:szCs w:val="24"/>
        </w:rPr>
        <w:t xml:space="preserve"> water recovery</w:t>
      </w:r>
      <w:r w:rsidR="00F663AA">
        <w:rPr>
          <w:rFonts w:ascii="Garamond" w:hAnsi="Garamond"/>
          <w:szCs w:val="24"/>
        </w:rPr>
        <w:t xml:space="preserve"> (ESLT/SDL)</w:t>
      </w:r>
      <w:r w:rsidR="003A20B4" w:rsidRPr="004E4099">
        <w:rPr>
          <w:rFonts w:ascii="Garamond" w:hAnsi="Garamond"/>
          <w:szCs w:val="24"/>
        </w:rPr>
        <w:t xml:space="preserve"> under the Basin Plan has been o</w:t>
      </w:r>
      <w:r w:rsidR="00CE07AE" w:rsidRPr="004E4099">
        <w:rPr>
          <w:rFonts w:ascii="Garamond" w:hAnsi="Garamond"/>
          <w:szCs w:val="24"/>
        </w:rPr>
        <w:t>f</w:t>
      </w:r>
      <w:r w:rsidR="003A20B4" w:rsidRPr="004E4099">
        <w:rPr>
          <w:rFonts w:ascii="Garamond" w:hAnsi="Garamond"/>
          <w:szCs w:val="24"/>
        </w:rPr>
        <w:t xml:space="preserve"> </w:t>
      </w:r>
      <w:r w:rsidR="003D3751" w:rsidRPr="004E4099">
        <w:rPr>
          <w:rFonts w:ascii="Garamond" w:hAnsi="Garamond"/>
          <w:szCs w:val="24"/>
        </w:rPr>
        <w:t>some</w:t>
      </w:r>
      <w:r w:rsidR="003A20B4" w:rsidRPr="004E4099">
        <w:rPr>
          <w:rFonts w:ascii="Garamond" w:hAnsi="Garamond"/>
          <w:szCs w:val="24"/>
        </w:rPr>
        <w:t xml:space="preserve"> environmental benefit, </w:t>
      </w:r>
      <w:r w:rsidR="00EB357F" w:rsidRPr="004E4099">
        <w:rPr>
          <w:rFonts w:ascii="Garamond" w:hAnsi="Garamond"/>
          <w:szCs w:val="24"/>
        </w:rPr>
        <w:t xml:space="preserve">especially at times of low flows. </w:t>
      </w:r>
      <w:r w:rsidR="00053303">
        <w:rPr>
          <w:rFonts w:ascii="Garamond" w:hAnsi="Garamond"/>
          <w:szCs w:val="24"/>
        </w:rPr>
        <w:t>I</w:t>
      </w:r>
      <w:r w:rsidR="00C2457C" w:rsidRPr="004E4099">
        <w:rPr>
          <w:rFonts w:ascii="Garamond" w:hAnsi="Garamond"/>
          <w:szCs w:val="24"/>
        </w:rPr>
        <w:t>mprov</w:t>
      </w:r>
      <w:r w:rsidR="00053303">
        <w:rPr>
          <w:rFonts w:ascii="Garamond" w:hAnsi="Garamond"/>
          <w:szCs w:val="24"/>
        </w:rPr>
        <w:t xml:space="preserve">ing the Plan is preferable to legal challenge. This could have the added advantage of making </w:t>
      </w:r>
      <w:r w:rsidR="00F663AA">
        <w:rPr>
          <w:rFonts w:ascii="Garamond" w:hAnsi="Garamond"/>
          <w:szCs w:val="24"/>
        </w:rPr>
        <w:t>it</w:t>
      </w:r>
      <w:r w:rsidR="00053303">
        <w:rPr>
          <w:rFonts w:ascii="Garamond" w:hAnsi="Garamond"/>
          <w:szCs w:val="24"/>
        </w:rPr>
        <w:t xml:space="preserve"> lawful</w:t>
      </w:r>
      <w:r w:rsidR="00C2457C" w:rsidRPr="004E4099">
        <w:rPr>
          <w:rFonts w:ascii="Garamond" w:hAnsi="Garamond"/>
          <w:szCs w:val="24"/>
        </w:rPr>
        <w:t xml:space="preserve">. </w:t>
      </w:r>
    </w:p>
    <w:p w14:paraId="1C953444" w14:textId="77777777" w:rsidR="00A50E27" w:rsidRPr="004E4099" w:rsidRDefault="00A50E27" w:rsidP="00A50E27">
      <w:pPr>
        <w:pStyle w:val="ListParagraph"/>
        <w:rPr>
          <w:rFonts w:ascii="Garamond" w:hAnsi="Garamond"/>
          <w:szCs w:val="24"/>
        </w:rPr>
      </w:pPr>
    </w:p>
    <w:p w14:paraId="06023706" w14:textId="0A7D0319" w:rsidR="00C0456C" w:rsidRPr="004E4099" w:rsidRDefault="002176C6" w:rsidP="00C0456C">
      <w:pPr>
        <w:pStyle w:val="ListParagraph"/>
        <w:numPr>
          <w:ilvl w:val="0"/>
          <w:numId w:val="1"/>
        </w:numPr>
        <w:rPr>
          <w:rFonts w:ascii="Garamond" w:hAnsi="Garamond"/>
          <w:szCs w:val="24"/>
        </w:rPr>
      </w:pPr>
      <w:r w:rsidRPr="004E4099">
        <w:rPr>
          <w:rFonts w:ascii="Garamond" w:hAnsi="Garamond"/>
          <w:szCs w:val="24"/>
        </w:rPr>
        <w:t>T</w:t>
      </w:r>
      <w:r w:rsidR="009A6470" w:rsidRPr="004E4099">
        <w:rPr>
          <w:rFonts w:ascii="Garamond" w:hAnsi="Garamond"/>
          <w:szCs w:val="24"/>
        </w:rPr>
        <w:t xml:space="preserve">he </w:t>
      </w:r>
      <w:r w:rsidR="000425B0">
        <w:rPr>
          <w:rFonts w:ascii="Garamond" w:hAnsi="Garamond"/>
          <w:szCs w:val="24"/>
        </w:rPr>
        <w:t xml:space="preserve">ELST is defined in the Water Act as </w:t>
      </w:r>
      <w:r w:rsidR="001856AE" w:rsidRPr="004E4099">
        <w:rPr>
          <w:rFonts w:ascii="Garamond" w:hAnsi="Garamond"/>
          <w:szCs w:val="24"/>
        </w:rPr>
        <w:t xml:space="preserve">a level of take </w:t>
      </w:r>
      <w:r w:rsidR="00C0456C" w:rsidRPr="004E4099">
        <w:rPr>
          <w:rFonts w:ascii="Garamond" w:hAnsi="Garamond"/>
          <w:szCs w:val="24"/>
        </w:rPr>
        <w:t>which, if exceeded, would compromise</w:t>
      </w:r>
      <w:r w:rsidR="00225FED" w:rsidRPr="004E4099">
        <w:rPr>
          <w:rFonts w:ascii="Garamond" w:hAnsi="Garamond"/>
          <w:szCs w:val="24"/>
        </w:rPr>
        <w:t xml:space="preserve"> (</w:t>
      </w:r>
      <w:r w:rsidR="00CE07AE" w:rsidRPr="004E4099">
        <w:rPr>
          <w:rFonts w:ascii="Garamond" w:hAnsi="Garamond"/>
          <w:szCs w:val="24"/>
        </w:rPr>
        <w:t>i.e.</w:t>
      </w:r>
      <w:r w:rsidR="00225FED" w:rsidRPr="004E4099">
        <w:rPr>
          <w:rFonts w:ascii="Garamond" w:hAnsi="Garamond"/>
          <w:szCs w:val="24"/>
        </w:rPr>
        <w:t>, damage)</w:t>
      </w:r>
      <w:r w:rsidR="00C0456C" w:rsidRPr="004E4099">
        <w:rPr>
          <w:rFonts w:ascii="Garamond" w:hAnsi="Garamond"/>
          <w:szCs w:val="24"/>
        </w:rPr>
        <w:t>:</w:t>
      </w:r>
    </w:p>
    <w:p w14:paraId="2E32A752" w14:textId="6162204C" w:rsidR="00C0456C" w:rsidRPr="004E4099" w:rsidRDefault="00C0456C" w:rsidP="001856AE">
      <w:pPr>
        <w:pStyle w:val="ListParagraph"/>
        <w:numPr>
          <w:ilvl w:val="0"/>
          <w:numId w:val="2"/>
        </w:numPr>
        <w:rPr>
          <w:rFonts w:ascii="Garamond" w:hAnsi="Garamond"/>
          <w:szCs w:val="24"/>
        </w:rPr>
      </w:pPr>
      <w:r w:rsidRPr="004E4099">
        <w:rPr>
          <w:rFonts w:ascii="Garamond" w:hAnsi="Garamond"/>
          <w:szCs w:val="24"/>
        </w:rPr>
        <w:t>key environmental assets;</w:t>
      </w:r>
      <w:r w:rsidR="00756967" w:rsidRPr="004E4099">
        <w:rPr>
          <w:rFonts w:ascii="Garamond" w:hAnsi="Garamond"/>
          <w:szCs w:val="24"/>
        </w:rPr>
        <w:t xml:space="preserve"> or</w:t>
      </w:r>
    </w:p>
    <w:p w14:paraId="079961AF" w14:textId="42C281C3" w:rsidR="00C0456C" w:rsidRPr="004E4099" w:rsidRDefault="00C0456C" w:rsidP="00756967">
      <w:pPr>
        <w:pStyle w:val="ListParagraph"/>
        <w:numPr>
          <w:ilvl w:val="0"/>
          <w:numId w:val="2"/>
        </w:numPr>
        <w:rPr>
          <w:rFonts w:ascii="Garamond" w:hAnsi="Garamond"/>
          <w:szCs w:val="24"/>
        </w:rPr>
      </w:pPr>
      <w:r w:rsidRPr="004E4099">
        <w:rPr>
          <w:rFonts w:ascii="Garamond" w:hAnsi="Garamond"/>
          <w:szCs w:val="24"/>
        </w:rPr>
        <w:t>key ecosystem functions; or</w:t>
      </w:r>
    </w:p>
    <w:p w14:paraId="336497C9" w14:textId="353BA102" w:rsidR="00C0456C" w:rsidRPr="004E4099" w:rsidRDefault="00C0456C" w:rsidP="00756967">
      <w:pPr>
        <w:pStyle w:val="ListParagraph"/>
        <w:numPr>
          <w:ilvl w:val="0"/>
          <w:numId w:val="2"/>
        </w:numPr>
        <w:rPr>
          <w:rFonts w:ascii="Garamond" w:hAnsi="Garamond"/>
          <w:szCs w:val="24"/>
        </w:rPr>
      </w:pPr>
      <w:r w:rsidRPr="004E4099">
        <w:rPr>
          <w:rFonts w:ascii="Garamond" w:hAnsi="Garamond"/>
          <w:szCs w:val="24"/>
        </w:rPr>
        <w:t>the productive base</w:t>
      </w:r>
      <w:r w:rsidR="00756967" w:rsidRPr="004E4099">
        <w:rPr>
          <w:rStyle w:val="FootnoteReference"/>
          <w:rFonts w:ascii="Garamond" w:hAnsi="Garamond"/>
          <w:szCs w:val="24"/>
        </w:rPr>
        <w:footnoteReference w:id="4"/>
      </w:r>
      <w:r w:rsidRPr="004E4099">
        <w:rPr>
          <w:rFonts w:ascii="Garamond" w:hAnsi="Garamond"/>
          <w:szCs w:val="24"/>
        </w:rPr>
        <w:t>; or</w:t>
      </w:r>
    </w:p>
    <w:p w14:paraId="31BCCF2C" w14:textId="0F21AA43" w:rsidR="00C0456C" w:rsidRPr="004E4099" w:rsidRDefault="00C0456C" w:rsidP="00C0456C">
      <w:pPr>
        <w:pStyle w:val="ListParagraph"/>
        <w:numPr>
          <w:ilvl w:val="0"/>
          <w:numId w:val="2"/>
        </w:numPr>
        <w:rPr>
          <w:rFonts w:ascii="Garamond" w:hAnsi="Garamond"/>
          <w:szCs w:val="24"/>
        </w:rPr>
      </w:pPr>
      <w:r w:rsidRPr="004E4099">
        <w:rPr>
          <w:rFonts w:ascii="Garamond" w:hAnsi="Garamond"/>
          <w:szCs w:val="24"/>
        </w:rPr>
        <w:t>key environmental outcomes</w:t>
      </w:r>
    </w:p>
    <w:p w14:paraId="4D9A3A8F" w14:textId="6B83AAC8" w:rsidR="00756967" w:rsidRPr="004E4099" w:rsidRDefault="00756967" w:rsidP="00756967">
      <w:pPr>
        <w:ind w:left="720"/>
        <w:rPr>
          <w:rFonts w:ascii="Garamond" w:hAnsi="Garamond"/>
          <w:szCs w:val="24"/>
        </w:rPr>
      </w:pPr>
      <w:r w:rsidRPr="004E4099">
        <w:rPr>
          <w:rFonts w:ascii="Garamond" w:hAnsi="Garamond"/>
          <w:szCs w:val="24"/>
        </w:rPr>
        <w:t>of the Basin.</w:t>
      </w:r>
    </w:p>
    <w:p w14:paraId="0AA0B5BE" w14:textId="6425494B" w:rsidR="00C0456C" w:rsidRPr="004E4099" w:rsidRDefault="00C0456C" w:rsidP="00C0456C">
      <w:pPr>
        <w:pStyle w:val="ListParagraph"/>
        <w:rPr>
          <w:rFonts w:ascii="Garamond" w:hAnsi="Garamond"/>
          <w:szCs w:val="24"/>
        </w:rPr>
      </w:pPr>
    </w:p>
    <w:p w14:paraId="1E71D5D1" w14:textId="6B08A14E" w:rsidR="008F0123" w:rsidRDefault="00C0456C" w:rsidP="00EC388D">
      <w:pPr>
        <w:pStyle w:val="ListParagraph"/>
        <w:numPr>
          <w:ilvl w:val="0"/>
          <w:numId w:val="1"/>
        </w:numPr>
        <w:rPr>
          <w:rFonts w:ascii="Garamond" w:hAnsi="Garamond"/>
          <w:szCs w:val="24"/>
        </w:rPr>
      </w:pPr>
      <w:r w:rsidRPr="00F663AA">
        <w:rPr>
          <w:rFonts w:ascii="Garamond" w:hAnsi="Garamond"/>
          <w:szCs w:val="24"/>
        </w:rPr>
        <w:t xml:space="preserve">These are </w:t>
      </w:r>
      <w:r w:rsidR="00225FED" w:rsidRPr="00F663AA">
        <w:rPr>
          <w:rFonts w:ascii="Garamond" w:hAnsi="Garamond"/>
          <w:szCs w:val="24"/>
        </w:rPr>
        <w:t>solely</w:t>
      </w:r>
      <w:r w:rsidRPr="00F663AA">
        <w:rPr>
          <w:rFonts w:ascii="Garamond" w:hAnsi="Garamond"/>
          <w:szCs w:val="24"/>
        </w:rPr>
        <w:t xml:space="preserve"> environmental criteria</w:t>
      </w:r>
      <w:r w:rsidR="008424D9" w:rsidRPr="00F663AA">
        <w:rPr>
          <w:rFonts w:ascii="Garamond" w:hAnsi="Garamond"/>
          <w:szCs w:val="24"/>
        </w:rPr>
        <w:t xml:space="preserve">, </w:t>
      </w:r>
      <w:r w:rsidR="00D619C4" w:rsidRPr="00F663AA">
        <w:rPr>
          <w:rFonts w:ascii="Garamond" w:hAnsi="Garamond"/>
          <w:szCs w:val="24"/>
        </w:rPr>
        <w:t xml:space="preserve">within the judgment of appropriately qualified scientists, not policy </w:t>
      </w:r>
      <w:r w:rsidR="007C1480" w:rsidRPr="00F663AA">
        <w:rPr>
          <w:rFonts w:ascii="Garamond" w:hAnsi="Garamond"/>
          <w:szCs w:val="24"/>
        </w:rPr>
        <w:t xml:space="preserve">or law </w:t>
      </w:r>
      <w:r w:rsidR="00D619C4" w:rsidRPr="00F663AA">
        <w:rPr>
          <w:rFonts w:ascii="Garamond" w:hAnsi="Garamond"/>
          <w:szCs w:val="24"/>
        </w:rPr>
        <w:t xml:space="preserve">makers. </w:t>
      </w:r>
      <w:r w:rsidRPr="00F663AA">
        <w:rPr>
          <w:rFonts w:ascii="Garamond" w:hAnsi="Garamond"/>
          <w:szCs w:val="24"/>
        </w:rPr>
        <w:t xml:space="preserve">Unsurprisingly then, the Basin Plan, </w:t>
      </w:r>
      <w:r w:rsidR="008129E2" w:rsidRPr="00F663AA">
        <w:rPr>
          <w:rFonts w:ascii="Garamond" w:hAnsi="Garamond"/>
          <w:szCs w:val="24"/>
        </w:rPr>
        <w:t>and the</w:t>
      </w:r>
      <w:r w:rsidR="00F663AA" w:rsidRPr="00F663AA">
        <w:rPr>
          <w:rFonts w:ascii="Garamond" w:hAnsi="Garamond"/>
          <w:szCs w:val="24"/>
        </w:rPr>
        <w:t xml:space="preserve"> ESLT are</w:t>
      </w:r>
      <w:r w:rsidR="008129E2" w:rsidRPr="00F663AA">
        <w:rPr>
          <w:rFonts w:ascii="Garamond" w:hAnsi="Garamond"/>
          <w:szCs w:val="24"/>
        </w:rPr>
        <w:t xml:space="preserve"> be </w:t>
      </w:r>
      <w:r w:rsidR="00D9462C" w:rsidRPr="00F663AA">
        <w:rPr>
          <w:rFonts w:ascii="Garamond" w:hAnsi="Garamond"/>
          <w:szCs w:val="24"/>
        </w:rPr>
        <w:t>prepared and determined</w:t>
      </w:r>
      <w:r w:rsidR="00F663AA" w:rsidRPr="00F663AA">
        <w:rPr>
          <w:rFonts w:ascii="Garamond" w:hAnsi="Garamond"/>
          <w:szCs w:val="24"/>
        </w:rPr>
        <w:t xml:space="preserve"> by the drafters acting</w:t>
      </w:r>
      <w:r w:rsidR="00D9462C" w:rsidRPr="00F663AA">
        <w:rPr>
          <w:rFonts w:ascii="Garamond" w:hAnsi="Garamond"/>
          <w:szCs w:val="24"/>
        </w:rPr>
        <w:t xml:space="preserve"> </w:t>
      </w:r>
      <w:r w:rsidR="00D9462C" w:rsidRPr="00F663AA">
        <w:rPr>
          <w:rFonts w:ascii="Garamond" w:hAnsi="Garamond"/>
          <w:i/>
          <w:iCs/>
          <w:szCs w:val="24"/>
        </w:rPr>
        <w:t>“on the basis of the best available scientific knowledge”</w:t>
      </w:r>
      <w:r w:rsidR="00253BC4" w:rsidRPr="00F663AA">
        <w:rPr>
          <w:rFonts w:ascii="Garamond" w:hAnsi="Garamond"/>
          <w:szCs w:val="24"/>
        </w:rPr>
        <w:t>:</w:t>
      </w:r>
      <w:r w:rsidR="00B62CC5" w:rsidRPr="00F663AA">
        <w:rPr>
          <w:rFonts w:ascii="Garamond" w:hAnsi="Garamond"/>
          <w:szCs w:val="24"/>
        </w:rPr>
        <w:t xml:space="preserve"> s.21(4)(b)</w:t>
      </w:r>
      <w:r w:rsidR="00CC0F67" w:rsidRPr="00F663AA">
        <w:rPr>
          <w:rFonts w:ascii="Garamond" w:hAnsi="Garamond"/>
          <w:szCs w:val="24"/>
        </w:rPr>
        <w:t xml:space="preserve"> of the </w:t>
      </w:r>
      <w:r w:rsidR="00CC0F67" w:rsidRPr="00F663AA">
        <w:rPr>
          <w:rFonts w:ascii="Garamond" w:hAnsi="Garamond"/>
          <w:i/>
          <w:iCs/>
          <w:szCs w:val="24"/>
        </w:rPr>
        <w:t>Water Act</w:t>
      </w:r>
      <w:r w:rsidR="00B62CC5" w:rsidRPr="00F663AA">
        <w:rPr>
          <w:rFonts w:ascii="Garamond" w:hAnsi="Garamond"/>
          <w:i/>
          <w:iCs/>
          <w:szCs w:val="24"/>
        </w:rPr>
        <w:t>.</w:t>
      </w:r>
    </w:p>
    <w:p w14:paraId="4FB1D132" w14:textId="77777777" w:rsidR="00F663AA" w:rsidRPr="00F663AA" w:rsidRDefault="00F663AA" w:rsidP="00F663AA">
      <w:pPr>
        <w:pStyle w:val="ListParagraph"/>
        <w:rPr>
          <w:rFonts w:ascii="Garamond" w:hAnsi="Garamond"/>
          <w:szCs w:val="24"/>
        </w:rPr>
      </w:pPr>
    </w:p>
    <w:p w14:paraId="1AA3BDD4" w14:textId="3B3C2E2A" w:rsidR="008F0123" w:rsidRPr="004E4099" w:rsidRDefault="00F663AA" w:rsidP="00C20C71">
      <w:pPr>
        <w:pStyle w:val="ListParagraph"/>
        <w:numPr>
          <w:ilvl w:val="0"/>
          <w:numId w:val="1"/>
        </w:numPr>
        <w:rPr>
          <w:rFonts w:ascii="Garamond" w:hAnsi="Garamond"/>
          <w:szCs w:val="24"/>
        </w:rPr>
      </w:pPr>
      <w:r>
        <w:rPr>
          <w:rFonts w:ascii="Garamond" w:hAnsi="Garamond"/>
          <w:szCs w:val="24"/>
        </w:rPr>
        <w:t xml:space="preserve">As mentioned above, because of the reliance on the external affairs power, </w:t>
      </w:r>
      <w:r w:rsidR="00742ABB" w:rsidRPr="004E4099">
        <w:rPr>
          <w:rFonts w:ascii="Garamond" w:hAnsi="Garamond"/>
          <w:szCs w:val="24"/>
        </w:rPr>
        <w:t xml:space="preserve">The Basin Plan </w:t>
      </w:r>
      <w:r w:rsidR="00F52F0A" w:rsidRPr="004E4099">
        <w:rPr>
          <w:rFonts w:ascii="Garamond" w:hAnsi="Garamond"/>
          <w:szCs w:val="24"/>
        </w:rPr>
        <w:t>must</w:t>
      </w:r>
      <w:r w:rsidR="008F0123" w:rsidRPr="004E4099">
        <w:rPr>
          <w:rFonts w:ascii="Garamond" w:hAnsi="Garamond"/>
          <w:szCs w:val="24"/>
        </w:rPr>
        <w:t xml:space="preserve"> </w:t>
      </w:r>
      <w:r w:rsidR="008F0123" w:rsidRPr="004E4099">
        <w:rPr>
          <w:rFonts w:ascii="Garamond" w:hAnsi="Garamond"/>
          <w:i/>
          <w:iCs/>
          <w:szCs w:val="24"/>
        </w:rPr>
        <w:t>“faithfully implement”</w:t>
      </w:r>
      <w:r w:rsidR="008F0123" w:rsidRPr="004E4099">
        <w:rPr>
          <w:rFonts w:ascii="Garamond" w:hAnsi="Garamond"/>
          <w:szCs w:val="24"/>
        </w:rPr>
        <w:t xml:space="preserve"> international environmental conventions upon which the </w:t>
      </w:r>
      <w:r w:rsidR="008F0123" w:rsidRPr="004E4099">
        <w:rPr>
          <w:rFonts w:ascii="Garamond" w:hAnsi="Garamond"/>
          <w:i/>
          <w:iCs/>
          <w:szCs w:val="24"/>
        </w:rPr>
        <w:t>Water Act</w:t>
      </w:r>
      <w:r w:rsidR="008F0123" w:rsidRPr="004E4099">
        <w:rPr>
          <w:rFonts w:ascii="Garamond" w:hAnsi="Garamond"/>
          <w:szCs w:val="24"/>
        </w:rPr>
        <w:t xml:space="preserve"> is based.  It has to </w:t>
      </w:r>
      <w:r w:rsidR="008F0123" w:rsidRPr="004E4099">
        <w:rPr>
          <w:rFonts w:ascii="Garamond" w:hAnsi="Garamond"/>
          <w:i/>
          <w:iCs/>
          <w:szCs w:val="24"/>
        </w:rPr>
        <w:t>“give primacy to the environment”</w:t>
      </w:r>
      <w:r w:rsidR="008F0123" w:rsidRPr="004E4099">
        <w:rPr>
          <w:rFonts w:ascii="Garamond" w:hAnsi="Garamond"/>
          <w:szCs w:val="24"/>
        </w:rPr>
        <w:t xml:space="preserve"> before social or economic effects</w:t>
      </w:r>
      <w:r w:rsidR="00DD3CAA" w:rsidRPr="004E4099">
        <w:rPr>
          <w:rFonts w:ascii="Garamond" w:hAnsi="Garamond"/>
          <w:szCs w:val="24"/>
        </w:rPr>
        <w:t xml:space="preserve"> are considered</w:t>
      </w:r>
      <w:r w:rsidR="008F0123" w:rsidRPr="004E4099">
        <w:rPr>
          <w:rFonts w:ascii="Garamond" w:hAnsi="Garamond"/>
          <w:szCs w:val="24"/>
        </w:rPr>
        <w:t xml:space="preserve">.  If the Basin Plan is </w:t>
      </w:r>
      <w:r w:rsidR="008F0123" w:rsidRPr="004E4099">
        <w:rPr>
          <w:rFonts w:ascii="Garamond" w:hAnsi="Garamond"/>
          <w:i/>
          <w:iCs/>
          <w:szCs w:val="24"/>
        </w:rPr>
        <w:t>“incompatible with the environmental conventions, then it will be unconstitutional because it is those conventions that were “relied upon to get the constitutional power for the Water Act</w:t>
      </w:r>
      <w:r w:rsidR="00113960" w:rsidRPr="004E4099">
        <w:rPr>
          <w:rFonts w:ascii="Garamond" w:hAnsi="Garamond"/>
          <w:i/>
          <w:iCs/>
          <w:szCs w:val="24"/>
        </w:rPr>
        <w:t>.”</w:t>
      </w:r>
      <w:r w:rsidR="008F0123" w:rsidRPr="004E4099">
        <w:rPr>
          <w:rStyle w:val="FootnoteReference"/>
          <w:rFonts w:ascii="Garamond" w:hAnsi="Garamond"/>
          <w:szCs w:val="24"/>
        </w:rPr>
        <w:footnoteReference w:id="5"/>
      </w:r>
    </w:p>
    <w:p w14:paraId="635AE642" w14:textId="77777777" w:rsidR="003776A9" w:rsidRPr="004E4099" w:rsidRDefault="003776A9" w:rsidP="00D9752A">
      <w:pPr>
        <w:rPr>
          <w:rFonts w:ascii="Garamond" w:hAnsi="Garamond"/>
          <w:szCs w:val="24"/>
        </w:rPr>
      </w:pPr>
    </w:p>
    <w:p w14:paraId="7253605C" w14:textId="2904D274" w:rsidR="00956F3A" w:rsidRPr="004E4099" w:rsidRDefault="00D13DA2" w:rsidP="00D9752A">
      <w:pPr>
        <w:pStyle w:val="ListParagraph"/>
        <w:numPr>
          <w:ilvl w:val="0"/>
          <w:numId w:val="1"/>
        </w:numPr>
        <w:rPr>
          <w:rFonts w:ascii="Garamond" w:hAnsi="Garamond"/>
          <w:szCs w:val="24"/>
        </w:rPr>
      </w:pPr>
      <w:r w:rsidRPr="004E4099">
        <w:rPr>
          <w:rFonts w:ascii="Garamond" w:hAnsi="Garamond"/>
          <w:szCs w:val="24"/>
        </w:rPr>
        <w:t>Science</w:t>
      </w:r>
      <w:r w:rsidR="00F663AA">
        <w:rPr>
          <w:rFonts w:ascii="Garamond" w:hAnsi="Garamond"/>
          <w:szCs w:val="24"/>
        </w:rPr>
        <w:t xml:space="preserve"> (including “best available science”)</w:t>
      </w:r>
      <w:r w:rsidR="00036EC6" w:rsidRPr="004E4099">
        <w:rPr>
          <w:rFonts w:ascii="Garamond" w:hAnsi="Garamond"/>
          <w:szCs w:val="24"/>
        </w:rPr>
        <w:t xml:space="preserve"> involves rigour, transparency</w:t>
      </w:r>
      <w:r w:rsidR="00F663AA">
        <w:rPr>
          <w:rFonts w:ascii="Garamond" w:hAnsi="Garamond"/>
          <w:szCs w:val="24"/>
        </w:rPr>
        <w:t xml:space="preserve"> (not just to reflect what is “science”, but in </w:t>
      </w:r>
      <w:r w:rsidR="000425B0">
        <w:rPr>
          <w:rFonts w:ascii="Garamond" w:hAnsi="Garamond"/>
          <w:szCs w:val="24"/>
        </w:rPr>
        <w:t>giving</w:t>
      </w:r>
      <w:r w:rsidR="00F663AA">
        <w:rPr>
          <w:rFonts w:ascii="Garamond" w:hAnsi="Garamond"/>
          <w:szCs w:val="24"/>
        </w:rPr>
        <w:t xml:space="preserve"> effect into the word “available” in the statutory text)</w:t>
      </w:r>
      <w:r w:rsidR="00036EC6" w:rsidRPr="004E4099">
        <w:rPr>
          <w:rFonts w:ascii="Garamond" w:hAnsi="Garamond"/>
          <w:szCs w:val="24"/>
        </w:rPr>
        <w:t>, testing</w:t>
      </w:r>
      <w:r w:rsidR="00FF4DB5" w:rsidRPr="004E4099">
        <w:rPr>
          <w:rFonts w:ascii="Garamond" w:hAnsi="Garamond"/>
          <w:szCs w:val="24"/>
        </w:rPr>
        <w:t>,</w:t>
      </w:r>
      <w:r w:rsidR="00036EC6" w:rsidRPr="004E4099">
        <w:rPr>
          <w:rFonts w:ascii="Garamond" w:hAnsi="Garamond"/>
          <w:szCs w:val="24"/>
        </w:rPr>
        <w:t xml:space="preserve"> and replication. </w:t>
      </w:r>
      <w:r w:rsidR="00977F3A" w:rsidRPr="004E4099">
        <w:rPr>
          <w:rFonts w:ascii="Garamond" w:hAnsi="Garamond"/>
          <w:szCs w:val="24"/>
        </w:rPr>
        <w:t xml:space="preserve">Eminent scientists have said </w:t>
      </w:r>
      <w:r w:rsidR="00C33730" w:rsidRPr="004E4099">
        <w:rPr>
          <w:rFonts w:ascii="Garamond" w:hAnsi="Garamond"/>
          <w:szCs w:val="24"/>
        </w:rPr>
        <w:t>repeatedly</w:t>
      </w:r>
      <w:r w:rsidR="001B1264" w:rsidRPr="004E4099">
        <w:rPr>
          <w:rFonts w:ascii="Garamond" w:hAnsi="Garamond"/>
          <w:szCs w:val="24"/>
        </w:rPr>
        <w:t xml:space="preserve"> (both under oath, and in peer reviewed scientific literature)</w:t>
      </w:r>
      <w:r w:rsidR="009D7BFF" w:rsidRPr="004E4099">
        <w:rPr>
          <w:rFonts w:ascii="Garamond" w:hAnsi="Garamond"/>
          <w:szCs w:val="24"/>
        </w:rPr>
        <w:t xml:space="preserve"> that the manner in which the 2750GL</w:t>
      </w:r>
      <w:r w:rsidR="00AF18E7" w:rsidRPr="004E4099">
        <w:rPr>
          <w:rFonts w:ascii="Garamond" w:hAnsi="Garamond"/>
          <w:szCs w:val="24"/>
        </w:rPr>
        <w:t xml:space="preserve"> annual recovery</w:t>
      </w:r>
      <w:r w:rsidR="009D7BFF" w:rsidRPr="004E4099">
        <w:rPr>
          <w:rFonts w:ascii="Garamond" w:hAnsi="Garamond"/>
          <w:szCs w:val="24"/>
        </w:rPr>
        <w:t xml:space="preserve"> figure</w:t>
      </w:r>
      <w:r w:rsidR="00C7333B" w:rsidRPr="004E4099">
        <w:rPr>
          <w:rFonts w:ascii="Garamond" w:hAnsi="Garamond"/>
          <w:szCs w:val="24"/>
        </w:rPr>
        <w:t xml:space="preserve"> was determined is opaque, and as such incapable of being replicated</w:t>
      </w:r>
      <w:r w:rsidR="00AA1C51" w:rsidRPr="004E4099">
        <w:rPr>
          <w:rStyle w:val="FootnoteReference"/>
          <w:rFonts w:ascii="Garamond" w:hAnsi="Garamond"/>
          <w:szCs w:val="24"/>
        </w:rPr>
        <w:footnoteReference w:id="6"/>
      </w:r>
      <w:r w:rsidR="00C7333B" w:rsidRPr="004E4099">
        <w:rPr>
          <w:rFonts w:ascii="Garamond" w:hAnsi="Garamond"/>
          <w:szCs w:val="24"/>
        </w:rPr>
        <w:t xml:space="preserve">. </w:t>
      </w:r>
      <w:r w:rsidR="00DB7087" w:rsidRPr="004E4099">
        <w:rPr>
          <w:rFonts w:ascii="Garamond" w:hAnsi="Garamond"/>
          <w:szCs w:val="24"/>
        </w:rPr>
        <w:t>It either does not reflect an</w:t>
      </w:r>
      <w:r w:rsidR="00F663AA">
        <w:rPr>
          <w:rFonts w:ascii="Garamond" w:hAnsi="Garamond"/>
          <w:szCs w:val="24"/>
        </w:rPr>
        <w:t xml:space="preserve"> ESLT,</w:t>
      </w:r>
      <w:r w:rsidR="00DB7087" w:rsidRPr="004E4099">
        <w:rPr>
          <w:rFonts w:ascii="Garamond" w:hAnsi="Garamond"/>
          <w:szCs w:val="24"/>
        </w:rPr>
        <w:t xml:space="preserve"> or there is no </w:t>
      </w:r>
      <w:r w:rsidR="00053303">
        <w:rPr>
          <w:rFonts w:ascii="Garamond" w:hAnsi="Garamond"/>
          <w:szCs w:val="24"/>
        </w:rPr>
        <w:t>defensible scientific</w:t>
      </w:r>
      <w:r w:rsidR="00DB7087" w:rsidRPr="004E4099">
        <w:rPr>
          <w:rFonts w:ascii="Garamond" w:hAnsi="Garamond"/>
          <w:szCs w:val="24"/>
        </w:rPr>
        <w:t xml:space="preserve"> evidence</w:t>
      </w:r>
      <w:r w:rsidR="00F663AA">
        <w:rPr>
          <w:rFonts w:ascii="Garamond" w:hAnsi="Garamond"/>
          <w:szCs w:val="24"/>
        </w:rPr>
        <w:t xml:space="preserve"> to establish</w:t>
      </w:r>
      <w:r w:rsidR="00053303">
        <w:rPr>
          <w:rFonts w:ascii="Garamond" w:hAnsi="Garamond"/>
          <w:szCs w:val="24"/>
        </w:rPr>
        <w:t xml:space="preserve"> (peer reviewed or otherwise</w:t>
      </w:r>
      <w:r w:rsidR="00F663AA">
        <w:rPr>
          <w:rFonts w:ascii="Garamond" w:hAnsi="Garamond"/>
          <w:szCs w:val="24"/>
        </w:rPr>
        <w:t>)</w:t>
      </w:r>
      <w:r w:rsidR="00DB7087" w:rsidRPr="004E4099">
        <w:rPr>
          <w:rFonts w:ascii="Garamond" w:hAnsi="Garamond"/>
          <w:szCs w:val="24"/>
        </w:rPr>
        <w:t xml:space="preserve"> that it does</w:t>
      </w:r>
      <w:r w:rsidR="00DB7087" w:rsidRPr="004E4099">
        <w:rPr>
          <w:rStyle w:val="FootnoteReference"/>
          <w:rFonts w:ascii="Garamond" w:hAnsi="Garamond"/>
          <w:szCs w:val="24"/>
        </w:rPr>
        <w:footnoteReference w:id="7"/>
      </w:r>
      <w:r w:rsidR="00DB7087" w:rsidRPr="004E4099">
        <w:rPr>
          <w:rFonts w:ascii="Garamond" w:hAnsi="Garamond"/>
          <w:szCs w:val="24"/>
        </w:rPr>
        <w:t xml:space="preserve">. </w:t>
      </w:r>
      <w:r w:rsidR="00EA63D5" w:rsidRPr="004E4099">
        <w:rPr>
          <w:rFonts w:ascii="Garamond" w:hAnsi="Garamond"/>
          <w:szCs w:val="24"/>
        </w:rPr>
        <w:t>Our</w:t>
      </w:r>
      <w:r w:rsidR="008F0359" w:rsidRPr="004E4099">
        <w:rPr>
          <w:rFonts w:ascii="Garamond" w:hAnsi="Garamond"/>
          <w:szCs w:val="24"/>
        </w:rPr>
        <w:t xml:space="preserve"> scientific community, </w:t>
      </w:r>
      <w:r w:rsidR="00EA63D5" w:rsidRPr="004E4099">
        <w:rPr>
          <w:rFonts w:ascii="Garamond" w:hAnsi="Garamond"/>
          <w:szCs w:val="24"/>
        </w:rPr>
        <w:t xml:space="preserve">and hence the public, </w:t>
      </w:r>
      <w:r w:rsidR="008F0359" w:rsidRPr="004E4099">
        <w:rPr>
          <w:rFonts w:ascii="Garamond" w:hAnsi="Garamond"/>
          <w:szCs w:val="24"/>
        </w:rPr>
        <w:t xml:space="preserve">has not been informed in any meaningful way as to how the volume of 2750GL </w:t>
      </w:r>
      <w:r w:rsidR="004427A0" w:rsidRPr="004E4099">
        <w:rPr>
          <w:rFonts w:ascii="Garamond" w:hAnsi="Garamond"/>
          <w:szCs w:val="24"/>
        </w:rPr>
        <w:t xml:space="preserve">(or the 605GL SDL </w:t>
      </w:r>
      <w:r w:rsidR="005E0319" w:rsidRPr="004E4099">
        <w:rPr>
          <w:rFonts w:ascii="Garamond" w:hAnsi="Garamond"/>
          <w:szCs w:val="24"/>
        </w:rPr>
        <w:t>A</w:t>
      </w:r>
      <w:r w:rsidR="004427A0" w:rsidRPr="004E4099">
        <w:rPr>
          <w:rFonts w:ascii="Garamond" w:hAnsi="Garamond"/>
          <w:szCs w:val="24"/>
        </w:rPr>
        <w:t xml:space="preserve">djustment) was determined, and how so called “social and economic” considerations were used </w:t>
      </w:r>
      <w:r w:rsidR="00B337EB" w:rsidRPr="004E4099">
        <w:rPr>
          <w:rFonts w:ascii="Garamond" w:hAnsi="Garamond"/>
          <w:szCs w:val="24"/>
        </w:rPr>
        <w:t>to reduce the original volum</w:t>
      </w:r>
      <w:r w:rsidR="000676C2" w:rsidRPr="004E4099">
        <w:rPr>
          <w:rFonts w:ascii="Garamond" w:hAnsi="Garamond"/>
          <w:szCs w:val="24"/>
        </w:rPr>
        <w:t>etric range for Basin-wide recovery</w:t>
      </w:r>
      <w:r w:rsidR="00B337EB" w:rsidRPr="004E4099">
        <w:rPr>
          <w:rFonts w:ascii="Garamond" w:hAnsi="Garamond"/>
          <w:szCs w:val="24"/>
        </w:rPr>
        <w:t xml:space="preserve"> (</w:t>
      </w:r>
      <w:r w:rsidR="005E0319" w:rsidRPr="004E4099">
        <w:rPr>
          <w:rFonts w:ascii="Garamond" w:hAnsi="Garamond"/>
          <w:szCs w:val="24"/>
        </w:rPr>
        <w:t xml:space="preserve">approximately </w:t>
      </w:r>
      <w:r w:rsidR="00B337EB" w:rsidRPr="004E4099">
        <w:rPr>
          <w:rFonts w:ascii="Garamond" w:hAnsi="Garamond"/>
          <w:szCs w:val="24"/>
        </w:rPr>
        <w:t>4000GL to 7000GL</w:t>
      </w:r>
      <w:r w:rsidR="00F94883" w:rsidRPr="004E4099">
        <w:rPr>
          <w:rStyle w:val="FootnoteReference"/>
          <w:rFonts w:ascii="Garamond" w:hAnsi="Garamond"/>
          <w:szCs w:val="24"/>
        </w:rPr>
        <w:footnoteReference w:id="8"/>
      </w:r>
      <w:r w:rsidR="00B337EB" w:rsidRPr="004E4099">
        <w:rPr>
          <w:rFonts w:ascii="Garamond" w:hAnsi="Garamond"/>
          <w:szCs w:val="24"/>
        </w:rPr>
        <w:t xml:space="preserve">) </w:t>
      </w:r>
      <w:r w:rsidR="00FD0D57" w:rsidRPr="004E4099">
        <w:rPr>
          <w:rFonts w:ascii="Garamond" w:hAnsi="Garamond"/>
          <w:szCs w:val="24"/>
        </w:rPr>
        <w:t xml:space="preserve">to 2750GL. That was an unacceptable state of affairs in </w:t>
      </w:r>
      <w:proofErr w:type="gramStart"/>
      <w:r w:rsidR="00FD0D57" w:rsidRPr="004E4099">
        <w:rPr>
          <w:rFonts w:ascii="Garamond" w:hAnsi="Garamond"/>
          <w:szCs w:val="24"/>
        </w:rPr>
        <w:t>2012, and</w:t>
      </w:r>
      <w:proofErr w:type="gramEnd"/>
      <w:r w:rsidR="00FD0D57" w:rsidRPr="004E4099">
        <w:rPr>
          <w:rFonts w:ascii="Garamond" w:hAnsi="Garamond"/>
          <w:szCs w:val="24"/>
        </w:rPr>
        <w:t xml:space="preserve"> remains so today. </w:t>
      </w:r>
      <w:r w:rsidR="009212E4" w:rsidRPr="004E4099">
        <w:rPr>
          <w:rFonts w:ascii="Garamond" w:hAnsi="Garamond"/>
          <w:szCs w:val="24"/>
        </w:rPr>
        <w:t xml:space="preserve">It </w:t>
      </w:r>
      <w:r w:rsidR="00D601EB" w:rsidRPr="004E4099">
        <w:rPr>
          <w:rFonts w:ascii="Garamond" w:hAnsi="Garamond"/>
          <w:szCs w:val="24"/>
        </w:rPr>
        <w:t>means scientists do not have the data and information necessary to interrogate</w:t>
      </w:r>
      <w:r w:rsidR="009212E4" w:rsidRPr="004E4099">
        <w:rPr>
          <w:rFonts w:ascii="Garamond" w:hAnsi="Garamond"/>
          <w:szCs w:val="24"/>
        </w:rPr>
        <w:t xml:space="preserve"> the volumes determined by the MDBA</w:t>
      </w:r>
      <w:r w:rsidR="00D601EB" w:rsidRPr="004E4099">
        <w:rPr>
          <w:rFonts w:ascii="Garamond" w:hAnsi="Garamond"/>
          <w:szCs w:val="24"/>
        </w:rPr>
        <w:t xml:space="preserve">. </w:t>
      </w:r>
      <w:r w:rsidR="00566405" w:rsidRPr="004E4099">
        <w:rPr>
          <w:rFonts w:ascii="Garamond" w:hAnsi="Garamond"/>
          <w:szCs w:val="24"/>
        </w:rPr>
        <w:t xml:space="preserve">That </w:t>
      </w:r>
      <w:r w:rsidR="006E314D" w:rsidRPr="004E4099">
        <w:rPr>
          <w:rFonts w:ascii="Garamond" w:hAnsi="Garamond"/>
          <w:szCs w:val="24"/>
        </w:rPr>
        <w:t>is the inverse of good governance</w:t>
      </w:r>
      <w:r w:rsidR="00DA798E" w:rsidRPr="004E4099">
        <w:rPr>
          <w:rStyle w:val="FootnoteReference"/>
          <w:rFonts w:ascii="Garamond" w:hAnsi="Garamond"/>
          <w:szCs w:val="24"/>
        </w:rPr>
        <w:footnoteReference w:id="9"/>
      </w:r>
      <w:r w:rsidR="00031F20" w:rsidRPr="004E4099">
        <w:rPr>
          <w:rFonts w:ascii="Garamond" w:hAnsi="Garamond"/>
          <w:szCs w:val="24"/>
        </w:rPr>
        <w:t>. In any event, that the</w:t>
      </w:r>
      <w:r w:rsidR="00F663AA">
        <w:rPr>
          <w:rFonts w:ascii="Garamond" w:hAnsi="Garamond"/>
          <w:szCs w:val="24"/>
        </w:rPr>
        <w:t xml:space="preserve"> ESLT </w:t>
      </w:r>
      <w:r w:rsidR="00031F20" w:rsidRPr="004E4099">
        <w:rPr>
          <w:rFonts w:ascii="Garamond" w:hAnsi="Garamond"/>
          <w:szCs w:val="24"/>
        </w:rPr>
        <w:t xml:space="preserve">recovery target </w:t>
      </w:r>
      <w:r w:rsidR="003D3751" w:rsidRPr="004E4099">
        <w:rPr>
          <w:rFonts w:ascii="Garamond" w:hAnsi="Garamond"/>
          <w:szCs w:val="24"/>
        </w:rPr>
        <w:t>“</w:t>
      </w:r>
      <w:r w:rsidR="00031F20" w:rsidRPr="004E4099">
        <w:rPr>
          <w:rFonts w:ascii="Garamond" w:hAnsi="Garamond"/>
          <w:szCs w:val="24"/>
        </w:rPr>
        <w:t>ha</w:t>
      </w:r>
      <w:r w:rsidR="003D3751" w:rsidRPr="004E4099">
        <w:rPr>
          <w:rFonts w:ascii="Garamond" w:hAnsi="Garamond"/>
          <w:szCs w:val="24"/>
        </w:rPr>
        <w:t>d</w:t>
      </w:r>
      <w:r w:rsidR="00031F20" w:rsidRPr="004E4099">
        <w:rPr>
          <w:rFonts w:ascii="Garamond" w:hAnsi="Garamond"/>
          <w:szCs w:val="24"/>
        </w:rPr>
        <w:t xml:space="preserve"> to commence with a 2”</w:t>
      </w:r>
      <w:r w:rsidR="00233CFB" w:rsidRPr="004E4099">
        <w:rPr>
          <w:rFonts w:ascii="Garamond" w:hAnsi="Garamond"/>
          <w:szCs w:val="24"/>
        </w:rPr>
        <w:t xml:space="preserve"> was </w:t>
      </w:r>
      <w:r w:rsidR="003D3751" w:rsidRPr="004E4099">
        <w:rPr>
          <w:rFonts w:ascii="Garamond" w:hAnsi="Garamond"/>
          <w:szCs w:val="24"/>
        </w:rPr>
        <w:t>well known</w:t>
      </w:r>
      <w:r w:rsidR="00233CFB" w:rsidRPr="004E4099">
        <w:rPr>
          <w:rFonts w:ascii="Garamond" w:hAnsi="Garamond"/>
          <w:szCs w:val="24"/>
        </w:rPr>
        <w:t xml:space="preserve"> at the MDBA in 2011-12</w:t>
      </w:r>
      <w:r w:rsidR="006062C1" w:rsidRPr="004E4099">
        <w:rPr>
          <w:rStyle w:val="FootnoteReference"/>
          <w:rFonts w:ascii="Garamond" w:hAnsi="Garamond"/>
          <w:szCs w:val="24"/>
        </w:rPr>
        <w:footnoteReference w:id="10"/>
      </w:r>
      <w:r w:rsidR="00233CFB" w:rsidRPr="004E4099">
        <w:rPr>
          <w:rFonts w:ascii="Garamond" w:hAnsi="Garamond"/>
          <w:szCs w:val="24"/>
        </w:rPr>
        <w:t xml:space="preserve">. Sworn evidence </w:t>
      </w:r>
      <w:r w:rsidR="00F663AA">
        <w:rPr>
          <w:rFonts w:ascii="Garamond" w:hAnsi="Garamond"/>
          <w:szCs w:val="24"/>
        </w:rPr>
        <w:t>was given at the Royal Commission into the Murray Darling Basin w</w:t>
      </w:r>
      <w:r w:rsidR="00233CFB" w:rsidRPr="004E4099">
        <w:rPr>
          <w:rFonts w:ascii="Garamond" w:hAnsi="Garamond"/>
          <w:szCs w:val="24"/>
        </w:rPr>
        <w:t xml:space="preserve">as given to this effect, </w:t>
      </w:r>
      <w:proofErr w:type="spellStart"/>
      <w:r w:rsidR="00F663AA">
        <w:rPr>
          <w:rFonts w:ascii="Garamond" w:hAnsi="Garamond"/>
          <w:szCs w:val="24"/>
        </w:rPr>
        <w:t>cooborated</w:t>
      </w:r>
      <w:proofErr w:type="spellEnd"/>
      <w:r w:rsidR="00F663AA">
        <w:rPr>
          <w:rFonts w:ascii="Garamond" w:hAnsi="Garamond"/>
          <w:szCs w:val="24"/>
        </w:rPr>
        <w:t xml:space="preserve"> by many others too fearful to give evidence because of concerns for their employment</w:t>
      </w:r>
      <w:r w:rsidR="00233CFB" w:rsidRPr="004E4099">
        <w:rPr>
          <w:rFonts w:ascii="Garamond" w:hAnsi="Garamond"/>
          <w:szCs w:val="24"/>
        </w:rPr>
        <w:t xml:space="preserve">. </w:t>
      </w:r>
      <w:r w:rsidR="004D5EF4" w:rsidRPr="004E4099">
        <w:rPr>
          <w:rFonts w:ascii="Garamond" w:hAnsi="Garamond"/>
          <w:szCs w:val="24"/>
        </w:rPr>
        <w:t>Further, at the time the Basin Plan was</w:t>
      </w:r>
      <w:r w:rsidR="00BE47F1" w:rsidRPr="004E4099">
        <w:rPr>
          <w:rFonts w:ascii="Garamond" w:hAnsi="Garamond"/>
          <w:szCs w:val="24"/>
        </w:rPr>
        <w:t xml:space="preserve"> being finalised, it is beyond argument that the final water recovery target was a “political outcome” not a “best available science outcome”</w:t>
      </w:r>
      <w:r w:rsidR="006062C1" w:rsidRPr="004E4099">
        <w:rPr>
          <w:rStyle w:val="FootnoteReference"/>
          <w:rFonts w:ascii="Garamond" w:hAnsi="Garamond"/>
          <w:szCs w:val="24"/>
        </w:rPr>
        <w:footnoteReference w:id="11"/>
      </w:r>
      <w:r w:rsidR="00BE47F1" w:rsidRPr="004E4099">
        <w:rPr>
          <w:rFonts w:ascii="Garamond" w:hAnsi="Garamond"/>
          <w:szCs w:val="24"/>
        </w:rPr>
        <w:t>.</w:t>
      </w:r>
      <w:r w:rsidR="006062C1" w:rsidRPr="004E4099">
        <w:rPr>
          <w:rFonts w:ascii="Garamond" w:hAnsi="Garamond"/>
          <w:szCs w:val="24"/>
        </w:rPr>
        <w:t xml:space="preserve"> </w:t>
      </w:r>
      <w:r w:rsidR="00E85491" w:rsidRPr="004E4099">
        <w:rPr>
          <w:rFonts w:ascii="Garamond" w:hAnsi="Garamond"/>
          <w:szCs w:val="24"/>
        </w:rPr>
        <w:t>In short, science was hijacked</w:t>
      </w:r>
      <w:r w:rsidR="003217B7" w:rsidRPr="004E4099">
        <w:rPr>
          <w:rFonts w:ascii="Garamond" w:hAnsi="Garamond"/>
          <w:szCs w:val="24"/>
        </w:rPr>
        <w:t xml:space="preserve"> by politics</w:t>
      </w:r>
      <w:r w:rsidR="00053303">
        <w:rPr>
          <w:rFonts w:ascii="Garamond" w:hAnsi="Garamond"/>
          <w:szCs w:val="24"/>
        </w:rPr>
        <w:t>.</w:t>
      </w:r>
    </w:p>
    <w:p w14:paraId="0B5A22C5" w14:textId="77777777" w:rsidR="003537A9" w:rsidRPr="00053303" w:rsidRDefault="003537A9" w:rsidP="00053303">
      <w:pPr>
        <w:rPr>
          <w:rFonts w:ascii="Garamond" w:hAnsi="Garamond"/>
          <w:szCs w:val="24"/>
        </w:rPr>
      </w:pPr>
    </w:p>
    <w:p w14:paraId="0E545640" w14:textId="5E040163" w:rsidR="00A82D61" w:rsidRPr="004E4099" w:rsidRDefault="003537A9" w:rsidP="009D15A4">
      <w:pPr>
        <w:pStyle w:val="ListParagraph"/>
        <w:numPr>
          <w:ilvl w:val="0"/>
          <w:numId w:val="1"/>
        </w:numPr>
        <w:rPr>
          <w:rFonts w:ascii="Garamond" w:hAnsi="Garamond"/>
          <w:szCs w:val="24"/>
        </w:rPr>
      </w:pPr>
      <w:r w:rsidRPr="004E4099">
        <w:rPr>
          <w:rFonts w:ascii="Garamond" w:hAnsi="Garamond"/>
          <w:szCs w:val="24"/>
        </w:rPr>
        <w:t>There are</w:t>
      </w:r>
      <w:r w:rsidR="00F663AA">
        <w:rPr>
          <w:rFonts w:ascii="Garamond" w:hAnsi="Garamond"/>
          <w:szCs w:val="24"/>
        </w:rPr>
        <w:t xml:space="preserve"> </w:t>
      </w:r>
      <w:r w:rsidRPr="004E4099">
        <w:rPr>
          <w:rFonts w:ascii="Garamond" w:hAnsi="Garamond"/>
          <w:szCs w:val="24"/>
        </w:rPr>
        <w:t>numerous scientific reports</w:t>
      </w:r>
      <w:r w:rsidR="00F61012" w:rsidRPr="004E4099">
        <w:rPr>
          <w:rFonts w:ascii="Garamond" w:hAnsi="Garamond"/>
          <w:szCs w:val="24"/>
        </w:rPr>
        <w:t xml:space="preserve"> </w:t>
      </w:r>
      <w:r w:rsidRPr="004E4099">
        <w:rPr>
          <w:rFonts w:ascii="Garamond" w:hAnsi="Garamond"/>
          <w:szCs w:val="24"/>
        </w:rPr>
        <w:t>which evidence that the Basin</w:t>
      </w:r>
      <w:r w:rsidR="003E0542" w:rsidRPr="004E4099">
        <w:rPr>
          <w:rFonts w:ascii="Garamond" w:hAnsi="Garamond"/>
          <w:szCs w:val="24"/>
        </w:rPr>
        <w:t>-wide</w:t>
      </w:r>
      <w:r w:rsidRPr="004E4099">
        <w:rPr>
          <w:rFonts w:ascii="Garamond" w:hAnsi="Garamond"/>
          <w:szCs w:val="24"/>
        </w:rPr>
        <w:t xml:space="preserve"> water recovery target</w:t>
      </w:r>
      <w:r w:rsidR="00FF7B22" w:rsidRPr="004E4099">
        <w:rPr>
          <w:rFonts w:ascii="Garamond" w:hAnsi="Garamond"/>
          <w:szCs w:val="24"/>
        </w:rPr>
        <w:t xml:space="preserve"> does not </w:t>
      </w:r>
      <w:r w:rsidR="00761BDF" w:rsidRPr="004E4099">
        <w:rPr>
          <w:rFonts w:ascii="Garamond" w:hAnsi="Garamond"/>
          <w:szCs w:val="24"/>
        </w:rPr>
        <w:t>represent</w:t>
      </w:r>
      <w:r w:rsidR="00FF7B22" w:rsidRPr="004E4099">
        <w:rPr>
          <w:rFonts w:ascii="Garamond" w:hAnsi="Garamond"/>
          <w:szCs w:val="24"/>
        </w:rPr>
        <w:t xml:space="preserve"> an</w:t>
      </w:r>
      <w:r w:rsidR="00F663AA">
        <w:rPr>
          <w:rFonts w:ascii="Garamond" w:hAnsi="Garamond"/>
          <w:szCs w:val="24"/>
        </w:rPr>
        <w:t xml:space="preserve"> ESLT.</w:t>
      </w:r>
      <w:r w:rsidR="00FF7B22" w:rsidRPr="004E4099">
        <w:rPr>
          <w:rFonts w:ascii="Garamond" w:hAnsi="Garamond"/>
          <w:szCs w:val="24"/>
        </w:rPr>
        <w:t xml:space="preserve"> </w:t>
      </w:r>
      <w:r w:rsidR="00C47DF8" w:rsidRPr="004E4099">
        <w:rPr>
          <w:rFonts w:ascii="Garamond" w:hAnsi="Garamond"/>
          <w:szCs w:val="24"/>
        </w:rPr>
        <w:t>For example, in 2011</w:t>
      </w:r>
      <w:r w:rsidR="008D73F9" w:rsidRPr="004E4099">
        <w:rPr>
          <w:rFonts w:ascii="Garamond" w:hAnsi="Garamond"/>
          <w:szCs w:val="24"/>
        </w:rPr>
        <w:t xml:space="preserve"> the CSIRO (at the invitation of the MDBA) performed a review of the water recovery target which resulted in a report </w:t>
      </w:r>
      <w:r w:rsidR="006C64DB" w:rsidRPr="004E4099">
        <w:rPr>
          <w:rFonts w:ascii="Garamond" w:hAnsi="Garamond"/>
          <w:szCs w:val="24"/>
        </w:rPr>
        <w:t>tit</w:t>
      </w:r>
      <w:r w:rsidR="00C12F36" w:rsidRPr="004E4099">
        <w:rPr>
          <w:rFonts w:ascii="Garamond" w:hAnsi="Garamond"/>
          <w:szCs w:val="24"/>
        </w:rPr>
        <w:t>led</w:t>
      </w:r>
      <w:r w:rsidR="008D73F9" w:rsidRPr="004E4099">
        <w:rPr>
          <w:rFonts w:ascii="Garamond" w:hAnsi="Garamond"/>
          <w:szCs w:val="24"/>
        </w:rPr>
        <w:t xml:space="preserve"> “</w:t>
      </w:r>
      <w:r w:rsidR="00C12F36" w:rsidRPr="004E4099">
        <w:rPr>
          <w:rFonts w:ascii="Garamond" w:hAnsi="Garamond"/>
          <w:szCs w:val="24"/>
        </w:rPr>
        <w:t>Science Review of the Estimation of an Environmentally Sustainable Level of Take for the Murray-Darling Basin</w:t>
      </w:r>
      <w:r w:rsidR="00B67656" w:rsidRPr="004E4099">
        <w:rPr>
          <w:rFonts w:ascii="Garamond" w:hAnsi="Garamond"/>
          <w:szCs w:val="24"/>
        </w:rPr>
        <w:t>”</w:t>
      </w:r>
      <w:r w:rsidR="001C617E" w:rsidRPr="004E4099">
        <w:rPr>
          <w:rStyle w:val="FootnoteReference"/>
          <w:rFonts w:ascii="Garamond" w:hAnsi="Garamond"/>
          <w:szCs w:val="24"/>
        </w:rPr>
        <w:footnoteReference w:id="12"/>
      </w:r>
      <w:r w:rsidR="00B67656" w:rsidRPr="004E4099">
        <w:rPr>
          <w:rFonts w:ascii="Garamond" w:hAnsi="Garamond"/>
          <w:szCs w:val="24"/>
        </w:rPr>
        <w:t xml:space="preserve">. </w:t>
      </w:r>
      <w:r w:rsidR="00DE3432" w:rsidRPr="004E4099">
        <w:rPr>
          <w:rFonts w:ascii="Garamond" w:hAnsi="Garamond"/>
          <w:szCs w:val="24"/>
        </w:rPr>
        <w:t xml:space="preserve">Of the many </w:t>
      </w:r>
      <w:r w:rsidR="00C33730" w:rsidRPr="004E4099">
        <w:rPr>
          <w:rFonts w:ascii="Garamond" w:hAnsi="Garamond"/>
          <w:szCs w:val="24"/>
        </w:rPr>
        <w:t>criticisms</w:t>
      </w:r>
      <w:r w:rsidR="00DE3432" w:rsidRPr="004E4099">
        <w:rPr>
          <w:rFonts w:ascii="Garamond" w:hAnsi="Garamond"/>
          <w:szCs w:val="24"/>
        </w:rPr>
        <w:t xml:space="preserve"> of the MDBA’s </w:t>
      </w:r>
      <w:r w:rsidR="00444B5B" w:rsidRPr="004E4099">
        <w:rPr>
          <w:rFonts w:ascii="Garamond" w:hAnsi="Garamond"/>
          <w:szCs w:val="24"/>
        </w:rPr>
        <w:t>then 2800GL target for water recovery, the authors of this report stated:</w:t>
      </w:r>
    </w:p>
    <w:p w14:paraId="749D1059" w14:textId="77777777" w:rsidR="00F362E1" w:rsidRPr="004E4099" w:rsidRDefault="00F362E1" w:rsidP="00F362E1">
      <w:pPr>
        <w:pStyle w:val="ListParagraph"/>
        <w:rPr>
          <w:rFonts w:ascii="Garamond" w:hAnsi="Garamond"/>
          <w:szCs w:val="24"/>
        </w:rPr>
      </w:pPr>
    </w:p>
    <w:p w14:paraId="18EDF937" w14:textId="1D55C629" w:rsidR="00444B5B" w:rsidRPr="004E4099" w:rsidRDefault="00F520D6" w:rsidP="00444B5B">
      <w:pPr>
        <w:pStyle w:val="ListParagraph"/>
        <w:numPr>
          <w:ilvl w:val="0"/>
          <w:numId w:val="6"/>
        </w:numPr>
        <w:rPr>
          <w:rFonts w:ascii="Garamond" w:hAnsi="Garamond"/>
          <w:szCs w:val="24"/>
        </w:rPr>
      </w:pPr>
      <w:r w:rsidRPr="004E4099">
        <w:rPr>
          <w:rFonts w:ascii="Garamond" w:hAnsi="Garamond"/>
          <w:szCs w:val="24"/>
        </w:rPr>
        <w:t xml:space="preserve">Modelling data for climate change impacts to 2030 was available, </w:t>
      </w:r>
      <w:r w:rsidRPr="004E4099">
        <w:rPr>
          <w:rFonts w:ascii="Garamond" w:hAnsi="Garamond"/>
          <w:szCs w:val="24"/>
          <w:u w:val="single"/>
        </w:rPr>
        <w:t xml:space="preserve">but not </w:t>
      </w:r>
      <w:r w:rsidR="00B12912" w:rsidRPr="004E4099">
        <w:rPr>
          <w:rFonts w:ascii="Garamond" w:hAnsi="Garamond"/>
          <w:szCs w:val="24"/>
          <w:u w:val="single"/>
        </w:rPr>
        <w:t>used</w:t>
      </w:r>
      <w:r w:rsidR="00B12912" w:rsidRPr="004E4099">
        <w:rPr>
          <w:rFonts w:ascii="Garamond" w:hAnsi="Garamond"/>
          <w:szCs w:val="24"/>
        </w:rPr>
        <w:t>.</w:t>
      </w:r>
    </w:p>
    <w:p w14:paraId="705E011D" w14:textId="0FD53A22" w:rsidR="00710C32" w:rsidRPr="004E4099" w:rsidRDefault="00710C32" w:rsidP="00444B5B">
      <w:pPr>
        <w:pStyle w:val="ListParagraph"/>
        <w:numPr>
          <w:ilvl w:val="0"/>
          <w:numId w:val="6"/>
        </w:numPr>
        <w:rPr>
          <w:rFonts w:ascii="Garamond" w:hAnsi="Garamond"/>
          <w:szCs w:val="24"/>
          <w:u w:val="single"/>
        </w:rPr>
      </w:pPr>
      <w:r w:rsidRPr="004E4099">
        <w:rPr>
          <w:rFonts w:ascii="Garamond" w:hAnsi="Garamond"/>
          <w:szCs w:val="24"/>
        </w:rPr>
        <w:t xml:space="preserve">A level of take </w:t>
      </w:r>
      <w:r w:rsidRPr="004E4099">
        <w:rPr>
          <w:rFonts w:ascii="Garamond" w:hAnsi="Garamond"/>
          <w:i/>
          <w:iCs/>
          <w:szCs w:val="24"/>
        </w:rPr>
        <w:t>“represented by the 2800GL/</w:t>
      </w:r>
      <w:r w:rsidR="00B12912" w:rsidRPr="004E4099">
        <w:rPr>
          <w:rFonts w:ascii="Garamond" w:hAnsi="Garamond"/>
          <w:i/>
          <w:iCs/>
          <w:szCs w:val="24"/>
        </w:rPr>
        <w:t>yr.</w:t>
      </w:r>
      <w:r w:rsidR="00DF21B3" w:rsidRPr="004E4099">
        <w:rPr>
          <w:rFonts w:ascii="Garamond" w:hAnsi="Garamond"/>
          <w:i/>
          <w:iCs/>
          <w:szCs w:val="24"/>
        </w:rPr>
        <w:t xml:space="preserve"> is </w:t>
      </w:r>
      <w:r w:rsidR="00DF21B3" w:rsidRPr="004E4099">
        <w:rPr>
          <w:rFonts w:ascii="Garamond" w:hAnsi="Garamond"/>
          <w:i/>
          <w:iCs/>
          <w:szCs w:val="24"/>
          <w:u w:val="single"/>
        </w:rPr>
        <w:t>not consistent with the hydrologic and ecological targets”.</w:t>
      </w:r>
    </w:p>
    <w:p w14:paraId="5F4DF67D" w14:textId="6FD8B8C5" w:rsidR="00D561A1" w:rsidRPr="004E4099" w:rsidRDefault="00D561A1" w:rsidP="00444B5B">
      <w:pPr>
        <w:pStyle w:val="ListParagraph"/>
        <w:numPr>
          <w:ilvl w:val="0"/>
          <w:numId w:val="6"/>
        </w:numPr>
        <w:rPr>
          <w:rFonts w:ascii="Garamond" w:hAnsi="Garamond"/>
          <w:szCs w:val="24"/>
        </w:rPr>
      </w:pPr>
      <w:r w:rsidRPr="004E4099">
        <w:rPr>
          <w:rFonts w:ascii="Garamond" w:hAnsi="Garamond"/>
          <w:szCs w:val="24"/>
        </w:rPr>
        <w:t xml:space="preserve">A 2800GL scenario does </w:t>
      </w:r>
      <w:r w:rsidRPr="004E4099">
        <w:rPr>
          <w:rFonts w:ascii="Garamond" w:hAnsi="Garamond"/>
          <w:i/>
          <w:iCs/>
          <w:szCs w:val="24"/>
          <w:u w:val="single"/>
        </w:rPr>
        <w:t>“not achieve the majority of the hydrological targets”</w:t>
      </w:r>
      <w:r w:rsidR="0031543E" w:rsidRPr="004E4099">
        <w:rPr>
          <w:rFonts w:ascii="Garamond" w:hAnsi="Garamond"/>
          <w:szCs w:val="24"/>
        </w:rPr>
        <w:t xml:space="preserve"> and meets only </w:t>
      </w:r>
      <w:r w:rsidR="0031543E" w:rsidRPr="004E4099">
        <w:rPr>
          <w:rFonts w:ascii="Garamond" w:hAnsi="Garamond"/>
          <w:i/>
          <w:iCs/>
          <w:szCs w:val="24"/>
          <w:u w:val="single"/>
        </w:rPr>
        <w:t>“55% of the achievable targets at either “high risk” or “low risk” frequency.</w:t>
      </w:r>
      <w:r w:rsidR="00B26DBE" w:rsidRPr="004E4099">
        <w:rPr>
          <w:rFonts w:ascii="Garamond" w:hAnsi="Garamond"/>
          <w:i/>
          <w:iCs/>
          <w:szCs w:val="24"/>
          <w:u w:val="single"/>
        </w:rPr>
        <w:t>”</w:t>
      </w:r>
    </w:p>
    <w:p w14:paraId="3E8C3F2B" w14:textId="33D12D66" w:rsidR="00DF21B3" w:rsidRPr="004E4099" w:rsidRDefault="000038B2" w:rsidP="00444B5B">
      <w:pPr>
        <w:pStyle w:val="ListParagraph"/>
        <w:numPr>
          <w:ilvl w:val="0"/>
          <w:numId w:val="6"/>
        </w:numPr>
        <w:rPr>
          <w:rFonts w:ascii="Garamond" w:hAnsi="Garamond"/>
          <w:i/>
          <w:iCs/>
          <w:szCs w:val="24"/>
        </w:rPr>
      </w:pPr>
      <w:r w:rsidRPr="004E4099">
        <w:rPr>
          <w:rFonts w:ascii="Garamond" w:hAnsi="Garamond"/>
          <w:i/>
          <w:iCs/>
          <w:szCs w:val="24"/>
        </w:rPr>
        <w:t xml:space="preserve">“The modelling indicates that the proposed SDLs would be </w:t>
      </w:r>
      <w:r w:rsidRPr="004E4099">
        <w:rPr>
          <w:rFonts w:ascii="Garamond" w:hAnsi="Garamond"/>
          <w:i/>
          <w:iCs/>
          <w:szCs w:val="24"/>
          <w:u w:val="single"/>
        </w:rPr>
        <w:t>highly unlikely to meet the specified ecological targets</w:t>
      </w:r>
      <w:r w:rsidRPr="004E4099">
        <w:rPr>
          <w:rFonts w:ascii="Garamond" w:hAnsi="Garamond"/>
          <w:i/>
          <w:iCs/>
          <w:szCs w:val="24"/>
        </w:rPr>
        <w:t xml:space="preserve"> even in the absence of future climate change</w:t>
      </w:r>
      <w:r w:rsidR="00B90404" w:rsidRPr="004E4099">
        <w:rPr>
          <w:rFonts w:ascii="Garamond" w:hAnsi="Garamond"/>
          <w:i/>
          <w:iCs/>
          <w:szCs w:val="24"/>
        </w:rPr>
        <w:t>. Operational constraints are a key reason for this, but a large number of achievable targets are also not met in the modelling</w:t>
      </w:r>
      <w:r w:rsidR="00B12912" w:rsidRPr="004E4099">
        <w:rPr>
          <w:rFonts w:ascii="Garamond" w:hAnsi="Garamond"/>
          <w:i/>
          <w:iCs/>
          <w:szCs w:val="24"/>
        </w:rPr>
        <w:t>.”</w:t>
      </w:r>
    </w:p>
    <w:p w14:paraId="7836666B" w14:textId="77777777" w:rsidR="00053303" w:rsidRPr="00F663AA" w:rsidRDefault="00053303" w:rsidP="00F663AA">
      <w:pPr>
        <w:rPr>
          <w:rFonts w:ascii="Garamond" w:hAnsi="Garamond"/>
          <w:szCs w:val="24"/>
        </w:rPr>
      </w:pPr>
    </w:p>
    <w:p w14:paraId="5AA17115" w14:textId="3FC7A8DF" w:rsidR="00053303" w:rsidRPr="000425B0" w:rsidRDefault="004F18DE" w:rsidP="00760486">
      <w:pPr>
        <w:pStyle w:val="ListParagraph"/>
        <w:numPr>
          <w:ilvl w:val="0"/>
          <w:numId w:val="1"/>
        </w:numPr>
        <w:rPr>
          <w:rFonts w:ascii="Garamond" w:hAnsi="Garamond"/>
          <w:szCs w:val="24"/>
          <w:u w:val="single"/>
        </w:rPr>
      </w:pPr>
      <w:r w:rsidRPr="000425B0">
        <w:rPr>
          <w:rFonts w:ascii="Garamond" w:hAnsi="Garamond"/>
          <w:szCs w:val="24"/>
          <w:u w:val="single"/>
        </w:rPr>
        <w:t xml:space="preserve">The Productivity Commission should make the same findings as Commissioner Bret Walker SC at 5.5 of in his Murray Darling Basin Royal Commission Report (RC Report, p 54) (January 2019) – that is, in “determining the Basin-wide ESLT and then SDL, the MDBA failed to act on the best available scientific knowledge”. </w:t>
      </w:r>
      <w:r w:rsidR="000425B0">
        <w:rPr>
          <w:rFonts w:ascii="Garamond" w:hAnsi="Garamond"/>
          <w:szCs w:val="24"/>
          <w:u w:val="single"/>
        </w:rPr>
        <w:t xml:space="preserve">In short, the ESLT does not reflect best science. </w:t>
      </w:r>
      <w:r w:rsidR="006F2A00" w:rsidRPr="000425B0">
        <w:rPr>
          <w:rFonts w:ascii="Garamond" w:hAnsi="Garamond"/>
          <w:szCs w:val="24"/>
          <w:u w:val="single"/>
        </w:rPr>
        <w:t>It should recommend new determinations be done according to law.</w:t>
      </w:r>
    </w:p>
    <w:p w14:paraId="0F371B88" w14:textId="77777777" w:rsidR="006F2A00" w:rsidRPr="006F2A00" w:rsidRDefault="006F2A00" w:rsidP="006F2A00">
      <w:pPr>
        <w:rPr>
          <w:rFonts w:ascii="Garamond" w:hAnsi="Garamond"/>
          <w:szCs w:val="24"/>
        </w:rPr>
      </w:pPr>
    </w:p>
    <w:p w14:paraId="7C527E7F" w14:textId="58968CB2" w:rsidR="004E4099" w:rsidRPr="00F663AA" w:rsidRDefault="004E4099" w:rsidP="004E4099">
      <w:pPr>
        <w:rPr>
          <w:rFonts w:ascii="Garamond" w:hAnsi="Garamond"/>
          <w:i/>
          <w:iCs/>
          <w:szCs w:val="24"/>
        </w:rPr>
      </w:pPr>
      <w:r w:rsidRPr="00F663AA">
        <w:rPr>
          <w:rFonts w:ascii="Garamond" w:hAnsi="Garamond"/>
          <w:i/>
          <w:iCs/>
          <w:szCs w:val="24"/>
        </w:rPr>
        <w:t xml:space="preserve">SDL Adjustment </w:t>
      </w:r>
      <w:r w:rsidR="00F663AA">
        <w:rPr>
          <w:rFonts w:ascii="Garamond" w:hAnsi="Garamond"/>
          <w:i/>
          <w:iCs/>
          <w:szCs w:val="24"/>
        </w:rPr>
        <w:t>does not reflect best science</w:t>
      </w:r>
    </w:p>
    <w:p w14:paraId="47E36076" w14:textId="78F86BC6" w:rsidR="00C065A5" w:rsidRDefault="006F2A00" w:rsidP="004E4099">
      <w:pPr>
        <w:pStyle w:val="ListParagraph"/>
        <w:numPr>
          <w:ilvl w:val="0"/>
          <w:numId w:val="1"/>
        </w:numPr>
        <w:rPr>
          <w:rFonts w:ascii="Garamond" w:hAnsi="Garamond"/>
          <w:szCs w:val="24"/>
        </w:rPr>
      </w:pPr>
      <w:r>
        <w:rPr>
          <w:rFonts w:ascii="Garamond" w:hAnsi="Garamond"/>
          <w:szCs w:val="24"/>
        </w:rPr>
        <w:t xml:space="preserve">This part of the submission relates to Chapter 7 of the Basin Plan, and Schedules 6 to 6A. The Productivity Commission is well acquainted with the SDL Adjustment mechanism which, through “supply measures”, </w:t>
      </w:r>
      <w:r w:rsidR="00C065A5">
        <w:rPr>
          <w:rFonts w:ascii="Garamond" w:hAnsi="Garamond"/>
          <w:szCs w:val="24"/>
        </w:rPr>
        <w:t>mean 605GL (or perhaps 543GL) of water need not be recovered for the environment due to asserted “environmental equivalency”.</w:t>
      </w:r>
    </w:p>
    <w:p w14:paraId="6D4B941F" w14:textId="77777777" w:rsidR="00C065A5" w:rsidRDefault="00C065A5" w:rsidP="00C065A5">
      <w:pPr>
        <w:pStyle w:val="ListParagraph"/>
        <w:rPr>
          <w:rFonts w:ascii="Garamond" w:hAnsi="Garamond"/>
          <w:szCs w:val="24"/>
        </w:rPr>
      </w:pPr>
    </w:p>
    <w:p w14:paraId="3BFFB9A1" w14:textId="0A150751" w:rsidR="004E4099" w:rsidRDefault="00C065A5" w:rsidP="00C065A5">
      <w:pPr>
        <w:pStyle w:val="ListParagraph"/>
        <w:numPr>
          <w:ilvl w:val="0"/>
          <w:numId w:val="1"/>
        </w:numPr>
        <w:rPr>
          <w:rFonts w:ascii="Garamond" w:hAnsi="Garamond"/>
          <w:szCs w:val="24"/>
        </w:rPr>
      </w:pPr>
      <w:r>
        <w:rPr>
          <w:rFonts w:ascii="Garamond" w:hAnsi="Garamond"/>
          <w:szCs w:val="24"/>
        </w:rPr>
        <w:t xml:space="preserve">The best thing that can be said about the SDL </w:t>
      </w:r>
      <w:r w:rsidR="00F663AA">
        <w:rPr>
          <w:rFonts w:ascii="Garamond" w:hAnsi="Garamond"/>
          <w:szCs w:val="24"/>
        </w:rPr>
        <w:t>A</w:t>
      </w:r>
      <w:r>
        <w:rPr>
          <w:rFonts w:ascii="Garamond" w:hAnsi="Garamond"/>
          <w:szCs w:val="24"/>
        </w:rPr>
        <w:t xml:space="preserve">djustment for supply </w:t>
      </w:r>
      <w:r w:rsidR="004F18DE">
        <w:rPr>
          <w:rFonts w:ascii="Garamond" w:hAnsi="Garamond"/>
          <w:szCs w:val="24"/>
        </w:rPr>
        <w:t>measures</w:t>
      </w:r>
      <w:r>
        <w:rPr>
          <w:rFonts w:ascii="Garamond" w:hAnsi="Garamond"/>
          <w:szCs w:val="24"/>
        </w:rPr>
        <w:t xml:space="preserve"> is that it is a good thing that the Basin Plan is adjustable. Nothing else about it is good, or lawful, or could be said to “reflect” the best available science. It could otherwise be described as some kind of “pea and thimble” trick with the environment, or probably more accurately a fraud</w:t>
      </w:r>
      <w:r w:rsidR="00F663AA">
        <w:rPr>
          <w:rFonts w:ascii="Garamond" w:hAnsi="Garamond"/>
          <w:szCs w:val="24"/>
        </w:rPr>
        <w:t xml:space="preserve"> on </w:t>
      </w:r>
      <w:r w:rsidR="000425B0">
        <w:rPr>
          <w:rFonts w:ascii="Garamond" w:hAnsi="Garamond"/>
          <w:szCs w:val="24"/>
        </w:rPr>
        <w:t>i</w:t>
      </w:r>
      <w:r w:rsidR="004F18DE">
        <w:rPr>
          <w:rFonts w:ascii="Garamond" w:hAnsi="Garamond"/>
          <w:szCs w:val="24"/>
        </w:rPr>
        <w:t>t</w:t>
      </w:r>
      <w:r>
        <w:rPr>
          <w:rFonts w:ascii="Garamond" w:hAnsi="Garamond"/>
          <w:szCs w:val="24"/>
        </w:rPr>
        <w:t>. That word is used in the full understanding and broadest sense of that word.</w:t>
      </w:r>
    </w:p>
    <w:p w14:paraId="7614623A" w14:textId="77777777" w:rsidR="00C065A5" w:rsidRPr="00C065A5" w:rsidRDefault="00C065A5" w:rsidP="00C065A5">
      <w:pPr>
        <w:rPr>
          <w:rFonts w:ascii="Garamond" w:hAnsi="Garamond"/>
          <w:szCs w:val="24"/>
        </w:rPr>
      </w:pPr>
    </w:p>
    <w:p w14:paraId="5C81310D" w14:textId="37CB6447" w:rsidR="004E4099" w:rsidRPr="004E4099" w:rsidRDefault="004E4099" w:rsidP="004E4099">
      <w:pPr>
        <w:pStyle w:val="ListParagraph"/>
        <w:numPr>
          <w:ilvl w:val="0"/>
          <w:numId w:val="1"/>
        </w:numPr>
        <w:rPr>
          <w:rFonts w:ascii="Garamond" w:hAnsi="Garamond"/>
          <w:szCs w:val="24"/>
        </w:rPr>
      </w:pPr>
      <w:r w:rsidRPr="004E4099">
        <w:rPr>
          <w:rFonts w:ascii="Garamond" w:hAnsi="Garamond"/>
          <w:szCs w:val="24"/>
        </w:rPr>
        <w:t xml:space="preserve">The SDL Adjustment mechanism is an idea or “concept.” Whatever word is picked, at the level of concept, using less water for the same environmental outcomes is obviously a good thing if it can be achieved. A mechanism for water recovery under the Plan to be adaptable is also potentially of benefit. The SDL Adjustment mechanism however cannot properly be described even as a scientific “hypothesis,” much less a theory, as it appears only to be </w:t>
      </w:r>
      <w:r w:rsidRPr="004E4099">
        <w:rPr>
          <w:rFonts w:ascii="Garamond" w:hAnsi="Garamond"/>
          <w:szCs w:val="24"/>
        </w:rPr>
        <w:lastRenderedPageBreak/>
        <w:t>based on certain modelling outcomes, not (and contrary to the Basin Plan) actual empirical observations</w:t>
      </w:r>
      <w:r w:rsidRPr="004E4099">
        <w:rPr>
          <w:rStyle w:val="FootnoteReference"/>
          <w:rFonts w:ascii="Garamond" w:hAnsi="Garamond"/>
          <w:szCs w:val="24"/>
        </w:rPr>
        <w:footnoteReference w:id="13"/>
      </w:r>
      <w:r w:rsidRPr="004E4099">
        <w:rPr>
          <w:rFonts w:ascii="Garamond" w:hAnsi="Garamond"/>
          <w:szCs w:val="24"/>
        </w:rPr>
        <w:t xml:space="preserve">. As such, any contention that it </w:t>
      </w:r>
      <w:r w:rsidR="000425B0">
        <w:rPr>
          <w:rFonts w:ascii="Garamond" w:hAnsi="Garamond"/>
          <w:szCs w:val="24"/>
        </w:rPr>
        <w:t>reflects</w:t>
      </w:r>
      <w:r w:rsidRPr="004E4099">
        <w:rPr>
          <w:rFonts w:ascii="Garamond" w:hAnsi="Garamond"/>
          <w:szCs w:val="24"/>
        </w:rPr>
        <w:t xml:space="preserve"> “best available scientific knowledge” (</w:t>
      </w:r>
      <w:r w:rsidR="000425B0">
        <w:rPr>
          <w:rFonts w:ascii="Garamond" w:hAnsi="Garamond"/>
          <w:szCs w:val="24"/>
        </w:rPr>
        <w:t>or is</w:t>
      </w:r>
      <w:r w:rsidRPr="004E4099">
        <w:rPr>
          <w:rFonts w:ascii="Garamond" w:hAnsi="Garamond"/>
          <w:szCs w:val="24"/>
        </w:rPr>
        <w:t xml:space="preserve"> lawful) is currently an impossible assertion to make good. The SDL Adjustment on its own risks both the ecological and legal legitimacy of the Basin Plan.</w:t>
      </w:r>
    </w:p>
    <w:p w14:paraId="63439836" w14:textId="77777777" w:rsidR="004E4099" w:rsidRPr="004E4099" w:rsidRDefault="004E4099" w:rsidP="004E4099">
      <w:pPr>
        <w:pStyle w:val="ListParagraph"/>
        <w:rPr>
          <w:rFonts w:ascii="Garamond" w:hAnsi="Garamond"/>
          <w:szCs w:val="24"/>
        </w:rPr>
      </w:pPr>
    </w:p>
    <w:p w14:paraId="33333D50" w14:textId="77777777" w:rsidR="004E4099" w:rsidRPr="004E4099" w:rsidRDefault="004E4099" w:rsidP="004E4099">
      <w:pPr>
        <w:pStyle w:val="ListParagraph"/>
        <w:numPr>
          <w:ilvl w:val="0"/>
          <w:numId w:val="1"/>
        </w:numPr>
        <w:rPr>
          <w:rFonts w:ascii="Garamond" w:hAnsi="Garamond"/>
          <w:szCs w:val="24"/>
        </w:rPr>
      </w:pPr>
      <w:r w:rsidRPr="004E4099">
        <w:rPr>
          <w:rFonts w:ascii="Garamond" w:hAnsi="Garamond"/>
          <w:szCs w:val="24"/>
        </w:rPr>
        <w:t>The 605GL SDL Adjustment is founded on, in large part, an “Ecological Elements Method”. An increase in sustainable diversion limits as a result of the various supply measure projects must have “equivalent environmental outcomes” compared with “benchmark environmental outcomes”: section 7.15 of the Basin Plan. The benchmark environmental outcomes are assessed on model runs following the assessment of “benchmark conditions of development.” A model run comparing the “benchmark environmental outcomes” is compared to a model run which includes an SDL adjustment for the supply measure contributions. The comparison is conducted using ecologically weighted “scores” using twelve ecological elements: four waterbirds, two fish species, and six “vegetative elements.”</w:t>
      </w:r>
    </w:p>
    <w:p w14:paraId="5FFE789E" w14:textId="77777777" w:rsidR="004E4099" w:rsidRPr="004D4820" w:rsidRDefault="004E4099" w:rsidP="004D4820">
      <w:pPr>
        <w:rPr>
          <w:rFonts w:ascii="Garamond" w:hAnsi="Garamond"/>
          <w:szCs w:val="24"/>
        </w:rPr>
      </w:pPr>
    </w:p>
    <w:p w14:paraId="40662B00" w14:textId="7C06C623" w:rsidR="004E4099" w:rsidRPr="004E4099" w:rsidRDefault="000425B0" w:rsidP="004E4099">
      <w:pPr>
        <w:pStyle w:val="ListParagraph"/>
        <w:numPr>
          <w:ilvl w:val="0"/>
          <w:numId w:val="1"/>
        </w:numPr>
        <w:rPr>
          <w:rFonts w:ascii="Garamond" w:hAnsi="Garamond"/>
          <w:szCs w:val="24"/>
        </w:rPr>
      </w:pPr>
      <w:r w:rsidRPr="000425B0">
        <w:rPr>
          <w:rFonts w:ascii="Garamond" w:hAnsi="Garamond"/>
          <w:szCs w:val="24"/>
          <w:u w:val="single"/>
        </w:rPr>
        <w:t xml:space="preserve">The Commission should recommend the repeal of </w:t>
      </w:r>
      <w:r w:rsidR="004D4820" w:rsidRPr="000425B0">
        <w:rPr>
          <w:rFonts w:ascii="Garamond" w:hAnsi="Garamond"/>
          <w:szCs w:val="24"/>
          <w:u w:val="single"/>
        </w:rPr>
        <w:t>Schedule 6 of the Basin Plan</w:t>
      </w:r>
      <w:r w:rsidR="004D4820">
        <w:rPr>
          <w:rFonts w:ascii="Garamond" w:hAnsi="Garamond"/>
          <w:szCs w:val="24"/>
        </w:rPr>
        <w:t xml:space="preserve">. Putting it most politely, legislating </w:t>
      </w:r>
      <w:r w:rsidR="004E4099" w:rsidRPr="004E4099">
        <w:rPr>
          <w:rFonts w:ascii="Garamond" w:hAnsi="Garamond"/>
          <w:szCs w:val="24"/>
        </w:rPr>
        <w:t xml:space="preserve">complex and uncertain “science” </w:t>
      </w:r>
      <w:r w:rsidR="004D4820">
        <w:rPr>
          <w:rFonts w:ascii="Garamond" w:hAnsi="Garamond"/>
          <w:szCs w:val="24"/>
        </w:rPr>
        <w:t xml:space="preserve">is unwise. </w:t>
      </w:r>
      <w:r w:rsidR="004E4099" w:rsidRPr="004E4099">
        <w:rPr>
          <w:rFonts w:ascii="Garamond" w:hAnsi="Garamond"/>
          <w:szCs w:val="24"/>
        </w:rPr>
        <w:t xml:space="preserve">What has been legislated more than risks being described as incomprehensible. Whether or not what has been legislated is </w:t>
      </w:r>
      <w:r w:rsidR="004D4820">
        <w:rPr>
          <w:rFonts w:ascii="Garamond" w:hAnsi="Garamond"/>
          <w:szCs w:val="24"/>
        </w:rPr>
        <w:t xml:space="preserve">best </w:t>
      </w:r>
      <w:r w:rsidR="004E4099" w:rsidRPr="004E4099">
        <w:rPr>
          <w:rFonts w:ascii="Garamond" w:hAnsi="Garamond"/>
          <w:szCs w:val="24"/>
        </w:rPr>
        <w:t>science, or only something masquerading as science, no one really seems to know. Not even scientists, as is made clear from what follows.</w:t>
      </w:r>
    </w:p>
    <w:p w14:paraId="2A8C8488" w14:textId="77777777" w:rsidR="004E4099" w:rsidRPr="004E4099" w:rsidRDefault="004E4099" w:rsidP="004E4099">
      <w:pPr>
        <w:pStyle w:val="ListParagraph"/>
        <w:rPr>
          <w:rFonts w:ascii="Garamond" w:hAnsi="Garamond"/>
          <w:szCs w:val="24"/>
        </w:rPr>
      </w:pPr>
    </w:p>
    <w:p w14:paraId="6BC50D9A" w14:textId="77777777" w:rsidR="004E4099" w:rsidRPr="004E4099" w:rsidRDefault="004E4099" w:rsidP="004E4099">
      <w:pPr>
        <w:pStyle w:val="ListParagraph"/>
        <w:numPr>
          <w:ilvl w:val="0"/>
          <w:numId w:val="1"/>
        </w:numPr>
        <w:rPr>
          <w:rFonts w:ascii="Garamond" w:hAnsi="Garamond"/>
          <w:szCs w:val="24"/>
        </w:rPr>
      </w:pPr>
      <w:r w:rsidRPr="004E4099">
        <w:rPr>
          <w:rFonts w:ascii="Garamond" w:hAnsi="Garamond"/>
          <w:szCs w:val="24"/>
        </w:rPr>
        <w:t xml:space="preserve">Reports commissioned to support the Ecological Elements Method are highly qualified. Brewsher Consulting conducted one </w:t>
      </w:r>
      <w:proofErr w:type="gramStart"/>
      <w:r w:rsidRPr="004E4099">
        <w:rPr>
          <w:rFonts w:ascii="Garamond" w:hAnsi="Garamond"/>
          <w:szCs w:val="24"/>
        </w:rPr>
        <w:t>review, and</w:t>
      </w:r>
      <w:proofErr w:type="gramEnd"/>
      <w:r w:rsidRPr="004E4099">
        <w:rPr>
          <w:rFonts w:ascii="Garamond" w:hAnsi="Garamond"/>
          <w:szCs w:val="24"/>
        </w:rPr>
        <w:t xml:space="preserve"> expressed the opinion that the models used had been operated in accordance with Schedule 6 of the Basin Plan. This is hardly of comfort, given that their review expressly </w:t>
      </w:r>
      <w:r w:rsidRPr="004E4099">
        <w:rPr>
          <w:rFonts w:ascii="Garamond" w:hAnsi="Garamond"/>
          <w:szCs w:val="24"/>
          <w:u w:val="single"/>
        </w:rPr>
        <w:t>excluded</w:t>
      </w:r>
      <w:r w:rsidRPr="004E4099">
        <w:rPr>
          <w:rFonts w:ascii="Garamond" w:hAnsi="Garamond"/>
          <w:szCs w:val="24"/>
        </w:rPr>
        <w:t xml:space="preserve"> the components of the modelling</w:t>
      </w:r>
      <w:r w:rsidRPr="004E4099">
        <w:rPr>
          <w:rStyle w:val="FootnoteReference"/>
          <w:rFonts w:ascii="Garamond" w:hAnsi="Garamond"/>
          <w:szCs w:val="24"/>
        </w:rPr>
        <w:footnoteReference w:id="14"/>
      </w:r>
      <w:r w:rsidRPr="004E4099">
        <w:rPr>
          <w:rFonts w:ascii="Garamond" w:hAnsi="Garamond"/>
          <w:szCs w:val="24"/>
        </w:rPr>
        <w:t xml:space="preserve">. A computer model might be fine as a form of simplification of reality, but the inputs should be disclosed. A second independent review panel concluded that the Ecological Elements Method was defensible and fit for purpose within the limits of its terms of reference. However – and this is crucial both legally and environmentally – it described the method as </w:t>
      </w:r>
      <w:r w:rsidRPr="004E4099">
        <w:rPr>
          <w:rFonts w:ascii="Garamond" w:hAnsi="Garamond"/>
          <w:i/>
          <w:iCs/>
          <w:szCs w:val="24"/>
        </w:rPr>
        <w:t>“novel and untried,”</w:t>
      </w:r>
      <w:r w:rsidRPr="004E4099">
        <w:rPr>
          <w:rFonts w:ascii="Garamond" w:hAnsi="Garamond"/>
          <w:szCs w:val="24"/>
        </w:rPr>
        <w:t xml:space="preserve"> </w:t>
      </w:r>
      <w:r w:rsidRPr="004E4099">
        <w:rPr>
          <w:rFonts w:ascii="Garamond" w:hAnsi="Garamond"/>
          <w:i/>
          <w:iCs/>
          <w:szCs w:val="24"/>
        </w:rPr>
        <w:t>“without precedent,”</w:t>
      </w:r>
      <w:r w:rsidRPr="004E4099">
        <w:rPr>
          <w:rFonts w:ascii="Garamond" w:hAnsi="Garamond"/>
          <w:szCs w:val="24"/>
        </w:rPr>
        <w:t xml:space="preserve"> and one in which </w:t>
      </w:r>
      <w:r w:rsidRPr="004E4099">
        <w:rPr>
          <w:rFonts w:ascii="Garamond" w:hAnsi="Garamond"/>
          <w:i/>
          <w:iCs/>
          <w:szCs w:val="24"/>
        </w:rPr>
        <w:t xml:space="preserve">“no one should assume that the adoption </w:t>
      </w:r>
      <w:r w:rsidRPr="004E4099">
        <w:rPr>
          <w:rFonts w:ascii="Garamond" w:hAnsi="Garamond"/>
          <w:i/>
          <w:iCs/>
          <w:szCs w:val="24"/>
        </w:rPr>
        <w:lastRenderedPageBreak/>
        <w:t xml:space="preserve">of the </w:t>
      </w:r>
      <w:r w:rsidRPr="004E4099">
        <w:rPr>
          <w:rFonts w:ascii="Garamond" w:hAnsi="Garamond"/>
          <w:szCs w:val="24"/>
        </w:rPr>
        <w:t>[method]</w:t>
      </w:r>
      <w:r w:rsidRPr="004E4099">
        <w:rPr>
          <w:rFonts w:ascii="Garamond" w:hAnsi="Garamond"/>
          <w:i/>
          <w:iCs/>
          <w:szCs w:val="24"/>
        </w:rPr>
        <w:t xml:space="preserve"> is without significant uncertainty or risk”</w:t>
      </w:r>
      <w:r w:rsidRPr="004E4099">
        <w:rPr>
          <w:rStyle w:val="FootnoteReference"/>
          <w:rFonts w:ascii="Garamond" w:hAnsi="Garamond"/>
          <w:szCs w:val="24"/>
        </w:rPr>
        <w:footnoteReference w:id="15"/>
      </w:r>
      <w:r w:rsidRPr="004E4099">
        <w:rPr>
          <w:rFonts w:ascii="Garamond" w:hAnsi="Garamond"/>
          <w:szCs w:val="24"/>
        </w:rPr>
        <w:t xml:space="preserve">, that is based on a </w:t>
      </w:r>
      <w:r w:rsidRPr="004E4099">
        <w:rPr>
          <w:rFonts w:ascii="Garamond" w:hAnsi="Garamond"/>
          <w:i/>
          <w:iCs/>
          <w:szCs w:val="24"/>
        </w:rPr>
        <w:t>“limited”</w:t>
      </w:r>
      <w:r w:rsidRPr="004E4099">
        <w:rPr>
          <w:rFonts w:ascii="Garamond" w:hAnsi="Garamond"/>
          <w:szCs w:val="24"/>
        </w:rPr>
        <w:t xml:space="preserve"> state of scientific knowledge.  A separate expert advisory panel said there was a </w:t>
      </w:r>
      <w:r w:rsidRPr="004E4099">
        <w:rPr>
          <w:rFonts w:ascii="Garamond" w:hAnsi="Garamond"/>
          <w:i/>
          <w:iCs/>
          <w:szCs w:val="24"/>
        </w:rPr>
        <w:t>“substantial error space”</w:t>
      </w:r>
      <w:r w:rsidRPr="004E4099">
        <w:rPr>
          <w:rFonts w:ascii="Garamond" w:hAnsi="Garamond"/>
          <w:szCs w:val="24"/>
        </w:rPr>
        <w:t xml:space="preserve"> inherent in the model used which was </w:t>
      </w:r>
      <w:r w:rsidRPr="004E4099">
        <w:rPr>
          <w:rFonts w:ascii="Garamond" w:hAnsi="Garamond"/>
          <w:i/>
          <w:iCs/>
          <w:szCs w:val="24"/>
        </w:rPr>
        <w:t>“heavily reliant on expert judgments”</w:t>
      </w:r>
      <w:r w:rsidRPr="004E4099">
        <w:rPr>
          <w:rFonts w:ascii="Garamond" w:hAnsi="Garamond"/>
          <w:szCs w:val="24"/>
        </w:rPr>
        <w:t xml:space="preserve"> and </w:t>
      </w:r>
      <w:r w:rsidRPr="004E4099">
        <w:rPr>
          <w:rFonts w:ascii="Garamond" w:hAnsi="Garamond"/>
          <w:i/>
          <w:iCs/>
          <w:szCs w:val="24"/>
        </w:rPr>
        <w:t>“only partly based on knowledge of robust providence.”</w:t>
      </w:r>
      <w:r w:rsidRPr="004E4099">
        <w:rPr>
          <w:rStyle w:val="FootnoteReference"/>
          <w:rFonts w:ascii="Garamond" w:hAnsi="Garamond"/>
          <w:szCs w:val="24"/>
        </w:rPr>
        <w:footnoteReference w:id="16"/>
      </w:r>
    </w:p>
    <w:p w14:paraId="01A7AFA1" w14:textId="77777777" w:rsidR="004E4099" w:rsidRPr="004E4099" w:rsidRDefault="004E4099" w:rsidP="004E4099">
      <w:pPr>
        <w:pStyle w:val="ListParagraph"/>
        <w:rPr>
          <w:rFonts w:ascii="Garamond" w:hAnsi="Garamond"/>
          <w:szCs w:val="24"/>
        </w:rPr>
      </w:pPr>
    </w:p>
    <w:p w14:paraId="19096F82" w14:textId="1C179416" w:rsidR="004E4099" w:rsidRPr="004E4099" w:rsidRDefault="004E4099" w:rsidP="004E4099">
      <w:pPr>
        <w:pStyle w:val="ListParagraph"/>
        <w:numPr>
          <w:ilvl w:val="0"/>
          <w:numId w:val="1"/>
        </w:numPr>
        <w:rPr>
          <w:rFonts w:ascii="Garamond" w:hAnsi="Garamond"/>
          <w:szCs w:val="24"/>
        </w:rPr>
      </w:pPr>
      <w:r w:rsidRPr="004E4099">
        <w:rPr>
          <w:rFonts w:ascii="Garamond" w:hAnsi="Garamond"/>
          <w:szCs w:val="24"/>
        </w:rPr>
        <w:t xml:space="preserve">If the above is not sufficient to sound the alarm on the SDL Adjustment as not </w:t>
      </w:r>
      <w:r w:rsidR="004D4820">
        <w:rPr>
          <w:rFonts w:ascii="Garamond" w:hAnsi="Garamond"/>
          <w:szCs w:val="24"/>
        </w:rPr>
        <w:t>reflecting anything that could be described as best science</w:t>
      </w:r>
      <w:r w:rsidRPr="004E4099">
        <w:rPr>
          <w:rFonts w:ascii="Garamond" w:hAnsi="Garamond"/>
          <w:szCs w:val="24"/>
        </w:rPr>
        <w:t xml:space="preserve">, there is currently no available report, or independent review, which provides support for the volumetric change to the water recovery target under the Basin Plan as a result of the adjustment. That is, there is </w:t>
      </w:r>
      <w:proofErr w:type="gramStart"/>
      <w:r w:rsidRPr="004E4099">
        <w:rPr>
          <w:rFonts w:ascii="Garamond" w:hAnsi="Garamond"/>
          <w:szCs w:val="24"/>
        </w:rPr>
        <w:t>no</w:t>
      </w:r>
      <w:proofErr w:type="gramEnd"/>
      <w:r w:rsidRPr="004E4099">
        <w:rPr>
          <w:rFonts w:ascii="Garamond" w:hAnsi="Garamond"/>
          <w:szCs w:val="24"/>
        </w:rPr>
        <w:t xml:space="preserve"> publicly available or tested science that supports the 605GL figure. A volume which could have been written on the back of an envelope.</w:t>
      </w:r>
      <w:r w:rsidRPr="004E4099">
        <w:rPr>
          <w:rStyle w:val="FootnoteReference"/>
          <w:rFonts w:ascii="Garamond" w:hAnsi="Garamond"/>
          <w:szCs w:val="24"/>
        </w:rPr>
        <w:footnoteReference w:id="17"/>
      </w:r>
    </w:p>
    <w:p w14:paraId="171729B1" w14:textId="77777777" w:rsidR="004E4099" w:rsidRPr="004D4820" w:rsidRDefault="004E4099" w:rsidP="004D4820">
      <w:pPr>
        <w:rPr>
          <w:rFonts w:ascii="Garamond" w:hAnsi="Garamond"/>
          <w:szCs w:val="24"/>
        </w:rPr>
      </w:pPr>
    </w:p>
    <w:p w14:paraId="0F27C4A4" w14:textId="3D4A9022" w:rsidR="00C065A5" w:rsidRDefault="004E4099" w:rsidP="00C065A5">
      <w:pPr>
        <w:pStyle w:val="ListParagraph"/>
        <w:numPr>
          <w:ilvl w:val="0"/>
          <w:numId w:val="1"/>
        </w:numPr>
        <w:rPr>
          <w:rFonts w:ascii="Garamond" w:hAnsi="Garamond"/>
          <w:szCs w:val="24"/>
        </w:rPr>
      </w:pPr>
      <w:r w:rsidRPr="00C065A5">
        <w:rPr>
          <w:rFonts w:ascii="Garamond" w:hAnsi="Garamond"/>
          <w:szCs w:val="24"/>
        </w:rPr>
        <w:t xml:space="preserve">It may be that one day the uncertainties in the Ecological Elements Method will be reduced.  With improved science, maybe, one day, some iteration of it might constitute “best available scientific knowledge.”  The fact is, for now, it represents no more than a speculative hope and an uncertain experiment with the environment.  It is untenable to suggest that such an approach is countenanced by the </w:t>
      </w:r>
      <w:r w:rsidRPr="000425B0">
        <w:rPr>
          <w:rFonts w:ascii="Garamond" w:hAnsi="Garamond"/>
          <w:szCs w:val="24"/>
        </w:rPr>
        <w:t>Water Act.</w:t>
      </w:r>
      <w:r w:rsidRPr="00C065A5">
        <w:rPr>
          <w:rFonts w:ascii="Garamond" w:hAnsi="Garamond"/>
          <w:szCs w:val="24"/>
        </w:rPr>
        <w:t xml:space="preserve"> </w:t>
      </w:r>
      <w:r w:rsidR="004D4820">
        <w:rPr>
          <w:rFonts w:ascii="Garamond" w:hAnsi="Garamond"/>
          <w:szCs w:val="24"/>
        </w:rPr>
        <w:t xml:space="preserve">It should shock nobody that in his Royal Commission Report </w:t>
      </w:r>
      <w:r w:rsidRPr="00C065A5">
        <w:rPr>
          <w:rFonts w:ascii="Garamond" w:hAnsi="Garamond"/>
          <w:szCs w:val="24"/>
        </w:rPr>
        <w:t>Commissioner Walker SC found Ch 7 and Schedules 6 and 6A of the Basin Plan to be “an attempt to put into legislative form a complex, and distinctly imperfect, scientific procedure”.</w:t>
      </w:r>
      <w:r w:rsidRPr="004E4099">
        <w:rPr>
          <w:rStyle w:val="FootnoteReference"/>
          <w:rFonts w:ascii="Garamond" w:hAnsi="Garamond"/>
          <w:szCs w:val="24"/>
        </w:rPr>
        <w:footnoteReference w:id="18"/>
      </w:r>
      <w:r w:rsidRPr="00C065A5">
        <w:rPr>
          <w:rFonts w:ascii="Garamond" w:hAnsi="Garamond"/>
          <w:szCs w:val="24"/>
        </w:rPr>
        <w:t xml:space="preserve">  He found that the </w:t>
      </w:r>
      <w:r w:rsidR="000425B0">
        <w:rPr>
          <w:rFonts w:ascii="Garamond" w:hAnsi="Garamond"/>
          <w:szCs w:val="24"/>
        </w:rPr>
        <w:t>E</w:t>
      </w:r>
      <w:r w:rsidRPr="00C065A5">
        <w:rPr>
          <w:rFonts w:ascii="Garamond" w:hAnsi="Garamond"/>
          <w:szCs w:val="24"/>
        </w:rPr>
        <w:t xml:space="preserve">cological </w:t>
      </w:r>
      <w:r w:rsidR="000425B0">
        <w:rPr>
          <w:rFonts w:ascii="Garamond" w:hAnsi="Garamond"/>
          <w:szCs w:val="24"/>
        </w:rPr>
        <w:t>E</w:t>
      </w:r>
      <w:r w:rsidRPr="00C065A5">
        <w:rPr>
          <w:rFonts w:ascii="Garamond" w:hAnsi="Garamond"/>
          <w:szCs w:val="24"/>
        </w:rPr>
        <w:t xml:space="preserve">lement </w:t>
      </w:r>
      <w:r w:rsidR="000425B0">
        <w:rPr>
          <w:rFonts w:ascii="Garamond" w:hAnsi="Garamond"/>
          <w:szCs w:val="24"/>
        </w:rPr>
        <w:t>M</w:t>
      </w:r>
      <w:r w:rsidRPr="00C065A5">
        <w:rPr>
          <w:rFonts w:ascii="Garamond" w:hAnsi="Garamond"/>
          <w:szCs w:val="24"/>
        </w:rPr>
        <w:t>ethod in Schedule 6 of the Basin Plan had “alarming shortcomings”</w:t>
      </w:r>
      <w:r w:rsidR="004D4820">
        <w:rPr>
          <w:rFonts w:ascii="Garamond" w:hAnsi="Garamond"/>
          <w:szCs w:val="24"/>
        </w:rPr>
        <w:t>, and</w:t>
      </w:r>
      <w:r w:rsidRPr="00C065A5">
        <w:rPr>
          <w:rFonts w:ascii="Garamond" w:hAnsi="Garamond"/>
          <w:szCs w:val="24"/>
        </w:rPr>
        <w:t xml:space="preserve"> the supply measure contribution to be “the result of a highly uncertain experiment with the environment to the Basin … that is not consistent with the requirements of the </w:t>
      </w:r>
      <w:r w:rsidRPr="00C065A5">
        <w:rPr>
          <w:rFonts w:ascii="Garamond" w:hAnsi="Garamond"/>
          <w:i/>
          <w:iCs/>
          <w:szCs w:val="24"/>
        </w:rPr>
        <w:t>Water Act</w:t>
      </w:r>
      <w:r w:rsidRPr="00C065A5">
        <w:rPr>
          <w:rFonts w:ascii="Garamond" w:hAnsi="Garamond"/>
          <w:szCs w:val="24"/>
        </w:rPr>
        <w:t>”.</w:t>
      </w:r>
      <w:r w:rsidRPr="004E4099">
        <w:rPr>
          <w:rStyle w:val="FootnoteReference"/>
          <w:rFonts w:ascii="Garamond" w:hAnsi="Garamond"/>
          <w:szCs w:val="24"/>
        </w:rPr>
        <w:footnoteReference w:id="19"/>
      </w:r>
      <w:r w:rsidRPr="00C065A5">
        <w:rPr>
          <w:rFonts w:ascii="Garamond" w:hAnsi="Garamond"/>
          <w:szCs w:val="24"/>
        </w:rPr>
        <w:t xml:space="preserve"> </w:t>
      </w:r>
      <w:r w:rsidR="004D4820">
        <w:rPr>
          <w:rFonts w:ascii="Garamond" w:hAnsi="Garamond"/>
          <w:szCs w:val="24"/>
        </w:rPr>
        <w:t xml:space="preserve">Such findings are based on an eminent </w:t>
      </w:r>
      <w:r w:rsidR="004F18DE">
        <w:rPr>
          <w:rFonts w:ascii="Garamond" w:hAnsi="Garamond"/>
          <w:szCs w:val="24"/>
        </w:rPr>
        <w:t>lawyers</w:t>
      </w:r>
      <w:r w:rsidR="004D4820">
        <w:rPr>
          <w:rFonts w:ascii="Garamond" w:hAnsi="Garamond"/>
          <w:szCs w:val="24"/>
        </w:rPr>
        <w:t xml:space="preserve"> consideration of the statutory language of the Water Act, and his analysis of the grave  reservations about the Ecological Elements Method made in the reports referred to.</w:t>
      </w:r>
    </w:p>
    <w:p w14:paraId="1F544AE0" w14:textId="77777777" w:rsidR="004D4820" w:rsidRDefault="004D4820" w:rsidP="004D4820">
      <w:pPr>
        <w:pStyle w:val="ListParagraph"/>
        <w:rPr>
          <w:rFonts w:ascii="Garamond" w:hAnsi="Garamond"/>
          <w:szCs w:val="24"/>
        </w:rPr>
      </w:pPr>
    </w:p>
    <w:p w14:paraId="3681CC7B" w14:textId="01F0C6CF" w:rsidR="00C065A5" w:rsidRDefault="004E4099" w:rsidP="00C065A5">
      <w:pPr>
        <w:pStyle w:val="ListParagraph"/>
        <w:numPr>
          <w:ilvl w:val="0"/>
          <w:numId w:val="1"/>
        </w:numPr>
        <w:rPr>
          <w:rFonts w:ascii="Garamond" w:hAnsi="Garamond"/>
          <w:szCs w:val="24"/>
        </w:rPr>
      </w:pPr>
      <w:r w:rsidRPr="00C065A5">
        <w:rPr>
          <w:rFonts w:ascii="Garamond" w:hAnsi="Garamond"/>
          <w:szCs w:val="24"/>
        </w:rPr>
        <w:t xml:space="preserve">The word “fraud” </w:t>
      </w:r>
      <w:r w:rsidR="00C065A5">
        <w:rPr>
          <w:rFonts w:ascii="Garamond" w:hAnsi="Garamond"/>
          <w:szCs w:val="24"/>
        </w:rPr>
        <w:t xml:space="preserve">to describe the SDL Adjustment is </w:t>
      </w:r>
      <w:r w:rsidRPr="00C065A5">
        <w:rPr>
          <w:rFonts w:ascii="Garamond" w:hAnsi="Garamond"/>
          <w:szCs w:val="24"/>
        </w:rPr>
        <w:t xml:space="preserve">not used flippantly. The Basin Plan is a scheme that anticipates that it will change, be reviewed, and evolve. That is a good </w:t>
      </w:r>
      <w:r w:rsidRPr="00C065A5">
        <w:rPr>
          <w:rFonts w:ascii="Garamond" w:hAnsi="Garamond"/>
          <w:szCs w:val="24"/>
        </w:rPr>
        <w:lastRenderedPageBreak/>
        <w:t xml:space="preserve">thing. </w:t>
      </w:r>
      <w:r w:rsidR="000425B0">
        <w:rPr>
          <w:rFonts w:ascii="Garamond" w:hAnsi="Garamond"/>
          <w:szCs w:val="24"/>
        </w:rPr>
        <w:t>However, n</w:t>
      </w:r>
      <w:r w:rsidRPr="00C065A5">
        <w:rPr>
          <w:rFonts w:ascii="Garamond" w:hAnsi="Garamond"/>
          <w:szCs w:val="24"/>
        </w:rPr>
        <w:t xml:space="preserve">o rational person that has read the published expert opinion concern the SDL </w:t>
      </w:r>
      <w:r w:rsidR="004D4820">
        <w:rPr>
          <w:rFonts w:ascii="Garamond" w:hAnsi="Garamond"/>
          <w:szCs w:val="24"/>
        </w:rPr>
        <w:t>A</w:t>
      </w:r>
      <w:r w:rsidRPr="00C065A5">
        <w:rPr>
          <w:rFonts w:ascii="Garamond" w:hAnsi="Garamond"/>
          <w:szCs w:val="24"/>
        </w:rPr>
        <w:t xml:space="preserve">djustment could be left with any other view than there is tremendous uncertainty about the science behind it, particularly the </w:t>
      </w:r>
      <w:r w:rsidR="004D4820">
        <w:rPr>
          <w:rFonts w:ascii="Garamond" w:hAnsi="Garamond"/>
          <w:szCs w:val="24"/>
        </w:rPr>
        <w:t>E</w:t>
      </w:r>
      <w:r w:rsidRPr="00C065A5">
        <w:rPr>
          <w:rFonts w:ascii="Garamond" w:hAnsi="Garamond"/>
          <w:szCs w:val="24"/>
        </w:rPr>
        <w:t xml:space="preserve">cological </w:t>
      </w:r>
      <w:r w:rsidR="004D4820">
        <w:rPr>
          <w:rFonts w:ascii="Garamond" w:hAnsi="Garamond"/>
          <w:szCs w:val="24"/>
        </w:rPr>
        <w:t>Elements M</w:t>
      </w:r>
      <w:r w:rsidRPr="00C065A5">
        <w:rPr>
          <w:rFonts w:ascii="Garamond" w:hAnsi="Garamond"/>
          <w:szCs w:val="24"/>
        </w:rPr>
        <w:t>ethod. How it all amounts to a volume of water – be it 543GL, or 605GL, or even 10GL – is a mystery. That would not be such a problem if it were not also a mystery to people with relevant scientific qualifications and experience. It certainly does not look an adjustment to the Basin Wide Sustainable Diversion (of a huge volume of water) that appears sufficiently science based to be lawful. It more than flirts with falling foul of s.21(4) of the Water Act (“based on best available scientific knowledge”),</w:t>
      </w:r>
      <w:r w:rsidR="004D4820">
        <w:rPr>
          <w:rFonts w:ascii="Garamond" w:hAnsi="Garamond"/>
          <w:szCs w:val="24"/>
        </w:rPr>
        <w:t xml:space="preserve"> and it is very difficult to see</w:t>
      </w:r>
      <w:r w:rsidRPr="00C065A5">
        <w:rPr>
          <w:rFonts w:ascii="Garamond" w:hAnsi="Garamond"/>
          <w:szCs w:val="24"/>
        </w:rPr>
        <w:t xml:space="preserve"> how</w:t>
      </w:r>
      <w:r w:rsidR="004D4820">
        <w:rPr>
          <w:rFonts w:ascii="Garamond" w:hAnsi="Garamond"/>
          <w:szCs w:val="24"/>
        </w:rPr>
        <w:t xml:space="preserve"> in its development or implementation any regard was had to Environmentally Sustainable </w:t>
      </w:r>
      <w:r w:rsidR="004F18DE">
        <w:rPr>
          <w:rFonts w:ascii="Garamond" w:hAnsi="Garamond"/>
          <w:szCs w:val="24"/>
        </w:rPr>
        <w:t>Development</w:t>
      </w:r>
      <w:r w:rsidRPr="00C065A5">
        <w:rPr>
          <w:rFonts w:ascii="Garamond" w:hAnsi="Garamond"/>
          <w:szCs w:val="24"/>
        </w:rPr>
        <w:t xml:space="preserve">, and in particular the “precautionary principle”: see </w:t>
      </w:r>
      <w:r w:rsidR="004D4820">
        <w:rPr>
          <w:rFonts w:ascii="Garamond" w:hAnsi="Garamond"/>
          <w:szCs w:val="24"/>
        </w:rPr>
        <w:t xml:space="preserve">s 21(4)(a) </w:t>
      </w:r>
      <w:r w:rsidRPr="00C065A5">
        <w:rPr>
          <w:rFonts w:ascii="Garamond" w:hAnsi="Garamond"/>
          <w:szCs w:val="24"/>
        </w:rPr>
        <w:t>of the Water Act.</w:t>
      </w:r>
    </w:p>
    <w:p w14:paraId="6AD35B75" w14:textId="77777777" w:rsidR="00C065A5" w:rsidRDefault="00C065A5" w:rsidP="00C065A5">
      <w:pPr>
        <w:pStyle w:val="ListParagraph"/>
        <w:rPr>
          <w:rFonts w:ascii="Garamond" w:hAnsi="Garamond"/>
          <w:szCs w:val="24"/>
        </w:rPr>
      </w:pPr>
    </w:p>
    <w:p w14:paraId="36CECC3E" w14:textId="0D0796CB" w:rsidR="00D933D6" w:rsidRPr="000425B0" w:rsidRDefault="00C065A5" w:rsidP="00F64F70">
      <w:pPr>
        <w:pStyle w:val="ListParagraph"/>
        <w:numPr>
          <w:ilvl w:val="0"/>
          <w:numId w:val="1"/>
        </w:numPr>
        <w:rPr>
          <w:rFonts w:ascii="Garamond" w:hAnsi="Garamond"/>
          <w:szCs w:val="24"/>
          <w:u w:val="single"/>
        </w:rPr>
      </w:pPr>
      <w:r w:rsidRPr="000425B0">
        <w:rPr>
          <w:rFonts w:ascii="Garamond" w:hAnsi="Garamond"/>
          <w:szCs w:val="24"/>
          <w:u w:val="single"/>
        </w:rPr>
        <w:t>T</w:t>
      </w:r>
      <w:r w:rsidR="004E4099" w:rsidRPr="000425B0">
        <w:rPr>
          <w:rFonts w:ascii="Garamond" w:hAnsi="Garamond"/>
          <w:szCs w:val="24"/>
          <w:u w:val="single"/>
        </w:rPr>
        <w:t>he</w:t>
      </w:r>
      <w:r w:rsidR="00892CA3" w:rsidRPr="000425B0">
        <w:rPr>
          <w:rFonts w:ascii="Garamond" w:hAnsi="Garamond"/>
          <w:szCs w:val="24"/>
          <w:u w:val="single"/>
        </w:rPr>
        <w:t xml:space="preserve"> Productivity Commission should recommend that the Government establish</w:t>
      </w:r>
      <w:r w:rsidR="004E4099" w:rsidRPr="000425B0">
        <w:rPr>
          <w:rFonts w:ascii="Garamond" w:hAnsi="Garamond"/>
          <w:szCs w:val="24"/>
          <w:u w:val="single"/>
        </w:rPr>
        <w:t xml:space="preserve"> a full and comprehensive independent review by relevant experts of this part of the Basin Plan.  There is sufficient uncertainty</w:t>
      </w:r>
      <w:r w:rsidR="00892CA3" w:rsidRPr="000425B0">
        <w:rPr>
          <w:rFonts w:ascii="Garamond" w:hAnsi="Garamond"/>
          <w:szCs w:val="24"/>
          <w:u w:val="single"/>
        </w:rPr>
        <w:t xml:space="preserve"> regarding the “science” behind it that</w:t>
      </w:r>
      <w:r w:rsidR="004E4099" w:rsidRPr="000425B0">
        <w:rPr>
          <w:rFonts w:ascii="Garamond" w:hAnsi="Garamond"/>
          <w:szCs w:val="24"/>
          <w:u w:val="single"/>
        </w:rPr>
        <w:t xml:space="preserve"> a responsible government </w:t>
      </w:r>
      <w:r w:rsidR="00892CA3" w:rsidRPr="000425B0">
        <w:rPr>
          <w:rFonts w:ascii="Garamond" w:hAnsi="Garamond"/>
          <w:szCs w:val="24"/>
          <w:u w:val="single"/>
        </w:rPr>
        <w:t xml:space="preserve">has no proper option but to </w:t>
      </w:r>
      <w:r w:rsidR="004E4099" w:rsidRPr="000425B0">
        <w:rPr>
          <w:rFonts w:ascii="Garamond" w:hAnsi="Garamond"/>
          <w:szCs w:val="24"/>
          <w:u w:val="single"/>
        </w:rPr>
        <w:t>ensure that there is a fully independent scientific inquiry into the supply measures aspect of the Basin Plan.</w:t>
      </w:r>
    </w:p>
    <w:p w14:paraId="657B2771" w14:textId="4CDDD22A" w:rsidR="00892CA3" w:rsidRDefault="00892CA3" w:rsidP="00892CA3">
      <w:pPr>
        <w:rPr>
          <w:rFonts w:ascii="Garamond" w:hAnsi="Garamond"/>
          <w:szCs w:val="24"/>
        </w:rPr>
      </w:pPr>
    </w:p>
    <w:p w14:paraId="74D48652" w14:textId="4D58D63C" w:rsidR="00892CA3" w:rsidRPr="00892CA3" w:rsidRDefault="00892CA3" w:rsidP="00892CA3">
      <w:pPr>
        <w:rPr>
          <w:rFonts w:ascii="Garamond" w:hAnsi="Garamond"/>
          <w:i/>
          <w:iCs/>
          <w:szCs w:val="24"/>
        </w:rPr>
      </w:pPr>
      <w:r w:rsidRPr="00892CA3">
        <w:rPr>
          <w:rFonts w:ascii="Garamond" w:hAnsi="Garamond"/>
          <w:i/>
          <w:iCs/>
          <w:szCs w:val="24"/>
        </w:rPr>
        <w:t>Climate science</w:t>
      </w:r>
    </w:p>
    <w:p w14:paraId="39B6D9D0" w14:textId="783E444D" w:rsidR="00D933D6" w:rsidRPr="00C065A5" w:rsidRDefault="00892CA3" w:rsidP="00C065A5">
      <w:pPr>
        <w:pStyle w:val="ListParagraph"/>
        <w:numPr>
          <w:ilvl w:val="0"/>
          <w:numId w:val="1"/>
        </w:numPr>
        <w:rPr>
          <w:rFonts w:ascii="Garamond" w:hAnsi="Garamond"/>
          <w:szCs w:val="24"/>
        </w:rPr>
      </w:pPr>
      <w:r>
        <w:rPr>
          <w:rFonts w:ascii="Garamond" w:hAnsi="Garamond"/>
          <w:szCs w:val="24"/>
        </w:rPr>
        <w:t xml:space="preserve">The failure of the Basin Plan to reflect best science </w:t>
      </w:r>
      <w:r w:rsidR="004F18DE">
        <w:rPr>
          <w:rFonts w:ascii="Garamond" w:hAnsi="Garamond"/>
          <w:szCs w:val="24"/>
        </w:rPr>
        <w:t>concerning</w:t>
      </w:r>
      <w:r>
        <w:rPr>
          <w:rFonts w:ascii="Garamond" w:hAnsi="Garamond"/>
          <w:szCs w:val="24"/>
        </w:rPr>
        <w:t xml:space="preserve"> climate change is another aspect of its unlawfulness. This is discussed below in response to Key Question 4.</w:t>
      </w:r>
    </w:p>
    <w:p w14:paraId="68B4D4BE" w14:textId="77777777" w:rsidR="004E4099" w:rsidRPr="00D933D6" w:rsidRDefault="004E4099" w:rsidP="00D933D6">
      <w:pPr>
        <w:rPr>
          <w:rFonts w:ascii="Garamond" w:hAnsi="Garamond"/>
          <w:szCs w:val="24"/>
        </w:rPr>
      </w:pPr>
    </w:p>
    <w:p w14:paraId="7DC91084" w14:textId="2368440D" w:rsidR="007248E4" w:rsidRPr="004E4099" w:rsidRDefault="007248E4" w:rsidP="00865FDE">
      <w:pPr>
        <w:rPr>
          <w:rFonts w:ascii="Garamond" w:hAnsi="Garamond"/>
          <w:szCs w:val="24"/>
        </w:rPr>
      </w:pPr>
    </w:p>
    <w:p w14:paraId="7207722C" w14:textId="5F66E753" w:rsidR="007A22FC" w:rsidRPr="004E4099" w:rsidRDefault="00D933D6" w:rsidP="00865FDE">
      <w:pPr>
        <w:rPr>
          <w:rFonts w:ascii="Garamond" w:hAnsi="Garamond"/>
          <w:b/>
          <w:bCs/>
          <w:szCs w:val="24"/>
        </w:rPr>
      </w:pPr>
      <w:r>
        <w:rPr>
          <w:rFonts w:ascii="Garamond" w:hAnsi="Garamond"/>
          <w:b/>
          <w:bCs/>
          <w:szCs w:val="24"/>
        </w:rPr>
        <w:t xml:space="preserve">Key Question </w:t>
      </w:r>
      <w:r w:rsidR="007A22FC" w:rsidRPr="004E4099">
        <w:rPr>
          <w:rFonts w:ascii="Garamond" w:hAnsi="Garamond"/>
          <w:b/>
          <w:bCs/>
          <w:szCs w:val="24"/>
        </w:rPr>
        <w:t>1</w:t>
      </w:r>
      <w:r>
        <w:rPr>
          <w:rFonts w:ascii="Garamond" w:hAnsi="Garamond"/>
          <w:b/>
          <w:bCs/>
          <w:szCs w:val="24"/>
        </w:rPr>
        <w:t>: “What needs to change to ensure water recovery targets are met and that supply and efficiency measures are delivered?”</w:t>
      </w:r>
    </w:p>
    <w:p w14:paraId="4A2AFFD8" w14:textId="5B7548C7" w:rsidR="00D933D6" w:rsidRDefault="00D933D6" w:rsidP="00760486">
      <w:pPr>
        <w:pStyle w:val="ListParagraph"/>
        <w:numPr>
          <w:ilvl w:val="0"/>
          <w:numId w:val="1"/>
        </w:numPr>
        <w:rPr>
          <w:rFonts w:ascii="Garamond" w:hAnsi="Garamond"/>
          <w:szCs w:val="24"/>
        </w:rPr>
      </w:pPr>
      <w:r>
        <w:rPr>
          <w:rFonts w:ascii="Garamond" w:hAnsi="Garamond"/>
          <w:szCs w:val="24"/>
        </w:rPr>
        <w:t xml:space="preserve">Supply measures should not be delivered. They should be subject to an independent science review </w:t>
      </w:r>
      <w:r w:rsidR="00892CA3">
        <w:rPr>
          <w:rFonts w:ascii="Garamond" w:hAnsi="Garamond"/>
          <w:szCs w:val="24"/>
        </w:rPr>
        <w:t xml:space="preserve">as described </w:t>
      </w:r>
      <w:r>
        <w:rPr>
          <w:rFonts w:ascii="Garamond" w:hAnsi="Garamond"/>
          <w:szCs w:val="24"/>
        </w:rPr>
        <w:t>above. As to efficiency measures, this part of the submission addresses them, and the 450GL referred to in s 86</w:t>
      </w:r>
      <w:proofErr w:type="gramStart"/>
      <w:r>
        <w:rPr>
          <w:rFonts w:ascii="Garamond" w:hAnsi="Garamond"/>
          <w:szCs w:val="24"/>
        </w:rPr>
        <w:t>AA(</w:t>
      </w:r>
      <w:proofErr w:type="gramEnd"/>
      <w:r>
        <w:rPr>
          <w:rFonts w:ascii="Garamond" w:hAnsi="Garamond"/>
          <w:szCs w:val="24"/>
        </w:rPr>
        <w:t>3) of the Water Act, and Schedule 5 of the Basin Plan.</w:t>
      </w:r>
    </w:p>
    <w:p w14:paraId="4DA13DD3" w14:textId="77777777" w:rsidR="003B39A9" w:rsidRDefault="003B39A9" w:rsidP="003B39A9">
      <w:pPr>
        <w:pStyle w:val="ListParagraph"/>
        <w:rPr>
          <w:rFonts w:ascii="Garamond" w:hAnsi="Garamond"/>
          <w:szCs w:val="24"/>
        </w:rPr>
      </w:pPr>
    </w:p>
    <w:p w14:paraId="4303A4C1" w14:textId="17D6F69E" w:rsidR="00D933D6" w:rsidRDefault="00D933D6" w:rsidP="00760486">
      <w:pPr>
        <w:pStyle w:val="ListParagraph"/>
        <w:numPr>
          <w:ilvl w:val="0"/>
          <w:numId w:val="1"/>
        </w:numPr>
        <w:rPr>
          <w:rFonts w:ascii="Garamond" w:hAnsi="Garamond"/>
          <w:szCs w:val="24"/>
        </w:rPr>
      </w:pPr>
      <w:r>
        <w:rPr>
          <w:rFonts w:ascii="Garamond" w:hAnsi="Garamond"/>
          <w:szCs w:val="24"/>
        </w:rPr>
        <w:t>The Productivity Commission is also well informed about the issue of the 450GL for the enhanced environmental aims set out in s 86</w:t>
      </w:r>
      <w:proofErr w:type="gramStart"/>
      <w:r>
        <w:rPr>
          <w:rFonts w:ascii="Garamond" w:hAnsi="Garamond"/>
          <w:szCs w:val="24"/>
        </w:rPr>
        <w:t>AA(</w:t>
      </w:r>
      <w:proofErr w:type="gramEnd"/>
      <w:r>
        <w:rPr>
          <w:rFonts w:ascii="Garamond" w:hAnsi="Garamond"/>
          <w:szCs w:val="24"/>
        </w:rPr>
        <w:t xml:space="preserve">2) of the Water Act, and Schedule 5 of </w:t>
      </w:r>
      <w:r>
        <w:rPr>
          <w:rFonts w:ascii="Garamond" w:hAnsi="Garamond"/>
          <w:szCs w:val="24"/>
        </w:rPr>
        <w:lastRenderedPageBreak/>
        <w:t>the Basin Plan. The Commissions December 2018 Review addressed these matters and “efficiency measures”.</w:t>
      </w:r>
      <w:r w:rsidR="00892CA3">
        <w:rPr>
          <w:rFonts w:ascii="Garamond" w:hAnsi="Garamond"/>
          <w:szCs w:val="24"/>
        </w:rPr>
        <w:t xml:space="preserve"> </w:t>
      </w:r>
    </w:p>
    <w:p w14:paraId="4100848E" w14:textId="77777777" w:rsidR="00D933D6" w:rsidRDefault="00D933D6" w:rsidP="00D933D6">
      <w:pPr>
        <w:pStyle w:val="ListParagraph"/>
        <w:rPr>
          <w:rFonts w:ascii="Garamond" w:hAnsi="Garamond"/>
          <w:szCs w:val="24"/>
        </w:rPr>
      </w:pPr>
    </w:p>
    <w:p w14:paraId="150FE5B6" w14:textId="754D2AC1" w:rsidR="00892CA3" w:rsidRDefault="00892CA3" w:rsidP="00760486">
      <w:pPr>
        <w:pStyle w:val="ListParagraph"/>
        <w:numPr>
          <w:ilvl w:val="0"/>
          <w:numId w:val="1"/>
        </w:numPr>
        <w:rPr>
          <w:rFonts w:ascii="Garamond" w:hAnsi="Garamond"/>
          <w:szCs w:val="24"/>
        </w:rPr>
      </w:pPr>
      <w:r>
        <w:rPr>
          <w:rFonts w:ascii="Garamond" w:hAnsi="Garamond"/>
          <w:szCs w:val="24"/>
        </w:rPr>
        <w:t>Before making any submission on the 450GL part of the Plan, the following can be briefly noted about efficiency measures as a means of recovering environmental water. First, i</w:t>
      </w:r>
      <w:r w:rsidR="003B39A9">
        <w:rPr>
          <w:rFonts w:ascii="Garamond" w:hAnsi="Garamond"/>
          <w:szCs w:val="24"/>
        </w:rPr>
        <w:t>n its 2010</w:t>
      </w:r>
      <w:r>
        <w:rPr>
          <w:rFonts w:ascii="Garamond" w:hAnsi="Garamond"/>
          <w:szCs w:val="24"/>
        </w:rPr>
        <w:t xml:space="preserve"> Market Mechanisms Review</w:t>
      </w:r>
      <w:r w:rsidR="003B39A9">
        <w:rPr>
          <w:rFonts w:ascii="Garamond" w:hAnsi="Garamond"/>
          <w:szCs w:val="24"/>
        </w:rPr>
        <w:t xml:space="preserve">, the Commission advised that “purchasing water from willing sellers is generally the most effective and efficient means of acquiring water” and that “[f]unding irrigation upgrades is generally not a cost-effective way for governments to recover water for the environment”: see Finding 6.3 and 6.4. </w:t>
      </w:r>
      <w:r>
        <w:rPr>
          <w:rFonts w:ascii="Garamond" w:hAnsi="Garamond"/>
          <w:szCs w:val="24"/>
        </w:rPr>
        <w:t xml:space="preserve"> </w:t>
      </w:r>
      <w:r w:rsidR="003B39A9">
        <w:rPr>
          <w:rFonts w:ascii="Garamond" w:hAnsi="Garamond"/>
          <w:szCs w:val="24"/>
        </w:rPr>
        <w:t>Nothing in the Commissions 2018 Assessment contradicts these findings (see, for example, p 107).</w:t>
      </w:r>
    </w:p>
    <w:p w14:paraId="1DEC3995" w14:textId="77777777" w:rsidR="00892CA3" w:rsidRPr="00892CA3" w:rsidRDefault="00892CA3" w:rsidP="00892CA3">
      <w:pPr>
        <w:pStyle w:val="ListParagraph"/>
        <w:rPr>
          <w:rFonts w:ascii="Garamond" w:hAnsi="Garamond"/>
          <w:szCs w:val="24"/>
        </w:rPr>
      </w:pPr>
    </w:p>
    <w:p w14:paraId="3F215869" w14:textId="7730A7F0" w:rsidR="007A22FC" w:rsidRDefault="00892CA3" w:rsidP="00760486">
      <w:pPr>
        <w:pStyle w:val="ListParagraph"/>
        <w:numPr>
          <w:ilvl w:val="0"/>
          <w:numId w:val="1"/>
        </w:numPr>
        <w:rPr>
          <w:rFonts w:ascii="Garamond" w:hAnsi="Garamond"/>
          <w:szCs w:val="24"/>
        </w:rPr>
      </w:pPr>
      <w:r>
        <w:rPr>
          <w:rFonts w:ascii="Garamond" w:hAnsi="Garamond"/>
          <w:szCs w:val="24"/>
        </w:rPr>
        <w:t>Secondly, at the current rate of “delivering” the 450GL, another thousand years will be required. Thirdly, there is about 50 years of peer reviewed work throwing real doubt on whether efficiency measures actually recover the water they claimed to. The Commission would no doubt be well aware of all the published material concerning the issue of “return flows”.</w:t>
      </w:r>
    </w:p>
    <w:p w14:paraId="3D1AAF2D" w14:textId="77777777" w:rsidR="00892CA3" w:rsidRPr="00892CA3" w:rsidRDefault="00892CA3" w:rsidP="00892CA3">
      <w:pPr>
        <w:pStyle w:val="ListParagraph"/>
        <w:rPr>
          <w:rFonts w:ascii="Garamond" w:hAnsi="Garamond"/>
          <w:szCs w:val="24"/>
        </w:rPr>
      </w:pPr>
    </w:p>
    <w:p w14:paraId="6F26C32E" w14:textId="566392C4" w:rsidR="00892CA3" w:rsidRDefault="00892CA3" w:rsidP="00760486">
      <w:pPr>
        <w:pStyle w:val="ListParagraph"/>
        <w:numPr>
          <w:ilvl w:val="0"/>
          <w:numId w:val="1"/>
        </w:numPr>
        <w:rPr>
          <w:rFonts w:ascii="Garamond" w:hAnsi="Garamond"/>
          <w:szCs w:val="24"/>
        </w:rPr>
      </w:pPr>
      <w:r>
        <w:rPr>
          <w:rFonts w:ascii="Garamond" w:hAnsi="Garamond"/>
          <w:szCs w:val="24"/>
        </w:rPr>
        <w:t>In summary then, efficiency measures have this against them:</w:t>
      </w:r>
    </w:p>
    <w:p w14:paraId="04B5B8F2" w14:textId="77777777" w:rsidR="00892CA3" w:rsidRPr="00892CA3" w:rsidRDefault="00892CA3" w:rsidP="00892CA3">
      <w:pPr>
        <w:pStyle w:val="ListParagraph"/>
        <w:rPr>
          <w:rFonts w:ascii="Garamond" w:hAnsi="Garamond"/>
          <w:szCs w:val="24"/>
        </w:rPr>
      </w:pPr>
    </w:p>
    <w:p w14:paraId="45024FA1" w14:textId="5372C027" w:rsidR="00892CA3" w:rsidRDefault="00892CA3" w:rsidP="00892CA3">
      <w:pPr>
        <w:pStyle w:val="ListParagraph"/>
        <w:numPr>
          <w:ilvl w:val="0"/>
          <w:numId w:val="15"/>
        </w:numPr>
        <w:rPr>
          <w:rFonts w:ascii="Garamond" w:hAnsi="Garamond"/>
          <w:szCs w:val="24"/>
        </w:rPr>
      </w:pPr>
      <w:r>
        <w:rPr>
          <w:rFonts w:ascii="Garamond" w:hAnsi="Garamond"/>
          <w:szCs w:val="24"/>
        </w:rPr>
        <w:t>They are expensive and inefficient.</w:t>
      </w:r>
    </w:p>
    <w:p w14:paraId="74426EEF" w14:textId="75C6FDB5" w:rsidR="00892CA3" w:rsidRDefault="00892CA3" w:rsidP="00892CA3">
      <w:pPr>
        <w:pStyle w:val="ListParagraph"/>
        <w:numPr>
          <w:ilvl w:val="0"/>
          <w:numId w:val="15"/>
        </w:numPr>
        <w:rPr>
          <w:rFonts w:ascii="Garamond" w:hAnsi="Garamond"/>
          <w:szCs w:val="24"/>
        </w:rPr>
      </w:pPr>
      <w:r>
        <w:rPr>
          <w:rFonts w:ascii="Garamond" w:hAnsi="Garamond"/>
          <w:szCs w:val="24"/>
        </w:rPr>
        <w:t>They are slow to deliver water (at least for the Basin Plan).</w:t>
      </w:r>
    </w:p>
    <w:p w14:paraId="6DFFFC11" w14:textId="4E19257B" w:rsidR="00892CA3" w:rsidRPr="004E4099" w:rsidRDefault="00892CA3" w:rsidP="00892CA3">
      <w:pPr>
        <w:pStyle w:val="ListParagraph"/>
        <w:numPr>
          <w:ilvl w:val="0"/>
          <w:numId w:val="15"/>
        </w:numPr>
        <w:rPr>
          <w:rFonts w:ascii="Garamond" w:hAnsi="Garamond"/>
          <w:szCs w:val="24"/>
        </w:rPr>
      </w:pPr>
      <w:r>
        <w:rPr>
          <w:rFonts w:ascii="Garamond" w:hAnsi="Garamond"/>
          <w:szCs w:val="24"/>
        </w:rPr>
        <w:t>They have reliability/integrity doubts.</w:t>
      </w:r>
    </w:p>
    <w:p w14:paraId="0A74073D" w14:textId="77777777" w:rsidR="007A22FC" w:rsidRPr="004E4099" w:rsidRDefault="007A22FC" w:rsidP="007A22FC">
      <w:pPr>
        <w:pStyle w:val="ListParagraph"/>
        <w:rPr>
          <w:rFonts w:ascii="Garamond" w:hAnsi="Garamond"/>
          <w:szCs w:val="24"/>
        </w:rPr>
      </w:pPr>
    </w:p>
    <w:p w14:paraId="11BD5DDD" w14:textId="0A425A3C" w:rsidR="00C672DA" w:rsidRDefault="00C672DA" w:rsidP="00760486">
      <w:pPr>
        <w:pStyle w:val="ListParagraph"/>
        <w:numPr>
          <w:ilvl w:val="0"/>
          <w:numId w:val="1"/>
        </w:numPr>
        <w:rPr>
          <w:rFonts w:ascii="Garamond" w:hAnsi="Garamond"/>
          <w:szCs w:val="24"/>
        </w:rPr>
      </w:pPr>
      <w:r>
        <w:rPr>
          <w:rFonts w:ascii="Garamond" w:hAnsi="Garamond"/>
          <w:szCs w:val="24"/>
        </w:rPr>
        <w:t xml:space="preserve">These are all good reasons for </w:t>
      </w:r>
      <w:r w:rsidR="004F18DE">
        <w:rPr>
          <w:rFonts w:ascii="Garamond" w:hAnsi="Garamond"/>
          <w:szCs w:val="24"/>
        </w:rPr>
        <w:t>recovering</w:t>
      </w:r>
      <w:r>
        <w:rPr>
          <w:rFonts w:ascii="Garamond" w:hAnsi="Garamond"/>
          <w:szCs w:val="24"/>
        </w:rPr>
        <w:t xml:space="preserve"> water for the environment, including the 450GL, by means other than such measures.</w:t>
      </w:r>
    </w:p>
    <w:p w14:paraId="67DB291C" w14:textId="77777777" w:rsidR="00C672DA" w:rsidRDefault="00C672DA" w:rsidP="00C672DA">
      <w:pPr>
        <w:pStyle w:val="ListParagraph"/>
        <w:rPr>
          <w:rFonts w:ascii="Garamond" w:hAnsi="Garamond"/>
          <w:szCs w:val="24"/>
        </w:rPr>
      </w:pPr>
    </w:p>
    <w:p w14:paraId="7E3D784A" w14:textId="250BF74C" w:rsidR="003A43EF" w:rsidRPr="004E4099" w:rsidRDefault="004F18DE" w:rsidP="00760486">
      <w:pPr>
        <w:pStyle w:val="ListParagraph"/>
        <w:numPr>
          <w:ilvl w:val="0"/>
          <w:numId w:val="1"/>
        </w:numPr>
        <w:rPr>
          <w:rFonts w:ascii="Garamond" w:hAnsi="Garamond"/>
          <w:szCs w:val="24"/>
        </w:rPr>
      </w:pPr>
      <w:r>
        <w:rPr>
          <w:rFonts w:ascii="Garamond" w:hAnsi="Garamond"/>
          <w:szCs w:val="24"/>
        </w:rPr>
        <w:t>Turning</w:t>
      </w:r>
      <w:r w:rsidR="00C672DA">
        <w:rPr>
          <w:rFonts w:ascii="Garamond" w:hAnsi="Garamond"/>
          <w:szCs w:val="24"/>
        </w:rPr>
        <w:t xml:space="preserve"> to the 450GL, m</w:t>
      </w:r>
      <w:r w:rsidR="00DC5657" w:rsidRPr="004E4099">
        <w:rPr>
          <w:rFonts w:ascii="Garamond" w:hAnsi="Garamond"/>
          <w:szCs w:val="24"/>
        </w:rPr>
        <w:t xml:space="preserve">odelling </w:t>
      </w:r>
      <w:r w:rsidR="00E6152D" w:rsidRPr="004E4099">
        <w:rPr>
          <w:rFonts w:ascii="Garamond" w:hAnsi="Garamond"/>
          <w:szCs w:val="24"/>
        </w:rPr>
        <w:t xml:space="preserve">shows that a </w:t>
      </w:r>
      <w:r w:rsidR="00E902F5" w:rsidRPr="004E4099">
        <w:rPr>
          <w:rFonts w:ascii="Garamond" w:hAnsi="Garamond"/>
          <w:szCs w:val="24"/>
        </w:rPr>
        <w:t>Basin P</w:t>
      </w:r>
      <w:r w:rsidR="00E6152D" w:rsidRPr="004E4099">
        <w:rPr>
          <w:rFonts w:ascii="Garamond" w:hAnsi="Garamond"/>
          <w:szCs w:val="24"/>
        </w:rPr>
        <w:t xml:space="preserve">lan that returns 3200GL of water on average per year will hit 17 out of 18 </w:t>
      </w:r>
      <w:r w:rsidR="00C74499" w:rsidRPr="004E4099">
        <w:rPr>
          <w:rFonts w:ascii="Garamond" w:hAnsi="Garamond"/>
          <w:szCs w:val="24"/>
        </w:rPr>
        <w:t xml:space="preserve">key </w:t>
      </w:r>
      <w:r w:rsidR="00E6152D" w:rsidRPr="004E4099">
        <w:rPr>
          <w:rFonts w:ascii="Garamond" w:hAnsi="Garamond"/>
          <w:szCs w:val="24"/>
        </w:rPr>
        <w:t xml:space="preserve">environmental </w:t>
      </w:r>
      <w:r w:rsidR="00C74499" w:rsidRPr="004E4099">
        <w:rPr>
          <w:rFonts w:ascii="Garamond" w:hAnsi="Garamond"/>
          <w:szCs w:val="24"/>
        </w:rPr>
        <w:t xml:space="preserve">flow </w:t>
      </w:r>
      <w:r w:rsidR="00E6152D" w:rsidRPr="004E4099">
        <w:rPr>
          <w:rFonts w:ascii="Garamond" w:hAnsi="Garamond"/>
          <w:szCs w:val="24"/>
        </w:rPr>
        <w:t>indicator markers in circumstances where constraints are addressed.</w:t>
      </w:r>
      <w:r w:rsidR="00C74499" w:rsidRPr="004E4099">
        <w:rPr>
          <w:rStyle w:val="FootnoteReference"/>
          <w:rFonts w:ascii="Garamond" w:hAnsi="Garamond"/>
          <w:szCs w:val="24"/>
        </w:rPr>
        <w:footnoteReference w:id="20"/>
      </w:r>
      <w:r w:rsidR="00083B01" w:rsidRPr="004E4099">
        <w:rPr>
          <w:rFonts w:ascii="Garamond" w:hAnsi="Garamond"/>
          <w:szCs w:val="24"/>
        </w:rPr>
        <w:t xml:space="preserve"> This can be compared to a 2800GL </w:t>
      </w:r>
      <w:r w:rsidR="00E902F5" w:rsidRPr="004E4099">
        <w:rPr>
          <w:rFonts w:ascii="Garamond" w:hAnsi="Garamond"/>
          <w:szCs w:val="24"/>
        </w:rPr>
        <w:t>P</w:t>
      </w:r>
      <w:r w:rsidR="00083B01" w:rsidRPr="004E4099">
        <w:rPr>
          <w:rFonts w:ascii="Garamond" w:hAnsi="Garamond"/>
          <w:szCs w:val="24"/>
        </w:rPr>
        <w:t xml:space="preserve">lan which only hits 11 out of 18 markers. It is </w:t>
      </w:r>
      <w:r w:rsidR="007A26D1" w:rsidRPr="004E4099">
        <w:rPr>
          <w:rFonts w:ascii="Garamond" w:hAnsi="Garamond"/>
          <w:szCs w:val="24"/>
        </w:rPr>
        <w:t xml:space="preserve">sometimes </w:t>
      </w:r>
      <w:r w:rsidR="00083B01" w:rsidRPr="004E4099">
        <w:rPr>
          <w:rFonts w:ascii="Garamond" w:hAnsi="Garamond"/>
          <w:szCs w:val="24"/>
        </w:rPr>
        <w:t xml:space="preserve">contended that until </w:t>
      </w:r>
      <w:r w:rsidR="00C672DA">
        <w:rPr>
          <w:rFonts w:ascii="Garamond" w:hAnsi="Garamond"/>
          <w:szCs w:val="24"/>
        </w:rPr>
        <w:t>“</w:t>
      </w:r>
      <w:r w:rsidR="00083B01" w:rsidRPr="004E4099">
        <w:rPr>
          <w:rFonts w:ascii="Garamond" w:hAnsi="Garamond"/>
          <w:szCs w:val="24"/>
        </w:rPr>
        <w:t>constraints</w:t>
      </w:r>
      <w:r w:rsidR="00C672DA">
        <w:rPr>
          <w:rFonts w:ascii="Garamond" w:hAnsi="Garamond"/>
          <w:szCs w:val="24"/>
        </w:rPr>
        <w:t>”</w:t>
      </w:r>
      <w:r w:rsidR="00083B01" w:rsidRPr="004E4099">
        <w:rPr>
          <w:rFonts w:ascii="Garamond" w:hAnsi="Garamond"/>
          <w:szCs w:val="24"/>
        </w:rPr>
        <w:t xml:space="preserve"> are addressed,</w:t>
      </w:r>
      <w:r w:rsidR="00287752" w:rsidRPr="004E4099">
        <w:rPr>
          <w:rFonts w:ascii="Garamond" w:hAnsi="Garamond"/>
          <w:szCs w:val="24"/>
        </w:rPr>
        <w:t xml:space="preserve"> a 3200GL plan would cause flooding and damage</w:t>
      </w:r>
      <w:r w:rsidR="007F7D5F" w:rsidRPr="004E4099">
        <w:rPr>
          <w:rFonts w:ascii="Garamond" w:hAnsi="Garamond"/>
          <w:szCs w:val="24"/>
        </w:rPr>
        <w:t xml:space="preserve">, and hence there is no point in </w:t>
      </w:r>
      <w:r w:rsidR="00D61CD3" w:rsidRPr="004E4099">
        <w:rPr>
          <w:rFonts w:ascii="Garamond" w:hAnsi="Garamond"/>
          <w:szCs w:val="24"/>
        </w:rPr>
        <w:t>recovering</w:t>
      </w:r>
      <w:r w:rsidR="007F7D5F" w:rsidRPr="004E4099">
        <w:rPr>
          <w:rFonts w:ascii="Garamond" w:hAnsi="Garamond"/>
          <w:szCs w:val="24"/>
        </w:rPr>
        <w:t xml:space="preserve"> the extra 450GL until all issues relating to constraints are addressed</w:t>
      </w:r>
      <w:r w:rsidR="00287752" w:rsidRPr="004E4099">
        <w:rPr>
          <w:rFonts w:ascii="Garamond" w:hAnsi="Garamond"/>
          <w:szCs w:val="24"/>
        </w:rPr>
        <w:t xml:space="preserve">. </w:t>
      </w:r>
      <w:r w:rsidR="003A43EF" w:rsidRPr="004E4099">
        <w:rPr>
          <w:rFonts w:ascii="Garamond" w:hAnsi="Garamond"/>
          <w:szCs w:val="24"/>
        </w:rPr>
        <w:lastRenderedPageBreak/>
        <w:t xml:space="preserve">This is </w:t>
      </w:r>
      <w:r w:rsidR="000425B0">
        <w:rPr>
          <w:rFonts w:ascii="Garamond" w:hAnsi="Garamond"/>
          <w:szCs w:val="24"/>
        </w:rPr>
        <w:t xml:space="preserve">now </w:t>
      </w:r>
      <w:r w:rsidR="003A43EF" w:rsidRPr="004E4099">
        <w:rPr>
          <w:rFonts w:ascii="Garamond" w:hAnsi="Garamond"/>
          <w:szCs w:val="24"/>
        </w:rPr>
        <w:t xml:space="preserve">a fallacious argument, </w:t>
      </w:r>
      <w:r w:rsidR="00D03C39" w:rsidRPr="004E4099">
        <w:rPr>
          <w:rFonts w:ascii="Garamond" w:hAnsi="Garamond"/>
          <w:szCs w:val="24"/>
        </w:rPr>
        <w:t>advanced only by those who fail to</w:t>
      </w:r>
      <w:r w:rsidR="003A43EF" w:rsidRPr="004E4099">
        <w:rPr>
          <w:rFonts w:ascii="Garamond" w:hAnsi="Garamond"/>
          <w:szCs w:val="24"/>
        </w:rPr>
        <w:t xml:space="preserve"> </w:t>
      </w:r>
      <w:r w:rsidR="00D03C39" w:rsidRPr="004E4099">
        <w:rPr>
          <w:rFonts w:ascii="Garamond" w:hAnsi="Garamond"/>
          <w:szCs w:val="24"/>
        </w:rPr>
        <w:t>comprehend</w:t>
      </w:r>
      <w:r w:rsidR="003A43EF" w:rsidRPr="004E4099">
        <w:rPr>
          <w:rFonts w:ascii="Garamond" w:hAnsi="Garamond"/>
          <w:szCs w:val="24"/>
        </w:rPr>
        <w:t xml:space="preserve"> the reality of the current Basin Plan and water recovery pursuant to it</w:t>
      </w:r>
      <w:r w:rsidR="00287752" w:rsidRPr="004E4099">
        <w:rPr>
          <w:rFonts w:ascii="Garamond" w:hAnsi="Garamond"/>
          <w:szCs w:val="24"/>
        </w:rPr>
        <w:t>.</w:t>
      </w:r>
    </w:p>
    <w:p w14:paraId="173CBCCD" w14:textId="77777777" w:rsidR="003A43EF" w:rsidRPr="004E4099" w:rsidRDefault="003A43EF" w:rsidP="003A43EF">
      <w:pPr>
        <w:pStyle w:val="ListParagraph"/>
        <w:rPr>
          <w:rFonts w:ascii="Garamond" w:hAnsi="Garamond"/>
          <w:szCs w:val="24"/>
        </w:rPr>
      </w:pPr>
    </w:p>
    <w:p w14:paraId="1AC1583F" w14:textId="77777777" w:rsidR="00C672DA" w:rsidRDefault="00C672DA" w:rsidP="00760486">
      <w:pPr>
        <w:pStyle w:val="ListParagraph"/>
        <w:numPr>
          <w:ilvl w:val="0"/>
          <w:numId w:val="1"/>
        </w:numPr>
        <w:rPr>
          <w:rFonts w:ascii="Garamond" w:hAnsi="Garamond"/>
          <w:szCs w:val="24"/>
        </w:rPr>
      </w:pPr>
      <w:r>
        <w:rPr>
          <w:rFonts w:ascii="Garamond" w:hAnsi="Garamond"/>
          <w:szCs w:val="24"/>
        </w:rPr>
        <w:t>In its 2018 Assessment, the Commission addressed the lack of progress on “constraints”: see pages 150 to 159. The Commission referred to modelling of the flow rates needed to achieve the s 86AA/Schedule 5 objectives, and it was said that “constraints need to be eased”.</w:t>
      </w:r>
    </w:p>
    <w:p w14:paraId="066332B2" w14:textId="77777777" w:rsidR="00C672DA" w:rsidRPr="00C672DA" w:rsidRDefault="00C672DA" w:rsidP="00C672DA">
      <w:pPr>
        <w:pStyle w:val="ListParagraph"/>
        <w:rPr>
          <w:rFonts w:ascii="Garamond" w:hAnsi="Garamond"/>
          <w:szCs w:val="24"/>
        </w:rPr>
      </w:pPr>
    </w:p>
    <w:p w14:paraId="753E9AE4" w14:textId="1CE252BA" w:rsidR="007248E4" w:rsidRPr="004E4099" w:rsidRDefault="00C672DA" w:rsidP="00760486">
      <w:pPr>
        <w:pStyle w:val="ListParagraph"/>
        <w:numPr>
          <w:ilvl w:val="0"/>
          <w:numId w:val="1"/>
        </w:numPr>
        <w:rPr>
          <w:rFonts w:ascii="Garamond" w:hAnsi="Garamond"/>
          <w:szCs w:val="24"/>
        </w:rPr>
      </w:pPr>
      <w:r>
        <w:rPr>
          <w:rFonts w:ascii="Garamond" w:hAnsi="Garamond"/>
          <w:szCs w:val="24"/>
        </w:rPr>
        <w:t xml:space="preserve">There is no </w:t>
      </w:r>
      <w:r w:rsidR="004F18DE">
        <w:rPr>
          <w:rFonts w:ascii="Garamond" w:hAnsi="Garamond"/>
          <w:szCs w:val="24"/>
        </w:rPr>
        <w:t>doubt</w:t>
      </w:r>
      <w:r>
        <w:rPr>
          <w:rFonts w:ascii="Garamond" w:hAnsi="Garamond"/>
          <w:szCs w:val="24"/>
        </w:rPr>
        <w:t xml:space="preserve"> that </w:t>
      </w:r>
      <w:r w:rsidR="004F18DE">
        <w:rPr>
          <w:rFonts w:ascii="Garamond" w:hAnsi="Garamond"/>
          <w:szCs w:val="24"/>
        </w:rPr>
        <w:t>progress</w:t>
      </w:r>
      <w:r>
        <w:rPr>
          <w:rFonts w:ascii="Garamond" w:hAnsi="Garamond"/>
          <w:szCs w:val="24"/>
        </w:rPr>
        <w:t xml:space="preserve"> on constraint </w:t>
      </w:r>
      <w:r w:rsidR="004F18DE">
        <w:rPr>
          <w:rFonts w:ascii="Garamond" w:hAnsi="Garamond"/>
          <w:szCs w:val="24"/>
        </w:rPr>
        <w:t>management</w:t>
      </w:r>
      <w:r>
        <w:rPr>
          <w:rFonts w:ascii="Garamond" w:hAnsi="Garamond"/>
          <w:szCs w:val="24"/>
        </w:rPr>
        <w:t xml:space="preserve"> has been slow to say the least. This has probably been </w:t>
      </w:r>
      <w:proofErr w:type="gramStart"/>
      <w:r>
        <w:rPr>
          <w:rFonts w:ascii="Garamond" w:hAnsi="Garamond"/>
          <w:szCs w:val="24"/>
        </w:rPr>
        <w:t>deliberate, and</w:t>
      </w:r>
      <w:proofErr w:type="gramEnd"/>
      <w:r>
        <w:rPr>
          <w:rFonts w:ascii="Garamond" w:hAnsi="Garamond"/>
          <w:szCs w:val="24"/>
        </w:rPr>
        <w:t xml:space="preserve"> is an indictment </w:t>
      </w:r>
      <w:r w:rsidR="004F18DE">
        <w:rPr>
          <w:rFonts w:ascii="Garamond" w:hAnsi="Garamond"/>
          <w:szCs w:val="24"/>
        </w:rPr>
        <w:t>on</w:t>
      </w:r>
      <w:r>
        <w:rPr>
          <w:rFonts w:ascii="Garamond" w:hAnsi="Garamond"/>
          <w:szCs w:val="24"/>
        </w:rPr>
        <w:t xml:space="preserve"> some governments.  As </w:t>
      </w:r>
      <w:r w:rsidR="004F18DE">
        <w:rPr>
          <w:rFonts w:ascii="Garamond" w:hAnsi="Garamond"/>
          <w:szCs w:val="24"/>
        </w:rPr>
        <w:t>such</w:t>
      </w:r>
      <w:r>
        <w:rPr>
          <w:rFonts w:ascii="Garamond" w:hAnsi="Garamond"/>
          <w:szCs w:val="24"/>
        </w:rPr>
        <w:t xml:space="preserve"> it is time that lack of progress on constraints was no longer used in the manner it is as (part of) the excuse for not recovering the 450GL. </w:t>
      </w:r>
      <w:r w:rsidR="004F18DE">
        <w:rPr>
          <w:rFonts w:ascii="Garamond" w:hAnsi="Garamond"/>
          <w:szCs w:val="24"/>
        </w:rPr>
        <w:t>F</w:t>
      </w:r>
      <w:r w:rsidR="000425B0">
        <w:rPr>
          <w:rFonts w:ascii="Garamond" w:hAnsi="Garamond"/>
          <w:szCs w:val="24"/>
        </w:rPr>
        <w:t>ur</w:t>
      </w:r>
      <w:r w:rsidR="004F18DE">
        <w:rPr>
          <w:rFonts w:ascii="Garamond" w:hAnsi="Garamond"/>
          <w:szCs w:val="24"/>
        </w:rPr>
        <w:t>ther</w:t>
      </w:r>
      <w:r>
        <w:rPr>
          <w:rFonts w:ascii="Garamond" w:hAnsi="Garamond"/>
          <w:szCs w:val="24"/>
        </w:rPr>
        <w:t xml:space="preserve">, it is important to remember that the modelling and flow rates referred to address a 3200GL Basin Plan. There is no such Plan. Nor is there </w:t>
      </w:r>
      <w:r w:rsidR="00D61CD3" w:rsidRPr="004E4099">
        <w:rPr>
          <w:rFonts w:ascii="Garamond" w:hAnsi="Garamond"/>
          <w:szCs w:val="24"/>
        </w:rPr>
        <w:t>a</w:t>
      </w:r>
      <w:r w:rsidR="007324FC" w:rsidRPr="004E4099">
        <w:rPr>
          <w:rFonts w:ascii="Garamond" w:hAnsi="Garamond"/>
          <w:szCs w:val="24"/>
        </w:rPr>
        <w:t xml:space="preserve"> 2800GL Plan, or a 2750GL</w:t>
      </w:r>
      <w:r w:rsidR="00D61CD3" w:rsidRPr="004E4099">
        <w:rPr>
          <w:rFonts w:ascii="Garamond" w:hAnsi="Garamond"/>
          <w:szCs w:val="24"/>
        </w:rPr>
        <w:t>,</w:t>
      </w:r>
      <w:r w:rsidR="007324FC" w:rsidRPr="004E4099">
        <w:rPr>
          <w:rFonts w:ascii="Garamond" w:hAnsi="Garamond"/>
          <w:szCs w:val="24"/>
        </w:rPr>
        <w:t xml:space="preserve"> or 2670GL </w:t>
      </w:r>
      <w:r>
        <w:rPr>
          <w:rFonts w:ascii="Garamond" w:hAnsi="Garamond"/>
          <w:szCs w:val="24"/>
        </w:rPr>
        <w:t>P</w:t>
      </w:r>
      <w:r w:rsidR="007324FC" w:rsidRPr="004E4099">
        <w:rPr>
          <w:rFonts w:ascii="Garamond" w:hAnsi="Garamond"/>
          <w:szCs w:val="24"/>
        </w:rPr>
        <w:t xml:space="preserve">lan. </w:t>
      </w:r>
      <w:r w:rsidR="00D61CD3" w:rsidRPr="004E4099">
        <w:rPr>
          <w:rFonts w:ascii="Garamond" w:hAnsi="Garamond"/>
          <w:szCs w:val="24"/>
        </w:rPr>
        <w:t xml:space="preserve"> </w:t>
      </w:r>
      <w:r>
        <w:rPr>
          <w:rFonts w:ascii="Garamond" w:hAnsi="Garamond"/>
          <w:szCs w:val="24"/>
        </w:rPr>
        <w:t>We have a (perhaps at best) 2100GL P</w:t>
      </w:r>
      <w:r w:rsidR="00287752" w:rsidRPr="004E4099">
        <w:rPr>
          <w:rFonts w:ascii="Garamond" w:hAnsi="Garamond"/>
          <w:szCs w:val="24"/>
        </w:rPr>
        <w:t>lan.</w:t>
      </w:r>
      <w:r w:rsidR="00097080" w:rsidRPr="004E4099">
        <w:rPr>
          <w:rFonts w:ascii="Garamond" w:hAnsi="Garamond"/>
          <w:szCs w:val="24"/>
        </w:rPr>
        <w:t xml:space="preserve"> </w:t>
      </w:r>
      <w:r w:rsidR="00D61CD3" w:rsidRPr="004E4099">
        <w:rPr>
          <w:rFonts w:ascii="Garamond" w:hAnsi="Garamond"/>
          <w:szCs w:val="24"/>
        </w:rPr>
        <w:t xml:space="preserve"> </w:t>
      </w:r>
      <w:r w:rsidR="000464E2" w:rsidRPr="004E4099">
        <w:rPr>
          <w:rFonts w:ascii="Garamond" w:hAnsi="Garamond"/>
          <w:szCs w:val="24"/>
        </w:rPr>
        <w:t xml:space="preserve">Adding 450GL to that does not make it a 3200GL </w:t>
      </w:r>
      <w:r w:rsidR="000425B0">
        <w:rPr>
          <w:rFonts w:ascii="Garamond" w:hAnsi="Garamond"/>
          <w:szCs w:val="24"/>
        </w:rPr>
        <w:t>P</w:t>
      </w:r>
      <w:r w:rsidR="000464E2" w:rsidRPr="004E4099">
        <w:rPr>
          <w:rFonts w:ascii="Garamond" w:hAnsi="Garamond"/>
          <w:szCs w:val="24"/>
        </w:rPr>
        <w:t xml:space="preserve">lan </w:t>
      </w:r>
      <w:r w:rsidR="00A75F94" w:rsidRPr="004E4099">
        <w:rPr>
          <w:rFonts w:ascii="Garamond" w:hAnsi="Garamond"/>
          <w:szCs w:val="24"/>
        </w:rPr>
        <w:t>in relation to which constraints might</w:t>
      </w:r>
      <w:r w:rsidR="007324FC" w:rsidRPr="004E4099">
        <w:rPr>
          <w:rFonts w:ascii="Garamond" w:hAnsi="Garamond"/>
          <w:szCs w:val="24"/>
        </w:rPr>
        <w:t xml:space="preserve"> (or might not)</w:t>
      </w:r>
      <w:r w:rsidR="00A75F94" w:rsidRPr="004E4099">
        <w:rPr>
          <w:rFonts w:ascii="Garamond" w:hAnsi="Garamond"/>
          <w:szCs w:val="24"/>
        </w:rPr>
        <w:t xml:space="preserve"> </w:t>
      </w:r>
      <w:r w:rsidR="00B42D27" w:rsidRPr="004E4099">
        <w:rPr>
          <w:rFonts w:ascii="Garamond" w:hAnsi="Garamond"/>
          <w:szCs w:val="24"/>
        </w:rPr>
        <w:t>cause</w:t>
      </w:r>
      <w:r w:rsidR="00A75F94" w:rsidRPr="004E4099">
        <w:rPr>
          <w:rFonts w:ascii="Garamond" w:hAnsi="Garamond"/>
          <w:szCs w:val="24"/>
        </w:rPr>
        <w:t xml:space="preserve"> a delivery issue</w:t>
      </w:r>
      <w:r w:rsidR="000604A9" w:rsidRPr="004E4099">
        <w:rPr>
          <w:rFonts w:ascii="Garamond" w:hAnsi="Garamond"/>
          <w:szCs w:val="24"/>
        </w:rPr>
        <w:t xml:space="preserve"> for planned environmental water flows</w:t>
      </w:r>
      <w:r w:rsidR="00A75F94" w:rsidRPr="004E4099">
        <w:rPr>
          <w:rFonts w:ascii="Garamond" w:hAnsi="Garamond"/>
          <w:szCs w:val="24"/>
        </w:rPr>
        <w:t xml:space="preserve">. </w:t>
      </w:r>
      <w:r w:rsidR="00B41890" w:rsidRPr="004E4099">
        <w:rPr>
          <w:rFonts w:ascii="Garamond" w:hAnsi="Garamond"/>
          <w:szCs w:val="24"/>
        </w:rPr>
        <w:t>There is no evidence that constraints become an issue for any plan less than 2800GL</w:t>
      </w:r>
      <w:r w:rsidR="003D3751" w:rsidRPr="004E4099">
        <w:rPr>
          <w:rFonts w:ascii="Garamond" w:hAnsi="Garamond"/>
          <w:szCs w:val="24"/>
        </w:rPr>
        <w:t xml:space="preserve"> (properly managed environmental flows would not cause flooding at this level of recovery)</w:t>
      </w:r>
      <w:r w:rsidR="00B41890" w:rsidRPr="004E4099">
        <w:rPr>
          <w:rFonts w:ascii="Garamond" w:hAnsi="Garamond"/>
          <w:szCs w:val="24"/>
        </w:rPr>
        <w:t>. As such, t</w:t>
      </w:r>
      <w:r w:rsidR="00097080" w:rsidRPr="004E4099">
        <w:rPr>
          <w:rFonts w:ascii="Garamond" w:hAnsi="Garamond"/>
          <w:szCs w:val="24"/>
        </w:rPr>
        <w:t xml:space="preserve">here is no basis </w:t>
      </w:r>
      <w:r w:rsidR="00B42316" w:rsidRPr="004E4099">
        <w:rPr>
          <w:rFonts w:ascii="Garamond" w:hAnsi="Garamond"/>
          <w:szCs w:val="24"/>
        </w:rPr>
        <w:t>for any claim that the 450GL of water</w:t>
      </w:r>
      <w:r w:rsidR="00A75F94" w:rsidRPr="004E4099">
        <w:rPr>
          <w:rFonts w:ascii="Garamond" w:hAnsi="Garamond"/>
          <w:szCs w:val="24"/>
        </w:rPr>
        <w:t xml:space="preserve"> for enhanced environmental outcomes </w:t>
      </w:r>
      <w:r w:rsidR="00B42316" w:rsidRPr="004E4099">
        <w:rPr>
          <w:rFonts w:ascii="Garamond" w:hAnsi="Garamond"/>
          <w:szCs w:val="24"/>
        </w:rPr>
        <w:t>should not be recovered until constraints are fully addressed.</w:t>
      </w:r>
      <w:r w:rsidR="00A75F94" w:rsidRPr="004E4099">
        <w:rPr>
          <w:rFonts w:ascii="Garamond" w:hAnsi="Garamond"/>
          <w:szCs w:val="24"/>
        </w:rPr>
        <w:t xml:space="preserve"> </w:t>
      </w:r>
      <w:r w:rsidR="00901911" w:rsidRPr="004E4099">
        <w:rPr>
          <w:rFonts w:ascii="Garamond" w:hAnsi="Garamond"/>
          <w:szCs w:val="24"/>
        </w:rPr>
        <w:t xml:space="preserve">The </w:t>
      </w:r>
      <w:r>
        <w:rPr>
          <w:rFonts w:ascii="Garamond" w:hAnsi="Garamond"/>
          <w:szCs w:val="24"/>
        </w:rPr>
        <w:t xml:space="preserve">450GL should be recovered now. It would not be </w:t>
      </w:r>
      <w:r w:rsidR="004F18DE">
        <w:rPr>
          <w:rFonts w:ascii="Garamond" w:hAnsi="Garamond"/>
          <w:szCs w:val="24"/>
        </w:rPr>
        <w:t>surprising</w:t>
      </w:r>
      <w:r>
        <w:rPr>
          <w:rFonts w:ascii="Garamond" w:hAnsi="Garamond"/>
          <w:szCs w:val="24"/>
        </w:rPr>
        <w:t xml:space="preserve">, should this happen, that suddenly progress is made on </w:t>
      </w:r>
      <w:r w:rsidR="004F18DE">
        <w:rPr>
          <w:rFonts w:ascii="Garamond" w:hAnsi="Garamond"/>
          <w:szCs w:val="24"/>
        </w:rPr>
        <w:t>constraints</w:t>
      </w:r>
      <w:r>
        <w:rPr>
          <w:rFonts w:ascii="Garamond" w:hAnsi="Garamond"/>
          <w:szCs w:val="24"/>
        </w:rPr>
        <w:t xml:space="preserve"> issues.</w:t>
      </w:r>
    </w:p>
    <w:p w14:paraId="6E48ACD1" w14:textId="4472196D" w:rsidR="00CE6C3F" w:rsidRDefault="00CE6C3F" w:rsidP="00C672DA">
      <w:pPr>
        <w:rPr>
          <w:rFonts w:ascii="Garamond" w:hAnsi="Garamond"/>
          <w:szCs w:val="24"/>
        </w:rPr>
      </w:pPr>
    </w:p>
    <w:p w14:paraId="68464CAD" w14:textId="765DFEDB" w:rsidR="00C672DA" w:rsidRPr="00C672DA" w:rsidRDefault="00C672DA" w:rsidP="00C672DA">
      <w:pPr>
        <w:rPr>
          <w:rFonts w:ascii="Garamond" w:hAnsi="Garamond"/>
          <w:i/>
          <w:iCs/>
          <w:szCs w:val="24"/>
        </w:rPr>
      </w:pPr>
      <w:r w:rsidRPr="00C672DA">
        <w:rPr>
          <w:rFonts w:ascii="Garamond" w:hAnsi="Garamond"/>
          <w:i/>
          <w:iCs/>
          <w:szCs w:val="24"/>
        </w:rPr>
        <w:t>Recovery of the 450GL should be largely by buybacks in the southern Basin, supplemented by efficiency measures with integrity</w:t>
      </w:r>
    </w:p>
    <w:p w14:paraId="6C231F8D" w14:textId="70935B96" w:rsidR="003D1B92" w:rsidRPr="004E4099" w:rsidRDefault="00CE6C3F" w:rsidP="00760486">
      <w:pPr>
        <w:pStyle w:val="ListParagraph"/>
        <w:numPr>
          <w:ilvl w:val="0"/>
          <w:numId w:val="1"/>
        </w:numPr>
        <w:rPr>
          <w:rFonts w:ascii="Garamond" w:hAnsi="Garamond"/>
          <w:szCs w:val="24"/>
        </w:rPr>
      </w:pPr>
      <w:r w:rsidRPr="000425B0">
        <w:rPr>
          <w:rFonts w:ascii="Garamond" w:hAnsi="Garamond"/>
          <w:szCs w:val="24"/>
          <w:u w:val="single"/>
        </w:rPr>
        <w:t>T</w:t>
      </w:r>
      <w:r w:rsidR="000425B0" w:rsidRPr="000425B0">
        <w:rPr>
          <w:rFonts w:ascii="Garamond" w:hAnsi="Garamond"/>
          <w:szCs w:val="24"/>
          <w:u w:val="single"/>
        </w:rPr>
        <w:t>he Commission should recommend that t</w:t>
      </w:r>
      <w:r w:rsidR="0063570C" w:rsidRPr="000425B0">
        <w:rPr>
          <w:rFonts w:ascii="Garamond" w:hAnsi="Garamond"/>
          <w:szCs w:val="24"/>
          <w:u w:val="single"/>
        </w:rPr>
        <w:t>he 450GL should largely be recovered f</w:t>
      </w:r>
      <w:r w:rsidR="00B94535" w:rsidRPr="000425B0">
        <w:rPr>
          <w:rFonts w:ascii="Garamond" w:hAnsi="Garamond"/>
          <w:szCs w:val="24"/>
          <w:u w:val="single"/>
        </w:rPr>
        <w:t>or</w:t>
      </w:r>
      <w:r w:rsidR="0063570C" w:rsidRPr="000425B0">
        <w:rPr>
          <w:rFonts w:ascii="Garamond" w:hAnsi="Garamond"/>
          <w:szCs w:val="24"/>
          <w:u w:val="single"/>
        </w:rPr>
        <w:t xml:space="preserve"> the environment by the voluntary purchase of water entitlements</w:t>
      </w:r>
      <w:r w:rsidR="00236921" w:rsidRPr="004E4099">
        <w:rPr>
          <w:rFonts w:ascii="Garamond" w:hAnsi="Garamond"/>
          <w:szCs w:val="24"/>
        </w:rPr>
        <w:t xml:space="preserve">. This must take place in the </w:t>
      </w:r>
      <w:r w:rsidR="000425B0">
        <w:rPr>
          <w:rFonts w:ascii="Garamond" w:hAnsi="Garamond"/>
          <w:szCs w:val="24"/>
        </w:rPr>
        <w:t>s</w:t>
      </w:r>
      <w:r w:rsidR="00236921" w:rsidRPr="004E4099">
        <w:rPr>
          <w:rFonts w:ascii="Garamond" w:hAnsi="Garamond"/>
          <w:szCs w:val="24"/>
        </w:rPr>
        <w:t>outhern Basin</w:t>
      </w:r>
      <w:r w:rsidR="008E5AFE" w:rsidRPr="004E4099">
        <w:rPr>
          <w:rFonts w:ascii="Garamond" w:hAnsi="Garamond"/>
          <w:szCs w:val="24"/>
        </w:rPr>
        <w:t xml:space="preserve">. Not only has the modelling for the benefits of the 450GL been done on the basis of recovery in the </w:t>
      </w:r>
      <w:r w:rsidR="000425B0">
        <w:rPr>
          <w:rFonts w:ascii="Garamond" w:hAnsi="Garamond"/>
          <w:szCs w:val="24"/>
        </w:rPr>
        <w:t>s</w:t>
      </w:r>
      <w:r w:rsidR="008E5AFE" w:rsidRPr="004E4099">
        <w:rPr>
          <w:rFonts w:ascii="Garamond" w:hAnsi="Garamond"/>
          <w:szCs w:val="24"/>
        </w:rPr>
        <w:t>outhern Basin</w:t>
      </w:r>
      <w:r w:rsidR="00236921" w:rsidRPr="004E4099">
        <w:rPr>
          <w:rFonts w:ascii="Garamond" w:hAnsi="Garamond"/>
          <w:szCs w:val="24"/>
        </w:rPr>
        <w:t xml:space="preserve">, </w:t>
      </w:r>
      <w:r w:rsidR="008E5AFE" w:rsidRPr="004E4099">
        <w:rPr>
          <w:rFonts w:ascii="Garamond" w:hAnsi="Garamond"/>
          <w:szCs w:val="24"/>
        </w:rPr>
        <w:t xml:space="preserve">as </w:t>
      </w:r>
      <w:r w:rsidR="006318AA" w:rsidRPr="004E4099">
        <w:rPr>
          <w:rFonts w:ascii="Garamond" w:hAnsi="Garamond"/>
          <w:szCs w:val="24"/>
        </w:rPr>
        <w:t>w</w:t>
      </w:r>
      <w:r w:rsidR="008E5AFE" w:rsidRPr="004E4099">
        <w:rPr>
          <w:rFonts w:ascii="Garamond" w:hAnsi="Garamond"/>
          <w:szCs w:val="24"/>
        </w:rPr>
        <w:t>as made clear in the MDBA’s</w:t>
      </w:r>
      <w:r w:rsidR="006318AA" w:rsidRPr="004E4099">
        <w:rPr>
          <w:rFonts w:ascii="Garamond" w:hAnsi="Garamond"/>
          <w:szCs w:val="24"/>
        </w:rPr>
        <w:t xml:space="preserve"> </w:t>
      </w:r>
      <w:r w:rsidR="000F485A" w:rsidRPr="004E4099">
        <w:rPr>
          <w:rFonts w:ascii="Garamond" w:hAnsi="Garamond"/>
          <w:szCs w:val="24"/>
        </w:rPr>
        <w:t>“</w:t>
      </w:r>
      <w:r w:rsidR="006318AA" w:rsidRPr="004E4099">
        <w:rPr>
          <w:rFonts w:ascii="Garamond" w:hAnsi="Garamond"/>
          <w:szCs w:val="24"/>
        </w:rPr>
        <w:t>ELST Report</w:t>
      </w:r>
      <w:r w:rsidR="000F485A" w:rsidRPr="004E4099">
        <w:rPr>
          <w:rFonts w:ascii="Garamond" w:hAnsi="Garamond"/>
          <w:szCs w:val="24"/>
        </w:rPr>
        <w:t>”</w:t>
      </w:r>
      <w:r w:rsidR="006318AA" w:rsidRPr="004E4099">
        <w:rPr>
          <w:rFonts w:ascii="Garamond" w:hAnsi="Garamond"/>
          <w:szCs w:val="24"/>
        </w:rPr>
        <w:t xml:space="preserve">, it is almost impossible to achieve positive environmental outcomes in the south from </w:t>
      </w:r>
      <w:r w:rsidR="004B1CCC" w:rsidRPr="004E4099">
        <w:rPr>
          <w:rFonts w:ascii="Garamond" w:hAnsi="Garamond"/>
          <w:szCs w:val="24"/>
        </w:rPr>
        <w:t>water recovered in the northern Basin</w:t>
      </w:r>
      <w:r w:rsidR="00C672DA">
        <w:rPr>
          <w:rFonts w:ascii="Garamond" w:hAnsi="Garamond"/>
          <w:szCs w:val="24"/>
        </w:rPr>
        <w:t xml:space="preserve"> (a matter that the Commission has also previously noted)</w:t>
      </w:r>
      <w:r w:rsidR="008E5AFE" w:rsidRPr="004E4099">
        <w:rPr>
          <w:rFonts w:ascii="Garamond" w:hAnsi="Garamond"/>
          <w:szCs w:val="24"/>
        </w:rPr>
        <w:t xml:space="preserve"> </w:t>
      </w:r>
      <w:r w:rsidR="000C0685" w:rsidRPr="004E4099">
        <w:rPr>
          <w:rStyle w:val="FootnoteReference"/>
          <w:rFonts w:ascii="Garamond" w:hAnsi="Garamond"/>
          <w:szCs w:val="24"/>
        </w:rPr>
        <w:footnoteReference w:id="21"/>
      </w:r>
      <w:r w:rsidR="0063570C" w:rsidRPr="004E4099">
        <w:rPr>
          <w:rFonts w:ascii="Garamond" w:hAnsi="Garamond"/>
          <w:szCs w:val="24"/>
        </w:rPr>
        <w:t xml:space="preserve">. </w:t>
      </w:r>
      <w:r w:rsidR="003D1B92" w:rsidRPr="004E4099">
        <w:rPr>
          <w:rFonts w:ascii="Garamond" w:hAnsi="Garamond"/>
          <w:szCs w:val="24"/>
        </w:rPr>
        <w:t xml:space="preserve">This is ultimately a matter for science, not policy makers, but there is </w:t>
      </w:r>
      <w:r w:rsidR="003D1B92" w:rsidRPr="004E4099">
        <w:rPr>
          <w:rFonts w:ascii="Garamond" w:hAnsi="Garamond"/>
          <w:szCs w:val="24"/>
        </w:rPr>
        <w:lastRenderedPageBreak/>
        <w:t xml:space="preserve">no science that properly supports some wild idea that the 450GL can be recovered from the </w:t>
      </w:r>
      <w:r w:rsidR="000425B0">
        <w:rPr>
          <w:rFonts w:ascii="Garamond" w:hAnsi="Garamond"/>
          <w:szCs w:val="24"/>
        </w:rPr>
        <w:t>n</w:t>
      </w:r>
      <w:r w:rsidR="003D1B92" w:rsidRPr="004E4099">
        <w:rPr>
          <w:rFonts w:ascii="Garamond" w:hAnsi="Garamond"/>
          <w:szCs w:val="24"/>
        </w:rPr>
        <w:t>orthern Basin</w:t>
      </w:r>
      <w:r w:rsidR="003D3751" w:rsidRPr="004E4099">
        <w:rPr>
          <w:rFonts w:ascii="Garamond" w:hAnsi="Garamond"/>
          <w:szCs w:val="24"/>
        </w:rPr>
        <w:t xml:space="preserve"> and still achieve the environmental aims of s.86AA of the </w:t>
      </w:r>
      <w:r w:rsidR="003D3751" w:rsidRPr="004E4099">
        <w:rPr>
          <w:rFonts w:ascii="Garamond" w:hAnsi="Garamond"/>
          <w:i/>
          <w:iCs/>
          <w:szCs w:val="24"/>
        </w:rPr>
        <w:t>Water Act</w:t>
      </w:r>
      <w:r w:rsidR="003D3751" w:rsidRPr="004E4099">
        <w:rPr>
          <w:rFonts w:ascii="Garamond" w:hAnsi="Garamond"/>
          <w:szCs w:val="24"/>
        </w:rPr>
        <w:t xml:space="preserve"> and Schedule 5 of the Basin Plan</w:t>
      </w:r>
      <w:r w:rsidR="003D1B92" w:rsidRPr="004E4099">
        <w:rPr>
          <w:rFonts w:ascii="Garamond" w:hAnsi="Garamond"/>
          <w:szCs w:val="24"/>
        </w:rPr>
        <w:t>.</w:t>
      </w:r>
    </w:p>
    <w:p w14:paraId="1A7E4555" w14:textId="77777777" w:rsidR="003D1B92" w:rsidRPr="004E4099" w:rsidRDefault="003D1B92" w:rsidP="003D1B92">
      <w:pPr>
        <w:pStyle w:val="ListParagraph"/>
        <w:rPr>
          <w:rFonts w:ascii="Garamond" w:hAnsi="Garamond"/>
          <w:szCs w:val="24"/>
        </w:rPr>
      </w:pPr>
    </w:p>
    <w:p w14:paraId="6D5B9AA5" w14:textId="547A4EB1" w:rsidR="00CE6C3F" w:rsidRPr="004E4099" w:rsidRDefault="0063570C" w:rsidP="00760486">
      <w:pPr>
        <w:pStyle w:val="ListParagraph"/>
        <w:numPr>
          <w:ilvl w:val="0"/>
          <w:numId w:val="1"/>
        </w:numPr>
        <w:rPr>
          <w:rFonts w:ascii="Garamond" w:hAnsi="Garamond"/>
          <w:szCs w:val="24"/>
        </w:rPr>
      </w:pPr>
      <w:r w:rsidRPr="004E4099">
        <w:rPr>
          <w:rFonts w:ascii="Garamond" w:hAnsi="Garamond"/>
          <w:szCs w:val="24"/>
        </w:rPr>
        <w:t xml:space="preserve">Assertions have been made in the past </w:t>
      </w:r>
      <w:r w:rsidR="001F6D12" w:rsidRPr="004E4099">
        <w:rPr>
          <w:rFonts w:ascii="Garamond" w:hAnsi="Garamond"/>
          <w:szCs w:val="24"/>
        </w:rPr>
        <w:t>(</w:t>
      </w:r>
      <w:r w:rsidRPr="004E4099">
        <w:rPr>
          <w:rFonts w:ascii="Garamond" w:hAnsi="Garamond"/>
          <w:szCs w:val="24"/>
        </w:rPr>
        <w:t>and</w:t>
      </w:r>
      <w:r w:rsidR="001F6D12" w:rsidRPr="004E4099">
        <w:rPr>
          <w:rFonts w:ascii="Garamond" w:hAnsi="Garamond"/>
          <w:szCs w:val="24"/>
        </w:rPr>
        <w:t xml:space="preserve"> are currently being made) </w:t>
      </w:r>
      <w:r w:rsidRPr="004E4099">
        <w:rPr>
          <w:rFonts w:ascii="Garamond" w:hAnsi="Garamond"/>
          <w:szCs w:val="24"/>
        </w:rPr>
        <w:t>that</w:t>
      </w:r>
      <w:r w:rsidR="00C35357" w:rsidRPr="004E4099">
        <w:rPr>
          <w:rFonts w:ascii="Garamond" w:hAnsi="Garamond"/>
          <w:szCs w:val="24"/>
        </w:rPr>
        <w:t xml:space="preserve"> </w:t>
      </w:r>
      <w:r w:rsidR="003D1B92" w:rsidRPr="004E4099">
        <w:rPr>
          <w:rFonts w:ascii="Garamond" w:hAnsi="Garamond"/>
          <w:szCs w:val="24"/>
        </w:rPr>
        <w:t xml:space="preserve">voluntary </w:t>
      </w:r>
      <w:r w:rsidR="00C35357" w:rsidRPr="004E4099">
        <w:rPr>
          <w:rFonts w:ascii="Garamond" w:hAnsi="Garamond"/>
          <w:szCs w:val="24"/>
        </w:rPr>
        <w:t>purchases</w:t>
      </w:r>
      <w:r w:rsidR="003D1B92" w:rsidRPr="004E4099">
        <w:rPr>
          <w:rFonts w:ascii="Garamond" w:hAnsi="Garamond"/>
          <w:szCs w:val="24"/>
        </w:rPr>
        <w:t xml:space="preserve"> of water for the environment</w:t>
      </w:r>
      <w:r w:rsidRPr="004E4099">
        <w:rPr>
          <w:rFonts w:ascii="Garamond" w:hAnsi="Garamond"/>
          <w:szCs w:val="24"/>
        </w:rPr>
        <w:t xml:space="preserve"> </w:t>
      </w:r>
      <w:r w:rsidR="00C35357" w:rsidRPr="004E4099">
        <w:rPr>
          <w:rFonts w:ascii="Garamond" w:hAnsi="Garamond"/>
          <w:szCs w:val="24"/>
        </w:rPr>
        <w:t xml:space="preserve">(usually called </w:t>
      </w:r>
      <w:r w:rsidR="001F6D12" w:rsidRPr="004E4099">
        <w:rPr>
          <w:rFonts w:ascii="Garamond" w:hAnsi="Garamond"/>
          <w:szCs w:val="24"/>
        </w:rPr>
        <w:t>“</w:t>
      </w:r>
      <w:r w:rsidRPr="004E4099">
        <w:rPr>
          <w:rFonts w:ascii="Garamond" w:hAnsi="Garamond"/>
          <w:szCs w:val="24"/>
        </w:rPr>
        <w:t>buy</w:t>
      </w:r>
      <w:r w:rsidR="001F6D12" w:rsidRPr="004E4099">
        <w:rPr>
          <w:rFonts w:ascii="Garamond" w:hAnsi="Garamond"/>
          <w:szCs w:val="24"/>
        </w:rPr>
        <w:t>-</w:t>
      </w:r>
      <w:r w:rsidRPr="004E4099">
        <w:rPr>
          <w:rFonts w:ascii="Garamond" w:hAnsi="Garamond"/>
          <w:szCs w:val="24"/>
        </w:rPr>
        <w:t>backs</w:t>
      </w:r>
      <w:r w:rsidR="001F6D12" w:rsidRPr="004E4099">
        <w:rPr>
          <w:rFonts w:ascii="Garamond" w:hAnsi="Garamond"/>
          <w:szCs w:val="24"/>
        </w:rPr>
        <w:t>”</w:t>
      </w:r>
      <w:r w:rsidR="00C35357" w:rsidRPr="004E4099">
        <w:rPr>
          <w:rFonts w:ascii="Garamond" w:hAnsi="Garamond"/>
          <w:szCs w:val="24"/>
        </w:rPr>
        <w:t>)</w:t>
      </w:r>
      <w:r w:rsidRPr="004E4099">
        <w:rPr>
          <w:rFonts w:ascii="Garamond" w:hAnsi="Garamond"/>
          <w:szCs w:val="24"/>
        </w:rPr>
        <w:t xml:space="preserve"> </w:t>
      </w:r>
      <w:r w:rsidR="003D1B92" w:rsidRPr="004E4099">
        <w:rPr>
          <w:rFonts w:ascii="Garamond" w:hAnsi="Garamond"/>
          <w:szCs w:val="24"/>
        </w:rPr>
        <w:t>cause economic damage</w:t>
      </w:r>
      <w:r w:rsidRPr="004E4099">
        <w:rPr>
          <w:rFonts w:ascii="Garamond" w:hAnsi="Garamond"/>
          <w:szCs w:val="24"/>
        </w:rPr>
        <w:t xml:space="preserve"> to rural or regional communities</w:t>
      </w:r>
      <w:r w:rsidR="004B4D85" w:rsidRPr="004E4099">
        <w:rPr>
          <w:rStyle w:val="FootnoteReference"/>
          <w:rFonts w:ascii="Garamond" w:hAnsi="Garamond"/>
          <w:szCs w:val="24"/>
        </w:rPr>
        <w:footnoteReference w:id="22"/>
      </w:r>
      <w:r w:rsidRPr="004E4099">
        <w:rPr>
          <w:rFonts w:ascii="Garamond" w:hAnsi="Garamond"/>
          <w:szCs w:val="24"/>
        </w:rPr>
        <w:t xml:space="preserve">.  </w:t>
      </w:r>
      <w:r w:rsidR="004B4D85" w:rsidRPr="004E4099">
        <w:rPr>
          <w:rFonts w:ascii="Garamond" w:hAnsi="Garamond"/>
          <w:szCs w:val="24"/>
        </w:rPr>
        <w:t>W</w:t>
      </w:r>
      <w:r w:rsidRPr="004E4099">
        <w:rPr>
          <w:rFonts w:ascii="Garamond" w:hAnsi="Garamond"/>
          <w:szCs w:val="24"/>
        </w:rPr>
        <w:t xml:space="preserve">hat is </w:t>
      </w:r>
      <w:r w:rsidR="003C3927" w:rsidRPr="004E4099">
        <w:rPr>
          <w:rFonts w:ascii="Garamond" w:hAnsi="Garamond"/>
          <w:szCs w:val="24"/>
        </w:rPr>
        <w:t>said</w:t>
      </w:r>
      <w:r w:rsidRPr="004E4099">
        <w:rPr>
          <w:rFonts w:ascii="Garamond" w:hAnsi="Garamond"/>
          <w:szCs w:val="24"/>
        </w:rPr>
        <w:t xml:space="preserve"> is that water entitlement purchases:</w:t>
      </w:r>
    </w:p>
    <w:p w14:paraId="3F36748D" w14:textId="77777777" w:rsidR="0063570C" w:rsidRPr="004E4099" w:rsidRDefault="0063570C" w:rsidP="0063570C">
      <w:pPr>
        <w:pStyle w:val="ListParagraph"/>
        <w:rPr>
          <w:rFonts w:ascii="Garamond" w:hAnsi="Garamond"/>
          <w:szCs w:val="24"/>
        </w:rPr>
      </w:pPr>
    </w:p>
    <w:p w14:paraId="55FD188D" w14:textId="2C2D3161" w:rsidR="0063570C" w:rsidRPr="004E4099" w:rsidRDefault="0063570C" w:rsidP="00B51550">
      <w:pPr>
        <w:pStyle w:val="ListParagraph"/>
        <w:numPr>
          <w:ilvl w:val="0"/>
          <w:numId w:val="3"/>
        </w:numPr>
        <w:rPr>
          <w:rFonts w:ascii="Garamond" w:hAnsi="Garamond"/>
          <w:szCs w:val="24"/>
        </w:rPr>
      </w:pPr>
      <w:r w:rsidRPr="004E4099">
        <w:rPr>
          <w:rFonts w:ascii="Garamond" w:hAnsi="Garamond"/>
          <w:szCs w:val="24"/>
        </w:rPr>
        <w:t>cost jobs;</w:t>
      </w:r>
      <w:r w:rsidR="00B51550" w:rsidRPr="004E4099">
        <w:rPr>
          <w:rFonts w:ascii="Garamond" w:hAnsi="Garamond"/>
          <w:szCs w:val="24"/>
        </w:rPr>
        <w:t xml:space="preserve"> and</w:t>
      </w:r>
    </w:p>
    <w:p w14:paraId="6AEC3E0E" w14:textId="015AC83A" w:rsidR="00B51550" w:rsidRPr="004E4099" w:rsidRDefault="0063570C" w:rsidP="00B51550">
      <w:pPr>
        <w:pStyle w:val="ListParagraph"/>
        <w:numPr>
          <w:ilvl w:val="0"/>
          <w:numId w:val="3"/>
        </w:numPr>
        <w:rPr>
          <w:rFonts w:ascii="Garamond" w:hAnsi="Garamond"/>
          <w:szCs w:val="24"/>
        </w:rPr>
      </w:pPr>
      <w:r w:rsidRPr="004E4099">
        <w:rPr>
          <w:rFonts w:ascii="Garamond" w:hAnsi="Garamond"/>
          <w:szCs w:val="24"/>
        </w:rPr>
        <w:t xml:space="preserve">create a </w:t>
      </w:r>
      <w:r w:rsidR="00C60682" w:rsidRPr="004E4099">
        <w:rPr>
          <w:rFonts w:ascii="Garamond" w:hAnsi="Garamond"/>
          <w:szCs w:val="24"/>
        </w:rPr>
        <w:t>“</w:t>
      </w:r>
      <w:r w:rsidRPr="004E4099">
        <w:rPr>
          <w:rFonts w:ascii="Garamond" w:hAnsi="Garamond"/>
          <w:szCs w:val="24"/>
        </w:rPr>
        <w:t>Swiss cheese</w:t>
      </w:r>
      <w:r w:rsidR="00C60682" w:rsidRPr="004E4099">
        <w:rPr>
          <w:rFonts w:ascii="Garamond" w:hAnsi="Garamond"/>
          <w:szCs w:val="24"/>
        </w:rPr>
        <w:t>”</w:t>
      </w:r>
      <w:r w:rsidRPr="004E4099">
        <w:rPr>
          <w:rFonts w:ascii="Garamond" w:hAnsi="Garamond"/>
          <w:szCs w:val="24"/>
        </w:rPr>
        <w:t xml:space="preserve"> effect leaving irrigation supplie</w:t>
      </w:r>
      <w:r w:rsidR="00D1201F" w:rsidRPr="004E4099">
        <w:rPr>
          <w:rFonts w:ascii="Garamond" w:hAnsi="Garamond"/>
          <w:szCs w:val="24"/>
        </w:rPr>
        <w:t>r</w:t>
      </w:r>
      <w:r w:rsidRPr="004E4099">
        <w:rPr>
          <w:rFonts w:ascii="Garamond" w:hAnsi="Garamond"/>
          <w:szCs w:val="24"/>
        </w:rPr>
        <w:t>s with customers spread out over greater distances;</w:t>
      </w:r>
      <w:r w:rsidR="00B51550" w:rsidRPr="004E4099">
        <w:rPr>
          <w:rFonts w:ascii="Garamond" w:hAnsi="Garamond"/>
          <w:szCs w:val="24"/>
        </w:rPr>
        <w:t xml:space="preserve"> and</w:t>
      </w:r>
    </w:p>
    <w:p w14:paraId="41CD9061" w14:textId="39B154DC" w:rsidR="00DD587F" w:rsidRPr="004E4099" w:rsidRDefault="00DD587F" w:rsidP="00B51550">
      <w:pPr>
        <w:pStyle w:val="ListParagraph"/>
        <w:numPr>
          <w:ilvl w:val="0"/>
          <w:numId w:val="3"/>
        </w:numPr>
        <w:rPr>
          <w:rFonts w:ascii="Garamond" w:hAnsi="Garamond"/>
          <w:szCs w:val="24"/>
        </w:rPr>
      </w:pPr>
      <w:r w:rsidRPr="004E4099">
        <w:rPr>
          <w:rFonts w:ascii="Garamond" w:hAnsi="Garamond"/>
          <w:szCs w:val="24"/>
        </w:rPr>
        <w:t>harm the social fabric of local communities b</w:t>
      </w:r>
      <w:r w:rsidR="00B51550" w:rsidRPr="004E4099">
        <w:rPr>
          <w:rFonts w:ascii="Garamond" w:hAnsi="Garamond"/>
          <w:szCs w:val="24"/>
        </w:rPr>
        <w:t>ecause they lead to population reduction (and hence closure of schools and services).</w:t>
      </w:r>
    </w:p>
    <w:p w14:paraId="5CB39277" w14:textId="77777777" w:rsidR="0063570C" w:rsidRPr="004E4099" w:rsidRDefault="0063570C" w:rsidP="0063570C">
      <w:pPr>
        <w:pStyle w:val="ListParagraph"/>
        <w:rPr>
          <w:rFonts w:ascii="Garamond" w:hAnsi="Garamond"/>
          <w:szCs w:val="24"/>
        </w:rPr>
      </w:pPr>
    </w:p>
    <w:p w14:paraId="2DAE2D80" w14:textId="40E56A2D" w:rsidR="00EE7D98" w:rsidRPr="004E4099" w:rsidRDefault="004A2809" w:rsidP="00B76AB8">
      <w:pPr>
        <w:pStyle w:val="ListParagraph"/>
        <w:numPr>
          <w:ilvl w:val="0"/>
          <w:numId w:val="1"/>
        </w:numPr>
        <w:rPr>
          <w:rFonts w:ascii="Garamond" w:hAnsi="Garamond"/>
          <w:szCs w:val="24"/>
        </w:rPr>
      </w:pPr>
      <w:r w:rsidRPr="004E4099">
        <w:rPr>
          <w:rFonts w:ascii="Garamond" w:hAnsi="Garamond"/>
          <w:szCs w:val="24"/>
        </w:rPr>
        <w:t xml:space="preserve">These </w:t>
      </w:r>
      <w:r w:rsidR="008A17D3" w:rsidRPr="004E4099">
        <w:rPr>
          <w:rFonts w:ascii="Garamond" w:hAnsi="Garamond"/>
          <w:szCs w:val="24"/>
        </w:rPr>
        <w:t>assertions</w:t>
      </w:r>
      <w:r w:rsidRPr="004E4099">
        <w:rPr>
          <w:rFonts w:ascii="Garamond" w:hAnsi="Garamond"/>
          <w:szCs w:val="24"/>
        </w:rPr>
        <w:t xml:space="preserve"> are not </w:t>
      </w:r>
      <w:r w:rsidR="00930730">
        <w:rPr>
          <w:rFonts w:ascii="Garamond" w:hAnsi="Garamond"/>
          <w:szCs w:val="24"/>
        </w:rPr>
        <w:t xml:space="preserve">fully </w:t>
      </w:r>
      <w:r w:rsidRPr="004E4099">
        <w:rPr>
          <w:rFonts w:ascii="Garamond" w:hAnsi="Garamond"/>
          <w:szCs w:val="24"/>
        </w:rPr>
        <w:t xml:space="preserve">supported by </w:t>
      </w:r>
      <w:r w:rsidR="00811581" w:rsidRPr="004E4099">
        <w:rPr>
          <w:rFonts w:ascii="Garamond" w:hAnsi="Garamond"/>
          <w:szCs w:val="24"/>
        </w:rPr>
        <w:t>peer reviewed economic research or papers</w:t>
      </w:r>
      <w:r w:rsidR="008A17D3" w:rsidRPr="004E4099">
        <w:rPr>
          <w:rFonts w:ascii="Garamond" w:hAnsi="Garamond"/>
          <w:szCs w:val="24"/>
        </w:rPr>
        <w:t xml:space="preserve">, or </w:t>
      </w:r>
      <w:r w:rsidR="0067364A" w:rsidRPr="004E4099">
        <w:rPr>
          <w:rFonts w:ascii="Garamond" w:hAnsi="Garamond"/>
          <w:szCs w:val="24"/>
        </w:rPr>
        <w:t>defensible economic reports</w:t>
      </w:r>
      <w:r w:rsidR="00930730">
        <w:rPr>
          <w:rFonts w:ascii="Garamond" w:hAnsi="Garamond"/>
          <w:szCs w:val="24"/>
        </w:rPr>
        <w:t xml:space="preserve">. </w:t>
      </w:r>
      <w:r w:rsidR="007E2A8A" w:rsidRPr="004E4099">
        <w:rPr>
          <w:rFonts w:ascii="Garamond" w:hAnsi="Garamond"/>
          <w:szCs w:val="24"/>
        </w:rPr>
        <w:t xml:space="preserve">What </w:t>
      </w:r>
      <w:r w:rsidR="00B76AB8" w:rsidRPr="004E4099">
        <w:rPr>
          <w:rFonts w:ascii="Garamond" w:hAnsi="Garamond"/>
          <w:szCs w:val="24"/>
        </w:rPr>
        <w:t>has been</w:t>
      </w:r>
      <w:r w:rsidR="007E2A8A" w:rsidRPr="004E4099">
        <w:rPr>
          <w:rFonts w:ascii="Garamond" w:hAnsi="Garamond"/>
          <w:szCs w:val="24"/>
        </w:rPr>
        <w:t xml:space="preserve"> established by </w:t>
      </w:r>
      <w:r w:rsidR="0016518B" w:rsidRPr="004E4099">
        <w:rPr>
          <w:rFonts w:ascii="Garamond" w:hAnsi="Garamond"/>
          <w:szCs w:val="24"/>
        </w:rPr>
        <w:t>such work</w:t>
      </w:r>
      <w:r w:rsidR="007E2A8A" w:rsidRPr="004E4099">
        <w:rPr>
          <w:rFonts w:ascii="Garamond" w:hAnsi="Garamond"/>
          <w:szCs w:val="24"/>
        </w:rPr>
        <w:t xml:space="preserve"> concerning the voluntary purchase of water entitlements is th</w:t>
      </w:r>
      <w:r w:rsidR="00B76AB8" w:rsidRPr="004E4099">
        <w:rPr>
          <w:rFonts w:ascii="Garamond" w:hAnsi="Garamond"/>
          <w:szCs w:val="24"/>
        </w:rPr>
        <w:t>at</w:t>
      </w:r>
      <w:r w:rsidR="007E2A8A" w:rsidRPr="004E4099">
        <w:rPr>
          <w:rFonts w:ascii="Garamond" w:hAnsi="Garamond"/>
          <w:szCs w:val="24"/>
        </w:rPr>
        <w:t>:</w:t>
      </w:r>
    </w:p>
    <w:p w14:paraId="0E145581" w14:textId="77777777" w:rsidR="00EE7D98" w:rsidRPr="004E4099" w:rsidRDefault="00EE7D98" w:rsidP="00EE7D98">
      <w:pPr>
        <w:pStyle w:val="ListParagraph"/>
        <w:rPr>
          <w:rFonts w:ascii="Garamond" w:hAnsi="Garamond"/>
          <w:szCs w:val="24"/>
        </w:rPr>
      </w:pPr>
    </w:p>
    <w:p w14:paraId="47B88D74" w14:textId="2DA1DB3D" w:rsidR="002A1DDB" w:rsidRPr="004E4099" w:rsidRDefault="006C415D" w:rsidP="00B76AB8">
      <w:pPr>
        <w:pStyle w:val="ListParagraph"/>
        <w:numPr>
          <w:ilvl w:val="0"/>
          <w:numId w:val="4"/>
        </w:numPr>
        <w:rPr>
          <w:rFonts w:ascii="Garamond" w:hAnsi="Garamond"/>
          <w:szCs w:val="24"/>
        </w:rPr>
      </w:pPr>
      <w:r w:rsidRPr="004E4099">
        <w:rPr>
          <w:rFonts w:ascii="Garamond" w:hAnsi="Garamond"/>
          <w:szCs w:val="24"/>
        </w:rPr>
        <w:t>t</w:t>
      </w:r>
      <w:r w:rsidR="00C60682" w:rsidRPr="004E4099">
        <w:rPr>
          <w:rFonts w:ascii="Garamond" w:hAnsi="Garamond"/>
          <w:szCs w:val="24"/>
        </w:rPr>
        <w:t xml:space="preserve">here is no proportional relationship between a reduction in water </w:t>
      </w:r>
      <w:r w:rsidR="002A1DDB" w:rsidRPr="004E4099">
        <w:rPr>
          <w:rFonts w:ascii="Garamond" w:hAnsi="Garamond"/>
          <w:szCs w:val="24"/>
        </w:rPr>
        <w:t>use and a reduction in agricultural production</w:t>
      </w:r>
      <w:r w:rsidR="00DB5AB0" w:rsidRPr="004E4099">
        <w:rPr>
          <w:rFonts w:ascii="Garamond" w:hAnsi="Garamond"/>
          <w:szCs w:val="24"/>
        </w:rPr>
        <w:t xml:space="preserve"> (</w:t>
      </w:r>
      <w:r w:rsidR="00D7425C" w:rsidRPr="004E4099">
        <w:rPr>
          <w:rFonts w:ascii="Garamond" w:hAnsi="Garamond"/>
          <w:szCs w:val="24"/>
        </w:rPr>
        <w:t xml:space="preserve">and </w:t>
      </w:r>
      <w:r w:rsidR="0084666A" w:rsidRPr="004E4099">
        <w:rPr>
          <w:rFonts w:ascii="Garamond" w:hAnsi="Garamond"/>
          <w:szCs w:val="24"/>
        </w:rPr>
        <w:t>the assertion of such a relationship could be debunked by an “economics undergraduate</w:t>
      </w:r>
      <w:r w:rsidR="0084666A" w:rsidRPr="004E4099">
        <w:rPr>
          <w:rStyle w:val="FootnoteReference"/>
          <w:rFonts w:ascii="Garamond" w:hAnsi="Garamond"/>
          <w:szCs w:val="24"/>
        </w:rPr>
        <w:footnoteReference w:id="23"/>
      </w:r>
      <w:r w:rsidR="0084666A" w:rsidRPr="004E4099">
        <w:rPr>
          <w:rFonts w:ascii="Garamond" w:hAnsi="Garamond"/>
          <w:szCs w:val="24"/>
        </w:rPr>
        <w:t>)</w:t>
      </w:r>
      <w:r w:rsidR="002A1DDB" w:rsidRPr="004E4099">
        <w:rPr>
          <w:rFonts w:ascii="Garamond" w:hAnsi="Garamond"/>
          <w:szCs w:val="24"/>
        </w:rPr>
        <w:t>; and</w:t>
      </w:r>
    </w:p>
    <w:p w14:paraId="75DE5EB9" w14:textId="658202F6" w:rsidR="00EE7D98" w:rsidRPr="004E4099" w:rsidRDefault="003A5A08" w:rsidP="00B76AB8">
      <w:pPr>
        <w:pStyle w:val="ListParagraph"/>
        <w:numPr>
          <w:ilvl w:val="0"/>
          <w:numId w:val="4"/>
        </w:numPr>
        <w:rPr>
          <w:rFonts w:ascii="Garamond" w:hAnsi="Garamond"/>
          <w:szCs w:val="24"/>
        </w:rPr>
      </w:pPr>
      <w:r w:rsidRPr="004E4099">
        <w:rPr>
          <w:rFonts w:ascii="Garamond" w:hAnsi="Garamond"/>
          <w:szCs w:val="24"/>
        </w:rPr>
        <w:t>buying water is by many factors cheaper</w:t>
      </w:r>
      <w:r w:rsidR="00B76AB8" w:rsidRPr="004E4099">
        <w:rPr>
          <w:rFonts w:ascii="Garamond" w:hAnsi="Garamond"/>
          <w:szCs w:val="24"/>
        </w:rPr>
        <w:t xml:space="preserve"> to </w:t>
      </w:r>
      <w:r w:rsidR="00F17108" w:rsidRPr="004E4099">
        <w:rPr>
          <w:rFonts w:ascii="Garamond" w:hAnsi="Garamond"/>
          <w:szCs w:val="24"/>
        </w:rPr>
        <w:t>government (and hence all taxpayers)</w:t>
      </w:r>
      <w:r w:rsidRPr="004E4099">
        <w:rPr>
          <w:rFonts w:ascii="Garamond" w:hAnsi="Garamond"/>
          <w:szCs w:val="24"/>
        </w:rPr>
        <w:t xml:space="preserve"> than seeking to recover it through efficiency measure infrastructure upgrades</w:t>
      </w:r>
      <w:r w:rsidR="00EE7D98" w:rsidRPr="004E4099">
        <w:rPr>
          <w:rFonts w:ascii="Garamond" w:hAnsi="Garamond"/>
          <w:szCs w:val="24"/>
        </w:rPr>
        <w:t>;</w:t>
      </w:r>
      <w:r w:rsidR="00B76AB8" w:rsidRPr="004E4099">
        <w:rPr>
          <w:rFonts w:ascii="Garamond" w:hAnsi="Garamond"/>
          <w:szCs w:val="24"/>
        </w:rPr>
        <w:t xml:space="preserve"> and</w:t>
      </w:r>
    </w:p>
    <w:p w14:paraId="5488180B" w14:textId="07DD5DDD" w:rsidR="00B76AB8" w:rsidRPr="004E4099" w:rsidRDefault="00EE7D98" w:rsidP="00B76AB8">
      <w:pPr>
        <w:pStyle w:val="ListParagraph"/>
        <w:numPr>
          <w:ilvl w:val="0"/>
          <w:numId w:val="4"/>
        </w:numPr>
        <w:rPr>
          <w:rFonts w:ascii="Garamond" w:hAnsi="Garamond"/>
          <w:szCs w:val="24"/>
        </w:rPr>
      </w:pPr>
      <w:r w:rsidRPr="004E4099">
        <w:rPr>
          <w:rFonts w:ascii="Garamond" w:hAnsi="Garamond"/>
          <w:szCs w:val="24"/>
        </w:rPr>
        <w:t>the money obtained from sales of water entitlements</w:t>
      </w:r>
      <w:r w:rsidR="00202F0D" w:rsidRPr="004E4099">
        <w:rPr>
          <w:rFonts w:ascii="Garamond" w:hAnsi="Garamond"/>
          <w:szCs w:val="24"/>
        </w:rPr>
        <w:t xml:space="preserve"> in the past</w:t>
      </w:r>
      <w:r w:rsidRPr="004E4099">
        <w:rPr>
          <w:rFonts w:ascii="Garamond" w:hAnsi="Garamond"/>
          <w:szCs w:val="24"/>
        </w:rPr>
        <w:t xml:space="preserve"> was almost always spent locally</w:t>
      </w:r>
      <w:r w:rsidR="00A85610" w:rsidRPr="004E4099">
        <w:rPr>
          <w:rFonts w:ascii="Garamond" w:hAnsi="Garamond"/>
          <w:szCs w:val="24"/>
        </w:rPr>
        <w:t>;</w:t>
      </w:r>
      <w:r w:rsidR="00B76AB8" w:rsidRPr="004E4099">
        <w:rPr>
          <w:rFonts w:ascii="Garamond" w:hAnsi="Garamond"/>
          <w:szCs w:val="24"/>
        </w:rPr>
        <w:t xml:space="preserve"> and</w:t>
      </w:r>
    </w:p>
    <w:p w14:paraId="36768145" w14:textId="08E75D53" w:rsidR="002A1DDB" w:rsidRPr="004E4099" w:rsidRDefault="002A1DDB" w:rsidP="00B76AB8">
      <w:pPr>
        <w:pStyle w:val="ListParagraph"/>
        <w:numPr>
          <w:ilvl w:val="0"/>
          <w:numId w:val="4"/>
        </w:numPr>
        <w:rPr>
          <w:rFonts w:ascii="Garamond" w:hAnsi="Garamond"/>
          <w:szCs w:val="24"/>
        </w:rPr>
      </w:pPr>
      <w:r w:rsidRPr="004E4099">
        <w:rPr>
          <w:rFonts w:ascii="Garamond" w:hAnsi="Garamond"/>
          <w:szCs w:val="24"/>
        </w:rPr>
        <w:t>a majority of farmers/irrigators sold only a partial entitlement,</w:t>
      </w:r>
      <w:r w:rsidR="00E71BED" w:rsidRPr="004E4099">
        <w:rPr>
          <w:rFonts w:ascii="Garamond" w:hAnsi="Garamond"/>
          <w:szCs w:val="24"/>
        </w:rPr>
        <w:t xml:space="preserve"> kept their delivery rights, and remained in farming/irrigation; and</w:t>
      </w:r>
    </w:p>
    <w:p w14:paraId="7FFA0FB6" w14:textId="77777777" w:rsidR="00B76AB8" w:rsidRPr="004E4099" w:rsidRDefault="00A85610" w:rsidP="00B76AB8">
      <w:pPr>
        <w:pStyle w:val="ListParagraph"/>
        <w:numPr>
          <w:ilvl w:val="0"/>
          <w:numId w:val="4"/>
        </w:numPr>
        <w:rPr>
          <w:rFonts w:ascii="Garamond" w:hAnsi="Garamond"/>
          <w:szCs w:val="24"/>
        </w:rPr>
      </w:pPr>
      <w:r w:rsidRPr="004E4099">
        <w:rPr>
          <w:rFonts w:ascii="Garamond" w:hAnsi="Garamond"/>
          <w:szCs w:val="24"/>
        </w:rPr>
        <w:t>resulting reductions and debt meant people had more money to spend locally</w:t>
      </w:r>
      <w:r w:rsidR="00861884" w:rsidRPr="004E4099">
        <w:rPr>
          <w:rFonts w:ascii="Garamond" w:hAnsi="Garamond"/>
          <w:szCs w:val="24"/>
        </w:rPr>
        <w:t>;</w:t>
      </w:r>
      <w:r w:rsidR="00B76AB8" w:rsidRPr="004E4099">
        <w:rPr>
          <w:rFonts w:ascii="Garamond" w:hAnsi="Garamond"/>
          <w:szCs w:val="24"/>
        </w:rPr>
        <w:t xml:space="preserve"> and</w:t>
      </w:r>
    </w:p>
    <w:p w14:paraId="5AC95E7C" w14:textId="7D5731E7" w:rsidR="00320F7F" w:rsidRPr="004E4099" w:rsidRDefault="00320F7F" w:rsidP="00B76AB8">
      <w:pPr>
        <w:pStyle w:val="ListParagraph"/>
        <w:numPr>
          <w:ilvl w:val="0"/>
          <w:numId w:val="4"/>
        </w:numPr>
        <w:rPr>
          <w:rFonts w:ascii="Garamond" w:hAnsi="Garamond"/>
          <w:szCs w:val="24"/>
        </w:rPr>
      </w:pPr>
      <w:r w:rsidRPr="004E4099">
        <w:rPr>
          <w:rFonts w:ascii="Garamond" w:hAnsi="Garamond"/>
          <w:szCs w:val="24"/>
        </w:rPr>
        <w:t xml:space="preserve">the economic impacts in rural and regional Australia from things like technological change and mechanisation (alone), </w:t>
      </w:r>
      <w:r w:rsidR="00A93BB7" w:rsidRPr="004E4099">
        <w:rPr>
          <w:rFonts w:ascii="Garamond" w:hAnsi="Garamond"/>
          <w:szCs w:val="24"/>
        </w:rPr>
        <w:t>increased urbanisation, changes in soil condition</w:t>
      </w:r>
      <w:r w:rsidR="00905FF2" w:rsidRPr="004E4099">
        <w:rPr>
          <w:rFonts w:ascii="Garamond" w:hAnsi="Garamond"/>
          <w:szCs w:val="24"/>
        </w:rPr>
        <w:t>,</w:t>
      </w:r>
      <w:r w:rsidR="00A93BB7" w:rsidRPr="004E4099">
        <w:rPr>
          <w:rFonts w:ascii="Garamond" w:hAnsi="Garamond"/>
          <w:szCs w:val="24"/>
        </w:rPr>
        <w:t xml:space="preserve"> and fluctuations in commodity prices are far greater than any impact of the Basin Plan: and</w:t>
      </w:r>
      <w:r w:rsidRPr="004E4099">
        <w:rPr>
          <w:rFonts w:ascii="Garamond" w:hAnsi="Garamond"/>
          <w:szCs w:val="24"/>
        </w:rPr>
        <w:t xml:space="preserve"> </w:t>
      </w:r>
    </w:p>
    <w:p w14:paraId="7D762880" w14:textId="2017EF18" w:rsidR="00667C17" w:rsidRPr="004E4099" w:rsidRDefault="00861884" w:rsidP="005F47DD">
      <w:pPr>
        <w:pStyle w:val="ListParagraph"/>
        <w:numPr>
          <w:ilvl w:val="0"/>
          <w:numId w:val="4"/>
        </w:numPr>
        <w:rPr>
          <w:rFonts w:ascii="Garamond" w:hAnsi="Garamond"/>
          <w:szCs w:val="24"/>
        </w:rPr>
      </w:pPr>
      <w:r w:rsidRPr="004E4099">
        <w:rPr>
          <w:rFonts w:ascii="Garamond" w:hAnsi="Garamond"/>
          <w:szCs w:val="24"/>
        </w:rPr>
        <w:lastRenderedPageBreak/>
        <w:t>water entitlement purchases are a more certain means of recovering water</w:t>
      </w:r>
      <w:r w:rsidR="00B12843" w:rsidRPr="004E4099">
        <w:rPr>
          <w:rStyle w:val="FootnoteReference"/>
          <w:rFonts w:ascii="Garamond" w:hAnsi="Garamond"/>
          <w:szCs w:val="24"/>
        </w:rPr>
        <w:footnoteReference w:id="24"/>
      </w:r>
      <w:r w:rsidR="00905FF2" w:rsidRPr="004E4099">
        <w:rPr>
          <w:rFonts w:ascii="Garamond" w:hAnsi="Garamond"/>
          <w:szCs w:val="24"/>
        </w:rPr>
        <w:t>.</w:t>
      </w:r>
    </w:p>
    <w:p w14:paraId="68EFDBF3" w14:textId="77777777" w:rsidR="00963681" w:rsidRPr="004E4099" w:rsidRDefault="00963681" w:rsidP="000A257F">
      <w:pPr>
        <w:rPr>
          <w:rFonts w:ascii="Garamond" w:hAnsi="Garamond"/>
          <w:szCs w:val="24"/>
        </w:rPr>
      </w:pPr>
    </w:p>
    <w:p w14:paraId="300FC084" w14:textId="0DBF159E" w:rsidR="00930730" w:rsidRDefault="00930730" w:rsidP="00A50E27">
      <w:pPr>
        <w:pStyle w:val="ListParagraph"/>
        <w:numPr>
          <w:ilvl w:val="0"/>
          <w:numId w:val="1"/>
        </w:numPr>
        <w:rPr>
          <w:rFonts w:ascii="Garamond" w:hAnsi="Garamond"/>
          <w:szCs w:val="24"/>
        </w:rPr>
      </w:pPr>
      <w:r>
        <w:rPr>
          <w:rFonts w:ascii="Garamond" w:hAnsi="Garamond"/>
          <w:szCs w:val="24"/>
        </w:rPr>
        <w:t xml:space="preserve">The Commission addressed the impacts and effects of recovering water for the environment in its 2018 Assessment: see especially pages 109-117. I would defer to the Commissions work in relation to some districts or towns that suffered adverse consequences from water recovery for the environment, not all of which was perhaps </w:t>
      </w:r>
      <w:r w:rsidR="004F18DE">
        <w:rPr>
          <w:rFonts w:ascii="Garamond" w:hAnsi="Garamond"/>
          <w:szCs w:val="24"/>
        </w:rPr>
        <w:t>done</w:t>
      </w:r>
      <w:r>
        <w:rPr>
          <w:rFonts w:ascii="Garamond" w:hAnsi="Garamond"/>
          <w:szCs w:val="24"/>
        </w:rPr>
        <w:t xml:space="preserve"> strategically in the past. I note however that when the Basin Plan and Water Act were first discussed, it was anticipated that such a large reform </w:t>
      </w:r>
      <w:r w:rsidR="004F18DE">
        <w:rPr>
          <w:rFonts w:ascii="Garamond" w:hAnsi="Garamond"/>
          <w:szCs w:val="24"/>
        </w:rPr>
        <w:t>would</w:t>
      </w:r>
      <w:r>
        <w:rPr>
          <w:rFonts w:ascii="Garamond" w:hAnsi="Garamond"/>
          <w:szCs w:val="24"/>
        </w:rPr>
        <w:t xml:space="preserve"> almost certainly have some negative impacts for some towns or irrigation districts. This is perhaps stating no more than that large environmental and economic reform has positive and negative consequences. The idea was though for structural adjustment, </w:t>
      </w:r>
      <w:r w:rsidR="000425B0">
        <w:rPr>
          <w:rFonts w:ascii="Garamond" w:hAnsi="Garamond"/>
          <w:szCs w:val="24"/>
        </w:rPr>
        <w:t xml:space="preserve">and </w:t>
      </w:r>
      <w:r>
        <w:rPr>
          <w:rFonts w:ascii="Garamond" w:hAnsi="Garamond"/>
          <w:szCs w:val="24"/>
        </w:rPr>
        <w:t xml:space="preserve">not to leave affected areas unassisted or ignored. That, as a matter of obviousness, </w:t>
      </w:r>
      <w:r w:rsidR="004F18DE">
        <w:rPr>
          <w:rFonts w:ascii="Garamond" w:hAnsi="Garamond"/>
          <w:szCs w:val="24"/>
        </w:rPr>
        <w:t>should</w:t>
      </w:r>
      <w:r>
        <w:rPr>
          <w:rFonts w:ascii="Garamond" w:hAnsi="Garamond"/>
          <w:szCs w:val="24"/>
        </w:rPr>
        <w:t xml:space="preserve"> not happen.</w:t>
      </w:r>
    </w:p>
    <w:p w14:paraId="6657FEDC" w14:textId="77777777" w:rsidR="00930730" w:rsidRDefault="00930730" w:rsidP="00930730">
      <w:pPr>
        <w:pStyle w:val="ListParagraph"/>
        <w:rPr>
          <w:rFonts w:ascii="Garamond" w:hAnsi="Garamond"/>
          <w:szCs w:val="24"/>
        </w:rPr>
      </w:pPr>
    </w:p>
    <w:p w14:paraId="1F2EF390" w14:textId="00574C1E" w:rsidR="00270462" w:rsidRPr="004E4099" w:rsidRDefault="002D75CC" w:rsidP="00A50E27">
      <w:pPr>
        <w:pStyle w:val="ListParagraph"/>
        <w:numPr>
          <w:ilvl w:val="0"/>
          <w:numId w:val="1"/>
        </w:numPr>
        <w:rPr>
          <w:rFonts w:ascii="Garamond" w:hAnsi="Garamond"/>
          <w:szCs w:val="24"/>
        </w:rPr>
      </w:pPr>
      <w:r w:rsidRPr="004E4099">
        <w:rPr>
          <w:rFonts w:ascii="Garamond" w:hAnsi="Garamond"/>
          <w:szCs w:val="24"/>
        </w:rPr>
        <w:t>Often f</w:t>
      </w:r>
      <w:r w:rsidR="00963681" w:rsidRPr="004E4099">
        <w:rPr>
          <w:rFonts w:ascii="Garamond" w:hAnsi="Garamond"/>
          <w:szCs w:val="24"/>
        </w:rPr>
        <w:t>orgotte</w:t>
      </w:r>
      <w:r w:rsidR="00F5062B" w:rsidRPr="004E4099">
        <w:rPr>
          <w:rFonts w:ascii="Garamond" w:hAnsi="Garamond"/>
          <w:szCs w:val="24"/>
        </w:rPr>
        <w:t>n</w:t>
      </w:r>
      <w:r w:rsidR="00963681" w:rsidRPr="004E4099">
        <w:rPr>
          <w:rFonts w:ascii="Garamond" w:hAnsi="Garamond"/>
          <w:szCs w:val="24"/>
        </w:rPr>
        <w:t xml:space="preserve"> in the debate </w:t>
      </w:r>
      <w:r w:rsidR="00F5062B" w:rsidRPr="004E4099">
        <w:rPr>
          <w:rFonts w:ascii="Garamond" w:hAnsi="Garamond"/>
          <w:szCs w:val="24"/>
        </w:rPr>
        <w:t xml:space="preserve">concerning the voluntary purchase of water </w:t>
      </w:r>
      <w:r w:rsidR="00963681" w:rsidRPr="004E4099">
        <w:rPr>
          <w:rFonts w:ascii="Garamond" w:hAnsi="Garamond"/>
          <w:szCs w:val="24"/>
        </w:rPr>
        <w:t xml:space="preserve">is the economic value of recovering </w:t>
      </w:r>
      <w:r w:rsidR="00F5062B" w:rsidRPr="004E4099">
        <w:rPr>
          <w:rFonts w:ascii="Garamond" w:hAnsi="Garamond"/>
          <w:szCs w:val="24"/>
        </w:rPr>
        <w:t>it</w:t>
      </w:r>
      <w:r w:rsidR="00963681" w:rsidRPr="004E4099">
        <w:rPr>
          <w:rFonts w:ascii="Garamond" w:hAnsi="Garamond"/>
          <w:szCs w:val="24"/>
        </w:rPr>
        <w:t xml:space="preserve"> for the environment.  </w:t>
      </w:r>
      <w:r w:rsidR="00A23413" w:rsidRPr="004E4099">
        <w:rPr>
          <w:rFonts w:ascii="Garamond" w:hAnsi="Garamond"/>
          <w:szCs w:val="24"/>
        </w:rPr>
        <w:t xml:space="preserve">Almost every report prepared on the </w:t>
      </w:r>
      <w:r w:rsidR="00507B04" w:rsidRPr="004E4099">
        <w:rPr>
          <w:rFonts w:ascii="Garamond" w:hAnsi="Garamond"/>
          <w:szCs w:val="24"/>
        </w:rPr>
        <w:t>economic impacts of water recovery has neglected the non-market</w:t>
      </w:r>
      <w:r w:rsidR="0043345C" w:rsidRPr="004E4099">
        <w:rPr>
          <w:rFonts w:ascii="Garamond" w:hAnsi="Garamond"/>
          <w:szCs w:val="24"/>
        </w:rPr>
        <w:t xml:space="preserve"> benefits of the recovery of </w:t>
      </w:r>
      <w:r w:rsidR="00454691" w:rsidRPr="004E4099">
        <w:rPr>
          <w:rFonts w:ascii="Garamond" w:hAnsi="Garamond"/>
          <w:szCs w:val="24"/>
        </w:rPr>
        <w:t xml:space="preserve">water for the environment. </w:t>
      </w:r>
      <w:r w:rsidR="006A42F2" w:rsidRPr="004E4099">
        <w:rPr>
          <w:rFonts w:ascii="Garamond" w:hAnsi="Garamond"/>
          <w:szCs w:val="24"/>
        </w:rPr>
        <w:t xml:space="preserve">The </w:t>
      </w:r>
      <w:r w:rsidR="006A42F2" w:rsidRPr="000425B0">
        <w:rPr>
          <w:rFonts w:ascii="Garamond" w:hAnsi="Garamond"/>
          <w:szCs w:val="24"/>
        </w:rPr>
        <w:t>Water Act</w:t>
      </w:r>
      <w:r w:rsidR="006A42F2" w:rsidRPr="004E4099">
        <w:rPr>
          <w:rFonts w:ascii="Garamond" w:hAnsi="Garamond"/>
          <w:szCs w:val="24"/>
        </w:rPr>
        <w:t xml:space="preserve"> and Basin Plan seek to protect and restore the rivers, </w:t>
      </w:r>
      <w:r w:rsidR="00057961" w:rsidRPr="004E4099">
        <w:rPr>
          <w:rFonts w:ascii="Garamond" w:hAnsi="Garamond"/>
          <w:szCs w:val="24"/>
        </w:rPr>
        <w:t>wetlands,</w:t>
      </w:r>
      <w:r w:rsidR="006A42F2" w:rsidRPr="004E4099">
        <w:rPr>
          <w:rFonts w:ascii="Garamond" w:hAnsi="Garamond"/>
          <w:szCs w:val="24"/>
        </w:rPr>
        <w:t xml:space="preserve"> and watercourses of the Murray-Darling Basin</w:t>
      </w:r>
      <w:r w:rsidR="007B0068" w:rsidRPr="004E4099">
        <w:rPr>
          <w:rStyle w:val="FootnoteReference"/>
          <w:rFonts w:ascii="Garamond" w:hAnsi="Garamond"/>
          <w:szCs w:val="24"/>
        </w:rPr>
        <w:footnoteReference w:id="25"/>
      </w:r>
      <w:r w:rsidR="006A42F2" w:rsidRPr="004E4099">
        <w:rPr>
          <w:rFonts w:ascii="Garamond" w:hAnsi="Garamond"/>
          <w:szCs w:val="24"/>
        </w:rPr>
        <w:t xml:space="preserve">. </w:t>
      </w:r>
      <w:r w:rsidR="007B0068" w:rsidRPr="004E4099">
        <w:rPr>
          <w:rFonts w:ascii="Garamond" w:hAnsi="Garamond"/>
          <w:szCs w:val="24"/>
        </w:rPr>
        <w:t xml:space="preserve">Some people might consider this a moral obligation, not just a legislative one. It is certainly part of the concept of intergenerational equity, itself an aspect of “environmentally sustainable development” (ESD). </w:t>
      </w:r>
      <w:r w:rsidR="00096E38" w:rsidRPr="004E4099">
        <w:rPr>
          <w:rFonts w:ascii="Garamond" w:hAnsi="Garamond"/>
          <w:szCs w:val="24"/>
        </w:rPr>
        <w:t>Are healthy rivers and wetlands (many of international significance) of no value?</w:t>
      </w:r>
    </w:p>
    <w:p w14:paraId="01807522" w14:textId="77777777" w:rsidR="00270462" w:rsidRPr="004E4099" w:rsidRDefault="00270462" w:rsidP="00270462">
      <w:pPr>
        <w:pStyle w:val="ListParagraph"/>
        <w:rPr>
          <w:rFonts w:ascii="Garamond" w:hAnsi="Garamond"/>
          <w:szCs w:val="24"/>
        </w:rPr>
      </w:pPr>
    </w:p>
    <w:p w14:paraId="6AC53D72" w14:textId="1D1D2FB1" w:rsidR="001B5AB1" w:rsidRPr="004E4099" w:rsidRDefault="007B0068" w:rsidP="00D15559">
      <w:pPr>
        <w:pStyle w:val="ListParagraph"/>
        <w:numPr>
          <w:ilvl w:val="0"/>
          <w:numId w:val="1"/>
        </w:numPr>
        <w:rPr>
          <w:rFonts w:ascii="Garamond" w:hAnsi="Garamond"/>
          <w:szCs w:val="24"/>
        </w:rPr>
      </w:pPr>
      <w:r w:rsidRPr="004E4099">
        <w:rPr>
          <w:rFonts w:ascii="Garamond" w:hAnsi="Garamond"/>
          <w:szCs w:val="24"/>
        </w:rPr>
        <w:t xml:space="preserve">The principles of ESD are matters the MDBA was bound to take into account when preparing the Basin </w:t>
      </w:r>
      <w:proofErr w:type="gramStart"/>
      <w:r w:rsidRPr="004E4099">
        <w:rPr>
          <w:rFonts w:ascii="Garamond" w:hAnsi="Garamond"/>
          <w:szCs w:val="24"/>
        </w:rPr>
        <w:t>Plan, and</w:t>
      </w:r>
      <w:proofErr w:type="gramEnd"/>
      <w:r w:rsidRPr="004E4099">
        <w:rPr>
          <w:rFonts w:ascii="Garamond" w:hAnsi="Garamond"/>
          <w:szCs w:val="24"/>
        </w:rPr>
        <w:t xml:space="preserve"> must also be taking into account by the relevant Minister: </w:t>
      </w:r>
      <w:r w:rsidRPr="004E4099">
        <w:rPr>
          <w:rFonts w:ascii="Garamond" w:hAnsi="Garamond"/>
          <w:i/>
          <w:iCs/>
          <w:szCs w:val="24"/>
        </w:rPr>
        <w:t>Water Act</w:t>
      </w:r>
      <w:r w:rsidRPr="004E4099">
        <w:rPr>
          <w:rFonts w:ascii="Garamond" w:hAnsi="Garamond"/>
          <w:szCs w:val="24"/>
        </w:rPr>
        <w:t xml:space="preserve"> s.21(4)(a). </w:t>
      </w:r>
      <w:r w:rsidR="00270462" w:rsidRPr="004E4099">
        <w:rPr>
          <w:rFonts w:ascii="Garamond" w:hAnsi="Garamond"/>
          <w:szCs w:val="24"/>
        </w:rPr>
        <w:t xml:space="preserve">Accepting </w:t>
      </w:r>
      <w:r w:rsidRPr="004E4099">
        <w:rPr>
          <w:rFonts w:ascii="Garamond" w:hAnsi="Garamond"/>
          <w:szCs w:val="24"/>
        </w:rPr>
        <w:t xml:space="preserve">though that </w:t>
      </w:r>
      <w:r w:rsidR="00270462" w:rsidRPr="004E4099">
        <w:rPr>
          <w:rFonts w:ascii="Garamond" w:hAnsi="Garamond"/>
          <w:szCs w:val="24"/>
        </w:rPr>
        <w:t>money is very important, t</w:t>
      </w:r>
      <w:r w:rsidR="00963681" w:rsidRPr="004E4099">
        <w:rPr>
          <w:rFonts w:ascii="Garamond" w:hAnsi="Garamond"/>
          <w:szCs w:val="24"/>
        </w:rPr>
        <w:t>here is real economic value associated with increased environmental flows</w:t>
      </w:r>
      <w:r w:rsidR="001F0A74" w:rsidRPr="004E4099">
        <w:rPr>
          <w:rFonts w:ascii="Garamond" w:hAnsi="Garamond"/>
          <w:szCs w:val="24"/>
        </w:rPr>
        <w:t>.</w:t>
      </w:r>
      <w:r w:rsidR="006274D4" w:rsidRPr="004E4099">
        <w:rPr>
          <w:rFonts w:ascii="Garamond" w:hAnsi="Garamond"/>
          <w:szCs w:val="24"/>
        </w:rPr>
        <w:t xml:space="preserve"> It seems however this is another fact that can be ignored by those that do not support further </w:t>
      </w:r>
      <w:r w:rsidRPr="004E4099">
        <w:rPr>
          <w:rFonts w:ascii="Garamond" w:hAnsi="Garamond"/>
          <w:szCs w:val="24"/>
        </w:rPr>
        <w:t>lawfully required</w:t>
      </w:r>
      <w:r w:rsidR="006274D4" w:rsidRPr="004E4099">
        <w:rPr>
          <w:rFonts w:ascii="Garamond" w:hAnsi="Garamond"/>
          <w:szCs w:val="24"/>
        </w:rPr>
        <w:t xml:space="preserve"> water recovery for the environment.</w:t>
      </w:r>
      <w:r w:rsidR="00927128" w:rsidRPr="004E4099">
        <w:rPr>
          <w:rFonts w:ascii="Garamond" w:hAnsi="Garamond"/>
          <w:szCs w:val="24"/>
        </w:rPr>
        <w:t xml:space="preserve"> That does however mean </w:t>
      </w:r>
      <w:r w:rsidRPr="004E4099">
        <w:rPr>
          <w:rFonts w:ascii="Garamond" w:hAnsi="Garamond"/>
          <w:szCs w:val="24"/>
        </w:rPr>
        <w:t>relegating almost to insignificance</w:t>
      </w:r>
      <w:r w:rsidR="00927128" w:rsidRPr="004E4099">
        <w:rPr>
          <w:rFonts w:ascii="Garamond" w:hAnsi="Garamond"/>
          <w:szCs w:val="24"/>
        </w:rPr>
        <w:t xml:space="preserve"> that </w:t>
      </w:r>
      <w:r w:rsidR="00CE2EF6" w:rsidRPr="004E4099">
        <w:rPr>
          <w:rFonts w:ascii="Garamond" w:hAnsi="Garamond"/>
          <w:szCs w:val="24"/>
        </w:rPr>
        <w:t xml:space="preserve">post the millennium drought </w:t>
      </w:r>
      <w:r w:rsidR="002B2969" w:rsidRPr="004E4099">
        <w:rPr>
          <w:rFonts w:ascii="Garamond" w:hAnsi="Garamond"/>
          <w:szCs w:val="24"/>
        </w:rPr>
        <w:t xml:space="preserve">domestic tourists alone made more than 17 million trips to the Basin, staying a total of 50 million nights, and generating </w:t>
      </w:r>
      <w:r w:rsidR="00033894" w:rsidRPr="004E4099">
        <w:rPr>
          <w:rFonts w:ascii="Garamond" w:hAnsi="Garamond"/>
          <w:szCs w:val="24"/>
        </w:rPr>
        <w:t>more than $6.5 billion in revenue. Expenditure from international tour</w:t>
      </w:r>
      <w:r w:rsidR="008749D5" w:rsidRPr="004E4099">
        <w:rPr>
          <w:rFonts w:ascii="Garamond" w:hAnsi="Garamond"/>
          <w:szCs w:val="24"/>
        </w:rPr>
        <w:t>ists amounts to about a billion.</w:t>
      </w:r>
      <w:r w:rsidR="002469BF" w:rsidRPr="004E4099">
        <w:rPr>
          <w:rStyle w:val="FootnoteReference"/>
          <w:rFonts w:ascii="Garamond" w:hAnsi="Garamond"/>
          <w:szCs w:val="24"/>
        </w:rPr>
        <w:footnoteReference w:id="26"/>
      </w:r>
      <w:r w:rsidR="00E672F1" w:rsidRPr="004E4099">
        <w:rPr>
          <w:rFonts w:ascii="Garamond" w:hAnsi="Garamond"/>
          <w:szCs w:val="24"/>
        </w:rPr>
        <w:t xml:space="preserve"> The direct and </w:t>
      </w:r>
      <w:r w:rsidR="00E672F1" w:rsidRPr="004E4099">
        <w:rPr>
          <w:rFonts w:ascii="Garamond" w:hAnsi="Garamond"/>
          <w:szCs w:val="24"/>
        </w:rPr>
        <w:lastRenderedPageBreak/>
        <w:t>indirect economic activity from tourism in the NSW and Victorian Murray regions alone amounts to hundreds of millions of dollars.</w:t>
      </w:r>
      <w:r w:rsidR="00E672F1" w:rsidRPr="004E4099">
        <w:rPr>
          <w:rStyle w:val="FootnoteReference"/>
          <w:rFonts w:ascii="Garamond" w:hAnsi="Garamond"/>
          <w:szCs w:val="24"/>
        </w:rPr>
        <w:footnoteReference w:id="27"/>
      </w:r>
      <w:r w:rsidR="00E14BB9" w:rsidRPr="004E4099">
        <w:rPr>
          <w:rFonts w:ascii="Garamond" w:hAnsi="Garamond"/>
          <w:szCs w:val="24"/>
        </w:rPr>
        <w:t xml:space="preserve">Presumably none of these tourists came to see dead fish, </w:t>
      </w:r>
      <w:r w:rsidR="00F145B9" w:rsidRPr="004E4099">
        <w:rPr>
          <w:rFonts w:ascii="Garamond" w:hAnsi="Garamond"/>
          <w:szCs w:val="24"/>
        </w:rPr>
        <w:t xml:space="preserve">algal blooms, </w:t>
      </w:r>
      <w:r w:rsidR="005332A1" w:rsidRPr="004E4099">
        <w:rPr>
          <w:rFonts w:ascii="Garamond" w:hAnsi="Garamond"/>
          <w:szCs w:val="24"/>
        </w:rPr>
        <w:t>dead trees</w:t>
      </w:r>
      <w:r w:rsidRPr="004E4099">
        <w:rPr>
          <w:rFonts w:ascii="Garamond" w:hAnsi="Garamond"/>
          <w:szCs w:val="24"/>
        </w:rPr>
        <w:t>,</w:t>
      </w:r>
      <w:r w:rsidR="005332A1" w:rsidRPr="004E4099">
        <w:rPr>
          <w:rFonts w:ascii="Garamond" w:hAnsi="Garamond"/>
          <w:szCs w:val="24"/>
        </w:rPr>
        <w:t xml:space="preserve"> </w:t>
      </w:r>
      <w:r w:rsidR="00E14BB9" w:rsidRPr="004E4099">
        <w:rPr>
          <w:rFonts w:ascii="Garamond" w:hAnsi="Garamond"/>
          <w:szCs w:val="24"/>
        </w:rPr>
        <w:t>or degraded wetlands.</w:t>
      </w:r>
      <w:r w:rsidR="007527A0" w:rsidRPr="004E4099">
        <w:rPr>
          <w:rFonts w:ascii="Garamond" w:hAnsi="Garamond"/>
          <w:szCs w:val="24"/>
        </w:rPr>
        <w:t xml:space="preserve"> As a matter of obviousness, </w:t>
      </w:r>
      <w:r w:rsidR="00B503C2" w:rsidRPr="004E4099">
        <w:rPr>
          <w:rFonts w:ascii="Garamond" w:hAnsi="Garamond"/>
          <w:szCs w:val="24"/>
        </w:rPr>
        <w:t xml:space="preserve">tourism in the Basin is heavily dependent on the health </w:t>
      </w:r>
      <w:r w:rsidR="008B7166" w:rsidRPr="004E4099">
        <w:rPr>
          <w:rFonts w:ascii="Garamond" w:hAnsi="Garamond"/>
          <w:szCs w:val="24"/>
        </w:rPr>
        <w:t>and wildlife of its watercourses and wetlands</w:t>
      </w:r>
      <w:r w:rsidR="00A244A6" w:rsidRPr="004E4099">
        <w:rPr>
          <w:rFonts w:ascii="Garamond" w:hAnsi="Garamond"/>
          <w:szCs w:val="24"/>
        </w:rPr>
        <w:t>.</w:t>
      </w:r>
    </w:p>
    <w:p w14:paraId="7C321B38" w14:textId="77777777" w:rsidR="006C415D" w:rsidRPr="004E4099" w:rsidRDefault="006C415D" w:rsidP="006C415D">
      <w:pPr>
        <w:pStyle w:val="ListParagraph"/>
        <w:rPr>
          <w:rFonts w:ascii="Garamond" w:hAnsi="Garamond"/>
          <w:szCs w:val="24"/>
        </w:rPr>
      </w:pPr>
    </w:p>
    <w:p w14:paraId="1F039D70" w14:textId="4CA60F54" w:rsidR="006C415D" w:rsidRPr="004E4099" w:rsidRDefault="006C415D" w:rsidP="00A50E27">
      <w:pPr>
        <w:pStyle w:val="ListParagraph"/>
        <w:numPr>
          <w:ilvl w:val="0"/>
          <w:numId w:val="1"/>
        </w:numPr>
        <w:rPr>
          <w:rFonts w:ascii="Garamond" w:hAnsi="Garamond"/>
          <w:szCs w:val="24"/>
        </w:rPr>
      </w:pPr>
      <w:r w:rsidRPr="004E4099">
        <w:rPr>
          <w:rFonts w:ascii="Garamond" w:hAnsi="Garamond"/>
          <w:szCs w:val="24"/>
        </w:rPr>
        <w:t xml:space="preserve">While the 450GL should be recovered by voluntary purchases of entitlements, in </w:t>
      </w:r>
      <w:r w:rsidR="00CC1A33" w:rsidRPr="004E4099">
        <w:rPr>
          <w:rFonts w:ascii="Garamond" w:hAnsi="Garamond"/>
          <w:szCs w:val="24"/>
        </w:rPr>
        <w:t>principle</w:t>
      </w:r>
      <w:r w:rsidRPr="004E4099">
        <w:rPr>
          <w:rFonts w:ascii="Garamond" w:hAnsi="Garamond"/>
          <w:szCs w:val="24"/>
        </w:rPr>
        <w:t xml:space="preserve"> some of this water might be recovered </w:t>
      </w:r>
      <w:r w:rsidR="00464B85" w:rsidRPr="004E4099">
        <w:rPr>
          <w:rFonts w:ascii="Garamond" w:hAnsi="Garamond"/>
          <w:szCs w:val="24"/>
        </w:rPr>
        <w:t xml:space="preserve">through </w:t>
      </w:r>
      <w:r w:rsidR="00653EBC" w:rsidRPr="004E4099">
        <w:rPr>
          <w:rFonts w:ascii="Garamond" w:hAnsi="Garamond"/>
          <w:szCs w:val="24"/>
        </w:rPr>
        <w:t>e</w:t>
      </w:r>
      <w:r w:rsidR="00464B85" w:rsidRPr="004E4099">
        <w:rPr>
          <w:rFonts w:ascii="Garamond" w:hAnsi="Garamond"/>
          <w:szCs w:val="24"/>
        </w:rPr>
        <w:t xml:space="preserve">fficiency </w:t>
      </w:r>
      <w:r w:rsidR="00653EBC" w:rsidRPr="004E4099">
        <w:rPr>
          <w:rFonts w:ascii="Garamond" w:hAnsi="Garamond"/>
          <w:szCs w:val="24"/>
        </w:rPr>
        <w:t>m</w:t>
      </w:r>
      <w:r w:rsidR="00464B85" w:rsidRPr="004E4099">
        <w:rPr>
          <w:rFonts w:ascii="Garamond" w:hAnsi="Garamond"/>
          <w:szCs w:val="24"/>
        </w:rPr>
        <w:t>easures, provided real water is recovered</w:t>
      </w:r>
      <w:r w:rsidR="003C265D" w:rsidRPr="004E4099">
        <w:rPr>
          <w:rFonts w:ascii="Garamond" w:hAnsi="Garamond"/>
          <w:szCs w:val="24"/>
        </w:rPr>
        <w:t xml:space="preserve">. </w:t>
      </w:r>
      <w:r w:rsidR="001A0330" w:rsidRPr="004E4099">
        <w:rPr>
          <w:rFonts w:ascii="Garamond" w:hAnsi="Garamond"/>
          <w:szCs w:val="24"/>
        </w:rPr>
        <w:t xml:space="preserve">It can be noted here too that </w:t>
      </w:r>
      <w:r w:rsidR="00653EBC" w:rsidRPr="004E4099">
        <w:rPr>
          <w:rFonts w:ascii="Garamond" w:hAnsi="Garamond"/>
          <w:szCs w:val="24"/>
        </w:rPr>
        <w:t xml:space="preserve">even water recovery from efficiency measures has been claimed by some, including governments, to have harmed rural communities. </w:t>
      </w:r>
      <w:r w:rsidR="00E40C74" w:rsidRPr="004E4099">
        <w:rPr>
          <w:rFonts w:ascii="Garamond" w:hAnsi="Garamond"/>
          <w:szCs w:val="24"/>
        </w:rPr>
        <w:t>That was debunked by the only independent review of efficiency measures, conducted by Ernst &amp; Young in 2017</w:t>
      </w:r>
      <w:r w:rsidR="00401E6A" w:rsidRPr="004E4099">
        <w:rPr>
          <w:rFonts w:ascii="Garamond" w:hAnsi="Garamond"/>
          <w:szCs w:val="24"/>
        </w:rPr>
        <w:t>-</w:t>
      </w:r>
      <w:r w:rsidR="008D54CE" w:rsidRPr="004E4099">
        <w:rPr>
          <w:rFonts w:ascii="Garamond" w:hAnsi="Garamond"/>
          <w:szCs w:val="24"/>
        </w:rPr>
        <w:t>1</w:t>
      </w:r>
      <w:r w:rsidR="00401E6A" w:rsidRPr="004E4099">
        <w:rPr>
          <w:rFonts w:ascii="Garamond" w:hAnsi="Garamond"/>
          <w:szCs w:val="24"/>
        </w:rPr>
        <w:t>8</w:t>
      </w:r>
      <w:r w:rsidR="00E40C74" w:rsidRPr="004E4099">
        <w:rPr>
          <w:rFonts w:ascii="Garamond" w:hAnsi="Garamond"/>
          <w:szCs w:val="24"/>
        </w:rPr>
        <w:t>. The authors of that report concluded off-farm measures were of positive benefit, and on-farm measures had no negative impacts</w:t>
      </w:r>
      <w:r w:rsidR="009A147E" w:rsidRPr="004E4099">
        <w:rPr>
          <w:rStyle w:val="FootnoteReference"/>
          <w:rFonts w:ascii="Garamond" w:hAnsi="Garamond"/>
          <w:szCs w:val="24"/>
        </w:rPr>
        <w:footnoteReference w:id="28"/>
      </w:r>
      <w:r w:rsidR="009A147E" w:rsidRPr="004E4099">
        <w:rPr>
          <w:rFonts w:ascii="Garamond" w:hAnsi="Garamond"/>
          <w:szCs w:val="24"/>
        </w:rPr>
        <w:t>.</w:t>
      </w:r>
      <w:r w:rsidR="00DE3F1C" w:rsidRPr="004E4099">
        <w:rPr>
          <w:rFonts w:ascii="Garamond" w:hAnsi="Garamond"/>
          <w:szCs w:val="24"/>
        </w:rPr>
        <w:t xml:space="preserve"> </w:t>
      </w:r>
      <w:r w:rsidR="00CC1A33" w:rsidRPr="004E4099">
        <w:rPr>
          <w:rFonts w:ascii="Garamond" w:hAnsi="Garamond"/>
          <w:szCs w:val="24"/>
        </w:rPr>
        <w:t>The Murray-Darling Basin Ministerial Council commissioned this report</w:t>
      </w:r>
      <w:r w:rsidR="00090D41" w:rsidRPr="004E4099">
        <w:rPr>
          <w:rFonts w:ascii="Garamond" w:hAnsi="Garamond"/>
          <w:szCs w:val="24"/>
        </w:rPr>
        <w:t xml:space="preserve">. </w:t>
      </w:r>
      <w:r w:rsidR="007B0068" w:rsidRPr="004E4099">
        <w:rPr>
          <w:rFonts w:ascii="Garamond" w:hAnsi="Garamond"/>
          <w:szCs w:val="24"/>
        </w:rPr>
        <w:t>It appears to be collecting dust somewhere</w:t>
      </w:r>
      <w:r w:rsidR="00090D41" w:rsidRPr="004E4099">
        <w:rPr>
          <w:rFonts w:ascii="Garamond" w:hAnsi="Garamond"/>
          <w:szCs w:val="24"/>
        </w:rPr>
        <w:t xml:space="preserve">. Not because it does not represent </w:t>
      </w:r>
      <w:r w:rsidR="00856AFB" w:rsidRPr="004E4099">
        <w:rPr>
          <w:rFonts w:ascii="Garamond" w:hAnsi="Garamond"/>
          <w:szCs w:val="24"/>
        </w:rPr>
        <w:t>best economic opinion</w:t>
      </w:r>
      <w:r w:rsidR="00995D56" w:rsidRPr="004E4099">
        <w:rPr>
          <w:rFonts w:ascii="Garamond" w:hAnsi="Garamond"/>
          <w:szCs w:val="24"/>
        </w:rPr>
        <w:t xml:space="preserve"> based on rigorous analysis of data</w:t>
      </w:r>
      <w:r w:rsidR="00856AFB" w:rsidRPr="004E4099">
        <w:rPr>
          <w:rFonts w:ascii="Garamond" w:hAnsi="Garamond"/>
          <w:szCs w:val="24"/>
        </w:rPr>
        <w:t xml:space="preserve">, but seemingly because that opinion was inconvenient to </w:t>
      </w:r>
      <w:r w:rsidR="0000163C" w:rsidRPr="004E4099">
        <w:rPr>
          <w:rFonts w:ascii="Garamond" w:hAnsi="Garamond"/>
          <w:szCs w:val="24"/>
        </w:rPr>
        <w:t>some g</w:t>
      </w:r>
      <w:r w:rsidR="00856AFB" w:rsidRPr="004E4099">
        <w:rPr>
          <w:rFonts w:ascii="Garamond" w:hAnsi="Garamond"/>
          <w:szCs w:val="24"/>
        </w:rPr>
        <w:t>overnments</w:t>
      </w:r>
      <w:r w:rsidR="00412D17" w:rsidRPr="004E4099">
        <w:rPr>
          <w:rStyle w:val="FootnoteReference"/>
          <w:rFonts w:ascii="Garamond" w:hAnsi="Garamond"/>
          <w:szCs w:val="24"/>
        </w:rPr>
        <w:footnoteReference w:id="29"/>
      </w:r>
      <w:r w:rsidR="00856AFB" w:rsidRPr="004E4099">
        <w:rPr>
          <w:rFonts w:ascii="Garamond" w:hAnsi="Garamond"/>
          <w:szCs w:val="24"/>
        </w:rPr>
        <w:t xml:space="preserve">. </w:t>
      </w:r>
      <w:r w:rsidR="002F6800" w:rsidRPr="004E4099">
        <w:rPr>
          <w:rFonts w:ascii="Garamond" w:hAnsi="Garamond"/>
          <w:szCs w:val="24"/>
        </w:rPr>
        <w:t xml:space="preserve">Similarly, a Report </w:t>
      </w:r>
      <w:r w:rsidR="00995D56" w:rsidRPr="004E4099">
        <w:rPr>
          <w:rFonts w:ascii="Garamond" w:hAnsi="Garamond"/>
          <w:szCs w:val="24"/>
        </w:rPr>
        <w:t>prepared by Marsden Jacobs</w:t>
      </w:r>
      <w:r w:rsidR="002F6800" w:rsidRPr="004E4099">
        <w:rPr>
          <w:rFonts w:ascii="Garamond" w:hAnsi="Garamond"/>
          <w:szCs w:val="24"/>
        </w:rPr>
        <w:t xml:space="preserve"> on the economic impacts</w:t>
      </w:r>
      <w:r w:rsidR="00FF61F2" w:rsidRPr="004E4099">
        <w:rPr>
          <w:rFonts w:ascii="Garamond" w:hAnsi="Garamond"/>
          <w:szCs w:val="24"/>
        </w:rPr>
        <w:t xml:space="preserve"> of buybacks</w:t>
      </w:r>
      <w:r w:rsidR="002F6800" w:rsidRPr="004E4099">
        <w:rPr>
          <w:rFonts w:ascii="Garamond" w:hAnsi="Garamond"/>
          <w:szCs w:val="24"/>
        </w:rPr>
        <w:t xml:space="preserve"> </w:t>
      </w:r>
      <w:r w:rsidR="00F31C47" w:rsidRPr="004E4099">
        <w:rPr>
          <w:rFonts w:ascii="Garamond" w:hAnsi="Garamond"/>
          <w:szCs w:val="24"/>
        </w:rPr>
        <w:t>in the Murrumbidgee Irrigation Area</w:t>
      </w:r>
      <w:r w:rsidR="00995D56" w:rsidRPr="004E4099">
        <w:rPr>
          <w:rFonts w:ascii="Garamond" w:hAnsi="Garamond"/>
          <w:szCs w:val="24"/>
        </w:rPr>
        <w:t xml:space="preserve"> (commissioned by the then Department of Agriculture, Water and Resources)</w:t>
      </w:r>
      <w:r w:rsidR="00F31C47" w:rsidRPr="004E4099">
        <w:rPr>
          <w:rFonts w:ascii="Garamond" w:hAnsi="Garamond"/>
          <w:szCs w:val="24"/>
        </w:rPr>
        <w:t xml:space="preserve"> </w:t>
      </w:r>
      <w:r w:rsidR="00C01A1D" w:rsidRPr="004E4099">
        <w:rPr>
          <w:rFonts w:ascii="Garamond" w:hAnsi="Garamond"/>
          <w:szCs w:val="24"/>
        </w:rPr>
        <w:t xml:space="preserve">is usually not quoted by governments or opponents of the Basin Plan, presumably because the authors’ opinion was that the economic impacts of </w:t>
      </w:r>
      <w:r w:rsidR="00A05C84" w:rsidRPr="004E4099">
        <w:rPr>
          <w:rFonts w:ascii="Garamond" w:hAnsi="Garamond"/>
          <w:szCs w:val="24"/>
        </w:rPr>
        <w:t>buybacks were likely to be “very small if not neutral”</w:t>
      </w:r>
      <w:r w:rsidR="00A05C84" w:rsidRPr="004E4099">
        <w:rPr>
          <w:rStyle w:val="FootnoteReference"/>
          <w:rFonts w:ascii="Garamond" w:hAnsi="Garamond"/>
          <w:szCs w:val="24"/>
        </w:rPr>
        <w:footnoteReference w:id="30"/>
      </w:r>
      <w:r w:rsidR="00A05C84" w:rsidRPr="004E4099">
        <w:rPr>
          <w:rFonts w:ascii="Garamond" w:hAnsi="Garamond"/>
          <w:szCs w:val="24"/>
        </w:rPr>
        <w:t>.</w:t>
      </w:r>
      <w:r w:rsidR="00995D56" w:rsidRPr="004E4099">
        <w:rPr>
          <w:rFonts w:ascii="Garamond" w:hAnsi="Garamond"/>
          <w:szCs w:val="24"/>
        </w:rPr>
        <w:t xml:space="preserve"> </w:t>
      </w:r>
    </w:p>
    <w:p w14:paraId="50C710C6" w14:textId="77777777" w:rsidR="007B3E5E" w:rsidRPr="00930730" w:rsidRDefault="007B3E5E" w:rsidP="00930730">
      <w:pPr>
        <w:rPr>
          <w:rFonts w:ascii="Garamond" w:hAnsi="Garamond"/>
          <w:szCs w:val="24"/>
        </w:rPr>
      </w:pPr>
    </w:p>
    <w:p w14:paraId="4020C081" w14:textId="3FE3953E" w:rsidR="00AD439E" w:rsidRPr="000425B0" w:rsidRDefault="00930730" w:rsidP="00F63887">
      <w:pPr>
        <w:pStyle w:val="ListParagraph"/>
        <w:numPr>
          <w:ilvl w:val="0"/>
          <w:numId w:val="1"/>
        </w:numPr>
        <w:rPr>
          <w:rFonts w:ascii="Garamond" w:hAnsi="Garamond"/>
          <w:szCs w:val="24"/>
          <w:u w:val="single"/>
        </w:rPr>
      </w:pPr>
      <w:r w:rsidRPr="00F3081D">
        <w:rPr>
          <w:rFonts w:ascii="Garamond" w:hAnsi="Garamond"/>
          <w:szCs w:val="24"/>
        </w:rPr>
        <w:t xml:space="preserve">Following these reports, certain socio-economic criteria were agreed to at MinCo in December 2018. </w:t>
      </w:r>
      <w:r w:rsidR="007A22FC" w:rsidRPr="00F3081D">
        <w:rPr>
          <w:rFonts w:ascii="Garamond" w:hAnsi="Garamond"/>
          <w:szCs w:val="24"/>
        </w:rPr>
        <w:t>The</w:t>
      </w:r>
      <w:r w:rsidRPr="00F3081D">
        <w:rPr>
          <w:rFonts w:ascii="Garamond" w:hAnsi="Garamond"/>
          <w:szCs w:val="24"/>
        </w:rPr>
        <w:t>se</w:t>
      </w:r>
      <w:r w:rsidR="007A22FC" w:rsidRPr="00F3081D">
        <w:rPr>
          <w:rFonts w:ascii="Garamond" w:hAnsi="Garamond"/>
          <w:szCs w:val="24"/>
        </w:rPr>
        <w:t xml:space="preserve"> criteria are absurd. They appear designed to stymie the recovery of the 450GL rather than to ensure it happens. </w:t>
      </w:r>
      <w:r w:rsidRPr="00F3081D">
        <w:rPr>
          <w:rFonts w:ascii="Garamond" w:hAnsi="Garamond"/>
          <w:szCs w:val="24"/>
        </w:rPr>
        <w:t xml:space="preserve">I am sure that the Commission does not want a legal opinion, but they are also </w:t>
      </w:r>
      <w:r w:rsidR="007A22FC" w:rsidRPr="00F3081D">
        <w:rPr>
          <w:rFonts w:ascii="Garamond" w:hAnsi="Garamond"/>
          <w:szCs w:val="24"/>
        </w:rPr>
        <w:t xml:space="preserve">almost certainly invalid. I have a reasonable degree of confidence that I am not the only lawyer that would hold this view.  They are simply not consistent with s.7.17(2)(b) of the Basin Plan. </w:t>
      </w:r>
      <w:r w:rsidR="00F3081D" w:rsidRPr="000425B0">
        <w:rPr>
          <w:rFonts w:ascii="Garamond" w:hAnsi="Garamond"/>
          <w:szCs w:val="24"/>
          <w:u w:val="single"/>
        </w:rPr>
        <w:t xml:space="preserve">The </w:t>
      </w:r>
      <w:r w:rsidR="004F18DE" w:rsidRPr="000425B0">
        <w:rPr>
          <w:rFonts w:ascii="Garamond" w:hAnsi="Garamond"/>
          <w:szCs w:val="24"/>
          <w:u w:val="single"/>
        </w:rPr>
        <w:t>Commission</w:t>
      </w:r>
      <w:r w:rsidR="00F3081D" w:rsidRPr="000425B0">
        <w:rPr>
          <w:rFonts w:ascii="Garamond" w:hAnsi="Garamond"/>
          <w:szCs w:val="24"/>
          <w:u w:val="single"/>
        </w:rPr>
        <w:t xml:space="preserve"> </w:t>
      </w:r>
      <w:r w:rsidR="004F18DE" w:rsidRPr="000425B0">
        <w:rPr>
          <w:rFonts w:ascii="Garamond" w:hAnsi="Garamond"/>
          <w:szCs w:val="24"/>
          <w:u w:val="single"/>
        </w:rPr>
        <w:t>should</w:t>
      </w:r>
      <w:r w:rsidR="00F3081D" w:rsidRPr="000425B0">
        <w:rPr>
          <w:rFonts w:ascii="Garamond" w:hAnsi="Garamond"/>
          <w:szCs w:val="24"/>
          <w:u w:val="single"/>
        </w:rPr>
        <w:t xml:space="preserve"> recommend their abandonment.</w:t>
      </w:r>
    </w:p>
    <w:p w14:paraId="6A01564A" w14:textId="77777777" w:rsidR="00F3081D" w:rsidRPr="00F3081D" w:rsidRDefault="00F3081D" w:rsidP="00F3081D">
      <w:pPr>
        <w:rPr>
          <w:rFonts w:ascii="Garamond" w:hAnsi="Garamond"/>
          <w:szCs w:val="24"/>
        </w:rPr>
      </w:pPr>
    </w:p>
    <w:p w14:paraId="4EAA034E" w14:textId="0B7387BE" w:rsidR="00AD439E" w:rsidRPr="00313417" w:rsidRDefault="00313417" w:rsidP="00313417">
      <w:pPr>
        <w:pStyle w:val="ListParagraph"/>
        <w:ind w:left="0"/>
        <w:rPr>
          <w:rFonts w:ascii="Garamond" w:hAnsi="Garamond" w:cs="Times New Roman"/>
          <w:b/>
          <w:bCs/>
          <w:szCs w:val="24"/>
        </w:rPr>
      </w:pPr>
      <w:r w:rsidRPr="00313417">
        <w:rPr>
          <w:rFonts w:ascii="Garamond" w:hAnsi="Garamond"/>
          <w:b/>
          <w:bCs/>
          <w:szCs w:val="24"/>
        </w:rPr>
        <w:t>Key Question 4: “How well is the Plan responding to a changing climate? How should this be improved?’</w:t>
      </w:r>
    </w:p>
    <w:p w14:paraId="699DFA28" w14:textId="6C56669E" w:rsidR="00AD439E" w:rsidRDefault="004E4099" w:rsidP="00AD439E">
      <w:pPr>
        <w:ind w:left="720" w:firstLine="720"/>
        <w:rPr>
          <w:rFonts w:ascii="Garamond" w:hAnsi="Garamond" w:cs="Times New Roman"/>
          <w:i/>
          <w:iCs/>
          <w:szCs w:val="24"/>
        </w:rPr>
      </w:pPr>
      <w:r w:rsidRPr="004E4099">
        <w:rPr>
          <w:rFonts w:ascii="Garamond" w:hAnsi="Garamond" w:cs="Times New Roman"/>
          <w:i/>
          <w:iCs/>
          <w:szCs w:val="24"/>
        </w:rPr>
        <w:t xml:space="preserve">There’s this notion that you hear, “Australia has always been a land of droughts and flooding rains and it will rain </w:t>
      </w:r>
      <w:proofErr w:type="gramStart"/>
      <w:r w:rsidRPr="004E4099">
        <w:rPr>
          <w:rFonts w:ascii="Garamond" w:hAnsi="Garamond" w:cs="Times New Roman"/>
          <w:i/>
          <w:iCs/>
          <w:szCs w:val="24"/>
        </w:rPr>
        <w:t>again</w:t>
      </w:r>
      <w:proofErr w:type="gramEnd"/>
      <w:r w:rsidRPr="004E4099">
        <w:rPr>
          <w:rFonts w:ascii="Garamond" w:hAnsi="Garamond" w:cs="Times New Roman"/>
          <w:i/>
          <w:iCs/>
          <w:szCs w:val="24"/>
        </w:rPr>
        <w:t xml:space="preserve"> and it will all be right”, and we hear that routinely. It lulls some people into a very dangerous false sense of security.  Yes, it will rain again, </w:t>
      </w:r>
      <w:proofErr w:type="gramStart"/>
      <w:r w:rsidRPr="004E4099">
        <w:rPr>
          <w:rFonts w:ascii="Garamond" w:hAnsi="Garamond" w:cs="Times New Roman"/>
          <w:i/>
          <w:iCs/>
          <w:szCs w:val="24"/>
        </w:rPr>
        <w:t>yes</w:t>
      </w:r>
      <w:proofErr w:type="gramEnd"/>
      <w:r w:rsidRPr="004E4099">
        <w:rPr>
          <w:rFonts w:ascii="Garamond" w:hAnsi="Garamond" w:cs="Times New Roman"/>
          <w:i/>
          <w:iCs/>
          <w:szCs w:val="24"/>
        </w:rPr>
        <w:t xml:space="preserve"> this drought will break, but if droughts start lasting a little longer, start a little earlier – so instead of a three year drought, you get a five year drought, that’s catastrophic to people on the land.  And we lull them into a false sense of security by the narrative we get from our senior decision makers. I think that’s really regrettable.</w:t>
      </w:r>
      <w:r w:rsidR="00F3081D">
        <w:rPr>
          <w:rStyle w:val="FootnoteReference"/>
          <w:rFonts w:ascii="Garamond" w:hAnsi="Garamond" w:cs="Times New Roman"/>
          <w:i/>
          <w:iCs/>
          <w:szCs w:val="24"/>
        </w:rPr>
        <w:footnoteReference w:id="31"/>
      </w:r>
    </w:p>
    <w:p w14:paraId="17B4F2E6" w14:textId="77777777" w:rsidR="00313417" w:rsidRDefault="00313417" w:rsidP="00313417">
      <w:pPr>
        <w:rPr>
          <w:rFonts w:ascii="Garamond" w:hAnsi="Garamond" w:cs="Times New Roman"/>
          <w:i/>
          <w:iCs/>
          <w:szCs w:val="24"/>
        </w:rPr>
      </w:pPr>
    </w:p>
    <w:p w14:paraId="12A97181" w14:textId="2ADF137D" w:rsidR="00AD439E" w:rsidRPr="00F3081D" w:rsidRDefault="00F3081D" w:rsidP="00F3081D">
      <w:pPr>
        <w:pStyle w:val="ListParagraph"/>
        <w:numPr>
          <w:ilvl w:val="0"/>
          <w:numId w:val="1"/>
        </w:numPr>
        <w:rPr>
          <w:rFonts w:ascii="Garamond" w:hAnsi="Garamond" w:cs="Times New Roman"/>
          <w:szCs w:val="24"/>
          <w:lang w:val="en-US"/>
        </w:rPr>
      </w:pPr>
      <w:r>
        <w:rPr>
          <w:rFonts w:ascii="Garamond" w:hAnsi="Garamond" w:cs="Times New Roman"/>
          <w:szCs w:val="24"/>
        </w:rPr>
        <w:t xml:space="preserve">In </w:t>
      </w:r>
      <w:r w:rsidR="004E4099" w:rsidRPr="00F3081D">
        <w:rPr>
          <w:rFonts w:ascii="Garamond" w:hAnsi="Garamond" w:cs="Times New Roman"/>
          <w:szCs w:val="24"/>
          <w:lang w:val="en-US"/>
        </w:rPr>
        <w:t>2006</w:t>
      </w:r>
      <w:r>
        <w:rPr>
          <w:rFonts w:ascii="Garamond" w:hAnsi="Garamond" w:cs="Times New Roman"/>
          <w:szCs w:val="24"/>
          <w:lang w:val="en-US"/>
        </w:rPr>
        <w:t>,</w:t>
      </w:r>
      <w:r w:rsidR="004E4099" w:rsidRPr="00F3081D">
        <w:rPr>
          <w:rFonts w:ascii="Garamond" w:hAnsi="Garamond" w:cs="Times New Roman"/>
          <w:szCs w:val="24"/>
          <w:lang w:val="en-US"/>
        </w:rPr>
        <w:t xml:space="preserve"> significant parts of the Basin were near environmental collapse. Two factors were at play: a changing climate (less run-off into the rivers), and decades of overallocation of water (by state governments) for the expansion of irrigated agriculture. </w:t>
      </w:r>
      <w:r>
        <w:rPr>
          <w:rFonts w:ascii="Garamond" w:hAnsi="Garamond" w:cs="Times New Roman"/>
          <w:szCs w:val="24"/>
          <w:lang w:val="en-US"/>
        </w:rPr>
        <w:t xml:space="preserve">The Basin Plan does not sufficiently contemplate the likelihood of such </w:t>
      </w:r>
      <w:r w:rsidR="004F18DE">
        <w:rPr>
          <w:rFonts w:ascii="Garamond" w:hAnsi="Garamond" w:cs="Times New Roman"/>
          <w:szCs w:val="24"/>
          <w:lang w:val="en-US"/>
        </w:rPr>
        <w:t>conditions</w:t>
      </w:r>
      <w:r>
        <w:rPr>
          <w:rFonts w:ascii="Garamond" w:hAnsi="Garamond" w:cs="Times New Roman"/>
          <w:szCs w:val="24"/>
          <w:lang w:val="en-US"/>
        </w:rPr>
        <w:t xml:space="preserve"> not just </w:t>
      </w:r>
      <w:proofErr w:type="gramStart"/>
      <w:r>
        <w:rPr>
          <w:rFonts w:ascii="Garamond" w:hAnsi="Garamond" w:cs="Times New Roman"/>
          <w:szCs w:val="24"/>
          <w:lang w:val="en-US"/>
        </w:rPr>
        <w:t>returning, but</w:t>
      </w:r>
      <w:proofErr w:type="gramEnd"/>
      <w:r>
        <w:rPr>
          <w:rFonts w:ascii="Garamond" w:hAnsi="Garamond" w:cs="Times New Roman"/>
          <w:szCs w:val="24"/>
          <w:lang w:val="en-US"/>
        </w:rPr>
        <w:t xml:space="preserve"> returning suddenly. </w:t>
      </w:r>
    </w:p>
    <w:p w14:paraId="3B4B864D" w14:textId="77777777" w:rsidR="00313417" w:rsidRPr="00313417" w:rsidRDefault="00313417" w:rsidP="00313417">
      <w:pPr>
        <w:rPr>
          <w:rFonts w:ascii="Garamond" w:hAnsi="Garamond" w:cs="Times New Roman"/>
          <w:i/>
          <w:iCs/>
          <w:szCs w:val="24"/>
        </w:rPr>
      </w:pPr>
    </w:p>
    <w:p w14:paraId="4BB0F5CD" w14:textId="7E112DF6" w:rsidR="00AD439E" w:rsidRPr="00313417" w:rsidRDefault="004E4099" w:rsidP="00AD439E">
      <w:pPr>
        <w:pStyle w:val="ListParagraph"/>
        <w:numPr>
          <w:ilvl w:val="0"/>
          <w:numId w:val="1"/>
        </w:numPr>
        <w:rPr>
          <w:rFonts w:ascii="Garamond" w:hAnsi="Garamond" w:cs="Times New Roman"/>
          <w:i/>
          <w:iCs/>
          <w:szCs w:val="24"/>
        </w:rPr>
      </w:pPr>
      <w:r w:rsidRPr="00AD439E">
        <w:rPr>
          <w:rFonts w:ascii="Garamond" w:hAnsi="Garamond" w:cs="Times New Roman"/>
          <w:szCs w:val="24"/>
        </w:rPr>
        <w:t xml:space="preserve">In October 2008, the CSIRO published a report titled “Water Availability in the Murray Darling Basin”. It informed us that it’s going to get hotter and dryer in most of the Basin in the decades to come. For every 1 degree Celsius the average daily temperature goes up (we are currently on track for a </w:t>
      </w:r>
      <w:r w:rsidR="00F3081D">
        <w:rPr>
          <w:rFonts w:ascii="Garamond" w:hAnsi="Garamond" w:cs="Times New Roman"/>
          <w:szCs w:val="24"/>
        </w:rPr>
        <w:t>2</w:t>
      </w:r>
      <w:r w:rsidRPr="00AD439E">
        <w:rPr>
          <w:rFonts w:ascii="Garamond" w:hAnsi="Garamond" w:cs="Times New Roman"/>
          <w:szCs w:val="24"/>
        </w:rPr>
        <w:t xml:space="preserve"> to 4C daily average rise), we will have 15% less run off</w:t>
      </w:r>
      <w:r w:rsidR="00F3081D">
        <w:rPr>
          <w:rFonts w:ascii="Garamond" w:hAnsi="Garamond" w:cs="Times New Roman"/>
          <w:szCs w:val="24"/>
        </w:rPr>
        <w:t>.</w:t>
      </w:r>
    </w:p>
    <w:p w14:paraId="5534441B" w14:textId="77777777" w:rsidR="00313417" w:rsidRPr="00313417" w:rsidRDefault="00313417" w:rsidP="00313417">
      <w:pPr>
        <w:rPr>
          <w:rFonts w:ascii="Garamond" w:hAnsi="Garamond" w:cs="Times New Roman"/>
          <w:i/>
          <w:iCs/>
          <w:szCs w:val="24"/>
        </w:rPr>
      </w:pPr>
    </w:p>
    <w:p w14:paraId="4E1D5D25" w14:textId="290C00C4" w:rsidR="00AD439E" w:rsidRPr="00F3081D" w:rsidRDefault="004E4099" w:rsidP="00F3081D">
      <w:pPr>
        <w:pStyle w:val="ListParagraph"/>
        <w:numPr>
          <w:ilvl w:val="0"/>
          <w:numId w:val="1"/>
        </w:numPr>
        <w:rPr>
          <w:rFonts w:ascii="Garamond" w:hAnsi="Garamond" w:cs="Times New Roman"/>
          <w:i/>
          <w:iCs/>
          <w:szCs w:val="24"/>
        </w:rPr>
      </w:pPr>
      <w:r w:rsidRPr="00AD439E">
        <w:rPr>
          <w:rFonts w:ascii="Garamond" w:hAnsi="Garamond" w:cs="Times New Roman"/>
          <w:szCs w:val="24"/>
        </w:rPr>
        <w:t>When the MDBA was preparing the Basin Plan, the CSIRO told it that in doing its sums on the amount of water that has to go back to the rivers, “</w:t>
      </w:r>
      <w:r w:rsidRPr="00AD439E">
        <w:rPr>
          <w:rFonts w:ascii="Garamond" w:hAnsi="Garamond" w:cs="Times New Roman"/>
          <w:szCs w:val="24"/>
          <w:u w:val="single"/>
        </w:rPr>
        <w:t>future climate scenarios”</w:t>
      </w:r>
      <w:r w:rsidRPr="00AD439E">
        <w:rPr>
          <w:rFonts w:ascii="Garamond" w:hAnsi="Garamond" w:cs="Times New Roman"/>
          <w:szCs w:val="24"/>
        </w:rPr>
        <w:t xml:space="preserve"> need to be incorporated into the modelling.</w:t>
      </w:r>
      <w:r w:rsidR="00F3081D">
        <w:rPr>
          <w:rFonts w:ascii="Garamond" w:hAnsi="Garamond" w:cs="Times New Roman"/>
          <w:szCs w:val="24"/>
        </w:rPr>
        <w:t xml:space="preserve"> The MDBA instead determined the ESLT based on climate data from 1895 to 2009. The CSIRO then advised that not including climate projections </w:t>
      </w:r>
      <w:r w:rsidR="004F18DE">
        <w:rPr>
          <w:rFonts w:ascii="Garamond" w:hAnsi="Garamond" w:cs="Times New Roman"/>
          <w:szCs w:val="24"/>
        </w:rPr>
        <w:t>into</w:t>
      </w:r>
      <w:r w:rsidR="00F3081D">
        <w:rPr>
          <w:rFonts w:ascii="Garamond" w:hAnsi="Garamond" w:cs="Times New Roman"/>
          <w:szCs w:val="24"/>
        </w:rPr>
        <w:t xml:space="preserve"> the modelling for the Basin Plan was </w:t>
      </w:r>
      <w:r w:rsidRPr="00F3081D">
        <w:rPr>
          <w:rFonts w:ascii="Garamond" w:hAnsi="Garamond" w:cs="Times New Roman"/>
          <w:i/>
          <w:iCs/>
          <w:szCs w:val="24"/>
        </w:rPr>
        <w:t>“not scientifically defensible”</w:t>
      </w:r>
      <w:r w:rsidR="00F3081D">
        <w:rPr>
          <w:rFonts w:ascii="Garamond" w:hAnsi="Garamond" w:cs="Times New Roman"/>
          <w:i/>
          <w:iCs/>
          <w:szCs w:val="24"/>
        </w:rPr>
        <w:t xml:space="preserve">, </w:t>
      </w:r>
      <w:r w:rsidR="00F3081D">
        <w:rPr>
          <w:rFonts w:ascii="Garamond" w:hAnsi="Garamond" w:cs="Times New Roman"/>
          <w:szCs w:val="24"/>
        </w:rPr>
        <w:t>reminding it that</w:t>
      </w:r>
      <w:r w:rsidRPr="00F3081D">
        <w:rPr>
          <w:rFonts w:ascii="Garamond" w:hAnsi="Garamond" w:cs="Times New Roman"/>
          <w:i/>
          <w:iCs/>
          <w:szCs w:val="24"/>
        </w:rPr>
        <w:t xml:space="preserve"> </w:t>
      </w:r>
      <w:r w:rsidRPr="00F3081D">
        <w:rPr>
          <w:rFonts w:ascii="Garamond" w:hAnsi="Garamond" w:cs="Times New Roman"/>
          <w:szCs w:val="24"/>
        </w:rPr>
        <w:t>without more water for the environment</w:t>
      </w:r>
      <w:r w:rsidRPr="00F3081D">
        <w:rPr>
          <w:rFonts w:ascii="Garamond" w:hAnsi="Garamond" w:cs="Times New Roman"/>
          <w:i/>
          <w:iCs/>
          <w:szCs w:val="24"/>
        </w:rPr>
        <w:t>, “climate change will be likely to lead to irreversible ecological degradation”</w:t>
      </w:r>
      <w:r w:rsidRPr="00F3081D">
        <w:rPr>
          <w:rFonts w:ascii="Garamond" w:hAnsi="Garamond" w:cs="Times New Roman"/>
          <w:szCs w:val="24"/>
        </w:rPr>
        <w:t>.</w:t>
      </w:r>
    </w:p>
    <w:p w14:paraId="1FD38C09" w14:textId="77777777" w:rsidR="00F3081D" w:rsidRPr="00F3081D" w:rsidRDefault="00F3081D" w:rsidP="00F3081D">
      <w:pPr>
        <w:pStyle w:val="ListParagraph"/>
        <w:rPr>
          <w:rFonts w:ascii="Garamond" w:hAnsi="Garamond" w:cs="Times New Roman"/>
          <w:i/>
          <w:iCs/>
          <w:szCs w:val="24"/>
        </w:rPr>
      </w:pPr>
    </w:p>
    <w:p w14:paraId="2C56E1FA" w14:textId="77777777" w:rsidR="00313417" w:rsidRPr="00313417" w:rsidRDefault="00313417" w:rsidP="00313417">
      <w:pPr>
        <w:rPr>
          <w:rFonts w:ascii="Garamond" w:hAnsi="Garamond" w:cs="Times New Roman"/>
          <w:i/>
          <w:iCs/>
          <w:szCs w:val="24"/>
        </w:rPr>
      </w:pPr>
    </w:p>
    <w:p w14:paraId="39A84B94" w14:textId="50DA741D" w:rsidR="004E4099" w:rsidRPr="00AD439E" w:rsidRDefault="004E4099" w:rsidP="00AD439E">
      <w:pPr>
        <w:pStyle w:val="ListParagraph"/>
        <w:numPr>
          <w:ilvl w:val="0"/>
          <w:numId w:val="1"/>
        </w:numPr>
        <w:rPr>
          <w:rFonts w:ascii="Garamond" w:hAnsi="Garamond" w:cs="Times New Roman"/>
          <w:i/>
          <w:iCs/>
          <w:szCs w:val="24"/>
        </w:rPr>
      </w:pPr>
      <w:r w:rsidRPr="00AD439E">
        <w:rPr>
          <w:rFonts w:ascii="Garamond" w:hAnsi="Garamond" w:cs="Times New Roman"/>
          <w:szCs w:val="24"/>
          <w:lang w:val="en-US"/>
        </w:rPr>
        <w:t>Commissioner Walker</w:t>
      </w:r>
      <w:r w:rsidR="00F3081D">
        <w:rPr>
          <w:rFonts w:ascii="Garamond" w:hAnsi="Garamond" w:cs="Times New Roman"/>
          <w:szCs w:val="24"/>
          <w:lang w:val="en-US"/>
        </w:rPr>
        <w:t xml:space="preserve"> SC made these findings in his Royal Commission Report about using the data of “stationarity” only (1895 to 2009) instead of also </w:t>
      </w:r>
      <w:r w:rsidR="004F18DE">
        <w:rPr>
          <w:rFonts w:ascii="Garamond" w:hAnsi="Garamond" w:cs="Times New Roman"/>
          <w:szCs w:val="24"/>
          <w:lang w:val="en-US"/>
        </w:rPr>
        <w:t>incorporating</w:t>
      </w:r>
      <w:r w:rsidR="00F3081D">
        <w:rPr>
          <w:rFonts w:ascii="Garamond" w:hAnsi="Garamond" w:cs="Times New Roman"/>
          <w:szCs w:val="24"/>
          <w:lang w:val="en-US"/>
        </w:rPr>
        <w:t xml:space="preserve"> climate change projections:</w:t>
      </w:r>
    </w:p>
    <w:p w14:paraId="086832C1" w14:textId="77777777" w:rsidR="004E4099" w:rsidRPr="004E4099" w:rsidRDefault="004E4099" w:rsidP="004E4099">
      <w:pPr>
        <w:numPr>
          <w:ilvl w:val="0"/>
          <w:numId w:val="14"/>
        </w:numPr>
        <w:contextualSpacing/>
        <w:jc w:val="left"/>
        <w:rPr>
          <w:rFonts w:ascii="Garamond" w:hAnsi="Garamond" w:cs="Times New Roman"/>
          <w:szCs w:val="24"/>
          <w:lang w:val="en-US"/>
        </w:rPr>
      </w:pPr>
      <w:r w:rsidRPr="004E4099">
        <w:rPr>
          <w:rFonts w:ascii="Garamond" w:hAnsi="Garamond" w:cs="Times New Roman"/>
          <w:iCs/>
          <w:szCs w:val="24"/>
          <w:lang w:val="en-US"/>
        </w:rPr>
        <w:lastRenderedPageBreak/>
        <w:t>“a head in the sand approach to the certainty of higher temperatures and less water in the Southern Basin”.</w:t>
      </w:r>
    </w:p>
    <w:p w14:paraId="7995CE8B" w14:textId="77777777" w:rsidR="004E4099" w:rsidRPr="004E4099" w:rsidRDefault="004E4099" w:rsidP="004E4099">
      <w:pPr>
        <w:numPr>
          <w:ilvl w:val="0"/>
          <w:numId w:val="14"/>
        </w:numPr>
        <w:contextualSpacing/>
        <w:jc w:val="left"/>
        <w:rPr>
          <w:rFonts w:ascii="Garamond" w:hAnsi="Garamond" w:cs="Times New Roman"/>
          <w:iCs/>
          <w:szCs w:val="24"/>
          <w:lang w:val="en-US"/>
        </w:rPr>
      </w:pPr>
      <w:r w:rsidRPr="004E4099">
        <w:rPr>
          <w:rFonts w:ascii="Garamond" w:hAnsi="Garamond" w:cs="Times New Roman"/>
          <w:iCs/>
          <w:szCs w:val="24"/>
          <w:lang w:val="en-US"/>
        </w:rPr>
        <w:t>“</w:t>
      </w:r>
      <w:proofErr w:type="gramStart"/>
      <w:r w:rsidRPr="004E4099">
        <w:rPr>
          <w:rFonts w:ascii="Garamond" w:hAnsi="Garamond" w:cs="Times New Roman"/>
          <w:iCs/>
          <w:szCs w:val="24"/>
          <w:lang w:val="en-US"/>
        </w:rPr>
        <w:t>flawed</w:t>
      </w:r>
      <w:proofErr w:type="gramEnd"/>
      <w:r w:rsidRPr="004E4099">
        <w:rPr>
          <w:rFonts w:ascii="Garamond" w:hAnsi="Garamond" w:cs="Times New Roman"/>
          <w:iCs/>
          <w:szCs w:val="24"/>
          <w:lang w:val="en-US"/>
        </w:rPr>
        <w:t xml:space="preserve"> from a standard risk management approach”.</w:t>
      </w:r>
    </w:p>
    <w:p w14:paraId="3E3F5F88" w14:textId="77777777" w:rsidR="004E4099" w:rsidRPr="004E4099" w:rsidRDefault="004E4099" w:rsidP="004E4099">
      <w:pPr>
        <w:numPr>
          <w:ilvl w:val="0"/>
          <w:numId w:val="14"/>
        </w:numPr>
        <w:contextualSpacing/>
        <w:jc w:val="left"/>
        <w:rPr>
          <w:rFonts w:ascii="Garamond" w:hAnsi="Garamond" w:cs="Times New Roman"/>
          <w:iCs/>
          <w:szCs w:val="24"/>
          <w:lang w:val="en-US"/>
        </w:rPr>
      </w:pPr>
      <w:r w:rsidRPr="004E4099">
        <w:rPr>
          <w:rFonts w:ascii="Garamond" w:hAnsi="Garamond" w:cs="Times New Roman"/>
          <w:iCs/>
          <w:szCs w:val="24"/>
          <w:lang w:val="en-US"/>
        </w:rPr>
        <w:t>“</w:t>
      </w:r>
      <w:proofErr w:type="gramStart"/>
      <w:r w:rsidRPr="004E4099">
        <w:rPr>
          <w:rFonts w:ascii="Garamond" w:hAnsi="Garamond" w:cs="Times New Roman"/>
          <w:iCs/>
          <w:szCs w:val="24"/>
          <w:lang w:val="en-US"/>
        </w:rPr>
        <w:t>represents</w:t>
      </w:r>
      <w:proofErr w:type="gramEnd"/>
      <w:r w:rsidRPr="004E4099">
        <w:rPr>
          <w:rFonts w:ascii="Garamond" w:hAnsi="Garamond" w:cs="Times New Roman"/>
          <w:iCs/>
          <w:szCs w:val="24"/>
          <w:lang w:val="en-US"/>
        </w:rPr>
        <w:t xml:space="preserve"> a failure to prepare the Basin Plan on the basis of the best available scientific knowledge”.</w:t>
      </w:r>
    </w:p>
    <w:p w14:paraId="2040C42B" w14:textId="77777777" w:rsidR="004E4099" w:rsidRPr="004E4099" w:rsidRDefault="004E4099" w:rsidP="004E4099">
      <w:pPr>
        <w:numPr>
          <w:ilvl w:val="0"/>
          <w:numId w:val="14"/>
        </w:numPr>
        <w:contextualSpacing/>
        <w:jc w:val="left"/>
        <w:rPr>
          <w:rFonts w:ascii="Garamond" w:hAnsi="Garamond" w:cs="Times New Roman"/>
          <w:szCs w:val="24"/>
          <w:lang w:val="en-US"/>
        </w:rPr>
      </w:pPr>
      <w:r w:rsidRPr="004E4099">
        <w:rPr>
          <w:rFonts w:ascii="Garamond" w:hAnsi="Garamond" w:cs="Times New Roman"/>
          <w:szCs w:val="24"/>
          <w:lang w:val="en-US"/>
        </w:rPr>
        <w:t>Not consistent with obligations in the Climate Change Convention.</w:t>
      </w:r>
    </w:p>
    <w:p w14:paraId="6FB27558" w14:textId="1201C882" w:rsidR="004E4099" w:rsidRPr="004E4099" w:rsidRDefault="004E4099" w:rsidP="004E4099">
      <w:pPr>
        <w:numPr>
          <w:ilvl w:val="0"/>
          <w:numId w:val="14"/>
        </w:numPr>
        <w:contextualSpacing/>
        <w:jc w:val="left"/>
        <w:rPr>
          <w:rFonts w:ascii="Garamond" w:hAnsi="Garamond" w:cs="Times New Roman"/>
          <w:iCs/>
          <w:szCs w:val="24"/>
          <w:lang w:val="en-US"/>
        </w:rPr>
      </w:pPr>
      <w:r w:rsidRPr="004E4099">
        <w:rPr>
          <w:rFonts w:ascii="Garamond" w:hAnsi="Garamond" w:cs="Times New Roman"/>
          <w:iCs/>
          <w:szCs w:val="24"/>
          <w:lang w:val="en-US"/>
        </w:rPr>
        <w:t>“</w:t>
      </w:r>
      <w:proofErr w:type="gramStart"/>
      <w:r w:rsidRPr="004E4099">
        <w:rPr>
          <w:rFonts w:ascii="Garamond" w:hAnsi="Garamond" w:cs="Times New Roman"/>
          <w:iCs/>
          <w:szCs w:val="24"/>
          <w:lang w:val="en-US"/>
        </w:rPr>
        <w:t>unambiguously</w:t>
      </w:r>
      <w:proofErr w:type="gramEnd"/>
      <w:r w:rsidRPr="004E4099">
        <w:rPr>
          <w:rFonts w:ascii="Garamond" w:hAnsi="Garamond" w:cs="Times New Roman"/>
          <w:iCs/>
          <w:szCs w:val="24"/>
          <w:lang w:val="en-US"/>
        </w:rPr>
        <w:t xml:space="preserve"> demonstrates the almost farcical approach to climate change”.</w:t>
      </w:r>
    </w:p>
    <w:p w14:paraId="2C4C9500" w14:textId="77777777" w:rsidR="004E4099" w:rsidRPr="004E4099" w:rsidRDefault="004E4099" w:rsidP="004E4099">
      <w:pPr>
        <w:rPr>
          <w:rFonts w:ascii="Garamond" w:hAnsi="Garamond" w:cs="Times New Roman"/>
          <w:szCs w:val="24"/>
        </w:rPr>
      </w:pPr>
    </w:p>
    <w:p w14:paraId="304DFE31" w14:textId="2DB2F266" w:rsidR="004E4099" w:rsidRPr="00063FF1" w:rsidRDefault="00F3081D" w:rsidP="00F3081D">
      <w:pPr>
        <w:pStyle w:val="ListParagraph"/>
        <w:numPr>
          <w:ilvl w:val="0"/>
          <w:numId w:val="1"/>
        </w:numPr>
        <w:rPr>
          <w:rFonts w:ascii="Garamond" w:hAnsi="Garamond"/>
          <w:szCs w:val="24"/>
          <w:u w:val="single"/>
        </w:rPr>
      </w:pPr>
      <w:r w:rsidRPr="00063FF1">
        <w:rPr>
          <w:rFonts w:ascii="Garamond" w:hAnsi="Garamond" w:cs="Times New Roman"/>
          <w:szCs w:val="24"/>
          <w:u w:val="single"/>
        </w:rPr>
        <w:t xml:space="preserve">Whatever the reasons were for not including climate projections for the 2012 Basin Plan, the Commission should recommend that decision be reversed for the Review of the Plan in 2026. That work should have started. </w:t>
      </w:r>
    </w:p>
    <w:p w14:paraId="69412EB2" w14:textId="41E950EE" w:rsidR="00F2733B" w:rsidRDefault="00F2733B" w:rsidP="00F00599">
      <w:pPr>
        <w:rPr>
          <w:rFonts w:ascii="Garamond" w:hAnsi="Garamond"/>
          <w:szCs w:val="24"/>
        </w:rPr>
      </w:pPr>
    </w:p>
    <w:p w14:paraId="2ED29B32" w14:textId="02FBBA65" w:rsidR="00063FF1" w:rsidRDefault="00063FF1" w:rsidP="00F00599">
      <w:pPr>
        <w:rPr>
          <w:rFonts w:ascii="Garamond" w:hAnsi="Garamond"/>
          <w:szCs w:val="24"/>
        </w:rPr>
      </w:pPr>
      <w:r>
        <w:rPr>
          <w:rFonts w:ascii="Garamond" w:hAnsi="Garamond"/>
          <w:szCs w:val="24"/>
        </w:rPr>
        <w:t>Richard Beasley SC</w:t>
      </w:r>
    </w:p>
    <w:p w14:paraId="0E2A7129" w14:textId="74135E35" w:rsidR="00063FF1" w:rsidRDefault="00063FF1" w:rsidP="00F00599">
      <w:pPr>
        <w:rPr>
          <w:rFonts w:ascii="Garamond" w:hAnsi="Garamond"/>
          <w:szCs w:val="24"/>
        </w:rPr>
      </w:pPr>
      <w:r>
        <w:rPr>
          <w:rFonts w:ascii="Garamond" w:hAnsi="Garamond"/>
          <w:szCs w:val="24"/>
        </w:rPr>
        <w:t>Commissioner for Murray River (SA)</w:t>
      </w:r>
    </w:p>
    <w:p w14:paraId="26120327" w14:textId="79916CC2" w:rsidR="00063FF1" w:rsidRDefault="00063FF1" w:rsidP="00F00599">
      <w:pPr>
        <w:rPr>
          <w:rFonts w:ascii="Garamond" w:hAnsi="Garamond"/>
          <w:szCs w:val="24"/>
        </w:rPr>
      </w:pPr>
      <w:r>
        <w:rPr>
          <w:rFonts w:ascii="Garamond" w:hAnsi="Garamond"/>
          <w:szCs w:val="24"/>
        </w:rPr>
        <w:t>Level 9 Wentworth Chambers</w:t>
      </w:r>
    </w:p>
    <w:p w14:paraId="5B06367A" w14:textId="7E07D2C6" w:rsidR="00063FF1" w:rsidRDefault="00063FF1" w:rsidP="00F00599">
      <w:pPr>
        <w:rPr>
          <w:rFonts w:ascii="Garamond" w:hAnsi="Garamond"/>
          <w:szCs w:val="24"/>
        </w:rPr>
      </w:pPr>
      <w:r>
        <w:rPr>
          <w:rFonts w:ascii="Garamond" w:hAnsi="Garamond"/>
          <w:szCs w:val="24"/>
        </w:rPr>
        <w:t xml:space="preserve">180 Phillip Street </w:t>
      </w:r>
    </w:p>
    <w:p w14:paraId="0D2DF1B7" w14:textId="032B335A" w:rsidR="00063FF1" w:rsidRDefault="00063FF1" w:rsidP="00F00599">
      <w:pPr>
        <w:rPr>
          <w:rFonts w:ascii="Garamond" w:hAnsi="Garamond"/>
          <w:szCs w:val="24"/>
        </w:rPr>
      </w:pPr>
      <w:r>
        <w:rPr>
          <w:rFonts w:ascii="Garamond" w:hAnsi="Garamond"/>
          <w:szCs w:val="24"/>
        </w:rPr>
        <w:t>Sydney NSW 2000</w:t>
      </w:r>
    </w:p>
    <w:p w14:paraId="2B5DBB98" w14:textId="45F27D07" w:rsidR="00063FF1" w:rsidRDefault="00063FF1" w:rsidP="00F00599">
      <w:pPr>
        <w:rPr>
          <w:rFonts w:ascii="Garamond" w:hAnsi="Garamond"/>
          <w:szCs w:val="24"/>
        </w:rPr>
      </w:pPr>
    </w:p>
    <w:sectPr w:rsidR="00063FF1" w:rsidSect="00A50E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033F" w14:textId="77777777" w:rsidR="0032527D" w:rsidRDefault="0032527D" w:rsidP="00A50E27">
      <w:pPr>
        <w:spacing w:line="240" w:lineRule="auto"/>
      </w:pPr>
      <w:r>
        <w:separator/>
      </w:r>
    </w:p>
  </w:endnote>
  <w:endnote w:type="continuationSeparator" w:id="0">
    <w:p w14:paraId="02187B1F" w14:textId="77777777" w:rsidR="0032527D" w:rsidRDefault="0032527D" w:rsidP="00A50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3178" w14:textId="77777777" w:rsidR="00A67503" w:rsidRDefault="00A67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4850"/>
      <w:docPartObj>
        <w:docPartGallery w:val="Page Numbers (Bottom of Page)"/>
        <w:docPartUnique/>
      </w:docPartObj>
    </w:sdtPr>
    <w:sdtEndPr>
      <w:rPr>
        <w:noProof/>
      </w:rPr>
    </w:sdtEndPr>
    <w:sdtContent>
      <w:p w14:paraId="559441E7" w14:textId="063054AA" w:rsidR="00A67503" w:rsidRDefault="00A675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829C" w14:textId="77777777" w:rsidR="00A67503" w:rsidRDefault="00A67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CE1B" w14:textId="77777777" w:rsidR="0032527D" w:rsidRDefault="0032527D" w:rsidP="00A50E27">
      <w:pPr>
        <w:spacing w:line="240" w:lineRule="auto"/>
      </w:pPr>
      <w:r>
        <w:separator/>
      </w:r>
    </w:p>
  </w:footnote>
  <w:footnote w:type="continuationSeparator" w:id="0">
    <w:p w14:paraId="597D6E39" w14:textId="77777777" w:rsidR="0032527D" w:rsidRDefault="0032527D" w:rsidP="00A50E27">
      <w:pPr>
        <w:spacing w:line="240" w:lineRule="auto"/>
      </w:pPr>
      <w:r>
        <w:continuationSeparator/>
      </w:r>
    </w:p>
  </w:footnote>
  <w:footnote w:id="1">
    <w:p w14:paraId="55F92EF2" w14:textId="1C1AA2F3" w:rsidR="00664AB8" w:rsidRPr="00664AB8" w:rsidRDefault="00664AB8">
      <w:pPr>
        <w:pStyle w:val="FootnoteText"/>
        <w:rPr>
          <w:lang w:val="en-US"/>
        </w:rPr>
      </w:pPr>
      <w:r>
        <w:rPr>
          <w:rStyle w:val="FootnoteReference"/>
        </w:rPr>
        <w:footnoteRef/>
      </w:r>
      <w:r>
        <w:t xml:space="preserve"> </w:t>
      </w:r>
      <w:r>
        <w:rPr>
          <w:lang w:val="en-US"/>
        </w:rPr>
        <w:t>Market Mechanism Report p. xxix to xxxi</w:t>
      </w:r>
    </w:p>
  </w:footnote>
  <w:footnote w:id="2">
    <w:p w14:paraId="3C5ADD82" w14:textId="65B69210" w:rsidR="00664AB8" w:rsidRPr="00664AB8" w:rsidRDefault="00664AB8">
      <w:pPr>
        <w:pStyle w:val="FootnoteText"/>
        <w:rPr>
          <w:lang w:val="en-US"/>
        </w:rPr>
      </w:pPr>
      <w:r>
        <w:rPr>
          <w:rStyle w:val="FootnoteReference"/>
        </w:rPr>
        <w:footnoteRef/>
      </w:r>
      <w:r>
        <w:t xml:space="preserve"> </w:t>
      </w:r>
      <w:r>
        <w:rPr>
          <w:lang w:val="en-US"/>
        </w:rPr>
        <w:t>Ibid</w:t>
      </w:r>
    </w:p>
  </w:footnote>
  <w:footnote w:id="3">
    <w:p w14:paraId="232E105B" w14:textId="2B8BE78E" w:rsidR="00664AB8" w:rsidRPr="00664AB8" w:rsidRDefault="00664AB8">
      <w:pPr>
        <w:pStyle w:val="FootnoteText"/>
        <w:rPr>
          <w:lang w:val="en-US"/>
        </w:rPr>
      </w:pPr>
      <w:r>
        <w:rPr>
          <w:rStyle w:val="FootnoteReference"/>
        </w:rPr>
        <w:footnoteRef/>
      </w:r>
      <w:r>
        <w:t xml:space="preserve"> </w:t>
      </w:r>
      <w:r>
        <w:rPr>
          <w:lang w:val="en-US"/>
        </w:rPr>
        <w:t>Ibid</w:t>
      </w:r>
    </w:p>
  </w:footnote>
  <w:footnote w:id="4">
    <w:p w14:paraId="4B9CA85C" w14:textId="0B5D8581" w:rsidR="00A67503" w:rsidRDefault="00A67503">
      <w:pPr>
        <w:pStyle w:val="FootnoteText"/>
      </w:pPr>
      <w:r>
        <w:rPr>
          <w:rStyle w:val="FootnoteReference"/>
        </w:rPr>
        <w:footnoteRef/>
      </w:r>
      <w:r>
        <w:t xml:space="preserve"> “ecologically” productive base</w:t>
      </w:r>
    </w:p>
  </w:footnote>
  <w:footnote w:id="5">
    <w:p w14:paraId="67BC0794" w14:textId="2C675D07" w:rsidR="00A67503" w:rsidRDefault="00A67503" w:rsidP="008F0123">
      <w:pPr>
        <w:pStyle w:val="FootnoteText"/>
      </w:pPr>
      <w:r>
        <w:rPr>
          <w:rStyle w:val="FootnoteReference"/>
        </w:rPr>
        <w:footnoteRef/>
      </w:r>
      <w:r>
        <w:t xml:space="preserve"> Quote of Professor George Williams: see RC Report, Page 194</w:t>
      </w:r>
    </w:p>
  </w:footnote>
  <w:footnote w:id="6">
    <w:p w14:paraId="2F73A0DB" w14:textId="62C1F067" w:rsidR="00A67503" w:rsidRDefault="00A67503">
      <w:pPr>
        <w:pStyle w:val="FootnoteText"/>
      </w:pPr>
      <w:r>
        <w:rPr>
          <w:rStyle w:val="FootnoteReference"/>
        </w:rPr>
        <w:footnoteRef/>
      </w:r>
      <w:r>
        <w:t xml:space="preserve"> Combined evidence of, amongst others, Professor Jason Brookes; Professor Richard Kingsford, Professor John Williams, Dr Matthew </w:t>
      </w:r>
      <w:proofErr w:type="spellStart"/>
      <w:r>
        <w:t>Colloff</w:t>
      </w:r>
      <w:proofErr w:type="spellEnd"/>
      <w:r>
        <w:t xml:space="preserve">, Mr Peter Cosier, Dr Theresa Heneker, Professor Jamie Pittock, Dr Celine Steinfeld, </w:t>
      </w:r>
      <w:r w:rsidR="000425B0">
        <w:t>at the Murray Darling Basin Royal Commission.</w:t>
      </w:r>
    </w:p>
  </w:footnote>
  <w:footnote w:id="7">
    <w:p w14:paraId="79E29577" w14:textId="6A0A7F27" w:rsidR="00A67503" w:rsidRDefault="00A67503">
      <w:pPr>
        <w:pStyle w:val="FootnoteText"/>
      </w:pPr>
      <w:r>
        <w:rPr>
          <w:rStyle w:val="FootnoteReference"/>
        </w:rPr>
        <w:footnoteRef/>
      </w:r>
      <w:r>
        <w:t xml:space="preserve"> Ibid</w:t>
      </w:r>
    </w:p>
  </w:footnote>
  <w:footnote w:id="8">
    <w:p w14:paraId="5EE3CD06" w14:textId="77551BFE" w:rsidR="00A67503" w:rsidRDefault="00A67503">
      <w:pPr>
        <w:pStyle w:val="FootnoteText"/>
      </w:pPr>
      <w:r>
        <w:rPr>
          <w:rStyle w:val="FootnoteReference"/>
        </w:rPr>
        <w:footnoteRef/>
      </w:r>
      <w:r>
        <w:t xml:space="preserve"> See “The Guide” to the proposed Basin Plan, 2010</w:t>
      </w:r>
    </w:p>
  </w:footnote>
  <w:footnote w:id="9">
    <w:p w14:paraId="6EF1C60E" w14:textId="34BBDA6C" w:rsidR="00A67503" w:rsidRDefault="00A67503">
      <w:pPr>
        <w:pStyle w:val="FootnoteText"/>
      </w:pPr>
      <w:r>
        <w:rPr>
          <w:rStyle w:val="FootnoteReference"/>
        </w:rPr>
        <w:footnoteRef/>
      </w:r>
      <w:r>
        <w:t xml:space="preserve"> The OECD has long identified poor water governance as a major risk to the environment/water resources.</w:t>
      </w:r>
    </w:p>
  </w:footnote>
  <w:footnote w:id="10">
    <w:p w14:paraId="76FF212A" w14:textId="2A35C84C" w:rsidR="00A67503" w:rsidRDefault="00A67503">
      <w:pPr>
        <w:pStyle w:val="FootnoteText"/>
      </w:pPr>
      <w:r>
        <w:rPr>
          <w:rStyle w:val="FootnoteReference"/>
        </w:rPr>
        <w:footnoteRef/>
      </w:r>
      <w:r>
        <w:t xml:space="preserve"> Sworn evidence of David Bell at Royal Commission, plus multiple other sources</w:t>
      </w:r>
    </w:p>
  </w:footnote>
  <w:footnote w:id="11">
    <w:p w14:paraId="0D8A8B79" w14:textId="35A56C50" w:rsidR="00A67503" w:rsidRDefault="00A67503">
      <w:pPr>
        <w:pStyle w:val="FootnoteText"/>
      </w:pPr>
      <w:r>
        <w:rPr>
          <w:rStyle w:val="FootnoteReference"/>
        </w:rPr>
        <w:footnoteRef/>
      </w:r>
      <w:r>
        <w:t xml:space="preserve"> For example, evidence of Karlene Maywald at Royal Commission</w:t>
      </w:r>
    </w:p>
  </w:footnote>
  <w:footnote w:id="12">
    <w:p w14:paraId="2D311B29" w14:textId="5B83FFA4" w:rsidR="00A67503" w:rsidRDefault="00A67503">
      <w:pPr>
        <w:pStyle w:val="FootnoteText"/>
      </w:pPr>
      <w:r>
        <w:rPr>
          <w:rStyle w:val="FootnoteReference"/>
        </w:rPr>
        <w:footnoteRef/>
      </w:r>
      <w:r>
        <w:t xml:space="preserve"> Young et al, CSIRO, November 2011</w:t>
      </w:r>
    </w:p>
  </w:footnote>
  <w:footnote w:id="13">
    <w:p w14:paraId="2E26AF5F" w14:textId="77777777" w:rsidR="00A67503" w:rsidRDefault="00A67503" w:rsidP="004E4099">
      <w:pPr>
        <w:pStyle w:val="FootnoteText"/>
      </w:pPr>
      <w:r>
        <w:rPr>
          <w:rStyle w:val="FootnoteReference"/>
        </w:rPr>
        <w:footnoteRef/>
      </w:r>
      <w:r>
        <w:t xml:space="preserve"> See Royal Commission Report p297 and s.7.17(2)(a) of the Basin Plan</w:t>
      </w:r>
    </w:p>
  </w:footnote>
  <w:footnote w:id="14">
    <w:p w14:paraId="460A8A28" w14:textId="77777777" w:rsidR="00A67503" w:rsidRDefault="00A67503" w:rsidP="004E4099">
      <w:pPr>
        <w:pStyle w:val="FootnoteText"/>
      </w:pPr>
      <w:r>
        <w:rPr>
          <w:rStyle w:val="FootnoteReference"/>
        </w:rPr>
        <w:footnoteRef/>
      </w:r>
      <w:r>
        <w:t xml:space="preserve"> Brewsher Consulting, “Independent Review of Hydrologic Modelling for SDL adjustments,” 30/9/17</w:t>
      </w:r>
    </w:p>
  </w:footnote>
  <w:footnote w:id="15">
    <w:p w14:paraId="1D62EFE2" w14:textId="77777777" w:rsidR="00A67503" w:rsidRDefault="00A67503" w:rsidP="004E4099">
      <w:pPr>
        <w:pStyle w:val="FootnoteText"/>
      </w:pPr>
      <w:r>
        <w:rPr>
          <w:rStyle w:val="FootnoteReference"/>
        </w:rPr>
        <w:footnoteRef/>
      </w:r>
      <w:r>
        <w:t xml:space="preserve"> Justin Brookes et al, “SDL Adjustment Ecological Elements Method Development Report: Review of Final Project Report,” 30/3/14</w:t>
      </w:r>
    </w:p>
  </w:footnote>
  <w:footnote w:id="16">
    <w:p w14:paraId="77997249" w14:textId="77777777" w:rsidR="00A67503" w:rsidRDefault="00A67503" w:rsidP="004E4099">
      <w:pPr>
        <w:pStyle w:val="FootnoteText"/>
      </w:pPr>
      <w:r>
        <w:rPr>
          <w:rStyle w:val="FootnoteReference"/>
        </w:rPr>
        <w:footnoteRef/>
      </w:r>
      <w:r>
        <w:t xml:space="preserve"> Peter Davies et al, “Murray Darling Basin Plan SDL Limits of Change Review: Independent Expert Advisory Panel Report,” September 2017</w:t>
      </w:r>
    </w:p>
  </w:footnote>
  <w:footnote w:id="17">
    <w:p w14:paraId="3F477B25" w14:textId="77777777" w:rsidR="00A67503" w:rsidRDefault="00A67503" w:rsidP="004E4099">
      <w:pPr>
        <w:pStyle w:val="FootnoteText"/>
      </w:pPr>
      <w:r>
        <w:rPr>
          <w:rStyle w:val="FootnoteReference"/>
        </w:rPr>
        <w:footnoteRef/>
      </w:r>
      <w:r>
        <w:t xml:space="preserve"> And is rumoured to have been arrived at this way.</w:t>
      </w:r>
    </w:p>
  </w:footnote>
  <w:footnote w:id="18">
    <w:p w14:paraId="0BEE985B" w14:textId="77777777" w:rsidR="00A67503" w:rsidRDefault="00A67503" w:rsidP="004E4099">
      <w:pPr>
        <w:pStyle w:val="FootnoteText"/>
      </w:pPr>
      <w:r>
        <w:rPr>
          <w:rStyle w:val="FootnoteReference"/>
        </w:rPr>
        <w:footnoteRef/>
      </w:r>
      <w:r>
        <w:t xml:space="preserve"> Key Finding 7.1, page 56</w:t>
      </w:r>
    </w:p>
  </w:footnote>
  <w:footnote w:id="19">
    <w:p w14:paraId="5B579773" w14:textId="77777777" w:rsidR="00A67503" w:rsidRDefault="00A67503" w:rsidP="004E4099">
      <w:pPr>
        <w:pStyle w:val="FootnoteText"/>
      </w:pPr>
      <w:r>
        <w:rPr>
          <w:rStyle w:val="FootnoteReference"/>
        </w:rPr>
        <w:footnoteRef/>
      </w:r>
      <w:r>
        <w:t xml:space="preserve"> Key Finding 7.6, page 57</w:t>
      </w:r>
    </w:p>
  </w:footnote>
  <w:footnote w:id="20">
    <w:p w14:paraId="2E87109D" w14:textId="630D57A6" w:rsidR="00A67503" w:rsidRDefault="00A67503">
      <w:pPr>
        <w:pStyle w:val="FootnoteText"/>
      </w:pPr>
      <w:r>
        <w:rPr>
          <w:rStyle w:val="FootnoteReference"/>
        </w:rPr>
        <w:footnoteRef/>
      </w:r>
      <w:r>
        <w:t xml:space="preserve"> MDBA, “Hydrologic Modelling of the Relaxation of Operational Constraints in the Southern Connected System: Methods and Results,” October 2012.</w:t>
      </w:r>
    </w:p>
  </w:footnote>
  <w:footnote w:id="21">
    <w:p w14:paraId="7FB43B61" w14:textId="739282F8" w:rsidR="00A67503" w:rsidRDefault="00A67503">
      <w:pPr>
        <w:pStyle w:val="FootnoteText"/>
      </w:pPr>
      <w:r>
        <w:rPr>
          <w:rStyle w:val="FootnoteReference"/>
        </w:rPr>
        <w:footnoteRef/>
      </w:r>
      <w:r>
        <w:t xml:space="preserve"> MDBA, “The Proposed ‘Environmentally Sustainable Level of Take’ for Surface Water in the Murray Darling Basin,” 2011.</w:t>
      </w:r>
    </w:p>
  </w:footnote>
  <w:footnote w:id="22">
    <w:p w14:paraId="1A40E54D" w14:textId="27195D67" w:rsidR="00A67503" w:rsidRDefault="00A67503">
      <w:pPr>
        <w:pStyle w:val="FootnoteText"/>
      </w:pPr>
      <w:r>
        <w:rPr>
          <w:rStyle w:val="FootnoteReference"/>
        </w:rPr>
        <w:footnoteRef/>
      </w:r>
      <w:r>
        <w:t xml:space="preserve"> For certain very water-dependent towns this might have been true for some acquisitions of water entitlements</w:t>
      </w:r>
    </w:p>
  </w:footnote>
  <w:footnote w:id="23">
    <w:p w14:paraId="1DCA8BBB" w14:textId="295846A4" w:rsidR="00A67503" w:rsidRDefault="00A67503">
      <w:pPr>
        <w:pStyle w:val="FootnoteText"/>
      </w:pPr>
      <w:r>
        <w:rPr>
          <w:rStyle w:val="FootnoteReference"/>
        </w:rPr>
        <w:footnoteRef/>
      </w:r>
      <w:r>
        <w:t xml:space="preserve"> RC Report, finding 9.5 page 61.</w:t>
      </w:r>
    </w:p>
  </w:footnote>
  <w:footnote w:id="24">
    <w:p w14:paraId="5BB4C506" w14:textId="217C9ABA" w:rsidR="00A67503" w:rsidRDefault="00A67503">
      <w:pPr>
        <w:pStyle w:val="FootnoteText"/>
      </w:pPr>
      <w:r>
        <w:rPr>
          <w:rStyle w:val="FootnoteReference"/>
        </w:rPr>
        <w:footnoteRef/>
      </w:r>
      <w:r>
        <w:t xml:space="preserve"> There are too many papers (most peer reviewed) to cite here, as well as other evidence. Note also the ONLY independent review of social and economic impacts from on farm efficiency measures. </w:t>
      </w:r>
    </w:p>
  </w:footnote>
  <w:footnote w:id="25">
    <w:p w14:paraId="3DB5D565" w14:textId="69FFC0EA" w:rsidR="00A67503" w:rsidRPr="007B0068" w:rsidRDefault="00A67503">
      <w:pPr>
        <w:pStyle w:val="FootnoteText"/>
        <w:rPr>
          <w:lang w:val="en-US"/>
        </w:rPr>
      </w:pPr>
      <w:r>
        <w:rPr>
          <w:rStyle w:val="FootnoteReference"/>
        </w:rPr>
        <w:footnoteRef/>
      </w:r>
      <w:r>
        <w:t xml:space="preserve"> </w:t>
      </w:r>
      <w:r>
        <w:rPr>
          <w:lang w:val="en-US"/>
        </w:rPr>
        <w:t>Water Act, s.3(d)</w:t>
      </w:r>
    </w:p>
  </w:footnote>
  <w:footnote w:id="26">
    <w:p w14:paraId="7E3C45CA" w14:textId="502C8CD8" w:rsidR="00A67503" w:rsidRDefault="00A67503">
      <w:pPr>
        <w:pStyle w:val="FootnoteText"/>
      </w:pPr>
      <w:r>
        <w:rPr>
          <w:rStyle w:val="FootnoteReference"/>
        </w:rPr>
        <w:footnoteRef/>
      </w:r>
      <w:r>
        <w:t xml:space="preserve"> See Tourism Australia; see also “Australian Regional Tourism NSW” submission to MDBRC.</w:t>
      </w:r>
    </w:p>
  </w:footnote>
  <w:footnote w:id="27">
    <w:p w14:paraId="0D0CB866" w14:textId="3577F6B1" w:rsidR="00A67503" w:rsidRDefault="00A67503">
      <w:pPr>
        <w:pStyle w:val="FootnoteText"/>
      </w:pPr>
      <w:r>
        <w:rPr>
          <w:rStyle w:val="FootnoteReference"/>
        </w:rPr>
        <w:footnoteRef/>
      </w:r>
      <w:r>
        <w:t xml:space="preserve"> Regional Tourism Satellite Account Tourism Research Australia.</w:t>
      </w:r>
    </w:p>
  </w:footnote>
  <w:footnote w:id="28">
    <w:p w14:paraId="6E3A8A04" w14:textId="056FF601" w:rsidR="00A67503" w:rsidRDefault="00A67503">
      <w:pPr>
        <w:pStyle w:val="FootnoteText"/>
      </w:pPr>
      <w:r>
        <w:rPr>
          <w:rStyle w:val="FootnoteReference"/>
        </w:rPr>
        <w:footnoteRef/>
      </w:r>
      <w:r>
        <w:t xml:space="preserve"> Ernst &amp; Young, “Analysis of Efficiency Measures in the Murray-Darling Basin: Opportunities to recover 450GL in additional Environmental Water by 2024 through Efficiency Measures by 2024 with Neutral or Positive Socio-Economic Impacts – Independent Report to the Murray-Darling Basin Ministerial Council”, Jan 2018.</w:t>
      </w:r>
    </w:p>
  </w:footnote>
  <w:footnote w:id="29">
    <w:p w14:paraId="3CD4EE63" w14:textId="6F3F08EA" w:rsidR="00A67503" w:rsidRDefault="00A67503">
      <w:pPr>
        <w:pStyle w:val="FootnoteText"/>
      </w:pPr>
      <w:r>
        <w:rPr>
          <w:rStyle w:val="FootnoteReference"/>
        </w:rPr>
        <w:footnoteRef/>
      </w:r>
      <w:r>
        <w:t xml:space="preserve"> The fierce determination of those governments in respect to the Basin Plan to ignore facts, as well as best science and economics, has at least been consistent.</w:t>
      </w:r>
    </w:p>
  </w:footnote>
  <w:footnote w:id="30">
    <w:p w14:paraId="33BB7F19" w14:textId="17DB2540" w:rsidR="00A67503" w:rsidRDefault="00A67503">
      <w:pPr>
        <w:pStyle w:val="FootnoteText"/>
      </w:pPr>
      <w:r>
        <w:rPr>
          <w:rStyle w:val="FootnoteReference"/>
        </w:rPr>
        <w:footnoteRef/>
      </w:r>
      <w:r>
        <w:t xml:space="preserve"> Dwyer, Clarke, Carr, “Economic Effects of the Commonwealth Water Recovery Programs in the Murrumbidgee Irrigation Area” (Marsden Jacobs), October 2017.</w:t>
      </w:r>
    </w:p>
  </w:footnote>
  <w:footnote w:id="31">
    <w:p w14:paraId="49ABAD70" w14:textId="1C32D5EB" w:rsidR="00F3081D" w:rsidRPr="00F3081D" w:rsidRDefault="00F3081D">
      <w:pPr>
        <w:pStyle w:val="FootnoteText"/>
        <w:rPr>
          <w:lang w:val="en-US"/>
        </w:rPr>
      </w:pPr>
      <w:r>
        <w:rPr>
          <w:rStyle w:val="FootnoteReference"/>
        </w:rPr>
        <w:footnoteRef/>
      </w:r>
      <w:r>
        <w:t xml:space="preserve"> </w:t>
      </w:r>
      <w:r>
        <w:rPr>
          <w:lang w:val="en-US"/>
        </w:rPr>
        <w:t>Evidence of Prof. A Pitman at Murray Darling Basin Royal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142B" w14:textId="77777777" w:rsidR="00A67503" w:rsidRDefault="00A67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170" w14:textId="07709D9E" w:rsidR="00A67503" w:rsidRDefault="00A67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8C2F" w14:textId="77777777" w:rsidR="00A67503" w:rsidRDefault="00A67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307"/>
    <w:multiLevelType w:val="hybridMultilevel"/>
    <w:tmpl w:val="15BAF864"/>
    <w:lvl w:ilvl="0" w:tplc="F49A4AC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98434B7"/>
    <w:multiLevelType w:val="hybridMultilevel"/>
    <w:tmpl w:val="787C9808"/>
    <w:lvl w:ilvl="0" w:tplc="A5D2D47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F4102C"/>
    <w:multiLevelType w:val="hybridMultilevel"/>
    <w:tmpl w:val="01849BA8"/>
    <w:lvl w:ilvl="0" w:tplc="E7A66B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0E67303D"/>
    <w:multiLevelType w:val="hybridMultilevel"/>
    <w:tmpl w:val="28884052"/>
    <w:lvl w:ilvl="0" w:tplc="F78C50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E63100"/>
    <w:multiLevelType w:val="hybridMultilevel"/>
    <w:tmpl w:val="5E80F178"/>
    <w:lvl w:ilvl="0" w:tplc="5156EB10">
      <w:numFmt w:val="bullet"/>
      <w:lvlText w:val="-"/>
      <w:lvlJc w:val="left"/>
      <w:pPr>
        <w:ind w:left="720" w:hanging="360"/>
      </w:pPr>
      <w:rPr>
        <w:rFonts w:ascii="Calisto MT" w:eastAsiaTheme="minorHAnsi" w:hAnsi="Calisto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E4576"/>
    <w:multiLevelType w:val="hybridMultilevel"/>
    <w:tmpl w:val="9CF86BDA"/>
    <w:lvl w:ilvl="0" w:tplc="029693A2">
      <w:start w:val="1"/>
      <w:numFmt w:val="decimal"/>
      <w:lvlText w:val="%1."/>
      <w:lvlJc w:val="left"/>
      <w:pPr>
        <w:ind w:left="720" w:hanging="72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0C47A1"/>
    <w:multiLevelType w:val="hybridMultilevel"/>
    <w:tmpl w:val="B336BA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420436"/>
    <w:multiLevelType w:val="hybridMultilevel"/>
    <w:tmpl w:val="8A402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AA94D89"/>
    <w:multiLevelType w:val="hybridMultilevel"/>
    <w:tmpl w:val="80629418"/>
    <w:lvl w:ilvl="0" w:tplc="0760280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C21311A"/>
    <w:multiLevelType w:val="hybridMultilevel"/>
    <w:tmpl w:val="CCC065FA"/>
    <w:lvl w:ilvl="0" w:tplc="2DB0101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5E580E33"/>
    <w:multiLevelType w:val="hybridMultilevel"/>
    <w:tmpl w:val="7AC0AC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262365"/>
    <w:multiLevelType w:val="hybridMultilevel"/>
    <w:tmpl w:val="1EF637A4"/>
    <w:lvl w:ilvl="0" w:tplc="F6AA9F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30A1028"/>
    <w:multiLevelType w:val="hybridMultilevel"/>
    <w:tmpl w:val="82046974"/>
    <w:lvl w:ilvl="0" w:tplc="92E4D79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75B91846"/>
    <w:multiLevelType w:val="hybridMultilevel"/>
    <w:tmpl w:val="EC446FC8"/>
    <w:lvl w:ilvl="0" w:tplc="DBBEA63A">
      <w:start w:val="1"/>
      <w:numFmt w:val="lowerLetter"/>
      <w:lvlText w:val="(%1)"/>
      <w:lvlJc w:val="left"/>
      <w:pPr>
        <w:ind w:left="1080" w:hanging="360"/>
      </w:pPr>
      <w:rPr>
        <w:rFonts w:hint="default"/>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5F50857"/>
    <w:multiLevelType w:val="hybridMultilevel"/>
    <w:tmpl w:val="92CC20A6"/>
    <w:lvl w:ilvl="0" w:tplc="4064AA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98875511">
    <w:abstractNumId w:val="5"/>
  </w:num>
  <w:num w:numId="2" w16cid:durableId="1968316344">
    <w:abstractNumId w:val="3"/>
  </w:num>
  <w:num w:numId="3" w16cid:durableId="1610115522">
    <w:abstractNumId w:val="8"/>
  </w:num>
  <w:num w:numId="4" w16cid:durableId="1742558262">
    <w:abstractNumId w:val="1"/>
  </w:num>
  <w:num w:numId="5" w16cid:durableId="1712725620">
    <w:abstractNumId w:val="10"/>
  </w:num>
  <w:num w:numId="6" w16cid:durableId="265116811">
    <w:abstractNumId w:val="13"/>
  </w:num>
  <w:num w:numId="7" w16cid:durableId="2010715732">
    <w:abstractNumId w:val="7"/>
  </w:num>
  <w:num w:numId="8" w16cid:durableId="1682126115">
    <w:abstractNumId w:val="6"/>
  </w:num>
  <w:num w:numId="9" w16cid:durableId="415707257">
    <w:abstractNumId w:val="0"/>
  </w:num>
  <w:num w:numId="10" w16cid:durableId="830832421">
    <w:abstractNumId w:val="9"/>
  </w:num>
  <w:num w:numId="11" w16cid:durableId="2067873733">
    <w:abstractNumId w:val="12"/>
  </w:num>
  <w:num w:numId="12" w16cid:durableId="1775593890">
    <w:abstractNumId w:val="2"/>
  </w:num>
  <w:num w:numId="13" w16cid:durableId="1395008221">
    <w:abstractNumId w:val="11"/>
  </w:num>
  <w:num w:numId="14" w16cid:durableId="1716545293">
    <w:abstractNumId w:val="4"/>
  </w:num>
  <w:num w:numId="15" w16cid:durableId="241331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27"/>
    <w:rsid w:val="0000163C"/>
    <w:rsid w:val="00002670"/>
    <w:rsid w:val="000038B2"/>
    <w:rsid w:val="000117C4"/>
    <w:rsid w:val="00011E60"/>
    <w:rsid w:val="00011F72"/>
    <w:rsid w:val="00023F0C"/>
    <w:rsid w:val="00025D6D"/>
    <w:rsid w:val="00026BC0"/>
    <w:rsid w:val="00026F7D"/>
    <w:rsid w:val="00031F20"/>
    <w:rsid w:val="00033894"/>
    <w:rsid w:val="000361DC"/>
    <w:rsid w:val="00036AD8"/>
    <w:rsid w:val="00036EC6"/>
    <w:rsid w:val="000425B0"/>
    <w:rsid w:val="0004396C"/>
    <w:rsid w:val="00043E3F"/>
    <w:rsid w:val="000464E2"/>
    <w:rsid w:val="000465B8"/>
    <w:rsid w:val="000532EA"/>
    <w:rsid w:val="00053303"/>
    <w:rsid w:val="00054F91"/>
    <w:rsid w:val="00057961"/>
    <w:rsid w:val="000579A1"/>
    <w:rsid w:val="000604A9"/>
    <w:rsid w:val="00063FF1"/>
    <w:rsid w:val="000676C2"/>
    <w:rsid w:val="00067A5D"/>
    <w:rsid w:val="00067B23"/>
    <w:rsid w:val="00067CAA"/>
    <w:rsid w:val="00067E82"/>
    <w:rsid w:val="00070C15"/>
    <w:rsid w:val="000712F9"/>
    <w:rsid w:val="000722D5"/>
    <w:rsid w:val="000734B4"/>
    <w:rsid w:val="00073C39"/>
    <w:rsid w:val="00074654"/>
    <w:rsid w:val="00076C06"/>
    <w:rsid w:val="00076C98"/>
    <w:rsid w:val="00080BD9"/>
    <w:rsid w:val="000817A8"/>
    <w:rsid w:val="00081BB9"/>
    <w:rsid w:val="000832BC"/>
    <w:rsid w:val="00083421"/>
    <w:rsid w:val="00083B01"/>
    <w:rsid w:val="00090D41"/>
    <w:rsid w:val="00091F09"/>
    <w:rsid w:val="000928A8"/>
    <w:rsid w:val="0009338F"/>
    <w:rsid w:val="000942E1"/>
    <w:rsid w:val="00096E38"/>
    <w:rsid w:val="00097080"/>
    <w:rsid w:val="0009738E"/>
    <w:rsid w:val="0009745B"/>
    <w:rsid w:val="000A0CE9"/>
    <w:rsid w:val="000A23D5"/>
    <w:rsid w:val="000A257F"/>
    <w:rsid w:val="000A5706"/>
    <w:rsid w:val="000C04B7"/>
    <w:rsid w:val="000C0685"/>
    <w:rsid w:val="000C5C46"/>
    <w:rsid w:val="000C61A8"/>
    <w:rsid w:val="000D0CA3"/>
    <w:rsid w:val="000E0883"/>
    <w:rsid w:val="000E495C"/>
    <w:rsid w:val="000E6CC6"/>
    <w:rsid w:val="000F07B8"/>
    <w:rsid w:val="000F485A"/>
    <w:rsid w:val="000F56DB"/>
    <w:rsid w:val="000F69C4"/>
    <w:rsid w:val="001028DC"/>
    <w:rsid w:val="00113960"/>
    <w:rsid w:val="00113EFE"/>
    <w:rsid w:val="00115C0B"/>
    <w:rsid w:val="0012053F"/>
    <w:rsid w:val="0012538E"/>
    <w:rsid w:val="00131219"/>
    <w:rsid w:val="00134E04"/>
    <w:rsid w:val="001373D9"/>
    <w:rsid w:val="0014046F"/>
    <w:rsid w:val="00144B20"/>
    <w:rsid w:val="00147820"/>
    <w:rsid w:val="00151C63"/>
    <w:rsid w:val="00151DCB"/>
    <w:rsid w:val="00153554"/>
    <w:rsid w:val="001536D7"/>
    <w:rsid w:val="00161168"/>
    <w:rsid w:val="00163C5D"/>
    <w:rsid w:val="0016518B"/>
    <w:rsid w:val="00165288"/>
    <w:rsid w:val="00171A60"/>
    <w:rsid w:val="00172E8E"/>
    <w:rsid w:val="00173FA0"/>
    <w:rsid w:val="00175653"/>
    <w:rsid w:val="001767FB"/>
    <w:rsid w:val="00176C92"/>
    <w:rsid w:val="00177A44"/>
    <w:rsid w:val="00177C93"/>
    <w:rsid w:val="001856AE"/>
    <w:rsid w:val="00190239"/>
    <w:rsid w:val="001919C0"/>
    <w:rsid w:val="00193AAF"/>
    <w:rsid w:val="00194364"/>
    <w:rsid w:val="001950A9"/>
    <w:rsid w:val="00197F5F"/>
    <w:rsid w:val="001A0330"/>
    <w:rsid w:val="001A4BD0"/>
    <w:rsid w:val="001A58CD"/>
    <w:rsid w:val="001A5DD8"/>
    <w:rsid w:val="001A6B0C"/>
    <w:rsid w:val="001B0672"/>
    <w:rsid w:val="001B1264"/>
    <w:rsid w:val="001B1A35"/>
    <w:rsid w:val="001B1C4A"/>
    <w:rsid w:val="001B1EE1"/>
    <w:rsid w:val="001B317D"/>
    <w:rsid w:val="001B5295"/>
    <w:rsid w:val="001B5AB1"/>
    <w:rsid w:val="001B7B1D"/>
    <w:rsid w:val="001C3888"/>
    <w:rsid w:val="001C588F"/>
    <w:rsid w:val="001C617E"/>
    <w:rsid w:val="001D01C8"/>
    <w:rsid w:val="001D0F52"/>
    <w:rsid w:val="001D741B"/>
    <w:rsid w:val="001E2629"/>
    <w:rsid w:val="001E3F5C"/>
    <w:rsid w:val="001E4287"/>
    <w:rsid w:val="001F0A74"/>
    <w:rsid w:val="001F3FCB"/>
    <w:rsid w:val="001F6D12"/>
    <w:rsid w:val="00202F0D"/>
    <w:rsid w:val="00204235"/>
    <w:rsid w:val="0020796F"/>
    <w:rsid w:val="00211DEF"/>
    <w:rsid w:val="002171A9"/>
    <w:rsid w:val="002176C6"/>
    <w:rsid w:val="00220C2A"/>
    <w:rsid w:val="00225FED"/>
    <w:rsid w:val="00230FEC"/>
    <w:rsid w:val="00233CFB"/>
    <w:rsid w:val="002358D9"/>
    <w:rsid w:val="00235C2C"/>
    <w:rsid w:val="00236921"/>
    <w:rsid w:val="002469BF"/>
    <w:rsid w:val="00253BC4"/>
    <w:rsid w:val="00260A39"/>
    <w:rsid w:val="0026563C"/>
    <w:rsid w:val="0026574B"/>
    <w:rsid w:val="00270462"/>
    <w:rsid w:val="00271930"/>
    <w:rsid w:val="0027525E"/>
    <w:rsid w:val="00275F66"/>
    <w:rsid w:val="0027773C"/>
    <w:rsid w:val="00277FB3"/>
    <w:rsid w:val="00284AA3"/>
    <w:rsid w:val="00286E50"/>
    <w:rsid w:val="00287752"/>
    <w:rsid w:val="00287A8A"/>
    <w:rsid w:val="00290472"/>
    <w:rsid w:val="00291F58"/>
    <w:rsid w:val="00294F4D"/>
    <w:rsid w:val="002A0AE8"/>
    <w:rsid w:val="002A1DDB"/>
    <w:rsid w:val="002A2B29"/>
    <w:rsid w:val="002A2FDF"/>
    <w:rsid w:val="002B119E"/>
    <w:rsid w:val="002B2969"/>
    <w:rsid w:val="002B29F1"/>
    <w:rsid w:val="002B6182"/>
    <w:rsid w:val="002C117D"/>
    <w:rsid w:val="002C5225"/>
    <w:rsid w:val="002C6A68"/>
    <w:rsid w:val="002D06F6"/>
    <w:rsid w:val="002D48B2"/>
    <w:rsid w:val="002D75CC"/>
    <w:rsid w:val="002E498A"/>
    <w:rsid w:val="002F4C89"/>
    <w:rsid w:val="002F6800"/>
    <w:rsid w:val="0030006D"/>
    <w:rsid w:val="00300814"/>
    <w:rsid w:val="0030727A"/>
    <w:rsid w:val="003077FB"/>
    <w:rsid w:val="0031048E"/>
    <w:rsid w:val="00312FCF"/>
    <w:rsid w:val="00313417"/>
    <w:rsid w:val="003140C4"/>
    <w:rsid w:val="0031543E"/>
    <w:rsid w:val="00315A75"/>
    <w:rsid w:val="00320F7F"/>
    <w:rsid w:val="003217B7"/>
    <w:rsid w:val="00321C8B"/>
    <w:rsid w:val="00323246"/>
    <w:rsid w:val="003244D9"/>
    <w:rsid w:val="0032527D"/>
    <w:rsid w:val="003305F5"/>
    <w:rsid w:val="00332E74"/>
    <w:rsid w:val="00334EEC"/>
    <w:rsid w:val="00337484"/>
    <w:rsid w:val="00337C8F"/>
    <w:rsid w:val="00340B5C"/>
    <w:rsid w:val="003439E5"/>
    <w:rsid w:val="00347406"/>
    <w:rsid w:val="00352B34"/>
    <w:rsid w:val="003537A9"/>
    <w:rsid w:val="00355164"/>
    <w:rsid w:val="00355FC2"/>
    <w:rsid w:val="00362BBE"/>
    <w:rsid w:val="0037199F"/>
    <w:rsid w:val="00375FAC"/>
    <w:rsid w:val="003776A9"/>
    <w:rsid w:val="003829D9"/>
    <w:rsid w:val="00385620"/>
    <w:rsid w:val="003942BC"/>
    <w:rsid w:val="00395358"/>
    <w:rsid w:val="003A12B3"/>
    <w:rsid w:val="003A20B4"/>
    <w:rsid w:val="003A2878"/>
    <w:rsid w:val="003A2FD9"/>
    <w:rsid w:val="003A43EF"/>
    <w:rsid w:val="003A5A08"/>
    <w:rsid w:val="003B33A6"/>
    <w:rsid w:val="003B39A9"/>
    <w:rsid w:val="003B6D6C"/>
    <w:rsid w:val="003B7DFC"/>
    <w:rsid w:val="003C1924"/>
    <w:rsid w:val="003C196B"/>
    <w:rsid w:val="003C265D"/>
    <w:rsid w:val="003C3041"/>
    <w:rsid w:val="003C3927"/>
    <w:rsid w:val="003C53A0"/>
    <w:rsid w:val="003C66E6"/>
    <w:rsid w:val="003D0089"/>
    <w:rsid w:val="003D1B92"/>
    <w:rsid w:val="003D3751"/>
    <w:rsid w:val="003D40E3"/>
    <w:rsid w:val="003E0542"/>
    <w:rsid w:val="003E6349"/>
    <w:rsid w:val="003F6EB6"/>
    <w:rsid w:val="004014E9"/>
    <w:rsid w:val="00401E6A"/>
    <w:rsid w:val="00406A91"/>
    <w:rsid w:val="00412D17"/>
    <w:rsid w:val="0041485F"/>
    <w:rsid w:val="00423F03"/>
    <w:rsid w:val="004259AB"/>
    <w:rsid w:val="00430089"/>
    <w:rsid w:val="00431C74"/>
    <w:rsid w:val="00433455"/>
    <w:rsid w:val="0043345C"/>
    <w:rsid w:val="0043458F"/>
    <w:rsid w:val="004376EF"/>
    <w:rsid w:val="004377F2"/>
    <w:rsid w:val="004427A0"/>
    <w:rsid w:val="00442C78"/>
    <w:rsid w:val="004443D4"/>
    <w:rsid w:val="00444B5B"/>
    <w:rsid w:val="0044527E"/>
    <w:rsid w:val="00446664"/>
    <w:rsid w:val="0044675F"/>
    <w:rsid w:val="0045109A"/>
    <w:rsid w:val="004538BE"/>
    <w:rsid w:val="00454691"/>
    <w:rsid w:val="0045500C"/>
    <w:rsid w:val="004600F0"/>
    <w:rsid w:val="00463EDE"/>
    <w:rsid w:val="00464B85"/>
    <w:rsid w:val="00466CA4"/>
    <w:rsid w:val="004722D1"/>
    <w:rsid w:val="00474B53"/>
    <w:rsid w:val="00475BC7"/>
    <w:rsid w:val="004824B3"/>
    <w:rsid w:val="00492DDF"/>
    <w:rsid w:val="00494A26"/>
    <w:rsid w:val="004A0380"/>
    <w:rsid w:val="004A0E5E"/>
    <w:rsid w:val="004A2809"/>
    <w:rsid w:val="004A58A6"/>
    <w:rsid w:val="004B1CCC"/>
    <w:rsid w:val="004B45FB"/>
    <w:rsid w:val="004B4D85"/>
    <w:rsid w:val="004B5D71"/>
    <w:rsid w:val="004B6D92"/>
    <w:rsid w:val="004C579B"/>
    <w:rsid w:val="004D1C37"/>
    <w:rsid w:val="004D4820"/>
    <w:rsid w:val="004D521A"/>
    <w:rsid w:val="004D5EF4"/>
    <w:rsid w:val="004E2097"/>
    <w:rsid w:val="004E4099"/>
    <w:rsid w:val="004F1090"/>
    <w:rsid w:val="004F18DE"/>
    <w:rsid w:val="004F1DAA"/>
    <w:rsid w:val="004F35D9"/>
    <w:rsid w:val="004F55F8"/>
    <w:rsid w:val="004F7CC6"/>
    <w:rsid w:val="00500F3B"/>
    <w:rsid w:val="005022B9"/>
    <w:rsid w:val="0050501A"/>
    <w:rsid w:val="00507B04"/>
    <w:rsid w:val="005256DE"/>
    <w:rsid w:val="0053119E"/>
    <w:rsid w:val="005322B9"/>
    <w:rsid w:val="005332A1"/>
    <w:rsid w:val="00533E24"/>
    <w:rsid w:val="00537808"/>
    <w:rsid w:val="00540BD3"/>
    <w:rsid w:val="00545CC9"/>
    <w:rsid w:val="005516F0"/>
    <w:rsid w:val="005528E8"/>
    <w:rsid w:val="00554D22"/>
    <w:rsid w:val="005644A8"/>
    <w:rsid w:val="00566405"/>
    <w:rsid w:val="00566939"/>
    <w:rsid w:val="005704AB"/>
    <w:rsid w:val="005737EC"/>
    <w:rsid w:val="00585B89"/>
    <w:rsid w:val="005A42E8"/>
    <w:rsid w:val="005A4AAE"/>
    <w:rsid w:val="005A64E0"/>
    <w:rsid w:val="005B0A2D"/>
    <w:rsid w:val="005B1BEA"/>
    <w:rsid w:val="005D030D"/>
    <w:rsid w:val="005D4A05"/>
    <w:rsid w:val="005D5A53"/>
    <w:rsid w:val="005D5FEF"/>
    <w:rsid w:val="005D7C95"/>
    <w:rsid w:val="005E0319"/>
    <w:rsid w:val="005E2B2D"/>
    <w:rsid w:val="005E39B0"/>
    <w:rsid w:val="005F0310"/>
    <w:rsid w:val="005F463E"/>
    <w:rsid w:val="005F47DD"/>
    <w:rsid w:val="005F778C"/>
    <w:rsid w:val="00602DD1"/>
    <w:rsid w:val="006040F0"/>
    <w:rsid w:val="006062C1"/>
    <w:rsid w:val="006078C3"/>
    <w:rsid w:val="0061288A"/>
    <w:rsid w:val="00614C5E"/>
    <w:rsid w:val="00620F55"/>
    <w:rsid w:val="00626F24"/>
    <w:rsid w:val="006274D4"/>
    <w:rsid w:val="006318AA"/>
    <w:rsid w:val="0063570C"/>
    <w:rsid w:val="0063633E"/>
    <w:rsid w:val="00636381"/>
    <w:rsid w:val="006456D7"/>
    <w:rsid w:val="0064754D"/>
    <w:rsid w:val="00653EBC"/>
    <w:rsid w:val="00657EC2"/>
    <w:rsid w:val="00664AB8"/>
    <w:rsid w:val="00665F0C"/>
    <w:rsid w:val="00667145"/>
    <w:rsid w:val="00667C17"/>
    <w:rsid w:val="0067364A"/>
    <w:rsid w:val="00675936"/>
    <w:rsid w:val="00680DB2"/>
    <w:rsid w:val="00691D3B"/>
    <w:rsid w:val="00694FBA"/>
    <w:rsid w:val="006A2D7B"/>
    <w:rsid w:val="006A42F2"/>
    <w:rsid w:val="006A5125"/>
    <w:rsid w:val="006B0492"/>
    <w:rsid w:val="006B07EF"/>
    <w:rsid w:val="006B0EEB"/>
    <w:rsid w:val="006B7B58"/>
    <w:rsid w:val="006B7CE3"/>
    <w:rsid w:val="006C415D"/>
    <w:rsid w:val="006C5374"/>
    <w:rsid w:val="006C64DB"/>
    <w:rsid w:val="006C7460"/>
    <w:rsid w:val="006C7B48"/>
    <w:rsid w:val="006D0D3F"/>
    <w:rsid w:val="006D1123"/>
    <w:rsid w:val="006D50C3"/>
    <w:rsid w:val="006D66E2"/>
    <w:rsid w:val="006E0EC6"/>
    <w:rsid w:val="006E314D"/>
    <w:rsid w:val="006E4D76"/>
    <w:rsid w:val="006F13FD"/>
    <w:rsid w:val="006F2A00"/>
    <w:rsid w:val="00702DFA"/>
    <w:rsid w:val="00706487"/>
    <w:rsid w:val="00707DB1"/>
    <w:rsid w:val="00710C32"/>
    <w:rsid w:val="00720BA3"/>
    <w:rsid w:val="00721520"/>
    <w:rsid w:val="00723004"/>
    <w:rsid w:val="007248E4"/>
    <w:rsid w:val="007260BE"/>
    <w:rsid w:val="00727FF0"/>
    <w:rsid w:val="007324FC"/>
    <w:rsid w:val="00742461"/>
    <w:rsid w:val="00742ABB"/>
    <w:rsid w:val="007527A0"/>
    <w:rsid w:val="00754387"/>
    <w:rsid w:val="00756967"/>
    <w:rsid w:val="00760486"/>
    <w:rsid w:val="00761BDF"/>
    <w:rsid w:val="007710AB"/>
    <w:rsid w:val="00772314"/>
    <w:rsid w:val="00775D60"/>
    <w:rsid w:val="007806BB"/>
    <w:rsid w:val="00786656"/>
    <w:rsid w:val="007928EC"/>
    <w:rsid w:val="007A0F1F"/>
    <w:rsid w:val="007A0FB4"/>
    <w:rsid w:val="007A22FC"/>
    <w:rsid w:val="007A26D1"/>
    <w:rsid w:val="007A3CF4"/>
    <w:rsid w:val="007A4CE1"/>
    <w:rsid w:val="007A5E8B"/>
    <w:rsid w:val="007A6841"/>
    <w:rsid w:val="007A7C66"/>
    <w:rsid w:val="007A7CBE"/>
    <w:rsid w:val="007B0068"/>
    <w:rsid w:val="007B3E5E"/>
    <w:rsid w:val="007B5D82"/>
    <w:rsid w:val="007B644B"/>
    <w:rsid w:val="007C1480"/>
    <w:rsid w:val="007C3B62"/>
    <w:rsid w:val="007C5097"/>
    <w:rsid w:val="007D3E61"/>
    <w:rsid w:val="007D75CC"/>
    <w:rsid w:val="007E115B"/>
    <w:rsid w:val="007E2A8A"/>
    <w:rsid w:val="007F0512"/>
    <w:rsid w:val="007F0F91"/>
    <w:rsid w:val="007F3745"/>
    <w:rsid w:val="007F632A"/>
    <w:rsid w:val="007F6DE8"/>
    <w:rsid w:val="007F7D5F"/>
    <w:rsid w:val="00800E35"/>
    <w:rsid w:val="00800E50"/>
    <w:rsid w:val="00811581"/>
    <w:rsid w:val="008129E2"/>
    <w:rsid w:val="00820BCB"/>
    <w:rsid w:val="0082115C"/>
    <w:rsid w:val="008244DF"/>
    <w:rsid w:val="00836FB9"/>
    <w:rsid w:val="0083742F"/>
    <w:rsid w:val="008424D9"/>
    <w:rsid w:val="0084666A"/>
    <w:rsid w:val="00850FA8"/>
    <w:rsid w:val="0085467A"/>
    <w:rsid w:val="00855C22"/>
    <w:rsid w:val="00856AFB"/>
    <w:rsid w:val="00861884"/>
    <w:rsid w:val="008641C3"/>
    <w:rsid w:val="008656A3"/>
    <w:rsid w:val="00865FDE"/>
    <w:rsid w:val="00866E0C"/>
    <w:rsid w:val="008670D0"/>
    <w:rsid w:val="008749D5"/>
    <w:rsid w:val="00884AF1"/>
    <w:rsid w:val="0088532B"/>
    <w:rsid w:val="00887327"/>
    <w:rsid w:val="00892CA3"/>
    <w:rsid w:val="008934D6"/>
    <w:rsid w:val="00896662"/>
    <w:rsid w:val="008A17D3"/>
    <w:rsid w:val="008A2D3E"/>
    <w:rsid w:val="008B0F74"/>
    <w:rsid w:val="008B3EDF"/>
    <w:rsid w:val="008B65E4"/>
    <w:rsid w:val="008B7166"/>
    <w:rsid w:val="008C29F1"/>
    <w:rsid w:val="008C52C7"/>
    <w:rsid w:val="008C77F4"/>
    <w:rsid w:val="008D0F20"/>
    <w:rsid w:val="008D240F"/>
    <w:rsid w:val="008D5402"/>
    <w:rsid w:val="008D54CE"/>
    <w:rsid w:val="008D73F9"/>
    <w:rsid w:val="008E5AFE"/>
    <w:rsid w:val="008E5FDD"/>
    <w:rsid w:val="008E6011"/>
    <w:rsid w:val="008F0123"/>
    <w:rsid w:val="008F0359"/>
    <w:rsid w:val="008F40C8"/>
    <w:rsid w:val="00900917"/>
    <w:rsid w:val="00901911"/>
    <w:rsid w:val="00901A36"/>
    <w:rsid w:val="00905FF2"/>
    <w:rsid w:val="00906EF3"/>
    <w:rsid w:val="00907A5D"/>
    <w:rsid w:val="00920246"/>
    <w:rsid w:val="00920E97"/>
    <w:rsid w:val="009212E4"/>
    <w:rsid w:val="00922A56"/>
    <w:rsid w:val="00922F22"/>
    <w:rsid w:val="00924EB2"/>
    <w:rsid w:val="00927128"/>
    <w:rsid w:val="00930730"/>
    <w:rsid w:val="00930DA6"/>
    <w:rsid w:val="00932AE9"/>
    <w:rsid w:val="00933687"/>
    <w:rsid w:val="009377FD"/>
    <w:rsid w:val="00940808"/>
    <w:rsid w:val="009433D9"/>
    <w:rsid w:val="00947B05"/>
    <w:rsid w:val="00950817"/>
    <w:rsid w:val="0095198F"/>
    <w:rsid w:val="009532FB"/>
    <w:rsid w:val="00955E94"/>
    <w:rsid w:val="009567FF"/>
    <w:rsid w:val="00956F3A"/>
    <w:rsid w:val="00957077"/>
    <w:rsid w:val="009617E2"/>
    <w:rsid w:val="00963681"/>
    <w:rsid w:val="009637A5"/>
    <w:rsid w:val="00963988"/>
    <w:rsid w:val="0096513D"/>
    <w:rsid w:val="00977DE1"/>
    <w:rsid w:val="00977F3A"/>
    <w:rsid w:val="00981ED3"/>
    <w:rsid w:val="00990D54"/>
    <w:rsid w:val="00991354"/>
    <w:rsid w:val="009959FA"/>
    <w:rsid w:val="00995D56"/>
    <w:rsid w:val="009A147E"/>
    <w:rsid w:val="009A6470"/>
    <w:rsid w:val="009B07F7"/>
    <w:rsid w:val="009C60A4"/>
    <w:rsid w:val="009D15A4"/>
    <w:rsid w:val="009D3335"/>
    <w:rsid w:val="009D438F"/>
    <w:rsid w:val="009D4460"/>
    <w:rsid w:val="009D7BFF"/>
    <w:rsid w:val="009E33B4"/>
    <w:rsid w:val="009E7AA9"/>
    <w:rsid w:val="009F6E6F"/>
    <w:rsid w:val="009F6F21"/>
    <w:rsid w:val="00A02D01"/>
    <w:rsid w:val="00A0595F"/>
    <w:rsid w:val="00A05C84"/>
    <w:rsid w:val="00A14D8B"/>
    <w:rsid w:val="00A15987"/>
    <w:rsid w:val="00A21E46"/>
    <w:rsid w:val="00A23413"/>
    <w:rsid w:val="00A244A6"/>
    <w:rsid w:val="00A253CF"/>
    <w:rsid w:val="00A3781C"/>
    <w:rsid w:val="00A402DA"/>
    <w:rsid w:val="00A43110"/>
    <w:rsid w:val="00A50A8A"/>
    <w:rsid w:val="00A50E27"/>
    <w:rsid w:val="00A52539"/>
    <w:rsid w:val="00A558F7"/>
    <w:rsid w:val="00A6150E"/>
    <w:rsid w:val="00A64213"/>
    <w:rsid w:val="00A67503"/>
    <w:rsid w:val="00A67B38"/>
    <w:rsid w:val="00A71425"/>
    <w:rsid w:val="00A74CE6"/>
    <w:rsid w:val="00A75F94"/>
    <w:rsid w:val="00A80B17"/>
    <w:rsid w:val="00A80F6A"/>
    <w:rsid w:val="00A81C89"/>
    <w:rsid w:val="00A82AE9"/>
    <w:rsid w:val="00A82D61"/>
    <w:rsid w:val="00A85610"/>
    <w:rsid w:val="00A867B1"/>
    <w:rsid w:val="00A90863"/>
    <w:rsid w:val="00A93BB7"/>
    <w:rsid w:val="00A94B99"/>
    <w:rsid w:val="00A95B61"/>
    <w:rsid w:val="00A97F28"/>
    <w:rsid w:val="00AA1C51"/>
    <w:rsid w:val="00AA27BA"/>
    <w:rsid w:val="00AA43A3"/>
    <w:rsid w:val="00AA5344"/>
    <w:rsid w:val="00AB1722"/>
    <w:rsid w:val="00AB4575"/>
    <w:rsid w:val="00AB506B"/>
    <w:rsid w:val="00AB69D6"/>
    <w:rsid w:val="00AC4715"/>
    <w:rsid w:val="00AC5C84"/>
    <w:rsid w:val="00AD439E"/>
    <w:rsid w:val="00AE0141"/>
    <w:rsid w:val="00AF18E7"/>
    <w:rsid w:val="00AF2137"/>
    <w:rsid w:val="00AF3632"/>
    <w:rsid w:val="00AF7668"/>
    <w:rsid w:val="00AF7BEE"/>
    <w:rsid w:val="00B00122"/>
    <w:rsid w:val="00B04DE8"/>
    <w:rsid w:val="00B12785"/>
    <w:rsid w:val="00B12843"/>
    <w:rsid w:val="00B12912"/>
    <w:rsid w:val="00B146CD"/>
    <w:rsid w:val="00B22F39"/>
    <w:rsid w:val="00B2369E"/>
    <w:rsid w:val="00B25A7D"/>
    <w:rsid w:val="00B26DBE"/>
    <w:rsid w:val="00B337EB"/>
    <w:rsid w:val="00B40968"/>
    <w:rsid w:val="00B41890"/>
    <w:rsid w:val="00B42316"/>
    <w:rsid w:val="00B4262C"/>
    <w:rsid w:val="00B42D27"/>
    <w:rsid w:val="00B503C2"/>
    <w:rsid w:val="00B51550"/>
    <w:rsid w:val="00B54F46"/>
    <w:rsid w:val="00B560A4"/>
    <w:rsid w:val="00B6174D"/>
    <w:rsid w:val="00B62CC5"/>
    <w:rsid w:val="00B63CBD"/>
    <w:rsid w:val="00B65F10"/>
    <w:rsid w:val="00B67656"/>
    <w:rsid w:val="00B718C7"/>
    <w:rsid w:val="00B745A9"/>
    <w:rsid w:val="00B76AB8"/>
    <w:rsid w:val="00B8363C"/>
    <w:rsid w:val="00B852A9"/>
    <w:rsid w:val="00B8581F"/>
    <w:rsid w:val="00B87885"/>
    <w:rsid w:val="00B87B80"/>
    <w:rsid w:val="00B90404"/>
    <w:rsid w:val="00B94535"/>
    <w:rsid w:val="00BA03E6"/>
    <w:rsid w:val="00BA64A2"/>
    <w:rsid w:val="00BA651C"/>
    <w:rsid w:val="00BB206B"/>
    <w:rsid w:val="00BD22DA"/>
    <w:rsid w:val="00BD30DC"/>
    <w:rsid w:val="00BE47F1"/>
    <w:rsid w:val="00BF1469"/>
    <w:rsid w:val="00BF33BF"/>
    <w:rsid w:val="00BF6616"/>
    <w:rsid w:val="00C00B72"/>
    <w:rsid w:val="00C01A1D"/>
    <w:rsid w:val="00C01EDC"/>
    <w:rsid w:val="00C03FEA"/>
    <w:rsid w:val="00C0456C"/>
    <w:rsid w:val="00C04899"/>
    <w:rsid w:val="00C04DF3"/>
    <w:rsid w:val="00C065A5"/>
    <w:rsid w:val="00C066DE"/>
    <w:rsid w:val="00C12F36"/>
    <w:rsid w:val="00C20C71"/>
    <w:rsid w:val="00C21761"/>
    <w:rsid w:val="00C219A4"/>
    <w:rsid w:val="00C2457C"/>
    <w:rsid w:val="00C2734E"/>
    <w:rsid w:val="00C32A64"/>
    <w:rsid w:val="00C32EC1"/>
    <w:rsid w:val="00C33730"/>
    <w:rsid w:val="00C35357"/>
    <w:rsid w:val="00C356F5"/>
    <w:rsid w:val="00C3669E"/>
    <w:rsid w:val="00C42A09"/>
    <w:rsid w:val="00C46291"/>
    <w:rsid w:val="00C47197"/>
    <w:rsid w:val="00C47DF8"/>
    <w:rsid w:val="00C50D7D"/>
    <w:rsid w:val="00C51A3B"/>
    <w:rsid w:val="00C53403"/>
    <w:rsid w:val="00C57E46"/>
    <w:rsid w:val="00C60682"/>
    <w:rsid w:val="00C629DC"/>
    <w:rsid w:val="00C6388F"/>
    <w:rsid w:val="00C64625"/>
    <w:rsid w:val="00C672DA"/>
    <w:rsid w:val="00C7333B"/>
    <w:rsid w:val="00C73503"/>
    <w:rsid w:val="00C74499"/>
    <w:rsid w:val="00C75FEE"/>
    <w:rsid w:val="00C80BAE"/>
    <w:rsid w:val="00C9066F"/>
    <w:rsid w:val="00C92F63"/>
    <w:rsid w:val="00C96CD3"/>
    <w:rsid w:val="00CA394E"/>
    <w:rsid w:val="00CA552C"/>
    <w:rsid w:val="00CB213C"/>
    <w:rsid w:val="00CC0F67"/>
    <w:rsid w:val="00CC1A33"/>
    <w:rsid w:val="00CD6D1B"/>
    <w:rsid w:val="00CE07AE"/>
    <w:rsid w:val="00CE2EF6"/>
    <w:rsid w:val="00CE4EAF"/>
    <w:rsid w:val="00CE6622"/>
    <w:rsid w:val="00CE6C3F"/>
    <w:rsid w:val="00CE7CAB"/>
    <w:rsid w:val="00CF1CA0"/>
    <w:rsid w:val="00CF7731"/>
    <w:rsid w:val="00D02FF7"/>
    <w:rsid w:val="00D03C39"/>
    <w:rsid w:val="00D10E70"/>
    <w:rsid w:val="00D1201F"/>
    <w:rsid w:val="00D13D6E"/>
    <w:rsid w:val="00D13DA2"/>
    <w:rsid w:val="00D15559"/>
    <w:rsid w:val="00D22886"/>
    <w:rsid w:val="00D3750D"/>
    <w:rsid w:val="00D478C4"/>
    <w:rsid w:val="00D5559E"/>
    <w:rsid w:val="00D561A1"/>
    <w:rsid w:val="00D601EB"/>
    <w:rsid w:val="00D619C4"/>
    <w:rsid w:val="00D61CD3"/>
    <w:rsid w:val="00D71ED7"/>
    <w:rsid w:val="00D7425C"/>
    <w:rsid w:val="00D7760B"/>
    <w:rsid w:val="00D8409D"/>
    <w:rsid w:val="00D84FEB"/>
    <w:rsid w:val="00D87A2E"/>
    <w:rsid w:val="00D933D6"/>
    <w:rsid w:val="00D93420"/>
    <w:rsid w:val="00D9462C"/>
    <w:rsid w:val="00D96A9B"/>
    <w:rsid w:val="00D9752A"/>
    <w:rsid w:val="00DA03F4"/>
    <w:rsid w:val="00DA0483"/>
    <w:rsid w:val="00DA798E"/>
    <w:rsid w:val="00DB5AB0"/>
    <w:rsid w:val="00DB7087"/>
    <w:rsid w:val="00DC04D1"/>
    <w:rsid w:val="00DC1D50"/>
    <w:rsid w:val="00DC23E7"/>
    <w:rsid w:val="00DC5657"/>
    <w:rsid w:val="00DC7AC5"/>
    <w:rsid w:val="00DD39EE"/>
    <w:rsid w:val="00DD3CAA"/>
    <w:rsid w:val="00DD587F"/>
    <w:rsid w:val="00DD67A4"/>
    <w:rsid w:val="00DE3432"/>
    <w:rsid w:val="00DE3F1C"/>
    <w:rsid w:val="00DE45E8"/>
    <w:rsid w:val="00DE58B1"/>
    <w:rsid w:val="00DE7CA0"/>
    <w:rsid w:val="00DF035F"/>
    <w:rsid w:val="00DF21B3"/>
    <w:rsid w:val="00DF4F22"/>
    <w:rsid w:val="00E01962"/>
    <w:rsid w:val="00E0567C"/>
    <w:rsid w:val="00E06ABE"/>
    <w:rsid w:val="00E105EE"/>
    <w:rsid w:val="00E14BB9"/>
    <w:rsid w:val="00E15313"/>
    <w:rsid w:val="00E15EF5"/>
    <w:rsid w:val="00E2198A"/>
    <w:rsid w:val="00E34931"/>
    <w:rsid w:val="00E35A54"/>
    <w:rsid w:val="00E406A3"/>
    <w:rsid w:val="00E40C74"/>
    <w:rsid w:val="00E4276D"/>
    <w:rsid w:val="00E4304B"/>
    <w:rsid w:val="00E443B8"/>
    <w:rsid w:val="00E455EC"/>
    <w:rsid w:val="00E45DDC"/>
    <w:rsid w:val="00E50C9D"/>
    <w:rsid w:val="00E57111"/>
    <w:rsid w:val="00E6152D"/>
    <w:rsid w:val="00E637CF"/>
    <w:rsid w:val="00E672F1"/>
    <w:rsid w:val="00E71BED"/>
    <w:rsid w:val="00E76CEC"/>
    <w:rsid w:val="00E77051"/>
    <w:rsid w:val="00E77CE7"/>
    <w:rsid w:val="00E800D2"/>
    <w:rsid w:val="00E82FF7"/>
    <w:rsid w:val="00E8536B"/>
    <w:rsid w:val="00E85491"/>
    <w:rsid w:val="00E902F5"/>
    <w:rsid w:val="00E94994"/>
    <w:rsid w:val="00E94BDA"/>
    <w:rsid w:val="00E950AA"/>
    <w:rsid w:val="00EA16F7"/>
    <w:rsid w:val="00EA1CCB"/>
    <w:rsid w:val="00EA63D5"/>
    <w:rsid w:val="00EB0ED8"/>
    <w:rsid w:val="00EB3388"/>
    <w:rsid w:val="00EB357F"/>
    <w:rsid w:val="00EC0BAA"/>
    <w:rsid w:val="00ED13F9"/>
    <w:rsid w:val="00ED7507"/>
    <w:rsid w:val="00EE25A7"/>
    <w:rsid w:val="00EE5CF5"/>
    <w:rsid w:val="00EE61E7"/>
    <w:rsid w:val="00EE7D98"/>
    <w:rsid w:val="00EF0E76"/>
    <w:rsid w:val="00EF6C2E"/>
    <w:rsid w:val="00F00599"/>
    <w:rsid w:val="00F04FD2"/>
    <w:rsid w:val="00F058BB"/>
    <w:rsid w:val="00F06550"/>
    <w:rsid w:val="00F07339"/>
    <w:rsid w:val="00F07A0E"/>
    <w:rsid w:val="00F145B9"/>
    <w:rsid w:val="00F1587C"/>
    <w:rsid w:val="00F17108"/>
    <w:rsid w:val="00F2376C"/>
    <w:rsid w:val="00F2617F"/>
    <w:rsid w:val="00F2733B"/>
    <w:rsid w:val="00F3081D"/>
    <w:rsid w:val="00F31C47"/>
    <w:rsid w:val="00F32585"/>
    <w:rsid w:val="00F34C82"/>
    <w:rsid w:val="00F362E1"/>
    <w:rsid w:val="00F41D06"/>
    <w:rsid w:val="00F46477"/>
    <w:rsid w:val="00F5062B"/>
    <w:rsid w:val="00F508C9"/>
    <w:rsid w:val="00F51A1F"/>
    <w:rsid w:val="00F520D6"/>
    <w:rsid w:val="00F52F0A"/>
    <w:rsid w:val="00F53AFE"/>
    <w:rsid w:val="00F60178"/>
    <w:rsid w:val="00F61012"/>
    <w:rsid w:val="00F63C60"/>
    <w:rsid w:val="00F663AA"/>
    <w:rsid w:val="00F66505"/>
    <w:rsid w:val="00F66747"/>
    <w:rsid w:val="00F67B0C"/>
    <w:rsid w:val="00F74202"/>
    <w:rsid w:val="00F75C8B"/>
    <w:rsid w:val="00F76DB9"/>
    <w:rsid w:val="00F8015E"/>
    <w:rsid w:val="00F83504"/>
    <w:rsid w:val="00F85069"/>
    <w:rsid w:val="00F872C2"/>
    <w:rsid w:val="00F90859"/>
    <w:rsid w:val="00F94883"/>
    <w:rsid w:val="00F9710C"/>
    <w:rsid w:val="00FA2BF6"/>
    <w:rsid w:val="00FA2F66"/>
    <w:rsid w:val="00FA4379"/>
    <w:rsid w:val="00FA458D"/>
    <w:rsid w:val="00FB2BC2"/>
    <w:rsid w:val="00FC1AA3"/>
    <w:rsid w:val="00FD0D57"/>
    <w:rsid w:val="00FD34F0"/>
    <w:rsid w:val="00FD4B9E"/>
    <w:rsid w:val="00FE32C7"/>
    <w:rsid w:val="00FE4F22"/>
    <w:rsid w:val="00FF1917"/>
    <w:rsid w:val="00FF4DB5"/>
    <w:rsid w:val="00FF61F2"/>
    <w:rsid w:val="00FF7B2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76A17"/>
  <w15:chartTrackingRefBased/>
  <w15:docId w15:val="{BFCF8E79-FEDD-4E31-850A-C3D4D759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E27"/>
    <w:pPr>
      <w:spacing w:after="0" w:line="36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7A22FC"/>
    <w:pPr>
      <w:keepNext/>
      <w:spacing w:line="240" w:lineRule="auto"/>
      <w:outlineLvl w:val="0"/>
    </w:pPr>
    <w:rPr>
      <w:rFonts w:eastAsiaTheme="minorHAnsi" w:cs="Times New Roman"/>
      <w:b/>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E27"/>
    <w:pPr>
      <w:ind w:left="720"/>
      <w:contextualSpacing/>
    </w:pPr>
  </w:style>
  <w:style w:type="paragraph" w:styleId="Header">
    <w:name w:val="header"/>
    <w:basedOn w:val="Normal"/>
    <w:link w:val="HeaderChar"/>
    <w:uiPriority w:val="99"/>
    <w:unhideWhenUsed/>
    <w:rsid w:val="00A50E27"/>
    <w:pPr>
      <w:tabs>
        <w:tab w:val="center" w:pos="4513"/>
        <w:tab w:val="right" w:pos="9026"/>
      </w:tabs>
      <w:spacing w:line="240" w:lineRule="auto"/>
    </w:pPr>
  </w:style>
  <w:style w:type="character" w:customStyle="1" w:styleId="HeaderChar">
    <w:name w:val="Header Char"/>
    <w:basedOn w:val="DefaultParagraphFont"/>
    <w:link w:val="Header"/>
    <w:uiPriority w:val="99"/>
    <w:rsid w:val="00A50E27"/>
    <w:rPr>
      <w:rFonts w:ascii="Times New Roman" w:hAnsi="Times New Roman"/>
      <w:kern w:val="0"/>
      <w:sz w:val="24"/>
      <w14:ligatures w14:val="none"/>
    </w:rPr>
  </w:style>
  <w:style w:type="paragraph" w:styleId="Footer">
    <w:name w:val="footer"/>
    <w:basedOn w:val="Normal"/>
    <w:link w:val="FooterChar"/>
    <w:uiPriority w:val="99"/>
    <w:unhideWhenUsed/>
    <w:rsid w:val="00A50E27"/>
    <w:pPr>
      <w:tabs>
        <w:tab w:val="center" w:pos="4513"/>
        <w:tab w:val="right" w:pos="9026"/>
      </w:tabs>
      <w:spacing w:line="240" w:lineRule="auto"/>
    </w:pPr>
  </w:style>
  <w:style w:type="character" w:customStyle="1" w:styleId="FooterChar">
    <w:name w:val="Footer Char"/>
    <w:basedOn w:val="DefaultParagraphFont"/>
    <w:link w:val="Footer"/>
    <w:uiPriority w:val="99"/>
    <w:rsid w:val="00A50E27"/>
    <w:rPr>
      <w:rFonts w:ascii="Times New Roman" w:hAnsi="Times New Roman"/>
      <w:kern w:val="0"/>
      <w:sz w:val="24"/>
      <w14:ligatures w14:val="none"/>
    </w:rPr>
  </w:style>
  <w:style w:type="paragraph" w:styleId="FootnoteText">
    <w:name w:val="footnote text"/>
    <w:basedOn w:val="Normal"/>
    <w:link w:val="FootnoteTextChar"/>
    <w:uiPriority w:val="99"/>
    <w:semiHidden/>
    <w:unhideWhenUsed/>
    <w:rsid w:val="00C0456C"/>
    <w:pPr>
      <w:spacing w:line="240" w:lineRule="auto"/>
    </w:pPr>
    <w:rPr>
      <w:sz w:val="20"/>
      <w:szCs w:val="25"/>
    </w:rPr>
  </w:style>
  <w:style w:type="character" w:customStyle="1" w:styleId="FootnoteTextChar">
    <w:name w:val="Footnote Text Char"/>
    <w:basedOn w:val="DefaultParagraphFont"/>
    <w:link w:val="FootnoteText"/>
    <w:uiPriority w:val="99"/>
    <w:semiHidden/>
    <w:rsid w:val="00C0456C"/>
    <w:rPr>
      <w:rFonts w:ascii="Times New Roman" w:hAnsi="Times New Roman"/>
      <w:kern w:val="0"/>
      <w:sz w:val="20"/>
      <w:szCs w:val="25"/>
      <w14:ligatures w14:val="none"/>
    </w:rPr>
  </w:style>
  <w:style w:type="character" w:styleId="FootnoteReference">
    <w:name w:val="footnote reference"/>
    <w:basedOn w:val="DefaultParagraphFont"/>
    <w:uiPriority w:val="99"/>
    <w:semiHidden/>
    <w:unhideWhenUsed/>
    <w:rsid w:val="00C0456C"/>
    <w:rPr>
      <w:vertAlign w:val="superscript"/>
    </w:rPr>
  </w:style>
  <w:style w:type="character" w:styleId="Hyperlink">
    <w:name w:val="Hyperlink"/>
    <w:basedOn w:val="DefaultParagraphFont"/>
    <w:uiPriority w:val="99"/>
    <w:semiHidden/>
    <w:unhideWhenUsed/>
    <w:rsid w:val="00F2733B"/>
    <w:rPr>
      <w:color w:val="0563C1"/>
      <w:u w:val="single"/>
    </w:rPr>
  </w:style>
  <w:style w:type="character" w:styleId="FollowedHyperlink">
    <w:name w:val="FollowedHyperlink"/>
    <w:basedOn w:val="DefaultParagraphFont"/>
    <w:uiPriority w:val="99"/>
    <w:semiHidden/>
    <w:unhideWhenUsed/>
    <w:rsid w:val="00194364"/>
    <w:rPr>
      <w:color w:val="954F72" w:themeColor="followedHyperlink"/>
      <w:u w:val="single"/>
    </w:rPr>
  </w:style>
  <w:style w:type="character" w:customStyle="1" w:styleId="Heading1Char">
    <w:name w:val="Heading 1 Char"/>
    <w:basedOn w:val="DefaultParagraphFont"/>
    <w:link w:val="Heading1"/>
    <w:uiPriority w:val="9"/>
    <w:rsid w:val="007A22FC"/>
    <w:rPr>
      <w:rFonts w:ascii="Times New Roman" w:eastAsiaTheme="minorHAnsi" w:hAnsi="Times New Roman" w:cs="Times New Roman"/>
      <w:b/>
      <w:kern w:val="0"/>
      <w:sz w:val="24"/>
      <w:szCs w:val="24"/>
      <w:lang w:eastAsia="en-US" w:bidi="ar-SA"/>
      <w14:ligatures w14:val="none"/>
    </w:rPr>
  </w:style>
  <w:style w:type="paragraph" w:styleId="NormalWeb">
    <w:name w:val="Normal (Web)"/>
    <w:basedOn w:val="Normal"/>
    <w:uiPriority w:val="99"/>
    <w:semiHidden/>
    <w:unhideWhenUsed/>
    <w:rsid w:val="00091F09"/>
    <w:pPr>
      <w:spacing w:before="100" w:beforeAutospacing="1" w:after="100" w:afterAutospacing="1" w:line="240" w:lineRule="auto"/>
      <w:jc w:val="left"/>
    </w:pPr>
    <w:rPr>
      <w:rFonts w:eastAsia="Times New Roman" w:cs="Times New Roman"/>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99068">
      <w:bodyDiv w:val="1"/>
      <w:marLeft w:val="0"/>
      <w:marRight w:val="0"/>
      <w:marTop w:val="0"/>
      <w:marBottom w:val="0"/>
      <w:divBdr>
        <w:top w:val="none" w:sz="0" w:space="0" w:color="auto"/>
        <w:left w:val="none" w:sz="0" w:space="0" w:color="auto"/>
        <w:bottom w:val="none" w:sz="0" w:space="0" w:color="auto"/>
        <w:right w:val="none" w:sz="0" w:space="0" w:color="auto"/>
      </w:divBdr>
      <w:divsChild>
        <w:div w:id="114252525">
          <w:marLeft w:val="0"/>
          <w:marRight w:val="0"/>
          <w:marTop w:val="0"/>
          <w:marBottom w:val="0"/>
          <w:divBdr>
            <w:top w:val="none" w:sz="0" w:space="0" w:color="auto"/>
            <w:left w:val="none" w:sz="0" w:space="0" w:color="auto"/>
            <w:bottom w:val="none" w:sz="0" w:space="0" w:color="auto"/>
            <w:right w:val="none" w:sz="0" w:space="0" w:color="auto"/>
          </w:divBdr>
          <w:divsChild>
            <w:div w:id="2028824530">
              <w:marLeft w:val="0"/>
              <w:marRight w:val="0"/>
              <w:marTop w:val="0"/>
              <w:marBottom w:val="0"/>
              <w:divBdr>
                <w:top w:val="none" w:sz="0" w:space="0" w:color="auto"/>
                <w:left w:val="none" w:sz="0" w:space="0" w:color="auto"/>
                <w:bottom w:val="none" w:sz="0" w:space="0" w:color="auto"/>
                <w:right w:val="none" w:sz="0" w:space="0" w:color="auto"/>
              </w:divBdr>
              <w:divsChild>
                <w:div w:id="11946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DBDA-EB94-AB47-8F11-7CB30114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Submission 47 - Commissioner for Murray River (SA) -  Murray-Darling Basin Plan: Implementation Review 2023 - Public inquiry</vt:lpstr>
    </vt:vector>
  </TitlesOfParts>
  <Company>Commissioner for Murray River (SA)</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47 - Commissioner for Murray River (SA) -  Murray-Darling Basin Plan: Implementation Review 2023 - Public inquiry</dc:title>
  <dc:subject/>
  <dc:creator>Commissioner for Murray River (SA)</dc:creator>
  <cp:keywords/>
  <dc:description/>
  <cp:lastModifiedBy>Chris Alston</cp:lastModifiedBy>
  <cp:revision>7</cp:revision>
  <cp:lastPrinted>2023-07-31T05:16:00Z</cp:lastPrinted>
  <dcterms:created xsi:type="dcterms:W3CDTF">2023-07-31T00:42:00Z</dcterms:created>
  <dcterms:modified xsi:type="dcterms:W3CDTF">2023-08-01T02:25:00Z</dcterms:modified>
</cp:coreProperties>
</file>