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FA5" w:rsidRDefault="00E63ED9" w:rsidP="002C0870">
      <w:pPr>
        <w:spacing w:before="13" w:line="240" w:lineRule="auto"/>
        <w:rPr>
          <w:noProof/>
          <w:lang w:eastAsia="en-AU"/>
        </w:rPr>
      </w:pPr>
      <w:r>
        <w:rPr>
          <w:noProof/>
          <w:lang w:eastAsia="en-AU"/>
        </w:rPr>
        <w:drawing>
          <wp:anchor distT="0" distB="0" distL="114300" distR="114300" simplePos="0" relativeHeight="251665408" behindDoc="1" locked="0" layoutInCell="1" allowOverlap="1" wp14:anchorId="409604D9" wp14:editId="5644C136">
            <wp:simplePos x="0" y="0"/>
            <wp:positionH relativeFrom="page">
              <wp:posOffset>-351155</wp:posOffset>
            </wp:positionH>
            <wp:positionV relativeFrom="margin">
              <wp:posOffset>-1286510</wp:posOffset>
            </wp:positionV>
            <wp:extent cx="8032750" cy="11361420"/>
            <wp:effectExtent l="0" t="0" r="6350" b="0"/>
            <wp:wrapNone/>
            <wp:docPr id="3" name="Picture 3" descr="Studio:_TRAFFIC:AXIS:AXIJ1986 DOCUMENT CONTENT REVIEW AND DESIGN :Development:WORD DOCUMENT LETTER:AXIS LETTERHEAD AND DOCS AND FOOTER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_TRAFFIC:AXIS:AXIJ1986 DOCUMENT CONTENT REVIEW AND DESIGN :Development:WORD DOCUMENT LETTER:AXIS LETTERHEAD AND DOCS AND FOOTERS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32750" cy="11361420"/>
                    </a:xfrm>
                    <a:prstGeom prst="rect">
                      <a:avLst/>
                    </a:prstGeom>
                    <a:noFill/>
                    <a:ln>
                      <a:noFill/>
                    </a:ln>
                    <a:extLs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02FA5" w:rsidRDefault="00D02FA5" w:rsidP="002C0870">
      <w:pPr>
        <w:spacing w:before="13" w:line="240" w:lineRule="auto"/>
        <w:rPr>
          <w:noProof/>
          <w:lang w:eastAsia="en-AU"/>
        </w:rPr>
      </w:pPr>
    </w:p>
    <w:p w:rsidR="00D02FA5" w:rsidRDefault="00D02FA5" w:rsidP="002C0870">
      <w:pPr>
        <w:spacing w:before="13" w:line="240" w:lineRule="auto"/>
        <w:rPr>
          <w:noProof/>
          <w:lang w:eastAsia="en-AU"/>
        </w:rPr>
      </w:pPr>
    </w:p>
    <w:p w:rsidR="00E63ED9" w:rsidRPr="00627921" w:rsidRDefault="00E63ED9" w:rsidP="00E63ED9">
      <w:pPr>
        <w:spacing w:after="0" w:line="300" w:lineRule="auto"/>
        <w:jc w:val="center"/>
        <w:rPr>
          <w:rFonts w:ascii="Avenir Next" w:hAnsi="Avenir Next"/>
          <w:b/>
        </w:rPr>
      </w:pPr>
      <w:r w:rsidRPr="00627921">
        <w:rPr>
          <w:rFonts w:ascii="Avenir Next" w:hAnsi="Avenir Next"/>
          <w:b/>
        </w:rPr>
        <w:t>S</w:t>
      </w:r>
      <w:r w:rsidR="0070529F" w:rsidRPr="00627921">
        <w:rPr>
          <w:rFonts w:ascii="Avenir Next" w:hAnsi="Avenir Next"/>
          <w:b/>
        </w:rPr>
        <w:t>ubmission to the Australian Government Productivity Commission</w:t>
      </w:r>
    </w:p>
    <w:p w:rsidR="002C0870" w:rsidRPr="00627921" w:rsidRDefault="00E63ED9">
      <w:pPr>
        <w:spacing w:after="0" w:line="300" w:lineRule="auto"/>
        <w:jc w:val="center"/>
        <w:rPr>
          <w:rFonts w:ascii="Avenir Next" w:hAnsi="Avenir Next"/>
          <w:b/>
        </w:rPr>
      </w:pPr>
      <w:r w:rsidRPr="00627921">
        <w:rPr>
          <w:rFonts w:ascii="Avenir Next" w:hAnsi="Avenir Next"/>
          <w:b/>
        </w:rPr>
        <w:t>C</w:t>
      </w:r>
      <w:r w:rsidR="0070529F" w:rsidRPr="00627921">
        <w:rPr>
          <w:rFonts w:ascii="Avenir Next" w:hAnsi="Avenir Next"/>
          <w:b/>
        </w:rPr>
        <w:t xml:space="preserve">ompetitiveness and </w:t>
      </w:r>
      <w:r w:rsidRPr="00627921">
        <w:rPr>
          <w:rFonts w:ascii="Avenir Next" w:hAnsi="Avenir Next"/>
          <w:b/>
        </w:rPr>
        <w:t>Tender E</w:t>
      </w:r>
      <w:r w:rsidR="0070529F" w:rsidRPr="00627921">
        <w:rPr>
          <w:rFonts w:ascii="Avenir Next" w:hAnsi="Avenir Next"/>
          <w:b/>
        </w:rPr>
        <w:t>fficiency of the Superannuation System</w:t>
      </w:r>
    </w:p>
    <w:p w:rsidR="00D02FA5" w:rsidRPr="00627921" w:rsidRDefault="00D02FA5" w:rsidP="00E63ED9">
      <w:pPr>
        <w:spacing w:after="0" w:line="300" w:lineRule="auto"/>
        <w:rPr>
          <w:rFonts w:ascii="Avenir Next" w:hAnsi="Avenir Next"/>
          <w:sz w:val="20"/>
          <w:szCs w:val="20"/>
        </w:rPr>
      </w:pPr>
    </w:p>
    <w:p w:rsidR="00D02FA5" w:rsidRPr="00627921" w:rsidRDefault="0070529F" w:rsidP="00E63ED9">
      <w:pPr>
        <w:pStyle w:val="Heading1"/>
        <w:spacing w:line="300" w:lineRule="auto"/>
        <w:ind w:left="0"/>
        <w:rPr>
          <w:color w:val="0079C1"/>
          <w:spacing w:val="-1"/>
          <w:sz w:val="20"/>
          <w:szCs w:val="20"/>
        </w:rPr>
      </w:pPr>
      <w:r w:rsidRPr="00627921">
        <w:rPr>
          <w:color w:val="0079C1"/>
          <w:spacing w:val="-1"/>
          <w:sz w:val="20"/>
          <w:szCs w:val="20"/>
        </w:rPr>
        <w:t>AXIS F</w:t>
      </w:r>
      <w:r w:rsidR="006D4386" w:rsidRPr="00627921">
        <w:rPr>
          <w:color w:val="0079C1"/>
          <w:spacing w:val="-1"/>
          <w:sz w:val="20"/>
          <w:szCs w:val="20"/>
        </w:rPr>
        <w:t xml:space="preserve">inancial </w:t>
      </w:r>
      <w:r w:rsidRPr="00627921">
        <w:rPr>
          <w:color w:val="0079C1"/>
          <w:spacing w:val="-1"/>
          <w:sz w:val="20"/>
          <w:szCs w:val="20"/>
        </w:rPr>
        <w:t>G</w:t>
      </w:r>
      <w:r w:rsidR="006D4386" w:rsidRPr="00627921">
        <w:rPr>
          <w:color w:val="0079C1"/>
          <w:spacing w:val="-1"/>
          <w:sz w:val="20"/>
          <w:szCs w:val="20"/>
        </w:rPr>
        <w:t>roup</w:t>
      </w:r>
      <w:r w:rsidR="00E63ED9" w:rsidRPr="00627921">
        <w:rPr>
          <w:color w:val="0079C1"/>
          <w:spacing w:val="-1"/>
          <w:sz w:val="20"/>
          <w:szCs w:val="20"/>
        </w:rPr>
        <w:t xml:space="preserve"> Strategy</w:t>
      </w:r>
    </w:p>
    <w:p w:rsidR="00E63ED9" w:rsidRPr="00627921" w:rsidRDefault="0070529F" w:rsidP="00E63ED9">
      <w:pPr>
        <w:spacing w:after="0" w:line="300" w:lineRule="auto"/>
        <w:rPr>
          <w:rFonts w:ascii="Avenir Next" w:hAnsi="Avenir Next"/>
          <w:sz w:val="20"/>
          <w:szCs w:val="20"/>
        </w:rPr>
      </w:pPr>
      <w:r w:rsidRPr="00627921">
        <w:rPr>
          <w:rFonts w:ascii="Avenir Next" w:hAnsi="Avenir Next"/>
          <w:sz w:val="20"/>
          <w:szCs w:val="20"/>
        </w:rPr>
        <w:t xml:space="preserve">AXIS Financial Group is a non-aligned, product agnostic, superannuation advice business specialising in </w:t>
      </w:r>
      <w:r w:rsidR="005445DF" w:rsidRPr="00627921">
        <w:rPr>
          <w:rFonts w:ascii="Avenir Next" w:hAnsi="Avenir Next"/>
          <w:sz w:val="20"/>
          <w:szCs w:val="20"/>
        </w:rPr>
        <w:t xml:space="preserve">providing superannuation and insurance advice to medium to large </w:t>
      </w:r>
      <w:r w:rsidR="00F82283" w:rsidRPr="00627921">
        <w:rPr>
          <w:rFonts w:ascii="Avenir Next" w:hAnsi="Avenir Next"/>
          <w:sz w:val="20"/>
          <w:szCs w:val="20"/>
        </w:rPr>
        <w:t>companies</w:t>
      </w:r>
      <w:r w:rsidR="005445DF" w:rsidRPr="00627921">
        <w:rPr>
          <w:rFonts w:ascii="Avenir Next" w:hAnsi="Avenir Next"/>
          <w:sz w:val="20"/>
          <w:szCs w:val="20"/>
        </w:rPr>
        <w:t xml:space="preserve"> and their employees.</w:t>
      </w:r>
      <w:r w:rsidRPr="00627921">
        <w:rPr>
          <w:rFonts w:ascii="Avenir Next" w:hAnsi="Avenir Next"/>
          <w:sz w:val="20"/>
          <w:szCs w:val="20"/>
        </w:rPr>
        <w:t xml:space="preserve"> </w:t>
      </w:r>
      <w:r w:rsidR="00F82283" w:rsidRPr="00627921">
        <w:rPr>
          <w:rFonts w:ascii="Avenir Next" w:hAnsi="Avenir Next"/>
          <w:sz w:val="20"/>
          <w:szCs w:val="20"/>
        </w:rPr>
        <w:t xml:space="preserve"> </w:t>
      </w:r>
      <w:r w:rsidRPr="00627921">
        <w:rPr>
          <w:rFonts w:ascii="Avenir Next" w:hAnsi="Avenir Next"/>
          <w:sz w:val="20"/>
          <w:szCs w:val="20"/>
        </w:rPr>
        <w:t xml:space="preserve">AXIS </w:t>
      </w:r>
      <w:r w:rsidR="009C7DCC" w:rsidRPr="00627921">
        <w:rPr>
          <w:rFonts w:ascii="Avenir Next" w:hAnsi="Avenir Next"/>
          <w:sz w:val="20"/>
          <w:szCs w:val="20"/>
        </w:rPr>
        <w:t>has</w:t>
      </w:r>
      <w:r w:rsidRPr="00627921">
        <w:rPr>
          <w:rFonts w:ascii="Avenir Next" w:hAnsi="Avenir Next"/>
          <w:sz w:val="20"/>
          <w:szCs w:val="20"/>
        </w:rPr>
        <w:t xml:space="preserve"> </w:t>
      </w:r>
      <w:r w:rsidR="009C7DCC" w:rsidRPr="00627921">
        <w:rPr>
          <w:rFonts w:ascii="Avenir Next" w:hAnsi="Avenir Next"/>
          <w:sz w:val="20"/>
          <w:szCs w:val="20"/>
        </w:rPr>
        <w:t>national servicing capability with resources in Perth, Brisb</w:t>
      </w:r>
      <w:bookmarkStart w:id="0" w:name="_GoBack"/>
      <w:bookmarkEnd w:id="0"/>
      <w:r w:rsidR="009C7DCC" w:rsidRPr="00627921">
        <w:rPr>
          <w:rFonts w:ascii="Avenir Next" w:hAnsi="Avenir Next"/>
          <w:sz w:val="20"/>
          <w:szCs w:val="20"/>
        </w:rPr>
        <w:t>ane, Sydney and Melbourne.</w:t>
      </w:r>
      <w:r w:rsidR="00F82283" w:rsidRPr="00627921">
        <w:rPr>
          <w:rFonts w:ascii="Avenir Next" w:hAnsi="Avenir Next"/>
          <w:sz w:val="20"/>
          <w:szCs w:val="20"/>
        </w:rPr>
        <w:t xml:space="preserve"> </w:t>
      </w:r>
      <w:r w:rsidR="009C7DCC" w:rsidRPr="00627921">
        <w:rPr>
          <w:rFonts w:ascii="Avenir Next" w:hAnsi="Avenir Next"/>
          <w:sz w:val="20"/>
          <w:szCs w:val="20"/>
        </w:rPr>
        <w:t xml:space="preserve"> Other highlights around AXIS are:</w:t>
      </w:r>
      <w:r w:rsidR="005445DF" w:rsidRPr="00627921">
        <w:rPr>
          <w:rFonts w:ascii="Avenir Next" w:hAnsi="Avenir Next"/>
          <w:sz w:val="20"/>
          <w:szCs w:val="20"/>
        </w:rPr>
        <w:t xml:space="preserve"> </w:t>
      </w:r>
    </w:p>
    <w:p w:rsidR="009C7DCC" w:rsidRPr="00627921" w:rsidRDefault="00CA68E2" w:rsidP="00E63ED9">
      <w:pPr>
        <w:pStyle w:val="ListParagraph"/>
        <w:numPr>
          <w:ilvl w:val="0"/>
          <w:numId w:val="19"/>
        </w:numPr>
        <w:rPr>
          <w:rFonts w:ascii="Avenir Next" w:hAnsi="Avenir Next"/>
          <w:sz w:val="20"/>
          <w:szCs w:val="20"/>
        </w:rPr>
      </w:pPr>
      <w:r w:rsidRPr="00627921">
        <w:rPr>
          <w:rFonts w:ascii="Avenir Next" w:hAnsi="Avenir Next"/>
          <w:sz w:val="20"/>
          <w:szCs w:val="20"/>
        </w:rPr>
        <w:t xml:space="preserve">AXIS </w:t>
      </w:r>
      <w:r w:rsidR="009C7DCC" w:rsidRPr="00627921">
        <w:rPr>
          <w:rFonts w:ascii="Avenir Next" w:hAnsi="Avenir Next"/>
          <w:sz w:val="20"/>
          <w:szCs w:val="20"/>
        </w:rPr>
        <w:t xml:space="preserve">is very much regarded as the market </w:t>
      </w:r>
      <w:r w:rsidRPr="00627921">
        <w:rPr>
          <w:rFonts w:ascii="Avenir Next" w:hAnsi="Avenir Next"/>
          <w:sz w:val="20"/>
          <w:szCs w:val="20"/>
        </w:rPr>
        <w:t>lead</w:t>
      </w:r>
      <w:r w:rsidR="009C7DCC" w:rsidRPr="00627921">
        <w:rPr>
          <w:rFonts w:ascii="Avenir Next" w:hAnsi="Avenir Next"/>
          <w:sz w:val="20"/>
          <w:szCs w:val="20"/>
        </w:rPr>
        <w:t>er</w:t>
      </w:r>
      <w:r w:rsidRPr="00627921">
        <w:rPr>
          <w:rFonts w:ascii="Avenir Next" w:hAnsi="Avenir Next"/>
          <w:sz w:val="20"/>
          <w:szCs w:val="20"/>
        </w:rPr>
        <w:t xml:space="preserve"> in </w:t>
      </w:r>
      <w:r w:rsidR="009C7DCC" w:rsidRPr="00627921">
        <w:rPr>
          <w:rFonts w:ascii="Avenir Next" w:hAnsi="Avenir Next"/>
          <w:sz w:val="20"/>
          <w:szCs w:val="20"/>
        </w:rPr>
        <w:t>corporate super servicing by the financial services industry</w:t>
      </w:r>
      <w:r w:rsidRPr="00627921">
        <w:rPr>
          <w:rFonts w:ascii="Avenir Next" w:hAnsi="Avenir Next"/>
          <w:sz w:val="20"/>
          <w:szCs w:val="20"/>
        </w:rPr>
        <w:t xml:space="preserve">. </w:t>
      </w:r>
      <w:r w:rsidR="00693C3E" w:rsidRPr="00627921">
        <w:rPr>
          <w:rFonts w:ascii="Avenir Next" w:hAnsi="Avenir Next"/>
          <w:sz w:val="20"/>
          <w:szCs w:val="20"/>
        </w:rPr>
        <w:t xml:space="preserve"> </w:t>
      </w:r>
    </w:p>
    <w:p w:rsidR="009C7DCC" w:rsidRPr="00627921" w:rsidRDefault="009C7DCC" w:rsidP="00E63ED9">
      <w:pPr>
        <w:pStyle w:val="ListParagraph"/>
        <w:numPr>
          <w:ilvl w:val="0"/>
          <w:numId w:val="19"/>
        </w:numPr>
        <w:rPr>
          <w:rFonts w:ascii="Avenir Next" w:hAnsi="Avenir Next"/>
          <w:sz w:val="20"/>
          <w:szCs w:val="20"/>
        </w:rPr>
      </w:pPr>
      <w:r w:rsidRPr="00627921">
        <w:rPr>
          <w:rFonts w:ascii="Avenir Next" w:hAnsi="Avenir Next"/>
          <w:sz w:val="20"/>
          <w:szCs w:val="20"/>
        </w:rPr>
        <w:t>AXIS is one of the only companies within the financial services industry who has servicing KPI’s around the quantity and quality of servicing from a client’s perspective.</w:t>
      </w:r>
      <w:r w:rsidR="00693C3E" w:rsidRPr="00627921">
        <w:rPr>
          <w:rFonts w:ascii="Avenir Next" w:hAnsi="Avenir Next"/>
          <w:sz w:val="20"/>
          <w:szCs w:val="20"/>
        </w:rPr>
        <w:t xml:space="preserve">  </w:t>
      </w:r>
    </w:p>
    <w:p w:rsidR="00E63ED9" w:rsidRPr="00627921" w:rsidRDefault="009C7DCC" w:rsidP="00E63ED9">
      <w:pPr>
        <w:pStyle w:val="ListParagraph"/>
        <w:numPr>
          <w:ilvl w:val="0"/>
          <w:numId w:val="19"/>
        </w:numPr>
        <w:rPr>
          <w:rFonts w:ascii="Avenir Next" w:hAnsi="Avenir Next"/>
          <w:sz w:val="20"/>
          <w:szCs w:val="20"/>
        </w:rPr>
      </w:pPr>
      <w:r w:rsidRPr="00627921">
        <w:rPr>
          <w:rFonts w:ascii="Avenir Next" w:hAnsi="Avenir Next"/>
          <w:sz w:val="20"/>
          <w:szCs w:val="20"/>
        </w:rPr>
        <w:t xml:space="preserve">AXIS services clients to first of all establish </w:t>
      </w:r>
      <w:r w:rsidR="00E63ED9" w:rsidRPr="00627921">
        <w:rPr>
          <w:rFonts w:ascii="Avenir Next" w:hAnsi="Avenir Next"/>
          <w:sz w:val="20"/>
          <w:szCs w:val="20"/>
        </w:rPr>
        <w:t>goals and objectives, milestones, parameters of performance and an ability to periodically monitor progress within this structure.</w:t>
      </w:r>
    </w:p>
    <w:p w:rsidR="00E63ED9" w:rsidRPr="00627921" w:rsidRDefault="00E63ED9" w:rsidP="00E63ED9">
      <w:pPr>
        <w:pStyle w:val="ListParagraph"/>
        <w:numPr>
          <w:ilvl w:val="0"/>
          <w:numId w:val="19"/>
        </w:numPr>
        <w:rPr>
          <w:rFonts w:ascii="Avenir Next" w:hAnsi="Avenir Next"/>
          <w:sz w:val="20"/>
          <w:szCs w:val="20"/>
        </w:rPr>
      </w:pPr>
      <w:r w:rsidRPr="00627921">
        <w:rPr>
          <w:rFonts w:ascii="Avenir Next" w:hAnsi="Avenir Next"/>
          <w:sz w:val="20"/>
          <w:szCs w:val="20"/>
        </w:rPr>
        <w:t>AXIS currently attends</w:t>
      </w:r>
      <w:r w:rsidR="00693C3E" w:rsidRPr="00627921">
        <w:rPr>
          <w:rFonts w:ascii="Avenir Next" w:hAnsi="Avenir Next"/>
          <w:sz w:val="20"/>
          <w:szCs w:val="20"/>
        </w:rPr>
        <w:t xml:space="preserve"> </w:t>
      </w:r>
      <w:r w:rsidRPr="00627921">
        <w:rPr>
          <w:rFonts w:ascii="Avenir Next" w:hAnsi="Avenir Next"/>
          <w:sz w:val="20"/>
          <w:szCs w:val="20"/>
        </w:rPr>
        <w:t>4</w:t>
      </w:r>
      <w:r w:rsidR="00693C3E" w:rsidRPr="00627921">
        <w:rPr>
          <w:rFonts w:ascii="Avenir Next" w:hAnsi="Avenir Next"/>
          <w:sz w:val="20"/>
          <w:szCs w:val="20"/>
        </w:rPr>
        <w:t>00 corporate site visits</w:t>
      </w:r>
      <w:r w:rsidRPr="00627921">
        <w:rPr>
          <w:rFonts w:ascii="Avenir Next" w:hAnsi="Avenir Next"/>
          <w:sz w:val="20"/>
          <w:szCs w:val="20"/>
        </w:rPr>
        <w:t xml:space="preserve"> per annum and targets 60% advisory contact and an additional 20% administrative contact through our hub in Perth and our strategically place Corporate Advisers in other capital cities.</w:t>
      </w:r>
    </w:p>
    <w:p w:rsidR="003920AD" w:rsidRPr="00627921" w:rsidRDefault="00F82283" w:rsidP="00E63ED9">
      <w:pPr>
        <w:pStyle w:val="ListParagraph"/>
        <w:numPr>
          <w:ilvl w:val="0"/>
          <w:numId w:val="19"/>
        </w:numPr>
        <w:rPr>
          <w:rFonts w:ascii="Avenir Next" w:hAnsi="Avenir Next"/>
          <w:sz w:val="20"/>
          <w:szCs w:val="20"/>
        </w:rPr>
      </w:pPr>
      <w:r w:rsidRPr="00627921">
        <w:rPr>
          <w:rFonts w:ascii="Avenir Next" w:hAnsi="Avenir Next"/>
          <w:sz w:val="20"/>
          <w:szCs w:val="20"/>
        </w:rPr>
        <w:t xml:space="preserve">AXIS does not accept the intra-fund advice fee offered by platforms.  By operating in this way AXIS is able to provide non-aligned advice to corporates, thus helping them make the most appropriate decisions regarding which superannuation and insurance providers to work with.  </w:t>
      </w:r>
    </w:p>
    <w:p w:rsidR="00E63ED9" w:rsidRPr="00627921" w:rsidRDefault="00E63ED9" w:rsidP="00E63ED9">
      <w:pPr>
        <w:pStyle w:val="ListParagraph"/>
        <w:numPr>
          <w:ilvl w:val="0"/>
          <w:numId w:val="19"/>
        </w:numPr>
        <w:rPr>
          <w:rFonts w:ascii="Avenir Next" w:hAnsi="Avenir Next"/>
          <w:sz w:val="20"/>
          <w:szCs w:val="20"/>
        </w:rPr>
      </w:pPr>
      <w:r w:rsidRPr="00627921">
        <w:rPr>
          <w:rFonts w:ascii="Avenir Next" w:hAnsi="Avenir Next"/>
          <w:sz w:val="20"/>
          <w:szCs w:val="20"/>
        </w:rPr>
        <w:t>In the past three years, AXIS has invested over $2m in developing technology to automate our advisory processes with a view to reducing the cost of our services to clients.</w:t>
      </w:r>
    </w:p>
    <w:p w:rsidR="00E63ED9" w:rsidRPr="00627921" w:rsidRDefault="00E63ED9" w:rsidP="00E63ED9">
      <w:pPr>
        <w:pStyle w:val="ListParagraph"/>
        <w:numPr>
          <w:ilvl w:val="0"/>
          <w:numId w:val="19"/>
        </w:numPr>
        <w:rPr>
          <w:rFonts w:ascii="Avenir Next" w:hAnsi="Avenir Next"/>
          <w:sz w:val="20"/>
          <w:szCs w:val="20"/>
        </w:rPr>
      </w:pPr>
      <w:r w:rsidRPr="00627921">
        <w:rPr>
          <w:rFonts w:ascii="Avenir Next" w:hAnsi="Avenir Next"/>
          <w:sz w:val="20"/>
          <w:szCs w:val="20"/>
        </w:rPr>
        <w:t>The technology developed so far is:</w:t>
      </w:r>
    </w:p>
    <w:p w:rsidR="00E63ED9" w:rsidRPr="00627921" w:rsidRDefault="00E63ED9" w:rsidP="00E63ED9">
      <w:pPr>
        <w:spacing w:after="0" w:line="300" w:lineRule="auto"/>
        <w:rPr>
          <w:rFonts w:ascii="Avenir Next" w:hAnsi="Avenir Next"/>
          <w:sz w:val="20"/>
          <w:szCs w:val="20"/>
        </w:rPr>
      </w:pPr>
    </w:p>
    <w:p w:rsidR="00E63ED9" w:rsidRPr="00627921" w:rsidRDefault="00E63ED9" w:rsidP="00E63ED9">
      <w:pPr>
        <w:pStyle w:val="ListParagraph"/>
        <w:numPr>
          <w:ilvl w:val="1"/>
          <w:numId w:val="19"/>
        </w:numPr>
        <w:rPr>
          <w:rFonts w:ascii="Avenir Next" w:hAnsi="Avenir Next"/>
          <w:sz w:val="20"/>
          <w:szCs w:val="20"/>
        </w:rPr>
        <w:sectPr w:rsidR="00E63ED9" w:rsidRPr="00627921">
          <w:pgSz w:w="11906" w:h="16838"/>
          <w:pgMar w:top="1440" w:right="1440" w:bottom="1440" w:left="1440" w:header="708" w:footer="708" w:gutter="0"/>
          <w:cols w:space="708"/>
          <w:docGrid w:linePitch="360"/>
        </w:sectPr>
      </w:pPr>
    </w:p>
    <w:p w:rsidR="00E63ED9" w:rsidRPr="00627921" w:rsidRDefault="00E63ED9" w:rsidP="00E63ED9">
      <w:pPr>
        <w:pStyle w:val="ListParagraph"/>
        <w:numPr>
          <w:ilvl w:val="1"/>
          <w:numId w:val="19"/>
        </w:numPr>
        <w:rPr>
          <w:rFonts w:ascii="Avenir Next" w:hAnsi="Avenir Next"/>
          <w:sz w:val="20"/>
          <w:szCs w:val="20"/>
        </w:rPr>
      </w:pPr>
      <w:r w:rsidRPr="00627921">
        <w:rPr>
          <w:rFonts w:ascii="Avenir Next" w:hAnsi="Avenir Next"/>
          <w:sz w:val="20"/>
          <w:szCs w:val="20"/>
        </w:rPr>
        <w:lastRenderedPageBreak/>
        <w:t>Super Plan Evaluator</w:t>
      </w:r>
    </w:p>
    <w:p w:rsidR="00E63ED9" w:rsidRPr="00627921" w:rsidRDefault="00E63ED9" w:rsidP="00E63ED9">
      <w:pPr>
        <w:pStyle w:val="ListParagraph"/>
        <w:numPr>
          <w:ilvl w:val="1"/>
          <w:numId w:val="19"/>
        </w:numPr>
        <w:rPr>
          <w:rFonts w:ascii="Avenir Next" w:hAnsi="Avenir Next"/>
          <w:sz w:val="20"/>
          <w:szCs w:val="20"/>
        </w:rPr>
      </w:pPr>
      <w:r w:rsidRPr="00627921">
        <w:rPr>
          <w:rFonts w:ascii="Avenir Next" w:hAnsi="Avenir Next"/>
          <w:sz w:val="20"/>
          <w:szCs w:val="20"/>
        </w:rPr>
        <w:t>Super Transition Manager</w:t>
      </w:r>
    </w:p>
    <w:p w:rsidR="00E63ED9" w:rsidRPr="00627921" w:rsidRDefault="00E63ED9" w:rsidP="00E63ED9">
      <w:pPr>
        <w:pStyle w:val="ListParagraph"/>
        <w:numPr>
          <w:ilvl w:val="1"/>
          <w:numId w:val="19"/>
        </w:numPr>
        <w:rPr>
          <w:rFonts w:ascii="Avenir Next" w:hAnsi="Avenir Next"/>
          <w:sz w:val="20"/>
          <w:szCs w:val="20"/>
        </w:rPr>
      </w:pPr>
      <w:r w:rsidRPr="00627921">
        <w:rPr>
          <w:rFonts w:ascii="Avenir Next" w:hAnsi="Avenir Next"/>
          <w:sz w:val="20"/>
          <w:szCs w:val="20"/>
        </w:rPr>
        <w:lastRenderedPageBreak/>
        <w:t>Super Service Manager</w:t>
      </w:r>
    </w:p>
    <w:p w:rsidR="00E63ED9" w:rsidRPr="00627921" w:rsidRDefault="00E63ED9" w:rsidP="00E63ED9">
      <w:pPr>
        <w:pStyle w:val="ListParagraph"/>
        <w:numPr>
          <w:ilvl w:val="1"/>
          <w:numId w:val="19"/>
        </w:numPr>
        <w:rPr>
          <w:rFonts w:ascii="Avenir Next" w:hAnsi="Avenir Next"/>
          <w:sz w:val="20"/>
          <w:szCs w:val="20"/>
        </w:rPr>
      </w:pPr>
      <w:r w:rsidRPr="00627921">
        <w:rPr>
          <w:rFonts w:ascii="Avenir Next" w:hAnsi="Avenir Next"/>
          <w:sz w:val="20"/>
          <w:szCs w:val="20"/>
        </w:rPr>
        <w:t>Superwiser</w:t>
      </w:r>
    </w:p>
    <w:p w:rsidR="00E63ED9" w:rsidRPr="00627921" w:rsidRDefault="00E63ED9" w:rsidP="00E63ED9">
      <w:pPr>
        <w:pStyle w:val="ListParagraph"/>
        <w:numPr>
          <w:ilvl w:val="0"/>
          <w:numId w:val="19"/>
        </w:numPr>
        <w:rPr>
          <w:rFonts w:ascii="Avenir Next" w:hAnsi="Avenir Next"/>
          <w:sz w:val="20"/>
          <w:szCs w:val="20"/>
        </w:rPr>
        <w:sectPr w:rsidR="00E63ED9" w:rsidRPr="00627921" w:rsidSect="00E63ED9">
          <w:type w:val="continuous"/>
          <w:pgSz w:w="11906" w:h="16838"/>
          <w:pgMar w:top="1440" w:right="1440" w:bottom="1440" w:left="1440" w:header="708" w:footer="708" w:gutter="0"/>
          <w:cols w:num="2" w:space="708"/>
          <w:docGrid w:linePitch="360"/>
        </w:sectPr>
      </w:pPr>
    </w:p>
    <w:p w:rsidR="00E63ED9" w:rsidRPr="00627921" w:rsidRDefault="00E63ED9" w:rsidP="00E63ED9">
      <w:pPr>
        <w:spacing w:after="0" w:line="300" w:lineRule="auto"/>
        <w:rPr>
          <w:rFonts w:ascii="Avenir Next" w:hAnsi="Avenir Next"/>
          <w:sz w:val="20"/>
          <w:szCs w:val="20"/>
        </w:rPr>
      </w:pPr>
    </w:p>
    <w:p w:rsidR="00E63ED9" w:rsidRPr="00627921" w:rsidRDefault="00E63ED9" w:rsidP="00E63ED9">
      <w:pPr>
        <w:pStyle w:val="ListParagraph"/>
        <w:numPr>
          <w:ilvl w:val="0"/>
          <w:numId w:val="19"/>
        </w:numPr>
        <w:rPr>
          <w:rFonts w:ascii="Avenir Next" w:hAnsi="Avenir Next"/>
          <w:sz w:val="20"/>
          <w:szCs w:val="20"/>
        </w:rPr>
      </w:pPr>
      <w:r w:rsidRPr="00627921">
        <w:rPr>
          <w:rFonts w:ascii="Avenir Next" w:hAnsi="Avenir Next"/>
          <w:sz w:val="20"/>
          <w:szCs w:val="20"/>
        </w:rPr>
        <w:t xml:space="preserve">The above technology is owned by a company called Super Simpler Pty Ltd with the first three modules offered to market under license by AXIS Financial Group. </w:t>
      </w:r>
    </w:p>
    <w:p w:rsidR="002C54AB" w:rsidRDefault="00E63ED9" w:rsidP="00C47A7F">
      <w:pPr>
        <w:pStyle w:val="ListParagraph"/>
        <w:numPr>
          <w:ilvl w:val="0"/>
          <w:numId w:val="19"/>
        </w:numPr>
        <w:rPr>
          <w:rFonts w:ascii="Avenir Next" w:hAnsi="Avenir Next"/>
          <w:sz w:val="20"/>
          <w:szCs w:val="20"/>
        </w:rPr>
      </w:pPr>
      <w:r w:rsidRPr="00627921">
        <w:rPr>
          <w:rFonts w:ascii="Avenir Next" w:hAnsi="Avenir Next"/>
          <w:sz w:val="20"/>
          <w:szCs w:val="20"/>
        </w:rPr>
        <w:t>The final application, Superwiser, is under development and will be taken to market by Super Simpler Pty Ltd (refer separate submission).</w:t>
      </w:r>
    </w:p>
    <w:p w:rsidR="002C54AB" w:rsidRDefault="002C54AB">
      <w:pPr>
        <w:rPr>
          <w:rFonts w:ascii="Avenir Next" w:hAnsi="Avenir Next"/>
          <w:sz w:val="20"/>
          <w:szCs w:val="20"/>
        </w:rPr>
      </w:pPr>
      <w:r>
        <w:rPr>
          <w:rFonts w:ascii="Avenir Next" w:hAnsi="Avenir Next"/>
          <w:sz w:val="20"/>
          <w:szCs w:val="20"/>
        </w:rPr>
        <w:br w:type="page"/>
      </w:r>
    </w:p>
    <w:p w:rsidR="00E63ED9" w:rsidRPr="008144D3" w:rsidRDefault="00E63ED9" w:rsidP="00627921">
      <w:pPr>
        <w:pStyle w:val="ListParagraph"/>
        <w:numPr>
          <w:ilvl w:val="0"/>
          <w:numId w:val="19"/>
        </w:numPr>
        <w:rPr>
          <w:rFonts w:ascii="Avenir Next" w:hAnsi="Avenir Next"/>
        </w:rPr>
      </w:pPr>
    </w:p>
    <w:p w:rsidR="00E63ED9" w:rsidRPr="00E63ED9" w:rsidRDefault="00E63ED9">
      <w:pPr>
        <w:spacing w:after="0" w:line="300" w:lineRule="auto"/>
        <w:rPr>
          <w:rFonts w:ascii="Avenir Next" w:hAnsi="Avenir Next"/>
          <w:b/>
          <w:color w:val="5B9BD5" w:themeColor="accent1"/>
        </w:rPr>
      </w:pPr>
      <w:r w:rsidRPr="00E63ED9">
        <w:rPr>
          <w:rFonts w:ascii="Avenir Next" w:hAnsi="Avenir Next"/>
          <w:b/>
          <w:color w:val="5B9BD5" w:themeColor="accent1"/>
        </w:rPr>
        <w:t>Market Competitiveness</w:t>
      </w:r>
    </w:p>
    <w:p w:rsidR="00E63ED9" w:rsidRPr="00627921" w:rsidRDefault="000E3CF0" w:rsidP="00627921">
      <w:pPr>
        <w:spacing w:after="0" w:line="300" w:lineRule="auto"/>
        <w:rPr>
          <w:rFonts w:ascii="Avenir Next" w:hAnsi="Avenir Next"/>
          <w:sz w:val="20"/>
          <w:szCs w:val="20"/>
        </w:rPr>
      </w:pPr>
      <w:r w:rsidRPr="00627921">
        <w:rPr>
          <w:rFonts w:ascii="Avenir Next" w:hAnsi="Avenir Next"/>
          <w:sz w:val="20"/>
          <w:szCs w:val="20"/>
        </w:rPr>
        <w:t>MySuper has brought costs down in the various master trust with industry funds and SMSF’s being generally unresponsive.  In responding to regulatory change, the major</w:t>
      </w:r>
      <w:r>
        <w:rPr>
          <w:rFonts w:ascii="Avenir Next" w:hAnsi="Avenir Next"/>
        </w:rPr>
        <w:t xml:space="preserve"> </w:t>
      </w:r>
      <w:r w:rsidRPr="00627921">
        <w:rPr>
          <w:rFonts w:ascii="Avenir Next" w:hAnsi="Avenir Next"/>
          <w:sz w:val="20"/>
          <w:szCs w:val="20"/>
        </w:rPr>
        <w:t>players have continued to be more concerned about their profit margins and reserves than about customer service.  Essentially you have too much cost being paid for what is essentially a record keeping service with some false acknowledgement among the major players to the delivery of affordable quality service to the end clients who actually own the asset.</w:t>
      </w:r>
    </w:p>
    <w:p w:rsidR="00DB6643" w:rsidRPr="00627921" w:rsidRDefault="000E3CF0" w:rsidP="00627921">
      <w:pPr>
        <w:spacing w:after="0" w:line="300" w:lineRule="auto"/>
        <w:rPr>
          <w:rFonts w:ascii="Avenir Next" w:hAnsi="Avenir Next"/>
          <w:sz w:val="20"/>
          <w:szCs w:val="20"/>
        </w:rPr>
      </w:pPr>
      <w:r w:rsidRPr="00627921">
        <w:rPr>
          <w:rFonts w:ascii="Avenir Next" w:hAnsi="Avenir Next"/>
          <w:sz w:val="20"/>
          <w:szCs w:val="20"/>
        </w:rPr>
        <w:t xml:space="preserve">Competition in any market is usually brought about by smaller and more nimble market operators forcing the bigger players to change their model.  The over regulation in the financial services industry has not changed the attitudes of the major players towards affordability of a quality service and it would be the concern of AXIS Financial Group that further regulation as influenced by the major players would not </w:t>
      </w:r>
      <w:r w:rsidR="00DB6643" w:rsidRPr="00627921">
        <w:rPr>
          <w:rFonts w:ascii="Avenir Next" w:hAnsi="Avenir Next"/>
          <w:sz w:val="20"/>
          <w:szCs w:val="20"/>
        </w:rPr>
        <w:t xml:space="preserve">improve competition. </w:t>
      </w:r>
    </w:p>
    <w:p w:rsidR="00DB6643" w:rsidRPr="00627921" w:rsidRDefault="00DB6643" w:rsidP="00627921">
      <w:pPr>
        <w:spacing w:after="0" w:line="300" w:lineRule="auto"/>
        <w:rPr>
          <w:rFonts w:ascii="Avenir Next" w:hAnsi="Avenir Next"/>
          <w:sz w:val="20"/>
          <w:szCs w:val="20"/>
        </w:rPr>
      </w:pPr>
      <w:r w:rsidRPr="00627921">
        <w:rPr>
          <w:rFonts w:ascii="Avenir Next" w:hAnsi="Avenir Next"/>
          <w:sz w:val="20"/>
          <w:szCs w:val="20"/>
        </w:rPr>
        <w:t>AXIS believes that the development of technology within the market is on the cusp of changing attitudes of the service providers within the financial services industry.  This is an imminent and significant market force which will disrupt the strategies of all players.</w:t>
      </w:r>
    </w:p>
    <w:p w:rsidR="00DB6643" w:rsidRDefault="00DB6643" w:rsidP="00627921">
      <w:pPr>
        <w:spacing w:after="0" w:line="300" w:lineRule="auto"/>
        <w:rPr>
          <w:rFonts w:ascii="Avenir Next" w:hAnsi="Avenir Next"/>
        </w:rPr>
      </w:pPr>
    </w:p>
    <w:p w:rsidR="000E3CF0" w:rsidRPr="00627921" w:rsidRDefault="00DB6643" w:rsidP="00627921">
      <w:pPr>
        <w:spacing w:after="0" w:line="300" w:lineRule="auto"/>
        <w:rPr>
          <w:rFonts w:ascii="Avenir Next" w:hAnsi="Avenir Next"/>
          <w:b/>
          <w:color w:val="5B9BD5" w:themeColor="accent1"/>
        </w:rPr>
      </w:pPr>
      <w:r w:rsidRPr="00627921">
        <w:rPr>
          <w:rFonts w:ascii="Avenir Next" w:hAnsi="Avenir Next"/>
          <w:b/>
          <w:color w:val="5B9BD5" w:themeColor="accent1"/>
        </w:rPr>
        <w:t xml:space="preserve">Choosing a Default Fund  </w:t>
      </w:r>
    </w:p>
    <w:p w:rsidR="00E63ED9" w:rsidRPr="00627921" w:rsidRDefault="00DB6643" w:rsidP="00627921">
      <w:pPr>
        <w:spacing w:after="0" w:line="300" w:lineRule="auto"/>
        <w:rPr>
          <w:rFonts w:ascii="Avenir Next" w:hAnsi="Avenir Next"/>
          <w:sz w:val="20"/>
          <w:szCs w:val="20"/>
        </w:rPr>
      </w:pPr>
      <w:r w:rsidRPr="00627921">
        <w:rPr>
          <w:rFonts w:ascii="Avenir Next" w:hAnsi="Avenir Next"/>
          <w:sz w:val="20"/>
          <w:szCs w:val="20"/>
        </w:rPr>
        <w:t>The current problem in the market is that most tenderers are product aligned in some way.  This is never clear when it is happening and this is also a constant challenge to make sure integrity is maintained.  AXIS sees much of this is because there is not a source of knowledge to inform employers how to select a default fund and no ability to actually monitor that services promised are periodically delivered again other service options in the market.</w:t>
      </w:r>
    </w:p>
    <w:p w:rsidR="00DB6643" w:rsidRPr="00627921" w:rsidRDefault="00DB6643" w:rsidP="00627921">
      <w:pPr>
        <w:spacing w:after="0" w:line="300" w:lineRule="auto"/>
        <w:rPr>
          <w:rFonts w:ascii="Avenir Next" w:hAnsi="Avenir Next"/>
          <w:sz w:val="20"/>
          <w:szCs w:val="20"/>
        </w:rPr>
      </w:pPr>
      <w:r w:rsidRPr="00627921">
        <w:rPr>
          <w:rFonts w:ascii="Avenir Next" w:hAnsi="Avenir Next"/>
          <w:sz w:val="20"/>
          <w:szCs w:val="20"/>
        </w:rPr>
        <w:t>AXIS has developed the Super Plan Evaluator to automate the frequent comparison of alternative super arrangements for employers.  The new technology evaluates comparable products and provides a mathematically calculated report in examining the performance of the current plan arrangements against other options in the market.  The visibility of this calculation provides a tool so that employers can ensure optimal value is being delivered to the workforce each year.</w:t>
      </w:r>
    </w:p>
    <w:p w:rsidR="008144D3" w:rsidRDefault="00DB6643" w:rsidP="00627921">
      <w:pPr>
        <w:spacing w:after="0" w:line="300" w:lineRule="auto"/>
        <w:rPr>
          <w:rFonts w:ascii="Avenir Next" w:hAnsi="Avenir Next"/>
          <w:sz w:val="20"/>
          <w:szCs w:val="20"/>
        </w:rPr>
      </w:pPr>
      <w:r w:rsidRPr="00627921">
        <w:rPr>
          <w:rFonts w:ascii="Avenir Next" w:hAnsi="Avenir Next"/>
          <w:sz w:val="20"/>
          <w:szCs w:val="20"/>
        </w:rPr>
        <w:t>This is again another example where an ambitious advisory company, however small in comparison with their competition, can position themselves as a specialist service provider to evaluate the performance of product solutions.</w:t>
      </w:r>
    </w:p>
    <w:p w:rsidR="002C54AB" w:rsidRPr="00627921" w:rsidRDefault="002C54AB" w:rsidP="00627921">
      <w:pPr>
        <w:spacing w:after="0" w:line="300" w:lineRule="auto"/>
        <w:rPr>
          <w:rFonts w:ascii="Avenir Next" w:hAnsi="Avenir Next"/>
          <w:sz w:val="20"/>
          <w:szCs w:val="20"/>
        </w:rPr>
      </w:pPr>
    </w:p>
    <w:p w:rsidR="008144D3" w:rsidRDefault="008144D3" w:rsidP="008144D3">
      <w:pPr>
        <w:spacing w:before="13" w:line="240" w:lineRule="auto"/>
        <w:rPr>
          <w:rFonts w:ascii="Avenir Next" w:eastAsia="Avenir Next" w:hAnsi="Avenir Next"/>
          <w:b/>
          <w:bCs/>
          <w:color w:val="0079C1"/>
          <w:spacing w:val="-1"/>
          <w:sz w:val="24"/>
          <w:szCs w:val="24"/>
        </w:rPr>
      </w:pPr>
      <w:r>
        <w:rPr>
          <w:rFonts w:ascii="Avenir Next" w:eastAsia="Avenir Next" w:hAnsi="Avenir Next"/>
          <w:b/>
          <w:bCs/>
          <w:color w:val="0079C1"/>
          <w:spacing w:val="-1"/>
          <w:sz w:val="24"/>
          <w:szCs w:val="24"/>
        </w:rPr>
        <w:t>Summary</w:t>
      </w:r>
    </w:p>
    <w:p w:rsidR="008144D3" w:rsidRPr="00627921" w:rsidRDefault="008144D3" w:rsidP="008144D3">
      <w:pPr>
        <w:spacing w:before="13" w:line="240" w:lineRule="auto"/>
        <w:rPr>
          <w:noProof/>
          <w:sz w:val="20"/>
          <w:szCs w:val="20"/>
          <w:lang w:eastAsia="en-AU"/>
        </w:rPr>
      </w:pPr>
      <w:r w:rsidRPr="00627921">
        <w:rPr>
          <w:rFonts w:ascii="Avenir Next" w:hAnsi="Avenir Next"/>
          <w:sz w:val="20"/>
          <w:szCs w:val="20"/>
        </w:rPr>
        <w:t>AXIS Financial Group would welcome the opportunity to meet with Productivity Commission representatives to discuss the role of advice</w:t>
      </w:r>
      <w:r w:rsidRPr="00627921">
        <w:rPr>
          <w:sz w:val="20"/>
          <w:szCs w:val="20"/>
        </w:rPr>
        <w:t xml:space="preserve"> in </w:t>
      </w:r>
      <w:r w:rsidRPr="00627921">
        <w:rPr>
          <w:rFonts w:ascii="Avenir Next" w:hAnsi="Avenir Next"/>
          <w:sz w:val="20"/>
          <w:szCs w:val="20"/>
        </w:rPr>
        <w:t>assessing the competitiveness and efficiency of the superannuation system in Australia.</w:t>
      </w:r>
    </w:p>
    <w:p w:rsidR="008144D3" w:rsidRDefault="008144D3" w:rsidP="00627921">
      <w:pPr>
        <w:spacing w:after="0" w:line="300" w:lineRule="auto"/>
        <w:rPr>
          <w:rFonts w:ascii="Avenir Next" w:hAnsi="Avenir Next"/>
        </w:rPr>
      </w:pPr>
    </w:p>
    <w:p w:rsidR="00DB6643" w:rsidRDefault="00DB6643" w:rsidP="00627921">
      <w:pPr>
        <w:spacing w:after="0" w:line="300" w:lineRule="auto"/>
        <w:rPr>
          <w:rFonts w:ascii="Avenir Next" w:hAnsi="Avenir Next"/>
        </w:rPr>
      </w:pPr>
    </w:p>
    <w:p w:rsidR="006553A8" w:rsidRDefault="006553A8" w:rsidP="00627921">
      <w:pPr>
        <w:spacing w:after="0" w:line="300" w:lineRule="auto"/>
        <w:rPr>
          <w:noProof/>
          <w:lang w:eastAsia="en-AU"/>
        </w:rPr>
      </w:pPr>
    </w:p>
    <w:sectPr w:rsidR="006553A8" w:rsidSect="00E63ED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Next">
    <w:altName w:val="Corbel"/>
    <w:charset w:val="00"/>
    <w:family w:val="swiss"/>
    <w:pitch w:val="variable"/>
    <w:sig w:usb0="00000001" w:usb1="5000204A" w:usb2="00000000" w:usb3="00000000" w:csb0="0000009B"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pt;height:39pt" o:bullet="t">
        <v:imagedata r:id="rId1" o:title="AXIS Bullet Point 20141023"/>
      </v:shape>
    </w:pict>
  </w:numPicBullet>
  <w:abstractNum w:abstractNumId="0">
    <w:nsid w:val="067E2E19"/>
    <w:multiLevelType w:val="hybridMultilevel"/>
    <w:tmpl w:val="7E309380"/>
    <w:lvl w:ilvl="0" w:tplc="3E8AC552">
      <w:start w:val="1"/>
      <w:numFmt w:val="bullet"/>
      <w:lvlText w:val=""/>
      <w:lvlPicBulletId w:val="0"/>
      <w:lvlJc w:val="left"/>
      <w:pPr>
        <w:ind w:left="360" w:hanging="360"/>
      </w:pPr>
      <w:rPr>
        <w:rFonts w:ascii="Symbol" w:hAnsi="Symbol" w:hint="default"/>
        <w:color w:val="auto"/>
        <w:sz w:val="26"/>
        <w:szCs w:val="2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BCD618F"/>
    <w:multiLevelType w:val="hybridMultilevel"/>
    <w:tmpl w:val="FAD42190"/>
    <w:lvl w:ilvl="0" w:tplc="E2D0E25A">
      <w:start w:val="1"/>
      <w:numFmt w:val="bullet"/>
      <w:lvlText w:val=""/>
      <w:lvlPicBulletId w:val="0"/>
      <w:lvlJc w:val="left"/>
      <w:pPr>
        <w:ind w:left="360" w:hanging="360"/>
      </w:pPr>
      <w:rPr>
        <w:rFonts w:ascii="Symbol" w:hAnsi="Symbol" w:hint="default"/>
        <w:color w:val="auto"/>
        <w:sz w:val="26"/>
        <w:szCs w:val="2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C5E1982"/>
    <w:multiLevelType w:val="hybridMultilevel"/>
    <w:tmpl w:val="44909684"/>
    <w:lvl w:ilvl="0" w:tplc="B8EA95E0">
      <w:start w:val="1"/>
      <w:numFmt w:val="bullet"/>
      <w:lvlText w:val=""/>
      <w:lvlPicBulletId w:val="0"/>
      <w:lvlJc w:val="left"/>
      <w:pPr>
        <w:ind w:left="360" w:hanging="360"/>
      </w:pPr>
      <w:rPr>
        <w:rFonts w:ascii="Symbol" w:hAnsi="Symbol" w:hint="default"/>
        <w:color w:val="auto"/>
        <w:sz w:val="26"/>
        <w:szCs w:val="26"/>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nsid w:val="0FB553EF"/>
    <w:multiLevelType w:val="hybridMultilevel"/>
    <w:tmpl w:val="DF6E39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A0105"/>
    <w:multiLevelType w:val="hybridMultilevel"/>
    <w:tmpl w:val="77568C4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51F7198"/>
    <w:multiLevelType w:val="hybridMultilevel"/>
    <w:tmpl w:val="28DAABD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292857"/>
    <w:multiLevelType w:val="hybridMultilevel"/>
    <w:tmpl w:val="E5C0A76C"/>
    <w:lvl w:ilvl="0" w:tplc="6040EABC">
      <w:start w:val="1"/>
      <w:numFmt w:val="bullet"/>
      <w:lvlText w:val=""/>
      <w:lvlPicBulletId w:val="0"/>
      <w:lvlJc w:val="left"/>
      <w:pPr>
        <w:ind w:left="720" w:hanging="360"/>
      </w:pPr>
      <w:rPr>
        <w:rFonts w:ascii="Symbol" w:hAnsi="Symbol" w:hint="default"/>
        <w:color w:val="auto"/>
        <w:sz w:val="26"/>
        <w:szCs w:val="26"/>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28531F62"/>
    <w:multiLevelType w:val="hybridMultilevel"/>
    <w:tmpl w:val="5E4E4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04C1595"/>
    <w:multiLevelType w:val="hybridMultilevel"/>
    <w:tmpl w:val="39FE4420"/>
    <w:lvl w:ilvl="0" w:tplc="CDFA7A38">
      <w:start w:val="1"/>
      <w:numFmt w:val="bullet"/>
      <w:lvlText w:val=""/>
      <w:lvlPicBulletId w:val="0"/>
      <w:lvlJc w:val="left"/>
      <w:pPr>
        <w:ind w:left="720" w:hanging="360"/>
      </w:pPr>
      <w:rPr>
        <w:rFonts w:ascii="Symbol" w:hAnsi="Symbol" w:hint="default"/>
        <w:color w:val="auto"/>
        <w:sz w:val="26"/>
        <w:szCs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1011E6A"/>
    <w:multiLevelType w:val="hybridMultilevel"/>
    <w:tmpl w:val="258E42D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3160C4A"/>
    <w:multiLevelType w:val="multilevel"/>
    <w:tmpl w:val="6A48EB62"/>
    <w:lvl w:ilvl="0">
      <w:start w:val="1"/>
      <w:numFmt w:val="decimal"/>
      <w:lvlText w:val="%1."/>
      <w:lvlJc w:val="left"/>
      <w:pPr>
        <w:ind w:left="36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nsid w:val="343628B1"/>
    <w:multiLevelType w:val="hybridMultilevel"/>
    <w:tmpl w:val="1DCC77CA"/>
    <w:lvl w:ilvl="0" w:tplc="10C837A8">
      <w:start w:val="1"/>
      <w:numFmt w:val="bullet"/>
      <w:lvlText w:val=""/>
      <w:lvlPicBulletId w:val="0"/>
      <w:lvlJc w:val="left"/>
      <w:pPr>
        <w:ind w:left="360" w:hanging="360"/>
      </w:pPr>
      <w:rPr>
        <w:rFonts w:ascii="Symbol" w:hAnsi="Symbol" w:hint="default"/>
        <w:color w:val="auto"/>
        <w:sz w:val="26"/>
        <w:szCs w:val="2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48D548B"/>
    <w:multiLevelType w:val="hybridMultilevel"/>
    <w:tmpl w:val="5B84393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7EC67F8"/>
    <w:multiLevelType w:val="hybridMultilevel"/>
    <w:tmpl w:val="685ACE72"/>
    <w:lvl w:ilvl="0" w:tplc="8F96F298">
      <w:start w:val="1"/>
      <w:numFmt w:val="bullet"/>
      <w:lvlText w:val=""/>
      <w:lvlPicBulletId w:val="0"/>
      <w:lvlJc w:val="left"/>
      <w:pPr>
        <w:ind w:left="360" w:hanging="360"/>
      </w:pPr>
      <w:rPr>
        <w:rFonts w:ascii="Symbol" w:hAnsi="Symbol" w:hint="default"/>
        <w:color w:val="auto"/>
        <w:sz w:val="26"/>
        <w:szCs w:val="2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8EC2C2B"/>
    <w:multiLevelType w:val="hybridMultilevel"/>
    <w:tmpl w:val="542A5528"/>
    <w:lvl w:ilvl="0" w:tplc="32B48ACC">
      <w:start w:val="1"/>
      <w:numFmt w:val="bullet"/>
      <w:lvlText w:val=""/>
      <w:lvlPicBulletId w:val="0"/>
      <w:lvlJc w:val="left"/>
      <w:pPr>
        <w:ind w:left="720" w:hanging="360"/>
      </w:pPr>
      <w:rPr>
        <w:rFonts w:ascii="Symbol" w:hAnsi="Symbol" w:hint="default"/>
        <w:color w:val="auto"/>
        <w:sz w:val="26"/>
        <w:szCs w:val="2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5B226F0F"/>
    <w:multiLevelType w:val="hybridMultilevel"/>
    <w:tmpl w:val="C836486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ACE3887"/>
    <w:multiLevelType w:val="hybridMultilevel"/>
    <w:tmpl w:val="97541FAE"/>
    <w:lvl w:ilvl="0" w:tplc="99BEB47C">
      <w:start w:val="1"/>
      <w:numFmt w:val="bullet"/>
      <w:lvlText w:val=""/>
      <w:lvlPicBulletId w:val="0"/>
      <w:lvlJc w:val="left"/>
      <w:pPr>
        <w:ind w:left="720" w:hanging="360"/>
      </w:pPr>
      <w:rPr>
        <w:rFonts w:ascii="Symbol" w:hAnsi="Symbol" w:hint="default"/>
        <w:color w:val="auto"/>
        <w:sz w:val="26"/>
        <w:szCs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B583B9D"/>
    <w:multiLevelType w:val="hybridMultilevel"/>
    <w:tmpl w:val="1FECF560"/>
    <w:lvl w:ilvl="0" w:tplc="ED0ECE14">
      <w:start w:val="1"/>
      <w:numFmt w:val="bullet"/>
      <w:lvlText w:val=""/>
      <w:lvlPicBulletId w:val="0"/>
      <w:lvlJc w:val="left"/>
      <w:pPr>
        <w:ind w:left="720" w:hanging="360"/>
      </w:pPr>
      <w:rPr>
        <w:rFonts w:ascii="Symbol" w:hAnsi="Symbol" w:hint="default"/>
        <w:color w:val="auto"/>
        <w:sz w:val="26"/>
        <w:szCs w:val="26"/>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7C7C0118"/>
    <w:multiLevelType w:val="hybridMultilevel"/>
    <w:tmpl w:val="D83AC22A"/>
    <w:lvl w:ilvl="0" w:tplc="5F5264EA">
      <w:start w:val="1"/>
      <w:numFmt w:val="bullet"/>
      <w:lvlText w:val=""/>
      <w:lvlPicBulletId w:val="0"/>
      <w:lvlJc w:val="left"/>
      <w:pPr>
        <w:ind w:left="360" w:hanging="360"/>
      </w:pPr>
      <w:rPr>
        <w:rFonts w:ascii="Symbol" w:hAnsi="Symbol" w:hint="default"/>
        <w:color w:val="auto"/>
        <w:sz w:val="26"/>
        <w:szCs w:val="2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6"/>
  </w:num>
  <w:num w:numId="4">
    <w:abstractNumId w:val="14"/>
  </w:num>
  <w:num w:numId="5">
    <w:abstractNumId w:val="17"/>
  </w:num>
  <w:num w:numId="6">
    <w:abstractNumId w:val="8"/>
  </w:num>
  <w:num w:numId="7">
    <w:abstractNumId w:val="13"/>
  </w:num>
  <w:num w:numId="8">
    <w:abstractNumId w:val="1"/>
  </w:num>
  <w:num w:numId="9">
    <w:abstractNumId w:val="18"/>
  </w:num>
  <w:num w:numId="10">
    <w:abstractNumId w:val="11"/>
  </w:num>
  <w:num w:numId="11">
    <w:abstractNumId w:val="16"/>
  </w:num>
  <w:num w:numId="12">
    <w:abstractNumId w:val="0"/>
  </w:num>
  <w:num w:numId="13">
    <w:abstractNumId w:val="4"/>
  </w:num>
  <w:num w:numId="14">
    <w:abstractNumId w:val="12"/>
  </w:num>
  <w:num w:numId="15">
    <w:abstractNumId w:val="15"/>
  </w:num>
  <w:num w:numId="16">
    <w:abstractNumId w:val="9"/>
  </w:num>
  <w:num w:numId="17">
    <w:abstractNumId w:val="3"/>
  </w:num>
  <w:num w:numId="18">
    <w:abstractNumId w:val="7"/>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ry Burke">
    <w15:presenceInfo w15:providerId="AD" w15:userId="S-1-5-21-1218270750-812531268-1231754661-1040"/>
  </w15:person>
  <w15:person w15:author="John Exton">
    <w15:presenceInfo w15:providerId="AD" w15:userId="S-1-5-21-1218270750-812531268-1231754661-2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3A8"/>
    <w:rsid w:val="000240CF"/>
    <w:rsid w:val="00090300"/>
    <w:rsid w:val="000958BF"/>
    <w:rsid w:val="000A06CE"/>
    <w:rsid w:val="000B1991"/>
    <w:rsid w:val="000B335A"/>
    <w:rsid w:val="000E0AA8"/>
    <w:rsid w:val="000E3CF0"/>
    <w:rsid w:val="001416DE"/>
    <w:rsid w:val="001448E6"/>
    <w:rsid w:val="001C28DF"/>
    <w:rsid w:val="001D10FB"/>
    <w:rsid w:val="00204C8A"/>
    <w:rsid w:val="00210190"/>
    <w:rsid w:val="00230881"/>
    <w:rsid w:val="0023120B"/>
    <w:rsid w:val="00242722"/>
    <w:rsid w:val="00263140"/>
    <w:rsid w:val="002660FE"/>
    <w:rsid w:val="00286CB1"/>
    <w:rsid w:val="002B292D"/>
    <w:rsid w:val="002C0870"/>
    <w:rsid w:val="002C2415"/>
    <w:rsid w:val="002C4A4F"/>
    <w:rsid w:val="002C54AB"/>
    <w:rsid w:val="002C624C"/>
    <w:rsid w:val="00360BD2"/>
    <w:rsid w:val="00371B9E"/>
    <w:rsid w:val="003848EB"/>
    <w:rsid w:val="00385637"/>
    <w:rsid w:val="003920AD"/>
    <w:rsid w:val="003B0211"/>
    <w:rsid w:val="003E5DE2"/>
    <w:rsid w:val="004601FD"/>
    <w:rsid w:val="00465F3B"/>
    <w:rsid w:val="0049742F"/>
    <w:rsid w:val="005445DF"/>
    <w:rsid w:val="00544AA6"/>
    <w:rsid w:val="005955B7"/>
    <w:rsid w:val="005D3278"/>
    <w:rsid w:val="00625793"/>
    <w:rsid w:val="00625A4F"/>
    <w:rsid w:val="00627921"/>
    <w:rsid w:val="00650AB3"/>
    <w:rsid w:val="006553A8"/>
    <w:rsid w:val="00666BF5"/>
    <w:rsid w:val="00692746"/>
    <w:rsid w:val="00693C3E"/>
    <w:rsid w:val="006D4386"/>
    <w:rsid w:val="006E0ED4"/>
    <w:rsid w:val="006E4799"/>
    <w:rsid w:val="006F1F6E"/>
    <w:rsid w:val="0070529F"/>
    <w:rsid w:val="00724EE5"/>
    <w:rsid w:val="007536FD"/>
    <w:rsid w:val="00766D81"/>
    <w:rsid w:val="007F6B90"/>
    <w:rsid w:val="008144D3"/>
    <w:rsid w:val="00825AF9"/>
    <w:rsid w:val="00870D9E"/>
    <w:rsid w:val="0088326B"/>
    <w:rsid w:val="00886BFF"/>
    <w:rsid w:val="008D79BC"/>
    <w:rsid w:val="008F1AD2"/>
    <w:rsid w:val="00903CA4"/>
    <w:rsid w:val="00911F73"/>
    <w:rsid w:val="0094382D"/>
    <w:rsid w:val="0095194F"/>
    <w:rsid w:val="009716F3"/>
    <w:rsid w:val="009C7DCC"/>
    <w:rsid w:val="009D6E09"/>
    <w:rsid w:val="00A508A2"/>
    <w:rsid w:val="00A70637"/>
    <w:rsid w:val="00A960B2"/>
    <w:rsid w:val="00AB008D"/>
    <w:rsid w:val="00AC4509"/>
    <w:rsid w:val="00AD222B"/>
    <w:rsid w:val="00AD6106"/>
    <w:rsid w:val="00AE41A9"/>
    <w:rsid w:val="00AF22F4"/>
    <w:rsid w:val="00B13D82"/>
    <w:rsid w:val="00B141C4"/>
    <w:rsid w:val="00B220FF"/>
    <w:rsid w:val="00B47543"/>
    <w:rsid w:val="00BB0A0B"/>
    <w:rsid w:val="00BE1AE5"/>
    <w:rsid w:val="00C169A3"/>
    <w:rsid w:val="00CA68E2"/>
    <w:rsid w:val="00CE4DD6"/>
    <w:rsid w:val="00D02FA5"/>
    <w:rsid w:val="00D15C6E"/>
    <w:rsid w:val="00D47B6F"/>
    <w:rsid w:val="00D821B4"/>
    <w:rsid w:val="00D84F58"/>
    <w:rsid w:val="00DA3B31"/>
    <w:rsid w:val="00DB6643"/>
    <w:rsid w:val="00E05CF5"/>
    <w:rsid w:val="00E16D8D"/>
    <w:rsid w:val="00E21384"/>
    <w:rsid w:val="00E436B3"/>
    <w:rsid w:val="00E54170"/>
    <w:rsid w:val="00E57C30"/>
    <w:rsid w:val="00E63ED9"/>
    <w:rsid w:val="00E77D47"/>
    <w:rsid w:val="00E902C2"/>
    <w:rsid w:val="00EB6BCB"/>
    <w:rsid w:val="00EF41BF"/>
    <w:rsid w:val="00F35268"/>
    <w:rsid w:val="00F82283"/>
    <w:rsid w:val="00F9312B"/>
    <w:rsid w:val="00FB35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46"/>
  </w:style>
  <w:style w:type="paragraph" w:styleId="Heading1">
    <w:name w:val="heading 1"/>
    <w:basedOn w:val="Normal"/>
    <w:link w:val="Heading1Char"/>
    <w:uiPriority w:val="1"/>
    <w:qFormat/>
    <w:rsid w:val="002C4A4F"/>
    <w:pPr>
      <w:widowControl w:val="0"/>
      <w:spacing w:after="0" w:line="240" w:lineRule="auto"/>
      <w:ind w:left="907"/>
      <w:outlineLvl w:val="0"/>
    </w:pPr>
    <w:rPr>
      <w:rFonts w:ascii="Avenir Next" w:eastAsia="Avenir Next" w:hAnsi="Avenir Nex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FA5"/>
    <w:pPr>
      <w:spacing w:after="0" w:line="300" w:lineRule="auto"/>
      <w:ind w:left="720"/>
      <w:contextualSpacing/>
    </w:pPr>
  </w:style>
  <w:style w:type="table" w:styleId="TableGrid">
    <w:name w:val="Table Grid"/>
    <w:basedOn w:val="TableNormal"/>
    <w:uiPriority w:val="39"/>
    <w:rsid w:val="00D02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2C4A4F"/>
    <w:rPr>
      <w:rFonts w:ascii="Avenir Next" w:eastAsia="Avenir Next" w:hAnsi="Avenir Next"/>
      <w:b/>
      <w:bCs/>
      <w:sz w:val="24"/>
      <w:szCs w:val="24"/>
    </w:rPr>
  </w:style>
  <w:style w:type="paragraph" w:customStyle="1" w:styleId="TableParagraph">
    <w:name w:val="Table Paragraph"/>
    <w:basedOn w:val="Normal"/>
    <w:uiPriority w:val="1"/>
    <w:qFormat/>
    <w:rsid w:val="00FB3515"/>
    <w:pPr>
      <w:widowControl w:val="0"/>
      <w:spacing w:after="0" w:line="240" w:lineRule="auto"/>
    </w:pPr>
    <w:rPr>
      <w:lang w:val="en-US"/>
    </w:rPr>
  </w:style>
  <w:style w:type="paragraph" w:styleId="BalloonText">
    <w:name w:val="Balloon Text"/>
    <w:basedOn w:val="Normal"/>
    <w:link w:val="BalloonTextChar"/>
    <w:uiPriority w:val="99"/>
    <w:semiHidden/>
    <w:unhideWhenUsed/>
    <w:rsid w:val="006E4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79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46"/>
  </w:style>
  <w:style w:type="paragraph" w:styleId="Heading1">
    <w:name w:val="heading 1"/>
    <w:basedOn w:val="Normal"/>
    <w:link w:val="Heading1Char"/>
    <w:uiPriority w:val="1"/>
    <w:qFormat/>
    <w:rsid w:val="002C4A4F"/>
    <w:pPr>
      <w:widowControl w:val="0"/>
      <w:spacing w:after="0" w:line="240" w:lineRule="auto"/>
      <w:ind w:left="907"/>
      <w:outlineLvl w:val="0"/>
    </w:pPr>
    <w:rPr>
      <w:rFonts w:ascii="Avenir Next" w:eastAsia="Avenir Next" w:hAnsi="Avenir Nex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FA5"/>
    <w:pPr>
      <w:spacing w:after="0" w:line="300" w:lineRule="auto"/>
      <w:ind w:left="720"/>
      <w:contextualSpacing/>
    </w:pPr>
  </w:style>
  <w:style w:type="table" w:styleId="TableGrid">
    <w:name w:val="Table Grid"/>
    <w:basedOn w:val="TableNormal"/>
    <w:uiPriority w:val="39"/>
    <w:rsid w:val="00D02F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2C4A4F"/>
    <w:rPr>
      <w:rFonts w:ascii="Avenir Next" w:eastAsia="Avenir Next" w:hAnsi="Avenir Next"/>
      <w:b/>
      <w:bCs/>
      <w:sz w:val="24"/>
      <w:szCs w:val="24"/>
    </w:rPr>
  </w:style>
  <w:style w:type="paragraph" w:customStyle="1" w:styleId="TableParagraph">
    <w:name w:val="Table Paragraph"/>
    <w:basedOn w:val="Normal"/>
    <w:uiPriority w:val="1"/>
    <w:qFormat/>
    <w:rsid w:val="00FB3515"/>
    <w:pPr>
      <w:widowControl w:val="0"/>
      <w:spacing w:after="0" w:line="240" w:lineRule="auto"/>
    </w:pPr>
    <w:rPr>
      <w:lang w:val="en-US"/>
    </w:rPr>
  </w:style>
  <w:style w:type="paragraph" w:styleId="BalloonText">
    <w:name w:val="Balloon Text"/>
    <w:basedOn w:val="Normal"/>
    <w:link w:val="BalloonTextChar"/>
    <w:uiPriority w:val="99"/>
    <w:semiHidden/>
    <w:unhideWhenUsed/>
    <w:rsid w:val="006E4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theme" Target="theme/theme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39533f3512768eb64506232e1a5f03a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2f63d15f82780aba6c121dd434b433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F91CD-1943-4BCF-B4D2-BAD21F4C4B65}">
  <ds:schemaRefs>
    <ds:schemaRef ds:uri="Microsoft.SharePoint.Taxonomy.ContentTypeSync"/>
  </ds:schemaRefs>
</ds:datastoreItem>
</file>

<file path=customXml/itemProps2.xml><?xml version="1.0" encoding="utf-8"?>
<ds:datastoreItem xmlns:ds="http://schemas.openxmlformats.org/officeDocument/2006/customXml" ds:itemID="{C0EA9015-E035-4AE7-ADC0-66F27A026839}">
  <ds:schemaRefs>
    <ds:schemaRef ds:uri="http://schemas.microsoft.com/office/2006/metadata/customXsn"/>
  </ds:schemaRefs>
</ds:datastoreItem>
</file>

<file path=customXml/itemProps3.xml><?xml version="1.0" encoding="utf-8"?>
<ds:datastoreItem xmlns:ds="http://schemas.openxmlformats.org/officeDocument/2006/customXml" ds:itemID="{100E1AE7-A9C8-4668-82B7-BD92CBDFC132}">
  <ds:schemaRefs>
    <ds:schemaRef ds:uri="http://schemas.microsoft.com/sharepoint/events"/>
  </ds:schemaRefs>
</ds:datastoreItem>
</file>

<file path=customXml/itemProps4.xml><?xml version="1.0" encoding="utf-8"?>
<ds:datastoreItem xmlns:ds="http://schemas.openxmlformats.org/officeDocument/2006/customXml" ds:itemID="{C4506C04-DC7F-4B78-85E8-86E751921E75}">
  <ds:schemaRefs>
    <ds:schemaRef ds:uri="http://schemas.microsoft.com/sharepoint/v3/contenttype/forms"/>
  </ds:schemaRefs>
</ds:datastoreItem>
</file>

<file path=customXml/itemProps5.xml><?xml version="1.0" encoding="utf-8"?>
<ds:datastoreItem xmlns:ds="http://schemas.openxmlformats.org/officeDocument/2006/customXml" ds:itemID="{6FC978D8-96FF-4B7B-8AE0-2C47D37C5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DAB147-FF29-4EAA-A728-B02B677B4FB0}">
  <ds:schemaRefs>
    <ds:schemaRef ds:uri="http://purl.org/dc/elements/1.1/"/>
    <ds:schemaRef ds:uri="http://purl.org/dc/dcmitype/"/>
    <ds:schemaRef ds:uri="3f4bcce7-ac1a-4c9d-aa3e-7e77695652db"/>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044c801-d84b-4ee1-a77e-678f8dcdee17"/>
    <ds:schemaRef ds:uri="http://schemas.microsoft.com/office/2006/metadata/properties"/>
    <ds:schemaRef ds:uri="http://purl.org/dc/terms/"/>
  </ds:schemaRefs>
</ds:datastoreItem>
</file>

<file path=customXml/itemProps7.xml><?xml version="1.0" encoding="utf-8"?>
<ds:datastoreItem xmlns:ds="http://schemas.openxmlformats.org/officeDocument/2006/customXml" ds:itemID="{E81CF6E9-83B3-4DAA-B151-D6474DFC0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DR83 - AXIS Financial Group - Superannuation Competitiveness and Efficiency - Commissioned study</vt:lpstr>
    </vt:vector>
  </TitlesOfParts>
  <Company>AXIS Financial Group</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DR83 - AXIS Financial Group - Superannuation Competitiveness and Efficiency - Commissioned study</dc:title>
  <dc:creator>AXIS Financial Group</dc:creator>
  <cp:keywords/>
  <cp:lastModifiedBy>Productivity Commission</cp:lastModifiedBy>
  <cp:revision>5</cp:revision>
  <cp:lastPrinted>2016-07-14T09:43:00Z</cp:lastPrinted>
  <dcterms:created xsi:type="dcterms:W3CDTF">2016-09-09T07:44:00Z</dcterms:created>
  <dcterms:modified xsi:type="dcterms:W3CDTF">2016-09-15T04:55:00Z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