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9EF" w:rsidRDefault="00E539EF" w:rsidP="006232FE">
      <w:pPr>
        <w:pStyle w:val="NoSpacing1"/>
        <w:spacing w:after="120"/>
        <w:jc w:val="center"/>
        <w:rPr>
          <w:b/>
          <w:sz w:val="36"/>
          <w:szCs w:val="36"/>
        </w:rPr>
      </w:pPr>
      <w:bookmarkStart w:id="0" w:name="_GoBack"/>
      <w:bookmarkEnd w:id="0"/>
    </w:p>
    <w:p w:rsidR="00E539EF" w:rsidRDefault="00E539EF" w:rsidP="006232FE">
      <w:pPr>
        <w:pStyle w:val="NoSpacing1"/>
        <w:spacing w:after="120"/>
        <w:jc w:val="center"/>
        <w:rPr>
          <w:b/>
          <w:sz w:val="36"/>
          <w:szCs w:val="36"/>
        </w:rPr>
      </w:pPr>
    </w:p>
    <w:p w:rsidR="00E539EF" w:rsidRDefault="00E539EF" w:rsidP="006232FE">
      <w:pPr>
        <w:pStyle w:val="NoSpacing1"/>
        <w:spacing w:after="120"/>
        <w:jc w:val="center"/>
        <w:rPr>
          <w:b/>
          <w:sz w:val="36"/>
          <w:szCs w:val="36"/>
        </w:rPr>
      </w:pPr>
    </w:p>
    <w:p w:rsidR="00E539EF" w:rsidRDefault="00E539EF" w:rsidP="006232FE">
      <w:pPr>
        <w:pStyle w:val="NoSpacing1"/>
        <w:spacing w:after="120"/>
        <w:jc w:val="center"/>
        <w:rPr>
          <w:b/>
          <w:sz w:val="36"/>
          <w:szCs w:val="36"/>
        </w:rPr>
      </w:pPr>
    </w:p>
    <w:p w:rsidR="00E539EF" w:rsidRDefault="00E539EF" w:rsidP="006232FE">
      <w:pPr>
        <w:pStyle w:val="NoSpacing1"/>
        <w:spacing w:after="120"/>
        <w:jc w:val="center"/>
        <w:rPr>
          <w:b/>
          <w:sz w:val="36"/>
          <w:szCs w:val="36"/>
        </w:rPr>
      </w:pPr>
    </w:p>
    <w:p w:rsidR="00E539EF" w:rsidRDefault="00E539EF" w:rsidP="006232FE">
      <w:pPr>
        <w:pStyle w:val="NoSpacing1"/>
        <w:spacing w:after="120"/>
        <w:jc w:val="center"/>
        <w:rPr>
          <w:b/>
          <w:sz w:val="36"/>
          <w:szCs w:val="36"/>
        </w:rPr>
      </w:pPr>
    </w:p>
    <w:p w:rsidR="00E539EF" w:rsidRDefault="00E539EF" w:rsidP="006232FE">
      <w:pPr>
        <w:pStyle w:val="NoSpacing1"/>
        <w:spacing w:after="120"/>
        <w:jc w:val="center"/>
        <w:rPr>
          <w:b/>
          <w:sz w:val="36"/>
          <w:szCs w:val="36"/>
        </w:rPr>
      </w:pPr>
    </w:p>
    <w:p w:rsidR="00E539EF" w:rsidRPr="00877E16" w:rsidRDefault="00E539EF" w:rsidP="006232FE">
      <w:pPr>
        <w:pStyle w:val="NoSpacing1"/>
        <w:spacing w:after="120"/>
        <w:jc w:val="center"/>
        <w:rPr>
          <w:b/>
          <w:sz w:val="44"/>
          <w:szCs w:val="36"/>
        </w:rPr>
      </w:pPr>
      <w:r w:rsidRPr="00877E16">
        <w:rPr>
          <w:b/>
          <w:sz w:val="44"/>
          <w:szCs w:val="36"/>
        </w:rPr>
        <w:t xml:space="preserve">Tasmanian </w:t>
      </w:r>
      <w:proofErr w:type="spellStart"/>
      <w:r w:rsidRPr="00877E16">
        <w:rPr>
          <w:b/>
          <w:sz w:val="44"/>
          <w:szCs w:val="36"/>
        </w:rPr>
        <w:t>Salmonid</w:t>
      </w:r>
      <w:proofErr w:type="spellEnd"/>
      <w:r w:rsidRPr="00877E16">
        <w:rPr>
          <w:b/>
          <w:sz w:val="44"/>
          <w:szCs w:val="36"/>
        </w:rPr>
        <w:t xml:space="preserve"> Growers Association </w:t>
      </w:r>
    </w:p>
    <w:p w:rsidR="00E539EF" w:rsidRDefault="003E1C6F" w:rsidP="006232FE">
      <w:pPr>
        <w:pStyle w:val="NoSpacing1"/>
        <w:spacing w:after="120"/>
        <w:jc w:val="center"/>
        <w:rPr>
          <w:b/>
          <w:sz w:val="44"/>
          <w:szCs w:val="36"/>
        </w:rPr>
      </w:pPr>
      <w:r>
        <w:rPr>
          <w:b/>
          <w:sz w:val="44"/>
          <w:szCs w:val="36"/>
        </w:rPr>
        <w:t>Response</w:t>
      </w:r>
      <w:r w:rsidR="00E539EF">
        <w:rPr>
          <w:b/>
          <w:sz w:val="44"/>
          <w:szCs w:val="36"/>
        </w:rPr>
        <w:t xml:space="preserve"> to the </w:t>
      </w:r>
    </w:p>
    <w:p w:rsidR="00E539EF" w:rsidRPr="00E539EF" w:rsidRDefault="00E539EF" w:rsidP="006232FE">
      <w:pPr>
        <w:pStyle w:val="NoSpacing1"/>
        <w:spacing w:after="120"/>
        <w:jc w:val="center"/>
        <w:rPr>
          <w:b/>
          <w:i/>
          <w:sz w:val="44"/>
          <w:szCs w:val="36"/>
        </w:rPr>
      </w:pPr>
      <w:r w:rsidRPr="00E539EF">
        <w:rPr>
          <w:b/>
          <w:i/>
          <w:sz w:val="44"/>
          <w:szCs w:val="36"/>
        </w:rPr>
        <w:t xml:space="preserve">Marine Fisheries and Aquaculture Productivity Commission </w:t>
      </w:r>
      <w:r w:rsidR="00924247">
        <w:rPr>
          <w:b/>
          <w:i/>
          <w:sz w:val="44"/>
          <w:szCs w:val="36"/>
        </w:rPr>
        <w:t>Draft Report</w:t>
      </w:r>
      <w:r w:rsidRPr="00E539EF">
        <w:rPr>
          <w:b/>
          <w:i/>
          <w:sz w:val="44"/>
          <w:szCs w:val="36"/>
        </w:rPr>
        <w:t>,</w:t>
      </w:r>
      <w:r w:rsidR="003E1C6F">
        <w:rPr>
          <w:b/>
          <w:i/>
          <w:sz w:val="44"/>
          <w:szCs w:val="36"/>
        </w:rPr>
        <w:t xml:space="preserve"> August</w:t>
      </w:r>
      <w:r w:rsidRPr="00E539EF">
        <w:rPr>
          <w:b/>
          <w:i/>
          <w:sz w:val="44"/>
          <w:szCs w:val="36"/>
        </w:rPr>
        <w:t xml:space="preserve"> 2016</w:t>
      </w:r>
    </w:p>
    <w:p w:rsidR="00E539EF" w:rsidRDefault="00E539EF" w:rsidP="006232FE">
      <w:pPr>
        <w:pStyle w:val="NoSpacing1"/>
        <w:spacing w:after="120"/>
        <w:jc w:val="center"/>
        <w:rPr>
          <w:b/>
          <w:sz w:val="36"/>
          <w:szCs w:val="36"/>
        </w:rPr>
      </w:pPr>
    </w:p>
    <w:p w:rsidR="00E539EF" w:rsidRDefault="00E539EF" w:rsidP="006232FE">
      <w:pPr>
        <w:pStyle w:val="NoSpacing1"/>
        <w:spacing w:after="120"/>
        <w:jc w:val="center"/>
        <w:rPr>
          <w:b/>
          <w:sz w:val="36"/>
          <w:szCs w:val="36"/>
        </w:rPr>
      </w:pPr>
    </w:p>
    <w:p w:rsidR="00E539EF" w:rsidRDefault="00E539EF" w:rsidP="006232FE">
      <w:pPr>
        <w:pStyle w:val="NoSpacing1"/>
        <w:spacing w:after="120"/>
        <w:jc w:val="center"/>
        <w:rPr>
          <w:b/>
          <w:sz w:val="36"/>
          <w:szCs w:val="36"/>
        </w:rPr>
      </w:pPr>
    </w:p>
    <w:p w:rsidR="00E539EF" w:rsidRPr="00AC24B4" w:rsidRDefault="00E539EF" w:rsidP="006232FE">
      <w:pPr>
        <w:pStyle w:val="NoSpacing1"/>
        <w:spacing w:after="120"/>
        <w:jc w:val="center"/>
        <w:rPr>
          <w:b/>
          <w:sz w:val="36"/>
          <w:szCs w:val="36"/>
        </w:rPr>
      </w:pPr>
    </w:p>
    <w:p w:rsidR="00E539EF" w:rsidRDefault="00E539EF" w:rsidP="006232FE">
      <w:pPr>
        <w:spacing w:after="120" w:line="240" w:lineRule="auto"/>
        <w:jc w:val="center"/>
        <w:rPr>
          <w:sz w:val="36"/>
          <w:szCs w:val="36"/>
        </w:rPr>
      </w:pPr>
      <w:r>
        <w:rPr>
          <w:noProof/>
          <w:lang w:val="en-AU" w:eastAsia="en-AU"/>
        </w:rPr>
        <w:drawing>
          <wp:inline distT="0" distB="0" distL="0" distR="0">
            <wp:extent cx="1276985" cy="1630680"/>
            <wp:effectExtent l="19050" t="0" r="0" b="0"/>
            <wp:docPr id="1" name="Picture 5" descr="TSGA Logo Colour LOW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SGA Logo Colour LOW QUALITY"/>
                    <pic:cNvPicPr>
                      <a:picLocks noChangeAspect="1" noChangeArrowheads="1"/>
                    </pic:cNvPicPr>
                  </pic:nvPicPr>
                  <pic:blipFill>
                    <a:blip r:embed="rId8" cstate="print"/>
                    <a:srcRect/>
                    <a:stretch>
                      <a:fillRect/>
                    </a:stretch>
                  </pic:blipFill>
                  <pic:spPr bwMode="auto">
                    <a:xfrm>
                      <a:off x="0" y="0"/>
                      <a:ext cx="1276985" cy="1630680"/>
                    </a:xfrm>
                    <a:prstGeom prst="rect">
                      <a:avLst/>
                    </a:prstGeom>
                    <a:noFill/>
                    <a:ln w="9525">
                      <a:noFill/>
                      <a:miter lim="800000"/>
                      <a:headEnd/>
                      <a:tailEnd/>
                    </a:ln>
                  </pic:spPr>
                </pic:pic>
              </a:graphicData>
            </a:graphic>
          </wp:inline>
        </w:drawing>
      </w:r>
    </w:p>
    <w:p w:rsidR="00E539EF" w:rsidRDefault="00E539EF" w:rsidP="006232FE">
      <w:pPr>
        <w:spacing w:after="120" w:line="240" w:lineRule="auto"/>
      </w:pPr>
    </w:p>
    <w:p w:rsidR="00E539EF" w:rsidRDefault="00E539EF" w:rsidP="006232FE">
      <w:pPr>
        <w:spacing w:after="120" w:line="240" w:lineRule="auto"/>
        <w:sectPr w:rsidR="00E539EF" w:rsidSect="006232FE">
          <w:headerReference w:type="default" r:id="rId9"/>
          <w:footerReference w:type="default" r:id="rId10"/>
          <w:pgSz w:w="11906" w:h="16838" w:code="9"/>
          <w:pgMar w:top="1440" w:right="1440" w:bottom="1440" w:left="1440" w:header="709" w:footer="709" w:gutter="0"/>
          <w:cols w:space="708"/>
          <w:titlePg/>
          <w:docGrid w:linePitch="360"/>
        </w:sectPr>
      </w:pPr>
    </w:p>
    <w:p w:rsidR="00E539EF" w:rsidRPr="00A41F64" w:rsidRDefault="00E539EF" w:rsidP="006232FE">
      <w:pPr>
        <w:spacing w:after="120" w:line="240" w:lineRule="auto"/>
      </w:pPr>
    </w:p>
    <w:p w:rsidR="00E539EF" w:rsidRPr="00A41F64" w:rsidRDefault="00E539EF" w:rsidP="006232FE">
      <w:pPr>
        <w:spacing w:after="120" w:line="240" w:lineRule="auto"/>
      </w:pPr>
    </w:p>
    <w:p w:rsidR="00E539EF" w:rsidRPr="00A41F64" w:rsidRDefault="00E539EF" w:rsidP="006232FE">
      <w:pPr>
        <w:spacing w:after="120" w:line="240" w:lineRule="auto"/>
      </w:pPr>
    </w:p>
    <w:p w:rsidR="00E539EF" w:rsidRPr="00A41F64" w:rsidRDefault="00E539EF" w:rsidP="006232FE">
      <w:pPr>
        <w:spacing w:after="120" w:line="240" w:lineRule="auto"/>
      </w:pPr>
    </w:p>
    <w:p w:rsidR="00E539EF" w:rsidRPr="00A41F64" w:rsidRDefault="00E539EF" w:rsidP="006232FE">
      <w:pPr>
        <w:spacing w:after="120" w:line="240" w:lineRule="auto"/>
      </w:pPr>
    </w:p>
    <w:p w:rsidR="00E539EF" w:rsidRPr="00A41F64" w:rsidRDefault="00E539EF" w:rsidP="006232FE">
      <w:pPr>
        <w:spacing w:after="120" w:line="240" w:lineRule="auto"/>
      </w:pPr>
    </w:p>
    <w:p w:rsidR="00E539EF" w:rsidRPr="00A41F64" w:rsidRDefault="00E539EF" w:rsidP="006232FE">
      <w:pPr>
        <w:spacing w:after="120" w:line="240" w:lineRule="auto"/>
      </w:pPr>
    </w:p>
    <w:p w:rsidR="00E539EF" w:rsidRPr="00A41F64" w:rsidRDefault="00E539EF" w:rsidP="006232FE">
      <w:pPr>
        <w:spacing w:after="120" w:line="240" w:lineRule="auto"/>
      </w:pPr>
    </w:p>
    <w:p w:rsidR="00E539EF" w:rsidRPr="00A41F64" w:rsidRDefault="00E539EF" w:rsidP="006232FE">
      <w:pPr>
        <w:spacing w:after="120" w:line="240" w:lineRule="auto"/>
      </w:pPr>
    </w:p>
    <w:p w:rsidR="00E539EF" w:rsidRPr="00A41F64" w:rsidRDefault="00E539EF" w:rsidP="006232FE">
      <w:pPr>
        <w:spacing w:after="120" w:line="240" w:lineRule="auto"/>
      </w:pPr>
    </w:p>
    <w:p w:rsidR="00E539EF" w:rsidRPr="00A41F64" w:rsidRDefault="00E539EF" w:rsidP="006232FE">
      <w:pPr>
        <w:spacing w:after="120" w:line="240" w:lineRule="auto"/>
      </w:pPr>
    </w:p>
    <w:p w:rsidR="00E539EF" w:rsidRDefault="00E539EF" w:rsidP="006232FE">
      <w:pPr>
        <w:spacing w:after="120" w:line="240" w:lineRule="auto"/>
      </w:pPr>
    </w:p>
    <w:p w:rsidR="00E539EF" w:rsidRDefault="00E539EF" w:rsidP="006232FE">
      <w:pPr>
        <w:spacing w:after="120" w:line="240" w:lineRule="auto"/>
      </w:pPr>
    </w:p>
    <w:p w:rsidR="00E539EF" w:rsidRPr="00A41F64" w:rsidRDefault="00E539EF" w:rsidP="006232FE">
      <w:pPr>
        <w:spacing w:after="120" w:line="240" w:lineRule="auto"/>
      </w:pPr>
    </w:p>
    <w:p w:rsidR="00E539EF" w:rsidRPr="00A41F64" w:rsidRDefault="00E539EF" w:rsidP="006232FE">
      <w:pPr>
        <w:spacing w:after="120" w:line="240" w:lineRule="auto"/>
      </w:pPr>
    </w:p>
    <w:p w:rsidR="00E539EF" w:rsidRPr="00A41F64" w:rsidRDefault="00E539EF" w:rsidP="006232FE">
      <w:pPr>
        <w:spacing w:after="120" w:line="240" w:lineRule="auto"/>
      </w:pPr>
    </w:p>
    <w:tbl>
      <w:tblPr>
        <w:tblW w:w="0" w:type="auto"/>
        <w:tblLook w:val="01E0" w:firstRow="1" w:lastRow="1" w:firstColumn="1" w:lastColumn="1" w:noHBand="0" w:noVBand="0"/>
      </w:tblPr>
      <w:tblGrid>
        <w:gridCol w:w="5114"/>
        <w:gridCol w:w="4128"/>
      </w:tblGrid>
      <w:tr w:rsidR="00E539EF" w:rsidRPr="000656D2" w:rsidTr="006232FE">
        <w:tc>
          <w:tcPr>
            <w:tcW w:w="5114" w:type="dxa"/>
          </w:tcPr>
          <w:p w:rsidR="00E539EF" w:rsidRPr="000656D2" w:rsidRDefault="00E539EF" w:rsidP="006232FE">
            <w:pPr>
              <w:spacing w:after="120" w:line="240" w:lineRule="auto"/>
            </w:pPr>
          </w:p>
          <w:p w:rsidR="00E539EF" w:rsidRPr="000656D2" w:rsidRDefault="00E539EF" w:rsidP="006232FE">
            <w:pPr>
              <w:spacing w:after="120" w:line="240" w:lineRule="auto"/>
            </w:pPr>
            <w:r w:rsidRPr="000656D2">
              <w:t xml:space="preserve">Copyright </w:t>
            </w:r>
            <w:r w:rsidRPr="000656D2">
              <w:rPr>
                <w:vertAlign w:val="superscript"/>
              </w:rPr>
              <w:t>©</w:t>
            </w:r>
            <w:r w:rsidRPr="000656D2">
              <w:t xml:space="preserve"> 201</w:t>
            </w:r>
            <w:r>
              <w:t>6</w:t>
            </w:r>
            <w:r w:rsidRPr="000656D2">
              <w:br/>
              <w:t xml:space="preserve">Tasmanian </w:t>
            </w:r>
            <w:proofErr w:type="spellStart"/>
            <w:r w:rsidRPr="000656D2">
              <w:t>Salmonid</w:t>
            </w:r>
            <w:proofErr w:type="spellEnd"/>
            <w:r w:rsidRPr="000656D2">
              <w:t xml:space="preserve"> Growers Association</w:t>
            </w:r>
          </w:p>
          <w:p w:rsidR="00E539EF" w:rsidRPr="000656D2" w:rsidRDefault="00E539EF" w:rsidP="006232FE">
            <w:pPr>
              <w:spacing w:after="120" w:line="240" w:lineRule="auto"/>
            </w:pPr>
            <w:r w:rsidRPr="000656D2">
              <w:t>Reproduction or translation of any part of this work is subject to Australian Copyright Law</w:t>
            </w:r>
            <w:r w:rsidRPr="000656D2">
              <w:br/>
              <w:t xml:space="preserve">and is not allowed without the permission of the copyright owner.  Requests for permission or further information should be addressed to the Tasmanian </w:t>
            </w:r>
            <w:proofErr w:type="spellStart"/>
            <w:r w:rsidRPr="000656D2">
              <w:t>Salmonid</w:t>
            </w:r>
            <w:proofErr w:type="spellEnd"/>
            <w:r w:rsidRPr="000656D2">
              <w:t xml:space="preserve"> Growers Association.</w:t>
            </w:r>
          </w:p>
        </w:tc>
        <w:tc>
          <w:tcPr>
            <w:tcW w:w="4128" w:type="dxa"/>
            <w:vAlign w:val="bottom"/>
          </w:tcPr>
          <w:p w:rsidR="00E539EF" w:rsidRPr="000656D2" w:rsidRDefault="00E539EF" w:rsidP="006232FE">
            <w:pPr>
              <w:spacing w:after="120" w:line="240" w:lineRule="auto"/>
              <w:ind w:left="720"/>
            </w:pPr>
            <w:proofErr w:type="spellStart"/>
            <w:r w:rsidRPr="000656D2">
              <w:rPr>
                <w:lang w:val="en-US"/>
              </w:rPr>
              <w:t>TSGA</w:t>
            </w:r>
            <w:proofErr w:type="spellEnd"/>
          </w:p>
          <w:p w:rsidR="00E539EF" w:rsidRPr="000656D2" w:rsidRDefault="00E539EF" w:rsidP="006232FE">
            <w:pPr>
              <w:spacing w:after="120" w:line="240" w:lineRule="auto"/>
              <w:ind w:left="720"/>
            </w:pPr>
            <w:r w:rsidRPr="000656D2">
              <w:t>PO Box 321</w:t>
            </w:r>
          </w:p>
          <w:p w:rsidR="00E539EF" w:rsidRPr="000656D2" w:rsidRDefault="003E1C6F" w:rsidP="006232FE">
            <w:pPr>
              <w:spacing w:after="120" w:line="240" w:lineRule="auto"/>
              <w:ind w:left="720"/>
            </w:pPr>
            <w:r>
              <w:t>Sandy Bay,</w:t>
            </w:r>
            <w:r w:rsidR="00E539EF" w:rsidRPr="000656D2">
              <w:t xml:space="preserve"> Tasmania  7006</w:t>
            </w:r>
          </w:p>
          <w:p w:rsidR="00E539EF" w:rsidRPr="000656D2" w:rsidRDefault="00E539EF" w:rsidP="006232FE">
            <w:pPr>
              <w:spacing w:after="120" w:line="240" w:lineRule="auto"/>
              <w:ind w:left="720"/>
            </w:pPr>
            <w:r w:rsidRPr="000656D2">
              <w:t>AUSTRALIA</w:t>
            </w:r>
          </w:p>
          <w:p w:rsidR="00E539EF" w:rsidRPr="000656D2" w:rsidRDefault="00E539EF" w:rsidP="006232FE">
            <w:pPr>
              <w:spacing w:after="120" w:line="240" w:lineRule="auto"/>
              <w:ind w:left="720"/>
            </w:pPr>
            <w:r w:rsidRPr="000656D2">
              <w:t>Telephone</w:t>
            </w:r>
            <w:r w:rsidRPr="000656D2">
              <w:tab/>
              <w:t>(03) 6214 0550</w:t>
            </w:r>
          </w:p>
          <w:p w:rsidR="00E539EF" w:rsidRPr="000656D2" w:rsidRDefault="008362F2" w:rsidP="006232FE">
            <w:pPr>
              <w:spacing w:after="120" w:line="240" w:lineRule="auto"/>
              <w:ind w:left="720"/>
              <w:rPr>
                <w:szCs w:val="24"/>
              </w:rPr>
            </w:pPr>
            <w:hyperlink r:id="rId11" w:history="1">
              <w:proofErr w:type="spellStart"/>
              <w:r w:rsidR="00E539EF" w:rsidRPr="000656D2">
                <w:rPr>
                  <w:rStyle w:val="Hyperlink"/>
                </w:rPr>
                <w:t>www.tsga.com.au</w:t>
              </w:r>
              <w:proofErr w:type="spellEnd"/>
            </w:hyperlink>
          </w:p>
        </w:tc>
      </w:tr>
    </w:tbl>
    <w:p w:rsidR="00E539EF" w:rsidRDefault="00E539EF" w:rsidP="006232FE">
      <w:pPr>
        <w:spacing w:after="120" w:line="240" w:lineRule="auto"/>
      </w:pPr>
    </w:p>
    <w:p w:rsidR="00E539EF" w:rsidRDefault="00E539EF" w:rsidP="006232FE">
      <w:pPr>
        <w:spacing w:after="120" w:line="240" w:lineRule="auto"/>
        <w:rPr>
          <w:rFonts w:cs="Minion Pro"/>
          <w:color w:val="000000"/>
          <w:sz w:val="24"/>
          <w:szCs w:val="24"/>
        </w:rPr>
      </w:pPr>
      <w:r>
        <w:br w:type="page"/>
      </w:r>
    </w:p>
    <w:p w:rsidR="00E539EF" w:rsidRPr="0010141F" w:rsidRDefault="00E539EF" w:rsidP="006232FE">
      <w:pPr>
        <w:pStyle w:val="Default"/>
        <w:spacing w:after="120"/>
        <w:rPr>
          <w:rFonts w:asciiTheme="minorHAnsi" w:hAnsiTheme="minorHAnsi"/>
        </w:rPr>
      </w:pPr>
    </w:p>
    <w:p w:rsidR="00E539EF" w:rsidRPr="0010141F" w:rsidRDefault="00E539EF" w:rsidP="006232FE">
      <w:pPr>
        <w:pStyle w:val="Pa2"/>
        <w:spacing w:after="120" w:line="240" w:lineRule="auto"/>
        <w:rPr>
          <w:rFonts w:asciiTheme="minorHAnsi" w:hAnsiTheme="minorHAnsi" w:cs="Minion Pro"/>
          <w:b/>
          <w:color w:val="538135" w:themeColor="accent6" w:themeShade="BF"/>
        </w:rPr>
      </w:pPr>
      <w:proofErr w:type="spellStart"/>
      <w:r w:rsidRPr="0010141F">
        <w:rPr>
          <w:rFonts w:asciiTheme="minorHAnsi" w:hAnsiTheme="minorHAnsi" w:cs="Minion Pro"/>
          <w:b/>
          <w:color w:val="538135" w:themeColor="accent6" w:themeShade="BF"/>
        </w:rPr>
        <w:t>TSGA</w:t>
      </w:r>
      <w:proofErr w:type="spellEnd"/>
      <w:r w:rsidRPr="0010141F">
        <w:rPr>
          <w:rFonts w:asciiTheme="minorHAnsi" w:hAnsiTheme="minorHAnsi" w:cs="Minion Pro"/>
          <w:b/>
          <w:color w:val="538135" w:themeColor="accent6" w:themeShade="BF"/>
        </w:rPr>
        <w:t xml:space="preserve"> Foreword</w:t>
      </w:r>
    </w:p>
    <w:p w:rsidR="00E539EF" w:rsidRPr="0010141F" w:rsidRDefault="00E539EF" w:rsidP="006232FE">
      <w:pPr>
        <w:pStyle w:val="Pa2"/>
        <w:spacing w:after="120" w:line="240" w:lineRule="auto"/>
        <w:rPr>
          <w:rFonts w:asciiTheme="minorHAnsi" w:hAnsiTheme="minorHAnsi" w:cs="Minion Pro"/>
          <w:b/>
          <w:color w:val="2E74B5" w:themeColor="accent1" w:themeShade="BF"/>
          <w:sz w:val="28"/>
        </w:rPr>
      </w:pPr>
      <w:r w:rsidRPr="0010141F">
        <w:rPr>
          <w:rFonts w:asciiTheme="minorHAnsi" w:hAnsiTheme="minorHAnsi" w:cs="Minion Pro"/>
          <w:b/>
          <w:color w:val="2E74B5" w:themeColor="accent1" w:themeShade="BF"/>
          <w:sz w:val="28"/>
        </w:rPr>
        <w:t>Sustainable aquaculture growth is good for Tasmania</w:t>
      </w:r>
    </w:p>
    <w:p w:rsidR="00E539EF" w:rsidRPr="00474D75" w:rsidRDefault="00E539EF" w:rsidP="006232FE">
      <w:pPr>
        <w:pStyle w:val="Pa2"/>
        <w:spacing w:after="120" w:line="240" w:lineRule="auto"/>
        <w:rPr>
          <w:rFonts w:asciiTheme="minorHAnsi" w:hAnsiTheme="minorHAnsi" w:cs="Minion Pro"/>
          <w:b/>
          <w:i/>
          <w:color w:val="000000"/>
          <w:sz w:val="28"/>
        </w:rPr>
      </w:pPr>
      <w:r w:rsidRPr="00474D75">
        <w:rPr>
          <w:rFonts w:asciiTheme="minorHAnsi" w:hAnsiTheme="minorHAnsi" w:cs="Minion Pro"/>
          <w:b/>
          <w:i/>
          <w:color w:val="000000"/>
          <w:sz w:val="28"/>
        </w:rPr>
        <w:t>National Aquaculture</w:t>
      </w:r>
    </w:p>
    <w:p w:rsidR="00E539EF" w:rsidRPr="00474D75" w:rsidRDefault="00E539EF" w:rsidP="006232FE">
      <w:pPr>
        <w:pStyle w:val="Pa2"/>
        <w:spacing w:after="120" w:line="240" w:lineRule="auto"/>
        <w:rPr>
          <w:rFonts w:asciiTheme="minorHAnsi" w:hAnsiTheme="minorHAnsi" w:cs="Minion Pro"/>
          <w:color w:val="000000"/>
        </w:rPr>
      </w:pPr>
      <w:r w:rsidRPr="00474D75">
        <w:rPr>
          <w:rFonts w:asciiTheme="minorHAnsi" w:hAnsiTheme="minorHAnsi" w:cs="Minion Pro"/>
          <w:color w:val="000000"/>
        </w:rPr>
        <w:t xml:space="preserve">The aquaculture industry is diverse and each sector has different potential environmental impacts of varying degrees of significance. Aquaculture production is subject to an unnecessarily complex array of legislation and </w:t>
      </w:r>
      <w:r w:rsidR="00A232FA">
        <w:rPr>
          <w:rFonts w:asciiTheme="minorHAnsi" w:hAnsiTheme="minorHAnsi" w:cs="Minion Pro"/>
          <w:color w:val="000000"/>
        </w:rPr>
        <w:t xml:space="preserve">managing </w:t>
      </w:r>
      <w:r w:rsidRPr="00474D75">
        <w:rPr>
          <w:rFonts w:asciiTheme="minorHAnsi" w:hAnsiTheme="minorHAnsi" w:cs="Minion Pro"/>
          <w:color w:val="000000"/>
        </w:rPr>
        <w:t>agencies — covering marine and coastal management, environmental management, land use planning, land tenure,</w:t>
      </w:r>
      <w:r w:rsidR="00A232FA">
        <w:rPr>
          <w:rFonts w:asciiTheme="minorHAnsi" w:hAnsiTheme="minorHAnsi" w:cs="Minion Pro"/>
          <w:color w:val="000000"/>
        </w:rPr>
        <w:t xml:space="preserve"> food health and safety,</w:t>
      </w:r>
      <w:r w:rsidRPr="00474D75">
        <w:rPr>
          <w:rFonts w:asciiTheme="minorHAnsi" w:hAnsiTheme="minorHAnsi" w:cs="Minion Pro"/>
          <w:color w:val="000000"/>
        </w:rPr>
        <w:t xml:space="preserve"> quarantine and translocation.</w:t>
      </w:r>
    </w:p>
    <w:p w:rsidR="00E539EF" w:rsidRPr="00474D75" w:rsidRDefault="00E539EF" w:rsidP="006232FE">
      <w:pPr>
        <w:pStyle w:val="Pa2"/>
        <w:spacing w:after="120" w:line="240" w:lineRule="auto"/>
        <w:rPr>
          <w:rFonts w:asciiTheme="minorHAnsi" w:hAnsiTheme="minorHAnsi" w:cs="Minion Pro"/>
          <w:color w:val="000000"/>
        </w:rPr>
      </w:pPr>
      <w:r w:rsidRPr="00474D75">
        <w:rPr>
          <w:rFonts w:asciiTheme="minorHAnsi" w:hAnsiTheme="minorHAnsi" w:cs="Minion Pro"/>
          <w:color w:val="000000"/>
        </w:rPr>
        <w:t>State aquaculture and/or fisheries legislation have multiple objectives and these are not always clearly defined. The objectives may overlap or conflict, and there is often a lack of guidance as to the relative weights to be placed on each objective.</w:t>
      </w:r>
    </w:p>
    <w:p w:rsidR="00E539EF" w:rsidRPr="00474D75" w:rsidRDefault="00E539EF" w:rsidP="006232FE">
      <w:pPr>
        <w:pStyle w:val="Pa2"/>
        <w:spacing w:after="120" w:line="240" w:lineRule="auto"/>
        <w:rPr>
          <w:rFonts w:asciiTheme="minorHAnsi" w:hAnsiTheme="minorHAnsi" w:cs="Minion Pro"/>
          <w:color w:val="000000"/>
        </w:rPr>
      </w:pPr>
      <w:r w:rsidRPr="00474D75">
        <w:rPr>
          <w:rFonts w:asciiTheme="minorHAnsi" w:hAnsiTheme="minorHAnsi" w:cs="Minion Pro"/>
          <w:color w:val="000000"/>
        </w:rPr>
        <w:t>State government departments primarily responsible for aquaculture regulatory arrangements often have potentially conflicting functions of policy development, implementation of regulation, industry promotion and development, and research.</w:t>
      </w:r>
    </w:p>
    <w:p w:rsidR="00E539EF" w:rsidRPr="00474D75" w:rsidRDefault="00E539EF" w:rsidP="006232FE">
      <w:pPr>
        <w:pStyle w:val="Pa2"/>
        <w:spacing w:after="120" w:line="240" w:lineRule="auto"/>
        <w:rPr>
          <w:rFonts w:asciiTheme="minorHAnsi" w:hAnsiTheme="minorHAnsi" w:cs="Minion Pro"/>
          <w:color w:val="000000"/>
        </w:rPr>
      </w:pPr>
      <w:r w:rsidRPr="00474D75">
        <w:rPr>
          <w:rFonts w:asciiTheme="minorHAnsi" w:hAnsiTheme="minorHAnsi" w:cs="Minion Pro"/>
          <w:color w:val="000000"/>
        </w:rPr>
        <w:t>In most jurisdictions, there are complex approval processes. Obtaining required approvals can take significant time. There would appear to be scope to rationalise the number of approvals, coordinate approval processes, and incorporate statutory time</w:t>
      </w:r>
      <w:r w:rsidR="00A232FA">
        <w:rPr>
          <w:rFonts w:asciiTheme="minorHAnsi" w:hAnsiTheme="minorHAnsi" w:cs="Minion Pro"/>
          <w:color w:val="000000"/>
        </w:rPr>
        <w:t xml:space="preserve"> </w:t>
      </w:r>
      <w:r w:rsidRPr="00474D75">
        <w:rPr>
          <w:rFonts w:asciiTheme="minorHAnsi" w:hAnsiTheme="minorHAnsi" w:cs="Minion Pro"/>
          <w:color w:val="000000"/>
        </w:rPr>
        <w:t>frames for assessing approvals.</w:t>
      </w:r>
    </w:p>
    <w:p w:rsidR="00E539EF" w:rsidRPr="00474D75" w:rsidRDefault="00E539EF" w:rsidP="006232FE">
      <w:pPr>
        <w:pStyle w:val="Pa2"/>
        <w:spacing w:after="120" w:line="240" w:lineRule="auto"/>
        <w:rPr>
          <w:rFonts w:asciiTheme="minorHAnsi" w:hAnsiTheme="minorHAnsi" w:cs="Minion Pro"/>
          <w:color w:val="000000"/>
        </w:rPr>
      </w:pPr>
      <w:r w:rsidRPr="00474D75">
        <w:rPr>
          <w:rFonts w:asciiTheme="minorHAnsi" w:hAnsiTheme="minorHAnsi" w:cs="Minion Pro"/>
          <w:color w:val="000000"/>
        </w:rPr>
        <w:t>Increased efficiency and effectiveness of regulatory arrangements for aquaculture could be obtained from greater use of environmental risk assessment based on species, production system, management practices, site location and the condition of the environment. There is potential for greater use of innovative policy instruments to complement (or in some cases replace) existing regulatory and administrative controls.</w:t>
      </w:r>
    </w:p>
    <w:p w:rsidR="00E539EF" w:rsidRPr="00474D75" w:rsidRDefault="00E539EF" w:rsidP="006232FE">
      <w:pPr>
        <w:pStyle w:val="Pa2"/>
        <w:spacing w:after="120" w:line="240" w:lineRule="auto"/>
        <w:rPr>
          <w:rFonts w:asciiTheme="minorHAnsi" w:hAnsiTheme="minorHAnsi" w:cs="Minion Pro"/>
          <w:b/>
          <w:i/>
          <w:color w:val="000000"/>
          <w:sz w:val="28"/>
        </w:rPr>
      </w:pPr>
      <w:proofErr w:type="spellStart"/>
      <w:r w:rsidRPr="00474D75">
        <w:rPr>
          <w:rFonts w:asciiTheme="minorHAnsi" w:hAnsiTheme="minorHAnsi" w:cs="Minion Pro"/>
          <w:b/>
          <w:i/>
          <w:color w:val="000000"/>
          <w:sz w:val="28"/>
        </w:rPr>
        <w:t>Salmonid</w:t>
      </w:r>
      <w:proofErr w:type="spellEnd"/>
      <w:r w:rsidRPr="00474D75">
        <w:rPr>
          <w:rFonts w:asciiTheme="minorHAnsi" w:hAnsiTheme="minorHAnsi" w:cs="Minion Pro"/>
          <w:b/>
          <w:i/>
          <w:color w:val="000000"/>
          <w:sz w:val="28"/>
        </w:rPr>
        <w:t xml:space="preserve"> Aquaculture</w:t>
      </w:r>
    </w:p>
    <w:p w:rsidR="00E539EF" w:rsidRPr="00474D75" w:rsidRDefault="00E539EF" w:rsidP="006232FE">
      <w:pPr>
        <w:pStyle w:val="Pa2"/>
        <w:spacing w:after="120" w:line="240" w:lineRule="auto"/>
        <w:rPr>
          <w:rFonts w:asciiTheme="minorHAnsi" w:hAnsiTheme="minorHAnsi" w:cs="Minion Pro"/>
          <w:color w:val="000000"/>
        </w:rPr>
      </w:pPr>
      <w:r w:rsidRPr="00474D75">
        <w:rPr>
          <w:rFonts w:asciiTheme="minorHAnsi" w:hAnsiTheme="minorHAnsi" w:cs="Minion Pro"/>
          <w:color w:val="000000"/>
        </w:rPr>
        <w:t xml:space="preserve">Tasmania’s primary industries are the engine room of our economy. Of all the primary industries, </w:t>
      </w:r>
      <w:proofErr w:type="spellStart"/>
      <w:r w:rsidRPr="00474D75">
        <w:rPr>
          <w:rFonts w:asciiTheme="minorHAnsi" w:hAnsiTheme="minorHAnsi" w:cs="Minion Pro"/>
          <w:color w:val="000000"/>
        </w:rPr>
        <w:t>salmonid</w:t>
      </w:r>
      <w:proofErr w:type="spellEnd"/>
      <w:r w:rsidRPr="00474D75">
        <w:rPr>
          <w:rFonts w:asciiTheme="minorHAnsi" w:hAnsiTheme="minorHAnsi" w:cs="Minion Pro"/>
          <w:color w:val="000000"/>
        </w:rPr>
        <w:t xml:space="preserve"> (Atlantic salmon and Ocean trout) aquaculture has the potential to significantly power our state’s economic growth. We need to enable primary industry growth underpinned by strong environmental performance and strong capacity for delivering research priorities. </w:t>
      </w:r>
    </w:p>
    <w:p w:rsidR="00E539EF" w:rsidRPr="00474D75" w:rsidRDefault="00E539EF" w:rsidP="006232FE">
      <w:pPr>
        <w:pStyle w:val="Pa2"/>
        <w:spacing w:after="120" w:line="240" w:lineRule="auto"/>
        <w:rPr>
          <w:rFonts w:asciiTheme="minorHAnsi" w:hAnsiTheme="minorHAnsi" w:cs="Minion Pro"/>
          <w:color w:val="000000"/>
        </w:rPr>
      </w:pPr>
      <w:r w:rsidRPr="00474D75">
        <w:rPr>
          <w:rFonts w:asciiTheme="minorHAnsi" w:hAnsiTheme="minorHAnsi" w:cs="Minion Pro"/>
          <w:color w:val="000000"/>
        </w:rPr>
        <w:t xml:space="preserve">Within an international market characterised by strong demand for safe and sustainable seafood products, the </w:t>
      </w:r>
      <w:proofErr w:type="spellStart"/>
      <w:r w:rsidRPr="00474D75">
        <w:rPr>
          <w:rFonts w:asciiTheme="minorHAnsi" w:hAnsiTheme="minorHAnsi" w:cs="Minion Pro"/>
          <w:color w:val="000000"/>
        </w:rPr>
        <w:t>salmonid</w:t>
      </w:r>
      <w:proofErr w:type="spellEnd"/>
      <w:r w:rsidRPr="00474D75">
        <w:rPr>
          <w:rFonts w:asciiTheme="minorHAnsi" w:hAnsiTheme="minorHAnsi" w:cs="Minion Pro"/>
          <w:color w:val="000000"/>
        </w:rPr>
        <w:t xml:space="preserve"> aquaculture sector has significant growth opportunities. This growth has to be industry-led and the industry’s opportunities and aspirations are reflected in increasing annual sales to $1 billion in value by 2030. The aquaculture industry has established a strategy to deliver that growth. </w:t>
      </w:r>
    </w:p>
    <w:p w:rsidR="00E539EF" w:rsidRPr="00474D75" w:rsidRDefault="00E539EF" w:rsidP="006232FE">
      <w:pPr>
        <w:pStyle w:val="Pa2"/>
        <w:spacing w:after="120" w:line="240" w:lineRule="auto"/>
        <w:rPr>
          <w:rFonts w:asciiTheme="minorHAnsi" w:hAnsiTheme="minorHAnsi" w:cs="Minion Pro"/>
          <w:color w:val="000000"/>
        </w:rPr>
      </w:pPr>
      <w:r w:rsidRPr="00474D75">
        <w:rPr>
          <w:rFonts w:asciiTheme="minorHAnsi" w:hAnsiTheme="minorHAnsi" w:cs="Minion Pro"/>
          <w:color w:val="000000"/>
        </w:rPr>
        <w:t>The foundations for growth are already in place. Our aquaculture production is free of many of the issues facing international producers and our environmental and food safety credentials are second to none. Australia has good trading conditions and trade agreements with key and emerging markets. Within these markets, we can leverage off our clean green reputation; world-leading environmental, food safety, animal health and welfare standards; and biosecurity management to secure premiums and market share.</w:t>
      </w:r>
    </w:p>
    <w:p w:rsidR="00E539EF" w:rsidRPr="00474D75" w:rsidRDefault="00E539EF" w:rsidP="006232FE">
      <w:pPr>
        <w:pStyle w:val="Pa2"/>
        <w:spacing w:after="120" w:line="240" w:lineRule="auto"/>
        <w:rPr>
          <w:rFonts w:asciiTheme="minorHAnsi" w:hAnsiTheme="minorHAnsi" w:cs="Minion Pro"/>
          <w:color w:val="000000"/>
        </w:rPr>
      </w:pPr>
      <w:r w:rsidRPr="00474D75">
        <w:rPr>
          <w:rFonts w:asciiTheme="minorHAnsi" w:hAnsiTheme="minorHAnsi" w:cs="Minion Pro"/>
          <w:color w:val="000000"/>
        </w:rPr>
        <w:lastRenderedPageBreak/>
        <w:t>While the foundations for growth are strong, the sector faces particular challenges and has unique characteristics that distinguish it from other primary producers and necessitate a specific Government strategy and action plan. The bulk of aquaculture production comes from the use of public water space, which can only occur in a planning and allocation framework that balances and respects other uses</w:t>
      </w:r>
      <w:r w:rsidR="004842B1">
        <w:rPr>
          <w:rFonts w:asciiTheme="minorHAnsi" w:hAnsiTheme="minorHAnsi" w:cs="Minion Pro"/>
          <w:color w:val="000000"/>
        </w:rPr>
        <w:t>/users</w:t>
      </w:r>
      <w:r w:rsidRPr="00474D75">
        <w:rPr>
          <w:rFonts w:asciiTheme="minorHAnsi" w:hAnsiTheme="minorHAnsi" w:cs="Minion Pro"/>
          <w:color w:val="000000"/>
        </w:rPr>
        <w:t xml:space="preserve"> of that space. For this reason, the steps necessary to establish aquaculture operations differ from many other primary producers. </w:t>
      </w:r>
    </w:p>
    <w:p w:rsidR="00E539EF" w:rsidRPr="00474D75" w:rsidRDefault="00E539EF" w:rsidP="006232FE">
      <w:pPr>
        <w:pStyle w:val="Pa3"/>
        <w:spacing w:after="120" w:line="240" w:lineRule="auto"/>
        <w:rPr>
          <w:rFonts w:asciiTheme="minorHAnsi" w:hAnsiTheme="minorHAnsi" w:cs="Minion Pro"/>
          <w:color w:val="000000"/>
        </w:rPr>
      </w:pPr>
      <w:r w:rsidRPr="00474D75">
        <w:rPr>
          <w:rFonts w:asciiTheme="minorHAnsi" w:hAnsiTheme="minorHAnsi" w:cs="Minion Pro"/>
          <w:color w:val="000000"/>
        </w:rPr>
        <w:t xml:space="preserve">Our strategy is to establish a pathway to enable the aquaculture sector to grow, through the development of new farming space, better use of existing space or getting better value from existing production. </w:t>
      </w:r>
    </w:p>
    <w:p w:rsidR="00E539EF" w:rsidRPr="00474D75" w:rsidRDefault="00E539EF" w:rsidP="006232FE">
      <w:pPr>
        <w:pStyle w:val="Pa3"/>
        <w:spacing w:after="120" w:line="240" w:lineRule="auto"/>
        <w:rPr>
          <w:rFonts w:asciiTheme="minorHAnsi" w:hAnsiTheme="minorHAnsi" w:cs="Minion Pro"/>
          <w:color w:val="000000"/>
        </w:rPr>
      </w:pPr>
      <w:r w:rsidRPr="00474D75">
        <w:rPr>
          <w:rFonts w:asciiTheme="minorHAnsi" w:hAnsiTheme="minorHAnsi" w:cs="Minion Pro"/>
          <w:color w:val="000000"/>
        </w:rPr>
        <w:t>We require a Government that will:</w:t>
      </w:r>
    </w:p>
    <w:p w:rsidR="00E539EF" w:rsidRPr="00474D75" w:rsidRDefault="00E539EF" w:rsidP="006232FE">
      <w:pPr>
        <w:pStyle w:val="Default"/>
        <w:numPr>
          <w:ilvl w:val="0"/>
          <w:numId w:val="14"/>
        </w:numPr>
        <w:spacing w:after="120"/>
        <w:ind w:left="714" w:hanging="357"/>
        <w:rPr>
          <w:rFonts w:asciiTheme="minorHAnsi" w:hAnsiTheme="minorHAnsi"/>
        </w:rPr>
      </w:pPr>
      <w:r w:rsidRPr="00474D75">
        <w:rPr>
          <w:rFonts w:asciiTheme="minorHAnsi" w:hAnsiTheme="minorHAnsi"/>
        </w:rPr>
        <w:t>work with industry and the public to plan for sensible and sustainable future aquaculture growth;</w:t>
      </w:r>
    </w:p>
    <w:p w:rsidR="00E539EF" w:rsidRPr="00474D75" w:rsidRDefault="00E539EF" w:rsidP="006232FE">
      <w:pPr>
        <w:pStyle w:val="Default"/>
        <w:numPr>
          <w:ilvl w:val="0"/>
          <w:numId w:val="14"/>
        </w:numPr>
        <w:spacing w:after="120"/>
        <w:ind w:left="714" w:hanging="357"/>
        <w:rPr>
          <w:rFonts w:asciiTheme="minorHAnsi" w:hAnsiTheme="minorHAnsi"/>
        </w:rPr>
      </w:pPr>
      <w:r w:rsidRPr="00474D75">
        <w:rPr>
          <w:rFonts w:asciiTheme="minorHAnsi" w:hAnsiTheme="minorHAnsi"/>
        </w:rPr>
        <w:t xml:space="preserve">ensure the laws and frameworks governing the establishment and operation of marine and land-based aquaculture are effective and responsive, and enable industry investment; </w:t>
      </w:r>
    </w:p>
    <w:p w:rsidR="00E539EF" w:rsidRPr="00474D75" w:rsidRDefault="00E539EF" w:rsidP="006232FE">
      <w:pPr>
        <w:pStyle w:val="Default"/>
        <w:numPr>
          <w:ilvl w:val="0"/>
          <w:numId w:val="14"/>
        </w:numPr>
        <w:spacing w:after="120"/>
        <w:ind w:left="714" w:hanging="357"/>
        <w:rPr>
          <w:rFonts w:asciiTheme="minorHAnsi" w:hAnsiTheme="minorHAnsi"/>
        </w:rPr>
      </w:pPr>
      <w:r w:rsidRPr="00474D75">
        <w:rPr>
          <w:rFonts w:asciiTheme="minorHAnsi" w:hAnsiTheme="minorHAnsi"/>
        </w:rPr>
        <w:t>build our knowledge of environmental effects and ensure a healthy aquatic environment;</w:t>
      </w:r>
    </w:p>
    <w:p w:rsidR="00E539EF" w:rsidRPr="00474D75" w:rsidRDefault="00E539EF" w:rsidP="006232FE">
      <w:pPr>
        <w:pStyle w:val="Default"/>
        <w:numPr>
          <w:ilvl w:val="0"/>
          <w:numId w:val="14"/>
        </w:numPr>
        <w:spacing w:after="120"/>
        <w:ind w:left="714" w:hanging="357"/>
        <w:rPr>
          <w:rFonts w:asciiTheme="minorHAnsi" w:hAnsiTheme="minorHAnsi"/>
        </w:rPr>
      </w:pPr>
      <w:r w:rsidRPr="00474D75">
        <w:rPr>
          <w:rFonts w:asciiTheme="minorHAnsi" w:hAnsiTheme="minorHAnsi"/>
        </w:rPr>
        <w:t xml:space="preserve">maintain and build our world-leading animal health and welfare, food safety, and biosecurity standards; </w:t>
      </w:r>
    </w:p>
    <w:p w:rsidR="00E539EF" w:rsidRPr="00474D75" w:rsidRDefault="00E539EF" w:rsidP="006232FE">
      <w:pPr>
        <w:pStyle w:val="Default"/>
        <w:numPr>
          <w:ilvl w:val="0"/>
          <w:numId w:val="14"/>
        </w:numPr>
        <w:spacing w:after="120"/>
        <w:ind w:left="714" w:hanging="357"/>
        <w:rPr>
          <w:rFonts w:asciiTheme="minorHAnsi" w:hAnsiTheme="minorHAnsi"/>
        </w:rPr>
      </w:pPr>
      <w:r w:rsidRPr="00474D75">
        <w:rPr>
          <w:rFonts w:asciiTheme="minorHAnsi" w:hAnsiTheme="minorHAnsi"/>
        </w:rPr>
        <w:t>encourage investment and adoption of innovation; and</w:t>
      </w:r>
    </w:p>
    <w:p w:rsidR="00E539EF" w:rsidRPr="00474D75" w:rsidRDefault="00E539EF" w:rsidP="006232FE">
      <w:pPr>
        <w:pStyle w:val="Default"/>
        <w:numPr>
          <w:ilvl w:val="0"/>
          <w:numId w:val="14"/>
        </w:numPr>
        <w:spacing w:after="120"/>
        <w:ind w:left="714" w:hanging="357"/>
        <w:rPr>
          <w:rFonts w:asciiTheme="minorHAnsi" w:hAnsiTheme="minorHAnsi"/>
        </w:rPr>
      </w:pPr>
      <w:r w:rsidRPr="00474D75">
        <w:rPr>
          <w:rFonts w:asciiTheme="minorHAnsi" w:hAnsiTheme="minorHAnsi"/>
        </w:rPr>
        <w:t xml:space="preserve">facilitate continued discussion between industry, government, indigenous Australians and the public as to how </w:t>
      </w:r>
      <w:proofErr w:type="spellStart"/>
      <w:r w:rsidRPr="00474D75">
        <w:rPr>
          <w:rFonts w:asciiTheme="minorHAnsi" w:hAnsiTheme="minorHAnsi"/>
        </w:rPr>
        <w:t>salmonid</w:t>
      </w:r>
      <w:proofErr w:type="spellEnd"/>
      <w:r w:rsidRPr="00474D75">
        <w:rPr>
          <w:rFonts w:asciiTheme="minorHAnsi" w:hAnsiTheme="minorHAnsi"/>
        </w:rPr>
        <w:t xml:space="preserve"> aquaculture should grow and be managed in Tasmania.</w:t>
      </w:r>
    </w:p>
    <w:p w:rsidR="00206098" w:rsidRDefault="00206098" w:rsidP="006232FE">
      <w:pPr>
        <w:spacing w:after="120" w:line="240" w:lineRule="auto"/>
        <w:rPr>
          <w:rFonts w:cs="Minion Pro"/>
          <w:color w:val="000000"/>
          <w:sz w:val="24"/>
          <w:szCs w:val="24"/>
        </w:rPr>
      </w:pPr>
      <w:r>
        <w:rPr>
          <w:rFonts w:cs="Minion Pro"/>
          <w:color w:val="000000"/>
          <w:sz w:val="24"/>
          <w:szCs w:val="24"/>
        </w:rPr>
        <w:t xml:space="preserve">The </w:t>
      </w:r>
      <w:proofErr w:type="spellStart"/>
      <w:r>
        <w:rPr>
          <w:rFonts w:cs="Minion Pro"/>
          <w:color w:val="000000"/>
          <w:sz w:val="24"/>
          <w:szCs w:val="24"/>
        </w:rPr>
        <w:t>TSGA</w:t>
      </w:r>
      <w:proofErr w:type="spellEnd"/>
      <w:r>
        <w:rPr>
          <w:rFonts w:cs="Minion Pro"/>
          <w:color w:val="000000"/>
          <w:sz w:val="24"/>
          <w:szCs w:val="24"/>
        </w:rPr>
        <w:t xml:space="preserve"> acknowledges the value of the content of the recently released Marine Fisheries Aquaculture Productivity Commission 2016 Draft Report, in particular the discussion around aquaculture detailed in Chapter 8. We have provided comment on the Draft Findings in Chapter 8 at the end of this submission.</w:t>
      </w:r>
    </w:p>
    <w:p w:rsidR="00E539EF" w:rsidRPr="00474D75" w:rsidRDefault="00E539EF" w:rsidP="006232FE">
      <w:pPr>
        <w:spacing w:after="120" w:line="240" w:lineRule="auto"/>
        <w:rPr>
          <w:rFonts w:cs="Minion Pro"/>
          <w:color w:val="000000"/>
          <w:sz w:val="24"/>
          <w:szCs w:val="24"/>
        </w:rPr>
      </w:pPr>
      <w:r w:rsidRPr="00474D75">
        <w:rPr>
          <w:rFonts w:cs="Minion Pro"/>
          <w:color w:val="000000"/>
          <w:sz w:val="24"/>
          <w:szCs w:val="24"/>
        </w:rPr>
        <w:t xml:space="preserve">As the </w:t>
      </w:r>
      <w:proofErr w:type="spellStart"/>
      <w:r w:rsidRPr="00474D75">
        <w:rPr>
          <w:rFonts w:cs="Minion Pro"/>
          <w:color w:val="000000"/>
          <w:sz w:val="24"/>
          <w:szCs w:val="24"/>
        </w:rPr>
        <w:t>CEO</w:t>
      </w:r>
      <w:proofErr w:type="spellEnd"/>
      <w:r w:rsidRPr="00474D75">
        <w:rPr>
          <w:rFonts w:cs="Minion Pro"/>
          <w:color w:val="000000"/>
          <w:sz w:val="24"/>
          <w:szCs w:val="24"/>
        </w:rPr>
        <w:t xml:space="preserve"> of the Tasmanian </w:t>
      </w:r>
      <w:proofErr w:type="spellStart"/>
      <w:r w:rsidRPr="00474D75">
        <w:rPr>
          <w:rFonts w:cs="Minion Pro"/>
          <w:color w:val="000000"/>
          <w:sz w:val="24"/>
          <w:szCs w:val="24"/>
        </w:rPr>
        <w:t>Salmonid</w:t>
      </w:r>
      <w:proofErr w:type="spellEnd"/>
      <w:r w:rsidRPr="00474D75">
        <w:rPr>
          <w:rFonts w:cs="Minion Pro"/>
          <w:color w:val="000000"/>
          <w:sz w:val="24"/>
          <w:szCs w:val="24"/>
        </w:rPr>
        <w:t xml:space="preserve"> Growers Association, I am excited about the pathway forward and </w:t>
      </w:r>
      <w:r w:rsidR="004842B1">
        <w:rPr>
          <w:rFonts w:cs="Minion Pro"/>
          <w:color w:val="000000"/>
          <w:sz w:val="24"/>
          <w:szCs w:val="24"/>
        </w:rPr>
        <w:t>the scope for</w:t>
      </w:r>
      <w:r w:rsidR="004842B1" w:rsidRPr="00474D75">
        <w:rPr>
          <w:rFonts w:cs="Minion Pro"/>
          <w:color w:val="000000"/>
          <w:sz w:val="24"/>
          <w:szCs w:val="24"/>
        </w:rPr>
        <w:t xml:space="preserve"> </w:t>
      </w:r>
      <w:r w:rsidRPr="00474D75">
        <w:rPr>
          <w:rFonts w:cs="Minion Pro"/>
          <w:color w:val="000000"/>
          <w:sz w:val="24"/>
          <w:szCs w:val="24"/>
        </w:rPr>
        <w:t xml:space="preserve">working with those with an interest in aquaculture to sustainably grow the sector towards its $1 billion goal and beyond.  We seek a commitment from both major political parties that they will join in the journey with us, and in particular to formally adopt as future government policy the Key Initiatives </w:t>
      </w:r>
      <w:r w:rsidR="00206098">
        <w:rPr>
          <w:rFonts w:cs="Minion Pro"/>
          <w:color w:val="000000"/>
          <w:sz w:val="24"/>
          <w:szCs w:val="24"/>
        </w:rPr>
        <w:t>contained within our original submission</w:t>
      </w:r>
      <w:r w:rsidRPr="00474D75">
        <w:rPr>
          <w:rFonts w:cs="Minion Pro"/>
          <w:color w:val="000000"/>
          <w:sz w:val="24"/>
          <w:szCs w:val="24"/>
        </w:rPr>
        <w:t>.</w:t>
      </w:r>
    </w:p>
    <w:p w:rsidR="00E539EF" w:rsidRPr="00474D75" w:rsidRDefault="00E539EF" w:rsidP="006232FE">
      <w:pPr>
        <w:spacing w:after="120" w:line="240" w:lineRule="auto"/>
        <w:rPr>
          <w:rFonts w:eastAsia="Times New Roman" w:cstheme="minorHAnsi"/>
          <w:sz w:val="24"/>
          <w:szCs w:val="24"/>
        </w:rPr>
      </w:pPr>
    </w:p>
    <w:p w:rsidR="00E539EF" w:rsidRPr="00474D75" w:rsidRDefault="00E539EF" w:rsidP="006232FE">
      <w:pPr>
        <w:spacing w:after="120" w:line="240" w:lineRule="auto"/>
        <w:rPr>
          <w:rFonts w:eastAsia="Times New Roman" w:cstheme="minorHAnsi"/>
          <w:sz w:val="24"/>
          <w:szCs w:val="24"/>
        </w:rPr>
      </w:pPr>
      <w:r w:rsidRPr="00474D75">
        <w:rPr>
          <w:rFonts w:eastAsia="Times New Roman" w:cstheme="minorHAnsi"/>
          <w:sz w:val="24"/>
          <w:szCs w:val="24"/>
        </w:rPr>
        <w:t>Yours sincerely</w:t>
      </w:r>
    </w:p>
    <w:p w:rsidR="00E539EF" w:rsidRDefault="00E539EF" w:rsidP="006232FE">
      <w:pPr>
        <w:spacing w:after="120" w:line="240" w:lineRule="auto"/>
        <w:rPr>
          <w:rFonts w:eastAsia="Times New Roman" w:cstheme="minorHAnsi"/>
          <w:noProof/>
          <w:sz w:val="24"/>
          <w:szCs w:val="24"/>
          <w:lang w:val="en-AU" w:eastAsia="en-AU"/>
        </w:rPr>
      </w:pPr>
    </w:p>
    <w:p w:rsidR="008362F2" w:rsidRPr="00551A31" w:rsidRDefault="008362F2" w:rsidP="006232FE">
      <w:pPr>
        <w:spacing w:after="120" w:line="240" w:lineRule="auto"/>
        <w:rPr>
          <w:rFonts w:eastAsia="Times New Roman" w:cstheme="minorHAnsi"/>
          <w:sz w:val="24"/>
          <w:szCs w:val="24"/>
        </w:rPr>
      </w:pPr>
    </w:p>
    <w:p w:rsidR="00E539EF" w:rsidRPr="00551A31" w:rsidRDefault="00E539EF" w:rsidP="00474D75">
      <w:pPr>
        <w:spacing w:after="0" w:line="240" w:lineRule="auto"/>
        <w:rPr>
          <w:rFonts w:eastAsia="Times New Roman" w:cs="Calibri"/>
          <w:sz w:val="24"/>
          <w:szCs w:val="24"/>
        </w:rPr>
      </w:pPr>
      <w:r w:rsidRPr="00551A31">
        <w:rPr>
          <w:rFonts w:eastAsia="Times New Roman" w:cs="Calibri"/>
          <w:sz w:val="24"/>
          <w:szCs w:val="24"/>
        </w:rPr>
        <w:t>Dr Adam Main</w:t>
      </w:r>
    </w:p>
    <w:p w:rsidR="00E539EF" w:rsidRPr="00551A31" w:rsidRDefault="00E539EF" w:rsidP="00474D75">
      <w:pPr>
        <w:spacing w:after="0" w:line="240" w:lineRule="auto"/>
        <w:rPr>
          <w:rFonts w:eastAsia="Times New Roman" w:cs="Calibri"/>
          <w:sz w:val="24"/>
          <w:szCs w:val="24"/>
        </w:rPr>
      </w:pPr>
      <w:r w:rsidRPr="00551A31">
        <w:rPr>
          <w:rFonts w:eastAsia="Times New Roman" w:cs="Calibri"/>
          <w:sz w:val="24"/>
          <w:szCs w:val="24"/>
        </w:rPr>
        <w:t>Chief Executive Officer</w:t>
      </w:r>
    </w:p>
    <w:p w:rsidR="00E539EF" w:rsidRPr="00551A31" w:rsidRDefault="00E539EF" w:rsidP="00474D75">
      <w:pPr>
        <w:spacing w:after="0" w:line="240" w:lineRule="auto"/>
        <w:rPr>
          <w:rFonts w:eastAsia="Times New Roman" w:cstheme="minorHAnsi"/>
          <w:b/>
          <w:sz w:val="24"/>
          <w:szCs w:val="24"/>
        </w:rPr>
      </w:pPr>
      <w:r w:rsidRPr="00551A31">
        <w:rPr>
          <w:rFonts w:eastAsia="Times New Roman" w:cs="Calibri"/>
          <w:b/>
          <w:sz w:val="24"/>
          <w:szCs w:val="24"/>
        </w:rPr>
        <w:t xml:space="preserve">Tasmanian </w:t>
      </w:r>
      <w:proofErr w:type="spellStart"/>
      <w:r w:rsidRPr="00551A31">
        <w:rPr>
          <w:rFonts w:eastAsia="Times New Roman" w:cs="Calibri"/>
          <w:b/>
          <w:sz w:val="24"/>
          <w:szCs w:val="24"/>
        </w:rPr>
        <w:t>Salmonid</w:t>
      </w:r>
      <w:proofErr w:type="spellEnd"/>
      <w:r w:rsidRPr="00551A31">
        <w:rPr>
          <w:rFonts w:eastAsia="Times New Roman" w:cs="Calibri"/>
          <w:b/>
          <w:sz w:val="24"/>
          <w:szCs w:val="24"/>
        </w:rPr>
        <w:t xml:space="preserve"> Growers Association </w:t>
      </w:r>
    </w:p>
    <w:p w:rsidR="00E539EF" w:rsidRDefault="00E539EF" w:rsidP="006232FE">
      <w:pPr>
        <w:spacing w:after="120" w:line="240" w:lineRule="auto"/>
        <w:rPr>
          <w:rFonts w:eastAsia="Times New Roman" w:cs="Times New Roman"/>
          <w:b/>
          <w:sz w:val="24"/>
          <w:szCs w:val="24"/>
          <w:lang w:val="en-AU" w:eastAsia="en-AU"/>
        </w:rPr>
      </w:pPr>
      <w:r>
        <w:rPr>
          <w:b/>
          <w:szCs w:val="24"/>
        </w:rPr>
        <w:br w:type="page"/>
      </w:r>
    </w:p>
    <w:p w:rsidR="000635F8" w:rsidRPr="000635F8" w:rsidRDefault="000635F8" w:rsidP="000635F8">
      <w:pPr>
        <w:pStyle w:val="BodyText"/>
        <w:spacing w:before="0" w:after="120" w:line="240" w:lineRule="auto"/>
        <w:rPr>
          <w:rFonts w:asciiTheme="minorHAnsi" w:hAnsiTheme="minorHAnsi"/>
          <w:b/>
          <w:sz w:val="28"/>
          <w:szCs w:val="24"/>
        </w:rPr>
      </w:pPr>
      <w:r w:rsidRPr="000635F8">
        <w:rPr>
          <w:rFonts w:asciiTheme="minorHAnsi" w:hAnsiTheme="minorHAnsi"/>
          <w:b/>
          <w:sz w:val="28"/>
          <w:szCs w:val="24"/>
        </w:rPr>
        <w:lastRenderedPageBreak/>
        <w:t>Background</w:t>
      </w:r>
    </w:p>
    <w:p w:rsidR="000635F8" w:rsidRDefault="000635F8" w:rsidP="000635F8">
      <w:pPr>
        <w:jc w:val="both"/>
        <w:rPr>
          <w:sz w:val="24"/>
          <w:szCs w:val="24"/>
        </w:rPr>
      </w:pPr>
      <w:r w:rsidRPr="007877ED">
        <w:rPr>
          <w:sz w:val="24"/>
          <w:szCs w:val="24"/>
        </w:rPr>
        <w:t xml:space="preserve">The </w:t>
      </w:r>
      <w:r>
        <w:rPr>
          <w:sz w:val="24"/>
          <w:szCs w:val="24"/>
        </w:rPr>
        <w:t xml:space="preserve">Tasmanian </w:t>
      </w:r>
      <w:proofErr w:type="spellStart"/>
      <w:r>
        <w:rPr>
          <w:sz w:val="24"/>
          <w:szCs w:val="24"/>
        </w:rPr>
        <w:t>Salmonid</w:t>
      </w:r>
      <w:proofErr w:type="spellEnd"/>
      <w:r>
        <w:rPr>
          <w:sz w:val="24"/>
          <w:szCs w:val="24"/>
        </w:rPr>
        <w:t xml:space="preserve"> Growers Association (</w:t>
      </w:r>
      <w:proofErr w:type="spellStart"/>
      <w:r>
        <w:rPr>
          <w:sz w:val="24"/>
          <w:szCs w:val="24"/>
        </w:rPr>
        <w:t>TSGA</w:t>
      </w:r>
      <w:proofErr w:type="spellEnd"/>
      <w:r>
        <w:rPr>
          <w:sz w:val="24"/>
          <w:szCs w:val="24"/>
        </w:rPr>
        <w:t>)</w:t>
      </w:r>
      <w:r w:rsidRPr="007877ED">
        <w:rPr>
          <w:sz w:val="24"/>
          <w:szCs w:val="24"/>
        </w:rPr>
        <w:t xml:space="preserve"> is the peak body representing the Australian </w:t>
      </w:r>
      <w:proofErr w:type="spellStart"/>
      <w:r>
        <w:rPr>
          <w:sz w:val="24"/>
          <w:szCs w:val="24"/>
        </w:rPr>
        <w:t>salmonid</w:t>
      </w:r>
      <w:proofErr w:type="spellEnd"/>
      <w:r>
        <w:rPr>
          <w:sz w:val="24"/>
          <w:szCs w:val="24"/>
        </w:rPr>
        <w:t xml:space="preserve"> </w:t>
      </w:r>
      <w:r w:rsidRPr="007877ED">
        <w:rPr>
          <w:sz w:val="24"/>
          <w:szCs w:val="24"/>
        </w:rPr>
        <w:t xml:space="preserve">aquaculture industry.  </w:t>
      </w:r>
      <w:r>
        <w:rPr>
          <w:sz w:val="24"/>
          <w:szCs w:val="24"/>
        </w:rPr>
        <w:t xml:space="preserve">The </w:t>
      </w:r>
      <w:proofErr w:type="spellStart"/>
      <w:r>
        <w:rPr>
          <w:sz w:val="24"/>
          <w:szCs w:val="24"/>
        </w:rPr>
        <w:t>TSGA</w:t>
      </w:r>
      <w:proofErr w:type="spellEnd"/>
      <w:r w:rsidRPr="007877ED">
        <w:rPr>
          <w:sz w:val="24"/>
          <w:szCs w:val="24"/>
        </w:rPr>
        <w:t xml:space="preserve"> is aware of several previous inquiries and reports relating to the framework and practice of regulations applied to Australian aquaculture.</w:t>
      </w:r>
    </w:p>
    <w:p w:rsidR="000635F8" w:rsidRPr="007877ED" w:rsidRDefault="008362F2" w:rsidP="000635F8">
      <w:pPr>
        <w:jc w:val="both"/>
        <w:rPr>
          <w:sz w:val="24"/>
          <w:szCs w:val="24"/>
        </w:rPr>
      </w:pPr>
      <w:r>
        <w:rPr>
          <w:noProof/>
          <w:sz w:val="24"/>
          <w:szCs w:val="24"/>
          <w:lang w:val="en-AU" w:eastAsia="en-AU"/>
        </w:rPr>
        <w:pict>
          <v:rect id="Rectangle 4" o:spid="_x0000_s1026" style="position:absolute;left:0;text-align:left;margin-left:-9.35pt;margin-top:5.45pt;width:498.6pt;height:235.3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" fillcolor="#5b9bd5 [3204]" strokecolor="#1f4d78 [1604]" strokeweight="1pt">
            <v:fill opacity="8481f"/>
          </v:rect>
        </w:pict>
      </w:r>
    </w:p>
    <w:p w:rsidR="000635F8" w:rsidRPr="007877ED" w:rsidRDefault="000635F8" w:rsidP="000635F8">
      <w:pPr>
        <w:pStyle w:val="ListParagraph"/>
        <w:numPr>
          <w:ilvl w:val="0"/>
          <w:numId w:val="27"/>
        </w:numPr>
        <w:spacing w:after="120" w:line="240" w:lineRule="auto"/>
        <w:ind w:left="426" w:hanging="284"/>
        <w:contextualSpacing w:val="0"/>
        <w:jc w:val="both"/>
        <w:rPr>
          <w:i/>
          <w:sz w:val="24"/>
          <w:szCs w:val="24"/>
        </w:rPr>
      </w:pPr>
      <w:r w:rsidRPr="007877ED">
        <w:rPr>
          <w:sz w:val="24"/>
          <w:szCs w:val="24"/>
        </w:rPr>
        <w:t xml:space="preserve">Productivity Commission, 2004: </w:t>
      </w:r>
      <w:r w:rsidRPr="007877ED">
        <w:rPr>
          <w:i/>
          <w:sz w:val="24"/>
          <w:szCs w:val="24"/>
        </w:rPr>
        <w:t>Assessing Environmental Regulatory Arrangements for Aquaculture.</w:t>
      </w:r>
    </w:p>
    <w:p w:rsidR="000635F8" w:rsidRPr="007877ED" w:rsidRDefault="000635F8" w:rsidP="000635F8">
      <w:pPr>
        <w:pStyle w:val="ListParagraph"/>
        <w:numPr>
          <w:ilvl w:val="0"/>
          <w:numId w:val="27"/>
        </w:numPr>
        <w:spacing w:after="120" w:line="240" w:lineRule="auto"/>
        <w:ind w:left="426" w:hanging="284"/>
        <w:contextualSpacing w:val="0"/>
        <w:jc w:val="both"/>
        <w:rPr>
          <w:i/>
          <w:sz w:val="24"/>
          <w:szCs w:val="24"/>
        </w:rPr>
      </w:pPr>
      <w:r w:rsidRPr="007877ED">
        <w:rPr>
          <w:sz w:val="24"/>
          <w:szCs w:val="24"/>
        </w:rPr>
        <w:t xml:space="preserve">Aquaculture Committee Report to </w:t>
      </w:r>
      <w:proofErr w:type="spellStart"/>
      <w:r w:rsidRPr="007877ED">
        <w:rPr>
          <w:sz w:val="24"/>
          <w:szCs w:val="24"/>
        </w:rPr>
        <w:t>PIMC</w:t>
      </w:r>
      <w:proofErr w:type="spellEnd"/>
      <w:r w:rsidRPr="007877ED">
        <w:rPr>
          <w:sz w:val="24"/>
          <w:szCs w:val="24"/>
        </w:rPr>
        <w:t xml:space="preserve">, 2005: </w:t>
      </w:r>
      <w:r w:rsidRPr="007877ED">
        <w:rPr>
          <w:i/>
          <w:sz w:val="24"/>
          <w:szCs w:val="24"/>
        </w:rPr>
        <w:t>Best practice frameworks of regulatory arrangements for aquaculture in Australia.</w:t>
      </w:r>
    </w:p>
    <w:p w:rsidR="000635F8" w:rsidRPr="007877ED" w:rsidRDefault="000635F8" w:rsidP="000635F8">
      <w:pPr>
        <w:pStyle w:val="ListParagraph"/>
        <w:numPr>
          <w:ilvl w:val="0"/>
          <w:numId w:val="27"/>
        </w:numPr>
        <w:spacing w:after="120" w:line="240" w:lineRule="auto"/>
        <w:ind w:left="426" w:hanging="284"/>
        <w:contextualSpacing w:val="0"/>
        <w:jc w:val="both"/>
        <w:rPr>
          <w:sz w:val="24"/>
          <w:szCs w:val="24"/>
        </w:rPr>
      </w:pPr>
      <w:r w:rsidRPr="007877ED">
        <w:rPr>
          <w:sz w:val="24"/>
          <w:szCs w:val="24"/>
        </w:rPr>
        <w:t xml:space="preserve">Productivity Commission, 2007: </w:t>
      </w:r>
      <w:r w:rsidRPr="007877ED">
        <w:rPr>
          <w:i/>
          <w:sz w:val="24"/>
          <w:szCs w:val="24"/>
        </w:rPr>
        <w:t>Annual review of regulatory burdens on business: primary sector</w:t>
      </w:r>
      <w:r w:rsidRPr="007877ED">
        <w:rPr>
          <w:sz w:val="24"/>
          <w:szCs w:val="24"/>
        </w:rPr>
        <w:t xml:space="preserve">, </w:t>
      </w:r>
      <w:r w:rsidRPr="007877ED">
        <w:rPr>
          <w:i/>
          <w:sz w:val="24"/>
          <w:szCs w:val="24"/>
        </w:rPr>
        <w:t>draft research report</w:t>
      </w:r>
      <w:r w:rsidRPr="007877ED">
        <w:rPr>
          <w:sz w:val="24"/>
          <w:szCs w:val="24"/>
        </w:rPr>
        <w:t>.</w:t>
      </w:r>
    </w:p>
    <w:p w:rsidR="000635F8" w:rsidRPr="007877ED" w:rsidRDefault="000635F8" w:rsidP="000635F8">
      <w:pPr>
        <w:pStyle w:val="ListParagraph"/>
        <w:numPr>
          <w:ilvl w:val="0"/>
          <w:numId w:val="27"/>
        </w:numPr>
        <w:spacing w:after="120" w:line="240" w:lineRule="auto"/>
        <w:ind w:left="426" w:hanging="284"/>
        <w:contextualSpacing w:val="0"/>
        <w:jc w:val="both"/>
        <w:rPr>
          <w:sz w:val="24"/>
          <w:szCs w:val="24"/>
        </w:rPr>
      </w:pPr>
      <w:r w:rsidRPr="007877ED">
        <w:rPr>
          <w:sz w:val="24"/>
          <w:szCs w:val="24"/>
        </w:rPr>
        <w:t xml:space="preserve">Seafood Services Australia, 2009: </w:t>
      </w:r>
      <w:r w:rsidRPr="007877ED">
        <w:rPr>
          <w:i/>
          <w:sz w:val="24"/>
          <w:szCs w:val="24"/>
        </w:rPr>
        <w:t>The costs of regulatory compliance in the Australian seafood industry</w:t>
      </w:r>
      <w:r w:rsidRPr="007877ED">
        <w:rPr>
          <w:sz w:val="24"/>
          <w:szCs w:val="24"/>
        </w:rPr>
        <w:t>.</w:t>
      </w:r>
    </w:p>
    <w:p w:rsidR="000635F8" w:rsidRPr="007877ED" w:rsidRDefault="000635F8" w:rsidP="000635F8">
      <w:pPr>
        <w:pStyle w:val="ListParagraph"/>
        <w:numPr>
          <w:ilvl w:val="0"/>
          <w:numId w:val="27"/>
        </w:numPr>
        <w:spacing w:after="120" w:line="240" w:lineRule="auto"/>
        <w:ind w:left="426" w:hanging="284"/>
        <w:contextualSpacing w:val="0"/>
        <w:jc w:val="both"/>
        <w:rPr>
          <w:rFonts w:cs="Arial"/>
          <w:sz w:val="24"/>
          <w:szCs w:val="24"/>
        </w:rPr>
      </w:pPr>
      <w:r w:rsidRPr="007877ED">
        <w:rPr>
          <w:rFonts w:cs="Arial"/>
          <w:sz w:val="24"/>
          <w:szCs w:val="24"/>
        </w:rPr>
        <w:t xml:space="preserve">Peters, E.  </w:t>
      </w:r>
      <w:proofErr w:type="spellStart"/>
      <w:r w:rsidRPr="007877ED">
        <w:rPr>
          <w:rFonts w:cs="Arial"/>
          <w:sz w:val="24"/>
          <w:szCs w:val="24"/>
        </w:rPr>
        <w:t>ANI</w:t>
      </w:r>
      <w:proofErr w:type="spellEnd"/>
      <w:r w:rsidRPr="007877ED">
        <w:rPr>
          <w:rFonts w:cs="Arial"/>
          <w:sz w:val="24"/>
          <w:szCs w:val="24"/>
        </w:rPr>
        <w:t xml:space="preserve"> Program, 2015: </w:t>
      </w:r>
      <w:r w:rsidRPr="007877ED">
        <w:rPr>
          <w:rFonts w:cs="Arial"/>
          <w:i/>
          <w:sz w:val="24"/>
          <w:szCs w:val="24"/>
        </w:rPr>
        <w:t xml:space="preserve">Barriers to aquaculture expansion in northern Australia - </w:t>
      </w:r>
      <w:r w:rsidRPr="007877ED">
        <w:rPr>
          <w:rFonts w:cs="Arial"/>
          <w:i/>
          <w:color w:val="000000"/>
          <w:sz w:val="24"/>
          <w:szCs w:val="24"/>
        </w:rPr>
        <w:t>A case study into prawn farming in Queensland.</w:t>
      </w:r>
    </w:p>
    <w:p w:rsidR="000635F8" w:rsidRPr="007877ED" w:rsidRDefault="000635F8" w:rsidP="000635F8">
      <w:pPr>
        <w:pStyle w:val="ListParagraph"/>
        <w:numPr>
          <w:ilvl w:val="0"/>
          <w:numId w:val="27"/>
        </w:numPr>
        <w:spacing w:after="120" w:line="240" w:lineRule="auto"/>
        <w:ind w:left="426" w:hanging="284"/>
        <w:contextualSpacing w:val="0"/>
        <w:jc w:val="both"/>
        <w:rPr>
          <w:rFonts w:cs="Arial"/>
          <w:sz w:val="24"/>
          <w:szCs w:val="24"/>
        </w:rPr>
      </w:pPr>
      <w:r w:rsidRPr="007877ED">
        <w:rPr>
          <w:rFonts w:cs="Arial"/>
          <w:sz w:val="24"/>
          <w:szCs w:val="24"/>
        </w:rPr>
        <w:t xml:space="preserve">Joint Select Committee on Northern Australia, 2015: </w:t>
      </w:r>
      <w:r w:rsidRPr="007877ED">
        <w:rPr>
          <w:rFonts w:cs="Arial"/>
          <w:i/>
          <w:sz w:val="24"/>
          <w:szCs w:val="24"/>
        </w:rPr>
        <w:t>Opportunities for expanding the aquaculture industry in Northern Australia.</w:t>
      </w:r>
    </w:p>
    <w:p w:rsidR="000635F8" w:rsidRDefault="000635F8" w:rsidP="000635F8">
      <w:pPr>
        <w:jc w:val="both"/>
        <w:rPr>
          <w:sz w:val="24"/>
          <w:szCs w:val="24"/>
        </w:rPr>
      </w:pPr>
    </w:p>
    <w:p w:rsidR="000635F8" w:rsidRPr="007877ED" w:rsidRDefault="000635F8" w:rsidP="000635F8">
      <w:pPr>
        <w:jc w:val="both"/>
        <w:rPr>
          <w:sz w:val="24"/>
          <w:szCs w:val="24"/>
        </w:rPr>
      </w:pPr>
      <w:r w:rsidRPr="007877ED">
        <w:rPr>
          <w:sz w:val="24"/>
          <w:szCs w:val="24"/>
        </w:rPr>
        <w:t xml:space="preserve">Various aquaculture industry associations, including </w:t>
      </w:r>
      <w:r>
        <w:rPr>
          <w:sz w:val="24"/>
          <w:szCs w:val="24"/>
        </w:rPr>
        <w:t xml:space="preserve">the </w:t>
      </w:r>
      <w:proofErr w:type="spellStart"/>
      <w:r>
        <w:rPr>
          <w:sz w:val="24"/>
          <w:szCs w:val="24"/>
        </w:rPr>
        <w:t>TSGA</w:t>
      </w:r>
      <w:proofErr w:type="spellEnd"/>
      <w:r w:rsidRPr="007877ED">
        <w:rPr>
          <w:sz w:val="24"/>
          <w:szCs w:val="24"/>
        </w:rPr>
        <w:t>, have provided input into most of these studies.</w:t>
      </w:r>
    </w:p>
    <w:p w:rsidR="000635F8" w:rsidRPr="007877ED" w:rsidRDefault="000635F8" w:rsidP="000635F8">
      <w:pPr>
        <w:jc w:val="both"/>
        <w:rPr>
          <w:sz w:val="24"/>
          <w:szCs w:val="24"/>
        </w:rPr>
      </w:pPr>
      <w:r w:rsidRPr="007877ED">
        <w:rPr>
          <w:sz w:val="24"/>
          <w:szCs w:val="24"/>
        </w:rPr>
        <w:t xml:space="preserve">Of these studies, the Productivity Commission’s 2004 Research Paper on regulatory arrangements for aquaculture is the most comprehensive, worthy of study in the context of this </w:t>
      </w:r>
      <w:r w:rsidR="00151412">
        <w:rPr>
          <w:sz w:val="24"/>
          <w:szCs w:val="24"/>
        </w:rPr>
        <w:t>i</w:t>
      </w:r>
      <w:r w:rsidR="00151412" w:rsidRPr="007877ED">
        <w:rPr>
          <w:sz w:val="24"/>
          <w:szCs w:val="24"/>
        </w:rPr>
        <w:t xml:space="preserve">nquiry </w:t>
      </w:r>
      <w:r w:rsidRPr="007877ED">
        <w:rPr>
          <w:sz w:val="24"/>
          <w:szCs w:val="24"/>
        </w:rPr>
        <w:t>in 2016.  T</w:t>
      </w:r>
      <w:r>
        <w:rPr>
          <w:sz w:val="24"/>
          <w:szCs w:val="24"/>
        </w:rPr>
        <w:t xml:space="preserve">he </w:t>
      </w:r>
      <w:r w:rsidR="00151412">
        <w:rPr>
          <w:sz w:val="24"/>
          <w:szCs w:val="24"/>
        </w:rPr>
        <w:t xml:space="preserve">key </w:t>
      </w:r>
      <w:r>
        <w:rPr>
          <w:sz w:val="24"/>
          <w:szCs w:val="24"/>
        </w:rPr>
        <w:t xml:space="preserve">points from this report </w:t>
      </w:r>
      <w:r w:rsidRPr="007877ED">
        <w:rPr>
          <w:sz w:val="24"/>
          <w:szCs w:val="24"/>
        </w:rPr>
        <w:t xml:space="preserve">are reproduced below.  Whilst the status of progress with aquaculture planning in the three </w:t>
      </w:r>
      <w:r w:rsidR="00151412">
        <w:rPr>
          <w:sz w:val="24"/>
          <w:szCs w:val="24"/>
        </w:rPr>
        <w:t>s</w:t>
      </w:r>
      <w:r w:rsidR="00151412" w:rsidRPr="007877ED">
        <w:rPr>
          <w:sz w:val="24"/>
          <w:szCs w:val="24"/>
        </w:rPr>
        <w:t xml:space="preserve">tates </w:t>
      </w:r>
      <w:r w:rsidRPr="007877ED">
        <w:rPr>
          <w:sz w:val="24"/>
          <w:szCs w:val="24"/>
        </w:rPr>
        <w:t>mentioned in point 5</w:t>
      </w:r>
      <w:r w:rsidR="00F8594D">
        <w:rPr>
          <w:sz w:val="24"/>
          <w:szCs w:val="24"/>
        </w:rPr>
        <w:t xml:space="preserve"> below</w:t>
      </w:r>
      <w:r w:rsidRPr="007877ED">
        <w:rPr>
          <w:sz w:val="24"/>
          <w:szCs w:val="24"/>
        </w:rPr>
        <w:t xml:space="preserve"> may have changed, each of the eight points remain largely valid today.</w:t>
      </w:r>
    </w:p>
    <w:p w:rsidR="000635F8" w:rsidRPr="000635F8" w:rsidRDefault="000635F8" w:rsidP="000635F8">
      <w:pPr>
        <w:autoSpaceDE w:val="0"/>
        <w:autoSpaceDN w:val="0"/>
        <w:adjustRightInd w:val="0"/>
        <w:rPr>
          <w:rFonts w:cs="Arial"/>
          <w:b/>
          <w:bCs/>
          <w:sz w:val="24"/>
          <w:szCs w:val="24"/>
        </w:rPr>
      </w:pPr>
      <w:r w:rsidRPr="000635F8">
        <w:rPr>
          <w:rFonts w:cs="Arial"/>
          <w:b/>
          <w:bCs/>
          <w:sz w:val="24"/>
          <w:szCs w:val="24"/>
        </w:rPr>
        <w:t>Key points</w:t>
      </w:r>
    </w:p>
    <w:p w:rsidR="000635F8" w:rsidRPr="007877ED" w:rsidRDefault="000635F8" w:rsidP="000635F8">
      <w:pPr>
        <w:pStyle w:val="ListParagraph"/>
        <w:numPr>
          <w:ilvl w:val="0"/>
          <w:numId w:val="28"/>
        </w:numPr>
        <w:autoSpaceDE w:val="0"/>
        <w:autoSpaceDN w:val="0"/>
        <w:adjustRightInd w:val="0"/>
        <w:spacing w:after="120" w:line="240" w:lineRule="auto"/>
        <w:ind w:left="567" w:hanging="357"/>
        <w:contextualSpacing w:val="0"/>
        <w:rPr>
          <w:rFonts w:cs="Arial"/>
          <w:sz w:val="24"/>
          <w:szCs w:val="24"/>
        </w:rPr>
      </w:pPr>
      <w:r w:rsidRPr="007877ED">
        <w:rPr>
          <w:rFonts w:cs="Arial"/>
          <w:sz w:val="24"/>
          <w:szCs w:val="24"/>
        </w:rPr>
        <w:t>The aquaculture industry is diverse and each sector has different potential environmental impacts of varying degrees of significance.</w:t>
      </w:r>
    </w:p>
    <w:p w:rsidR="000635F8" w:rsidRPr="007877ED" w:rsidRDefault="000635F8" w:rsidP="000635F8">
      <w:pPr>
        <w:pStyle w:val="ListParagraph"/>
        <w:numPr>
          <w:ilvl w:val="0"/>
          <w:numId w:val="28"/>
        </w:numPr>
        <w:autoSpaceDE w:val="0"/>
        <w:autoSpaceDN w:val="0"/>
        <w:adjustRightInd w:val="0"/>
        <w:spacing w:after="120" w:line="240" w:lineRule="auto"/>
        <w:ind w:left="567" w:hanging="357"/>
        <w:contextualSpacing w:val="0"/>
        <w:rPr>
          <w:rFonts w:cs="Arial"/>
          <w:sz w:val="24"/>
          <w:szCs w:val="24"/>
        </w:rPr>
      </w:pPr>
      <w:r w:rsidRPr="007877ED">
        <w:rPr>
          <w:rFonts w:cs="Arial"/>
          <w:sz w:val="24"/>
          <w:szCs w:val="24"/>
        </w:rPr>
        <w:t>Aquaculture production is subject to an unnecessarily complex arra</w:t>
      </w:r>
      <w:r>
        <w:rPr>
          <w:rFonts w:cs="Arial"/>
          <w:sz w:val="24"/>
          <w:szCs w:val="24"/>
        </w:rPr>
        <w:t>y of legislation and agencies</w:t>
      </w:r>
      <w:r w:rsidR="00151412">
        <w:rPr>
          <w:rFonts w:cs="Arial"/>
          <w:sz w:val="24"/>
          <w:szCs w:val="24"/>
        </w:rPr>
        <w:t xml:space="preserve"> </w:t>
      </w:r>
      <w:r>
        <w:rPr>
          <w:rFonts w:cs="Arial"/>
          <w:sz w:val="24"/>
          <w:szCs w:val="24"/>
        </w:rPr>
        <w:t xml:space="preserve">- </w:t>
      </w:r>
      <w:r w:rsidRPr="007877ED">
        <w:rPr>
          <w:rFonts w:cs="Arial"/>
          <w:sz w:val="24"/>
          <w:szCs w:val="24"/>
        </w:rPr>
        <w:t>covering marine and coastal management, environmental management, land use planning, land tenure, and quarantine and translocation.</w:t>
      </w:r>
    </w:p>
    <w:p w:rsidR="000635F8" w:rsidRPr="007877ED" w:rsidRDefault="000635F8" w:rsidP="000635F8">
      <w:pPr>
        <w:pStyle w:val="ListParagraph"/>
        <w:numPr>
          <w:ilvl w:val="0"/>
          <w:numId w:val="28"/>
        </w:numPr>
        <w:autoSpaceDE w:val="0"/>
        <w:autoSpaceDN w:val="0"/>
        <w:adjustRightInd w:val="0"/>
        <w:spacing w:after="120" w:line="240" w:lineRule="auto"/>
        <w:ind w:left="567" w:hanging="357"/>
        <w:contextualSpacing w:val="0"/>
        <w:rPr>
          <w:rFonts w:cs="Arial"/>
          <w:sz w:val="24"/>
          <w:szCs w:val="24"/>
        </w:rPr>
      </w:pPr>
      <w:r w:rsidRPr="007877ED">
        <w:rPr>
          <w:rFonts w:cs="Arial"/>
          <w:sz w:val="24"/>
          <w:szCs w:val="24"/>
        </w:rPr>
        <w:t>State aquaculture and/or fisheries legislation have multiple objectives and these are not always clearly defined. The objectives may overlap or conflict, and there is often a lack of guidance as to the relative weights to be placed on each objective.</w:t>
      </w:r>
    </w:p>
    <w:p w:rsidR="000635F8" w:rsidRPr="007877ED" w:rsidRDefault="000635F8" w:rsidP="000635F8">
      <w:pPr>
        <w:pStyle w:val="ListParagraph"/>
        <w:numPr>
          <w:ilvl w:val="0"/>
          <w:numId w:val="28"/>
        </w:numPr>
        <w:autoSpaceDE w:val="0"/>
        <w:autoSpaceDN w:val="0"/>
        <w:adjustRightInd w:val="0"/>
        <w:spacing w:after="120" w:line="240" w:lineRule="auto"/>
        <w:ind w:left="567" w:hanging="357"/>
        <w:contextualSpacing w:val="0"/>
        <w:rPr>
          <w:rFonts w:cs="Arial"/>
          <w:sz w:val="24"/>
          <w:szCs w:val="24"/>
        </w:rPr>
      </w:pPr>
      <w:r w:rsidRPr="007877ED">
        <w:rPr>
          <w:rFonts w:cs="Arial"/>
          <w:sz w:val="24"/>
          <w:szCs w:val="24"/>
        </w:rPr>
        <w:t>State government departments primarily responsible for aquaculture regulatory arrangements often have potentially conflicting functions of policy development, implementation of regulation, industry promotion and development, and research.</w:t>
      </w:r>
    </w:p>
    <w:p w:rsidR="000635F8" w:rsidRPr="007877ED" w:rsidRDefault="000635F8" w:rsidP="000635F8">
      <w:pPr>
        <w:pStyle w:val="ListParagraph"/>
        <w:numPr>
          <w:ilvl w:val="0"/>
          <w:numId w:val="28"/>
        </w:numPr>
        <w:autoSpaceDE w:val="0"/>
        <w:autoSpaceDN w:val="0"/>
        <w:adjustRightInd w:val="0"/>
        <w:spacing w:after="120" w:line="240" w:lineRule="auto"/>
        <w:ind w:left="567" w:hanging="357"/>
        <w:contextualSpacing w:val="0"/>
        <w:rPr>
          <w:rFonts w:cs="Arial"/>
          <w:sz w:val="24"/>
          <w:szCs w:val="24"/>
        </w:rPr>
      </w:pPr>
      <w:r w:rsidRPr="007877ED">
        <w:rPr>
          <w:rFonts w:cs="Arial"/>
          <w:sz w:val="24"/>
          <w:szCs w:val="24"/>
        </w:rPr>
        <w:lastRenderedPageBreak/>
        <w:t>New South Wales, Queensland and Western Australia have made limited progress with marine aquaculture planning. This may constrain marine aquaculture, or result in ad hoc approvals for individual sites, and conflicts over resource use.</w:t>
      </w:r>
    </w:p>
    <w:p w:rsidR="000635F8" w:rsidRPr="007877ED" w:rsidRDefault="000635F8" w:rsidP="000635F8">
      <w:pPr>
        <w:pStyle w:val="ListParagraph"/>
        <w:numPr>
          <w:ilvl w:val="0"/>
          <w:numId w:val="28"/>
        </w:numPr>
        <w:autoSpaceDE w:val="0"/>
        <w:autoSpaceDN w:val="0"/>
        <w:adjustRightInd w:val="0"/>
        <w:spacing w:after="120" w:line="240" w:lineRule="auto"/>
        <w:ind w:left="567" w:hanging="357"/>
        <w:contextualSpacing w:val="0"/>
        <w:rPr>
          <w:rFonts w:cs="Arial"/>
          <w:sz w:val="24"/>
          <w:szCs w:val="24"/>
        </w:rPr>
      </w:pPr>
      <w:r w:rsidRPr="007877ED">
        <w:rPr>
          <w:rFonts w:cs="Arial"/>
          <w:sz w:val="24"/>
          <w:szCs w:val="24"/>
        </w:rPr>
        <w:t>In most jurisdictions, there are complex approval processes. Obtaining required approvals can take significant time. There would appear to be scope to rationalise the number of approvals, coordinate approval processes, and incorporate statutory time</w:t>
      </w:r>
      <w:r w:rsidR="00151412">
        <w:rPr>
          <w:rFonts w:cs="Arial"/>
          <w:sz w:val="24"/>
          <w:szCs w:val="24"/>
        </w:rPr>
        <w:t xml:space="preserve"> </w:t>
      </w:r>
      <w:r w:rsidRPr="007877ED">
        <w:rPr>
          <w:rFonts w:cs="Arial"/>
          <w:sz w:val="24"/>
          <w:szCs w:val="24"/>
        </w:rPr>
        <w:t>frames for assessing approvals.</w:t>
      </w:r>
      <w:r>
        <w:rPr>
          <w:rFonts w:cs="Arial"/>
          <w:sz w:val="24"/>
          <w:szCs w:val="24"/>
        </w:rPr>
        <w:t xml:space="preserve">  This complexity is compounded when there are other statutory authorities that can override other regulatory agencies (e.g. G</w:t>
      </w:r>
      <w:r w:rsidR="00151412">
        <w:rPr>
          <w:rFonts w:cs="Arial"/>
          <w:sz w:val="24"/>
          <w:szCs w:val="24"/>
        </w:rPr>
        <w:t xml:space="preserve">reat </w:t>
      </w:r>
      <w:r>
        <w:rPr>
          <w:rFonts w:cs="Arial"/>
          <w:sz w:val="24"/>
          <w:szCs w:val="24"/>
        </w:rPr>
        <w:t>B</w:t>
      </w:r>
      <w:r w:rsidR="00151412">
        <w:rPr>
          <w:rFonts w:cs="Arial"/>
          <w:sz w:val="24"/>
          <w:szCs w:val="24"/>
        </w:rPr>
        <w:t xml:space="preserve">arrier </w:t>
      </w:r>
      <w:r>
        <w:rPr>
          <w:rFonts w:cs="Arial"/>
          <w:sz w:val="24"/>
          <w:szCs w:val="24"/>
        </w:rPr>
        <w:t>R</w:t>
      </w:r>
      <w:r w:rsidR="00151412">
        <w:rPr>
          <w:rFonts w:cs="Arial"/>
          <w:sz w:val="24"/>
          <w:szCs w:val="24"/>
        </w:rPr>
        <w:t xml:space="preserve">eef </w:t>
      </w:r>
      <w:r>
        <w:rPr>
          <w:rFonts w:cs="Arial"/>
          <w:sz w:val="24"/>
          <w:szCs w:val="24"/>
        </w:rPr>
        <w:t>M</w:t>
      </w:r>
      <w:r w:rsidR="00151412">
        <w:rPr>
          <w:rFonts w:cs="Arial"/>
          <w:sz w:val="24"/>
          <w:szCs w:val="24"/>
        </w:rPr>
        <w:t xml:space="preserve">arine </w:t>
      </w:r>
      <w:r>
        <w:rPr>
          <w:rFonts w:cs="Arial"/>
          <w:sz w:val="24"/>
          <w:szCs w:val="24"/>
        </w:rPr>
        <w:t>P</w:t>
      </w:r>
      <w:r w:rsidR="00151412">
        <w:rPr>
          <w:rFonts w:cs="Arial"/>
          <w:sz w:val="24"/>
          <w:szCs w:val="24"/>
        </w:rPr>
        <w:t xml:space="preserve">ark </w:t>
      </w:r>
      <w:r>
        <w:rPr>
          <w:rFonts w:cs="Arial"/>
          <w:sz w:val="24"/>
          <w:szCs w:val="24"/>
        </w:rPr>
        <w:t>A</w:t>
      </w:r>
      <w:r w:rsidR="00151412">
        <w:rPr>
          <w:rFonts w:cs="Arial"/>
          <w:sz w:val="24"/>
          <w:szCs w:val="24"/>
        </w:rPr>
        <w:t>uthority</w:t>
      </w:r>
      <w:r>
        <w:rPr>
          <w:rFonts w:cs="Arial"/>
          <w:sz w:val="24"/>
          <w:szCs w:val="24"/>
        </w:rPr>
        <w:t>)</w:t>
      </w:r>
    </w:p>
    <w:p w:rsidR="000635F8" w:rsidRPr="007877ED" w:rsidRDefault="000635F8" w:rsidP="000635F8">
      <w:pPr>
        <w:pStyle w:val="ListParagraph"/>
        <w:numPr>
          <w:ilvl w:val="0"/>
          <w:numId w:val="28"/>
        </w:numPr>
        <w:autoSpaceDE w:val="0"/>
        <w:autoSpaceDN w:val="0"/>
        <w:adjustRightInd w:val="0"/>
        <w:spacing w:after="120" w:line="240" w:lineRule="auto"/>
        <w:ind w:left="567" w:hanging="357"/>
        <w:contextualSpacing w:val="0"/>
        <w:rPr>
          <w:rFonts w:cs="Arial"/>
          <w:sz w:val="24"/>
          <w:szCs w:val="24"/>
        </w:rPr>
      </w:pPr>
      <w:r w:rsidRPr="007877ED">
        <w:rPr>
          <w:rFonts w:cs="Arial"/>
          <w:sz w:val="24"/>
          <w:szCs w:val="24"/>
        </w:rPr>
        <w:t>Increased efficiency and effectiveness of regulatory arrangements for aquaculture could be obtained from greater use of environmental risk assessment based on species, production system, management practices, site location and the condition of the environment.</w:t>
      </w:r>
    </w:p>
    <w:p w:rsidR="000635F8" w:rsidRPr="007877ED" w:rsidRDefault="000635F8" w:rsidP="000635F8">
      <w:pPr>
        <w:pStyle w:val="ListParagraph"/>
        <w:numPr>
          <w:ilvl w:val="0"/>
          <w:numId w:val="28"/>
        </w:numPr>
        <w:autoSpaceDE w:val="0"/>
        <w:autoSpaceDN w:val="0"/>
        <w:adjustRightInd w:val="0"/>
        <w:spacing w:after="240" w:line="240" w:lineRule="auto"/>
        <w:ind w:left="567" w:hanging="357"/>
        <w:contextualSpacing w:val="0"/>
        <w:rPr>
          <w:rFonts w:cs="Arial"/>
          <w:sz w:val="24"/>
          <w:szCs w:val="24"/>
        </w:rPr>
      </w:pPr>
      <w:r w:rsidRPr="007877ED">
        <w:rPr>
          <w:rFonts w:cs="Arial"/>
          <w:sz w:val="24"/>
          <w:szCs w:val="24"/>
        </w:rPr>
        <w:t xml:space="preserve">There is potential for greater use of innovative policy instruments to complement (or in some cases replace) existing regulatory and administrative controls. For example, auctions could be used to allocate leases of public land or water, and </w:t>
      </w:r>
      <w:proofErr w:type="spellStart"/>
      <w:r w:rsidRPr="007877ED">
        <w:rPr>
          <w:rFonts w:cs="Arial"/>
          <w:sz w:val="24"/>
          <w:szCs w:val="24"/>
        </w:rPr>
        <w:t>tradeable</w:t>
      </w:r>
      <w:proofErr w:type="spellEnd"/>
      <w:r w:rsidRPr="007877ED">
        <w:rPr>
          <w:rFonts w:cs="Arial"/>
          <w:sz w:val="24"/>
          <w:szCs w:val="24"/>
        </w:rPr>
        <w:t xml:space="preserve"> permits could be used to manage pollution discharges.</w:t>
      </w:r>
    </w:p>
    <w:p w:rsidR="000635F8" w:rsidRPr="007877ED" w:rsidRDefault="000635F8" w:rsidP="000635F8">
      <w:pPr>
        <w:jc w:val="both"/>
        <w:rPr>
          <w:sz w:val="24"/>
          <w:szCs w:val="24"/>
        </w:rPr>
      </w:pPr>
      <w:r>
        <w:rPr>
          <w:sz w:val="24"/>
          <w:szCs w:val="24"/>
        </w:rPr>
        <w:t xml:space="preserve">The </w:t>
      </w:r>
      <w:proofErr w:type="spellStart"/>
      <w:r>
        <w:rPr>
          <w:sz w:val="24"/>
          <w:szCs w:val="24"/>
        </w:rPr>
        <w:t>TSGA</w:t>
      </w:r>
      <w:proofErr w:type="spellEnd"/>
      <w:r w:rsidRPr="007877ED">
        <w:rPr>
          <w:sz w:val="24"/>
          <w:szCs w:val="24"/>
        </w:rPr>
        <w:t xml:space="preserve"> contends that the regulatory constraints to aquaculture development flagged in 2004, and frequently since, have not been adequately addressed.  An underlying factor is that aquaculture falls somewhere in the regulatory gap between “fishing”, which is essentially hunting a natural resource for commercial production or recreational</w:t>
      </w:r>
      <w:r>
        <w:rPr>
          <w:sz w:val="24"/>
          <w:szCs w:val="24"/>
        </w:rPr>
        <w:t xml:space="preserve"> or cultural </w:t>
      </w:r>
      <w:r w:rsidRPr="007877ED">
        <w:rPr>
          <w:sz w:val="24"/>
          <w:szCs w:val="24"/>
        </w:rPr>
        <w:t>purposes in public waters; and “farming”, which involves rearing of animals which are the property of a commercial entity.</w:t>
      </w:r>
    </w:p>
    <w:p w:rsidR="000635F8" w:rsidRPr="007877ED" w:rsidRDefault="000635F8" w:rsidP="000635F8">
      <w:pPr>
        <w:jc w:val="both"/>
        <w:rPr>
          <w:sz w:val="24"/>
          <w:szCs w:val="24"/>
        </w:rPr>
      </w:pPr>
      <w:r w:rsidRPr="007877ED">
        <w:rPr>
          <w:sz w:val="24"/>
          <w:szCs w:val="24"/>
        </w:rPr>
        <w:t xml:space="preserve">Further, the plethora of various regulations controlling aquaculture are applied under a combination of Commonwealth, State/Territory, and Local Government legislation.  As an example, the following is a list of the legislated Acts &amp; Regulations which the Tasmanian </w:t>
      </w:r>
      <w:proofErr w:type="spellStart"/>
      <w:r w:rsidRPr="007877ED">
        <w:rPr>
          <w:sz w:val="24"/>
          <w:szCs w:val="24"/>
        </w:rPr>
        <w:t>salmonid</w:t>
      </w:r>
      <w:proofErr w:type="spellEnd"/>
      <w:r w:rsidRPr="007877ED">
        <w:rPr>
          <w:sz w:val="24"/>
          <w:szCs w:val="24"/>
        </w:rPr>
        <w:t xml:space="preserve"> farming industry must demonstrate compliance with (reproduced by permission of the Tasmanian </w:t>
      </w:r>
      <w:proofErr w:type="spellStart"/>
      <w:r w:rsidRPr="007877ED">
        <w:rPr>
          <w:sz w:val="24"/>
          <w:szCs w:val="24"/>
        </w:rPr>
        <w:t>Salmonid</w:t>
      </w:r>
      <w:proofErr w:type="spellEnd"/>
      <w:r w:rsidRPr="007877ED">
        <w:rPr>
          <w:sz w:val="24"/>
          <w:szCs w:val="24"/>
        </w:rPr>
        <w:t xml:space="preserve"> Growers Association).</w:t>
      </w:r>
      <w:r>
        <w:rPr>
          <w:sz w:val="24"/>
          <w:szCs w:val="24"/>
        </w:rPr>
        <w:t xml:space="preserve">  This burden is typical of most aquaculture industries in Australia and can also be overlaid with controls implemented by various </w:t>
      </w:r>
      <w:r w:rsidR="00151412">
        <w:rPr>
          <w:sz w:val="24"/>
          <w:szCs w:val="24"/>
        </w:rPr>
        <w:t>authorities</w:t>
      </w:r>
      <w:r>
        <w:rPr>
          <w:sz w:val="24"/>
          <w:szCs w:val="24"/>
        </w:rPr>
        <w:t xml:space="preserve">. </w:t>
      </w:r>
    </w:p>
    <w:p w:rsidR="000635F8" w:rsidRPr="007877ED" w:rsidRDefault="000635F8" w:rsidP="000635F8">
      <w:pPr>
        <w:spacing w:after="0"/>
        <w:rPr>
          <w:rFonts w:cs="Arial"/>
          <w:b/>
          <w:sz w:val="24"/>
          <w:szCs w:val="24"/>
        </w:rPr>
      </w:pPr>
    </w:p>
    <w:p w:rsidR="000635F8" w:rsidRPr="007877ED" w:rsidRDefault="000635F8" w:rsidP="000635F8">
      <w:pPr>
        <w:rPr>
          <w:rFonts w:cs="Arial"/>
          <w:b/>
          <w:sz w:val="24"/>
          <w:szCs w:val="24"/>
        </w:rPr>
        <w:sectPr w:rsidR="000635F8" w:rsidRPr="007877ED" w:rsidSect="00A232FA">
          <w:footerReference w:type="default" r:id="rId12"/>
          <w:pgSz w:w="11906" w:h="16838" w:code="9"/>
          <w:pgMar w:top="1134" w:right="1134" w:bottom="1134" w:left="1134" w:header="709" w:footer="709" w:gutter="0"/>
          <w:cols w:space="708"/>
          <w:docGrid w:linePitch="360"/>
        </w:sectPr>
      </w:pPr>
    </w:p>
    <w:p w:rsidR="000635F8" w:rsidRPr="007877ED" w:rsidRDefault="000635F8" w:rsidP="000635F8">
      <w:pPr>
        <w:rPr>
          <w:rFonts w:cs="Arial"/>
          <w:b/>
          <w:sz w:val="24"/>
          <w:szCs w:val="24"/>
        </w:rPr>
      </w:pPr>
      <w:r w:rsidRPr="007877ED">
        <w:rPr>
          <w:rFonts w:cs="Arial"/>
          <w:b/>
          <w:sz w:val="24"/>
          <w:szCs w:val="24"/>
        </w:rPr>
        <w:lastRenderedPageBreak/>
        <w:t>Statutory Compliance List</w:t>
      </w:r>
    </w:p>
    <w:p w:rsidR="000635F8" w:rsidRPr="000635F8" w:rsidRDefault="000635F8" w:rsidP="000635F8">
      <w:pPr>
        <w:spacing w:after="0" w:line="240" w:lineRule="auto"/>
        <w:contextualSpacing/>
        <w:rPr>
          <w:rFonts w:cs="Arial"/>
          <w:b/>
          <w:i/>
          <w:sz w:val="20"/>
          <w:szCs w:val="20"/>
        </w:rPr>
      </w:pPr>
      <w:r w:rsidRPr="000635F8">
        <w:rPr>
          <w:rFonts w:cs="Arial"/>
          <w:b/>
          <w:i/>
          <w:sz w:val="20"/>
          <w:szCs w:val="20"/>
        </w:rPr>
        <w:t>Commonwealth Legislation</w:t>
      </w:r>
    </w:p>
    <w:p w:rsidR="000635F8" w:rsidRPr="000635F8" w:rsidRDefault="000635F8" w:rsidP="000635F8">
      <w:pPr>
        <w:spacing w:after="0" w:line="240" w:lineRule="auto"/>
        <w:contextualSpacing/>
        <w:rPr>
          <w:rFonts w:cs="Arial"/>
          <w:sz w:val="20"/>
          <w:szCs w:val="20"/>
        </w:rPr>
      </w:pPr>
      <w:r w:rsidRPr="000635F8">
        <w:rPr>
          <w:rFonts w:cs="Arial"/>
          <w:sz w:val="20"/>
          <w:szCs w:val="20"/>
        </w:rPr>
        <w:t>Aboriginal and Torres Strait Islander Heritage Protection Act, 1984</w:t>
      </w:r>
    </w:p>
    <w:p w:rsidR="000635F8" w:rsidRPr="000635F8" w:rsidRDefault="000635F8" w:rsidP="000635F8">
      <w:pPr>
        <w:spacing w:after="0" w:line="240" w:lineRule="auto"/>
        <w:contextualSpacing/>
        <w:rPr>
          <w:rFonts w:cs="Arial"/>
          <w:sz w:val="20"/>
          <w:szCs w:val="20"/>
        </w:rPr>
      </w:pPr>
      <w:r w:rsidRPr="000635F8">
        <w:rPr>
          <w:rFonts w:cs="Arial"/>
          <w:sz w:val="20"/>
          <w:szCs w:val="20"/>
        </w:rPr>
        <w:t>Aboriginal Lands Act, 1995</w:t>
      </w:r>
    </w:p>
    <w:p w:rsidR="000635F8" w:rsidRPr="000635F8" w:rsidRDefault="000635F8" w:rsidP="000635F8">
      <w:pPr>
        <w:spacing w:after="0" w:line="240" w:lineRule="auto"/>
        <w:contextualSpacing/>
        <w:rPr>
          <w:rFonts w:cs="Arial"/>
          <w:sz w:val="20"/>
          <w:szCs w:val="20"/>
        </w:rPr>
      </w:pPr>
      <w:r w:rsidRPr="000635F8">
        <w:rPr>
          <w:rFonts w:cs="Arial"/>
          <w:sz w:val="20"/>
          <w:szCs w:val="20"/>
        </w:rPr>
        <w:t>Australian Heritage Council Act, 2003</w:t>
      </w:r>
    </w:p>
    <w:p w:rsidR="000635F8" w:rsidRPr="000635F8" w:rsidRDefault="000635F8" w:rsidP="000635F8">
      <w:pPr>
        <w:spacing w:after="0" w:line="240" w:lineRule="auto"/>
        <w:contextualSpacing/>
        <w:rPr>
          <w:rFonts w:cs="Arial"/>
          <w:sz w:val="20"/>
          <w:szCs w:val="20"/>
        </w:rPr>
      </w:pPr>
      <w:r w:rsidRPr="000635F8">
        <w:rPr>
          <w:rFonts w:cs="Arial"/>
          <w:sz w:val="20"/>
          <w:szCs w:val="20"/>
        </w:rPr>
        <w:t>Coastal Waters (State Powers) Act, 1980</w:t>
      </w:r>
    </w:p>
    <w:p w:rsidR="000635F8" w:rsidRPr="000635F8" w:rsidRDefault="000635F8" w:rsidP="000635F8">
      <w:pPr>
        <w:spacing w:after="0" w:line="240" w:lineRule="auto"/>
        <w:contextualSpacing/>
        <w:rPr>
          <w:rFonts w:cs="Arial"/>
          <w:sz w:val="20"/>
          <w:szCs w:val="20"/>
        </w:rPr>
      </w:pPr>
      <w:r w:rsidRPr="000635F8">
        <w:rPr>
          <w:rFonts w:cs="Arial"/>
          <w:sz w:val="20"/>
          <w:szCs w:val="20"/>
        </w:rPr>
        <w:t>Competition and Consumer Act, 2010</w:t>
      </w:r>
    </w:p>
    <w:p w:rsidR="000635F8" w:rsidRPr="000635F8" w:rsidRDefault="000635F8" w:rsidP="000635F8">
      <w:pPr>
        <w:spacing w:after="0" w:line="240" w:lineRule="auto"/>
        <w:contextualSpacing/>
        <w:rPr>
          <w:rFonts w:cs="Arial"/>
          <w:sz w:val="20"/>
          <w:szCs w:val="20"/>
        </w:rPr>
      </w:pPr>
      <w:r w:rsidRPr="000635F8">
        <w:rPr>
          <w:rFonts w:cs="Arial"/>
          <w:sz w:val="20"/>
          <w:szCs w:val="20"/>
        </w:rPr>
        <w:t>Environmental Protection and Biodiversity Conservation Act, 1999</w:t>
      </w:r>
    </w:p>
    <w:p w:rsidR="000635F8" w:rsidRPr="000635F8" w:rsidRDefault="000635F8" w:rsidP="000635F8">
      <w:pPr>
        <w:spacing w:after="0" w:line="240" w:lineRule="auto"/>
        <w:contextualSpacing/>
        <w:rPr>
          <w:rFonts w:cs="Arial"/>
          <w:sz w:val="20"/>
          <w:szCs w:val="20"/>
        </w:rPr>
      </w:pPr>
      <w:r w:rsidRPr="000635F8">
        <w:rPr>
          <w:rFonts w:cs="Arial"/>
          <w:sz w:val="20"/>
          <w:szCs w:val="20"/>
        </w:rPr>
        <w:t>Environmental Protection (Sea Dumping) Act 1981</w:t>
      </w:r>
    </w:p>
    <w:p w:rsidR="000635F8" w:rsidRPr="000635F8" w:rsidRDefault="000635F8" w:rsidP="000635F8">
      <w:pPr>
        <w:spacing w:after="0" w:line="240" w:lineRule="auto"/>
        <w:contextualSpacing/>
        <w:rPr>
          <w:rFonts w:cs="Arial"/>
          <w:sz w:val="20"/>
          <w:szCs w:val="20"/>
        </w:rPr>
      </w:pPr>
      <w:r w:rsidRPr="000635F8">
        <w:rPr>
          <w:rFonts w:cs="Arial"/>
          <w:sz w:val="20"/>
          <w:szCs w:val="20"/>
        </w:rPr>
        <w:t>Export Control Act, 1982</w:t>
      </w:r>
    </w:p>
    <w:p w:rsidR="000635F8" w:rsidRPr="000635F8" w:rsidRDefault="000635F8" w:rsidP="000635F8">
      <w:pPr>
        <w:spacing w:after="0" w:line="240" w:lineRule="auto"/>
        <w:contextualSpacing/>
        <w:rPr>
          <w:rFonts w:cs="Arial"/>
          <w:sz w:val="20"/>
          <w:szCs w:val="20"/>
        </w:rPr>
      </w:pPr>
      <w:r w:rsidRPr="000635F8">
        <w:rPr>
          <w:rFonts w:cs="Arial"/>
          <w:sz w:val="20"/>
          <w:szCs w:val="20"/>
        </w:rPr>
        <w:t>Export Control (Fish and Fish Products) Orders, 2005</w:t>
      </w:r>
    </w:p>
    <w:p w:rsidR="000635F8" w:rsidRPr="000635F8" w:rsidRDefault="000635F8" w:rsidP="000635F8">
      <w:pPr>
        <w:spacing w:after="0" w:line="240" w:lineRule="auto"/>
        <w:contextualSpacing/>
        <w:rPr>
          <w:rFonts w:cs="Arial"/>
          <w:sz w:val="20"/>
          <w:szCs w:val="20"/>
        </w:rPr>
      </w:pPr>
      <w:r w:rsidRPr="000635F8">
        <w:rPr>
          <w:rFonts w:cs="Arial"/>
          <w:sz w:val="20"/>
          <w:szCs w:val="20"/>
        </w:rPr>
        <w:t>Greenhouse Gas Emissions Act, 2005</w:t>
      </w:r>
    </w:p>
    <w:p w:rsidR="000635F8" w:rsidRPr="000635F8" w:rsidRDefault="000635F8" w:rsidP="000635F8">
      <w:pPr>
        <w:spacing w:after="0" w:line="240" w:lineRule="auto"/>
        <w:contextualSpacing/>
        <w:rPr>
          <w:rFonts w:cs="Arial"/>
          <w:sz w:val="20"/>
          <w:szCs w:val="20"/>
        </w:rPr>
      </w:pPr>
      <w:r w:rsidRPr="000635F8">
        <w:rPr>
          <w:rFonts w:cs="Arial"/>
          <w:sz w:val="20"/>
          <w:szCs w:val="20"/>
        </w:rPr>
        <w:t>Heritage Commission Act, 1975</w:t>
      </w:r>
    </w:p>
    <w:p w:rsidR="000635F8" w:rsidRPr="000635F8" w:rsidRDefault="000635F8" w:rsidP="000635F8">
      <w:pPr>
        <w:spacing w:after="0" w:line="240" w:lineRule="auto"/>
        <w:contextualSpacing/>
        <w:rPr>
          <w:rFonts w:cs="Arial"/>
          <w:sz w:val="20"/>
          <w:szCs w:val="20"/>
        </w:rPr>
      </w:pPr>
      <w:r w:rsidRPr="000635F8">
        <w:rPr>
          <w:rFonts w:cs="Arial"/>
          <w:sz w:val="20"/>
          <w:szCs w:val="20"/>
        </w:rPr>
        <w:t>Maritime Safety Authority Act, 1990</w:t>
      </w:r>
    </w:p>
    <w:p w:rsidR="000635F8" w:rsidRPr="000635F8" w:rsidRDefault="000635F8" w:rsidP="000635F8">
      <w:pPr>
        <w:spacing w:after="0" w:line="240" w:lineRule="auto"/>
        <w:contextualSpacing/>
        <w:rPr>
          <w:rFonts w:cs="Arial"/>
          <w:sz w:val="20"/>
          <w:szCs w:val="20"/>
        </w:rPr>
      </w:pPr>
      <w:r w:rsidRPr="000635F8">
        <w:rPr>
          <w:rFonts w:cs="Arial"/>
          <w:sz w:val="20"/>
          <w:szCs w:val="20"/>
        </w:rPr>
        <w:lastRenderedPageBreak/>
        <w:t>National Environment Protection Council Act, 1994</w:t>
      </w:r>
    </w:p>
    <w:p w:rsidR="000635F8" w:rsidRPr="000635F8" w:rsidRDefault="000635F8" w:rsidP="000635F8">
      <w:pPr>
        <w:spacing w:after="0" w:line="240" w:lineRule="auto"/>
        <w:contextualSpacing/>
        <w:rPr>
          <w:rFonts w:cs="Arial"/>
          <w:sz w:val="20"/>
          <w:szCs w:val="20"/>
        </w:rPr>
      </w:pPr>
      <w:r w:rsidRPr="000635F8">
        <w:rPr>
          <w:rFonts w:cs="Arial"/>
          <w:sz w:val="20"/>
          <w:szCs w:val="20"/>
        </w:rPr>
        <w:t>Navigation Act, 2012</w:t>
      </w:r>
    </w:p>
    <w:p w:rsidR="000635F8" w:rsidRPr="000635F8" w:rsidRDefault="000635F8" w:rsidP="000635F8">
      <w:pPr>
        <w:spacing w:after="0" w:line="240" w:lineRule="auto"/>
        <w:contextualSpacing/>
        <w:rPr>
          <w:rFonts w:cs="Arial"/>
          <w:sz w:val="20"/>
          <w:szCs w:val="20"/>
        </w:rPr>
      </w:pPr>
      <w:r w:rsidRPr="000635F8">
        <w:rPr>
          <w:rFonts w:cs="Arial"/>
          <w:sz w:val="20"/>
          <w:szCs w:val="20"/>
        </w:rPr>
        <w:t>Quarantine Act, 1908</w:t>
      </w:r>
    </w:p>
    <w:p w:rsidR="000635F8" w:rsidRPr="000635F8" w:rsidRDefault="000635F8" w:rsidP="000635F8">
      <w:pPr>
        <w:spacing w:after="0" w:line="240" w:lineRule="auto"/>
        <w:contextualSpacing/>
        <w:rPr>
          <w:rFonts w:cs="Arial"/>
          <w:sz w:val="20"/>
          <w:szCs w:val="20"/>
        </w:rPr>
      </w:pPr>
      <w:r w:rsidRPr="000635F8">
        <w:rPr>
          <w:rFonts w:cs="Arial"/>
          <w:sz w:val="20"/>
          <w:szCs w:val="20"/>
        </w:rPr>
        <w:t>Resource Assessment Commission Act, 1989</w:t>
      </w:r>
    </w:p>
    <w:p w:rsidR="000635F8" w:rsidRPr="000635F8" w:rsidRDefault="000635F8" w:rsidP="000635F8">
      <w:pPr>
        <w:spacing w:after="0" w:line="240" w:lineRule="auto"/>
        <w:contextualSpacing/>
        <w:rPr>
          <w:rFonts w:cs="Arial"/>
          <w:sz w:val="20"/>
          <w:szCs w:val="20"/>
        </w:rPr>
      </w:pPr>
      <w:r w:rsidRPr="000635F8">
        <w:rPr>
          <w:rFonts w:cs="Arial"/>
          <w:sz w:val="20"/>
          <w:szCs w:val="20"/>
        </w:rPr>
        <w:t>Sea Installations Act, 1987</w:t>
      </w:r>
    </w:p>
    <w:p w:rsidR="000635F8" w:rsidRPr="000635F8" w:rsidRDefault="000635F8" w:rsidP="000635F8">
      <w:pPr>
        <w:spacing w:after="0" w:line="240" w:lineRule="auto"/>
        <w:contextualSpacing/>
        <w:rPr>
          <w:rFonts w:cs="Arial"/>
          <w:sz w:val="20"/>
          <w:szCs w:val="20"/>
        </w:rPr>
      </w:pPr>
      <w:r w:rsidRPr="000635F8">
        <w:rPr>
          <w:rFonts w:cs="Arial"/>
          <w:sz w:val="20"/>
          <w:szCs w:val="20"/>
        </w:rPr>
        <w:t>Seas and Submerged Lands Act, 1973</w:t>
      </w:r>
    </w:p>
    <w:p w:rsidR="000635F8" w:rsidRPr="000635F8" w:rsidRDefault="000635F8" w:rsidP="000635F8">
      <w:pPr>
        <w:spacing w:before="120" w:after="0" w:line="240" w:lineRule="auto"/>
        <w:rPr>
          <w:rFonts w:cs="Arial"/>
          <w:b/>
          <w:i/>
          <w:sz w:val="20"/>
          <w:szCs w:val="20"/>
        </w:rPr>
      </w:pPr>
      <w:r w:rsidRPr="000635F8">
        <w:rPr>
          <w:rFonts w:cs="Arial"/>
          <w:b/>
          <w:i/>
          <w:sz w:val="20"/>
          <w:szCs w:val="20"/>
        </w:rPr>
        <w:t>Tasmanian Legislation</w:t>
      </w:r>
    </w:p>
    <w:p w:rsidR="000635F8" w:rsidRPr="000635F8" w:rsidRDefault="000635F8" w:rsidP="000635F8">
      <w:pPr>
        <w:spacing w:after="0" w:line="240" w:lineRule="auto"/>
        <w:contextualSpacing/>
        <w:rPr>
          <w:rFonts w:cs="Arial"/>
          <w:sz w:val="20"/>
          <w:szCs w:val="20"/>
        </w:rPr>
      </w:pPr>
      <w:r w:rsidRPr="000635F8">
        <w:rPr>
          <w:rFonts w:cs="Arial"/>
          <w:sz w:val="20"/>
          <w:szCs w:val="20"/>
        </w:rPr>
        <w:t>Aboriginal Relics Act, 1975</w:t>
      </w:r>
    </w:p>
    <w:p w:rsidR="000635F8" w:rsidRPr="000635F8" w:rsidRDefault="000635F8" w:rsidP="000635F8">
      <w:pPr>
        <w:spacing w:after="0" w:line="240" w:lineRule="auto"/>
        <w:contextualSpacing/>
        <w:rPr>
          <w:rFonts w:cs="Arial"/>
          <w:sz w:val="20"/>
          <w:szCs w:val="20"/>
        </w:rPr>
      </w:pPr>
      <w:r w:rsidRPr="000635F8">
        <w:rPr>
          <w:rFonts w:cs="Arial"/>
          <w:sz w:val="20"/>
          <w:szCs w:val="20"/>
        </w:rPr>
        <w:t>Agricultural and Veterinary Chemicals (Tasmania), 1994</w:t>
      </w:r>
    </w:p>
    <w:p w:rsidR="000635F8" w:rsidRPr="000635F8" w:rsidRDefault="000635F8" w:rsidP="000635F8">
      <w:pPr>
        <w:spacing w:after="0" w:line="240" w:lineRule="auto"/>
        <w:contextualSpacing/>
        <w:rPr>
          <w:rFonts w:cs="Arial"/>
          <w:sz w:val="20"/>
          <w:szCs w:val="20"/>
        </w:rPr>
      </w:pPr>
      <w:r w:rsidRPr="000635F8">
        <w:rPr>
          <w:rFonts w:cs="Arial"/>
          <w:sz w:val="20"/>
          <w:szCs w:val="20"/>
        </w:rPr>
        <w:t>Agricultural and Veterinary Chemicals (Control of Use), 1995</w:t>
      </w:r>
    </w:p>
    <w:p w:rsidR="000635F8" w:rsidRPr="000635F8" w:rsidRDefault="000635F8" w:rsidP="000635F8">
      <w:pPr>
        <w:spacing w:after="0" w:line="240" w:lineRule="auto"/>
        <w:contextualSpacing/>
        <w:rPr>
          <w:rFonts w:cs="Arial"/>
          <w:sz w:val="20"/>
          <w:szCs w:val="20"/>
        </w:rPr>
      </w:pPr>
      <w:r w:rsidRPr="000635F8">
        <w:rPr>
          <w:rFonts w:cs="Arial"/>
          <w:sz w:val="20"/>
          <w:szCs w:val="20"/>
        </w:rPr>
        <w:t>Animal Health Act, 1995</w:t>
      </w:r>
    </w:p>
    <w:p w:rsidR="000635F8" w:rsidRPr="000635F8" w:rsidRDefault="000635F8" w:rsidP="000635F8">
      <w:pPr>
        <w:spacing w:after="0" w:line="240" w:lineRule="auto"/>
        <w:contextualSpacing/>
        <w:rPr>
          <w:rFonts w:cs="Arial"/>
          <w:sz w:val="20"/>
          <w:szCs w:val="20"/>
        </w:rPr>
      </w:pPr>
      <w:r w:rsidRPr="000635F8">
        <w:rPr>
          <w:rFonts w:cs="Arial"/>
          <w:sz w:val="20"/>
          <w:szCs w:val="20"/>
        </w:rPr>
        <w:t>Animal Welfare Act, 1993</w:t>
      </w:r>
    </w:p>
    <w:p w:rsidR="000635F8" w:rsidRPr="000635F8" w:rsidRDefault="000635F8" w:rsidP="000635F8">
      <w:pPr>
        <w:spacing w:after="0" w:line="240" w:lineRule="auto"/>
        <w:contextualSpacing/>
        <w:rPr>
          <w:rFonts w:cs="Arial"/>
          <w:sz w:val="20"/>
          <w:szCs w:val="20"/>
        </w:rPr>
      </w:pPr>
      <w:r w:rsidRPr="000635F8">
        <w:rPr>
          <w:rFonts w:cs="Arial"/>
          <w:sz w:val="20"/>
          <w:szCs w:val="20"/>
        </w:rPr>
        <w:t>Crown Lands Act, 1976</w:t>
      </w:r>
    </w:p>
    <w:p w:rsidR="000635F8" w:rsidRPr="000635F8" w:rsidRDefault="000635F8" w:rsidP="000635F8">
      <w:pPr>
        <w:spacing w:after="0" w:line="240" w:lineRule="auto"/>
        <w:contextualSpacing/>
        <w:rPr>
          <w:rFonts w:cs="Arial"/>
          <w:sz w:val="20"/>
          <w:szCs w:val="20"/>
        </w:rPr>
      </w:pPr>
      <w:r w:rsidRPr="000635F8">
        <w:rPr>
          <w:rFonts w:cs="Arial"/>
          <w:sz w:val="20"/>
          <w:szCs w:val="20"/>
        </w:rPr>
        <w:t>Dangerous Goods Act, 1998</w:t>
      </w:r>
    </w:p>
    <w:p w:rsidR="000635F8" w:rsidRPr="000635F8" w:rsidRDefault="000635F8" w:rsidP="000635F8">
      <w:pPr>
        <w:spacing w:after="0" w:line="240" w:lineRule="auto"/>
        <w:contextualSpacing/>
        <w:rPr>
          <w:rFonts w:cs="Arial"/>
          <w:sz w:val="20"/>
          <w:szCs w:val="20"/>
        </w:rPr>
      </w:pPr>
      <w:r w:rsidRPr="000635F8">
        <w:rPr>
          <w:rFonts w:cs="Arial"/>
          <w:sz w:val="20"/>
          <w:szCs w:val="20"/>
        </w:rPr>
        <w:lastRenderedPageBreak/>
        <w:t>Energy Coordination and Planning Act, 1995</w:t>
      </w:r>
    </w:p>
    <w:p w:rsidR="000635F8" w:rsidRPr="000635F8" w:rsidRDefault="000635F8" w:rsidP="000635F8">
      <w:pPr>
        <w:spacing w:after="0" w:line="240" w:lineRule="auto"/>
        <w:contextualSpacing/>
        <w:rPr>
          <w:rFonts w:cs="Arial"/>
          <w:sz w:val="20"/>
          <w:szCs w:val="20"/>
        </w:rPr>
      </w:pPr>
      <w:r w:rsidRPr="000635F8">
        <w:rPr>
          <w:rFonts w:cs="Arial"/>
          <w:sz w:val="20"/>
          <w:szCs w:val="20"/>
        </w:rPr>
        <w:t>Environmental Management and Pollution Control Act, 1994</w:t>
      </w:r>
    </w:p>
    <w:p w:rsidR="000635F8" w:rsidRPr="000635F8" w:rsidRDefault="000635F8" w:rsidP="000635F8">
      <w:pPr>
        <w:spacing w:after="0" w:line="240" w:lineRule="auto"/>
        <w:contextualSpacing/>
        <w:rPr>
          <w:rFonts w:cs="Arial"/>
          <w:sz w:val="20"/>
          <w:szCs w:val="20"/>
        </w:rPr>
      </w:pPr>
      <w:r w:rsidRPr="000635F8">
        <w:rPr>
          <w:rFonts w:cs="Arial"/>
          <w:sz w:val="20"/>
          <w:szCs w:val="20"/>
        </w:rPr>
        <w:t>Farm Water Development Act, 1985</w:t>
      </w:r>
    </w:p>
    <w:p w:rsidR="000635F8" w:rsidRPr="000635F8" w:rsidRDefault="000635F8" w:rsidP="000635F8">
      <w:pPr>
        <w:spacing w:after="0" w:line="240" w:lineRule="auto"/>
        <w:contextualSpacing/>
        <w:rPr>
          <w:rFonts w:cs="Arial"/>
          <w:sz w:val="20"/>
          <w:szCs w:val="20"/>
        </w:rPr>
      </w:pPr>
      <w:r w:rsidRPr="000635F8">
        <w:rPr>
          <w:rFonts w:cs="Arial"/>
          <w:sz w:val="20"/>
          <w:szCs w:val="20"/>
        </w:rPr>
        <w:t>Fire Service Act, 1979</w:t>
      </w:r>
    </w:p>
    <w:p w:rsidR="000635F8" w:rsidRPr="000635F8" w:rsidRDefault="000635F8" w:rsidP="000635F8">
      <w:pPr>
        <w:spacing w:after="0" w:line="240" w:lineRule="auto"/>
        <w:contextualSpacing/>
        <w:rPr>
          <w:rFonts w:cs="Arial"/>
          <w:sz w:val="20"/>
          <w:szCs w:val="20"/>
        </w:rPr>
      </w:pPr>
      <w:r w:rsidRPr="000635F8">
        <w:rPr>
          <w:rFonts w:cs="Arial"/>
          <w:sz w:val="20"/>
          <w:szCs w:val="20"/>
        </w:rPr>
        <w:t>Food Act, 1998</w:t>
      </w:r>
    </w:p>
    <w:p w:rsidR="000635F8" w:rsidRPr="000635F8" w:rsidRDefault="000635F8" w:rsidP="000635F8">
      <w:pPr>
        <w:spacing w:after="0" w:line="240" w:lineRule="auto"/>
        <w:contextualSpacing/>
        <w:rPr>
          <w:rFonts w:cs="Arial"/>
          <w:sz w:val="20"/>
          <w:szCs w:val="20"/>
        </w:rPr>
      </w:pPr>
      <w:r w:rsidRPr="000635F8">
        <w:rPr>
          <w:rFonts w:cs="Arial"/>
          <w:sz w:val="20"/>
          <w:szCs w:val="20"/>
        </w:rPr>
        <w:t>Forest Practices Act, 1985</w:t>
      </w:r>
    </w:p>
    <w:p w:rsidR="000635F8" w:rsidRPr="000635F8" w:rsidRDefault="000635F8" w:rsidP="000635F8">
      <w:pPr>
        <w:spacing w:after="0" w:line="240" w:lineRule="auto"/>
        <w:contextualSpacing/>
        <w:rPr>
          <w:rFonts w:cs="Arial"/>
          <w:sz w:val="20"/>
          <w:szCs w:val="20"/>
        </w:rPr>
      </w:pPr>
      <w:r w:rsidRPr="000635F8">
        <w:rPr>
          <w:rFonts w:cs="Arial"/>
          <w:sz w:val="20"/>
          <w:szCs w:val="20"/>
        </w:rPr>
        <w:t>Gene Technology (Tasmania) Act, 2012</w:t>
      </w:r>
    </w:p>
    <w:p w:rsidR="000635F8" w:rsidRPr="000635F8" w:rsidRDefault="000635F8" w:rsidP="000635F8">
      <w:pPr>
        <w:spacing w:after="0" w:line="240" w:lineRule="auto"/>
        <w:contextualSpacing/>
        <w:rPr>
          <w:rFonts w:cs="Arial"/>
          <w:sz w:val="20"/>
          <w:szCs w:val="20"/>
        </w:rPr>
      </w:pPr>
      <w:r w:rsidRPr="000635F8">
        <w:rPr>
          <w:rFonts w:cs="Arial"/>
          <w:sz w:val="20"/>
          <w:szCs w:val="20"/>
        </w:rPr>
        <w:t>Genetically Modified Organisms Control Act, 2004</w:t>
      </w:r>
    </w:p>
    <w:p w:rsidR="000635F8" w:rsidRPr="000635F8" w:rsidRDefault="000635F8" w:rsidP="000635F8">
      <w:pPr>
        <w:spacing w:after="0" w:line="240" w:lineRule="auto"/>
        <w:contextualSpacing/>
        <w:rPr>
          <w:rFonts w:cs="Arial"/>
          <w:sz w:val="20"/>
          <w:szCs w:val="20"/>
        </w:rPr>
      </w:pPr>
      <w:r w:rsidRPr="000635F8">
        <w:rPr>
          <w:rFonts w:cs="Arial"/>
          <w:sz w:val="20"/>
          <w:szCs w:val="20"/>
        </w:rPr>
        <w:t>Groundwater Act, 1985</w:t>
      </w:r>
    </w:p>
    <w:p w:rsidR="000635F8" w:rsidRPr="000635F8" w:rsidRDefault="000635F8" w:rsidP="000635F8">
      <w:pPr>
        <w:spacing w:after="0" w:line="240" w:lineRule="auto"/>
        <w:contextualSpacing/>
        <w:rPr>
          <w:rFonts w:cs="Arial"/>
          <w:sz w:val="20"/>
          <w:szCs w:val="20"/>
        </w:rPr>
      </w:pPr>
      <w:r w:rsidRPr="000635F8">
        <w:rPr>
          <w:rFonts w:cs="Arial"/>
          <w:sz w:val="20"/>
          <w:szCs w:val="20"/>
        </w:rPr>
        <w:t>Historical Cultural Heritage Act, 1995</w:t>
      </w:r>
    </w:p>
    <w:p w:rsidR="000635F8" w:rsidRPr="000635F8" w:rsidRDefault="000635F8" w:rsidP="000635F8">
      <w:pPr>
        <w:spacing w:after="0" w:line="240" w:lineRule="auto"/>
        <w:contextualSpacing/>
        <w:rPr>
          <w:rFonts w:cs="Arial"/>
          <w:sz w:val="20"/>
          <w:szCs w:val="20"/>
        </w:rPr>
      </w:pPr>
      <w:r w:rsidRPr="000635F8">
        <w:rPr>
          <w:rFonts w:cs="Arial"/>
          <w:sz w:val="20"/>
          <w:szCs w:val="20"/>
        </w:rPr>
        <w:t>Hobart Regional Water (Arrangements) Act, 1996</w:t>
      </w:r>
    </w:p>
    <w:p w:rsidR="000635F8" w:rsidRPr="000635F8" w:rsidRDefault="000635F8" w:rsidP="000635F8">
      <w:pPr>
        <w:spacing w:after="0" w:line="240" w:lineRule="auto"/>
        <w:contextualSpacing/>
        <w:rPr>
          <w:rFonts w:cs="Arial"/>
          <w:sz w:val="20"/>
          <w:szCs w:val="20"/>
        </w:rPr>
      </w:pPr>
      <w:r w:rsidRPr="000635F8">
        <w:rPr>
          <w:rFonts w:cs="Arial"/>
          <w:sz w:val="20"/>
          <w:szCs w:val="20"/>
        </w:rPr>
        <w:t>Hydro-Electric Corporation Act, 1995</w:t>
      </w:r>
    </w:p>
    <w:p w:rsidR="000635F8" w:rsidRPr="000635F8" w:rsidRDefault="000635F8" w:rsidP="000635F8">
      <w:pPr>
        <w:spacing w:after="0" w:line="240" w:lineRule="auto"/>
        <w:contextualSpacing/>
        <w:rPr>
          <w:rFonts w:cs="Arial"/>
          <w:sz w:val="20"/>
          <w:szCs w:val="20"/>
        </w:rPr>
      </w:pPr>
      <w:r w:rsidRPr="000635F8">
        <w:rPr>
          <w:rFonts w:cs="Arial"/>
          <w:sz w:val="20"/>
          <w:szCs w:val="20"/>
        </w:rPr>
        <w:t>Inland Fisheries Act, 1995</w:t>
      </w:r>
    </w:p>
    <w:p w:rsidR="000635F8" w:rsidRPr="000635F8" w:rsidRDefault="000635F8" w:rsidP="000635F8">
      <w:pPr>
        <w:spacing w:after="0" w:line="240" w:lineRule="auto"/>
        <w:contextualSpacing/>
        <w:rPr>
          <w:rFonts w:cs="Arial"/>
          <w:sz w:val="20"/>
          <w:szCs w:val="20"/>
        </w:rPr>
      </w:pPr>
      <w:r w:rsidRPr="000635F8">
        <w:rPr>
          <w:rFonts w:cs="Arial"/>
          <w:sz w:val="20"/>
          <w:szCs w:val="20"/>
        </w:rPr>
        <w:t>Land Titles Act, 1980</w:t>
      </w:r>
    </w:p>
    <w:p w:rsidR="000635F8" w:rsidRPr="000635F8" w:rsidRDefault="000635F8" w:rsidP="000635F8">
      <w:pPr>
        <w:spacing w:after="0" w:line="240" w:lineRule="auto"/>
        <w:contextualSpacing/>
        <w:rPr>
          <w:rFonts w:cs="Arial"/>
          <w:sz w:val="20"/>
          <w:szCs w:val="20"/>
        </w:rPr>
      </w:pPr>
      <w:r w:rsidRPr="000635F8">
        <w:rPr>
          <w:rFonts w:cs="Arial"/>
          <w:sz w:val="20"/>
          <w:szCs w:val="20"/>
        </w:rPr>
        <w:t>Land Use Planning and Approvals Act, 1993</w:t>
      </w:r>
    </w:p>
    <w:p w:rsidR="000635F8" w:rsidRPr="000635F8" w:rsidRDefault="000635F8" w:rsidP="000635F8">
      <w:pPr>
        <w:spacing w:after="0" w:line="240" w:lineRule="auto"/>
        <w:contextualSpacing/>
        <w:rPr>
          <w:rFonts w:cs="Arial"/>
          <w:sz w:val="20"/>
          <w:szCs w:val="20"/>
        </w:rPr>
      </w:pPr>
      <w:r w:rsidRPr="000635F8">
        <w:rPr>
          <w:rFonts w:cs="Arial"/>
          <w:sz w:val="20"/>
          <w:szCs w:val="20"/>
        </w:rPr>
        <w:t>Litter Act, 2007</w:t>
      </w:r>
    </w:p>
    <w:p w:rsidR="000635F8" w:rsidRPr="000635F8" w:rsidRDefault="000635F8" w:rsidP="000635F8">
      <w:pPr>
        <w:spacing w:after="0" w:line="240" w:lineRule="auto"/>
        <w:contextualSpacing/>
        <w:rPr>
          <w:rFonts w:cs="Arial"/>
          <w:sz w:val="20"/>
          <w:szCs w:val="20"/>
        </w:rPr>
      </w:pPr>
      <w:r w:rsidRPr="000635F8">
        <w:rPr>
          <w:rFonts w:cs="Arial"/>
          <w:sz w:val="20"/>
          <w:szCs w:val="20"/>
        </w:rPr>
        <w:t>Living Marine Resources Management Act, 1995</w:t>
      </w:r>
    </w:p>
    <w:p w:rsidR="000635F8" w:rsidRPr="000635F8" w:rsidRDefault="000635F8" w:rsidP="000635F8">
      <w:pPr>
        <w:spacing w:after="0" w:line="240" w:lineRule="auto"/>
        <w:contextualSpacing/>
        <w:rPr>
          <w:rFonts w:cs="Arial"/>
          <w:sz w:val="20"/>
          <w:szCs w:val="20"/>
        </w:rPr>
      </w:pPr>
      <w:r w:rsidRPr="000635F8">
        <w:rPr>
          <w:rFonts w:cs="Arial"/>
          <w:sz w:val="20"/>
          <w:szCs w:val="20"/>
        </w:rPr>
        <w:t>Local Government Act, 1993</w:t>
      </w:r>
    </w:p>
    <w:p w:rsidR="000635F8" w:rsidRPr="000635F8" w:rsidRDefault="000635F8" w:rsidP="000635F8">
      <w:pPr>
        <w:spacing w:after="0" w:line="240" w:lineRule="auto"/>
        <w:contextualSpacing/>
        <w:rPr>
          <w:rFonts w:cs="Arial"/>
          <w:sz w:val="20"/>
          <w:szCs w:val="20"/>
        </w:rPr>
      </w:pPr>
      <w:r w:rsidRPr="000635F8">
        <w:rPr>
          <w:rFonts w:cs="Arial"/>
          <w:sz w:val="20"/>
          <w:szCs w:val="20"/>
        </w:rPr>
        <w:t>Marine Farming Planning Act, 1995</w:t>
      </w:r>
    </w:p>
    <w:p w:rsidR="000635F8" w:rsidRPr="000635F8" w:rsidRDefault="000635F8" w:rsidP="000635F8">
      <w:pPr>
        <w:spacing w:after="0" w:line="240" w:lineRule="auto"/>
        <w:contextualSpacing/>
        <w:rPr>
          <w:rFonts w:cs="Arial"/>
          <w:sz w:val="20"/>
          <w:szCs w:val="20"/>
        </w:rPr>
      </w:pPr>
      <w:r w:rsidRPr="000635F8">
        <w:rPr>
          <w:rFonts w:cs="Arial"/>
          <w:sz w:val="20"/>
          <w:szCs w:val="20"/>
        </w:rPr>
        <w:t>Marine and Safety Authority Act, 1997</w:t>
      </w:r>
    </w:p>
    <w:p w:rsidR="000635F8" w:rsidRPr="000635F8" w:rsidRDefault="000635F8" w:rsidP="000635F8">
      <w:pPr>
        <w:spacing w:after="0" w:line="240" w:lineRule="auto"/>
        <w:contextualSpacing/>
        <w:rPr>
          <w:rFonts w:cs="Arial"/>
          <w:sz w:val="20"/>
          <w:szCs w:val="20"/>
        </w:rPr>
      </w:pPr>
      <w:r w:rsidRPr="000635F8">
        <w:rPr>
          <w:rFonts w:cs="Arial"/>
          <w:sz w:val="20"/>
          <w:szCs w:val="20"/>
        </w:rPr>
        <w:t>Mineral Resources Development Act, 1995</w:t>
      </w:r>
    </w:p>
    <w:p w:rsidR="000635F8" w:rsidRPr="000635F8" w:rsidRDefault="000635F8" w:rsidP="000635F8">
      <w:pPr>
        <w:spacing w:after="0" w:line="240" w:lineRule="auto"/>
        <w:contextualSpacing/>
        <w:rPr>
          <w:rFonts w:cs="Arial"/>
          <w:sz w:val="20"/>
          <w:szCs w:val="20"/>
        </w:rPr>
      </w:pPr>
      <w:r w:rsidRPr="000635F8">
        <w:rPr>
          <w:rFonts w:cs="Arial"/>
          <w:sz w:val="20"/>
          <w:szCs w:val="20"/>
        </w:rPr>
        <w:t>National Parks and Reserves Management Act, 2002</w:t>
      </w:r>
    </w:p>
    <w:p w:rsidR="000635F8" w:rsidRPr="000635F8" w:rsidRDefault="000635F8" w:rsidP="000635F8">
      <w:pPr>
        <w:spacing w:after="0" w:line="240" w:lineRule="auto"/>
        <w:contextualSpacing/>
        <w:rPr>
          <w:rFonts w:cs="Arial"/>
          <w:sz w:val="20"/>
          <w:szCs w:val="20"/>
        </w:rPr>
      </w:pPr>
      <w:r w:rsidRPr="000635F8">
        <w:rPr>
          <w:rFonts w:cs="Arial"/>
          <w:sz w:val="20"/>
          <w:szCs w:val="20"/>
        </w:rPr>
        <w:t>Natural Resource Management Act, 2002</w:t>
      </w:r>
    </w:p>
    <w:p w:rsidR="000635F8" w:rsidRPr="000635F8" w:rsidRDefault="000635F8" w:rsidP="000635F8">
      <w:pPr>
        <w:spacing w:after="0" w:line="240" w:lineRule="auto"/>
        <w:contextualSpacing/>
        <w:rPr>
          <w:rFonts w:cs="Arial"/>
          <w:sz w:val="20"/>
          <w:szCs w:val="20"/>
        </w:rPr>
      </w:pPr>
      <w:r w:rsidRPr="000635F8">
        <w:rPr>
          <w:rFonts w:cs="Arial"/>
          <w:sz w:val="20"/>
          <w:szCs w:val="20"/>
        </w:rPr>
        <w:t>Nature Conservation Act, 2002</w:t>
      </w:r>
    </w:p>
    <w:p w:rsidR="000635F8" w:rsidRPr="000635F8" w:rsidRDefault="000635F8" w:rsidP="000635F8">
      <w:pPr>
        <w:spacing w:after="0" w:line="240" w:lineRule="auto"/>
        <w:contextualSpacing/>
        <w:rPr>
          <w:rFonts w:cs="Arial"/>
          <w:sz w:val="20"/>
          <w:szCs w:val="20"/>
        </w:rPr>
      </w:pPr>
      <w:r w:rsidRPr="000635F8">
        <w:rPr>
          <w:rFonts w:cs="Arial"/>
          <w:sz w:val="20"/>
          <w:szCs w:val="20"/>
        </w:rPr>
        <w:t>Poisons Act, 1971</w:t>
      </w:r>
    </w:p>
    <w:p w:rsidR="000635F8" w:rsidRPr="000635F8" w:rsidRDefault="000635F8" w:rsidP="000635F8">
      <w:pPr>
        <w:spacing w:after="0" w:line="240" w:lineRule="auto"/>
        <w:contextualSpacing/>
        <w:rPr>
          <w:rFonts w:cs="Arial"/>
          <w:sz w:val="20"/>
          <w:szCs w:val="20"/>
        </w:rPr>
      </w:pPr>
      <w:r w:rsidRPr="000635F8">
        <w:rPr>
          <w:rFonts w:cs="Arial"/>
          <w:sz w:val="20"/>
          <w:szCs w:val="20"/>
        </w:rPr>
        <w:t>Pollution of Waters by Oil and Noxious Substances Act, 1987</w:t>
      </w:r>
    </w:p>
    <w:p w:rsidR="000635F8" w:rsidRPr="000635F8" w:rsidRDefault="000635F8" w:rsidP="000635F8">
      <w:pPr>
        <w:spacing w:after="0" w:line="240" w:lineRule="auto"/>
        <w:contextualSpacing/>
        <w:rPr>
          <w:rFonts w:cs="Arial"/>
          <w:sz w:val="20"/>
          <w:szCs w:val="20"/>
        </w:rPr>
      </w:pPr>
      <w:r w:rsidRPr="000635F8">
        <w:rPr>
          <w:rFonts w:cs="Arial"/>
          <w:sz w:val="20"/>
          <w:szCs w:val="20"/>
        </w:rPr>
        <w:t>Primary Produce Safety Act, 2011</w:t>
      </w:r>
    </w:p>
    <w:p w:rsidR="000635F8" w:rsidRPr="000635F8" w:rsidRDefault="000635F8" w:rsidP="000635F8">
      <w:pPr>
        <w:spacing w:after="0" w:line="240" w:lineRule="auto"/>
        <w:contextualSpacing/>
        <w:rPr>
          <w:rFonts w:cs="Arial"/>
          <w:sz w:val="20"/>
          <w:szCs w:val="20"/>
        </w:rPr>
      </w:pPr>
      <w:r w:rsidRPr="000635F8">
        <w:rPr>
          <w:rFonts w:cs="Arial"/>
          <w:sz w:val="20"/>
          <w:szCs w:val="20"/>
        </w:rPr>
        <w:t>Public Health Act, 1997</w:t>
      </w:r>
    </w:p>
    <w:p w:rsidR="000635F8" w:rsidRPr="000635F8" w:rsidRDefault="000635F8" w:rsidP="000635F8">
      <w:pPr>
        <w:spacing w:after="0" w:line="240" w:lineRule="auto"/>
        <w:contextualSpacing/>
        <w:rPr>
          <w:rFonts w:cs="Arial"/>
          <w:sz w:val="20"/>
          <w:szCs w:val="20"/>
        </w:rPr>
      </w:pPr>
      <w:r w:rsidRPr="000635F8">
        <w:rPr>
          <w:rFonts w:cs="Arial"/>
          <w:sz w:val="20"/>
          <w:szCs w:val="20"/>
        </w:rPr>
        <w:t>Rivers and Water Supply Commission Act, 1999</w:t>
      </w:r>
    </w:p>
    <w:p w:rsidR="000635F8" w:rsidRPr="000635F8" w:rsidRDefault="000635F8" w:rsidP="000635F8">
      <w:pPr>
        <w:spacing w:after="0" w:line="240" w:lineRule="auto"/>
        <w:contextualSpacing/>
        <w:rPr>
          <w:rFonts w:cs="Arial"/>
          <w:sz w:val="20"/>
          <w:szCs w:val="20"/>
        </w:rPr>
      </w:pPr>
      <w:r w:rsidRPr="000635F8">
        <w:rPr>
          <w:rFonts w:cs="Arial"/>
          <w:sz w:val="20"/>
          <w:szCs w:val="20"/>
        </w:rPr>
        <w:t>Roads and Jetties Act, 1935</w:t>
      </w:r>
    </w:p>
    <w:p w:rsidR="000635F8" w:rsidRPr="000635F8" w:rsidRDefault="000635F8" w:rsidP="000635F8">
      <w:pPr>
        <w:spacing w:after="0" w:line="240" w:lineRule="auto"/>
        <w:contextualSpacing/>
        <w:rPr>
          <w:rFonts w:cs="Arial"/>
          <w:sz w:val="20"/>
          <w:szCs w:val="20"/>
        </w:rPr>
      </w:pPr>
      <w:r w:rsidRPr="000635F8">
        <w:rPr>
          <w:rFonts w:cs="Arial"/>
          <w:sz w:val="20"/>
          <w:szCs w:val="20"/>
        </w:rPr>
        <w:t>Sewer and Drains Act, 1954</w:t>
      </w:r>
    </w:p>
    <w:p w:rsidR="000635F8" w:rsidRPr="000635F8" w:rsidRDefault="000635F8" w:rsidP="000635F8">
      <w:pPr>
        <w:spacing w:after="0" w:line="240" w:lineRule="auto"/>
        <w:contextualSpacing/>
        <w:rPr>
          <w:rFonts w:cs="Arial"/>
          <w:sz w:val="20"/>
          <w:szCs w:val="20"/>
        </w:rPr>
      </w:pPr>
      <w:r w:rsidRPr="000635F8">
        <w:rPr>
          <w:rFonts w:cs="Arial"/>
          <w:sz w:val="20"/>
          <w:szCs w:val="20"/>
        </w:rPr>
        <w:t>State Coastal Policy Validation Act, 2003</w:t>
      </w:r>
    </w:p>
    <w:p w:rsidR="000635F8" w:rsidRPr="000635F8" w:rsidRDefault="000635F8" w:rsidP="000635F8">
      <w:pPr>
        <w:spacing w:after="0" w:line="240" w:lineRule="auto"/>
        <w:contextualSpacing/>
        <w:rPr>
          <w:rFonts w:cs="Arial"/>
          <w:sz w:val="20"/>
          <w:szCs w:val="20"/>
        </w:rPr>
      </w:pPr>
      <w:r w:rsidRPr="000635F8">
        <w:rPr>
          <w:rFonts w:cs="Arial"/>
          <w:sz w:val="20"/>
          <w:szCs w:val="20"/>
        </w:rPr>
        <w:t>State Policies and Projects Act, 1993</w:t>
      </w:r>
    </w:p>
    <w:p w:rsidR="000635F8" w:rsidRPr="000635F8" w:rsidRDefault="000635F8" w:rsidP="000635F8">
      <w:pPr>
        <w:spacing w:after="0" w:line="240" w:lineRule="auto"/>
        <w:contextualSpacing/>
        <w:rPr>
          <w:rFonts w:cs="Arial"/>
          <w:sz w:val="20"/>
          <w:szCs w:val="20"/>
        </w:rPr>
      </w:pPr>
      <w:r w:rsidRPr="000635F8">
        <w:rPr>
          <w:rFonts w:cs="Arial"/>
          <w:sz w:val="20"/>
          <w:szCs w:val="20"/>
        </w:rPr>
        <w:t>Tasmanian Building Act, 2002</w:t>
      </w:r>
    </w:p>
    <w:p w:rsidR="000635F8" w:rsidRPr="000635F8" w:rsidRDefault="000635F8" w:rsidP="000635F8">
      <w:pPr>
        <w:spacing w:after="0" w:line="240" w:lineRule="auto"/>
        <w:contextualSpacing/>
        <w:rPr>
          <w:rFonts w:cs="Arial"/>
          <w:sz w:val="20"/>
          <w:szCs w:val="20"/>
        </w:rPr>
      </w:pPr>
      <w:r w:rsidRPr="000635F8">
        <w:rPr>
          <w:rFonts w:cs="Arial"/>
          <w:sz w:val="20"/>
          <w:szCs w:val="20"/>
        </w:rPr>
        <w:t>Tasmanian Planning Commission Act, 1997</w:t>
      </w:r>
    </w:p>
    <w:p w:rsidR="000635F8" w:rsidRPr="000635F8" w:rsidRDefault="000635F8" w:rsidP="000635F8">
      <w:pPr>
        <w:spacing w:after="0" w:line="240" w:lineRule="auto"/>
        <w:contextualSpacing/>
        <w:rPr>
          <w:rFonts w:cs="Arial"/>
          <w:sz w:val="20"/>
          <w:szCs w:val="20"/>
        </w:rPr>
      </w:pPr>
      <w:r w:rsidRPr="000635F8">
        <w:rPr>
          <w:rFonts w:cs="Arial"/>
          <w:sz w:val="20"/>
          <w:szCs w:val="20"/>
        </w:rPr>
        <w:t>Threatened Species Protection Act, 1995</w:t>
      </w:r>
    </w:p>
    <w:p w:rsidR="000635F8" w:rsidRPr="000635F8" w:rsidRDefault="000635F8" w:rsidP="000635F8">
      <w:pPr>
        <w:spacing w:after="0" w:line="240" w:lineRule="auto"/>
        <w:contextualSpacing/>
        <w:rPr>
          <w:rFonts w:cs="Arial"/>
          <w:sz w:val="20"/>
          <w:szCs w:val="20"/>
        </w:rPr>
      </w:pPr>
      <w:r w:rsidRPr="000635F8">
        <w:rPr>
          <w:rFonts w:cs="Arial"/>
          <w:sz w:val="20"/>
          <w:szCs w:val="20"/>
        </w:rPr>
        <w:t>Water Management Act, 1999</w:t>
      </w:r>
    </w:p>
    <w:p w:rsidR="000635F8" w:rsidRPr="000635F8" w:rsidRDefault="000635F8" w:rsidP="000635F8">
      <w:pPr>
        <w:spacing w:after="0" w:line="240" w:lineRule="auto"/>
        <w:contextualSpacing/>
        <w:rPr>
          <w:rFonts w:cs="Arial"/>
          <w:sz w:val="20"/>
          <w:szCs w:val="20"/>
        </w:rPr>
      </w:pPr>
      <w:r w:rsidRPr="000635F8">
        <w:rPr>
          <w:rFonts w:cs="Arial"/>
          <w:sz w:val="20"/>
          <w:szCs w:val="20"/>
        </w:rPr>
        <w:t>Water Quality Act, 1999</w:t>
      </w:r>
    </w:p>
    <w:p w:rsidR="000635F8" w:rsidRPr="000635F8" w:rsidRDefault="000635F8" w:rsidP="000635F8">
      <w:pPr>
        <w:spacing w:after="0" w:line="240" w:lineRule="auto"/>
        <w:contextualSpacing/>
        <w:rPr>
          <w:rFonts w:cs="Arial"/>
          <w:sz w:val="20"/>
          <w:szCs w:val="20"/>
        </w:rPr>
      </w:pPr>
      <w:r w:rsidRPr="000635F8">
        <w:rPr>
          <w:rFonts w:cs="Arial"/>
          <w:sz w:val="20"/>
          <w:szCs w:val="20"/>
        </w:rPr>
        <w:t>Weed Management Act, 1999</w:t>
      </w:r>
    </w:p>
    <w:p w:rsidR="000635F8" w:rsidRPr="000635F8" w:rsidRDefault="000635F8" w:rsidP="000635F8">
      <w:pPr>
        <w:spacing w:after="0" w:line="240" w:lineRule="auto"/>
        <w:contextualSpacing/>
        <w:rPr>
          <w:rFonts w:cs="Arial"/>
          <w:sz w:val="20"/>
          <w:szCs w:val="20"/>
        </w:rPr>
      </w:pPr>
      <w:r w:rsidRPr="000635F8">
        <w:rPr>
          <w:rFonts w:cs="Arial"/>
          <w:sz w:val="20"/>
          <w:szCs w:val="20"/>
        </w:rPr>
        <w:t>Whales Protection Act, 1988</w:t>
      </w:r>
    </w:p>
    <w:p w:rsidR="000635F8" w:rsidRPr="000635F8" w:rsidRDefault="000635F8" w:rsidP="000635F8">
      <w:pPr>
        <w:spacing w:after="0" w:line="240" w:lineRule="auto"/>
        <w:contextualSpacing/>
        <w:rPr>
          <w:rFonts w:cs="Arial"/>
          <w:sz w:val="20"/>
          <w:szCs w:val="20"/>
        </w:rPr>
      </w:pPr>
      <w:r w:rsidRPr="000635F8">
        <w:rPr>
          <w:rFonts w:cs="Arial"/>
          <w:sz w:val="20"/>
          <w:szCs w:val="20"/>
        </w:rPr>
        <w:t>Wildlife Regulations, 1999</w:t>
      </w:r>
    </w:p>
    <w:p w:rsidR="000635F8" w:rsidRPr="000635F8" w:rsidRDefault="000635F8" w:rsidP="000635F8">
      <w:pPr>
        <w:spacing w:after="0" w:line="240" w:lineRule="auto"/>
        <w:contextualSpacing/>
        <w:rPr>
          <w:rFonts w:cs="Arial"/>
          <w:sz w:val="20"/>
          <w:szCs w:val="20"/>
        </w:rPr>
      </w:pPr>
      <w:r w:rsidRPr="000635F8">
        <w:rPr>
          <w:rFonts w:cs="Arial"/>
          <w:sz w:val="20"/>
          <w:szCs w:val="20"/>
        </w:rPr>
        <w:t>Work Health and Safety Act, 2012</w:t>
      </w:r>
    </w:p>
    <w:p w:rsidR="000635F8" w:rsidRPr="000635F8" w:rsidRDefault="000635F8" w:rsidP="000635F8">
      <w:pPr>
        <w:spacing w:after="0" w:line="240" w:lineRule="auto"/>
        <w:contextualSpacing/>
        <w:rPr>
          <w:rFonts w:cs="Arial"/>
          <w:sz w:val="20"/>
          <w:szCs w:val="20"/>
        </w:rPr>
      </w:pPr>
    </w:p>
    <w:p w:rsidR="000635F8" w:rsidRPr="000635F8" w:rsidRDefault="000635F8" w:rsidP="000635F8">
      <w:pPr>
        <w:spacing w:after="0" w:line="240" w:lineRule="auto"/>
        <w:contextualSpacing/>
        <w:rPr>
          <w:rFonts w:cs="Arial"/>
          <w:b/>
          <w:i/>
          <w:sz w:val="20"/>
          <w:szCs w:val="20"/>
        </w:rPr>
      </w:pPr>
      <w:r w:rsidRPr="000635F8">
        <w:rPr>
          <w:rFonts w:cs="Arial"/>
          <w:b/>
          <w:i/>
          <w:sz w:val="20"/>
          <w:szCs w:val="20"/>
        </w:rPr>
        <w:t>Other Guidelines – policies, codes of practice, strategies, management plans</w:t>
      </w:r>
    </w:p>
    <w:p w:rsidR="000635F8" w:rsidRPr="000635F8" w:rsidRDefault="000635F8" w:rsidP="000635F8">
      <w:pPr>
        <w:spacing w:after="0" w:line="240" w:lineRule="auto"/>
        <w:contextualSpacing/>
        <w:rPr>
          <w:rFonts w:cs="Arial"/>
          <w:sz w:val="20"/>
          <w:szCs w:val="20"/>
        </w:rPr>
      </w:pPr>
      <w:r w:rsidRPr="000635F8">
        <w:rPr>
          <w:rFonts w:cs="Arial"/>
          <w:sz w:val="20"/>
          <w:szCs w:val="20"/>
        </w:rPr>
        <w:t>Aquatic Animal Welfare Guidelines, National Aquaculture Council, 2004</w:t>
      </w:r>
    </w:p>
    <w:p w:rsidR="000635F8" w:rsidRPr="000635F8" w:rsidRDefault="000635F8" w:rsidP="000635F8">
      <w:pPr>
        <w:spacing w:after="0" w:line="240" w:lineRule="auto"/>
        <w:contextualSpacing/>
        <w:rPr>
          <w:rFonts w:cs="Arial"/>
          <w:sz w:val="20"/>
          <w:szCs w:val="20"/>
        </w:rPr>
      </w:pPr>
      <w:proofErr w:type="spellStart"/>
      <w:r w:rsidRPr="000635F8">
        <w:rPr>
          <w:rFonts w:cs="Arial"/>
          <w:sz w:val="20"/>
          <w:szCs w:val="20"/>
        </w:rPr>
        <w:t>Broadscale</w:t>
      </w:r>
      <w:proofErr w:type="spellEnd"/>
      <w:r w:rsidRPr="000635F8">
        <w:rPr>
          <w:rFonts w:cs="Arial"/>
          <w:sz w:val="20"/>
          <w:szCs w:val="20"/>
        </w:rPr>
        <w:t xml:space="preserve"> Environmental Monitoring Program (</w:t>
      </w:r>
      <w:proofErr w:type="spellStart"/>
      <w:r w:rsidRPr="000635F8">
        <w:rPr>
          <w:rFonts w:cs="Arial"/>
          <w:sz w:val="20"/>
          <w:szCs w:val="20"/>
        </w:rPr>
        <w:t>BEMP</w:t>
      </w:r>
      <w:proofErr w:type="spellEnd"/>
      <w:r w:rsidRPr="000635F8">
        <w:rPr>
          <w:rFonts w:cs="Arial"/>
          <w:sz w:val="20"/>
          <w:szCs w:val="20"/>
        </w:rPr>
        <w:t>)</w:t>
      </w:r>
    </w:p>
    <w:p w:rsidR="000635F8" w:rsidRPr="000635F8" w:rsidRDefault="000635F8" w:rsidP="000635F8">
      <w:pPr>
        <w:spacing w:after="0" w:line="240" w:lineRule="auto"/>
        <w:contextualSpacing/>
        <w:rPr>
          <w:rFonts w:cs="Arial"/>
          <w:sz w:val="20"/>
          <w:szCs w:val="20"/>
        </w:rPr>
      </w:pPr>
      <w:r w:rsidRPr="000635F8">
        <w:rPr>
          <w:rFonts w:cs="Arial"/>
          <w:sz w:val="20"/>
          <w:szCs w:val="20"/>
        </w:rPr>
        <w:t>Convention Concerning the Protection of World Cultural and Heritage Areas</w:t>
      </w:r>
    </w:p>
    <w:p w:rsidR="000635F8" w:rsidRPr="000635F8" w:rsidRDefault="000635F8" w:rsidP="000635F8">
      <w:pPr>
        <w:spacing w:after="0" w:line="240" w:lineRule="auto"/>
        <w:contextualSpacing/>
        <w:rPr>
          <w:rFonts w:cs="Arial"/>
          <w:sz w:val="20"/>
          <w:szCs w:val="20"/>
        </w:rPr>
      </w:pPr>
      <w:r w:rsidRPr="000635F8">
        <w:rPr>
          <w:rFonts w:cs="Arial"/>
          <w:sz w:val="20"/>
          <w:szCs w:val="20"/>
        </w:rPr>
        <w:t>Global Reporting Initiative (</w:t>
      </w:r>
      <w:proofErr w:type="spellStart"/>
      <w:r w:rsidRPr="000635F8">
        <w:rPr>
          <w:rFonts w:cs="Arial"/>
          <w:sz w:val="20"/>
          <w:szCs w:val="20"/>
        </w:rPr>
        <w:t>GRI</w:t>
      </w:r>
      <w:proofErr w:type="spellEnd"/>
      <w:r w:rsidRPr="000635F8">
        <w:rPr>
          <w:rFonts w:cs="Arial"/>
          <w:sz w:val="20"/>
          <w:szCs w:val="20"/>
        </w:rPr>
        <w:t>) Sustainability Reporting</w:t>
      </w:r>
    </w:p>
    <w:p w:rsidR="000635F8" w:rsidRPr="000635F8" w:rsidRDefault="000635F8" w:rsidP="000635F8">
      <w:pPr>
        <w:spacing w:after="0" w:line="240" w:lineRule="auto"/>
        <w:contextualSpacing/>
        <w:rPr>
          <w:rFonts w:cs="Arial"/>
          <w:sz w:val="20"/>
          <w:szCs w:val="20"/>
        </w:rPr>
      </w:pPr>
      <w:r w:rsidRPr="000635F8">
        <w:rPr>
          <w:rFonts w:cs="Arial"/>
          <w:sz w:val="20"/>
          <w:szCs w:val="20"/>
        </w:rPr>
        <w:lastRenderedPageBreak/>
        <w:t>Marine Farming Development Plans and Licences</w:t>
      </w:r>
    </w:p>
    <w:p w:rsidR="000635F8" w:rsidRPr="000635F8" w:rsidRDefault="000635F8" w:rsidP="000635F8">
      <w:pPr>
        <w:spacing w:after="0" w:line="240" w:lineRule="auto"/>
        <w:contextualSpacing/>
        <w:rPr>
          <w:rFonts w:cs="Arial"/>
          <w:sz w:val="20"/>
          <w:szCs w:val="20"/>
        </w:rPr>
      </w:pPr>
      <w:r w:rsidRPr="000635F8">
        <w:rPr>
          <w:rFonts w:cs="Arial"/>
          <w:sz w:val="20"/>
          <w:szCs w:val="20"/>
        </w:rPr>
        <w:t>Marine and Safety (Mooring) By-laws, 1998</w:t>
      </w:r>
    </w:p>
    <w:p w:rsidR="000635F8" w:rsidRPr="000635F8" w:rsidRDefault="000635F8" w:rsidP="000635F8">
      <w:pPr>
        <w:spacing w:after="0" w:line="240" w:lineRule="auto"/>
        <w:contextualSpacing/>
        <w:rPr>
          <w:rFonts w:cs="Arial"/>
          <w:sz w:val="20"/>
          <w:szCs w:val="20"/>
        </w:rPr>
      </w:pPr>
      <w:r w:rsidRPr="000635F8">
        <w:rPr>
          <w:rFonts w:cs="Arial"/>
          <w:sz w:val="20"/>
          <w:szCs w:val="20"/>
        </w:rPr>
        <w:t>Seal and Fishery Interaction Management Strategy, 2002</w:t>
      </w:r>
    </w:p>
    <w:p w:rsidR="000635F8" w:rsidRPr="000635F8" w:rsidRDefault="000635F8" w:rsidP="000635F8">
      <w:pPr>
        <w:spacing w:after="0" w:line="240" w:lineRule="auto"/>
        <w:contextualSpacing/>
        <w:rPr>
          <w:rFonts w:cs="Arial"/>
          <w:sz w:val="20"/>
          <w:szCs w:val="20"/>
        </w:rPr>
      </w:pPr>
      <w:r w:rsidRPr="000635F8">
        <w:rPr>
          <w:rFonts w:cs="Arial"/>
          <w:sz w:val="20"/>
          <w:szCs w:val="20"/>
        </w:rPr>
        <w:t>State Coastal Policy, 1996</w:t>
      </w:r>
    </w:p>
    <w:p w:rsidR="000635F8" w:rsidRPr="000635F8" w:rsidRDefault="000635F8" w:rsidP="000635F8">
      <w:pPr>
        <w:spacing w:after="0" w:line="240" w:lineRule="auto"/>
        <w:contextualSpacing/>
        <w:rPr>
          <w:rFonts w:cs="Arial"/>
          <w:sz w:val="20"/>
          <w:szCs w:val="20"/>
        </w:rPr>
      </w:pPr>
      <w:r w:rsidRPr="000635F8">
        <w:rPr>
          <w:rFonts w:cs="Arial"/>
          <w:sz w:val="20"/>
          <w:szCs w:val="20"/>
        </w:rPr>
        <w:t>State Policy on Water Quality Management, 1997</w:t>
      </w:r>
    </w:p>
    <w:p w:rsidR="000635F8" w:rsidRPr="000635F8" w:rsidRDefault="000635F8" w:rsidP="000635F8">
      <w:pPr>
        <w:spacing w:after="0" w:line="240" w:lineRule="auto"/>
        <w:contextualSpacing/>
        <w:rPr>
          <w:rFonts w:cs="Arial"/>
          <w:sz w:val="20"/>
          <w:szCs w:val="20"/>
        </w:rPr>
      </w:pPr>
      <w:r w:rsidRPr="000635F8">
        <w:rPr>
          <w:rFonts w:cs="Arial"/>
          <w:sz w:val="20"/>
          <w:szCs w:val="20"/>
        </w:rPr>
        <w:t>State-wide Baseline Water Quality Monitoring Program</w:t>
      </w:r>
    </w:p>
    <w:p w:rsidR="000635F8" w:rsidRPr="000635F8" w:rsidRDefault="000635F8" w:rsidP="000635F8">
      <w:pPr>
        <w:spacing w:after="0" w:line="240" w:lineRule="auto"/>
        <w:contextualSpacing/>
        <w:rPr>
          <w:rFonts w:cs="Arial"/>
          <w:sz w:val="20"/>
          <w:szCs w:val="20"/>
        </w:rPr>
      </w:pPr>
      <w:r w:rsidRPr="000635F8">
        <w:rPr>
          <w:rFonts w:cs="Arial"/>
          <w:sz w:val="20"/>
          <w:szCs w:val="20"/>
        </w:rPr>
        <w:t>Tasmanian Marine Protected Areas Strategy, 2001</w:t>
      </w:r>
    </w:p>
    <w:p w:rsidR="000635F8" w:rsidRPr="000635F8" w:rsidRDefault="000635F8" w:rsidP="000635F8">
      <w:pPr>
        <w:spacing w:after="0" w:line="240" w:lineRule="auto"/>
        <w:contextualSpacing/>
        <w:rPr>
          <w:rFonts w:cs="Arial"/>
          <w:sz w:val="20"/>
          <w:szCs w:val="20"/>
        </w:rPr>
      </w:pPr>
      <w:r w:rsidRPr="000635F8">
        <w:rPr>
          <w:rFonts w:cs="Arial"/>
          <w:sz w:val="20"/>
          <w:szCs w:val="20"/>
        </w:rPr>
        <w:t xml:space="preserve">Tasmanian </w:t>
      </w:r>
      <w:proofErr w:type="spellStart"/>
      <w:r w:rsidRPr="000635F8">
        <w:rPr>
          <w:rFonts w:cs="Arial"/>
          <w:sz w:val="20"/>
          <w:szCs w:val="20"/>
        </w:rPr>
        <w:t>Salmonid</w:t>
      </w:r>
      <w:proofErr w:type="spellEnd"/>
      <w:r w:rsidRPr="000635F8">
        <w:rPr>
          <w:rFonts w:cs="Arial"/>
          <w:sz w:val="20"/>
          <w:szCs w:val="20"/>
        </w:rPr>
        <w:t xml:space="preserve"> Farming Industry Code of Practice, 2004</w:t>
      </w:r>
    </w:p>
    <w:p w:rsidR="000635F8" w:rsidRPr="000635F8" w:rsidRDefault="000635F8" w:rsidP="000635F8">
      <w:pPr>
        <w:spacing w:after="0" w:line="240" w:lineRule="auto"/>
        <w:contextualSpacing/>
        <w:rPr>
          <w:rFonts w:cs="Arial"/>
          <w:sz w:val="20"/>
          <w:szCs w:val="20"/>
        </w:rPr>
      </w:pPr>
      <w:r w:rsidRPr="000635F8">
        <w:rPr>
          <w:rFonts w:cs="Arial"/>
          <w:sz w:val="20"/>
          <w:szCs w:val="20"/>
        </w:rPr>
        <w:t>The Environment Protection Policy (Noise) 2009</w:t>
      </w:r>
    </w:p>
    <w:p w:rsidR="000635F8" w:rsidRPr="007877ED" w:rsidRDefault="000635F8" w:rsidP="000635F8">
      <w:pPr>
        <w:spacing w:after="60"/>
        <w:jc w:val="both"/>
        <w:rPr>
          <w:sz w:val="24"/>
          <w:szCs w:val="24"/>
        </w:rPr>
        <w:sectPr w:rsidR="000635F8" w:rsidRPr="007877ED" w:rsidSect="00A232FA">
          <w:type w:val="continuous"/>
          <w:pgSz w:w="11906" w:h="16838" w:code="9"/>
          <w:pgMar w:top="1134" w:right="1134" w:bottom="1134" w:left="1134" w:header="709" w:footer="709" w:gutter="0"/>
          <w:cols w:num="2" w:space="708"/>
          <w:docGrid w:linePitch="360"/>
        </w:sectPr>
      </w:pPr>
    </w:p>
    <w:p w:rsidR="000635F8" w:rsidRDefault="00924247" w:rsidP="000635F8">
      <w:pPr>
        <w:jc w:val="both"/>
        <w:rPr>
          <w:b/>
          <w:sz w:val="24"/>
          <w:szCs w:val="24"/>
        </w:rPr>
      </w:pPr>
      <w:r w:rsidRPr="00061065">
        <w:rPr>
          <w:b/>
          <w:sz w:val="24"/>
          <w:szCs w:val="24"/>
        </w:rPr>
        <w:lastRenderedPageBreak/>
        <w:t xml:space="preserve">Responses to Draft Recommendations, Chapter 8 – Aquaculture </w:t>
      </w:r>
    </w:p>
    <w:p w:rsidR="00061065" w:rsidRDefault="00061065" w:rsidP="000635F8">
      <w:pPr>
        <w:jc w:val="both"/>
        <w:rPr>
          <w:sz w:val="24"/>
          <w:szCs w:val="24"/>
        </w:rPr>
      </w:pPr>
      <w:r>
        <w:rPr>
          <w:sz w:val="24"/>
          <w:szCs w:val="24"/>
        </w:rPr>
        <w:t xml:space="preserve">The </w:t>
      </w:r>
      <w:proofErr w:type="spellStart"/>
      <w:r>
        <w:rPr>
          <w:sz w:val="24"/>
          <w:szCs w:val="24"/>
        </w:rPr>
        <w:t>TSGA</w:t>
      </w:r>
      <w:proofErr w:type="spellEnd"/>
      <w:r>
        <w:rPr>
          <w:sz w:val="24"/>
          <w:szCs w:val="24"/>
        </w:rPr>
        <w:t xml:space="preserve"> notes that in the Draft Report there are no formal recommendations that impact the salmon industry – our support for/ view on the draft findings of the report is detailed below.</w:t>
      </w:r>
    </w:p>
    <w:p w:rsidR="00061065" w:rsidRPr="00061065" w:rsidRDefault="00061065" w:rsidP="00061065">
      <w:pPr>
        <w:pStyle w:val="FindingTitle"/>
        <w:rPr>
          <w:rFonts w:asciiTheme="minorHAnsi" w:hAnsiTheme="minorHAnsi" w:cstheme="minorHAnsi"/>
          <w:b/>
          <w:i/>
          <w:noProof/>
          <w:sz w:val="24"/>
          <w:szCs w:val="24"/>
        </w:rPr>
      </w:pPr>
      <w:r w:rsidRPr="00061065">
        <w:rPr>
          <w:rFonts w:asciiTheme="minorHAnsi" w:hAnsiTheme="minorHAnsi" w:cstheme="minorHAnsi"/>
          <w:b/>
          <w:i/>
          <w:sz w:val="24"/>
          <w:szCs w:val="24"/>
        </w:rPr>
        <w:t>Draft Finding 8.</w:t>
      </w:r>
      <w:r w:rsidRPr="00061065">
        <w:rPr>
          <w:rFonts w:asciiTheme="minorHAnsi" w:hAnsiTheme="minorHAnsi" w:cstheme="minorHAnsi"/>
          <w:b/>
          <w:i/>
          <w:noProof/>
          <w:sz w:val="24"/>
          <w:szCs w:val="24"/>
        </w:rPr>
        <w:t>1</w:t>
      </w:r>
    </w:p>
    <w:p w:rsidR="00061065" w:rsidRDefault="00061065" w:rsidP="00061065">
      <w:pPr>
        <w:jc w:val="both"/>
        <w:rPr>
          <w:rFonts w:cstheme="minorHAnsi"/>
          <w:sz w:val="24"/>
          <w:szCs w:val="24"/>
        </w:rPr>
      </w:pPr>
      <w:r>
        <w:rPr>
          <w:rFonts w:cstheme="minorHAnsi"/>
          <w:sz w:val="24"/>
          <w:szCs w:val="24"/>
        </w:rPr>
        <w:t>“</w:t>
      </w:r>
      <w:r w:rsidRPr="00061065">
        <w:rPr>
          <w:rFonts w:cstheme="minorHAnsi"/>
          <w:sz w:val="24"/>
          <w:szCs w:val="24"/>
        </w:rPr>
        <w:t>The development of aquaculture requires access to suitable sites. Spatial planning assists in the efficient identification of these locations. Spatial planning may also provide greater certainty, regulatory predictability and a more streamlined approval process for investors.</w:t>
      </w:r>
      <w:r>
        <w:rPr>
          <w:rFonts w:cstheme="minorHAnsi"/>
          <w:sz w:val="24"/>
          <w:szCs w:val="24"/>
        </w:rPr>
        <w:t>”</w:t>
      </w:r>
    </w:p>
    <w:p w:rsidR="00061065" w:rsidRPr="00061065" w:rsidRDefault="00061065" w:rsidP="00061065">
      <w:pPr>
        <w:pStyle w:val="ListParagraph"/>
        <w:numPr>
          <w:ilvl w:val="0"/>
          <w:numId w:val="33"/>
        </w:numPr>
        <w:jc w:val="both"/>
        <w:rPr>
          <w:rFonts w:cstheme="minorHAnsi"/>
          <w:sz w:val="24"/>
          <w:szCs w:val="24"/>
        </w:rPr>
      </w:pPr>
      <w:r>
        <w:rPr>
          <w:rFonts w:cstheme="minorHAnsi"/>
          <w:sz w:val="24"/>
          <w:szCs w:val="24"/>
        </w:rPr>
        <w:t xml:space="preserve">The </w:t>
      </w:r>
      <w:proofErr w:type="spellStart"/>
      <w:r>
        <w:rPr>
          <w:rFonts w:cstheme="minorHAnsi"/>
          <w:sz w:val="24"/>
          <w:szCs w:val="24"/>
        </w:rPr>
        <w:t>TSGA</w:t>
      </w:r>
      <w:proofErr w:type="spellEnd"/>
      <w:r>
        <w:rPr>
          <w:rFonts w:cstheme="minorHAnsi"/>
          <w:sz w:val="24"/>
          <w:szCs w:val="24"/>
        </w:rPr>
        <w:t xml:space="preserve"> agrees with and supports this statement.</w:t>
      </w:r>
    </w:p>
    <w:p w:rsidR="00061065" w:rsidRPr="00061065" w:rsidRDefault="00061065" w:rsidP="00061065">
      <w:pPr>
        <w:keepNext/>
        <w:keepLines/>
        <w:spacing w:before="240" w:after="0" w:line="280" w:lineRule="atLeast"/>
        <w:jc w:val="both"/>
        <w:rPr>
          <w:rFonts w:eastAsia="Times New Roman" w:cstheme="minorHAnsi"/>
          <w:b/>
          <w:i/>
          <w:caps/>
          <w:noProof/>
          <w:sz w:val="24"/>
          <w:szCs w:val="24"/>
          <w:lang w:val="en-AU" w:eastAsia="en-AU"/>
        </w:rPr>
      </w:pPr>
      <w:r w:rsidRPr="00061065">
        <w:rPr>
          <w:rFonts w:eastAsia="Times New Roman" w:cstheme="minorHAnsi"/>
          <w:b/>
          <w:i/>
          <w:caps/>
          <w:sz w:val="24"/>
          <w:szCs w:val="24"/>
          <w:lang w:val="en-AU" w:eastAsia="en-AU"/>
        </w:rPr>
        <w:t>DRAFT Finding 8.</w:t>
      </w:r>
      <w:r w:rsidRPr="00061065">
        <w:rPr>
          <w:rFonts w:eastAsia="Times New Roman" w:cstheme="minorHAnsi"/>
          <w:b/>
          <w:i/>
          <w:caps/>
          <w:noProof/>
          <w:sz w:val="24"/>
          <w:szCs w:val="24"/>
          <w:lang w:val="en-AU" w:eastAsia="en-AU"/>
        </w:rPr>
        <w:t>2</w:t>
      </w:r>
    </w:p>
    <w:p w:rsidR="00061065" w:rsidRDefault="00061065" w:rsidP="00061065">
      <w:pPr>
        <w:jc w:val="both"/>
        <w:rPr>
          <w:rFonts w:eastAsia="Times New Roman" w:cstheme="minorHAnsi"/>
          <w:sz w:val="24"/>
          <w:szCs w:val="24"/>
          <w:lang w:val="en-AU" w:eastAsia="en-AU"/>
        </w:rPr>
      </w:pPr>
      <w:r>
        <w:rPr>
          <w:rFonts w:eastAsia="Times New Roman" w:cstheme="minorHAnsi"/>
          <w:sz w:val="24"/>
          <w:szCs w:val="24"/>
          <w:lang w:val="en-AU" w:eastAsia="en-AU"/>
        </w:rPr>
        <w:t>“</w:t>
      </w:r>
      <w:r w:rsidRPr="00061065">
        <w:rPr>
          <w:rFonts w:eastAsia="Times New Roman" w:cstheme="minorHAnsi"/>
          <w:sz w:val="24"/>
          <w:szCs w:val="24"/>
          <w:lang w:val="en-AU" w:eastAsia="en-AU"/>
        </w:rPr>
        <w:t>The regulatory arrangements for aquaculture have not significantly changed since the Commission’s 2004 study. This has not been a significant impediment to the growth of the aquaculture industry in Australia as the major aquaculture-producing states already had many best-practice regulatory features and other states have faced challenges that are predominantly non-regulatory in nature.</w:t>
      </w:r>
      <w:r>
        <w:rPr>
          <w:rFonts w:eastAsia="Times New Roman" w:cstheme="minorHAnsi"/>
          <w:sz w:val="24"/>
          <w:szCs w:val="24"/>
          <w:lang w:val="en-AU" w:eastAsia="en-AU"/>
        </w:rPr>
        <w:t>”</w:t>
      </w:r>
    </w:p>
    <w:p w:rsidR="00061065" w:rsidRDefault="00061065" w:rsidP="00061065">
      <w:pPr>
        <w:pStyle w:val="ListParagraph"/>
        <w:numPr>
          <w:ilvl w:val="0"/>
          <w:numId w:val="33"/>
        </w:numPr>
        <w:jc w:val="both"/>
        <w:rPr>
          <w:rFonts w:cstheme="minorHAnsi"/>
          <w:sz w:val="24"/>
          <w:szCs w:val="24"/>
        </w:rPr>
      </w:pPr>
      <w:r>
        <w:rPr>
          <w:rFonts w:cstheme="minorHAnsi"/>
          <w:sz w:val="24"/>
          <w:szCs w:val="24"/>
        </w:rPr>
        <w:t xml:space="preserve">The </w:t>
      </w:r>
      <w:proofErr w:type="spellStart"/>
      <w:r>
        <w:rPr>
          <w:rFonts w:cstheme="minorHAnsi"/>
          <w:sz w:val="24"/>
          <w:szCs w:val="24"/>
        </w:rPr>
        <w:t>TSGA</w:t>
      </w:r>
      <w:proofErr w:type="spellEnd"/>
      <w:r>
        <w:rPr>
          <w:rFonts w:cstheme="minorHAnsi"/>
          <w:sz w:val="24"/>
          <w:szCs w:val="24"/>
        </w:rPr>
        <w:t xml:space="preserve"> agrees with and supports this statement.</w:t>
      </w:r>
    </w:p>
    <w:p w:rsidR="000C629A" w:rsidRPr="000C629A" w:rsidRDefault="000C629A" w:rsidP="000C629A">
      <w:pPr>
        <w:keepNext/>
        <w:keepLines/>
        <w:spacing w:before="240" w:after="0" w:line="280" w:lineRule="atLeast"/>
        <w:jc w:val="both"/>
        <w:rPr>
          <w:rFonts w:eastAsia="Times New Roman" w:cstheme="minorHAnsi"/>
          <w:b/>
          <w:i/>
          <w:caps/>
          <w:noProof/>
          <w:sz w:val="24"/>
          <w:szCs w:val="24"/>
          <w:lang w:val="en-AU" w:eastAsia="en-AU"/>
        </w:rPr>
      </w:pPr>
      <w:r w:rsidRPr="000C629A">
        <w:rPr>
          <w:rFonts w:eastAsia="Times New Roman" w:cstheme="minorHAnsi"/>
          <w:b/>
          <w:i/>
          <w:caps/>
          <w:sz w:val="24"/>
          <w:szCs w:val="24"/>
          <w:lang w:val="en-AU" w:eastAsia="en-AU"/>
        </w:rPr>
        <w:t>draft Finding 8.</w:t>
      </w:r>
      <w:r w:rsidRPr="000C629A">
        <w:rPr>
          <w:rFonts w:eastAsia="Times New Roman" w:cstheme="minorHAnsi"/>
          <w:b/>
          <w:i/>
          <w:caps/>
          <w:noProof/>
          <w:sz w:val="24"/>
          <w:szCs w:val="24"/>
          <w:lang w:val="en-AU" w:eastAsia="en-AU"/>
        </w:rPr>
        <w:t>3</w:t>
      </w:r>
    </w:p>
    <w:p w:rsidR="00061065" w:rsidRDefault="000C629A" w:rsidP="000C629A">
      <w:pPr>
        <w:jc w:val="both"/>
        <w:rPr>
          <w:rFonts w:eastAsia="Times New Roman" w:cstheme="minorHAnsi"/>
          <w:sz w:val="24"/>
          <w:szCs w:val="24"/>
          <w:lang w:val="en-AU" w:eastAsia="en-AU"/>
        </w:rPr>
      </w:pPr>
      <w:r>
        <w:rPr>
          <w:rFonts w:eastAsia="Times New Roman" w:cstheme="minorHAnsi"/>
          <w:sz w:val="24"/>
          <w:szCs w:val="24"/>
          <w:lang w:val="en-AU" w:eastAsia="en-AU"/>
        </w:rPr>
        <w:t>“</w:t>
      </w:r>
      <w:r w:rsidRPr="000C629A">
        <w:rPr>
          <w:rFonts w:eastAsia="Times New Roman" w:cstheme="minorHAnsi"/>
          <w:sz w:val="24"/>
          <w:szCs w:val="24"/>
          <w:lang w:val="en-AU" w:eastAsia="en-AU"/>
        </w:rPr>
        <w:t>Concerns about the environmental and amenity impacts of aquaculture developments are prominent in some states, highlighting tensions for governments in both regulating and promoting industry growth. These concerns could be minimised by having separate agencies responsible for regulatory and industry development functions.</w:t>
      </w:r>
      <w:r>
        <w:rPr>
          <w:rFonts w:eastAsia="Times New Roman" w:cstheme="minorHAnsi"/>
          <w:sz w:val="24"/>
          <w:szCs w:val="24"/>
          <w:lang w:val="en-AU" w:eastAsia="en-AU"/>
        </w:rPr>
        <w:t>”</w:t>
      </w:r>
    </w:p>
    <w:p w:rsidR="000C629A" w:rsidRDefault="000C629A" w:rsidP="000C629A">
      <w:pPr>
        <w:pStyle w:val="ListParagraph"/>
        <w:numPr>
          <w:ilvl w:val="0"/>
          <w:numId w:val="33"/>
        </w:numPr>
        <w:jc w:val="both"/>
        <w:rPr>
          <w:rFonts w:cstheme="minorHAnsi"/>
          <w:sz w:val="24"/>
          <w:szCs w:val="24"/>
        </w:rPr>
      </w:pPr>
      <w:r>
        <w:rPr>
          <w:rFonts w:cstheme="minorHAnsi"/>
          <w:sz w:val="24"/>
          <w:szCs w:val="24"/>
        </w:rPr>
        <w:t xml:space="preserve">The </w:t>
      </w:r>
      <w:proofErr w:type="spellStart"/>
      <w:r>
        <w:rPr>
          <w:rFonts w:cstheme="minorHAnsi"/>
          <w:sz w:val="24"/>
          <w:szCs w:val="24"/>
        </w:rPr>
        <w:t>TSGA</w:t>
      </w:r>
      <w:proofErr w:type="spellEnd"/>
      <w:r>
        <w:rPr>
          <w:rFonts w:cstheme="minorHAnsi"/>
          <w:sz w:val="24"/>
          <w:szCs w:val="24"/>
        </w:rPr>
        <w:t xml:space="preserve"> acknowledges that this has been an issue for some time when management of the Tasmanian </w:t>
      </w:r>
      <w:proofErr w:type="spellStart"/>
      <w:r>
        <w:rPr>
          <w:rFonts w:cstheme="minorHAnsi"/>
          <w:sz w:val="24"/>
          <w:szCs w:val="24"/>
        </w:rPr>
        <w:t>salmonid</w:t>
      </w:r>
      <w:proofErr w:type="spellEnd"/>
      <w:r>
        <w:rPr>
          <w:rFonts w:cstheme="minorHAnsi"/>
          <w:sz w:val="24"/>
          <w:szCs w:val="24"/>
        </w:rPr>
        <w:t xml:space="preserve"> farming industry is discussed. The issue was raised and addressed during the recent senate inquiry into finfish farming in Tasmania. In response to this the Tasmanian government recently announced changes to the management and administration of marine farming in Tasmania summarised below (</w:t>
      </w:r>
      <w:hyperlink r:id="rId13" w:history="1">
        <w:r w:rsidRPr="002A4610">
          <w:rPr>
            <w:rStyle w:val="Hyperlink"/>
            <w:rFonts w:cstheme="minorHAnsi"/>
            <w:sz w:val="24"/>
            <w:szCs w:val="24"/>
          </w:rPr>
          <w:t>http://dpipwe.tas.gov.au/sea-fishing-aquaculture/marine-farming-aquaculture/changes-to-salmon-industry-regulation</w:t>
        </w:r>
      </w:hyperlink>
      <w:r>
        <w:rPr>
          <w:rFonts w:cstheme="minorHAnsi"/>
          <w:sz w:val="24"/>
          <w:szCs w:val="24"/>
        </w:rPr>
        <w:t xml:space="preserve"> ).</w:t>
      </w:r>
    </w:p>
    <w:p w:rsidR="000C629A" w:rsidRPr="000C629A" w:rsidRDefault="000C629A" w:rsidP="000C629A">
      <w:pPr>
        <w:pStyle w:val="NormalWeb"/>
        <w:numPr>
          <w:ilvl w:val="1"/>
          <w:numId w:val="33"/>
        </w:numPr>
        <w:shd w:val="clear" w:color="auto" w:fill="FFFFFF"/>
        <w:spacing w:line="270" w:lineRule="atLeast"/>
        <w:rPr>
          <w:rFonts w:ascii="Arial" w:hAnsi="Arial" w:cs="Arial"/>
          <w:sz w:val="20"/>
          <w:szCs w:val="20"/>
          <w:lang w:val="en"/>
        </w:rPr>
      </w:pPr>
      <w:r w:rsidRPr="000C629A">
        <w:rPr>
          <w:rFonts w:ascii="Arial" w:hAnsi="Arial" w:cs="Arial"/>
          <w:sz w:val="20"/>
          <w:szCs w:val="20"/>
          <w:lang w:val="en"/>
        </w:rPr>
        <w:t xml:space="preserve">The responsibility for environmental control and management of the </w:t>
      </w:r>
      <w:proofErr w:type="spellStart"/>
      <w:r w:rsidRPr="000C629A">
        <w:rPr>
          <w:rFonts w:ascii="Arial" w:hAnsi="Arial" w:cs="Arial"/>
          <w:sz w:val="20"/>
          <w:szCs w:val="20"/>
          <w:lang w:val="en"/>
        </w:rPr>
        <w:t>salmonid</w:t>
      </w:r>
      <w:proofErr w:type="spellEnd"/>
      <w:r w:rsidRPr="000C629A">
        <w:rPr>
          <w:rFonts w:ascii="Arial" w:hAnsi="Arial" w:cs="Arial"/>
          <w:sz w:val="20"/>
          <w:szCs w:val="20"/>
          <w:lang w:val="en"/>
        </w:rPr>
        <w:t xml:space="preserve"> industry will be transferred from the Department of Primary Industries, Parks, Water and Environment to the </w:t>
      </w:r>
      <w:r w:rsidRPr="000C629A">
        <w:rPr>
          <w:rStyle w:val="Strong"/>
          <w:rFonts w:ascii="Arial" w:hAnsi="Arial" w:cs="Arial"/>
          <w:b w:val="0"/>
          <w:sz w:val="20"/>
          <w:szCs w:val="20"/>
          <w:lang w:val="en"/>
        </w:rPr>
        <w:t>Environment Protection Authority</w:t>
      </w:r>
      <w:r w:rsidRPr="000C629A">
        <w:rPr>
          <w:rFonts w:ascii="Arial" w:hAnsi="Arial" w:cs="Arial"/>
          <w:sz w:val="20"/>
          <w:szCs w:val="20"/>
          <w:lang w:val="en"/>
        </w:rPr>
        <w:t xml:space="preserve"> (EPA). This move brings together the environmental management and regulation of all salmon farms and hatcheries, both in inland and marine waters, under a single independent authority. Marine farm planning and development functions will remain with </w:t>
      </w:r>
      <w:proofErr w:type="spellStart"/>
      <w:r w:rsidRPr="000C629A">
        <w:rPr>
          <w:rFonts w:ascii="Arial" w:hAnsi="Arial" w:cs="Arial"/>
          <w:sz w:val="20"/>
          <w:szCs w:val="20"/>
          <w:lang w:val="en"/>
        </w:rPr>
        <w:t>DPIPWE</w:t>
      </w:r>
      <w:proofErr w:type="spellEnd"/>
      <w:r w:rsidRPr="000C629A">
        <w:rPr>
          <w:rFonts w:ascii="Arial" w:hAnsi="Arial" w:cs="Arial"/>
          <w:sz w:val="20"/>
          <w:szCs w:val="20"/>
          <w:lang w:val="en"/>
        </w:rPr>
        <w:t>.</w:t>
      </w:r>
    </w:p>
    <w:p w:rsidR="000C629A" w:rsidRPr="000C629A" w:rsidRDefault="000C629A" w:rsidP="000C629A">
      <w:pPr>
        <w:pStyle w:val="NormalWeb"/>
        <w:numPr>
          <w:ilvl w:val="1"/>
          <w:numId w:val="33"/>
        </w:numPr>
        <w:shd w:val="clear" w:color="auto" w:fill="FFFFFF"/>
        <w:spacing w:line="270" w:lineRule="atLeast"/>
        <w:rPr>
          <w:rFonts w:ascii="Arial" w:hAnsi="Arial" w:cs="Arial"/>
          <w:sz w:val="20"/>
          <w:szCs w:val="20"/>
          <w:lang w:val="en"/>
        </w:rPr>
      </w:pPr>
      <w:r w:rsidRPr="000C629A">
        <w:rPr>
          <w:rStyle w:val="Strong"/>
          <w:rFonts w:ascii="Arial" w:hAnsi="Arial" w:cs="Arial"/>
          <w:b w:val="0"/>
          <w:sz w:val="20"/>
          <w:szCs w:val="20"/>
          <w:lang w:val="en"/>
        </w:rPr>
        <w:t>Enforcement</w:t>
      </w:r>
      <w:r w:rsidRPr="000C629A">
        <w:rPr>
          <w:rStyle w:val="Strong"/>
          <w:rFonts w:ascii="Arial" w:hAnsi="Arial" w:cs="Arial"/>
          <w:sz w:val="20"/>
          <w:szCs w:val="20"/>
          <w:lang w:val="en"/>
        </w:rPr>
        <w:t xml:space="preserve"> </w:t>
      </w:r>
      <w:r w:rsidRPr="000C629A">
        <w:rPr>
          <w:rFonts w:ascii="Arial" w:hAnsi="Arial" w:cs="Arial"/>
          <w:sz w:val="20"/>
          <w:szCs w:val="20"/>
          <w:lang w:val="en"/>
        </w:rPr>
        <w:t xml:space="preserve">mechanisms will be strengthened to better reflect the scale of the industry. The amendments will enable fines to be imposed for environmental pollution that are of a true deterrent value. </w:t>
      </w:r>
    </w:p>
    <w:p w:rsidR="000C629A" w:rsidRPr="000C629A" w:rsidRDefault="000C629A" w:rsidP="000C629A">
      <w:pPr>
        <w:pStyle w:val="NormalWeb"/>
        <w:numPr>
          <w:ilvl w:val="1"/>
          <w:numId w:val="33"/>
        </w:numPr>
        <w:shd w:val="clear" w:color="auto" w:fill="FFFFFF"/>
        <w:spacing w:line="270" w:lineRule="atLeast"/>
        <w:rPr>
          <w:rFonts w:ascii="Arial" w:hAnsi="Arial" w:cs="Arial"/>
          <w:sz w:val="20"/>
          <w:szCs w:val="20"/>
          <w:lang w:val="en"/>
        </w:rPr>
      </w:pPr>
      <w:r w:rsidRPr="000C629A">
        <w:rPr>
          <w:rFonts w:ascii="Arial" w:hAnsi="Arial" w:cs="Arial"/>
          <w:sz w:val="20"/>
          <w:szCs w:val="20"/>
          <w:lang w:val="en"/>
        </w:rPr>
        <w:t xml:space="preserve">Consultation with industry will commence on the introduction of a new </w:t>
      </w:r>
      <w:r w:rsidRPr="000C629A">
        <w:rPr>
          <w:rStyle w:val="Strong"/>
          <w:rFonts w:ascii="Arial" w:hAnsi="Arial" w:cs="Arial"/>
          <w:b w:val="0"/>
          <w:sz w:val="20"/>
          <w:szCs w:val="20"/>
          <w:lang w:val="en"/>
        </w:rPr>
        <w:t>levy</w:t>
      </w:r>
      <w:r w:rsidRPr="000C629A">
        <w:rPr>
          <w:rStyle w:val="Strong"/>
          <w:rFonts w:ascii="Arial" w:hAnsi="Arial" w:cs="Arial"/>
          <w:sz w:val="20"/>
          <w:szCs w:val="20"/>
          <w:lang w:val="en"/>
        </w:rPr>
        <w:t xml:space="preserve"> </w:t>
      </w:r>
      <w:r w:rsidRPr="000C629A">
        <w:rPr>
          <w:rFonts w:ascii="Arial" w:hAnsi="Arial" w:cs="Arial"/>
          <w:sz w:val="20"/>
          <w:szCs w:val="20"/>
          <w:lang w:val="en"/>
        </w:rPr>
        <w:t>to enable to the Government to better support the industry's plans for sustainable growth.</w:t>
      </w:r>
    </w:p>
    <w:p w:rsidR="000C629A" w:rsidRPr="000C629A" w:rsidRDefault="000C629A" w:rsidP="000C629A">
      <w:pPr>
        <w:pStyle w:val="ListParagraph"/>
        <w:numPr>
          <w:ilvl w:val="0"/>
          <w:numId w:val="33"/>
        </w:numPr>
        <w:jc w:val="both"/>
        <w:rPr>
          <w:rFonts w:cstheme="minorHAnsi"/>
          <w:sz w:val="24"/>
          <w:szCs w:val="24"/>
        </w:rPr>
      </w:pPr>
      <w:r w:rsidRPr="000C629A">
        <w:rPr>
          <w:rFonts w:cstheme="minorHAnsi"/>
          <w:sz w:val="24"/>
          <w:szCs w:val="24"/>
        </w:rPr>
        <w:lastRenderedPageBreak/>
        <w:t xml:space="preserve">The </w:t>
      </w:r>
      <w:proofErr w:type="spellStart"/>
      <w:r w:rsidRPr="000C629A">
        <w:rPr>
          <w:rFonts w:cstheme="minorHAnsi"/>
          <w:sz w:val="24"/>
          <w:szCs w:val="24"/>
        </w:rPr>
        <w:t>TSGA</w:t>
      </w:r>
      <w:proofErr w:type="spellEnd"/>
      <w:r w:rsidRPr="000C629A">
        <w:rPr>
          <w:rFonts w:cstheme="minorHAnsi"/>
          <w:sz w:val="24"/>
          <w:szCs w:val="24"/>
        </w:rPr>
        <w:t xml:space="preserve"> </w:t>
      </w:r>
      <w:r>
        <w:rPr>
          <w:rFonts w:cstheme="minorHAnsi"/>
          <w:sz w:val="24"/>
          <w:szCs w:val="24"/>
        </w:rPr>
        <w:t>agrees with and supports this recent decision of the Tasmanian government and is on the public record as endorsing these changes.</w:t>
      </w:r>
    </w:p>
    <w:sectPr w:rsidR="000C629A" w:rsidRPr="000C629A" w:rsidSect="00697A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B23" w:rsidRDefault="009E0B23" w:rsidP="004250D1">
      <w:pPr>
        <w:spacing w:after="0" w:line="240" w:lineRule="auto"/>
      </w:pPr>
      <w:r>
        <w:separator/>
      </w:r>
    </w:p>
  </w:endnote>
  <w:endnote w:type="continuationSeparator" w:id="0">
    <w:p w:rsidR="009E0B23" w:rsidRDefault="009E0B23" w:rsidP="0042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Gill Sans MT">
    <w:altName w:val="Arial"/>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D3" w:rsidRDefault="00416AC1" w:rsidP="006232FE">
    <w:pPr>
      <w:pStyle w:val="Footer"/>
    </w:pPr>
    <w:r>
      <w:fldChar w:fldCharType="begin"/>
    </w:r>
    <w:r>
      <w:instrText xml:space="preserve"> PAGE   \* MERGEFORMAT </w:instrText>
    </w:r>
    <w:r>
      <w:fldChar w:fldCharType="separate"/>
    </w:r>
    <w:r w:rsidR="005B34D3">
      <w:rPr>
        <w:noProof/>
      </w:rPr>
      <w:t>21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D3" w:rsidRDefault="008362F2" w:rsidP="00A232FA">
    <w:pPr>
      <w:pStyle w:val="Footer"/>
      <w:tabs>
        <w:tab w:val="clear" w:pos="4513"/>
        <w:tab w:val="clear" w:pos="9026"/>
      </w:tabs>
      <w:jc w:val="center"/>
      <w:rPr>
        <w:rFonts w:cs="Arial"/>
        <w:sz w:val="18"/>
        <w:szCs w:val="18"/>
      </w:rPr>
    </w:pPr>
    <w:r>
      <w:rPr>
        <w:rFonts w:cs="Arial"/>
        <w:sz w:val="18"/>
        <w:szCs w:val="18"/>
      </w:rPr>
      <w:pict>
        <v:rect id="_x0000_i1025" style="width:0;height:1.5pt" o:hralign="center" o:hrstd="t" o:hr="t" fillcolor="#a0a0a0" stroked="f"/>
      </w:pict>
    </w:r>
  </w:p>
  <w:p w:rsidR="005B34D3" w:rsidRPr="00C46ED0" w:rsidRDefault="003E1C6F" w:rsidP="00A232FA">
    <w:pPr>
      <w:pStyle w:val="Footer"/>
      <w:tabs>
        <w:tab w:val="clear" w:pos="4513"/>
        <w:tab w:val="clear" w:pos="9026"/>
        <w:tab w:val="right" w:pos="9498"/>
      </w:tabs>
      <w:jc w:val="center"/>
      <w:rPr>
        <w:rFonts w:cs="Arial"/>
        <w:sz w:val="18"/>
        <w:szCs w:val="18"/>
      </w:rPr>
    </w:pPr>
    <w:proofErr w:type="spellStart"/>
    <w:r>
      <w:rPr>
        <w:rFonts w:cs="Arial"/>
        <w:sz w:val="18"/>
        <w:szCs w:val="18"/>
      </w:rPr>
      <w:t>TSGA</w:t>
    </w:r>
    <w:proofErr w:type="spellEnd"/>
    <w:r>
      <w:rPr>
        <w:rFonts w:cs="Arial"/>
        <w:sz w:val="18"/>
        <w:szCs w:val="18"/>
      </w:rPr>
      <w:t xml:space="preserve"> response to </w:t>
    </w:r>
    <w:r w:rsidR="005B34D3" w:rsidRPr="00C46ED0">
      <w:rPr>
        <w:rFonts w:cs="Arial"/>
        <w:sz w:val="18"/>
        <w:szCs w:val="18"/>
      </w:rPr>
      <w:fldChar w:fldCharType="begin"/>
    </w:r>
    <w:r w:rsidR="005B34D3" w:rsidRPr="00C46ED0">
      <w:rPr>
        <w:rFonts w:cs="Arial"/>
        <w:sz w:val="18"/>
        <w:szCs w:val="18"/>
      </w:rPr>
      <w:instrText xml:space="preserve"> FILENAME </w:instrText>
    </w:r>
    <w:r w:rsidR="005B34D3" w:rsidRPr="00C46ED0">
      <w:rPr>
        <w:rFonts w:cs="Arial"/>
        <w:sz w:val="18"/>
        <w:szCs w:val="18"/>
      </w:rPr>
      <w:fldChar w:fldCharType="separate"/>
    </w:r>
    <w:r w:rsidR="0006544E">
      <w:rPr>
        <w:rFonts w:cs="Arial"/>
        <w:noProof/>
        <w:sz w:val="18"/>
        <w:szCs w:val="18"/>
      </w:rPr>
      <w:t xml:space="preserve">MFA Productivity Commission 2016 </w:t>
    </w:r>
    <w:r>
      <w:rPr>
        <w:rFonts w:cs="Arial"/>
        <w:noProof/>
        <w:sz w:val="18"/>
        <w:szCs w:val="18"/>
      </w:rPr>
      <w:t>Draft Report</w:t>
    </w:r>
    <w:r w:rsidR="0006544E">
      <w:rPr>
        <w:rFonts w:cs="Arial"/>
        <w:noProof/>
        <w:sz w:val="18"/>
        <w:szCs w:val="18"/>
      </w:rPr>
      <w:t xml:space="preserve"> </w:t>
    </w:r>
    <w:r>
      <w:rPr>
        <w:rFonts w:cs="Arial"/>
        <w:noProof/>
        <w:sz w:val="18"/>
        <w:szCs w:val="18"/>
      </w:rPr>
      <w:t>4 Oct 2016</w:t>
    </w:r>
    <w:r w:rsidR="0006544E">
      <w:rPr>
        <w:rFonts w:cs="Arial"/>
        <w:noProof/>
        <w:sz w:val="18"/>
        <w:szCs w:val="18"/>
      </w:rPr>
      <w:t>.docx</w:t>
    </w:r>
    <w:r w:rsidR="005B34D3" w:rsidRPr="00C46ED0">
      <w:rPr>
        <w:rFonts w:cs="Arial"/>
        <w:sz w:val="18"/>
        <w:szCs w:val="18"/>
      </w:rPr>
      <w:fldChar w:fldCharType="end"/>
    </w:r>
    <w:r w:rsidR="005B34D3" w:rsidRPr="00C46ED0">
      <w:rPr>
        <w:rFonts w:cs="Arial"/>
        <w:sz w:val="18"/>
        <w:szCs w:val="18"/>
      </w:rPr>
      <w:tab/>
      <w:t xml:space="preserve">Page </w:t>
    </w:r>
    <w:r w:rsidR="005B34D3" w:rsidRPr="00C46ED0">
      <w:rPr>
        <w:rFonts w:cs="Arial"/>
        <w:sz w:val="18"/>
        <w:szCs w:val="18"/>
      </w:rPr>
      <w:fldChar w:fldCharType="begin"/>
    </w:r>
    <w:r w:rsidR="005B34D3" w:rsidRPr="00C46ED0">
      <w:rPr>
        <w:rFonts w:cs="Arial"/>
        <w:sz w:val="18"/>
        <w:szCs w:val="18"/>
      </w:rPr>
      <w:instrText xml:space="preserve"> PAGE </w:instrText>
    </w:r>
    <w:r w:rsidR="005B34D3" w:rsidRPr="00C46ED0">
      <w:rPr>
        <w:rFonts w:cs="Arial"/>
        <w:sz w:val="18"/>
        <w:szCs w:val="18"/>
      </w:rPr>
      <w:fldChar w:fldCharType="separate"/>
    </w:r>
    <w:r w:rsidR="008362F2">
      <w:rPr>
        <w:rFonts w:cs="Arial"/>
        <w:noProof/>
        <w:sz w:val="18"/>
        <w:szCs w:val="18"/>
      </w:rPr>
      <w:t>9</w:t>
    </w:r>
    <w:r w:rsidR="005B34D3" w:rsidRPr="00C46ED0">
      <w:rPr>
        <w:rFonts w:cs="Arial"/>
        <w:sz w:val="18"/>
        <w:szCs w:val="18"/>
      </w:rPr>
      <w:fldChar w:fldCharType="end"/>
    </w:r>
    <w:r w:rsidR="005B34D3" w:rsidRPr="00C46ED0">
      <w:rPr>
        <w:rFonts w:cs="Arial"/>
        <w:sz w:val="18"/>
        <w:szCs w:val="18"/>
      </w:rPr>
      <w:t xml:space="preserve"> of </w:t>
    </w:r>
    <w:r w:rsidR="005B34D3" w:rsidRPr="00C46ED0">
      <w:rPr>
        <w:rFonts w:cs="Arial"/>
        <w:sz w:val="18"/>
        <w:szCs w:val="18"/>
      </w:rPr>
      <w:fldChar w:fldCharType="begin"/>
    </w:r>
    <w:r w:rsidR="005B34D3" w:rsidRPr="00C46ED0">
      <w:rPr>
        <w:rFonts w:cs="Arial"/>
        <w:sz w:val="18"/>
        <w:szCs w:val="18"/>
      </w:rPr>
      <w:instrText xml:space="preserve"> NUMPAGES </w:instrText>
    </w:r>
    <w:r w:rsidR="005B34D3" w:rsidRPr="00C46ED0">
      <w:rPr>
        <w:rFonts w:cs="Arial"/>
        <w:sz w:val="18"/>
        <w:szCs w:val="18"/>
      </w:rPr>
      <w:fldChar w:fldCharType="separate"/>
    </w:r>
    <w:r w:rsidR="008362F2">
      <w:rPr>
        <w:rFonts w:cs="Arial"/>
        <w:noProof/>
        <w:sz w:val="18"/>
        <w:szCs w:val="18"/>
      </w:rPr>
      <w:t>9</w:t>
    </w:r>
    <w:r w:rsidR="005B34D3" w:rsidRPr="00C46ED0">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B23" w:rsidRDefault="009E0B23" w:rsidP="004250D1">
      <w:pPr>
        <w:spacing w:after="0" w:line="240" w:lineRule="auto"/>
      </w:pPr>
      <w:r>
        <w:separator/>
      </w:r>
    </w:p>
  </w:footnote>
  <w:footnote w:type="continuationSeparator" w:id="0">
    <w:p w:rsidR="009E0B23" w:rsidRDefault="009E0B23" w:rsidP="004250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Borders>
        <w:bottom w:val="single" w:sz="4" w:space="0" w:color="000000"/>
      </w:tblBorders>
      <w:tblLook w:val="04A0" w:firstRow="1" w:lastRow="0" w:firstColumn="1" w:lastColumn="0" w:noHBand="0" w:noVBand="1"/>
    </w:tblPr>
    <w:tblGrid>
      <w:gridCol w:w="1538"/>
      <w:gridCol w:w="8209"/>
    </w:tblGrid>
    <w:tr w:rsidR="005B34D3" w:rsidRPr="000656D2" w:rsidTr="006232FE">
      <w:trPr>
        <w:trHeight w:val="734"/>
      </w:trPr>
      <w:tc>
        <w:tcPr>
          <w:tcW w:w="1538" w:type="dxa"/>
        </w:tcPr>
        <w:p w:rsidR="005B34D3" w:rsidRPr="000656D2" w:rsidRDefault="005B34D3" w:rsidP="006232FE">
          <w:pPr>
            <w:pStyle w:val="Header"/>
          </w:pPr>
          <w:r>
            <w:rPr>
              <w:noProof/>
              <w:lang w:val="en-AU" w:eastAsia="en-AU"/>
            </w:rPr>
            <w:drawing>
              <wp:inline distT="0" distB="0" distL="0" distR="0">
                <wp:extent cx="464820" cy="579120"/>
                <wp:effectExtent l="0" t="0" r="0" b="0"/>
                <wp:docPr id="2" name="Picture 9" descr="TSGA Logo Colour LOW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SGA Logo Colour LOW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79120"/>
                        </a:xfrm>
                        <a:prstGeom prst="rect">
                          <a:avLst/>
                        </a:prstGeom>
                        <a:noFill/>
                        <a:ln>
                          <a:noFill/>
                        </a:ln>
                      </pic:spPr>
                    </pic:pic>
                  </a:graphicData>
                </a:graphic>
              </wp:inline>
            </w:drawing>
          </w:r>
        </w:p>
      </w:tc>
      <w:tc>
        <w:tcPr>
          <w:tcW w:w="8209" w:type="dxa"/>
        </w:tcPr>
        <w:p w:rsidR="005B34D3" w:rsidRPr="009F34CA" w:rsidRDefault="005B34D3" w:rsidP="006232FE">
          <w:pPr>
            <w:pStyle w:val="NoSpacing1"/>
            <w:jc w:val="right"/>
          </w:pPr>
          <w:r w:rsidRPr="009F34CA">
            <w:br/>
          </w:r>
        </w:p>
        <w:p w:rsidR="005B34D3" w:rsidRPr="000656D2" w:rsidRDefault="005B34D3" w:rsidP="006232FE">
          <w:pPr>
            <w:pStyle w:val="Header"/>
            <w:jc w:val="right"/>
          </w:pPr>
          <w:r w:rsidRPr="009F34CA">
            <w:t xml:space="preserve">Tasmanian </w:t>
          </w:r>
          <w:proofErr w:type="spellStart"/>
          <w:r w:rsidRPr="009F34CA">
            <w:t>Salmonid</w:t>
          </w:r>
          <w:proofErr w:type="spellEnd"/>
          <w:r w:rsidRPr="009F34CA">
            <w:t xml:space="preserve"> Growers Association</w:t>
          </w:r>
        </w:p>
      </w:tc>
    </w:tr>
  </w:tbl>
  <w:p w:rsidR="005B34D3" w:rsidRDefault="005B34D3" w:rsidP="00623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4"/>
    <w:multiLevelType w:val="multilevel"/>
    <w:tmpl w:val="00000887"/>
    <w:lvl w:ilvl="0">
      <w:numFmt w:val="bullet"/>
      <w:lvlText w:val=""/>
      <w:lvlJc w:val="left"/>
      <w:pPr>
        <w:ind w:left="425" w:hanging="425"/>
      </w:pPr>
      <w:rPr>
        <w:rFonts w:ascii="Symbol" w:hAnsi="Symbol" w:cs="Symbol"/>
        <w:b w:val="0"/>
        <w:bCs w:val="0"/>
        <w:w w:val="100"/>
        <w:sz w:val="24"/>
        <w:szCs w:val="24"/>
      </w:rPr>
    </w:lvl>
    <w:lvl w:ilvl="1">
      <w:numFmt w:val="bullet"/>
      <w:lvlText w:val="•"/>
      <w:lvlJc w:val="left"/>
      <w:pPr>
        <w:ind w:left="1577" w:hanging="425"/>
      </w:pPr>
    </w:lvl>
    <w:lvl w:ilvl="2">
      <w:numFmt w:val="bullet"/>
      <w:lvlText w:val="•"/>
      <w:lvlJc w:val="left"/>
      <w:pPr>
        <w:ind w:left="2308" w:hanging="425"/>
      </w:pPr>
    </w:lvl>
    <w:lvl w:ilvl="3">
      <w:numFmt w:val="bullet"/>
      <w:lvlText w:val="•"/>
      <w:lvlJc w:val="left"/>
      <w:pPr>
        <w:ind w:left="3040" w:hanging="425"/>
      </w:pPr>
    </w:lvl>
    <w:lvl w:ilvl="4">
      <w:numFmt w:val="bullet"/>
      <w:lvlText w:val="•"/>
      <w:lvlJc w:val="left"/>
      <w:pPr>
        <w:ind w:left="3772" w:hanging="425"/>
      </w:pPr>
    </w:lvl>
    <w:lvl w:ilvl="5">
      <w:numFmt w:val="bullet"/>
      <w:lvlText w:val="•"/>
      <w:lvlJc w:val="left"/>
      <w:pPr>
        <w:ind w:left="4504" w:hanging="425"/>
      </w:pPr>
    </w:lvl>
    <w:lvl w:ilvl="6">
      <w:numFmt w:val="bullet"/>
      <w:lvlText w:val="•"/>
      <w:lvlJc w:val="left"/>
      <w:pPr>
        <w:ind w:left="5236" w:hanging="425"/>
      </w:pPr>
    </w:lvl>
    <w:lvl w:ilvl="7">
      <w:numFmt w:val="bullet"/>
      <w:lvlText w:val="•"/>
      <w:lvlJc w:val="left"/>
      <w:pPr>
        <w:ind w:left="5967" w:hanging="425"/>
      </w:pPr>
    </w:lvl>
    <w:lvl w:ilvl="8">
      <w:numFmt w:val="bullet"/>
      <w:lvlText w:val="•"/>
      <w:lvlJc w:val="left"/>
      <w:pPr>
        <w:ind w:left="6699" w:hanging="425"/>
      </w:pPr>
    </w:lvl>
  </w:abstractNum>
  <w:abstractNum w:abstractNumId="1">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7A273AC"/>
    <w:multiLevelType w:val="hybridMultilevel"/>
    <w:tmpl w:val="06F06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CF2FC0"/>
    <w:multiLevelType w:val="hybridMultilevel"/>
    <w:tmpl w:val="4CEA3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8D4812"/>
    <w:multiLevelType w:val="hybridMultilevel"/>
    <w:tmpl w:val="29EA45A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026A62"/>
    <w:multiLevelType w:val="hybridMultilevel"/>
    <w:tmpl w:val="3EACBB6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457289"/>
    <w:multiLevelType w:val="hybridMultilevel"/>
    <w:tmpl w:val="9E349D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60F7EA4"/>
    <w:multiLevelType w:val="hybridMultilevel"/>
    <w:tmpl w:val="388CA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A7127C1"/>
    <w:multiLevelType w:val="hybridMultilevel"/>
    <w:tmpl w:val="E7FE97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B1652BA"/>
    <w:multiLevelType w:val="hybridMultilevel"/>
    <w:tmpl w:val="D1E8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7F1CA3"/>
    <w:multiLevelType w:val="hybridMultilevel"/>
    <w:tmpl w:val="98A459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DFD265E"/>
    <w:multiLevelType w:val="hybridMultilevel"/>
    <w:tmpl w:val="E7FE97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3A11DC2"/>
    <w:multiLevelType w:val="hybridMultilevel"/>
    <w:tmpl w:val="97D09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5AC4B70"/>
    <w:multiLevelType w:val="hybridMultilevel"/>
    <w:tmpl w:val="7BF4D37A"/>
    <w:lvl w:ilvl="0" w:tplc="0A2EF25C">
      <w:start w:val="1"/>
      <w:numFmt w:val="decimal"/>
      <w:pStyle w:val="Heading4"/>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396F0C9D"/>
    <w:multiLevelType w:val="hybridMultilevel"/>
    <w:tmpl w:val="562E9F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D2276DE"/>
    <w:multiLevelType w:val="hybridMultilevel"/>
    <w:tmpl w:val="FAC0248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8E1B2B"/>
    <w:multiLevelType w:val="hybridMultilevel"/>
    <w:tmpl w:val="E402CD3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41B62ED8"/>
    <w:multiLevelType w:val="hybridMultilevel"/>
    <w:tmpl w:val="C636B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1641F51"/>
    <w:multiLevelType w:val="hybridMultilevel"/>
    <w:tmpl w:val="4710941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3D85DC7"/>
    <w:multiLevelType w:val="hybridMultilevel"/>
    <w:tmpl w:val="E556CD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8D52BC3"/>
    <w:multiLevelType w:val="hybridMultilevel"/>
    <w:tmpl w:val="23362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F1C7D6E"/>
    <w:multiLevelType w:val="hybridMultilevel"/>
    <w:tmpl w:val="81901A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4C22C01"/>
    <w:multiLevelType w:val="hybridMultilevel"/>
    <w:tmpl w:val="DE7E291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660B0674"/>
    <w:multiLevelType w:val="hybridMultilevel"/>
    <w:tmpl w:val="C038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8542DED"/>
    <w:multiLevelType w:val="hybridMultilevel"/>
    <w:tmpl w:val="5692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B4745C2"/>
    <w:multiLevelType w:val="hybridMultilevel"/>
    <w:tmpl w:val="4D3A0B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70E42F3D"/>
    <w:multiLevelType w:val="hybridMultilevel"/>
    <w:tmpl w:val="C524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3CF23E7"/>
    <w:multiLevelType w:val="hybridMultilevel"/>
    <w:tmpl w:val="67A45D76"/>
    <w:lvl w:ilvl="0" w:tplc="CE90EF7E">
      <w:start w:val="1"/>
      <w:numFmt w:val="decimal"/>
      <w:lvlText w:val="%1."/>
      <w:lvlJc w:val="left"/>
      <w:pPr>
        <w:ind w:left="720" w:hanging="360"/>
      </w:pPr>
      <w:rPr>
        <w:rFonts w:hint="eastAsi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432738D"/>
    <w:multiLevelType w:val="hybridMultilevel"/>
    <w:tmpl w:val="83AAA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7875B14"/>
    <w:multiLevelType w:val="hybridMultilevel"/>
    <w:tmpl w:val="ACC483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7CE95801"/>
    <w:multiLevelType w:val="hybridMultilevel"/>
    <w:tmpl w:val="DFB6F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
  </w:num>
  <w:num w:numId="4">
    <w:abstractNumId w:val="8"/>
  </w:num>
  <w:num w:numId="5">
    <w:abstractNumId w:val="20"/>
  </w:num>
  <w:num w:numId="6">
    <w:abstractNumId w:val="21"/>
  </w:num>
  <w:num w:numId="7">
    <w:abstractNumId w:val="23"/>
  </w:num>
  <w:num w:numId="8">
    <w:abstractNumId w:val="13"/>
  </w:num>
  <w:num w:numId="9">
    <w:abstractNumId w:val="17"/>
  </w:num>
  <w:num w:numId="10">
    <w:abstractNumId w:val="13"/>
    <w:lvlOverride w:ilvl="0">
      <w:startOverride w:val="1"/>
    </w:lvlOverride>
  </w:num>
  <w:num w:numId="11">
    <w:abstractNumId w:val="29"/>
  </w:num>
  <w:num w:numId="12">
    <w:abstractNumId w:val="26"/>
  </w:num>
  <w:num w:numId="13">
    <w:abstractNumId w:val="16"/>
  </w:num>
  <w:num w:numId="14">
    <w:abstractNumId w:val="30"/>
  </w:num>
  <w:num w:numId="15">
    <w:abstractNumId w:val="24"/>
  </w:num>
  <w:num w:numId="16">
    <w:abstractNumId w:val="0"/>
  </w:num>
  <w:num w:numId="17">
    <w:abstractNumId w:val="18"/>
  </w:num>
  <w:num w:numId="18">
    <w:abstractNumId w:val="14"/>
  </w:num>
  <w:num w:numId="19">
    <w:abstractNumId w:val="25"/>
  </w:num>
  <w:num w:numId="20">
    <w:abstractNumId w:val="4"/>
  </w:num>
  <w:num w:numId="21">
    <w:abstractNumId w:val="6"/>
  </w:num>
  <w:num w:numId="22">
    <w:abstractNumId w:val="12"/>
  </w:num>
  <w:num w:numId="23">
    <w:abstractNumId w:val="7"/>
  </w:num>
  <w:num w:numId="24">
    <w:abstractNumId w:val="22"/>
  </w:num>
  <w:num w:numId="25">
    <w:abstractNumId w:val="5"/>
  </w:num>
  <w:num w:numId="26">
    <w:abstractNumId w:val="13"/>
    <w:lvlOverride w:ilvl="0">
      <w:startOverride w:val="2"/>
    </w:lvlOverride>
  </w:num>
  <w:num w:numId="27">
    <w:abstractNumId w:val="28"/>
  </w:num>
  <w:num w:numId="28">
    <w:abstractNumId w:val="10"/>
  </w:num>
  <w:num w:numId="29">
    <w:abstractNumId w:val="27"/>
  </w:num>
  <w:num w:numId="30">
    <w:abstractNumId w:val="15"/>
  </w:num>
  <w:num w:numId="31">
    <w:abstractNumId w:val="3"/>
  </w:num>
  <w:num w:numId="32">
    <w:abstractNumId w:val="9"/>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2"/>
  </w:compat>
  <w:rsids>
    <w:rsidRoot w:val="00C4521A"/>
    <w:rsid w:val="00012703"/>
    <w:rsid w:val="00023798"/>
    <w:rsid w:val="0003694D"/>
    <w:rsid w:val="00061065"/>
    <w:rsid w:val="000635F8"/>
    <w:rsid w:val="0006544E"/>
    <w:rsid w:val="000A3F1D"/>
    <w:rsid w:val="000C629A"/>
    <w:rsid w:val="00131A5B"/>
    <w:rsid w:val="001364D7"/>
    <w:rsid w:val="00151412"/>
    <w:rsid w:val="00155931"/>
    <w:rsid w:val="0019661F"/>
    <w:rsid w:val="00206098"/>
    <w:rsid w:val="002960C4"/>
    <w:rsid w:val="00314B90"/>
    <w:rsid w:val="00364B0F"/>
    <w:rsid w:val="00373269"/>
    <w:rsid w:val="003E1C6F"/>
    <w:rsid w:val="00405F87"/>
    <w:rsid w:val="00416AC1"/>
    <w:rsid w:val="004250D1"/>
    <w:rsid w:val="00427771"/>
    <w:rsid w:val="00474D75"/>
    <w:rsid w:val="004842B1"/>
    <w:rsid w:val="004D2971"/>
    <w:rsid w:val="004E447C"/>
    <w:rsid w:val="00525B58"/>
    <w:rsid w:val="0054646C"/>
    <w:rsid w:val="00596DC6"/>
    <w:rsid w:val="005A0DB5"/>
    <w:rsid w:val="005B34D3"/>
    <w:rsid w:val="005D0E49"/>
    <w:rsid w:val="005E4920"/>
    <w:rsid w:val="006232FE"/>
    <w:rsid w:val="006341A7"/>
    <w:rsid w:val="00671F28"/>
    <w:rsid w:val="0067217A"/>
    <w:rsid w:val="00697A3A"/>
    <w:rsid w:val="006A3056"/>
    <w:rsid w:val="006B153C"/>
    <w:rsid w:val="00761FC0"/>
    <w:rsid w:val="00763C11"/>
    <w:rsid w:val="0076543C"/>
    <w:rsid w:val="00772678"/>
    <w:rsid w:val="00782A98"/>
    <w:rsid w:val="007F142A"/>
    <w:rsid w:val="00822116"/>
    <w:rsid w:val="008362F2"/>
    <w:rsid w:val="008615EE"/>
    <w:rsid w:val="008E3236"/>
    <w:rsid w:val="008E5B6E"/>
    <w:rsid w:val="0092213A"/>
    <w:rsid w:val="00924247"/>
    <w:rsid w:val="00977B8A"/>
    <w:rsid w:val="009E0B23"/>
    <w:rsid w:val="00A232FA"/>
    <w:rsid w:val="00A25734"/>
    <w:rsid w:val="00A67D23"/>
    <w:rsid w:val="00A82E51"/>
    <w:rsid w:val="00A92D31"/>
    <w:rsid w:val="00A92F6B"/>
    <w:rsid w:val="00AB0913"/>
    <w:rsid w:val="00AF5021"/>
    <w:rsid w:val="00B3178F"/>
    <w:rsid w:val="00B63A8F"/>
    <w:rsid w:val="00B83016"/>
    <w:rsid w:val="00BC15B2"/>
    <w:rsid w:val="00C4521A"/>
    <w:rsid w:val="00C45932"/>
    <w:rsid w:val="00C77A15"/>
    <w:rsid w:val="00CF583F"/>
    <w:rsid w:val="00D306BE"/>
    <w:rsid w:val="00D33185"/>
    <w:rsid w:val="00D354F2"/>
    <w:rsid w:val="00D419EA"/>
    <w:rsid w:val="00D5006B"/>
    <w:rsid w:val="00D905F0"/>
    <w:rsid w:val="00E168CC"/>
    <w:rsid w:val="00E2428C"/>
    <w:rsid w:val="00E539EF"/>
    <w:rsid w:val="00E70935"/>
    <w:rsid w:val="00EA1A83"/>
    <w:rsid w:val="00F14159"/>
    <w:rsid w:val="00F71403"/>
    <w:rsid w:val="00F8594D"/>
    <w:rsid w:val="00FD63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A3A"/>
    <w:rPr>
      <w:lang w:val="en-GB"/>
    </w:rPr>
  </w:style>
  <w:style w:type="paragraph" w:styleId="Heading3">
    <w:name w:val="heading 3"/>
    <w:basedOn w:val="Normal"/>
    <w:next w:val="Normal"/>
    <w:link w:val="Heading3Char"/>
    <w:qFormat/>
    <w:rsid w:val="004250D1"/>
    <w:pPr>
      <w:keepNext/>
      <w:spacing w:after="0" w:line="240" w:lineRule="auto"/>
      <w:outlineLvl w:val="2"/>
    </w:pPr>
    <w:rPr>
      <w:rFonts w:eastAsia="Times New Roman" w:cs="Times New Roman"/>
      <w:b/>
      <w:sz w:val="28"/>
      <w:szCs w:val="24"/>
      <w:lang w:val="en-AU"/>
    </w:rPr>
  </w:style>
  <w:style w:type="paragraph" w:styleId="Heading4">
    <w:name w:val="heading 4"/>
    <w:basedOn w:val="Normal"/>
    <w:next w:val="Normal"/>
    <w:link w:val="Heading4Char"/>
    <w:qFormat/>
    <w:rsid w:val="004250D1"/>
    <w:pPr>
      <w:keepNext/>
      <w:numPr>
        <w:numId w:val="8"/>
      </w:numPr>
      <w:spacing w:before="120" w:after="0" w:line="240" w:lineRule="auto"/>
      <w:outlineLvl w:val="3"/>
    </w:pPr>
    <w:rPr>
      <w:rFonts w:eastAsia="Times New Roman" w:cs="Times New Roman"/>
      <w:b/>
      <w:sz w:val="24"/>
      <w:szCs w:val="24"/>
      <w:lang w:val="en-AU"/>
    </w:rPr>
  </w:style>
  <w:style w:type="paragraph" w:styleId="Heading5">
    <w:name w:val="heading 5"/>
    <w:basedOn w:val="Normal"/>
    <w:next w:val="Normal"/>
    <w:link w:val="Heading5Char"/>
    <w:qFormat/>
    <w:rsid w:val="004250D1"/>
    <w:pPr>
      <w:keepNext/>
      <w:spacing w:after="0" w:line="240" w:lineRule="auto"/>
      <w:outlineLvl w:val="4"/>
    </w:pPr>
    <w:rPr>
      <w:rFonts w:eastAsia="Times New Roman" w:cs="Times New Roman"/>
      <w:b/>
      <w:bCs/>
      <w:i/>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C4521A"/>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C4521A"/>
    <w:rPr>
      <w:rFonts w:ascii="Times New Roman" w:eastAsia="Times New Roman" w:hAnsi="Times New Roman" w:cs="Times New Roman"/>
      <w:sz w:val="24"/>
      <w:szCs w:val="20"/>
      <w:lang w:eastAsia="en-AU"/>
    </w:rPr>
  </w:style>
  <w:style w:type="paragraph" w:customStyle="1" w:styleId="InformationRequestTitle">
    <w:name w:val="Information Request Title"/>
    <w:basedOn w:val="Normal"/>
    <w:next w:val="Normal"/>
    <w:rsid w:val="00C4521A"/>
    <w:pPr>
      <w:keepNext/>
      <w:keepLines/>
      <w:spacing w:before="240" w:after="0" w:line="280" w:lineRule="atLeast"/>
      <w:jc w:val="both"/>
    </w:pPr>
    <w:rPr>
      <w:rFonts w:ascii="Arial" w:eastAsia="Times New Roman" w:hAnsi="Arial" w:cs="Times New Roman"/>
      <w:i/>
      <w:caps/>
      <w:sz w:val="18"/>
      <w:szCs w:val="20"/>
      <w:lang w:val="en-AU" w:eastAsia="en-AU"/>
    </w:rPr>
  </w:style>
  <w:style w:type="paragraph" w:customStyle="1" w:styleId="InformationRequest">
    <w:name w:val="Information Request"/>
    <w:basedOn w:val="Normal"/>
    <w:next w:val="BodyText"/>
    <w:rsid w:val="00C4521A"/>
    <w:pPr>
      <w:keepLines/>
      <w:spacing w:before="120" w:after="0" w:line="280" w:lineRule="atLeast"/>
      <w:jc w:val="both"/>
    </w:pPr>
    <w:rPr>
      <w:rFonts w:ascii="Arial" w:eastAsia="Times New Roman" w:hAnsi="Arial" w:cs="Times New Roman"/>
      <w:i/>
      <w:szCs w:val="20"/>
      <w:lang w:val="en-AU" w:eastAsia="en-AU"/>
    </w:rPr>
  </w:style>
  <w:style w:type="paragraph" w:styleId="ListParagraph">
    <w:name w:val="List Paragraph"/>
    <w:basedOn w:val="Normal"/>
    <w:uiPriority w:val="34"/>
    <w:qFormat/>
    <w:rsid w:val="00C4521A"/>
    <w:pPr>
      <w:ind w:left="720"/>
      <w:contextualSpacing/>
    </w:pPr>
  </w:style>
  <w:style w:type="paragraph" w:customStyle="1" w:styleId="HeaderEnd">
    <w:name w:val="Header End"/>
    <w:basedOn w:val="Header"/>
    <w:autoRedefine/>
    <w:rsid w:val="005D0E49"/>
    <w:pPr>
      <w:tabs>
        <w:tab w:val="clear" w:pos="4513"/>
        <w:tab w:val="clear" w:pos="9026"/>
        <w:tab w:val="center" w:pos="4394"/>
        <w:tab w:val="right" w:pos="8789"/>
      </w:tabs>
      <w:spacing w:line="20" w:lineRule="exact"/>
    </w:pPr>
    <w:rPr>
      <w:rFonts w:ascii="Arial" w:eastAsia="Times New Roman" w:hAnsi="Arial" w:cs="Times New Roman"/>
      <w:caps/>
      <w:sz w:val="16"/>
      <w:szCs w:val="20"/>
      <w:lang w:val="en-AU" w:eastAsia="en-AU"/>
    </w:rPr>
  </w:style>
  <w:style w:type="paragraph" w:customStyle="1" w:styleId="Jurisdictioncommentslistbullet">
    <w:name w:val="Jurisdiction comments list bullet"/>
    <w:rsid w:val="005D0E49"/>
    <w:pPr>
      <w:numPr>
        <w:numId w:val="3"/>
      </w:numPr>
      <w:spacing w:after="140" w:line="240" w:lineRule="auto"/>
      <w:jc w:val="both"/>
    </w:pPr>
    <w:rPr>
      <w:rFonts w:ascii="Arial" w:eastAsia="Times New Roman" w:hAnsi="Arial" w:cs="Times New Roman"/>
      <w:sz w:val="24"/>
      <w:szCs w:val="20"/>
    </w:rPr>
  </w:style>
  <w:style w:type="paragraph" w:styleId="Header">
    <w:name w:val="header"/>
    <w:basedOn w:val="Normal"/>
    <w:link w:val="HeaderChar"/>
    <w:uiPriority w:val="99"/>
    <w:unhideWhenUsed/>
    <w:rsid w:val="005D0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E49"/>
    <w:rPr>
      <w:lang w:val="en-GB"/>
    </w:rPr>
  </w:style>
  <w:style w:type="character" w:customStyle="1" w:styleId="Heading3Char">
    <w:name w:val="Heading 3 Char"/>
    <w:basedOn w:val="DefaultParagraphFont"/>
    <w:link w:val="Heading3"/>
    <w:rsid w:val="004250D1"/>
    <w:rPr>
      <w:rFonts w:eastAsia="Times New Roman" w:cs="Times New Roman"/>
      <w:b/>
      <w:sz w:val="28"/>
      <w:szCs w:val="24"/>
    </w:rPr>
  </w:style>
  <w:style w:type="character" w:customStyle="1" w:styleId="Heading4Char">
    <w:name w:val="Heading 4 Char"/>
    <w:basedOn w:val="DefaultParagraphFont"/>
    <w:link w:val="Heading4"/>
    <w:rsid w:val="004250D1"/>
    <w:rPr>
      <w:rFonts w:eastAsia="Times New Roman" w:cs="Times New Roman"/>
      <w:b/>
      <w:sz w:val="24"/>
      <w:szCs w:val="24"/>
    </w:rPr>
  </w:style>
  <w:style w:type="character" w:customStyle="1" w:styleId="Heading5Char">
    <w:name w:val="Heading 5 Char"/>
    <w:basedOn w:val="DefaultParagraphFont"/>
    <w:link w:val="Heading5"/>
    <w:rsid w:val="004250D1"/>
    <w:rPr>
      <w:rFonts w:eastAsia="Times New Roman" w:cs="Times New Roman"/>
      <w:b/>
      <w:bCs/>
      <w:i/>
      <w:sz w:val="24"/>
      <w:szCs w:val="24"/>
    </w:rPr>
  </w:style>
  <w:style w:type="character" w:styleId="Hyperlink">
    <w:name w:val="Hyperlink"/>
    <w:basedOn w:val="DefaultParagraphFont"/>
    <w:uiPriority w:val="99"/>
    <w:rsid w:val="004250D1"/>
    <w:rPr>
      <w:color w:val="0000FF"/>
      <w:u w:val="single"/>
    </w:rPr>
  </w:style>
  <w:style w:type="table" w:styleId="TableGrid">
    <w:name w:val="Table Grid"/>
    <w:basedOn w:val="TableNormal"/>
    <w:uiPriority w:val="59"/>
    <w:rsid w:val="004250D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250D1"/>
    <w:pPr>
      <w:spacing w:after="0" w:line="240" w:lineRule="auto"/>
    </w:pPr>
    <w:rPr>
      <w:sz w:val="20"/>
      <w:szCs w:val="20"/>
      <w:lang w:val="en-AU"/>
    </w:rPr>
  </w:style>
  <w:style w:type="character" w:customStyle="1" w:styleId="FootnoteTextChar">
    <w:name w:val="Footnote Text Char"/>
    <w:basedOn w:val="DefaultParagraphFont"/>
    <w:link w:val="FootnoteText"/>
    <w:uiPriority w:val="99"/>
    <w:semiHidden/>
    <w:rsid w:val="004250D1"/>
    <w:rPr>
      <w:sz w:val="20"/>
      <w:szCs w:val="20"/>
    </w:rPr>
  </w:style>
  <w:style w:type="character" w:styleId="FootnoteReference">
    <w:name w:val="footnote reference"/>
    <w:basedOn w:val="DefaultParagraphFont"/>
    <w:uiPriority w:val="99"/>
    <w:semiHidden/>
    <w:unhideWhenUsed/>
    <w:rsid w:val="004250D1"/>
    <w:rPr>
      <w:vertAlign w:val="superscript"/>
    </w:rPr>
  </w:style>
  <w:style w:type="character" w:customStyle="1" w:styleId="neutral">
    <w:name w:val="neutral"/>
    <w:basedOn w:val="DefaultParagraphFont"/>
    <w:rsid w:val="004250D1"/>
  </w:style>
  <w:style w:type="paragraph" w:customStyle="1" w:styleId="Hanging1">
    <w:name w:val="Hanging1"/>
    <w:basedOn w:val="Normal"/>
    <w:rsid w:val="004250D1"/>
    <w:pPr>
      <w:spacing w:after="0" w:line="240" w:lineRule="auto"/>
      <w:ind w:left="720" w:hanging="720"/>
    </w:pPr>
    <w:rPr>
      <w:rFonts w:ascii="Times New Roman" w:eastAsia="Times New Roman" w:hAnsi="Times New Roman" w:cs="Times New Roman"/>
      <w:sz w:val="24"/>
      <w:szCs w:val="24"/>
      <w:lang w:val="en-AU"/>
    </w:rPr>
  </w:style>
  <w:style w:type="paragraph" w:customStyle="1" w:styleId="Default">
    <w:name w:val="Default"/>
    <w:rsid w:val="008E5B6E"/>
    <w:pPr>
      <w:autoSpaceDE w:val="0"/>
      <w:autoSpaceDN w:val="0"/>
      <w:adjustRightInd w:val="0"/>
      <w:spacing w:after="0" w:line="240" w:lineRule="auto"/>
    </w:pPr>
    <w:rPr>
      <w:rFonts w:ascii="Minion Pro" w:hAnsi="Minion Pro" w:cs="Minion Pro"/>
      <w:color w:val="000000"/>
      <w:sz w:val="24"/>
      <w:szCs w:val="24"/>
    </w:rPr>
  </w:style>
  <w:style w:type="paragraph" w:customStyle="1" w:styleId="Pa2">
    <w:name w:val="Pa2"/>
    <w:basedOn w:val="Default"/>
    <w:next w:val="Default"/>
    <w:uiPriority w:val="99"/>
    <w:rsid w:val="00E539EF"/>
    <w:pPr>
      <w:spacing w:line="211" w:lineRule="atLeast"/>
    </w:pPr>
    <w:rPr>
      <w:rFonts w:cstheme="minorBidi"/>
      <w:color w:val="auto"/>
    </w:rPr>
  </w:style>
  <w:style w:type="paragraph" w:customStyle="1" w:styleId="Pa3">
    <w:name w:val="Pa3"/>
    <w:basedOn w:val="Default"/>
    <w:next w:val="Default"/>
    <w:uiPriority w:val="99"/>
    <w:rsid w:val="00E539EF"/>
    <w:pPr>
      <w:spacing w:line="211" w:lineRule="atLeast"/>
    </w:pPr>
    <w:rPr>
      <w:rFonts w:cstheme="minorBidi"/>
      <w:color w:val="auto"/>
    </w:rPr>
  </w:style>
  <w:style w:type="paragraph" w:styleId="Footer">
    <w:name w:val="footer"/>
    <w:basedOn w:val="Normal"/>
    <w:link w:val="FooterChar"/>
    <w:unhideWhenUsed/>
    <w:rsid w:val="00E539EF"/>
    <w:pPr>
      <w:tabs>
        <w:tab w:val="center" w:pos="4513"/>
        <w:tab w:val="right" w:pos="9026"/>
      </w:tabs>
      <w:spacing w:before="120" w:after="0" w:line="240" w:lineRule="auto"/>
      <w:jc w:val="both"/>
    </w:pPr>
    <w:rPr>
      <w:rFonts w:ascii="Calibri" w:eastAsia="Times New Roman" w:hAnsi="Calibri" w:cs="Times New Roman"/>
      <w:sz w:val="24"/>
      <w:lang w:val="en-AU" w:eastAsia="en-AU"/>
    </w:rPr>
  </w:style>
  <w:style w:type="character" w:customStyle="1" w:styleId="FooterChar">
    <w:name w:val="Footer Char"/>
    <w:basedOn w:val="DefaultParagraphFont"/>
    <w:link w:val="Footer"/>
    <w:rsid w:val="00E539EF"/>
    <w:rPr>
      <w:rFonts w:ascii="Calibri" w:eastAsia="Times New Roman" w:hAnsi="Calibri" w:cs="Times New Roman"/>
      <w:sz w:val="24"/>
      <w:lang w:eastAsia="en-AU"/>
    </w:rPr>
  </w:style>
  <w:style w:type="paragraph" w:customStyle="1" w:styleId="NoSpacing1">
    <w:name w:val="No Spacing1"/>
    <w:uiPriority w:val="1"/>
    <w:qFormat/>
    <w:rsid w:val="00E539EF"/>
    <w:pPr>
      <w:spacing w:after="0" w:line="240" w:lineRule="auto"/>
    </w:pPr>
    <w:rPr>
      <w:rFonts w:ascii="Calibri" w:eastAsia="Times New Roman" w:hAnsi="Calibri" w:cs="Times New Roman"/>
      <w:lang w:eastAsia="en-AU"/>
    </w:rPr>
  </w:style>
  <w:style w:type="paragraph" w:customStyle="1" w:styleId="EndNoteBibliography">
    <w:name w:val="EndNote Bibliography"/>
    <w:basedOn w:val="Normal"/>
    <w:link w:val="EndNoteBibliographyChar"/>
    <w:rsid w:val="006232FE"/>
    <w:pPr>
      <w:spacing w:after="200" w:line="240" w:lineRule="auto"/>
    </w:pPr>
    <w:rPr>
      <w:rFonts w:ascii="Gill Sans MT" w:hAnsi="Gill Sans MT" w:cs="Times New Roman"/>
      <w:noProof/>
      <w:lang w:val="en-US"/>
    </w:rPr>
  </w:style>
  <w:style w:type="character" w:customStyle="1" w:styleId="EndNoteBibliographyChar">
    <w:name w:val="EndNote Bibliography Char"/>
    <w:basedOn w:val="DefaultParagraphFont"/>
    <w:link w:val="EndNoteBibliography"/>
    <w:rsid w:val="006232FE"/>
    <w:rPr>
      <w:rFonts w:ascii="Gill Sans MT" w:hAnsi="Gill Sans MT" w:cs="Times New Roman"/>
      <w:noProof/>
      <w:lang w:val="en-US"/>
    </w:rPr>
  </w:style>
  <w:style w:type="paragraph" w:styleId="BalloonText">
    <w:name w:val="Balloon Text"/>
    <w:basedOn w:val="Normal"/>
    <w:link w:val="BalloonTextChar"/>
    <w:uiPriority w:val="99"/>
    <w:semiHidden/>
    <w:unhideWhenUsed/>
    <w:rsid w:val="00763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C11"/>
    <w:rPr>
      <w:rFonts w:ascii="Tahoma" w:hAnsi="Tahoma" w:cs="Tahoma"/>
      <w:sz w:val="16"/>
      <w:szCs w:val="16"/>
      <w:lang w:val="en-GB"/>
    </w:rPr>
  </w:style>
  <w:style w:type="character" w:styleId="CommentReference">
    <w:name w:val="annotation reference"/>
    <w:basedOn w:val="DefaultParagraphFont"/>
    <w:uiPriority w:val="99"/>
    <w:semiHidden/>
    <w:unhideWhenUsed/>
    <w:rsid w:val="00A82E51"/>
    <w:rPr>
      <w:sz w:val="16"/>
      <w:szCs w:val="16"/>
    </w:rPr>
  </w:style>
  <w:style w:type="paragraph" w:styleId="CommentText">
    <w:name w:val="annotation text"/>
    <w:basedOn w:val="Normal"/>
    <w:link w:val="CommentTextChar"/>
    <w:uiPriority w:val="99"/>
    <w:semiHidden/>
    <w:unhideWhenUsed/>
    <w:rsid w:val="00A82E51"/>
    <w:pPr>
      <w:spacing w:line="240" w:lineRule="auto"/>
    </w:pPr>
    <w:rPr>
      <w:sz w:val="20"/>
      <w:szCs w:val="20"/>
    </w:rPr>
  </w:style>
  <w:style w:type="character" w:customStyle="1" w:styleId="CommentTextChar">
    <w:name w:val="Comment Text Char"/>
    <w:basedOn w:val="DefaultParagraphFont"/>
    <w:link w:val="CommentText"/>
    <w:uiPriority w:val="99"/>
    <w:semiHidden/>
    <w:rsid w:val="00A82E51"/>
    <w:rPr>
      <w:sz w:val="20"/>
      <w:szCs w:val="20"/>
      <w:lang w:val="en-GB"/>
    </w:rPr>
  </w:style>
  <w:style w:type="paragraph" w:styleId="CommentSubject">
    <w:name w:val="annotation subject"/>
    <w:basedOn w:val="CommentText"/>
    <w:next w:val="CommentText"/>
    <w:link w:val="CommentSubjectChar"/>
    <w:uiPriority w:val="99"/>
    <w:semiHidden/>
    <w:unhideWhenUsed/>
    <w:rsid w:val="00A82E51"/>
    <w:rPr>
      <w:b/>
      <w:bCs/>
    </w:rPr>
  </w:style>
  <w:style w:type="character" w:customStyle="1" w:styleId="CommentSubjectChar">
    <w:name w:val="Comment Subject Char"/>
    <w:basedOn w:val="CommentTextChar"/>
    <w:link w:val="CommentSubject"/>
    <w:uiPriority w:val="99"/>
    <w:semiHidden/>
    <w:rsid w:val="00A82E51"/>
    <w:rPr>
      <w:b/>
      <w:bCs/>
      <w:sz w:val="20"/>
      <w:szCs w:val="20"/>
      <w:lang w:val="en-GB"/>
    </w:rPr>
  </w:style>
  <w:style w:type="paragraph" w:customStyle="1" w:styleId="FindingTitle">
    <w:name w:val="Finding Title"/>
    <w:basedOn w:val="Normal"/>
    <w:next w:val="Normal"/>
    <w:rsid w:val="00061065"/>
    <w:pPr>
      <w:keepNext/>
      <w:keepLines/>
      <w:spacing w:before="240" w:after="0" w:line="280" w:lineRule="atLeast"/>
      <w:jc w:val="both"/>
    </w:pPr>
    <w:rPr>
      <w:rFonts w:ascii="Arial" w:eastAsia="Times New Roman" w:hAnsi="Arial" w:cs="Times New Roman"/>
      <w:caps/>
      <w:sz w:val="18"/>
      <w:szCs w:val="20"/>
      <w:lang w:val="en-AU" w:eastAsia="en-AU"/>
    </w:rPr>
  </w:style>
  <w:style w:type="character" w:styleId="Strong">
    <w:name w:val="Strong"/>
    <w:basedOn w:val="DefaultParagraphFont"/>
    <w:uiPriority w:val="22"/>
    <w:qFormat/>
    <w:rsid w:val="000C629A"/>
    <w:rPr>
      <w:b/>
      <w:bCs/>
    </w:rPr>
  </w:style>
  <w:style w:type="paragraph" w:styleId="NormalWeb">
    <w:name w:val="Normal (Web)"/>
    <w:basedOn w:val="Normal"/>
    <w:uiPriority w:val="99"/>
    <w:semiHidden/>
    <w:unhideWhenUsed/>
    <w:rsid w:val="000C629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47709">
      <w:bodyDiv w:val="1"/>
      <w:marLeft w:val="0"/>
      <w:marRight w:val="0"/>
      <w:marTop w:val="0"/>
      <w:marBottom w:val="0"/>
      <w:divBdr>
        <w:top w:val="none" w:sz="0" w:space="0" w:color="auto"/>
        <w:left w:val="none" w:sz="0" w:space="0" w:color="auto"/>
        <w:bottom w:val="none" w:sz="0" w:space="0" w:color="auto"/>
        <w:right w:val="none" w:sz="0" w:space="0" w:color="auto"/>
      </w:divBdr>
      <w:divsChild>
        <w:div w:id="30886609">
          <w:marLeft w:val="0"/>
          <w:marRight w:val="0"/>
          <w:marTop w:val="0"/>
          <w:marBottom w:val="0"/>
          <w:divBdr>
            <w:top w:val="none" w:sz="0" w:space="0" w:color="auto"/>
            <w:left w:val="none" w:sz="0" w:space="0" w:color="auto"/>
            <w:bottom w:val="none" w:sz="0" w:space="0" w:color="auto"/>
            <w:right w:val="none" w:sz="0" w:space="0" w:color="auto"/>
          </w:divBdr>
          <w:divsChild>
            <w:div w:id="259486685">
              <w:marLeft w:val="0"/>
              <w:marRight w:val="0"/>
              <w:marTop w:val="0"/>
              <w:marBottom w:val="0"/>
              <w:divBdr>
                <w:top w:val="none" w:sz="0" w:space="0" w:color="auto"/>
                <w:left w:val="none" w:sz="0" w:space="0" w:color="auto"/>
                <w:bottom w:val="none" w:sz="0" w:space="0" w:color="auto"/>
                <w:right w:val="none" w:sz="0" w:space="0" w:color="auto"/>
              </w:divBdr>
              <w:divsChild>
                <w:div w:id="1428693211">
                  <w:marLeft w:val="0"/>
                  <w:marRight w:val="0"/>
                  <w:marTop w:val="0"/>
                  <w:marBottom w:val="0"/>
                  <w:divBdr>
                    <w:top w:val="none" w:sz="0" w:space="0" w:color="auto"/>
                    <w:left w:val="none" w:sz="0" w:space="0" w:color="auto"/>
                    <w:bottom w:val="none" w:sz="0" w:space="0" w:color="auto"/>
                    <w:right w:val="none" w:sz="0" w:space="0" w:color="auto"/>
                  </w:divBdr>
                  <w:divsChild>
                    <w:div w:id="9549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pipwe.tas.gov.au/sea-fishing-aquaculture/marine-farming-aquaculture/changes-to-salmon-industry-regula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sga.com.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Submission DR76 - Tasmanian Salmonid Growers Association (TSGA) - Marine Fisheries and Aquaculture - Public inquiry</vt:lpstr>
    </vt:vector>
  </TitlesOfParts>
  <Company>Tasmanian Salmonid Growers Association (TSGA)</Company>
  <LinksUpToDate>false</LinksUpToDate>
  <CharactersWithSpaces>16807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DR76 - Tasmanian Salmonid Growers Association (TSGA) - Marine Fisheries and Aquaculture - Public inquiry</dc:title>
  <dc:creator>Tasmanian Salmonid Growers Association (TSGA)</dc:creator>
  <cp:lastModifiedBy>Productivity Commission</cp:lastModifiedBy>
  <cp:revision>6</cp:revision>
  <dcterms:created xsi:type="dcterms:W3CDTF">2016-09-19T02:18:00Z</dcterms:created>
  <dcterms:modified xsi:type="dcterms:W3CDTF">2016-10-11T04:19:00Z</dcterms:modified>
</cp:coreProperties>
</file>