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563" w:rsidRPr="001C3A36" w:rsidRDefault="00775563" w:rsidP="001C3A36">
      <w:bookmarkStart w:id="0" w:name="_GoBack"/>
      <w:bookmarkEnd w:id="0"/>
    </w:p>
    <w:p w:rsidR="008D142D" w:rsidRPr="001C3A36" w:rsidRDefault="008D142D" w:rsidP="001C3A36">
      <w:pPr>
        <w:tabs>
          <w:tab w:val="left" w:pos="2076"/>
        </w:tabs>
      </w:pPr>
    </w:p>
    <w:p w:rsidR="008D142D" w:rsidRPr="001C3A36" w:rsidRDefault="008D142D" w:rsidP="001C3A36"/>
    <w:p w:rsidR="008D142D" w:rsidRPr="001C3A36" w:rsidRDefault="008D142D" w:rsidP="001C3A36"/>
    <w:p w:rsidR="001E6B08" w:rsidRPr="001C3A36" w:rsidRDefault="001E6B08" w:rsidP="001C3A36"/>
    <w:p w:rsidR="001E6B08" w:rsidRPr="001C3A36" w:rsidRDefault="001E6B08" w:rsidP="001C3A36"/>
    <w:p w:rsidR="000C57B8" w:rsidRDefault="00C21820" w:rsidP="006E0264">
      <w:pPr>
        <w:pStyle w:val="Heading1"/>
        <w:jc w:val="right"/>
      </w:pPr>
      <w:r w:rsidRPr="001C3A36">
        <w:t xml:space="preserve">Productivity Commission </w:t>
      </w:r>
    </w:p>
    <w:p w:rsidR="008E6CF1" w:rsidRPr="001C3A36" w:rsidRDefault="000C57B8" w:rsidP="006E0264">
      <w:pPr>
        <w:pStyle w:val="Heading1"/>
        <w:jc w:val="right"/>
      </w:pPr>
      <w:r>
        <w:t>National Disability Agreement Review</w:t>
      </w:r>
      <w:r w:rsidR="00C21820" w:rsidRPr="001C3A36">
        <w:t xml:space="preserve"> </w:t>
      </w:r>
    </w:p>
    <w:p w:rsidR="00C21820" w:rsidRPr="001C3A36" w:rsidRDefault="00C21820" w:rsidP="006E0264">
      <w:pPr>
        <w:pStyle w:val="Heading3"/>
        <w:ind w:right="-147"/>
        <w:jc w:val="right"/>
      </w:pPr>
    </w:p>
    <w:p w:rsidR="00C21820" w:rsidRPr="001C3A36" w:rsidRDefault="00C21820" w:rsidP="006E0264">
      <w:pPr>
        <w:pStyle w:val="Heading3"/>
        <w:ind w:right="-147"/>
        <w:jc w:val="right"/>
      </w:pPr>
      <w:r w:rsidRPr="001C3A36">
        <w:t xml:space="preserve">Submission from the </w:t>
      </w:r>
      <w:r w:rsidR="00A76A8B">
        <w:t>Government of South Australia</w:t>
      </w:r>
    </w:p>
    <w:p w:rsidR="001E6B08" w:rsidRPr="001C3A36" w:rsidRDefault="000C57B8" w:rsidP="006E0264">
      <w:pPr>
        <w:pStyle w:val="Heading3"/>
        <w:ind w:right="-147"/>
        <w:jc w:val="right"/>
      </w:pPr>
      <w:r>
        <w:t>September</w:t>
      </w:r>
      <w:r w:rsidR="00C21820" w:rsidRPr="001C3A36">
        <w:t xml:space="preserve"> 201</w:t>
      </w:r>
      <w:r>
        <w:t>8</w:t>
      </w:r>
    </w:p>
    <w:p w:rsidR="00423D46" w:rsidRPr="001C3A36" w:rsidRDefault="00423D46" w:rsidP="006E0264">
      <w:pPr>
        <w:ind w:right="-147"/>
      </w:pPr>
    </w:p>
    <w:p w:rsidR="00423D46" w:rsidRPr="001C3A36" w:rsidRDefault="00423D46" w:rsidP="005B2C25">
      <w:pPr>
        <w:jc w:val="center"/>
      </w:pPr>
    </w:p>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423D46" w:rsidRPr="001C3A36" w:rsidRDefault="00423D46" w:rsidP="001C3A36"/>
    <w:p w:rsidR="00E56360" w:rsidRPr="00575F75" w:rsidRDefault="00432CF0" w:rsidP="001C3A36">
      <w:pPr>
        <w:pStyle w:val="Heading3"/>
        <w:rPr>
          <w:b/>
        </w:rPr>
      </w:pPr>
      <w:r w:rsidRPr="00575F75">
        <w:rPr>
          <w:b/>
        </w:rPr>
        <w:lastRenderedPageBreak/>
        <w:t>Introduction</w:t>
      </w:r>
    </w:p>
    <w:p w:rsidR="00882AA6" w:rsidRDefault="00882AA6" w:rsidP="001C3A36"/>
    <w:p w:rsidR="00707D6E" w:rsidRDefault="00A76A8B" w:rsidP="001C3A36">
      <w:r>
        <w:t>South Australia welcomes the Productivity Commission’s review into the National Disability Agreement (NDA)</w:t>
      </w:r>
      <w:r w:rsidR="00B81213">
        <w:t xml:space="preserve">. </w:t>
      </w:r>
    </w:p>
    <w:p w:rsidR="00F73D9E" w:rsidRPr="00A26DC7" w:rsidRDefault="00707D6E" w:rsidP="001C3A36">
      <w:r>
        <w:t>In 2009, t</w:t>
      </w:r>
      <w:r w:rsidR="00782925">
        <w:t xml:space="preserve">he Commonwealth, state and territory governments established the </w:t>
      </w:r>
      <w:r w:rsidR="009C1931">
        <w:t xml:space="preserve">National Disability </w:t>
      </w:r>
      <w:r w:rsidR="009C1931" w:rsidRPr="00A26DC7">
        <w:t>Agreement</w:t>
      </w:r>
      <w:r w:rsidR="00782925" w:rsidRPr="00A26DC7">
        <w:t xml:space="preserve"> (NDA)</w:t>
      </w:r>
      <w:r w:rsidR="009C1931" w:rsidRPr="00A26DC7">
        <w:t xml:space="preserve">, </w:t>
      </w:r>
      <w:r w:rsidR="00117B86" w:rsidRPr="00A26DC7">
        <w:t xml:space="preserve">a high level agreement </w:t>
      </w:r>
      <w:r w:rsidR="009C1931" w:rsidRPr="00A26DC7">
        <w:t>to work</w:t>
      </w:r>
      <w:r w:rsidR="00F73D9E" w:rsidRPr="00A26DC7">
        <w:t xml:space="preserve"> together towards the </w:t>
      </w:r>
      <w:r w:rsidR="009C1931" w:rsidRPr="00A26DC7">
        <w:t>long-term objective of ensuring:</w:t>
      </w:r>
    </w:p>
    <w:p w:rsidR="004144D6" w:rsidRPr="00A26DC7" w:rsidRDefault="004144D6" w:rsidP="00551953">
      <w:pPr>
        <w:ind w:left="426" w:right="571"/>
        <w:rPr>
          <w:i/>
        </w:rPr>
      </w:pPr>
      <w:r w:rsidRPr="00A26DC7">
        <w:rPr>
          <w:i/>
        </w:rPr>
        <w:t>“people with disability and their carers have an enhanced quality of life and participate as valued members of the community”.</w:t>
      </w:r>
    </w:p>
    <w:p w:rsidR="004816D8" w:rsidRPr="00A26DC7" w:rsidRDefault="007A0831" w:rsidP="006D0D8E">
      <w:r w:rsidRPr="00A26DC7">
        <w:t>Despite national efforts, people with disability and carers continue to face substantial barriers to social and economic participation in society and are among the most disadvantaged in the community</w:t>
      </w:r>
      <w:r w:rsidR="001824BD" w:rsidRPr="00A26DC7">
        <w:rPr>
          <w:rStyle w:val="FootnoteReference"/>
        </w:rPr>
        <w:footnoteReference w:id="1"/>
      </w:r>
      <w:r w:rsidRPr="00A26DC7">
        <w:t>.</w:t>
      </w:r>
      <w:r w:rsidR="00397DD4" w:rsidRPr="00A26DC7">
        <w:t xml:space="preserve"> The goals and outcomes agreed by governments a decade ago are still as relevant and important for people with disability and their carers today.</w:t>
      </w:r>
    </w:p>
    <w:p w:rsidR="004816D8" w:rsidRPr="00A26DC7" w:rsidRDefault="004816D8" w:rsidP="006D0D8E">
      <w:r w:rsidRPr="00A26DC7">
        <w:t xml:space="preserve">The </w:t>
      </w:r>
      <w:r w:rsidR="00782925" w:rsidRPr="00A26DC7">
        <w:t xml:space="preserve">South Australian Government remains committed to </w:t>
      </w:r>
      <w:r w:rsidRPr="00A26DC7">
        <w:t>the values underpinning the NDA</w:t>
      </w:r>
      <w:r w:rsidR="007A0831" w:rsidRPr="00A26DC7">
        <w:t xml:space="preserve"> and </w:t>
      </w:r>
      <w:r w:rsidR="001E613E" w:rsidRPr="00A26DC7">
        <w:t xml:space="preserve">is </w:t>
      </w:r>
      <w:r w:rsidR="00C32217" w:rsidRPr="00A26DC7">
        <w:t xml:space="preserve">implementing </w:t>
      </w:r>
      <w:r w:rsidR="001E613E" w:rsidRPr="00A26DC7">
        <w:t xml:space="preserve">a range of initiatives to </w:t>
      </w:r>
      <w:r w:rsidRPr="00A26DC7">
        <w:t xml:space="preserve">work with people with disability, their carers and families to </w:t>
      </w:r>
      <w:r w:rsidR="004D6CB3" w:rsidRPr="00A26DC7">
        <w:t xml:space="preserve">maximise </w:t>
      </w:r>
      <w:r w:rsidR="006D0D8E" w:rsidRPr="00A26DC7">
        <w:t xml:space="preserve">participation, independence, </w:t>
      </w:r>
      <w:r w:rsidRPr="00A26DC7">
        <w:t xml:space="preserve">access and inclusion. </w:t>
      </w:r>
    </w:p>
    <w:p w:rsidR="004D6CB3" w:rsidRDefault="004D6CB3" w:rsidP="006D0D8E">
      <w:r w:rsidRPr="00A26DC7">
        <w:t>However</w:t>
      </w:r>
      <w:r w:rsidR="004E2BA3" w:rsidRPr="00A26DC7">
        <w:t>,</w:t>
      </w:r>
      <w:r w:rsidRPr="00A26DC7">
        <w:t xml:space="preserve"> the NDA itself </w:t>
      </w:r>
      <w:r w:rsidR="001E613E" w:rsidRPr="00A26DC7">
        <w:t xml:space="preserve">as a national agreement </w:t>
      </w:r>
      <w:r w:rsidRPr="00A26DC7">
        <w:t xml:space="preserve">is no longer </w:t>
      </w:r>
      <w:r w:rsidR="00BC4E7E" w:rsidRPr="00A26DC7">
        <w:t xml:space="preserve">up-to-date. </w:t>
      </w:r>
      <w:r w:rsidR="000F6E14" w:rsidRPr="00A26DC7">
        <w:t xml:space="preserve">As identified by the Productivity Commission, there have been significant changes to the </w:t>
      </w:r>
      <w:r w:rsidR="005C1A3D" w:rsidRPr="00A26DC7">
        <w:t>disability</w:t>
      </w:r>
      <w:r w:rsidR="005C1A3D">
        <w:t xml:space="preserve"> </w:t>
      </w:r>
      <w:r w:rsidR="000F6E14">
        <w:t>policy</w:t>
      </w:r>
      <w:r w:rsidR="005C1A3D">
        <w:t xml:space="preserve"> and service provision</w:t>
      </w:r>
      <w:r w:rsidR="000F6E14">
        <w:t xml:space="preserve"> landscape.</w:t>
      </w:r>
      <w:r w:rsidR="004556AA">
        <w:rPr>
          <w:rStyle w:val="FootnoteReference"/>
        </w:rPr>
        <w:footnoteReference w:id="2"/>
      </w:r>
      <w:r w:rsidR="000F6E14">
        <w:t xml:space="preserve"> </w:t>
      </w:r>
      <w:r w:rsidR="001E613E">
        <w:t xml:space="preserve">This is particularly </w:t>
      </w:r>
      <w:r w:rsidR="000F6E14">
        <w:t xml:space="preserve">the case </w:t>
      </w:r>
      <w:r w:rsidR="001E613E">
        <w:t>g</w:t>
      </w:r>
      <w:r>
        <w:t xml:space="preserve">iven the </w:t>
      </w:r>
      <w:r w:rsidR="000F6E14">
        <w:t xml:space="preserve">fundamental reforms brought about by the </w:t>
      </w:r>
      <w:r>
        <w:t xml:space="preserve">introduction of the </w:t>
      </w:r>
      <w:r w:rsidR="00A3137F" w:rsidRPr="001A7643">
        <w:rPr>
          <w:i/>
        </w:rPr>
        <w:t>National Disability Strategy 2010-2010</w:t>
      </w:r>
      <w:r w:rsidR="00A3137F">
        <w:t xml:space="preserve"> (NDS) and the </w:t>
      </w:r>
      <w:r w:rsidRPr="004D6CB3">
        <w:t>National Disability Insurance Scheme</w:t>
      </w:r>
      <w:r>
        <w:t xml:space="preserve"> </w:t>
      </w:r>
      <w:r w:rsidR="004E2BA3">
        <w:t>(NDIS)</w:t>
      </w:r>
      <w:r>
        <w:t>.</w:t>
      </w:r>
    </w:p>
    <w:p w:rsidR="00D106F7" w:rsidRDefault="00D106F7" w:rsidP="00D106F7">
      <w:r>
        <w:t xml:space="preserve">The full implementation of the NDIS, including Information, Linkages and Capacity Building in South Australia is not yet complete. In the transition to the NDIS, there are a number of risks which are apparent, including potential service gaps.  There is extensive national work underway to determine the detail of how the NDIS will work with mainstream services. The South Australian Government is continuing to progress NDIS implementation issues nationally, with the Commonwealth Government, National Disability Insurance Agency and with other jurisdictions directly and through the Disability Reform Council. </w:t>
      </w:r>
    </w:p>
    <w:p w:rsidR="001A7643" w:rsidRDefault="004556AA" w:rsidP="00140AE7">
      <w:r>
        <w:t xml:space="preserve">The South Australian Government believes </w:t>
      </w:r>
      <w:r w:rsidR="00140AE7">
        <w:t>the</w:t>
      </w:r>
      <w:r>
        <w:t xml:space="preserve"> </w:t>
      </w:r>
      <w:r w:rsidR="00140AE7">
        <w:t xml:space="preserve">existing </w:t>
      </w:r>
      <w:r>
        <w:t>arrangements for the NDIS and NDS are sufficient</w:t>
      </w:r>
      <w:r w:rsidR="00140AE7">
        <w:t>,</w:t>
      </w:r>
      <w:r>
        <w:t xml:space="preserve"> and that renewing the NDA will not provide </w:t>
      </w:r>
      <w:r w:rsidR="00055225">
        <w:t xml:space="preserve">significant </w:t>
      </w:r>
      <w:r w:rsidR="001A7643">
        <w:t>benefit</w:t>
      </w:r>
      <w:r>
        <w:t xml:space="preserve"> for the South Australian community. </w:t>
      </w:r>
      <w:r w:rsidR="000225AA">
        <w:t xml:space="preserve">The existing NDIS Bilateral Agreement and NDS provide sufficient intergovernmental architecture to </w:t>
      </w:r>
      <w:r w:rsidR="0069242D">
        <w:t xml:space="preserve">enable and </w:t>
      </w:r>
      <w:r w:rsidR="00387466">
        <w:t xml:space="preserve">promote </w:t>
      </w:r>
      <w:r w:rsidR="000225AA">
        <w:t xml:space="preserve">service and community reforms for people with disability. </w:t>
      </w:r>
    </w:p>
    <w:p w:rsidR="00140AE7" w:rsidRDefault="00235FC1" w:rsidP="00140AE7">
      <w:r>
        <w:lastRenderedPageBreak/>
        <w:t>In addition to existing state-based initiatives, South Australia supports a strengthened</w:t>
      </w:r>
      <w:r w:rsidR="00055225">
        <w:t xml:space="preserve"> and enhanced </w:t>
      </w:r>
      <w:r>
        <w:t>focus on the N</w:t>
      </w:r>
      <w:r w:rsidR="00A26DC7">
        <w:t>DS</w:t>
      </w:r>
      <w:r w:rsidR="009E7CB6">
        <w:t xml:space="preserve"> (rather than the NDA),</w:t>
      </w:r>
      <w:r w:rsidR="00A26DC7">
        <w:t xml:space="preserve"> </w:t>
      </w:r>
      <w:r>
        <w:t>to improv</w:t>
      </w:r>
      <w:r w:rsidR="000225AA">
        <w:t xml:space="preserve">e </w:t>
      </w:r>
      <w:r>
        <w:t xml:space="preserve">the lives of people with disability across a range of </w:t>
      </w:r>
      <w:r w:rsidR="000225AA">
        <w:t xml:space="preserve">areas including inclusive and accessible communities, skills and work, health and wellbeing. This will </w:t>
      </w:r>
      <w:r w:rsidR="00055225">
        <w:t xml:space="preserve">continue to </w:t>
      </w:r>
      <w:r w:rsidR="000225AA">
        <w:t xml:space="preserve">require the participation of </w:t>
      </w:r>
      <w:r w:rsidR="003F7860">
        <w:t xml:space="preserve">all </w:t>
      </w:r>
      <w:r w:rsidR="000225AA">
        <w:t>governments, businesses and the community.</w:t>
      </w:r>
    </w:p>
    <w:p w:rsidR="00D148A6" w:rsidRDefault="00D148A6" w:rsidP="00140AE7">
      <w:r>
        <w:t xml:space="preserve">South Australia looks forward to </w:t>
      </w:r>
      <w:r w:rsidR="00A26DC7">
        <w:t xml:space="preserve">continued </w:t>
      </w:r>
      <w:r>
        <w:t>partici</w:t>
      </w:r>
      <w:r w:rsidR="00055225">
        <w:t>pati</w:t>
      </w:r>
      <w:r w:rsidR="00A26DC7">
        <w:t xml:space="preserve">on </w:t>
      </w:r>
      <w:r w:rsidR="00055225">
        <w:t>in the review of the NDS</w:t>
      </w:r>
      <w:r w:rsidR="00A26DC7">
        <w:t>.</w:t>
      </w:r>
    </w:p>
    <w:p w:rsidR="009833FB" w:rsidRDefault="009833FB" w:rsidP="006D0D8E"/>
    <w:p w:rsidR="005D3199" w:rsidRDefault="005D3199">
      <w:r>
        <w:br w:type="page"/>
      </w:r>
    </w:p>
    <w:p w:rsidR="000134A2" w:rsidRPr="004E6144" w:rsidRDefault="00AD4DA8" w:rsidP="008A378E">
      <w:pPr>
        <w:rPr>
          <w:b/>
          <w:sz w:val="28"/>
        </w:rPr>
      </w:pPr>
      <w:r>
        <w:rPr>
          <w:b/>
          <w:sz w:val="28"/>
        </w:rPr>
        <w:lastRenderedPageBreak/>
        <w:t xml:space="preserve">Scope and Purpose </w:t>
      </w:r>
      <w:r w:rsidR="004E6144">
        <w:rPr>
          <w:b/>
          <w:sz w:val="28"/>
        </w:rPr>
        <w:t xml:space="preserve">of the </w:t>
      </w:r>
      <w:r w:rsidR="00D343DD" w:rsidRPr="004E6144">
        <w:rPr>
          <w:b/>
          <w:sz w:val="28"/>
        </w:rPr>
        <w:t xml:space="preserve">National Disability Agreement </w:t>
      </w:r>
    </w:p>
    <w:p w:rsidR="00055225" w:rsidRDefault="00397DD4" w:rsidP="00397DD4">
      <w:r>
        <w:t xml:space="preserve">The NDA </w:t>
      </w:r>
      <w:r w:rsidR="00055225">
        <w:t xml:space="preserve">was implemented in 2009, replacing </w:t>
      </w:r>
      <w:r w:rsidR="00055225">
        <w:rPr>
          <w:rFonts w:ascii="ArialMT" w:hAnsi="ArialMT" w:cs="ArialMT"/>
        </w:rPr>
        <w:t>previous iterations of the Commonwealth</w:t>
      </w:r>
      <w:r w:rsidR="003F6008">
        <w:rPr>
          <w:rFonts w:ascii="ArialMT" w:hAnsi="ArialMT" w:cs="ArialMT"/>
        </w:rPr>
        <w:t>,</w:t>
      </w:r>
      <w:r w:rsidR="00055225">
        <w:rPr>
          <w:rFonts w:ascii="ArialMT" w:hAnsi="ArialMT" w:cs="ArialMT"/>
        </w:rPr>
        <w:t xml:space="preserve"> State and Territory Disability Agreement.</w:t>
      </w:r>
    </w:p>
    <w:p w:rsidR="008C672A" w:rsidRDefault="00397DD4" w:rsidP="00397DD4">
      <w:r w:rsidRPr="00764ADC">
        <w:t xml:space="preserve">The focus of the NDA is the provision of </w:t>
      </w:r>
      <w:r w:rsidR="00055225">
        <w:t>disability services, particularly s</w:t>
      </w:r>
      <w:r>
        <w:t xml:space="preserve">pecialist disability </w:t>
      </w:r>
      <w:r w:rsidRPr="00764ADC">
        <w:t>services</w:t>
      </w:r>
      <w:r>
        <w:t xml:space="preserve"> to support </w:t>
      </w:r>
      <w:r w:rsidRPr="00764ADC">
        <w:t>people with disability</w:t>
      </w:r>
      <w:r>
        <w:t xml:space="preserve"> and carers. </w:t>
      </w:r>
      <w:r w:rsidR="008C672A">
        <w:t>The NDA also acknowledges that specialist disability services are complemented by mainstream services</w:t>
      </w:r>
      <w:r w:rsidR="008C672A" w:rsidRPr="008C672A">
        <w:t xml:space="preserve"> </w:t>
      </w:r>
      <w:r w:rsidR="008C672A">
        <w:t xml:space="preserve">and income support measures. Mainstream services are services provided to the community as a whole, such as education and health services. </w:t>
      </w:r>
    </w:p>
    <w:p w:rsidR="00397DD4" w:rsidRPr="00764ADC" w:rsidRDefault="008C672A" w:rsidP="00397DD4">
      <w:r>
        <w:t xml:space="preserve">Under the NDA, disability services </w:t>
      </w:r>
      <w:r w:rsidR="00397DD4" w:rsidRPr="00764ADC">
        <w:t>contribute to the following agreed outcomes:</w:t>
      </w:r>
    </w:p>
    <w:p w:rsidR="00397DD4" w:rsidRPr="00764ADC" w:rsidRDefault="00397DD4" w:rsidP="00397DD4">
      <w:pPr>
        <w:pStyle w:val="ListParagraph"/>
        <w:numPr>
          <w:ilvl w:val="0"/>
          <w:numId w:val="34"/>
        </w:numPr>
      </w:pPr>
      <w:r w:rsidRPr="00764ADC">
        <w:t>people with disability achieve economic participation and social inclusion</w:t>
      </w:r>
    </w:p>
    <w:p w:rsidR="00397DD4" w:rsidRPr="00764ADC" w:rsidRDefault="00397DD4" w:rsidP="00397DD4">
      <w:pPr>
        <w:pStyle w:val="ListParagraph"/>
        <w:numPr>
          <w:ilvl w:val="0"/>
          <w:numId w:val="34"/>
        </w:numPr>
      </w:pPr>
      <w:r w:rsidRPr="00764ADC">
        <w:t>people with disability enjoy choice, wellbeing and the opportunity to live as independently as possible</w:t>
      </w:r>
    </w:p>
    <w:p w:rsidR="00397DD4" w:rsidRDefault="00397DD4" w:rsidP="00397DD4">
      <w:pPr>
        <w:pStyle w:val="ListParagraph"/>
        <w:numPr>
          <w:ilvl w:val="0"/>
          <w:numId w:val="34"/>
        </w:numPr>
      </w:pPr>
      <w:r w:rsidRPr="00764ADC">
        <w:t>families and carers are well supported.</w:t>
      </w:r>
    </w:p>
    <w:p w:rsidR="00461040" w:rsidRDefault="006C7B19">
      <w:r>
        <w:t xml:space="preserve">The NDA also includes an extensive framework to measure progress in achieving these outcomes, including benchmarks and performance indicators to aid public accountability. </w:t>
      </w:r>
    </w:p>
    <w:p w:rsidR="00461040" w:rsidRDefault="00461040" w:rsidP="00461040">
      <w:pPr>
        <w:rPr>
          <w:b/>
        </w:rPr>
      </w:pPr>
      <w:r w:rsidRPr="00461040">
        <w:rPr>
          <w:b/>
        </w:rPr>
        <w:t xml:space="preserve">Roles and Responsibilities </w:t>
      </w:r>
    </w:p>
    <w:p w:rsidR="00D106F7" w:rsidRDefault="00461040" w:rsidP="00461040">
      <w:r>
        <w:t>The NDA outlines roles and responsibilities of the Commonwealth and states and territories and a unified national disability reform and policy agenda.</w:t>
      </w:r>
      <w:r w:rsidR="00D106F7">
        <w:t xml:space="preserve"> </w:t>
      </w:r>
    </w:p>
    <w:p w:rsidR="00461040" w:rsidRDefault="00D106F7" w:rsidP="00461040">
      <w:r>
        <w:t>South Australia supports the Productivity Commission’s summary of the existing roles and responsibilities under the NDA as reflected in Figure 1.</w:t>
      </w:r>
    </w:p>
    <w:p w:rsidR="00461040" w:rsidRDefault="00461040" w:rsidP="00461040">
      <w:r>
        <w:t>Under the NDA, t</w:t>
      </w:r>
      <w:r w:rsidRPr="00AD4DA8">
        <w:t>he Commonwealth is responsible for providing income support</w:t>
      </w:r>
      <w:r>
        <w:t xml:space="preserve"> (such as the Disability Support Pension)</w:t>
      </w:r>
      <w:r w:rsidRPr="00AD4DA8">
        <w:t xml:space="preserve"> and employment</w:t>
      </w:r>
      <w:r>
        <w:t xml:space="preserve"> services.</w:t>
      </w:r>
      <w:r w:rsidRPr="00AD4DA8">
        <w:t xml:space="preserve"> </w:t>
      </w:r>
    </w:p>
    <w:p w:rsidR="00461040" w:rsidRDefault="00461040" w:rsidP="00461040">
      <w:r>
        <w:t>S</w:t>
      </w:r>
      <w:r w:rsidRPr="00AD4DA8">
        <w:t>tates and</w:t>
      </w:r>
      <w:r>
        <w:t xml:space="preserve"> </w:t>
      </w:r>
      <w:r w:rsidRPr="00AD4DA8">
        <w:t>territories are responsible for the provision of specialist disability services (except</w:t>
      </w:r>
      <w:r>
        <w:t xml:space="preserve"> </w:t>
      </w:r>
      <w:r w:rsidRPr="00AD4DA8">
        <w:t>employment services)</w:t>
      </w:r>
      <w:r>
        <w:t xml:space="preserve"> and basic community care services (Home and Community Care) for people under 65 years.</w:t>
      </w:r>
      <w:r w:rsidRPr="00AD4DA8">
        <w:t xml:space="preserve"> </w:t>
      </w:r>
      <w:r>
        <w:t>Under the NDA, in South Australia, as in most jurisdictions, people with psychosocial disability were not eligible for specialist disability services.</w:t>
      </w:r>
    </w:p>
    <w:p w:rsidR="00461040" w:rsidRDefault="00461040" w:rsidP="00461040">
      <w:r>
        <w:t xml:space="preserve">In 2011, reforms to the responsibilities for funding aged care and disability services were agreed under </w:t>
      </w:r>
      <w:r w:rsidRPr="00387466">
        <w:t>the National Partnership for Transitioning Responsibilities for Aged Care and Disability Services (NPA-TRAD).</w:t>
      </w:r>
      <w:r>
        <w:rPr>
          <w:i/>
        </w:rPr>
        <w:t xml:space="preserve"> </w:t>
      </w:r>
      <w:r>
        <w:t xml:space="preserve">Broadly speaking, the Commonwealth assumed funding and policy responsibility for all aged care and disability services for older </w:t>
      </w:r>
      <w:r w:rsidRPr="00AD4DA8">
        <w:t>people</w:t>
      </w:r>
      <w:r>
        <w:t xml:space="preserve">. South Australia became responsible for funding aged care and disability services for </w:t>
      </w:r>
      <w:r w:rsidRPr="00AD4DA8">
        <w:t xml:space="preserve">people aged </w:t>
      </w:r>
      <w:r>
        <w:t xml:space="preserve">less than </w:t>
      </w:r>
      <w:r w:rsidRPr="00AD4DA8">
        <w:t xml:space="preserve">65 years </w:t>
      </w:r>
      <w:r>
        <w:t>(</w:t>
      </w:r>
      <w:r w:rsidRPr="00AD4DA8">
        <w:t>and</w:t>
      </w:r>
      <w:r>
        <w:t xml:space="preserve"> </w:t>
      </w:r>
      <w:r w:rsidRPr="00AD4DA8">
        <w:t xml:space="preserve">Indigenous Australians aged </w:t>
      </w:r>
      <w:r>
        <w:t xml:space="preserve">less than </w:t>
      </w:r>
      <w:r w:rsidRPr="00AD4DA8">
        <w:t>50 years</w:t>
      </w:r>
      <w:r>
        <w:t xml:space="preserve">). The NDA encompasses these roles. </w:t>
      </w:r>
    </w:p>
    <w:p w:rsidR="00461040" w:rsidRDefault="00461040" w:rsidP="00461040">
      <w:r>
        <w:t>Shared roles include funding research and provision of data.</w:t>
      </w:r>
    </w:p>
    <w:p w:rsidR="00461040" w:rsidRPr="005C7C91" w:rsidRDefault="00461040" w:rsidP="00461040"/>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44"/>
      </w:tblGrid>
      <w:tr w:rsidR="00461040" w:rsidRPr="00176D3F" w:rsidTr="00854B2C">
        <w:trPr>
          <w:tblHeader/>
        </w:trPr>
        <w:tc>
          <w:tcPr>
            <w:tcW w:w="5000" w:type="pct"/>
            <w:tcBorders>
              <w:top w:val="single" w:sz="6" w:space="0" w:color="78A22F"/>
              <w:left w:val="nil"/>
              <w:bottom w:val="nil"/>
              <w:right w:val="nil"/>
            </w:tcBorders>
            <w:shd w:val="clear" w:color="auto" w:fill="auto"/>
          </w:tcPr>
          <w:p w:rsidR="00461040" w:rsidRPr="00176D3F" w:rsidRDefault="00461040" w:rsidP="00387466">
            <w:pPr>
              <w:pStyle w:val="FigureTitle"/>
            </w:pPr>
            <w:r w:rsidRPr="00784A05">
              <w:rPr>
                <w:b w:val="0"/>
              </w:rPr>
              <w:t xml:space="preserve">Figure </w:t>
            </w:r>
            <w:r w:rsidR="00387466">
              <w:rPr>
                <w:b w:val="0"/>
              </w:rPr>
              <w:t>1</w:t>
            </w:r>
            <w:r>
              <w:tab/>
              <w:t>Summary of roles and responsibilities in the current NDA</w:t>
            </w:r>
          </w:p>
        </w:tc>
      </w:tr>
      <w:tr w:rsidR="00461040" w:rsidTr="00854B2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8064A2" w:themeColor="accent4"/>
                <w:bottom w:val="single" w:sz="6" w:space="0" w:color="8064A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61040" w:rsidRPr="00B1465D" w:rsidTr="00854B2C">
              <w:trPr>
                <w:tblHeader/>
                <w:jc w:val="center"/>
              </w:trPr>
              <w:tc>
                <w:tcPr>
                  <w:tcW w:w="5000" w:type="pct"/>
                  <w:tcBorders>
                    <w:top w:val="nil"/>
                    <w:bottom w:val="nil"/>
                  </w:tcBorders>
                </w:tcPr>
                <w:p w:rsidR="00461040" w:rsidRPr="00B1465D" w:rsidRDefault="00461040" w:rsidP="00854B2C">
                  <w:pPr>
                    <w:pStyle w:val="Figure"/>
                    <w:spacing w:before="60" w:after="60"/>
                    <w:rPr>
                      <w:rFonts w:ascii="Arial" w:hAnsi="Arial" w:cs="Arial"/>
                      <w:sz w:val="18"/>
                      <w:szCs w:val="18"/>
                    </w:rPr>
                  </w:pPr>
                  <w:r w:rsidRPr="00D70BAF">
                    <w:rPr>
                      <w:rFonts w:ascii="Arial" w:hAnsi="Arial" w:cs="Arial"/>
                      <w:noProof/>
                      <w:sz w:val="18"/>
                      <w:szCs w:val="18"/>
                    </w:rPr>
                    <w:drawing>
                      <wp:inline distT="0" distB="0" distL="0" distR="0" wp14:anchorId="1C4FDB72" wp14:editId="3EA270EB">
                        <wp:extent cx="5324475" cy="2733675"/>
                        <wp:effectExtent l="0" t="0" r="9525" b="9525"/>
                        <wp:docPr id="6" name="Picture 6" descr="Roles and responsibilities in the NDA either sit with the Commonwealth, the States and Territories or are shared between them. Roles and responsibilities that sit with the Commonwealth include the provision of employment services, incomes support and providing some funds to the States and Territories; funding disability services delivered by the States for the aged; investing in initiatives to support policy priorities; and developing policy and reform directions. &#10;&#10;Roles and responsibilities that sit with the States and Territories include the provision of disability services; funding and regulating community care services for people under 65 (50 for Indigenous Australians); funding packaged community and residential aged care delivered under Commonwealth programs to people under the age of 65 (50 for indigenous Australians); and delivering policy and reform directions. &#10;&#10;Shared roles and responsibilities include funding and pursuing research; improving continuity of care improving outcomes for Indigenous people with a disability; the provision of data; meeting commitments under  the National Partnership Agreement on Transitioning Responsibilities for Aged Care and Disability Services; and aligning legis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4475" cy="2733675"/>
                                </a:xfrm>
                                <a:prstGeom prst="rect">
                                  <a:avLst/>
                                </a:prstGeom>
                                <a:noFill/>
                                <a:ln>
                                  <a:noFill/>
                                </a:ln>
                              </pic:spPr>
                            </pic:pic>
                          </a:graphicData>
                        </a:graphic>
                      </wp:inline>
                    </w:drawing>
                  </w:r>
                </w:p>
              </w:tc>
            </w:tr>
          </w:tbl>
          <w:p w:rsidR="00461040" w:rsidRDefault="00461040" w:rsidP="00854B2C">
            <w:pPr>
              <w:pStyle w:val="Figure"/>
            </w:pPr>
          </w:p>
        </w:tc>
      </w:tr>
      <w:tr w:rsidR="00461040" w:rsidRPr="00F50AD6" w:rsidTr="00854B2C">
        <w:tc>
          <w:tcPr>
            <w:tcW w:w="5000" w:type="pct"/>
            <w:tcBorders>
              <w:top w:val="nil"/>
              <w:left w:val="nil"/>
              <w:bottom w:val="nil"/>
              <w:right w:val="nil"/>
            </w:tcBorders>
            <w:shd w:val="clear" w:color="auto" w:fill="auto"/>
          </w:tcPr>
          <w:p w:rsidR="00461040" w:rsidRDefault="00461040" w:rsidP="00854B2C">
            <w:pPr>
              <w:pStyle w:val="Note"/>
              <w:rPr>
                <w:rStyle w:val="NoteLabel"/>
              </w:rPr>
            </w:pPr>
            <w:r>
              <w:rPr>
                <w:rStyle w:val="NoteLabel"/>
              </w:rPr>
              <w:t>a</w:t>
            </w:r>
            <w:r w:rsidRPr="00A60D55">
              <w:t xml:space="preserve"> National Partnership Agreement on Transitioning Responsibilities for Aged Care and Disability Services</w:t>
            </w:r>
            <w:r>
              <w:rPr>
                <w:rStyle w:val="NoteLabel"/>
              </w:rPr>
              <w:t xml:space="preserve"> </w:t>
            </w:r>
          </w:p>
          <w:p w:rsidR="00461040" w:rsidRPr="00F50AD6" w:rsidRDefault="00461040" w:rsidP="00854B2C">
            <w:pPr>
              <w:pStyle w:val="Note"/>
              <w:rPr>
                <w:b/>
                <w:position w:val="6"/>
              </w:rPr>
            </w:pPr>
            <w:r>
              <w:rPr>
                <w:rStyle w:val="NoteLabel"/>
              </w:rPr>
              <w:t>b</w:t>
            </w:r>
            <w:r>
              <w:t xml:space="preserve"> Except for Victoria and Western Australia. </w:t>
            </w:r>
          </w:p>
        </w:tc>
      </w:tr>
      <w:tr w:rsidR="00461040" w:rsidRPr="00176D3F" w:rsidTr="00854B2C">
        <w:tc>
          <w:tcPr>
            <w:tcW w:w="5000" w:type="pct"/>
            <w:tcBorders>
              <w:top w:val="nil"/>
              <w:left w:val="nil"/>
              <w:bottom w:val="nil"/>
              <w:right w:val="nil"/>
            </w:tcBorders>
            <w:shd w:val="clear" w:color="auto" w:fill="auto"/>
          </w:tcPr>
          <w:p w:rsidR="00461040" w:rsidRPr="00176D3F" w:rsidRDefault="00C60E1D" w:rsidP="00C60E1D">
            <w:pPr>
              <w:pStyle w:val="Source"/>
            </w:pPr>
            <w:r>
              <w:t>S</w:t>
            </w:r>
            <w:r w:rsidR="00461040" w:rsidRPr="00C60E1D">
              <w:t>ource:</w:t>
            </w:r>
            <w:r>
              <w:t xml:space="preserve"> Productivity Commission (2018) National Disability Agreement Review Issues Paper </w:t>
            </w:r>
          </w:p>
        </w:tc>
      </w:tr>
    </w:tbl>
    <w:p w:rsidR="00461040" w:rsidRDefault="00461040">
      <w:pPr>
        <w:rPr>
          <w:b/>
        </w:rPr>
      </w:pPr>
    </w:p>
    <w:p w:rsidR="00387466" w:rsidRDefault="00387466">
      <w:pPr>
        <w:rPr>
          <w:b/>
        </w:rPr>
      </w:pPr>
    </w:p>
    <w:p w:rsidR="00461040" w:rsidRPr="00461040" w:rsidRDefault="00461040">
      <w:pPr>
        <w:rPr>
          <w:b/>
        </w:rPr>
      </w:pPr>
      <w:r w:rsidRPr="00461040">
        <w:rPr>
          <w:b/>
        </w:rPr>
        <w:t xml:space="preserve">Funding </w:t>
      </w:r>
      <w:r>
        <w:rPr>
          <w:b/>
        </w:rPr>
        <w:t>for Specialist Disability Services</w:t>
      </w:r>
    </w:p>
    <w:p w:rsidR="00904723" w:rsidRDefault="000551B4">
      <w:r w:rsidRPr="000551B4">
        <w:t xml:space="preserve">The NDA does not provide funding for disability services. </w:t>
      </w:r>
      <w:r>
        <w:t>T</w:t>
      </w:r>
      <w:r w:rsidRPr="000551B4">
        <w:t xml:space="preserve">he Commonwealth </w:t>
      </w:r>
      <w:r>
        <w:t xml:space="preserve">has </w:t>
      </w:r>
      <w:r w:rsidRPr="000551B4">
        <w:t>provided funding for</w:t>
      </w:r>
      <w:r>
        <w:t xml:space="preserve"> specialist</w:t>
      </w:r>
      <w:r w:rsidRPr="000551B4">
        <w:t xml:space="preserve"> disability services to </w:t>
      </w:r>
      <w:r>
        <w:t xml:space="preserve">states and territories through </w:t>
      </w:r>
      <w:r w:rsidRPr="000551B4">
        <w:t>national specific purpose payment</w:t>
      </w:r>
      <w:r>
        <w:t>s</w:t>
      </w:r>
      <w:r w:rsidRPr="000551B4">
        <w:t xml:space="preserve"> and variou</w:t>
      </w:r>
      <w:r>
        <w:t>s national partnerships.</w:t>
      </w:r>
      <w:r w:rsidR="00904723">
        <w:t xml:space="preserve"> </w:t>
      </w:r>
    </w:p>
    <w:p w:rsidR="00904723" w:rsidRDefault="00387466">
      <w:r>
        <w:t>As shown in Figure 2</w:t>
      </w:r>
      <w:r w:rsidR="00904723">
        <w:t xml:space="preserve">, the </w:t>
      </w:r>
      <w:r w:rsidR="0063591B">
        <w:t>total level of funding for specialist disability services</w:t>
      </w:r>
      <w:r w:rsidR="006C7B19">
        <w:t xml:space="preserve"> in South Australia</w:t>
      </w:r>
      <w:r w:rsidR="0063591B">
        <w:t xml:space="preserve"> increased from $392 million in 2008-09 to $680 million in 2016-17. Over this period, the </w:t>
      </w:r>
      <w:r w:rsidR="00904723">
        <w:t xml:space="preserve">State Government </w:t>
      </w:r>
      <w:r w:rsidR="0040137B">
        <w:t xml:space="preserve">share of </w:t>
      </w:r>
      <w:r w:rsidR="00904723">
        <w:t>funding for specialist disability services increased from 75%</w:t>
      </w:r>
      <w:r w:rsidR="0063591B">
        <w:t xml:space="preserve"> to 85%</w:t>
      </w:r>
      <w:r w:rsidR="006C7B19">
        <w:t>.</w:t>
      </w: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387466" w:rsidRDefault="00387466" w:rsidP="006C7B19">
      <w:pPr>
        <w:spacing w:after="0" w:line="240" w:lineRule="auto"/>
        <w:rPr>
          <w:b/>
        </w:rPr>
      </w:pPr>
    </w:p>
    <w:p w:rsidR="0063591B" w:rsidRDefault="00387466" w:rsidP="00387466">
      <w:pPr>
        <w:spacing w:after="0" w:line="240" w:lineRule="auto"/>
        <w:ind w:left="1440" w:hanging="1440"/>
        <w:rPr>
          <w:b/>
        </w:rPr>
      </w:pPr>
      <w:r>
        <w:rPr>
          <w:b/>
        </w:rPr>
        <w:t>Figure 2</w:t>
      </w:r>
      <w:r w:rsidR="006C7B19">
        <w:rPr>
          <w:b/>
        </w:rPr>
        <w:t>:</w:t>
      </w:r>
      <w:r w:rsidR="006C7B19">
        <w:rPr>
          <w:b/>
        </w:rPr>
        <w:tab/>
      </w:r>
      <w:r w:rsidR="006C7B19" w:rsidRPr="006C7B19">
        <w:rPr>
          <w:b/>
        </w:rPr>
        <w:t>Total Real Government Expenditure on Specialist Disability Services</w:t>
      </w:r>
      <w:r w:rsidR="006C7B19">
        <w:rPr>
          <w:b/>
        </w:rPr>
        <w:t>,</w:t>
      </w:r>
      <w:r>
        <w:rPr>
          <w:b/>
        </w:rPr>
        <w:t xml:space="preserve">    South Australia, </w:t>
      </w:r>
      <w:r w:rsidR="006C7B19" w:rsidRPr="006C7B19">
        <w:rPr>
          <w:b/>
        </w:rPr>
        <w:t>2008-09 to 2016-17</w:t>
      </w:r>
      <w:r w:rsidR="006C7B19">
        <w:rPr>
          <w:b/>
        </w:rPr>
        <w:t xml:space="preserve"> (2016-17 Dollars)</w:t>
      </w:r>
    </w:p>
    <w:p w:rsidR="00387466" w:rsidRPr="006C7B19" w:rsidRDefault="00387466" w:rsidP="006C7B19">
      <w:pPr>
        <w:spacing w:after="0" w:line="240" w:lineRule="auto"/>
        <w:ind w:left="720" w:firstLine="720"/>
        <w:rPr>
          <w:b/>
        </w:rPr>
      </w:pPr>
    </w:p>
    <w:p w:rsidR="00904723" w:rsidRDefault="0063591B">
      <w:r>
        <w:rPr>
          <w:noProof/>
          <w:lang w:val="en-AU" w:eastAsia="en-AU"/>
        </w:rPr>
        <w:drawing>
          <wp:inline distT="0" distB="0" distL="0" distR="0" wp14:anchorId="4DC8DECF" wp14:editId="2E187993">
            <wp:extent cx="5629198" cy="36850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1295" cy="3686420"/>
                    </a:xfrm>
                    <a:prstGeom prst="rect">
                      <a:avLst/>
                    </a:prstGeom>
                    <a:noFill/>
                  </pic:spPr>
                </pic:pic>
              </a:graphicData>
            </a:graphic>
          </wp:inline>
        </w:drawing>
      </w:r>
    </w:p>
    <w:p w:rsidR="00904723" w:rsidRPr="006C7B19" w:rsidRDefault="006C7B19">
      <w:pPr>
        <w:rPr>
          <w:sz w:val="20"/>
        </w:rPr>
      </w:pPr>
      <w:r w:rsidRPr="006C7B19">
        <w:rPr>
          <w:sz w:val="20"/>
        </w:rPr>
        <w:t xml:space="preserve">Source: Productivity Commission (2018) </w:t>
      </w:r>
      <w:r w:rsidRPr="006C7B19">
        <w:rPr>
          <w:i/>
          <w:sz w:val="20"/>
        </w:rPr>
        <w:t>Report on Government Services</w:t>
      </w:r>
      <w:r w:rsidRPr="006C7B19">
        <w:rPr>
          <w:sz w:val="20"/>
        </w:rPr>
        <w:t>, Table 15A.4</w:t>
      </w:r>
    </w:p>
    <w:p w:rsidR="00904723" w:rsidRDefault="00904723"/>
    <w:p w:rsidR="00FB3E88" w:rsidRDefault="00FB3E88">
      <w:pPr>
        <w:rPr>
          <w:b/>
          <w:sz w:val="28"/>
        </w:rPr>
      </w:pPr>
      <w:r>
        <w:rPr>
          <w:b/>
          <w:sz w:val="28"/>
        </w:rPr>
        <w:br w:type="page"/>
      </w:r>
    </w:p>
    <w:p w:rsidR="008C27AB" w:rsidRDefault="008C27AB" w:rsidP="008C27AB">
      <w:pPr>
        <w:rPr>
          <w:b/>
          <w:sz w:val="28"/>
        </w:rPr>
      </w:pPr>
      <w:r>
        <w:rPr>
          <w:b/>
          <w:sz w:val="28"/>
        </w:rPr>
        <w:t xml:space="preserve">Performance Against the </w:t>
      </w:r>
      <w:r w:rsidRPr="004E6144">
        <w:rPr>
          <w:b/>
          <w:sz w:val="28"/>
        </w:rPr>
        <w:t xml:space="preserve">NDA </w:t>
      </w:r>
    </w:p>
    <w:p w:rsidR="008C27AB" w:rsidRPr="005720A8" w:rsidRDefault="008C27AB" w:rsidP="008C27AB">
      <w:pPr>
        <w:rPr>
          <w:b/>
        </w:rPr>
      </w:pPr>
      <w:r w:rsidRPr="005720A8">
        <w:rPr>
          <w:b/>
        </w:rPr>
        <w:t>NDA Performance Framework</w:t>
      </w:r>
    </w:p>
    <w:p w:rsidR="008C27AB" w:rsidRDefault="008C27AB" w:rsidP="008C27AB">
      <w:r>
        <w:rPr>
          <w:lang w:val="en-AU" w:eastAsia="en-AU"/>
        </w:rPr>
        <w:t>South Australia notes that governments have worked together to develop an extensive NDA performance framework, including benchmarks, outcomes, indicators and performance measures.</w:t>
      </w:r>
    </w:p>
    <w:p w:rsidR="008C27AB" w:rsidRPr="004360CF" w:rsidRDefault="008C27AB" w:rsidP="008C27AB">
      <w:pPr>
        <w:rPr>
          <w:u w:val="single"/>
        </w:rPr>
      </w:pPr>
      <w:r>
        <w:rPr>
          <w:u w:val="single"/>
        </w:rPr>
        <w:t>Benchmarks</w:t>
      </w:r>
    </w:p>
    <w:p w:rsidR="008C27AB" w:rsidRDefault="008C27AB" w:rsidP="008C27AB">
      <w:r>
        <w:t>Two national benchmarks (targets) were agreed:</w:t>
      </w:r>
    </w:p>
    <w:p w:rsidR="008C27AB" w:rsidRDefault="008C27AB" w:rsidP="008C27AB">
      <w:pPr>
        <w:pStyle w:val="ListParagraph"/>
        <w:numPr>
          <w:ilvl w:val="0"/>
          <w:numId w:val="37"/>
        </w:numPr>
      </w:pPr>
      <w:r w:rsidRPr="001D30BC">
        <w:t>between 2009 and 2018, there will be a five percentage point national</w:t>
      </w:r>
      <w:r>
        <w:t xml:space="preserve"> </w:t>
      </w:r>
      <w:r w:rsidRPr="001D30BC">
        <w:t>increase in the proportion of people with disability participating in the</w:t>
      </w:r>
      <w:r>
        <w:t xml:space="preserve"> </w:t>
      </w:r>
      <w:r w:rsidRPr="001D30BC">
        <w:t>labour force</w:t>
      </w:r>
    </w:p>
    <w:p w:rsidR="008C27AB" w:rsidRPr="001D30BC" w:rsidRDefault="008C27AB" w:rsidP="008C27AB">
      <w:pPr>
        <w:pStyle w:val="ListParagraph"/>
        <w:ind w:left="785"/>
      </w:pPr>
    </w:p>
    <w:p w:rsidR="008C27AB" w:rsidRDefault="008C27AB" w:rsidP="008C27AB">
      <w:pPr>
        <w:pStyle w:val="ListParagraph"/>
        <w:numPr>
          <w:ilvl w:val="0"/>
          <w:numId w:val="37"/>
        </w:numPr>
      </w:pPr>
      <w:r w:rsidRPr="001D30BC">
        <w:t>between 2009 and 2018, there will be a five percentage point national</w:t>
      </w:r>
      <w:r>
        <w:t xml:space="preserve"> </w:t>
      </w:r>
      <w:r w:rsidRPr="001D30BC">
        <w:t>decrease in the proportion of people with disability who report a need for</w:t>
      </w:r>
      <w:r>
        <w:t xml:space="preserve"> </w:t>
      </w:r>
      <w:r w:rsidRPr="001D30BC">
        <w:t>more formal assistance.</w:t>
      </w:r>
    </w:p>
    <w:p w:rsidR="008C27AB" w:rsidRDefault="008C27AB" w:rsidP="008C27AB">
      <w:pPr>
        <w:pStyle w:val="ListParagraph"/>
      </w:pPr>
    </w:p>
    <w:p w:rsidR="008C27AB" w:rsidRDefault="008C27AB" w:rsidP="008C27AB">
      <w:r>
        <w:t xml:space="preserve">Australian Bureau of Statistics </w:t>
      </w:r>
      <w:r>
        <w:rPr>
          <w:i/>
        </w:rPr>
        <w:t xml:space="preserve">Survey of Disability, Ageing and Carers </w:t>
      </w:r>
      <w:r>
        <w:t>data from 2009 to 2015, indicate there has been no significant national change in these proportions over the life of the NDA.</w:t>
      </w:r>
      <w:r>
        <w:rPr>
          <w:rStyle w:val="FootnoteReference"/>
        </w:rPr>
        <w:footnoteReference w:id="3"/>
      </w:r>
    </w:p>
    <w:p w:rsidR="008C27AB" w:rsidRDefault="008C27AB" w:rsidP="008C27AB">
      <w:r>
        <w:t>Despite findings of the 2012 review of the NDA, a third national benchmark, with a quantifiable target relating to families and carers, was not developed.</w:t>
      </w:r>
    </w:p>
    <w:p w:rsidR="008C27AB" w:rsidRPr="004360CF" w:rsidRDefault="008C27AB" w:rsidP="008C27AB">
      <w:pPr>
        <w:rPr>
          <w:u w:val="single"/>
        </w:rPr>
      </w:pPr>
      <w:r w:rsidRPr="004360CF">
        <w:rPr>
          <w:u w:val="single"/>
        </w:rPr>
        <w:t>Outcomes</w:t>
      </w:r>
    </w:p>
    <w:p w:rsidR="008C27AB" w:rsidRPr="00155B85" w:rsidRDefault="008C27AB" w:rsidP="008C27AB">
      <w:pPr>
        <w:rPr>
          <w:b/>
        </w:rPr>
      </w:pPr>
      <w:r w:rsidRPr="00155B85">
        <w:rPr>
          <w:b/>
        </w:rPr>
        <w:t>Outcome 1: People with disability achieve economic participation and social inclusion</w:t>
      </w:r>
    </w:p>
    <w:p w:rsidR="008C27AB" w:rsidRDefault="008C27AB" w:rsidP="008C27AB">
      <w:pPr>
        <w:tabs>
          <w:tab w:val="left" w:pos="3555"/>
        </w:tabs>
      </w:pPr>
      <w:r>
        <w:t>Indicators:</w:t>
      </w:r>
      <w:r>
        <w:tab/>
      </w:r>
    </w:p>
    <w:p w:rsidR="008C27AB" w:rsidRDefault="008C27AB" w:rsidP="008C27AB">
      <w:pPr>
        <w:pStyle w:val="ListParagraph"/>
        <w:numPr>
          <w:ilvl w:val="0"/>
          <w:numId w:val="40"/>
        </w:numPr>
      </w:pPr>
      <w:r>
        <w:t>Proportion of people with disability who receive income support and who also report earnings (for example receiving the Disability Support Pension and working up to 30 hours a week - a measure of economic participation)</w:t>
      </w:r>
    </w:p>
    <w:p w:rsidR="008C27AB" w:rsidRDefault="008C27AB" w:rsidP="008C27AB">
      <w:pPr>
        <w:pStyle w:val="ListParagraph"/>
        <w:numPr>
          <w:ilvl w:val="0"/>
          <w:numId w:val="40"/>
        </w:numPr>
      </w:pPr>
      <w:r>
        <w:t>Proportion of people with disability who participate in social and community activities</w:t>
      </w:r>
    </w:p>
    <w:p w:rsidR="008C27AB" w:rsidRDefault="008C27AB" w:rsidP="008C27AB">
      <w:pPr>
        <w:pStyle w:val="ListParagraph"/>
        <w:numPr>
          <w:ilvl w:val="0"/>
          <w:numId w:val="40"/>
        </w:numPr>
      </w:pPr>
      <w:r>
        <w:t>Proportion of people with disability in the labour force</w:t>
      </w:r>
    </w:p>
    <w:p w:rsidR="008C27AB" w:rsidRDefault="008C27AB" w:rsidP="008C27AB">
      <w:pPr>
        <w:rPr>
          <w:b/>
        </w:rPr>
      </w:pPr>
      <w:r>
        <w:rPr>
          <w:b/>
        </w:rPr>
        <w:t>Outcome 2</w:t>
      </w:r>
      <w:r w:rsidRPr="00155B85">
        <w:rPr>
          <w:b/>
        </w:rPr>
        <w:t xml:space="preserve">: People with disability </w:t>
      </w:r>
      <w:r>
        <w:rPr>
          <w:b/>
        </w:rPr>
        <w:t>enjoy choice, wellbeing and the opportunity to live as independently as possible</w:t>
      </w:r>
    </w:p>
    <w:p w:rsidR="008C27AB" w:rsidRDefault="008C27AB" w:rsidP="008C27AB">
      <w:r>
        <w:t>Indicators:</w:t>
      </w:r>
    </w:p>
    <w:p w:rsidR="008C27AB" w:rsidRDefault="008C27AB" w:rsidP="008C27AB">
      <w:pPr>
        <w:pStyle w:val="ListParagraph"/>
        <w:numPr>
          <w:ilvl w:val="0"/>
          <w:numId w:val="41"/>
        </w:numPr>
      </w:pPr>
      <w:r>
        <w:t>Proportion of people with disability accessing disability services</w:t>
      </w:r>
    </w:p>
    <w:p w:rsidR="008C27AB" w:rsidRDefault="008C27AB" w:rsidP="008C27AB">
      <w:pPr>
        <w:pStyle w:val="ListParagraph"/>
        <w:numPr>
          <w:ilvl w:val="0"/>
          <w:numId w:val="41"/>
        </w:numPr>
      </w:pPr>
      <w:r>
        <w:t>Proportion of younger people entering, living in and exiting permanent residential aged care</w:t>
      </w:r>
    </w:p>
    <w:p w:rsidR="008C27AB" w:rsidRDefault="008C27AB" w:rsidP="008C27AB">
      <w:pPr>
        <w:pStyle w:val="ListParagraph"/>
        <w:numPr>
          <w:ilvl w:val="0"/>
          <w:numId w:val="41"/>
        </w:numPr>
      </w:pPr>
      <w:r>
        <w:t>Proportion of people with disability who are satisfied with the range of services available, and with the adequacy and quality of services provided</w:t>
      </w:r>
    </w:p>
    <w:p w:rsidR="008C27AB" w:rsidRDefault="008C27AB" w:rsidP="008C27AB">
      <w:pPr>
        <w:rPr>
          <w:b/>
        </w:rPr>
      </w:pPr>
      <w:r w:rsidRPr="00155B85">
        <w:rPr>
          <w:b/>
        </w:rPr>
        <w:t xml:space="preserve">Outcome </w:t>
      </w:r>
      <w:r>
        <w:rPr>
          <w:b/>
        </w:rPr>
        <w:t>3</w:t>
      </w:r>
      <w:r w:rsidRPr="00155B85">
        <w:rPr>
          <w:b/>
        </w:rPr>
        <w:t xml:space="preserve">: </w:t>
      </w:r>
      <w:r>
        <w:rPr>
          <w:b/>
        </w:rPr>
        <w:t>Families and carers are well supported</w:t>
      </w:r>
    </w:p>
    <w:p w:rsidR="008C27AB" w:rsidRDefault="008C27AB" w:rsidP="008C27AB">
      <w:r>
        <w:t>Indicators:</w:t>
      </w:r>
    </w:p>
    <w:p w:rsidR="008C27AB" w:rsidRDefault="008C27AB" w:rsidP="008C27AB">
      <w:pPr>
        <w:pStyle w:val="ListParagraph"/>
        <w:numPr>
          <w:ilvl w:val="0"/>
          <w:numId w:val="42"/>
        </w:numPr>
      </w:pPr>
      <w:r>
        <w:t>Proportion of carers of people with disability participating in the labour force</w:t>
      </w:r>
    </w:p>
    <w:p w:rsidR="008C27AB" w:rsidRDefault="008C27AB" w:rsidP="008C27AB">
      <w:pPr>
        <w:pStyle w:val="ListParagraph"/>
        <w:numPr>
          <w:ilvl w:val="0"/>
          <w:numId w:val="42"/>
        </w:numPr>
      </w:pPr>
      <w:r>
        <w:t>Proportion of carers of people with disability who report their health and wellbeing as positive</w:t>
      </w:r>
    </w:p>
    <w:p w:rsidR="008C27AB" w:rsidRDefault="008C27AB" w:rsidP="008C27AB">
      <w:pPr>
        <w:pStyle w:val="ListParagraph"/>
        <w:numPr>
          <w:ilvl w:val="0"/>
          <w:numId w:val="42"/>
        </w:numPr>
      </w:pPr>
      <w:r>
        <w:t>Proportion of primary carers of people with disability who are satisfied with the range of services available and with the adequacy and quality of services provided to the person with disability and to the carer.</w:t>
      </w:r>
    </w:p>
    <w:p w:rsidR="008C27AB" w:rsidRPr="004360CF" w:rsidRDefault="008C27AB" w:rsidP="008C27AB">
      <w:pPr>
        <w:rPr>
          <w:u w:val="single"/>
        </w:rPr>
      </w:pPr>
      <w:r>
        <w:rPr>
          <w:u w:val="single"/>
        </w:rPr>
        <w:t>Assessment of the NDA Performance Framework</w:t>
      </w:r>
    </w:p>
    <w:p w:rsidR="008C27AB" w:rsidRDefault="008C27AB" w:rsidP="008C27AB">
      <w:pPr>
        <w:rPr>
          <w:lang w:val="en-AU" w:eastAsia="en-AU"/>
        </w:rPr>
      </w:pPr>
      <w:r>
        <w:rPr>
          <w:lang w:val="en-AU" w:eastAsia="en-AU"/>
        </w:rPr>
        <w:t>The framework has had the following strengths:</w:t>
      </w:r>
    </w:p>
    <w:p w:rsidR="008C27AB" w:rsidRDefault="008C27AB" w:rsidP="008C27AB">
      <w:pPr>
        <w:pStyle w:val="ListParagraph"/>
        <w:numPr>
          <w:ilvl w:val="0"/>
          <w:numId w:val="26"/>
        </w:numPr>
        <w:rPr>
          <w:lang w:val="en-AU" w:eastAsia="en-AU"/>
        </w:rPr>
      </w:pPr>
      <w:r>
        <w:rPr>
          <w:lang w:val="en-AU" w:eastAsia="en-AU"/>
        </w:rPr>
        <w:t>A strong focus on the outcomes the agreement is seeking to achieve for people with disability, their families and carers (rather than a focus on inputs / funding or outputs / specific services to be delivered)</w:t>
      </w:r>
    </w:p>
    <w:p w:rsidR="008C27AB" w:rsidRDefault="008C27AB" w:rsidP="008C27AB">
      <w:pPr>
        <w:pStyle w:val="ListParagraph"/>
        <w:numPr>
          <w:ilvl w:val="0"/>
          <w:numId w:val="26"/>
        </w:numPr>
        <w:rPr>
          <w:lang w:val="en-AU" w:eastAsia="en-AU"/>
        </w:rPr>
      </w:pPr>
      <w:r>
        <w:rPr>
          <w:lang w:val="en-AU" w:eastAsia="en-AU"/>
        </w:rPr>
        <w:t xml:space="preserve">Clear expression of the expected relationships between funding for disability services and the associated outputs, desired outcomes and objectives </w:t>
      </w:r>
    </w:p>
    <w:p w:rsidR="008C27AB" w:rsidRDefault="008C27AB" w:rsidP="008C27AB">
      <w:pPr>
        <w:pStyle w:val="ListParagraph"/>
        <w:numPr>
          <w:ilvl w:val="0"/>
          <w:numId w:val="26"/>
        </w:numPr>
        <w:rPr>
          <w:lang w:val="en-AU" w:eastAsia="en-AU"/>
        </w:rPr>
      </w:pPr>
      <w:r>
        <w:rPr>
          <w:lang w:val="en-AU" w:eastAsia="en-AU"/>
        </w:rPr>
        <w:t xml:space="preserve">A rigorous and transparent approach to articulating performance indicators, their measures / method of computation (numerators and denominators), data sources / providers, baseline data and statements of data quality </w:t>
      </w:r>
    </w:p>
    <w:p w:rsidR="008C27AB" w:rsidRDefault="008C27AB" w:rsidP="008C27AB">
      <w:pPr>
        <w:pStyle w:val="ListParagraph"/>
        <w:numPr>
          <w:ilvl w:val="0"/>
          <w:numId w:val="26"/>
        </w:numPr>
        <w:rPr>
          <w:lang w:val="en-AU" w:eastAsia="en-AU"/>
        </w:rPr>
      </w:pPr>
      <w:r>
        <w:rPr>
          <w:lang w:val="en-AU" w:eastAsia="en-AU"/>
        </w:rPr>
        <w:t>Highlighted data gaps and lags, and provided an impetus for more frequent collection of national data (e.g. Survey of Disability, Ageing and Carers), to support reporting on progress</w:t>
      </w:r>
    </w:p>
    <w:p w:rsidR="008C27AB" w:rsidRDefault="008C27AB" w:rsidP="008C27AB">
      <w:pPr>
        <w:pStyle w:val="ListParagraph"/>
        <w:numPr>
          <w:ilvl w:val="0"/>
          <w:numId w:val="26"/>
        </w:numPr>
        <w:rPr>
          <w:lang w:val="en-AU" w:eastAsia="en-AU"/>
        </w:rPr>
      </w:pPr>
      <w:r>
        <w:rPr>
          <w:lang w:val="en-AU" w:eastAsia="en-AU"/>
        </w:rPr>
        <w:t>Enabled the comparative analysis and independent reporting to track governments’ performance through systemic and regular production and release of performance information, such as occurred via the COAG Reform Council annual reports (up until 2014).</w:t>
      </w:r>
    </w:p>
    <w:p w:rsidR="008C27AB" w:rsidRDefault="008C27AB" w:rsidP="008C27AB">
      <w:pPr>
        <w:rPr>
          <w:lang w:val="en-AU" w:eastAsia="en-AU"/>
        </w:rPr>
      </w:pPr>
      <w:r>
        <w:rPr>
          <w:lang w:val="en-AU" w:eastAsia="en-AU"/>
        </w:rPr>
        <w:t>Despite these benefits, it is difficult to determine the precise impact of the NDA performance framework itself in delivering outcomes for people with disability, their families and carers. It is unlikely that the performance framework drove substantive and systemic reform. It is more likely that the performance framework influenced and supported the achievement of existing reform directions and improved outcomes.</w:t>
      </w:r>
    </w:p>
    <w:p w:rsidR="008C27AB" w:rsidRDefault="008C27AB" w:rsidP="008C27AB">
      <w:r>
        <w:t>An example of success under the NDA has been the reduction of younger people in residential aged care in South Australia, particularly for people aged less than 50 years. This achievement directly relates to the NDA performance indicator ‘</w:t>
      </w:r>
      <w:r w:rsidRPr="0067554B">
        <w:rPr>
          <w:i/>
        </w:rPr>
        <w:t>Proportion of younger people entering, living and exiting permanent residential aged care</w:t>
      </w:r>
      <w:r>
        <w:t xml:space="preserve">’, under the outcome area </w:t>
      </w:r>
      <w:r>
        <w:rPr>
          <w:i/>
        </w:rPr>
        <w:t xml:space="preserve">‘People with disability enjoy choice, wellbeing and the </w:t>
      </w:r>
      <w:r w:rsidRPr="00234A59">
        <w:t>opportunity</w:t>
      </w:r>
      <w:r>
        <w:rPr>
          <w:i/>
        </w:rPr>
        <w:t xml:space="preserve"> to live as independently as possible’</w:t>
      </w:r>
      <w:r>
        <w:t xml:space="preserve">. </w:t>
      </w:r>
    </w:p>
    <w:p w:rsidR="008C27AB" w:rsidRDefault="00387466" w:rsidP="008C27AB">
      <w:pPr>
        <w:rPr>
          <w:lang w:val="en-AU" w:eastAsia="en-AU"/>
        </w:rPr>
      </w:pPr>
      <w:r>
        <w:rPr>
          <w:lang w:val="en-AU" w:eastAsia="en-AU"/>
        </w:rPr>
        <w:t>As shown in Table 1, s</w:t>
      </w:r>
      <w:r w:rsidR="008C27AB">
        <w:rPr>
          <w:lang w:val="en-AU" w:eastAsia="en-AU"/>
        </w:rPr>
        <w:t xml:space="preserve">ince the NDA was signed in 2008, there has been a gradual, but significant decline in the number of younger people aged under 50 years in residential aged care in SA. </w:t>
      </w:r>
    </w:p>
    <w:p w:rsidR="008C27AB" w:rsidRPr="00093D14" w:rsidRDefault="00387466" w:rsidP="008C27AB">
      <w:pPr>
        <w:rPr>
          <w:b/>
          <w:lang w:val="en-AU" w:eastAsia="en-AU"/>
        </w:rPr>
      </w:pPr>
      <w:r>
        <w:rPr>
          <w:b/>
          <w:lang w:val="en-AU" w:eastAsia="en-AU"/>
        </w:rPr>
        <w:t>Table 1</w:t>
      </w:r>
      <w:r w:rsidR="008C27AB">
        <w:rPr>
          <w:b/>
          <w:lang w:val="en-AU" w:eastAsia="en-AU"/>
        </w:rPr>
        <w:t>: Number of People Aged 0-49 Years in Residential Aged Care, SA, 2008 to 2017</w:t>
      </w:r>
      <w:r w:rsidR="008C27AB">
        <w:rPr>
          <w:rStyle w:val="FootnoteReference"/>
          <w:b/>
          <w:lang w:val="en-AU" w:eastAsia="en-AU"/>
        </w:rPr>
        <w:footnoteReference w:id="4"/>
      </w:r>
    </w:p>
    <w:tbl>
      <w:tblPr>
        <w:tblStyle w:val="TableGrid"/>
        <w:tblW w:w="0" w:type="auto"/>
        <w:jc w:val="center"/>
        <w:tblLook w:val="04A0" w:firstRow="1" w:lastRow="0" w:firstColumn="1" w:lastColumn="0" w:noHBand="0" w:noVBand="1"/>
      </w:tblPr>
      <w:tblGrid>
        <w:gridCol w:w="1526"/>
        <w:gridCol w:w="2977"/>
      </w:tblGrid>
      <w:tr w:rsidR="008C27AB" w:rsidTr="00AA441F">
        <w:trPr>
          <w:trHeight w:val="1156"/>
          <w:jc w:val="center"/>
        </w:trPr>
        <w:tc>
          <w:tcPr>
            <w:tcW w:w="1526" w:type="dxa"/>
          </w:tcPr>
          <w:p w:rsidR="008C27AB" w:rsidRPr="00C20EA2" w:rsidRDefault="008C27AB" w:rsidP="00AA441F">
            <w:pPr>
              <w:rPr>
                <w:b/>
                <w:lang w:val="en-AU" w:eastAsia="en-AU"/>
              </w:rPr>
            </w:pPr>
          </w:p>
        </w:tc>
        <w:tc>
          <w:tcPr>
            <w:tcW w:w="2977" w:type="dxa"/>
          </w:tcPr>
          <w:p w:rsidR="008C27AB" w:rsidRPr="00C20EA2" w:rsidRDefault="008C27AB" w:rsidP="00AA441F">
            <w:pPr>
              <w:ind w:left="175" w:right="176"/>
              <w:rPr>
                <w:b/>
                <w:lang w:val="en-AU" w:eastAsia="en-AU"/>
              </w:rPr>
            </w:pPr>
            <w:r w:rsidRPr="00C20EA2">
              <w:rPr>
                <w:b/>
                <w:lang w:val="en-AU" w:eastAsia="en-AU"/>
              </w:rPr>
              <w:t xml:space="preserve">Number of People Aged 0-49 </w:t>
            </w:r>
            <w:r>
              <w:rPr>
                <w:b/>
                <w:lang w:val="en-AU" w:eastAsia="en-AU"/>
              </w:rPr>
              <w:t>Y</w:t>
            </w:r>
            <w:r w:rsidRPr="00C20EA2">
              <w:rPr>
                <w:b/>
                <w:lang w:val="en-AU" w:eastAsia="en-AU"/>
              </w:rPr>
              <w:t>ears in Residential Aged Care, SA</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2008</w:t>
            </w:r>
          </w:p>
        </w:tc>
        <w:tc>
          <w:tcPr>
            <w:tcW w:w="2977" w:type="dxa"/>
          </w:tcPr>
          <w:p w:rsidR="008C27AB" w:rsidRDefault="008C27AB" w:rsidP="00AA441F">
            <w:pPr>
              <w:tabs>
                <w:tab w:val="left" w:pos="1309"/>
              </w:tabs>
              <w:ind w:left="175" w:right="176"/>
              <w:jc w:val="center"/>
              <w:rPr>
                <w:lang w:val="en-AU" w:eastAsia="en-AU"/>
              </w:rPr>
            </w:pPr>
            <w:r>
              <w:rPr>
                <w:lang w:val="en-AU" w:eastAsia="en-AU"/>
              </w:rPr>
              <w:t>55</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2009</w:t>
            </w:r>
          </w:p>
        </w:tc>
        <w:tc>
          <w:tcPr>
            <w:tcW w:w="2977" w:type="dxa"/>
          </w:tcPr>
          <w:p w:rsidR="008C27AB" w:rsidRDefault="008C27AB" w:rsidP="00AA441F">
            <w:pPr>
              <w:tabs>
                <w:tab w:val="left" w:pos="1309"/>
              </w:tabs>
              <w:ind w:left="175" w:right="176"/>
              <w:jc w:val="center"/>
              <w:rPr>
                <w:lang w:val="en-AU" w:eastAsia="en-AU"/>
              </w:rPr>
            </w:pPr>
            <w:r>
              <w:rPr>
                <w:lang w:val="en-AU" w:eastAsia="en-AU"/>
              </w:rPr>
              <w:t>54</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2010</w:t>
            </w:r>
          </w:p>
        </w:tc>
        <w:tc>
          <w:tcPr>
            <w:tcW w:w="2977" w:type="dxa"/>
          </w:tcPr>
          <w:p w:rsidR="008C27AB" w:rsidRDefault="008C27AB" w:rsidP="00AA441F">
            <w:pPr>
              <w:tabs>
                <w:tab w:val="left" w:pos="1309"/>
              </w:tabs>
              <w:ind w:left="175" w:right="176"/>
              <w:jc w:val="center"/>
              <w:rPr>
                <w:lang w:val="en-AU" w:eastAsia="en-AU"/>
              </w:rPr>
            </w:pPr>
            <w:r>
              <w:rPr>
                <w:lang w:val="en-AU" w:eastAsia="en-AU"/>
              </w:rPr>
              <w:t>53</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2011</w:t>
            </w:r>
          </w:p>
        </w:tc>
        <w:tc>
          <w:tcPr>
            <w:tcW w:w="2977" w:type="dxa"/>
          </w:tcPr>
          <w:p w:rsidR="008C27AB" w:rsidRDefault="008C27AB" w:rsidP="00AA441F">
            <w:pPr>
              <w:tabs>
                <w:tab w:val="left" w:pos="1309"/>
              </w:tabs>
              <w:ind w:left="175" w:right="176"/>
              <w:jc w:val="center"/>
              <w:rPr>
                <w:lang w:val="en-AU" w:eastAsia="en-AU"/>
              </w:rPr>
            </w:pPr>
            <w:r>
              <w:rPr>
                <w:lang w:val="en-AU" w:eastAsia="en-AU"/>
              </w:rPr>
              <w:t>49</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2012</w:t>
            </w:r>
          </w:p>
        </w:tc>
        <w:tc>
          <w:tcPr>
            <w:tcW w:w="2977" w:type="dxa"/>
          </w:tcPr>
          <w:p w:rsidR="008C27AB" w:rsidRDefault="008C27AB" w:rsidP="00AA441F">
            <w:pPr>
              <w:tabs>
                <w:tab w:val="left" w:pos="1309"/>
              </w:tabs>
              <w:ind w:left="175" w:right="176"/>
              <w:jc w:val="center"/>
              <w:rPr>
                <w:lang w:val="en-AU" w:eastAsia="en-AU"/>
              </w:rPr>
            </w:pPr>
            <w:r>
              <w:rPr>
                <w:lang w:val="en-AU" w:eastAsia="en-AU"/>
              </w:rPr>
              <w:t>45</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2013</w:t>
            </w:r>
          </w:p>
        </w:tc>
        <w:tc>
          <w:tcPr>
            <w:tcW w:w="2977" w:type="dxa"/>
          </w:tcPr>
          <w:p w:rsidR="008C27AB" w:rsidRDefault="008C27AB" w:rsidP="00AA441F">
            <w:pPr>
              <w:tabs>
                <w:tab w:val="left" w:pos="1309"/>
              </w:tabs>
              <w:ind w:left="175" w:right="176"/>
              <w:jc w:val="center"/>
              <w:rPr>
                <w:lang w:val="en-AU" w:eastAsia="en-AU"/>
              </w:rPr>
            </w:pPr>
            <w:r>
              <w:rPr>
                <w:lang w:val="en-AU" w:eastAsia="en-AU"/>
              </w:rPr>
              <w:t>43</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2014</w:t>
            </w:r>
          </w:p>
        </w:tc>
        <w:tc>
          <w:tcPr>
            <w:tcW w:w="2977" w:type="dxa"/>
          </w:tcPr>
          <w:p w:rsidR="008C27AB" w:rsidRDefault="008C27AB" w:rsidP="00AA441F">
            <w:pPr>
              <w:tabs>
                <w:tab w:val="left" w:pos="1309"/>
              </w:tabs>
              <w:ind w:left="175" w:right="176"/>
              <w:jc w:val="center"/>
              <w:rPr>
                <w:lang w:val="en-AU" w:eastAsia="en-AU"/>
              </w:rPr>
            </w:pPr>
            <w:r>
              <w:rPr>
                <w:lang w:val="en-AU" w:eastAsia="en-AU"/>
              </w:rPr>
              <w:t>49</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2015</w:t>
            </w:r>
          </w:p>
        </w:tc>
        <w:tc>
          <w:tcPr>
            <w:tcW w:w="2977" w:type="dxa"/>
          </w:tcPr>
          <w:p w:rsidR="008C27AB" w:rsidRDefault="008C27AB" w:rsidP="00AA441F">
            <w:pPr>
              <w:tabs>
                <w:tab w:val="left" w:pos="1309"/>
              </w:tabs>
              <w:ind w:left="175" w:right="176"/>
              <w:jc w:val="center"/>
              <w:rPr>
                <w:lang w:val="en-AU" w:eastAsia="en-AU"/>
              </w:rPr>
            </w:pPr>
            <w:r>
              <w:rPr>
                <w:lang w:val="en-AU" w:eastAsia="en-AU"/>
              </w:rPr>
              <w:t>39</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2016</w:t>
            </w:r>
          </w:p>
        </w:tc>
        <w:tc>
          <w:tcPr>
            <w:tcW w:w="2977" w:type="dxa"/>
          </w:tcPr>
          <w:p w:rsidR="008C27AB" w:rsidRDefault="008C27AB" w:rsidP="00AA441F">
            <w:pPr>
              <w:tabs>
                <w:tab w:val="left" w:pos="1309"/>
              </w:tabs>
              <w:ind w:left="175" w:right="176"/>
              <w:jc w:val="center"/>
              <w:rPr>
                <w:lang w:val="en-AU" w:eastAsia="en-AU"/>
              </w:rPr>
            </w:pPr>
            <w:r>
              <w:rPr>
                <w:lang w:val="en-AU" w:eastAsia="en-AU"/>
              </w:rPr>
              <w:t>41</w:t>
            </w:r>
          </w:p>
        </w:tc>
      </w:tr>
      <w:tr w:rsidR="008C27AB" w:rsidTr="00AA441F">
        <w:trPr>
          <w:jc w:val="center"/>
        </w:trPr>
        <w:tc>
          <w:tcPr>
            <w:tcW w:w="1526" w:type="dxa"/>
          </w:tcPr>
          <w:p w:rsidR="008C27AB" w:rsidRDefault="008C27AB" w:rsidP="00AA441F">
            <w:pPr>
              <w:jc w:val="center"/>
              <w:rPr>
                <w:lang w:val="en-AU" w:eastAsia="en-AU"/>
              </w:rPr>
            </w:pPr>
            <w:r>
              <w:rPr>
                <w:lang w:val="en-AU" w:eastAsia="en-AU"/>
              </w:rPr>
              <w:t>2017</w:t>
            </w:r>
          </w:p>
        </w:tc>
        <w:tc>
          <w:tcPr>
            <w:tcW w:w="2977" w:type="dxa"/>
          </w:tcPr>
          <w:p w:rsidR="008C27AB" w:rsidRDefault="008C27AB" w:rsidP="00AA441F">
            <w:pPr>
              <w:tabs>
                <w:tab w:val="left" w:pos="1309"/>
              </w:tabs>
              <w:ind w:left="175" w:right="176"/>
              <w:jc w:val="center"/>
              <w:rPr>
                <w:lang w:val="en-AU" w:eastAsia="en-AU"/>
              </w:rPr>
            </w:pPr>
            <w:r>
              <w:rPr>
                <w:lang w:val="en-AU" w:eastAsia="en-AU"/>
              </w:rPr>
              <w:t>28</w:t>
            </w:r>
          </w:p>
        </w:tc>
      </w:tr>
    </w:tbl>
    <w:p w:rsidR="008C27AB" w:rsidRDefault="008C27AB" w:rsidP="008C27AB">
      <w:pPr>
        <w:rPr>
          <w:i/>
          <w:lang w:val="en-AU" w:eastAsia="en-AU"/>
        </w:rPr>
      </w:pPr>
    </w:p>
    <w:p w:rsidR="008C27AB" w:rsidRPr="00461040" w:rsidRDefault="008C27AB" w:rsidP="008C27AB">
      <w:pPr>
        <w:tabs>
          <w:tab w:val="left" w:pos="851"/>
        </w:tabs>
        <w:spacing w:line="240" w:lineRule="auto"/>
        <w:ind w:left="851" w:hanging="851"/>
        <w:rPr>
          <w:sz w:val="20"/>
          <w:lang w:val="en-AU" w:eastAsia="en-AU"/>
        </w:rPr>
      </w:pPr>
      <w:r w:rsidRPr="00461040">
        <w:rPr>
          <w:i/>
          <w:sz w:val="20"/>
          <w:lang w:val="en-AU" w:eastAsia="en-AU"/>
        </w:rPr>
        <w:t xml:space="preserve">Source: </w:t>
      </w:r>
      <w:r w:rsidRPr="00461040">
        <w:rPr>
          <w:i/>
          <w:sz w:val="20"/>
          <w:lang w:val="en-AU" w:eastAsia="en-AU"/>
        </w:rPr>
        <w:tab/>
      </w:r>
      <w:r w:rsidRPr="00461040">
        <w:rPr>
          <w:sz w:val="20"/>
          <w:lang w:val="en-AU" w:eastAsia="en-AU"/>
        </w:rPr>
        <w:t>Productivity Commission</w:t>
      </w:r>
      <w:r w:rsidRPr="00461040">
        <w:rPr>
          <w:i/>
          <w:sz w:val="20"/>
          <w:lang w:val="en-AU" w:eastAsia="en-AU"/>
        </w:rPr>
        <w:t xml:space="preserve"> (2018) Report on Government Services 2018, </w:t>
      </w:r>
      <w:r w:rsidRPr="00461040">
        <w:rPr>
          <w:sz w:val="20"/>
          <w:lang w:val="en-AU" w:eastAsia="en-AU"/>
        </w:rPr>
        <w:t>Table 15A.54 Permanent aged care residents aged under 65 years, 30 June</w:t>
      </w:r>
    </w:p>
    <w:p w:rsidR="008C27AB" w:rsidRDefault="008C27AB" w:rsidP="008C27AB">
      <w:pPr>
        <w:rPr>
          <w:lang w:val="en-AU" w:eastAsia="en-AU"/>
        </w:rPr>
      </w:pPr>
      <w:r>
        <w:rPr>
          <w:lang w:val="en-AU" w:eastAsia="en-AU"/>
        </w:rPr>
        <w:t xml:space="preserve">From the South Australian Government’s perspective, the NDA Performance Framework has served a useful role in tracking progress, but has not enabled this change. Rather, this reflects deliberate long-term reforms, investments and efforts by the South Australian Government to reduce the number of younger people (particularly aged under 50 years) in residential aged care. </w:t>
      </w:r>
    </w:p>
    <w:p w:rsidR="008C27AB" w:rsidRDefault="008C27AB" w:rsidP="008C27AB">
      <w:pPr>
        <w:rPr>
          <w:lang w:val="en-AU" w:eastAsia="en-AU"/>
        </w:rPr>
      </w:pPr>
      <w:r>
        <w:rPr>
          <w:lang w:val="en-AU" w:eastAsia="en-AU"/>
        </w:rPr>
        <w:t>There are a number of weaknesses of the performance framework:</w:t>
      </w:r>
    </w:p>
    <w:p w:rsidR="008C27AB" w:rsidRDefault="008C27AB" w:rsidP="008C27AB">
      <w:pPr>
        <w:pStyle w:val="ListParagraph"/>
        <w:numPr>
          <w:ilvl w:val="0"/>
          <w:numId w:val="26"/>
        </w:numPr>
        <w:rPr>
          <w:lang w:val="en-AU" w:eastAsia="en-AU"/>
        </w:rPr>
      </w:pPr>
      <w:r>
        <w:rPr>
          <w:lang w:val="en-AU" w:eastAsia="en-AU"/>
        </w:rPr>
        <w:t>The a</w:t>
      </w:r>
      <w:r w:rsidRPr="00BF0701">
        <w:rPr>
          <w:lang w:val="en-AU" w:eastAsia="en-AU"/>
        </w:rPr>
        <w:t xml:space="preserve">greed objective and outcomes are </w:t>
      </w:r>
      <w:r>
        <w:rPr>
          <w:lang w:val="en-AU" w:eastAsia="en-AU"/>
        </w:rPr>
        <w:t xml:space="preserve">very high level and broad, outside of the control of the South Australian government. </w:t>
      </w:r>
    </w:p>
    <w:p w:rsidR="008C27AB" w:rsidRDefault="008C27AB" w:rsidP="008C27AB">
      <w:pPr>
        <w:pStyle w:val="ListParagraph"/>
        <w:rPr>
          <w:lang w:val="en-AU" w:eastAsia="en-AU"/>
        </w:rPr>
      </w:pPr>
      <w:r>
        <w:rPr>
          <w:lang w:val="en-AU" w:eastAsia="en-AU"/>
        </w:rPr>
        <w:t xml:space="preserve">For example, there are a number of complex factors </w:t>
      </w:r>
      <w:r w:rsidRPr="00BF0701">
        <w:rPr>
          <w:lang w:val="en-AU" w:eastAsia="en-AU"/>
        </w:rPr>
        <w:t xml:space="preserve">that </w:t>
      </w:r>
      <w:r>
        <w:rPr>
          <w:lang w:val="en-AU" w:eastAsia="en-AU"/>
        </w:rPr>
        <w:t>relate to labour force participation and employment, such as state of the job market, discriminatory attitudes and behaviours during recruitment and difficulties (or perceived difficulties) in ensuring access and flexibility for workers with disability. The provision of specialist disability services is only one lever to improving labour force participation and employment.</w:t>
      </w:r>
    </w:p>
    <w:p w:rsidR="008C27AB" w:rsidRDefault="008C27AB" w:rsidP="008C27AB">
      <w:pPr>
        <w:pStyle w:val="ListParagraph"/>
        <w:numPr>
          <w:ilvl w:val="0"/>
          <w:numId w:val="26"/>
        </w:numPr>
        <w:rPr>
          <w:lang w:val="en-AU" w:eastAsia="en-AU"/>
        </w:rPr>
      </w:pPr>
      <w:r>
        <w:rPr>
          <w:lang w:val="en-AU" w:eastAsia="en-AU"/>
        </w:rPr>
        <w:t xml:space="preserve">Significant data collection and reporting lags </w:t>
      </w:r>
    </w:p>
    <w:p w:rsidR="008C27AB" w:rsidRDefault="008C27AB" w:rsidP="008C27AB">
      <w:pPr>
        <w:pStyle w:val="ListParagraph"/>
        <w:numPr>
          <w:ilvl w:val="0"/>
          <w:numId w:val="26"/>
        </w:numPr>
        <w:rPr>
          <w:lang w:val="en-AU" w:eastAsia="en-AU"/>
        </w:rPr>
      </w:pPr>
      <w:r>
        <w:rPr>
          <w:lang w:val="en-AU" w:eastAsia="en-AU"/>
        </w:rPr>
        <w:t xml:space="preserve">Challenges of small sample sizes for some survey data </w:t>
      </w:r>
    </w:p>
    <w:p w:rsidR="008C27AB" w:rsidRDefault="008C27AB" w:rsidP="008C27AB">
      <w:pPr>
        <w:pStyle w:val="ListParagraph"/>
        <w:numPr>
          <w:ilvl w:val="0"/>
          <w:numId w:val="26"/>
        </w:numPr>
        <w:rPr>
          <w:lang w:val="en-AU" w:eastAsia="en-AU"/>
        </w:rPr>
      </w:pPr>
      <w:r>
        <w:rPr>
          <w:lang w:val="en-AU" w:eastAsia="en-AU"/>
        </w:rPr>
        <w:t xml:space="preserve">Significant data caveats and questionable comparability of some performance data across jurisdictions, leading to a perceived or actual lack of definitive or valuable data </w:t>
      </w:r>
    </w:p>
    <w:p w:rsidR="008C27AB" w:rsidRDefault="008C27AB" w:rsidP="008C27AB">
      <w:pPr>
        <w:pStyle w:val="ListParagraph"/>
        <w:numPr>
          <w:ilvl w:val="0"/>
          <w:numId w:val="26"/>
        </w:numPr>
        <w:rPr>
          <w:lang w:val="en-AU" w:eastAsia="en-AU"/>
        </w:rPr>
      </w:pPr>
      <w:r>
        <w:rPr>
          <w:lang w:val="en-AU" w:eastAsia="en-AU"/>
        </w:rPr>
        <w:t>Overlapping outcomes and reporting between the NDA and NDS, and to a lesser degree the NDIS</w:t>
      </w:r>
    </w:p>
    <w:p w:rsidR="008C27AB" w:rsidRDefault="008C27AB" w:rsidP="008C27AB">
      <w:pPr>
        <w:pStyle w:val="ListParagraph"/>
        <w:numPr>
          <w:ilvl w:val="0"/>
          <w:numId w:val="26"/>
        </w:numPr>
        <w:rPr>
          <w:lang w:val="en-AU" w:eastAsia="en-AU"/>
        </w:rPr>
      </w:pPr>
      <w:r w:rsidRPr="00650049">
        <w:rPr>
          <w:lang w:val="en-AU" w:eastAsia="en-AU"/>
        </w:rPr>
        <w:t>Multiple</w:t>
      </w:r>
      <w:r>
        <w:rPr>
          <w:lang w:val="en-AU" w:eastAsia="en-AU"/>
        </w:rPr>
        <w:t xml:space="preserve"> and sometime overlapping </w:t>
      </w:r>
      <w:r w:rsidRPr="00650049">
        <w:rPr>
          <w:lang w:val="en-AU" w:eastAsia="en-AU"/>
        </w:rPr>
        <w:t>reporting of performance data, for example from the Productivity Commission Report on Government Services,  Australian Institute of Health and Welfare, Australian Bureau of Statistics (and previ</w:t>
      </w:r>
      <w:r>
        <w:rPr>
          <w:lang w:val="en-AU" w:eastAsia="en-AU"/>
        </w:rPr>
        <w:t>ously the COAG Reform Council).</w:t>
      </w:r>
    </w:p>
    <w:p w:rsidR="008C27AB" w:rsidRDefault="008C27AB" w:rsidP="008C27AB">
      <w:pPr>
        <w:pStyle w:val="ListParagraph"/>
        <w:numPr>
          <w:ilvl w:val="0"/>
          <w:numId w:val="26"/>
        </w:numPr>
        <w:rPr>
          <w:lang w:val="en-AU" w:eastAsia="en-AU"/>
        </w:rPr>
      </w:pPr>
      <w:r>
        <w:rPr>
          <w:lang w:val="en-AU" w:eastAsia="en-AU"/>
        </w:rPr>
        <w:t xml:space="preserve">Lack of performance measures relating to access to, and outcomes for people with disability from mainstream services such as education, health, housing and transport. </w:t>
      </w:r>
    </w:p>
    <w:p w:rsidR="00BD2ECB" w:rsidRDefault="008C27AB" w:rsidP="008C27AB">
      <w:pPr>
        <w:rPr>
          <w:lang w:val="en-AU" w:eastAsia="en-AU"/>
        </w:rPr>
      </w:pPr>
      <w:r>
        <w:rPr>
          <w:lang w:val="en-AU" w:eastAsia="en-AU"/>
        </w:rPr>
        <w:t xml:space="preserve">Notwithstanding, the South Australian Government acknowledges the important value of transparent and publicly available national data and the role of a coherent national performance reporting system. </w:t>
      </w:r>
      <w:r w:rsidR="00BD2ECB">
        <w:rPr>
          <w:lang w:val="en-AU" w:eastAsia="en-AU"/>
        </w:rPr>
        <w:t xml:space="preserve">South Australia also acknowledges gaps in existing mainstream data collections, such as the identification of people with disability. </w:t>
      </w:r>
    </w:p>
    <w:p w:rsidR="00387466" w:rsidRDefault="00387466" w:rsidP="008C27AB">
      <w:pPr>
        <w:rPr>
          <w:lang w:val="en-AU" w:eastAsia="en-AU"/>
        </w:rPr>
      </w:pPr>
      <w:r>
        <w:rPr>
          <w:lang w:val="en-AU" w:eastAsia="en-AU"/>
        </w:rPr>
        <w:t xml:space="preserve">Given the </w:t>
      </w:r>
      <w:r w:rsidR="00047CDF">
        <w:rPr>
          <w:lang w:val="en-AU" w:eastAsia="en-AU"/>
        </w:rPr>
        <w:t xml:space="preserve">NDA </w:t>
      </w:r>
      <w:r>
        <w:rPr>
          <w:lang w:val="en-AU" w:eastAsia="en-AU"/>
        </w:rPr>
        <w:t>outcomes sought for people with disability overlap with the NDS, South Australia supports the development of a comprehensive performance reporting system</w:t>
      </w:r>
      <w:r w:rsidR="00047CDF">
        <w:rPr>
          <w:lang w:val="en-AU" w:eastAsia="en-AU"/>
        </w:rPr>
        <w:t xml:space="preserve"> under the NDS framework, which would also include NDIS participants.</w:t>
      </w:r>
    </w:p>
    <w:p w:rsidR="008C27AB" w:rsidRDefault="008C27AB" w:rsidP="008C27AB">
      <w:pPr>
        <w:rPr>
          <w:lang w:val="en-AU" w:eastAsia="en-AU"/>
        </w:rPr>
      </w:pPr>
      <w:r>
        <w:rPr>
          <w:lang w:val="en-AU" w:eastAsia="en-AU"/>
        </w:rPr>
        <w:t>Where possible, performance indicators should ideally be disaggregated to support analysis by:</w:t>
      </w:r>
    </w:p>
    <w:p w:rsidR="008C27AB" w:rsidRDefault="008C27AB" w:rsidP="008C27AB">
      <w:pPr>
        <w:pStyle w:val="ListParagraph"/>
        <w:numPr>
          <w:ilvl w:val="0"/>
          <w:numId w:val="25"/>
        </w:numPr>
        <w:rPr>
          <w:lang w:val="en-AU" w:eastAsia="en-AU"/>
        </w:rPr>
      </w:pPr>
      <w:r>
        <w:rPr>
          <w:lang w:val="en-AU" w:eastAsia="en-AU"/>
        </w:rPr>
        <w:t>Disability type or broad categories of impairment (self-care, mobility and communication)</w:t>
      </w:r>
    </w:p>
    <w:p w:rsidR="008C27AB" w:rsidRDefault="008C27AB" w:rsidP="008C27AB">
      <w:pPr>
        <w:pStyle w:val="ListParagraph"/>
        <w:numPr>
          <w:ilvl w:val="0"/>
          <w:numId w:val="25"/>
        </w:numPr>
        <w:rPr>
          <w:lang w:val="en-AU" w:eastAsia="en-AU"/>
        </w:rPr>
      </w:pPr>
      <w:r>
        <w:rPr>
          <w:lang w:val="en-AU" w:eastAsia="en-AU"/>
        </w:rPr>
        <w:t>Gender</w:t>
      </w:r>
    </w:p>
    <w:p w:rsidR="008C27AB" w:rsidRDefault="008C27AB" w:rsidP="008C27AB">
      <w:pPr>
        <w:pStyle w:val="ListParagraph"/>
        <w:numPr>
          <w:ilvl w:val="0"/>
          <w:numId w:val="25"/>
        </w:numPr>
        <w:rPr>
          <w:lang w:val="en-AU" w:eastAsia="en-AU"/>
        </w:rPr>
      </w:pPr>
      <w:r>
        <w:rPr>
          <w:lang w:val="en-AU" w:eastAsia="en-AU"/>
        </w:rPr>
        <w:t>Age (children and older people)</w:t>
      </w:r>
    </w:p>
    <w:p w:rsidR="008C27AB" w:rsidRDefault="008C27AB" w:rsidP="008C27AB">
      <w:pPr>
        <w:pStyle w:val="ListParagraph"/>
        <w:numPr>
          <w:ilvl w:val="0"/>
          <w:numId w:val="25"/>
        </w:numPr>
        <w:rPr>
          <w:lang w:val="en-AU" w:eastAsia="en-AU"/>
        </w:rPr>
      </w:pPr>
      <w:r>
        <w:rPr>
          <w:lang w:val="en-AU" w:eastAsia="en-AU"/>
        </w:rPr>
        <w:t>Indigenous people</w:t>
      </w:r>
    </w:p>
    <w:p w:rsidR="008C27AB" w:rsidRDefault="008C27AB" w:rsidP="008C27AB">
      <w:pPr>
        <w:pStyle w:val="ListParagraph"/>
        <w:numPr>
          <w:ilvl w:val="0"/>
          <w:numId w:val="25"/>
        </w:numPr>
        <w:rPr>
          <w:lang w:val="en-AU" w:eastAsia="en-AU"/>
        </w:rPr>
      </w:pPr>
      <w:r>
        <w:rPr>
          <w:lang w:val="en-AU" w:eastAsia="en-AU"/>
        </w:rPr>
        <w:t>People from culturally and linguistically diverse backgrounds</w:t>
      </w:r>
    </w:p>
    <w:p w:rsidR="008C27AB" w:rsidRDefault="008C27AB" w:rsidP="008C27AB">
      <w:pPr>
        <w:pStyle w:val="ListParagraph"/>
        <w:numPr>
          <w:ilvl w:val="0"/>
          <w:numId w:val="25"/>
        </w:numPr>
        <w:rPr>
          <w:lang w:val="en-AU" w:eastAsia="en-AU"/>
        </w:rPr>
      </w:pPr>
      <w:r>
        <w:rPr>
          <w:lang w:val="en-AU" w:eastAsia="en-AU"/>
        </w:rPr>
        <w:t>People living in rural and remote areas</w:t>
      </w:r>
    </w:p>
    <w:p w:rsidR="008C27AB" w:rsidRDefault="008C27AB" w:rsidP="008C27AB">
      <w:pPr>
        <w:pStyle w:val="ListParagraph"/>
        <w:numPr>
          <w:ilvl w:val="0"/>
          <w:numId w:val="25"/>
        </w:numPr>
        <w:rPr>
          <w:lang w:val="en-AU" w:eastAsia="en-AU"/>
        </w:rPr>
      </w:pPr>
      <w:r>
        <w:rPr>
          <w:lang w:val="en-AU" w:eastAsia="en-AU"/>
        </w:rPr>
        <w:t>Socio-economic status</w:t>
      </w:r>
    </w:p>
    <w:p w:rsidR="008C27AB" w:rsidRPr="003C0CA7" w:rsidRDefault="008C27AB" w:rsidP="008C27AB">
      <w:pPr>
        <w:pStyle w:val="ListParagraph"/>
        <w:rPr>
          <w:rFonts w:ascii="Open Sans" w:eastAsia="Times New Roman" w:hAnsi="Open Sans" w:cs="Times New Roman"/>
          <w:sz w:val="24"/>
          <w:szCs w:val="24"/>
          <w:lang w:val="en-AU" w:eastAsia="en-AU"/>
        </w:rPr>
      </w:pPr>
    </w:p>
    <w:p w:rsidR="008C27AB" w:rsidRDefault="008C27AB" w:rsidP="008C27AB">
      <w:pPr>
        <w:rPr>
          <w:b/>
          <w:sz w:val="24"/>
        </w:rPr>
      </w:pPr>
      <w:r>
        <w:rPr>
          <w:b/>
          <w:sz w:val="24"/>
        </w:rPr>
        <w:br w:type="page"/>
      </w:r>
    </w:p>
    <w:p w:rsidR="00772FE6" w:rsidRPr="004E6144" w:rsidRDefault="008C27AB" w:rsidP="006D0D8E">
      <w:pPr>
        <w:rPr>
          <w:b/>
          <w:sz w:val="28"/>
        </w:rPr>
      </w:pPr>
      <w:r>
        <w:rPr>
          <w:b/>
          <w:sz w:val="28"/>
        </w:rPr>
        <w:t xml:space="preserve">NDA Supporting </w:t>
      </w:r>
      <w:r w:rsidR="00AD1F72">
        <w:rPr>
          <w:b/>
          <w:sz w:val="28"/>
        </w:rPr>
        <w:t xml:space="preserve">Policy </w:t>
      </w:r>
      <w:r>
        <w:rPr>
          <w:b/>
          <w:sz w:val="28"/>
        </w:rPr>
        <w:t xml:space="preserve">Landscape </w:t>
      </w:r>
    </w:p>
    <w:p w:rsidR="00AD1F72" w:rsidRPr="00AD1F72" w:rsidRDefault="00AD1F72" w:rsidP="00AD1F72">
      <w:pPr>
        <w:pStyle w:val="BodyText"/>
        <w:rPr>
          <w:b/>
          <w:lang w:val="en-AU" w:eastAsia="en-AU"/>
        </w:rPr>
      </w:pPr>
      <w:r>
        <w:rPr>
          <w:lang w:val="en-AU" w:eastAsia="en-AU"/>
        </w:rPr>
        <w:t xml:space="preserve">From a South Australian perspective, the South Australian </w:t>
      </w:r>
      <w:r w:rsidRPr="00AD1F72">
        <w:rPr>
          <w:i/>
          <w:lang w:val="en-AU" w:eastAsia="en-AU"/>
        </w:rPr>
        <w:t>Disability Inclusion Act</w:t>
      </w:r>
      <w:r>
        <w:rPr>
          <w:lang w:val="en-AU" w:eastAsia="en-AU"/>
        </w:rPr>
        <w:t xml:space="preserve"> 2018 and </w:t>
      </w:r>
      <w:r w:rsidRPr="00AD1F72">
        <w:rPr>
          <w:i/>
          <w:lang w:val="en-AU" w:eastAsia="en-AU"/>
        </w:rPr>
        <w:t xml:space="preserve">Carer Recognition Act </w:t>
      </w:r>
      <w:r w:rsidRPr="00AD1F72">
        <w:rPr>
          <w:lang w:val="en-AU" w:eastAsia="en-AU"/>
        </w:rPr>
        <w:t>2005</w:t>
      </w:r>
      <w:r>
        <w:rPr>
          <w:b/>
          <w:i/>
          <w:lang w:val="en-AU" w:eastAsia="en-AU"/>
        </w:rPr>
        <w:t xml:space="preserve"> </w:t>
      </w:r>
      <w:r>
        <w:rPr>
          <w:lang w:val="en-AU" w:eastAsia="en-AU"/>
        </w:rPr>
        <w:t>support the implementation of the NDA.</w:t>
      </w:r>
    </w:p>
    <w:p w:rsidR="00387466" w:rsidRDefault="00387466" w:rsidP="00AD1F72">
      <w:pPr>
        <w:pStyle w:val="BodyText"/>
        <w:rPr>
          <w:b/>
          <w:lang w:val="en-AU" w:eastAsia="en-AU"/>
        </w:rPr>
      </w:pPr>
    </w:p>
    <w:p w:rsidR="00AD1F72" w:rsidRPr="00944E73" w:rsidRDefault="00AD1F72" w:rsidP="00AD1F72">
      <w:pPr>
        <w:pStyle w:val="BodyText"/>
        <w:rPr>
          <w:b/>
          <w:lang w:val="en-AU" w:eastAsia="en-AU"/>
        </w:rPr>
      </w:pPr>
      <w:r w:rsidRPr="00AD1F72">
        <w:rPr>
          <w:b/>
          <w:lang w:val="en-AU" w:eastAsia="en-AU"/>
        </w:rPr>
        <w:t>South Australian</w:t>
      </w:r>
      <w:r>
        <w:rPr>
          <w:b/>
          <w:i/>
          <w:lang w:val="en-AU" w:eastAsia="en-AU"/>
        </w:rPr>
        <w:t xml:space="preserve"> </w:t>
      </w:r>
      <w:r w:rsidRPr="00A3137F">
        <w:rPr>
          <w:b/>
          <w:i/>
          <w:lang w:val="en-AU" w:eastAsia="en-AU"/>
        </w:rPr>
        <w:t xml:space="preserve">Disability Inclusion Act 2018 </w:t>
      </w:r>
    </w:p>
    <w:p w:rsidR="00AD1F72" w:rsidRDefault="00AD1F72" w:rsidP="00AD1F72">
      <w:pPr>
        <w:pStyle w:val="BodyText"/>
        <w:rPr>
          <w:lang w:val="en-AU" w:eastAsia="en-AU"/>
        </w:rPr>
      </w:pPr>
      <w:r>
        <w:rPr>
          <w:lang w:val="en-AU" w:eastAsia="en-AU"/>
        </w:rPr>
        <w:t xml:space="preserve">The </w:t>
      </w:r>
      <w:r w:rsidRPr="006965E1">
        <w:rPr>
          <w:i/>
          <w:lang w:val="en-AU" w:eastAsia="en-AU"/>
        </w:rPr>
        <w:t>Disability Inclusion Act 2018</w:t>
      </w:r>
      <w:r>
        <w:rPr>
          <w:lang w:val="en-AU" w:eastAsia="en-AU"/>
        </w:rPr>
        <w:t xml:space="preserve"> (the Act) commenced on 1 July 2018 and provides the legal framework to ensure South Australians with disability have equal access and inclusion in the community. The Act replaces the </w:t>
      </w:r>
      <w:r>
        <w:rPr>
          <w:i/>
          <w:lang w:val="en-AU" w:eastAsia="en-AU"/>
        </w:rPr>
        <w:t xml:space="preserve">Disability Services Act 1993 </w:t>
      </w:r>
      <w:r w:rsidRPr="00AD1F72">
        <w:rPr>
          <w:lang w:val="en-AU" w:eastAsia="en-AU"/>
        </w:rPr>
        <w:t>and</w:t>
      </w:r>
      <w:r>
        <w:rPr>
          <w:i/>
          <w:lang w:val="en-AU" w:eastAsia="en-AU"/>
        </w:rPr>
        <w:t xml:space="preserve"> </w:t>
      </w:r>
      <w:r>
        <w:rPr>
          <w:lang w:val="en-AU" w:eastAsia="en-AU"/>
        </w:rPr>
        <w:t>aligns with the United Nations Convention on the Rights of Persons with Disabilities and the National Disability Strategy.</w:t>
      </w:r>
    </w:p>
    <w:p w:rsidR="00E918B3" w:rsidRDefault="00AD1F72" w:rsidP="00AD1F72">
      <w:pPr>
        <w:pStyle w:val="BodyText"/>
        <w:rPr>
          <w:lang w:val="en-AU" w:eastAsia="en-AU"/>
        </w:rPr>
      </w:pPr>
      <w:r>
        <w:rPr>
          <w:lang w:val="en-AU" w:eastAsia="en-AU"/>
        </w:rPr>
        <w:t xml:space="preserve">The Act requires the State Government to develop a State Disability Inclusion Plan (the Plan). Consultation and engagement will occur with other stakeholders, including people with disability and their carers. </w:t>
      </w:r>
    </w:p>
    <w:p w:rsidR="00E918B3" w:rsidRDefault="00E918B3" w:rsidP="00E918B3">
      <w:pPr>
        <w:pStyle w:val="BodyText"/>
        <w:rPr>
          <w:u w:val="single"/>
          <w:lang w:val="en-AU" w:eastAsia="en-AU"/>
        </w:rPr>
      </w:pPr>
      <w:r>
        <w:rPr>
          <w:u w:val="single"/>
          <w:lang w:val="en-AU" w:eastAsia="en-AU"/>
        </w:rPr>
        <w:t xml:space="preserve">South Australian Disability Inclusion Plan </w:t>
      </w:r>
    </w:p>
    <w:p w:rsidR="00E918B3" w:rsidRPr="00BB7D72" w:rsidRDefault="00E918B3" w:rsidP="00E918B3">
      <w:pPr>
        <w:pStyle w:val="BodyText"/>
        <w:rPr>
          <w:lang w:val="en-AU" w:eastAsia="en-AU"/>
        </w:rPr>
      </w:pPr>
      <w:r>
        <w:rPr>
          <w:lang w:val="en-AU" w:eastAsia="en-AU"/>
        </w:rPr>
        <w:t xml:space="preserve">The South Australian Department of Human Services is currently </w:t>
      </w:r>
      <w:r w:rsidR="00EF073A">
        <w:rPr>
          <w:lang w:val="en-AU" w:eastAsia="en-AU"/>
        </w:rPr>
        <w:t xml:space="preserve">developing the State </w:t>
      </w:r>
      <w:r>
        <w:rPr>
          <w:lang w:val="en-AU" w:eastAsia="en-AU"/>
        </w:rPr>
        <w:t>Disability Inclusion Plan and will be consulting with people with disability, carers and families and other stakeholders next year before the Plan is finalised. Face-to-face consultation processes are planned across South Australia, including metropolitan and regional centres.</w:t>
      </w:r>
    </w:p>
    <w:p w:rsidR="00AD1F72" w:rsidRDefault="00AD1F72" w:rsidP="00AD1F72">
      <w:pPr>
        <w:pStyle w:val="BodyText"/>
        <w:rPr>
          <w:lang w:val="en-AU" w:eastAsia="en-AU"/>
        </w:rPr>
      </w:pPr>
      <w:r>
        <w:rPr>
          <w:lang w:val="en-AU" w:eastAsia="en-AU"/>
        </w:rPr>
        <w:t xml:space="preserve">The Plan will set out whole-of-government policies and measures relating to the provision of services and programs delivered by state authorities for people with disability, acknowledging the additional risk and multiple disadvantage faced by women, children, Aboriginal and Torres Strait Islander people and people from culturally and linguistically diverse backgrounds with disability. </w:t>
      </w:r>
    </w:p>
    <w:p w:rsidR="00AD1F72" w:rsidRDefault="00AD1F72" w:rsidP="00AD1F72">
      <w:pPr>
        <w:pStyle w:val="BodyText"/>
        <w:rPr>
          <w:lang w:val="en-AU" w:eastAsia="en-AU"/>
        </w:rPr>
      </w:pPr>
      <w:r>
        <w:rPr>
          <w:lang w:val="en-AU" w:eastAsia="en-AU"/>
        </w:rPr>
        <w:t>To support the operation of the Plan, each State authority is required to develop a Disability Access and Inclusion Plan (DAIP) that includes strategies to facilitate accessibility for people with disability (for example: to built environs; events facilities; information; communication; employment; services; programs; and infrastructure including transport).</w:t>
      </w:r>
    </w:p>
    <w:p w:rsidR="00AD1F72" w:rsidRDefault="00AD1F72" w:rsidP="00AD1F72">
      <w:pPr>
        <w:pStyle w:val="BodyText"/>
        <w:rPr>
          <w:lang w:val="en-AU" w:eastAsia="en-AU"/>
        </w:rPr>
      </w:pPr>
      <w:r>
        <w:rPr>
          <w:lang w:val="en-AU" w:eastAsia="en-AU"/>
        </w:rPr>
        <w:t xml:space="preserve">The Act imposes obligations on the State government to provide an annual progress report on the Plan, and to review the Plan every four years, to ensure the rights and inclusion of people with disability are being met. State authorities are also obliged to provide an annual progress report and four-yearly review of DAIPs. Annual reports will be presented to both Houses of the South Australian Parliament. </w:t>
      </w:r>
    </w:p>
    <w:p w:rsidR="00387466" w:rsidRDefault="00387466" w:rsidP="00AD1F72">
      <w:pPr>
        <w:pStyle w:val="BodyText"/>
        <w:rPr>
          <w:b/>
          <w:lang w:val="en-AU" w:eastAsia="en-AU"/>
        </w:rPr>
      </w:pPr>
    </w:p>
    <w:p w:rsidR="00AD1F72" w:rsidRPr="00944E73" w:rsidRDefault="00AD1F72" w:rsidP="00AD1F72">
      <w:pPr>
        <w:pStyle w:val="BodyText"/>
        <w:rPr>
          <w:b/>
          <w:lang w:val="en-AU" w:eastAsia="en-AU"/>
        </w:rPr>
      </w:pPr>
      <w:r w:rsidRPr="00AD1F72">
        <w:rPr>
          <w:b/>
          <w:lang w:val="en-AU" w:eastAsia="en-AU"/>
        </w:rPr>
        <w:t>South Australian</w:t>
      </w:r>
      <w:r>
        <w:rPr>
          <w:b/>
          <w:i/>
          <w:lang w:val="en-AU" w:eastAsia="en-AU"/>
        </w:rPr>
        <w:t xml:space="preserve"> </w:t>
      </w:r>
      <w:r w:rsidRPr="00944E73">
        <w:rPr>
          <w:b/>
          <w:i/>
          <w:lang w:val="en-AU" w:eastAsia="en-AU"/>
        </w:rPr>
        <w:t>Carer Recognition Act 2005</w:t>
      </w:r>
    </w:p>
    <w:p w:rsidR="00AD1F72" w:rsidRPr="00944E73" w:rsidRDefault="00AD1F72" w:rsidP="00AD1F72">
      <w:pPr>
        <w:pStyle w:val="BodyText"/>
        <w:rPr>
          <w:lang w:val="en-AU" w:eastAsia="en-AU"/>
        </w:rPr>
      </w:pPr>
      <w:r w:rsidRPr="00944E73">
        <w:rPr>
          <w:lang w:val="en-AU" w:eastAsia="en-AU"/>
        </w:rPr>
        <w:t xml:space="preserve">The </w:t>
      </w:r>
      <w:r>
        <w:rPr>
          <w:lang w:val="en-AU" w:eastAsia="en-AU"/>
        </w:rPr>
        <w:t xml:space="preserve">Carer Recognition </w:t>
      </w:r>
      <w:r w:rsidRPr="00944E73">
        <w:rPr>
          <w:lang w:val="en-AU" w:eastAsia="en-AU"/>
        </w:rPr>
        <w:t xml:space="preserve">Act acknowledges the important role of unpaid carers in the </w:t>
      </w:r>
      <w:r>
        <w:rPr>
          <w:lang w:val="en-AU" w:eastAsia="en-AU"/>
        </w:rPr>
        <w:t xml:space="preserve">South Australian </w:t>
      </w:r>
      <w:r w:rsidRPr="00944E73">
        <w:rPr>
          <w:lang w:val="en-AU" w:eastAsia="en-AU"/>
        </w:rPr>
        <w:t xml:space="preserve">community. </w:t>
      </w:r>
    </w:p>
    <w:p w:rsidR="00AD1F72" w:rsidRPr="00944E73" w:rsidRDefault="00AD1F72" w:rsidP="00AD1F72">
      <w:pPr>
        <w:pStyle w:val="BodyText"/>
        <w:rPr>
          <w:lang w:val="en-AU" w:eastAsia="en-AU"/>
        </w:rPr>
      </w:pPr>
      <w:r w:rsidRPr="00944E73">
        <w:rPr>
          <w:lang w:val="en-AU" w:eastAsia="en-AU"/>
        </w:rPr>
        <w:t>It imposes obligations on government agencies and contracted organisations that provide services to carers and the people in their care in areas such as recognition, consultation and support.</w:t>
      </w:r>
    </w:p>
    <w:p w:rsidR="00AD1F72" w:rsidRPr="00944E73" w:rsidRDefault="00AD1F72" w:rsidP="00AD1F72">
      <w:pPr>
        <w:pStyle w:val="BodyText"/>
        <w:rPr>
          <w:lang w:val="en-AU" w:eastAsia="en-AU"/>
        </w:rPr>
      </w:pPr>
      <w:r>
        <w:rPr>
          <w:lang w:val="en-AU" w:eastAsia="en-AU"/>
        </w:rPr>
        <w:t xml:space="preserve">The Act </w:t>
      </w:r>
      <w:r w:rsidRPr="00944E73">
        <w:rPr>
          <w:lang w:val="en-AU" w:eastAsia="en-AU"/>
        </w:rPr>
        <w:t>provides a legal framework for South Australian Government departments and government-funded organisations to review and improve how they provide services to carers</w:t>
      </w:r>
      <w:r>
        <w:rPr>
          <w:lang w:val="en-AU" w:eastAsia="en-AU"/>
        </w:rPr>
        <w:t>,</w:t>
      </w:r>
      <w:r w:rsidRPr="00944E73">
        <w:rPr>
          <w:lang w:val="en-AU" w:eastAsia="en-AU"/>
        </w:rPr>
        <w:t xml:space="preserve"> and recognise them as employees and partners in the provision of care. </w:t>
      </w:r>
    </w:p>
    <w:p w:rsidR="00AD1F72" w:rsidRDefault="00AD1F72" w:rsidP="00AD1F72">
      <w:pPr>
        <w:pStyle w:val="BodyText"/>
        <w:rPr>
          <w:lang w:val="en-AU" w:eastAsia="en-AU"/>
        </w:rPr>
      </w:pPr>
      <w:r w:rsidRPr="00944E73">
        <w:rPr>
          <w:lang w:val="en-AU" w:eastAsia="en-AU"/>
        </w:rPr>
        <w:t>The Act requires State Government agencies to provide services that ensure:</w:t>
      </w:r>
    </w:p>
    <w:p w:rsidR="00AD1F72" w:rsidRDefault="00AD1F72" w:rsidP="00AD1F72">
      <w:pPr>
        <w:pStyle w:val="BodyText"/>
        <w:numPr>
          <w:ilvl w:val="0"/>
          <w:numId w:val="19"/>
        </w:numPr>
        <w:rPr>
          <w:lang w:val="en-AU" w:eastAsia="en-AU"/>
        </w:rPr>
      </w:pPr>
      <w:r w:rsidRPr="00944E73">
        <w:rPr>
          <w:lang w:val="en-AU" w:eastAsia="en-AU"/>
        </w:rPr>
        <w:t>staff and associates are aware of carers' needs</w:t>
      </w:r>
    </w:p>
    <w:p w:rsidR="00AD1F72" w:rsidRDefault="00AD1F72" w:rsidP="00AD1F72">
      <w:pPr>
        <w:pStyle w:val="BodyText"/>
        <w:numPr>
          <w:ilvl w:val="0"/>
          <w:numId w:val="19"/>
        </w:numPr>
        <w:rPr>
          <w:lang w:val="en-AU" w:eastAsia="en-AU"/>
        </w:rPr>
      </w:pPr>
      <w:r w:rsidRPr="00944E73">
        <w:rPr>
          <w:lang w:val="en-AU" w:eastAsia="en-AU"/>
        </w:rPr>
        <w:t>carers are consulted in the planning, delivery and review of policies and programs that affect them</w:t>
      </w:r>
      <w:r>
        <w:rPr>
          <w:lang w:val="en-AU" w:eastAsia="en-AU"/>
        </w:rPr>
        <w:t xml:space="preserve">, including for </w:t>
      </w:r>
      <w:r w:rsidRPr="00944E73">
        <w:rPr>
          <w:lang w:val="en-AU" w:eastAsia="en-AU"/>
        </w:rPr>
        <w:t>government and government-funded services that impact on carers</w:t>
      </w:r>
    </w:p>
    <w:p w:rsidR="00AD1F72" w:rsidRPr="00944E73" w:rsidRDefault="00AD1F72" w:rsidP="00AD1F72">
      <w:pPr>
        <w:pStyle w:val="BodyText"/>
        <w:numPr>
          <w:ilvl w:val="0"/>
          <w:numId w:val="19"/>
        </w:numPr>
        <w:rPr>
          <w:lang w:val="en-AU" w:eastAsia="en-AU"/>
        </w:rPr>
      </w:pPr>
      <w:r w:rsidRPr="00944E73">
        <w:rPr>
          <w:lang w:val="en-AU" w:eastAsia="en-AU"/>
        </w:rPr>
        <w:t xml:space="preserve">the relevant principles of the </w:t>
      </w:r>
      <w:r w:rsidRPr="006C2893">
        <w:rPr>
          <w:i/>
          <w:lang w:val="en-AU" w:eastAsia="en-AU"/>
        </w:rPr>
        <w:t>SA Carers Charter</w:t>
      </w:r>
      <w:r w:rsidRPr="00944E73">
        <w:rPr>
          <w:lang w:val="en-AU" w:eastAsia="en-AU"/>
        </w:rPr>
        <w:t xml:space="preserve"> are followed</w:t>
      </w:r>
      <w:r>
        <w:rPr>
          <w:lang w:val="en-AU" w:eastAsia="en-AU"/>
        </w:rPr>
        <w:t>.</w:t>
      </w:r>
    </w:p>
    <w:p w:rsidR="00AD1F72" w:rsidRPr="00944E73" w:rsidRDefault="00AD1F72" w:rsidP="00AD1F72">
      <w:pPr>
        <w:pStyle w:val="BodyText"/>
        <w:rPr>
          <w:lang w:val="en-AU" w:eastAsia="en-AU"/>
        </w:rPr>
      </w:pPr>
      <w:r w:rsidRPr="00944E73">
        <w:rPr>
          <w:lang w:val="en-AU" w:eastAsia="en-AU"/>
        </w:rPr>
        <w:t xml:space="preserve">The </w:t>
      </w:r>
      <w:r w:rsidRPr="006C2893">
        <w:rPr>
          <w:i/>
          <w:lang w:val="en-AU" w:eastAsia="en-AU"/>
        </w:rPr>
        <w:t>SA Carers Charter</w:t>
      </w:r>
      <w:r w:rsidRPr="00944E73">
        <w:rPr>
          <w:lang w:val="en-AU" w:eastAsia="en-AU"/>
        </w:rPr>
        <w:t xml:space="preserve"> is enshrined within the Act and sets out seven principles that guide services for carers:</w:t>
      </w:r>
    </w:p>
    <w:p w:rsidR="00AD1F72" w:rsidRDefault="00AD1F72" w:rsidP="00AD1F72">
      <w:pPr>
        <w:pStyle w:val="BodyText"/>
        <w:numPr>
          <w:ilvl w:val="0"/>
          <w:numId w:val="29"/>
        </w:numPr>
        <w:rPr>
          <w:lang w:val="en-AU" w:eastAsia="en-AU"/>
        </w:rPr>
      </w:pPr>
      <w:r>
        <w:rPr>
          <w:lang w:val="en-AU" w:eastAsia="en-AU"/>
        </w:rPr>
        <w:t>C</w:t>
      </w:r>
      <w:r w:rsidRPr="00944E73">
        <w:rPr>
          <w:lang w:val="en-AU" w:eastAsia="en-AU"/>
        </w:rPr>
        <w:t>arers have choices within their caring role.</w:t>
      </w:r>
    </w:p>
    <w:p w:rsidR="00AD1F72" w:rsidRDefault="00AD1F72" w:rsidP="00AD1F72">
      <w:pPr>
        <w:pStyle w:val="BodyText"/>
        <w:numPr>
          <w:ilvl w:val="0"/>
          <w:numId w:val="29"/>
        </w:numPr>
        <w:rPr>
          <w:lang w:val="en-AU" w:eastAsia="en-AU"/>
        </w:rPr>
      </w:pPr>
      <w:r w:rsidRPr="00944E73">
        <w:rPr>
          <w:lang w:val="en-AU" w:eastAsia="en-AU"/>
        </w:rPr>
        <w:t>Carers’ health and well-being are critical to the community.</w:t>
      </w:r>
    </w:p>
    <w:p w:rsidR="00AD1F72" w:rsidRDefault="00AD1F72" w:rsidP="00AD1F72">
      <w:pPr>
        <w:pStyle w:val="BodyText"/>
        <w:numPr>
          <w:ilvl w:val="0"/>
          <w:numId w:val="29"/>
        </w:numPr>
        <w:rPr>
          <w:lang w:val="en-AU" w:eastAsia="en-AU"/>
        </w:rPr>
      </w:pPr>
      <w:r w:rsidRPr="00944E73">
        <w:rPr>
          <w:lang w:val="en-AU" w:eastAsia="en-AU"/>
        </w:rPr>
        <w:t>Carers play a critical role in maintaining the fabric of society.</w:t>
      </w:r>
    </w:p>
    <w:p w:rsidR="00AD1F72" w:rsidRDefault="00AD1F72" w:rsidP="00AD1F72">
      <w:pPr>
        <w:pStyle w:val="BodyText"/>
        <w:numPr>
          <w:ilvl w:val="0"/>
          <w:numId w:val="29"/>
        </w:numPr>
        <w:rPr>
          <w:lang w:val="en-AU" w:eastAsia="en-AU"/>
        </w:rPr>
      </w:pPr>
      <w:r w:rsidRPr="00944E73">
        <w:rPr>
          <w:lang w:val="en-AU" w:eastAsia="en-AU"/>
        </w:rPr>
        <w:t>Service providers work in partnership with carers.</w:t>
      </w:r>
    </w:p>
    <w:p w:rsidR="00AD1F72" w:rsidRDefault="00AD1F72" w:rsidP="00AD1F72">
      <w:pPr>
        <w:pStyle w:val="BodyText"/>
        <w:numPr>
          <w:ilvl w:val="0"/>
          <w:numId w:val="29"/>
        </w:numPr>
        <w:rPr>
          <w:lang w:val="en-AU" w:eastAsia="en-AU"/>
        </w:rPr>
      </w:pPr>
      <w:r w:rsidRPr="00944E73">
        <w:rPr>
          <w:lang w:val="en-AU" w:eastAsia="en-AU"/>
        </w:rPr>
        <w:t>Carers in Aboriginal and Torres Strait Islander communities need specific consideration.</w:t>
      </w:r>
    </w:p>
    <w:p w:rsidR="00AD1F72" w:rsidRDefault="00AD1F72" w:rsidP="00AD1F72">
      <w:pPr>
        <w:pStyle w:val="BodyText"/>
        <w:numPr>
          <w:ilvl w:val="0"/>
          <w:numId w:val="29"/>
        </w:numPr>
        <w:rPr>
          <w:lang w:val="en-AU" w:eastAsia="en-AU"/>
        </w:rPr>
      </w:pPr>
      <w:r w:rsidRPr="00944E73">
        <w:rPr>
          <w:lang w:val="en-AU" w:eastAsia="en-AU"/>
        </w:rPr>
        <w:t>All children and young people have the right to enjoy life and reach their potential.</w:t>
      </w:r>
    </w:p>
    <w:p w:rsidR="00AD1F72" w:rsidRPr="00944E73" w:rsidRDefault="00AD1F72" w:rsidP="00AD1F72">
      <w:pPr>
        <w:pStyle w:val="BodyText"/>
        <w:numPr>
          <w:ilvl w:val="0"/>
          <w:numId w:val="29"/>
        </w:numPr>
        <w:rPr>
          <w:lang w:val="en-AU" w:eastAsia="en-AU"/>
        </w:rPr>
      </w:pPr>
      <w:r w:rsidRPr="00944E73">
        <w:rPr>
          <w:lang w:val="en-AU" w:eastAsia="en-AU"/>
        </w:rPr>
        <w:t>Resources are available to provide timely, appropriate and adequate assistance to carers.</w:t>
      </w:r>
    </w:p>
    <w:p w:rsidR="00AD1F72" w:rsidRDefault="00AD1F72" w:rsidP="00AD1F72">
      <w:r>
        <w:t xml:space="preserve">The South Australian Carers Recognition Act is complemented by the Commonwealth </w:t>
      </w:r>
      <w:r w:rsidRPr="000134A2">
        <w:rPr>
          <w:i/>
        </w:rPr>
        <w:t>Carer Recognition Act 2010</w:t>
      </w:r>
      <w:r>
        <w:t>.</w:t>
      </w:r>
    </w:p>
    <w:p w:rsidR="00D343DD" w:rsidRDefault="00D343DD" w:rsidP="00D343DD">
      <w:pPr>
        <w:pStyle w:val="BodyText"/>
        <w:rPr>
          <w:lang w:val="en-AU" w:eastAsia="en-AU"/>
        </w:rPr>
      </w:pPr>
      <w:r>
        <w:rPr>
          <w:lang w:val="en-AU" w:eastAsia="en-AU"/>
        </w:rPr>
        <w:t xml:space="preserve">South Australia supports the key elements of the policy architecture supporting the NDA, as represented by the </w:t>
      </w:r>
      <w:r w:rsidR="00395424">
        <w:rPr>
          <w:lang w:val="en-AU" w:eastAsia="en-AU"/>
        </w:rPr>
        <w:t xml:space="preserve">Productivity </w:t>
      </w:r>
      <w:r>
        <w:rPr>
          <w:lang w:val="en-AU" w:eastAsia="en-AU"/>
        </w:rPr>
        <w:t xml:space="preserve">Commission in Figure </w:t>
      </w:r>
      <w:r w:rsidR="00920563">
        <w:rPr>
          <w:lang w:val="en-AU" w:eastAsia="en-AU"/>
        </w:rPr>
        <w:t>3</w:t>
      </w:r>
      <w:r>
        <w:rPr>
          <w:lang w:val="en-AU" w:eastAsia="en-AU"/>
        </w:rPr>
        <w:t xml:space="preserve">. </w:t>
      </w:r>
    </w:p>
    <w:p w:rsidR="00AD1F72" w:rsidRDefault="00AD1F72" w:rsidP="00AD1F72">
      <w:pPr>
        <w:pStyle w:val="BodyText"/>
        <w:rPr>
          <w:lang w:val="en-AU" w:eastAsia="en-AU"/>
        </w:rPr>
      </w:pPr>
      <w:r>
        <w:rPr>
          <w:lang w:val="en-AU" w:eastAsia="en-AU"/>
        </w:rPr>
        <w:t>However, since the introduction of the NDA, there have been a series of fundamental reforms to the disability policy landscape, including the introduction of the United Nations Convention on the Rights of Persons with Disabilities, the National Disability Strategy and the reforms of the NDIS.</w:t>
      </w:r>
    </w:p>
    <w:p w:rsidR="002B5134" w:rsidRDefault="002B5134" w:rsidP="00AD1F72">
      <w:pPr>
        <w:pStyle w:val="BodyText"/>
        <w:rPr>
          <w:lang w:val="en-AU" w:eastAsia="en-AU"/>
        </w:rPr>
      </w:pPr>
    </w:p>
    <w:p w:rsidR="00AD1F72" w:rsidRPr="00944E73" w:rsidRDefault="00AD1F72" w:rsidP="00AD1F72">
      <w:pPr>
        <w:pStyle w:val="BodyText"/>
        <w:rPr>
          <w:b/>
          <w:i/>
          <w:lang w:val="en-AU" w:eastAsia="en-AU"/>
        </w:rPr>
      </w:pPr>
      <w:r w:rsidRPr="00944E73">
        <w:rPr>
          <w:b/>
          <w:lang w:val="en-AU" w:eastAsia="en-AU"/>
        </w:rPr>
        <w:t xml:space="preserve">United Nations </w:t>
      </w:r>
      <w:r w:rsidRPr="00944E73">
        <w:rPr>
          <w:b/>
          <w:i/>
          <w:lang w:val="en-AU" w:eastAsia="en-AU"/>
        </w:rPr>
        <w:t>Convention on the Rights of Persons with Disabilities</w:t>
      </w:r>
    </w:p>
    <w:p w:rsidR="00AD1F72" w:rsidRDefault="00AD1F72" w:rsidP="00AD1F72">
      <w:pPr>
        <w:pStyle w:val="BodyText"/>
        <w:rPr>
          <w:lang w:val="en-AU" w:eastAsia="en-AU"/>
        </w:rPr>
      </w:pPr>
      <w:r>
        <w:rPr>
          <w:lang w:val="en-AU" w:eastAsia="en-AU"/>
        </w:rPr>
        <w:t>Whilst it has not been reflected in Figure</w:t>
      </w:r>
      <w:r w:rsidR="00137C33">
        <w:rPr>
          <w:lang w:val="en-AU" w:eastAsia="en-AU"/>
        </w:rPr>
        <w:t xml:space="preserve"> </w:t>
      </w:r>
      <w:r w:rsidR="00387466">
        <w:rPr>
          <w:lang w:val="en-AU" w:eastAsia="en-AU"/>
        </w:rPr>
        <w:t>3</w:t>
      </w:r>
      <w:r>
        <w:rPr>
          <w:lang w:val="en-AU" w:eastAsia="en-AU"/>
        </w:rPr>
        <w:t xml:space="preserve">, South Australia particularly notes the importance of the United Nations </w:t>
      </w:r>
      <w:r w:rsidRPr="005D7FD0">
        <w:rPr>
          <w:i/>
          <w:lang w:val="en-AU" w:eastAsia="en-AU"/>
        </w:rPr>
        <w:t>Convention on the Rights of Persons with Disabilities</w:t>
      </w:r>
      <w:r>
        <w:rPr>
          <w:lang w:val="en-AU" w:eastAsia="en-AU"/>
        </w:rPr>
        <w:t xml:space="preserve"> and the broader legislative and policy context. </w:t>
      </w:r>
    </w:p>
    <w:p w:rsidR="00AD1F72" w:rsidRDefault="00AD1F72" w:rsidP="00AD1F72">
      <w:pPr>
        <w:pStyle w:val="BodyText"/>
        <w:rPr>
          <w:lang w:val="en-AU" w:eastAsia="en-AU"/>
        </w:rPr>
      </w:pPr>
      <w:r w:rsidRPr="00944E73">
        <w:rPr>
          <w:lang w:val="en-AU" w:eastAsia="en-AU"/>
        </w:rPr>
        <w:t>Australia ratified the UN Convention in July 2008 and as such is obliged to ensure and promote the human</w:t>
      </w:r>
      <w:r>
        <w:rPr>
          <w:lang w:val="en-AU" w:eastAsia="en-AU"/>
        </w:rPr>
        <w:t xml:space="preserve"> rights and dignity of people with disability. </w:t>
      </w:r>
    </w:p>
    <w:p w:rsidR="00AD1F72" w:rsidRPr="00AF5DA7" w:rsidRDefault="00AD1F72" w:rsidP="00AD1F72">
      <w:pPr>
        <w:pStyle w:val="BodyText"/>
        <w:rPr>
          <w:lang w:val="en-AU" w:eastAsia="en-AU"/>
        </w:rPr>
      </w:pPr>
      <w:r>
        <w:rPr>
          <w:lang w:val="en-AU" w:eastAsia="en-AU"/>
        </w:rPr>
        <w:t xml:space="preserve">For example, the </w:t>
      </w:r>
      <w:r w:rsidRPr="00AF5DA7">
        <w:rPr>
          <w:i/>
          <w:lang w:val="en-AU" w:eastAsia="en-AU"/>
        </w:rPr>
        <w:t>National Disability Insurance Scheme Act</w:t>
      </w:r>
      <w:r>
        <w:rPr>
          <w:i/>
          <w:lang w:val="en-AU" w:eastAsia="en-AU"/>
        </w:rPr>
        <w:t xml:space="preserve"> 2013</w:t>
      </w:r>
      <w:r>
        <w:rPr>
          <w:lang w:val="en-AU" w:eastAsia="en-AU"/>
        </w:rPr>
        <w:t xml:space="preserve"> was enacted to give effect to Australia’s obligations under the Convention (in conjunction with other laws).</w:t>
      </w:r>
    </w:p>
    <w:p w:rsidR="00AD1F72" w:rsidRDefault="00AD1F72" w:rsidP="00D343DD">
      <w:pPr>
        <w:pStyle w:val="BodyText"/>
        <w:rPr>
          <w:lang w:val="en-AU" w:eastAsia="en-AU"/>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9644"/>
      </w:tblGrid>
      <w:tr w:rsidR="00D343DD" w:rsidRPr="005B1906" w:rsidTr="00AE734A">
        <w:trPr>
          <w:trHeight w:val="1508"/>
          <w:tblHeader/>
        </w:trPr>
        <w:tc>
          <w:tcPr>
            <w:tcW w:w="5000" w:type="pct"/>
            <w:tcBorders>
              <w:top w:val="nil"/>
              <w:left w:val="nil"/>
              <w:bottom w:val="single" w:sz="6" w:space="0" w:color="78A22F"/>
              <w:right w:val="nil"/>
            </w:tcBorders>
            <w:shd w:val="clear" w:color="auto" w:fill="E5F1D0"/>
          </w:tcPr>
          <w:p w:rsidR="00D343DD" w:rsidRPr="00A61917" w:rsidRDefault="00D343DD" w:rsidP="00AE734A">
            <w:pPr>
              <w:pStyle w:val="InformationRequestBullet"/>
              <w:shd w:val="clear" w:color="auto" w:fill="E5F1D0"/>
              <w:ind w:left="0" w:firstLine="0"/>
              <w:rPr>
                <w:b/>
                <w:i w:val="0"/>
              </w:rPr>
            </w:pPr>
            <w:r w:rsidRPr="00387466">
              <w:rPr>
                <w:b/>
                <w:i w:val="0"/>
              </w:rPr>
              <w:t xml:space="preserve">Figure </w:t>
            </w:r>
            <w:r w:rsidR="00387466" w:rsidRPr="00387466">
              <w:rPr>
                <w:b/>
                <w:i w:val="0"/>
              </w:rPr>
              <w:t>3</w:t>
            </w:r>
            <w:r w:rsidRPr="00A61917">
              <w:rPr>
                <w:i w:val="0"/>
              </w:rPr>
              <w:tab/>
            </w:r>
            <w:r w:rsidRPr="00A61917">
              <w:rPr>
                <w:b/>
                <w:i w:val="0"/>
              </w:rPr>
              <w:t>The policy architecture supporting the NDA</w:t>
            </w:r>
          </w:p>
          <w:p w:rsidR="00D343DD" w:rsidRDefault="00D343DD" w:rsidP="00AE734A">
            <w:pPr>
              <w:pStyle w:val="InformationRequestTitle"/>
              <w:spacing w:before="120"/>
            </w:pPr>
            <w:r w:rsidRPr="00E85F03">
              <w:rPr>
                <w:rFonts w:cs="Arial"/>
                <w:noProof/>
                <w:szCs w:val="18"/>
              </w:rPr>
              <w:drawing>
                <wp:inline distT="0" distB="0" distL="0" distR="0" wp14:anchorId="1A154289" wp14:editId="3CA63BD7">
                  <wp:extent cx="5191125" cy="4762500"/>
                  <wp:effectExtent l="0" t="0" r="9525" b="0"/>
                  <wp:docPr id="5" name="Picture 5" descr="The policy architecture supporting the National Disability Agreement is  provided by the Council of Australian Governments, COAG.&#10;&#10;The Council on Federal Financial Relations (CFFR) is one of the eight councils established to support COAG to improve the current and future well-being of all Australians. The CFFR oversees the financial relationship between the Commonwealth and the States and Territories, including the Intergovernmental Agreement on Federal Financial Relations (IGA FFR). The CFFR is comprised of the Commonwealth Treasurer as Chair and the State and Territory Treasurers.&#10;&#10;National Agreements define the objectives, outcomes, outputs and performance indicators, and clarify the roles and responsibilities that guide the Commonwealth and the States in the delivery of services in key sectors. There are currently six National Agreements in the health, education, skills and workforce development, disability services, affordable housing and Indigenous reform sectors, and a National Health Reform Agreement:&#10;&#10;The National Disability Agreement is associated with a Specific Purpose Payment through which the Commonwealth supports States' efforts in delivering disability services.&#10;&#10;The COAG Disability Reform Council oversees the trial and implementation of the NDIS and will make recommendations to COAG on the transition to NDIS full scheme. The Disability Reform Council also ensures a broad range of reforms are implemented through the National Disability Agreement and the National Disability Strategy to support people with disability, their families and carers. The Disability Reform Council is chaired by the Commonwealth Minister responsible for disability and consists of Commonwealth, State and Territory Ministers within disability and treasury portfoli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1125" cy="4762500"/>
                          </a:xfrm>
                          <a:prstGeom prst="rect">
                            <a:avLst/>
                          </a:prstGeom>
                          <a:noFill/>
                          <a:ln>
                            <a:noFill/>
                          </a:ln>
                        </pic:spPr>
                      </pic:pic>
                    </a:graphicData>
                  </a:graphic>
                </wp:inline>
              </w:drawing>
            </w:r>
          </w:p>
        </w:tc>
      </w:tr>
      <w:tr w:rsidR="00C06FFF" w:rsidRPr="005B1906" w:rsidTr="00C06FFF">
        <w:trPr>
          <w:trHeight w:val="368"/>
          <w:tblHeader/>
        </w:trPr>
        <w:tc>
          <w:tcPr>
            <w:tcW w:w="5000" w:type="pct"/>
            <w:tcBorders>
              <w:top w:val="nil"/>
              <w:left w:val="nil"/>
              <w:bottom w:val="single" w:sz="6" w:space="0" w:color="78A22F"/>
              <w:right w:val="nil"/>
            </w:tcBorders>
            <w:shd w:val="clear" w:color="auto" w:fill="E5F1D0"/>
          </w:tcPr>
          <w:p w:rsidR="00C06FFF" w:rsidRPr="00176D3F" w:rsidRDefault="00C06FFF" w:rsidP="00D4407B">
            <w:pPr>
              <w:pStyle w:val="Source"/>
            </w:pPr>
            <w:r>
              <w:t>S</w:t>
            </w:r>
            <w:r w:rsidRPr="00C60E1D">
              <w:t>ource:</w:t>
            </w:r>
            <w:r>
              <w:t xml:space="preserve"> Productivity Commission (2018) National Disability Agreement Review Issues Paper </w:t>
            </w:r>
          </w:p>
        </w:tc>
      </w:tr>
      <w:tr w:rsidR="00C06FFF" w:rsidTr="00AE734A">
        <w:trPr>
          <w:tblHeader/>
        </w:trPr>
        <w:tc>
          <w:tcPr>
            <w:tcW w:w="5000" w:type="pct"/>
            <w:tcBorders>
              <w:top w:val="single" w:sz="6" w:space="0" w:color="78A22F"/>
              <w:left w:val="nil"/>
              <w:bottom w:val="nil"/>
              <w:right w:val="nil"/>
            </w:tcBorders>
            <w:shd w:val="clear" w:color="auto" w:fill="auto"/>
          </w:tcPr>
          <w:p w:rsidR="00C06FFF" w:rsidRPr="00176D3F" w:rsidRDefault="00C06FFF" w:rsidP="00B87E06">
            <w:pPr>
              <w:pStyle w:val="Source"/>
            </w:pPr>
          </w:p>
        </w:tc>
      </w:tr>
    </w:tbl>
    <w:p w:rsidR="00920563" w:rsidRDefault="00920563" w:rsidP="00137C33">
      <w:pPr>
        <w:pStyle w:val="CabStandard"/>
        <w:numPr>
          <w:ilvl w:val="0"/>
          <w:numId w:val="0"/>
        </w:numPr>
        <w:rPr>
          <w:rFonts w:ascii="Arial" w:eastAsiaTheme="minorHAnsi" w:hAnsi="Arial" w:cstheme="minorBidi"/>
          <w:sz w:val="22"/>
          <w:szCs w:val="22"/>
          <w:lang w:val="en-AU" w:eastAsia="en-AU"/>
        </w:rPr>
      </w:pPr>
    </w:p>
    <w:p w:rsidR="00920563" w:rsidRDefault="00920563">
      <w:pPr>
        <w:rPr>
          <w:lang w:val="en-AU" w:eastAsia="en-AU"/>
        </w:rPr>
      </w:pPr>
      <w:r>
        <w:rPr>
          <w:lang w:val="en-AU" w:eastAsia="en-AU"/>
        </w:rPr>
        <w:br w:type="page"/>
      </w:r>
    </w:p>
    <w:p w:rsidR="00137C33" w:rsidRDefault="00137C33" w:rsidP="00137C33">
      <w:pPr>
        <w:pStyle w:val="CabStandard"/>
        <w:numPr>
          <w:ilvl w:val="0"/>
          <w:numId w:val="0"/>
        </w:numPr>
        <w:rPr>
          <w:rFonts w:ascii="Arial" w:eastAsiaTheme="minorHAnsi" w:hAnsi="Arial" w:cstheme="minorBidi"/>
          <w:sz w:val="22"/>
          <w:szCs w:val="22"/>
          <w:lang w:val="en-AU" w:eastAsia="en-AU"/>
        </w:rPr>
      </w:pPr>
      <w:r w:rsidRPr="00137C33">
        <w:rPr>
          <w:rFonts w:ascii="Arial" w:eastAsiaTheme="minorHAnsi" w:hAnsi="Arial" w:cstheme="minorBidi"/>
          <w:sz w:val="22"/>
          <w:szCs w:val="22"/>
          <w:lang w:val="en-AU" w:eastAsia="en-AU"/>
        </w:rPr>
        <w:t xml:space="preserve">In addition to the NDA, </w:t>
      </w:r>
      <w:r w:rsidR="00920563">
        <w:rPr>
          <w:rFonts w:ascii="Arial" w:eastAsiaTheme="minorHAnsi" w:hAnsi="Arial" w:cstheme="minorBidi"/>
          <w:sz w:val="22"/>
          <w:szCs w:val="22"/>
          <w:lang w:val="en-AU" w:eastAsia="en-AU"/>
        </w:rPr>
        <w:t xml:space="preserve">there are </w:t>
      </w:r>
      <w:r w:rsidR="000A5569" w:rsidRPr="00137C33">
        <w:rPr>
          <w:rFonts w:ascii="Arial" w:eastAsiaTheme="minorHAnsi" w:hAnsi="Arial" w:cstheme="minorBidi"/>
          <w:sz w:val="22"/>
          <w:szCs w:val="22"/>
          <w:lang w:val="en-AU" w:eastAsia="en-AU"/>
        </w:rPr>
        <w:t>now two additional intergovernmental agreements or strategies</w:t>
      </w:r>
      <w:r w:rsidRPr="00137C33">
        <w:rPr>
          <w:rFonts w:ascii="Arial" w:eastAsiaTheme="minorHAnsi" w:hAnsi="Arial" w:cstheme="minorBidi"/>
          <w:sz w:val="22"/>
          <w:szCs w:val="22"/>
          <w:lang w:val="en-AU" w:eastAsia="en-AU"/>
        </w:rPr>
        <w:t xml:space="preserve"> </w:t>
      </w:r>
      <w:r w:rsidR="000A5569">
        <w:rPr>
          <w:rFonts w:ascii="Arial" w:eastAsiaTheme="minorHAnsi" w:hAnsi="Arial" w:cstheme="minorBidi"/>
          <w:sz w:val="22"/>
          <w:szCs w:val="22"/>
          <w:lang w:val="en-AU" w:eastAsia="en-AU"/>
        </w:rPr>
        <w:t xml:space="preserve">that </w:t>
      </w:r>
      <w:r w:rsidRPr="00137C33">
        <w:rPr>
          <w:rFonts w:ascii="Arial" w:eastAsiaTheme="minorHAnsi" w:hAnsi="Arial" w:cstheme="minorBidi"/>
          <w:sz w:val="22"/>
          <w:szCs w:val="22"/>
          <w:lang w:val="en-AU" w:eastAsia="en-AU"/>
        </w:rPr>
        <w:t>exist in the national disability policy landscape.</w:t>
      </w:r>
    </w:p>
    <w:p w:rsidR="00920563" w:rsidRDefault="00920563" w:rsidP="00D343DD">
      <w:pPr>
        <w:pStyle w:val="BodyText"/>
        <w:rPr>
          <w:b/>
          <w:lang w:val="en-AU" w:eastAsia="en-AU"/>
        </w:rPr>
      </w:pPr>
    </w:p>
    <w:p w:rsidR="00D343DD" w:rsidRPr="006D4519" w:rsidRDefault="00D343DD" w:rsidP="00D343DD">
      <w:pPr>
        <w:pStyle w:val="BodyText"/>
        <w:rPr>
          <w:b/>
          <w:lang w:val="en-AU" w:eastAsia="en-AU"/>
        </w:rPr>
      </w:pPr>
      <w:r w:rsidRPr="006D4519">
        <w:rPr>
          <w:b/>
          <w:lang w:val="en-AU" w:eastAsia="en-AU"/>
        </w:rPr>
        <w:t>National Disability Strategy</w:t>
      </w:r>
    </w:p>
    <w:p w:rsidR="00F751F9" w:rsidRDefault="00F751F9" w:rsidP="00F751F9">
      <w:pPr>
        <w:pStyle w:val="BodyText"/>
        <w:rPr>
          <w:i/>
          <w:lang w:val="en-AU" w:eastAsia="en-AU"/>
        </w:rPr>
      </w:pPr>
      <w:r>
        <w:rPr>
          <w:lang w:val="en-AU" w:eastAsia="en-AU"/>
        </w:rPr>
        <w:t>South Australia considers the National Disability Strategy (NDS) to be the preeminent, overarching national strategy, which outlines the shared vision</w:t>
      </w:r>
      <w:r w:rsidR="004C5E67">
        <w:rPr>
          <w:lang w:val="en-AU" w:eastAsia="en-AU"/>
        </w:rPr>
        <w:t xml:space="preserve"> for</w:t>
      </w:r>
      <w:r>
        <w:rPr>
          <w:lang w:val="en-AU" w:eastAsia="en-AU"/>
        </w:rPr>
        <w:t xml:space="preserve">: </w:t>
      </w:r>
      <w:r>
        <w:rPr>
          <w:i/>
          <w:lang w:val="en-AU" w:eastAsia="en-AU"/>
        </w:rPr>
        <w:t xml:space="preserve">an inclusive Australian society that enables people with disability to fulfil their potential as equal citizens. </w:t>
      </w:r>
    </w:p>
    <w:p w:rsidR="00D343DD" w:rsidRDefault="00D343DD" w:rsidP="00D343DD">
      <w:pPr>
        <w:pStyle w:val="BodyText"/>
        <w:rPr>
          <w:lang w:val="en-AU" w:eastAsia="en-AU"/>
        </w:rPr>
      </w:pPr>
      <w:r>
        <w:rPr>
          <w:lang w:val="en-AU" w:eastAsia="en-AU"/>
        </w:rPr>
        <w:t xml:space="preserve">The NDS aims </w:t>
      </w:r>
      <w:r w:rsidR="00F751F9">
        <w:rPr>
          <w:lang w:val="en-AU" w:eastAsia="en-AU"/>
        </w:rPr>
        <w:t xml:space="preserve">holistically </w:t>
      </w:r>
      <w:r>
        <w:rPr>
          <w:lang w:val="en-AU" w:eastAsia="en-AU"/>
        </w:rPr>
        <w:t xml:space="preserve">to influence the planning, design and delivery of mainstream policies, programs, services and infrastructure, so that people with disability can participate as equal citizens in all areas of Australian life. </w:t>
      </w:r>
    </w:p>
    <w:p w:rsidR="00D343DD" w:rsidRDefault="00D343DD" w:rsidP="00D343DD">
      <w:pPr>
        <w:pStyle w:val="BodyText"/>
        <w:rPr>
          <w:lang w:val="en-AU" w:eastAsia="en-AU"/>
        </w:rPr>
      </w:pPr>
      <w:r>
        <w:rPr>
          <w:lang w:val="en-AU" w:eastAsia="en-AU"/>
        </w:rPr>
        <w:t>The scope of the NDS includes all people with disability, regardless of the nature or severity of their impairment, whether they have a need for support or are participant or potential participant of the NDIS.</w:t>
      </w:r>
    </w:p>
    <w:p w:rsidR="00D343DD" w:rsidRDefault="00D343DD" w:rsidP="00D343DD">
      <w:pPr>
        <w:pStyle w:val="BodyText"/>
        <w:rPr>
          <w:lang w:val="en-AU" w:eastAsia="en-AU"/>
        </w:rPr>
      </w:pPr>
      <w:r>
        <w:rPr>
          <w:lang w:val="en-AU" w:eastAsia="en-AU"/>
        </w:rPr>
        <w:t>The NDS articulates long-term goals across a number of key policy areas which impact people with disability, their families and carers. These are:</w:t>
      </w:r>
    </w:p>
    <w:p w:rsidR="00D343DD" w:rsidRDefault="00D343DD" w:rsidP="00D343DD">
      <w:pPr>
        <w:pStyle w:val="BodyText"/>
        <w:numPr>
          <w:ilvl w:val="0"/>
          <w:numId w:val="27"/>
        </w:numPr>
        <w:rPr>
          <w:lang w:val="en-AU" w:eastAsia="en-AU"/>
        </w:rPr>
      </w:pPr>
      <w:r>
        <w:rPr>
          <w:lang w:val="en-AU" w:eastAsia="en-AU"/>
        </w:rPr>
        <w:t>Inclusive and accessible communities</w:t>
      </w:r>
    </w:p>
    <w:p w:rsidR="00D343DD" w:rsidRDefault="00D343DD" w:rsidP="00D343DD">
      <w:pPr>
        <w:pStyle w:val="BodyText"/>
        <w:numPr>
          <w:ilvl w:val="0"/>
          <w:numId w:val="27"/>
        </w:numPr>
        <w:rPr>
          <w:lang w:val="en-AU" w:eastAsia="en-AU"/>
        </w:rPr>
      </w:pPr>
      <w:r>
        <w:rPr>
          <w:lang w:val="en-AU" w:eastAsia="en-AU"/>
        </w:rPr>
        <w:t>Rights, protection, justice and legislation</w:t>
      </w:r>
    </w:p>
    <w:p w:rsidR="00D343DD" w:rsidRDefault="00D343DD" w:rsidP="00D343DD">
      <w:pPr>
        <w:pStyle w:val="BodyText"/>
        <w:numPr>
          <w:ilvl w:val="0"/>
          <w:numId w:val="27"/>
        </w:numPr>
        <w:rPr>
          <w:lang w:val="en-AU" w:eastAsia="en-AU"/>
        </w:rPr>
      </w:pPr>
      <w:r>
        <w:rPr>
          <w:lang w:val="en-AU" w:eastAsia="en-AU"/>
        </w:rPr>
        <w:t>Economic security</w:t>
      </w:r>
    </w:p>
    <w:p w:rsidR="00D343DD" w:rsidRDefault="00D343DD" w:rsidP="00D343DD">
      <w:pPr>
        <w:pStyle w:val="BodyText"/>
        <w:numPr>
          <w:ilvl w:val="0"/>
          <w:numId w:val="27"/>
        </w:numPr>
        <w:rPr>
          <w:lang w:val="en-AU" w:eastAsia="en-AU"/>
        </w:rPr>
      </w:pPr>
      <w:r>
        <w:rPr>
          <w:lang w:val="en-AU" w:eastAsia="en-AU"/>
        </w:rPr>
        <w:t>Personal and community support</w:t>
      </w:r>
    </w:p>
    <w:p w:rsidR="00D343DD" w:rsidRDefault="00D343DD" w:rsidP="00D343DD">
      <w:pPr>
        <w:pStyle w:val="BodyText"/>
        <w:numPr>
          <w:ilvl w:val="0"/>
          <w:numId w:val="27"/>
        </w:numPr>
        <w:rPr>
          <w:lang w:val="en-AU" w:eastAsia="en-AU"/>
        </w:rPr>
      </w:pPr>
      <w:r>
        <w:rPr>
          <w:lang w:val="en-AU" w:eastAsia="en-AU"/>
        </w:rPr>
        <w:t>Learning and skills</w:t>
      </w:r>
    </w:p>
    <w:p w:rsidR="00D343DD" w:rsidRDefault="00D343DD" w:rsidP="00D343DD">
      <w:pPr>
        <w:pStyle w:val="BodyText"/>
        <w:numPr>
          <w:ilvl w:val="0"/>
          <w:numId w:val="27"/>
        </w:numPr>
        <w:rPr>
          <w:lang w:val="en-AU" w:eastAsia="en-AU"/>
        </w:rPr>
      </w:pPr>
      <w:r>
        <w:rPr>
          <w:lang w:val="en-AU" w:eastAsia="en-AU"/>
        </w:rPr>
        <w:t>Health and wellbeing</w:t>
      </w:r>
    </w:p>
    <w:p w:rsidR="00D343DD" w:rsidRDefault="00D343DD" w:rsidP="00D343DD">
      <w:pPr>
        <w:pStyle w:val="BodyText"/>
        <w:rPr>
          <w:lang w:val="en-AU" w:eastAsia="en-AU"/>
        </w:rPr>
      </w:pPr>
      <w:r>
        <w:rPr>
          <w:lang w:val="en-AU" w:eastAsia="en-AU"/>
        </w:rPr>
        <w:t xml:space="preserve">The NDS includes a specific focus on improving community and mainstream services to be available and fully accessible for people with disability. </w:t>
      </w:r>
    </w:p>
    <w:p w:rsidR="00D343DD" w:rsidRDefault="00401C0A" w:rsidP="00D343DD">
      <w:pPr>
        <w:pStyle w:val="BodyText"/>
        <w:rPr>
          <w:lang w:val="en-AU" w:eastAsia="en-AU"/>
        </w:rPr>
      </w:pPr>
      <w:r>
        <w:rPr>
          <w:lang w:val="en-AU" w:eastAsia="en-AU"/>
        </w:rPr>
        <w:t xml:space="preserve">The NDIS is a significant reform initiative which </w:t>
      </w:r>
      <w:r w:rsidR="00FB3E88">
        <w:rPr>
          <w:lang w:val="en-AU" w:eastAsia="en-AU"/>
        </w:rPr>
        <w:t>contribute</w:t>
      </w:r>
      <w:r>
        <w:rPr>
          <w:lang w:val="en-AU" w:eastAsia="en-AU"/>
        </w:rPr>
        <w:t>s</w:t>
      </w:r>
      <w:r w:rsidR="00FB3E88">
        <w:rPr>
          <w:lang w:val="en-AU" w:eastAsia="en-AU"/>
        </w:rPr>
        <w:t xml:space="preserve"> to the </w:t>
      </w:r>
      <w:r w:rsidR="00395424">
        <w:rPr>
          <w:lang w:val="en-AU" w:eastAsia="en-AU"/>
        </w:rPr>
        <w:t xml:space="preserve">overall implementation of the </w:t>
      </w:r>
      <w:r w:rsidR="00D343DD">
        <w:rPr>
          <w:lang w:val="en-AU" w:eastAsia="en-AU"/>
        </w:rPr>
        <w:t>NDS</w:t>
      </w:r>
      <w:r>
        <w:rPr>
          <w:lang w:val="en-AU" w:eastAsia="en-AU"/>
        </w:rPr>
        <w:t xml:space="preserve">. </w:t>
      </w:r>
    </w:p>
    <w:p w:rsidR="004C5CC8" w:rsidRDefault="004C5CC8" w:rsidP="00D343DD">
      <w:pPr>
        <w:pStyle w:val="BodyText"/>
        <w:rPr>
          <w:lang w:val="en-AU" w:eastAsia="en-AU"/>
        </w:rPr>
      </w:pPr>
      <w:r>
        <w:rPr>
          <w:lang w:val="en-AU" w:eastAsia="en-AU"/>
        </w:rPr>
        <w:t xml:space="preserve">The Commonwealth Department of Social Services is currently conducting a review of the NDS. </w:t>
      </w:r>
      <w:r w:rsidRPr="004C5CC8">
        <w:rPr>
          <w:lang w:val="en-AU" w:eastAsia="en-AU"/>
        </w:rPr>
        <w:t xml:space="preserve">The objective of the review is to </w:t>
      </w:r>
      <w:r>
        <w:rPr>
          <w:lang w:val="en-AU" w:eastAsia="en-AU"/>
        </w:rPr>
        <w:t xml:space="preserve">consider the </w:t>
      </w:r>
      <w:r w:rsidRPr="004C5CC8">
        <w:rPr>
          <w:lang w:val="en-AU" w:eastAsia="en-AU"/>
        </w:rPr>
        <w:t xml:space="preserve">implementation of the Strategy and provide advice on successful implementation processes and measures to inform the development of a new framework for beyond 2020. </w:t>
      </w:r>
    </w:p>
    <w:p w:rsidR="004C5CC8" w:rsidRDefault="004C5CC8" w:rsidP="00D343DD">
      <w:pPr>
        <w:pStyle w:val="BodyText"/>
        <w:rPr>
          <w:lang w:val="en-AU" w:eastAsia="en-AU"/>
        </w:rPr>
      </w:pPr>
      <w:r>
        <w:rPr>
          <w:lang w:val="en-AU" w:eastAsia="en-AU"/>
        </w:rPr>
        <w:t>South Australia supports a strengthened and enhanced NDS and looks forward to continu</w:t>
      </w:r>
      <w:r w:rsidR="00D106F7">
        <w:rPr>
          <w:lang w:val="en-AU" w:eastAsia="en-AU"/>
        </w:rPr>
        <w:t>ed participation in the review to ensure government continue to deliver targeted and evidence-based outcomes for people with disability, their families and carers.</w:t>
      </w:r>
    </w:p>
    <w:p w:rsidR="00387466" w:rsidRDefault="00387466" w:rsidP="00D343DD">
      <w:pPr>
        <w:rPr>
          <w:b/>
        </w:rPr>
      </w:pPr>
    </w:p>
    <w:p w:rsidR="00D343DD" w:rsidRPr="003006A8" w:rsidRDefault="00D343DD" w:rsidP="00D343DD">
      <w:pPr>
        <w:rPr>
          <w:b/>
        </w:rPr>
      </w:pPr>
      <w:r w:rsidRPr="003006A8">
        <w:rPr>
          <w:b/>
        </w:rPr>
        <w:t>National Disability Insurance Scheme</w:t>
      </w:r>
    </w:p>
    <w:p w:rsidR="00297A32" w:rsidRDefault="008C7433" w:rsidP="006D522D">
      <w:pPr>
        <w:pStyle w:val="CabStandard"/>
        <w:numPr>
          <w:ilvl w:val="0"/>
          <w:numId w:val="0"/>
        </w:numPr>
        <w:rPr>
          <w:rFonts w:ascii="Arial" w:eastAsiaTheme="minorHAnsi" w:hAnsi="Arial" w:cstheme="minorBidi"/>
          <w:sz w:val="22"/>
          <w:szCs w:val="22"/>
          <w:lang w:val="en-AU" w:eastAsia="en-AU"/>
        </w:rPr>
      </w:pPr>
      <w:r w:rsidRPr="006D522D">
        <w:rPr>
          <w:rFonts w:ascii="Arial" w:eastAsiaTheme="minorHAnsi" w:hAnsi="Arial" w:cstheme="minorBidi"/>
          <w:sz w:val="22"/>
          <w:szCs w:val="22"/>
          <w:lang w:val="en-AU" w:eastAsia="en-AU"/>
        </w:rPr>
        <w:t xml:space="preserve">In June 2018, the South Australian Government agreed a bilateral agreement with the Commonwealth to implement the full scheme of the NDIS. </w:t>
      </w:r>
      <w:r w:rsidR="006D522D" w:rsidRPr="006D522D">
        <w:rPr>
          <w:rFonts w:ascii="Arial" w:eastAsiaTheme="minorHAnsi" w:hAnsi="Arial" w:cstheme="minorBidi"/>
          <w:sz w:val="22"/>
          <w:szCs w:val="22"/>
          <w:lang w:val="en-AU" w:eastAsia="en-AU"/>
        </w:rPr>
        <w:t>The Bilateral Agreement outlines the roles and responsibilities of the Commonwealth and South Australia in relation to governance, policy, market development and oversight and funding arrangements for the NDIS.</w:t>
      </w:r>
      <w:r w:rsidR="00297A32">
        <w:rPr>
          <w:rFonts w:ascii="Arial" w:eastAsiaTheme="minorHAnsi" w:hAnsi="Arial" w:cstheme="minorBidi"/>
          <w:sz w:val="22"/>
          <w:szCs w:val="22"/>
          <w:lang w:val="en-AU" w:eastAsia="en-AU"/>
        </w:rPr>
        <w:t xml:space="preserve"> </w:t>
      </w:r>
    </w:p>
    <w:p w:rsidR="006D522D" w:rsidRPr="006D522D" w:rsidRDefault="00297A32" w:rsidP="006D522D">
      <w:pPr>
        <w:pStyle w:val="CabStandard"/>
        <w:numPr>
          <w:ilvl w:val="0"/>
          <w:numId w:val="0"/>
        </w:numPr>
        <w:rPr>
          <w:rFonts w:ascii="Arial" w:eastAsiaTheme="minorHAnsi" w:hAnsi="Arial" w:cstheme="minorBidi"/>
          <w:sz w:val="22"/>
          <w:szCs w:val="22"/>
          <w:lang w:val="en-AU" w:eastAsia="en-AU"/>
        </w:rPr>
      </w:pPr>
      <w:r w:rsidRPr="00297A32">
        <w:rPr>
          <w:rFonts w:ascii="Arial" w:eastAsiaTheme="minorHAnsi" w:hAnsi="Arial" w:cstheme="minorBidi"/>
          <w:sz w:val="22"/>
          <w:szCs w:val="22"/>
          <w:lang w:val="en-AU" w:eastAsia="en-AU"/>
        </w:rPr>
        <w:t>The Bilateral Agreement is interoperable with the NDIS Act, its associated Rules and the National Disability Strategy</w:t>
      </w:r>
      <w:r>
        <w:rPr>
          <w:rFonts w:ascii="Arial" w:eastAsiaTheme="minorHAnsi" w:hAnsi="Arial" w:cstheme="minorBidi"/>
          <w:sz w:val="22"/>
          <w:szCs w:val="22"/>
          <w:lang w:val="en-AU" w:eastAsia="en-AU"/>
        </w:rPr>
        <w:t>.</w:t>
      </w:r>
    </w:p>
    <w:p w:rsidR="002E487B" w:rsidRDefault="008C7433" w:rsidP="00D343DD">
      <w:r>
        <w:t xml:space="preserve">Under these arrangements, the scope of disability supports </w:t>
      </w:r>
      <w:r w:rsidR="006D522D">
        <w:t xml:space="preserve">under the NDIS </w:t>
      </w:r>
      <w:r>
        <w:t xml:space="preserve">is being extended to include people with psychosocial disability. </w:t>
      </w:r>
    </w:p>
    <w:p w:rsidR="00B0024F" w:rsidRDefault="00401C0A" w:rsidP="00D343DD">
      <w:r>
        <w:t xml:space="preserve">Funding for the NDIS is shared by the </w:t>
      </w:r>
      <w:r w:rsidR="002E487B">
        <w:t xml:space="preserve">Commonwealth and states and territories. </w:t>
      </w:r>
      <w:r w:rsidR="00387466">
        <w:t>As shown in Figure 4</w:t>
      </w:r>
      <w:r w:rsidR="00B0024F">
        <w:t xml:space="preserve">, </w:t>
      </w:r>
      <w:r w:rsidR="002E487B">
        <w:t>funding for specialist disability services</w:t>
      </w:r>
      <w:r w:rsidR="00B0024F">
        <w:t xml:space="preserve"> in South Australia</w:t>
      </w:r>
      <w:r w:rsidR="002E487B">
        <w:t xml:space="preserve"> under the NDIS will</w:t>
      </w:r>
      <w:r w:rsidR="00B0024F">
        <w:t xml:space="preserve"> </w:t>
      </w:r>
      <w:r w:rsidR="002E487B">
        <w:t>approximately double to $1.5 billion</w:t>
      </w:r>
      <w:r w:rsidR="00B0024F">
        <w:t xml:space="preserve"> in 2018-19, compared to funding provided in 2016-17. This includes an agreed </w:t>
      </w:r>
      <w:r w:rsidR="002E487B">
        <w:t>South Australian Government contribution of $747.9 million.</w:t>
      </w:r>
    </w:p>
    <w:p w:rsidR="00387466" w:rsidRDefault="00387466" w:rsidP="00E26771">
      <w:pPr>
        <w:ind w:left="1134" w:hanging="1134"/>
        <w:rPr>
          <w:b/>
        </w:rPr>
      </w:pPr>
    </w:p>
    <w:p w:rsidR="00B0024F" w:rsidRPr="00E26771" w:rsidRDefault="00387466" w:rsidP="00E26771">
      <w:pPr>
        <w:ind w:left="1134" w:hanging="1134"/>
        <w:rPr>
          <w:b/>
        </w:rPr>
      </w:pPr>
      <w:r>
        <w:rPr>
          <w:b/>
        </w:rPr>
        <w:t>Figure 4</w:t>
      </w:r>
      <w:r w:rsidR="00B0024F" w:rsidRPr="00E26771">
        <w:rPr>
          <w:b/>
        </w:rPr>
        <w:t xml:space="preserve">: </w:t>
      </w:r>
      <w:r w:rsidR="00B0024F" w:rsidRPr="00E26771">
        <w:rPr>
          <w:b/>
        </w:rPr>
        <w:tab/>
        <w:t xml:space="preserve">Government Expenditure on Specialist Disability Services, </w:t>
      </w:r>
      <w:r>
        <w:rPr>
          <w:b/>
        </w:rPr>
        <w:t xml:space="preserve">South Australia </w:t>
      </w:r>
      <w:r w:rsidR="00B0024F" w:rsidRPr="00E26771">
        <w:rPr>
          <w:b/>
        </w:rPr>
        <w:t xml:space="preserve">2008-09 to 2016-17 and </w:t>
      </w:r>
      <w:r w:rsidR="00E26771">
        <w:rPr>
          <w:b/>
        </w:rPr>
        <w:t xml:space="preserve">Indicative </w:t>
      </w:r>
      <w:r w:rsidR="00B0024F" w:rsidRPr="00E26771">
        <w:rPr>
          <w:b/>
        </w:rPr>
        <w:t>NDIS</w:t>
      </w:r>
      <w:r w:rsidR="00C92865">
        <w:rPr>
          <w:b/>
        </w:rPr>
        <w:t xml:space="preserve"> Expenditure 2018-19 to 2018-21 </w:t>
      </w:r>
      <w:r w:rsidR="00C92865">
        <w:rPr>
          <w:rStyle w:val="FootnoteReference"/>
        </w:rPr>
        <w:footnoteReference w:id="5"/>
      </w:r>
    </w:p>
    <w:p w:rsidR="00B0024F" w:rsidRDefault="00B0024F" w:rsidP="00D343DD">
      <w:r>
        <w:rPr>
          <w:noProof/>
          <w:lang w:val="en-AU" w:eastAsia="en-AU"/>
        </w:rPr>
        <w:drawing>
          <wp:inline distT="0" distB="0" distL="0" distR="0" wp14:anchorId="34304523">
            <wp:extent cx="5779247" cy="378327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1940" cy="3785038"/>
                    </a:xfrm>
                    <a:prstGeom prst="rect">
                      <a:avLst/>
                    </a:prstGeom>
                    <a:noFill/>
                  </pic:spPr>
                </pic:pic>
              </a:graphicData>
            </a:graphic>
          </wp:inline>
        </w:drawing>
      </w:r>
    </w:p>
    <w:p w:rsidR="00B0024F" w:rsidRPr="006C7B19" w:rsidRDefault="00B0024F" w:rsidP="00B0024F">
      <w:pPr>
        <w:rPr>
          <w:sz w:val="20"/>
        </w:rPr>
      </w:pPr>
      <w:r w:rsidRPr="006C7B19">
        <w:rPr>
          <w:sz w:val="20"/>
        </w:rPr>
        <w:t xml:space="preserve">Source: Productivity Commission (2018) </w:t>
      </w:r>
      <w:r w:rsidRPr="006C7B19">
        <w:rPr>
          <w:i/>
          <w:sz w:val="20"/>
        </w:rPr>
        <w:t>Report on Government Services</w:t>
      </w:r>
      <w:r w:rsidRPr="006C7B19">
        <w:rPr>
          <w:sz w:val="20"/>
        </w:rPr>
        <w:t>, Table 15A.4</w:t>
      </w:r>
    </w:p>
    <w:p w:rsidR="0008782A" w:rsidRDefault="0008782A" w:rsidP="00D343DD">
      <w:r>
        <w:t>The South Australian g</w:t>
      </w:r>
      <w:r w:rsidR="00C4688B">
        <w:t>overnment</w:t>
      </w:r>
      <w:r>
        <w:t xml:space="preserve"> ha</w:t>
      </w:r>
      <w:r w:rsidR="00C4688B">
        <w:t>s</w:t>
      </w:r>
      <w:r>
        <w:t xml:space="preserve"> effectively rolled-in e</w:t>
      </w:r>
      <w:r w:rsidR="008724BB">
        <w:t xml:space="preserve">xisting funding provided for specialist disability services, </w:t>
      </w:r>
      <w:r>
        <w:t xml:space="preserve">and </w:t>
      </w:r>
      <w:r w:rsidR="00722488">
        <w:t>i</w:t>
      </w:r>
      <w:r w:rsidR="0069242D">
        <w:t xml:space="preserve">s providing </w:t>
      </w:r>
      <w:r>
        <w:t>additional funding for the NDIS.</w:t>
      </w:r>
      <w:r w:rsidR="00722488">
        <w:t xml:space="preserve"> </w:t>
      </w:r>
    </w:p>
    <w:p w:rsidR="00D343DD" w:rsidRDefault="00D343DD" w:rsidP="00D343DD">
      <w:r>
        <w:t>The NDIS is rapidly replacing the existing system of disability care and support provided under the NDA framework. In July 2013, the NDIS trial commenced in South Australia. Since that time, a total of 7,777 people receiving specialist disability services have transitioned to receive supports from the NDIS</w:t>
      </w:r>
      <w:r>
        <w:rPr>
          <w:rStyle w:val="FootnoteReference"/>
        </w:rPr>
        <w:footnoteReference w:id="6"/>
      </w:r>
      <w:r>
        <w:t>. An additional 10,788 South Australians who were not previously receiving specialist disability services have also become NDIS participants.</w:t>
      </w:r>
    </w:p>
    <w:p w:rsidR="00D668D4" w:rsidRDefault="00D668D4" w:rsidP="00D668D4">
      <w:r>
        <w:t xml:space="preserve">In South Australia, approximately 6000 people currently receiving specialist disability services are yet to transition to the NDIS. At the completion of transition, the NDA and its focus on the provision of specialist </w:t>
      </w:r>
      <w:r w:rsidRPr="00AD6769">
        <w:t>disability services will no longer be</w:t>
      </w:r>
      <w:r>
        <w:t xml:space="preserve"> relevant. </w:t>
      </w:r>
    </w:p>
    <w:p w:rsidR="002E487B" w:rsidRDefault="002E487B" w:rsidP="002E487B">
      <w:r>
        <w:rPr>
          <w:bCs/>
        </w:rPr>
        <w:t>Once</w:t>
      </w:r>
      <w:r w:rsidR="0008782A">
        <w:t xml:space="preserve"> fully implemented</w:t>
      </w:r>
      <w:r>
        <w:t>, the NDIS</w:t>
      </w:r>
      <w:r w:rsidRPr="00D970B7">
        <w:t xml:space="preserve"> is expected to improve the lives of more than 32,000 South Australians living with disability</w:t>
      </w:r>
      <w:r>
        <w:t xml:space="preserve">, </w:t>
      </w:r>
      <w:r w:rsidRPr="00D970B7">
        <w:t>their families and carers.</w:t>
      </w:r>
      <w:r>
        <w:t xml:space="preserve"> This is almost double the number of people receiving specialist disability services in South Australia in 2015-16 (16,932 people).</w:t>
      </w:r>
    </w:p>
    <w:p w:rsidR="002E487B" w:rsidRDefault="002E487B" w:rsidP="002E487B">
      <w:r w:rsidRPr="00F40F5F">
        <w:t>The N</w:t>
      </w:r>
      <w:r>
        <w:t xml:space="preserve">DIS </w:t>
      </w:r>
      <w:r w:rsidRPr="00F40F5F">
        <w:t xml:space="preserve">will </w:t>
      </w:r>
      <w:r w:rsidR="00395424">
        <w:t xml:space="preserve">also </w:t>
      </w:r>
      <w:r w:rsidRPr="00F40F5F">
        <w:t xml:space="preserve">create significant employment opportunities for South Australia. </w:t>
      </w:r>
      <w:r>
        <w:t xml:space="preserve">It is anticipated the </w:t>
      </w:r>
      <w:r w:rsidRPr="00F40F5F">
        <w:t xml:space="preserve">current disability workforce in South Australia will grow from 5,650 – 6,900 current full-time equivalent employees to 10,250 – 12,550 </w:t>
      </w:r>
      <w:r>
        <w:t>one the Scheme is fully implemented</w:t>
      </w:r>
      <w:r>
        <w:rPr>
          <w:rStyle w:val="FootnoteReference"/>
        </w:rPr>
        <w:footnoteReference w:id="7"/>
      </w:r>
      <w:r>
        <w:t xml:space="preserve">. </w:t>
      </w:r>
    </w:p>
    <w:p w:rsidR="002E487B" w:rsidRDefault="00F26B54" w:rsidP="002E487B">
      <w:r>
        <w:t xml:space="preserve">As identified by the Productivity Commission in </w:t>
      </w:r>
      <w:r w:rsidR="006D522D">
        <w:t>F</w:t>
      </w:r>
      <w:r>
        <w:t xml:space="preserve">igure </w:t>
      </w:r>
      <w:r w:rsidR="00C92865">
        <w:t>5</w:t>
      </w:r>
      <w:r>
        <w:t xml:space="preserve"> below, t</w:t>
      </w:r>
      <w:r w:rsidR="002E487B">
        <w:t xml:space="preserve">he NDIS </w:t>
      </w:r>
      <w:r>
        <w:t>was not envisaged to directly support all Australian</w:t>
      </w:r>
      <w:r w:rsidR="006D522D">
        <w:t>s</w:t>
      </w:r>
      <w:r>
        <w:t xml:space="preserve"> with disability. The Scheme </w:t>
      </w:r>
      <w:r w:rsidR="002E487B">
        <w:t>funds reasonable and necessary supports, based upon individual needs, for people with permane</w:t>
      </w:r>
      <w:r>
        <w:t xml:space="preserve">nt and significant disability (individualised supports). </w:t>
      </w:r>
    </w:p>
    <w:p w:rsidR="00920563" w:rsidRDefault="00920563" w:rsidP="002E487B"/>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44"/>
      </w:tblGrid>
      <w:tr w:rsidR="002E487B" w:rsidRPr="00176D3F" w:rsidTr="00AE734A">
        <w:trPr>
          <w:tblHeader/>
        </w:trPr>
        <w:tc>
          <w:tcPr>
            <w:tcW w:w="5000" w:type="pct"/>
            <w:tcBorders>
              <w:top w:val="single" w:sz="6" w:space="0" w:color="78A22F"/>
              <w:left w:val="nil"/>
              <w:bottom w:val="nil"/>
              <w:right w:val="nil"/>
            </w:tcBorders>
            <w:shd w:val="clear" w:color="auto" w:fill="auto"/>
          </w:tcPr>
          <w:p w:rsidR="002E487B" w:rsidRPr="00176D3F" w:rsidRDefault="002E487B" w:rsidP="00AE734A">
            <w:pPr>
              <w:pStyle w:val="FigureTitle"/>
            </w:pPr>
            <w:r w:rsidRPr="00C92865">
              <w:t xml:space="preserve">Figure </w:t>
            </w:r>
            <w:r w:rsidR="00C92865" w:rsidRPr="00C92865">
              <w:t>5</w:t>
            </w:r>
            <w:r>
              <w:tab/>
              <w:t>The NDIS is part of a broader system of supports</w:t>
            </w:r>
            <w:r w:rsidR="00C92865">
              <w:rPr>
                <w:rStyle w:val="FootnoteReference"/>
              </w:rPr>
              <w:footnoteReference w:id="8"/>
            </w:r>
          </w:p>
        </w:tc>
      </w:tr>
      <w:tr w:rsidR="002E487B" w:rsidTr="00AE734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8064A2" w:themeColor="accent4"/>
                <w:bottom w:val="single" w:sz="6" w:space="0" w:color="8064A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E487B" w:rsidRPr="00B1465D" w:rsidTr="00AE734A">
              <w:trPr>
                <w:tblHeader/>
                <w:jc w:val="center"/>
              </w:trPr>
              <w:tc>
                <w:tcPr>
                  <w:tcW w:w="5000" w:type="pct"/>
                  <w:tcBorders>
                    <w:top w:val="nil"/>
                    <w:bottom w:val="nil"/>
                  </w:tcBorders>
                </w:tcPr>
                <w:p w:rsidR="002E487B" w:rsidRPr="00A01430" w:rsidRDefault="002E487B" w:rsidP="00AE734A">
                  <w:pPr>
                    <w:pStyle w:val="Figure"/>
                    <w:spacing w:before="60" w:after="60"/>
                  </w:pPr>
                  <w:r w:rsidRPr="002D6DE0">
                    <w:rPr>
                      <w:rFonts w:ascii="Arial" w:hAnsi="Arial" w:cs="Arial"/>
                      <w:noProof/>
                      <w:sz w:val="18"/>
                      <w:szCs w:val="18"/>
                    </w:rPr>
                    <w:drawing>
                      <wp:inline distT="0" distB="0" distL="0" distR="0" wp14:anchorId="2093F8FF" wp14:editId="67C42507">
                        <wp:extent cx="4991100" cy="3413760"/>
                        <wp:effectExtent l="0" t="0" r="0" b="0"/>
                        <wp:docPr id="9" name="Picture 9" descr="Figure 1 The NDIS is part of a broader system of supports. This figure is a pyramid that shows that the NDIS targets a subset of people with disability. It shows that there are 23.4 million Australians, all of which receive mainstream services and insurance cover from the NDIS. It shows that 4.3 million Australians have a disability, and in addition to the services received by all Australians, they also receive the services of local area coordination; information, linkages and capacity building; and non-NDIS disability services. And of those with a disability, 475 000 will be NDIS participants receiving NDIS packages, in addition to the services received by all other people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1100" cy="3413760"/>
                                </a:xfrm>
                                <a:prstGeom prst="rect">
                                  <a:avLst/>
                                </a:prstGeom>
                                <a:noFill/>
                                <a:ln>
                                  <a:noFill/>
                                </a:ln>
                              </pic:spPr>
                            </pic:pic>
                          </a:graphicData>
                        </a:graphic>
                      </wp:inline>
                    </w:drawing>
                  </w:r>
                </w:p>
              </w:tc>
            </w:tr>
          </w:tbl>
          <w:p w:rsidR="002E487B" w:rsidRDefault="002E487B" w:rsidP="00AE734A">
            <w:pPr>
              <w:pStyle w:val="Figure"/>
            </w:pPr>
          </w:p>
        </w:tc>
      </w:tr>
      <w:tr w:rsidR="002E487B" w:rsidRPr="00102091" w:rsidTr="00AE734A">
        <w:tc>
          <w:tcPr>
            <w:tcW w:w="5000" w:type="pct"/>
            <w:tcBorders>
              <w:top w:val="nil"/>
              <w:left w:val="nil"/>
              <w:bottom w:val="nil"/>
              <w:right w:val="nil"/>
            </w:tcBorders>
            <w:shd w:val="clear" w:color="auto" w:fill="auto"/>
          </w:tcPr>
          <w:p w:rsidR="00C92865" w:rsidRPr="00C92865" w:rsidRDefault="00C92865" w:rsidP="00C92865">
            <w:pPr>
              <w:pStyle w:val="BodyText"/>
              <w:spacing w:after="0"/>
              <w:rPr>
                <w:lang w:val="en-AU" w:eastAsia="en-AU"/>
              </w:rPr>
            </w:pPr>
            <w:r w:rsidRPr="00C92865">
              <w:rPr>
                <w:sz w:val="20"/>
                <w:lang w:val="en-AU" w:eastAsia="en-AU"/>
              </w:rPr>
              <w:t xml:space="preserve">Source: </w:t>
            </w:r>
            <w:r>
              <w:rPr>
                <w:sz w:val="20"/>
                <w:lang w:val="en-AU" w:eastAsia="en-AU"/>
              </w:rPr>
              <w:t>Productivity Commission (</w:t>
            </w:r>
            <w:r w:rsidR="00C32DDA">
              <w:rPr>
                <w:sz w:val="20"/>
                <w:lang w:val="en-AU" w:eastAsia="en-AU"/>
              </w:rPr>
              <w:t>2017) NDIS Costs Study Report</w:t>
            </w:r>
            <w:r w:rsidR="001A6AAE">
              <w:rPr>
                <w:sz w:val="20"/>
                <w:lang w:val="en-AU" w:eastAsia="en-AU"/>
              </w:rPr>
              <w:t>, p4.</w:t>
            </w:r>
          </w:p>
        </w:tc>
      </w:tr>
      <w:tr w:rsidR="002E487B" w:rsidTr="00AE734A">
        <w:tc>
          <w:tcPr>
            <w:tcW w:w="5000" w:type="pct"/>
            <w:tcBorders>
              <w:top w:val="nil"/>
              <w:left w:val="nil"/>
              <w:bottom w:val="single" w:sz="6" w:space="0" w:color="78A22F"/>
              <w:right w:val="nil"/>
            </w:tcBorders>
            <w:shd w:val="clear" w:color="auto" w:fill="auto"/>
          </w:tcPr>
          <w:p w:rsidR="002E487B" w:rsidRPr="00C92865" w:rsidRDefault="002E487B" w:rsidP="00AE734A">
            <w:pPr>
              <w:pStyle w:val="Figurespace"/>
              <w:rPr>
                <w:sz w:val="18"/>
              </w:rPr>
            </w:pPr>
          </w:p>
        </w:tc>
      </w:tr>
      <w:tr w:rsidR="002E487B" w:rsidRPr="00626D32" w:rsidTr="00AE734A">
        <w:tc>
          <w:tcPr>
            <w:tcW w:w="5000" w:type="pct"/>
            <w:tcBorders>
              <w:top w:val="single" w:sz="6" w:space="0" w:color="78A22F"/>
              <w:left w:val="nil"/>
              <w:bottom w:val="nil"/>
              <w:right w:val="nil"/>
            </w:tcBorders>
          </w:tcPr>
          <w:p w:rsidR="002E487B" w:rsidRDefault="002E487B" w:rsidP="00AE734A">
            <w:pPr>
              <w:pStyle w:val="BoxSpaceBelow"/>
            </w:pPr>
          </w:p>
          <w:p w:rsidR="00C92865" w:rsidRPr="00626D32" w:rsidRDefault="00C92865" w:rsidP="00AE734A">
            <w:pPr>
              <w:pStyle w:val="BoxSpaceBelow"/>
            </w:pPr>
          </w:p>
        </w:tc>
      </w:tr>
    </w:tbl>
    <w:p w:rsidR="008811CE" w:rsidRDefault="008811CE" w:rsidP="008811CE">
      <w:pPr>
        <w:rPr>
          <w:rFonts w:cs="Arial"/>
        </w:rPr>
      </w:pPr>
      <w:r w:rsidRPr="001C3A36">
        <w:rPr>
          <w:rFonts w:cs="Arial"/>
        </w:rPr>
        <w:t>S</w:t>
      </w:r>
      <w:r>
        <w:rPr>
          <w:rFonts w:cs="Arial"/>
        </w:rPr>
        <w:t>outh Australia</w:t>
      </w:r>
      <w:r w:rsidRPr="001C3A36">
        <w:rPr>
          <w:rFonts w:cs="Arial"/>
        </w:rPr>
        <w:t xml:space="preserve"> recognises that there is significant stakeholder concern about what services will be available outside the NDIS</w:t>
      </w:r>
      <w:r>
        <w:rPr>
          <w:rFonts w:cs="Arial"/>
        </w:rPr>
        <w:t xml:space="preserve"> and the interfaces of the NDIS with mainstream services. It is important to note that a significantly higher number of South Australians will receive disability support under the NDIS, and the scope of supports has increased.</w:t>
      </w:r>
    </w:p>
    <w:p w:rsidR="008811CE" w:rsidRDefault="008811CE" w:rsidP="008811CE">
      <w:r>
        <w:t xml:space="preserve">Under the NDIS Bilateral Agreement, South Australia has agreed to provide continuity of support for people aged under 65 years who were receiving specialist disability services and who may be deemed ineligible for the NDIS. The </w:t>
      </w:r>
      <w:r w:rsidR="00556151">
        <w:t xml:space="preserve">South Australian Government Department for Human Services </w:t>
      </w:r>
      <w:r>
        <w:t xml:space="preserve">Eligibility for Continuity of Support policy and framework defines continuity of support, and provides a consistent and transparent framework for determining eligibility. </w:t>
      </w:r>
    </w:p>
    <w:p w:rsidR="008811CE" w:rsidRDefault="008811CE" w:rsidP="008811CE">
      <w:r>
        <w:t xml:space="preserve">Likewise, the Commonwealth Government is providing continuity of support for existing clients of Commonwealth programs. Existing state-administered clients aged 65 years and over who were receiving specialist disability services are now receiving continuity of support through the Commonwealth Continuity of Support Programme. </w:t>
      </w:r>
    </w:p>
    <w:p w:rsidR="00101984" w:rsidRDefault="0069242D" w:rsidP="0069242D">
      <w:pPr>
        <w:rPr>
          <w:rFonts w:cs="Arial"/>
        </w:rPr>
      </w:pPr>
      <w:r>
        <w:rPr>
          <w:rFonts w:cs="Arial"/>
        </w:rPr>
        <w:t>The National Disability Insurance Agency (NDIA) is continuing to roll-out supports provided under the ILC framework</w:t>
      </w:r>
      <w:r w:rsidR="00684454">
        <w:rPr>
          <w:rFonts w:cs="Arial"/>
        </w:rPr>
        <w:t xml:space="preserve">. </w:t>
      </w:r>
      <w:r w:rsidR="00101984" w:rsidRPr="001C3A36">
        <w:rPr>
          <w:rFonts w:cs="Arial"/>
        </w:rPr>
        <w:t>S</w:t>
      </w:r>
      <w:r w:rsidR="00101984">
        <w:rPr>
          <w:rFonts w:cs="Arial"/>
        </w:rPr>
        <w:t xml:space="preserve">outh Australia </w:t>
      </w:r>
      <w:r w:rsidR="00101984" w:rsidRPr="001C3A36">
        <w:rPr>
          <w:rFonts w:cs="Arial"/>
        </w:rPr>
        <w:t>recognis</w:t>
      </w:r>
      <w:r w:rsidR="00101984">
        <w:rPr>
          <w:rFonts w:cs="Arial"/>
        </w:rPr>
        <w:t>es</w:t>
      </w:r>
      <w:r w:rsidR="00101984" w:rsidRPr="001C3A36">
        <w:rPr>
          <w:rFonts w:cs="Arial"/>
        </w:rPr>
        <w:t xml:space="preserve"> the importance of </w:t>
      </w:r>
      <w:r w:rsidR="00101984">
        <w:rPr>
          <w:rFonts w:cs="Arial"/>
        </w:rPr>
        <w:t xml:space="preserve">these supports </w:t>
      </w:r>
      <w:r w:rsidR="00101984" w:rsidRPr="001C3A36">
        <w:rPr>
          <w:rFonts w:cs="Arial"/>
        </w:rPr>
        <w:t xml:space="preserve">in </w:t>
      </w:r>
      <w:r w:rsidR="00101984">
        <w:rPr>
          <w:rFonts w:cs="Arial"/>
        </w:rPr>
        <w:t xml:space="preserve">connecting people with disability, their families and carers with appropriate disability, community and mainstream supports and in </w:t>
      </w:r>
      <w:r w:rsidR="00101984" w:rsidRPr="001C3A36">
        <w:rPr>
          <w:rFonts w:cs="Arial"/>
        </w:rPr>
        <w:t>promoting community inclusion and participation for all people with disability.</w:t>
      </w:r>
      <w:r w:rsidR="00101984">
        <w:rPr>
          <w:rFonts w:cs="Arial"/>
        </w:rPr>
        <w:t xml:space="preserve"> </w:t>
      </w:r>
    </w:p>
    <w:p w:rsidR="0069242D" w:rsidRPr="001C3A36" w:rsidRDefault="00101984" w:rsidP="0069242D">
      <w:pPr>
        <w:rPr>
          <w:rFonts w:cs="Arial"/>
        </w:rPr>
      </w:pPr>
      <w:r>
        <w:rPr>
          <w:rFonts w:cs="Arial"/>
        </w:rPr>
        <w:t xml:space="preserve">In particular, it is noted that Local Area Coordination has a role in providing short-term assistance to people who do not have an NDIS plan to connect with mainstream services and community activities. </w:t>
      </w:r>
      <w:r w:rsidR="00684454" w:rsidRPr="00046697">
        <w:t>S</w:t>
      </w:r>
      <w:r w:rsidR="00684454">
        <w:t xml:space="preserve">outh Australia </w:t>
      </w:r>
      <w:r w:rsidR="00684454" w:rsidRPr="00046697">
        <w:t xml:space="preserve">is keen to consider data and evidence regarding the effectiveness and impact of ILC </w:t>
      </w:r>
      <w:r w:rsidR="008811CE">
        <w:t xml:space="preserve">and LAC </w:t>
      </w:r>
      <w:r w:rsidR="00684454" w:rsidRPr="00046697">
        <w:t>services</w:t>
      </w:r>
      <w:r w:rsidR="008811CE">
        <w:t>, particularly for people with disability who do not have an NDIS plan</w:t>
      </w:r>
      <w:r w:rsidR="0069242D">
        <w:rPr>
          <w:rFonts w:cs="Arial"/>
        </w:rPr>
        <w:t xml:space="preserve">. </w:t>
      </w:r>
    </w:p>
    <w:p w:rsidR="00684454" w:rsidRPr="00B45FEC" w:rsidRDefault="0069242D" w:rsidP="00684454">
      <w:pPr>
        <w:ind w:right="571"/>
      </w:pPr>
      <w:r>
        <w:t>There are a number of risks which are apparent, including potential service gaps</w:t>
      </w:r>
      <w:r w:rsidR="00AB1BC0">
        <w:t xml:space="preserve"> in the transition to the NDIS</w:t>
      </w:r>
      <w:r>
        <w:t xml:space="preserve">. </w:t>
      </w:r>
      <w:r w:rsidR="00684454">
        <w:t xml:space="preserve">These can </w:t>
      </w:r>
      <w:r w:rsidR="00684454" w:rsidRPr="00B45FEC">
        <w:t>arise when there remains uncertainty or no clear resolution to specialist disability support services traditionally offered by State Governments that the NDIA consider to be out of scope of the what is deemed ‘reasonable and necessary’. Examples of this include:</w:t>
      </w:r>
    </w:p>
    <w:p w:rsidR="00684454" w:rsidRPr="00B45FEC" w:rsidRDefault="00684454" w:rsidP="00684454">
      <w:pPr>
        <w:pStyle w:val="ListParagraph"/>
        <w:numPr>
          <w:ilvl w:val="0"/>
          <w:numId w:val="48"/>
        </w:numPr>
        <w:tabs>
          <w:tab w:val="left" w:pos="993"/>
        </w:tabs>
        <w:ind w:right="571"/>
      </w:pPr>
      <w:r w:rsidRPr="00B45FEC">
        <w:t xml:space="preserve">Disability supports for non-residents / </w:t>
      </w:r>
      <w:r>
        <w:t xml:space="preserve">people who </w:t>
      </w:r>
      <w:r w:rsidRPr="00B45FEC">
        <w:t>do not meet the NDIS Act residency requirements</w:t>
      </w:r>
    </w:p>
    <w:p w:rsidR="00684454" w:rsidRDefault="00684454" w:rsidP="00684454">
      <w:pPr>
        <w:pStyle w:val="ListParagraph"/>
        <w:numPr>
          <w:ilvl w:val="0"/>
          <w:numId w:val="48"/>
        </w:numPr>
        <w:tabs>
          <w:tab w:val="left" w:pos="993"/>
        </w:tabs>
        <w:ind w:right="571"/>
      </w:pPr>
      <w:r w:rsidRPr="00B45FEC">
        <w:t>Funded disability supports associated with the care of children in voluntary out of home care (V</w:t>
      </w:r>
      <w:r w:rsidR="00D106F7">
        <w:t>O</w:t>
      </w:r>
      <w:r w:rsidRPr="00B45FEC">
        <w:t xml:space="preserve">OHC) arrangements. </w:t>
      </w:r>
      <w:r>
        <w:t xml:space="preserve">There is a risk that the NDIA’s approach to </w:t>
      </w:r>
      <w:r w:rsidRPr="00B45FEC">
        <w:t>V</w:t>
      </w:r>
      <w:r w:rsidR="00D106F7">
        <w:t>O</w:t>
      </w:r>
      <w:r w:rsidRPr="00B45FEC">
        <w:t xml:space="preserve">OHC </w:t>
      </w:r>
      <w:r>
        <w:t xml:space="preserve">may in the future </w:t>
      </w:r>
      <w:r w:rsidRPr="00B45FEC">
        <w:t>unnecessarily bring children and young people into the child protection system and create budget implications on state/territory governments</w:t>
      </w:r>
      <w:r>
        <w:t xml:space="preserve"> </w:t>
      </w:r>
    </w:p>
    <w:p w:rsidR="00684454" w:rsidRPr="00B45FEC" w:rsidRDefault="00684454" w:rsidP="00684454">
      <w:pPr>
        <w:pStyle w:val="ListParagraph"/>
        <w:numPr>
          <w:ilvl w:val="0"/>
          <w:numId w:val="48"/>
        </w:numPr>
        <w:tabs>
          <w:tab w:val="left" w:pos="993"/>
        </w:tabs>
        <w:ind w:right="571"/>
      </w:pPr>
      <w:r w:rsidRPr="00B45FEC">
        <w:t>NDIS interfaces with ‘mainstream’ state government services, including public hospitals and correctional facilities. In particular, there are risks to individuals, services and communities where discharge from services is delayed as a result of NDIS planning/plan implementation or appropriate market responses (i.e. housing) to enable people to safely re-enter the community. Any delays to discharge generate addi</w:t>
      </w:r>
      <w:r w:rsidR="00330C9F">
        <w:t>tional costs that are borne by S</w:t>
      </w:r>
      <w:r w:rsidRPr="00B45FEC">
        <w:t xml:space="preserve">tate </w:t>
      </w:r>
      <w:r w:rsidR="00330C9F">
        <w:t xml:space="preserve">Government </w:t>
      </w:r>
      <w:r w:rsidRPr="00B45FEC">
        <w:t xml:space="preserve">services in the context where states and territories have committed significant funds to a national support scheme. </w:t>
      </w:r>
    </w:p>
    <w:p w:rsidR="0070601F" w:rsidRDefault="0070601F" w:rsidP="0070601F">
      <w:r>
        <w:t>South Australia supports the development of flexible and person-</w:t>
      </w:r>
      <w:r w:rsidR="00FC3611">
        <w:t>centered</w:t>
      </w:r>
      <w:r>
        <w:t xml:space="preserve"> engagement, planning and plan implementation processes for </w:t>
      </w:r>
      <w:r w:rsidR="00F93734">
        <w:t xml:space="preserve">vulnerable </w:t>
      </w:r>
      <w:r>
        <w:t xml:space="preserve">people </w:t>
      </w:r>
      <w:r w:rsidR="00F93734">
        <w:t xml:space="preserve">and people </w:t>
      </w:r>
      <w:r>
        <w:t>with exceptional needs or in unique circumstances</w:t>
      </w:r>
      <w:r w:rsidR="00F93734">
        <w:t xml:space="preserve">. This includes for example the in-reach of </w:t>
      </w:r>
      <w:r w:rsidR="00BD2ECB">
        <w:t xml:space="preserve">NDIS </w:t>
      </w:r>
      <w:r w:rsidR="00F93734">
        <w:t xml:space="preserve">services into custodial environments for </w:t>
      </w:r>
      <w:r>
        <w:t xml:space="preserve">people with disability </w:t>
      </w:r>
      <w:r w:rsidR="00FC3611">
        <w:t>requiring NDIS supports</w:t>
      </w:r>
      <w:r w:rsidR="00BD2ECB">
        <w:t>,</w:t>
      </w:r>
      <w:r w:rsidR="00FC3611">
        <w:t xml:space="preserve"> </w:t>
      </w:r>
      <w:r w:rsidR="00BD2ECB">
        <w:t xml:space="preserve">in preparation for their transition from the </w:t>
      </w:r>
      <w:r>
        <w:t>criminal justice system</w:t>
      </w:r>
      <w:r w:rsidR="00BD2ECB">
        <w:t xml:space="preserve"> to the community.</w:t>
      </w:r>
    </w:p>
    <w:p w:rsidR="00684454" w:rsidRDefault="00C66D69" w:rsidP="0069242D">
      <w:r w:rsidRPr="001C3A36">
        <w:rPr>
          <w:rFonts w:cs="Arial"/>
        </w:rPr>
        <w:t>S</w:t>
      </w:r>
      <w:r>
        <w:rPr>
          <w:rFonts w:cs="Arial"/>
        </w:rPr>
        <w:t xml:space="preserve">outh Australia </w:t>
      </w:r>
      <w:r w:rsidRPr="001C3A36">
        <w:rPr>
          <w:rFonts w:cs="Arial"/>
        </w:rPr>
        <w:t xml:space="preserve">recognises that </w:t>
      </w:r>
      <w:r>
        <w:rPr>
          <w:rFonts w:cs="Arial"/>
        </w:rPr>
        <w:t xml:space="preserve">significant progress has been made, but that </w:t>
      </w:r>
      <w:r w:rsidRPr="001C3A36">
        <w:rPr>
          <w:rFonts w:cs="Arial"/>
        </w:rPr>
        <w:t>there is still extensive work to be done</w:t>
      </w:r>
      <w:r w:rsidR="00F3603C">
        <w:rPr>
          <w:rFonts w:cs="Arial"/>
        </w:rPr>
        <w:t>,</w:t>
      </w:r>
      <w:r w:rsidRPr="001C3A36">
        <w:rPr>
          <w:rFonts w:cs="Arial"/>
        </w:rPr>
        <w:t xml:space="preserve"> in defining the boundaries between mainstream service systems and the NDIS.</w:t>
      </w:r>
      <w:r>
        <w:rPr>
          <w:rFonts w:cs="Arial"/>
        </w:rPr>
        <w:t xml:space="preserve"> </w:t>
      </w:r>
      <w:r w:rsidR="0069242D">
        <w:t>There is extensive national work underway to determine the detail of how the NDIS will work with mainstream services</w:t>
      </w:r>
      <w:r w:rsidR="00684454">
        <w:t>, including through delineation of the Applied Principles and Tables of Support</w:t>
      </w:r>
      <w:r w:rsidR="0069242D">
        <w:t xml:space="preserve">. </w:t>
      </w:r>
    </w:p>
    <w:p w:rsidR="007C0BF7" w:rsidRDefault="007C0BF7" w:rsidP="007C0BF7">
      <w:r>
        <w:t xml:space="preserve">It is not clear that a revised national disability agreement would be able to outline in detail a nationally consistent approach for mainstream services outside of the NDIS, given jurisdictional differences. </w:t>
      </w:r>
    </w:p>
    <w:p w:rsidR="00330C9F" w:rsidRDefault="00330C9F" w:rsidP="00330C9F">
      <w:r>
        <w:t xml:space="preserve">The South Australian Government is continuing to progress NDIS implementation issues </w:t>
      </w:r>
      <w:r w:rsidR="00D106F7">
        <w:t xml:space="preserve">at a local level, as well as </w:t>
      </w:r>
      <w:r>
        <w:t xml:space="preserve">nationally with the Commonwealth Government, NDIA and with other jurisdictions directly and through the Disability Reform Council. </w:t>
      </w:r>
    </w:p>
    <w:p w:rsidR="002E487B" w:rsidRPr="001C3A36" w:rsidRDefault="002E487B" w:rsidP="002E487B">
      <w:r>
        <w:t>S</w:t>
      </w:r>
      <w:r w:rsidR="009150CB">
        <w:t xml:space="preserve">outh Australia </w:t>
      </w:r>
      <w:r w:rsidRPr="001C3A36">
        <w:t>remains strongly commit</w:t>
      </w:r>
      <w:r>
        <w:t xml:space="preserve">ted to </w:t>
      </w:r>
      <w:r w:rsidRPr="001C3A36">
        <w:t>the Scheme</w:t>
      </w:r>
      <w:r>
        <w:t xml:space="preserve"> and to continued collaboration across governments, the N</w:t>
      </w:r>
      <w:r w:rsidR="00273055">
        <w:t>DIA</w:t>
      </w:r>
      <w:r>
        <w:t xml:space="preserve"> and sector stakeholders to ensure its successful implementation.</w:t>
      </w:r>
    </w:p>
    <w:p w:rsidR="002C4018" w:rsidRDefault="002C4018" w:rsidP="002C4018"/>
    <w:p w:rsidR="00093D14" w:rsidRDefault="00093D14">
      <w:pPr>
        <w:rPr>
          <w:b/>
          <w:sz w:val="28"/>
        </w:rPr>
      </w:pPr>
      <w:r>
        <w:rPr>
          <w:b/>
          <w:sz w:val="28"/>
        </w:rPr>
        <w:br w:type="page"/>
      </w:r>
    </w:p>
    <w:p w:rsidR="00FB3E88" w:rsidRDefault="00FB3E88" w:rsidP="004E6144">
      <w:pPr>
        <w:rPr>
          <w:b/>
          <w:sz w:val="24"/>
        </w:rPr>
      </w:pPr>
    </w:p>
    <w:p w:rsidR="002C4018" w:rsidRPr="004E6144" w:rsidRDefault="002C4018" w:rsidP="002C4018">
      <w:pPr>
        <w:rPr>
          <w:b/>
          <w:sz w:val="24"/>
        </w:rPr>
      </w:pPr>
      <w:r w:rsidRPr="004E6144">
        <w:rPr>
          <w:b/>
          <w:sz w:val="24"/>
        </w:rPr>
        <w:t>Framework for assessing the NDA</w:t>
      </w:r>
    </w:p>
    <w:p w:rsidR="002C4018" w:rsidRDefault="002C4018" w:rsidP="002C4018">
      <w:r>
        <w:t>The South Australian Government supports the Productivity Commission’s proposed framework and assessment criteria for assessing the NDA, as outlined in Figur</w:t>
      </w:r>
      <w:r w:rsidR="00273055">
        <w:t>e 6</w:t>
      </w:r>
      <w:r>
        <w:t xml:space="preserve">. </w:t>
      </w:r>
    </w:p>
    <w:p w:rsidR="002C4018" w:rsidRPr="005B1906" w:rsidRDefault="002C4018" w:rsidP="002C4018">
      <w:pPr>
        <w:pStyle w:val="BoxSpaceAboveElement"/>
        <w:keepLines/>
        <w:tabs>
          <w:tab w:val="left" w:pos="1418"/>
          <w:tab w:val="left" w:pos="1895"/>
        </w:tabs>
        <w:rPr>
          <w:vanish w:val="0"/>
          <w:color w:val="auto"/>
          <w:sz w:val="24"/>
          <w:szCs w:val="24"/>
        </w:rPr>
      </w:pPr>
      <w:r>
        <w:rPr>
          <w:vanish w:val="0"/>
          <w:color w:val="auto"/>
          <w:sz w:val="24"/>
          <w:szCs w:val="24"/>
        </w:rPr>
        <w:tab/>
      </w:r>
      <w:r>
        <w:rPr>
          <w:vanish w:val="0"/>
          <w:color w:val="auto"/>
          <w:sz w:val="24"/>
          <w:szCs w:val="24"/>
        </w:rPr>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9644"/>
      </w:tblGrid>
      <w:tr w:rsidR="002C4018" w:rsidRPr="005B1906" w:rsidTr="004B06AC">
        <w:tc>
          <w:tcPr>
            <w:tcW w:w="5000" w:type="pct"/>
            <w:tcBorders>
              <w:top w:val="nil"/>
              <w:left w:val="nil"/>
              <w:bottom w:val="nil"/>
              <w:right w:val="nil"/>
            </w:tcBorders>
            <w:shd w:val="clear" w:color="auto" w:fill="E5F1D0"/>
          </w:tcPr>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360"/>
            </w:tblGrid>
            <w:tr w:rsidR="002C4018" w:rsidRPr="005B1906" w:rsidTr="004B06AC">
              <w:trPr>
                <w:tblHeader/>
              </w:trPr>
              <w:tc>
                <w:tcPr>
                  <w:tcW w:w="5000" w:type="pct"/>
                  <w:tcBorders>
                    <w:top w:val="single" w:sz="6" w:space="0" w:color="78A22F"/>
                    <w:left w:val="nil"/>
                    <w:bottom w:val="nil"/>
                    <w:right w:val="nil"/>
                  </w:tcBorders>
                  <w:shd w:val="clear" w:color="auto" w:fill="auto"/>
                </w:tcPr>
                <w:p w:rsidR="002C4018" w:rsidRPr="005B1906" w:rsidRDefault="002C4018" w:rsidP="00273055">
                  <w:pPr>
                    <w:pStyle w:val="FigureTitle"/>
                  </w:pPr>
                  <w:r w:rsidRPr="005B1906">
                    <w:t xml:space="preserve">Figure </w:t>
                  </w:r>
                  <w:r w:rsidR="00273055">
                    <w:t>6</w:t>
                  </w:r>
                  <w:r w:rsidRPr="005B1906">
                    <w:tab/>
                    <w:t xml:space="preserve">A possible framework for assessing the NDA </w:t>
                  </w:r>
                </w:p>
              </w:tc>
            </w:tr>
            <w:tr w:rsidR="002C4018" w:rsidRPr="005B1906" w:rsidTr="004B06A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8064A2" w:themeColor="accent4"/>
                      <w:bottom w:val="single" w:sz="6" w:space="0" w:color="8064A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C4018" w:rsidRPr="005B1906" w:rsidTr="004B06AC">
                    <w:trPr>
                      <w:tblHeader/>
                      <w:jc w:val="center"/>
                    </w:trPr>
                    <w:tc>
                      <w:tcPr>
                        <w:tcW w:w="5000" w:type="pct"/>
                        <w:tcBorders>
                          <w:top w:val="nil"/>
                          <w:bottom w:val="nil"/>
                        </w:tcBorders>
                      </w:tcPr>
                      <w:p w:rsidR="002C4018" w:rsidRPr="005B1906" w:rsidRDefault="002C4018" w:rsidP="004B06AC">
                        <w:pPr>
                          <w:pStyle w:val="Figure"/>
                          <w:spacing w:before="60" w:after="60"/>
                          <w:rPr>
                            <w:rFonts w:ascii="Arial" w:hAnsi="Arial" w:cs="Arial"/>
                            <w:b/>
                            <w:sz w:val="18"/>
                            <w:szCs w:val="18"/>
                          </w:rPr>
                        </w:pPr>
                        <w:r w:rsidRPr="005B1906">
                          <w:rPr>
                            <w:rFonts w:ascii="Arial" w:hAnsi="Arial" w:cs="Arial"/>
                            <w:b/>
                            <w:noProof/>
                            <w:sz w:val="18"/>
                            <w:szCs w:val="18"/>
                          </w:rPr>
                          <w:drawing>
                            <wp:inline distT="0" distB="0" distL="0" distR="0" wp14:anchorId="0F35AD8D" wp14:editId="194FAD07">
                              <wp:extent cx="5374792" cy="3429000"/>
                              <wp:effectExtent l="0" t="0" r="0" b="0"/>
                              <wp:docPr id="3" name="Picture 3" descr="The proposed framework for assessing the NDA is shown as a flow diagram with the overall objective of disability policy at the top, followed by the following elements: purpose and scope of the NDA; the NDA objective; outcomes for people with disability (which include participation and social inclusion; choice, wellbeing and independence; and support for families and carers); performance indicators; roles and responsibilities; and policy developments and actions. &#10;It also shows that context is part of a framework and affects all elements of the framework. Context includes other policies and agreements including the NDIS bilateral, the NDS and the IGA FFR.&#10;It shows that the assessment lenses of clarity, effectiveness and accountability are used to assess all elements of the framewor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8902" cy="3431622"/>
                                      </a:xfrm>
                                      <a:prstGeom prst="rect">
                                        <a:avLst/>
                                      </a:prstGeom>
                                      <a:noFill/>
                                      <a:ln>
                                        <a:noFill/>
                                      </a:ln>
                                    </pic:spPr>
                                  </pic:pic>
                                </a:graphicData>
                              </a:graphic>
                            </wp:inline>
                          </w:drawing>
                        </w:r>
                        <w:r w:rsidRPr="005B1906">
                          <w:rPr>
                            <w:rStyle w:val="CommentReference"/>
                            <w:rFonts w:ascii="Arial" w:hAnsi="Arial" w:cs="Arial"/>
                            <w:b/>
                            <w:sz w:val="18"/>
                            <w:szCs w:val="18"/>
                          </w:rPr>
                          <w:t xml:space="preserve"> </w:t>
                        </w:r>
                      </w:p>
                    </w:tc>
                  </w:tr>
                </w:tbl>
                <w:p w:rsidR="002C4018" w:rsidRPr="005B1906" w:rsidRDefault="002C4018" w:rsidP="004B06AC">
                  <w:pPr>
                    <w:pStyle w:val="Figure"/>
                    <w:rPr>
                      <w:b/>
                    </w:rPr>
                  </w:pPr>
                </w:p>
              </w:tc>
            </w:tr>
          </w:tbl>
          <w:p w:rsidR="002C4018" w:rsidRPr="005B1906" w:rsidRDefault="002C4018" w:rsidP="004B06AC">
            <w:pPr>
              <w:pStyle w:val="InformationRequestBullet"/>
              <w:ind w:left="360" w:firstLine="0"/>
              <w:rPr>
                <w:b/>
              </w:rPr>
            </w:pPr>
          </w:p>
        </w:tc>
      </w:tr>
      <w:tr w:rsidR="000202EC" w:rsidRPr="005B1906" w:rsidTr="004B06AC">
        <w:tc>
          <w:tcPr>
            <w:tcW w:w="5000" w:type="pct"/>
            <w:tcBorders>
              <w:top w:val="nil"/>
              <w:left w:val="nil"/>
              <w:bottom w:val="nil"/>
              <w:right w:val="nil"/>
            </w:tcBorders>
            <w:shd w:val="clear" w:color="auto" w:fill="E5F1D0"/>
          </w:tcPr>
          <w:p w:rsidR="000202EC" w:rsidRPr="00176D3F" w:rsidRDefault="000202EC" w:rsidP="00D4407B">
            <w:pPr>
              <w:pStyle w:val="Source"/>
            </w:pPr>
            <w:r>
              <w:t>S</w:t>
            </w:r>
            <w:r w:rsidRPr="00C60E1D">
              <w:t>ource:</w:t>
            </w:r>
            <w:r>
              <w:t xml:space="preserve"> Productivity Commission (2018) National Disability Agreement Review Issues Paper </w:t>
            </w:r>
          </w:p>
        </w:tc>
      </w:tr>
      <w:tr w:rsidR="000202EC" w:rsidRPr="005B1906" w:rsidTr="004B06AC">
        <w:tc>
          <w:tcPr>
            <w:tcW w:w="5000" w:type="pct"/>
            <w:tcBorders>
              <w:top w:val="nil"/>
              <w:left w:val="nil"/>
              <w:bottom w:val="single" w:sz="6" w:space="0" w:color="78A22F"/>
              <w:right w:val="nil"/>
            </w:tcBorders>
            <w:shd w:val="clear" w:color="auto" w:fill="auto"/>
          </w:tcPr>
          <w:p w:rsidR="000202EC" w:rsidRPr="005B1906" w:rsidRDefault="000202EC" w:rsidP="004B06AC">
            <w:pPr>
              <w:pStyle w:val="Space"/>
              <w:keepLines/>
              <w:rPr>
                <w:b/>
              </w:rPr>
            </w:pPr>
          </w:p>
        </w:tc>
      </w:tr>
      <w:tr w:rsidR="000202EC" w:rsidRPr="005B1906" w:rsidTr="004B06AC">
        <w:tc>
          <w:tcPr>
            <w:tcW w:w="5000" w:type="pct"/>
            <w:tcBorders>
              <w:top w:val="single" w:sz="6" w:space="0" w:color="78A22F"/>
              <w:left w:val="nil"/>
              <w:bottom w:val="nil"/>
              <w:right w:val="nil"/>
            </w:tcBorders>
          </w:tcPr>
          <w:p w:rsidR="000202EC" w:rsidRPr="005B1906" w:rsidRDefault="000202EC" w:rsidP="004B06AC">
            <w:pPr>
              <w:pStyle w:val="BoxSpaceBelow"/>
              <w:keepLines/>
              <w:rPr>
                <w:b/>
              </w:rPr>
            </w:pPr>
          </w:p>
        </w:tc>
      </w:tr>
    </w:tbl>
    <w:p w:rsidR="002C4018" w:rsidRDefault="002C4018" w:rsidP="002C4018">
      <w:r>
        <w:t xml:space="preserve">South Australia supports an explicit focus on the assessment of ‘appropriateness’ as a criterion, particularly whether there is a need for the national agreement to continue or whether there is a need to pursue further reforms. It is acknowledged that the Productivity Commission has addressed this consideration in the NDA review. </w:t>
      </w:r>
    </w:p>
    <w:p w:rsidR="002C4018" w:rsidRDefault="002C4018" w:rsidP="002C4018">
      <w:r>
        <w:t xml:space="preserve">In reviewing other national agreements, the South Australian Government supports an explicit focus on efficiency, particularly an assessment of value for money in achieving outputs and outcomes. This focus is less relevant in reviewing the NDA, given there is no funding specifically tied to the national agreement. </w:t>
      </w:r>
    </w:p>
    <w:p w:rsidR="002C4018" w:rsidRDefault="002C4018" w:rsidP="002C4018">
      <w:pPr>
        <w:rPr>
          <w:b/>
          <w:sz w:val="24"/>
        </w:rPr>
      </w:pPr>
      <w:r>
        <w:rPr>
          <w:b/>
          <w:sz w:val="24"/>
        </w:rPr>
        <w:br w:type="page"/>
      </w:r>
    </w:p>
    <w:p w:rsidR="004E6144" w:rsidRPr="00093D14" w:rsidRDefault="004E6144" w:rsidP="004E6144">
      <w:pPr>
        <w:pStyle w:val="Heading3"/>
        <w:rPr>
          <w:b/>
        </w:rPr>
      </w:pPr>
      <w:r w:rsidRPr="00093D14">
        <w:rPr>
          <w:b/>
        </w:rPr>
        <w:t>Conclusion</w:t>
      </w:r>
    </w:p>
    <w:p w:rsidR="00093D14" w:rsidRPr="00093D14" w:rsidRDefault="00093D14" w:rsidP="00093D14"/>
    <w:p w:rsidR="00506E26" w:rsidRDefault="00A80DE5" w:rsidP="00A80DE5">
      <w:r>
        <w:t xml:space="preserve">The NDA is no longer up to date given the </w:t>
      </w:r>
      <w:r w:rsidRPr="00A26DC7">
        <w:t>significant changes to the disability</w:t>
      </w:r>
      <w:r>
        <w:t xml:space="preserve"> policy and service provision landscape, arising from the introduction of the NDS and NDIS. </w:t>
      </w:r>
    </w:p>
    <w:p w:rsidR="00A80DE5" w:rsidRDefault="00A80DE5" w:rsidP="00A80DE5">
      <w:r>
        <w:t xml:space="preserve">The NDIS is rapidly replacing the existing system of disability care and support provided under the NDA framework. </w:t>
      </w:r>
      <w:r w:rsidR="00506E26">
        <w:t xml:space="preserve">In 2019, the transition of </w:t>
      </w:r>
      <w:r>
        <w:t xml:space="preserve">all existing </w:t>
      </w:r>
      <w:r w:rsidR="00506E26">
        <w:t xml:space="preserve">South Australians </w:t>
      </w:r>
      <w:r>
        <w:t xml:space="preserve">receiving specialist disability services </w:t>
      </w:r>
      <w:r w:rsidR="00506E26">
        <w:t xml:space="preserve">is expected to be complete. Once this transition is complete, </w:t>
      </w:r>
      <w:r>
        <w:t xml:space="preserve">the NDA and its focus on the provision of specialist </w:t>
      </w:r>
      <w:r w:rsidRPr="00AD6769">
        <w:t>disability services will no longer be</w:t>
      </w:r>
      <w:r>
        <w:t xml:space="preserve"> relevant.</w:t>
      </w:r>
    </w:p>
    <w:p w:rsidR="00A80DE5" w:rsidRDefault="00A80DE5" w:rsidP="00A80DE5">
      <w:r>
        <w:t xml:space="preserve">The South Australian Government believes the existing arrangements for the NDIS and NDS are sufficient, and that renewing the NDA will not provide significant benefit for the South Australian community. The existing NDIS Bilateral Agreement and NDS provide sufficient intergovernmental architecture to enable and promote service and community reforms for people with disability. </w:t>
      </w:r>
    </w:p>
    <w:p w:rsidR="007C0BF7" w:rsidRDefault="00506E26" w:rsidP="00506E26">
      <w:r>
        <w:t xml:space="preserve">The NDS is due to expire in 2020 and is currently being reviewed. </w:t>
      </w:r>
      <w:r w:rsidR="00A80DE5">
        <w:t xml:space="preserve">South Australia looks forward to continued participation </w:t>
      </w:r>
      <w:r>
        <w:t xml:space="preserve">in the review. </w:t>
      </w:r>
    </w:p>
    <w:p w:rsidR="007C0BF7" w:rsidRDefault="00506E26" w:rsidP="007C0BF7">
      <w:r>
        <w:t xml:space="preserve">South Australia supports a strengthened and enhanced focus on the NDS, rather than the NDA, to improve the lives of people with disability across a range of areas including inclusive and accessible communities, skills and work, health and wellbeing. </w:t>
      </w:r>
      <w:r w:rsidR="007C0BF7">
        <w:t>It is also important that the NDA’s focus on improving outcomes for carers, who provide the primary source of support for people with disability, is strengthened in the NDS.</w:t>
      </w:r>
    </w:p>
    <w:p w:rsidR="00506E26" w:rsidRDefault="00506E26" w:rsidP="00506E26"/>
    <w:p w:rsidR="00A80DE5" w:rsidRDefault="00A80DE5" w:rsidP="00A80DE5"/>
    <w:sectPr w:rsidR="00A80DE5" w:rsidSect="008F5B2E">
      <w:headerReference w:type="even" r:id="rId15"/>
      <w:headerReference w:type="default" r:id="rId16"/>
      <w:footerReference w:type="default" r:id="rId17"/>
      <w:headerReference w:type="first" r:id="rId18"/>
      <w:footerReference w:type="first" r:id="rId19"/>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09" w:rsidRDefault="00086409" w:rsidP="008D142D">
      <w:pPr>
        <w:spacing w:after="0" w:line="240" w:lineRule="auto"/>
      </w:pPr>
      <w:r>
        <w:separator/>
      </w:r>
    </w:p>
  </w:endnote>
  <w:endnote w:type="continuationSeparator" w:id="0">
    <w:p w:rsidR="00086409" w:rsidRDefault="00086409" w:rsidP="008D1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94587"/>
      <w:docPartObj>
        <w:docPartGallery w:val="Page Numbers (Bottom of Page)"/>
        <w:docPartUnique/>
      </w:docPartObj>
    </w:sdtPr>
    <w:sdtEndPr>
      <w:rPr>
        <w:noProof/>
      </w:rPr>
    </w:sdtEndPr>
    <w:sdtContent>
      <w:p w:rsidR="000916C9" w:rsidRDefault="000916C9">
        <w:pPr>
          <w:pStyle w:val="Footer"/>
          <w:jc w:val="right"/>
        </w:pPr>
        <w:r>
          <w:fldChar w:fldCharType="begin"/>
        </w:r>
        <w:r>
          <w:instrText xml:space="preserve"> PAGE   \* MERGEFORMAT </w:instrText>
        </w:r>
        <w:r>
          <w:fldChar w:fldCharType="separate"/>
        </w:r>
        <w:r w:rsidR="00A27E8D">
          <w:rPr>
            <w:noProof/>
          </w:rPr>
          <w:t>6</w:t>
        </w:r>
        <w:r>
          <w:rPr>
            <w:noProof/>
          </w:rPr>
          <w:fldChar w:fldCharType="end"/>
        </w:r>
      </w:p>
    </w:sdtContent>
  </w:sdt>
  <w:p w:rsidR="000916C9" w:rsidRDefault="000916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C9" w:rsidRDefault="000916C9">
    <w:pPr>
      <w:pStyle w:val="Footer"/>
    </w:pPr>
    <w:r>
      <w:rPr>
        <w:noProof/>
        <w:lang w:val="en-AU" w:eastAsia="en-AU"/>
      </w:rPr>
      <mc:AlternateContent>
        <mc:Choice Requires="wps">
          <w:drawing>
            <wp:anchor distT="0" distB="0" distL="114300" distR="114300" simplePos="0" relativeHeight="251659260" behindDoc="0" locked="0" layoutInCell="1" allowOverlap="1" wp14:anchorId="518BB11B" wp14:editId="77164620">
              <wp:simplePos x="0" y="0"/>
              <wp:positionH relativeFrom="column">
                <wp:posOffset>-762000</wp:posOffset>
              </wp:positionH>
              <wp:positionV relativeFrom="paragraph">
                <wp:posOffset>-4142104</wp:posOffset>
              </wp:positionV>
              <wp:extent cx="3324225" cy="1333500"/>
              <wp:effectExtent l="0" t="0" r="9525" b="0"/>
              <wp:wrapNone/>
              <wp:docPr id="2" name="Rectangle 2"/>
              <wp:cNvGraphicFramePr/>
              <a:graphic xmlns:a="http://schemas.openxmlformats.org/drawingml/2006/main">
                <a:graphicData uri="http://schemas.microsoft.com/office/word/2010/wordprocessingShape">
                  <wps:wsp>
                    <wps:cNvSpPr/>
                    <wps:spPr>
                      <a:xfrm>
                        <a:off x="0" y="0"/>
                        <a:ext cx="3324225" cy="133350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482F8" id="Rectangle 2" o:spid="_x0000_s1026" style="position:absolute;margin-left:-60pt;margin-top:-326.15pt;width:261.75pt;height:105pt;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" fillcolor="white [3212]"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09" w:rsidRDefault="00086409" w:rsidP="008D142D">
      <w:pPr>
        <w:spacing w:after="0" w:line="240" w:lineRule="auto"/>
      </w:pPr>
      <w:r>
        <w:separator/>
      </w:r>
    </w:p>
  </w:footnote>
  <w:footnote w:type="continuationSeparator" w:id="0">
    <w:p w:rsidR="00086409" w:rsidRDefault="00086409" w:rsidP="008D142D">
      <w:pPr>
        <w:spacing w:after="0" w:line="240" w:lineRule="auto"/>
      </w:pPr>
      <w:r>
        <w:continuationSeparator/>
      </w:r>
    </w:p>
  </w:footnote>
  <w:footnote w:id="1">
    <w:p w:rsidR="001824BD" w:rsidRPr="00B81213" w:rsidRDefault="001824BD">
      <w:pPr>
        <w:pStyle w:val="FootnoteText"/>
        <w:rPr>
          <w:lang w:val="en-AU"/>
        </w:rPr>
      </w:pPr>
      <w:r>
        <w:rPr>
          <w:rStyle w:val="FootnoteReference"/>
        </w:rPr>
        <w:footnoteRef/>
      </w:r>
      <w:r>
        <w:t xml:space="preserve"> </w:t>
      </w:r>
      <w:r>
        <w:rPr>
          <w:lang w:val="en-AU"/>
        </w:rPr>
        <w:t>Gooding, P., Anderson and McVilly</w:t>
      </w:r>
      <w:r w:rsidR="00B81213">
        <w:rPr>
          <w:lang w:val="en-AU"/>
        </w:rPr>
        <w:t xml:space="preserve"> K.</w:t>
      </w:r>
      <w:r>
        <w:rPr>
          <w:lang w:val="en-AU"/>
        </w:rPr>
        <w:t xml:space="preserve"> (2017)</w:t>
      </w:r>
      <w:r w:rsidR="00B81213">
        <w:rPr>
          <w:lang w:val="en-AU"/>
        </w:rPr>
        <w:t xml:space="preserve"> Disability and social inclusion ‘Down Under’: A systemic literature review. </w:t>
      </w:r>
      <w:r w:rsidR="00B81213">
        <w:rPr>
          <w:i/>
          <w:lang w:val="en-AU"/>
        </w:rPr>
        <w:t>Journal of Social Inclusion</w:t>
      </w:r>
      <w:r w:rsidR="00B81213">
        <w:rPr>
          <w:lang w:val="en-AU"/>
        </w:rPr>
        <w:t xml:space="preserve">, 8(2). Available at </w:t>
      </w:r>
      <w:hyperlink r:id="rId1" w:history="1">
        <w:r w:rsidR="00B81213" w:rsidRPr="0058725A">
          <w:rPr>
            <w:rStyle w:val="Hyperlink"/>
            <w:lang w:val="en-AU"/>
          </w:rPr>
          <w:t>https://josi.journals.griffith.edu.au/index.php/inclusion/article/download/964/886</w:t>
        </w:r>
      </w:hyperlink>
      <w:r w:rsidR="00B81213">
        <w:rPr>
          <w:lang w:val="en-AU"/>
        </w:rPr>
        <w:t>.</w:t>
      </w:r>
    </w:p>
  </w:footnote>
  <w:footnote w:id="2">
    <w:p w:rsidR="004556AA" w:rsidRPr="004556AA" w:rsidRDefault="004556AA">
      <w:pPr>
        <w:pStyle w:val="FootnoteText"/>
        <w:rPr>
          <w:lang w:val="en-AU"/>
        </w:rPr>
      </w:pPr>
      <w:r>
        <w:rPr>
          <w:rStyle w:val="FootnoteReference"/>
        </w:rPr>
        <w:footnoteRef/>
      </w:r>
      <w:r>
        <w:t xml:space="preserve"> </w:t>
      </w:r>
      <w:r>
        <w:rPr>
          <w:lang w:val="en-AU"/>
        </w:rPr>
        <w:t xml:space="preserve">Productivity Commission (2018) </w:t>
      </w:r>
      <w:r>
        <w:rPr>
          <w:i/>
          <w:lang w:val="en-AU"/>
        </w:rPr>
        <w:t>National Disability Agreement Review – Productivity Commission Issues Paper</w:t>
      </w:r>
      <w:r>
        <w:rPr>
          <w:lang w:val="en-AU"/>
        </w:rPr>
        <w:t>, Canberra.</w:t>
      </w:r>
    </w:p>
  </w:footnote>
  <w:footnote w:id="3">
    <w:p w:rsidR="008C27AB" w:rsidRPr="00E81EE8" w:rsidRDefault="008C27AB" w:rsidP="008C27AB">
      <w:pPr>
        <w:rPr>
          <w:sz w:val="20"/>
          <w:szCs w:val="20"/>
        </w:rPr>
      </w:pPr>
      <w:r>
        <w:rPr>
          <w:rStyle w:val="FootnoteReference"/>
        </w:rPr>
        <w:footnoteRef/>
      </w:r>
      <w:r>
        <w:t xml:space="preserve"> </w:t>
      </w:r>
      <w:r w:rsidRPr="00E81EE8">
        <w:rPr>
          <w:sz w:val="20"/>
          <w:szCs w:val="20"/>
          <w:lang w:val="en-AU"/>
        </w:rPr>
        <w:t xml:space="preserve">Productivity Commission (2018) </w:t>
      </w:r>
      <w:r w:rsidRPr="00E81EE8">
        <w:rPr>
          <w:i/>
          <w:sz w:val="20"/>
          <w:szCs w:val="20"/>
          <w:lang w:val="en-AU"/>
        </w:rPr>
        <w:t xml:space="preserve">Report on Government Services 2018, </w:t>
      </w:r>
      <w:r w:rsidRPr="00E81EE8">
        <w:rPr>
          <w:sz w:val="20"/>
          <w:szCs w:val="20"/>
          <w:lang w:val="en-AU"/>
        </w:rPr>
        <w:t>Services for People with Disability</w:t>
      </w:r>
      <w:r w:rsidRPr="00E81EE8">
        <w:rPr>
          <w:i/>
          <w:sz w:val="20"/>
          <w:szCs w:val="20"/>
          <w:lang w:val="en-AU"/>
        </w:rPr>
        <w:t xml:space="preserve">, </w:t>
      </w:r>
      <w:r w:rsidRPr="00E81EE8">
        <w:rPr>
          <w:sz w:val="20"/>
          <w:szCs w:val="20"/>
        </w:rPr>
        <w:t>Table 15A.73, Labour force participation rate for people with disability aged 15–64 years, by disability status, by State/Territory ('000) and Table 15A.42 People aged 0–64 years in potential population who need more formal assistance than they are currently receiving, by sex, by State/Territory ('000)</w:t>
      </w:r>
      <w:r>
        <w:rPr>
          <w:sz w:val="20"/>
          <w:szCs w:val="20"/>
        </w:rPr>
        <w:t>.</w:t>
      </w:r>
    </w:p>
    <w:p w:rsidR="008C27AB" w:rsidRPr="00E81EE8" w:rsidRDefault="008C27AB" w:rsidP="008C27AB">
      <w:pPr>
        <w:rPr>
          <w:sz w:val="20"/>
          <w:szCs w:val="20"/>
        </w:rPr>
      </w:pPr>
    </w:p>
    <w:p w:rsidR="008C27AB" w:rsidRPr="00E81EE8" w:rsidRDefault="008C27AB" w:rsidP="008C27AB">
      <w:pPr>
        <w:pStyle w:val="FootnoteText"/>
        <w:rPr>
          <w:lang w:val="en-AU"/>
        </w:rPr>
      </w:pPr>
    </w:p>
  </w:footnote>
  <w:footnote w:id="4">
    <w:p w:rsidR="008C27AB" w:rsidRPr="00093D14" w:rsidRDefault="008C27AB" w:rsidP="008C27AB">
      <w:pPr>
        <w:pStyle w:val="FootnoteText"/>
        <w:rPr>
          <w:lang w:val="en-AU"/>
        </w:rPr>
      </w:pPr>
      <w:r>
        <w:rPr>
          <w:rStyle w:val="FootnoteReference"/>
        </w:rPr>
        <w:footnoteRef/>
      </w:r>
      <w:r>
        <w:t xml:space="preserve"> </w:t>
      </w:r>
      <w:r>
        <w:rPr>
          <w:lang w:val="en-AU"/>
        </w:rPr>
        <w:t>Data are for permanent residents in aged care</w:t>
      </w:r>
    </w:p>
  </w:footnote>
  <w:footnote w:id="5">
    <w:p w:rsidR="00C92865" w:rsidRPr="00B0024F" w:rsidRDefault="00C92865" w:rsidP="00C92865">
      <w:pPr>
        <w:pStyle w:val="FootnoteText"/>
        <w:rPr>
          <w:lang w:val="en-AU"/>
        </w:rPr>
      </w:pPr>
      <w:r>
        <w:rPr>
          <w:rStyle w:val="FootnoteReference"/>
        </w:rPr>
        <w:footnoteRef/>
      </w:r>
      <w:r>
        <w:t xml:space="preserve"> Precise funding levels for 2017-18 have not been finalised, so have been omitted from the graph. Commonwealth NDIS funding contributions are not outlined in the Bilateral Agreement and are therefore indicative, as the Commonwealth is responsible for the balance of all NDIS costs.</w:t>
      </w:r>
    </w:p>
  </w:footnote>
  <w:footnote w:id="6">
    <w:p w:rsidR="00D343DD" w:rsidRPr="00432CF0" w:rsidRDefault="00D343DD" w:rsidP="00D343DD">
      <w:pPr>
        <w:pStyle w:val="FootnoteText"/>
        <w:rPr>
          <w:lang w:val="en-AU"/>
        </w:rPr>
      </w:pPr>
      <w:r>
        <w:rPr>
          <w:rStyle w:val="FootnoteReference"/>
        </w:rPr>
        <w:footnoteRef/>
      </w:r>
      <w:r>
        <w:t xml:space="preserve"> </w:t>
      </w:r>
      <w:r>
        <w:rPr>
          <w:lang w:val="en-AU"/>
        </w:rPr>
        <w:t xml:space="preserve">National Disability Insurance Agency (2018) </w:t>
      </w:r>
      <w:r>
        <w:rPr>
          <w:i/>
          <w:lang w:val="en-AU"/>
        </w:rPr>
        <w:t>COAG Disability Reform Council Quarterly Report 30 June 2018</w:t>
      </w:r>
      <w:r>
        <w:rPr>
          <w:lang w:val="en-AU"/>
        </w:rPr>
        <w:t>, p131. State participants are considered as ‘Existing’. Commonwealth, New and ECEI participants are considered as ‘New’ participants.</w:t>
      </w:r>
    </w:p>
  </w:footnote>
  <w:footnote w:id="7">
    <w:p w:rsidR="002E487B" w:rsidRPr="00F40F5F" w:rsidRDefault="002E487B" w:rsidP="002E487B">
      <w:pPr>
        <w:pStyle w:val="FootnoteText"/>
        <w:rPr>
          <w:lang w:val="en-AU"/>
        </w:rPr>
      </w:pPr>
      <w:r>
        <w:rPr>
          <w:rStyle w:val="FootnoteReference"/>
        </w:rPr>
        <w:footnoteRef/>
      </w:r>
      <w:r>
        <w:t xml:space="preserve"> National Disability Insurance Agency </w:t>
      </w:r>
      <w:r>
        <w:rPr>
          <w:lang w:val="en-AU"/>
        </w:rPr>
        <w:t xml:space="preserve">(2016) </w:t>
      </w:r>
      <w:r w:rsidRPr="00F40F5F">
        <w:rPr>
          <w:i/>
          <w:lang w:val="en-AU"/>
        </w:rPr>
        <w:t>Market Position Statement, South Australia</w:t>
      </w:r>
    </w:p>
  </w:footnote>
  <w:footnote w:id="8">
    <w:p w:rsidR="00C92865" w:rsidRPr="00C92865" w:rsidRDefault="00C92865" w:rsidP="00C92865">
      <w:pPr>
        <w:pStyle w:val="Note"/>
        <w:rPr>
          <w:sz w:val="20"/>
        </w:rPr>
      </w:pPr>
      <w:r>
        <w:rPr>
          <w:rStyle w:val="FootnoteReference"/>
        </w:rPr>
        <w:footnoteRef/>
      </w:r>
      <w:r>
        <w:t xml:space="preserve"> </w:t>
      </w:r>
      <w:r w:rsidRPr="00C92865">
        <w:rPr>
          <w:sz w:val="20"/>
        </w:rPr>
        <w:t>Number of Australians and those with disability are based on 2015 data. NDIS participants are the projected number of people eligible in 2020.</w:t>
      </w:r>
    </w:p>
    <w:p w:rsidR="00C92865" w:rsidRPr="00C92865" w:rsidRDefault="00C92865">
      <w:pPr>
        <w:pStyle w:val="FootnoteText"/>
        <w:rPr>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C9" w:rsidRDefault="000916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C9" w:rsidRDefault="000916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C9" w:rsidRDefault="000916C9" w:rsidP="001E6B08">
    <w:pPr>
      <w:pStyle w:val="Header"/>
    </w:pPr>
    <w:r>
      <mc:AlternateContent>
        <mc:Choice Requires="wps">
          <w:drawing>
            <wp:anchor distT="0" distB="0" distL="114300" distR="114300" simplePos="0" relativeHeight="251661310" behindDoc="0" locked="0" layoutInCell="1" allowOverlap="1" wp14:anchorId="1C561FFA" wp14:editId="2F156881">
              <wp:simplePos x="0" y="0"/>
              <wp:positionH relativeFrom="column">
                <wp:posOffset>-304800</wp:posOffset>
              </wp:positionH>
              <wp:positionV relativeFrom="paragraph">
                <wp:posOffset>2092960</wp:posOffset>
              </wp:positionV>
              <wp:extent cx="3646805" cy="1019175"/>
              <wp:effectExtent l="0" t="0" r="0" b="9525"/>
              <wp:wrapNone/>
              <wp:docPr id="4" name="Rectangle 4"/>
              <wp:cNvGraphicFramePr/>
              <a:graphic xmlns:a="http://schemas.openxmlformats.org/drawingml/2006/main">
                <a:graphicData uri="http://schemas.microsoft.com/office/word/2010/wordprocessingShape">
                  <wps:wsp>
                    <wps:cNvSpPr/>
                    <wps:spPr>
                      <a:xfrm>
                        <a:off x="0" y="0"/>
                        <a:ext cx="3646805" cy="1019175"/>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FEE6A" id="Rectangle 4" o:spid="_x0000_s1026" style="position:absolute;margin-left:-24pt;margin-top:164.8pt;width:287.15pt;height:80.25pt;z-index:251661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" fillcolor="white [3212]" stroked="f" strokeweight="2pt"/>
          </w:pict>
        </mc:Fallback>
      </mc:AlternateContent>
    </w:r>
    <w:r w:rsidRPr="001E6B08">
      <w:drawing>
        <wp:anchor distT="0" distB="0" distL="114300" distR="114300" simplePos="0" relativeHeight="251660285" behindDoc="1" locked="1" layoutInCell="1" allowOverlap="0" wp14:anchorId="6356D68E" wp14:editId="1572008C">
          <wp:simplePos x="0" y="0"/>
          <wp:positionH relativeFrom="page">
            <wp:posOffset>350874</wp:posOffset>
          </wp:positionH>
          <wp:positionV relativeFrom="page">
            <wp:posOffset>63794</wp:posOffset>
          </wp:positionV>
          <wp:extent cx="7048800" cy="10036800"/>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july.jpg"/>
                  <pic:cNvPicPr/>
                </pic:nvPicPr>
                <pic:blipFill>
                  <a:blip r:embed="rId1">
                    <a:extLst>
                      <a:ext uri="{28A0092B-C50C-407E-A947-70E740481C1C}">
                        <a14:useLocalDpi xmlns:a14="http://schemas.microsoft.com/office/drawing/2010/main" val="0"/>
                      </a:ext>
                    </a:extLst>
                  </a:blip>
                  <a:stretch>
                    <a:fillRect/>
                  </a:stretch>
                </pic:blipFill>
                <pic:spPr>
                  <a:xfrm>
                    <a:off x="0" y="0"/>
                    <a:ext cx="7048800" cy="100368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634D66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D067D3"/>
    <w:multiLevelType w:val="hybridMultilevel"/>
    <w:tmpl w:val="C1128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76CD8"/>
    <w:multiLevelType w:val="hybridMultilevel"/>
    <w:tmpl w:val="BB52D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D70A44"/>
    <w:multiLevelType w:val="hybridMultilevel"/>
    <w:tmpl w:val="E5F68D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61E69F7"/>
    <w:multiLevelType w:val="hybridMultilevel"/>
    <w:tmpl w:val="FC48E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B93913"/>
    <w:multiLevelType w:val="hybridMultilevel"/>
    <w:tmpl w:val="2AEA9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F634AA"/>
    <w:multiLevelType w:val="hybridMultilevel"/>
    <w:tmpl w:val="52B2C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7F10C0"/>
    <w:multiLevelType w:val="hybridMultilevel"/>
    <w:tmpl w:val="BA409CB2"/>
    <w:lvl w:ilvl="0" w:tplc="134E1C6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3920888"/>
    <w:multiLevelType w:val="hybridMultilevel"/>
    <w:tmpl w:val="3D72C2BC"/>
    <w:lvl w:ilvl="0" w:tplc="2F4E370C">
      <w:start w:val="1"/>
      <w:numFmt w:val="bullet"/>
      <w:pStyle w:val="Bullet"/>
      <w:lvlText w:val=""/>
      <w:lvlJc w:val="left"/>
      <w:pPr>
        <w:tabs>
          <w:tab w:val="num" w:pos="360"/>
        </w:tabs>
        <w:ind w:left="357" w:hanging="357"/>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937A14"/>
    <w:multiLevelType w:val="hybridMultilevel"/>
    <w:tmpl w:val="D480C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F10EC9"/>
    <w:multiLevelType w:val="hybridMultilevel"/>
    <w:tmpl w:val="D59698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300BE5"/>
    <w:multiLevelType w:val="hybridMultilevel"/>
    <w:tmpl w:val="1EB45E8E"/>
    <w:lvl w:ilvl="0" w:tplc="E598A6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81653B"/>
    <w:multiLevelType w:val="hybridMultilevel"/>
    <w:tmpl w:val="9B2EA924"/>
    <w:lvl w:ilvl="0" w:tplc="0C09000F">
      <w:start w:val="1"/>
      <w:numFmt w:val="decimal"/>
      <w:lvlText w:val="%1."/>
      <w:lvlJc w:val="left"/>
      <w:pPr>
        <w:ind w:left="785" w:hanging="360"/>
      </w:pPr>
      <w:rPr>
        <w:rFonts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4" w15:restartNumberingAfterBreak="0">
    <w:nsid w:val="31AC5BCC"/>
    <w:multiLevelType w:val="multilevel"/>
    <w:tmpl w:val="7BE6AAA0"/>
    <w:lvl w:ilvl="0">
      <w:start w:val="1"/>
      <w:numFmt w:val="decimal"/>
      <w:pStyle w:val="CabStandard"/>
      <w:lvlText w:val="%1."/>
      <w:lvlJc w:val="left"/>
      <w:pPr>
        <w:tabs>
          <w:tab w:val="num" w:pos="720"/>
        </w:tabs>
        <w:ind w:left="720" w:hanging="720"/>
      </w:pPr>
      <w:rPr>
        <w:rFonts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5" w15:restartNumberingAfterBreak="0">
    <w:nsid w:val="341D0900"/>
    <w:multiLevelType w:val="hybridMultilevel"/>
    <w:tmpl w:val="FFEC8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1E5445"/>
    <w:multiLevelType w:val="multilevel"/>
    <w:tmpl w:val="82D238E8"/>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17" w15:restartNumberingAfterBreak="0">
    <w:nsid w:val="4C2B5347"/>
    <w:multiLevelType w:val="hybridMultilevel"/>
    <w:tmpl w:val="8B002072"/>
    <w:lvl w:ilvl="0" w:tplc="720CA4D2">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D52D75"/>
    <w:multiLevelType w:val="hybridMultilevel"/>
    <w:tmpl w:val="360E2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EE5BE6"/>
    <w:multiLevelType w:val="hybridMultilevel"/>
    <w:tmpl w:val="E9249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056E7A"/>
    <w:multiLevelType w:val="hybridMultilevel"/>
    <w:tmpl w:val="FCA29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0F3791"/>
    <w:multiLevelType w:val="hybridMultilevel"/>
    <w:tmpl w:val="AA2A9240"/>
    <w:lvl w:ilvl="0" w:tplc="142A1148">
      <w:start w:val="1"/>
      <w:numFmt w:val="bullet"/>
      <w:lvlText w:val=""/>
      <w:lvlJc w:val="left"/>
      <w:pPr>
        <w:ind w:left="787" w:hanging="360"/>
      </w:pPr>
      <w:rPr>
        <w:rFonts w:ascii="Symbol" w:hAnsi="Symbol" w:hint="default"/>
        <w:sz w:val="22"/>
        <w:szCs w:val="22"/>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2"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23" w15:restartNumberingAfterBreak="0">
    <w:nsid w:val="557358D9"/>
    <w:multiLevelType w:val="hybridMultilevel"/>
    <w:tmpl w:val="AEC8A2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6F0A36"/>
    <w:multiLevelType w:val="hybridMultilevel"/>
    <w:tmpl w:val="99968C8A"/>
    <w:lvl w:ilvl="0" w:tplc="1C203D86">
      <w:numFmt w:val="bullet"/>
      <w:lvlText w:val="-"/>
      <w:lvlJc w:val="left"/>
      <w:pPr>
        <w:ind w:left="700" w:hanging="360"/>
      </w:pPr>
      <w:rPr>
        <w:rFonts w:ascii="Arial" w:eastAsia="Times New Roman" w:hAnsi="Arial" w:cs="Arial" w:hint="default"/>
        <w:i/>
        <w:sz w:val="22"/>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5" w15:restartNumberingAfterBreak="0">
    <w:nsid w:val="60E92654"/>
    <w:multiLevelType w:val="multilevel"/>
    <w:tmpl w:val="2042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A063C9"/>
    <w:multiLevelType w:val="hybridMultilevel"/>
    <w:tmpl w:val="B9F0B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9D1B44"/>
    <w:multiLevelType w:val="hybridMultilevel"/>
    <w:tmpl w:val="82D238E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8" w15:restartNumberingAfterBreak="0">
    <w:nsid w:val="6DE07951"/>
    <w:multiLevelType w:val="hybridMultilevel"/>
    <w:tmpl w:val="C4AEDA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F0C71F5"/>
    <w:multiLevelType w:val="hybridMultilevel"/>
    <w:tmpl w:val="25B643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1B538E"/>
    <w:multiLevelType w:val="hybridMultilevel"/>
    <w:tmpl w:val="4C04993C"/>
    <w:lvl w:ilvl="0" w:tplc="0C090017">
      <w:start w:val="1"/>
      <w:numFmt w:val="lowerLetter"/>
      <w:lvlText w:val="%1)"/>
      <w:lvlJc w:val="left"/>
      <w:pPr>
        <w:ind w:left="785" w:hanging="360"/>
      </w:pPr>
      <w:rPr>
        <w:rFonts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1" w15:restartNumberingAfterBreak="0">
    <w:nsid w:val="7AEA4058"/>
    <w:multiLevelType w:val="multilevel"/>
    <w:tmpl w:val="66BA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4009C9"/>
    <w:multiLevelType w:val="hybridMultilevel"/>
    <w:tmpl w:val="C25A864E"/>
    <w:lvl w:ilvl="0" w:tplc="1AA6B2D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21"/>
  </w:num>
  <w:num w:numId="2">
    <w:abstractNumId w:val="33"/>
  </w:num>
  <w:num w:numId="3">
    <w:abstractNumId w:val="4"/>
  </w:num>
  <w:num w:numId="4">
    <w:abstractNumId w:val="33"/>
  </w:num>
  <w:num w:numId="5">
    <w:abstractNumId w:val="33"/>
  </w:num>
  <w:num w:numId="6">
    <w:abstractNumId w:val="33"/>
  </w:num>
  <w:num w:numId="7">
    <w:abstractNumId w:val="33"/>
  </w:num>
  <w:num w:numId="8">
    <w:abstractNumId w:val="33"/>
  </w:num>
  <w:num w:numId="9">
    <w:abstractNumId w:val="33"/>
  </w:num>
  <w:num w:numId="10">
    <w:abstractNumId w:val="33"/>
  </w:num>
  <w:num w:numId="11">
    <w:abstractNumId w:val="33"/>
  </w:num>
  <w:num w:numId="12">
    <w:abstractNumId w:val="33"/>
  </w:num>
  <w:num w:numId="13">
    <w:abstractNumId w:val="33"/>
  </w:num>
  <w:num w:numId="14">
    <w:abstractNumId w:val="33"/>
  </w:num>
  <w:num w:numId="15">
    <w:abstractNumId w:val="17"/>
  </w:num>
  <w:num w:numId="16">
    <w:abstractNumId w:val="15"/>
  </w:num>
  <w:num w:numId="17">
    <w:abstractNumId w:val="33"/>
  </w:num>
  <w:num w:numId="18">
    <w:abstractNumId w:val="33"/>
  </w:num>
  <w:num w:numId="19">
    <w:abstractNumId w:val="18"/>
  </w:num>
  <w:num w:numId="20">
    <w:abstractNumId w:val="8"/>
  </w:num>
  <w:num w:numId="21">
    <w:abstractNumId w:val="0"/>
  </w:num>
  <w:num w:numId="22">
    <w:abstractNumId w:val="24"/>
  </w:num>
  <w:num w:numId="23">
    <w:abstractNumId w:val="12"/>
  </w:num>
  <w:num w:numId="24">
    <w:abstractNumId w:val="0"/>
  </w:num>
  <w:num w:numId="25">
    <w:abstractNumId w:val="7"/>
  </w:num>
  <w:num w:numId="26">
    <w:abstractNumId w:val="19"/>
  </w:num>
  <w:num w:numId="27">
    <w:abstractNumId w:val="23"/>
  </w:num>
  <w:num w:numId="28">
    <w:abstractNumId w:val="28"/>
  </w:num>
  <w:num w:numId="29">
    <w:abstractNumId w:val="29"/>
  </w:num>
  <w:num w:numId="30">
    <w:abstractNumId w:val="25"/>
  </w:num>
  <w:num w:numId="31">
    <w:abstractNumId w:val="31"/>
  </w:num>
  <w:num w:numId="32">
    <w:abstractNumId w:val="27"/>
  </w:num>
  <w:num w:numId="33">
    <w:abstractNumId w:val="16"/>
  </w:num>
  <w:num w:numId="34">
    <w:abstractNumId w:val="30"/>
  </w:num>
  <w:num w:numId="35">
    <w:abstractNumId w:val="10"/>
  </w:num>
  <w:num w:numId="36">
    <w:abstractNumId w:val="11"/>
  </w:num>
  <w:num w:numId="37">
    <w:abstractNumId w:val="13"/>
  </w:num>
  <w:num w:numId="38">
    <w:abstractNumId w:val="1"/>
  </w:num>
  <w:num w:numId="39">
    <w:abstractNumId w:val="32"/>
  </w:num>
  <w:num w:numId="40">
    <w:abstractNumId w:val="5"/>
  </w:num>
  <w:num w:numId="41">
    <w:abstractNumId w:val="20"/>
  </w:num>
  <w:num w:numId="42">
    <w:abstractNumId w:val="3"/>
  </w:num>
  <w:num w:numId="43">
    <w:abstractNumId w:val="22"/>
  </w:num>
  <w:num w:numId="44">
    <w:abstractNumId w:val="9"/>
  </w:num>
  <w:num w:numId="45">
    <w:abstractNumId w:val="2"/>
  </w:num>
  <w:num w:numId="46">
    <w:abstractNumId w:val="14"/>
  </w:num>
  <w:num w:numId="47">
    <w:abstractNumId w:val="26"/>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42D"/>
    <w:rsid w:val="00002895"/>
    <w:rsid w:val="00011F16"/>
    <w:rsid w:val="000128D5"/>
    <w:rsid w:val="00012DEF"/>
    <w:rsid w:val="000134A2"/>
    <w:rsid w:val="00016336"/>
    <w:rsid w:val="000202EC"/>
    <w:rsid w:val="00021841"/>
    <w:rsid w:val="000225AA"/>
    <w:rsid w:val="0002472C"/>
    <w:rsid w:val="00027508"/>
    <w:rsid w:val="00033D12"/>
    <w:rsid w:val="000355F3"/>
    <w:rsid w:val="00040726"/>
    <w:rsid w:val="000466F5"/>
    <w:rsid w:val="0004752E"/>
    <w:rsid w:val="00047C3C"/>
    <w:rsid w:val="00047CDF"/>
    <w:rsid w:val="000509EE"/>
    <w:rsid w:val="00052E2F"/>
    <w:rsid w:val="000551B4"/>
    <w:rsid w:val="00055225"/>
    <w:rsid w:val="00056FAF"/>
    <w:rsid w:val="000574A1"/>
    <w:rsid w:val="00057948"/>
    <w:rsid w:val="00060CE8"/>
    <w:rsid w:val="00060D11"/>
    <w:rsid w:val="00061C3D"/>
    <w:rsid w:val="00062CCE"/>
    <w:rsid w:val="00065878"/>
    <w:rsid w:val="00066CCD"/>
    <w:rsid w:val="00066DA0"/>
    <w:rsid w:val="0006779C"/>
    <w:rsid w:val="00072DB4"/>
    <w:rsid w:val="00073B22"/>
    <w:rsid w:val="00076189"/>
    <w:rsid w:val="000765C5"/>
    <w:rsid w:val="00077289"/>
    <w:rsid w:val="0008153D"/>
    <w:rsid w:val="00082BBC"/>
    <w:rsid w:val="000833DE"/>
    <w:rsid w:val="000841CD"/>
    <w:rsid w:val="00086409"/>
    <w:rsid w:val="0008782A"/>
    <w:rsid w:val="000916C9"/>
    <w:rsid w:val="00091F24"/>
    <w:rsid w:val="00092137"/>
    <w:rsid w:val="00092E89"/>
    <w:rsid w:val="000931A8"/>
    <w:rsid w:val="00093703"/>
    <w:rsid w:val="00093D14"/>
    <w:rsid w:val="000A4E72"/>
    <w:rsid w:val="000A5569"/>
    <w:rsid w:val="000A5A11"/>
    <w:rsid w:val="000A7EBE"/>
    <w:rsid w:val="000B011C"/>
    <w:rsid w:val="000B1096"/>
    <w:rsid w:val="000B4757"/>
    <w:rsid w:val="000B7437"/>
    <w:rsid w:val="000C24E4"/>
    <w:rsid w:val="000C27D6"/>
    <w:rsid w:val="000C449A"/>
    <w:rsid w:val="000C53BC"/>
    <w:rsid w:val="000C566D"/>
    <w:rsid w:val="000C57B8"/>
    <w:rsid w:val="000C5D70"/>
    <w:rsid w:val="000C7034"/>
    <w:rsid w:val="000D0176"/>
    <w:rsid w:val="000D180F"/>
    <w:rsid w:val="000D294D"/>
    <w:rsid w:val="000D354D"/>
    <w:rsid w:val="000E34C5"/>
    <w:rsid w:val="000E394F"/>
    <w:rsid w:val="000F2650"/>
    <w:rsid w:val="000F53E0"/>
    <w:rsid w:val="000F6E14"/>
    <w:rsid w:val="00101984"/>
    <w:rsid w:val="0010304C"/>
    <w:rsid w:val="00106642"/>
    <w:rsid w:val="001068A6"/>
    <w:rsid w:val="001076C3"/>
    <w:rsid w:val="00112443"/>
    <w:rsid w:val="00117B86"/>
    <w:rsid w:val="001240B2"/>
    <w:rsid w:val="00125801"/>
    <w:rsid w:val="0013698F"/>
    <w:rsid w:val="00137C33"/>
    <w:rsid w:val="00140AE7"/>
    <w:rsid w:val="001477EC"/>
    <w:rsid w:val="00147D47"/>
    <w:rsid w:val="00147EA3"/>
    <w:rsid w:val="00151DFA"/>
    <w:rsid w:val="001544AE"/>
    <w:rsid w:val="001553D8"/>
    <w:rsid w:val="00155B85"/>
    <w:rsid w:val="001616CD"/>
    <w:rsid w:val="00161B4C"/>
    <w:rsid w:val="00162AD5"/>
    <w:rsid w:val="00163419"/>
    <w:rsid w:val="00163877"/>
    <w:rsid w:val="00163FB6"/>
    <w:rsid w:val="00164227"/>
    <w:rsid w:val="00167A04"/>
    <w:rsid w:val="00167C9C"/>
    <w:rsid w:val="0017348C"/>
    <w:rsid w:val="00174361"/>
    <w:rsid w:val="00174B98"/>
    <w:rsid w:val="0018055D"/>
    <w:rsid w:val="001824BD"/>
    <w:rsid w:val="00190C21"/>
    <w:rsid w:val="00192E3F"/>
    <w:rsid w:val="0019307C"/>
    <w:rsid w:val="00196DB4"/>
    <w:rsid w:val="001A1C49"/>
    <w:rsid w:val="001A4A82"/>
    <w:rsid w:val="001A6AAE"/>
    <w:rsid w:val="001A7643"/>
    <w:rsid w:val="001B3DC0"/>
    <w:rsid w:val="001B5515"/>
    <w:rsid w:val="001B61A5"/>
    <w:rsid w:val="001C2365"/>
    <w:rsid w:val="001C2CD9"/>
    <w:rsid w:val="001C3A36"/>
    <w:rsid w:val="001C4411"/>
    <w:rsid w:val="001C4A1F"/>
    <w:rsid w:val="001C5D71"/>
    <w:rsid w:val="001D052D"/>
    <w:rsid w:val="001D11DA"/>
    <w:rsid w:val="001D30BC"/>
    <w:rsid w:val="001D479B"/>
    <w:rsid w:val="001D4BE1"/>
    <w:rsid w:val="001E197A"/>
    <w:rsid w:val="001E38C6"/>
    <w:rsid w:val="001E4857"/>
    <w:rsid w:val="001E4942"/>
    <w:rsid w:val="001E613E"/>
    <w:rsid w:val="001E6B08"/>
    <w:rsid w:val="001F1835"/>
    <w:rsid w:val="001F1CDE"/>
    <w:rsid w:val="001F2BB7"/>
    <w:rsid w:val="002025BA"/>
    <w:rsid w:val="00202F82"/>
    <w:rsid w:val="002045C2"/>
    <w:rsid w:val="00212C48"/>
    <w:rsid w:val="00214879"/>
    <w:rsid w:val="00215FC2"/>
    <w:rsid w:val="00220B84"/>
    <w:rsid w:val="00224270"/>
    <w:rsid w:val="002252AA"/>
    <w:rsid w:val="00225AC7"/>
    <w:rsid w:val="0023160D"/>
    <w:rsid w:val="00231FE4"/>
    <w:rsid w:val="00232B08"/>
    <w:rsid w:val="00233178"/>
    <w:rsid w:val="00234A59"/>
    <w:rsid w:val="00235FC1"/>
    <w:rsid w:val="002421A7"/>
    <w:rsid w:val="00242EB7"/>
    <w:rsid w:val="0024380E"/>
    <w:rsid w:val="0024495B"/>
    <w:rsid w:val="0024498F"/>
    <w:rsid w:val="00245D12"/>
    <w:rsid w:val="002518C6"/>
    <w:rsid w:val="00252A24"/>
    <w:rsid w:val="00252E8A"/>
    <w:rsid w:val="0025483E"/>
    <w:rsid w:val="00254933"/>
    <w:rsid w:val="00255ACA"/>
    <w:rsid w:val="002653C7"/>
    <w:rsid w:val="00265FB0"/>
    <w:rsid w:val="00266C95"/>
    <w:rsid w:val="00266CC0"/>
    <w:rsid w:val="00267277"/>
    <w:rsid w:val="00270B32"/>
    <w:rsid w:val="00271605"/>
    <w:rsid w:val="00273055"/>
    <w:rsid w:val="00275BCD"/>
    <w:rsid w:val="00276992"/>
    <w:rsid w:val="00282325"/>
    <w:rsid w:val="00283371"/>
    <w:rsid w:val="002848F4"/>
    <w:rsid w:val="00292219"/>
    <w:rsid w:val="00292322"/>
    <w:rsid w:val="0029272A"/>
    <w:rsid w:val="00293FA3"/>
    <w:rsid w:val="00294915"/>
    <w:rsid w:val="002977CC"/>
    <w:rsid w:val="00297A32"/>
    <w:rsid w:val="002A36E0"/>
    <w:rsid w:val="002A3739"/>
    <w:rsid w:val="002A75C9"/>
    <w:rsid w:val="002A7614"/>
    <w:rsid w:val="002A7E34"/>
    <w:rsid w:val="002B106F"/>
    <w:rsid w:val="002B3DEA"/>
    <w:rsid w:val="002B4A70"/>
    <w:rsid w:val="002B5134"/>
    <w:rsid w:val="002C034D"/>
    <w:rsid w:val="002C4018"/>
    <w:rsid w:val="002C5C0F"/>
    <w:rsid w:val="002C6510"/>
    <w:rsid w:val="002D2979"/>
    <w:rsid w:val="002D623A"/>
    <w:rsid w:val="002E24FB"/>
    <w:rsid w:val="002E3B86"/>
    <w:rsid w:val="002E45D4"/>
    <w:rsid w:val="002E487B"/>
    <w:rsid w:val="002F4514"/>
    <w:rsid w:val="002F4DE4"/>
    <w:rsid w:val="002F76FE"/>
    <w:rsid w:val="003006A8"/>
    <w:rsid w:val="0030672B"/>
    <w:rsid w:val="00307958"/>
    <w:rsid w:val="0030797C"/>
    <w:rsid w:val="003159C2"/>
    <w:rsid w:val="00321078"/>
    <w:rsid w:val="0032513D"/>
    <w:rsid w:val="003279C1"/>
    <w:rsid w:val="00330ACC"/>
    <w:rsid w:val="00330C9F"/>
    <w:rsid w:val="00332BED"/>
    <w:rsid w:val="00335ECD"/>
    <w:rsid w:val="00335F2F"/>
    <w:rsid w:val="003435D9"/>
    <w:rsid w:val="00343A33"/>
    <w:rsid w:val="003461AA"/>
    <w:rsid w:val="003469DB"/>
    <w:rsid w:val="00351DA8"/>
    <w:rsid w:val="00353023"/>
    <w:rsid w:val="0035460B"/>
    <w:rsid w:val="0035654D"/>
    <w:rsid w:val="003574BC"/>
    <w:rsid w:val="00361134"/>
    <w:rsid w:val="003709AF"/>
    <w:rsid w:val="003712AC"/>
    <w:rsid w:val="00371B61"/>
    <w:rsid w:val="00372FD7"/>
    <w:rsid w:val="003735EA"/>
    <w:rsid w:val="00373D88"/>
    <w:rsid w:val="00376516"/>
    <w:rsid w:val="00377DE6"/>
    <w:rsid w:val="00380DCC"/>
    <w:rsid w:val="00382A34"/>
    <w:rsid w:val="003863A1"/>
    <w:rsid w:val="00386C73"/>
    <w:rsid w:val="00387466"/>
    <w:rsid w:val="00387F93"/>
    <w:rsid w:val="00390303"/>
    <w:rsid w:val="00390B25"/>
    <w:rsid w:val="00392B9D"/>
    <w:rsid w:val="0039380A"/>
    <w:rsid w:val="003949D9"/>
    <w:rsid w:val="00395424"/>
    <w:rsid w:val="003974FF"/>
    <w:rsid w:val="00397DD4"/>
    <w:rsid w:val="003A68B5"/>
    <w:rsid w:val="003A7C6B"/>
    <w:rsid w:val="003B30F3"/>
    <w:rsid w:val="003B420F"/>
    <w:rsid w:val="003B5D03"/>
    <w:rsid w:val="003C0717"/>
    <w:rsid w:val="003C0CA7"/>
    <w:rsid w:val="003C20EA"/>
    <w:rsid w:val="003C653D"/>
    <w:rsid w:val="003C6AF0"/>
    <w:rsid w:val="003C73FC"/>
    <w:rsid w:val="003D0299"/>
    <w:rsid w:val="003D0B66"/>
    <w:rsid w:val="003D4E33"/>
    <w:rsid w:val="003D51A2"/>
    <w:rsid w:val="003E3B54"/>
    <w:rsid w:val="003F3C9B"/>
    <w:rsid w:val="003F4CB3"/>
    <w:rsid w:val="003F6008"/>
    <w:rsid w:val="003F72E9"/>
    <w:rsid w:val="003F7778"/>
    <w:rsid w:val="003F7860"/>
    <w:rsid w:val="00400FF6"/>
    <w:rsid w:val="0040137B"/>
    <w:rsid w:val="00401C0A"/>
    <w:rsid w:val="00405590"/>
    <w:rsid w:val="004144D6"/>
    <w:rsid w:val="0041502F"/>
    <w:rsid w:val="004178A4"/>
    <w:rsid w:val="00417A25"/>
    <w:rsid w:val="0042056C"/>
    <w:rsid w:val="00423D46"/>
    <w:rsid w:val="004242E8"/>
    <w:rsid w:val="004265B2"/>
    <w:rsid w:val="00427602"/>
    <w:rsid w:val="00427661"/>
    <w:rsid w:val="00432C53"/>
    <w:rsid w:val="00432CF0"/>
    <w:rsid w:val="00432F4D"/>
    <w:rsid w:val="004360CF"/>
    <w:rsid w:val="004413C7"/>
    <w:rsid w:val="004455D7"/>
    <w:rsid w:val="00446C23"/>
    <w:rsid w:val="00447D0D"/>
    <w:rsid w:val="004549C4"/>
    <w:rsid w:val="004556AA"/>
    <w:rsid w:val="00461040"/>
    <w:rsid w:val="004631FD"/>
    <w:rsid w:val="00470544"/>
    <w:rsid w:val="00472807"/>
    <w:rsid w:val="00473B14"/>
    <w:rsid w:val="00475911"/>
    <w:rsid w:val="00475DB1"/>
    <w:rsid w:val="00477397"/>
    <w:rsid w:val="004816D8"/>
    <w:rsid w:val="004843E3"/>
    <w:rsid w:val="0048605D"/>
    <w:rsid w:val="00486B45"/>
    <w:rsid w:val="00490130"/>
    <w:rsid w:val="00493B5F"/>
    <w:rsid w:val="004964D5"/>
    <w:rsid w:val="004A1846"/>
    <w:rsid w:val="004A574E"/>
    <w:rsid w:val="004A646F"/>
    <w:rsid w:val="004A7D9B"/>
    <w:rsid w:val="004B049F"/>
    <w:rsid w:val="004B0BDB"/>
    <w:rsid w:val="004B246D"/>
    <w:rsid w:val="004B662F"/>
    <w:rsid w:val="004B7852"/>
    <w:rsid w:val="004C021E"/>
    <w:rsid w:val="004C3A27"/>
    <w:rsid w:val="004C5CC8"/>
    <w:rsid w:val="004C5E67"/>
    <w:rsid w:val="004D12F7"/>
    <w:rsid w:val="004D1A16"/>
    <w:rsid w:val="004D26F2"/>
    <w:rsid w:val="004D52E5"/>
    <w:rsid w:val="004D5DE5"/>
    <w:rsid w:val="004D6CB3"/>
    <w:rsid w:val="004E16EA"/>
    <w:rsid w:val="004E2A2D"/>
    <w:rsid w:val="004E2BA3"/>
    <w:rsid w:val="004E6144"/>
    <w:rsid w:val="004E6CEB"/>
    <w:rsid w:val="004E7AB0"/>
    <w:rsid w:val="004F04A1"/>
    <w:rsid w:val="004F1469"/>
    <w:rsid w:val="004F24D5"/>
    <w:rsid w:val="004F3551"/>
    <w:rsid w:val="004F42A1"/>
    <w:rsid w:val="004F5A8D"/>
    <w:rsid w:val="004F662D"/>
    <w:rsid w:val="0050107C"/>
    <w:rsid w:val="00501BC3"/>
    <w:rsid w:val="00505AC1"/>
    <w:rsid w:val="00506E26"/>
    <w:rsid w:val="005134B0"/>
    <w:rsid w:val="005142A2"/>
    <w:rsid w:val="00514940"/>
    <w:rsid w:val="00515784"/>
    <w:rsid w:val="00516367"/>
    <w:rsid w:val="00516968"/>
    <w:rsid w:val="00517C6B"/>
    <w:rsid w:val="00520B52"/>
    <w:rsid w:val="00521A5B"/>
    <w:rsid w:val="00526605"/>
    <w:rsid w:val="00536112"/>
    <w:rsid w:val="005439F3"/>
    <w:rsid w:val="00543F50"/>
    <w:rsid w:val="005443B7"/>
    <w:rsid w:val="0054521D"/>
    <w:rsid w:val="005502CE"/>
    <w:rsid w:val="00551680"/>
    <w:rsid w:val="00551953"/>
    <w:rsid w:val="00553835"/>
    <w:rsid w:val="00556151"/>
    <w:rsid w:val="005570B6"/>
    <w:rsid w:val="00561487"/>
    <w:rsid w:val="005619B5"/>
    <w:rsid w:val="00563735"/>
    <w:rsid w:val="00564DD1"/>
    <w:rsid w:val="0056570C"/>
    <w:rsid w:val="00566F7D"/>
    <w:rsid w:val="00567050"/>
    <w:rsid w:val="00570C5A"/>
    <w:rsid w:val="00571D78"/>
    <w:rsid w:val="005720A8"/>
    <w:rsid w:val="00572755"/>
    <w:rsid w:val="00575F75"/>
    <w:rsid w:val="00577146"/>
    <w:rsid w:val="005779F2"/>
    <w:rsid w:val="00577A24"/>
    <w:rsid w:val="0058085A"/>
    <w:rsid w:val="00580F41"/>
    <w:rsid w:val="0058121F"/>
    <w:rsid w:val="005834F2"/>
    <w:rsid w:val="0059238E"/>
    <w:rsid w:val="00596D21"/>
    <w:rsid w:val="005B1906"/>
    <w:rsid w:val="005B2C25"/>
    <w:rsid w:val="005B4871"/>
    <w:rsid w:val="005B61E7"/>
    <w:rsid w:val="005B7860"/>
    <w:rsid w:val="005C135B"/>
    <w:rsid w:val="005C1A3D"/>
    <w:rsid w:val="005C239F"/>
    <w:rsid w:val="005C2CCF"/>
    <w:rsid w:val="005C422B"/>
    <w:rsid w:val="005C5E4C"/>
    <w:rsid w:val="005C7C91"/>
    <w:rsid w:val="005D0078"/>
    <w:rsid w:val="005D0CB0"/>
    <w:rsid w:val="005D3199"/>
    <w:rsid w:val="005D3545"/>
    <w:rsid w:val="005D6674"/>
    <w:rsid w:val="005D78FD"/>
    <w:rsid w:val="005D7FD0"/>
    <w:rsid w:val="005E0261"/>
    <w:rsid w:val="005E1437"/>
    <w:rsid w:val="005E2123"/>
    <w:rsid w:val="005F0DC9"/>
    <w:rsid w:val="005F6BD8"/>
    <w:rsid w:val="005F78ED"/>
    <w:rsid w:val="006012A2"/>
    <w:rsid w:val="00602648"/>
    <w:rsid w:val="00610447"/>
    <w:rsid w:val="006130DA"/>
    <w:rsid w:val="00617695"/>
    <w:rsid w:val="006219AE"/>
    <w:rsid w:val="00622126"/>
    <w:rsid w:val="006236C9"/>
    <w:rsid w:val="0062396D"/>
    <w:rsid w:val="00624C2F"/>
    <w:rsid w:val="00625397"/>
    <w:rsid w:val="00630B71"/>
    <w:rsid w:val="0063161A"/>
    <w:rsid w:val="00632BDA"/>
    <w:rsid w:val="00633D73"/>
    <w:rsid w:val="0063591B"/>
    <w:rsid w:val="00635CD9"/>
    <w:rsid w:val="00637857"/>
    <w:rsid w:val="00637959"/>
    <w:rsid w:val="006426AE"/>
    <w:rsid w:val="00645215"/>
    <w:rsid w:val="00645327"/>
    <w:rsid w:val="006468E9"/>
    <w:rsid w:val="00650049"/>
    <w:rsid w:val="00651F39"/>
    <w:rsid w:val="00652DA1"/>
    <w:rsid w:val="006533D4"/>
    <w:rsid w:val="00655976"/>
    <w:rsid w:val="00657702"/>
    <w:rsid w:val="006600F5"/>
    <w:rsid w:val="00661185"/>
    <w:rsid w:val="00663656"/>
    <w:rsid w:val="00672C91"/>
    <w:rsid w:val="0067554B"/>
    <w:rsid w:val="00681B34"/>
    <w:rsid w:val="006820B8"/>
    <w:rsid w:val="00684454"/>
    <w:rsid w:val="0069242D"/>
    <w:rsid w:val="00696EEC"/>
    <w:rsid w:val="006A1F33"/>
    <w:rsid w:val="006A5D22"/>
    <w:rsid w:val="006B4CA1"/>
    <w:rsid w:val="006C0766"/>
    <w:rsid w:val="006C2893"/>
    <w:rsid w:val="006C4556"/>
    <w:rsid w:val="006C5322"/>
    <w:rsid w:val="006C54C9"/>
    <w:rsid w:val="006C724C"/>
    <w:rsid w:val="006C7B19"/>
    <w:rsid w:val="006D0D28"/>
    <w:rsid w:val="006D0D8E"/>
    <w:rsid w:val="006D0ED8"/>
    <w:rsid w:val="006D154B"/>
    <w:rsid w:val="006D2C87"/>
    <w:rsid w:val="006D4519"/>
    <w:rsid w:val="006D522D"/>
    <w:rsid w:val="006D6BBC"/>
    <w:rsid w:val="006E0264"/>
    <w:rsid w:val="006E04E3"/>
    <w:rsid w:val="006E4786"/>
    <w:rsid w:val="006E5F18"/>
    <w:rsid w:val="006F0A6F"/>
    <w:rsid w:val="006F11A4"/>
    <w:rsid w:val="006F42D1"/>
    <w:rsid w:val="006F4C76"/>
    <w:rsid w:val="006F7FFD"/>
    <w:rsid w:val="00700CED"/>
    <w:rsid w:val="0070143D"/>
    <w:rsid w:val="00704208"/>
    <w:rsid w:val="0070601F"/>
    <w:rsid w:val="007060EF"/>
    <w:rsid w:val="00707D6E"/>
    <w:rsid w:val="007105E2"/>
    <w:rsid w:val="007111A1"/>
    <w:rsid w:val="00712C12"/>
    <w:rsid w:val="007161A3"/>
    <w:rsid w:val="0071623E"/>
    <w:rsid w:val="007170A0"/>
    <w:rsid w:val="007177FE"/>
    <w:rsid w:val="00720DF9"/>
    <w:rsid w:val="00722488"/>
    <w:rsid w:val="00722ED9"/>
    <w:rsid w:val="007245F5"/>
    <w:rsid w:val="007262CE"/>
    <w:rsid w:val="00727B59"/>
    <w:rsid w:val="00730D3A"/>
    <w:rsid w:val="00732773"/>
    <w:rsid w:val="00735380"/>
    <w:rsid w:val="007353F1"/>
    <w:rsid w:val="0073642C"/>
    <w:rsid w:val="00741316"/>
    <w:rsid w:val="007421BC"/>
    <w:rsid w:val="00742818"/>
    <w:rsid w:val="00757883"/>
    <w:rsid w:val="00757AFF"/>
    <w:rsid w:val="00760374"/>
    <w:rsid w:val="00761715"/>
    <w:rsid w:val="00762E71"/>
    <w:rsid w:val="00764ADC"/>
    <w:rsid w:val="00765920"/>
    <w:rsid w:val="0077101D"/>
    <w:rsid w:val="00772FE6"/>
    <w:rsid w:val="00773B24"/>
    <w:rsid w:val="00774CF5"/>
    <w:rsid w:val="00775563"/>
    <w:rsid w:val="00776B26"/>
    <w:rsid w:val="00777308"/>
    <w:rsid w:val="00781C42"/>
    <w:rsid w:val="00782925"/>
    <w:rsid w:val="007856BB"/>
    <w:rsid w:val="00794EA0"/>
    <w:rsid w:val="00795EA7"/>
    <w:rsid w:val="007A0831"/>
    <w:rsid w:val="007A2942"/>
    <w:rsid w:val="007A4898"/>
    <w:rsid w:val="007A702E"/>
    <w:rsid w:val="007A7A94"/>
    <w:rsid w:val="007B001B"/>
    <w:rsid w:val="007B1A1C"/>
    <w:rsid w:val="007B354B"/>
    <w:rsid w:val="007B4750"/>
    <w:rsid w:val="007C0BF7"/>
    <w:rsid w:val="007C6C56"/>
    <w:rsid w:val="007D056C"/>
    <w:rsid w:val="007D322A"/>
    <w:rsid w:val="007D3E28"/>
    <w:rsid w:val="007D506A"/>
    <w:rsid w:val="007D5BBA"/>
    <w:rsid w:val="007D7095"/>
    <w:rsid w:val="007E5956"/>
    <w:rsid w:val="007F1313"/>
    <w:rsid w:val="007F47DD"/>
    <w:rsid w:val="007F6C33"/>
    <w:rsid w:val="008005D9"/>
    <w:rsid w:val="0080313B"/>
    <w:rsid w:val="00804C4A"/>
    <w:rsid w:val="00806083"/>
    <w:rsid w:val="00806BAD"/>
    <w:rsid w:val="00806D37"/>
    <w:rsid w:val="00815345"/>
    <w:rsid w:val="0082670E"/>
    <w:rsid w:val="00827430"/>
    <w:rsid w:val="00831E0C"/>
    <w:rsid w:val="00832505"/>
    <w:rsid w:val="00836E58"/>
    <w:rsid w:val="0084035E"/>
    <w:rsid w:val="008403D4"/>
    <w:rsid w:val="00844346"/>
    <w:rsid w:val="00854C89"/>
    <w:rsid w:val="00856445"/>
    <w:rsid w:val="0086392C"/>
    <w:rsid w:val="00863C9E"/>
    <w:rsid w:val="0086547A"/>
    <w:rsid w:val="008657BC"/>
    <w:rsid w:val="008666DE"/>
    <w:rsid w:val="00871F7C"/>
    <w:rsid w:val="008724BB"/>
    <w:rsid w:val="00875DBF"/>
    <w:rsid w:val="00876495"/>
    <w:rsid w:val="00876DE7"/>
    <w:rsid w:val="008811CE"/>
    <w:rsid w:val="00882AA6"/>
    <w:rsid w:val="0088369A"/>
    <w:rsid w:val="00883A3F"/>
    <w:rsid w:val="00884739"/>
    <w:rsid w:val="008849AF"/>
    <w:rsid w:val="00884C02"/>
    <w:rsid w:val="00885393"/>
    <w:rsid w:val="00885AD4"/>
    <w:rsid w:val="0089181D"/>
    <w:rsid w:val="00891CAA"/>
    <w:rsid w:val="00892238"/>
    <w:rsid w:val="00892823"/>
    <w:rsid w:val="00893B45"/>
    <w:rsid w:val="00894B10"/>
    <w:rsid w:val="00894D52"/>
    <w:rsid w:val="008A1FC4"/>
    <w:rsid w:val="008A378E"/>
    <w:rsid w:val="008B2B3C"/>
    <w:rsid w:val="008B50F6"/>
    <w:rsid w:val="008C27AB"/>
    <w:rsid w:val="008C4966"/>
    <w:rsid w:val="008C4B78"/>
    <w:rsid w:val="008C65BA"/>
    <w:rsid w:val="008C672A"/>
    <w:rsid w:val="008C7433"/>
    <w:rsid w:val="008D142D"/>
    <w:rsid w:val="008D4CFE"/>
    <w:rsid w:val="008E6CF1"/>
    <w:rsid w:val="008F5B2E"/>
    <w:rsid w:val="008F7666"/>
    <w:rsid w:val="008F7882"/>
    <w:rsid w:val="0090130B"/>
    <w:rsid w:val="00902F7D"/>
    <w:rsid w:val="00904723"/>
    <w:rsid w:val="009050B6"/>
    <w:rsid w:val="00914A1B"/>
    <w:rsid w:val="009150CB"/>
    <w:rsid w:val="009155B0"/>
    <w:rsid w:val="00917205"/>
    <w:rsid w:val="00920563"/>
    <w:rsid w:val="009221CF"/>
    <w:rsid w:val="00922F21"/>
    <w:rsid w:val="00924425"/>
    <w:rsid w:val="00924DC7"/>
    <w:rsid w:val="00926216"/>
    <w:rsid w:val="00926497"/>
    <w:rsid w:val="00926D15"/>
    <w:rsid w:val="009270B7"/>
    <w:rsid w:val="00927691"/>
    <w:rsid w:val="009319D9"/>
    <w:rsid w:val="00934ACF"/>
    <w:rsid w:val="00937D4C"/>
    <w:rsid w:val="00940E5D"/>
    <w:rsid w:val="00941C6B"/>
    <w:rsid w:val="009446A7"/>
    <w:rsid w:val="00944E73"/>
    <w:rsid w:val="00953E0C"/>
    <w:rsid w:val="009541B2"/>
    <w:rsid w:val="00957F25"/>
    <w:rsid w:val="0096135A"/>
    <w:rsid w:val="009626E2"/>
    <w:rsid w:val="00972585"/>
    <w:rsid w:val="00973A32"/>
    <w:rsid w:val="009741C4"/>
    <w:rsid w:val="00975334"/>
    <w:rsid w:val="00981FDC"/>
    <w:rsid w:val="009832A3"/>
    <w:rsid w:val="009833FB"/>
    <w:rsid w:val="00986DFF"/>
    <w:rsid w:val="009921C3"/>
    <w:rsid w:val="009A0EA5"/>
    <w:rsid w:val="009A115D"/>
    <w:rsid w:val="009A174F"/>
    <w:rsid w:val="009A185E"/>
    <w:rsid w:val="009A2271"/>
    <w:rsid w:val="009A780F"/>
    <w:rsid w:val="009B361A"/>
    <w:rsid w:val="009C0A63"/>
    <w:rsid w:val="009C13CF"/>
    <w:rsid w:val="009C1931"/>
    <w:rsid w:val="009C7B7F"/>
    <w:rsid w:val="009D02B2"/>
    <w:rsid w:val="009D17AA"/>
    <w:rsid w:val="009D432B"/>
    <w:rsid w:val="009D51F4"/>
    <w:rsid w:val="009D672B"/>
    <w:rsid w:val="009D7E04"/>
    <w:rsid w:val="009E0E85"/>
    <w:rsid w:val="009E3C37"/>
    <w:rsid w:val="009E4EF7"/>
    <w:rsid w:val="009E792B"/>
    <w:rsid w:val="009E7CB6"/>
    <w:rsid w:val="009F1ECA"/>
    <w:rsid w:val="009F4031"/>
    <w:rsid w:val="009F7E77"/>
    <w:rsid w:val="00A05B6C"/>
    <w:rsid w:val="00A0748B"/>
    <w:rsid w:val="00A0788C"/>
    <w:rsid w:val="00A15541"/>
    <w:rsid w:val="00A23645"/>
    <w:rsid w:val="00A23B5B"/>
    <w:rsid w:val="00A24A10"/>
    <w:rsid w:val="00A26DC7"/>
    <w:rsid w:val="00A27E8D"/>
    <w:rsid w:val="00A309A1"/>
    <w:rsid w:val="00A3137F"/>
    <w:rsid w:val="00A31A39"/>
    <w:rsid w:val="00A32772"/>
    <w:rsid w:val="00A3558F"/>
    <w:rsid w:val="00A3563D"/>
    <w:rsid w:val="00A37CB6"/>
    <w:rsid w:val="00A40DA9"/>
    <w:rsid w:val="00A4310B"/>
    <w:rsid w:val="00A45C78"/>
    <w:rsid w:val="00A45EF7"/>
    <w:rsid w:val="00A5031B"/>
    <w:rsid w:val="00A50DAE"/>
    <w:rsid w:val="00A5325F"/>
    <w:rsid w:val="00A6124E"/>
    <w:rsid w:val="00A61917"/>
    <w:rsid w:val="00A72B08"/>
    <w:rsid w:val="00A73886"/>
    <w:rsid w:val="00A73CAC"/>
    <w:rsid w:val="00A74CC5"/>
    <w:rsid w:val="00A75710"/>
    <w:rsid w:val="00A76A8B"/>
    <w:rsid w:val="00A80932"/>
    <w:rsid w:val="00A80DE5"/>
    <w:rsid w:val="00A825D4"/>
    <w:rsid w:val="00A83AAF"/>
    <w:rsid w:val="00A8524D"/>
    <w:rsid w:val="00A8596A"/>
    <w:rsid w:val="00A9370C"/>
    <w:rsid w:val="00A9734D"/>
    <w:rsid w:val="00AA15A9"/>
    <w:rsid w:val="00AA1A04"/>
    <w:rsid w:val="00AA3036"/>
    <w:rsid w:val="00AA48C8"/>
    <w:rsid w:val="00AB1BC0"/>
    <w:rsid w:val="00AB4427"/>
    <w:rsid w:val="00AB6B14"/>
    <w:rsid w:val="00AC4D93"/>
    <w:rsid w:val="00AD1F72"/>
    <w:rsid w:val="00AD2A20"/>
    <w:rsid w:val="00AD4DA8"/>
    <w:rsid w:val="00AD575E"/>
    <w:rsid w:val="00AD5AE7"/>
    <w:rsid w:val="00AD6769"/>
    <w:rsid w:val="00AE0C74"/>
    <w:rsid w:val="00AE2670"/>
    <w:rsid w:val="00AE269B"/>
    <w:rsid w:val="00AE2C8F"/>
    <w:rsid w:val="00AE5EE5"/>
    <w:rsid w:val="00AF031A"/>
    <w:rsid w:val="00AF3AB2"/>
    <w:rsid w:val="00AF5DA7"/>
    <w:rsid w:val="00B0024F"/>
    <w:rsid w:val="00B03CD4"/>
    <w:rsid w:val="00B04272"/>
    <w:rsid w:val="00B05C38"/>
    <w:rsid w:val="00B12CBF"/>
    <w:rsid w:val="00B2331F"/>
    <w:rsid w:val="00B24E87"/>
    <w:rsid w:val="00B25C5A"/>
    <w:rsid w:val="00B33382"/>
    <w:rsid w:val="00B3486D"/>
    <w:rsid w:val="00B3638D"/>
    <w:rsid w:val="00B419E2"/>
    <w:rsid w:val="00B41B22"/>
    <w:rsid w:val="00B433A6"/>
    <w:rsid w:val="00B47CD7"/>
    <w:rsid w:val="00B5087B"/>
    <w:rsid w:val="00B56AC5"/>
    <w:rsid w:val="00B639CC"/>
    <w:rsid w:val="00B65BE1"/>
    <w:rsid w:val="00B726AA"/>
    <w:rsid w:val="00B72881"/>
    <w:rsid w:val="00B75B80"/>
    <w:rsid w:val="00B76577"/>
    <w:rsid w:val="00B77237"/>
    <w:rsid w:val="00B77F98"/>
    <w:rsid w:val="00B77FF8"/>
    <w:rsid w:val="00B802C3"/>
    <w:rsid w:val="00B8050C"/>
    <w:rsid w:val="00B8077B"/>
    <w:rsid w:val="00B81213"/>
    <w:rsid w:val="00B84890"/>
    <w:rsid w:val="00B851C3"/>
    <w:rsid w:val="00B856C0"/>
    <w:rsid w:val="00B919A9"/>
    <w:rsid w:val="00B92DFB"/>
    <w:rsid w:val="00B97832"/>
    <w:rsid w:val="00BA289F"/>
    <w:rsid w:val="00BA3684"/>
    <w:rsid w:val="00BA48C8"/>
    <w:rsid w:val="00BB4ECB"/>
    <w:rsid w:val="00BB6585"/>
    <w:rsid w:val="00BB7D72"/>
    <w:rsid w:val="00BC05B8"/>
    <w:rsid w:val="00BC4E7E"/>
    <w:rsid w:val="00BC68A4"/>
    <w:rsid w:val="00BC79C9"/>
    <w:rsid w:val="00BD0DD6"/>
    <w:rsid w:val="00BD2ECB"/>
    <w:rsid w:val="00BD43D9"/>
    <w:rsid w:val="00BD6F90"/>
    <w:rsid w:val="00BE1BC5"/>
    <w:rsid w:val="00BE4314"/>
    <w:rsid w:val="00BE50EB"/>
    <w:rsid w:val="00BF0701"/>
    <w:rsid w:val="00BF1A3C"/>
    <w:rsid w:val="00BF2469"/>
    <w:rsid w:val="00BF4497"/>
    <w:rsid w:val="00BF479F"/>
    <w:rsid w:val="00BF4FC0"/>
    <w:rsid w:val="00BF53DE"/>
    <w:rsid w:val="00C03CC2"/>
    <w:rsid w:val="00C04D76"/>
    <w:rsid w:val="00C06FFF"/>
    <w:rsid w:val="00C1091D"/>
    <w:rsid w:val="00C10B37"/>
    <w:rsid w:val="00C11091"/>
    <w:rsid w:val="00C16016"/>
    <w:rsid w:val="00C161AF"/>
    <w:rsid w:val="00C20292"/>
    <w:rsid w:val="00C20EA2"/>
    <w:rsid w:val="00C21672"/>
    <w:rsid w:val="00C21820"/>
    <w:rsid w:val="00C2584E"/>
    <w:rsid w:val="00C277C0"/>
    <w:rsid w:val="00C302AB"/>
    <w:rsid w:val="00C32217"/>
    <w:rsid w:val="00C32DDA"/>
    <w:rsid w:val="00C36C30"/>
    <w:rsid w:val="00C37415"/>
    <w:rsid w:val="00C41077"/>
    <w:rsid w:val="00C4498E"/>
    <w:rsid w:val="00C4688B"/>
    <w:rsid w:val="00C47C80"/>
    <w:rsid w:val="00C55627"/>
    <w:rsid w:val="00C60E1D"/>
    <w:rsid w:val="00C63386"/>
    <w:rsid w:val="00C650D4"/>
    <w:rsid w:val="00C65BB4"/>
    <w:rsid w:val="00C66D69"/>
    <w:rsid w:val="00C70E44"/>
    <w:rsid w:val="00C737C8"/>
    <w:rsid w:val="00C739DC"/>
    <w:rsid w:val="00C73F56"/>
    <w:rsid w:val="00C7702C"/>
    <w:rsid w:val="00C77AE5"/>
    <w:rsid w:val="00C80BB6"/>
    <w:rsid w:val="00C819B3"/>
    <w:rsid w:val="00C81FB3"/>
    <w:rsid w:val="00C845E3"/>
    <w:rsid w:val="00C85E7F"/>
    <w:rsid w:val="00C87D4B"/>
    <w:rsid w:val="00C92865"/>
    <w:rsid w:val="00C94457"/>
    <w:rsid w:val="00CA03B2"/>
    <w:rsid w:val="00CA1D37"/>
    <w:rsid w:val="00CA523D"/>
    <w:rsid w:val="00CA758A"/>
    <w:rsid w:val="00CB1EBB"/>
    <w:rsid w:val="00CB264A"/>
    <w:rsid w:val="00CB6A81"/>
    <w:rsid w:val="00CB7968"/>
    <w:rsid w:val="00CC046E"/>
    <w:rsid w:val="00CC08D7"/>
    <w:rsid w:val="00CC19FC"/>
    <w:rsid w:val="00CC4455"/>
    <w:rsid w:val="00CC70BD"/>
    <w:rsid w:val="00CD01D0"/>
    <w:rsid w:val="00CD1372"/>
    <w:rsid w:val="00CD139E"/>
    <w:rsid w:val="00CD2627"/>
    <w:rsid w:val="00CD3214"/>
    <w:rsid w:val="00CD3AE2"/>
    <w:rsid w:val="00CD44BC"/>
    <w:rsid w:val="00CD5702"/>
    <w:rsid w:val="00CE1232"/>
    <w:rsid w:val="00CE7D31"/>
    <w:rsid w:val="00CF0894"/>
    <w:rsid w:val="00CF47A6"/>
    <w:rsid w:val="00CF6777"/>
    <w:rsid w:val="00D00683"/>
    <w:rsid w:val="00D06F7C"/>
    <w:rsid w:val="00D07E7C"/>
    <w:rsid w:val="00D10607"/>
    <w:rsid w:val="00D106F7"/>
    <w:rsid w:val="00D11CCA"/>
    <w:rsid w:val="00D13D0E"/>
    <w:rsid w:val="00D148A6"/>
    <w:rsid w:val="00D15167"/>
    <w:rsid w:val="00D17414"/>
    <w:rsid w:val="00D2215F"/>
    <w:rsid w:val="00D2487B"/>
    <w:rsid w:val="00D279ED"/>
    <w:rsid w:val="00D343DD"/>
    <w:rsid w:val="00D34586"/>
    <w:rsid w:val="00D40A94"/>
    <w:rsid w:val="00D44F9D"/>
    <w:rsid w:val="00D4642E"/>
    <w:rsid w:val="00D464FC"/>
    <w:rsid w:val="00D5686A"/>
    <w:rsid w:val="00D57466"/>
    <w:rsid w:val="00D57474"/>
    <w:rsid w:val="00D608E2"/>
    <w:rsid w:val="00D60E89"/>
    <w:rsid w:val="00D633DB"/>
    <w:rsid w:val="00D668D4"/>
    <w:rsid w:val="00D718CE"/>
    <w:rsid w:val="00D74C8B"/>
    <w:rsid w:val="00D7503C"/>
    <w:rsid w:val="00D75570"/>
    <w:rsid w:val="00D75696"/>
    <w:rsid w:val="00D80466"/>
    <w:rsid w:val="00D80E22"/>
    <w:rsid w:val="00D80FF5"/>
    <w:rsid w:val="00D8271D"/>
    <w:rsid w:val="00D869C2"/>
    <w:rsid w:val="00D86A57"/>
    <w:rsid w:val="00D87A08"/>
    <w:rsid w:val="00D928D4"/>
    <w:rsid w:val="00D962BE"/>
    <w:rsid w:val="00D964E0"/>
    <w:rsid w:val="00DA02A1"/>
    <w:rsid w:val="00DA24C3"/>
    <w:rsid w:val="00DA27BD"/>
    <w:rsid w:val="00DA64E6"/>
    <w:rsid w:val="00DB0D6A"/>
    <w:rsid w:val="00DB26E8"/>
    <w:rsid w:val="00DB76F7"/>
    <w:rsid w:val="00DB7D5C"/>
    <w:rsid w:val="00DC167D"/>
    <w:rsid w:val="00DC1B97"/>
    <w:rsid w:val="00DC239B"/>
    <w:rsid w:val="00DC2BAB"/>
    <w:rsid w:val="00DC339C"/>
    <w:rsid w:val="00DC4339"/>
    <w:rsid w:val="00DC6CAC"/>
    <w:rsid w:val="00DD23A6"/>
    <w:rsid w:val="00DD2A88"/>
    <w:rsid w:val="00DD3A5F"/>
    <w:rsid w:val="00DD42A9"/>
    <w:rsid w:val="00DD4630"/>
    <w:rsid w:val="00DD52A1"/>
    <w:rsid w:val="00DE01DF"/>
    <w:rsid w:val="00DE6173"/>
    <w:rsid w:val="00DF62F1"/>
    <w:rsid w:val="00DF698C"/>
    <w:rsid w:val="00DF723C"/>
    <w:rsid w:val="00E0036B"/>
    <w:rsid w:val="00E017EF"/>
    <w:rsid w:val="00E024F4"/>
    <w:rsid w:val="00E07A17"/>
    <w:rsid w:val="00E10EBD"/>
    <w:rsid w:val="00E22B82"/>
    <w:rsid w:val="00E2423A"/>
    <w:rsid w:val="00E24479"/>
    <w:rsid w:val="00E260B3"/>
    <w:rsid w:val="00E26771"/>
    <w:rsid w:val="00E2762F"/>
    <w:rsid w:val="00E33B81"/>
    <w:rsid w:val="00E41143"/>
    <w:rsid w:val="00E4273C"/>
    <w:rsid w:val="00E44A17"/>
    <w:rsid w:val="00E56360"/>
    <w:rsid w:val="00E571C7"/>
    <w:rsid w:val="00E57B9E"/>
    <w:rsid w:val="00E57DC7"/>
    <w:rsid w:val="00E60371"/>
    <w:rsid w:val="00E62DEA"/>
    <w:rsid w:val="00E671F2"/>
    <w:rsid w:val="00E70DDE"/>
    <w:rsid w:val="00E726C3"/>
    <w:rsid w:val="00E801D0"/>
    <w:rsid w:val="00E802F3"/>
    <w:rsid w:val="00E809E7"/>
    <w:rsid w:val="00E81356"/>
    <w:rsid w:val="00E81EE8"/>
    <w:rsid w:val="00E826FC"/>
    <w:rsid w:val="00E85166"/>
    <w:rsid w:val="00E8631B"/>
    <w:rsid w:val="00E879D5"/>
    <w:rsid w:val="00E918B3"/>
    <w:rsid w:val="00E97457"/>
    <w:rsid w:val="00EA333B"/>
    <w:rsid w:val="00EA36FE"/>
    <w:rsid w:val="00EA4010"/>
    <w:rsid w:val="00EA4BD5"/>
    <w:rsid w:val="00EA531F"/>
    <w:rsid w:val="00EA77AC"/>
    <w:rsid w:val="00EB4270"/>
    <w:rsid w:val="00EB7ED3"/>
    <w:rsid w:val="00EC037C"/>
    <w:rsid w:val="00EC1196"/>
    <w:rsid w:val="00EC1A17"/>
    <w:rsid w:val="00EC305A"/>
    <w:rsid w:val="00EC3E43"/>
    <w:rsid w:val="00EC458D"/>
    <w:rsid w:val="00EE2CF5"/>
    <w:rsid w:val="00EF073A"/>
    <w:rsid w:val="00EF1DCC"/>
    <w:rsid w:val="00EF4CA8"/>
    <w:rsid w:val="00EF4D5C"/>
    <w:rsid w:val="00EF6E74"/>
    <w:rsid w:val="00F0135E"/>
    <w:rsid w:val="00F01A13"/>
    <w:rsid w:val="00F04AED"/>
    <w:rsid w:val="00F04CE2"/>
    <w:rsid w:val="00F11A16"/>
    <w:rsid w:val="00F1762B"/>
    <w:rsid w:val="00F17F79"/>
    <w:rsid w:val="00F21522"/>
    <w:rsid w:val="00F2543A"/>
    <w:rsid w:val="00F2637C"/>
    <w:rsid w:val="00F26B54"/>
    <w:rsid w:val="00F33158"/>
    <w:rsid w:val="00F345F9"/>
    <w:rsid w:val="00F3603C"/>
    <w:rsid w:val="00F40D4B"/>
    <w:rsid w:val="00F40F5F"/>
    <w:rsid w:val="00F41CDA"/>
    <w:rsid w:val="00F42226"/>
    <w:rsid w:val="00F43F5A"/>
    <w:rsid w:val="00F456C9"/>
    <w:rsid w:val="00F4574A"/>
    <w:rsid w:val="00F46156"/>
    <w:rsid w:val="00F46B74"/>
    <w:rsid w:val="00F46BE4"/>
    <w:rsid w:val="00F5699E"/>
    <w:rsid w:val="00F605AE"/>
    <w:rsid w:val="00F60A5D"/>
    <w:rsid w:val="00F618DD"/>
    <w:rsid w:val="00F626E0"/>
    <w:rsid w:val="00F6342A"/>
    <w:rsid w:val="00F66EA7"/>
    <w:rsid w:val="00F70862"/>
    <w:rsid w:val="00F724C4"/>
    <w:rsid w:val="00F72626"/>
    <w:rsid w:val="00F73D9E"/>
    <w:rsid w:val="00F73E0C"/>
    <w:rsid w:val="00F751F9"/>
    <w:rsid w:val="00F75671"/>
    <w:rsid w:val="00F81324"/>
    <w:rsid w:val="00F855AC"/>
    <w:rsid w:val="00F860F9"/>
    <w:rsid w:val="00F87196"/>
    <w:rsid w:val="00F90C88"/>
    <w:rsid w:val="00F92A7D"/>
    <w:rsid w:val="00F93734"/>
    <w:rsid w:val="00F93898"/>
    <w:rsid w:val="00FA04A7"/>
    <w:rsid w:val="00FA1B30"/>
    <w:rsid w:val="00FA3290"/>
    <w:rsid w:val="00FA4364"/>
    <w:rsid w:val="00FA6152"/>
    <w:rsid w:val="00FA738E"/>
    <w:rsid w:val="00FB2F55"/>
    <w:rsid w:val="00FB3E88"/>
    <w:rsid w:val="00FB5D72"/>
    <w:rsid w:val="00FB60AF"/>
    <w:rsid w:val="00FC3611"/>
    <w:rsid w:val="00FC586B"/>
    <w:rsid w:val="00FC6229"/>
    <w:rsid w:val="00FD47F8"/>
    <w:rsid w:val="00FD51B0"/>
    <w:rsid w:val="00FD6CC4"/>
    <w:rsid w:val="00FE2892"/>
    <w:rsid w:val="00FE3747"/>
    <w:rsid w:val="00FE3FE1"/>
    <w:rsid w:val="00FF2191"/>
    <w:rsid w:val="00FF4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15773A4-22A2-45D1-BE05-40B9DF67D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62F"/>
    <w:rPr>
      <w:rFonts w:ascii="Arial" w:hAnsi="Arial"/>
    </w:rPr>
  </w:style>
  <w:style w:type="paragraph" w:styleId="Heading1">
    <w:name w:val="heading 1"/>
    <w:basedOn w:val="Normal"/>
    <w:next w:val="Normal"/>
    <w:link w:val="Heading1Char"/>
    <w:uiPriority w:val="9"/>
    <w:qFormat/>
    <w:rsid w:val="008D142D"/>
    <w:pPr>
      <w:shd w:val="clear" w:color="auto" w:fill="FFFFFF"/>
      <w:spacing w:after="120" w:line="240" w:lineRule="auto"/>
      <w:ind w:right="-147"/>
      <w:outlineLvl w:val="0"/>
    </w:pPr>
    <w:rPr>
      <w:rFonts w:eastAsiaTheme="minorEastAsia" w:cs="Arial"/>
      <w:b/>
      <w:color w:val="333333"/>
      <w:sz w:val="32"/>
      <w:szCs w:val="24"/>
    </w:rPr>
  </w:style>
  <w:style w:type="paragraph" w:styleId="Heading2">
    <w:name w:val="heading 2"/>
    <w:basedOn w:val="Normal"/>
    <w:next w:val="Normal"/>
    <w:link w:val="Heading2Char"/>
    <w:uiPriority w:val="9"/>
    <w:unhideWhenUsed/>
    <w:qFormat/>
    <w:rsid w:val="008D142D"/>
    <w:pPr>
      <w:shd w:val="clear" w:color="auto" w:fill="FFFFFF"/>
      <w:spacing w:after="120" w:line="240" w:lineRule="auto"/>
      <w:ind w:right="-147"/>
      <w:outlineLvl w:val="1"/>
    </w:pPr>
    <w:rPr>
      <w:rFonts w:eastAsiaTheme="minorEastAsia" w:cs="Arial"/>
      <w:color w:val="333333"/>
      <w:sz w:val="32"/>
      <w:szCs w:val="24"/>
    </w:rPr>
  </w:style>
  <w:style w:type="paragraph" w:styleId="Heading3">
    <w:name w:val="heading 3"/>
    <w:basedOn w:val="Normal"/>
    <w:next w:val="Normal"/>
    <w:link w:val="Heading3Char"/>
    <w:uiPriority w:val="9"/>
    <w:unhideWhenUsed/>
    <w:qFormat/>
    <w:rsid w:val="004B662F"/>
    <w:pPr>
      <w:keepNext/>
      <w:keepLines/>
      <w:spacing w:before="200" w:after="0"/>
      <w:outlineLvl w:val="2"/>
    </w:pPr>
    <w:rPr>
      <w:rFonts w:eastAsiaTheme="majorEastAsia" w:cstheme="majorBidi"/>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B08"/>
    <w:pPr>
      <w:tabs>
        <w:tab w:val="center" w:pos="4680"/>
        <w:tab w:val="right" w:pos="9360"/>
      </w:tabs>
      <w:spacing w:after="0" w:line="240" w:lineRule="auto"/>
    </w:pPr>
    <w:rPr>
      <w:noProof/>
      <w:lang w:val="en-AU" w:eastAsia="en-AU"/>
    </w:rPr>
  </w:style>
  <w:style w:type="character" w:customStyle="1" w:styleId="HeaderChar">
    <w:name w:val="Header Char"/>
    <w:basedOn w:val="DefaultParagraphFont"/>
    <w:link w:val="Header"/>
    <w:uiPriority w:val="99"/>
    <w:rsid w:val="001E6B08"/>
    <w:rPr>
      <w:rFonts w:ascii="Arial" w:hAnsi="Arial"/>
      <w:noProof/>
      <w:lang w:val="en-AU" w:eastAsia="en-AU"/>
    </w:rPr>
  </w:style>
  <w:style w:type="paragraph" w:styleId="Footer">
    <w:name w:val="footer"/>
    <w:basedOn w:val="Normal"/>
    <w:link w:val="FooterChar"/>
    <w:uiPriority w:val="99"/>
    <w:unhideWhenUsed/>
    <w:rsid w:val="008D1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42D"/>
  </w:style>
  <w:style w:type="character" w:customStyle="1" w:styleId="Heading1Char">
    <w:name w:val="Heading 1 Char"/>
    <w:basedOn w:val="DefaultParagraphFont"/>
    <w:link w:val="Heading1"/>
    <w:uiPriority w:val="9"/>
    <w:rsid w:val="008D142D"/>
    <w:rPr>
      <w:rFonts w:ascii="Arial" w:eastAsiaTheme="minorEastAsia" w:hAnsi="Arial" w:cs="Arial"/>
      <w:b/>
      <w:color w:val="333333"/>
      <w:sz w:val="32"/>
      <w:szCs w:val="24"/>
      <w:shd w:val="clear" w:color="auto" w:fill="FFFFFF"/>
    </w:rPr>
  </w:style>
  <w:style w:type="character" w:customStyle="1" w:styleId="Heading2Char">
    <w:name w:val="Heading 2 Char"/>
    <w:basedOn w:val="DefaultParagraphFont"/>
    <w:link w:val="Heading2"/>
    <w:uiPriority w:val="9"/>
    <w:rsid w:val="008D142D"/>
    <w:rPr>
      <w:rFonts w:ascii="Arial" w:eastAsiaTheme="minorEastAsia" w:hAnsi="Arial" w:cs="Arial"/>
      <w:color w:val="333333"/>
      <w:sz w:val="32"/>
      <w:szCs w:val="24"/>
      <w:shd w:val="clear" w:color="auto" w:fill="FFFFFF"/>
    </w:rPr>
  </w:style>
  <w:style w:type="character" w:customStyle="1" w:styleId="Heading3Char">
    <w:name w:val="Heading 3 Char"/>
    <w:basedOn w:val="DefaultParagraphFont"/>
    <w:link w:val="Heading3"/>
    <w:uiPriority w:val="9"/>
    <w:rsid w:val="004B662F"/>
    <w:rPr>
      <w:rFonts w:ascii="Arial" w:eastAsiaTheme="majorEastAsia" w:hAnsi="Arial" w:cstheme="majorBidi"/>
      <w:bCs/>
      <w:color w:val="000000" w:themeColor="text1"/>
      <w:sz w:val="28"/>
    </w:rPr>
  </w:style>
  <w:style w:type="paragraph" w:styleId="BalloonText">
    <w:name w:val="Balloon Text"/>
    <w:basedOn w:val="Normal"/>
    <w:link w:val="BalloonTextChar"/>
    <w:uiPriority w:val="99"/>
    <w:semiHidden/>
    <w:unhideWhenUsed/>
    <w:rsid w:val="006C0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766"/>
    <w:rPr>
      <w:rFonts w:ascii="Tahoma" w:hAnsi="Tahoma" w:cs="Tahoma"/>
      <w:sz w:val="16"/>
      <w:szCs w:val="16"/>
    </w:rPr>
  </w:style>
  <w:style w:type="paragraph" w:customStyle="1" w:styleId="Default">
    <w:name w:val="Default"/>
    <w:rsid w:val="00F72626"/>
    <w:pPr>
      <w:autoSpaceDE w:val="0"/>
      <w:autoSpaceDN w:val="0"/>
      <w:adjustRightInd w:val="0"/>
      <w:spacing w:after="0" w:line="240" w:lineRule="auto"/>
    </w:pPr>
    <w:rPr>
      <w:rFonts w:ascii="Arial" w:eastAsia="Calibri" w:hAnsi="Arial" w:cs="Arial"/>
      <w:color w:val="000000"/>
      <w:sz w:val="24"/>
      <w:szCs w:val="24"/>
      <w:lang w:val="en-AU" w:eastAsia="en-AU"/>
    </w:rPr>
  </w:style>
  <w:style w:type="paragraph" w:styleId="ListParagraph">
    <w:name w:val="List Paragraph"/>
    <w:basedOn w:val="Normal"/>
    <w:uiPriority w:val="34"/>
    <w:qFormat/>
    <w:rsid w:val="005439F3"/>
    <w:pPr>
      <w:ind w:left="720"/>
      <w:contextualSpacing/>
    </w:pPr>
  </w:style>
  <w:style w:type="character" w:styleId="CommentReference">
    <w:name w:val="annotation reference"/>
    <w:basedOn w:val="DefaultParagraphFont"/>
    <w:semiHidden/>
    <w:unhideWhenUsed/>
    <w:rsid w:val="00027508"/>
    <w:rPr>
      <w:sz w:val="16"/>
      <w:szCs w:val="16"/>
    </w:rPr>
  </w:style>
  <w:style w:type="paragraph" w:styleId="CommentText">
    <w:name w:val="annotation text"/>
    <w:basedOn w:val="Normal"/>
    <w:link w:val="CommentTextChar"/>
    <w:uiPriority w:val="99"/>
    <w:semiHidden/>
    <w:unhideWhenUsed/>
    <w:rsid w:val="00027508"/>
    <w:pPr>
      <w:spacing w:line="240" w:lineRule="auto"/>
    </w:pPr>
    <w:rPr>
      <w:sz w:val="20"/>
      <w:szCs w:val="20"/>
    </w:rPr>
  </w:style>
  <w:style w:type="character" w:customStyle="1" w:styleId="CommentTextChar">
    <w:name w:val="Comment Text Char"/>
    <w:basedOn w:val="DefaultParagraphFont"/>
    <w:link w:val="CommentText"/>
    <w:uiPriority w:val="99"/>
    <w:semiHidden/>
    <w:rsid w:val="0002750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508"/>
    <w:rPr>
      <w:b/>
      <w:bCs/>
    </w:rPr>
  </w:style>
  <w:style w:type="character" w:customStyle="1" w:styleId="CommentSubjectChar">
    <w:name w:val="Comment Subject Char"/>
    <w:basedOn w:val="CommentTextChar"/>
    <w:link w:val="CommentSubject"/>
    <w:uiPriority w:val="99"/>
    <w:semiHidden/>
    <w:rsid w:val="00027508"/>
    <w:rPr>
      <w:rFonts w:ascii="Arial" w:hAnsi="Arial"/>
      <w:b/>
      <w:bCs/>
      <w:sz w:val="20"/>
      <w:szCs w:val="20"/>
    </w:rPr>
  </w:style>
  <w:style w:type="paragraph" w:customStyle="1" w:styleId="RecTitle">
    <w:name w:val="Rec Title"/>
    <w:basedOn w:val="BodyText"/>
    <w:next w:val="Rec"/>
    <w:qFormat/>
    <w:rsid w:val="00645327"/>
    <w:pPr>
      <w:keepNext/>
      <w:keepLines/>
      <w:spacing w:before="240" w:after="0" w:line="280" w:lineRule="atLeast"/>
      <w:jc w:val="both"/>
    </w:pPr>
    <w:rPr>
      <w:rFonts w:eastAsia="Times New Roman" w:cs="Times New Roman"/>
      <w:caps/>
      <w:sz w:val="18"/>
      <w:szCs w:val="20"/>
      <w:lang w:val="en-AU" w:eastAsia="en-AU"/>
    </w:rPr>
  </w:style>
  <w:style w:type="paragraph" w:customStyle="1" w:styleId="Rec">
    <w:name w:val="Rec"/>
    <w:basedOn w:val="BodyText"/>
    <w:qFormat/>
    <w:rsid w:val="00645327"/>
    <w:pPr>
      <w:keepLines/>
      <w:spacing w:before="120" w:after="0" w:line="280" w:lineRule="atLeast"/>
      <w:jc w:val="both"/>
    </w:pPr>
    <w:rPr>
      <w:rFonts w:eastAsia="Times New Roman" w:cs="Times New Roman"/>
      <w:szCs w:val="20"/>
      <w:lang w:val="en-AU" w:eastAsia="en-AU"/>
    </w:rPr>
  </w:style>
  <w:style w:type="paragraph" w:customStyle="1" w:styleId="RecBullet">
    <w:name w:val="Rec Bullet"/>
    <w:basedOn w:val="Rec"/>
    <w:rsid w:val="00645327"/>
    <w:pPr>
      <w:numPr>
        <w:numId w:val="2"/>
      </w:numPr>
      <w:spacing w:before="80"/>
    </w:pPr>
  </w:style>
  <w:style w:type="paragraph" w:customStyle="1" w:styleId="Space">
    <w:name w:val="Space"/>
    <w:basedOn w:val="Normal"/>
    <w:rsid w:val="00645327"/>
    <w:pPr>
      <w:keepNext/>
      <w:spacing w:after="0" w:line="120" w:lineRule="exact"/>
      <w:jc w:val="both"/>
    </w:pPr>
    <w:rPr>
      <w:rFonts w:eastAsia="Times New Roman" w:cs="Times New Roman"/>
      <w:sz w:val="20"/>
      <w:szCs w:val="20"/>
      <w:lang w:val="en-AU" w:eastAsia="en-AU"/>
    </w:rPr>
  </w:style>
  <w:style w:type="paragraph" w:styleId="BodyText">
    <w:name w:val="Body Text"/>
    <w:basedOn w:val="Normal"/>
    <w:link w:val="BodyTextChar"/>
    <w:uiPriority w:val="99"/>
    <w:unhideWhenUsed/>
    <w:rsid w:val="00645327"/>
    <w:pPr>
      <w:spacing w:after="120"/>
    </w:pPr>
  </w:style>
  <w:style w:type="character" w:customStyle="1" w:styleId="BodyTextChar">
    <w:name w:val="Body Text Char"/>
    <w:basedOn w:val="DefaultParagraphFont"/>
    <w:link w:val="BodyText"/>
    <w:uiPriority w:val="99"/>
    <w:rsid w:val="00645327"/>
    <w:rPr>
      <w:rFonts w:ascii="Arial" w:hAnsi="Arial"/>
    </w:rPr>
  </w:style>
  <w:style w:type="paragraph" w:customStyle="1" w:styleId="InformationRequest">
    <w:name w:val="Information Request"/>
    <w:basedOn w:val="Normal"/>
    <w:next w:val="BodyText"/>
    <w:rsid w:val="00076189"/>
    <w:pPr>
      <w:keepLines/>
      <w:spacing w:before="120" w:after="0" w:line="280" w:lineRule="atLeast"/>
      <w:jc w:val="both"/>
    </w:pPr>
    <w:rPr>
      <w:rFonts w:eastAsia="Times New Roman" w:cs="Times New Roman"/>
      <w:i/>
      <w:szCs w:val="20"/>
      <w:lang w:val="en-AU" w:eastAsia="en-AU"/>
    </w:rPr>
  </w:style>
  <w:style w:type="paragraph" w:customStyle="1" w:styleId="InformationRequestTitle">
    <w:name w:val="Information Request Title"/>
    <w:basedOn w:val="Normal"/>
    <w:next w:val="InformationRequest"/>
    <w:rsid w:val="00076189"/>
    <w:pPr>
      <w:keepNext/>
      <w:keepLines/>
      <w:spacing w:before="240" w:after="0" w:line="280" w:lineRule="atLeast"/>
      <w:jc w:val="both"/>
    </w:pPr>
    <w:rPr>
      <w:rFonts w:eastAsia="Times New Roman" w:cs="Times New Roman"/>
      <w:i/>
      <w:caps/>
      <w:sz w:val="18"/>
      <w:szCs w:val="20"/>
      <w:lang w:val="en-AU" w:eastAsia="en-AU"/>
    </w:rPr>
  </w:style>
  <w:style w:type="paragraph" w:customStyle="1" w:styleId="InformationRequestBullet">
    <w:name w:val="Information Request Bullet"/>
    <w:basedOn w:val="ListBullet"/>
    <w:next w:val="BodyText"/>
    <w:rsid w:val="00AE269B"/>
    <w:pPr>
      <w:spacing w:before="80" w:after="0" w:line="280" w:lineRule="atLeast"/>
      <w:ind w:left="357" w:hanging="357"/>
      <w:contextualSpacing w:val="0"/>
      <w:jc w:val="both"/>
    </w:pPr>
    <w:rPr>
      <w:rFonts w:eastAsia="Times New Roman" w:cs="Times New Roman"/>
      <w:i/>
      <w:szCs w:val="20"/>
      <w:lang w:val="en-AU" w:eastAsia="en-AU"/>
    </w:rPr>
  </w:style>
  <w:style w:type="paragraph" w:styleId="ListBullet">
    <w:name w:val="List Bullet"/>
    <w:basedOn w:val="Normal"/>
    <w:unhideWhenUsed/>
    <w:rsid w:val="00AE269B"/>
    <w:pPr>
      <w:ind w:left="360" w:hanging="360"/>
      <w:contextualSpacing/>
    </w:pPr>
  </w:style>
  <w:style w:type="paragraph" w:customStyle="1" w:styleId="BoxSpaceBelow">
    <w:name w:val="Box Space Below"/>
    <w:basedOn w:val="Normal"/>
    <w:rsid w:val="009D672B"/>
    <w:pPr>
      <w:spacing w:before="60" w:after="60" w:line="80" w:lineRule="exact"/>
      <w:jc w:val="both"/>
    </w:pPr>
    <w:rPr>
      <w:rFonts w:eastAsia="Times New Roman" w:cs="Times New Roman"/>
      <w:sz w:val="14"/>
      <w:szCs w:val="20"/>
      <w:lang w:val="en-AU" w:eastAsia="en-AU"/>
    </w:rPr>
  </w:style>
  <w:style w:type="paragraph" w:styleId="NormalWeb">
    <w:name w:val="Normal (Web)"/>
    <w:basedOn w:val="Normal"/>
    <w:uiPriority w:val="99"/>
    <w:unhideWhenUsed/>
    <w:rsid w:val="009D51F4"/>
    <w:pPr>
      <w:spacing w:after="0" w:line="240" w:lineRule="auto"/>
    </w:pPr>
    <w:rPr>
      <w:rFonts w:ascii="Times New Roman" w:hAnsi="Times New Roman" w:cs="Times New Roman"/>
      <w:sz w:val="24"/>
      <w:szCs w:val="24"/>
      <w:lang w:val="en-AU" w:eastAsia="en-AU"/>
    </w:rPr>
  </w:style>
  <w:style w:type="paragraph" w:customStyle="1" w:styleId="BoxSpaceAbove">
    <w:name w:val="Box Space Above"/>
    <w:basedOn w:val="BodyText"/>
    <w:rsid w:val="006820B8"/>
    <w:pPr>
      <w:keepNext/>
      <w:spacing w:before="360" w:after="0" w:line="80" w:lineRule="exact"/>
    </w:pPr>
    <w:rPr>
      <w:rFonts w:ascii="Times New Roman" w:eastAsia="Times New Roman" w:hAnsi="Times New Roman" w:cs="Times New Roman"/>
      <w:sz w:val="24"/>
      <w:szCs w:val="20"/>
      <w:lang w:val="en-AU" w:eastAsia="en-AU"/>
    </w:rPr>
  </w:style>
  <w:style w:type="paragraph" w:customStyle="1" w:styleId="Figure">
    <w:name w:val="Figure"/>
    <w:basedOn w:val="BodyText"/>
    <w:rsid w:val="006820B8"/>
    <w:pPr>
      <w:keepNext/>
      <w:spacing w:before="120" w:line="240" w:lineRule="atLeast"/>
      <w:jc w:val="center"/>
    </w:pPr>
    <w:rPr>
      <w:rFonts w:ascii="Times New Roman" w:eastAsia="Times New Roman" w:hAnsi="Times New Roman" w:cs="Times New Roman"/>
      <w:sz w:val="24"/>
      <w:szCs w:val="20"/>
      <w:lang w:val="en-AU" w:eastAsia="en-AU"/>
    </w:rPr>
  </w:style>
  <w:style w:type="paragraph" w:customStyle="1" w:styleId="FigureTitle">
    <w:name w:val="Figure Title"/>
    <w:basedOn w:val="Caption"/>
    <w:next w:val="Subtitle"/>
    <w:rsid w:val="006820B8"/>
    <w:pPr>
      <w:keepNext/>
      <w:keepLines/>
      <w:spacing w:before="120" w:after="80" w:line="280" w:lineRule="exact"/>
      <w:ind w:left="1474" w:hanging="1474"/>
    </w:pPr>
    <w:rPr>
      <w:rFonts w:eastAsia="Times New Roman" w:cs="Times New Roman"/>
      <w:bCs w:val="0"/>
      <w:color w:val="auto"/>
      <w:sz w:val="24"/>
      <w:szCs w:val="24"/>
      <w:lang w:val="en-AU" w:eastAsia="en-AU"/>
    </w:rPr>
  </w:style>
  <w:style w:type="paragraph" w:customStyle="1" w:styleId="Figurespace">
    <w:name w:val="Figure space"/>
    <w:basedOn w:val="Normal"/>
    <w:rsid w:val="006820B8"/>
    <w:pPr>
      <w:keepNext/>
      <w:spacing w:after="0" w:line="120" w:lineRule="exact"/>
      <w:jc w:val="both"/>
    </w:pPr>
    <w:rPr>
      <w:rFonts w:eastAsia="Times New Roman" w:cs="Times New Roman"/>
      <w:sz w:val="20"/>
      <w:szCs w:val="20"/>
      <w:lang w:val="en-AU" w:eastAsia="en-AU"/>
    </w:rPr>
  </w:style>
  <w:style w:type="paragraph" w:customStyle="1" w:styleId="BoxSpaceAboveElement">
    <w:name w:val="Box Space Above Element"/>
    <w:basedOn w:val="BoxSpaceAbove"/>
    <w:link w:val="BoxSpaceAboveElementChar"/>
    <w:qFormat/>
    <w:rsid w:val="006820B8"/>
    <w:pPr>
      <w:spacing w:before="240"/>
    </w:pPr>
    <w:rPr>
      <w:b/>
      <w:vanish/>
      <w:color w:val="FF00FF"/>
      <w:sz w:val="14"/>
    </w:rPr>
  </w:style>
  <w:style w:type="character" w:customStyle="1" w:styleId="BoxSpaceAboveElementChar">
    <w:name w:val="Box Space Above Element Char"/>
    <w:basedOn w:val="DefaultParagraphFont"/>
    <w:link w:val="BoxSpaceAboveElement"/>
    <w:rsid w:val="006820B8"/>
    <w:rPr>
      <w:rFonts w:ascii="Times New Roman" w:eastAsia="Times New Roman" w:hAnsi="Times New Roman" w:cs="Times New Roman"/>
      <w:b/>
      <w:vanish/>
      <w:color w:val="FF00FF"/>
      <w:sz w:val="14"/>
      <w:szCs w:val="20"/>
      <w:lang w:val="en-AU" w:eastAsia="en-AU"/>
    </w:rPr>
  </w:style>
  <w:style w:type="paragraph" w:styleId="Caption">
    <w:name w:val="caption"/>
    <w:basedOn w:val="Normal"/>
    <w:next w:val="Normal"/>
    <w:uiPriority w:val="35"/>
    <w:semiHidden/>
    <w:unhideWhenUsed/>
    <w:qFormat/>
    <w:rsid w:val="006820B8"/>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6820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820B8"/>
    <w:rPr>
      <w:rFonts w:asciiTheme="majorHAnsi" w:eastAsiaTheme="majorEastAsia" w:hAnsiTheme="majorHAnsi" w:cstheme="majorBidi"/>
      <w:i/>
      <w:iCs/>
      <w:color w:val="4F81BD" w:themeColor="accent1"/>
      <w:spacing w:val="15"/>
      <w:sz w:val="24"/>
      <w:szCs w:val="24"/>
    </w:rPr>
  </w:style>
  <w:style w:type="paragraph" w:styleId="ListBullet2">
    <w:name w:val="List Bullet 2"/>
    <w:basedOn w:val="Normal"/>
    <w:uiPriority w:val="99"/>
    <w:semiHidden/>
    <w:unhideWhenUsed/>
    <w:rsid w:val="004D1A16"/>
    <w:pPr>
      <w:numPr>
        <w:numId w:val="21"/>
      </w:numPr>
      <w:contextualSpacing/>
    </w:pPr>
  </w:style>
  <w:style w:type="paragraph" w:styleId="FootnoteText">
    <w:name w:val="footnote text"/>
    <w:basedOn w:val="Normal"/>
    <w:link w:val="FootnoteTextChar"/>
    <w:uiPriority w:val="99"/>
    <w:semiHidden/>
    <w:unhideWhenUsed/>
    <w:rsid w:val="000F53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53E0"/>
    <w:rPr>
      <w:rFonts w:ascii="Arial" w:hAnsi="Arial"/>
      <w:sz w:val="20"/>
      <w:szCs w:val="20"/>
    </w:rPr>
  </w:style>
  <w:style w:type="character" w:styleId="FootnoteReference">
    <w:name w:val="footnote reference"/>
    <w:basedOn w:val="DefaultParagraphFont"/>
    <w:uiPriority w:val="99"/>
    <w:semiHidden/>
    <w:unhideWhenUsed/>
    <w:rsid w:val="000F53E0"/>
    <w:rPr>
      <w:vertAlign w:val="superscript"/>
    </w:rPr>
  </w:style>
  <w:style w:type="character" w:styleId="Hyperlink">
    <w:name w:val="Hyperlink"/>
    <w:basedOn w:val="DefaultParagraphFont"/>
    <w:uiPriority w:val="99"/>
    <w:unhideWhenUsed/>
    <w:rsid w:val="00F5699E"/>
    <w:rPr>
      <w:color w:val="0000FF"/>
      <w:u w:val="single"/>
    </w:rPr>
  </w:style>
  <w:style w:type="character" w:styleId="Emphasis">
    <w:name w:val="Emphasis"/>
    <w:basedOn w:val="DefaultParagraphFont"/>
    <w:uiPriority w:val="20"/>
    <w:qFormat/>
    <w:rsid w:val="00F5699E"/>
    <w:rPr>
      <w:i/>
      <w:iCs/>
    </w:rPr>
  </w:style>
  <w:style w:type="table" w:styleId="TableGrid">
    <w:name w:val="Table Grid"/>
    <w:basedOn w:val="TableNormal"/>
    <w:uiPriority w:val="59"/>
    <w:rsid w:val="00C20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1213"/>
    <w:rPr>
      <w:color w:val="800080" w:themeColor="followedHyperlink"/>
      <w:u w:val="single"/>
    </w:rPr>
  </w:style>
  <w:style w:type="paragraph" w:customStyle="1" w:styleId="Note">
    <w:name w:val="Note"/>
    <w:basedOn w:val="BodyText"/>
    <w:next w:val="BodyText"/>
    <w:rsid w:val="00575F75"/>
    <w:pPr>
      <w:keepLines/>
      <w:spacing w:before="80" w:after="0" w:line="220" w:lineRule="exact"/>
      <w:jc w:val="both"/>
    </w:pPr>
    <w:rPr>
      <w:rFonts w:eastAsia="Times New Roman" w:cs="Times New Roman"/>
      <w:sz w:val="18"/>
      <w:szCs w:val="20"/>
      <w:lang w:val="en-AU" w:eastAsia="en-AU"/>
    </w:rPr>
  </w:style>
  <w:style w:type="paragraph" w:customStyle="1" w:styleId="Source">
    <w:name w:val="Source"/>
    <w:basedOn w:val="Normal"/>
    <w:next w:val="BodyText"/>
    <w:rsid w:val="00575F75"/>
    <w:pPr>
      <w:keepLines/>
      <w:spacing w:before="80" w:after="0" w:line="220" w:lineRule="exact"/>
      <w:jc w:val="both"/>
    </w:pPr>
    <w:rPr>
      <w:rFonts w:eastAsia="Times New Roman" w:cs="Times New Roman"/>
      <w:sz w:val="18"/>
      <w:szCs w:val="20"/>
      <w:lang w:val="en-AU" w:eastAsia="en-AU"/>
    </w:rPr>
  </w:style>
  <w:style w:type="character" w:customStyle="1" w:styleId="NoteLabel">
    <w:name w:val="Note Label"/>
    <w:basedOn w:val="DefaultParagraphFont"/>
    <w:rsid w:val="00575F75"/>
    <w:rPr>
      <w:rFonts w:ascii="Arial" w:hAnsi="Arial"/>
      <w:b/>
      <w:position w:val="6"/>
      <w:sz w:val="18"/>
    </w:rPr>
  </w:style>
  <w:style w:type="paragraph" w:customStyle="1" w:styleId="Bullet">
    <w:name w:val="Bullet"/>
    <w:basedOn w:val="Normal"/>
    <w:rsid w:val="00F40F5F"/>
    <w:pPr>
      <w:keepLines/>
      <w:numPr>
        <w:numId w:val="44"/>
      </w:numPr>
      <w:spacing w:after="240" w:line="240" w:lineRule="auto"/>
    </w:pPr>
    <w:rPr>
      <w:rFonts w:eastAsia="Times New Roman" w:cs="Arial"/>
      <w:lang w:val="en-AU"/>
    </w:rPr>
  </w:style>
  <w:style w:type="paragraph" w:customStyle="1" w:styleId="Jurisdictioncommentslistbullet">
    <w:name w:val="Jurisdiction comments list bullet"/>
    <w:rsid w:val="002E487B"/>
    <w:pPr>
      <w:numPr>
        <w:numId w:val="45"/>
      </w:numPr>
      <w:spacing w:after="140" w:line="240" w:lineRule="auto"/>
      <w:jc w:val="both"/>
    </w:pPr>
    <w:rPr>
      <w:rFonts w:ascii="Arial" w:eastAsia="Times New Roman" w:hAnsi="Arial" w:cs="Times New Roman"/>
      <w:sz w:val="24"/>
      <w:szCs w:val="20"/>
      <w:lang w:val="en-AU"/>
    </w:rPr>
  </w:style>
  <w:style w:type="paragraph" w:customStyle="1" w:styleId="CabStandard">
    <w:name w:val="CabStandard"/>
    <w:basedOn w:val="Normal"/>
    <w:rsid w:val="00293FA3"/>
    <w:pPr>
      <w:numPr>
        <w:numId w:val="46"/>
      </w:numPr>
      <w:spacing w:after="240" w:line="240" w:lineRule="auto"/>
    </w:pPr>
    <w:rPr>
      <w:rFonts w:ascii="Times New Roman" w:eastAsia="Times New Roman" w:hAnsi="Times New Roman" w:cs="Times New Roman"/>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924459">
      <w:bodyDiv w:val="1"/>
      <w:marLeft w:val="0"/>
      <w:marRight w:val="0"/>
      <w:marTop w:val="0"/>
      <w:marBottom w:val="0"/>
      <w:divBdr>
        <w:top w:val="none" w:sz="0" w:space="0" w:color="auto"/>
        <w:left w:val="none" w:sz="0" w:space="0" w:color="auto"/>
        <w:bottom w:val="none" w:sz="0" w:space="0" w:color="auto"/>
        <w:right w:val="none" w:sz="0" w:space="0" w:color="auto"/>
      </w:divBdr>
      <w:divsChild>
        <w:div w:id="1636373973">
          <w:marLeft w:val="0"/>
          <w:marRight w:val="0"/>
          <w:marTop w:val="0"/>
          <w:marBottom w:val="0"/>
          <w:divBdr>
            <w:top w:val="none" w:sz="0" w:space="0" w:color="auto"/>
            <w:left w:val="none" w:sz="0" w:space="0" w:color="auto"/>
            <w:bottom w:val="none" w:sz="0" w:space="0" w:color="auto"/>
            <w:right w:val="none" w:sz="0" w:space="0" w:color="auto"/>
          </w:divBdr>
          <w:divsChild>
            <w:div w:id="286088031">
              <w:marLeft w:val="0"/>
              <w:marRight w:val="0"/>
              <w:marTop w:val="0"/>
              <w:marBottom w:val="0"/>
              <w:divBdr>
                <w:top w:val="none" w:sz="0" w:space="0" w:color="auto"/>
                <w:left w:val="none" w:sz="0" w:space="0" w:color="auto"/>
                <w:bottom w:val="none" w:sz="0" w:space="0" w:color="auto"/>
                <w:right w:val="none" w:sz="0" w:space="0" w:color="auto"/>
              </w:divBdr>
              <w:divsChild>
                <w:div w:id="870264148">
                  <w:marLeft w:val="0"/>
                  <w:marRight w:val="0"/>
                  <w:marTop w:val="0"/>
                  <w:marBottom w:val="0"/>
                  <w:divBdr>
                    <w:top w:val="none" w:sz="0" w:space="0" w:color="auto"/>
                    <w:left w:val="none" w:sz="0" w:space="0" w:color="auto"/>
                    <w:bottom w:val="none" w:sz="0" w:space="0" w:color="auto"/>
                    <w:right w:val="none" w:sz="0" w:space="0" w:color="auto"/>
                  </w:divBdr>
                  <w:divsChild>
                    <w:div w:id="555316807">
                      <w:marLeft w:val="0"/>
                      <w:marRight w:val="0"/>
                      <w:marTop w:val="0"/>
                      <w:marBottom w:val="0"/>
                      <w:divBdr>
                        <w:top w:val="none" w:sz="0" w:space="0" w:color="auto"/>
                        <w:left w:val="none" w:sz="0" w:space="0" w:color="auto"/>
                        <w:bottom w:val="none" w:sz="0" w:space="0" w:color="auto"/>
                        <w:right w:val="none" w:sz="0" w:space="0" w:color="auto"/>
                      </w:divBdr>
                      <w:divsChild>
                        <w:div w:id="1067844589">
                          <w:marLeft w:val="0"/>
                          <w:marRight w:val="0"/>
                          <w:marTop w:val="0"/>
                          <w:marBottom w:val="0"/>
                          <w:divBdr>
                            <w:top w:val="none" w:sz="0" w:space="0" w:color="auto"/>
                            <w:left w:val="none" w:sz="0" w:space="0" w:color="auto"/>
                            <w:bottom w:val="none" w:sz="0" w:space="0" w:color="auto"/>
                            <w:right w:val="none" w:sz="0" w:space="0" w:color="auto"/>
                          </w:divBdr>
                          <w:divsChild>
                            <w:div w:id="263194202">
                              <w:marLeft w:val="0"/>
                              <w:marRight w:val="0"/>
                              <w:marTop w:val="0"/>
                              <w:marBottom w:val="0"/>
                              <w:divBdr>
                                <w:top w:val="none" w:sz="0" w:space="0" w:color="auto"/>
                                <w:left w:val="none" w:sz="0" w:space="0" w:color="auto"/>
                                <w:bottom w:val="none" w:sz="0" w:space="0" w:color="auto"/>
                                <w:right w:val="none" w:sz="0" w:space="0" w:color="auto"/>
                              </w:divBdr>
                              <w:divsChild>
                                <w:div w:id="1898275217">
                                  <w:marLeft w:val="0"/>
                                  <w:marRight w:val="0"/>
                                  <w:marTop w:val="0"/>
                                  <w:marBottom w:val="0"/>
                                  <w:divBdr>
                                    <w:top w:val="none" w:sz="0" w:space="0" w:color="auto"/>
                                    <w:left w:val="none" w:sz="0" w:space="0" w:color="auto"/>
                                    <w:bottom w:val="none" w:sz="0" w:space="0" w:color="auto"/>
                                    <w:right w:val="none" w:sz="0" w:space="0" w:color="auto"/>
                                  </w:divBdr>
                                  <w:divsChild>
                                    <w:div w:id="1040327832">
                                      <w:marLeft w:val="0"/>
                                      <w:marRight w:val="0"/>
                                      <w:marTop w:val="0"/>
                                      <w:marBottom w:val="0"/>
                                      <w:divBdr>
                                        <w:top w:val="none" w:sz="0" w:space="0" w:color="auto"/>
                                        <w:left w:val="none" w:sz="0" w:space="0" w:color="auto"/>
                                        <w:bottom w:val="none" w:sz="0" w:space="0" w:color="auto"/>
                                        <w:right w:val="none" w:sz="0" w:space="0" w:color="auto"/>
                                      </w:divBdr>
                                      <w:divsChild>
                                        <w:div w:id="1254167138">
                                          <w:marLeft w:val="0"/>
                                          <w:marRight w:val="0"/>
                                          <w:marTop w:val="0"/>
                                          <w:marBottom w:val="0"/>
                                          <w:divBdr>
                                            <w:top w:val="none" w:sz="0" w:space="0" w:color="auto"/>
                                            <w:left w:val="none" w:sz="0" w:space="0" w:color="auto"/>
                                            <w:bottom w:val="none" w:sz="0" w:space="0" w:color="auto"/>
                                            <w:right w:val="none" w:sz="0" w:space="0" w:color="auto"/>
                                          </w:divBdr>
                                          <w:divsChild>
                                            <w:div w:id="538471373">
                                              <w:marLeft w:val="0"/>
                                              <w:marRight w:val="0"/>
                                              <w:marTop w:val="0"/>
                                              <w:marBottom w:val="0"/>
                                              <w:divBdr>
                                                <w:top w:val="none" w:sz="0" w:space="0" w:color="auto"/>
                                                <w:left w:val="none" w:sz="0" w:space="0" w:color="auto"/>
                                                <w:bottom w:val="none" w:sz="0" w:space="0" w:color="auto"/>
                                                <w:right w:val="none" w:sz="0" w:space="0" w:color="auto"/>
                                              </w:divBdr>
                                              <w:divsChild>
                                                <w:div w:id="1502962385">
                                                  <w:marLeft w:val="0"/>
                                                  <w:marRight w:val="0"/>
                                                  <w:marTop w:val="0"/>
                                                  <w:marBottom w:val="0"/>
                                                  <w:divBdr>
                                                    <w:top w:val="none" w:sz="0" w:space="0" w:color="auto"/>
                                                    <w:left w:val="none" w:sz="0" w:space="0" w:color="auto"/>
                                                    <w:bottom w:val="none" w:sz="0" w:space="0" w:color="auto"/>
                                                    <w:right w:val="none" w:sz="0" w:space="0" w:color="auto"/>
                                                  </w:divBdr>
                                                  <w:divsChild>
                                                    <w:div w:id="20070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0622914">
      <w:bodyDiv w:val="1"/>
      <w:marLeft w:val="0"/>
      <w:marRight w:val="0"/>
      <w:marTop w:val="0"/>
      <w:marBottom w:val="0"/>
      <w:divBdr>
        <w:top w:val="none" w:sz="0" w:space="0" w:color="auto"/>
        <w:left w:val="none" w:sz="0" w:space="0" w:color="auto"/>
        <w:bottom w:val="none" w:sz="0" w:space="0" w:color="auto"/>
        <w:right w:val="none" w:sz="0" w:space="0" w:color="auto"/>
      </w:divBdr>
    </w:div>
    <w:div w:id="994647889">
      <w:bodyDiv w:val="1"/>
      <w:marLeft w:val="0"/>
      <w:marRight w:val="0"/>
      <w:marTop w:val="0"/>
      <w:marBottom w:val="0"/>
      <w:divBdr>
        <w:top w:val="none" w:sz="0" w:space="0" w:color="auto"/>
        <w:left w:val="none" w:sz="0" w:space="0" w:color="auto"/>
        <w:bottom w:val="none" w:sz="0" w:space="0" w:color="auto"/>
        <w:right w:val="none" w:sz="0" w:space="0" w:color="auto"/>
      </w:divBdr>
    </w:div>
    <w:div w:id="1072045164">
      <w:bodyDiv w:val="1"/>
      <w:marLeft w:val="0"/>
      <w:marRight w:val="0"/>
      <w:marTop w:val="1350"/>
      <w:marBottom w:val="0"/>
      <w:divBdr>
        <w:top w:val="none" w:sz="0" w:space="0" w:color="auto"/>
        <w:left w:val="none" w:sz="0" w:space="0" w:color="auto"/>
        <w:bottom w:val="none" w:sz="0" w:space="0" w:color="auto"/>
        <w:right w:val="none" w:sz="0" w:space="0" w:color="auto"/>
      </w:divBdr>
      <w:divsChild>
        <w:div w:id="41759823">
          <w:marLeft w:val="0"/>
          <w:marRight w:val="0"/>
          <w:marTop w:val="0"/>
          <w:marBottom w:val="0"/>
          <w:divBdr>
            <w:top w:val="none" w:sz="0" w:space="0" w:color="auto"/>
            <w:left w:val="none" w:sz="0" w:space="0" w:color="auto"/>
            <w:bottom w:val="none" w:sz="0" w:space="0" w:color="auto"/>
            <w:right w:val="none" w:sz="0" w:space="0" w:color="auto"/>
          </w:divBdr>
          <w:divsChild>
            <w:div w:id="908006261">
              <w:marLeft w:val="-225"/>
              <w:marRight w:val="-225"/>
              <w:marTop w:val="0"/>
              <w:marBottom w:val="0"/>
              <w:divBdr>
                <w:top w:val="none" w:sz="0" w:space="0" w:color="auto"/>
                <w:left w:val="none" w:sz="0" w:space="0" w:color="auto"/>
                <w:bottom w:val="none" w:sz="0" w:space="0" w:color="auto"/>
                <w:right w:val="none" w:sz="0" w:space="0" w:color="auto"/>
              </w:divBdr>
              <w:divsChild>
                <w:div w:id="2086025722">
                  <w:marLeft w:val="0"/>
                  <w:marRight w:val="0"/>
                  <w:marTop w:val="0"/>
                  <w:marBottom w:val="0"/>
                  <w:divBdr>
                    <w:top w:val="none" w:sz="0" w:space="0" w:color="auto"/>
                    <w:left w:val="none" w:sz="0" w:space="0" w:color="auto"/>
                    <w:bottom w:val="none" w:sz="0" w:space="0" w:color="auto"/>
                    <w:right w:val="none" w:sz="0" w:space="0" w:color="auto"/>
                  </w:divBdr>
                  <w:divsChild>
                    <w:div w:id="112984114">
                      <w:marLeft w:val="0"/>
                      <w:marRight w:val="0"/>
                      <w:marTop w:val="0"/>
                      <w:marBottom w:val="0"/>
                      <w:divBdr>
                        <w:top w:val="none" w:sz="0" w:space="0" w:color="auto"/>
                        <w:left w:val="none" w:sz="0" w:space="0" w:color="auto"/>
                        <w:bottom w:val="none" w:sz="0" w:space="0" w:color="auto"/>
                        <w:right w:val="none" w:sz="0" w:space="0" w:color="auto"/>
                      </w:divBdr>
                      <w:divsChild>
                        <w:div w:id="60489942">
                          <w:marLeft w:val="-225"/>
                          <w:marRight w:val="-225"/>
                          <w:marTop w:val="0"/>
                          <w:marBottom w:val="0"/>
                          <w:divBdr>
                            <w:top w:val="none" w:sz="0" w:space="0" w:color="auto"/>
                            <w:left w:val="none" w:sz="0" w:space="0" w:color="auto"/>
                            <w:bottom w:val="none" w:sz="0" w:space="0" w:color="auto"/>
                            <w:right w:val="none" w:sz="0" w:space="0" w:color="auto"/>
                          </w:divBdr>
                          <w:divsChild>
                            <w:div w:id="72241745">
                              <w:marLeft w:val="0"/>
                              <w:marRight w:val="0"/>
                              <w:marTop w:val="0"/>
                              <w:marBottom w:val="0"/>
                              <w:divBdr>
                                <w:top w:val="none" w:sz="0" w:space="0" w:color="auto"/>
                                <w:left w:val="none" w:sz="0" w:space="0" w:color="auto"/>
                                <w:bottom w:val="none" w:sz="0" w:space="0" w:color="auto"/>
                                <w:right w:val="none" w:sz="0" w:space="0" w:color="auto"/>
                              </w:divBdr>
                              <w:divsChild>
                                <w:div w:id="1838302633">
                                  <w:marLeft w:val="-225"/>
                                  <w:marRight w:val="-225"/>
                                  <w:marTop w:val="0"/>
                                  <w:marBottom w:val="0"/>
                                  <w:divBdr>
                                    <w:top w:val="none" w:sz="0" w:space="0" w:color="auto"/>
                                    <w:left w:val="none" w:sz="0" w:space="0" w:color="auto"/>
                                    <w:bottom w:val="none" w:sz="0" w:space="0" w:color="auto"/>
                                    <w:right w:val="none" w:sz="0" w:space="0" w:color="auto"/>
                                  </w:divBdr>
                                  <w:divsChild>
                                    <w:div w:id="719981245">
                                      <w:marLeft w:val="0"/>
                                      <w:marRight w:val="0"/>
                                      <w:marTop w:val="0"/>
                                      <w:marBottom w:val="0"/>
                                      <w:divBdr>
                                        <w:top w:val="none" w:sz="0" w:space="0" w:color="auto"/>
                                        <w:left w:val="none" w:sz="0" w:space="0" w:color="auto"/>
                                        <w:bottom w:val="none" w:sz="0" w:space="0" w:color="auto"/>
                                        <w:right w:val="none" w:sz="0" w:space="0" w:color="auto"/>
                                      </w:divBdr>
                                      <w:divsChild>
                                        <w:div w:id="1624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694076">
      <w:bodyDiv w:val="1"/>
      <w:marLeft w:val="0"/>
      <w:marRight w:val="0"/>
      <w:marTop w:val="1350"/>
      <w:marBottom w:val="0"/>
      <w:divBdr>
        <w:top w:val="none" w:sz="0" w:space="0" w:color="auto"/>
        <w:left w:val="none" w:sz="0" w:space="0" w:color="auto"/>
        <w:bottom w:val="none" w:sz="0" w:space="0" w:color="auto"/>
        <w:right w:val="none" w:sz="0" w:space="0" w:color="auto"/>
      </w:divBdr>
      <w:divsChild>
        <w:div w:id="181092515">
          <w:marLeft w:val="0"/>
          <w:marRight w:val="0"/>
          <w:marTop w:val="0"/>
          <w:marBottom w:val="0"/>
          <w:divBdr>
            <w:top w:val="none" w:sz="0" w:space="0" w:color="auto"/>
            <w:left w:val="none" w:sz="0" w:space="0" w:color="auto"/>
            <w:bottom w:val="none" w:sz="0" w:space="0" w:color="auto"/>
            <w:right w:val="none" w:sz="0" w:space="0" w:color="auto"/>
          </w:divBdr>
          <w:divsChild>
            <w:div w:id="1347709453">
              <w:marLeft w:val="-225"/>
              <w:marRight w:val="-225"/>
              <w:marTop w:val="0"/>
              <w:marBottom w:val="0"/>
              <w:divBdr>
                <w:top w:val="none" w:sz="0" w:space="0" w:color="auto"/>
                <w:left w:val="none" w:sz="0" w:space="0" w:color="auto"/>
                <w:bottom w:val="none" w:sz="0" w:space="0" w:color="auto"/>
                <w:right w:val="none" w:sz="0" w:space="0" w:color="auto"/>
              </w:divBdr>
              <w:divsChild>
                <w:div w:id="1788770364">
                  <w:marLeft w:val="0"/>
                  <w:marRight w:val="0"/>
                  <w:marTop w:val="0"/>
                  <w:marBottom w:val="0"/>
                  <w:divBdr>
                    <w:top w:val="none" w:sz="0" w:space="0" w:color="auto"/>
                    <w:left w:val="none" w:sz="0" w:space="0" w:color="auto"/>
                    <w:bottom w:val="none" w:sz="0" w:space="0" w:color="auto"/>
                    <w:right w:val="none" w:sz="0" w:space="0" w:color="auto"/>
                  </w:divBdr>
                  <w:divsChild>
                    <w:div w:id="1619752587">
                      <w:marLeft w:val="0"/>
                      <w:marRight w:val="0"/>
                      <w:marTop w:val="0"/>
                      <w:marBottom w:val="0"/>
                      <w:divBdr>
                        <w:top w:val="none" w:sz="0" w:space="0" w:color="auto"/>
                        <w:left w:val="none" w:sz="0" w:space="0" w:color="auto"/>
                        <w:bottom w:val="none" w:sz="0" w:space="0" w:color="auto"/>
                        <w:right w:val="none" w:sz="0" w:space="0" w:color="auto"/>
                      </w:divBdr>
                      <w:divsChild>
                        <w:div w:id="550194120">
                          <w:marLeft w:val="-225"/>
                          <w:marRight w:val="-225"/>
                          <w:marTop w:val="0"/>
                          <w:marBottom w:val="0"/>
                          <w:divBdr>
                            <w:top w:val="none" w:sz="0" w:space="0" w:color="auto"/>
                            <w:left w:val="none" w:sz="0" w:space="0" w:color="auto"/>
                            <w:bottom w:val="none" w:sz="0" w:space="0" w:color="auto"/>
                            <w:right w:val="none" w:sz="0" w:space="0" w:color="auto"/>
                          </w:divBdr>
                          <w:divsChild>
                            <w:div w:id="649215288">
                              <w:marLeft w:val="0"/>
                              <w:marRight w:val="0"/>
                              <w:marTop w:val="0"/>
                              <w:marBottom w:val="0"/>
                              <w:divBdr>
                                <w:top w:val="none" w:sz="0" w:space="0" w:color="auto"/>
                                <w:left w:val="none" w:sz="0" w:space="0" w:color="auto"/>
                                <w:bottom w:val="none" w:sz="0" w:space="0" w:color="auto"/>
                                <w:right w:val="none" w:sz="0" w:space="0" w:color="auto"/>
                              </w:divBdr>
                              <w:divsChild>
                                <w:div w:id="438138519">
                                  <w:marLeft w:val="-225"/>
                                  <w:marRight w:val="-225"/>
                                  <w:marTop w:val="0"/>
                                  <w:marBottom w:val="0"/>
                                  <w:divBdr>
                                    <w:top w:val="none" w:sz="0" w:space="0" w:color="auto"/>
                                    <w:left w:val="none" w:sz="0" w:space="0" w:color="auto"/>
                                    <w:bottom w:val="none" w:sz="0" w:space="0" w:color="auto"/>
                                    <w:right w:val="none" w:sz="0" w:space="0" w:color="auto"/>
                                  </w:divBdr>
                                  <w:divsChild>
                                    <w:div w:id="34433065">
                                      <w:marLeft w:val="0"/>
                                      <w:marRight w:val="0"/>
                                      <w:marTop w:val="0"/>
                                      <w:marBottom w:val="0"/>
                                      <w:divBdr>
                                        <w:top w:val="none" w:sz="0" w:space="0" w:color="auto"/>
                                        <w:left w:val="none" w:sz="0" w:space="0" w:color="auto"/>
                                        <w:bottom w:val="none" w:sz="0" w:space="0" w:color="auto"/>
                                        <w:right w:val="none" w:sz="0" w:space="0" w:color="auto"/>
                                      </w:divBdr>
                                      <w:divsChild>
                                        <w:div w:id="19198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427461">
      <w:bodyDiv w:val="1"/>
      <w:marLeft w:val="0"/>
      <w:marRight w:val="0"/>
      <w:marTop w:val="0"/>
      <w:marBottom w:val="0"/>
      <w:divBdr>
        <w:top w:val="none" w:sz="0" w:space="0" w:color="auto"/>
        <w:left w:val="none" w:sz="0" w:space="0" w:color="auto"/>
        <w:bottom w:val="none" w:sz="0" w:space="0" w:color="auto"/>
        <w:right w:val="none" w:sz="0" w:space="0" w:color="auto"/>
      </w:divBdr>
    </w:div>
    <w:div w:id="1255551334">
      <w:bodyDiv w:val="1"/>
      <w:marLeft w:val="0"/>
      <w:marRight w:val="0"/>
      <w:marTop w:val="0"/>
      <w:marBottom w:val="0"/>
      <w:divBdr>
        <w:top w:val="none" w:sz="0" w:space="0" w:color="auto"/>
        <w:left w:val="none" w:sz="0" w:space="0" w:color="auto"/>
        <w:bottom w:val="none" w:sz="0" w:space="0" w:color="auto"/>
        <w:right w:val="none" w:sz="0" w:space="0" w:color="auto"/>
      </w:divBdr>
    </w:div>
    <w:div w:id="1269434145">
      <w:bodyDiv w:val="1"/>
      <w:marLeft w:val="0"/>
      <w:marRight w:val="0"/>
      <w:marTop w:val="0"/>
      <w:marBottom w:val="0"/>
      <w:divBdr>
        <w:top w:val="none" w:sz="0" w:space="0" w:color="auto"/>
        <w:left w:val="none" w:sz="0" w:space="0" w:color="auto"/>
        <w:bottom w:val="none" w:sz="0" w:space="0" w:color="auto"/>
        <w:right w:val="none" w:sz="0" w:space="0" w:color="auto"/>
      </w:divBdr>
    </w:div>
    <w:div w:id="1608733651">
      <w:bodyDiv w:val="1"/>
      <w:marLeft w:val="0"/>
      <w:marRight w:val="0"/>
      <w:marTop w:val="0"/>
      <w:marBottom w:val="0"/>
      <w:divBdr>
        <w:top w:val="none" w:sz="0" w:space="0" w:color="auto"/>
        <w:left w:val="none" w:sz="0" w:space="0" w:color="auto"/>
        <w:bottom w:val="none" w:sz="0" w:space="0" w:color="auto"/>
        <w:right w:val="none" w:sz="0" w:space="0" w:color="auto"/>
      </w:divBdr>
      <w:divsChild>
        <w:div w:id="1935480472">
          <w:marLeft w:val="0"/>
          <w:marRight w:val="0"/>
          <w:marTop w:val="0"/>
          <w:marBottom w:val="0"/>
          <w:divBdr>
            <w:top w:val="none" w:sz="0" w:space="0" w:color="auto"/>
            <w:left w:val="none" w:sz="0" w:space="0" w:color="auto"/>
            <w:bottom w:val="none" w:sz="0" w:space="0" w:color="auto"/>
            <w:right w:val="none" w:sz="0" w:space="0" w:color="auto"/>
          </w:divBdr>
          <w:divsChild>
            <w:div w:id="1493328719">
              <w:marLeft w:val="0"/>
              <w:marRight w:val="0"/>
              <w:marTop w:val="0"/>
              <w:marBottom w:val="0"/>
              <w:divBdr>
                <w:top w:val="none" w:sz="0" w:space="0" w:color="auto"/>
                <w:left w:val="none" w:sz="0" w:space="0" w:color="auto"/>
                <w:bottom w:val="none" w:sz="0" w:space="0" w:color="auto"/>
                <w:right w:val="none" w:sz="0" w:space="0" w:color="auto"/>
              </w:divBdr>
              <w:divsChild>
                <w:div w:id="569466902">
                  <w:marLeft w:val="0"/>
                  <w:marRight w:val="0"/>
                  <w:marTop w:val="0"/>
                  <w:marBottom w:val="0"/>
                  <w:divBdr>
                    <w:top w:val="none" w:sz="0" w:space="0" w:color="auto"/>
                    <w:left w:val="none" w:sz="0" w:space="0" w:color="auto"/>
                    <w:bottom w:val="none" w:sz="0" w:space="0" w:color="auto"/>
                    <w:right w:val="none" w:sz="0" w:space="0" w:color="auto"/>
                  </w:divBdr>
                  <w:divsChild>
                    <w:div w:id="56055955">
                      <w:marLeft w:val="0"/>
                      <w:marRight w:val="0"/>
                      <w:marTop w:val="0"/>
                      <w:marBottom w:val="0"/>
                      <w:divBdr>
                        <w:top w:val="none" w:sz="0" w:space="0" w:color="auto"/>
                        <w:left w:val="none" w:sz="0" w:space="0" w:color="auto"/>
                        <w:bottom w:val="none" w:sz="0" w:space="0" w:color="auto"/>
                        <w:right w:val="none" w:sz="0" w:space="0" w:color="auto"/>
                      </w:divBdr>
                      <w:divsChild>
                        <w:div w:id="2111312063">
                          <w:marLeft w:val="0"/>
                          <w:marRight w:val="0"/>
                          <w:marTop w:val="0"/>
                          <w:marBottom w:val="0"/>
                          <w:divBdr>
                            <w:top w:val="none" w:sz="0" w:space="0" w:color="auto"/>
                            <w:left w:val="none" w:sz="0" w:space="0" w:color="auto"/>
                            <w:bottom w:val="none" w:sz="0" w:space="0" w:color="auto"/>
                            <w:right w:val="none" w:sz="0" w:space="0" w:color="auto"/>
                          </w:divBdr>
                          <w:divsChild>
                            <w:div w:id="787898358">
                              <w:marLeft w:val="0"/>
                              <w:marRight w:val="0"/>
                              <w:marTop w:val="0"/>
                              <w:marBottom w:val="0"/>
                              <w:divBdr>
                                <w:top w:val="none" w:sz="0" w:space="0" w:color="auto"/>
                                <w:left w:val="none" w:sz="0" w:space="0" w:color="auto"/>
                                <w:bottom w:val="none" w:sz="0" w:space="0" w:color="auto"/>
                                <w:right w:val="none" w:sz="0" w:space="0" w:color="auto"/>
                              </w:divBdr>
                              <w:divsChild>
                                <w:div w:id="9046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506063">
      <w:bodyDiv w:val="1"/>
      <w:marLeft w:val="0"/>
      <w:marRight w:val="0"/>
      <w:marTop w:val="0"/>
      <w:marBottom w:val="0"/>
      <w:divBdr>
        <w:top w:val="none" w:sz="0" w:space="0" w:color="auto"/>
        <w:left w:val="none" w:sz="0" w:space="0" w:color="auto"/>
        <w:bottom w:val="none" w:sz="0" w:space="0" w:color="auto"/>
        <w:right w:val="none" w:sz="0" w:space="0" w:color="auto"/>
      </w:divBdr>
    </w:div>
    <w:div w:id="2144232807">
      <w:bodyDiv w:val="1"/>
      <w:marLeft w:val="0"/>
      <w:marRight w:val="0"/>
      <w:marTop w:val="0"/>
      <w:marBottom w:val="0"/>
      <w:divBdr>
        <w:top w:val="none" w:sz="0" w:space="0" w:color="auto"/>
        <w:left w:val="none" w:sz="0" w:space="0" w:color="auto"/>
        <w:bottom w:val="none" w:sz="0" w:space="0" w:color="auto"/>
        <w:right w:val="none" w:sz="0" w:space="0" w:color="auto"/>
      </w:divBdr>
      <w:divsChild>
        <w:div w:id="689336912">
          <w:marLeft w:val="0"/>
          <w:marRight w:val="0"/>
          <w:marTop w:val="0"/>
          <w:marBottom w:val="0"/>
          <w:divBdr>
            <w:top w:val="none" w:sz="0" w:space="0" w:color="auto"/>
            <w:left w:val="none" w:sz="0" w:space="0" w:color="auto"/>
            <w:bottom w:val="none" w:sz="0" w:space="0" w:color="auto"/>
            <w:right w:val="none" w:sz="0" w:space="0" w:color="auto"/>
          </w:divBdr>
          <w:divsChild>
            <w:div w:id="1891334974">
              <w:marLeft w:val="0"/>
              <w:marRight w:val="0"/>
              <w:marTop w:val="0"/>
              <w:marBottom w:val="0"/>
              <w:divBdr>
                <w:top w:val="none" w:sz="0" w:space="0" w:color="auto"/>
                <w:left w:val="none" w:sz="0" w:space="0" w:color="auto"/>
                <w:bottom w:val="none" w:sz="0" w:space="0" w:color="auto"/>
                <w:right w:val="none" w:sz="0" w:space="0" w:color="auto"/>
              </w:divBdr>
              <w:divsChild>
                <w:div w:id="1275094406">
                  <w:marLeft w:val="0"/>
                  <w:marRight w:val="0"/>
                  <w:marTop w:val="0"/>
                  <w:marBottom w:val="0"/>
                  <w:divBdr>
                    <w:top w:val="none" w:sz="0" w:space="0" w:color="auto"/>
                    <w:left w:val="none" w:sz="0" w:space="0" w:color="auto"/>
                    <w:bottom w:val="none" w:sz="0" w:space="0" w:color="auto"/>
                    <w:right w:val="none" w:sz="0" w:space="0" w:color="auto"/>
                  </w:divBdr>
                  <w:divsChild>
                    <w:div w:id="1074932367">
                      <w:marLeft w:val="750"/>
                      <w:marRight w:val="750"/>
                      <w:marTop w:val="150"/>
                      <w:marBottom w:val="150"/>
                      <w:divBdr>
                        <w:top w:val="none" w:sz="0" w:space="0" w:color="auto"/>
                        <w:left w:val="none" w:sz="0" w:space="0" w:color="auto"/>
                        <w:bottom w:val="none" w:sz="0" w:space="0" w:color="auto"/>
                        <w:right w:val="none" w:sz="0" w:space="0" w:color="auto"/>
                      </w:divBdr>
                      <w:divsChild>
                        <w:div w:id="553658062">
                          <w:marLeft w:val="0"/>
                          <w:marRight w:val="0"/>
                          <w:marTop w:val="0"/>
                          <w:marBottom w:val="0"/>
                          <w:divBdr>
                            <w:top w:val="none" w:sz="0" w:space="0" w:color="auto"/>
                            <w:left w:val="none" w:sz="0" w:space="0" w:color="auto"/>
                            <w:bottom w:val="none" w:sz="0" w:space="0" w:color="auto"/>
                            <w:right w:val="none" w:sz="0" w:space="0" w:color="auto"/>
                          </w:divBdr>
                          <w:divsChild>
                            <w:div w:id="1916818876">
                              <w:marLeft w:val="0"/>
                              <w:marRight w:val="0"/>
                              <w:marTop w:val="0"/>
                              <w:marBottom w:val="0"/>
                              <w:divBdr>
                                <w:top w:val="none" w:sz="0" w:space="0" w:color="auto"/>
                                <w:left w:val="none" w:sz="0" w:space="0" w:color="auto"/>
                                <w:bottom w:val="none" w:sz="0" w:space="0" w:color="auto"/>
                                <w:right w:val="none" w:sz="0" w:space="0" w:color="auto"/>
                              </w:divBdr>
                              <w:divsChild>
                                <w:div w:id="1117602840">
                                  <w:marLeft w:val="0"/>
                                  <w:marRight w:val="0"/>
                                  <w:marTop w:val="0"/>
                                  <w:marBottom w:val="0"/>
                                  <w:divBdr>
                                    <w:top w:val="none" w:sz="0" w:space="0" w:color="auto"/>
                                    <w:left w:val="none" w:sz="0" w:space="0" w:color="auto"/>
                                    <w:bottom w:val="none" w:sz="0" w:space="0" w:color="auto"/>
                                    <w:right w:val="none" w:sz="0" w:space="0" w:color="auto"/>
                                  </w:divBdr>
                                  <w:divsChild>
                                    <w:div w:id="1691645228">
                                      <w:marLeft w:val="0"/>
                                      <w:marRight w:val="0"/>
                                      <w:marTop w:val="0"/>
                                      <w:marBottom w:val="0"/>
                                      <w:divBdr>
                                        <w:top w:val="none" w:sz="0" w:space="0" w:color="auto"/>
                                        <w:left w:val="none" w:sz="0" w:space="0" w:color="auto"/>
                                        <w:bottom w:val="none" w:sz="0" w:space="0" w:color="auto"/>
                                        <w:right w:val="none" w:sz="0" w:space="0" w:color="auto"/>
                                      </w:divBdr>
                                      <w:divsChild>
                                        <w:div w:id="395663802">
                                          <w:marLeft w:val="0"/>
                                          <w:marRight w:val="0"/>
                                          <w:marTop w:val="0"/>
                                          <w:marBottom w:val="0"/>
                                          <w:divBdr>
                                            <w:top w:val="none" w:sz="0" w:space="0" w:color="auto"/>
                                            <w:left w:val="none" w:sz="0" w:space="0" w:color="auto"/>
                                            <w:bottom w:val="none" w:sz="0" w:space="0" w:color="auto"/>
                                            <w:right w:val="none" w:sz="0" w:space="0" w:color="auto"/>
                                          </w:divBdr>
                                          <w:divsChild>
                                            <w:div w:id="79063351">
                                              <w:marLeft w:val="0"/>
                                              <w:marRight w:val="0"/>
                                              <w:marTop w:val="45"/>
                                              <w:marBottom w:val="45"/>
                                              <w:divBdr>
                                                <w:top w:val="none" w:sz="0" w:space="0" w:color="auto"/>
                                                <w:left w:val="none" w:sz="0" w:space="0" w:color="auto"/>
                                                <w:bottom w:val="none" w:sz="0" w:space="0" w:color="auto"/>
                                                <w:right w:val="none" w:sz="0" w:space="0" w:color="auto"/>
                                              </w:divBdr>
                                              <w:divsChild>
                                                <w:div w:id="182212791">
                                                  <w:marLeft w:val="0"/>
                                                  <w:marRight w:val="0"/>
                                                  <w:marTop w:val="0"/>
                                                  <w:marBottom w:val="0"/>
                                                  <w:divBdr>
                                                    <w:top w:val="none" w:sz="0" w:space="0" w:color="auto"/>
                                                    <w:left w:val="none" w:sz="0" w:space="0" w:color="auto"/>
                                                    <w:bottom w:val="none" w:sz="0" w:space="0" w:color="auto"/>
                                                    <w:right w:val="none" w:sz="0" w:space="0" w:color="auto"/>
                                                  </w:divBdr>
                                                  <w:divsChild>
                                                    <w:div w:id="770123645">
                                                      <w:marLeft w:val="0"/>
                                                      <w:marRight w:val="0"/>
                                                      <w:marTop w:val="0"/>
                                                      <w:marBottom w:val="0"/>
                                                      <w:divBdr>
                                                        <w:top w:val="none" w:sz="0" w:space="0" w:color="auto"/>
                                                        <w:left w:val="none" w:sz="0" w:space="0" w:color="auto"/>
                                                        <w:bottom w:val="none" w:sz="0" w:space="0" w:color="auto"/>
                                                        <w:right w:val="none" w:sz="0" w:space="0" w:color="auto"/>
                                                      </w:divBdr>
                                                      <w:divsChild>
                                                        <w:div w:id="1086657499">
                                                          <w:marLeft w:val="0"/>
                                                          <w:marRight w:val="0"/>
                                                          <w:marTop w:val="0"/>
                                                          <w:marBottom w:val="0"/>
                                                          <w:divBdr>
                                                            <w:top w:val="none" w:sz="0" w:space="0" w:color="auto"/>
                                                            <w:left w:val="none" w:sz="0" w:space="0" w:color="auto"/>
                                                            <w:bottom w:val="none" w:sz="0" w:space="0" w:color="auto"/>
                                                            <w:right w:val="none" w:sz="0" w:space="0" w:color="auto"/>
                                                          </w:divBdr>
                                                        </w:div>
                                                        <w:div w:id="1078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s://josi.journals.griffith.edu.au/index.php/inclusion/article/download/964/88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271343BCD6D049598449C876307003E4" version="1.0.0">
  <systemFields>
    <field name="Objective-Id">
      <value order="0">A19438039</value>
    </field>
    <field name="Objective-Title">
      <value order="0">NDA Review SA Government Response</value>
    </field>
    <field name="Objective-Description">
      <value order="0"/>
    </field>
    <field name="Objective-CreationStamp">
      <value order="0">2018-08-21T04:23:47Z</value>
    </field>
    <field name="Objective-IsApproved">
      <value order="0">false</value>
    </field>
    <field name="Objective-IsPublished">
      <value order="0">true</value>
    </field>
    <field name="Objective-DatePublished">
      <value order="0">2018-09-20T23:48:56Z</value>
    </field>
    <field name="Objective-ModificationStamp">
      <value order="0">2018-09-20T23:48:57Z</value>
    </field>
    <field name="Objective-Owner">
      <value order="0">Cooklin, Simon - SIMOCO</value>
    </field>
    <field name="Objective-Path">
      <value order="0">Global Folder:Disability and Reform:Government Relations:Briefings (Agencies):Agency contributions to submissions:Ministerials and Briefings:Cabinet Submissions:2018 Cabinet Submissions:DHSCS18018 - South Australian Government Response to the Productivity Commission Review of the National Disability Agreement</value>
    </field>
    <field name="Objective-Parent">
      <value order="0">DHSCS18018 - South Australian Government Response to the Productivity Commission Review of the National Disability Agreement</value>
    </field>
    <field name="Objective-State">
      <value order="0">Published</value>
    </field>
    <field name="Objective-VersionId">
      <value order="0">vA26105392</value>
    </field>
    <field name="Objective-Version">
      <value order="0">9.0</value>
    </field>
    <field name="Objective-VersionNumber">
      <value order="0">9</value>
    </field>
    <field name="Objective-VersionComment">
      <value order="0"/>
    </field>
    <field name="Objective-FileNumber">
      <value order="0">qA947536</value>
    </field>
    <field name="Objective-Classification">
      <value order="0"/>
    </field>
    <field name="Objective-Caveats">
      <value order="0"/>
    </field>
  </systemFields>
  <catalogues>
    <catalogue name="Incoming Correspondence Type Catalogue" type="type" ori="id:cA100">
      <field name="Objective-Business Unit">
        <value order="0">kA2203:kA2890</value>
      </field>
      <field name="Objective-Document Type">
        <value order="0">eobjA375234</value>
      </field>
      <field name="Objective-Security Classification">
        <value order="0">kA2790</value>
      </field>
      <field name="Objective-Description - Abstract">
        <value order="0"/>
      </field>
      <field name="Objective-Suburb">
        <value order="0"/>
      </field>
      <field name="Objective-Address Line 1">
        <value order="0"/>
      </field>
      <field name="Objective-Senders Reference">
        <value order="0"/>
      </field>
      <field name="Objective-Author Name">
        <value order="0"/>
      </field>
      <field name="Objective-Date Received">
        <value order="0"/>
      </field>
      <field name="Objective-State">
        <value order="0"/>
      </field>
      <field name="Objective-Action Officer">
        <value order="0"/>
      </field>
      <field name="Objective-Date Reply Due">
        <value order="0"/>
      </field>
      <field name="Objective-Address Line 2">
        <value order="0"/>
      </field>
      <field name="Objective-Date Reply Sent">
        <value order="0"/>
      </field>
      <field name="Objective-Connect Creator">
        <value order="0"/>
      </field>
      <field name="Objective-Date of Correspondence">
        <value order="0"/>
      </field>
      <field name="Objective-Vital Record">
        <value order="0"/>
      </field>
      <field name="Objective-Vital Record Review Due Date">
        <value order="0"/>
      </field>
      <field name="Objective-Postcode">
        <value order="0"/>
      </field>
      <field name="Objective-E-Mail Address">
        <value order="0"/>
      </field>
      <field name="Objective-Telephone">
        <value order="0"/>
      </field>
      <field name="Objective-Deleg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271343BCD6D049598449C876307003E4"/>
  </ds:schemaRefs>
</ds:datastoreItem>
</file>

<file path=customXml/itemProps2.xml><?xml version="1.0" encoding="utf-8"?>
<ds:datastoreItem xmlns:ds="http://schemas.openxmlformats.org/officeDocument/2006/customXml" ds:itemID="{BF71A660-778A-4D20-9830-BF3BFDB25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3513</TotalTime>
  <Pages>21</Pages>
  <Words>4785</Words>
  <Characters>27276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Submission 63 - South Australian Government - National Disability Agreement Review - Commissioned study</vt:lpstr>
    </vt:vector>
  </TitlesOfParts>
  <Company>South Australian Government</Company>
  <LinksUpToDate>false</LinksUpToDate>
  <CharactersWithSpaces>31998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63 - South Australian Government - National Disability Agreement Review - Commissioned study</dc:title>
  <dc:creator>South Australian Government</dc:creator>
  <cp:lastModifiedBy>Productivity Commission</cp:lastModifiedBy>
  <cp:revision>93</cp:revision>
  <cp:lastPrinted>2018-08-22T00:19:00Z</cp:lastPrinted>
  <dcterms:created xsi:type="dcterms:W3CDTF">2018-08-12T23:48:00Z</dcterms:created>
  <dcterms:modified xsi:type="dcterms:W3CDTF">2018-09-24T01:59:00Z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A19438039</vt:lpwstr>
  </property>
  <property fmtid="{D5CDD505-2E9C-101B-9397-08002B2CF9AE}" pid="4" name="Objective-Title">
    <vt:lpwstr>NDA Review SA Government Response</vt:lpwstr>
  </property>
  <property fmtid="{D5CDD505-2E9C-101B-9397-08002B2CF9AE}" pid="5" name="Objective-Comment">
    <vt:lpwstr/>
  </property>
  <property fmtid="{D5CDD505-2E9C-101B-9397-08002B2CF9AE}" pid="6" name="Objective-CreationStamp">
    <vt:filetime>2018-08-27T04:27:22Z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2018-09-20T23:48:56Z</vt:filetime>
  </property>
  <property fmtid="{D5CDD505-2E9C-101B-9397-08002B2CF9AE}" pid="10" name="Objective-ModificationStamp">
    <vt:filetime>2018-09-20T23:49:10Z</vt:filetime>
  </property>
  <property fmtid="{D5CDD505-2E9C-101B-9397-08002B2CF9AE}" pid="11" name="Objective-Owner">
    <vt:lpwstr>Cooklin, Simon - SIMOCO</vt:lpwstr>
  </property>
  <property fmtid="{D5CDD505-2E9C-101B-9397-08002B2CF9AE}" pid="12" name="Objective-Path">
    <vt:lpwstr>Global Folder:Disability and Reform:Government Relations:Briefings (Agencies):Agency contributions to submissions:Ministerials and Briefings:Cabinet Submissions:2018 Cabinet Submissions:DHSCS18018 - South Australian Government Response to the Productivity</vt:lpwstr>
  </property>
  <property fmtid="{D5CDD505-2E9C-101B-9397-08002B2CF9AE}" pid="13" name="Objective-Parent">
    <vt:lpwstr>DHSCS18018 - South Australian Government Response to the Productivity Commission Review of the National Disability Agreement</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DHS/18/09345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Business Unit [system]">
    <vt:lpwstr>DHS:NDIS Reform</vt:lpwstr>
  </property>
  <property fmtid="{D5CDD505-2E9C-101B-9397-08002B2CF9AE}" pid="22" name="Objective-Security Classification [system]">
    <vt:lpwstr>Sensitive: SA Cabinet</vt:lpwstr>
  </property>
  <property fmtid="{D5CDD505-2E9C-101B-9397-08002B2CF9AE}" pid="23" name="Objective-Document Type [system]">
    <vt:lpwstr>Briefing</vt:lpwstr>
  </property>
  <property fmtid="{D5CDD505-2E9C-101B-9397-08002B2CF9AE}" pid="24" name="Objective-Description - Abstract [system]">
    <vt:lpwstr/>
  </property>
  <property fmtid="{D5CDD505-2E9C-101B-9397-08002B2CF9AE}" pid="25" name="Objective-Author Name [system]">
    <vt:lpwstr/>
  </property>
  <property fmtid="{D5CDD505-2E9C-101B-9397-08002B2CF9AE}" pid="26" name="Objective-Action Officer [system]">
    <vt:lpwstr/>
  </property>
  <property fmtid="{D5CDD505-2E9C-101B-9397-08002B2CF9AE}" pid="27" name="Objective-Delegator [system]">
    <vt:lpwstr/>
  </property>
  <property fmtid="{D5CDD505-2E9C-101B-9397-08002B2CF9AE}" pid="28" name="Objective-Description">
    <vt:lpwstr/>
  </property>
  <property fmtid="{D5CDD505-2E9C-101B-9397-08002B2CF9AE}" pid="29" name="Objective-VersionId">
    <vt:lpwstr>vA26105392</vt:lpwstr>
  </property>
  <property fmtid="{D5CDD505-2E9C-101B-9397-08002B2CF9AE}" pid="30" name="Objective-Business Unit">
    <vt:lpwstr>kA2203:kA2890</vt:lpwstr>
  </property>
  <property fmtid="{D5CDD505-2E9C-101B-9397-08002B2CF9AE}" pid="31" name="Objective-Document Type">
    <vt:lpwstr>eobjA375234</vt:lpwstr>
  </property>
  <property fmtid="{D5CDD505-2E9C-101B-9397-08002B2CF9AE}" pid="32" name="Objective-Security Classification">
    <vt:lpwstr>kA2790</vt:lpwstr>
  </property>
  <property fmtid="{D5CDD505-2E9C-101B-9397-08002B2CF9AE}" pid="33" name="Objective-Description - Abstract">
    <vt:lpwstr/>
  </property>
  <property fmtid="{D5CDD505-2E9C-101B-9397-08002B2CF9AE}" pid="34" name="Objective-Author Name">
    <vt:lpwstr/>
  </property>
  <property fmtid="{D5CDD505-2E9C-101B-9397-08002B2CF9AE}" pid="35" name="Objective-Action Officer">
    <vt:lpwstr/>
  </property>
  <property fmtid="{D5CDD505-2E9C-101B-9397-08002B2CF9AE}" pid="36" name="Objective-Delegator">
    <vt:lpwstr/>
  </property>
  <property fmtid="{D5CDD505-2E9C-101B-9397-08002B2CF9AE}" pid="37" name="Objective-Suburb">
    <vt:lpwstr/>
  </property>
  <property fmtid="{D5CDD505-2E9C-101B-9397-08002B2CF9AE}" pid="38" name="Objective-Address Line 1">
    <vt:lpwstr/>
  </property>
  <property fmtid="{D5CDD505-2E9C-101B-9397-08002B2CF9AE}" pid="39" name="Objective-Senders Reference">
    <vt:lpwstr/>
  </property>
  <property fmtid="{D5CDD505-2E9C-101B-9397-08002B2CF9AE}" pid="40" name="Objective-Date Received">
    <vt:lpwstr/>
  </property>
  <property fmtid="{D5CDD505-2E9C-101B-9397-08002B2CF9AE}" pid="41" name="Objective-Date Reply Due">
    <vt:lpwstr/>
  </property>
  <property fmtid="{D5CDD505-2E9C-101B-9397-08002B2CF9AE}" pid="42" name="Objective-Address Line 2">
    <vt:lpwstr/>
  </property>
  <property fmtid="{D5CDD505-2E9C-101B-9397-08002B2CF9AE}" pid="43" name="Objective-Date Reply Sent">
    <vt:lpwstr/>
  </property>
  <property fmtid="{D5CDD505-2E9C-101B-9397-08002B2CF9AE}" pid="44" name="Objective-Date of Correspondence">
    <vt:lpwstr/>
  </property>
  <property fmtid="{D5CDD505-2E9C-101B-9397-08002B2CF9AE}" pid="45" name="Objective-Postcode">
    <vt:lpwstr/>
  </property>
  <property fmtid="{D5CDD505-2E9C-101B-9397-08002B2CF9AE}" pid="46" name="Objective-E-Mail Address">
    <vt:lpwstr/>
  </property>
  <property fmtid="{D5CDD505-2E9C-101B-9397-08002B2CF9AE}" pid="47" name="Objective-Telephone">
    <vt:lpwstr/>
  </property>
  <property fmtid="{D5CDD505-2E9C-101B-9397-08002B2CF9AE}" pid="48" name="Objective-Date of Correspondence [system]">
    <vt:lpwstr/>
  </property>
  <property fmtid="{D5CDD505-2E9C-101B-9397-08002B2CF9AE}" pid="49" name="Objective-Date Received [system]">
    <vt:lpwstr/>
  </property>
  <property fmtid="{D5CDD505-2E9C-101B-9397-08002B2CF9AE}" pid="50" name="Objective-Senders Reference [system]">
    <vt:lpwstr/>
  </property>
  <property fmtid="{D5CDD505-2E9C-101B-9397-08002B2CF9AE}" pid="51" name="Objective-E-Mail Address [system]">
    <vt:lpwstr/>
  </property>
  <property fmtid="{D5CDD505-2E9C-101B-9397-08002B2CF9AE}" pid="52" name="Objective-Telephone [system]">
    <vt:lpwstr/>
  </property>
  <property fmtid="{D5CDD505-2E9C-101B-9397-08002B2CF9AE}" pid="53" name="Objective-Address Line 1 [system]">
    <vt:lpwstr/>
  </property>
  <property fmtid="{D5CDD505-2E9C-101B-9397-08002B2CF9AE}" pid="54" name="Objective-Address Line 2 [system]">
    <vt:lpwstr/>
  </property>
  <property fmtid="{D5CDD505-2E9C-101B-9397-08002B2CF9AE}" pid="55" name="Objective-Suburb [system]">
    <vt:lpwstr/>
  </property>
  <property fmtid="{D5CDD505-2E9C-101B-9397-08002B2CF9AE}" pid="56" name="Objective-State [system]">
    <vt:lpwstr/>
  </property>
  <property fmtid="{D5CDD505-2E9C-101B-9397-08002B2CF9AE}" pid="57" name="Objective-Postcode [system]">
    <vt:lpwstr/>
  </property>
  <property fmtid="{D5CDD505-2E9C-101B-9397-08002B2CF9AE}" pid="58" name="Objective-Date Reply Due [system]">
    <vt:lpwstr/>
  </property>
  <property fmtid="{D5CDD505-2E9C-101B-9397-08002B2CF9AE}" pid="59" name="Objective-Date Reply Sent [system]">
    <vt:lpwstr/>
  </property>
  <property fmtid="{D5CDD505-2E9C-101B-9397-08002B2CF9AE}" pid="60" name="Objective-Connect Creator">
    <vt:lpwstr/>
  </property>
  <property fmtid="{D5CDD505-2E9C-101B-9397-08002B2CF9AE}" pid="61" name="Objective-Connect Creator [system]">
    <vt:lpwstr/>
  </property>
  <property fmtid="{D5CDD505-2E9C-101B-9397-08002B2CF9AE}" pid="62" name="Objective-Vital Record">
    <vt:lpwstr/>
  </property>
  <property fmtid="{D5CDD505-2E9C-101B-9397-08002B2CF9AE}" pid="63" name="Objective-Vital Record Review Due Date">
    <vt:lpwstr/>
  </property>
  <property fmtid="{D5CDD505-2E9C-101B-9397-08002B2CF9AE}" pid="64" name="Objective-Vital Record [system]">
    <vt:lpwstr/>
  </property>
  <property fmtid="{D5CDD505-2E9C-101B-9397-08002B2CF9AE}" pid="65" name="Objective-Vital Record Review Due Date [system]">
    <vt:lpwstr/>
  </property>
</Properties>
</file>