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5216D" w14:textId="28C40D29" w:rsidR="00A4639A" w:rsidRDefault="00A4639A" w:rsidP="00FC7A7E">
      <w:pPr>
        <w:pStyle w:val="Text"/>
        <w:spacing w:line="276" w:lineRule="auto"/>
        <w:rPr>
          <w:rFonts w:asciiTheme="minorHAnsi" w:hAnsiTheme="minorHAnsi" w:cstheme="minorHAnsi"/>
          <w:sz w:val="22"/>
          <w:szCs w:val="22"/>
        </w:rPr>
      </w:pPr>
      <w:bookmarkStart w:id="0" w:name="_Hlk516152480"/>
      <w:bookmarkStart w:id="1" w:name="_GoBack"/>
      <w:bookmarkEnd w:id="1"/>
      <w:r w:rsidRPr="00FC7A7E">
        <w:rPr>
          <w:rFonts w:asciiTheme="minorHAnsi" w:hAnsiTheme="minorHAnsi" w:cstheme="minorHAnsi"/>
          <w:sz w:val="22"/>
          <w:szCs w:val="22"/>
        </w:rPr>
        <w:t>I completed my PhD at Victoria University in 2018, focussing on the self-management of depression in older adults. For this work, I was awarded the Victoria University Medal for Academic Excellence.</w:t>
      </w:r>
      <w:r w:rsidR="000C23FD" w:rsidRPr="00FC7A7E">
        <w:rPr>
          <w:rFonts w:asciiTheme="minorHAnsi" w:hAnsiTheme="minorHAnsi" w:cstheme="minorHAnsi"/>
          <w:sz w:val="22"/>
          <w:szCs w:val="22"/>
        </w:rPr>
        <w:t xml:space="preserve"> I’d like to outline some facts before listing several findings </w:t>
      </w:r>
      <w:r w:rsidR="00FC7A7E" w:rsidRPr="00FC7A7E">
        <w:rPr>
          <w:rFonts w:asciiTheme="minorHAnsi" w:hAnsiTheme="minorHAnsi" w:cstheme="minorHAnsi"/>
          <w:sz w:val="22"/>
          <w:szCs w:val="22"/>
        </w:rPr>
        <w:t xml:space="preserve">and implications </w:t>
      </w:r>
      <w:r w:rsidR="000C23FD" w:rsidRPr="00FC7A7E">
        <w:rPr>
          <w:rFonts w:asciiTheme="minorHAnsi" w:hAnsiTheme="minorHAnsi" w:cstheme="minorHAnsi"/>
          <w:sz w:val="22"/>
          <w:szCs w:val="22"/>
        </w:rPr>
        <w:t>from my study.</w:t>
      </w:r>
    </w:p>
    <w:p w14:paraId="0439AF32" w14:textId="77777777" w:rsidR="00D248E1" w:rsidRPr="00FC7A7E" w:rsidRDefault="00D248E1" w:rsidP="00FC7A7E">
      <w:pPr>
        <w:pStyle w:val="Text"/>
        <w:spacing w:line="276" w:lineRule="auto"/>
        <w:rPr>
          <w:rFonts w:asciiTheme="minorHAnsi" w:hAnsiTheme="minorHAnsi" w:cstheme="minorHAnsi"/>
          <w:sz w:val="22"/>
          <w:szCs w:val="22"/>
        </w:rPr>
      </w:pPr>
    </w:p>
    <w:p w14:paraId="095031C3" w14:textId="77777777" w:rsidR="000C23FD" w:rsidRPr="00FC7A7E" w:rsidRDefault="000C23FD" w:rsidP="00FC7A7E">
      <w:pPr>
        <w:pStyle w:val="Text"/>
        <w:spacing w:line="276" w:lineRule="auto"/>
        <w:rPr>
          <w:rFonts w:asciiTheme="minorHAnsi" w:hAnsiTheme="minorHAnsi" w:cstheme="minorHAnsi"/>
          <w:b/>
          <w:sz w:val="22"/>
          <w:szCs w:val="22"/>
        </w:rPr>
      </w:pPr>
      <w:r w:rsidRPr="00FC7A7E">
        <w:rPr>
          <w:rFonts w:asciiTheme="minorHAnsi" w:hAnsiTheme="minorHAnsi" w:cstheme="minorHAnsi"/>
          <w:b/>
          <w:sz w:val="22"/>
          <w:szCs w:val="22"/>
        </w:rPr>
        <w:t>Facts:</w:t>
      </w:r>
    </w:p>
    <w:p w14:paraId="6491AD2D" w14:textId="426D1AD6" w:rsidR="000C23FD" w:rsidRPr="00FC7A7E" w:rsidRDefault="00A4639A"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 xml:space="preserve">Depression is the most common mental disorder in older adults </w:t>
      </w:r>
      <w:r w:rsidR="000C23FD" w:rsidRPr="00FC7A7E">
        <w:rPr>
          <w:rFonts w:asciiTheme="minorHAnsi" w:hAnsiTheme="minorHAnsi" w:cstheme="minorHAnsi"/>
          <w:noProof/>
          <w:sz w:val="22"/>
          <w:szCs w:val="22"/>
        </w:rPr>
        <w:t>(World Health Organization, 2015)</w:t>
      </w:r>
      <w:r w:rsidRPr="00FC7A7E">
        <w:rPr>
          <w:rFonts w:asciiTheme="minorHAnsi" w:hAnsiTheme="minorHAnsi" w:cstheme="minorHAnsi"/>
          <w:sz w:val="22"/>
          <w:szCs w:val="22"/>
        </w:rPr>
        <w:t xml:space="preserve">. </w:t>
      </w:r>
    </w:p>
    <w:p w14:paraId="43AD7F0C" w14:textId="2E209759" w:rsidR="000C23FD" w:rsidRPr="00FC7A7E" w:rsidRDefault="00A4639A"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 xml:space="preserve">In developed countries, it is experienced by between 10 and 40% of community dwelling older adults </w:t>
      </w:r>
      <w:r w:rsidR="00FE5117" w:rsidRPr="00FC7A7E">
        <w:rPr>
          <w:rFonts w:asciiTheme="minorHAnsi" w:hAnsiTheme="minorHAnsi" w:cstheme="minorHAnsi"/>
          <w:noProof/>
          <w:sz w:val="22"/>
          <w:szCs w:val="22"/>
        </w:rPr>
        <w:t>(Blackburn, Wilkins-Ho, &amp; Wiese, 2017)</w:t>
      </w:r>
      <w:r w:rsidRPr="00FC7A7E">
        <w:rPr>
          <w:rFonts w:asciiTheme="minorHAnsi" w:hAnsiTheme="minorHAnsi" w:cstheme="minorHAnsi"/>
          <w:sz w:val="22"/>
          <w:szCs w:val="22"/>
        </w:rPr>
        <w:t>.</w:t>
      </w:r>
      <w:r w:rsidR="000C23FD" w:rsidRPr="00FC7A7E">
        <w:rPr>
          <w:rFonts w:asciiTheme="minorHAnsi" w:hAnsiTheme="minorHAnsi" w:cstheme="minorHAnsi"/>
          <w:sz w:val="22"/>
          <w:szCs w:val="22"/>
        </w:rPr>
        <w:t xml:space="preserve"> </w:t>
      </w:r>
    </w:p>
    <w:p w14:paraId="71EFD82E" w14:textId="4246BE94" w:rsidR="000C23FD" w:rsidRPr="00FC7A7E" w:rsidRDefault="000C23FD"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 xml:space="preserve">Establishing the incidence of depression in older Australians living in the community is challenging, with variability in estimates attributed to researchers’ use of different instruments, sample sizes, age parameters and age-related screening bias. Hence, the estimate of up to 15% continues to be cited widely </w:t>
      </w:r>
      <w:r w:rsidRPr="00FC7A7E">
        <w:rPr>
          <w:rFonts w:asciiTheme="minorHAnsi" w:hAnsiTheme="minorHAnsi" w:cstheme="minorHAnsi"/>
          <w:noProof/>
          <w:sz w:val="22"/>
          <w:szCs w:val="22"/>
        </w:rPr>
        <w:t>(Pirkis et al., 2009)</w:t>
      </w:r>
      <w:r w:rsidRPr="00FC7A7E">
        <w:rPr>
          <w:rFonts w:asciiTheme="minorHAnsi" w:hAnsiTheme="minorHAnsi" w:cstheme="minorHAnsi"/>
          <w:sz w:val="22"/>
          <w:szCs w:val="22"/>
        </w:rPr>
        <w:t>. However, it is highly likely that depression in older adults is under-estimated and under-treated.</w:t>
      </w:r>
    </w:p>
    <w:p w14:paraId="19456156" w14:textId="3D219D15" w:rsidR="00A4639A" w:rsidRPr="00FC7A7E" w:rsidRDefault="00A4639A" w:rsidP="00FC7A7E">
      <w:pPr>
        <w:pStyle w:val="Text"/>
        <w:numPr>
          <w:ilvl w:val="0"/>
          <w:numId w:val="2"/>
        </w:numPr>
        <w:spacing w:line="276" w:lineRule="auto"/>
        <w:ind w:left="426" w:hanging="426"/>
        <w:rPr>
          <w:rStyle w:val="TextChar"/>
          <w:rFonts w:asciiTheme="minorHAnsi" w:hAnsiTheme="minorHAnsi" w:cstheme="minorHAnsi"/>
          <w:sz w:val="22"/>
          <w:szCs w:val="22"/>
        </w:rPr>
      </w:pPr>
      <w:r w:rsidRPr="00FC7A7E">
        <w:rPr>
          <w:rFonts w:asciiTheme="minorHAnsi" w:hAnsiTheme="minorHAnsi" w:cstheme="minorHAnsi"/>
          <w:sz w:val="22"/>
          <w:szCs w:val="22"/>
        </w:rPr>
        <w:t xml:space="preserve">This is significant, because </w:t>
      </w:r>
      <w:bookmarkStart w:id="2" w:name="_Hlk503870959"/>
      <w:bookmarkEnd w:id="0"/>
      <w:r w:rsidRPr="00FC7A7E">
        <w:rPr>
          <w:rFonts w:asciiTheme="minorHAnsi" w:hAnsiTheme="minorHAnsi" w:cstheme="minorHAnsi"/>
          <w:sz w:val="22"/>
          <w:szCs w:val="22"/>
        </w:rPr>
        <w:t xml:space="preserve">depression </w:t>
      </w:r>
      <w:r w:rsidR="000C23FD" w:rsidRPr="00FC7A7E">
        <w:rPr>
          <w:rFonts w:asciiTheme="minorHAnsi" w:hAnsiTheme="minorHAnsi" w:cstheme="minorHAnsi"/>
          <w:sz w:val="22"/>
          <w:szCs w:val="22"/>
        </w:rPr>
        <w:t xml:space="preserve">in </w:t>
      </w:r>
      <w:r w:rsidRPr="00FC7A7E">
        <w:rPr>
          <w:rFonts w:asciiTheme="minorHAnsi" w:hAnsiTheme="minorHAnsi" w:cstheme="minorHAnsi"/>
          <w:sz w:val="22"/>
          <w:szCs w:val="22"/>
        </w:rPr>
        <w:t>older adults follows a more chronic course and higher relapse rates than depression earlier in life</w:t>
      </w:r>
      <w:r w:rsidR="000C23FD" w:rsidRPr="00FC7A7E">
        <w:rPr>
          <w:rFonts w:asciiTheme="minorHAnsi" w:hAnsiTheme="minorHAnsi" w:cstheme="minorHAnsi"/>
          <w:sz w:val="22"/>
          <w:szCs w:val="22"/>
        </w:rPr>
        <w:t>. L</w:t>
      </w:r>
      <w:r w:rsidRPr="00FC7A7E">
        <w:rPr>
          <w:rFonts w:asciiTheme="minorHAnsi" w:hAnsiTheme="minorHAnsi" w:cstheme="minorHAnsi"/>
          <w:sz w:val="22"/>
          <w:szCs w:val="22"/>
        </w:rPr>
        <w:t xml:space="preserve">eft undiagnosed and untreated, it also often produces adverse effects such as </w:t>
      </w:r>
      <w:r w:rsidRPr="00FC7A7E">
        <w:rPr>
          <w:rStyle w:val="TextChar"/>
          <w:rFonts w:asciiTheme="minorHAnsi" w:hAnsiTheme="minorHAnsi" w:cstheme="minorHAnsi"/>
          <w:sz w:val="22"/>
          <w:szCs w:val="22"/>
        </w:rPr>
        <w:t>physical illness, a decline in functioning and loss of independence</w:t>
      </w:r>
      <w:r w:rsidR="000C23FD" w:rsidRPr="00FC7A7E">
        <w:rPr>
          <w:rStyle w:val="TextChar"/>
          <w:rFonts w:asciiTheme="minorHAnsi" w:hAnsiTheme="minorHAnsi" w:cstheme="minorHAnsi"/>
          <w:sz w:val="22"/>
          <w:szCs w:val="22"/>
        </w:rPr>
        <w:t>. T</w:t>
      </w:r>
      <w:r w:rsidR="000C23FD" w:rsidRPr="00FC7A7E">
        <w:rPr>
          <w:rFonts w:asciiTheme="minorHAnsi" w:hAnsiTheme="minorHAnsi" w:cstheme="minorHAnsi"/>
          <w:sz w:val="22"/>
          <w:szCs w:val="22"/>
        </w:rPr>
        <w:t xml:space="preserve">here are </w:t>
      </w:r>
      <w:r w:rsidRPr="00FC7A7E">
        <w:rPr>
          <w:rStyle w:val="TextChar"/>
          <w:rFonts w:asciiTheme="minorHAnsi" w:hAnsiTheme="minorHAnsi" w:cstheme="minorHAnsi"/>
          <w:sz w:val="22"/>
          <w:szCs w:val="22"/>
        </w:rPr>
        <w:t>reciprocal associations between depression in older adults and increased falls</w:t>
      </w:r>
      <w:r w:rsidR="000C23FD" w:rsidRPr="00FC7A7E">
        <w:rPr>
          <w:rStyle w:val="TextChar"/>
          <w:rFonts w:asciiTheme="minorHAnsi" w:hAnsiTheme="minorHAnsi" w:cstheme="minorHAnsi"/>
          <w:sz w:val="22"/>
          <w:szCs w:val="22"/>
        </w:rPr>
        <w:t xml:space="preserve">, </w:t>
      </w:r>
      <w:r w:rsidRPr="00FC7A7E">
        <w:rPr>
          <w:rStyle w:val="TextChar"/>
          <w:rFonts w:asciiTheme="minorHAnsi" w:hAnsiTheme="minorHAnsi" w:cstheme="minorHAnsi"/>
          <w:sz w:val="22"/>
          <w:szCs w:val="22"/>
        </w:rPr>
        <w:t>overall frailty</w:t>
      </w:r>
      <w:r w:rsidR="000C23FD" w:rsidRPr="00FC7A7E">
        <w:rPr>
          <w:rStyle w:val="TextChar"/>
          <w:rFonts w:asciiTheme="minorHAnsi" w:hAnsiTheme="minorHAnsi" w:cstheme="minorHAnsi"/>
          <w:sz w:val="22"/>
          <w:szCs w:val="22"/>
        </w:rPr>
        <w:t xml:space="preserve"> and</w:t>
      </w:r>
      <w:r w:rsidR="000C23FD" w:rsidRPr="00FC7A7E">
        <w:rPr>
          <w:rFonts w:asciiTheme="minorHAnsi" w:hAnsiTheme="minorHAnsi" w:cstheme="minorHAnsi"/>
          <w:sz w:val="22"/>
          <w:szCs w:val="22"/>
        </w:rPr>
        <w:t xml:space="preserve"> </w:t>
      </w:r>
      <w:r w:rsidRPr="00FC7A7E">
        <w:rPr>
          <w:rStyle w:val="TextChar"/>
          <w:rFonts w:asciiTheme="minorHAnsi" w:hAnsiTheme="minorHAnsi" w:cstheme="minorHAnsi"/>
          <w:sz w:val="22"/>
          <w:szCs w:val="22"/>
        </w:rPr>
        <w:t>greater self-neglect</w:t>
      </w:r>
      <w:r w:rsidR="000C23FD" w:rsidRPr="00FC7A7E">
        <w:rPr>
          <w:rStyle w:val="TextChar"/>
          <w:rFonts w:asciiTheme="minorHAnsi" w:hAnsiTheme="minorHAnsi" w:cstheme="minorHAnsi"/>
          <w:sz w:val="22"/>
          <w:szCs w:val="22"/>
        </w:rPr>
        <w:t>, and death by suicide. T</w:t>
      </w:r>
      <w:r w:rsidRPr="00FC7A7E">
        <w:rPr>
          <w:rStyle w:val="TextChar"/>
          <w:rFonts w:asciiTheme="minorHAnsi" w:hAnsiTheme="minorHAnsi" w:cstheme="minorHAnsi"/>
          <w:sz w:val="22"/>
          <w:szCs w:val="22"/>
        </w:rPr>
        <w:t xml:space="preserve">here are </w:t>
      </w:r>
      <w:r w:rsidR="000C23FD" w:rsidRPr="00FC7A7E">
        <w:rPr>
          <w:rStyle w:val="TextChar"/>
          <w:rFonts w:asciiTheme="minorHAnsi" w:hAnsiTheme="minorHAnsi" w:cstheme="minorHAnsi"/>
          <w:sz w:val="22"/>
          <w:szCs w:val="22"/>
        </w:rPr>
        <w:t xml:space="preserve">also </w:t>
      </w:r>
      <w:r w:rsidRPr="00FC7A7E">
        <w:rPr>
          <w:rStyle w:val="TextChar"/>
          <w:rFonts w:asciiTheme="minorHAnsi" w:hAnsiTheme="minorHAnsi" w:cstheme="minorHAnsi"/>
          <w:sz w:val="22"/>
          <w:szCs w:val="22"/>
        </w:rPr>
        <w:t xml:space="preserve">indications of a link between long-term depression and cognitive impairment, including dementia </w:t>
      </w:r>
      <w:r w:rsidR="00FE5117" w:rsidRPr="00FC7A7E">
        <w:rPr>
          <w:rFonts w:asciiTheme="minorHAnsi" w:hAnsiTheme="minorHAnsi" w:cstheme="minorHAnsi"/>
          <w:noProof/>
          <w:sz w:val="22"/>
          <w:szCs w:val="22"/>
        </w:rPr>
        <w:t>(Do Couto et al., 2016; Soysal et al., 2017)</w:t>
      </w:r>
      <w:r w:rsidRPr="00FC7A7E">
        <w:rPr>
          <w:rStyle w:val="TextChar"/>
          <w:rFonts w:asciiTheme="minorHAnsi" w:hAnsiTheme="minorHAnsi" w:cstheme="minorHAnsi"/>
          <w:sz w:val="22"/>
          <w:szCs w:val="22"/>
        </w:rPr>
        <w:t xml:space="preserve">. </w:t>
      </w:r>
    </w:p>
    <w:bookmarkEnd w:id="2"/>
    <w:p w14:paraId="15B3E734" w14:textId="77777777" w:rsidR="00A4639A" w:rsidRPr="00FC7A7E" w:rsidRDefault="000C23FD"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Individuals and health professionals are still influenced by the erroneous belief that depression is a normal part of ageing.</w:t>
      </w:r>
    </w:p>
    <w:p w14:paraId="31B969E4" w14:textId="10762216" w:rsidR="000C23FD" w:rsidRPr="00FC7A7E" w:rsidRDefault="000C23FD" w:rsidP="00FC7A7E">
      <w:pPr>
        <w:pStyle w:val="Text"/>
        <w:numPr>
          <w:ilvl w:val="0"/>
          <w:numId w:val="2"/>
        </w:numPr>
        <w:spacing w:line="276" w:lineRule="auto"/>
        <w:ind w:left="426" w:hanging="426"/>
        <w:rPr>
          <w:rStyle w:val="TextChar"/>
          <w:rFonts w:asciiTheme="minorHAnsi" w:hAnsiTheme="minorHAnsi" w:cstheme="minorHAnsi"/>
          <w:sz w:val="22"/>
          <w:szCs w:val="22"/>
        </w:rPr>
      </w:pPr>
      <w:r w:rsidRPr="00FC7A7E">
        <w:rPr>
          <w:rFonts w:asciiTheme="minorHAnsi" w:hAnsiTheme="minorHAnsi" w:cstheme="minorHAnsi"/>
          <w:sz w:val="22"/>
          <w:szCs w:val="22"/>
        </w:rPr>
        <w:t xml:space="preserve">It </w:t>
      </w:r>
      <w:r w:rsidR="00C33299" w:rsidRPr="00FC7A7E">
        <w:rPr>
          <w:rFonts w:asciiTheme="minorHAnsi" w:hAnsiTheme="minorHAnsi" w:cstheme="minorHAnsi"/>
          <w:sz w:val="22"/>
          <w:szCs w:val="22"/>
        </w:rPr>
        <w:t>is</w:t>
      </w:r>
      <w:r w:rsidRPr="00FC7A7E">
        <w:rPr>
          <w:rFonts w:asciiTheme="minorHAnsi" w:hAnsiTheme="minorHAnsi" w:cstheme="minorHAnsi"/>
          <w:sz w:val="22"/>
          <w:szCs w:val="22"/>
        </w:rPr>
        <w:t xml:space="preserve"> difficult for older adults to obtain a diagnosis and appropriate treatment for depression </w:t>
      </w:r>
      <w:r w:rsidR="00DA6C6E" w:rsidRPr="00FC7A7E">
        <w:rPr>
          <w:rFonts w:asciiTheme="minorHAnsi" w:hAnsiTheme="minorHAnsi" w:cstheme="minorHAnsi"/>
          <w:noProof/>
          <w:sz w:val="22"/>
          <w:szCs w:val="22"/>
        </w:rPr>
        <w:t>(Xiang, Danilovich, Tomasino, &amp; Jordan, 2018)</w:t>
      </w:r>
      <w:r w:rsidR="00DA6C6E" w:rsidRPr="00FC7A7E">
        <w:rPr>
          <w:rFonts w:asciiTheme="minorHAnsi" w:hAnsiTheme="minorHAnsi" w:cstheme="minorHAnsi"/>
          <w:sz w:val="22"/>
          <w:szCs w:val="22"/>
        </w:rPr>
        <w:t>.</w:t>
      </w:r>
    </w:p>
    <w:p w14:paraId="31202BEB" w14:textId="77777777" w:rsidR="00A4639A" w:rsidRPr="00FC7A7E" w:rsidRDefault="00A4639A" w:rsidP="00FC7A7E">
      <w:pPr>
        <w:pStyle w:val="Text"/>
        <w:spacing w:line="276" w:lineRule="auto"/>
        <w:rPr>
          <w:rFonts w:asciiTheme="minorHAnsi" w:hAnsiTheme="minorHAnsi" w:cstheme="minorHAnsi"/>
          <w:sz w:val="22"/>
          <w:szCs w:val="22"/>
        </w:rPr>
      </w:pPr>
    </w:p>
    <w:p w14:paraId="3A4192EA" w14:textId="77777777" w:rsidR="002F2087" w:rsidRPr="00FC7A7E" w:rsidRDefault="00DA6C6E" w:rsidP="00FC7A7E">
      <w:pPr>
        <w:pStyle w:val="Text"/>
        <w:spacing w:line="276" w:lineRule="auto"/>
        <w:rPr>
          <w:rFonts w:asciiTheme="minorHAnsi" w:hAnsiTheme="minorHAnsi" w:cstheme="minorHAnsi"/>
          <w:b/>
          <w:sz w:val="22"/>
          <w:szCs w:val="22"/>
        </w:rPr>
      </w:pPr>
      <w:bookmarkStart w:id="3" w:name="Helpseeking"/>
      <w:bookmarkStart w:id="4" w:name="_Toc498329083"/>
      <w:bookmarkStart w:id="5" w:name="_Toc519333257"/>
      <w:bookmarkEnd w:id="3"/>
      <w:r w:rsidRPr="00FC7A7E">
        <w:rPr>
          <w:rFonts w:asciiTheme="minorHAnsi" w:hAnsiTheme="minorHAnsi" w:cstheme="minorHAnsi"/>
          <w:b/>
          <w:sz w:val="22"/>
          <w:szCs w:val="22"/>
        </w:rPr>
        <w:t xml:space="preserve">Findings </w:t>
      </w:r>
      <w:r w:rsidR="002F2087" w:rsidRPr="00FC7A7E">
        <w:rPr>
          <w:rFonts w:asciiTheme="minorHAnsi" w:hAnsiTheme="minorHAnsi" w:cstheme="minorHAnsi"/>
          <w:b/>
          <w:sz w:val="22"/>
          <w:szCs w:val="22"/>
        </w:rPr>
        <w:t>from my Australian study:</w:t>
      </w:r>
    </w:p>
    <w:p w14:paraId="290F1257" w14:textId="20DBCA9A" w:rsidR="00FE5117" w:rsidRPr="00FC7A7E" w:rsidRDefault="00FE5117" w:rsidP="00FC7A7E">
      <w:pPr>
        <w:pStyle w:val="Text"/>
        <w:numPr>
          <w:ilvl w:val="0"/>
          <w:numId w:val="2"/>
        </w:numPr>
        <w:spacing w:line="276" w:lineRule="auto"/>
        <w:ind w:left="426" w:hanging="426"/>
        <w:rPr>
          <w:rFonts w:asciiTheme="minorHAnsi" w:hAnsiTheme="minorHAnsi" w:cstheme="minorHAnsi"/>
          <w:sz w:val="22"/>
          <w:szCs w:val="22"/>
        </w:rPr>
      </w:pPr>
      <w:bookmarkStart w:id="6" w:name="_Hlk503870531"/>
      <w:bookmarkEnd w:id="4"/>
      <w:bookmarkEnd w:id="5"/>
      <w:r w:rsidRPr="00FC7A7E">
        <w:rPr>
          <w:rFonts w:asciiTheme="minorHAnsi" w:hAnsiTheme="minorHAnsi" w:cstheme="minorHAnsi"/>
          <w:sz w:val="22"/>
          <w:szCs w:val="22"/>
        </w:rPr>
        <w:t>Participants’ symptoms were frequently attributed to age or remained undistinguished from normal ageing</w:t>
      </w:r>
      <w:r w:rsidR="003B5F25">
        <w:rPr>
          <w:rFonts w:asciiTheme="minorHAnsi" w:hAnsiTheme="minorHAnsi" w:cstheme="minorHAnsi"/>
          <w:sz w:val="22"/>
          <w:szCs w:val="22"/>
        </w:rPr>
        <w:t xml:space="preserve"> </w:t>
      </w:r>
      <w:r w:rsidR="003B5F25">
        <w:rPr>
          <w:rFonts w:asciiTheme="minorHAnsi" w:hAnsiTheme="minorHAnsi" w:cstheme="minorHAnsi"/>
          <w:noProof/>
          <w:sz w:val="22"/>
          <w:szCs w:val="22"/>
        </w:rPr>
        <w:t>(Polacsek, Boardman, &amp; McCann, 2018)</w:t>
      </w:r>
      <w:r w:rsidRPr="00FC7A7E">
        <w:rPr>
          <w:rFonts w:asciiTheme="minorHAnsi" w:hAnsiTheme="minorHAnsi" w:cstheme="minorHAnsi"/>
          <w:sz w:val="22"/>
          <w:szCs w:val="22"/>
        </w:rPr>
        <w:t xml:space="preserve">. </w:t>
      </w:r>
    </w:p>
    <w:p w14:paraId="048147AD" w14:textId="5F1B6FF6" w:rsidR="00FE5117" w:rsidRPr="00FC7A7E" w:rsidRDefault="00FE5117"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Numerous examples were given of health professionals, especially GPs and psychiatrists, patronising participants, listening less to their views and cutting short the clinical consultation time spent with them</w:t>
      </w:r>
      <w:r w:rsidR="003B5F25">
        <w:rPr>
          <w:rFonts w:asciiTheme="minorHAnsi" w:hAnsiTheme="minorHAnsi" w:cstheme="minorHAnsi"/>
          <w:sz w:val="22"/>
          <w:szCs w:val="22"/>
        </w:rPr>
        <w:t xml:space="preserve"> </w:t>
      </w:r>
      <w:r w:rsidR="003B5F25">
        <w:rPr>
          <w:rFonts w:asciiTheme="minorHAnsi" w:hAnsiTheme="minorHAnsi" w:cstheme="minorHAnsi"/>
          <w:noProof/>
          <w:sz w:val="22"/>
          <w:szCs w:val="22"/>
        </w:rPr>
        <w:t>(Polacsek, Boardman, &amp; McCann, 2019)</w:t>
      </w:r>
      <w:r w:rsidRPr="00FC7A7E">
        <w:rPr>
          <w:rFonts w:asciiTheme="minorHAnsi" w:hAnsiTheme="minorHAnsi" w:cstheme="minorHAnsi"/>
          <w:sz w:val="22"/>
          <w:szCs w:val="22"/>
        </w:rPr>
        <w:t xml:space="preserve">.  </w:t>
      </w:r>
    </w:p>
    <w:p w14:paraId="0D999921" w14:textId="724EA1BA" w:rsidR="0032076B" w:rsidRPr="00FC7A7E" w:rsidRDefault="0032076B"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Health professionals, including GPs, frequently lacked the skills to diagnose depression in older adults, and/or confused participants’ symptoms with those of physical illness.</w:t>
      </w:r>
    </w:p>
    <w:p w14:paraId="729FF08C" w14:textId="1A2EB9C6" w:rsidR="0032076B" w:rsidRPr="00FC7A7E" w:rsidRDefault="0032076B"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All had initially been prescribed antidepressants, but very few had been referred for psychotherapy. The relatively low referral for psychotherapy may reflect the erroneous belief that older adults are less likely than younger adults to benefit from this therapy.</w:t>
      </w:r>
    </w:p>
    <w:bookmarkEnd w:id="6"/>
    <w:p w14:paraId="06135D61" w14:textId="5DC2D3BC" w:rsidR="00A4639A" w:rsidRPr="00FC7A7E" w:rsidRDefault="00A4639A" w:rsidP="00FC7A7E">
      <w:pPr>
        <w:pStyle w:val="Text"/>
        <w:spacing w:line="276" w:lineRule="auto"/>
        <w:rPr>
          <w:rFonts w:asciiTheme="minorHAnsi" w:hAnsiTheme="minorHAnsi" w:cstheme="minorHAnsi"/>
          <w:sz w:val="22"/>
          <w:szCs w:val="22"/>
        </w:rPr>
      </w:pPr>
    </w:p>
    <w:p w14:paraId="1641CB2F" w14:textId="6EA50D05" w:rsidR="00931A31" w:rsidRPr="00FC7A7E" w:rsidRDefault="00931A31" w:rsidP="00FC7A7E">
      <w:pPr>
        <w:pStyle w:val="Text"/>
        <w:spacing w:line="276" w:lineRule="auto"/>
        <w:rPr>
          <w:rFonts w:asciiTheme="minorHAnsi" w:hAnsiTheme="minorHAnsi" w:cstheme="minorHAnsi"/>
          <w:b/>
          <w:sz w:val="22"/>
          <w:szCs w:val="22"/>
        </w:rPr>
      </w:pPr>
      <w:r w:rsidRPr="00FC7A7E">
        <w:rPr>
          <w:rFonts w:asciiTheme="minorHAnsi" w:hAnsiTheme="minorHAnsi" w:cstheme="minorHAnsi"/>
          <w:b/>
          <w:sz w:val="22"/>
          <w:szCs w:val="22"/>
        </w:rPr>
        <w:t>Implications:</w:t>
      </w:r>
    </w:p>
    <w:p w14:paraId="2593B7AA" w14:textId="77777777" w:rsidR="00931A31" w:rsidRPr="00FC7A7E" w:rsidRDefault="00931A31"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Population ageing will require that healthcare systems meet the needs of a growing number of older adults with depression.</w:t>
      </w:r>
    </w:p>
    <w:p w14:paraId="14951931" w14:textId="64B9BFDA" w:rsidR="00931A31" w:rsidRPr="00FC7A7E" w:rsidRDefault="00931A31"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 xml:space="preserve">Older adults, GPs and other </w:t>
      </w:r>
      <w:r w:rsidR="00D7444C">
        <w:rPr>
          <w:rFonts w:asciiTheme="minorHAnsi" w:hAnsiTheme="minorHAnsi" w:cstheme="minorHAnsi"/>
          <w:sz w:val="22"/>
          <w:szCs w:val="22"/>
        </w:rPr>
        <w:t xml:space="preserve">mental </w:t>
      </w:r>
      <w:r w:rsidRPr="00FC7A7E">
        <w:rPr>
          <w:rFonts w:asciiTheme="minorHAnsi" w:hAnsiTheme="minorHAnsi" w:cstheme="minorHAnsi"/>
          <w:sz w:val="22"/>
          <w:szCs w:val="22"/>
        </w:rPr>
        <w:t xml:space="preserve">health/aged care clinicians need to improve their understanding of the experience of depression in older age. </w:t>
      </w:r>
    </w:p>
    <w:p w14:paraId="5E409883" w14:textId="77777777" w:rsidR="000C23E6" w:rsidRPr="00FC7A7E" w:rsidRDefault="00931A31"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Practical strategies are needed to reduce stigma</w:t>
      </w:r>
      <w:r w:rsidR="000C23E6" w:rsidRPr="00FC7A7E">
        <w:rPr>
          <w:rFonts w:asciiTheme="minorHAnsi" w:hAnsiTheme="minorHAnsi" w:cstheme="minorHAnsi"/>
          <w:sz w:val="22"/>
          <w:szCs w:val="22"/>
        </w:rPr>
        <w:t xml:space="preserve"> and</w:t>
      </w:r>
      <w:r w:rsidRPr="00FC7A7E">
        <w:rPr>
          <w:rFonts w:asciiTheme="minorHAnsi" w:hAnsiTheme="minorHAnsi" w:cstheme="minorHAnsi"/>
          <w:sz w:val="22"/>
          <w:szCs w:val="22"/>
        </w:rPr>
        <w:t xml:space="preserve"> </w:t>
      </w:r>
      <w:r w:rsidR="000C23E6" w:rsidRPr="00FC7A7E">
        <w:rPr>
          <w:rFonts w:asciiTheme="minorHAnsi" w:hAnsiTheme="minorHAnsi" w:cstheme="minorHAnsi"/>
          <w:sz w:val="22"/>
          <w:szCs w:val="22"/>
        </w:rPr>
        <w:t xml:space="preserve">address </w:t>
      </w:r>
      <w:r w:rsidRPr="00FC7A7E">
        <w:rPr>
          <w:rFonts w:asciiTheme="minorHAnsi" w:hAnsiTheme="minorHAnsi" w:cstheme="minorHAnsi"/>
          <w:sz w:val="22"/>
          <w:szCs w:val="22"/>
        </w:rPr>
        <w:t>the deleterious effects of ageism</w:t>
      </w:r>
      <w:r w:rsidR="000C23E6" w:rsidRPr="00FC7A7E">
        <w:rPr>
          <w:rFonts w:asciiTheme="minorHAnsi" w:hAnsiTheme="minorHAnsi" w:cstheme="minorHAnsi"/>
          <w:sz w:val="22"/>
          <w:szCs w:val="22"/>
        </w:rPr>
        <w:t>.</w:t>
      </w:r>
    </w:p>
    <w:p w14:paraId="541328A3" w14:textId="65819AA8" w:rsidR="00B73DFF" w:rsidRPr="00FC7A7E" w:rsidRDefault="000C23E6"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lastRenderedPageBreak/>
        <w:t>Individuals and their significant others should be informed and empowered to recognise symptoms, seek a diagnosis and engage in treatment.</w:t>
      </w:r>
    </w:p>
    <w:p w14:paraId="20863E82" w14:textId="7E0AC7A2" w:rsidR="00931A31" w:rsidRPr="00FC7A7E" w:rsidRDefault="00B73DFF"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At all levels of health care, the erroneous view that older adults are less functional or capable of actively participating in their treatment should be addressed.</w:t>
      </w:r>
      <w:r w:rsidR="00931A31" w:rsidRPr="00FC7A7E">
        <w:rPr>
          <w:rFonts w:asciiTheme="minorHAnsi" w:hAnsiTheme="minorHAnsi" w:cstheme="minorHAnsi"/>
          <w:sz w:val="22"/>
          <w:szCs w:val="22"/>
        </w:rPr>
        <w:t xml:space="preserve"> </w:t>
      </w:r>
    </w:p>
    <w:p w14:paraId="609529BE" w14:textId="77777777" w:rsidR="00931A31" w:rsidRPr="00FC7A7E" w:rsidRDefault="00931A31"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 xml:space="preserve">Despite their critical role, GPs need more education on diagnosing and treating depression in older adults in their standard practice. </w:t>
      </w:r>
    </w:p>
    <w:p w14:paraId="63FF261E" w14:textId="53171FA7" w:rsidR="00931A31" w:rsidRPr="00FC7A7E" w:rsidRDefault="00931A31"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 xml:space="preserve">Consideration should be given to promoting the availability and increasing the accessibility of mental health nurses to provide education and support. </w:t>
      </w:r>
    </w:p>
    <w:p w14:paraId="39261ABE" w14:textId="6CE747CC" w:rsidR="00C33299" w:rsidRPr="00FC7A7E" w:rsidRDefault="00C33299" w:rsidP="00FC7A7E">
      <w:pPr>
        <w:pStyle w:val="Text"/>
        <w:numPr>
          <w:ilvl w:val="0"/>
          <w:numId w:val="2"/>
        </w:numPr>
        <w:spacing w:line="276" w:lineRule="auto"/>
        <w:ind w:left="426" w:hanging="426"/>
        <w:rPr>
          <w:rFonts w:asciiTheme="minorHAnsi" w:hAnsiTheme="minorHAnsi" w:cstheme="minorHAnsi"/>
          <w:sz w:val="22"/>
          <w:szCs w:val="22"/>
        </w:rPr>
      </w:pPr>
      <w:r w:rsidRPr="00FC7A7E">
        <w:rPr>
          <w:rFonts w:asciiTheme="minorHAnsi" w:hAnsiTheme="minorHAnsi" w:cstheme="minorHAnsi"/>
          <w:sz w:val="22"/>
          <w:szCs w:val="22"/>
        </w:rPr>
        <w:t>We must ensure that older adults who should be receiving appropriate diagnosis, treatment and support do not remain marginalised.</w:t>
      </w:r>
    </w:p>
    <w:p w14:paraId="64A13282" w14:textId="1FC45509" w:rsidR="00931A31" w:rsidRPr="00FC7A7E" w:rsidRDefault="00931A31" w:rsidP="00FC7A7E">
      <w:pPr>
        <w:pStyle w:val="Text"/>
        <w:spacing w:line="276" w:lineRule="auto"/>
        <w:rPr>
          <w:rFonts w:asciiTheme="minorHAnsi" w:hAnsiTheme="minorHAnsi" w:cstheme="minorHAnsi"/>
          <w:sz w:val="22"/>
          <w:szCs w:val="22"/>
        </w:rPr>
      </w:pPr>
    </w:p>
    <w:p w14:paraId="0417A557" w14:textId="77777777" w:rsidR="0032076B" w:rsidRPr="00FC7A7E" w:rsidRDefault="0032076B" w:rsidP="00FC7A7E">
      <w:pPr>
        <w:pStyle w:val="Text"/>
        <w:spacing w:line="276" w:lineRule="auto"/>
        <w:rPr>
          <w:rFonts w:asciiTheme="minorHAnsi" w:hAnsiTheme="minorHAnsi" w:cstheme="minorHAnsi"/>
          <w:sz w:val="22"/>
          <w:szCs w:val="22"/>
        </w:rPr>
      </w:pPr>
    </w:p>
    <w:p w14:paraId="71D0CAB9" w14:textId="26A5661A" w:rsidR="000C23FD" w:rsidRPr="00FC7A7E" w:rsidRDefault="00FE5117" w:rsidP="00FC7A7E">
      <w:pPr>
        <w:spacing w:after="0"/>
        <w:rPr>
          <w:rFonts w:cstheme="minorHAnsi"/>
          <w:b/>
        </w:rPr>
      </w:pPr>
      <w:r w:rsidRPr="00FC7A7E">
        <w:rPr>
          <w:rFonts w:cstheme="minorHAnsi"/>
          <w:b/>
        </w:rPr>
        <w:t>References:</w:t>
      </w:r>
    </w:p>
    <w:p w14:paraId="5E738D14" w14:textId="7E948A59" w:rsidR="003B5F25" w:rsidRPr="003B5F25" w:rsidRDefault="003B5F25" w:rsidP="003B5F25">
      <w:pPr>
        <w:pStyle w:val="EndNoteBibliography"/>
        <w:spacing w:after="0"/>
        <w:ind w:left="720" w:hanging="720"/>
      </w:pPr>
      <w:r w:rsidRPr="003B5F25">
        <w:t xml:space="preserve">Blackburn, P., Wilkins-Ho, M., &amp; Wiese, B. S. (2017). Depression in older adults: Diagnosis and management. </w:t>
      </w:r>
      <w:r w:rsidRPr="003B5F25">
        <w:rPr>
          <w:i/>
        </w:rPr>
        <w:t>British Columbia Medical Journal, 59</w:t>
      </w:r>
      <w:r w:rsidRPr="003B5F25">
        <w:t xml:space="preserve">(3), 171-177. Retrieved from </w:t>
      </w:r>
      <w:r w:rsidRPr="00945C81">
        <w:rPr>
          <w:rStyle w:val="Hyperlink"/>
        </w:rPr>
        <w:t>http://www.bcmj.org/articles/depression-older-adults-diagnosis-and-management</w:t>
      </w:r>
    </w:p>
    <w:p w14:paraId="0DE58B59" w14:textId="77777777" w:rsidR="003B5F25" w:rsidRPr="003B5F25" w:rsidRDefault="003B5F25" w:rsidP="003B5F25">
      <w:pPr>
        <w:pStyle w:val="EndNoteBibliography"/>
        <w:spacing w:after="0"/>
        <w:ind w:left="720" w:hanging="720"/>
      </w:pPr>
      <w:r w:rsidRPr="003B5F25">
        <w:t xml:space="preserve">Do Couto, F. S., Lunet, N., Ginó, S., Chester, C., Freitas, V., Maruta, C., . . . de Mendonça, A. (2016). Depression with melancholic features is associated with higher long-term risk for dementia. </w:t>
      </w:r>
      <w:r w:rsidRPr="003B5F25">
        <w:rPr>
          <w:i/>
        </w:rPr>
        <w:t>Journal of Affective Disorders, 202</w:t>
      </w:r>
      <w:r w:rsidRPr="003B5F25">
        <w:t>, 220-229. doi:10.1016/j.jad.2016.05.026</w:t>
      </w:r>
    </w:p>
    <w:p w14:paraId="1EDD1F54" w14:textId="77777777" w:rsidR="003B5F25" w:rsidRPr="003B5F25" w:rsidRDefault="003B5F25" w:rsidP="003B5F25">
      <w:pPr>
        <w:pStyle w:val="EndNoteBibliography"/>
        <w:spacing w:after="0"/>
        <w:ind w:left="720" w:hanging="720"/>
      </w:pPr>
      <w:r w:rsidRPr="003B5F25">
        <w:t xml:space="preserve">Pirkis, J., Pfaff, J., Williamson, M., Tyson, O., Stocks, N., Goldney, R., . . . Almeida, O. P. (2009). The community prevalence of depression in older Australians. </w:t>
      </w:r>
      <w:r w:rsidRPr="003B5F25">
        <w:rPr>
          <w:i/>
        </w:rPr>
        <w:t>Journal of Affective Disorders, 115</w:t>
      </w:r>
      <w:r w:rsidRPr="003B5F25">
        <w:t>(1-2), 54-61. doi:10.1016/j.jad.2008.08.014</w:t>
      </w:r>
    </w:p>
    <w:p w14:paraId="53A41C52" w14:textId="77777777" w:rsidR="003B5F25" w:rsidRPr="003B5F25" w:rsidRDefault="003B5F25" w:rsidP="003B5F25">
      <w:pPr>
        <w:pStyle w:val="EndNoteBibliography"/>
        <w:spacing w:after="0"/>
        <w:ind w:left="720" w:hanging="720"/>
      </w:pPr>
      <w:r w:rsidRPr="003B5F25">
        <w:t xml:space="preserve">Polacsek, M., Boardman, G. H., &amp; McCann, T. V. (2018). Help‐seeking experiences of older adults with a diagnosis of moderate depression. </w:t>
      </w:r>
      <w:r w:rsidRPr="003B5F25">
        <w:rPr>
          <w:i/>
        </w:rPr>
        <w:t>International Journal of Mental Health Nursing, 28</w:t>
      </w:r>
      <w:r w:rsidRPr="003B5F25">
        <w:t>(1), 278-287. doi:10.1111/inm.12531</w:t>
      </w:r>
    </w:p>
    <w:p w14:paraId="3E535801" w14:textId="77777777" w:rsidR="003B5F25" w:rsidRPr="003B5F25" w:rsidRDefault="003B5F25" w:rsidP="003B5F25">
      <w:pPr>
        <w:pStyle w:val="EndNoteBibliography"/>
        <w:spacing w:after="0"/>
        <w:ind w:left="720" w:hanging="720"/>
      </w:pPr>
      <w:r w:rsidRPr="003B5F25">
        <w:t xml:space="preserve">Polacsek, M., Boardman, G. H., &amp; McCann, T. V. (2019). Factors influencing self-management of depression in older adults: A qualitative study. </w:t>
      </w:r>
      <w:r w:rsidRPr="003B5F25">
        <w:rPr>
          <w:i/>
        </w:rPr>
        <w:t>Aging &amp; Mental Health</w:t>
      </w:r>
      <w:r w:rsidRPr="003B5F25">
        <w:t>, 1-8. doi:10.1080/13607863.2018.1562538</w:t>
      </w:r>
    </w:p>
    <w:p w14:paraId="0BFCC041" w14:textId="77777777" w:rsidR="003B5F25" w:rsidRPr="003B5F25" w:rsidRDefault="003B5F25" w:rsidP="003B5F25">
      <w:pPr>
        <w:pStyle w:val="EndNoteBibliography"/>
        <w:spacing w:after="0"/>
        <w:ind w:left="720" w:hanging="720"/>
      </w:pPr>
      <w:r w:rsidRPr="003B5F25">
        <w:t xml:space="preserve">Soysal, P., Veronese, N., Thompson, T., Kahl, K. G., Fernandes, B. S., Prina, A. M., . . . Tseng, P.-T. (2017). Relationship between depression and frailty in older adults: A systematic review and meta-analysis. </w:t>
      </w:r>
      <w:r w:rsidRPr="003B5F25">
        <w:rPr>
          <w:i/>
        </w:rPr>
        <w:t>Ageing Research Reviews, 36</w:t>
      </w:r>
      <w:r w:rsidRPr="003B5F25">
        <w:t>, 78-87. doi:10.1016/j.arr.2017.03.005</w:t>
      </w:r>
    </w:p>
    <w:p w14:paraId="67879EC3" w14:textId="360408B4" w:rsidR="003B5F25" w:rsidRPr="003B5F25" w:rsidRDefault="003B5F25" w:rsidP="003B5F25">
      <w:pPr>
        <w:pStyle w:val="EndNoteBibliography"/>
        <w:spacing w:after="0"/>
        <w:ind w:left="720" w:hanging="720"/>
      </w:pPr>
      <w:r w:rsidRPr="003B5F25">
        <w:t xml:space="preserve">World Health Organization. (2015). Mental health: Depression.   Retrieved from </w:t>
      </w:r>
      <w:r w:rsidRPr="00945C81">
        <w:rPr>
          <w:rStyle w:val="Hyperlink"/>
        </w:rPr>
        <w:t>http://www.who.int/mental_health/management/depression/en/</w:t>
      </w:r>
    </w:p>
    <w:p w14:paraId="0731E08C" w14:textId="77777777" w:rsidR="003B5F25" w:rsidRPr="003B5F25" w:rsidRDefault="003B5F25" w:rsidP="003B5F25">
      <w:pPr>
        <w:pStyle w:val="EndNoteBibliography"/>
        <w:ind w:left="720" w:hanging="720"/>
      </w:pPr>
      <w:r w:rsidRPr="003B5F25">
        <w:t xml:space="preserve">Xiang, X., Danilovich, M. K., Tomasino, K. N., &amp; Jordan, N. (2018). Depression prevalence and treatment among older home health services users in the United States. </w:t>
      </w:r>
      <w:r w:rsidRPr="003B5F25">
        <w:rPr>
          <w:i/>
        </w:rPr>
        <w:t>Archives of Gerontology and Geriatrics, 75</w:t>
      </w:r>
      <w:r w:rsidRPr="003B5F25">
        <w:t>, 151-157. doi:10.1016/j.archger.2017.12.005</w:t>
      </w:r>
    </w:p>
    <w:p w14:paraId="2E7D709C" w14:textId="1F32E554" w:rsidR="00C93C87" w:rsidRPr="00FC7A7E" w:rsidRDefault="00C93C87" w:rsidP="00FC7A7E">
      <w:pPr>
        <w:spacing w:after="0"/>
        <w:rPr>
          <w:rFonts w:cstheme="minorHAnsi"/>
        </w:rPr>
      </w:pPr>
    </w:p>
    <w:sectPr w:rsidR="00C93C87" w:rsidRPr="00FC7A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A109A" w14:textId="77777777" w:rsidR="00790312" w:rsidRDefault="00790312" w:rsidP="00A4639A">
      <w:pPr>
        <w:spacing w:after="0" w:line="240" w:lineRule="auto"/>
      </w:pPr>
      <w:r>
        <w:separator/>
      </w:r>
    </w:p>
  </w:endnote>
  <w:endnote w:type="continuationSeparator" w:id="0">
    <w:p w14:paraId="52F7B7C0" w14:textId="77777777" w:rsidR="00790312" w:rsidRDefault="00790312" w:rsidP="00A4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8A068" w14:textId="77777777" w:rsidR="00790312" w:rsidRDefault="00790312" w:rsidP="00A4639A">
      <w:pPr>
        <w:spacing w:after="0" w:line="240" w:lineRule="auto"/>
      </w:pPr>
      <w:r>
        <w:separator/>
      </w:r>
    </w:p>
  </w:footnote>
  <w:footnote w:type="continuationSeparator" w:id="0">
    <w:p w14:paraId="636AAB6D" w14:textId="77777777" w:rsidR="00790312" w:rsidRDefault="00790312" w:rsidP="00A463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50BF2"/>
    <w:multiLevelType w:val="hybridMultilevel"/>
    <w:tmpl w:val="F71CA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F96C5D"/>
    <w:multiLevelType w:val="multilevel"/>
    <w:tmpl w:val="D11EE67E"/>
    <w:lvl w:ilvl="0">
      <w:start w:val="1"/>
      <w:numFmt w:val="decimal"/>
      <w:pStyle w:val="Heading1"/>
      <w:suff w:val="nothing"/>
      <w:lvlText w:val="CHAPTER %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tabs>
          <w:tab w:val="num" w:pos="1134"/>
        </w:tabs>
        <w:ind w:left="1080" w:hanging="360"/>
      </w:pPr>
      <w:rPr>
        <w:rFonts w:hint="default"/>
      </w:rPr>
    </w:lvl>
    <w:lvl w:ilvl="3">
      <w:start w:val="1"/>
      <w:numFmt w:val="decimal"/>
      <w:pStyle w:val="Heading4"/>
      <w:lvlText w:val="%1.%2.%3.%4"/>
      <w:lvlJc w:val="left"/>
      <w:pPr>
        <w:ind w:left="8866"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800" w:hanging="360"/>
      </w:pPr>
      <w:rPr>
        <w:rFonts w:hint="default"/>
      </w:rPr>
    </w:lvl>
    <w:lvl w:ilvl="5">
      <w:start w:val="1"/>
      <w:numFmt w:val="decimal"/>
      <w:pStyle w:val="Heading6"/>
      <w:lvlText w:val="%1.%2.%3.%4.%5.%6"/>
      <w:lvlJc w:val="lef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922etzj0zx0je9e2q5epd0t00td2aef9sw&quot;&gt;PhD references&lt;record-ids&gt;&lt;item&gt;97&lt;/item&gt;&lt;item&gt;258&lt;/item&gt;&lt;item&gt;1217&lt;/item&gt;&lt;item&gt;1369&lt;/item&gt;&lt;item&gt;1543&lt;/item&gt;&lt;item&gt;1607&lt;/item&gt;&lt;item&gt;1665&lt;/item&gt;&lt;item&gt;1675&lt;/item&gt;&lt;/record-ids&gt;&lt;/item&gt;&lt;/Libraries&gt;"/>
  </w:docVars>
  <w:rsids>
    <w:rsidRoot w:val="00A4639A"/>
    <w:rsid w:val="000C23E6"/>
    <w:rsid w:val="000C23FD"/>
    <w:rsid w:val="002F2087"/>
    <w:rsid w:val="0032076B"/>
    <w:rsid w:val="003B5F25"/>
    <w:rsid w:val="004122F5"/>
    <w:rsid w:val="004760C7"/>
    <w:rsid w:val="00740CB7"/>
    <w:rsid w:val="00790312"/>
    <w:rsid w:val="007E4245"/>
    <w:rsid w:val="00931A31"/>
    <w:rsid w:val="00945C81"/>
    <w:rsid w:val="009A5DBE"/>
    <w:rsid w:val="00A417B0"/>
    <w:rsid w:val="00A4639A"/>
    <w:rsid w:val="00A57273"/>
    <w:rsid w:val="00AB22B2"/>
    <w:rsid w:val="00B73DFF"/>
    <w:rsid w:val="00C33299"/>
    <w:rsid w:val="00C93C87"/>
    <w:rsid w:val="00CA4F8F"/>
    <w:rsid w:val="00D248E1"/>
    <w:rsid w:val="00D7444C"/>
    <w:rsid w:val="00DA6C6E"/>
    <w:rsid w:val="00FC7A7E"/>
    <w:rsid w:val="00FE51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A4CC"/>
  <w15:chartTrackingRefBased/>
  <w15:docId w15:val="{6D5B069A-05C6-463B-B778-BDA17A89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39A"/>
    <w:pPr>
      <w:spacing w:after="200" w:line="276" w:lineRule="auto"/>
    </w:pPr>
  </w:style>
  <w:style w:type="paragraph" w:styleId="Heading1">
    <w:name w:val="heading 1"/>
    <w:basedOn w:val="Normal"/>
    <w:next w:val="Normal"/>
    <w:link w:val="Heading1Char"/>
    <w:uiPriority w:val="9"/>
    <w:qFormat/>
    <w:rsid w:val="00A4639A"/>
    <w:pPr>
      <w:keepNext/>
      <w:keepLines/>
      <w:numPr>
        <w:numId w:val="1"/>
      </w:numPr>
      <w:autoSpaceDE w:val="0"/>
      <w:autoSpaceDN w:val="0"/>
      <w:adjustRightInd w:val="0"/>
      <w:spacing w:after="0" w:line="240" w:lineRule="auto"/>
      <w:jc w:val="center"/>
      <w:outlineLvl w:val="0"/>
    </w:pPr>
    <w:rPr>
      <w:rFonts w:ascii="Times New Roman" w:eastAsiaTheme="majorEastAsia" w:hAnsi="Times New Roman" w:cs="Times New Roman"/>
      <w:b/>
      <w:sz w:val="32"/>
      <w:szCs w:val="28"/>
    </w:rPr>
  </w:style>
  <w:style w:type="paragraph" w:styleId="Heading2">
    <w:name w:val="heading 2"/>
    <w:basedOn w:val="Normal"/>
    <w:next w:val="Normal"/>
    <w:link w:val="Heading2Char"/>
    <w:uiPriority w:val="9"/>
    <w:unhideWhenUsed/>
    <w:qFormat/>
    <w:rsid w:val="00A4639A"/>
    <w:pPr>
      <w:keepNext/>
      <w:keepLines/>
      <w:numPr>
        <w:ilvl w:val="1"/>
        <w:numId w:val="1"/>
      </w:numPr>
      <w:tabs>
        <w:tab w:val="left" w:pos="1134"/>
      </w:tabs>
      <w:spacing w:after="240" w:line="240" w:lineRule="auto"/>
      <w:ind w:left="1134" w:hanging="1134"/>
      <w:outlineLvl w:val="1"/>
    </w:pPr>
    <w:rPr>
      <w:rFonts w:ascii="Times New Roman" w:eastAsiaTheme="majorEastAsia" w:hAnsi="Times New Roman" w:cs="Times New Roman"/>
      <w:b/>
      <w:sz w:val="28"/>
      <w:szCs w:val="28"/>
    </w:rPr>
  </w:style>
  <w:style w:type="paragraph" w:styleId="Heading3">
    <w:name w:val="heading 3"/>
    <w:basedOn w:val="Normal"/>
    <w:next w:val="Normal"/>
    <w:link w:val="Heading3Char"/>
    <w:uiPriority w:val="9"/>
    <w:unhideWhenUsed/>
    <w:qFormat/>
    <w:rsid w:val="00A4639A"/>
    <w:pPr>
      <w:numPr>
        <w:ilvl w:val="2"/>
        <w:numId w:val="1"/>
      </w:numPr>
      <w:autoSpaceDE w:val="0"/>
      <w:autoSpaceDN w:val="0"/>
      <w:adjustRightInd w:val="0"/>
      <w:spacing w:after="240" w:line="240" w:lineRule="auto"/>
      <w:ind w:left="1134" w:hanging="1134"/>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A4639A"/>
    <w:pPr>
      <w:keepNext/>
      <w:keepLines/>
      <w:numPr>
        <w:ilvl w:val="3"/>
        <w:numId w:val="1"/>
      </w:numPr>
      <w:tabs>
        <w:tab w:val="left" w:pos="1134"/>
      </w:tabs>
      <w:spacing w:after="240" w:line="240" w:lineRule="auto"/>
      <w:ind w:left="1134" w:hanging="1134"/>
      <w:outlineLvl w:val="3"/>
    </w:pPr>
    <w:rPr>
      <w:rFonts w:ascii="Times New Roman" w:eastAsiaTheme="majorEastAsia" w:hAnsi="Times New Roman" w:cs="Times New Roman"/>
      <w:i/>
      <w:iCs/>
      <w:sz w:val="24"/>
      <w:szCs w:val="24"/>
    </w:rPr>
  </w:style>
  <w:style w:type="paragraph" w:styleId="Heading5">
    <w:name w:val="heading 5"/>
    <w:basedOn w:val="Normal"/>
    <w:next w:val="Normal"/>
    <w:link w:val="Heading5Char"/>
    <w:uiPriority w:val="9"/>
    <w:unhideWhenUsed/>
    <w:qFormat/>
    <w:rsid w:val="00A4639A"/>
    <w:pPr>
      <w:keepNext/>
      <w:keepLines/>
      <w:numPr>
        <w:ilvl w:val="4"/>
        <w:numId w:val="1"/>
      </w:numPr>
      <w:tabs>
        <w:tab w:val="left" w:pos="1134"/>
      </w:tabs>
      <w:spacing w:before="40" w:after="120"/>
      <w:ind w:left="1134" w:hanging="1134"/>
      <w:outlineLvl w:val="4"/>
    </w:pPr>
    <w:rPr>
      <w:rFonts w:ascii="Times New Roman" w:eastAsiaTheme="majorEastAsia" w:hAnsi="Times New Roman" w:cs="Times New Roman"/>
      <w:sz w:val="24"/>
      <w:szCs w:val="24"/>
      <w:u w:val="single"/>
    </w:rPr>
  </w:style>
  <w:style w:type="paragraph" w:styleId="Heading6">
    <w:name w:val="heading 6"/>
    <w:basedOn w:val="Normal"/>
    <w:next w:val="Normal"/>
    <w:link w:val="Heading6Char"/>
    <w:uiPriority w:val="9"/>
    <w:unhideWhenUsed/>
    <w:qFormat/>
    <w:rsid w:val="00A4639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4639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39A"/>
    <w:rPr>
      <w:rFonts w:ascii="Times New Roman" w:eastAsiaTheme="majorEastAsia" w:hAnsi="Times New Roman" w:cs="Times New Roman"/>
      <w:b/>
      <w:sz w:val="32"/>
      <w:szCs w:val="28"/>
    </w:rPr>
  </w:style>
  <w:style w:type="character" w:customStyle="1" w:styleId="Heading2Char">
    <w:name w:val="Heading 2 Char"/>
    <w:basedOn w:val="DefaultParagraphFont"/>
    <w:link w:val="Heading2"/>
    <w:uiPriority w:val="9"/>
    <w:rsid w:val="00A4639A"/>
    <w:rPr>
      <w:rFonts w:ascii="Times New Roman" w:eastAsiaTheme="majorEastAsia" w:hAnsi="Times New Roman" w:cs="Times New Roman"/>
      <w:b/>
      <w:sz w:val="28"/>
      <w:szCs w:val="28"/>
    </w:rPr>
  </w:style>
  <w:style w:type="character" w:customStyle="1" w:styleId="Heading3Char">
    <w:name w:val="Heading 3 Char"/>
    <w:basedOn w:val="DefaultParagraphFont"/>
    <w:link w:val="Heading3"/>
    <w:uiPriority w:val="9"/>
    <w:rsid w:val="00A4639A"/>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A4639A"/>
    <w:rPr>
      <w:rFonts w:ascii="Times New Roman" w:eastAsiaTheme="majorEastAsia" w:hAnsi="Times New Roman" w:cs="Times New Roman"/>
      <w:i/>
      <w:iCs/>
      <w:sz w:val="24"/>
      <w:szCs w:val="24"/>
    </w:rPr>
  </w:style>
  <w:style w:type="character" w:customStyle="1" w:styleId="Heading5Char">
    <w:name w:val="Heading 5 Char"/>
    <w:basedOn w:val="DefaultParagraphFont"/>
    <w:link w:val="Heading5"/>
    <w:uiPriority w:val="9"/>
    <w:rsid w:val="00A4639A"/>
    <w:rPr>
      <w:rFonts w:ascii="Times New Roman" w:eastAsiaTheme="majorEastAsia" w:hAnsi="Times New Roman" w:cs="Times New Roman"/>
      <w:sz w:val="24"/>
      <w:szCs w:val="24"/>
      <w:u w:val="single"/>
    </w:rPr>
  </w:style>
  <w:style w:type="character" w:customStyle="1" w:styleId="Heading6Char">
    <w:name w:val="Heading 6 Char"/>
    <w:basedOn w:val="DefaultParagraphFont"/>
    <w:link w:val="Heading6"/>
    <w:uiPriority w:val="9"/>
    <w:rsid w:val="00A4639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4639A"/>
    <w:rPr>
      <w:rFonts w:asciiTheme="majorHAnsi" w:eastAsiaTheme="majorEastAsia" w:hAnsiTheme="majorHAnsi" w:cstheme="majorBidi"/>
      <w:i/>
      <w:iCs/>
      <w:color w:val="1F3763" w:themeColor="accent1" w:themeShade="7F"/>
    </w:rPr>
  </w:style>
  <w:style w:type="paragraph" w:customStyle="1" w:styleId="Text">
    <w:name w:val="Text"/>
    <w:basedOn w:val="Normal"/>
    <w:link w:val="TextChar"/>
    <w:qFormat/>
    <w:rsid w:val="00A4639A"/>
    <w:pPr>
      <w:autoSpaceDE w:val="0"/>
      <w:autoSpaceDN w:val="0"/>
      <w:adjustRightInd w:val="0"/>
      <w:spacing w:after="0" w:line="360" w:lineRule="auto"/>
      <w:jc w:val="both"/>
    </w:pPr>
    <w:rPr>
      <w:rFonts w:ascii="Times New Roman" w:hAnsi="Times New Roman" w:cs="Times New Roman"/>
      <w:sz w:val="24"/>
      <w:szCs w:val="24"/>
    </w:rPr>
  </w:style>
  <w:style w:type="character" w:customStyle="1" w:styleId="TextChar">
    <w:name w:val="Text Char"/>
    <w:basedOn w:val="DefaultParagraphFont"/>
    <w:link w:val="Text"/>
    <w:rsid w:val="00A4639A"/>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A4639A"/>
    <w:rPr>
      <w:vertAlign w:val="superscript"/>
    </w:rPr>
  </w:style>
  <w:style w:type="paragraph" w:customStyle="1" w:styleId="Footnote">
    <w:name w:val="Footnote"/>
    <w:basedOn w:val="Text"/>
    <w:link w:val="FootnoteChar"/>
    <w:qFormat/>
    <w:rsid w:val="00A4639A"/>
    <w:pPr>
      <w:tabs>
        <w:tab w:val="left" w:pos="284"/>
      </w:tabs>
      <w:spacing w:line="240" w:lineRule="auto"/>
      <w:ind w:left="284" w:hanging="284"/>
    </w:pPr>
    <w:rPr>
      <w:sz w:val="16"/>
    </w:rPr>
  </w:style>
  <w:style w:type="character" w:customStyle="1" w:styleId="FootnoteChar">
    <w:name w:val="Footnote Char"/>
    <w:basedOn w:val="TextChar"/>
    <w:link w:val="Footnote"/>
    <w:rsid w:val="00A4639A"/>
    <w:rPr>
      <w:rFonts w:ascii="Times New Roman" w:hAnsi="Times New Roman" w:cs="Times New Roman"/>
      <w:sz w:val="16"/>
      <w:szCs w:val="24"/>
    </w:rPr>
  </w:style>
  <w:style w:type="paragraph" w:customStyle="1" w:styleId="EndNoteBibliographyTitle">
    <w:name w:val="EndNote Bibliography Title"/>
    <w:basedOn w:val="Normal"/>
    <w:link w:val="EndNoteBibliographyTitleChar"/>
    <w:rsid w:val="000C23FD"/>
    <w:pPr>
      <w:spacing w:after="0"/>
      <w:jc w:val="center"/>
    </w:pPr>
    <w:rPr>
      <w:rFonts w:ascii="Calibri" w:hAnsi="Calibri" w:cs="Calibri"/>
      <w:noProof/>
      <w:lang w:val="en-US"/>
    </w:rPr>
  </w:style>
  <w:style w:type="character" w:customStyle="1" w:styleId="EndNoteBibliographyTitleChar">
    <w:name w:val="EndNote Bibliography Title Char"/>
    <w:basedOn w:val="TextChar"/>
    <w:link w:val="EndNoteBibliographyTitle"/>
    <w:rsid w:val="000C23FD"/>
    <w:rPr>
      <w:rFonts w:ascii="Calibri" w:hAnsi="Calibri" w:cs="Calibri"/>
      <w:noProof/>
      <w:sz w:val="24"/>
      <w:szCs w:val="24"/>
      <w:lang w:val="en-US"/>
    </w:rPr>
  </w:style>
  <w:style w:type="paragraph" w:customStyle="1" w:styleId="EndNoteBibliography">
    <w:name w:val="EndNote Bibliography"/>
    <w:basedOn w:val="Normal"/>
    <w:link w:val="EndNoteBibliographyChar"/>
    <w:rsid w:val="000C23FD"/>
    <w:pPr>
      <w:spacing w:line="240" w:lineRule="auto"/>
    </w:pPr>
    <w:rPr>
      <w:rFonts w:ascii="Calibri" w:hAnsi="Calibri" w:cs="Calibri"/>
      <w:noProof/>
      <w:lang w:val="en-US"/>
    </w:rPr>
  </w:style>
  <w:style w:type="character" w:customStyle="1" w:styleId="EndNoteBibliographyChar">
    <w:name w:val="EndNote Bibliography Char"/>
    <w:basedOn w:val="TextChar"/>
    <w:link w:val="EndNoteBibliography"/>
    <w:rsid w:val="000C23FD"/>
    <w:rPr>
      <w:rFonts w:ascii="Calibri" w:hAnsi="Calibri" w:cs="Calibri"/>
      <w:noProof/>
      <w:sz w:val="24"/>
      <w:szCs w:val="24"/>
      <w:lang w:val="en-US"/>
    </w:rPr>
  </w:style>
  <w:style w:type="character" w:styleId="Hyperlink">
    <w:name w:val="Hyperlink"/>
    <w:basedOn w:val="DefaultParagraphFont"/>
    <w:uiPriority w:val="99"/>
    <w:unhideWhenUsed/>
    <w:rsid w:val="000C23FD"/>
    <w:rPr>
      <w:color w:val="0563C1" w:themeColor="hyperlink"/>
      <w:u w:val="single"/>
    </w:rPr>
  </w:style>
  <w:style w:type="character" w:customStyle="1" w:styleId="UnresolvedMention">
    <w:name w:val="Unresolved Mention"/>
    <w:basedOn w:val="DefaultParagraphFont"/>
    <w:uiPriority w:val="99"/>
    <w:semiHidden/>
    <w:unhideWhenUsed/>
    <w:rsid w:val="000C23FD"/>
    <w:rPr>
      <w:color w:val="605E5C"/>
      <w:shd w:val="clear" w:color="auto" w:fill="E1DFDD"/>
    </w:rPr>
  </w:style>
  <w:style w:type="paragraph" w:styleId="Quote">
    <w:name w:val="Quote"/>
    <w:basedOn w:val="Normal"/>
    <w:next w:val="Normal"/>
    <w:link w:val="QuoteChar"/>
    <w:uiPriority w:val="29"/>
    <w:qFormat/>
    <w:rsid w:val="00FE5117"/>
    <w:pPr>
      <w:autoSpaceDE w:val="0"/>
      <w:autoSpaceDN w:val="0"/>
      <w:adjustRightInd w:val="0"/>
      <w:spacing w:after="0"/>
      <w:ind w:left="851"/>
      <w:jc w:val="both"/>
    </w:pPr>
    <w:rPr>
      <w:rFonts w:ascii="Times New Roman" w:hAnsi="Times New Roman" w:cs="Times New Roman"/>
      <w:iCs/>
      <w:color w:val="000000" w:themeColor="text1"/>
      <w:sz w:val="20"/>
      <w:szCs w:val="20"/>
    </w:rPr>
  </w:style>
  <w:style w:type="character" w:customStyle="1" w:styleId="QuoteChar">
    <w:name w:val="Quote Char"/>
    <w:basedOn w:val="DefaultParagraphFont"/>
    <w:link w:val="Quote"/>
    <w:uiPriority w:val="29"/>
    <w:rsid w:val="00FE5117"/>
    <w:rPr>
      <w:rFonts w:ascii="Times New Roman" w:hAnsi="Times New Roman" w:cs="Times New Roman"/>
      <w:iCs/>
      <w:color w:val="000000" w:themeColor="text1"/>
      <w:sz w:val="20"/>
      <w:szCs w:val="20"/>
    </w:rPr>
  </w:style>
  <w:style w:type="paragraph" w:styleId="NormalWeb">
    <w:name w:val="Normal (Web)"/>
    <w:basedOn w:val="Normal"/>
    <w:uiPriority w:val="99"/>
    <w:semiHidden/>
    <w:unhideWhenUsed/>
    <w:rsid w:val="00931A3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E9B39883-DE32-4BF7-8D30-A2122085B404}">
  <ds:schemaRefs>
    <ds:schemaRef ds:uri="http://schemas.microsoft.com/sharepoint/events"/>
  </ds:schemaRefs>
</ds:datastoreItem>
</file>

<file path=customXml/itemProps2.xml><?xml version="1.0" encoding="utf-8"?>
<ds:datastoreItem xmlns:ds="http://schemas.openxmlformats.org/officeDocument/2006/customXml" ds:itemID="{C7CE1A08-B16A-49E4-8F19-9CE05D606C8D}">
  <ds:schemaRefs>
    <ds:schemaRef ds:uri="http://schemas.microsoft.com/sharepoint/v3/contenttype/forms"/>
  </ds:schemaRefs>
</ds:datastoreItem>
</file>

<file path=customXml/itemProps3.xml><?xml version="1.0" encoding="utf-8"?>
<ds:datastoreItem xmlns:ds="http://schemas.openxmlformats.org/officeDocument/2006/customXml" ds:itemID="{A040CA5F-7EC1-476F-951F-5B890A07DBC4}">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3f4bcce7-ac1a-4c9d-aa3e-7e77695652d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2086E2D-BD10-44C0-A088-93635BF49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6108E1-B274-48A2-8B1F-56F90B19E146}">
  <ds:schemaRefs>
    <ds:schemaRef ds:uri="http://schemas.microsoft.com/office/2006/metadata/customXsn"/>
  </ds:schemaRefs>
</ds:datastoreItem>
</file>

<file path=customXml/itemProps6.xml><?xml version="1.0" encoding="utf-8"?>
<ds:datastoreItem xmlns:ds="http://schemas.openxmlformats.org/officeDocument/2006/customXml" ds:itemID="{94211006-EBB4-40EC-B847-B42CAED3DF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36 - Meg Polacsek - Mental Health - Public inquiry</vt:lpstr>
    </vt:vector>
  </TitlesOfParts>
  <Company>Meg Polacsek</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36 - Meg Polacsek - Mental Health - Public inquiry</dc:title>
  <dc:subject/>
  <dc:creator>Meg Polacsek</dc:creator>
  <cp:keywords/>
  <dc:description/>
  <cp:lastModifiedBy>Productivity Commission</cp:lastModifiedBy>
  <cp:revision>4</cp:revision>
  <dcterms:created xsi:type="dcterms:W3CDTF">2019-03-19T03:12:00Z</dcterms:created>
  <dcterms:modified xsi:type="dcterms:W3CDTF">2019-03-19T04:13:00Z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