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F67" w:rsidRDefault="000866FD">
      <w:pPr>
        <w:pStyle w:val="BodyText"/>
        <w:ind w:left="4088"/>
        <w:rPr>
          <w:rFonts w:ascii="Times New Roman"/>
          <w:sz w:val="20"/>
        </w:rPr>
      </w:pPr>
      <w:bookmarkStart w:id="0" w:name="_GoBack"/>
      <w:bookmarkEnd w:id="0"/>
      <w:r>
        <w:rPr>
          <w:rFonts w:ascii="Times New Roman"/>
          <w:noProof/>
          <w:sz w:val="20"/>
          <w:lang w:bidi="ar-SA"/>
        </w:rPr>
        <w:drawing>
          <wp:inline distT="0" distB="0" distL="0" distR="0">
            <wp:extent cx="658368" cy="6583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658368" cy="658368"/>
                    </a:xfrm>
                    <a:prstGeom prst="rect">
                      <a:avLst/>
                    </a:prstGeom>
                  </pic:spPr>
                </pic:pic>
              </a:graphicData>
            </a:graphic>
          </wp:inline>
        </w:drawing>
      </w:r>
    </w:p>
    <w:p w:rsidR="00E67F67" w:rsidRDefault="00E67F67">
      <w:pPr>
        <w:pStyle w:val="BodyText"/>
        <w:spacing w:before="3"/>
        <w:rPr>
          <w:rFonts w:ascii="Times New Roman"/>
          <w:sz w:val="14"/>
        </w:rPr>
      </w:pPr>
    </w:p>
    <w:p w:rsidR="00E67F67" w:rsidRDefault="000866FD">
      <w:pPr>
        <w:pStyle w:val="Heading1"/>
        <w:spacing w:before="94"/>
        <w:ind w:left="323" w:right="339"/>
        <w:jc w:val="center"/>
      </w:pPr>
      <w:r>
        <w:t>Queensland University of Technology</w:t>
      </w:r>
    </w:p>
    <w:p w:rsidR="00E67F67" w:rsidRDefault="000866FD">
      <w:pPr>
        <w:spacing w:before="183" w:line="254" w:lineRule="auto"/>
        <w:ind w:left="323" w:right="342"/>
        <w:jc w:val="center"/>
        <w:rPr>
          <w:b/>
          <w:sz w:val="21"/>
        </w:rPr>
      </w:pPr>
      <w:r>
        <w:rPr>
          <w:b/>
          <w:sz w:val="21"/>
        </w:rPr>
        <w:t xml:space="preserve">Submission on the </w:t>
      </w:r>
      <w:r w:rsidR="007F477A">
        <w:rPr>
          <w:b/>
          <w:sz w:val="21"/>
        </w:rPr>
        <w:t>Productivity Commission’s Draft Report on Mental Health (October 2019)</w:t>
      </w:r>
    </w:p>
    <w:p w:rsidR="00E67F67" w:rsidRDefault="00E67F67">
      <w:pPr>
        <w:pStyle w:val="BodyText"/>
        <w:rPr>
          <w:b/>
          <w:sz w:val="24"/>
        </w:rPr>
      </w:pPr>
    </w:p>
    <w:p w:rsidR="00E67F67" w:rsidRDefault="00E67F67">
      <w:pPr>
        <w:pStyle w:val="BodyText"/>
        <w:spacing w:before="3"/>
        <w:rPr>
          <w:b/>
          <w:sz w:val="27"/>
        </w:rPr>
      </w:pPr>
    </w:p>
    <w:p w:rsidR="007C0E76" w:rsidRDefault="000866FD" w:rsidP="000C0D05">
      <w:r>
        <w:t xml:space="preserve">The QUT Faculty of </w:t>
      </w:r>
      <w:r w:rsidR="007F477A">
        <w:t xml:space="preserve">Health </w:t>
      </w:r>
      <w:r>
        <w:t xml:space="preserve">welcomes the opportunity to provide input into the </w:t>
      </w:r>
      <w:r w:rsidR="007F477A">
        <w:t xml:space="preserve">Productivity Commission’s </w:t>
      </w:r>
      <w:r w:rsidR="007C0E76">
        <w:t>d</w:t>
      </w:r>
      <w:r w:rsidR="007F477A">
        <w:t xml:space="preserve">raft </w:t>
      </w:r>
      <w:r w:rsidR="007C0E76">
        <w:t>r</w:t>
      </w:r>
      <w:r w:rsidR="007F477A">
        <w:t xml:space="preserve">eport on Mental Health (October 2019). </w:t>
      </w:r>
    </w:p>
    <w:p w:rsidR="007C0E76" w:rsidRDefault="007C0E76" w:rsidP="000C0D05"/>
    <w:p w:rsidR="005F0CE2" w:rsidRPr="005F0CE2" w:rsidRDefault="009032CB" w:rsidP="000C0D05">
      <w:pPr>
        <w:rPr>
          <w:bCs/>
          <w:iCs/>
          <w:sz w:val="21"/>
          <w:szCs w:val="21"/>
          <w:bdr w:val="none" w:sz="0" w:space="0" w:color="auto" w:frame="1"/>
          <w:shd w:val="clear" w:color="auto" w:fill="FFFFFF"/>
        </w:rPr>
      </w:pPr>
      <w:r>
        <w:t>As the university for the real world, QUT seeks new, advanced, multivalent approaches to health and wellbeing, and identifie</w:t>
      </w:r>
      <w:r w:rsidR="007C0E76">
        <w:t>s</w:t>
      </w:r>
      <w:r>
        <w:t xml:space="preserve"> </w:t>
      </w:r>
      <w:r w:rsidR="00E2309C">
        <w:t xml:space="preserve">this </w:t>
      </w:r>
      <w:r>
        <w:t xml:space="preserve">as a </w:t>
      </w:r>
      <w:r w:rsidR="00E2309C">
        <w:t>core University priority</w:t>
      </w:r>
      <w:r w:rsidR="007C0E76">
        <w:t xml:space="preserve">. </w:t>
      </w:r>
      <w:r w:rsidR="00F01CDC" w:rsidRPr="005F0CE2">
        <w:rPr>
          <w:bCs/>
          <w:iCs/>
          <w:sz w:val="21"/>
          <w:szCs w:val="21"/>
          <w:bdr w:val="none" w:sz="0" w:space="0" w:color="auto" w:frame="1"/>
          <w:shd w:val="clear" w:color="auto" w:fill="FFFFFF"/>
        </w:rPr>
        <w:t xml:space="preserve">The </w:t>
      </w:r>
      <w:r w:rsidR="0030150F" w:rsidRPr="005F0CE2">
        <w:rPr>
          <w:bCs/>
          <w:iCs/>
          <w:sz w:val="21"/>
          <w:szCs w:val="21"/>
          <w:bdr w:val="none" w:sz="0" w:space="0" w:color="auto" w:frame="1"/>
          <w:shd w:val="clear" w:color="auto" w:fill="FFFFFF"/>
        </w:rPr>
        <w:t xml:space="preserve">QUT </w:t>
      </w:r>
      <w:r w:rsidR="00F01CDC" w:rsidRPr="005F0CE2">
        <w:rPr>
          <w:bCs/>
          <w:iCs/>
          <w:sz w:val="21"/>
          <w:szCs w:val="21"/>
          <w:bdr w:val="none" w:sz="0" w:space="0" w:color="auto" w:frame="1"/>
          <w:shd w:val="clear" w:color="auto" w:fill="FFFFFF"/>
        </w:rPr>
        <w:t xml:space="preserve">Faculty Health </w:t>
      </w:r>
      <w:r w:rsidR="0030150F" w:rsidRPr="005F0CE2">
        <w:rPr>
          <w:bCs/>
          <w:iCs/>
          <w:sz w:val="21"/>
          <w:szCs w:val="21"/>
          <w:bdr w:val="none" w:sz="0" w:space="0" w:color="auto" w:frame="1"/>
          <w:shd w:val="clear" w:color="auto" w:fill="FFFFFF"/>
        </w:rPr>
        <w:t xml:space="preserve">realises </w:t>
      </w:r>
      <w:r w:rsidR="007C0E76">
        <w:rPr>
          <w:bCs/>
          <w:iCs/>
          <w:sz w:val="21"/>
          <w:szCs w:val="21"/>
          <w:bdr w:val="none" w:sz="0" w:space="0" w:color="auto" w:frame="1"/>
          <w:shd w:val="clear" w:color="auto" w:fill="FFFFFF"/>
        </w:rPr>
        <w:t xml:space="preserve">this </w:t>
      </w:r>
      <w:r w:rsidR="0030150F" w:rsidRPr="005F0CE2">
        <w:rPr>
          <w:bCs/>
          <w:iCs/>
          <w:sz w:val="21"/>
          <w:szCs w:val="21"/>
          <w:bdr w:val="none" w:sz="0" w:space="0" w:color="auto" w:frame="1"/>
          <w:shd w:val="clear" w:color="auto" w:fill="FFFFFF"/>
        </w:rPr>
        <w:t xml:space="preserve">priority through industry-connected innovations in curriculum, research and engagement that deliver our mission to </w:t>
      </w:r>
      <w:r w:rsidR="00F01CDC" w:rsidRPr="005F0CE2">
        <w:rPr>
          <w:bCs/>
          <w:iCs/>
          <w:sz w:val="21"/>
          <w:szCs w:val="21"/>
          <w:bdr w:val="none" w:sz="0" w:space="0" w:color="auto" w:frame="1"/>
          <w:shd w:val="clear" w:color="auto" w:fill="FFFFFF"/>
        </w:rPr>
        <w:t>‘enable people and communities to create a healthy future’</w:t>
      </w:r>
      <w:r w:rsidR="0030150F" w:rsidRPr="005F0CE2">
        <w:rPr>
          <w:bCs/>
          <w:iCs/>
          <w:sz w:val="21"/>
          <w:szCs w:val="21"/>
          <w:bdr w:val="none" w:sz="0" w:space="0" w:color="auto" w:frame="1"/>
          <w:shd w:val="clear" w:color="auto" w:fill="FFFFFF"/>
        </w:rPr>
        <w:t xml:space="preserve">. </w:t>
      </w:r>
      <w:r w:rsidR="007C0E76">
        <w:rPr>
          <w:bCs/>
          <w:iCs/>
          <w:sz w:val="21"/>
          <w:szCs w:val="21"/>
          <w:bdr w:val="none" w:sz="0" w:space="0" w:color="auto" w:frame="1"/>
          <w:shd w:val="clear" w:color="auto" w:fill="FFFFFF"/>
        </w:rPr>
        <w:t xml:space="preserve">The Faculty </w:t>
      </w:r>
      <w:r w:rsidR="0030150F" w:rsidRPr="005F0CE2">
        <w:rPr>
          <w:bCs/>
          <w:iCs/>
          <w:sz w:val="21"/>
          <w:szCs w:val="21"/>
          <w:bdr w:val="none" w:sz="0" w:space="0" w:color="auto" w:frame="1"/>
          <w:shd w:val="clear" w:color="auto" w:fill="FFFFFF"/>
        </w:rPr>
        <w:t>pursue</w:t>
      </w:r>
      <w:r w:rsidR="007C0E76">
        <w:rPr>
          <w:bCs/>
          <w:iCs/>
          <w:sz w:val="21"/>
          <w:szCs w:val="21"/>
          <w:bdr w:val="none" w:sz="0" w:space="0" w:color="auto" w:frame="1"/>
          <w:shd w:val="clear" w:color="auto" w:fill="FFFFFF"/>
        </w:rPr>
        <w:t>s</w:t>
      </w:r>
      <w:r w:rsidR="0030150F" w:rsidRPr="005F0CE2">
        <w:rPr>
          <w:bCs/>
          <w:iCs/>
          <w:sz w:val="21"/>
          <w:szCs w:val="21"/>
          <w:bdr w:val="none" w:sz="0" w:space="0" w:color="auto" w:frame="1"/>
          <w:shd w:val="clear" w:color="auto" w:fill="FFFFFF"/>
        </w:rPr>
        <w:t xml:space="preserve"> this mission in </w:t>
      </w:r>
      <w:r w:rsidR="005F0CE2" w:rsidRPr="005F0CE2">
        <w:rPr>
          <w:bCs/>
          <w:iCs/>
          <w:sz w:val="21"/>
          <w:szCs w:val="21"/>
          <w:bdr w:val="none" w:sz="0" w:space="0" w:color="auto" w:frame="1"/>
          <w:shd w:val="clear" w:color="auto" w:fill="FFFFFF"/>
        </w:rPr>
        <w:t xml:space="preserve">partnership </w:t>
      </w:r>
      <w:r w:rsidR="0030150F" w:rsidRPr="005F0CE2">
        <w:rPr>
          <w:bCs/>
          <w:iCs/>
          <w:sz w:val="21"/>
          <w:szCs w:val="21"/>
          <w:bdr w:val="none" w:sz="0" w:space="0" w:color="auto" w:frame="1"/>
          <w:shd w:val="clear" w:color="auto" w:fill="FFFFFF"/>
        </w:rPr>
        <w:t xml:space="preserve">with hospitals, </w:t>
      </w:r>
      <w:r w:rsidR="005F0CE2" w:rsidRPr="005F0CE2">
        <w:rPr>
          <w:bCs/>
          <w:iCs/>
          <w:sz w:val="21"/>
          <w:szCs w:val="21"/>
          <w:bdr w:val="none" w:sz="0" w:space="0" w:color="auto" w:frame="1"/>
          <w:shd w:val="clear" w:color="auto" w:fill="FFFFFF"/>
        </w:rPr>
        <w:t xml:space="preserve">clinicians, </w:t>
      </w:r>
      <w:r w:rsidR="0030150F" w:rsidRPr="005F0CE2">
        <w:rPr>
          <w:bCs/>
          <w:iCs/>
          <w:sz w:val="21"/>
          <w:szCs w:val="21"/>
          <w:bdr w:val="none" w:sz="0" w:space="0" w:color="auto" w:frame="1"/>
          <w:shd w:val="clear" w:color="auto" w:fill="FFFFFF"/>
        </w:rPr>
        <w:t xml:space="preserve">NGOs, government departments, and research </w:t>
      </w:r>
      <w:r w:rsidR="005F0CE2" w:rsidRPr="005F0CE2">
        <w:rPr>
          <w:bCs/>
          <w:iCs/>
          <w:sz w:val="21"/>
          <w:szCs w:val="21"/>
          <w:bdr w:val="none" w:sz="0" w:space="0" w:color="auto" w:frame="1"/>
          <w:shd w:val="clear" w:color="auto" w:fill="FFFFFF"/>
        </w:rPr>
        <w:t>collaborators.</w:t>
      </w:r>
    </w:p>
    <w:p w:rsidR="005F0CE2" w:rsidRDefault="005F0CE2" w:rsidP="000C0D05">
      <w:pPr>
        <w:rPr>
          <w:bCs/>
          <w:iCs/>
          <w:color w:val="1F497D" w:themeColor="text2"/>
          <w:sz w:val="21"/>
          <w:szCs w:val="21"/>
          <w:bdr w:val="none" w:sz="0" w:space="0" w:color="auto" w:frame="1"/>
          <w:shd w:val="clear" w:color="auto" w:fill="FFFFFF"/>
        </w:rPr>
      </w:pPr>
    </w:p>
    <w:p w:rsidR="007F477A" w:rsidRPr="00840DF2" w:rsidRDefault="005F0CE2" w:rsidP="000C0D05">
      <w:pPr>
        <w:rPr>
          <w:bCs/>
          <w:i/>
          <w:iCs/>
          <w:color w:val="1F497D" w:themeColor="text2"/>
          <w:sz w:val="21"/>
          <w:szCs w:val="21"/>
          <w:bdr w:val="none" w:sz="0" w:space="0" w:color="auto" w:frame="1"/>
          <w:shd w:val="clear" w:color="auto" w:fill="FFFFFF"/>
        </w:rPr>
      </w:pPr>
      <w:r w:rsidRPr="005F0CE2">
        <w:rPr>
          <w:bCs/>
          <w:iCs/>
          <w:sz w:val="21"/>
          <w:szCs w:val="21"/>
          <w:bdr w:val="none" w:sz="0" w:space="0" w:color="auto" w:frame="1"/>
          <w:shd w:val="clear" w:color="auto" w:fill="FFFFFF"/>
        </w:rPr>
        <w:t xml:space="preserve">Co-contributor to this </w:t>
      </w:r>
      <w:r w:rsidR="007C0E76">
        <w:rPr>
          <w:bCs/>
          <w:iCs/>
          <w:sz w:val="21"/>
          <w:szCs w:val="21"/>
          <w:bdr w:val="none" w:sz="0" w:space="0" w:color="auto" w:frame="1"/>
          <w:shd w:val="clear" w:color="auto" w:fill="FFFFFF"/>
        </w:rPr>
        <w:t xml:space="preserve">submission </w:t>
      </w:r>
      <w:r w:rsidRPr="005F0CE2">
        <w:rPr>
          <w:bCs/>
          <w:iCs/>
          <w:sz w:val="21"/>
          <w:szCs w:val="21"/>
          <w:bdr w:val="none" w:sz="0" w:space="0" w:color="auto" w:frame="1"/>
          <w:shd w:val="clear" w:color="auto" w:fill="FFFFFF"/>
        </w:rPr>
        <w:t xml:space="preserve">is </w:t>
      </w:r>
      <w:r w:rsidR="0030150F" w:rsidRPr="005F0CE2">
        <w:rPr>
          <w:bCs/>
          <w:iCs/>
          <w:sz w:val="21"/>
          <w:szCs w:val="21"/>
          <w:bdr w:val="none" w:sz="0" w:space="0" w:color="auto" w:frame="1"/>
          <w:shd w:val="clear" w:color="auto" w:fill="FFFFFF"/>
        </w:rPr>
        <w:t xml:space="preserve">QUT’s </w:t>
      </w:r>
      <w:r w:rsidR="007F477A" w:rsidRPr="005F0CE2">
        <w:rPr>
          <w:bCs/>
          <w:iCs/>
          <w:sz w:val="21"/>
          <w:szCs w:val="21"/>
          <w:bdr w:val="none" w:sz="0" w:space="0" w:color="auto" w:frame="1"/>
          <w:shd w:val="clear" w:color="auto" w:fill="FFFFFF"/>
        </w:rPr>
        <w:t>Australian Centre for Health Services Innovation (AusHSI)</w:t>
      </w:r>
      <w:r w:rsidR="0030150F" w:rsidRPr="005F0CE2">
        <w:rPr>
          <w:bCs/>
          <w:iCs/>
          <w:sz w:val="21"/>
          <w:szCs w:val="21"/>
          <w:bdr w:val="none" w:sz="0" w:space="0" w:color="auto" w:frame="1"/>
          <w:shd w:val="clear" w:color="auto" w:fill="FFFFFF"/>
        </w:rPr>
        <w:t>,</w:t>
      </w:r>
      <w:r w:rsidR="007F477A" w:rsidRPr="005F0CE2">
        <w:rPr>
          <w:bCs/>
          <w:iCs/>
          <w:sz w:val="21"/>
          <w:szCs w:val="21"/>
          <w:bdr w:val="none" w:sz="0" w:space="0" w:color="auto" w:frame="1"/>
          <w:shd w:val="clear" w:color="auto" w:fill="FFFFFF"/>
        </w:rPr>
        <w:t xml:space="preserve"> a </w:t>
      </w:r>
      <w:r w:rsidR="0030150F" w:rsidRPr="005F0CE2">
        <w:rPr>
          <w:bCs/>
          <w:iCs/>
          <w:sz w:val="21"/>
          <w:szCs w:val="21"/>
          <w:bdr w:val="none" w:sz="0" w:space="0" w:color="auto" w:frame="1"/>
          <w:shd w:val="clear" w:color="auto" w:fill="FFFFFF"/>
        </w:rPr>
        <w:t xml:space="preserve">national leader in </w:t>
      </w:r>
      <w:r w:rsidR="007F477A" w:rsidRPr="005F0CE2">
        <w:rPr>
          <w:bCs/>
          <w:iCs/>
          <w:sz w:val="21"/>
          <w:szCs w:val="21"/>
          <w:bdr w:val="none" w:sz="0" w:space="0" w:color="auto" w:frame="1"/>
          <w:shd w:val="clear" w:color="auto" w:fill="FFFFFF"/>
        </w:rPr>
        <w:t>health services research</w:t>
      </w:r>
      <w:r w:rsidR="007C0E76">
        <w:rPr>
          <w:bCs/>
          <w:iCs/>
          <w:sz w:val="21"/>
          <w:szCs w:val="21"/>
          <w:bdr w:val="none" w:sz="0" w:space="0" w:color="auto" w:frame="1"/>
          <w:shd w:val="clear" w:color="auto" w:fill="FFFFFF"/>
        </w:rPr>
        <w:t xml:space="preserve">, </w:t>
      </w:r>
      <w:r w:rsidR="0030150F" w:rsidRPr="005F0CE2">
        <w:rPr>
          <w:bCs/>
          <w:iCs/>
          <w:sz w:val="21"/>
          <w:szCs w:val="21"/>
          <w:bdr w:val="none" w:sz="0" w:space="0" w:color="auto" w:frame="1"/>
          <w:shd w:val="clear" w:color="auto" w:fill="FFFFFF"/>
        </w:rPr>
        <w:t>consultancy</w:t>
      </w:r>
      <w:r w:rsidRPr="005F0CE2">
        <w:rPr>
          <w:bCs/>
          <w:iCs/>
          <w:sz w:val="21"/>
          <w:szCs w:val="21"/>
          <w:bdr w:val="none" w:sz="0" w:space="0" w:color="auto" w:frame="1"/>
          <w:shd w:val="clear" w:color="auto" w:fill="FFFFFF"/>
        </w:rPr>
        <w:t xml:space="preserve"> </w:t>
      </w:r>
      <w:r w:rsidR="007C0E76">
        <w:rPr>
          <w:bCs/>
          <w:iCs/>
          <w:sz w:val="21"/>
          <w:szCs w:val="21"/>
          <w:bdr w:val="none" w:sz="0" w:space="0" w:color="auto" w:frame="1"/>
          <w:shd w:val="clear" w:color="auto" w:fill="FFFFFF"/>
        </w:rPr>
        <w:t xml:space="preserve">and training </w:t>
      </w:r>
      <w:r w:rsidR="007F477A" w:rsidRPr="005F0CE2">
        <w:rPr>
          <w:bCs/>
          <w:iCs/>
          <w:sz w:val="21"/>
          <w:szCs w:val="21"/>
          <w:bdr w:val="none" w:sz="0" w:space="0" w:color="auto" w:frame="1"/>
          <w:shd w:val="clear" w:color="auto" w:fill="FFFFFF"/>
        </w:rPr>
        <w:t>that specialises in the evaluation and translation of health services research into </w:t>
      </w:r>
      <w:r w:rsidR="007F477A" w:rsidRPr="005F0CE2">
        <w:rPr>
          <w:bCs/>
          <w:iCs/>
          <w:sz w:val="21"/>
          <w:szCs w:val="21"/>
          <w:shd w:val="clear" w:color="auto" w:fill="FFFFFF"/>
        </w:rPr>
        <w:t xml:space="preserve">more efficient, equitable, and safe health </w:t>
      </w:r>
      <w:r w:rsidR="007F477A" w:rsidRPr="00840DF2">
        <w:rPr>
          <w:bCs/>
          <w:iCs/>
          <w:sz w:val="21"/>
          <w:szCs w:val="21"/>
          <w:shd w:val="clear" w:color="auto" w:fill="FFFFFF"/>
        </w:rPr>
        <w:t>services in Australia</w:t>
      </w:r>
      <w:r w:rsidR="007F477A" w:rsidRPr="00840DF2">
        <w:rPr>
          <w:bCs/>
          <w:iCs/>
          <w:sz w:val="21"/>
          <w:szCs w:val="21"/>
          <w:bdr w:val="none" w:sz="0" w:space="0" w:color="auto" w:frame="1"/>
          <w:shd w:val="clear" w:color="auto" w:fill="FFFFFF"/>
        </w:rPr>
        <w:t xml:space="preserve">. </w:t>
      </w:r>
      <w:r w:rsidRPr="00840DF2">
        <w:rPr>
          <w:bCs/>
          <w:iCs/>
          <w:sz w:val="21"/>
          <w:szCs w:val="21"/>
          <w:bdr w:val="none" w:sz="0" w:space="0" w:color="auto" w:frame="1"/>
          <w:shd w:val="clear" w:color="auto" w:fill="FFFFFF"/>
        </w:rPr>
        <w:t xml:space="preserve">AusHSI has recently undertaken </w:t>
      </w:r>
      <w:r w:rsidR="007F477A" w:rsidRPr="00840DF2">
        <w:rPr>
          <w:bCs/>
          <w:iCs/>
          <w:sz w:val="21"/>
          <w:szCs w:val="21"/>
          <w:bdr w:val="none" w:sz="0" w:space="0" w:color="auto" w:frame="1"/>
          <w:shd w:val="clear" w:color="auto" w:fill="FFFFFF"/>
        </w:rPr>
        <w:t>a comprehensive evaluation of the Queensland Government’s Integrated Care Innovation Fund, a $35M investment in 23 programs to improve integrated care across Queensland. Many of these projects focused on the delivery of better mental health services.</w:t>
      </w:r>
    </w:p>
    <w:p w:rsidR="0013290F" w:rsidRPr="00840DF2" w:rsidRDefault="0013290F" w:rsidP="000C0D05">
      <w:pPr>
        <w:rPr>
          <w:sz w:val="21"/>
          <w:szCs w:val="21"/>
        </w:rPr>
      </w:pPr>
    </w:p>
    <w:p w:rsidR="008010BE" w:rsidRPr="00840DF2" w:rsidRDefault="009032CB" w:rsidP="000C0D05">
      <w:pPr>
        <w:rPr>
          <w:spacing w:val="-13"/>
          <w:sz w:val="21"/>
          <w:szCs w:val="21"/>
        </w:rPr>
      </w:pPr>
      <w:r w:rsidRPr="00840DF2">
        <w:rPr>
          <w:sz w:val="21"/>
          <w:szCs w:val="21"/>
        </w:rPr>
        <w:t>The</w:t>
      </w:r>
      <w:r w:rsidRPr="00840DF2">
        <w:rPr>
          <w:spacing w:val="-14"/>
          <w:sz w:val="21"/>
          <w:szCs w:val="21"/>
        </w:rPr>
        <w:t xml:space="preserve"> </w:t>
      </w:r>
      <w:r w:rsidRPr="00840DF2">
        <w:rPr>
          <w:sz w:val="21"/>
          <w:szCs w:val="21"/>
        </w:rPr>
        <w:t>following</w:t>
      </w:r>
      <w:r w:rsidRPr="00840DF2">
        <w:rPr>
          <w:spacing w:val="-14"/>
          <w:sz w:val="21"/>
          <w:szCs w:val="21"/>
        </w:rPr>
        <w:t xml:space="preserve"> </w:t>
      </w:r>
      <w:r w:rsidRPr="00840DF2">
        <w:rPr>
          <w:sz w:val="21"/>
          <w:szCs w:val="21"/>
        </w:rPr>
        <w:t>comments</w:t>
      </w:r>
      <w:r w:rsidRPr="00840DF2">
        <w:rPr>
          <w:spacing w:val="-13"/>
          <w:sz w:val="21"/>
          <w:szCs w:val="21"/>
        </w:rPr>
        <w:t xml:space="preserve"> </w:t>
      </w:r>
      <w:r w:rsidRPr="00840DF2">
        <w:rPr>
          <w:sz w:val="21"/>
          <w:szCs w:val="21"/>
        </w:rPr>
        <w:t>on</w:t>
      </w:r>
      <w:r w:rsidRPr="00840DF2">
        <w:rPr>
          <w:spacing w:val="-13"/>
          <w:sz w:val="21"/>
          <w:szCs w:val="21"/>
        </w:rPr>
        <w:t xml:space="preserve"> </w:t>
      </w:r>
      <w:r w:rsidRPr="00840DF2">
        <w:rPr>
          <w:sz w:val="21"/>
          <w:szCs w:val="21"/>
        </w:rPr>
        <w:t>aspects</w:t>
      </w:r>
      <w:r w:rsidRPr="00840DF2">
        <w:rPr>
          <w:spacing w:val="-14"/>
          <w:sz w:val="21"/>
          <w:szCs w:val="21"/>
        </w:rPr>
        <w:t xml:space="preserve"> </w:t>
      </w:r>
      <w:r w:rsidRPr="00840DF2">
        <w:rPr>
          <w:sz w:val="21"/>
          <w:szCs w:val="21"/>
        </w:rPr>
        <w:t>of</w:t>
      </w:r>
      <w:r w:rsidRPr="00840DF2">
        <w:rPr>
          <w:spacing w:val="-13"/>
          <w:sz w:val="21"/>
          <w:szCs w:val="21"/>
        </w:rPr>
        <w:t xml:space="preserve"> </w:t>
      </w:r>
      <w:r w:rsidR="008010BE" w:rsidRPr="00840DF2">
        <w:rPr>
          <w:spacing w:val="-13"/>
          <w:sz w:val="21"/>
          <w:szCs w:val="21"/>
        </w:rPr>
        <w:t xml:space="preserve">the draft report related to </w:t>
      </w:r>
      <w:r w:rsidR="005F0CE2" w:rsidRPr="00840DF2">
        <w:rPr>
          <w:spacing w:val="-13"/>
          <w:sz w:val="21"/>
          <w:szCs w:val="21"/>
        </w:rPr>
        <w:t>reorienting health services to consumers (Part II)</w:t>
      </w:r>
      <w:r w:rsidR="0013290F" w:rsidRPr="00840DF2">
        <w:rPr>
          <w:spacing w:val="-13"/>
          <w:sz w:val="21"/>
          <w:szCs w:val="21"/>
        </w:rPr>
        <w:t>, reorienting surrounding services to people (Part III) and pulling together the reforms (Part V)</w:t>
      </w:r>
      <w:r w:rsidR="008010BE" w:rsidRPr="00840DF2">
        <w:rPr>
          <w:spacing w:val="-13"/>
          <w:sz w:val="21"/>
          <w:szCs w:val="21"/>
        </w:rPr>
        <w:t>.</w:t>
      </w:r>
      <w:r w:rsidR="005F0CE2" w:rsidRPr="00840DF2">
        <w:rPr>
          <w:spacing w:val="-13"/>
          <w:sz w:val="21"/>
          <w:szCs w:val="21"/>
        </w:rPr>
        <w:t xml:space="preserve"> </w:t>
      </w:r>
    </w:p>
    <w:p w:rsidR="000C0D05" w:rsidRDefault="000C0D05" w:rsidP="000C0D05">
      <w:pPr>
        <w:rPr>
          <w:spacing w:val="-13"/>
        </w:rPr>
      </w:pPr>
    </w:p>
    <w:p w:rsidR="00E67F67" w:rsidRPr="005F0CE2" w:rsidRDefault="005F0CE2" w:rsidP="000C0D05">
      <w:pPr>
        <w:rPr>
          <w:b/>
          <w:sz w:val="21"/>
          <w:szCs w:val="21"/>
        </w:rPr>
      </w:pPr>
      <w:r>
        <w:rPr>
          <w:b/>
        </w:rPr>
        <w:t xml:space="preserve">Part II: </w:t>
      </w:r>
      <w:r w:rsidRPr="005F0CE2">
        <w:rPr>
          <w:b/>
        </w:rPr>
        <w:t>Reorienting health services to consumers</w:t>
      </w:r>
    </w:p>
    <w:p w:rsidR="008321FE" w:rsidRDefault="008321FE" w:rsidP="000C0D05"/>
    <w:p w:rsidR="00E67F67" w:rsidRPr="000866FD" w:rsidRDefault="005F0CE2" w:rsidP="000C0D05">
      <w:pPr>
        <w:rPr>
          <w:b/>
          <w:sz w:val="21"/>
          <w:szCs w:val="21"/>
        </w:rPr>
      </w:pPr>
      <w:r w:rsidRPr="000866FD">
        <w:rPr>
          <w:b/>
          <w:sz w:val="21"/>
          <w:szCs w:val="21"/>
        </w:rPr>
        <w:t>Healthcare access</w:t>
      </w:r>
    </w:p>
    <w:p w:rsidR="008010BE" w:rsidRDefault="008010BE" w:rsidP="000C0D05">
      <w:pPr>
        <w:rPr>
          <w:bCs/>
          <w:iCs/>
          <w:color w:val="1F497D" w:themeColor="text2"/>
          <w:sz w:val="21"/>
          <w:szCs w:val="21"/>
        </w:rPr>
      </w:pPr>
    </w:p>
    <w:p w:rsidR="00237188" w:rsidRDefault="009751A2" w:rsidP="000C0D05">
      <w:pPr>
        <w:rPr>
          <w:bCs/>
          <w:iCs/>
          <w:sz w:val="21"/>
          <w:szCs w:val="21"/>
        </w:rPr>
      </w:pPr>
      <w:r w:rsidRPr="00437F74">
        <w:rPr>
          <w:bCs/>
          <w:iCs/>
          <w:sz w:val="21"/>
          <w:szCs w:val="21"/>
        </w:rPr>
        <w:t xml:space="preserve">It is commendable that the Commission recognises the importance of </w:t>
      </w:r>
      <w:r w:rsidR="002501EF">
        <w:rPr>
          <w:bCs/>
          <w:iCs/>
          <w:sz w:val="21"/>
          <w:szCs w:val="21"/>
        </w:rPr>
        <w:t>creating a people-oriented system</w:t>
      </w:r>
      <w:r w:rsidR="008321FE" w:rsidRPr="00437F74">
        <w:rPr>
          <w:bCs/>
          <w:iCs/>
          <w:sz w:val="21"/>
          <w:szCs w:val="21"/>
        </w:rPr>
        <w:t xml:space="preserve">, and </w:t>
      </w:r>
      <w:r w:rsidRPr="00437F74">
        <w:rPr>
          <w:bCs/>
          <w:iCs/>
          <w:sz w:val="21"/>
          <w:szCs w:val="21"/>
        </w:rPr>
        <w:t>has identified actionable gaps, such as the ‘missing middle’ cohort of people who</w:t>
      </w:r>
      <w:r w:rsidR="008321FE" w:rsidRPr="00437F74">
        <w:rPr>
          <w:bCs/>
          <w:iCs/>
          <w:sz w:val="21"/>
          <w:szCs w:val="21"/>
        </w:rPr>
        <w:t>se</w:t>
      </w:r>
      <w:r w:rsidRPr="00437F74">
        <w:rPr>
          <w:bCs/>
          <w:iCs/>
          <w:sz w:val="21"/>
          <w:szCs w:val="21"/>
        </w:rPr>
        <w:t xml:space="preserve"> symptoms are too complex for treatment by a GP </w:t>
      </w:r>
      <w:r w:rsidR="008321FE" w:rsidRPr="00437F74">
        <w:rPr>
          <w:bCs/>
          <w:iCs/>
          <w:sz w:val="21"/>
          <w:szCs w:val="21"/>
        </w:rPr>
        <w:t xml:space="preserve">or </w:t>
      </w:r>
      <w:r w:rsidRPr="00437F74">
        <w:rPr>
          <w:bCs/>
          <w:iCs/>
          <w:sz w:val="21"/>
          <w:szCs w:val="21"/>
        </w:rPr>
        <w:t xml:space="preserve">MBS-rebated individual sessions with allied mental health providers, </w:t>
      </w:r>
      <w:r w:rsidR="008321FE" w:rsidRPr="00437F74">
        <w:rPr>
          <w:bCs/>
          <w:iCs/>
          <w:sz w:val="21"/>
          <w:szCs w:val="21"/>
        </w:rPr>
        <w:t xml:space="preserve">but do not </w:t>
      </w:r>
      <w:r w:rsidRPr="00437F74">
        <w:rPr>
          <w:bCs/>
          <w:iCs/>
          <w:sz w:val="21"/>
          <w:szCs w:val="21"/>
        </w:rPr>
        <w:t xml:space="preserve">reach the threshold </w:t>
      </w:r>
      <w:r w:rsidR="008321FE" w:rsidRPr="00437F74">
        <w:rPr>
          <w:bCs/>
          <w:iCs/>
          <w:sz w:val="21"/>
          <w:szCs w:val="21"/>
        </w:rPr>
        <w:t xml:space="preserve">required </w:t>
      </w:r>
      <w:r w:rsidRPr="00437F74">
        <w:rPr>
          <w:bCs/>
          <w:iCs/>
          <w:sz w:val="21"/>
          <w:szCs w:val="21"/>
        </w:rPr>
        <w:t xml:space="preserve">for access to specialised mental health services. </w:t>
      </w:r>
    </w:p>
    <w:p w:rsidR="00237188" w:rsidRDefault="00237188" w:rsidP="000C0D05">
      <w:pPr>
        <w:rPr>
          <w:bCs/>
          <w:iCs/>
          <w:sz w:val="21"/>
          <w:szCs w:val="21"/>
        </w:rPr>
      </w:pPr>
    </w:p>
    <w:p w:rsidR="008446BD" w:rsidRPr="00437F74" w:rsidRDefault="008446BD" w:rsidP="000C0D05">
      <w:pPr>
        <w:rPr>
          <w:bCs/>
          <w:iCs/>
          <w:sz w:val="21"/>
          <w:szCs w:val="21"/>
        </w:rPr>
      </w:pPr>
      <w:r>
        <w:rPr>
          <w:bCs/>
          <w:iCs/>
          <w:sz w:val="21"/>
          <w:szCs w:val="21"/>
        </w:rPr>
        <w:t xml:space="preserve">The QUT Faculty of Health </w:t>
      </w:r>
      <w:r w:rsidR="007C0E76">
        <w:rPr>
          <w:bCs/>
          <w:iCs/>
          <w:sz w:val="21"/>
          <w:szCs w:val="21"/>
        </w:rPr>
        <w:t xml:space="preserve">promotes </w:t>
      </w:r>
      <w:r w:rsidRPr="007C0E76">
        <w:rPr>
          <w:b/>
          <w:bCs/>
          <w:iCs/>
          <w:sz w:val="21"/>
          <w:szCs w:val="21"/>
        </w:rPr>
        <w:t>Interprofessional Practice (IPP)</w:t>
      </w:r>
      <w:r>
        <w:rPr>
          <w:bCs/>
          <w:iCs/>
          <w:sz w:val="21"/>
          <w:szCs w:val="21"/>
        </w:rPr>
        <w:t xml:space="preserve"> in healthcare, a collaboration between clinicians from multiple disciplines, healthcare consumers and stakeholders, as key to achieving health and wellbeing outcomes that are efficient, effective, and sustainable. </w:t>
      </w:r>
      <w:r w:rsidRPr="00437F74">
        <w:rPr>
          <w:bCs/>
          <w:iCs/>
          <w:sz w:val="21"/>
          <w:szCs w:val="21"/>
        </w:rPr>
        <w:t>The Faculty</w:t>
      </w:r>
      <w:r w:rsidR="00177C84">
        <w:rPr>
          <w:bCs/>
          <w:iCs/>
          <w:sz w:val="21"/>
          <w:szCs w:val="21"/>
        </w:rPr>
        <w:t>, therefore,</w:t>
      </w:r>
      <w:r w:rsidRPr="00437F74">
        <w:rPr>
          <w:bCs/>
          <w:iCs/>
          <w:sz w:val="21"/>
          <w:szCs w:val="21"/>
        </w:rPr>
        <w:t xml:space="preserve"> agrees with a stepped care model that is timely and culturally appropriate, to ensure </w:t>
      </w:r>
      <w:r w:rsidRPr="007C0E76">
        <w:rPr>
          <w:b/>
          <w:bCs/>
          <w:iCs/>
          <w:sz w:val="21"/>
          <w:szCs w:val="21"/>
        </w:rPr>
        <w:t>access by all Australians to mental healthcare that suits their needs</w:t>
      </w:r>
      <w:r w:rsidRPr="00437F74">
        <w:rPr>
          <w:bCs/>
          <w:iCs/>
          <w:sz w:val="21"/>
          <w:szCs w:val="21"/>
        </w:rPr>
        <w:t xml:space="preserve">. </w:t>
      </w:r>
      <w:r w:rsidR="00177C84">
        <w:rPr>
          <w:bCs/>
          <w:iCs/>
          <w:sz w:val="21"/>
          <w:szCs w:val="21"/>
        </w:rPr>
        <w:t xml:space="preserve">This model and the Commission’s proposed reforms for well-coordinated and targeted interventions will benefit from innovations in coordinated mental health care that include </w:t>
      </w:r>
      <w:r w:rsidR="007C0E76">
        <w:rPr>
          <w:bCs/>
          <w:iCs/>
          <w:sz w:val="21"/>
          <w:szCs w:val="21"/>
        </w:rPr>
        <w:t xml:space="preserve">a </w:t>
      </w:r>
      <w:r w:rsidR="00177C84">
        <w:rPr>
          <w:bCs/>
          <w:iCs/>
          <w:sz w:val="21"/>
          <w:szCs w:val="21"/>
        </w:rPr>
        <w:t xml:space="preserve">range of allied health </w:t>
      </w:r>
      <w:r w:rsidR="007C0E76">
        <w:rPr>
          <w:bCs/>
          <w:iCs/>
          <w:sz w:val="21"/>
          <w:szCs w:val="21"/>
        </w:rPr>
        <w:t xml:space="preserve">practitioners, </w:t>
      </w:r>
      <w:r w:rsidR="00177C84">
        <w:rPr>
          <w:bCs/>
          <w:iCs/>
          <w:sz w:val="21"/>
          <w:szCs w:val="21"/>
        </w:rPr>
        <w:t>mental health specialists</w:t>
      </w:r>
      <w:r w:rsidR="007C0E76">
        <w:rPr>
          <w:bCs/>
          <w:iCs/>
          <w:sz w:val="21"/>
          <w:szCs w:val="21"/>
        </w:rPr>
        <w:t>, and solutions achieved through cross-disciplinary collaborations.</w:t>
      </w:r>
    </w:p>
    <w:p w:rsidR="008446BD" w:rsidRDefault="008446BD" w:rsidP="000C0D05">
      <w:pPr>
        <w:rPr>
          <w:bCs/>
          <w:iCs/>
          <w:sz w:val="21"/>
          <w:szCs w:val="21"/>
        </w:rPr>
      </w:pPr>
    </w:p>
    <w:p w:rsidR="00237188" w:rsidRDefault="00177C84" w:rsidP="000C0D05">
      <w:pPr>
        <w:rPr>
          <w:bCs/>
          <w:iCs/>
          <w:sz w:val="21"/>
          <w:szCs w:val="21"/>
        </w:rPr>
      </w:pPr>
      <w:r>
        <w:rPr>
          <w:bCs/>
          <w:iCs/>
          <w:sz w:val="21"/>
          <w:szCs w:val="21"/>
        </w:rPr>
        <w:t>In line with an Interprofessional Practice approach, m</w:t>
      </w:r>
      <w:r w:rsidR="00237188" w:rsidRPr="00437F74">
        <w:rPr>
          <w:bCs/>
          <w:iCs/>
          <w:sz w:val="21"/>
          <w:szCs w:val="21"/>
        </w:rPr>
        <w:t xml:space="preserve">ental health systems should </w:t>
      </w:r>
      <w:r>
        <w:rPr>
          <w:bCs/>
          <w:iCs/>
          <w:sz w:val="21"/>
          <w:szCs w:val="21"/>
        </w:rPr>
        <w:t xml:space="preserve">support </w:t>
      </w:r>
      <w:r w:rsidR="00237188" w:rsidRPr="00437F74">
        <w:rPr>
          <w:bCs/>
          <w:iCs/>
          <w:sz w:val="21"/>
          <w:szCs w:val="21"/>
        </w:rPr>
        <w:t xml:space="preserve">consumer agency in engaging with mental health care. A sense of ownership in one’s self-care, such as by increasing consumer referral choices (draft recommendation 5.8), will promote a mental health system where people’s voices are </w:t>
      </w:r>
      <w:r w:rsidR="00840DF2">
        <w:rPr>
          <w:bCs/>
          <w:iCs/>
          <w:sz w:val="21"/>
          <w:szCs w:val="21"/>
        </w:rPr>
        <w:t xml:space="preserve">more strongly </w:t>
      </w:r>
      <w:r w:rsidR="00237188" w:rsidRPr="00437F74">
        <w:rPr>
          <w:bCs/>
          <w:iCs/>
          <w:sz w:val="21"/>
          <w:szCs w:val="21"/>
        </w:rPr>
        <w:t xml:space="preserve">heard and enhance the sustainability of improvements to individuals’ health and wellbeing. </w:t>
      </w:r>
    </w:p>
    <w:p w:rsidR="00237188" w:rsidRDefault="00237188" w:rsidP="000C0D05">
      <w:pPr>
        <w:rPr>
          <w:bCs/>
          <w:iCs/>
          <w:sz w:val="21"/>
          <w:szCs w:val="21"/>
        </w:rPr>
      </w:pPr>
    </w:p>
    <w:p w:rsidR="00237188" w:rsidRPr="00237188" w:rsidRDefault="00177C84" w:rsidP="000C0D05">
      <w:pPr>
        <w:rPr>
          <w:bCs/>
          <w:iCs/>
          <w:sz w:val="21"/>
          <w:szCs w:val="21"/>
        </w:rPr>
      </w:pPr>
      <w:r>
        <w:rPr>
          <w:bCs/>
          <w:iCs/>
          <w:sz w:val="21"/>
          <w:szCs w:val="21"/>
        </w:rPr>
        <w:t xml:space="preserve">Health systems evaluations </w:t>
      </w:r>
      <w:r w:rsidR="00437F74" w:rsidRPr="00237188">
        <w:rPr>
          <w:bCs/>
          <w:iCs/>
          <w:sz w:val="21"/>
          <w:szCs w:val="21"/>
        </w:rPr>
        <w:t xml:space="preserve">undertaken by AusHSI </w:t>
      </w:r>
      <w:r w:rsidR="00237188" w:rsidRPr="00237188">
        <w:rPr>
          <w:bCs/>
          <w:iCs/>
          <w:sz w:val="21"/>
          <w:szCs w:val="21"/>
        </w:rPr>
        <w:t xml:space="preserve">suggest </w:t>
      </w:r>
      <w:r w:rsidR="00437F74" w:rsidRPr="00237188">
        <w:rPr>
          <w:bCs/>
          <w:iCs/>
          <w:sz w:val="21"/>
          <w:szCs w:val="21"/>
        </w:rPr>
        <w:t xml:space="preserve">an integrated </w:t>
      </w:r>
      <w:r w:rsidR="007F477A" w:rsidRPr="00237188">
        <w:rPr>
          <w:bCs/>
          <w:iCs/>
          <w:sz w:val="21"/>
          <w:szCs w:val="21"/>
        </w:rPr>
        <w:t xml:space="preserve">approach to mental </w:t>
      </w:r>
      <w:r w:rsidR="007F477A" w:rsidRPr="00237188">
        <w:rPr>
          <w:bCs/>
          <w:iCs/>
          <w:sz w:val="21"/>
          <w:szCs w:val="21"/>
        </w:rPr>
        <w:lastRenderedPageBreak/>
        <w:t xml:space="preserve">health service provision particular </w:t>
      </w:r>
      <w:r w:rsidR="007C0E76">
        <w:rPr>
          <w:bCs/>
          <w:iCs/>
          <w:sz w:val="21"/>
          <w:szCs w:val="21"/>
        </w:rPr>
        <w:t xml:space="preserve">requires </w:t>
      </w:r>
      <w:r w:rsidR="007F477A" w:rsidRPr="00237188">
        <w:rPr>
          <w:bCs/>
          <w:iCs/>
          <w:sz w:val="21"/>
          <w:szCs w:val="21"/>
        </w:rPr>
        <w:t xml:space="preserve">increased coordination of referral pathways and services across Hospital &amp; Health Service (HHS), Primary Care, and Non-Government Organisation (NGO) providers to improve consumer access to appropriate, timely and holistic care. </w:t>
      </w:r>
    </w:p>
    <w:p w:rsidR="00237188" w:rsidRPr="00237188" w:rsidRDefault="00237188" w:rsidP="000C0D05">
      <w:pPr>
        <w:rPr>
          <w:bCs/>
          <w:iCs/>
          <w:sz w:val="21"/>
          <w:szCs w:val="21"/>
        </w:rPr>
      </w:pPr>
    </w:p>
    <w:p w:rsidR="007F477A" w:rsidRDefault="007C0E76" w:rsidP="000C0D05">
      <w:pPr>
        <w:rPr>
          <w:bCs/>
          <w:iCs/>
          <w:sz w:val="21"/>
          <w:szCs w:val="21"/>
        </w:rPr>
      </w:pPr>
      <w:r>
        <w:rPr>
          <w:bCs/>
          <w:iCs/>
          <w:sz w:val="21"/>
          <w:szCs w:val="21"/>
        </w:rPr>
        <w:t>Further, r</w:t>
      </w:r>
      <w:r w:rsidR="007F477A" w:rsidRPr="00237188">
        <w:rPr>
          <w:bCs/>
          <w:iCs/>
          <w:sz w:val="21"/>
          <w:szCs w:val="21"/>
        </w:rPr>
        <w:t>egional areas</w:t>
      </w:r>
      <w:r w:rsidR="00177C84">
        <w:rPr>
          <w:bCs/>
          <w:iCs/>
          <w:sz w:val="21"/>
          <w:szCs w:val="21"/>
        </w:rPr>
        <w:t xml:space="preserve"> can </w:t>
      </w:r>
      <w:r>
        <w:rPr>
          <w:bCs/>
          <w:iCs/>
          <w:sz w:val="21"/>
          <w:szCs w:val="21"/>
        </w:rPr>
        <w:t xml:space="preserve">especially improve </w:t>
      </w:r>
      <w:r w:rsidR="00177C84">
        <w:rPr>
          <w:bCs/>
          <w:iCs/>
          <w:sz w:val="21"/>
          <w:szCs w:val="21"/>
        </w:rPr>
        <w:t xml:space="preserve">consumer access and timely care through </w:t>
      </w:r>
      <w:r w:rsidR="007F477A" w:rsidRPr="00237188">
        <w:rPr>
          <w:bCs/>
          <w:iCs/>
          <w:sz w:val="21"/>
          <w:szCs w:val="21"/>
        </w:rPr>
        <w:t>co-location of services. ‘One-stop-shop models’ contribute to the de-stigmatisation of seeking mental healthcare</w:t>
      </w:r>
      <w:r>
        <w:rPr>
          <w:bCs/>
          <w:iCs/>
          <w:sz w:val="21"/>
          <w:szCs w:val="21"/>
        </w:rPr>
        <w:t>,</w:t>
      </w:r>
      <w:r w:rsidR="007F477A" w:rsidRPr="00237188">
        <w:rPr>
          <w:bCs/>
          <w:iCs/>
          <w:sz w:val="21"/>
          <w:szCs w:val="21"/>
        </w:rPr>
        <w:t xml:space="preserve"> and consequently improve consumer access. Co-location of social-support services further improves consumer engagement and patient outcomes. Access to online treatment options is </w:t>
      </w:r>
      <w:r w:rsidR="00854579">
        <w:rPr>
          <w:bCs/>
          <w:iCs/>
          <w:sz w:val="21"/>
          <w:szCs w:val="21"/>
        </w:rPr>
        <w:t xml:space="preserve">especially </w:t>
      </w:r>
      <w:r w:rsidR="007F477A" w:rsidRPr="00237188">
        <w:rPr>
          <w:bCs/>
          <w:iCs/>
          <w:sz w:val="21"/>
          <w:szCs w:val="21"/>
        </w:rPr>
        <w:t>critical for consumers in remote areas</w:t>
      </w:r>
      <w:r w:rsidR="00854579">
        <w:rPr>
          <w:bCs/>
          <w:iCs/>
          <w:sz w:val="21"/>
          <w:szCs w:val="21"/>
        </w:rPr>
        <w:t>, in addition to those who elect not to obtain face-to-face treatment (i.e. because of stigma) or who cannot do so (i.e. because of family or work commitments or cost)</w:t>
      </w:r>
      <w:r w:rsidR="007F477A" w:rsidRPr="00237188">
        <w:rPr>
          <w:bCs/>
          <w:iCs/>
          <w:sz w:val="21"/>
          <w:szCs w:val="21"/>
        </w:rPr>
        <w:t xml:space="preserve">. </w:t>
      </w:r>
    </w:p>
    <w:p w:rsidR="00D36F78" w:rsidRDefault="00D36F78" w:rsidP="00D36F78">
      <w:pPr>
        <w:rPr>
          <w:sz w:val="21"/>
          <w:szCs w:val="21"/>
        </w:rPr>
      </w:pPr>
    </w:p>
    <w:p w:rsidR="00D36F78" w:rsidRPr="000866FD" w:rsidRDefault="00D36F78" w:rsidP="00D36F78">
      <w:pPr>
        <w:rPr>
          <w:b/>
          <w:sz w:val="21"/>
          <w:szCs w:val="21"/>
        </w:rPr>
      </w:pPr>
      <w:r w:rsidRPr="000866FD">
        <w:rPr>
          <w:b/>
          <w:sz w:val="21"/>
          <w:szCs w:val="21"/>
        </w:rPr>
        <w:t>Healthcare workforce</w:t>
      </w:r>
    </w:p>
    <w:p w:rsidR="00D36F78" w:rsidRPr="002501EF" w:rsidRDefault="00D36F78" w:rsidP="00D36F78">
      <w:pPr>
        <w:rPr>
          <w:bCs/>
          <w:iCs/>
          <w:color w:val="1F497D" w:themeColor="text2"/>
          <w:sz w:val="21"/>
          <w:szCs w:val="21"/>
        </w:rPr>
      </w:pPr>
    </w:p>
    <w:p w:rsidR="002501EF" w:rsidRDefault="002501EF" w:rsidP="00D36F78">
      <w:pPr>
        <w:rPr>
          <w:bCs/>
          <w:iCs/>
          <w:sz w:val="21"/>
          <w:szCs w:val="21"/>
        </w:rPr>
      </w:pPr>
      <w:r>
        <w:rPr>
          <w:bCs/>
          <w:iCs/>
          <w:sz w:val="21"/>
          <w:szCs w:val="21"/>
        </w:rPr>
        <w:t>It is commendable tha</w:t>
      </w:r>
      <w:r w:rsidR="002B60D5">
        <w:rPr>
          <w:bCs/>
          <w:iCs/>
          <w:sz w:val="21"/>
          <w:szCs w:val="21"/>
        </w:rPr>
        <w:t xml:space="preserve">t the Commission recognises the importance of </w:t>
      </w:r>
      <w:r w:rsidR="007C0E76">
        <w:rPr>
          <w:bCs/>
          <w:iCs/>
          <w:sz w:val="21"/>
          <w:szCs w:val="21"/>
        </w:rPr>
        <w:t xml:space="preserve">the </w:t>
      </w:r>
      <w:r w:rsidR="002B60D5">
        <w:rPr>
          <w:bCs/>
          <w:iCs/>
          <w:sz w:val="21"/>
          <w:szCs w:val="21"/>
        </w:rPr>
        <w:t>capacity to a</w:t>
      </w:r>
      <w:r w:rsidR="00360B4B">
        <w:rPr>
          <w:bCs/>
          <w:iCs/>
          <w:sz w:val="21"/>
          <w:szCs w:val="21"/>
        </w:rPr>
        <w:t xml:space="preserve">ddress mental health </w:t>
      </w:r>
      <w:r w:rsidR="007C0E76">
        <w:rPr>
          <w:bCs/>
          <w:iCs/>
          <w:sz w:val="21"/>
          <w:szCs w:val="21"/>
        </w:rPr>
        <w:t xml:space="preserve">by a workforce that encompasses </w:t>
      </w:r>
      <w:r w:rsidR="00840DF2">
        <w:rPr>
          <w:bCs/>
          <w:iCs/>
          <w:sz w:val="21"/>
          <w:szCs w:val="21"/>
        </w:rPr>
        <w:t xml:space="preserve">a range of health </w:t>
      </w:r>
      <w:r w:rsidR="00360B4B">
        <w:rPr>
          <w:bCs/>
          <w:iCs/>
          <w:sz w:val="21"/>
          <w:szCs w:val="21"/>
        </w:rPr>
        <w:t xml:space="preserve">professions, including GPs, nurses, </w:t>
      </w:r>
      <w:r w:rsidR="00840DF2">
        <w:rPr>
          <w:bCs/>
          <w:iCs/>
          <w:sz w:val="21"/>
          <w:szCs w:val="21"/>
        </w:rPr>
        <w:t xml:space="preserve">psychologists, psychiatrists, social workers, and other </w:t>
      </w:r>
      <w:r w:rsidR="00360B4B">
        <w:rPr>
          <w:bCs/>
          <w:iCs/>
          <w:sz w:val="21"/>
          <w:szCs w:val="21"/>
        </w:rPr>
        <w:t>allied health professionals.</w:t>
      </w:r>
      <w:r w:rsidR="002B60D5">
        <w:rPr>
          <w:bCs/>
          <w:iCs/>
          <w:sz w:val="21"/>
          <w:szCs w:val="21"/>
        </w:rPr>
        <w:t xml:space="preserve"> </w:t>
      </w:r>
    </w:p>
    <w:p w:rsidR="002501EF" w:rsidRDefault="002501EF" w:rsidP="00D36F78">
      <w:pPr>
        <w:rPr>
          <w:bCs/>
          <w:iCs/>
          <w:sz w:val="21"/>
          <w:szCs w:val="21"/>
        </w:rPr>
      </w:pPr>
    </w:p>
    <w:p w:rsidR="00360B4B" w:rsidRDefault="00360B4B" w:rsidP="00360B4B">
      <w:pPr>
        <w:rPr>
          <w:bCs/>
          <w:iCs/>
          <w:sz w:val="21"/>
          <w:szCs w:val="21"/>
        </w:rPr>
      </w:pPr>
      <w:r>
        <w:rPr>
          <w:bCs/>
          <w:iCs/>
          <w:sz w:val="21"/>
          <w:szCs w:val="21"/>
        </w:rPr>
        <w:t xml:space="preserve">The QUT Faculty of Health is committed to </w:t>
      </w:r>
      <w:r w:rsidR="007C0E76">
        <w:rPr>
          <w:bCs/>
          <w:iCs/>
          <w:sz w:val="21"/>
          <w:szCs w:val="21"/>
        </w:rPr>
        <w:t xml:space="preserve">developing </w:t>
      </w:r>
      <w:r>
        <w:rPr>
          <w:bCs/>
          <w:iCs/>
          <w:sz w:val="21"/>
          <w:szCs w:val="21"/>
        </w:rPr>
        <w:t xml:space="preserve">a </w:t>
      </w:r>
      <w:r w:rsidRPr="002E1B50">
        <w:rPr>
          <w:b/>
          <w:bCs/>
          <w:iCs/>
          <w:sz w:val="21"/>
          <w:szCs w:val="21"/>
        </w:rPr>
        <w:t xml:space="preserve">healthcare workforce that is equipped </w:t>
      </w:r>
      <w:r>
        <w:rPr>
          <w:b/>
          <w:bCs/>
          <w:iCs/>
          <w:sz w:val="21"/>
          <w:szCs w:val="21"/>
        </w:rPr>
        <w:t xml:space="preserve">to enhance </w:t>
      </w:r>
      <w:r w:rsidR="003D66E9">
        <w:rPr>
          <w:b/>
          <w:bCs/>
          <w:iCs/>
          <w:sz w:val="21"/>
          <w:szCs w:val="21"/>
        </w:rPr>
        <w:t xml:space="preserve">the </w:t>
      </w:r>
      <w:r>
        <w:rPr>
          <w:b/>
          <w:bCs/>
          <w:iCs/>
          <w:sz w:val="21"/>
          <w:szCs w:val="21"/>
        </w:rPr>
        <w:t xml:space="preserve">health and wellbeing of </w:t>
      </w:r>
      <w:r w:rsidRPr="002E1B50">
        <w:rPr>
          <w:b/>
          <w:bCs/>
          <w:iCs/>
          <w:sz w:val="21"/>
          <w:szCs w:val="21"/>
        </w:rPr>
        <w:t>the real world</w:t>
      </w:r>
      <w:r>
        <w:rPr>
          <w:bCs/>
          <w:iCs/>
          <w:sz w:val="21"/>
          <w:szCs w:val="21"/>
        </w:rPr>
        <w:t xml:space="preserve"> through Interprofessional Education (IPE), industry-connected curriculum, practical placements, and </w:t>
      </w:r>
      <w:r w:rsidR="007C0E76">
        <w:rPr>
          <w:bCs/>
          <w:iCs/>
          <w:sz w:val="21"/>
          <w:szCs w:val="21"/>
        </w:rPr>
        <w:t xml:space="preserve">by increasing </w:t>
      </w:r>
      <w:r>
        <w:rPr>
          <w:bCs/>
          <w:iCs/>
          <w:sz w:val="21"/>
          <w:szCs w:val="21"/>
        </w:rPr>
        <w:t xml:space="preserve">an understanding of cultural safety and diverse perspectives. </w:t>
      </w:r>
      <w:r w:rsidR="007C0E76">
        <w:rPr>
          <w:bCs/>
          <w:iCs/>
          <w:sz w:val="21"/>
          <w:szCs w:val="21"/>
        </w:rPr>
        <w:t>The contemporaneity and relevance of QUT’s research, education and training is enhanced through l</w:t>
      </w:r>
      <w:r>
        <w:rPr>
          <w:bCs/>
          <w:iCs/>
          <w:sz w:val="21"/>
          <w:szCs w:val="21"/>
        </w:rPr>
        <w:t xml:space="preserve">ongstanding partnerships </w:t>
      </w:r>
      <w:r w:rsidR="007C0E76">
        <w:rPr>
          <w:bCs/>
          <w:iCs/>
          <w:sz w:val="21"/>
          <w:szCs w:val="21"/>
        </w:rPr>
        <w:t xml:space="preserve">with </w:t>
      </w:r>
      <w:r w:rsidRPr="006A2B4B">
        <w:rPr>
          <w:bCs/>
          <w:iCs/>
          <w:sz w:val="21"/>
          <w:szCs w:val="21"/>
        </w:rPr>
        <w:t>Hospital &amp; Health Services</w:t>
      </w:r>
      <w:r>
        <w:rPr>
          <w:bCs/>
          <w:iCs/>
          <w:sz w:val="21"/>
          <w:szCs w:val="21"/>
        </w:rPr>
        <w:t xml:space="preserve">, Non-Government Organisations, commercial organisations and health consumer </w:t>
      </w:r>
      <w:r w:rsidR="007C0E76">
        <w:rPr>
          <w:bCs/>
          <w:iCs/>
          <w:sz w:val="21"/>
          <w:szCs w:val="21"/>
        </w:rPr>
        <w:t>advocacy bodies</w:t>
      </w:r>
      <w:r>
        <w:rPr>
          <w:bCs/>
          <w:iCs/>
          <w:sz w:val="21"/>
          <w:szCs w:val="21"/>
        </w:rPr>
        <w:t xml:space="preserve">. </w:t>
      </w:r>
      <w:r w:rsidR="007C0E76">
        <w:rPr>
          <w:bCs/>
          <w:iCs/>
          <w:sz w:val="21"/>
          <w:szCs w:val="21"/>
        </w:rPr>
        <w:t xml:space="preserve">These partnerships optimise the effectiveness of programs that prepare the graduating workforce, and continuing professional development that </w:t>
      </w:r>
      <w:r w:rsidR="00AC2BBC">
        <w:rPr>
          <w:bCs/>
          <w:iCs/>
          <w:sz w:val="21"/>
          <w:szCs w:val="21"/>
        </w:rPr>
        <w:t>increase capacity among the existing workforce.</w:t>
      </w:r>
    </w:p>
    <w:p w:rsidR="00360B4B" w:rsidRDefault="00360B4B" w:rsidP="00360B4B">
      <w:pPr>
        <w:rPr>
          <w:bCs/>
          <w:iCs/>
          <w:sz w:val="21"/>
          <w:szCs w:val="21"/>
        </w:rPr>
      </w:pPr>
    </w:p>
    <w:p w:rsidR="003D66E9" w:rsidRDefault="003D66E9" w:rsidP="003D66E9">
      <w:pPr>
        <w:rPr>
          <w:bCs/>
          <w:iCs/>
          <w:sz w:val="21"/>
          <w:szCs w:val="21"/>
        </w:rPr>
      </w:pPr>
      <w:r w:rsidRPr="00D36F78">
        <w:rPr>
          <w:bCs/>
          <w:iCs/>
          <w:sz w:val="21"/>
          <w:szCs w:val="21"/>
        </w:rPr>
        <w:t>Investment into simple but effective capacity-building programs for clinicians</w:t>
      </w:r>
      <w:r>
        <w:rPr>
          <w:bCs/>
          <w:iCs/>
          <w:sz w:val="21"/>
          <w:szCs w:val="21"/>
        </w:rPr>
        <w:t xml:space="preserve">, such as those developed in partnership between </w:t>
      </w:r>
      <w:r w:rsidR="00AC2BBC">
        <w:rPr>
          <w:bCs/>
          <w:iCs/>
          <w:sz w:val="21"/>
          <w:szCs w:val="21"/>
        </w:rPr>
        <w:t xml:space="preserve">QUT Faculty of Health and AusHSI </w:t>
      </w:r>
      <w:r w:rsidR="00840DF2">
        <w:rPr>
          <w:bCs/>
          <w:iCs/>
          <w:sz w:val="21"/>
          <w:szCs w:val="21"/>
        </w:rPr>
        <w:t xml:space="preserve">implementation scientists in service design and evaluation </w:t>
      </w:r>
      <w:r w:rsidR="00AC2BBC">
        <w:rPr>
          <w:bCs/>
          <w:iCs/>
          <w:sz w:val="21"/>
          <w:szCs w:val="21"/>
        </w:rPr>
        <w:t xml:space="preserve">with </w:t>
      </w:r>
      <w:r>
        <w:rPr>
          <w:bCs/>
          <w:iCs/>
          <w:sz w:val="21"/>
          <w:szCs w:val="21"/>
        </w:rPr>
        <w:t>health organisations,</w:t>
      </w:r>
      <w:r w:rsidRPr="00D36F78">
        <w:rPr>
          <w:bCs/>
          <w:iCs/>
          <w:sz w:val="21"/>
          <w:szCs w:val="21"/>
        </w:rPr>
        <w:t xml:space="preserve"> is essential</w:t>
      </w:r>
      <w:r>
        <w:rPr>
          <w:bCs/>
          <w:iCs/>
          <w:sz w:val="21"/>
          <w:szCs w:val="21"/>
        </w:rPr>
        <w:t xml:space="preserve"> to ensuring </w:t>
      </w:r>
      <w:r w:rsidR="00840DF2">
        <w:rPr>
          <w:bCs/>
          <w:iCs/>
          <w:sz w:val="21"/>
          <w:szCs w:val="21"/>
        </w:rPr>
        <w:t xml:space="preserve">effective </w:t>
      </w:r>
      <w:r>
        <w:rPr>
          <w:bCs/>
          <w:iCs/>
          <w:sz w:val="21"/>
          <w:szCs w:val="21"/>
        </w:rPr>
        <w:t>outcomes</w:t>
      </w:r>
      <w:r w:rsidRPr="00D36F78">
        <w:rPr>
          <w:bCs/>
          <w:iCs/>
          <w:sz w:val="21"/>
          <w:szCs w:val="21"/>
        </w:rPr>
        <w:t xml:space="preserve">. </w:t>
      </w:r>
      <w:r w:rsidR="00840DF2" w:rsidRPr="00840DF2">
        <w:rPr>
          <w:b/>
          <w:bCs/>
          <w:iCs/>
          <w:sz w:val="21"/>
          <w:szCs w:val="21"/>
        </w:rPr>
        <w:t>S</w:t>
      </w:r>
      <w:r w:rsidRPr="00AC2BBC">
        <w:rPr>
          <w:b/>
          <w:bCs/>
          <w:iCs/>
          <w:sz w:val="21"/>
          <w:szCs w:val="21"/>
        </w:rPr>
        <w:t xml:space="preserve">ound implementation plans should guide both the design and roll-out of </w:t>
      </w:r>
      <w:r w:rsidR="00840DF2">
        <w:rPr>
          <w:b/>
          <w:bCs/>
          <w:iCs/>
          <w:sz w:val="21"/>
          <w:szCs w:val="21"/>
        </w:rPr>
        <w:t>new initiatives.</w:t>
      </w:r>
      <w:r w:rsidRPr="00D36F78">
        <w:rPr>
          <w:bCs/>
          <w:iCs/>
          <w:sz w:val="21"/>
          <w:szCs w:val="21"/>
        </w:rPr>
        <w:t xml:space="preserve"> </w:t>
      </w:r>
    </w:p>
    <w:p w:rsidR="003D66E9" w:rsidRDefault="003D66E9" w:rsidP="003D66E9">
      <w:pPr>
        <w:rPr>
          <w:bCs/>
          <w:iCs/>
          <w:sz w:val="21"/>
          <w:szCs w:val="21"/>
        </w:rPr>
      </w:pPr>
    </w:p>
    <w:p w:rsidR="00D36F78" w:rsidRPr="00D36F78" w:rsidRDefault="00D36F78" w:rsidP="00D36F78">
      <w:pPr>
        <w:rPr>
          <w:bCs/>
          <w:iCs/>
          <w:sz w:val="21"/>
          <w:szCs w:val="21"/>
        </w:rPr>
      </w:pPr>
      <w:r w:rsidRPr="00D36F78">
        <w:rPr>
          <w:bCs/>
          <w:iCs/>
          <w:sz w:val="21"/>
          <w:szCs w:val="21"/>
        </w:rPr>
        <w:t>Primary Health Network (PHN) involvement in educating General Practitioners (GPs) is crucial, particularly to ensure that GPs:</w:t>
      </w:r>
    </w:p>
    <w:p w:rsidR="00D36F78" w:rsidRPr="00D36F78" w:rsidRDefault="00D36F78" w:rsidP="00D36F78">
      <w:pPr>
        <w:pStyle w:val="ListParagraph"/>
        <w:numPr>
          <w:ilvl w:val="0"/>
          <w:numId w:val="2"/>
        </w:numPr>
        <w:rPr>
          <w:bCs/>
          <w:iCs/>
          <w:sz w:val="21"/>
          <w:szCs w:val="21"/>
        </w:rPr>
      </w:pPr>
      <w:r w:rsidRPr="00D36F78">
        <w:rPr>
          <w:bCs/>
          <w:iCs/>
          <w:sz w:val="21"/>
          <w:szCs w:val="21"/>
        </w:rPr>
        <w:t>can conduct thorough assessments;</w:t>
      </w:r>
    </w:p>
    <w:p w:rsidR="00D36F78" w:rsidRPr="00D36F78" w:rsidRDefault="00D36F78" w:rsidP="00D36F78">
      <w:pPr>
        <w:pStyle w:val="ListParagraph"/>
        <w:numPr>
          <w:ilvl w:val="0"/>
          <w:numId w:val="2"/>
        </w:numPr>
        <w:rPr>
          <w:bCs/>
          <w:iCs/>
          <w:sz w:val="21"/>
          <w:szCs w:val="21"/>
        </w:rPr>
      </w:pPr>
      <w:r w:rsidRPr="00D36F78">
        <w:rPr>
          <w:bCs/>
          <w:iCs/>
          <w:sz w:val="21"/>
          <w:szCs w:val="21"/>
        </w:rPr>
        <w:t xml:space="preserve">are aware of all the services available to patients in their area; </w:t>
      </w:r>
    </w:p>
    <w:p w:rsidR="00D36F78" w:rsidRPr="00D36F78" w:rsidRDefault="00D36F78" w:rsidP="00D36F78">
      <w:pPr>
        <w:pStyle w:val="ListParagraph"/>
        <w:numPr>
          <w:ilvl w:val="0"/>
          <w:numId w:val="2"/>
        </w:numPr>
        <w:rPr>
          <w:bCs/>
          <w:iCs/>
          <w:sz w:val="21"/>
          <w:szCs w:val="21"/>
        </w:rPr>
      </w:pPr>
      <w:r w:rsidRPr="00D36F78">
        <w:rPr>
          <w:bCs/>
          <w:iCs/>
          <w:sz w:val="21"/>
          <w:szCs w:val="21"/>
        </w:rPr>
        <w:t>understand the latest evidence; and</w:t>
      </w:r>
    </w:p>
    <w:p w:rsidR="00D36F78" w:rsidRPr="00D36F78" w:rsidRDefault="00D36F78" w:rsidP="00D36F78">
      <w:pPr>
        <w:pStyle w:val="ListParagraph"/>
        <w:numPr>
          <w:ilvl w:val="0"/>
          <w:numId w:val="2"/>
        </w:numPr>
        <w:rPr>
          <w:bCs/>
          <w:iCs/>
          <w:sz w:val="21"/>
          <w:szCs w:val="21"/>
        </w:rPr>
      </w:pPr>
      <w:r w:rsidRPr="00D36F78">
        <w:rPr>
          <w:bCs/>
          <w:iCs/>
          <w:sz w:val="21"/>
          <w:szCs w:val="21"/>
        </w:rPr>
        <w:t>understand the locally agreed referral pathway.</w:t>
      </w:r>
    </w:p>
    <w:p w:rsidR="00D36F78" w:rsidRPr="002501EF" w:rsidRDefault="00D36F78" w:rsidP="00D36F78">
      <w:pPr>
        <w:rPr>
          <w:bCs/>
          <w:iCs/>
          <w:color w:val="1F497D" w:themeColor="text2"/>
          <w:sz w:val="21"/>
          <w:szCs w:val="21"/>
        </w:rPr>
      </w:pPr>
    </w:p>
    <w:p w:rsidR="00360B4B" w:rsidRDefault="00360B4B" w:rsidP="00360B4B">
      <w:pPr>
        <w:rPr>
          <w:bCs/>
          <w:iCs/>
          <w:sz w:val="21"/>
          <w:szCs w:val="21"/>
        </w:rPr>
      </w:pPr>
      <w:r>
        <w:rPr>
          <w:bCs/>
          <w:iCs/>
          <w:sz w:val="21"/>
          <w:szCs w:val="21"/>
        </w:rPr>
        <w:t xml:space="preserve">The Faculty welcomes the Commission’s recommendation for a holistic approach to workforce planning, and suggests that this be undertaken in collaboration with the university sector where </w:t>
      </w:r>
      <w:r w:rsidR="00AC2BBC">
        <w:rPr>
          <w:bCs/>
          <w:iCs/>
          <w:sz w:val="21"/>
          <w:szCs w:val="21"/>
        </w:rPr>
        <w:t xml:space="preserve">a </w:t>
      </w:r>
      <w:r>
        <w:rPr>
          <w:bCs/>
          <w:iCs/>
          <w:sz w:val="21"/>
          <w:szCs w:val="21"/>
        </w:rPr>
        <w:t>strong track record of interdisciplinary innovations and cross-</w:t>
      </w:r>
      <w:r w:rsidR="00840DF2">
        <w:rPr>
          <w:bCs/>
          <w:iCs/>
          <w:sz w:val="21"/>
          <w:szCs w:val="21"/>
        </w:rPr>
        <w:t>disciplinary</w:t>
      </w:r>
      <w:r>
        <w:rPr>
          <w:bCs/>
          <w:iCs/>
          <w:sz w:val="21"/>
          <w:szCs w:val="21"/>
        </w:rPr>
        <w:t xml:space="preserve"> collaborations (ie across health, business, economics, engineering, technology) can </w:t>
      </w:r>
      <w:r w:rsidR="00840DF2">
        <w:rPr>
          <w:bCs/>
          <w:iCs/>
          <w:sz w:val="21"/>
          <w:szCs w:val="21"/>
        </w:rPr>
        <w:t xml:space="preserve">advance </w:t>
      </w:r>
      <w:r>
        <w:rPr>
          <w:bCs/>
          <w:iCs/>
          <w:sz w:val="21"/>
          <w:szCs w:val="21"/>
        </w:rPr>
        <w:t>holistic solutions.</w:t>
      </w:r>
    </w:p>
    <w:p w:rsidR="000C0D05" w:rsidRDefault="000C0D05" w:rsidP="000C0D05">
      <w:pPr>
        <w:rPr>
          <w:b/>
        </w:rPr>
      </w:pPr>
    </w:p>
    <w:p w:rsidR="00AC0AAF" w:rsidRPr="000866FD" w:rsidRDefault="00AC0AAF" w:rsidP="000C0D05">
      <w:pPr>
        <w:rPr>
          <w:b/>
        </w:rPr>
      </w:pPr>
      <w:r w:rsidRPr="000866FD">
        <w:rPr>
          <w:b/>
        </w:rPr>
        <w:t>Part III: Reorienting surround</w:t>
      </w:r>
      <w:r w:rsidR="0013290F" w:rsidRPr="000866FD">
        <w:rPr>
          <w:b/>
        </w:rPr>
        <w:t>ing</w:t>
      </w:r>
      <w:r w:rsidRPr="000866FD">
        <w:rPr>
          <w:b/>
        </w:rPr>
        <w:t xml:space="preserve"> services to people</w:t>
      </w:r>
    </w:p>
    <w:p w:rsidR="000C0D05" w:rsidRPr="000866FD" w:rsidRDefault="000C0D05" w:rsidP="000C0D05">
      <w:pPr>
        <w:rPr>
          <w:b/>
        </w:rPr>
      </w:pPr>
    </w:p>
    <w:p w:rsidR="007F477A" w:rsidRPr="000866FD" w:rsidRDefault="00AC0AAF" w:rsidP="000C0D05">
      <w:pPr>
        <w:rPr>
          <w:b/>
          <w:sz w:val="21"/>
          <w:szCs w:val="21"/>
        </w:rPr>
      </w:pPr>
      <w:r w:rsidRPr="000866FD">
        <w:rPr>
          <w:b/>
          <w:sz w:val="21"/>
          <w:szCs w:val="21"/>
        </w:rPr>
        <w:t>C</w:t>
      </w:r>
      <w:r w:rsidR="007F477A" w:rsidRPr="000866FD">
        <w:rPr>
          <w:b/>
          <w:sz w:val="21"/>
          <w:szCs w:val="21"/>
        </w:rPr>
        <w:t>are integration and coordination</w:t>
      </w:r>
    </w:p>
    <w:p w:rsidR="007D30C2" w:rsidRDefault="007D30C2" w:rsidP="000C0D05">
      <w:pPr>
        <w:rPr>
          <w:bCs/>
          <w:iCs/>
          <w:sz w:val="21"/>
          <w:szCs w:val="21"/>
          <w:lang w:eastAsia="en-US"/>
        </w:rPr>
      </w:pPr>
    </w:p>
    <w:p w:rsidR="007F477A" w:rsidRPr="00AC0AAF" w:rsidRDefault="007F477A" w:rsidP="000C0D05">
      <w:pPr>
        <w:rPr>
          <w:bCs/>
          <w:iCs/>
          <w:sz w:val="21"/>
          <w:szCs w:val="21"/>
          <w:lang w:eastAsia="en-US"/>
        </w:rPr>
      </w:pPr>
      <w:r w:rsidRPr="00AC0AAF">
        <w:rPr>
          <w:bCs/>
          <w:iCs/>
          <w:sz w:val="21"/>
          <w:szCs w:val="21"/>
          <w:lang w:eastAsia="en-US"/>
        </w:rPr>
        <w:t xml:space="preserve">AusHSI’s work suggests the complexity of coordinating and integrating mental health services is routinely underestimated. Significant time and cooperation are required to engage key service organisations in negotiations around referral pathways, clinical governance, service coordination, data-sharing, and evaluation. </w:t>
      </w:r>
      <w:r w:rsidR="000C0E3C">
        <w:rPr>
          <w:bCs/>
          <w:iCs/>
          <w:sz w:val="21"/>
          <w:szCs w:val="21"/>
          <w:lang w:eastAsia="en-US"/>
        </w:rPr>
        <w:t>It is critical to d</w:t>
      </w:r>
      <w:r w:rsidRPr="00AC0AAF">
        <w:rPr>
          <w:bCs/>
          <w:iCs/>
          <w:sz w:val="21"/>
          <w:szCs w:val="21"/>
          <w:lang w:eastAsia="en-US"/>
        </w:rPr>
        <w:t xml:space="preserve">eveloping formal inter-organisational agreements and staff </w:t>
      </w:r>
      <w:r w:rsidR="00840DF2">
        <w:rPr>
          <w:bCs/>
          <w:iCs/>
          <w:sz w:val="21"/>
          <w:szCs w:val="21"/>
          <w:lang w:eastAsia="en-US"/>
        </w:rPr>
        <w:t xml:space="preserve">commitment </w:t>
      </w:r>
      <w:r w:rsidRPr="00AC0AAF">
        <w:rPr>
          <w:bCs/>
          <w:iCs/>
          <w:sz w:val="21"/>
          <w:szCs w:val="21"/>
          <w:lang w:eastAsia="en-US"/>
        </w:rPr>
        <w:t xml:space="preserve">at all organisational levels. </w:t>
      </w:r>
    </w:p>
    <w:p w:rsidR="000C0E3C" w:rsidRDefault="000C0E3C" w:rsidP="000C0D05">
      <w:pPr>
        <w:rPr>
          <w:bCs/>
          <w:iCs/>
          <w:sz w:val="21"/>
          <w:szCs w:val="21"/>
          <w:lang w:eastAsia="en-US"/>
        </w:rPr>
      </w:pPr>
    </w:p>
    <w:p w:rsidR="007F477A" w:rsidRPr="00AC0AAF" w:rsidRDefault="00AC2BBC" w:rsidP="000C0D05">
      <w:pPr>
        <w:rPr>
          <w:sz w:val="21"/>
          <w:szCs w:val="21"/>
        </w:rPr>
      </w:pPr>
      <w:r>
        <w:rPr>
          <w:bCs/>
          <w:iCs/>
          <w:sz w:val="21"/>
          <w:szCs w:val="21"/>
          <w:lang w:eastAsia="en-US"/>
        </w:rPr>
        <w:t xml:space="preserve">Draft recommendation 10.2 identifies online platforms to support better referral pathways. These online-supported </w:t>
      </w:r>
      <w:r w:rsidR="007F477A" w:rsidRPr="00AC0AAF">
        <w:rPr>
          <w:bCs/>
          <w:iCs/>
          <w:sz w:val="21"/>
          <w:szCs w:val="21"/>
          <w:lang w:eastAsia="en-US"/>
        </w:rPr>
        <w:t>pathways are recommended</w:t>
      </w:r>
      <w:r>
        <w:rPr>
          <w:bCs/>
          <w:iCs/>
          <w:sz w:val="21"/>
          <w:szCs w:val="21"/>
          <w:lang w:eastAsia="en-US"/>
        </w:rPr>
        <w:t>,</w:t>
      </w:r>
      <w:r w:rsidR="007F477A" w:rsidRPr="00AC0AAF">
        <w:rPr>
          <w:bCs/>
          <w:iCs/>
          <w:sz w:val="21"/>
          <w:szCs w:val="21"/>
          <w:lang w:eastAsia="en-US"/>
        </w:rPr>
        <w:t xml:space="preserve"> but </w:t>
      </w:r>
      <w:r>
        <w:rPr>
          <w:bCs/>
          <w:iCs/>
          <w:sz w:val="21"/>
          <w:szCs w:val="21"/>
          <w:lang w:eastAsia="en-US"/>
        </w:rPr>
        <w:t xml:space="preserve">are </w:t>
      </w:r>
      <w:r w:rsidR="007F477A" w:rsidRPr="00AC0AAF">
        <w:rPr>
          <w:bCs/>
          <w:iCs/>
          <w:sz w:val="21"/>
          <w:szCs w:val="21"/>
          <w:lang w:eastAsia="en-US"/>
        </w:rPr>
        <w:t xml:space="preserve">extremely difficult to implement locally. State directives and significant investment will be required to implement digital platforms with the capacity </w:t>
      </w:r>
      <w:r w:rsidR="007F477A" w:rsidRPr="00AC0AAF">
        <w:rPr>
          <w:bCs/>
          <w:iCs/>
          <w:sz w:val="21"/>
          <w:szCs w:val="21"/>
          <w:lang w:eastAsia="en-US"/>
        </w:rPr>
        <w:lastRenderedPageBreak/>
        <w:t>to facilitate data sharing and shared data collection.</w:t>
      </w:r>
    </w:p>
    <w:p w:rsidR="000C0D05" w:rsidRDefault="000C0D05" w:rsidP="000C0D05">
      <w:pPr>
        <w:rPr>
          <w:b/>
        </w:rPr>
      </w:pPr>
    </w:p>
    <w:p w:rsidR="00AC0AAF" w:rsidRPr="000C0D05" w:rsidRDefault="00AC0AAF" w:rsidP="000C0D05">
      <w:pPr>
        <w:rPr>
          <w:b/>
        </w:rPr>
      </w:pPr>
      <w:r w:rsidRPr="000C0D05">
        <w:rPr>
          <w:b/>
        </w:rPr>
        <w:t>Part V: Pulling together the reforms</w:t>
      </w:r>
    </w:p>
    <w:p w:rsidR="000C0D05" w:rsidRPr="000C0D05" w:rsidRDefault="000C0D05" w:rsidP="000C0D05">
      <w:pPr>
        <w:rPr>
          <w:b/>
        </w:rPr>
      </w:pPr>
    </w:p>
    <w:p w:rsidR="007F477A" w:rsidRPr="000866FD" w:rsidRDefault="00AC0AAF" w:rsidP="000C0D05">
      <w:pPr>
        <w:rPr>
          <w:b/>
          <w:sz w:val="21"/>
          <w:szCs w:val="21"/>
        </w:rPr>
      </w:pPr>
      <w:r w:rsidRPr="000866FD">
        <w:rPr>
          <w:b/>
          <w:sz w:val="21"/>
          <w:szCs w:val="21"/>
        </w:rPr>
        <w:t>F</w:t>
      </w:r>
      <w:r w:rsidR="009032CB" w:rsidRPr="000866FD">
        <w:rPr>
          <w:b/>
          <w:sz w:val="21"/>
          <w:szCs w:val="21"/>
        </w:rPr>
        <w:t>unding</w:t>
      </w:r>
    </w:p>
    <w:p w:rsidR="009032CB" w:rsidRPr="00980CE0" w:rsidRDefault="009032CB" w:rsidP="000C0D05">
      <w:pPr>
        <w:rPr>
          <w:b/>
          <w:bCs/>
          <w:iCs/>
          <w:sz w:val="21"/>
          <w:szCs w:val="21"/>
          <w:lang w:eastAsia="en-US"/>
        </w:rPr>
      </w:pPr>
    </w:p>
    <w:p w:rsidR="00DF7052" w:rsidRDefault="00DF7052" w:rsidP="000C0D05">
      <w:pPr>
        <w:rPr>
          <w:bCs/>
          <w:iCs/>
          <w:sz w:val="21"/>
          <w:szCs w:val="21"/>
          <w:lang w:eastAsia="en-US"/>
        </w:rPr>
      </w:pPr>
      <w:r>
        <w:rPr>
          <w:bCs/>
          <w:iCs/>
          <w:sz w:val="21"/>
          <w:szCs w:val="21"/>
          <w:lang w:eastAsia="en-US"/>
        </w:rPr>
        <w:t xml:space="preserve">It is commendable that the Commission seeks to implement funding </w:t>
      </w:r>
      <w:r w:rsidR="009A60F4">
        <w:rPr>
          <w:bCs/>
          <w:iCs/>
          <w:sz w:val="21"/>
          <w:szCs w:val="21"/>
          <w:lang w:eastAsia="en-US"/>
        </w:rPr>
        <w:t>reforms in order to increase flexibility in mental health care service delivery.</w:t>
      </w:r>
    </w:p>
    <w:p w:rsidR="00DF7052" w:rsidRDefault="00DF7052" w:rsidP="000C0D05">
      <w:pPr>
        <w:rPr>
          <w:bCs/>
          <w:iCs/>
          <w:sz w:val="21"/>
          <w:szCs w:val="21"/>
          <w:lang w:eastAsia="en-US"/>
        </w:rPr>
      </w:pPr>
    </w:p>
    <w:p w:rsidR="009032CB" w:rsidRPr="007D30C2" w:rsidRDefault="009032CB" w:rsidP="000C0D05">
      <w:pPr>
        <w:rPr>
          <w:bCs/>
          <w:iCs/>
          <w:sz w:val="21"/>
          <w:szCs w:val="21"/>
          <w:lang w:eastAsia="en-US"/>
        </w:rPr>
      </w:pPr>
      <w:r w:rsidRPr="007D30C2">
        <w:rPr>
          <w:bCs/>
          <w:iCs/>
          <w:sz w:val="21"/>
          <w:szCs w:val="21"/>
          <w:lang w:eastAsia="en-US"/>
        </w:rPr>
        <w:t>The current model of segregated funding is the key obstacle facing the implementation of integrated mental health care in Australia. AusHSI’s work suggests that governance issues are directly linked to funding</w:t>
      </w:r>
      <w:r w:rsidR="009A60F4">
        <w:rPr>
          <w:bCs/>
          <w:iCs/>
          <w:sz w:val="21"/>
          <w:szCs w:val="21"/>
          <w:lang w:eastAsia="en-US"/>
        </w:rPr>
        <w:t>—</w:t>
      </w:r>
      <w:r w:rsidRPr="007D30C2">
        <w:rPr>
          <w:bCs/>
          <w:iCs/>
          <w:sz w:val="21"/>
          <w:szCs w:val="21"/>
          <w:lang w:eastAsia="en-US"/>
        </w:rPr>
        <w:t>the first essential step is integrating funding sources under one model and developing a whole-of-government mental health strategy</w:t>
      </w:r>
      <w:r w:rsidR="009A60F4">
        <w:rPr>
          <w:bCs/>
          <w:iCs/>
          <w:sz w:val="21"/>
          <w:szCs w:val="21"/>
          <w:lang w:eastAsia="en-US"/>
        </w:rPr>
        <w:t xml:space="preserve">. This </w:t>
      </w:r>
      <w:r w:rsidRPr="007D30C2">
        <w:rPr>
          <w:bCs/>
          <w:iCs/>
          <w:sz w:val="21"/>
          <w:szCs w:val="21"/>
          <w:lang w:eastAsia="en-US"/>
        </w:rPr>
        <w:t xml:space="preserve">should pave the way for clearer responsibilities, easier governance negotiations and fairer accountability structures. </w:t>
      </w:r>
    </w:p>
    <w:p w:rsidR="009032CB" w:rsidRPr="007D30C2" w:rsidRDefault="009032CB" w:rsidP="000C0D05">
      <w:pPr>
        <w:rPr>
          <w:bCs/>
          <w:iCs/>
          <w:sz w:val="21"/>
          <w:szCs w:val="21"/>
          <w:lang w:eastAsia="en-US"/>
        </w:rPr>
      </w:pPr>
    </w:p>
    <w:p w:rsidR="009032CB" w:rsidRPr="007D30C2" w:rsidRDefault="009032CB" w:rsidP="000C0D05">
      <w:pPr>
        <w:rPr>
          <w:bCs/>
          <w:iCs/>
          <w:sz w:val="21"/>
          <w:szCs w:val="21"/>
          <w:lang w:eastAsia="en-US"/>
        </w:rPr>
      </w:pPr>
      <w:r w:rsidRPr="007D30C2">
        <w:rPr>
          <w:bCs/>
          <w:iCs/>
          <w:sz w:val="21"/>
          <w:szCs w:val="21"/>
          <w:lang w:eastAsia="en-US"/>
        </w:rPr>
        <w:t xml:space="preserve">AusHSI’s recent work suggests the Renovate model would </w:t>
      </w:r>
      <w:r w:rsidR="009A60F4">
        <w:rPr>
          <w:bCs/>
          <w:iCs/>
          <w:sz w:val="21"/>
          <w:szCs w:val="21"/>
          <w:lang w:eastAsia="en-US"/>
        </w:rPr>
        <w:t xml:space="preserve">not </w:t>
      </w:r>
      <w:r w:rsidRPr="007D30C2">
        <w:rPr>
          <w:bCs/>
          <w:iCs/>
          <w:sz w:val="21"/>
          <w:szCs w:val="21"/>
          <w:lang w:eastAsia="en-US"/>
        </w:rPr>
        <w:t>be effective. A pooled funding model</w:t>
      </w:r>
      <w:r w:rsidR="009A60F4">
        <w:rPr>
          <w:bCs/>
          <w:iCs/>
          <w:sz w:val="21"/>
          <w:szCs w:val="21"/>
          <w:lang w:eastAsia="en-US"/>
        </w:rPr>
        <w:t>,</w:t>
      </w:r>
      <w:r w:rsidRPr="007D30C2">
        <w:rPr>
          <w:bCs/>
          <w:iCs/>
          <w:sz w:val="21"/>
          <w:szCs w:val="21"/>
          <w:lang w:eastAsia="en-US"/>
        </w:rPr>
        <w:t xml:space="preserve"> such as is proposed in the </w:t>
      </w:r>
      <w:r w:rsidR="009A60F4">
        <w:rPr>
          <w:bCs/>
          <w:iCs/>
          <w:sz w:val="21"/>
          <w:szCs w:val="21"/>
          <w:lang w:eastAsia="en-US"/>
        </w:rPr>
        <w:t xml:space="preserve">Rebuild </w:t>
      </w:r>
      <w:r w:rsidRPr="007D30C2">
        <w:rPr>
          <w:bCs/>
          <w:iCs/>
          <w:sz w:val="21"/>
          <w:szCs w:val="21"/>
          <w:lang w:eastAsia="en-US"/>
        </w:rPr>
        <w:t>model</w:t>
      </w:r>
      <w:r w:rsidR="009A60F4">
        <w:rPr>
          <w:bCs/>
          <w:iCs/>
          <w:sz w:val="21"/>
          <w:szCs w:val="21"/>
          <w:lang w:eastAsia="en-US"/>
        </w:rPr>
        <w:t>,</w:t>
      </w:r>
      <w:r w:rsidRPr="007D30C2">
        <w:rPr>
          <w:bCs/>
          <w:iCs/>
          <w:sz w:val="21"/>
          <w:szCs w:val="21"/>
          <w:lang w:eastAsia="en-US"/>
        </w:rPr>
        <w:t xml:space="preserve"> is critical to enable the operation of integrated and coordinated mental health services in a sustainable way. Under the </w:t>
      </w:r>
      <w:r w:rsidR="009A60F4">
        <w:rPr>
          <w:bCs/>
          <w:iCs/>
          <w:sz w:val="21"/>
          <w:szCs w:val="21"/>
          <w:lang w:eastAsia="en-US"/>
        </w:rPr>
        <w:t xml:space="preserve">Rebuild </w:t>
      </w:r>
      <w:r w:rsidRPr="007D30C2">
        <w:rPr>
          <w:bCs/>
          <w:iCs/>
          <w:sz w:val="21"/>
          <w:szCs w:val="21"/>
          <w:lang w:eastAsia="en-US"/>
        </w:rPr>
        <w:t xml:space="preserve">model, greater integration of assessment, referral pathways, service coordination, data-sharing and evaluation should be possible. </w:t>
      </w:r>
      <w:r w:rsidR="009A60F4">
        <w:rPr>
          <w:bCs/>
          <w:iCs/>
          <w:sz w:val="21"/>
          <w:szCs w:val="21"/>
          <w:lang w:eastAsia="en-US"/>
        </w:rPr>
        <w:t>The model will also likely enhance p</w:t>
      </w:r>
      <w:r w:rsidRPr="007D30C2">
        <w:rPr>
          <w:bCs/>
          <w:iCs/>
          <w:sz w:val="21"/>
          <w:szCs w:val="21"/>
          <w:lang w:eastAsia="en-US"/>
        </w:rPr>
        <w:t xml:space="preserve">atient experiences and outcomes. </w:t>
      </w:r>
    </w:p>
    <w:p w:rsidR="000C0D05" w:rsidRDefault="000C0D05" w:rsidP="000C0D05">
      <w:pPr>
        <w:rPr>
          <w:b/>
        </w:rPr>
      </w:pPr>
    </w:p>
    <w:p w:rsidR="007F477A" w:rsidRPr="00AC0AAF" w:rsidRDefault="00AC0AAF" w:rsidP="000C0D05">
      <w:pPr>
        <w:rPr>
          <w:b/>
          <w:sz w:val="21"/>
          <w:szCs w:val="21"/>
        </w:rPr>
      </w:pPr>
      <w:r w:rsidRPr="00AC0AAF">
        <w:rPr>
          <w:b/>
        </w:rPr>
        <w:t>M</w:t>
      </w:r>
      <w:r w:rsidR="009032CB" w:rsidRPr="00AC0AAF">
        <w:rPr>
          <w:b/>
          <w:sz w:val="21"/>
          <w:szCs w:val="21"/>
        </w:rPr>
        <w:t>onitoring, reporting and evaluation</w:t>
      </w:r>
    </w:p>
    <w:p w:rsidR="007D30C2" w:rsidRDefault="007D30C2" w:rsidP="0013290F">
      <w:pPr>
        <w:rPr>
          <w:bCs/>
          <w:i/>
          <w:iCs/>
          <w:color w:val="1F497D" w:themeColor="text2"/>
          <w:sz w:val="21"/>
          <w:szCs w:val="21"/>
          <w:lang w:eastAsia="en-US"/>
        </w:rPr>
      </w:pPr>
    </w:p>
    <w:p w:rsidR="00C8658B" w:rsidRDefault="007D30C2" w:rsidP="0013290F">
      <w:pPr>
        <w:rPr>
          <w:bCs/>
          <w:iCs/>
          <w:sz w:val="21"/>
          <w:szCs w:val="21"/>
          <w:lang w:eastAsia="en-US"/>
        </w:rPr>
      </w:pPr>
      <w:r w:rsidRPr="007D30C2">
        <w:rPr>
          <w:bCs/>
          <w:iCs/>
          <w:sz w:val="21"/>
          <w:szCs w:val="21"/>
          <w:lang w:eastAsia="en-US"/>
        </w:rPr>
        <w:t>It is commendable that the Commission supports a framework for monitoring, evaluation and research to ensure mental health systems are improving, and use of taxpayer funds is effective and efficient.</w:t>
      </w:r>
      <w:r>
        <w:rPr>
          <w:bCs/>
          <w:iCs/>
          <w:sz w:val="21"/>
          <w:szCs w:val="21"/>
          <w:lang w:eastAsia="en-US"/>
        </w:rPr>
        <w:t xml:space="preserve"> </w:t>
      </w:r>
    </w:p>
    <w:p w:rsidR="00C8658B" w:rsidRDefault="00C8658B" w:rsidP="0013290F">
      <w:pPr>
        <w:rPr>
          <w:bCs/>
          <w:iCs/>
          <w:sz w:val="21"/>
          <w:szCs w:val="21"/>
          <w:lang w:eastAsia="en-US"/>
        </w:rPr>
      </w:pPr>
    </w:p>
    <w:p w:rsidR="007D30C2" w:rsidRDefault="007D30C2" w:rsidP="0013290F">
      <w:pPr>
        <w:rPr>
          <w:bCs/>
          <w:iCs/>
          <w:sz w:val="21"/>
          <w:szCs w:val="21"/>
          <w:lang w:eastAsia="en-US"/>
        </w:rPr>
      </w:pPr>
      <w:r>
        <w:rPr>
          <w:bCs/>
          <w:iCs/>
          <w:sz w:val="21"/>
          <w:szCs w:val="21"/>
          <w:lang w:eastAsia="en-US"/>
        </w:rPr>
        <w:t xml:space="preserve">The QUT Faculty of Health agrees with the Commission’s key principles for guiding monitoring, evaluation and research, being: </w:t>
      </w:r>
    </w:p>
    <w:p w:rsidR="007D30C2" w:rsidRDefault="007D30C2" w:rsidP="007D30C2">
      <w:pPr>
        <w:pStyle w:val="ListParagraph"/>
        <w:numPr>
          <w:ilvl w:val="0"/>
          <w:numId w:val="4"/>
        </w:numPr>
        <w:rPr>
          <w:bCs/>
          <w:iCs/>
          <w:sz w:val="21"/>
          <w:szCs w:val="21"/>
          <w:lang w:eastAsia="en-US"/>
        </w:rPr>
      </w:pPr>
      <w:r w:rsidRPr="007D30C2">
        <w:rPr>
          <w:bCs/>
          <w:iCs/>
          <w:sz w:val="21"/>
          <w:szCs w:val="21"/>
          <w:lang w:eastAsia="en-US"/>
        </w:rPr>
        <w:t>fit-for purpose</w:t>
      </w:r>
      <w:r>
        <w:rPr>
          <w:bCs/>
          <w:iCs/>
          <w:sz w:val="21"/>
          <w:szCs w:val="21"/>
          <w:lang w:eastAsia="en-US"/>
        </w:rPr>
        <w:t>;</w:t>
      </w:r>
    </w:p>
    <w:p w:rsidR="007D30C2" w:rsidRDefault="007D30C2" w:rsidP="007D30C2">
      <w:pPr>
        <w:pStyle w:val="ListParagraph"/>
        <w:numPr>
          <w:ilvl w:val="0"/>
          <w:numId w:val="4"/>
        </w:numPr>
        <w:rPr>
          <w:bCs/>
          <w:iCs/>
          <w:sz w:val="21"/>
          <w:szCs w:val="21"/>
          <w:lang w:eastAsia="en-US"/>
        </w:rPr>
      </w:pPr>
      <w:r>
        <w:rPr>
          <w:bCs/>
          <w:iCs/>
          <w:sz w:val="21"/>
          <w:szCs w:val="21"/>
          <w:lang w:eastAsia="en-US"/>
        </w:rPr>
        <w:t>supporting continuous improvement;</w:t>
      </w:r>
    </w:p>
    <w:p w:rsidR="007D30C2" w:rsidRDefault="007D30C2" w:rsidP="007D30C2">
      <w:pPr>
        <w:pStyle w:val="ListParagraph"/>
        <w:numPr>
          <w:ilvl w:val="0"/>
          <w:numId w:val="4"/>
        </w:numPr>
        <w:rPr>
          <w:bCs/>
          <w:iCs/>
          <w:sz w:val="21"/>
          <w:szCs w:val="21"/>
          <w:lang w:eastAsia="en-US"/>
        </w:rPr>
      </w:pPr>
      <w:r>
        <w:rPr>
          <w:bCs/>
          <w:iCs/>
          <w:sz w:val="21"/>
          <w:szCs w:val="21"/>
          <w:lang w:eastAsia="en-US"/>
        </w:rPr>
        <w:t xml:space="preserve">independent; </w:t>
      </w:r>
    </w:p>
    <w:p w:rsidR="007D30C2" w:rsidRDefault="007D30C2" w:rsidP="007D30C2">
      <w:pPr>
        <w:pStyle w:val="ListParagraph"/>
        <w:numPr>
          <w:ilvl w:val="0"/>
          <w:numId w:val="4"/>
        </w:numPr>
        <w:rPr>
          <w:bCs/>
          <w:iCs/>
          <w:sz w:val="21"/>
          <w:szCs w:val="21"/>
          <w:lang w:eastAsia="en-US"/>
        </w:rPr>
      </w:pPr>
      <w:r>
        <w:rPr>
          <w:bCs/>
          <w:iCs/>
          <w:sz w:val="21"/>
          <w:szCs w:val="21"/>
          <w:lang w:eastAsia="en-US"/>
        </w:rPr>
        <w:t>transparent;</w:t>
      </w:r>
    </w:p>
    <w:p w:rsidR="007D30C2" w:rsidRDefault="007D30C2" w:rsidP="007D30C2">
      <w:pPr>
        <w:pStyle w:val="ListParagraph"/>
        <w:numPr>
          <w:ilvl w:val="0"/>
          <w:numId w:val="4"/>
        </w:numPr>
        <w:rPr>
          <w:bCs/>
          <w:iCs/>
          <w:sz w:val="21"/>
          <w:szCs w:val="21"/>
          <w:lang w:eastAsia="en-US"/>
        </w:rPr>
      </w:pPr>
      <w:r>
        <w:rPr>
          <w:bCs/>
          <w:iCs/>
          <w:sz w:val="21"/>
          <w:szCs w:val="21"/>
          <w:lang w:eastAsia="en-US"/>
        </w:rPr>
        <w:t>person-centred;</w:t>
      </w:r>
    </w:p>
    <w:p w:rsidR="007D30C2" w:rsidRDefault="007D30C2" w:rsidP="007D30C2">
      <w:pPr>
        <w:pStyle w:val="ListParagraph"/>
        <w:numPr>
          <w:ilvl w:val="0"/>
          <w:numId w:val="4"/>
        </w:numPr>
        <w:rPr>
          <w:bCs/>
          <w:iCs/>
          <w:sz w:val="21"/>
          <w:szCs w:val="21"/>
          <w:lang w:eastAsia="en-US"/>
        </w:rPr>
      </w:pPr>
      <w:r>
        <w:rPr>
          <w:bCs/>
          <w:iCs/>
          <w:sz w:val="21"/>
          <w:szCs w:val="21"/>
          <w:lang w:eastAsia="en-US"/>
        </w:rPr>
        <w:t xml:space="preserve">culturally appropriate; and </w:t>
      </w:r>
    </w:p>
    <w:p w:rsidR="007D30C2" w:rsidRPr="007D30C2" w:rsidRDefault="007D30C2" w:rsidP="007D30C2">
      <w:pPr>
        <w:pStyle w:val="ListParagraph"/>
        <w:numPr>
          <w:ilvl w:val="0"/>
          <w:numId w:val="4"/>
        </w:numPr>
        <w:rPr>
          <w:bCs/>
          <w:iCs/>
          <w:sz w:val="21"/>
          <w:szCs w:val="21"/>
          <w:lang w:eastAsia="en-US"/>
        </w:rPr>
      </w:pPr>
      <w:r>
        <w:rPr>
          <w:bCs/>
          <w:iCs/>
          <w:sz w:val="21"/>
          <w:szCs w:val="21"/>
          <w:lang w:eastAsia="en-US"/>
        </w:rPr>
        <w:t>generating a net value.</w:t>
      </w:r>
    </w:p>
    <w:p w:rsidR="007D30C2" w:rsidRDefault="007D30C2" w:rsidP="0013290F">
      <w:pPr>
        <w:rPr>
          <w:bCs/>
          <w:i/>
          <w:iCs/>
          <w:color w:val="1F497D" w:themeColor="text2"/>
          <w:sz w:val="21"/>
          <w:szCs w:val="21"/>
          <w:lang w:eastAsia="en-US"/>
        </w:rPr>
      </w:pPr>
    </w:p>
    <w:p w:rsidR="007F477A" w:rsidRDefault="00135808" w:rsidP="0013290F">
      <w:pPr>
        <w:rPr>
          <w:bCs/>
          <w:iCs/>
          <w:sz w:val="21"/>
          <w:szCs w:val="21"/>
          <w:lang w:eastAsia="en-US"/>
        </w:rPr>
      </w:pPr>
      <w:r>
        <w:rPr>
          <w:bCs/>
          <w:iCs/>
          <w:sz w:val="21"/>
          <w:szCs w:val="21"/>
          <w:lang w:eastAsia="en-US"/>
        </w:rPr>
        <w:t xml:space="preserve">The Commission recognises that much </w:t>
      </w:r>
      <w:r w:rsidR="00840DF2">
        <w:rPr>
          <w:bCs/>
          <w:iCs/>
          <w:sz w:val="21"/>
          <w:szCs w:val="21"/>
          <w:lang w:eastAsia="en-US"/>
        </w:rPr>
        <w:t xml:space="preserve">of the </w:t>
      </w:r>
      <w:r>
        <w:rPr>
          <w:bCs/>
          <w:iCs/>
          <w:sz w:val="21"/>
          <w:szCs w:val="21"/>
          <w:lang w:eastAsia="en-US"/>
        </w:rPr>
        <w:t xml:space="preserve">data currently collected in the mental health system </w:t>
      </w:r>
      <w:r w:rsidR="00840DF2">
        <w:rPr>
          <w:bCs/>
          <w:iCs/>
          <w:sz w:val="21"/>
          <w:szCs w:val="21"/>
          <w:lang w:eastAsia="en-US"/>
        </w:rPr>
        <w:t>are</w:t>
      </w:r>
      <w:r>
        <w:rPr>
          <w:bCs/>
          <w:iCs/>
          <w:sz w:val="21"/>
          <w:szCs w:val="21"/>
          <w:lang w:eastAsia="en-US"/>
        </w:rPr>
        <w:t xml:space="preserve"> not being used to inform decision making to improve outcomes for consumers and carers. Leveraging data in more sophisticated ways will improve the effectiveness and efficiency of exercises to </w:t>
      </w:r>
      <w:r w:rsidR="00C8658B">
        <w:rPr>
          <w:bCs/>
          <w:iCs/>
          <w:sz w:val="21"/>
          <w:szCs w:val="21"/>
          <w:lang w:eastAsia="en-US"/>
        </w:rPr>
        <w:t>monitor, report</w:t>
      </w:r>
      <w:r>
        <w:rPr>
          <w:bCs/>
          <w:iCs/>
          <w:sz w:val="21"/>
          <w:szCs w:val="21"/>
          <w:lang w:eastAsia="en-US"/>
        </w:rPr>
        <w:t xml:space="preserve"> and evaluate interventions. This </w:t>
      </w:r>
      <w:r w:rsidR="00C8658B">
        <w:rPr>
          <w:bCs/>
          <w:iCs/>
          <w:sz w:val="21"/>
          <w:szCs w:val="21"/>
          <w:lang w:eastAsia="en-US"/>
        </w:rPr>
        <w:t>requires a s</w:t>
      </w:r>
      <w:r w:rsidR="009032CB" w:rsidRPr="007D30C2">
        <w:rPr>
          <w:bCs/>
          <w:iCs/>
          <w:sz w:val="21"/>
          <w:szCs w:val="21"/>
          <w:lang w:eastAsia="en-US"/>
        </w:rPr>
        <w:t xml:space="preserve">ignificant digital infrastructure to develop a sustainable solution for data collection, data sharing and data evaluation of services. </w:t>
      </w:r>
      <w:r>
        <w:rPr>
          <w:bCs/>
          <w:iCs/>
          <w:sz w:val="21"/>
          <w:szCs w:val="21"/>
          <w:lang w:eastAsia="en-US"/>
        </w:rPr>
        <w:t>Additionally, a</w:t>
      </w:r>
      <w:r w:rsidR="009032CB" w:rsidRPr="007D30C2">
        <w:rPr>
          <w:bCs/>
          <w:iCs/>
          <w:sz w:val="21"/>
          <w:szCs w:val="21"/>
          <w:lang w:eastAsia="en-US"/>
        </w:rPr>
        <w:t xml:space="preserve">ttention should be given to standardising collection requirements that will facilitate high-quality patient outcomes and cost-effectiveness evaluations. </w:t>
      </w:r>
    </w:p>
    <w:p w:rsidR="000064F2" w:rsidRDefault="000064F2" w:rsidP="0013290F">
      <w:pPr>
        <w:rPr>
          <w:bCs/>
          <w:iCs/>
          <w:sz w:val="21"/>
          <w:szCs w:val="21"/>
          <w:lang w:eastAsia="en-US"/>
        </w:rPr>
      </w:pPr>
    </w:p>
    <w:p w:rsidR="000064F2" w:rsidRDefault="000064F2" w:rsidP="0013290F">
      <w:pPr>
        <w:rPr>
          <w:bCs/>
          <w:iCs/>
          <w:sz w:val="21"/>
          <w:szCs w:val="21"/>
          <w:lang w:eastAsia="en-US"/>
        </w:rPr>
      </w:pPr>
    </w:p>
    <w:p w:rsidR="000064F2" w:rsidRPr="000064F2" w:rsidRDefault="000064F2" w:rsidP="0013290F">
      <w:pPr>
        <w:rPr>
          <w:b/>
          <w:bCs/>
          <w:iCs/>
          <w:sz w:val="21"/>
          <w:szCs w:val="21"/>
          <w:lang w:eastAsia="en-US"/>
        </w:rPr>
      </w:pPr>
      <w:r w:rsidRPr="000064F2">
        <w:rPr>
          <w:b/>
          <w:bCs/>
          <w:iCs/>
          <w:sz w:val="21"/>
          <w:szCs w:val="21"/>
          <w:lang w:eastAsia="en-US"/>
        </w:rPr>
        <w:t>Professor Steven McPhail</w:t>
      </w:r>
    </w:p>
    <w:p w:rsidR="000064F2" w:rsidRDefault="000064F2" w:rsidP="0013290F">
      <w:pPr>
        <w:rPr>
          <w:bCs/>
          <w:iCs/>
          <w:sz w:val="21"/>
          <w:szCs w:val="21"/>
          <w:bdr w:val="none" w:sz="0" w:space="0" w:color="auto" w:frame="1"/>
          <w:shd w:val="clear" w:color="auto" w:fill="FFFFFF"/>
        </w:rPr>
      </w:pPr>
      <w:r>
        <w:rPr>
          <w:bCs/>
          <w:iCs/>
          <w:sz w:val="21"/>
          <w:szCs w:val="21"/>
          <w:lang w:eastAsia="en-US"/>
        </w:rPr>
        <w:t xml:space="preserve">Director, </w:t>
      </w:r>
      <w:r w:rsidRPr="005F0CE2">
        <w:rPr>
          <w:bCs/>
          <w:iCs/>
          <w:sz w:val="21"/>
          <w:szCs w:val="21"/>
          <w:bdr w:val="none" w:sz="0" w:space="0" w:color="auto" w:frame="1"/>
          <w:shd w:val="clear" w:color="auto" w:fill="FFFFFF"/>
        </w:rPr>
        <w:t>Australian Centre for Health Services Innovation</w:t>
      </w:r>
    </w:p>
    <w:p w:rsidR="000064F2" w:rsidRDefault="000064F2" w:rsidP="0013290F">
      <w:pPr>
        <w:rPr>
          <w:bCs/>
          <w:iCs/>
          <w:sz w:val="21"/>
          <w:szCs w:val="21"/>
          <w:bdr w:val="none" w:sz="0" w:space="0" w:color="auto" w:frame="1"/>
          <w:shd w:val="clear" w:color="auto" w:fill="FFFFFF"/>
        </w:rPr>
      </w:pPr>
      <w:r>
        <w:rPr>
          <w:bCs/>
          <w:iCs/>
          <w:sz w:val="21"/>
          <w:szCs w:val="21"/>
          <w:bdr w:val="none" w:sz="0" w:space="0" w:color="auto" w:frame="1"/>
          <w:shd w:val="clear" w:color="auto" w:fill="FFFFFF"/>
        </w:rPr>
        <w:t>Queensland University of Technology</w:t>
      </w:r>
    </w:p>
    <w:p w:rsidR="000064F2" w:rsidRDefault="000064F2" w:rsidP="0013290F">
      <w:pPr>
        <w:rPr>
          <w:bCs/>
          <w:iCs/>
          <w:sz w:val="21"/>
          <w:szCs w:val="21"/>
          <w:bdr w:val="none" w:sz="0" w:space="0" w:color="auto" w:frame="1"/>
          <w:shd w:val="clear" w:color="auto" w:fill="FFFFFF"/>
        </w:rPr>
      </w:pPr>
    </w:p>
    <w:p w:rsidR="000064F2" w:rsidRDefault="000064F2" w:rsidP="0013290F">
      <w:pPr>
        <w:rPr>
          <w:bCs/>
          <w:iCs/>
          <w:sz w:val="21"/>
          <w:szCs w:val="21"/>
          <w:bdr w:val="none" w:sz="0" w:space="0" w:color="auto" w:frame="1"/>
          <w:shd w:val="clear" w:color="auto" w:fill="FFFFFF"/>
        </w:rPr>
      </w:pPr>
    </w:p>
    <w:p w:rsidR="000064F2" w:rsidRPr="000064F2" w:rsidRDefault="000064F2" w:rsidP="0013290F">
      <w:pPr>
        <w:rPr>
          <w:b/>
          <w:bCs/>
          <w:iCs/>
          <w:sz w:val="21"/>
          <w:szCs w:val="21"/>
          <w:bdr w:val="none" w:sz="0" w:space="0" w:color="auto" w:frame="1"/>
          <w:shd w:val="clear" w:color="auto" w:fill="FFFFFF"/>
        </w:rPr>
      </w:pPr>
      <w:r w:rsidRPr="000064F2">
        <w:rPr>
          <w:b/>
          <w:bCs/>
          <w:iCs/>
          <w:sz w:val="21"/>
          <w:szCs w:val="21"/>
          <w:bdr w:val="none" w:sz="0" w:space="0" w:color="auto" w:frame="1"/>
          <w:shd w:val="clear" w:color="auto" w:fill="FFFFFF"/>
        </w:rPr>
        <w:t>Professor David Kavanagh</w:t>
      </w:r>
    </w:p>
    <w:p w:rsidR="000064F2" w:rsidRDefault="000064F2" w:rsidP="0013290F">
      <w:pPr>
        <w:rPr>
          <w:bCs/>
          <w:iCs/>
          <w:sz w:val="21"/>
          <w:szCs w:val="21"/>
          <w:bdr w:val="none" w:sz="0" w:space="0" w:color="auto" w:frame="1"/>
          <w:shd w:val="clear" w:color="auto" w:fill="FFFFFF"/>
        </w:rPr>
      </w:pPr>
      <w:r>
        <w:rPr>
          <w:bCs/>
          <w:iCs/>
          <w:sz w:val="21"/>
          <w:szCs w:val="21"/>
          <w:bdr w:val="none" w:sz="0" w:space="0" w:color="auto" w:frame="1"/>
          <w:shd w:val="clear" w:color="auto" w:fill="FFFFFF"/>
        </w:rPr>
        <w:t>School of Psychology &amp; Counselling</w:t>
      </w:r>
    </w:p>
    <w:p w:rsidR="000064F2" w:rsidRDefault="000064F2" w:rsidP="0013290F">
      <w:pPr>
        <w:rPr>
          <w:bCs/>
          <w:iCs/>
          <w:sz w:val="21"/>
          <w:szCs w:val="21"/>
          <w:bdr w:val="none" w:sz="0" w:space="0" w:color="auto" w:frame="1"/>
          <w:shd w:val="clear" w:color="auto" w:fill="FFFFFF"/>
        </w:rPr>
      </w:pPr>
      <w:r>
        <w:rPr>
          <w:bCs/>
          <w:iCs/>
          <w:sz w:val="21"/>
          <w:szCs w:val="21"/>
          <w:bdr w:val="none" w:sz="0" w:space="0" w:color="auto" w:frame="1"/>
          <w:shd w:val="clear" w:color="auto" w:fill="FFFFFF"/>
        </w:rPr>
        <w:t>Queensland University of Technology</w:t>
      </w:r>
    </w:p>
    <w:p w:rsidR="000064F2" w:rsidRDefault="000064F2" w:rsidP="0013290F">
      <w:pPr>
        <w:rPr>
          <w:bCs/>
          <w:iCs/>
          <w:sz w:val="21"/>
          <w:szCs w:val="21"/>
          <w:bdr w:val="none" w:sz="0" w:space="0" w:color="auto" w:frame="1"/>
          <w:shd w:val="clear" w:color="auto" w:fill="FFFFFF"/>
        </w:rPr>
      </w:pPr>
    </w:p>
    <w:p w:rsidR="000064F2" w:rsidRPr="007D30C2" w:rsidRDefault="000064F2" w:rsidP="0013290F">
      <w:pPr>
        <w:rPr>
          <w:bCs/>
          <w:iCs/>
          <w:sz w:val="21"/>
          <w:szCs w:val="21"/>
          <w:lang w:eastAsia="en-US"/>
        </w:rPr>
      </w:pPr>
      <w:r>
        <w:rPr>
          <w:bCs/>
          <w:iCs/>
          <w:sz w:val="21"/>
          <w:szCs w:val="21"/>
          <w:bdr w:val="none" w:sz="0" w:space="0" w:color="auto" w:frame="1"/>
          <w:shd w:val="clear" w:color="auto" w:fill="FFFFFF"/>
        </w:rPr>
        <w:t xml:space="preserve">On behalf of the </w:t>
      </w:r>
      <w:r w:rsidR="00F768A3">
        <w:rPr>
          <w:bCs/>
          <w:iCs/>
          <w:sz w:val="21"/>
          <w:szCs w:val="21"/>
          <w:bdr w:val="none" w:sz="0" w:space="0" w:color="auto" w:frame="1"/>
          <w:shd w:val="clear" w:color="auto" w:fill="FFFFFF"/>
        </w:rPr>
        <w:t xml:space="preserve">QUT </w:t>
      </w:r>
      <w:r>
        <w:rPr>
          <w:bCs/>
          <w:iCs/>
          <w:sz w:val="21"/>
          <w:szCs w:val="21"/>
          <w:bdr w:val="none" w:sz="0" w:space="0" w:color="auto" w:frame="1"/>
          <w:shd w:val="clear" w:color="auto" w:fill="FFFFFF"/>
        </w:rPr>
        <w:t>Faculty of Health</w:t>
      </w:r>
    </w:p>
    <w:sectPr w:rsidR="000064F2" w:rsidRPr="007D30C2" w:rsidSect="0013290F">
      <w:footerReference w:type="default" r:id="rId14"/>
      <w:type w:val="continuous"/>
      <w:pgSz w:w="11910" w:h="16840"/>
      <w:pgMar w:top="964" w:right="1321" w:bottom="964" w:left="133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808" w:rsidRDefault="00135808" w:rsidP="00135808">
      <w:r>
        <w:separator/>
      </w:r>
    </w:p>
  </w:endnote>
  <w:endnote w:type="continuationSeparator" w:id="0">
    <w:p w:rsidR="00135808" w:rsidRDefault="00135808" w:rsidP="001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402323"/>
      <w:docPartObj>
        <w:docPartGallery w:val="Page Numbers (Bottom of Page)"/>
        <w:docPartUnique/>
      </w:docPartObj>
    </w:sdtPr>
    <w:sdtEndPr>
      <w:rPr>
        <w:noProof/>
      </w:rPr>
    </w:sdtEndPr>
    <w:sdtContent>
      <w:p w:rsidR="00135808" w:rsidRDefault="00135808">
        <w:pPr>
          <w:pStyle w:val="Footer"/>
          <w:jc w:val="right"/>
        </w:pPr>
        <w:r>
          <w:fldChar w:fldCharType="begin"/>
        </w:r>
        <w:r>
          <w:instrText xml:space="preserve"> PAGE   \* MERGEFORMAT </w:instrText>
        </w:r>
        <w:r>
          <w:fldChar w:fldCharType="separate"/>
        </w:r>
        <w:r w:rsidR="00CA3F90">
          <w:rPr>
            <w:noProof/>
          </w:rPr>
          <w:t>1</w:t>
        </w:r>
        <w:r>
          <w:rPr>
            <w:noProof/>
          </w:rPr>
          <w:fldChar w:fldCharType="end"/>
        </w:r>
      </w:p>
    </w:sdtContent>
  </w:sdt>
  <w:p w:rsidR="00135808" w:rsidRDefault="00135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808" w:rsidRDefault="00135808" w:rsidP="00135808">
      <w:r>
        <w:separator/>
      </w:r>
    </w:p>
  </w:footnote>
  <w:footnote w:type="continuationSeparator" w:id="0">
    <w:p w:rsidR="00135808" w:rsidRDefault="00135808" w:rsidP="00135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11D29"/>
    <w:multiLevelType w:val="hybridMultilevel"/>
    <w:tmpl w:val="7C403E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6EE39A3"/>
    <w:multiLevelType w:val="hybridMultilevel"/>
    <w:tmpl w:val="C0E2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3E38A1"/>
    <w:multiLevelType w:val="hybridMultilevel"/>
    <w:tmpl w:val="8D22DB0E"/>
    <w:lvl w:ilvl="0" w:tplc="5F187EDC">
      <w:numFmt w:val="bullet"/>
      <w:lvlText w:val=""/>
      <w:lvlJc w:val="left"/>
      <w:pPr>
        <w:ind w:left="820" w:hanging="360"/>
      </w:pPr>
      <w:rPr>
        <w:rFonts w:ascii="Symbol" w:eastAsia="Symbol" w:hAnsi="Symbol" w:cs="Symbol" w:hint="default"/>
        <w:w w:val="100"/>
        <w:sz w:val="21"/>
        <w:szCs w:val="21"/>
        <w:lang w:val="en-AU" w:eastAsia="en-AU" w:bidi="en-AU"/>
      </w:rPr>
    </w:lvl>
    <w:lvl w:ilvl="1" w:tplc="44B8C4A2">
      <w:numFmt w:val="bullet"/>
      <w:lvlText w:val="•"/>
      <w:lvlJc w:val="left"/>
      <w:pPr>
        <w:ind w:left="1662" w:hanging="360"/>
      </w:pPr>
      <w:rPr>
        <w:rFonts w:hint="default"/>
        <w:lang w:val="en-AU" w:eastAsia="en-AU" w:bidi="en-AU"/>
      </w:rPr>
    </w:lvl>
    <w:lvl w:ilvl="2" w:tplc="162E5A38">
      <w:numFmt w:val="bullet"/>
      <w:lvlText w:val="•"/>
      <w:lvlJc w:val="left"/>
      <w:pPr>
        <w:ind w:left="2505" w:hanging="360"/>
      </w:pPr>
      <w:rPr>
        <w:rFonts w:hint="default"/>
        <w:lang w:val="en-AU" w:eastAsia="en-AU" w:bidi="en-AU"/>
      </w:rPr>
    </w:lvl>
    <w:lvl w:ilvl="3" w:tplc="AFCCC264">
      <w:numFmt w:val="bullet"/>
      <w:lvlText w:val="•"/>
      <w:lvlJc w:val="left"/>
      <w:pPr>
        <w:ind w:left="3347" w:hanging="360"/>
      </w:pPr>
      <w:rPr>
        <w:rFonts w:hint="default"/>
        <w:lang w:val="en-AU" w:eastAsia="en-AU" w:bidi="en-AU"/>
      </w:rPr>
    </w:lvl>
    <w:lvl w:ilvl="4" w:tplc="1A768A2C">
      <w:numFmt w:val="bullet"/>
      <w:lvlText w:val="•"/>
      <w:lvlJc w:val="left"/>
      <w:pPr>
        <w:ind w:left="4190" w:hanging="360"/>
      </w:pPr>
      <w:rPr>
        <w:rFonts w:hint="default"/>
        <w:lang w:val="en-AU" w:eastAsia="en-AU" w:bidi="en-AU"/>
      </w:rPr>
    </w:lvl>
    <w:lvl w:ilvl="5" w:tplc="36826A96">
      <w:numFmt w:val="bullet"/>
      <w:lvlText w:val="•"/>
      <w:lvlJc w:val="left"/>
      <w:pPr>
        <w:ind w:left="5033" w:hanging="360"/>
      </w:pPr>
      <w:rPr>
        <w:rFonts w:hint="default"/>
        <w:lang w:val="en-AU" w:eastAsia="en-AU" w:bidi="en-AU"/>
      </w:rPr>
    </w:lvl>
    <w:lvl w:ilvl="6" w:tplc="7F86C4D0">
      <w:numFmt w:val="bullet"/>
      <w:lvlText w:val="•"/>
      <w:lvlJc w:val="left"/>
      <w:pPr>
        <w:ind w:left="5875" w:hanging="360"/>
      </w:pPr>
      <w:rPr>
        <w:rFonts w:hint="default"/>
        <w:lang w:val="en-AU" w:eastAsia="en-AU" w:bidi="en-AU"/>
      </w:rPr>
    </w:lvl>
    <w:lvl w:ilvl="7" w:tplc="14901B7C">
      <w:numFmt w:val="bullet"/>
      <w:lvlText w:val="•"/>
      <w:lvlJc w:val="left"/>
      <w:pPr>
        <w:ind w:left="6718" w:hanging="360"/>
      </w:pPr>
      <w:rPr>
        <w:rFonts w:hint="default"/>
        <w:lang w:val="en-AU" w:eastAsia="en-AU" w:bidi="en-AU"/>
      </w:rPr>
    </w:lvl>
    <w:lvl w:ilvl="8" w:tplc="C8506032">
      <w:numFmt w:val="bullet"/>
      <w:lvlText w:val="•"/>
      <w:lvlJc w:val="left"/>
      <w:pPr>
        <w:ind w:left="7561" w:hanging="360"/>
      </w:pPr>
      <w:rPr>
        <w:rFonts w:hint="default"/>
        <w:lang w:val="en-AU" w:eastAsia="en-AU" w:bidi="en-AU"/>
      </w:rPr>
    </w:lvl>
  </w:abstractNum>
  <w:abstractNum w:abstractNumId="3" w15:restartNumberingAfterBreak="0">
    <w:nsid w:val="741B7953"/>
    <w:multiLevelType w:val="hybridMultilevel"/>
    <w:tmpl w:val="4DC63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67"/>
    <w:rsid w:val="000064F2"/>
    <w:rsid w:val="000866FD"/>
    <w:rsid w:val="000C0D05"/>
    <w:rsid w:val="000C0E3C"/>
    <w:rsid w:val="0013290F"/>
    <w:rsid w:val="00135808"/>
    <w:rsid w:val="00177C84"/>
    <w:rsid w:val="00237188"/>
    <w:rsid w:val="002501EF"/>
    <w:rsid w:val="002B60D5"/>
    <w:rsid w:val="002E1B50"/>
    <w:rsid w:val="0030150F"/>
    <w:rsid w:val="003066CB"/>
    <w:rsid w:val="00360B4B"/>
    <w:rsid w:val="00394355"/>
    <w:rsid w:val="003D66E9"/>
    <w:rsid w:val="00437F74"/>
    <w:rsid w:val="005F0CE2"/>
    <w:rsid w:val="006A2B4B"/>
    <w:rsid w:val="007C0E76"/>
    <w:rsid w:val="007D30C2"/>
    <w:rsid w:val="007F477A"/>
    <w:rsid w:val="008010BE"/>
    <w:rsid w:val="008321FE"/>
    <w:rsid w:val="00840DF2"/>
    <w:rsid w:val="008446BD"/>
    <w:rsid w:val="00854579"/>
    <w:rsid w:val="009032CB"/>
    <w:rsid w:val="009751A2"/>
    <w:rsid w:val="00980CE0"/>
    <w:rsid w:val="009A60F4"/>
    <w:rsid w:val="00A43304"/>
    <w:rsid w:val="00AC0AAF"/>
    <w:rsid w:val="00AC2BBC"/>
    <w:rsid w:val="00C8658B"/>
    <w:rsid w:val="00CA3F90"/>
    <w:rsid w:val="00D36F78"/>
    <w:rsid w:val="00DF7052"/>
    <w:rsid w:val="00E2309C"/>
    <w:rsid w:val="00E67F67"/>
    <w:rsid w:val="00F01CDC"/>
    <w:rsid w:val="00F768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BE113-EEBC-43B9-A6C6-6A8F5E05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ind w:left="1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spacing w:before="19"/>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66E9"/>
    <w:rPr>
      <w:color w:val="0000FF" w:themeColor="hyperlink"/>
      <w:u w:val="single"/>
    </w:rPr>
  </w:style>
  <w:style w:type="paragraph" w:styleId="Header">
    <w:name w:val="header"/>
    <w:basedOn w:val="Normal"/>
    <w:link w:val="HeaderChar"/>
    <w:uiPriority w:val="99"/>
    <w:unhideWhenUsed/>
    <w:rsid w:val="00135808"/>
    <w:pPr>
      <w:tabs>
        <w:tab w:val="center" w:pos="4513"/>
        <w:tab w:val="right" w:pos="9026"/>
      </w:tabs>
    </w:pPr>
  </w:style>
  <w:style w:type="character" w:customStyle="1" w:styleId="HeaderChar">
    <w:name w:val="Header Char"/>
    <w:basedOn w:val="DefaultParagraphFont"/>
    <w:link w:val="Header"/>
    <w:uiPriority w:val="99"/>
    <w:rsid w:val="00135808"/>
    <w:rPr>
      <w:rFonts w:ascii="Arial" w:eastAsia="Arial" w:hAnsi="Arial" w:cs="Arial"/>
      <w:lang w:val="en-AU" w:eastAsia="en-AU" w:bidi="en-AU"/>
    </w:rPr>
  </w:style>
  <w:style w:type="paragraph" w:styleId="Footer">
    <w:name w:val="footer"/>
    <w:basedOn w:val="Normal"/>
    <w:link w:val="FooterChar"/>
    <w:uiPriority w:val="99"/>
    <w:unhideWhenUsed/>
    <w:rsid w:val="00135808"/>
    <w:pPr>
      <w:tabs>
        <w:tab w:val="center" w:pos="4513"/>
        <w:tab w:val="right" w:pos="9026"/>
      </w:tabs>
    </w:pPr>
  </w:style>
  <w:style w:type="character" w:customStyle="1" w:styleId="FooterChar">
    <w:name w:val="Footer Char"/>
    <w:basedOn w:val="DefaultParagraphFont"/>
    <w:link w:val="Footer"/>
    <w:uiPriority w:val="99"/>
    <w:rsid w:val="00135808"/>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7C0E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E76"/>
    <w:rPr>
      <w:rFonts w:ascii="Segoe UI" w:eastAsia="Arial"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PCDOC-1378080517-1086</_dlc_DocId>
    <_dlc_DocIdUrl xmlns="3f4bcce7-ac1a-4c9d-aa3e-7e77695652db">
      <Url>http://inet.pc.gov.au/pmo/inq/mentalhealth/_layouts/15/DocIdRedir.aspx?ID=PCDOC-1378080517-1086</Url>
      <Description>PCDOC-1378080517-1086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1D292-6B76-4144-BD4F-04AAF6993123}">
  <ds:schemaRefs>
    <ds:schemaRef ds:uri="http://schemas.microsoft.com/sharepoint/v3/contenttype/forms"/>
  </ds:schemaRefs>
</ds:datastoreItem>
</file>

<file path=customXml/itemProps2.xml><?xml version="1.0" encoding="utf-8"?>
<ds:datastoreItem xmlns:ds="http://schemas.openxmlformats.org/officeDocument/2006/customXml" ds:itemID="{F05F700F-2516-445B-B6FC-49B3059C999D}">
  <ds:schemaRefs>
    <ds:schemaRef ds:uri="http://schemas.microsoft.com/sharepoint/events"/>
  </ds:schemaRefs>
</ds:datastoreItem>
</file>

<file path=customXml/itemProps3.xml><?xml version="1.0" encoding="utf-8"?>
<ds:datastoreItem xmlns:ds="http://schemas.openxmlformats.org/officeDocument/2006/customXml" ds:itemID="{F52EBD31-192F-4A36-AA50-255317024B9F}">
  <ds:schemaRefs>
    <ds:schemaRef ds:uri="Microsoft.SharePoint.Taxonomy.ContentTypeSync"/>
  </ds:schemaRefs>
</ds:datastoreItem>
</file>

<file path=customXml/itemProps4.xml><?xml version="1.0" encoding="utf-8"?>
<ds:datastoreItem xmlns:ds="http://schemas.openxmlformats.org/officeDocument/2006/customXml" ds:itemID="{784C7F03-FC36-44A5-9DD9-475132536F2B}">
  <ds:schemaRefs>
    <ds:schemaRef ds:uri="http://schemas.microsoft.com/office/2006/metadata/customXsn"/>
  </ds:schemaRefs>
</ds:datastoreItem>
</file>

<file path=customXml/itemProps5.xml><?xml version="1.0" encoding="utf-8"?>
<ds:datastoreItem xmlns:ds="http://schemas.openxmlformats.org/officeDocument/2006/customXml" ds:itemID="{F238308F-01CE-4692-A37A-0081551BD7BD}">
  <ds:schemaRefs>
    <ds:schemaRef ds:uri="http://schemas.microsoft.com/office/2006/documentManagement/types"/>
    <ds:schemaRef ds:uri="3f4bcce7-ac1a-4c9d-aa3e-7e77695652db"/>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8DC40780-2CC5-44F5-AF79-3DB338B4C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300FE10C.dotm</Template>
  <TotalTime>1</TotalTime>
  <Pages>3</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826 - Queensland University of Technology (QUT) - Mental Health - Public inquiry</vt:lpstr>
    </vt:vector>
  </TitlesOfParts>
  <Company>Queensland University of Technology (QUT)</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826 - Queensland University of Technology (QUT) - Mental Health - Public inquiry</dc:title>
  <dc:subject/>
  <dc:creator>Queensland University of Technology (QUT)</dc:creator>
  <cp:keywords/>
  <cp:lastModifiedBy>Productivity Commission</cp:lastModifiedBy>
  <cp:revision>4</cp:revision>
  <cp:lastPrinted>2020-01-22T10:25:00Z</cp:lastPrinted>
  <dcterms:created xsi:type="dcterms:W3CDTF">2020-01-23T04:11:00Z</dcterms:created>
  <dcterms:modified xsi:type="dcterms:W3CDTF">2020-02-05T00:18:00Z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Microsoft® Word 2016</vt:lpwstr>
  </property>
  <property fmtid="{D5CDD505-2E9C-101B-9397-08002B2CF9AE}" pid="4" name="LastSaved">
    <vt:filetime>2020-01-22T00:00:00Z</vt:filetime>
  </property>
  <property fmtid="{D5CDD505-2E9C-101B-9397-08002B2CF9AE}" pid="5" name="ContentTypeId">
    <vt:lpwstr>0x0101007916246811615643A710C6FEAFF56A871105009025211412240E4C9823C37D4A9F3E35</vt:lpwstr>
  </property>
  <property fmtid="{D5CDD505-2E9C-101B-9397-08002B2CF9AE}" pid="6" name="TaxKeyword">
    <vt:lpwstr/>
  </property>
  <property fmtid="{D5CDD505-2E9C-101B-9397-08002B2CF9AE}" pid="7" name="c401844703f64372bb0e85d87d761fe6">
    <vt:lpwstr>Reference Only|923c7a19-3b10-4b1a-aa53-490b73d512fc</vt:lpwstr>
  </property>
  <property fmtid="{D5CDD505-2E9C-101B-9397-08002B2CF9AE}" pid="8" name="_dlc_DocIdItemGuid">
    <vt:lpwstr>59182ff3-4487-4f48-80f9-99e2ce988873</vt:lpwstr>
  </property>
  <property fmtid="{D5CDD505-2E9C-101B-9397-08002B2CF9AE}" pid="9" name="Record Tag">
    <vt:lpwstr>139;#Submissions|c6e0dbf8-5444-433c-844d-d567dd519a05</vt:lpwstr>
  </property>
  <property fmtid="{D5CDD505-2E9C-101B-9397-08002B2CF9AE}" pid="10" name="Retain">
    <vt:lpwstr>138;#Reference Only|923c7a19-3b10-4b1a-aa53-490b73d512fc</vt:lpwstr>
  </property>
</Properties>
</file>