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C51D5" w:rsidRPr="00DC51D5" w14:paraId="25ECAA06" w14:textId="77777777" w:rsidTr="00DC51D5">
        <w:trPr>
          <w:trHeight w:val="5670"/>
        </w:trPr>
        <w:tc>
          <w:tcPr>
            <w:tcW w:w="9016" w:type="dxa"/>
            <w:vAlign w:val="bottom"/>
          </w:tcPr>
          <w:p w14:paraId="716E0CC4" w14:textId="3A7C4650" w:rsidR="00683B93" w:rsidRPr="00F316E6" w:rsidRDefault="00683B93" w:rsidP="00F316E6">
            <w:pPr>
              <w:pStyle w:val="Title"/>
              <w:rPr>
                <w:rStyle w:val="TitleChar"/>
              </w:rPr>
            </w:pPr>
            <w:bookmarkStart w:id="0" w:name="_GoBack"/>
            <w:bookmarkEnd w:id="0"/>
            <w:r w:rsidRPr="00F316E6">
              <w:rPr>
                <w:rStyle w:val="TitleChar"/>
              </w:rPr>
              <w:t>National Agreement for Skills and Workforce Development Review</w:t>
            </w:r>
          </w:p>
        </w:tc>
      </w:tr>
      <w:tr w:rsidR="00683B93" w14:paraId="4DDA62C4" w14:textId="77777777" w:rsidTr="00710ED3">
        <w:tc>
          <w:tcPr>
            <w:tcW w:w="9016" w:type="dxa"/>
            <w:vAlign w:val="bottom"/>
          </w:tcPr>
          <w:p w14:paraId="03437489" w14:textId="5D772E0E" w:rsidR="00683B93" w:rsidRPr="00683B93" w:rsidRDefault="00683B93" w:rsidP="00F316E6">
            <w:pPr>
              <w:pStyle w:val="Title"/>
              <w:rPr>
                <w:rStyle w:val="TitleChar"/>
                <w:color w:val="4472C4" w:themeColor="accent1"/>
              </w:rPr>
            </w:pPr>
            <w:r w:rsidRPr="00C36D14">
              <w:rPr>
                <w:rStyle w:val="SubtitleChar"/>
              </w:rPr>
              <w:t xml:space="preserve">Productivity Commission </w:t>
            </w:r>
            <w:r w:rsidR="00A60EE1">
              <w:rPr>
                <w:rStyle w:val="SubtitleChar"/>
              </w:rPr>
              <w:br/>
            </w:r>
            <w:r w:rsidRPr="00C36D14">
              <w:rPr>
                <w:rStyle w:val="SubtitleChar"/>
              </w:rPr>
              <w:t xml:space="preserve">Interim Report </w:t>
            </w:r>
            <w:r w:rsidR="00A60EE1">
              <w:rPr>
                <w:rStyle w:val="SubtitleChar"/>
              </w:rPr>
              <w:br/>
            </w:r>
            <w:r w:rsidRPr="00C36D14">
              <w:rPr>
                <w:rStyle w:val="SubtitleChar"/>
              </w:rPr>
              <w:t>May 2020</w:t>
            </w:r>
          </w:p>
        </w:tc>
      </w:tr>
      <w:tr w:rsidR="00683B93" w14:paraId="38896034" w14:textId="77777777" w:rsidTr="00710ED3">
        <w:tc>
          <w:tcPr>
            <w:tcW w:w="9016" w:type="dxa"/>
            <w:vAlign w:val="bottom"/>
          </w:tcPr>
          <w:p w14:paraId="4E0BDF7B" w14:textId="42BE0940" w:rsidR="00683B93" w:rsidRPr="00683B93" w:rsidRDefault="00F407C2" w:rsidP="00710ED3">
            <w:pPr>
              <w:jc w:val="right"/>
              <w:rPr>
                <w:rStyle w:val="TitleChar"/>
                <w:rFonts w:ascii="Montserrat" w:hAnsi="Montserrat" w:cstheme="minorBidi"/>
                <w:sz w:val="18"/>
              </w:rPr>
            </w:pPr>
            <w:r w:rsidRPr="00F407C2">
              <w:t>16</w:t>
            </w:r>
            <w:r w:rsidR="00683B93" w:rsidRPr="00F407C2">
              <w:t xml:space="preserve"> July 2020</w:t>
            </w:r>
          </w:p>
        </w:tc>
      </w:tr>
    </w:tbl>
    <w:p w14:paraId="5CEA4BC3" w14:textId="77777777" w:rsidR="00683B93" w:rsidRDefault="00683B93" w:rsidP="00F316E6">
      <w:pPr>
        <w:pStyle w:val="Title"/>
        <w:rPr>
          <w:rStyle w:val="TitleChar"/>
        </w:rPr>
      </w:pPr>
    </w:p>
    <w:p w14:paraId="401FA001" w14:textId="77777777" w:rsidR="00E74C7A" w:rsidRDefault="00E74C7A" w:rsidP="00FB3673">
      <w:pPr>
        <w:spacing w:after="0" w:line="240" w:lineRule="auto"/>
        <w:rPr>
          <w:rFonts w:ascii="Arial" w:hAnsi="Arial" w:cs="Arial"/>
        </w:rPr>
      </w:pPr>
    </w:p>
    <w:p w14:paraId="6D15E80A" w14:textId="77777777" w:rsidR="00954ADC" w:rsidRDefault="00954AD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0A2432C" w14:textId="439571EC" w:rsidR="004E3E59" w:rsidRDefault="001320E4" w:rsidP="004E3E59">
      <w:pPr>
        <w:spacing w:after="0" w:line="240" w:lineRule="auto"/>
        <w:jc w:val="both"/>
      </w:pPr>
      <w:bookmarkStart w:id="1" w:name="_Hlk21955078"/>
      <w:r w:rsidRPr="00FF64A2">
        <w:lastRenderedPageBreak/>
        <w:t xml:space="preserve">The Supply Chain Sustainability School welcomes the opportunity to </w:t>
      </w:r>
      <w:r w:rsidR="00806DE8">
        <w:t>comment</w:t>
      </w:r>
      <w:r w:rsidRPr="00FF64A2">
        <w:t xml:space="preserve"> </w:t>
      </w:r>
      <w:r>
        <w:t>on th</w:t>
      </w:r>
      <w:r w:rsidR="008B74F9">
        <w:t>e National Agreement for Skills and Workforce Development Review</w:t>
      </w:r>
      <w:r w:rsidR="009673DD">
        <w:t xml:space="preserve"> Productivity Commission Interim Report May 2020 (the Interim Report)</w:t>
      </w:r>
      <w:r>
        <w:t xml:space="preserve">. </w:t>
      </w:r>
    </w:p>
    <w:p w14:paraId="1901936D" w14:textId="412FB608" w:rsidR="004E3E59" w:rsidRDefault="00806DE8" w:rsidP="004E3E59">
      <w:pPr>
        <w:spacing w:after="0" w:line="240" w:lineRule="auto"/>
        <w:jc w:val="both"/>
        <w:rPr>
          <w:rFonts w:cstheme="minorHAnsi"/>
        </w:rPr>
      </w:pPr>
      <w:r>
        <w:t>T</w:t>
      </w:r>
      <w:r w:rsidR="004E3E59">
        <w:t xml:space="preserve">he </w:t>
      </w:r>
      <w:r w:rsidR="004E3E59" w:rsidRPr="00A25608">
        <w:rPr>
          <w:rFonts w:cstheme="minorHAnsi"/>
        </w:rPr>
        <w:t>Supply Chain Sustainability School</w:t>
      </w:r>
      <w:r w:rsidR="004E3E59">
        <w:rPr>
          <w:rFonts w:cstheme="minorHAnsi"/>
        </w:rPr>
        <w:t xml:space="preserve"> has several affiliated Partners and Members</w:t>
      </w:r>
      <w:r>
        <w:rPr>
          <w:rFonts w:cstheme="minorHAnsi"/>
        </w:rPr>
        <w:t xml:space="preserve"> and</w:t>
      </w:r>
      <w:r w:rsidR="004E3E59">
        <w:rPr>
          <w:rFonts w:cstheme="minorHAnsi"/>
        </w:rPr>
        <w:t xml:space="preserve"> the contents of this submission may not reflect the views of these organisations or any individual. </w:t>
      </w:r>
    </w:p>
    <w:p w14:paraId="3718D28E" w14:textId="34790EF2" w:rsidR="0081643A" w:rsidRPr="00A25608" w:rsidRDefault="0081643A" w:rsidP="0081643A">
      <w:pPr>
        <w:rPr>
          <w:rFonts w:cstheme="minorHAnsi"/>
        </w:rPr>
      </w:pPr>
      <w:r w:rsidRPr="00A25608">
        <w:rPr>
          <w:rFonts w:cstheme="minorHAnsi"/>
        </w:rPr>
        <w:t xml:space="preserve">Please do not hesitate to contact the </w:t>
      </w:r>
      <w:r w:rsidRPr="00FF64A2">
        <w:t xml:space="preserve">Supply Chain Sustainability School </w:t>
      </w:r>
      <w:r w:rsidRPr="00A25608">
        <w:rPr>
          <w:rFonts w:cstheme="minorHAnsi"/>
        </w:rPr>
        <w:t>should you have any questions relating to this submission or the work of the Supply Chain Sustainability School.</w:t>
      </w:r>
    </w:p>
    <w:bookmarkEnd w:id="1"/>
    <w:p w14:paraId="4E52570B" w14:textId="29FAFED3" w:rsidR="0081643A" w:rsidRDefault="0081643A" w:rsidP="0081643A">
      <w:pPr>
        <w:rPr>
          <w:rStyle w:val="Hyperlink"/>
          <w:rFonts w:cstheme="minorHAnsi"/>
        </w:rPr>
      </w:pPr>
      <w:r w:rsidRPr="00143DEC">
        <w:rPr>
          <w:rFonts w:cstheme="minorHAnsi"/>
          <w:b/>
        </w:rPr>
        <w:t xml:space="preserve">Hayley </w:t>
      </w:r>
      <w:proofErr w:type="spellStart"/>
      <w:r w:rsidRPr="00143DEC">
        <w:rPr>
          <w:rFonts w:cstheme="minorHAnsi"/>
          <w:b/>
        </w:rPr>
        <w:t>Jarick</w:t>
      </w:r>
      <w:proofErr w:type="spellEnd"/>
      <w:r>
        <w:rPr>
          <w:rFonts w:cstheme="minorHAnsi"/>
          <w:b/>
        </w:rPr>
        <w:br/>
      </w:r>
      <w:r w:rsidRPr="00A25608">
        <w:rPr>
          <w:rFonts w:cstheme="minorHAnsi"/>
        </w:rPr>
        <w:t>Chief Executive Officer</w:t>
      </w:r>
      <w:r>
        <w:rPr>
          <w:rFonts w:cstheme="minorHAnsi"/>
        </w:rPr>
        <w:br/>
      </w:r>
      <w:r w:rsidRPr="00A25608">
        <w:rPr>
          <w:rFonts w:cstheme="minorHAnsi"/>
        </w:rPr>
        <w:t>Supply Chain Sustainability School</w:t>
      </w:r>
    </w:p>
    <w:p w14:paraId="762CE216" w14:textId="1F54942E" w:rsidR="0081643A" w:rsidRPr="002E1E5B" w:rsidRDefault="0081643A" w:rsidP="005273F2">
      <w:pPr>
        <w:pStyle w:val="Heading3"/>
      </w:pPr>
      <w:r w:rsidRPr="002E1E5B">
        <w:t>About the Supply Chain Sustainability School in Australia</w:t>
      </w:r>
    </w:p>
    <w:p w14:paraId="3FD4FDB9" w14:textId="33C7DF08" w:rsidR="00522647" w:rsidRDefault="00312D50" w:rsidP="0081643A">
      <w:pPr>
        <w:rPr>
          <w:rStyle w:val="Hyperlink"/>
          <w:rFonts w:cstheme="minorHAnsi"/>
        </w:rPr>
      </w:pPr>
      <w:hyperlink r:id="rId11" w:history="1">
        <w:r w:rsidR="00FD76DD">
          <w:rPr>
            <w:rStyle w:val="Hyperlink"/>
          </w:rPr>
          <w:t>http://www.supplychainschool.org.au/</w:t>
        </w:r>
      </w:hyperlink>
    </w:p>
    <w:p w14:paraId="32EA5869" w14:textId="047B68EC" w:rsidR="0081643A" w:rsidRDefault="0081643A" w:rsidP="0081643A">
      <w:r w:rsidRPr="00FF64A2">
        <w:t>The Supply Chain Sustainability School was launched across Australia in 2015 to increase sustainability knowledge and competency along the construction and infrastructure supply chains. To support small-to-medium businesses</w:t>
      </w:r>
      <w:r w:rsidR="00B906CD">
        <w:t>,</w:t>
      </w:r>
      <w:r w:rsidRPr="00FF64A2">
        <w:t xml:space="preserve"> the Supply Chain Sustainability School provides free e-learning, information and face-to-face training for construction and infrastructure suppliers, contractors and service providers. Companies signing up can access a wealth of free resources and tools to meet increasing sustainability demands and performance </w:t>
      </w:r>
      <w:r w:rsidRPr="00956A99">
        <w:rPr>
          <w:rFonts w:cstheme="minorHAnsi"/>
        </w:rPr>
        <w:t>benchmarks, and to help build clever, collaborative and competitive construction and infrastructure sectors</w:t>
      </w:r>
      <w:r w:rsidR="0068630F">
        <w:rPr>
          <w:rFonts w:cstheme="minorHAnsi"/>
        </w:rPr>
        <w:t>.</w:t>
      </w:r>
    </w:p>
    <w:p w14:paraId="065489B7" w14:textId="55EBE7BB" w:rsidR="0068630F" w:rsidRDefault="0068630F" w:rsidP="0068630F">
      <w:r>
        <w:t xml:space="preserve">There are thousands of members who have registered for free to access the </w:t>
      </w:r>
      <w:r w:rsidRPr="00FF64A2">
        <w:t>Supply Chain Sustainability School</w:t>
      </w:r>
      <w:r>
        <w:t>’s learning resources.</w:t>
      </w:r>
      <w:r w:rsidR="00CF53BA">
        <w:t xml:space="preserve"> </w:t>
      </w:r>
      <w:r w:rsidRPr="00FF64A2">
        <w:t xml:space="preserve">There are hundreds of different resources </w:t>
      </w:r>
      <w:r w:rsidR="00CF53BA">
        <w:t xml:space="preserve">available </w:t>
      </w:r>
      <w:r w:rsidRPr="00FF64A2">
        <w:t xml:space="preserve">including videos, case studies, documents to download, e-learning modules, links to </w:t>
      </w:r>
      <w:r w:rsidR="00B906CD">
        <w:t>various</w:t>
      </w:r>
      <w:r w:rsidRPr="00FF64A2">
        <w:t xml:space="preserve"> tools and initiatives, definitions and guides, with more added every month. </w:t>
      </w:r>
    </w:p>
    <w:p w14:paraId="735FF5F9" w14:textId="3B508277" w:rsidR="00A501F7" w:rsidRDefault="0081643A" w:rsidP="00A501F7">
      <w:r w:rsidRPr="00FF64A2">
        <w:t>The Supply Chain Sustainability School is funded and supported by leading organisations</w:t>
      </w:r>
      <w:r w:rsidR="00661D92">
        <w:t>.</w:t>
      </w:r>
      <w:r w:rsidR="0093140F">
        <w:t xml:space="preserve"> These Partners provide </w:t>
      </w:r>
      <w:r w:rsidR="00131EDE">
        <w:t xml:space="preserve">annual </w:t>
      </w:r>
      <w:r w:rsidR="0093140F">
        <w:t>financial and in</w:t>
      </w:r>
      <w:r w:rsidR="00131EDE">
        <w:t>-</w:t>
      </w:r>
      <w:r w:rsidR="0093140F">
        <w:t xml:space="preserve">kind </w:t>
      </w:r>
      <w:r w:rsidR="00131EDE">
        <w:t>contributions. At the time of this submission</w:t>
      </w:r>
      <w:r w:rsidR="00B906CD">
        <w:t>,</w:t>
      </w:r>
      <w:r w:rsidR="00131EDE">
        <w:t xml:space="preserve"> our Partners are:</w:t>
      </w:r>
    </w:p>
    <w:p w14:paraId="1AA9EE2B" w14:textId="40C8E346" w:rsidR="000B2DF1" w:rsidRPr="003B18CB" w:rsidRDefault="000B2DF1" w:rsidP="00A501F7">
      <w:r w:rsidRPr="000B2DF1">
        <w:rPr>
          <w:noProof/>
          <w:lang w:eastAsia="en-AU"/>
        </w:rPr>
        <w:drawing>
          <wp:inline distT="0" distB="0" distL="0" distR="0" wp14:anchorId="75C3DA08" wp14:editId="6F3AD6B9">
            <wp:extent cx="5731510" cy="1466215"/>
            <wp:effectExtent l="0" t="0" r="254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66C2B" w14:textId="09771DDB" w:rsidR="004221F5" w:rsidRPr="002B2B8A" w:rsidRDefault="00841EFC" w:rsidP="002B2B8A">
      <w:pPr>
        <w:pStyle w:val="Heading1"/>
        <w:rPr>
          <w:rStyle w:val="Heading1Char"/>
          <w:b/>
        </w:rPr>
      </w:pPr>
      <w:r>
        <w:lastRenderedPageBreak/>
        <w:t>Mastering in-demand skills at scale</w:t>
      </w:r>
    </w:p>
    <w:tbl>
      <w:tblPr>
        <w:tblW w:w="5000" w:type="pct"/>
        <w:tblBorders>
          <w:top w:val="single" w:sz="6" w:space="0" w:color="78A22F"/>
          <w:left w:val="single" w:sz="6" w:space="0" w:color="78A22F"/>
          <w:bottom w:val="single" w:sz="6" w:space="0" w:color="78A22F"/>
          <w:right w:val="single" w:sz="6" w:space="0" w:color="78A22F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26"/>
      </w:tblGrid>
      <w:tr w:rsidR="002F7467" w14:paraId="7B31242D" w14:textId="77777777" w:rsidTr="00344AE6">
        <w:trPr>
          <w:tblHeader/>
        </w:trPr>
        <w:tc>
          <w:tcPr>
            <w:tcW w:w="5000" w:type="pct"/>
            <w:tcBorders>
              <w:top w:val="single" w:sz="6" w:space="0" w:color="78A22F"/>
              <w:left w:val="nil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4EAA6D55" w14:textId="77777777" w:rsidR="002F7467" w:rsidRDefault="002F7467">
            <w:pPr>
              <w:pStyle w:val="InformationRequestTitle"/>
              <w:spacing w:before="120"/>
            </w:pPr>
            <w:r>
              <w:t>Information request — role of competition in the VET market</w:t>
            </w:r>
          </w:p>
        </w:tc>
      </w:tr>
      <w:tr w:rsidR="002F7467" w14:paraId="227C02C2" w14:textId="77777777" w:rsidTr="00344AE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2745CB6F" w14:textId="77777777" w:rsidR="002F7467" w:rsidRPr="003D27D1" w:rsidRDefault="002F7467" w:rsidP="002F7467">
            <w:pPr>
              <w:pStyle w:val="InformationRequestBullet"/>
            </w:pPr>
            <w:r w:rsidRPr="003D27D1">
              <w:t>What role should competition play in meeting users’ needs, including the quantity, type and quality, and regional accessibility of VET services?</w:t>
            </w:r>
          </w:p>
          <w:p w14:paraId="3B9A292E" w14:textId="77777777" w:rsidR="002F7467" w:rsidRPr="003D27D1" w:rsidRDefault="002F7467" w:rsidP="002F7467">
            <w:pPr>
              <w:pStyle w:val="InformationRequestBullet"/>
            </w:pPr>
            <w:r w:rsidRPr="003D27D1">
              <w:t>How should the efficiency of the VET market be measured?</w:t>
            </w:r>
          </w:p>
          <w:p w14:paraId="13EDBD18" w14:textId="77777777" w:rsidR="002F7467" w:rsidRDefault="002F7467" w:rsidP="002F7467">
            <w:pPr>
              <w:pStyle w:val="InformationRequestBullet"/>
            </w:pPr>
            <w:r w:rsidRPr="003D27D1">
              <w:t>Are additional consumer protection arrangements required to support a well</w:t>
            </w:r>
            <w:r w:rsidRPr="003D27D1">
              <w:noBreakHyphen/>
              <w:t xml:space="preserve">functioning VET market? What are the costs and benefits of different models of consumer protection established by governments, including </w:t>
            </w:r>
            <w:proofErr w:type="spellStart"/>
            <w:r w:rsidRPr="003D27D1">
              <w:t>ombudsmans</w:t>
            </w:r>
            <w:proofErr w:type="spellEnd"/>
            <w:r w:rsidRPr="003D27D1">
              <w:t>’ offices?</w:t>
            </w:r>
            <w:r>
              <w:t xml:space="preserve"> </w:t>
            </w:r>
          </w:p>
        </w:tc>
      </w:tr>
    </w:tbl>
    <w:p w14:paraId="28C55521" w14:textId="39C110CF" w:rsidR="00F9425D" w:rsidRDefault="00F9425D" w:rsidP="004B6B9D">
      <w:pPr>
        <w:rPr>
          <w:szCs w:val="20"/>
        </w:rPr>
      </w:pPr>
      <w:r w:rsidRPr="004B6B9D">
        <w:rPr>
          <w:szCs w:val="20"/>
        </w:rPr>
        <w:t xml:space="preserve">The </w:t>
      </w:r>
      <w:r w:rsidRPr="004B6B9D">
        <w:rPr>
          <w:rFonts w:cstheme="minorHAnsi"/>
          <w:szCs w:val="20"/>
        </w:rPr>
        <w:t>Supply Chain Sustainability School</w:t>
      </w:r>
      <w:r w:rsidR="00E36C2A">
        <w:rPr>
          <w:rFonts w:cstheme="minorHAnsi"/>
          <w:szCs w:val="20"/>
        </w:rPr>
        <w:t xml:space="preserve"> improves </w:t>
      </w:r>
      <w:r w:rsidR="00DE656A">
        <w:t xml:space="preserve">employment </w:t>
      </w:r>
      <w:r w:rsidR="004C2E75">
        <w:t xml:space="preserve">status </w:t>
      </w:r>
      <w:r w:rsidR="00DE656A">
        <w:t xml:space="preserve">and employer satisfaction, not through competition but collaboration. </w:t>
      </w:r>
    </w:p>
    <w:p w14:paraId="4A97C48A" w14:textId="13DE8806" w:rsidR="00B76DCF" w:rsidRDefault="00F306EA" w:rsidP="004B6B9D">
      <w:pPr>
        <w:rPr>
          <w:szCs w:val="20"/>
        </w:rPr>
      </w:pPr>
      <w:r w:rsidRPr="004B6B9D">
        <w:rPr>
          <w:szCs w:val="20"/>
        </w:rPr>
        <w:t xml:space="preserve">The </w:t>
      </w:r>
      <w:r w:rsidRPr="004B6B9D">
        <w:rPr>
          <w:rFonts w:cstheme="minorHAnsi"/>
          <w:szCs w:val="20"/>
        </w:rPr>
        <w:t xml:space="preserve">Supply Chain Sustainability School </w:t>
      </w:r>
      <w:r>
        <w:rPr>
          <w:rFonts w:cstheme="minorHAnsi"/>
          <w:szCs w:val="20"/>
        </w:rPr>
        <w:t xml:space="preserve">exists because </w:t>
      </w:r>
      <w:r w:rsidR="002B2B8A">
        <w:rPr>
          <w:rFonts w:cstheme="minorHAnsi"/>
          <w:szCs w:val="20"/>
        </w:rPr>
        <w:t xml:space="preserve">the </w:t>
      </w:r>
      <w:r w:rsidR="00344058">
        <w:rPr>
          <w:rFonts w:cstheme="minorHAnsi"/>
          <w:szCs w:val="20"/>
        </w:rPr>
        <w:t xml:space="preserve">building and construction </w:t>
      </w:r>
      <w:r>
        <w:rPr>
          <w:rFonts w:cstheme="minorHAnsi"/>
          <w:szCs w:val="20"/>
        </w:rPr>
        <w:t>i</w:t>
      </w:r>
      <w:r w:rsidR="00844DA1" w:rsidRPr="004B6B9D">
        <w:rPr>
          <w:szCs w:val="20"/>
        </w:rPr>
        <w:t xml:space="preserve">ndustry needed to upskill the supply chain quickly and efficiently to meet </w:t>
      </w:r>
      <w:r w:rsidR="000E1578">
        <w:rPr>
          <w:szCs w:val="20"/>
        </w:rPr>
        <w:t xml:space="preserve">the </w:t>
      </w:r>
      <w:r w:rsidR="00844DA1" w:rsidRPr="004B6B9D">
        <w:rPr>
          <w:szCs w:val="20"/>
        </w:rPr>
        <w:t>beyond compliance targets and objectives of building and construction projects.</w:t>
      </w:r>
      <w:r w:rsidR="004C6156">
        <w:rPr>
          <w:szCs w:val="20"/>
        </w:rPr>
        <w:t xml:space="preserve"> </w:t>
      </w:r>
      <w:r w:rsidR="00083A11">
        <w:rPr>
          <w:szCs w:val="20"/>
        </w:rPr>
        <w:t xml:space="preserve">Partners of the school chose </w:t>
      </w:r>
      <w:r w:rsidR="00C8171C">
        <w:rPr>
          <w:szCs w:val="20"/>
        </w:rPr>
        <w:t>to collaborate under and industry</w:t>
      </w:r>
      <w:r w:rsidR="00DD2CAD">
        <w:rPr>
          <w:szCs w:val="20"/>
        </w:rPr>
        <w:t>-</w:t>
      </w:r>
      <w:r w:rsidR="00C8171C">
        <w:rPr>
          <w:szCs w:val="20"/>
        </w:rPr>
        <w:t>funded not student</w:t>
      </w:r>
      <w:r w:rsidR="00DD2CAD">
        <w:rPr>
          <w:szCs w:val="20"/>
        </w:rPr>
        <w:t>-</w:t>
      </w:r>
      <w:r w:rsidR="00C8171C">
        <w:rPr>
          <w:szCs w:val="20"/>
        </w:rPr>
        <w:t xml:space="preserve">funded model, enabling free access to knowledge and eliminating the barriers </w:t>
      </w:r>
      <w:r w:rsidR="007464C4">
        <w:rPr>
          <w:szCs w:val="20"/>
        </w:rPr>
        <w:t>for people and organisations to innovate and grow their businesses.</w:t>
      </w:r>
      <w:r w:rsidR="00DD2CAD">
        <w:rPr>
          <w:szCs w:val="20"/>
        </w:rPr>
        <w:t xml:space="preserve"> In this business model</w:t>
      </w:r>
      <w:r w:rsidR="009F194B">
        <w:rPr>
          <w:szCs w:val="20"/>
        </w:rPr>
        <w:t>,</w:t>
      </w:r>
      <w:r w:rsidR="00DD2CAD">
        <w:rPr>
          <w:szCs w:val="20"/>
        </w:rPr>
        <w:t xml:space="preserve"> the school is a not-for-profit initiative</w:t>
      </w:r>
      <w:r w:rsidR="00FD37A7">
        <w:rPr>
          <w:szCs w:val="20"/>
        </w:rPr>
        <w:t xml:space="preserve"> receiving monetary and in-kind contributions from Partners </w:t>
      </w:r>
      <w:r w:rsidR="00DC16F4">
        <w:rPr>
          <w:szCs w:val="20"/>
        </w:rPr>
        <w:t>t</w:t>
      </w:r>
      <w:r w:rsidR="00FD091C">
        <w:rPr>
          <w:szCs w:val="20"/>
        </w:rPr>
        <w:t xml:space="preserve">o fund the development, maintenance and promotion of on-demand </w:t>
      </w:r>
      <w:r w:rsidR="004E7657">
        <w:rPr>
          <w:szCs w:val="20"/>
        </w:rPr>
        <w:t xml:space="preserve">online resources and, when allowed to do so, </w:t>
      </w:r>
      <w:r w:rsidR="0020250C">
        <w:rPr>
          <w:szCs w:val="20"/>
        </w:rPr>
        <w:t>face-to-face workshops.</w:t>
      </w:r>
      <w:r w:rsidR="00CB72C7">
        <w:rPr>
          <w:szCs w:val="20"/>
        </w:rPr>
        <w:t xml:space="preserve"> </w:t>
      </w:r>
      <w:r w:rsidR="00806DE8">
        <w:rPr>
          <w:szCs w:val="20"/>
        </w:rPr>
        <w:t>We deliver t</w:t>
      </w:r>
      <w:r w:rsidR="00CB72C7">
        <w:rPr>
          <w:szCs w:val="20"/>
        </w:rPr>
        <w:t xml:space="preserve">hese </w:t>
      </w:r>
      <w:r w:rsidR="00806DE8">
        <w:rPr>
          <w:szCs w:val="20"/>
        </w:rPr>
        <w:t xml:space="preserve">resources </w:t>
      </w:r>
      <w:r w:rsidR="00CB72C7">
        <w:rPr>
          <w:szCs w:val="20"/>
        </w:rPr>
        <w:t xml:space="preserve">to registered </w:t>
      </w:r>
      <w:r w:rsidR="00E95694">
        <w:rPr>
          <w:szCs w:val="20"/>
        </w:rPr>
        <w:t>m</w:t>
      </w:r>
      <w:r w:rsidR="00CB72C7">
        <w:rPr>
          <w:szCs w:val="20"/>
        </w:rPr>
        <w:t>embers at no cost.</w:t>
      </w:r>
      <w:r w:rsidR="00A0375A">
        <w:rPr>
          <w:szCs w:val="20"/>
        </w:rPr>
        <w:t xml:space="preserve"> </w:t>
      </w:r>
      <w:r w:rsidR="00FF550F">
        <w:rPr>
          <w:szCs w:val="20"/>
        </w:rPr>
        <w:t xml:space="preserve">The governance systems of the school </w:t>
      </w:r>
      <w:r w:rsidR="00E95694">
        <w:rPr>
          <w:szCs w:val="20"/>
        </w:rPr>
        <w:t>offer</w:t>
      </w:r>
      <w:r w:rsidR="00FF550F">
        <w:rPr>
          <w:szCs w:val="20"/>
        </w:rPr>
        <w:t xml:space="preserve"> an eff</w:t>
      </w:r>
      <w:r w:rsidR="00E95694">
        <w:rPr>
          <w:szCs w:val="20"/>
        </w:rPr>
        <w:t>ective</w:t>
      </w:r>
      <w:r w:rsidR="00FF4E23">
        <w:rPr>
          <w:szCs w:val="20"/>
        </w:rPr>
        <w:t xml:space="preserve"> grievance and remediation mechanism for Partners and Members. </w:t>
      </w:r>
      <w:r w:rsidR="00FF550F">
        <w:rPr>
          <w:szCs w:val="20"/>
        </w:rPr>
        <w:t xml:space="preserve"> </w:t>
      </w:r>
      <w:r w:rsidR="00EB7A7D">
        <w:rPr>
          <w:szCs w:val="20"/>
        </w:rPr>
        <w:t xml:space="preserve">In our </w:t>
      </w:r>
      <w:r w:rsidR="0063086D">
        <w:rPr>
          <w:szCs w:val="20"/>
        </w:rPr>
        <w:t>context</w:t>
      </w:r>
      <w:r w:rsidR="00EB7A7D">
        <w:rPr>
          <w:szCs w:val="20"/>
        </w:rPr>
        <w:t xml:space="preserve"> consumers, our Partners, are </w:t>
      </w:r>
      <w:r w:rsidR="0063086D">
        <w:rPr>
          <w:szCs w:val="20"/>
        </w:rPr>
        <w:t xml:space="preserve">multi-stakeholder </w:t>
      </w:r>
      <w:r w:rsidR="00DF1D24">
        <w:rPr>
          <w:szCs w:val="20"/>
        </w:rPr>
        <w:t xml:space="preserve">teams that have </w:t>
      </w:r>
      <w:r w:rsidR="001A2572">
        <w:rPr>
          <w:szCs w:val="20"/>
        </w:rPr>
        <w:t xml:space="preserve">specialist procurement and relationship management personnel to </w:t>
      </w:r>
      <w:r w:rsidR="00567F54">
        <w:rPr>
          <w:szCs w:val="20"/>
        </w:rPr>
        <w:t xml:space="preserve">investigate, assess and monitor their return of investment. </w:t>
      </w:r>
    </w:p>
    <w:p w14:paraId="55FD15BA" w14:textId="59283240" w:rsidR="000B50F9" w:rsidRDefault="004C6156" w:rsidP="008E0406">
      <w:pPr>
        <w:rPr>
          <w:rFonts w:cstheme="minorHAnsi"/>
          <w:szCs w:val="20"/>
        </w:rPr>
      </w:pPr>
      <w:r>
        <w:rPr>
          <w:szCs w:val="20"/>
        </w:rPr>
        <w:t xml:space="preserve">Partner organisations collaborate </w:t>
      </w:r>
      <w:r w:rsidR="00B76DCF">
        <w:rPr>
          <w:szCs w:val="20"/>
        </w:rPr>
        <w:t xml:space="preserve">to gain </w:t>
      </w:r>
      <w:r w:rsidR="006A368E">
        <w:rPr>
          <w:szCs w:val="20"/>
        </w:rPr>
        <w:t xml:space="preserve">consistency and efficiency </w:t>
      </w:r>
      <w:r w:rsidR="004B12C1">
        <w:rPr>
          <w:szCs w:val="20"/>
        </w:rPr>
        <w:t xml:space="preserve">amongst all industry players. </w:t>
      </w:r>
      <w:r w:rsidR="003443DD">
        <w:rPr>
          <w:szCs w:val="20"/>
        </w:rPr>
        <w:t xml:space="preserve">The topics chosen for development </w:t>
      </w:r>
      <w:r w:rsidR="00E2296D">
        <w:rPr>
          <w:szCs w:val="20"/>
        </w:rPr>
        <w:t xml:space="preserve">are based on </w:t>
      </w:r>
      <w:r w:rsidR="00EC0859">
        <w:rPr>
          <w:szCs w:val="20"/>
        </w:rPr>
        <w:t>the gaps and needs of Partner organisations</w:t>
      </w:r>
      <w:r w:rsidR="009C51DA">
        <w:rPr>
          <w:szCs w:val="20"/>
        </w:rPr>
        <w:t>;</w:t>
      </w:r>
      <w:r w:rsidR="00EC0859">
        <w:rPr>
          <w:szCs w:val="20"/>
        </w:rPr>
        <w:t xml:space="preserve"> this </w:t>
      </w:r>
      <w:r w:rsidR="00D01C9B">
        <w:rPr>
          <w:szCs w:val="20"/>
        </w:rPr>
        <w:t>focuses</w:t>
      </w:r>
      <w:r w:rsidR="009C51DA">
        <w:rPr>
          <w:szCs w:val="20"/>
        </w:rPr>
        <w:t xml:space="preserve"> on</w:t>
      </w:r>
      <w:r w:rsidR="00D01C9B">
        <w:rPr>
          <w:szCs w:val="20"/>
        </w:rPr>
        <w:t xml:space="preserve"> resources creating efficiency and increases </w:t>
      </w:r>
      <w:r w:rsidR="0094285E">
        <w:rPr>
          <w:szCs w:val="20"/>
        </w:rPr>
        <w:t>employer satisfaction as it directly addresses their needs.</w:t>
      </w:r>
      <w:r w:rsidR="00EC0859">
        <w:rPr>
          <w:szCs w:val="20"/>
        </w:rPr>
        <w:t xml:space="preserve"> </w:t>
      </w:r>
      <w:r w:rsidR="00171E36">
        <w:rPr>
          <w:szCs w:val="20"/>
        </w:rPr>
        <w:t xml:space="preserve">This also enables skill transfer both vertically and </w:t>
      </w:r>
      <w:r w:rsidR="00793282">
        <w:rPr>
          <w:szCs w:val="20"/>
        </w:rPr>
        <w:t>horizontally</w:t>
      </w:r>
      <w:r w:rsidR="00171E36">
        <w:rPr>
          <w:szCs w:val="20"/>
        </w:rPr>
        <w:t xml:space="preserve"> for </w:t>
      </w:r>
      <w:r w:rsidR="00793282">
        <w:rPr>
          <w:szCs w:val="20"/>
        </w:rPr>
        <w:t xml:space="preserve">participants. </w:t>
      </w:r>
      <w:r w:rsidR="00E01526" w:rsidRPr="004B6B9D">
        <w:rPr>
          <w:szCs w:val="20"/>
        </w:rPr>
        <w:t xml:space="preserve">The </w:t>
      </w:r>
      <w:r w:rsidR="00E01526" w:rsidRPr="004B6B9D">
        <w:rPr>
          <w:rFonts w:cstheme="minorHAnsi"/>
          <w:szCs w:val="20"/>
        </w:rPr>
        <w:t>Supply Chain Sustainability School</w:t>
      </w:r>
      <w:r w:rsidR="00E01526">
        <w:rPr>
          <w:rFonts w:cstheme="minorHAnsi"/>
          <w:szCs w:val="20"/>
        </w:rPr>
        <w:t xml:space="preserve"> </w:t>
      </w:r>
      <w:r w:rsidR="00160772">
        <w:rPr>
          <w:rFonts w:cstheme="minorHAnsi"/>
          <w:szCs w:val="20"/>
        </w:rPr>
        <w:t>p</w:t>
      </w:r>
      <w:r w:rsidR="00E01526">
        <w:rPr>
          <w:rFonts w:cstheme="minorHAnsi"/>
          <w:szCs w:val="20"/>
        </w:rPr>
        <w:t xml:space="preserve">artners with </w:t>
      </w:r>
      <w:r w:rsidR="004223A0">
        <w:rPr>
          <w:rFonts w:cstheme="minorHAnsi"/>
          <w:szCs w:val="20"/>
        </w:rPr>
        <w:t>professional services</w:t>
      </w:r>
      <w:r w:rsidR="00BF1BE7">
        <w:rPr>
          <w:rFonts w:cstheme="minorHAnsi"/>
          <w:szCs w:val="20"/>
        </w:rPr>
        <w:t xml:space="preserve"> suppliers</w:t>
      </w:r>
      <w:r w:rsidR="004223A0">
        <w:rPr>
          <w:rFonts w:cstheme="minorHAnsi"/>
          <w:szCs w:val="20"/>
        </w:rPr>
        <w:t xml:space="preserve">, </w:t>
      </w:r>
      <w:r w:rsidR="00BF1BE7">
        <w:rPr>
          <w:rFonts w:cstheme="minorHAnsi"/>
          <w:szCs w:val="20"/>
        </w:rPr>
        <w:t xml:space="preserve">product and material </w:t>
      </w:r>
      <w:r w:rsidR="00727A77">
        <w:rPr>
          <w:rFonts w:cstheme="minorHAnsi"/>
          <w:szCs w:val="20"/>
        </w:rPr>
        <w:t xml:space="preserve">suppliers, procurers, government and </w:t>
      </w:r>
      <w:r w:rsidR="00E01526">
        <w:rPr>
          <w:rFonts w:cstheme="minorHAnsi"/>
          <w:szCs w:val="20"/>
        </w:rPr>
        <w:t>industry bodies to collate and create cross-functional training opportunities</w:t>
      </w:r>
      <w:r w:rsidR="001075B7">
        <w:rPr>
          <w:rFonts w:cstheme="minorHAnsi"/>
          <w:szCs w:val="20"/>
        </w:rPr>
        <w:t xml:space="preserve">. </w:t>
      </w:r>
    </w:p>
    <w:p w14:paraId="0BAD4A27" w14:textId="48E16049" w:rsidR="005B33EF" w:rsidRDefault="005B33EF" w:rsidP="005B33EF">
      <w:pPr>
        <w:rPr>
          <w:szCs w:val="20"/>
        </w:rPr>
      </w:pPr>
      <w:r w:rsidRPr="004B6B9D">
        <w:rPr>
          <w:szCs w:val="20"/>
        </w:rPr>
        <w:t xml:space="preserve">The </w:t>
      </w:r>
      <w:r w:rsidRPr="004B6B9D">
        <w:rPr>
          <w:rFonts w:cstheme="minorHAnsi"/>
          <w:szCs w:val="20"/>
        </w:rPr>
        <w:t xml:space="preserve">Supply Chain Sustainability School </w:t>
      </w:r>
      <w:r w:rsidRPr="004B6B9D">
        <w:rPr>
          <w:szCs w:val="20"/>
        </w:rPr>
        <w:t>offer</w:t>
      </w:r>
      <w:r>
        <w:rPr>
          <w:szCs w:val="20"/>
        </w:rPr>
        <w:t>s</w:t>
      </w:r>
      <w:r w:rsidRPr="004B6B9D">
        <w:rPr>
          <w:szCs w:val="20"/>
        </w:rPr>
        <w:t xml:space="preserve"> </w:t>
      </w:r>
      <w:r>
        <w:rPr>
          <w:szCs w:val="20"/>
        </w:rPr>
        <w:t>m</w:t>
      </w:r>
      <w:r w:rsidRPr="004B6B9D">
        <w:rPr>
          <w:szCs w:val="20"/>
        </w:rPr>
        <w:t>icro</w:t>
      </w:r>
      <w:r w:rsidRPr="004B6B9D">
        <w:rPr>
          <w:b/>
          <w:szCs w:val="20"/>
        </w:rPr>
        <w:t xml:space="preserve"> </w:t>
      </w:r>
      <w:r w:rsidRPr="004B6B9D">
        <w:rPr>
          <w:bCs/>
          <w:szCs w:val="20"/>
        </w:rPr>
        <w:t xml:space="preserve">and </w:t>
      </w:r>
      <w:proofErr w:type="spellStart"/>
      <w:r w:rsidRPr="004B6B9D">
        <w:rPr>
          <w:bCs/>
          <w:szCs w:val="20"/>
        </w:rPr>
        <w:t>nano</w:t>
      </w:r>
      <w:proofErr w:type="spellEnd"/>
      <w:r w:rsidRPr="004B6B9D">
        <w:rPr>
          <w:bCs/>
          <w:szCs w:val="20"/>
        </w:rPr>
        <w:t xml:space="preserve"> courses </w:t>
      </w:r>
      <w:r>
        <w:rPr>
          <w:bCs/>
          <w:szCs w:val="20"/>
        </w:rPr>
        <w:t xml:space="preserve">that </w:t>
      </w:r>
      <w:r w:rsidRPr="004B6B9D">
        <w:rPr>
          <w:bCs/>
          <w:szCs w:val="20"/>
        </w:rPr>
        <w:t xml:space="preserve">enable </w:t>
      </w:r>
      <w:r w:rsidRPr="004B6B9D">
        <w:rPr>
          <w:szCs w:val="20"/>
        </w:rPr>
        <w:t xml:space="preserve">professionals to </w:t>
      </w:r>
      <w:r w:rsidR="008A3334">
        <w:rPr>
          <w:szCs w:val="20"/>
        </w:rPr>
        <w:t>develop</w:t>
      </w:r>
      <w:r>
        <w:rPr>
          <w:szCs w:val="20"/>
        </w:rPr>
        <w:t xml:space="preserve"> a </w:t>
      </w:r>
      <w:r w:rsidRPr="004B6B9D">
        <w:rPr>
          <w:szCs w:val="20"/>
        </w:rPr>
        <w:t xml:space="preserve">specific skill at the time they need that </w:t>
      </w:r>
      <w:r w:rsidR="00D653B1" w:rsidRPr="004B6B9D">
        <w:rPr>
          <w:szCs w:val="20"/>
        </w:rPr>
        <w:t>skill</w:t>
      </w:r>
      <w:r w:rsidR="00806DE8">
        <w:rPr>
          <w:szCs w:val="20"/>
        </w:rPr>
        <w:t xml:space="preserve">. The school also </w:t>
      </w:r>
      <w:r w:rsidR="008A758F">
        <w:rPr>
          <w:szCs w:val="20"/>
        </w:rPr>
        <w:t xml:space="preserve">maintains a catalogue of </w:t>
      </w:r>
      <w:r w:rsidR="00806DE8">
        <w:rPr>
          <w:szCs w:val="20"/>
        </w:rPr>
        <w:t xml:space="preserve">reference </w:t>
      </w:r>
      <w:r w:rsidR="008A758F">
        <w:rPr>
          <w:szCs w:val="20"/>
        </w:rPr>
        <w:t xml:space="preserve">resources </w:t>
      </w:r>
      <w:r w:rsidR="00806DE8">
        <w:rPr>
          <w:szCs w:val="20"/>
        </w:rPr>
        <w:t xml:space="preserve">accessible, when needed, </w:t>
      </w:r>
      <w:r w:rsidR="00353A38">
        <w:rPr>
          <w:szCs w:val="20"/>
        </w:rPr>
        <w:t>in the future</w:t>
      </w:r>
      <w:r w:rsidRPr="004B6B9D">
        <w:rPr>
          <w:szCs w:val="20"/>
        </w:rPr>
        <w:t>. Th</w:t>
      </w:r>
      <w:r w:rsidR="00806DE8">
        <w:rPr>
          <w:szCs w:val="20"/>
        </w:rPr>
        <w:t xml:space="preserve">e school’s system of </w:t>
      </w:r>
      <w:r w:rsidRPr="004B6B9D">
        <w:rPr>
          <w:szCs w:val="20"/>
        </w:rPr>
        <w:t xml:space="preserve">learning benefits industry by </w:t>
      </w:r>
      <w:r w:rsidR="00806DE8">
        <w:rPr>
          <w:szCs w:val="20"/>
        </w:rPr>
        <w:t>reducing</w:t>
      </w:r>
      <w:r w:rsidRPr="004B6B9D">
        <w:rPr>
          <w:szCs w:val="20"/>
        </w:rPr>
        <w:t xml:space="preserve"> noise, time lag and risk of knowledge becoming outdated </w:t>
      </w:r>
      <w:r w:rsidR="00806DE8">
        <w:rPr>
          <w:szCs w:val="20"/>
        </w:rPr>
        <w:t>(</w:t>
      </w:r>
      <w:r w:rsidRPr="004B6B9D">
        <w:rPr>
          <w:szCs w:val="20"/>
        </w:rPr>
        <w:t>between the period of learning and use</w:t>
      </w:r>
      <w:r w:rsidR="00806DE8">
        <w:rPr>
          <w:szCs w:val="20"/>
        </w:rPr>
        <w:t>)</w:t>
      </w:r>
      <w:r w:rsidRPr="004B6B9D">
        <w:rPr>
          <w:szCs w:val="20"/>
        </w:rPr>
        <w:t xml:space="preserve">. </w:t>
      </w:r>
    </w:p>
    <w:p w14:paraId="5E22E313" w14:textId="0D62D1DC" w:rsidR="0050350F" w:rsidRDefault="008A3334" w:rsidP="00DF28F9">
      <w:pPr>
        <w:rPr>
          <w:szCs w:val="20"/>
        </w:rPr>
      </w:pPr>
      <w:r w:rsidRPr="004B6B9D">
        <w:rPr>
          <w:szCs w:val="20"/>
        </w:rPr>
        <w:t xml:space="preserve">The </w:t>
      </w:r>
      <w:r w:rsidRPr="004B6B9D">
        <w:rPr>
          <w:rFonts w:cstheme="minorHAnsi"/>
          <w:szCs w:val="20"/>
        </w:rPr>
        <w:t xml:space="preserve">Supply Chain Sustainability School </w:t>
      </w:r>
      <w:r w:rsidRPr="004B6B9D">
        <w:rPr>
          <w:szCs w:val="20"/>
        </w:rPr>
        <w:t>does not offer certificate, diploma, degree, masters or doctorate programs.</w:t>
      </w:r>
      <w:r>
        <w:rPr>
          <w:szCs w:val="20"/>
        </w:rPr>
        <w:t xml:space="preserve"> </w:t>
      </w:r>
      <w:r w:rsidR="00BD629B">
        <w:rPr>
          <w:szCs w:val="20"/>
        </w:rPr>
        <w:t xml:space="preserve">Universities and tertiary providers </w:t>
      </w:r>
      <w:r w:rsidR="00485A9E">
        <w:rPr>
          <w:szCs w:val="20"/>
        </w:rPr>
        <w:t>p</w:t>
      </w:r>
      <w:r w:rsidR="00BD629B">
        <w:rPr>
          <w:szCs w:val="20"/>
        </w:rPr>
        <w:t>rovi</w:t>
      </w:r>
      <w:r w:rsidR="00485A9E">
        <w:rPr>
          <w:szCs w:val="20"/>
        </w:rPr>
        <w:t>d</w:t>
      </w:r>
      <w:r w:rsidR="00BD629B">
        <w:rPr>
          <w:szCs w:val="20"/>
        </w:rPr>
        <w:t xml:space="preserve">e </w:t>
      </w:r>
      <w:r w:rsidR="0093637E">
        <w:rPr>
          <w:szCs w:val="20"/>
        </w:rPr>
        <w:t xml:space="preserve">a comprehensive set of </w:t>
      </w:r>
      <w:r w:rsidR="00B425D2">
        <w:rPr>
          <w:szCs w:val="20"/>
        </w:rPr>
        <w:t xml:space="preserve">skills required </w:t>
      </w:r>
      <w:r w:rsidR="00010FAB">
        <w:rPr>
          <w:szCs w:val="20"/>
        </w:rPr>
        <w:t xml:space="preserve">to deliver a broad spectrum of services to the required standard. </w:t>
      </w:r>
      <w:r w:rsidR="008626D5">
        <w:rPr>
          <w:szCs w:val="20"/>
        </w:rPr>
        <w:t>Professional associations and a</w:t>
      </w:r>
      <w:r w:rsidR="00844DA1" w:rsidRPr="004B6B9D">
        <w:rPr>
          <w:szCs w:val="20"/>
        </w:rPr>
        <w:t xml:space="preserve">ccreditation bodies focus on enabling </w:t>
      </w:r>
      <w:r w:rsidR="00992C42">
        <w:rPr>
          <w:szCs w:val="20"/>
        </w:rPr>
        <w:lastRenderedPageBreak/>
        <w:t>professionals</w:t>
      </w:r>
      <w:r w:rsidR="00844DA1" w:rsidRPr="004B6B9D">
        <w:rPr>
          <w:szCs w:val="20"/>
        </w:rPr>
        <w:t xml:space="preserve"> to </w:t>
      </w:r>
      <w:r w:rsidR="00806DE8">
        <w:rPr>
          <w:szCs w:val="20"/>
        </w:rPr>
        <w:t xml:space="preserve">obtain accreditation and </w:t>
      </w:r>
      <w:r w:rsidR="00844DA1" w:rsidRPr="004B6B9D">
        <w:rPr>
          <w:szCs w:val="20"/>
        </w:rPr>
        <w:t>maintain continuing professional development within their chosen field</w:t>
      </w:r>
      <w:r w:rsidR="00806DE8">
        <w:rPr>
          <w:szCs w:val="20"/>
        </w:rPr>
        <w:t>. T</w:t>
      </w:r>
      <w:r w:rsidR="003078F1">
        <w:rPr>
          <w:szCs w:val="20"/>
        </w:rPr>
        <w:t xml:space="preserve">ypically </w:t>
      </w:r>
      <w:r w:rsidR="00806DE8">
        <w:rPr>
          <w:szCs w:val="20"/>
        </w:rPr>
        <w:t xml:space="preserve">they provide </w:t>
      </w:r>
      <w:r w:rsidR="003078F1">
        <w:rPr>
          <w:szCs w:val="20"/>
        </w:rPr>
        <w:t xml:space="preserve">certified professional development (CPD) </w:t>
      </w:r>
      <w:proofErr w:type="spellStart"/>
      <w:r w:rsidR="00A874C5">
        <w:rPr>
          <w:szCs w:val="20"/>
        </w:rPr>
        <w:t>microlearning</w:t>
      </w:r>
      <w:proofErr w:type="spellEnd"/>
      <w:r w:rsidR="00A874C5">
        <w:rPr>
          <w:szCs w:val="20"/>
        </w:rPr>
        <w:t xml:space="preserve"> </w:t>
      </w:r>
      <w:r w:rsidR="003078F1">
        <w:rPr>
          <w:szCs w:val="20"/>
        </w:rPr>
        <w:t>programs</w:t>
      </w:r>
      <w:r w:rsidR="00905012">
        <w:rPr>
          <w:szCs w:val="20"/>
        </w:rPr>
        <w:t xml:space="preserve"> that are also </w:t>
      </w:r>
      <w:r w:rsidR="000434CA">
        <w:rPr>
          <w:szCs w:val="20"/>
        </w:rPr>
        <w:t>vital</w:t>
      </w:r>
      <w:r w:rsidR="00CD4538">
        <w:rPr>
          <w:szCs w:val="20"/>
        </w:rPr>
        <w:t xml:space="preserve"> revenue streams that </w:t>
      </w:r>
      <w:r w:rsidR="00806DE8">
        <w:rPr>
          <w:szCs w:val="20"/>
        </w:rPr>
        <w:t>assist in meeting</w:t>
      </w:r>
      <w:r w:rsidR="00CD4538">
        <w:rPr>
          <w:szCs w:val="20"/>
        </w:rPr>
        <w:t xml:space="preserve"> for-purpose objectives</w:t>
      </w:r>
      <w:r w:rsidR="00057370">
        <w:rPr>
          <w:szCs w:val="20"/>
        </w:rPr>
        <w:t xml:space="preserve">. </w:t>
      </w:r>
      <w:r w:rsidR="00DE3DFA" w:rsidRPr="004B6B9D">
        <w:rPr>
          <w:szCs w:val="20"/>
        </w:rPr>
        <w:t xml:space="preserve">We </w:t>
      </w:r>
      <w:r w:rsidR="000434CA">
        <w:rPr>
          <w:szCs w:val="20"/>
        </w:rPr>
        <w:t>p</w:t>
      </w:r>
      <w:r w:rsidR="00DE3DFA" w:rsidRPr="004B6B9D">
        <w:rPr>
          <w:szCs w:val="20"/>
        </w:rPr>
        <w:t xml:space="preserve">artner with these </w:t>
      </w:r>
      <w:r w:rsidR="005B33EF">
        <w:rPr>
          <w:szCs w:val="20"/>
        </w:rPr>
        <w:t>organisations</w:t>
      </w:r>
      <w:r w:rsidR="00DE3DFA" w:rsidRPr="004B6B9D">
        <w:rPr>
          <w:szCs w:val="20"/>
        </w:rPr>
        <w:t xml:space="preserve"> to ensure our content is compatible</w:t>
      </w:r>
      <w:r w:rsidR="00DE3DFA">
        <w:rPr>
          <w:szCs w:val="20"/>
        </w:rPr>
        <w:t xml:space="preserve"> </w:t>
      </w:r>
      <w:r w:rsidR="00DF28F9">
        <w:rPr>
          <w:szCs w:val="20"/>
        </w:rPr>
        <w:t xml:space="preserve">and at times a component of </w:t>
      </w:r>
      <w:r w:rsidR="008836B9">
        <w:rPr>
          <w:szCs w:val="20"/>
        </w:rPr>
        <w:t xml:space="preserve">longer courses, </w:t>
      </w:r>
      <w:r w:rsidR="00DE3DFA">
        <w:rPr>
          <w:szCs w:val="20"/>
        </w:rPr>
        <w:t>recognising the importance of these providers within the industry.</w:t>
      </w:r>
    </w:p>
    <w:p w14:paraId="5D76BDE7" w14:textId="0657258D" w:rsidR="004F3863" w:rsidRDefault="00EF41B8" w:rsidP="00EF41B8">
      <w:pPr>
        <w:pStyle w:val="Heading1"/>
      </w:pPr>
      <w:r>
        <w:t>Career mobility</w:t>
      </w:r>
    </w:p>
    <w:tbl>
      <w:tblPr>
        <w:tblW w:w="5000" w:type="pct"/>
        <w:tblBorders>
          <w:top w:val="single" w:sz="6" w:space="0" w:color="78A22F"/>
          <w:left w:val="single" w:sz="6" w:space="0" w:color="78A22F"/>
          <w:bottom w:val="single" w:sz="6" w:space="0" w:color="78A22F"/>
          <w:right w:val="single" w:sz="6" w:space="0" w:color="78A22F"/>
        </w:tblBorders>
        <w:shd w:val="clear" w:color="auto" w:fill="EDEDED" w:themeFill="accent3" w:themeFillTint="33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26"/>
      </w:tblGrid>
      <w:tr w:rsidR="003440C3" w14:paraId="040207EF" w14:textId="77777777" w:rsidTr="003440C3">
        <w:trPr>
          <w:tblHeader/>
        </w:trPr>
        <w:tc>
          <w:tcPr>
            <w:tcW w:w="5000" w:type="pct"/>
            <w:tcBorders>
              <w:top w:val="single" w:sz="6" w:space="0" w:color="78A22F"/>
              <w:left w:val="nil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51D56EA1" w14:textId="77777777" w:rsidR="003440C3" w:rsidRDefault="003440C3">
            <w:pPr>
              <w:pStyle w:val="InformationRequestTitle"/>
              <w:spacing w:before="120"/>
            </w:pPr>
            <w:r>
              <w:t>Information request – career GUIDANCE FOR STUDENTS</w:t>
            </w:r>
          </w:p>
        </w:tc>
      </w:tr>
      <w:tr w:rsidR="003440C3" w14:paraId="0D188E64" w14:textId="77777777" w:rsidTr="003440C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5CF70F73" w14:textId="77777777" w:rsidR="003440C3" w:rsidRDefault="003440C3">
            <w:pPr>
              <w:pStyle w:val="InformationRequest"/>
              <w:keepNext/>
            </w:pPr>
            <w:r w:rsidRPr="003440C3">
              <w:t>What changes could be made to ensure school students have appropriate career information and advice?</w:t>
            </w:r>
          </w:p>
        </w:tc>
      </w:tr>
    </w:tbl>
    <w:p w14:paraId="11FB58A8" w14:textId="09379A7A" w:rsidR="003440C3" w:rsidRDefault="00D54F85" w:rsidP="00DF28F9">
      <w:pPr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</w:pPr>
      <w:r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 xml:space="preserve">Career </w:t>
      </w:r>
      <w:r w:rsidR="00BD1240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 xml:space="preserve">advisors work in a challenging time. </w:t>
      </w:r>
      <w:r w:rsidR="00E06620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>Experts</w:t>
      </w:r>
      <w:r w:rsidR="00806DE8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 xml:space="preserve"> are</w:t>
      </w:r>
      <w:r w:rsidR="00E06620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 xml:space="preserve"> predicting </w:t>
      </w:r>
      <w:r w:rsidR="002360F3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>that “a</w:t>
      </w:r>
      <w:r w:rsidR="002360F3" w:rsidRPr="002360F3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>round 85% of the jobs that</w:t>
      </w:r>
      <w:r w:rsidR="002360F3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 xml:space="preserve"> </w:t>
      </w:r>
      <w:r w:rsidR="002360F3" w:rsidRPr="002360F3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>today’s learners will be doing in 2030 haven’t been invented</w:t>
      </w:r>
      <w:r w:rsidR="002360F3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 xml:space="preserve"> </w:t>
      </w:r>
      <w:r w:rsidR="002360F3" w:rsidRPr="002360F3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>yet.</w:t>
      </w:r>
      <w:r w:rsidR="002360F3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>”</w:t>
      </w:r>
      <w:r w:rsidR="002360F3">
        <w:rPr>
          <w:rStyle w:val="FootnoteReference"/>
          <w:szCs w:val="20"/>
        </w:rPr>
        <w:footnoteReference w:id="1"/>
      </w:r>
      <w:r w:rsidR="002360F3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 xml:space="preserve"> </w:t>
      </w:r>
      <w:r w:rsidR="003161C0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>In addition to this uncertainty, l</w:t>
      </w:r>
      <w:r w:rsidR="006B50F3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 xml:space="preserve">ong gone is a time when </w:t>
      </w:r>
      <w:r w:rsidR="000959DF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>Australians</w:t>
      </w:r>
      <w:r w:rsidR="00010632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 xml:space="preserve"> sought </w:t>
      </w:r>
      <w:r w:rsidR="00C27675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 xml:space="preserve">one career and </w:t>
      </w:r>
      <w:r w:rsidR="00010632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>a job-for</w:t>
      </w:r>
      <w:r w:rsidR="009850F4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>-</w:t>
      </w:r>
      <w:r w:rsidR="00010632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>life</w:t>
      </w:r>
      <w:r w:rsidR="0068662C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>. N</w:t>
      </w:r>
      <w:r w:rsidR="00010632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>owadays it</w:t>
      </w:r>
      <w:r w:rsidR="000959DF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>’s</w:t>
      </w:r>
      <w:r w:rsidR="00010632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 xml:space="preserve"> closer to </w:t>
      </w:r>
      <w:r w:rsidR="000959DF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 xml:space="preserve">five careers and </w:t>
      </w:r>
      <w:r w:rsidR="00010632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>three jobs per decade</w:t>
      </w:r>
      <w:r w:rsidR="00010632">
        <w:rPr>
          <w:rStyle w:val="FootnoteReference"/>
          <w:szCs w:val="20"/>
        </w:rPr>
        <w:footnoteReference w:id="2"/>
      </w:r>
      <w:r w:rsidR="00010632">
        <w:t xml:space="preserve">. </w:t>
      </w:r>
      <w:r w:rsidR="006B50F3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 xml:space="preserve"> </w:t>
      </w:r>
      <w:r w:rsidR="005A7B2D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>The i</w:t>
      </w:r>
      <w:r w:rsidR="001B07D6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>ndustry is also evolving at a rapid pace</w:t>
      </w:r>
      <w:r w:rsidR="005A7B2D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>,</w:t>
      </w:r>
      <w:r w:rsidR="001B07D6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 xml:space="preserve"> </w:t>
      </w:r>
      <w:r w:rsidR="006936F3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 xml:space="preserve">often resulting in information that </w:t>
      </w:r>
      <w:r w:rsidR="004F62EB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>may be up to date pre-course becoming outdated during the years the course may run.</w:t>
      </w:r>
      <w:r w:rsidR="00B70F56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 xml:space="preserve"> </w:t>
      </w:r>
      <w:r w:rsidR="000D5E08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 xml:space="preserve">This has placed additional pressure on </w:t>
      </w:r>
      <w:r w:rsidR="00734D2D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 xml:space="preserve">education providers to justify the return on investment </w:t>
      </w:r>
      <w:r w:rsidR="00A9335E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 xml:space="preserve">of </w:t>
      </w:r>
      <w:r w:rsidR="00B70F56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 xml:space="preserve">longer </w:t>
      </w:r>
      <w:r w:rsidR="00A9335E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>courses</w:t>
      </w:r>
      <w:r w:rsidR="00B669F2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 xml:space="preserve"> that may be perceived as redundant the day </w:t>
      </w:r>
      <w:r w:rsidR="00032915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>you complete them</w:t>
      </w:r>
      <w:r w:rsidR="00A9335E"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 xml:space="preserve">. </w:t>
      </w:r>
    </w:p>
    <w:p w14:paraId="1A2319F8" w14:textId="38827EFF" w:rsidR="003F009D" w:rsidRDefault="00E56149" w:rsidP="00DF28F9">
      <w:pPr>
        <w:rPr>
          <w:rFonts w:cstheme="minorHAnsi"/>
          <w:szCs w:val="20"/>
        </w:rPr>
      </w:pPr>
      <w:r>
        <w:rPr>
          <w:rStyle w:val="Heading1Char"/>
          <w:rFonts w:ascii="Montserrat" w:hAnsi="Montserrat" w:cstheme="minorBidi"/>
          <w:b w:val="0"/>
          <w:color w:val="auto"/>
          <w:sz w:val="20"/>
          <w:szCs w:val="20"/>
        </w:rPr>
        <w:t xml:space="preserve">The approach the </w:t>
      </w:r>
      <w:r w:rsidRPr="004B6B9D">
        <w:rPr>
          <w:rFonts w:cstheme="minorHAnsi"/>
          <w:szCs w:val="20"/>
        </w:rPr>
        <w:t>Supply Chain Sustainability School</w:t>
      </w:r>
      <w:r>
        <w:rPr>
          <w:rFonts w:cstheme="minorHAnsi"/>
          <w:szCs w:val="20"/>
        </w:rPr>
        <w:t xml:space="preserve"> </w:t>
      </w:r>
      <w:r w:rsidR="00032915">
        <w:rPr>
          <w:rFonts w:cstheme="minorHAnsi"/>
          <w:szCs w:val="20"/>
        </w:rPr>
        <w:t xml:space="preserve">takes </w:t>
      </w:r>
      <w:r>
        <w:rPr>
          <w:rFonts w:cstheme="minorHAnsi"/>
          <w:szCs w:val="20"/>
        </w:rPr>
        <w:t xml:space="preserve">de-risks </w:t>
      </w:r>
      <w:r w:rsidR="003F009D">
        <w:rPr>
          <w:rFonts w:cstheme="minorHAnsi"/>
          <w:szCs w:val="20"/>
        </w:rPr>
        <w:t xml:space="preserve">investment in personal education by </w:t>
      </w:r>
    </w:p>
    <w:p w14:paraId="6174481B" w14:textId="55493B41" w:rsidR="003440C3" w:rsidRPr="007F1554" w:rsidRDefault="003F009D" w:rsidP="003F009D">
      <w:pPr>
        <w:pStyle w:val="ListParagraph"/>
        <w:numPr>
          <w:ilvl w:val="0"/>
          <w:numId w:val="16"/>
        </w:numPr>
        <w:rPr>
          <w:szCs w:val="20"/>
        </w:rPr>
      </w:pPr>
      <w:r w:rsidRPr="003F009D">
        <w:rPr>
          <w:rFonts w:cstheme="minorHAnsi"/>
          <w:szCs w:val="20"/>
        </w:rPr>
        <w:t>Providing</w:t>
      </w:r>
      <w:r>
        <w:rPr>
          <w:rFonts w:cstheme="minorHAnsi"/>
          <w:szCs w:val="20"/>
        </w:rPr>
        <w:t xml:space="preserve"> free access to </w:t>
      </w:r>
      <w:r w:rsidR="007F1554">
        <w:rPr>
          <w:rFonts w:cstheme="minorHAnsi"/>
          <w:szCs w:val="20"/>
        </w:rPr>
        <w:t>students</w:t>
      </w:r>
    </w:p>
    <w:p w14:paraId="75730148" w14:textId="55E292CD" w:rsidR="007F1554" w:rsidRPr="005B1D0A" w:rsidRDefault="007F1554" w:rsidP="003F009D">
      <w:pPr>
        <w:pStyle w:val="ListParagraph"/>
        <w:numPr>
          <w:ilvl w:val="0"/>
          <w:numId w:val="16"/>
        </w:numPr>
        <w:rPr>
          <w:szCs w:val="20"/>
        </w:rPr>
      </w:pPr>
      <w:r>
        <w:rPr>
          <w:rFonts w:cstheme="minorHAnsi"/>
          <w:szCs w:val="20"/>
        </w:rPr>
        <w:t xml:space="preserve">Linking </w:t>
      </w:r>
      <w:r w:rsidR="00EC0FF7">
        <w:rPr>
          <w:rFonts w:cstheme="minorHAnsi"/>
          <w:szCs w:val="20"/>
        </w:rPr>
        <w:t>education</w:t>
      </w:r>
      <w:r>
        <w:rPr>
          <w:rFonts w:cstheme="minorHAnsi"/>
          <w:szCs w:val="20"/>
        </w:rPr>
        <w:t xml:space="preserve"> to </w:t>
      </w:r>
      <w:r w:rsidR="00EC0FF7">
        <w:rPr>
          <w:rFonts w:cstheme="minorHAnsi"/>
          <w:szCs w:val="20"/>
        </w:rPr>
        <w:t xml:space="preserve">active </w:t>
      </w:r>
      <w:r>
        <w:rPr>
          <w:rFonts w:cstheme="minorHAnsi"/>
          <w:szCs w:val="20"/>
        </w:rPr>
        <w:t xml:space="preserve">in-demand requirements of </w:t>
      </w:r>
      <w:r w:rsidR="00EC0FF7">
        <w:rPr>
          <w:rFonts w:cstheme="minorHAnsi"/>
          <w:szCs w:val="20"/>
        </w:rPr>
        <w:t>employers</w:t>
      </w:r>
    </w:p>
    <w:p w14:paraId="07FD8801" w14:textId="51225B9C" w:rsidR="003440C3" w:rsidRPr="00C40C05" w:rsidRDefault="00BD0C4A" w:rsidP="00F1064B">
      <w:pPr>
        <w:pStyle w:val="ListParagraph"/>
        <w:numPr>
          <w:ilvl w:val="0"/>
          <w:numId w:val="16"/>
        </w:numPr>
        <w:rPr>
          <w:szCs w:val="20"/>
        </w:rPr>
      </w:pPr>
      <w:r w:rsidRPr="002C4B67">
        <w:rPr>
          <w:rFonts w:cstheme="minorHAnsi"/>
          <w:szCs w:val="20"/>
        </w:rPr>
        <w:t xml:space="preserve">Connecting students with </w:t>
      </w:r>
      <w:r w:rsidR="002C4B67">
        <w:rPr>
          <w:rFonts w:cstheme="minorHAnsi"/>
          <w:szCs w:val="20"/>
        </w:rPr>
        <w:t xml:space="preserve">industry </w:t>
      </w:r>
      <w:r w:rsidRPr="002C4B67">
        <w:rPr>
          <w:rFonts w:cstheme="minorHAnsi"/>
          <w:szCs w:val="20"/>
        </w:rPr>
        <w:t>experts</w:t>
      </w:r>
    </w:p>
    <w:p w14:paraId="256D7C02" w14:textId="77777777" w:rsidR="006B1DFF" w:rsidRDefault="006B1DFF">
      <w:pPr>
        <w:spacing w:before="0" w:beforeAutospacing="0" w:line="259" w:lineRule="auto"/>
        <w:rPr>
          <w:rStyle w:val="Heading1Char"/>
        </w:rPr>
      </w:pPr>
      <w:r>
        <w:rPr>
          <w:rStyle w:val="Heading1Char"/>
          <w:b w:val="0"/>
        </w:rPr>
        <w:br w:type="page"/>
      </w:r>
    </w:p>
    <w:p w14:paraId="0C9530AF" w14:textId="3FBF3553" w:rsidR="00C40C05" w:rsidRDefault="00C40C05" w:rsidP="00C40C05">
      <w:pPr>
        <w:pStyle w:val="Heading1"/>
        <w:rPr>
          <w:rStyle w:val="Heading1Char"/>
          <w:b/>
        </w:rPr>
      </w:pPr>
      <w:r w:rsidRPr="00B74845">
        <w:rPr>
          <w:rStyle w:val="Heading1Char"/>
          <w:b/>
        </w:rPr>
        <w:lastRenderedPageBreak/>
        <w:t>Option C</w:t>
      </w:r>
    </w:p>
    <w:tbl>
      <w:tblPr>
        <w:tblW w:w="5000" w:type="pct"/>
        <w:tblBorders>
          <w:top w:val="single" w:sz="6" w:space="0" w:color="78A22F"/>
          <w:left w:val="single" w:sz="6" w:space="0" w:color="78A22F"/>
          <w:bottom w:val="single" w:sz="6" w:space="0" w:color="78A22F"/>
          <w:right w:val="single" w:sz="6" w:space="0" w:color="78A22F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26"/>
      </w:tblGrid>
      <w:tr w:rsidR="005A7B2D" w14:paraId="692B3F21" w14:textId="77777777" w:rsidTr="005A7B2D">
        <w:trPr>
          <w:tblHeader/>
        </w:trPr>
        <w:tc>
          <w:tcPr>
            <w:tcW w:w="5000" w:type="pct"/>
            <w:tcBorders>
              <w:top w:val="single" w:sz="6" w:space="0" w:color="78A22F"/>
              <w:left w:val="nil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288AA010" w14:textId="77777777" w:rsidR="005A7B2D" w:rsidRDefault="005A7B2D" w:rsidP="005A7B2D">
            <w:pPr>
              <w:pStyle w:val="InformationRequestTitle"/>
            </w:pPr>
            <w:r>
              <w:t>Interim recommendation 2.2 — a NEW PRINCIPLES</w:t>
            </w:r>
            <w:r>
              <w:noBreakHyphen/>
              <w:t>BASED AGREEMENT</w:t>
            </w:r>
          </w:p>
        </w:tc>
      </w:tr>
      <w:tr w:rsidR="005A7B2D" w14:paraId="625426AA" w14:textId="77777777" w:rsidTr="005A7B2D">
        <w:trPr>
          <w:tblHeader/>
        </w:trPr>
        <w:tc>
          <w:tcPr>
            <w:tcW w:w="5000" w:type="pct"/>
            <w:tcBorders>
              <w:top w:val="single" w:sz="6" w:space="0" w:color="78A22F"/>
              <w:left w:val="nil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3B21D378" w14:textId="77777777" w:rsidR="005A7B2D" w:rsidRDefault="005A7B2D" w:rsidP="006B1DFF">
            <w:pPr>
              <w:pStyle w:val="InformationRequestBullet"/>
              <w:numPr>
                <w:ilvl w:val="0"/>
                <w:numId w:val="0"/>
              </w:numPr>
            </w:pPr>
            <w:r>
              <w:t>Australian, State and Territory governments should negotiate a new, principles</w:t>
            </w:r>
            <w:r>
              <w:noBreakHyphen/>
              <w:t>based intergovernmental agreement. Such an agreement should commit governments to developing an efficient, competitive market driven by the informed choices of students and employers. The agreement’s principles should include:</w:t>
            </w:r>
          </w:p>
          <w:p w14:paraId="1BBA6D73" w14:textId="77777777" w:rsidR="005A7B2D" w:rsidRPr="006B1DFF" w:rsidRDefault="005A7B2D" w:rsidP="006B1DFF">
            <w:pPr>
              <w:pStyle w:val="InformationRequestBullet"/>
            </w:pPr>
            <w:r w:rsidRPr="006B1DFF">
              <w:t>centring policy on the consumer, including information provision for informed choice</w:t>
            </w:r>
          </w:p>
          <w:p w14:paraId="5A0599DC" w14:textId="77777777" w:rsidR="005A7B2D" w:rsidRPr="006B1DFF" w:rsidRDefault="005A7B2D" w:rsidP="006B1DFF">
            <w:pPr>
              <w:pStyle w:val="InformationRequestBullet"/>
            </w:pPr>
            <w:r w:rsidRPr="006B1DFF">
              <w:t xml:space="preserve">equitable access </w:t>
            </w:r>
          </w:p>
          <w:p w14:paraId="23EC78E5" w14:textId="77777777" w:rsidR="005A7B2D" w:rsidRPr="006B1DFF" w:rsidRDefault="005A7B2D" w:rsidP="006B1DFF">
            <w:pPr>
              <w:pStyle w:val="InformationRequestBullet"/>
            </w:pPr>
            <w:r w:rsidRPr="006B1DFF">
              <w:t>recognition of fiscal sustainability and the stability of funding</w:t>
            </w:r>
          </w:p>
          <w:p w14:paraId="41E6B937" w14:textId="77777777" w:rsidR="005A7B2D" w:rsidRPr="006B1DFF" w:rsidRDefault="005A7B2D" w:rsidP="006B1DFF">
            <w:pPr>
              <w:pStyle w:val="InformationRequestBullet"/>
            </w:pPr>
            <w:r w:rsidRPr="006B1DFF">
              <w:t>transparency about where funding is allocated, including detailed information on course subsidies, costs and the size and nature of funding to public providers</w:t>
            </w:r>
          </w:p>
          <w:p w14:paraId="4B5C4C85" w14:textId="77777777" w:rsidR="005A7B2D" w:rsidRPr="006B1DFF" w:rsidRDefault="005A7B2D" w:rsidP="006B1DFF">
            <w:pPr>
              <w:pStyle w:val="InformationRequestBullet"/>
            </w:pPr>
            <w:r w:rsidRPr="006B1DFF">
              <w:t>efficient pricing and delivery</w:t>
            </w:r>
          </w:p>
          <w:p w14:paraId="2EF0667B" w14:textId="77777777" w:rsidR="005A7B2D" w:rsidRPr="006B1DFF" w:rsidRDefault="005A7B2D" w:rsidP="006B1DFF">
            <w:pPr>
              <w:pStyle w:val="InformationRequestBullet"/>
            </w:pPr>
            <w:r w:rsidRPr="006B1DFF">
              <w:t>designing incentives to increase the likelihood of eliciting training</w:t>
            </w:r>
          </w:p>
          <w:p w14:paraId="57984031" w14:textId="77777777" w:rsidR="005A7B2D" w:rsidRPr="006B1DFF" w:rsidRDefault="005A7B2D" w:rsidP="006B1DFF">
            <w:pPr>
              <w:pStyle w:val="InformationRequestBullet"/>
            </w:pPr>
            <w:r w:rsidRPr="006B1DFF">
              <w:t>competitive neutrality between public and private provision</w:t>
            </w:r>
          </w:p>
          <w:p w14:paraId="06E38AE5" w14:textId="77777777" w:rsidR="005A7B2D" w:rsidRPr="005A7B2D" w:rsidRDefault="005A7B2D" w:rsidP="006B1DFF">
            <w:pPr>
              <w:pStyle w:val="InformationRequestBullet"/>
              <w:rPr>
                <w:caps/>
                <w:sz w:val="18"/>
              </w:rPr>
            </w:pPr>
            <w:r w:rsidRPr="006B1DFF">
              <w:t>neutral, but not equivalent, treatment of the VET and higher education sectors.</w:t>
            </w:r>
          </w:p>
        </w:tc>
      </w:tr>
      <w:tr w:rsidR="003A12B1" w14:paraId="4FE8E426" w14:textId="77777777" w:rsidTr="00D95A5D">
        <w:trPr>
          <w:tblHeader/>
        </w:trPr>
        <w:tc>
          <w:tcPr>
            <w:tcW w:w="5000" w:type="pct"/>
            <w:tcBorders>
              <w:top w:val="single" w:sz="6" w:space="0" w:color="78A22F"/>
              <w:left w:val="nil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6E550D37" w14:textId="427DD407" w:rsidR="003A12B1" w:rsidRPr="00D95A5D" w:rsidRDefault="00D95A5D">
            <w:pPr>
              <w:pStyle w:val="InformationRequestTitle"/>
              <w:spacing w:before="120"/>
            </w:pPr>
            <w:r w:rsidRPr="00D95A5D">
              <w:t xml:space="preserve"> </w:t>
            </w:r>
            <w:r w:rsidR="003A12B1" w:rsidRPr="00D95A5D">
              <w:t>Information request — Designing a New Intergovernmental agreement</w:t>
            </w:r>
          </w:p>
        </w:tc>
      </w:tr>
      <w:tr w:rsidR="003A12B1" w14:paraId="6E10A59F" w14:textId="77777777" w:rsidTr="00D95A5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348578AC" w14:textId="52C01A03" w:rsidR="003A12B1" w:rsidRPr="00D95A5D" w:rsidRDefault="003A12B1">
            <w:pPr>
              <w:pStyle w:val="InformationRequest"/>
            </w:pPr>
            <w:r w:rsidRPr="00D95A5D">
              <w:t xml:space="preserve">If a </w:t>
            </w:r>
            <w:r w:rsidR="00E26AEB" w:rsidRPr="00D95A5D">
              <w:t>new principle</w:t>
            </w:r>
            <w:r w:rsidR="00E26AEB">
              <w:t>s</w:t>
            </w:r>
            <w:r w:rsidRPr="00D95A5D">
              <w:noBreakHyphen/>
              <w:t>based agreement was negotiated in line with interim recommendation 2.2:</w:t>
            </w:r>
          </w:p>
          <w:p w14:paraId="7F73236A" w14:textId="77777777" w:rsidR="003A12B1" w:rsidRPr="00D95A5D" w:rsidRDefault="003A12B1" w:rsidP="003A12B1">
            <w:pPr>
              <w:pStyle w:val="InformationRequestBullet"/>
            </w:pPr>
            <w:r w:rsidRPr="00D95A5D">
              <w:t>how should it consider other educational sectors, informal training and non</w:t>
            </w:r>
            <w:r w:rsidRPr="00D95A5D">
              <w:noBreakHyphen/>
              <w:t>government funded training?</w:t>
            </w:r>
          </w:p>
          <w:p w14:paraId="7F229DE7" w14:textId="77777777" w:rsidR="003A12B1" w:rsidRPr="00D95A5D" w:rsidRDefault="003A12B1" w:rsidP="003A12B1">
            <w:pPr>
              <w:pStyle w:val="InformationRequestBullet"/>
            </w:pPr>
            <w:r w:rsidRPr="00D95A5D">
              <w:t xml:space="preserve">what other mechanisms to facilitate reform and improve accountability would best complement an agreement? </w:t>
            </w:r>
          </w:p>
        </w:tc>
      </w:tr>
      <w:tr w:rsidR="00030689" w:rsidRPr="0024621E" w14:paraId="30663D30" w14:textId="77777777" w:rsidTr="0003068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145C34E7" w14:textId="279F7D37" w:rsidR="00030689" w:rsidRPr="0024621E" w:rsidRDefault="00030689" w:rsidP="00030689">
            <w:pPr>
              <w:pStyle w:val="InformationRequestTitle"/>
              <w:spacing w:before="120"/>
            </w:pPr>
          </w:p>
        </w:tc>
      </w:tr>
      <w:tr w:rsidR="00030689" w14:paraId="3722C3A9" w14:textId="77777777" w:rsidTr="0003068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3948F25D" w14:textId="78A1ABAC" w:rsidR="00030689" w:rsidRDefault="00030689" w:rsidP="00FC07EE">
            <w:pPr>
              <w:pStyle w:val="InformationRequestBullet"/>
              <w:numPr>
                <w:ilvl w:val="0"/>
                <w:numId w:val="0"/>
              </w:numPr>
            </w:pPr>
          </w:p>
          <w:tbl>
            <w:tblPr>
              <w:tblW w:w="5000" w:type="pct"/>
              <w:tblBorders>
                <w:top w:val="single" w:sz="6" w:space="0" w:color="78A22F"/>
                <w:left w:val="single" w:sz="6" w:space="0" w:color="78A22F"/>
                <w:bottom w:val="single" w:sz="6" w:space="0" w:color="78A22F"/>
                <w:right w:val="single" w:sz="6" w:space="0" w:color="78A22F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</w:tblPr>
            <w:tblGrid>
              <w:gridCol w:w="8742"/>
            </w:tblGrid>
            <w:tr w:rsidR="00FC07EE" w14:paraId="2FB46DD4" w14:textId="77777777" w:rsidTr="00153899">
              <w:trPr>
                <w:tblHeader/>
              </w:trPr>
              <w:tc>
                <w:tcPr>
                  <w:tcW w:w="5000" w:type="pct"/>
                  <w:tcBorders>
                    <w:top w:val="single" w:sz="6" w:space="0" w:color="78A22F"/>
                    <w:left w:val="nil"/>
                    <w:bottom w:val="nil"/>
                    <w:right w:val="nil"/>
                  </w:tcBorders>
                </w:tcPr>
                <w:p w14:paraId="6C9B337C" w14:textId="77777777" w:rsidR="00FC07EE" w:rsidRDefault="00FC07EE" w:rsidP="00153899">
                  <w:pPr>
                    <w:pStyle w:val="InformationRequestTitle"/>
                    <w:spacing w:before="120"/>
                  </w:pPr>
                  <w:r w:rsidRPr="0024621E">
                    <w:t xml:space="preserve">Information request — identifying and acting on skills shortages </w:t>
                  </w:r>
                </w:p>
                <w:p w14:paraId="184F27BE" w14:textId="044A3724" w:rsidR="00FC07EE" w:rsidRPr="00FC07EE" w:rsidRDefault="00FC07EE" w:rsidP="00FC07EE">
                  <w:pPr>
                    <w:pStyle w:val="InformationRequestBullet"/>
                  </w:pPr>
                  <w:r w:rsidRPr="0024621E">
                    <w:t>To what extent are skills forecasts based on future industry growth a useful and reliable basis for providing course subsidies?</w:t>
                  </w:r>
                </w:p>
              </w:tc>
            </w:tr>
            <w:tr w:rsidR="00153899" w14:paraId="7CB091B5" w14:textId="77777777" w:rsidTr="00153899">
              <w:trPr>
                <w:tblHeader/>
              </w:trPr>
              <w:tc>
                <w:tcPr>
                  <w:tcW w:w="5000" w:type="pct"/>
                  <w:tcBorders>
                    <w:top w:val="single" w:sz="6" w:space="0" w:color="78A22F"/>
                    <w:left w:val="nil"/>
                    <w:bottom w:val="nil"/>
                    <w:right w:val="nil"/>
                  </w:tcBorders>
                  <w:hideMark/>
                </w:tcPr>
                <w:p w14:paraId="42EF983F" w14:textId="77777777" w:rsidR="00153899" w:rsidRDefault="00153899" w:rsidP="00153899">
                  <w:pPr>
                    <w:pStyle w:val="InformationRequestTitle"/>
                    <w:spacing w:before="120"/>
                  </w:pPr>
                  <w:r>
                    <w:t xml:space="preserve">Information request — evidence about mentoring and pastoral supports </w:t>
                  </w:r>
                </w:p>
              </w:tc>
            </w:tr>
            <w:tr w:rsidR="00153899" w14:paraId="36B38187" w14:textId="77777777" w:rsidTr="00153899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D2D161" w14:textId="77777777" w:rsidR="00153899" w:rsidRDefault="00153899" w:rsidP="00153899">
                  <w:pPr>
                    <w:pStyle w:val="InformationRequestBullet"/>
                  </w:pPr>
                  <w:r>
                    <w:t>How should pastoral and mentoring services be funded, delivered and designed, taking into account the continuity of funding, scale, and effectiveness in improving outcomes for students?</w:t>
                  </w:r>
                </w:p>
                <w:p w14:paraId="5EB73D32" w14:textId="77777777" w:rsidR="00153899" w:rsidRDefault="00153899" w:rsidP="00153899">
                  <w:pPr>
                    <w:pStyle w:val="InformationRequestBullet"/>
                  </w:pPr>
                  <w:r>
                    <w:t>What should be their priority target groups?</w:t>
                  </w:r>
                </w:p>
              </w:tc>
            </w:tr>
            <w:tr w:rsidR="00555218" w14:paraId="0A1DDB0F" w14:textId="77777777" w:rsidTr="00153899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79C23F" w14:textId="57A3E8AA" w:rsidR="00555218" w:rsidRPr="00CC542B" w:rsidRDefault="00CC542B" w:rsidP="00CC542B">
                  <w:pPr>
                    <w:pStyle w:val="InformationRequest"/>
                    <w:rPr>
                      <w:rFonts w:ascii="Times New Roman" w:hAnsi="Times New Roman"/>
                    </w:rPr>
                  </w:pPr>
                  <w:r>
                    <w:t>“In Australia, employers are more than twice as likely to make use of unaccredited training (falling within the definition of non</w:t>
                  </w:r>
                  <w:r>
                    <w:noBreakHyphen/>
                    <w:t xml:space="preserve">formal training) as they are to use nationally recognised training </w:t>
                  </w:r>
                  <w:r w:rsidRPr="00CC542B">
                    <w:t>(NCVER 2019c, table 5)</w:t>
                  </w:r>
                  <w:r>
                    <w:t xml:space="preserve"> and employers using unaccredited training are more satisfied with the training than employers using accredited training </w:t>
                  </w:r>
                  <w:r w:rsidRPr="00CC542B">
                    <w:t>(NCVER 2019c, table 7)</w:t>
                  </w:r>
                  <w:r>
                    <w:t>.” Interim Report, page 58</w:t>
                  </w:r>
                </w:p>
              </w:tc>
            </w:tr>
          </w:tbl>
          <w:p w14:paraId="67760ECD" w14:textId="0457D9BE" w:rsidR="00153899" w:rsidRPr="00153899" w:rsidRDefault="00153899" w:rsidP="00153899">
            <w:pPr>
              <w:pStyle w:val="BodyText"/>
              <w:rPr>
                <w:lang w:eastAsia="en-AU"/>
              </w:rPr>
            </w:pPr>
          </w:p>
        </w:tc>
      </w:tr>
    </w:tbl>
    <w:p w14:paraId="5F693EA2" w14:textId="77777777" w:rsidR="007B7AB5" w:rsidRDefault="007B7AB5" w:rsidP="00FB4092">
      <w:pPr>
        <w:rPr>
          <w:szCs w:val="20"/>
        </w:rPr>
      </w:pPr>
    </w:p>
    <w:p w14:paraId="71CE2C4B" w14:textId="6394C46F" w:rsidR="00002670" w:rsidRDefault="00C352FB" w:rsidP="00FB4092">
      <w:pPr>
        <w:rPr>
          <w:szCs w:val="20"/>
        </w:rPr>
      </w:pPr>
      <w:r>
        <w:rPr>
          <w:szCs w:val="20"/>
        </w:rPr>
        <w:t xml:space="preserve">The Interim Report </w:t>
      </w:r>
      <w:r w:rsidR="00002670">
        <w:rPr>
          <w:szCs w:val="20"/>
        </w:rPr>
        <w:t xml:space="preserve">considers funding via two </w:t>
      </w:r>
      <w:r w:rsidR="00806DE8">
        <w:rPr>
          <w:szCs w:val="20"/>
        </w:rPr>
        <w:t xml:space="preserve">primary </w:t>
      </w:r>
      <w:r w:rsidR="00002670">
        <w:rPr>
          <w:szCs w:val="20"/>
        </w:rPr>
        <w:t xml:space="preserve">channels. </w:t>
      </w:r>
    </w:p>
    <w:p w14:paraId="13987FE7" w14:textId="7866EE5C" w:rsidR="0068722B" w:rsidRDefault="00DD53B9" w:rsidP="00371C2C">
      <w:pPr>
        <w:pStyle w:val="ListParagraph"/>
        <w:numPr>
          <w:ilvl w:val="0"/>
          <w:numId w:val="18"/>
        </w:numPr>
        <w:rPr>
          <w:szCs w:val="20"/>
        </w:rPr>
      </w:pPr>
      <w:r>
        <w:rPr>
          <w:szCs w:val="20"/>
        </w:rPr>
        <w:lastRenderedPageBreak/>
        <w:t>Incentives</w:t>
      </w:r>
      <w:r w:rsidR="00371C2C">
        <w:rPr>
          <w:szCs w:val="20"/>
        </w:rPr>
        <w:t xml:space="preserve"> </w:t>
      </w:r>
      <w:r w:rsidR="0024185E">
        <w:rPr>
          <w:szCs w:val="20"/>
        </w:rPr>
        <w:t xml:space="preserve">for </w:t>
      </w:r>
      <w:r w:rsidR="00036A8A" w:rsidRPr="00371C2C">
        <w:rPr>
          <w:szCs w:val="20"/>
        </w:rPr>
        <w:t>student</w:t>
      </w:r>
      <w:r w:rsidR="00371C2C">
        <w:rPr>
          <w:szCs w:val="20"/>
        </w:rPr>
        <w:t>s, for example</w:t>
      </w:r>
      <w:r w:rsidR="006B1DFF">
        <w:rPr>
          <w:szCs w:val="20"/>
        </w:rPr>
        <w:t>,</w:t>
      </w:r>
      <w:r w:rsidR="00371C2C">
        <w:rPr>
          <w:szCs w:val="20"/>
        </w:rPr>
        <w:t xml:space="preserve"> </w:t>
      </w:r>
      <w:r w:rsidR="0068722B">
        <w:rPr>
          <w:szCs w:val="20"/>
        </w:rPr>
        <w:t>student</w:t>
      </w:r>
      <w:r w:rsidR="00036A8A" w:rsidRPr="00371C2C">
        <w:rPr>
          <w:szCs w:val="20"/>
        </w:rPr>
        <w:t xml:space="preserve"> vouchers</w:t>
      </w:r>
      <w:r w:rsidR="0000231D">
        <w:rPr>
          <w:szCs w:val="20"/>
        </w:rPr>
        <w:t xml:space="preserve"> to use at the provider of choice</w:t>
      </w:r>
      <w:r w:rsidR="0068722B">
        <w:rPr>
          <w:szCs w:val="20"/>
        </w:rPr>
        <w:t>, and</w:t>
      </w:r>
    </w:p>
    <w:p w14:paraId="6C87EA48" w14:textId="5AFB6B16" w:rsidR="004A18C9" w:rsidRPr="003C6C52" w:rsidRDefault="00DD53B9" w:rsidP="003C6C52">
      <w:pPr>
        <w:pStyle w:val="ListParagraph"/>
        <w:numPr>
          <w:ilvl w:val="0"/>
          <w:numId w:val="18"/>
        </w:numPr>
        <w:rPr>
          <w:szCs w:val="20"/>
        </w:rPr>
      </w:pPr>
      <w:r>
        <w:rPr>
          <w:szCs w:val="20"/>
        </w:rPr>
        <w:t>Incentives</w:t>
      </w:r>
      <w:r w:rsidR="003C6C52">
        <w:rPr>
          <w:szCs w:val="20"/>
        </w:rPr>
        <w:t xml:space="preserve"> </w:t>
      </w:r>
      <w:r w:rsidR="0024185E">
        <w:rPr>
          <w:szCs w:val="20"/>
        </w:rPr>
        <w:t>for</w:t>
      </w:r>
      <w:r w:rsidR="00036A8A" w:rsidRPr="00371C2C">
        <w:rPr>
          <w:szCs w:val="20"/>
        </w:rPr>
        <w:t xml:space="preserve"> </w:t>
      </w:r>
      <w:r w:rsidR="0000231D" w:rsidRPr="007B58C8">
        <w:rPr>
          <w:rFonts w:cstheme="minorHAnsi"/>
          <w:szCs w:val="20"/>
        </w:rPr>
        <w:t>Registered Training Organisations</w:t>
      </w:r>
      <w:r w:rsidR="000037E0">
        <w:rPr>
          <w:rFonts w:cstheme="minorHAnsi"/>
          <w:szCs w:val="20"/>
        </w:rPr>
        <w:t xml:space="preserve"> (RTOs)</w:t>
      </w:r>
      <w:r w:rsidR="00E05212">
        <w:rPr>
          <w:rFonts w:cstheme="minorHAnsi"/>
          <w:szCs w:val="20"/>
        </w:rPr>
        <w:t>.</w:t>
      </w:r>
    </w:p>
    <w:p w14:paraId="2D73DDD9" w14:textId="03460ACE" w:rsidR="00D71E2E" w:rsidRDefault="002A1D92" w:rsidP="00FB4092">
      <w:pPr>
        <w:rPr>
          <w:rFonts w:cstheme="minorHAnsi"/>
          <w:szCs w:val="20"/>
        </w:rPr>
      </w:pPr>
      <w:r>
        <w:rPr>
          <w:rFonts w:cstheme="minorHAnsi"/>
          <w:szCs w:val="20"/>
        </w:rPr>
        <w:t>Both</w:t>
      </w:r>
      <w:r w:rsidR="00C551EC">
        <w:rPr>
          <w:rFonts w:cstheme="minorHAnsi"/>
          <w:szCs w:val="20"/>
        </w:rPr>
        <w:t xml:space="preserve"> channels are not accessible to the </w:t>
      </w:r>
      <w:r w:rsidR="005A7433" w:rsidRPr="007B58C8">
        <w:rPr>
          <w:rFonts w:cstheme="minorHAnsi"/>
          <w:szCs w:val="20"/>
        </w:rPr>
        <w:t xml:space="preserve">Supply Chain Sustainability School </w:t>
      </w:r>
      <w:r w:rsidR="00C551EC">
        <w:rPr>
          <w:rFonts w:cstheme="minorHAnsi"/>
          <w:szCs w:val="20"/>
        </w:rPr>
        <w:t xml:space="preserve">as </w:t>
      </w:r>
      <w:r w:rsidR="000037E0">
        <w:rPr>
          <w:rFonts w:cstheme="minorHAnsi"/>
          <w:szCs w:val="20"/>
        </w:rPr>
        <w:t xml:space="preserve">we don’t charge fees to students and are not </w:t>
      </w:r>
      <w:r w:rsidR="00CA28DA">
        <w:rPr>
          <w:rFonts w:cstheme="minorHAnsi"/>
          <w:szCs w:val="20"/>
        </w:rPr>
        <w:t>an</w:t>
      </w:r>
      <w:r w:rsidR="000037E0">
        <w:rPr>
          <w:rFonts w:cstheme="minorHAnsi"/>
          <w:szCs w:val="20"/>
        </w:rPr>
        <w:t xml:space="preserve"> RTO.</w:t>
      </w:r>
      <w:r w:rsidR="00C551EC">
        <w:rPr>
          <w:rFonts w:cstheme="minorHAnsi"/>
          <w:szCs w:val="20"/>
        </w:rPr>
        <w:t xml:space="preserve"> </w:t>
      </w:r>
      <w:r w:rsidR="00A66C0A">
        <w:rPr>
          <w:rFonts w:cstheme="minorHAnsi"/>
          <w:szCs w:val="20"/>
        </w:rPr>
        <w:t>Therefore,</w:t>
      </w:r>
      <w:r w:rsidR="000037E0">
        <w:rPr>
          <w:rFonts w:cstheme="minorHAnsi"/>
          <w:szCs w:val="20"/>
        </w:rPr>
        <w:t xml:space="preserve"> we would like to see a third channel </w:t>
      </w:r>
      <w:r w:rsidR="007D408E">
        <w:rPr>
          <w:rFonts w:cstheme="minorHAnsi"/>
          <w:szCs w:val="20"/>
        </w:rPr>
        <w:t>added.</w:t>
      </w:r>
    </w:p>
    <w:p w14:paraId="47AA1A52" w14:textId="0944E818" w:rsidR="005432F2" w:rsidRPr="00400100" w:rsidRDefault="00B91EB7" w:rsidP="007D408E">
      <w:pPr>
        <w:pStyle w:val="ListParagraph"/>
        <w:numPr>
          <w:ilvl w:val="0"/>
          <w:numId w:val="18"/>
        </w:numPr>
        <w:rPr>
          <w:szCs w:val="20"/>
        </w:rPr>
      </w:pPr>
      <w:r w:rsidRPr="00400100">
        <w:rPr>
          <w:szCs w:val="20"/>
        </w:rPr>
        <w:t xml:space="preserve">Incentives </w:t>
      </w:r>
      <w:r w:rsidR="005432F2" w:rsidRPr="00400100">
        <w:rPr>
          <w:szCs w:val="20"/>
        </w:rPr>
        <w:t xml:space="preserve">to </w:t>
      </w:r>
      <w:r w:rsidR="005432F2" w:rsidRPr="00400100">
        <w:t xml:space="preserve">other educational sectors, </w:t>
      </w:r>
      <w:r w:rsidR="00F64BC0">
        <w:t>non-</w:t>
      </w:r>
      <w:r w:rsidR="005432F2" w:rsidRPr="00400100">
        <w:t xml:space="preserve">formal training </w:t>
      </w:r>
      <w:r w:rsidR="001F1025">
        <w:t xml:space="preserve">(workshops and training courses undertaken </w:t>
      </w:r>
      <w:r w:rsidR="006903F5">
        <w:t xml:space="preserve">in the workforce) </w:t>
      </w:r>
      <w:r w:rsidR="005432F2" w:rsidRPr="00400100">
        <w:t>and non</w:t>
      </w:r>
      <w:r w:rsidR="005432F2" w:rsidRPr="00400100">
        <w:noBreakHyphen/>
      </w:r>
      <w:r w:rsidR="00215521" w:rsidRPr="00400100">
        <w:t>VET/</w:t>
      </w:r>
      <w:r w:rsidR="00DD10DC" w:rsidRPr="00400100">
        <w:t xml:space="preserve">RTOs, </w:t>
      </w:r>
      <w:r w:rsidR="005432F2" w:rsidRPr="00400100">
        <w:t>via employers.</w:t>
      </w:r>
    </w:p>
    <w:p w14:paraId="09BFD06E" w14:textId="7A925545" w:rsidR="00DB2F49" w:rsidRPr="003F2EAA" w:rsidRDefault="00806DE8" w:rsidP="00ED13F3">
      <w:pPr>
        <w:rPr>
          <w:szCs w:val="20"/>
        </w:rPr>
      </w:pPr>
      <w:r>
        <w:rPr>
          <w:szCs w:val="20"/>
        </w:rPr>
        <w:t>Option C</w:t>
      </w:r>
      <w:r w:rsidR="00276B11" w:rsidRPr="00400100">
        <w:rPr>
          <w:szCs w:val="20"/>
        </w:rPr>
        <w:t xml:space="preserve"> could be </w:t>
      </w:r>
      <w:r w:rsidR="007E121E" w:rsidRPr="00400100">
        <w:rPr>
          <w:szCs w:val="20"/>
        </w:rPr>
        <w:t xml:space="preserve">used to hire training providers to deliver in-house courses, </w:t>
      </w:r>
      <w:r w:rsidR="003F2EAA" w:rsidRPr="00400100">
        <w:rPr>
          <w:szCs w:val="20"/>
        </w:rPr>
        <w:t>engage</w:t>
      </w:r>
      <w:r w:rsidR="00247C8D" w:rsidRPr="00400100">
        <w:rPr>
          <w:szCs w:val="20"/>
        </w:rPr>
        <w:t xml:space="preserve"> pastoral or mentoring services </w:t>
      </w:r>
      <w:r w:rsidR="008E5519" w:rsidRPr="00400100">
        <w:rPr>
          <w:szCs w:val="20"/>
        </w:rPr>
        <w:t xml:space="preserve">or pay fees to an organisation like Supply Chain Sustainability School that </w:t>
      </w:r>
      <w:r w:rsidR="006A0F77">
        <w:rPr>
          <w:szCs w:val="20"/>
        </w:rPr>
        <w:t>provide</w:t>
      </w:r>
      <w:r w:rsidR="008E5519" w:rsidRPr="00400100">
        <w:rPr>
          <w:szCs w:val="20"/>
        </w:rPr>
        <w:t>s training to their workforce and their supply chain.</w:t>
      </w:r>
      <w:r w:rsidR="00CE0C6C">
        <w:rPr>
          <w:szCs w:val="20"/>
        </w:rPr>
        <w:t xml:space="preserve"> </w:t>
      </w:r>
      <w:r w:rsidR="00400100" w:rsidRPr="003F2EAA">
        <w:rPr>
          <w:szCs w:val="20"/>
        </w:rPr>
        <w:t xml:space="preserve">It would give employers </w:t>
      </w:r>
      <w:r w:rsidR="006A0F77">
        <w:rPr>
          <w:szCs w:val="20"/>
        </w:rPr>
        <w:t xml:space="preserve">the </w:t>
      </w:r>
      <w:r w:rsidR="00400100" w:rsidRPr="003F2EAA">
        <w:rPr>
          <w:szCs w:val="20"/>
        </w:rPr>
        <w:t>flexibility</w:t>
      </w:r>
      <w:r w:rsidR="002D2611" w:rsidRPr="003F2EAA">
        <w:rPr>
          <w:szCs w:val="20"/>
        </w:rPr>
        <w:t xml:space="preserve"> to direct funding to where they see the </w:t>
      </w:r>
      <w:r w:rsidR="003F2EAA" w:rsidRPr="003F2EAA">
        <w:rPr>
          <w:szCs w:val="20"/>
        </w:rPr>
        <w:t xml:space="preserve">most suitable organisation to deliver </w:t>
      </w:r>
      <w:r w:rsidR="008D23BA" w:rsidRPr="003F2EAA">
        <w:rPr>
          <w:szCs w:val="20"/>
        </w:rPr>
        <w:t>training on the topics they feel are needed.</w:t>
      </w:r>
      <w:r w:rsidR="009F471D" w:rsidRPr="003F2EAA">
        <w:rPr>
          <w:szCs w:val="20"/>
        </w:rPr>
        <w:t xml:space="preserve"> </w:t>
      </w:r>
      <w:r w:rsidR="00E10445">
        <w:rPr>
          <w:szCs w:val="20"/>
        </w:rPr>
        <w:t xml:space="preserve">These incentives would not attempt to subsidise </w:t>
      </w:r>
      <w:r w:rsidR="008D72C6">
        <w:rPr>
          <w:szCs w:val="20"/>
        </w:rPr>
        <w:t xml:space="preserve">employer costs or encourage enrolments and completions like the </w:t>
      </w:r>
      <w:r w:rsidR="003906DD">
        <w:t>Australian Apprenticeships Incentives Program (AAIP)</w:t>
      </w:r>
      <w:r w:rsidR="00586CDD">
        <w:t>,</w:t>
      </w:r>
      <w:r w:rsidR="00B228B0">
        <w:t xml:space="preserve"> </w:t>
      </w:r>
      <w:r w:rsidR="00DC003D">
        <w:t xml:space="preserve">nor would it be </w:t>
      </w:r>
      <w:r w:rsidR="00ED13F3">
        <w:t xml:space="preserve">a </w:t>
      </w:r>
      <w:r w:rsidR="00ED13F3" w:rsidRPr="00ED13F3">
        <w:t>form of direct financial payment</w:t>
      </w:r>
      <w:r w:rsidR="00ED13F3">
        <w:t>. It would</w:t>
      </w:r>
      <w:r w:rsidR="00B228B0">
        <w:t xml:space="preserve"> allow </w:t>
      </w:r>
      <w:r w:rsidR="008647E1">
        <w:t>leading employers to direct funds to address immediate training needs in their industry</w:t>
      </w:r>
      <w:r w:rsidR="00ED13F3">
        <w:t xml:space="preserve"> </w:t>
      </w:r>
      <w:r w:rsidR="00BD72B3">
        <w:t xml:space="preserve">where they would </w:t>
      </w:r>
      <w:r w:rsidR="00DF1DCA">
        <w:t>indirectly benefit from the increased productivity of their workforce and supply chain</w:t>
      </w:r>
      <w:r w:rsidR="008647E1">
        <w:t xml:space="preserve">. </w:t>
      </w:r>
    </w:p>
    <w:p w14:paraId="43C07C1C" w14:textId="27A1BF0F" w:rsidR="00A929E8" w:rsidRPr="007B58C8" w:rsidRDefault="00D6700E" w:rsidP="00A929E8">
      <w:pPr>
        <w:rPr>
          <w:rFonts w:cstheme="minorHAnsi"/>
          <w:szCs w:val="20"/>
        </w:rPr>
      </w:pPr>
      <w:r>
        <w:rPr>
          <w:rFonts w:cstheme="minorHAnsi"/>
          <w:szCs w:val="20"/>
        </w:rPr>
        <w:t>A</w:t>
      </w:r>
      <w:r w:rsidR="00224239">
        <w:rPr>
          <w:rFonts w:cstheme="minorHAnsi"/>
          <w:szCs w:val="20"/>
        </w:rPr>
        <w:t xml:space="preserve"> single national </w:t>
      </w:r>
      <w:r w:rsidR="008722F6">
        <w:rPr>
          <w:rFonts w:cstheme="minorHAnsi"/>
          <w:szCs w:val="20"/>
        </w:rPr>
        <w:t>regulatory body</w:t>
      </w:r>
      <w:r w:rsidR="000F7846" w:rsidRPr="000F7846">
        <w:rPr>
          <w:rFonts w:cstheme="minorHAnsi"/>
          <w:szCs w:val="20"/>
        </w:rPr>
        <w:t xml:space="preserve"> </w:t>
      </w:r>
      <w:r w:rsidR="000F7846">
        <w:rPr>
          <w:rFonts w:cstheme="minorHAnsi"/>
          <w:szCs w:val="20"/>
        </w:rPr>
        <w:t>for RTOs</w:t>
      </w:r>
      <w:r w:rsidR="009B4D44">
        <w:rPr>
          <w:rFonts w:cstheme="minorHAnsi"/>
          <w:szCs w:val="20"/>
        </w:rPr>
        <w:t xml:space="preserve">, like </w:t>
      </w:r>
      <w:r w:rsidR="00E26AEB" w:rsidRPr="00C40C05">
        <w:rPr>
          <w:rFonts w:cstheme="minorHAnsi"/>
          <w:szCs w:val="20"/>
        </w:rPr>
        <w:t>ASQA</w:t>
      </w:r>
      <w:r w:rsidR="00E26AEB">
        <w:rPr>
          <w:rFonts w:cstheme="minorHAnsi"/>
          <w:szCs w:val="20"/>
        </w:rPr>
        <w:t>, would</w:t>
      </w:r>
      <w:r w:rsidR="008722F6">
        <w:rPr>
          <w:rFonts w:cstheme="minorHAnsi"/>
          <w:szCs w:val="20"/>
        </w:rPr>
        <w:t xml:space="preserve"> benefit a nation</w:t>
      </w:r>
      <w:r w:rsidR="00586CDD">
        <w:rPr>
          <w:rFonts w:cstheme="minorHAnsi"/>
          <w:szCs w:val="20"/>
        </w:rPr>
        <w:t>wide</w:t>
      </w:r>
      <w:r w:rsidR="008722F6">
        <w:rPr>
          <w:rFonts w:cstheme="minorHAnsi"/>
          <w:szCs w:val="20"/>
        </w:rPr>
        <w:t xml:space="preserve"> online provider, like the </w:t>
      </w:r>
      <w:r w:rsidR="008722F6" w:rsidRPr="00400100">
        <w:rPr>
          <w:szCs w:val="20"/>
        </w:rPr>
        <w:t>Supply Chain Sustainability School</w:t>
      </w:r>
      <w:r>
        <w:rPr>
          <w:szCs w:val="20"/>
        </w:rPr>
        <w:t xml:space="preserve">. However, unless the barriers to micro </w:t>
      </w:r>
      <w:r w:rsidR="00052D9B">
        <w:rPr>
          <w:szCs w:val="20"/>
        </w:rPr>
        <w:t xml:space="preserve">(less than </w:t>
      </w:r>
      <w:r w:rsidR="003D58C6">
        <w:rPr>
          <w:szCs w:val="20"/>
        </w:rPr>
        <w:t>one</w:t>
      </w:r>
      <w:r w:rsidR="00E9572A">
        <w:rPr>
          <w:szCs w:val="20"/>
        </w:rPr>
        <w:t xml:space="preserve"> day) </w:t>
      </w:r>
      <w:r>
        <w:rPr>
          <w:szCs w:val="20"/>
        </w:rPr>
        <w:t xml:space="preserve">and </w:t>
      </w:r>
      <w:proofErr w:type="spellStart"/>
      <w:r>
        <w:rPr>
          <w:szCs w:val="20"/>
        </w:rPr>
        <w:t>nano</w:t>
      </w:r>
      <w:proofErr w:type="spellEnd"/>
      <w:r>
        <w:rPr>
          <w:szCs w:val="20"/>
        </w:rPr>
        <w:t xml:space="preserve"> </w:t>
      </w:r>
      <w:r w:rsidR="00E9572A">
        <w:rPr>
          <w:szCs w:val="20"/>
        </w:rPr>
        <w:t>(less than 10 minute</w:t>
      </w:r>
      <w:r w:rsidR="003D58C6">
        <w:rPr>
          <w:szCs w:val="20"/>
        </w:rPr>
        <w:t>s</w:t>
      </w:r>
      <w:r w:rsidR="00E9572A">
        <w:rPr>
          <w:szCs w:val="20"/>
        </w:rPr>
        <w:t xml:space="preserve">) </w:t>
      </w:r>
      <w:r>
        <w:rPr>
          <w:szCs w:val="20"/>
        </w:rPr>
        <w:t>course providers are address</w:t>
      </w:r>
      <w:r w:rsidR="000F56CF">
        <w:rPr>
          <w:szCs w:val="20"/>
        </w:rPr>
        <w:t>ed</w:t>
      </w:r>
      <w:r w:rsidR="008F7E2D">
        <w:rPr>
          <w:szCs w:val="20"/>
        </w:rPr>
        <w:t>,</w:t>
      </w:r>
      <w:r>
        <w:rPr>
          <w:szCs w:val="20"/>
        </w:rPr>
        <w:t xml:space="preserve"> it </w:t>
      </w:r>
      <w:r w:rsidR="008F7E2D">
        <w:rPr>
          <w:szCs w:val="20"/>
        </w:rPr>
        <w:t xml:space="preserve">cannot </w:t>
      </w:r>
      <w:r w:rsidR="00084EA2">
        <w:rPr>
          <w:szCs w:val="20"/>
        </w:rPr>
        <w:t xml:space="preserve">effectively </w:t>
      </w:r>
      <w:r w:rsidR="00203DEF">
        <w:rPr>
          <w:szCs w:val="20"/>
        </w:rPr>
        <w:t xml:space="preserve">regulate </w:t>
      </w:r>
      <w:r w:rsidR="003D58C6">
        <w:rPr>
          <w:szCs w:val="20"/>
        </w:rPr>
        <w:t xml:space="preserve">the </w:t>
      </w:r>
      <w:r w:rsidR="00203DEF">
        <w:rPr>
          <w:szCs w:val="20"/>
        </w:rPr>
        <w:t>quality of training providers</w:t>
      </w:r>
      <w:r w:rsidR="00E9572A">
        <w:rPr>
          <w:szCs w:val="20"/>
        </w:rPr>
        <w:t xml:space="preserve"> beyond </w:t>
      </w:r>
      <w:r w:rsidR="00AD0F9F">
        <w:t>formal vocational education and training</w:t>
      </w:r>
      <w:r w:rsidR="00AD0F9F">
        <w:rPr>
          <w:szCs w:val="20"/>
        </w:rPr>
        <w:t xml:space="preserve"> providers of </w:t>
      </w:r>
      <w:r w:rsidR="00380413">
        <w:rPr>
          <w:szCs w:val="20"/>
        </w:rPr>
        <w:t xml:space="preserve">short (less than </w:t>
      </w:r>
      <w:r w:rsidR="003D58C6">
        <w:rPr>
          <w:szCs w:val="20"/>
        </w:rPr>
        <w:t>one</w:t>
      </w:r>
      <w:r w:rsidR="00380413">
        <w:rPr>
          <w:szCs w:val="20"/>
        </w:rPr>
        <w:t xml:space="preserve"> week) and long (months and years) courses</w:t>
      </w:r>
      <w:r w:rsidR="00187235">
        <w:rPr>
          <w:szCs w:val="20"/>
        </w:rPr>
        <w:t xml:space="preserve">. </w:t>
      </w:r>
      <w:r w:rsidR="00A929E8" w:rsidRPr="007B58C8">
        <w:rPr>
          <w:rFonts w:cstheme="minorHAnsi"/>
          <w:szCs w:val="20"/>
        </w:rPr>
        <w:t xml:space="preserve">The </w:t>
      </w:r>
      <w:bookmarkStart w:id="2" w:name="_Hlk45630430"/>
      <w:r w:rsidR="00A929E8" w:rsidRPr="007B58C8">
        <w:rPr>
          <w:rFonts w:cstheme="minorHAnsi"/>
          <w:szCs w:val="20"/>
        </w:rPr>
        <w:t xml:space="preserve">Supply Chain Sustainability School </w:t>
      </w:r>
      <w:bookmarkEnd w:id="2"/>
      <w:r w:rsidR="00A929E8" w:rsidRPr="007B58C8">
        <w:rPr>
          <w:rFonts w:cstheme="minorHAnsi"/>
          <w:szCs w:val="20"/>
        </w:rPr>
        <w:t>has chosen not to become a</w:t>
      </w:r>
      <w:r w:rsidR="00A929E8">
        <w:rPr>
          <w:rFonts w:cstheme="minorHAnsi"/>
          <w:szCs w:val="20"/>
        </w:rPr>
        <w:t>n</w:t>
      </w:r>
      <w:r w:rsidR="00A929E8" w:rsidRPr="007B58C8">
        <w:rPr>
          <w:rFonts w:cstheme="minorHAnsi"/>
          <w:szCs w:val="20"/>
        </w:rPr>
        <w:t xml:space="preserve"> RTO for several reasons that include: </w:t>
      </w:r>
    </w:p>
    <w:p w14:paraId="4A661BAF" w14:textId="37785C25" w:rsidR="00A929E8" w:rsidRPr="00CA28DA" w:rsidRDefault="00A929E8" w:rsidP="00A929E8">
      <w:pPr>
        <w:pStyle w:val="ListParagraph"/>
        <w:numPr>
          <w:ilvl w:val="0"/>
          <w:numId w:val="19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It is a</w:t>
      </w:r>
      <w:r w:rsidRPr="00CA28DA">
        <w:rPr>
          <w:rFonts w:cstheme="minorHAnsi"/>
          <w:szCs w:val="20"/>
        </w:rPr>
        <w:t>dministratively intensive</w:t>
      </w:r>
      <w:r>
        <w:rPr>
          <w:rFonts w:cstheme="minorHAnsi"/>
          <w:szCs w:val="20"/>
        </w:rPr>
        <w:t xml:space="preserve"> diverting time and money away from achiev</w:t>
      </w:r>
      <w:r w:rsidR="00591644">
        <w:rPr>
          <w:rFonts w:cstheme="minorHAnsi"/>
          <w:szCs w:val="20"/>
        </w:rPr>
        <w:t>ing</w:t>
      </w:r>
      <w:r>
        <w:rPr>
          <w:rFonts w:cstheme="minorHAnsi"/>
          <w:szCs w:val="20"/>
        </w:rPr>
        <w:t xml:space="preserve"> learning objectives</w:t>
      </w:r>
      <w:r w:rsidR="00E42E43">
        <w:rPr>
          <w:rFonts w:cstheme="minorHAnsi"/>
          <w:szCs w:val="20"/>
        </w:rPr>
        <w:t xml:space="preserve"> (common industry </w:t>
      </w:r>
      <w:r w:rsidR="00806DE8">
        <w:rPr>
          <w:rFonts w:cstheme="minorHAnsi"/>
          <w:szCs w:val="20"/>
        </w:rPr>
        <w:t>understanding</w:t>
      </w:r>
      <w:r w:rsidR="00E42E43">
        <w:rPr>
          <w:rFonts w:cstheme="minorHAnsi"/>
          <w:szCs w:val="20"/>
        </w:rPr>
        <w:t xml:space="preserve"> that audit requirements are inconsistent and focus on minor issues that do no </w:t>
      </w:r>
      <w:r w:rsidR="002E6F12">
        <w:rPr>
          <w:rFonts w:cstheme="minorHAnsi"/>
          <w:szCs w:val="20"/>
        </w:rPr>
        <w:t xml:space="preserve">improve </w:t>
      </w:r>
      <w:r w:rsidR="00E42E43">
        <w:rPr>
          <w:rFonts w:cstheme="minorHAnsi"/>
          <w:szCs w:val="20"/>
        </w:rPr>
        <w:t>training quality)</w:t>
      </w:r>
      <w:r>
        <w:rPr>
          <w:rFonts w:cstheme="minorHAnsi"/>
          <w:szCs w:val="20"/>
        </w:rPr>
        <w:t>.</w:t>
      </w:r>
    </w:p>
    <w:p w14:paraId="066D4530" w14:textId="4148F5CE" w:rsidR="00764C3B" w:rsidRDefault="00764C3B" w:rsidP="00764C3B">
      <w:pPr>
        <w:pStyle w:val="ListParagraph"/>
        <w:numPr>
          <w:ilvl w:val="0"/>
          <w:numId w:val="19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The requirement for trainers to complete </w:t>
      </w:r>
      <w:r w:rsidRPr="00611F66">
        <w:rPr>
          <w:rFonts w:cstheme="minorHAnsi"/>
          <w:szCs w:val="20"/>
        </w:rPr>
        <w:t>Certificate IV in Training and Assessment</w:t>
      </w:r>
      <w:r>
        <w:rPr>
          <w:rFonts w:cstheme="minorHAnsi"/>
          <w:szCs w:val="20"/>
        </w:rPr>
        <w:t xml:space="preserve"> is a barrier for experts to share their experience in a micro or </w:t>
      </w:r>
      <w:proofErr w:type="spellStart"/>
      <w:r>
        <w:rPr>
          <w:rFonts w:cstheme="minorHAnsi"/>
          <w:szCs w:val="20"/>
        </w:rPr>
        <w:t>nano</w:t>
      </w:r>
      <w:proofErr w:type="spellEnd"/>
      <w:r>
        <w:rPr>
          <w:rFonts w:cstheme="minorHAnsi"/>
          <w:szCs w:val="20"/>
        </w:rPr>
        <w:t xml:space="preserve"> course and the attainment of </w:t>
      </w:r>
      <w:r w:rsidRPr="00611F66">
        <w:rPr>
          <w:rFonts w:cstheme="minorHAnsi"/>
          <w:szCs w:val="20"/>
        </w:rPr>
        <w:t>Certificate IV in Training and Assessment</w:t>
      </w:r>
      <w:r>
        <w:rPr>
          <w:rFonts w:cstheme="minorHAnsi"/>
          <w:szCs w:val="20"/>
        </w:rPr>
        <w:t xml:space="preserve"> is not </w:t>
      </w:r>
      <w:r w:rsidR="00806DE8">
        <w:rPr>
          <w:rFonts w:cstheme="minorHAnsi"/>
          <w:szCs w:val="20"/>
        </w:rPr>
        <w:t xml:space="preserve">always </w:t>
      </w:r>
      <w:r>
        <w:rPr>
          <w:rFonts w:cstheme="minorHAnsi"/>
          <w:szCs w:val="20"/>
        </w:rPr>
        <w:t xml:space="preserve">seen to guarantee a good quality trainer.  </w:t>
      </w:r>
    </w:p>
    <w:p w14:paraId="4A40D66D" w14:textId="0DBEFF45" w:rsidR="00A929E8" w:rsidRPr="00AA338B" w:rsidRDefault="00A929E8" w:rsidP="00A929E8">
      <w:pPr>
        <w:pStyle w:val="ListParagraph"/>
        <w:numPr>
          <w:ilvl w:val="0"/>
          <w:numId w:val="19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It decreases </w:t>
      </w:r>
      <w:r w:rsidR="00591644">
        <w:rPr>
          <w:rFonts w:cstheme="minorHAnsi"/>
          <w:szCs w:val="20"/>
        </w:rPr>
        <w:t xml:space="preserve">the </w:t>
      </w:r>
      <w:r>
        <w:rPr>
          <w:rFonts w:cstheme="minorHAnsi"/>
          <w:szCs w:val="20"/>
        </w:rPr>
        <w:t xml:space="preserve">efficiency and flexibility of </w:t>
      </w:r>
      <w:r w:rsidRPr="00CA28DA">
        <w:rPr>
          <w:rFonts w:cstheme="minorHAnsi"/>
          <w:szCs w:val="20"/>
        </w:rPr>
        <w:t xml:space="preserve">micro </w:t>
      </w:r>
      <w:r w:rsidR="009A2B46">
        <w:rPr>
          <w:rFonts w:cstheme="minorHAnsi"/>
          <w:szCs w:val="20"/>
        </w:rPr>
        <w:t xml:space="preserve">and </w:t>
      </w:r>
      <w:proofErr w:type="spellStart"/>
      <w:r w:rsidR="009A2B46">
        <w:rPr>
          <w:rFonts w:cstheme="minorHAnsi"/>
          <w:szCs w:val="20"/>
        </w:rPr>
        <w:t>nano</w:t>
      </w:r>
      <w:proofErr w:type="spellEnd"/>
      <w:r w:rsidR="009A2B46">
        <w:rPr>
          <w:rFonts w:cstheme="minorHAnsi"/>
          <w:szCs w:val="20"/>
        </w:rPr>
        <w:t xml:space="preserve"> </w:t>
      </w:r>
      <w:r w:rsidRPr="00CA28DA">
        <w:rPr>
          <w:rFonts w:cstheme="minorHAnsi"/>
          <w:szCs w:val="20"/>
        </w:rPr>
        <w:t>learning</w:t>
      </w:r>
      <w:r>
        <w:rPr>
          <w:rFonts w:cstheme="minorHAnsi"/>
          <w:szCs w:val="20"/>
        </w:rPr>
        <w:t>.</w:t>
      </w:r>
    </w:p>
    <w:p w14:paraId="44953182" w14:textId="0C497D3B" w:rsidR="004A6983" w:rsidRDefault="00806DE8" w:rsidP="004A6983">
      <w:pPr>
        <w:pStyle w:val="ListParagraph"/>
        <w:numPr>
          <w:ilvl w:val="0"/>
          <w:numId w:val="19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It</w:t>
      </w:r>
      <w:r w:rsidR="00591644">
        <w:rPr>
          <w:rFonts w:cstheme="minorHAnsi"/>
          <w:szCs w:val="20"/>
        </w:rPr>
        <w:t xml:space="preserve"> i</w:t>
      </w:r>
      <w:r w:rsidR="00764C3B">
        <w:rPr>
          <w:rFonts w:cstheme="minorHAnsi"/>
          <w:szCs w:val="20"/>
        </w:rPr>
        <w:t>ncreases t</w:t>
      </w:r>
      <w:r w:rsidR="00A929E8" w:rsidRPr="00CA28DA">
        <w:rPr>
          <w:rFonts w:cstheme="minorHAnsi"/>
          <w:szCs w:val="20"/>
        </w:rPr>
        <w:t>ime delay from need</w:t>
      </w:r>
      <w:r w:rsidR="00C3170A">
        <w:rPr>
          <w:rFonts w:cstheme="minorHAnsi"/>
          <w:szCs w:val="20"/>
        </w:rPr>
        <w:t xml:space="preserve">-recognition </w:t>
      </w:r>
      <w:r w:rsidR="00A929E8" w:rsidRPr="00CA28DA">
        <w:rPr>
          <w:rFonts w:cstheme="minorHAnsi"/>
          <w:szCs w:val="20"/>
        </w:rPr>
        <w:t>to delivery</w:t>
      </w:r>
      <w:r w:rsidR="00764C3B">
        <w:rPr>
          <w:rFonts w:cstheme="minorHAnsi"/>
          <w:szCs w:val="20"/>
        </w:rPr>
        <w:t>.</w:t>
      </w:r>
    </w:p>
    <w:p w14:paraId="5FA9461C" w14:textId="55834B62" w:rsidR="00E93F48" w:rsidRDefault="00E93F48" w:rsidP="004A6983">
      <w:pPr>
        <w:pStyle w:val="ListParagraph"/>
        <w:numPr>
          <w:ilvl w:val="0"/>
          <w:numId w:val="19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Cost of com</w:t>
      </w:r>
      <w:r w:rsidR="009A2B46">
        <w:rPr>
          <w:rFonts w:cstheme="minorHAnsi"/>
          <w:szCs w:val="20"/>
        </w:rPr>
        <w:t>p</w:t>
      </w:r>
      <w:r>
        <w:rPr>
          <w:rFonts w:cstheme="minorHAnsi"/>
          <w:szCs w:val="20"/>
        </w:rPr>
        <w:t>liance</w:t>
      </w:r>
      <w:r w:rsidR="00764C3B">
        <w:rPr>
          <w:rFonts w:cstheme="minorHAnsi"/>
          <w:szCs w:val="20"/>
        </w:rPr>
        <w:t>.</w:t>
      </w:r>
    </w:p>
    <w:p w14:paraId="4CF5C570" w14:textId="58B77E6A" w:rsidR="00C40C05" w:rsidRDefault="00C40C05">
      <w:pPr>
        <w:spacing w:before="0" w:beforeAutospacing="0" w:line="259" w:lineRule="auto"/>
        <w:rPr>
          <w:rFonts w:cstheme="minorHAnsi"/>
          <w:szCs w:val="20"/>
        </w:rPr>
      </w:pPr>
      <w:r>
        <w:rPr>
          <w:rFonts w:cstheme="minorHAnsi"/>
          <w:szCs w:val="20"/>
        </w:rPr>
        <w:br w:type="page"/>
      </w:r>
    </w:p>
    <w:p w14:paraId="12798067" w14:textId="7A55E944" w:rsidR="000F145A" w:rsidRPr="00C40C05" w:rsidRDefault="00774751" w:rsidP="00C40C05">
      <w:pPr>
        <w:pStyle w:val="Heading1"/>
        <w:rPr>
          <w:rFonts w:cstheme="majorBidi"/>
          <w:szCs w:val="24"/>
        </w:rPr>
      </w:pPr>
      <w:r>
        <w:rPr>
          <w:rStyle w:val="Heading1Char"/>
          <w:b/>
        </w:rPr>
        <w:lastRenderedPageBreak/>
        <w:t>Achievement</w:t>
      </w:r>
      <w:r w:rsidR="00C40C05" w:rsidRPr="008F017A">
        <w:rPr>
          <w:rStyle w:val="Heading1Char"/>
          <w:b/>
        </w:rPr>
        <w:t xml:space="preserve"> based on </w:t>
      </w:r>
      <w:r w:rsidR="007414F9" w:rsidRPr="008F017A">
        <w:rPr>
          <w:rStyle w:val="Heading1Char"/>
          <w:b/>
        </w:rPr>
        <w:t>outcomes</w:t>
      </w:r>
      <w:r w:rsidR="00806DE8">
        <w:rPr>
          <w:rStyle w:val="Heading1Char"/>
          <w:b/>
        </w:rPr>
        <w:t>,</w:t>
      </w:r>
      <w:r w:rsidR="007414F9" w:rsidRPr="008F017A">
        <w:rPr>
          <w:rStyle w:val="Heading1Char"/>
          <w:b/>
        </w:rPr>
        <w:t xml:space="preserve"> </w:t>
      </w:r>
      <w:r w:rsidR="007414F9">
        <w:rPr>
          <w:rStyle w:val="Heading1Char"/>
          <w:b/>
        </w:rPr>
        <w:t xml:space="preserve">not </w:t>
      </w:r>
      <w:r w:rsidR="00C40C05" w:rsidRPr="008F017A">
        <w:rPr>
          <w:rStyle w:val="Heading1Char"/>
          <w:b/>
        </w:rPr>
        <w:t>time</w:t>
      </w:r>
    </w:p>
    <w:tbl>
      <w:tblPr>
        <w:tblW w:w="5000" w:type="pct"/>
        <w:tblBorders>
          <w:top w:val="single" w:sz="6" w:space="0" w:color="78A22F"/>
          <w:left w:val="single" w:sz="6" w:space="0" w:color="78A22F"/>
          <w:bottom w:val="single" w:sz="6" w:space="0" w:color="78A22F"/>
          <w:right w:val="single" w:sz="6" w:space="0" w:color="78A22F"/>
        </w:tblBorders>
        <w:shd w:val="clear" w:color="auto" w:fill="EDEDED" w:themeFill="accent3" w:themeFillTint="33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26"/>
      </w:tblGrid>
      <w:tr w:rsidR="004D2A01" w14:paraId="0517A96D" w14:textId="77777777" w:rsidTr="00276B11">
        <w:trPr>
          <w:tblHeader/>
        </w:trPr>
        <w:tc>
          <w:tcPr>
            <w:tcW w:w="5000" w:type="pct"/>
            <w:tcBorders>
              <w:top w:val="single" w:sz="6" w:space="0" w:color="78A22F"/>
              <w:left w:val="nil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0B743B68" w14:textId="77777777" w:rsidR="004D2A01" w:rsidRDefault="004D2A01">
            <w:pPr>
              <w:pStyle w:val="InformationRequestTitle"/>
              <w:spacing w:before="120"/>
            </w:pPr>
            <w:r>
              <w:t>Information request — pathways and transitions</w:t>
            </w:r>
          </w:p>
        </w:tc>
      </w:tr>
      <w:tr w:rsidR="004D2A01" w14:paraId="423FC16A" w14:textId="77777777" w:rsidTr="00276B1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hideMark/>
          </w:tcPr>
          <w:p w14:paraId="77CB6740" w14:textId="77777777" w:rsidR="004D2A01" w:rsidRDefault="004D2A01">
            <w:pPr>
              <w:pStyle w:val="InformationRequest"/>
              <w:keepNext/>
            </w:pPr>
            <w:r>
              <w:t xml:space="preserve">The Commission seeks evidence on: </w:t>
            </w:r>
          </w:p>
          <w:p w14:paraId="14635850" w14:textId="4F766CF9" w:rsidR="004D2A01" w:rsidRDefault="004D2A01" w:rsidP="004E759D">
            <w:pPr>
              <w:pStyle w:val="InformationRequestBullet"/>
            </w:pPr>
            <w:r>
              <w:t>the extent to which time</w:t>
            </w:r>
            <w:r>
              <w:noBreakHyphen/>
              <w:t>consuming processes for credit and recognition of prior learning are a barrier to students applying for credit</w:t>
            </w:r>
          </w:p>
        </w:tc>
      </w:tr>
    </w:tbl>
    <w:p w14:paraId="4D7AB912" w14:textId="4CE2D5AE" w:rsidR="001E57E2" w:rsidRDefault="00F022A4" w:rsidP="001C0CB8">
      <w:pPr>
        <w:rPr>
          <w:rFonts w:cstheme="minorHAnsi"/>
          <w:szCs w:val="20"/>
        </w:rPr>
      </w:pPr>
      <w:r w:rsidRPr="007B58C8">
        <w:rPr>
          <w:rFonts w:cstheme="minorHAnsi"/>
          <w:szCs w:val="20"/>
        </w:rPr>
        <w:t xml:space="preserve">The Supply Chain Sustainability School </w:t>
      </w:r>
      <w:r>
        <w:rPr>
          <w:rFonts w:cstheme="minorHAnsi"/>
          <w:szCs w:val="20"/>
        </w:rPr>
        <w:t xml:space="preserve">adopts a new approach to learning that it has found to be effective in </w:t>
      </w:r>
      <w:r w:rsidR="001E57E2">
        <w:rPr>
          <w:rFonts w:cstheme="minorHAnsi"/>
          <w:szCs w:val="20"/>
        </w:rPr>
        <w:t>offering on-demand content to students of mixed pre</w:t>
      </w:r>
      <w:r w:rsidR="00C3170A">
        <w:rPr>
          <w:rFonts w:cstheme="minorHAnsi"/>
          <w:szCs w:val="20"/>
        </w:rPr>
        <w:t>-</w:t>
      </w:r>
      <w:r w:rsidR="001E57E2">
        <w:rPr>
          <w:rFonts w:cstheme="minorHAnsi"/>
          <w:szCs w:val="20"/>
        </w:rPr>
        <w:t xml:space="preserve">course </w:t>
      </w:r>
      <w:r w:rsidR="00547AF8">
        <w:rPr>
          <w:rFonts w:cstheme="minorHAnsi"/>
          <w:szCs w:val="20"/>
        </w:rPr>
        <w:t>qualification and inherent knowledge</w:t>
      </w:r>
      <w:r w:rsidR="001E57E2">
        <w:rPr>
          <w:rFonts w:cstheme="minorHAnsi"/>
          <w:szCs w:val="20"/>
        </w:rPr>
        <w:t xml:space="preserve">. </w:t>
      </w:r>
    </w:p>
    <w:p w14:paraId="46FC7F55" w14:textId="320BB886" w:rsidR="00190CAB" w:rsidRDefault="0099651B" w:rsidP="0076068D">
      <w:pPr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We do not follow the traditional approach that can be simplified </w:t>
      </w:r>
      <w:r w:rsidR="00806DE8">
        <w:rPr>
          <w:rFonts w:cstheme="minorHAnsi"/>
          <w:szCs w:val="20"/>
        </w:rPr>
        <w:t>as</w:t>
      </w:r>
      <w:r w:rsidR="003A0885">
        <w:rPr>
          <w:rFonts w:cstheme="minorHAnsi"/>
          <w:szCs w:val="20"/>
        </w:rPr>
        <w:t xml:space="preserve"> s</w:t>
      </w:r>
      <w:r w:rsidR="00B319A2" w:rsidRPr="0099651B">
        <w:rPr>
          <w:rFonts w:cstheme="minorHAnsi"/>
          <w:szCs w:val="20"/>
        </w:rPr>
        <w:t>etting course requirements</w:t>
      </w:r>
      <w:r w:rsidR="003A0885">
        <w:rPr>
          <w:rFonts w:cstheme="minorHAnsi"/>
          <w:szCs w:val="20"/>
        </w:rPr>
        <w:t>, r</w:t>
      </w:r>
      <w:r w:rsidR="001B7E03" w:rsidRPr="0099651B">
        <w:rPr>
          <w:rFonts w:cstheme="minorHAnsi"/>
          <w:szCs w:val="20"/>
        </w:rPr>
        <w:t>equir</w:t>
      </w:r>
      <w:r w:rsidR="005D7AD0">
        <w:rPr>
          <w:rFonts w:cstheme="minorHAnsi"/>
          <w:szCs w:val="20"/>
        </w:rPr>
        <w:t>e</w:t>
      </w:r>
      <w:r w:rsidR="001B7E03" w:rsidRPr="0099651B">
        <w:rPr>
          <w:rFonts w:cstheme="minorHAnsi"/>
          <w:szCs w:val="20"/>
        </w:rPr>
        <w:t xml:space="preserve"> students to apply for recognition of prior learning</w:t>
      </w:r>
      <w:r w:rsidR="003A0885">
        <w:rPr>
          <w:rFonts w:cstheme="minorHAnsi"/>
          <w:szCs w:val="20"/>
        </w:rPr>
        <w:t xml:space="preserve">, </w:t>
      </w:r>
      <w:r w:rsidR="0076068D">
        <w:rPr>
          <w:rFonts w:cstheme="minorHAnsi"/>
          <w:szCs w:val="20"/>
        </w:rPr>
        <w:t xml:space="preserve">students </w:t>
      </w:r>
      <w:r w:rsidR="003A0885">
        <w:rPr>
          <w:rFonts w:cstheme="minorHAnsi"/>
          <w:szCs w:val="20"/>
        </w:rPr>
        <w:t>c</w:t>
      </w:r>
      <w:r w:rsidR="00190CAB">
        <w:rPr>
          <w:rFonts w:cstheme="minorHAnsi"/>
          <w:szCs w:val="20"/>
        </w:rPr>
        <w:t xml:space="preserve">omplete </w:t>
      </w:r>
      <w:r w:rsidR="0076068D">
        <w:rPr>
          <w:rFonts w:cstheme="minorHAnsi"/>
          <w:szCs w:val="20"/>
        </w:rPr>
        <w:t xml:space="preserve">the </w:t>
      </w:r>
      <w:r w:rsidR="00190CAB">
        <w:rPr>
          <w:rFonts w:cstheme="minorHAnsi"/>
          <w:szCs w:val="20"/>
        </w:rPr>
        <w:t>course</w:t>
      </w:r>
      <w:r w:rsidR="0076068D">
        <w:rPr>
          <w:rFonts w:cstheme="minorHAnsi"/>
          <w:szCs w:val="20"/>
        </w:rPr>
        <w:t>, students are a</w:t>
      </w:r>
      <w:r w:rsidR="00190CAB">
        <w:rPr>
          <w:rFonts w:cstheme="minorHAnsi"/>
          <w:szCs w:val="20"/>
        </w:rPr>
        <w:t>ssess</w:t>
      </w:r>
      <w:r w:rsidR="0076068D">
        <w:rPr>
          <w:rFonts w:cstheme="minorHAnsi"/>
          <w:szCs w:val="20"/>
        </w:rPr>
        <w:t>ed</w:t>
      </w:r>
      <w:r w:rsidR="00E20741">
        <w:rPr>
          <w:rFonts w:cstheme="minorHAnsi"/>
          <w:szCs w:val="20"/>
        </w:rPr>
        <w:t>,</w:t>
      </w:r>
      <w:r w:rsidR="0076068D">
        <w:rPr>
          <w:rFonts w:cstheme="minorHAnsi"/>
          <w:szCs w:val="20"/>
        </w:rPr>
        <w:t xml:space="preserve"> and then q</w:t>
      </w:r>
      <w:r w:rsidR="00190CAB">
        <w:rPr>
          <w:rFonts w:cstheme="minorHAnsi"/>
          <w:szCs w:val="20"/>
        </w:rPr>
        <w:t>ualif</w:t>
      </w:r>
      <w:r w:rsidR="0076068D">
        <w:rPr>
          <w:rFonts w:cstheme="minorHAnsi"/>
          <w:szCs w:val="20"/>
        </w:rPr>
        <w:t>ications are awarded.</w:t>
      </w:r>
    </w:p>
    <w:p w14:paraId="091488A6" w14:textId="53BFDE6F" w:rsidR="00445F91" w:rsidRDefault="00190CAB" w:rsidP="00190CAB">
      <w:pPr>
        <w:rPr>
          <w:szCs w:val="20"/>
        </w:rPr>
      </w:pPr>
      <w:r>
        <w:rPr>
          <w:rFonts w:cstheme="minorHAnsi"/>
          <w:szCs w:val="20"/>
        </w:rPr>
        <w:t xml:space="preserve">One of our </w:t>
      </w:r>
      <w:r w:rsidR="00747F62">
        <w:rPr>
          <w:rFonts w:cstheme="minorHAnsi"/>
          <w:szCs w:val="20"/>
        </w:rPr>
        <w:t xml:space="preserve">recommended </w:t>
      </w:r>
      <w:r>
        <w:rPr>
          <w:rFonts w:cstheme="minorHAnsi"/>
          <w:szCs w:val="20"/>
        </w:rPr>
        <w:t xml:space="preserve">learning paths </w:t>
      </w:r>
      <w:r w:rsidR="00A41815">
        <w:rPr>
          <w:rFonts w:cstheme="minorHAnsi"/>
          <w:szCs w:val="20"/>
        </w:rPr>
        <w:t>enables students to</w:t>
      </w:r>
      <w:r w:rsidR="00191DA1">
        <w:rPr>
          <w:rFonts w:cstheme="minorHAnsi"/>
          <w:szCs w:val="20"/>
        </w:rPr>
        <w:t xml:space="preserve"> assess what they know upfront, </w:t>
      </w:r>
      <w:r w:rsidR="00191DA1" w:rsidRPr="00A91661">
        <w:rPr>
          <w:szCs w:val="20"/>
        </w:rPr>
        <w:t xml:space="preserve">learn the </w:t>
      </w:r>
      <w:r w:rsidR="00806DE8">
        <w:rPr>
          <w:szCs w:val="20"/>
        </w:rPr>
        <w:t xml:space="preserve">gap </w:t>
      </w:r>
      <w:r w:rsidR="00191DA1">
        <w:rPr>
          <w:szCs w:val="20"/>
        </w:rPr>
        <w:t>skill</w:t>
      </w:r>
      <w:r w:rsidR="00806DE8">
        <w:rPr>
          <w:szCs w:val="20"/>
        </w:rPr>
        <w:t>s</w:t>
      </w:r>
      <w:r w:rsidR="00191DA1">
        <w:rPr>
          <w:szCs w:val="20"/>
        </w:rPr>
        <w:t>, reassess</w:t>
      </w:r>
      <w:r w:rsidR="00D61AC4">
        <w:rPr>
          <w:szCs w:val="20"/>
        </w:rPr>
        <w:t xml:space="preserve"> and </w:t>
      </w:r>
      <w:r w:rsidR="00AE2CD6">
        <w:rPr>
          <w:szCs w:val="20"/>
        </w:rPr>
        <w:t xml:space="preserve">progress to the next level. </w:t>
      </w:r>
      <w:r w:rsidR="00DB4348">
        <w:rPr>
          <w:szCs w:val="20"/>
        </w:rPr>
        <w:t xml:space="preserve">It has the benefits of </w:t>
      </w:r>
    </w:p>
    <w:p w14:paraId="7E18B347" w14:textId="2FA59B13" w:rsidR="00445F91" w:rsidRPr="00445F91" w:rsidRDefault="00DB4348" w:rsidP="00445F91">
      <w:pPr>
        <w:pStyle w:val="ListParagraph"/>
        <w:numPr>
          <w:ilvl w:val="0"/>
          <w:numId w:val="23"/>
        </w:numPr>
        <w:rPr>
          <w:rFonts w:cstheme="minorHAnsi"/>
          <w:szCs w:val="20"/>
        </w:rPr>
      </w:pPr>
      <w:r w:rsidRPr="00445F91">
        <w:rPr>
          <w:szCs w:val="20"/>
        </w:rPr>
        <w:t xml:space="preserve">not requiring students to </w:t>
      </w:r>
      <w:r w:rsidR="00AE2CD6" w:rsidRPr="00445F91">
        <w:rPr>
          <w:szCs w:val="20"/>
        </w:rPr>
        <w:t xml:space="preserve">spend time ‘learning’ what </w:t>
      </w:r>
      <w:r w:rsidRPr="00445F91">
        <w:rPr>
          <w:szCs w:val="20"/>
        </w:rPr>
        <w:t>they</w:t>
      </w:r>
      <w:r w:rsidR="00AE2CD6" w:rsidRPr="00445F91">
        <w:rPr>
          <w:szCs w:val="20"/>
        </w:rPr>
        <w:t xml:space="preserve"> already </w:t>
      </w:r>
      <w:r w:rsidR="00CC7445">
        <w:rPr>
          <w:szCs w:val="20"/>
        </w:rPr>
        <w:t>‘</w:t>
      </w:r>
      <w:r w:rsidR="00AE2CD6" w:rsidRPr="00445F91">
        <w:rPr>
          <w:szCs w:val="20"/>
        </w:rPr>
        <w:t>know</w:t>
      </w:r>
      <w:r w:rsidR="00CC7445">
        <w:rPr>
          <w:szCs w:val="20"/>
        </w:rPr>
        <w:t>’</w:t>
      </w:r>
      <w:r w:rsidR="00FE4AF1">
        <w:rPr>
          <w:szCs w:val="20"/>
        </w:rPr>
        <w:t xml:space="preserve"> from previous formal and informal </w:t>
      </w:r>
      <w:r w:rsidR="00FE4AF1">
        <w:t xml:space="preserve">(learning on the job and from peers and supervisors) </w:t>
      </w:r>
      <w:r w:rsidR="00FE4AF1">
        <w:rPr>
          <w:szCs w:val="20"/>
        </w:rPr>
        <w:t>training</w:t>
      </w:r>
      <w:r w:rsidR="00445F91">
        <w:rPr>
          <w:szCs w:val="20"/>
        </w:rPr>
        <w:t>, and</w:t>
      </w:r>
    </w:p>
    <w:p w14:paraId="1365683B" w14:textId="4CADF4AC" w:rsidR="00AC5710" w:rsidRPr="00E20741" w:rsidRDefault="00C3067B" w:rsidP="00445F91">
      <w:pPr>
        <w:pStyle w:val="ListParagraph"/>
        <w:numPr>
          <w:ilvl w:val="0"/>
          <w:numId w:val="23"/>
        </w:numPr>
        <w:rPr>
          <w:rFonts w:cstheme="minorHAnsi"/>
          <w:szCs w:val="20"/>
        </w:rPr>
      </w:pPr>
      <w:r>
        <w:rPr>
          <w:szCs w:val="20"/>
        </w:rPr>
        <w:t xml:space="preserve">prevents </w:t>
      </w:r>
      <w:r w:rsidR="005D45EC">
        <w:rPr>
          <w:szCs w:val="20"/>
        </w:rPr>
        <w:t xml:space="preserve">students who may have previously </w:t>
      </w:r>
      <w:r w:rsidR="00CC7445">
        <w:rPr>
          <w:szCs w:val="20"/>
        </w:rPr>
        <w:t xml:space="preserve">‘learned’ but have no current </w:t>
      </w:r>
      <w:r w:rsidR="005E6726">
        <w:rPr>
          <w:szCs w:val="20"/>
        </w:rPr>
        <w:t>‘</w:t>
      </w:r>
      <w:r w:rsidR="00CC7445">
        <w:rPr>
          <w:szCs w:val="20"/>
        </w:rPr>
        <w:t>knowledge</w:t>
      </w:r>
      <w:r w:rsidR="005E6726">
        <w:rPr>
          <w:szCs w:val="20"/>
        </w:rPr>
        <w:t xml:space="preserve">’ from progressing beyond their </w:t>
      </w:r>
      <w:r w:rsidR="00806DE8">
        <w:rPr>
          <w:szCs w:val="20"/>
        </w:rPr>
        <w:t xml:space="preserve">current </w:t>
      </w:r>
      <w:r w:rsidR="005E6726">
        <w:rPr>
          <w:szCs w:val="20"/>
        </w:rPr>
        <w:t>ability</w:t>
      </w:r>
      <w:r w:rsidR="00AE2CD6" w:rsidRPr="00445F91">
        <w:rPr>
          <w:szCs w:val="20"/>
        </w:rPr>
        <w:t>.</w:t>
      </w:r>
    </w:p>
    <w:p w14:paraId="1A303F9B" w14:textId="0FD867CC" w:rsidR="00E20741" w:rsidRDefault="00E20741" w:rsidP="00E20741">
      <w:pPr>
        <w:rPr>
          <w:rFonts w:cstheme="minorHAnsi"/>
          <w:szCs w:val="20"/>
        </w:rPr>
      </w:pPr>
    </w:p>
    <w:p w14:paraId="7C12BFF1" w14:textId="0CDDDFA3" w:rsidR="00E20741" w:rsidRPr="00E20741" w:rsidRDefault="00E20741" w:rsidP="00E20741">
      <w:pPr>
        <w:rPr>
          <w:rFonts w:cstheme="minorHAnsi"/>
          <w:szCs w:val="20"/>
        </w:rPr>
      </w:pPr>
      <w:r>
        <w:rPr>
          <w:rFonts w:cstheme="minorHAnsi"/>
          <w:szCs w:val="20"/>
        </w:rPr>
        <w:t>ENDS</w:t>
      </w:r>
    </w:p>
    <w:sectPr w:rsidR="00E20741" w:rsidRPr="00E20741" w:rsidSect="00AD6DA2">
      <w:headerReference w:type="default" r:id="rId13"/>
      <w:footerReference w:type="default" r:id="rId14"/>
      <w:headerReference w:type="first" r:id="rId15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A7824" w14:textId="77777777" w:rsidR="006157ED" w:rsidRDefault="006157ED" w:rsidP="00FF64A2">
      <w:pPr>
        <w:spacing w:after="0" w:line="240" w:lineRule="auto"/>
      </w:pPr>
      <w:r>
        <w:separator/>
      </w:r>
    </w:p>
  </w:endnote>
  <w:endnote w:type="continuationSeparator" w:id="0">
    <w:p w14:paraId="5B14A5EF" w14:textId="77777777" w:rsidR="006157ED" w:rsidRDefault="006157ED" w:rsidP="00FF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Sitka Small"/>
    <w:charset w:val="00"/>
    <w:family w:val="auto"/>
    <w:pitch w:val="variable"/>
    <w:sig w:usb0="00000003" w:usb1="4000204A" w:usb2="00000000" w:usb3="00000000" w:csb0="00000001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0047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119B29" w14:textId="0D06C254" w:rsidR="00E74C7A" w:rsidRDefault="00312D50">
        <w:pPr>
          <w:pStyle w:val="Footer"/>
          <w:jc w:val="center"/>
        </w:pPr>
        <w:hyperlink r:id="rId1" w:history="1">
          <w:r w:rsidR="009F5029">
            <w:rPr>
              <w:rStyle w:val="Hyperlink"/>
            </w:rPr>
            <w:t>supplychainschool.org.au</w:t>
          </w:r>
        </w:hyperlink>
        <w:r w:rsidR="009F5029">
          <w:rPr>
            <w:noProof/>
          </w:rPr>
          <w:t xml:space="preserve"> | Page </w:t>
        </w:r>
        <w:r w:rsidR="009F5029" w:rsidRPr="009F5029">
          <w:rPr>
            <w:b/>
            <w:bCs/>
            <w:noProof/>
          </w:rPr>
          <w:fldChar w:fldCharType="begin"/>
        </w:r>
        <w:r w:rsidR="009F5029" w:rsidRPr="009F5029">
          <w:rPr>
            <w:b/>
            <w:bCs/>
            <w:noProof/>
          </w:rPr>
          <w:instrText xml:space="preserve"> PAGE  \* Arabic  \* MERGEFORMAT </w:instrText>
        </w:r>
        <w:r w:rsidR="009F5029" w:rsidRPr="009F5029">
          <w:rPr>
            <w:b/>
            <w:bCs/>
            <w:noProof/>
          </w:rPr>
          <w:fldChar w:fldCharType="separate"/>
        </w:r>
        <w:r>
          <w:rPr>
            <w:b/>
            <w:bCs/>
            <w:noProof/>
          </w:rPr>
          <w:t>7</w:t>
        </w:r>
        <w:r w:rsidR="009F5029" w:rsidRPr="009F5029">
          <w:rPr>
            <w:b/>
            <w:bCs/>
            <w:noProof/>
          </w:rPr>
          <w:fldChar w:fldCharType="end"/>
        </w:r>
        <w:r w:rsidR="009F5029">
          <w:rPr>
            <w:noProof/>
          </w:rPr>
          <w:t xml:space="preserve"> of </w:t>
        </w:r>
        <w:r w:rsidR="009F5029" w:rsidRPr="009F5029">
          <w:rPr>
            <w:b/>
            <w:bCs/>
            <w:noProof/>
          </w:rPr>
          <w:fldChar w:fldCharType="begin"/>
        </w:r>
        <w:r w:rsidR="009F5029" w:rsidRPr="009F5029">
          <w:rPr>
            <w:b/>
            <w:bCs/>
            <w:noProof/>
          </w:rPr>
          <w:instrText xml:space="preserve"> NUMPAGES  \* Arabic  \* MERGEFORMAT </w:instrText>
        </w:r>
        <w:r w:rsidR="009F5029" w:rsidRPr="009F5029">
          <w:rPr>
            <w:b/>
            <w:bCs/>
            <w:noProof/>
          </w:rPr>
          <w:fldChar w:fldCharType="separate"/>
        </w:r>
        <w:r>
          <w:rPr>
            <w:b/>
            <w:bCs/>
            <w:noProof/>
          </w:rPr>
          <w:t>7</w:t>
        </w:r>
        <w:r w:rsidR="009F5029" w:rsidRPr="009F5029">
          <w:rPr>
            <w:b/>
            <w:bCs/>
            <w:noProof/>
          </w:rPr>
          <w:fldChar w:fldCharType="end"/>
        </w:r>
      </w:p>
    </w:sdtContent>
  </w:sdt>
  <w:p w14:paraId="7BF64728" w14:textId="77777777" w:rsidR="00E74C7A" w:rsidRDefault="00E74C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B9B8E" w14:textId="77777777" w:rsidR="006157ED" w:rsidRDefault="006157ED" w:rsidP="00FF64A2">
      <w:pPr>
        <w:spacing w:after="0" w:line="240" w:lineRule="auto"/>
      </w:pPr>
      <w:r>
        <w:separator/>
      </w:r>
    </w:p>
  </w:footnote>
  <w:footnote w:type="continuationSeparator" w:id="0">
    <w:p w14:paraId="0F2F1161" w14:textId="77777777" w:rsidR="006157ED" w:rsidRDefault="006157ED" w:rsidP="00FF64A2">
      <w:pPr>
        <w:spacing w:after="0" w:line="240" w:lineRule="auto"/>
      </w:pPr>
      <w:r>
        <w:continuationSeparator/>
      </w:r>
    </w:p>
  </w:footnote>
  <w:footnote w:id="1">
    <w:p w14:paraId="7560D898" w14:textId="160CCEFC" w:rsidR="002360F3" w:rsidRDefault="002360F3" w:rsidP="008C4CC6">
      <w:pPr>
        <w:pStyle w:val="FootnoteText"/>
        <w:spacing w:before="0" w:beforeAutospacing="0"/>
        <w:contextualSpacing/>
      </w:pPr>
      <w:r>
        <w:rPr>
          <w:rStyle w:val="FootnoteReference"/>
        </w:rPr>
        <w:footnoteRef/>
      </w:r>
      <w:r w:rsidR="00EA3979" w:rsidRPr="00EA3979">
        <w:rPr>
          <w:rStyle w:val="FootnoteChar"/>
        </w:rPr>
        <w:t>https://www.delltechnologies.com/content/dam/delltechnologies/assets/perspectives/2030/pdf/SR1940_IFTFforDellTechnologies_Human-Machine_070517_readerhigh-res.pdf</w:t>
      </w:r>
    </w:p>
  </w:footnote>
  <w:footnote w:id="2">
    <w:p w14:paraId="301D67AF" w14:textId="4985D5C1" w:rsidR="00BE59BB" w:rsidRPr="00BE59BB" w:rsidRDefault="00010632" w:rsidP="008C4CC6">
      <w:pPr>
        <w:pStyle w:val="Footnote"/>
      </w:pPr>
      <w:r w:rsidRPr="00BE59BB">
        <w:rPr>
          <w:rStyle w:val="FootnoteReference"/>
        </w:rPr>
        <w:footnoteRef/>
      </w:r>
      <w:r w:rsidRPr="00BE59BB">
        <w:t xml:space="preserve"> </w:t>
      </w:r>
      <w:r w:rsidR="00BE59BB" w:rsidRPr="00BE59BB">
        <w:t>https://mccrindle.com.au/insights/blog/job-mobility-australia/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688DF" w14:textId="148D11CB" w:rsidR="00E74C7A" w:rsidRDefault="003E6528" w:rsidP="00E74C7A">
    <w:pPr>
      <w:pStyle w:val="Header"/>
      <w:jc w:val="center"/>
    </w:pPr>
    <w:r>
      <w:rPr>
        <w:noProof/>
        <w:lang w:eastAsia="en-AU"/>
      </w:rPr>
      <w:drawing>
        <wp:inline distT="0" distB="0" distL="0" distR="0" wp14:anchorId="02F062B4" wp14:editId="31AD6AAA">
          <wp:extent cx="1280032" cy="720000"/>
          <wp:effectExtent l="0" t="0" r="0" b="4445"/>
          <wp:docPr id="61" name="Picture 6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scss-logo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03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043B2" w14:textId="42127A27" w:rsidR="00710ED3" w:rsidRDefault="00710ED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058FD94C" wp14:editId="7B3A9565">
          <wp:simplePos x="0" y="0"/>
          <wp:positionH relativeFrom="column">
            <wp:posOffset>-1578998</wp:posOffset>
          </wp:positionH>
          <wp:positionV relativeFrom="paragraph">
            <wp:posOffset>4314388</wp:posOffset>
          </wp:positionV>
          <wp:extent cx="6555180" cy="6555180"/>
          <wp:effectExtent l="0" t="0" r="0" b="0"/>
          <wp:wrapNone/>
          <wp:docPr id="62" name="Picture 6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scss-logo-RGB-squa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5180" cy="6555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40F5E"/>
    <w:multiLevelType w:val="hybridMultilevel"/>
    <w:tmpl w:val="0242F146"/>
    <w:lvl w:ilvl="0" w:tplc="FD601154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14B87"/>
    <w:multiLevelType w:val="singleLevel"/>
    <w:tmpl w:val="AB185BC4"/>
    <w:lvl w:ilvl="0">
      <w:numFmt w:val="bullet"/>
      <w:pStyle w:val="BoxListBullet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2DC1CD7"/>
    <w:multiLevelType w:val="hybridMultilevel"/>
    <w:tmpl w:val="2ACC2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A7AB3"/>
    <w:multiLevelType w:val="hybridMultilevel"/>
    <w:tmpl w:val="DFBE06EE"/>
    <w:lvl w:ilvl="0" w:tplc="F48ADB0E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45010"/>
    <w:multiLevelType w:val="hybridMultilevel"/>
    <w:tmpl w:val="809691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35712"/>
    <w:multiLevelType w:val="hybridMultilevel"/>
    <w:tmpl w:val="4426C2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93211"/>
    <w:multiLevelType w:val="multilevel"/>
    <w:tmpl w:val="F1EC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F70C9D"/>
    <w:multiLevelType w:val="hybridMultilevel"/>
    <w:tmpl w:val="33688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11661"/>
    <w:multiLevelType w:val="hybridMultilevel"/>
    <w:tmpl w:val="9B6CFD06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4B2D36EC"/>
    <w:multiLevelType w:val="hybridMultilevel"/>
    <w:tmpl w:val="740C5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00B24"/>
    <w:multiLevelType w:val="hybridMultilevel"/>
    <w:tmpl w:val="3A16D9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B5347"/>
    <w:multiLevelType w:val="hybridMultilevel"/>
    <w:tmpl w:val="8B002072"/>
    <w:lvl w:ilvl="0" w:tplc="720CA4D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B3F88"/>
    <w:multiLevelType w:val="hybridMultilevel"/>
    <w:tmpl w:val="DB3E55B0"/>
    <w:lvl w:ilvl="0" w:tplc="E6A295C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649E5"/>
    <w:multiLevelType w:val="hybridMultilevel"/>
    <w:tmpl w:val="34C26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77C18"/>
    <w:multiLevelType w:val="hybridMultilevel"/>
    <w:tmpl w:val="03F2B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86652"/>
    <w:multiLevelType w:val="hybridMultilevel"/>
    <w:tmpl w:val="78E0C240"/>
    <w:lvl w:ilvl="0" w:tplc="D48CA61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D25D6"/>
    <w:multiLevelType w:val="hybridMultilevel"/>
    <w:tmpl w:val="8820A30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44A33"/>
    <w:multiLevelType w:val="hybridMultilevel"/>
    <w:tmpl w:val="1A6CEAE0"/>
    <w:lvl w:ilvl="0" w:tplc="10B2CF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03379"/>
    <w:multiLevelType w:val="hybridMultilevel"/>
    <w:tmpl w:val="992E0808"/>
    <w:lvl w:ilvl="0" w:tplc="0C09000F">
      <w:start w:val="1"/>
      <w:numFmt w:val="decimal"/>
      <w:lvlText w:val="%1."/>
      <w:lvlJc w:val="left"/>
      <w:pPr>
        <w:ind w:left="773" w:hanging="360"/>
      </w:pPr>
    </w:lvl>
    <w:lvl w:ilvl="1" w:tplc="0C090019" w:tentative="1">
      <w:start w:val="1"/>
      <w:numFmt w:val="lowerLetter"/>
      <w:lvlText w:val="%2."/>
      <w:lvlJc w:val="left"/>
      <w:pPr>
        <w:ind w:left="1493" w:hanging="360"/>
      </w:pPr>
    </w:lvl>
    <w:lvl w:ilvl="2" w:tplc="0C09001B" w:tentative="1">
      <w:start w:val="1"/>
      <w:numFmt w:val="lowerRoman"/>
      <w:lvlText w:val="%3."/>
      <w:lvlJc w:val="right"/>
      <w:pPr>
        <w:ind w:left="2213" w:hanging="180"/>
      </w:pPr>
    </w:lvl>
    <w:lvl w:ilvl="3" w:tplc="0C09000F" w:tentative="1">
      <w:start w:val="1"/>
      <w:numFmt w:val="decimal"/>
      <w:lvlText w:val="%4."/>
      <w:lvlJc w:val="left"/>
      <w:pPr>
        <w:ind w:left="2933" w:hanging="360"/>
      </w:pPr>
    </w:lvl>
    <w:lvl w:ilvl="4" w:tplc="0C090019" w:tentative="1">
      <w:start w:val="1"/>
      <w:numFmt w:val="lowerLetter"/>
      <w:lvlText w:val="%5."/>
      <w:lvlJc w:val="left"/>
      <w:pPr>
        <w:ind w:left="3653" w:hanging="360"/>
      </w:pPr>
    </w:lvl>
    <w:lvl w:ilvl="5" w:tplc="0C09001B" w:tentative="1">
      <w:start w:val="1"/>
      <w:numFmt w:val="lowerRoman"/>
      <w:lvlText w:val="%6."/>
      <w:lvlJc w:val="right"/>
      <w:pPr>
        <w:ind w:left="4373" w:hanging="180"/>
      </w:pPr>
    </w:lvl>
    <w:lvl w:ilvl="6" w:tplc="0C09000F" w:tentative="1">
      <w:start w:val="1"/>
      <w:numFmt w:val="decimal"/>
      <w:lvlText w:val="%7."/>
      <w:lvlJc w:val="left"/>
      <w:pPr>
        <w:ind w:left="5093" w:hanging="360"/>
      </w:pPr>
    </w:lvl>
    <w:lvl w:ilvl="7" w:tplc="0C090019" w:tentative="1">
      <w:start w:val="1"/>
      <w:numFmt w:val="lowerLetter"/>
      <w:lvlText w:val="%8."/>
      <w:lvlJc w:val="left"/>
      <w:pPr>
        <w:ind w:left="5813" w:hanging="360"/>
      </w:pPr>
    </w:lvl>
    <w:lvl w:ilvl="8" w:tplc="0C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9" w15:restartNumberingAfterBreak="0">
    <w:nsid w:val="714372D9"/>
    <w:multiLevelType w:val="hybridMultilevel"/>
    <w:tmpl w:val="A4D05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A4D6E"/>
    <w:multiLevelType w:val="hybridMultilevel"/>
    <w:tmpl w:val="69D0C5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F4D82"/>
    <w:multiLevelType w:val="hybridMultilevel"/>
    <w:tmpl w:val="444441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A7D75"/>
    <w:multiLevelType w:val="singleLevel"/>
    <w:tmpl w:val="B4C476FC"/>
    <w:lvl w:ilvl="0">
      <w:start w:val="1"/>
      <w:numFmt w:val="bullet"/>
      <w:pStyle w:val="Rec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</w:abstractNum>
  <w:abstractNum w:abstractNumId="23" w15:restartNumberingAfterBreak="0">
    <w:nsid w:val="7F3F6966"/>
    <w:multiLevelType w:val="hybridMultilevel"/>
    <w:tmpl w:val="444441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0"/>
  </w:num>
  <w:num w:numId="5">
    <w:abstractNumId w:val="4"/>
  </w:num>
  <w:num w:numId="6">
    <w:abstractNumId w:val="10"/>
  </w:num>
  <w:num w:numId="7">
    <w:abstractNumId w:val="7"/>
  </w:num>
  <w:num w:numId="8">
    <w:abstractNumId w:val="5"/>
  </w:num>
  <w:num w:numId="9">
    <w:abstractNumId w:val="9"/>
  </w:num>
  <w:num w:numId="10">
    <w:abstractNumId w:val="17"/>
  </w:num>
  <w:num w:numId="11">
    <w:abstractNumId w:val="21"/>
  </w:num>
  <w:num w:numId="12">
    <w:abstractNumId w:val="23"/>
  </w:num>
  <w:num w:numId="13">
    <w:abstractNumId w:val="2"/>
  </w:num>
  <w:num w:numId="14">
    <w:abstractNumId w:val="1"/>
  </w:num>
  <w:num w:numId="15">
    <w:abstractNumId w:val="11"/>
  </w:num>
  <w:num w:numId="16">
    <w:abstractNumId w:val="14"/>
  </w:num>
  <w:num w:numId="17">
    <w:abstractNumId w:val="22"/>
  </w:num>
  <w:num w:numId="18">
    <w:abstractNumId w:val="16"/>
  </w:num>
  <w:num w:numId="19">
    <w:abstractNumId w:val="19"/>
  </w:num>
  <w:num w:numId="20">
    <w:abstractNumId w:val="8"/>
  </w:num>
  <w:num w:numId="21">
    <w:abstractNumId w:val="18"/>
  </w:num>
  <w:num w:numId="22">
    <w:abstractNumId w:val="3"/>
  </w:num>
  <w:num w:numId="23">
    <w:abstractNumId w:val="20"/>
  </w:num>
  <w:num w:numId="24">
    <w:abstractNumId w:val="11"/>
  </w:num>
  <w:num w:numId="25">
    <w:abstractNumId w:val="11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0MDGzsDQwMTcyMTRR0lEKTi0uzszPAykwqgUAIfRRPywAAAA="/>
  </w:docVars>
  <w:rsids>
    <w:rsidRoot w:val="00813810"/>
    <w:rsid w:val="0000231D"/>
    <w:rsid w:val="00002670"/>
    <w:rsid w:val="0000270A"/>
    <w:rsid w:val="000037E0"/>
    <w:rsid w:val="00010632"/>
    <w:rsid w:val="00010FAB"/>
    <w:rsid w:val="00024F0E"/>
    <w:rsid w:val="00030689"/>
    <w:rsid w:val="00032915"/>
    <w:rsid w:val="00036A8A"/>
    <w:rsid w:val="000434CA"/>
    <w:rsid w:val="00051882"/>
    <w:rsid w:val="00052D9B"/>
    <w:rsid w:val="00054BED"/>
    <w:rsid w:val="00057370"/>
    <w:rsid w:val="0007190D"/>
    <w:rsid w:val="00083A11"/>
    <w:rsid w:val="00084EA2"/>
    <w:rsid w:val="000959DF"/>
    <w:rsid w:val="00095A35"/>
    <w:rsid w:val="000B2DF1"/>
    <w:rsid w:val="000B50F9"/>
    <w:rsid w:val="000B73AC"/>
    <w:rsid w:val="000D0E5C"/>
    <w:rsid w:val="000D5E08"/>
    <w:rsid w:val="000E1578"/>
    <w:rsid w:val="000E430B"/>
    <w:rsid w:val="000F145A"/>
    <w:rsid w:val="000F435C"/>
    <w:rsid w:val="000F56CF"/>
    <w:rsid w:val="000F7846"/>
    <w:rsid w:val="001075B7"/>
    <w:rsid w:val="001238D0"/>
    <w:rsid w:val="00127B29"/>
    <w:rsid w:val="001306D5"/>
    <w:rsid w:val="00130774"/>
    <w:rsid w:val="00130E2A"/>
    <w:rsid w:val="00131979"/>
    <w:rsid w:val="00131EDE"/>
    <w:rsid w:val="001320E4"/>
    <w:rsid w:val="00132B00"/>
    <w:rsid w:val="00143DEC"/>
    <w:rsid w:val="00151486"/>
    <w:rsid w:val="00152BE9"/>
    <w:rsid w:val="00153899"/>
    <w:rsid w:val="001602E4"/>
    <w:rsid w:val="00160772"/>
    <w:rsid w:val="00166B6E"/>
    <w:rsid w:val="00171E36"/>
    <w:rsid w:val="00174760"/>
    <w:rsid w:val="00187235"/>
    <w:rsid w:val="0018727C"/>
    <w:rsid w:val="00190CAB"/>
    <w:rsid w:val="00191DA1"/>
    <w:rsid w:val="00193017"/>
    <w:rsid w:val="00195FEF"/>
    <w:rsid w:val="001962FE"/>
    <w:rsid w:val="001A2572"/>
    <w:rsid w:val="001B07D6"/>
    <w:rsid w:val="001B478E"/>
    <w:rsid w:val="001B7E03"/>
    <w:rsid w:val="001C0CB8"/>
    <w:rsid w:val="001C0D7D"/>
    <w:rsid w:val="001D3500"/>
    <w:rsid w:val="001E57E2"/>
    <w:rsid w:val="001F1025"/>
    <w:rsid w:val="0020250C"/>
    <w:rsid w:val="00203DEF"/>
    <w:rsid w:val="0021054A"/>
    <w:rsid w:val="00210E5F"/>
    <w:rsid w:val="00215521"/>
    <w:rsid w:val="00221ADF"/>
    <w:rsid w:val="00224239"/>
    <w:rsid w:val="002360F3"/>
    <w:rsid w:val="00236D39"/>
    <w:rsid w:val="0024185E"/>
    <w:rsid w:val="00241AAD"/>
    <w:rsid w:val="00245133"/>
    <w:rsid w:val="0024621E"/>
    <w:rsid w:val="00247C8D"/>
    <w:rsid w:val="0025190A"/>
    <w:rsid w:val="00252286"/>
    <w:rsid w:val="00266B3F"/>
    <w:rsid w:val="00276B11"/>
    <w:rsid w:val="00281C79"/>
    <w:rsid w:val="002A1D92"/>
    <w:rsid w:val="002A3CE6"/>
    <w:rsid w:val="002B2B8A"/>
    <w:rsid w:val="002C3939"/>
    <w:rsid w:val="002C3EE3"/>
    <w:rsid w:val="002C4B67"/>
    <w:rsid w:val="002D126D"/>
    <w:rsid w:val="002D2611"/>
    <w:rsid w:val="002E1600"/>
    <w:rsid w:val="002E1E5B"/>
    <w:rsid w:val="002E6F12"/>
    <w:rsid w:val="002F7467"/>
    <w:rsid w:val="003078F1"/>
    <w:rsid w:val="00312D50"/>
    <w:rsid w:val="00313029"/>
    <w:rsid w:val="00313346"/>
    <w:rsid w:val="003161C0"/>
    <w:rsid w:val="0032118E"/>
    <w:rsid w:val="0032209C"/>
    <w:rsid w:val="003221F0"/>
    <w:rsid w:val="00323164"/>
    <w:rsid w:val="00327D6D"/>
    <w:rsid w:val="00335F38"/>
    <w:rsid w:val="0033722F"/>
    <w:rsid w:val="00344058"/>
    <w:rsid w:val="003440C3"/>
    <w:rsid w:val="003443DD"/>
    <w:rsid w:val="0034488E"/>
    <w:rsid w:val="00344AE6"/>
    <w:rsid w:val="00353A38"/>
    <w:rsid w:val="00354058"/>
    <w:rsid w:val="00361E38"/>
    <w:rsid w:val="003703E0"/>
    <w:rsid w:val="00371C2C"/>
    <w:rsid w:val="003728AA"/>
    <w:rsid w:val="00375F45"/>
    <w:rsid w:val="003800F5"/>
    <w:rsid w:val="00380413"/>
    <w:rsid w:val="003903E7"/>
    <w:rsid w:val="003906DD"/>
    <w:rsid w:val="003A0885"/>
    <w:rsid w:val="003A12B1"/>
    <w:rsid w:val="003B12B8"/>
    <w:rsid w:val="003B18CB"/>
    <w:rsid w:val="003C2E39"/>
    <w:rsid w:val="003C4478"/>
    <w:rsid w:val="003C6C52"/>
    <w:rsid w:val="003D27D1"/>
    <w:rsid w:val="003D2B4B"/>
    <w:rsid w:val="003D58C6"/>
    <w:rsid w:val="003E2563"/>
    <w:rsid w:val="003E6528"/>
    <w:rsid w:val="003F009D"/>
    <w:rsid w:val="003F2EAA"/>
    <w:rsid w:val="00400100"/>
    <w:rsid w:val="00404E70"/>
    <w:rsid w:val="00407A79"/>
    <w:rsid w:val="00412926"/>
    <w:rsid w:val="00415DF1"/>
    <w:rsid w:val="004221F5"/>
    <w:rsid w:val="004223A0"/>
    <w:rsid w:val="00424285"/>
    <w:rsid w:val="00445F91"/>
    <w:rsid w:val="004571F7"/>
    <w:rsid w:val="00457C6C"/>
    <w:rsid w:val="00460E51"/>
    <w:rsid w:val="00477DFE"/>
    <w:rsid w:val="00485A9E"/>
    <w:rsid w:val="004A17E0"/>
    <w:rsid w:val="004A18C9"/>
    <w:rsid w:val="004A6983"/>
    <w:rsid w:val="004B12C1"/>
    <w:rsid w:val="004B6829"/>
    <w:rsid w:val="004B6B9D"/>
    <w:rsid w:val="004C2E75"/>
    <w:rsid w:val="004C6156"/>
    <w:rsid w:val="004D2A01"/>
    <w:rsid w:val="004D608A"/>
    <w:rsid w:val="004E0406"/>
    <w:rsid w:val="004E3E59"/>
    <w:rsid w:val="004E759D"/>
    <w:rsid w:val="004E7657"/>
    <w:rsid w:val="004F1BB4"/>
    <w:rsid w:val="004F1E05"/>
    <w:rsid w:val="004F3863"/>
    <w:rsid w:val="004F4B82"/>
    <w:rsid w:val="004F62EB"/>
    <w:rsid w:val="004F7EBE"/>
    <w:rsid w:val="0050350F"/>
    <w:rsid w:val="00504946"/>
    <w:rsid w:val="0052175C"/>
    <w:rsid w:val="00522647"/>
    <w:rsid w:val="005273F2"/>
    <w:rsid w:val="00531AFC"/>
    <w:rsid w:val="00533EA5"/>
    <w:rsid w:val="005432F2"/>
    <w:rsid w:val="00547AF8"/>
    <w:rsid w:val="00555218"/>
    <w:rsid w:val="00555F0D"/>
    <w:rsid w:val="00556C61"/>
    <w:rsid w:val="00567F54"/>
    <w:rsid w:val="0058699F"/>
    <w:rsid w:val="00586CDD"/>
    <w:rsid w:val="00586E56"/>
    <w:rsid w:val="00591644"/>
    <w:rsid w:val="005973DC"/>
    <w:rsid w:val="005A0DE4"/>
    <w:rsid w:val="005A7433"/>
    <w:rsid w:val="005A7B2D"/>
    <w:rsid w:val="005B1D0A"/>
    <w:rsid w:val="005B2EB6"/>
    <w:rsid w:val="005B30ED"/>
    <w:rsid w:val="005B33EF"/>
    <w:rsid w:val="005C709D"/>
    <w:rsid w:val="005D2087"/>
    <w:rsid w:val="005D45EC"/>
    <w:rsid w:val="005D7AD0"/>
    <w:rsid w:val="005E6726"/>
    <w:rsid w:val="006050C4"/>
    <w:rsid w:val="00611F66"/>
    <w:rsid w:val="00613EA8"/>
    <w:rsid w:val="00614B72"/>
    <w:rsid w:val="006157ED"/>
    <w:rsid w:val="0061750C"/>
    <w:rsid w:val="00621B39"/>
    <w:rsid w:val="0063086D"/>
    <w:rsid w:val="006311B3"/>
    <w:rsid w:val="00636700"/>
    <w:rsid w:val="006415F6"/>
    <w:rsid w:val="00647C3A"/>
    <w:rsid w:val="00661D92"/>
    <w:rsid w:val="006755E0"/>
    <w:rsid w:val="00676671"/>
    <w:rsid w:val="0068324E"/>
    <w:rsid w:val="00683B93"/>
    <w:rsid w:val="0068630F"/>
    <w:rsid w:val="0068662C"/>
    <w:rsid w:val="0068722B"/>
    <w:rsid w:val="006903F5"/>
    <w:rsid w:val="00692F6D"/>
    <w:rsid w:val="006931FE"/>
    <w:rsid w:val="006936F3"/>
    <w:rsid w:val="006A0F77"/>
    <w:rsid w:val="006A368E"/>
    <w:rsid w:val="006B1DFF"/>
    <w:rsid w:val="006B2505"/>
    <w:rsid w:val="006B47AD"/>
    <w:rsid w:val="006B50F3"/>
    <w:rsid w:val="006D5004"/>
    <w:rsid w:val="006D73AD"/>
    <w:rsid w:val="006E0FC8"/>
    <w:rsid w:val="006E5D10"/>
    <w:rsid w:val="006F4D8A"/>
    <w:rsid w:val="0070367A"/>
    <w:rsid w:val="00710ED3"/>
    <w:rsid w:val="00711D03"/>
    <w:rsid w:val="0071547C"/>
    <w:rsid w:val="00725E0C"/>
    <w:rsid w:val="00727A77"/>
    <w:rsid w:val="007301F1"/>
    <w:rsid w:val="00734D2D"/>
    <w:rsid w:val="0073529C"/>
    <w:rsid w:val="007362E8"/>
    <w:rsid w:val="00737199"/>
    <w:rsid w:val="007376D7"/>
    <w:rsid w:val="0074127B"/>
    <w:rsid w:val="007414F9"/>
    <w:rsid w:val="007464C4"/>
    <w:rsid w:val="0074655F"/>
    <w:rsid w:val="00747F62"/>
    <w:rsid w:val="0076068D"/>
    <w:rsid w:val="00764C3B"/>
    <w:rsid w:val="00770C27"/>
    <w:rsid w:val="00773AA8"/>
    <w:rsid w:val="00774751"/>
    <w:rsid w:val="00782F76"/>
    <w:rsid w:val="00793282"/>
    <w:rsid w:val="007A648A"/>
    <w:rsid w:val="007B58C8"/>
    <w:rsid w:val="007B7AB5"/>
    <w:rsid w:val="007C5B07"/>
    <w:rsid w:val="007D1892"/>
    <w:rsid w:val="007D408E"/>
    <w:rsid w:val="007E0BA9"/>
    <w:rsid w:val="007E121E"/>
    <w:rsid w:val="007F0BCD"/>
    <w:rsid w:val="007F1554"/>
    <w:rsid w:val="007F45C2"/>
    <w:rsid w:val="007F52C5"/>
    <w:rsid w:val="00806DE8"/>
    <w:rsid w:val="0081256D"/>
    <w:rsid w:val="00813810"/>
    <w:rsid w:val="0081643A"/>
    <w:rsid w:val="0083614D"/>
    <w:rsid w:val="00841EFC"/>
    <w:rsid w:val="00844DA1"/>
    <w:rsid w:val="00852D71"/>
    <w:rsid w:val="008626D5"/>
    <w:rsid w:val="008647E1"/>
    <w:rsid w:val="008722F6"/>
    <w:rsid w:val="00876FA2"/>
    <w:rsid w:val="008836B9"/>
    <w:rsid w:val="0089019B"/>
    <w:rsid w:val="00891EC3"/>
    <w:rsid w:val="008A3334"/>
    <w:rsid w:val="008A758F"/>
    <w:rsid w:val="008B5EF7"/>
    <w:rsid w:val="008B74F9"/>
    <w:rsid w:val="008C4CC6"/>
    <w:rsid w:val="008D23BA"/>
    <w:rsid w:val="008D72C6"/>
    <w:rsid w:val="008E01E2"/>
    <w:rsid w:val="008E0406"/>
    <w:rsid w:val="008E2599"/>
    <w:rsid w:val="008E30A2"/>
    <w:rsid w:val="008E412B"/>
    <w:rsid w:val="008E5519"/>
    <w:rsid w:val="008E7292"/>
    <w:rsid w:val="008F017A"/>
    <w:rsid w:val="008F0C27"/>
    <w:rsid w:val="008F26AE"/>
    <w:rsid w:val="008F7E2D"/>
    <w:rsid w:val="00905012"/>
    <w:rsid w:val="00914361"/>
    <w:rsid w:val="0091473B"/>
    <w:rsid w:val="00914F48"/>
    <w:rsid w:val="0093140F"/>
    <w:rsid w:val="00932AAD"/>
    <w:rsid w:val="009334D1"/>
    <w:rsid w:val="0093637E"/>
    <w:rsid w:val="0094285E"/>
    <w:rsid w:val="00944DF6"/>
    <w:rsid w:val="00954ADC"/>
    <w:rsid w:val="00954ED8"/>
    <w:rsid w:val="00955D11"/>
    <w:rsid w:val="00956A99"/>
    <w:rsid w:val="00960BF6"/>
    <w:rsid w:val="009673DD"/>
    <w:rsid w:val="00967610"/>
    <w:rsid w:val="00974BE6"/>
    <w:rsid w:val="009850F4"/>
    <w:rsid w:val="00992C42"/>
    <w:rsid w:val="0099651B"/>
    <w:rsid w:val="009A2B46"/>
    <w:rsid w:val="009B4D44"/>
    <w:rsid w:val="009B7689"/>
    <w:rsid w:val="009C51DA"/>
    <w:rsid w:val="009C7B1F"/>
    <w:rsid w:val="009D52A9"/>
    <w:rsid w:val="009E393D"/>
    <w:rsid w:val="009F194B"/>
    <w:rsid w:val="009F2CFF"/>
    <w:rsid w:val="009F471D"/>
    <w:rsid w:val="009F5029"/>
    <w:rsid w:val="00A0375A"/>
    <w:rsid w:val="00A0629C"/>
    <w:rsid w:val="00A151F4"/>
    <w:rsid w:val="00A2079B"/>
    <w:rsid w:val="00A25608"/>
    <w:rsid w:val="00A41815"/>
    <w:rsid w:val="00A46DC3"/>
    <w:rsid w:val="00A501F7"/>
    <w:rsid w:val="00A568C0"/>
    <w:rsid w:val="00A60EE1"/>
    <w:rsid w:val="00A66C0A"/>
    <w:rsid w:val="00A83FEB"/>
    <w:rsid w:val="00A874C5"/>
    <w:rsid w:val="00A91661"/>
    <w:rsid w:val="00A929E8"/>
    <w:rsid w:val="00A9335E"/>
    <w:rsid w:val="00AA338B"/>
    <w:rsid w:val="00AA33BB"/>
    <w:rsid w:val="00AA4FA9"/>
    <w:rsid w:val="00AB6FCA"/>
    <w:rsid w:val="00AC5710"/>
    <w:rsid w:val="00AC78B5"/>
    <w:rsid w:val="00AD0F9F"/>
    <w:rsid w:val="00AD6DA2"/>
    <w:rsid w:val="00AD6F9A"/>
    <w:rsid w:val="00AE2CD6"/>
    <w:rsid w:val="00AE540D"/>
    <w:rsid w:val="00B10DA2"/>
    <w:rsid w:val="00B221B1"/>
    <w:rsid w:val="00B228B0"/>
    <w:rsid w:val="00B319A2"/>
    <w:rsid w:val="00B33C79"/>
    <w:rsid w:val="00B425D2"/>
    <w:rsid w:val="00B47597"/>
    <w:rsid w:val="00B56B17"/>
    <w:rsid w:val="00B669F2"/>
    <w:rsid w:val="00B70F56"/>
    <w:rsid w:val="00B746A0"/>
    <w:rsid w:val="00B74845"/>
    <w:rsid w:val="00B76DCF"/>
    <w:rsid w:val="00B828DB"/>
    <w:rsid w:val="00B906CD"/>
    <w:rsid w:val="00B91EB7"/>
    <w:rsid w:val="00B96C4A"/>
    <w:rsid w:val="00BC0D20"/>
    <w:rsid w:val="00BD0C4A"/>
    <w:rsid w:val="00BD1240"/>
    <w:rsid w:val="00BD19F8"/>
    <w:rsid w:val="00BD4557"/>
    <w:rsid w:val="00BD629B"/>
    <w:rsid w:val="00BD72B3"/>
    <w:rsid w:val="00BE59BB"/>
    <w:rsid w:val="00BF1BE7"/>
    <w:rsid w:val="00BF34F7"/>
    <w:rsid w:val="00BF43B5"/>
    <w:rsid w:val="00BF4CFE"/>
    <w:rsid w:val="00BF74EF"/>
    <w:rsid w:val="00C05E6F"/>
    <w:rsid w:val="00C073CE"/>
    <w:rsid w:val="00C20094"/>
    <w:rsid w:val="00C228DB"/>
    <w:rsid w:val="00C23627"/>
    <w:rsid w:val="00C26B52"/>
    <w:rsid w:val="00C27675"/>
    <w:rsid w:val="00C3067B"/>
    <w:rsid w:val="00C312A7"/>
    <w:rsid w:val="00C3170A"/>
    <w:rsid w:val="00C352FB"/>
    <w:rsid w:val="00C36D14"/>
    <w:rsid w:val="00C40C05"/>
    <w:rsid w:val="00C41035"/>
    <w:rsid w:val="00C4326D"/>
    <w:rsid w:val="00C45F36"/>
    <w:rsid w:val="00C46FA9"/>
    <w:rsid w:val="00C551EC"/>
    <w:rsid w:val="00C7795C"/>
    <w:rsid w:val="00C8171C"/>
    <w:rsid w:val="00C84488"/>
    <w:rsid w:val="00C91214"/>
    <w:rsid w:val="00C91A5A"/>
    <w:rsid w:val="00C95909"/>
    <w:rsid w:val="00CA0CF6"/>
    <w:rsid w:val="00CA28DA"/>
    <w:rsid w:val="00CB72C7"/>
    <w:rsid w:val="00CC0AA6"/>
    <w:rsid w:val="00CC542B"/>
    <w:rsid w:val="00CC7445"/>
    <w:rsid w:val="00CD2DE9"/>
    <w:rsid w:val="00CD4538"/>
    <w:rsid w:val="00CD73CE"/>
    <w:rsid w:val="00CE0C6C"/>
    <w:rsid w:val="00CF53BA"/>
    <w:rsid w:val="00D01C9B"/>
    <w:rsid w:val="00D17731"/>
    <w:rsid w:val="00D24040"/>
    <w:rsid w:val="00D341C2"/>
    <w:rsid w:val="00D370C9"/>
    <w:rsid w:val="00D5183C"/>
    <w:rsid w:val="00D54F85"/>
    <w:rsid w:val="00D61AC4"/>
    <w:rsid w:val="00D64BBB"/>
    <w:rsid w:val="00D653B1"/>
    <w:rsid w:val="00D6700E"/>
    <w:rsid w:val="00D71E2E"/>
    <w:rsid w:val="00D77EC8"/>
    <w:rsid w:val="00D81D6F"/>
    <w:rsid w:val="00D877F8"/>
    <w:rsid w:val="00D9000E"/>
    <w:rsid w:val="00D938A4"/>
    <w:rsid w:val="00D95A5D"/>
    <w:rsid w:val="00D9771C"/>
    <w:rsid w:val="00DA58CD"/>
    <w:rsid w:val="00DA5BD8"/>
    <w:rsid w:val="00DB2F49"/>
    <w:rsid w:val="00DB4348"/>
    <w:rsid w:val="00DB6EEE"/>
    <w:rsid w:val="00DC003D"/>
    <w:rsid w:val="00DC16F4"/>
    <w:rsid w:val="00DC2CE0"/>
    <w:rsid w:val="00DC51D5"/>
    <w:rsid w:val="00DC7A31"/>
    <w:rsid w:val="00DD10B6"/>
    <w:rsid w:val="00DD10DC"/>
    <w:rsid w:val="00DD2CAD"/>
    <w:rsid w:val="00DD53B9"/>
    <w:rsid w:val="00DE3753"/>
    <w:rsid w:val="00DE3DFA"/>
    <w:rsid w:val="00DE656A"/>
    <w:rsid w:val="00DF1D24"/>
    <w:rsid w:val="00DF1D93"/>
    <w:rsid w:val="00DF1DCA"/>
    <w:rsid w:val="00DF28F9"/>
    <w:rsid w:val="00E01526"/>
    <w:rsid w:val="00E04BA8"/>
    <w:rsid w:val="00E05212"/>
    <w:rsid w:val="00E06620"/>
    <w:rsid w:val="00E06D77"/>
    <w:rsid w:val="00E10445"/>
    <w:rsid w:val="00E11DC0"/>
    <w:rsid w:val="00E128B9"/>
    <w:rsid w:val="00E175D6"/>
    <w:rsid w:val="00E20741"/>
    <w:rsid w:val="00E2296D"/>
    <w:rsid w:val="00E22ED2"/>
    <w:rsid w:val="00E26AEB"/>
    <w:rsid w:val="00E321B6"/>
    <w:rsid w:val="00E36C2A"/>
    <w:rsid w:val="00E37B11"/>
    <w:rsid w:val="00E42E43"/>
    <w:rsid w:val="00E47F73"/>
    <w:rsid w:val="00E56149"/>
    <w:rsid w:val="00E7326C"/>
    <w:rsid w:val="00E74C7A"/>
    <w:rsid w:val="00E83776"/>
    <w:rsid w:val="00E933DA"/>
    <w:rsid w:val="00E93F48"/>
    <w:rsid w:val="00E95694"/>
    <w:rsid w:val="00E9572A"/>
    <w:rsid w:val="00E968E2"/>
    <w:rsid w:val="00E97ECD"/>
    <w:rsid w:val="00EA3979"/>
    <w:rsid w:val="00EA48EE"/>
    <w:rsid w:val="00EA6DA7"/>
    <w:rsid w:val="00EB7A7D"/>
    <w:rsid w:val="00EC0859"/>
    <w:rsid w:val="00EC0FF7"/>
    <w:rsid w:val="00EC3871"/>
    <w:rsid w:val="00ED13F3"/>
    <w:rsid w:val="00EF41B8"/>
    <w:rsid w:val="00EF43C3"/>
    <w:rsid w:val="00F022A4"/>
    <w:rsid w:val="00F029CD"/>
    <w:rsid w:val="00F22DD2"/>
    <w:rsid w:val="00F24746"/>
    <w:rsid w:val="00F24C02"/>
    <w:rsid w:val="00F24F55"/>
    <w:rsid w:val="00F306EA"/>
    <w:rsid w:val="00F316E6"/>
    <w:rsid w:val="00F342DD"/>
    <w:rsid w:val="00F35189"/>
    <w:rsid w:val="00F407C2"/>
    <w:rsid w:val="00F41F28"/>
    <w:rsid w:val="00F50CFF"/>
    <w:rsid w:val="00F64BC0"/>
    <w:rsid w:val="00F7350A"/>
    <w:rsid w:val="00F83489"/>
    <w:rsid w:val="00F9425D"/>
    <w:rsid w:val="00FA278D"/>
    <w:rsid w:val="00FB036A"/>
    <w:rsid w:val="00FB3673"/>
    <w:rsid w:val="00FB4092"/>
    <w:rsid w:val="00FB7D3A"/>
    <w:rsid w:val="00FC07EE"/>
    <w:rsid w:val="00FC4A95"/>
    <w:rsid w:val="00FD01D3"/>
    <w:rsid w:val="00FD091C"/>
    <w:rsid w:val="00FD344D"/>
    <w:rsid w:val="00FD37A7"/>
    <w:rsid w:val="00FD5A86"/>
    <w:rsid w:val="00FD5FEA"/>
    <w:rsid w:val="00FD76DD"/>
    <w:rsid w:val="00FE4AF1"/>
    <w:rsid w:val="00FE7997"/>
    <w:rsid w:val="00FF1A6B"/>
    <w:rsid w:val="00FF4E23"/>
    <w:rsid w:val="00FF550F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D09736"/>
  <w15:chartTrackingRefBased/>
  <w15:docId w15:val="{8D8C6EEA-A4EE-4844-B4EC-2CBFE8F1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017"/>
    <w:pPr>
      <w:spacing w:before="100" w:beforeAutospacing="1" w:line="276" w:lineRule="auto"/>
    </w:pPr>
    <w:rPr>
      <w:rFonts w:ascii="Montserrat" w:hAnsi="Montserrat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41EFC"/>
    <w:pPr>
      <w:spacing w:before="240" w:after="120" w:line="240" w:lineRule="auto"/>
      <w:jc w:val="both"/>
      <w:outlineLvl w:val="0"/>
    </w:pPr>
    <w:rPr>
      <w:rFonts w:ascii="Sitka Small" w:hAnsi="Sitka Small" w:cs="Arial"/>
      <w:b/>
      <w:color w:val="44546A" w:themeColor="text2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1F28"/>
    <w:pPr>
      <w:keepNext/>
      <w:keepLines/>
      <w:spacing w:before="40" w:after="0"/>
      <w:outlineLvl w:val="1"/>
    </w:pPr>
    <w:rPr>
      <w:rFonts w:ascii="Sitka Small" w:eastAsiaTheme="majorEastAsia" w:hAnsi="Sitka Small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1F28"/>
    <w:pPr>
      <w:keepNext/>
      <w:keepLines/>
      <w:spacing w:before="40" w:after="0"/>
      <w:outlineLvl w:val="2"/>
    </w:pPr>
    <w:rPr>
      <w:rFonts w:eastAsiaTheme="majorEastAsia" w:cstheme="majorBidi"/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1F4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64A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64A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64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64A2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64A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3B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A33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4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C7A"/>
  </w:style>
  <w:style w:type="paragraph" w:styleId="Footer">
    <w:name w:val="footer"/>
    <w:basedOn w:val="Normal"/>
    <w:link w:val="FooterChar"/>
    <w:uiPriority w:val="99"/>
    <w:unhideWhenUsed/>
    <w:rsid w:val="00E74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C7A"/>
  </w:style>
  <w:style w:type="paragraph" w:styleId="Title">
    <w:name w:val="Title"/>
    <w:basedOn w:val="Normal"/>
    <w:next w:val="Normal"/>
    <w:link w:val="TitleChar"/>
    <w:uiPriority w:val="10"/>
    <w:qFormat/>
    <w:rsid w:val="00A60EE1"/>
    <w:pPr>
      <w:spacing w:before="360" w:beforeAutospacing="0" w:after="360"/>
      <w:jc w:val="right"/>
    </w:pPr>
    <w:rPr>
      <w:rFonts w:ascii="Sitka Small" w:hAnsi="Sitka Small" w:cs="Tahoma"/>
      <w:color w:val="44546A" w:themeColor="text2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60EE1"/>
    <w:rPr>
      <w:rFonts w:ascii="Sitka Small" w:hAnsi="Sitka Small" w:cs="Tahoma"/>
      <w:color w:val="44546A" w:themeColor="text2"/>
      <w:sz w:val="72"/>
      <w:szCs w:val="72"/>
    </w:rPr>
  </w:style>
  <w:style w:type="paragraph" w:styleId="Subtitle">
    <w:name w:val="Subtitle"/>
    <w:basedOn w:val="Title"/>
    <w:next w:val="Normal"/>
    <w:link w:val="SubtitleChar"/>
    <w:uiPriority w:val="11"/>
    <w:qFormat/>
    <w:rsid w:val="00C36D14"/>
    <w:rPr>
      <w:rFonts w:ascii="Montserrat" w:hAnsi="Montserrat"/>
      <w:color w:val="4472C4" w:themeColor="accent1"/>
      <w:sz w:val="52"/>
    </w:rPr>
  </w:style>
  <w:style w:type="character" w:customStyle="1" w:styleId="SubtitleChar">
    <w:name w:val="Subtitle Char"/>
    <w:basedOn w:val="DefaultParagraphFont"/>
    <w:link w:val="Subtitle"/>
    <w:uiPriority w:val="11"/>
    <w:rsid w:val="00C36D14"/>
    <w:rPr>
      <w:rFonts w:ascii="Montserrat" w:hAnsi="Montserrat" w:cs="Tahoma"/>
      <w:color w:val="4472C4" w:themeColor="accent1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41EFC"/>
    <w:rPr>
      <w:rFonts w:ascii="Sitka Small" w:hAnsi="Sitka Small" w:cs="Arial"/>
      <w:b/>
      <w:color w:val="44546A" w:themeColor="text2"/>
      <w:sz w:val="28"/>
    </w:rPr>
  </w:style>
  <w:style w:type="paragraph" w:customStyle="1" w:styleId="Default">
    <w:name w:val="Default"/>
    <w:rsid w:val="003B18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basedOn w:val="Normal"/>
    <w:uiPriority w:val="1"/>
    <w:qFormat/>
    <w:rsid w:val="00F41F28"/>
    <w:pPr>
      <w:spacing w:before="0" w:beforeAutospacing="0" w:after="0" w:line="240" w:lineRule="auto"/>
      <w:contextualSpacing/>
    </w:pPr>
    <w:rPr>
      <w:rFonts w:cs="Arial"/>
    </w:rPr>
  </w:style>
  <w:style w:type="paragraph" w:styleId="Quote">
    <w:name w:val="Quote"/>
    <w:basedOn w:val="Normal"/>
    <w:next w:val="Normal"/>
    <w:link w:val="QuoteChar"/>
    <w:uiPriority w:val="29"/>
    <w:qFormat/>
    <w:rsid w:val="006B47AD"/>
    <w:pPr>
      <w:ind w:left="72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47AD"/>
    <w:rPr>
      <w:i/>
    </w:rPr>
  </w:style>
  <w:style w:type="character" w:customStyle="1" w:styleId="Heading2Char">
    <w:name w:val="Heading 2 Char"/>
    <w:basedOn w:val="DefaultParagraphFont"/>
    <w:link w:val="Heading2"/>
    <w:uiPriority w:val="9"/>
    <w:rsid w:val="00F41F28"/>
    <w:rPr>
      <w:rFonts w:ascii="Sitka Small" w:eastAsiaTheme="majorEastAsia" w:hAnsi="Sitka Small" w:cstheme="majorBidi"/>
      <w:sz w:val="24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34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1C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1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1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1C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8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41F28"/>
    <w:rPr>
      <w:rFonts w:ascii="Montserrat" w:eastAsiaTheme="majorEastAsia" w:hAnsi="Montserrat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1F4"/>
    <w:rPr>
      <w:rFonts w:ascii="Montserrat" w:eastAsiaTheme="majorEastAsia" w:hAnsi="Montserrat" w:cstheme="majorBidi"/>
      <w:i/>
      <w:iCs/>
      <w:sz w:val="18"/>
    </w:rPr>
  </w:style>
  <w:style w:type="paragraph" w:customStyle="1" w:styleId="BoxListBullet2">
    <w:name w:val="Box List Bullet 2"/>
    <w:basedOn w:val="Normal"/>
    <w:rsid w:val="00036A8A"/>
    <w:pPr>
      <w:keepNext/>
      <w:numPr>
        <w:numId w:val="14"/>
      </w:numPr>
      <w:spacing w:beforeAutospacing="0" w:after="0" w:line="260" w:lineRule="atLeast"/>
      <w:ind w:left="568" w:hanging="284"/>
      <w:jc w:val="both"/>
    </w:pPr>
    <w:rPr>
      <w:rFonts w:ascii="Arial" w:eastAsia="Times New Roman" w:hAnsi="Arial" w:cs="Times New Roman"/>
      <w:szCs w:val="20"/>
      <w:lang w:eastAsia="en-AU"/>
    </w:rPr>
  </w:style>
  <w:style w:type="paragraph" w:customStyle="1" w:styleId="InformationRequestBullet">
    <w:name w:val="Information Request Bullet"/>
    <w:basedOn w:val="ListBullet"/>
    <w:next w:val="BodyText"/>
    <w:rsid w:val="002F7467"/>
    <w:pPr>
      <w:spacing w:before="80" w:beforeAutospacing="0" w:after="0" w:line="280" w:lineRule="atLeast"/>
      <w:contextualSpacing w:val="0"/>
      <w:jc w:val="both"/>
    </w:pPr>
    <w:rPr>
      <w:rFonts w:ascii="Arial" w:eastAsia="Times New Roman" w:hAnsi="Arial" w:cs="Times New Roman"/>
      <w:i/>
      <w:sz w:val="22"/>
      <w:szCs w:val="20"/>
      <w:lang w:eastAsia="en-AU"/>
    </w:rPr>
  </w:style>
  <w:style w:type="paragraph" w:customStyle="1" w:styleId="InformationRequestTitle">
    <w:name w:val="Information Request Title"/>
    <w:basedOn w:val="Normal"/>
    <w:next w:val="Normal"/>
    <w:rsid w:val="002F7467"/>
    <w:pPr>
      <w:keepNext/>
      <w:keepLines/>
      <w:spacing w:before="240" w:beforeAutospacing="0" w:after="0" w:line="280" w:lineRule="atLeast"/>
      <w:jc w:val="both"/>
    </w:pPr>
    <w:rPr>
      <w:rFonts w:ascii="Arial" w:eastAsia="Times New Roman" w:hAnsi="Arial" w:cs="Times New Roman"/>
      <w:i/>
      <w:caps/>
      <w:sz w:val="18"/>
      <w:szCs w:val="20"/>
      <w:lang w:eastAsia="en-AU"/>
    </w:rPr>
  </w:style>
  <w:style w:type="paragraph" w:styleId="ListBullet">
    <w:name w:val="List Bullet"/>
    <w:basedOn w:val="Normal"/>
    <w:uiPriority w:val="99"/>
    <w:semiHidden/>
    <w:unhideWhenUsed/>
    <w:rsid w:val="002F7467"/>
    <w:pPr>
      <w:numPr>
        <w:numId w:val="15"/>
      </w:numPr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2F74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F7467"/>
    <w:rPr>
      <w:rFonts w:ascii="Montserrat" w:hAnsi="Montserrat"/>
      <w:sz w:val="20"/>
    </w:rPr>
  </w:style>
  <w:style w:type="paragraph" w:customStyle="1" w:styleId="InformationRequest">
    <w:name w:val="Information Request"/>
    <w:basedOn w:val="Normal"/>
    <w:next w:val="BodyText"/>
    <w:rsid w:val="003440C3"/>
    <w:pPr>
      <w:keepLines/>
      <w:spacing w:before="120" w:beforeAutospacing="0" w:after="0" w:line="280" w:lineRule="atLeast"/>
      <w:jc w:val="both"/>
    </w:pPr>
    <w:rPr>
      <w:rFonts w:ascii="Arial" w:eastAsia="Times New Roman" w:hAnsi="Arial" w:cs="Times New Roman"/>
      <w:i/>
      <w:sz w:val="22"/>
      <w:szCs w:val="20"/>
      <w:lang w:eastAsia="en-AU"/>
    </w:rPr>
  </w:style>
  <w:style w:type="paragraph" w:customStyle="1" w:styleId="Footnote">
    <w:name w:val="Footnote"/>
    <w:basedOn w:val="FootnoteText"/>
    <w:link w:val="FootnoteChar"/>
    <w:qFormat/>
    <w:rsid w:val="008C4CC6"/>
    <w:pPr>
      <w:spacing w:before="0" w:beforeAutospacing="0"/>
      <w:contextualSpacing/>
    </w:pPr>
    <w:rPr>
      <w:sz w:val="16"/>
      <w:szCs w:val="16"/>
    </w:rPr>
  </w:style>
  <w:style w:type="paragraph" w:customStyle="1" w:styleId="Finding">
    <w:name w:val="Finding"/>
    <w:basedOn w:val="BodyText"/>
    <w:rsid w:val="00D95A5D"/>
    <w:pPr>
      <w:keepLines/>
      <w:spacing w:before="120" w:beforeAutospacing="0" w:after="0" w:line="280" w:lineRule="atLeast"/>
      <w:jc w:val="both"/>
    </w:pPr>
    <w:rPr>
      <w:rFonts w:ascii="Arial" w:eastAsia="Times New Roman" w:hAnsi="Arial" w:cs="Times New Roman"/>
      <w:sz w:val="22"/>
      <w:szCs w:val="20"/>
      <w:lang w:eastAsia="en-AU"/>
    </w:rPr>
  </w:style>
  <w:style w:type="character" w:customStyle="1" w:styleId="FootnoteChar">
    <w:name w:val="Footnote Char"/>
    <w:basedOn w:val="FootnoteTextChar"/>
    <w:link w:val="Footnote"/>
    <w:rsid w:val="008C4CC6"/>
    <w:rPr>
      <w:rFonts w:ascii="Montserrat" w:hAnsi="Montserrat"/>
      <w:sz w:val="16"/>
      <w:szCs w:val="16"/>
    </w:rPr>
  </w:style>
  <w:style w:type="paragraph" w:customStyle="1" w:styleId="RecTitle">
    <w:name w:val="Rec Title"/>
    <w:basedOn w:val="BodyText"/>
    <w:next w:val="Normal"/>
    <w:qFormat/>
    <w:rsid w:val="00D95A5D"/>
    <w:pPr>
      <w:keepNext/>
      <w:keepLines/>
      <w:spacing w:before="240" w:beforeAutospacing="0" w:after="0" w:line="280" w:lineRule="atLeast"/>
      <w:jc w:val="both"/>
    </w:pPr>
    <w:rPr>
      <w:rFonts w:ascii="Arial" w:eastAsia="Times New Roman" w:hAnsi="Arial" w:cs="Times New Roman"/>
      <w:caps/>
      <w:sz w:val="18"/>
      <w:szCs w:val="20"/>
      <w:lang w:eastAsia="en-AU"/>
    </w:rPr>
  </w:style>
  <w:style w:type="paragraph" w:customStyle="1" w:styleId="RecBullet">
    <w:name w:val="Rec Bullet"/>
    <w:basedOn w:val="Normal"/>
    <w:rsid w:val="00D95A5D"/>
    <w:pPr>
      <w:keepLines/>
      <w:numPr>
        <w:numId w:val="17"/>
      </w:numPr>
      <w:spacing w:before="80" w:beforeAutospacing="0" w:after="0" w:line="280" w:lineRule="atLeast"/>
      <w:jc w:val="both"/>
    </w:pPr>
    <w:rPr>
      <w:rFonts w:ascii="Arial" w:eastAsia="Times New Roman" w:hAnsi="Arial" w:cs="Times New Roman"/>
      <w:sz w:val="22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upplychainschool.org.a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pplychainschool.org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D89694EE07F4B816C717DD8B17ED9" ma:contentTypeVersion="13" ma:contentTypeDescription="Create a new document." ma:contentTypeScope="" ma:versionID="559d6239f1de4f89912ee6ea7ba268a1">
  <xsd:schema xmlns:xsd="http://www.w3.org/2001/XMLSchema" xmlns:xs="http://www.w3.org/2001/XMLSchema" xmlns:p="http://schemas.microsoft.com/office/2006/metadata/properties" xmlns:ns3="a83c78b6-7acb-45d6-836d-6a91066ff672" xmlns:ns4="3614087e-6866-44ec-b9bc-d54cdca75a80" targetNamespace="http://schemas.microsoft.com/office/2006/metadata/properties" ma:root="true" ma:fieldsID="940ce31b2d68f478ea99555eb13ac0b1" ns3:_="" ns4:_="">
    <xsd:import namespace="a83c78b6-7acb-45d6-836d-6a91066ff672"/>
    <xsd:import namespace="3614087e-6866-44ec-b9bc-d54cdca75a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c78b6-7acb-45d6-836d-6a91066ff6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4087e-6866-44ec-b9bc-d54cdca75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DEEC4-49D6-4574-8972-24903ECF5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c78b6-7acb-45d6-836d-6a91066ff672"/>
    <ds:schemaRef ds:uri="3614087e-6866-44ec-b9bc-d54cdca75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F36680-F652-463A-BB6D-5E3DF13D4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324F0C-63D3-42E1-899E-59311C3FAA86}">
  <ds:schemaRefs>
    <ds:schemaRef ds:uri="http://schemas.microsoft.com/office/2006/documentManagement/types"/>
    <ds:schemaRef ds:uri="http://purl.org/dc/terms/"/>
    <ds:schemaRef ds:uri="a83c78b6-7acb-45d6-836d-6a91066ff672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3614087e-6866-44ec-b9bc-d54cdca75a80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74D6C15-1141-447E-925F-0FEE5A91E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BA405043.dotm</Template>
  <TotalTime>25</TotalTime>
  <Pages>7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IR91 - Supply Chain Sustainability School - Skills and Workforce Agreement - Commissioned study</vt:lpstr>
    </vt:vector>
  </TitlesOfParts>
  <Company>Supply Chain Sustainability School</Company>
  <LinksUpToDate>false</LinksUpToDate>
  <CharactersWithSpaces>12896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IR91 - Supply Chain Sustainability School - Skills and Workforce Agreement - Commissioned study</dc:title>
  <dc:subject/>
  <dc:creator>Supply Chain Sustainability School</dc:creator>
  <cp:keywords/>
  <dc:description/>
  <cp:lastModifiedBy>Productivity Commission</cp:lastModifiedBy>
  <cp:revision>7</cp:revision>
  <cp:lastPrinted>2020-07-22T02:45:00Z</cp:lastPrinted>
  <dcterms:created xsi:type="dcterms:W3CDTF">2020-07-16T04:45:00Z</dcterms:created>
  <dcterms:modified xsi:type="dcterms:W3CDTF">2020-07-22T02:46:00Z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0x010100E53D89694EE07F4B816C717DD8B17ED9</vt:lpwstr>
  </property>
</Properties>
</file>