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6941A1" w14:textId="77777777" w:rsidR="00AA21A3" w:rsidRDefault="00AA21A3" w:rsidP="00AA21A3">
      <w:pPr>
        <w:pStyle w:val="Title"/>
      </w:pPr>
      <w:r>
        <w:t>Productivity Commission</w:t>
      </w:r>
      <w:r>
        <w:br/>
        <w:t>Indigenous Evaluation Strategy Project</w:t>
      </w:r>
    </w:p>
    <w:p w14:paraId="5707AF3A" w14:textId="77777777" w:rsidR="00AA21A3" w:rsidRPr="00901D8A" w:rsidRDefault="00AA21A3" w:rsidP="00AA21A3">
      <w:pPr>
        <w:jc w:val="center"/>
        <w:rPr>
          <w:b/>
        </w:rPr>
      </w:pPr>
      <w:r w:rsidRPr="00901D8A">
        <w:rPr>
          <w:b/>
        </w:rPr>
        <w:t>Oral Submission</w:t>
      </w:r>
    </w:p>
    <w:p w14:paraId="5CDA3A15" w14:textId="77777777" w:rsidR="00AA21A3" w:rsidRPr="00F774D0" w:rsidRDefault="00AA21A3" w:rsidP="00AA21A3">
      <w:r w:rsidRPr="00A66140">
        <w:rPr>
          <w:b/>
        </w:rPr>
        <w:t xml:space="preserve">Date of </w:t>
      </w:r>
      <w:r>
        <w:rPr>
          <w:b/>
        </w:rPr>
        <w:t xml:space="preserve">Oral </w:t>
      </w:r>
      <w:r w:rsidRPr="00A66140">
        <w:rPr>
          <w:b/>
        </w:rPr>
        <w:t>Submission</w:t>
      </w:r>
      <w:r>
        <w:t xml:space="preserve">: </w:t>
      </w:r>
      <w:r w:rsidR="005C2BFA">
        <w:t>25 August 2020</w:t>
      </w:r>
      <w:r>
        <w:br/>
      </w:r>
      <w:r w:rsidRPr="00A66140">
        <w:rPr>
          <w:b/>
        </w:rPr>
        <w:t>Submission provided by</w:t>
      </w:r>
      <w:r>
        <w:t xml:space="preserve">: </w:t>
      </w:r>
      <w:r w:rsidR="00100E3D">
        <w:t xml:space="preserve">Dr Helen Moore, AM, on behalf of the </w:t>
      </w:r>
      <w:r w:rsidR="005C2BFA">
        <w:t>Australian Council of TESOL Associations (ACTA)</w:t>
      </w:r>
    </w:p>
    <w:p w14:paraId="3AF314B1" w14:textId="77777777" w:rsidR="00AA21A3" w:rsidRPr="00FD3161" w:rsidRDefault="00AA21A3" w:rsidP="00AA21A3">
      <w:pPr>
        <w:pStyle w:val="Heading1"/>
        <w:jc w:val="both"/>
        <w:rPr>
          <w:b w:val="0"/>
          <w:sz w:val="18"/>
          <w:szCs w:val="18"/>
        </w:rPr>
      </w:pPr>
      <w:r w:rsidRPr="00FD3161">
        <w:rPr>
          <w:b w:val="0"/>
          <w:sz w:val="18"/>
          <w:szCs w:val="18"/>
        </w:rPr>
        <w:t xml:space="preserve">This is an oral submission to the Productivity Commission’s Indigenous Evaluation Strategy project. The information contained therein was provided by </w:t>
      </w:r>
      <w:r w:rsidR="00450ACD">
        <w:rPr>
          <w:b w:val="0"/>
          <w:sz w:val="18"/>
          <w:szCs w:val="18"/>
        </w:rPr>
        <w:t>videoconference</w:t>
      </w:r>
      <w:r w:rsidRPr="00FD3161">
        <w:rPr>
          <w:b w:val="0"/>
          <w:sz w:val="18"/>
          <w:szCs w:val="18"/>
        </w:rPr>
        <w:t xml:space="preserve"> </w:t>
      </w:r>
      <w:r w:rsidR="000B46B0">
        <w:rPr>
          <w:b w:val="0"/>
          <w:sz w:val="18"/>
          <w:szCs w:val="18"/>
        </w:rPr>
        <w:t>by the organisation</w:t>
      </w:r>
      <w:r w:rsidRPr="00FD3161">
        <w:rPr>
          <w:b w:val="0"/>
          <w:sz w:val="18"/>
          <w:szCs w:val="18"/>
        </w:rPr>
        <w:t xml:space="preserve"> for Commission staff</w:t>
      </w:r>
      <w:r>
        <w:rPr>
          <w:b w:val="0"/>
          <w:sz w:val="18"/>
          <w:szCs w:val="18"/>
        </w:rPr>
        <w:t xml:space="preserve"> to assist in </w:t>
      </w:r>
      <w:r w:rsidRPr="00FD3161">
        <w:rPr>
          <w:b w:val="0"/>
          <w:sz w:val="18"/>
          <w:szCs w:val="18"/>
        </w:rPr>
        <w:t>document</w:t>
      </w:r>
      <w:r>
        <w:rPr>
          <w:b w:val="0"/>
          <w:sz w:val="18"/>
          <w:szCs w:val="18"/>
        </w:rPr>
        <w:t>ing</w:t>
      </w:r>
      <w:r w:rsidRPr="00FD3161">
        <w:rPr>
          <w:b w:val="0"/>
          <w:sz w:val="18"/>
          <w:szCs w:val="18"/>
        </w:rPr>
        <w:t xml:space="preserve"> in written form. The submitter has agreed that this is </w:t>
      </w:r>
      <w:r>
        <w:rPr>
          <w:b w:val="0"/>
          <w:sz w:val="18"/>
          <w:szCs w:val="18"/>
        </w:rPr>
        <w:t>a</w:t>
      </w:r>
      <w:r w:rsidRPr="00FD3161">
        <w:rPr>
          <w:b w:val="0"/>
          <w:sz w:val="18"/>
          <w:szCs w:val="18"/>
        </w:rPr>
        <w:t xml:space="preserve"> correct reflection of their views and has approved it for publication on the Productivity Commission website.</w:t>
      </w:r>
    </w:p>
    <w:p w14:paraId="1A6D94B5" w14:textId="77777777" w:rsidR="005C2BFA" w:rsidRDefault="00A54FD1" w:rsidP="00A54FD1">
      <w:pPr>
        <w:pStyle w:val="Heading1"/>
        <w:spacing w:line="276" w:lineRule="auto"/>
      </w:pPr>
      <w:r>
        <w:t>Opening comments</w:t>
      </w:r>
    </w:p>
    <w:p w14:paraId="78EEA563" w14:textId="77777777" w:rsidR="001624DC" w:rsidRDefault="005C2BFA" w:rsidP="00E00729">
      <w:r>
        <w:t>Thank you for allowing the Australian Council of TESOL Associations (ACTA) to make a second submission</w:t>
      </w:r>
      <w:r w:rsidR="00381E8E">
        <w:t xml:space="preserve">. We </w:t>
      </w:r>
      <w:r>
        <w:t xml:space="preserve">appreciate the opportunity to make the submission orally. </w:t>
      </w:r>
      <w:r w:rsidR="000B46B0">
        <w:t xml:space="preserve">The submission will </w:t>
      </w:r>
      <w:r w:rsidR="00381E8E">
        <w:t xml:space="preserve">first </w:t>
      </w:r>
      <w:r w:rsidR="000B46B0">
        <w:t xml:space="preserve">make some specific points </w:t>
      </w:r>
      <w:r w:rsidR="00381E8E">
        <w:t xml:space="preserve">about </w:t>
      </w:r>
      <w:r w:rsidR="000B46B0">
        <w:t xml:space="preserve">the Strategy and </w:t>
      </w:r>
      <w:r w:rsidR="00381E8E">
        <w:t xml:space="preserve">Guidance </w:t>
      </w:r>
      <w:r w:rsidR="000B46B0">
        <w:t>documents, then</w:t>
      </w:r>
      <w:r w:rsidR="00573F62">
        <w:t xml:space="preserve"> raise more general issues</w:t>
      </w:r>
      <w:r w:rsidR="00381E8E">
        <w:t xml:space="preserve"> that apply across all documents</w:t>
      </w:r>
      <w:r w:rsidR="009915DF">
        <w:t xml:space="preserve">, </w:t>
      </w:r>
      <w:r w:rsidR="003A3EC3">
        <w:t xml:space="preserve">and finally comment </w:t>
      </w:r>
      <w:r w:rsidR="009915DF">
        <w:t>on a couple of important chapters</w:t>
      </w:r>
      <w:r w:rsidR="001624DC">
        <w:t xml:space="preserve">. </w:t>
      </w:r>
    </w:p>
    <w:p w14:paraId="764BCBA9" w14:textId="77777777" w:rsidR="00C85411" w:rsidRDefault="001624DC" w:rsidP="00E00729">
      <w:r>
        <w:t>Overall, we congratulate the Commission on this impressive work, which we sincerely hope will have considerable impact. The following comments focus on suggestions for improvement but any criticisms should not be taken to imply a lack of warm endorsement for the thrust and achievements of this important project.</w:t>
      </w:r>
    </w:p>
    <w:p w14:paraId="54D1069B" w14:textId="77777777" w:rsidR="00573F62" w:rsidRDefault="00E319A6" w:rsidP="00E00729">
      <w:pPr>
        <w:pStyle w:val="Heading1"/>
        <w:spacing w:line="276" w:lineRule="auto"/>
      </w:pPr>
      <w:r>
        <w:t xml:space="preserve">PART 1: </w:t>
      </w:r>
      <w:r w:rsidR="001624DC">
        <w:t>C</w:t>
      </w:r>
      <w:r w:rsidR="000B46B0">
        <w:t xml:space="preserve">omments </w:t>
      </w:r>
      <w:r w:rsidR="00381E8E">
        <w:t xml:space="preserve">about </w:t>
      </w:r>
      <w:r w:rsidR="00100E3D">
        <w:t xml:space="preserve">particular pages/wording </w:t>
      </w:r>
      <w:r w:rsidR="00381E8E">
        <w:t xml:space="preserve">in </w:t>
      </w:r>
      <w:r w:rsidR="000B46B0">
        <w:t xml:space="preserve">the Strategy and </w:t>
      </w:r>
      <w:r w:rsidR="00381E8E">
        <w:t>g</w:t>
      </w:r>
      <w:r w:rsidR="000B46B0">
        <w:t>uidance documents</w:t>
      </w:r>
    </w:p>
    <w:p w14:paraId="71F75E05" w14:textId="77777777" w:rsidR="00573F62" w:rsidRDefault="00573F62" w:rsidP="00E00729">
      <w:pPr>
        <w:pStyle w:val="Heading1"/>
        <w:spacing w:line="276" w:lineRule="auto"/>
        <w:rPr>
          <w:rFonts w:asciiTheme="minorHAnsi" w:hAnsiTheme="minorHAnsi" w:cstheme="minorHAnsi"/>
          <w:b w:val="0"/>
        </w:rPr>
      </w:pPr>
      <w:r w:rsidRPr="00573F62">
        <w:rPr>
          <w:rFonts w:asciiTheme="minorHAnsi" w:hAnsiTheme="minorHAnsi" w:cstheme="minorHAnsi"/>
          <w:b w:val="0"/>
        </w:rPr>
        <w:t>These documents are mostly very good at the</w:t>
      </w:r>
      <w:r w:rsidR="003A3EC3">
        <w:rPr>
          <w:rFonts w:asciiTheme="minorHAnsi" w:hAnsiTheme="minorHAnsi" w:cstheme="minorHAnsi"/>
          <w:b w:val="0"/>
        </w:rPr>
        <w:t>ir</w:t>
      </w:r>
      <w:r w:rsidRPr="00573F62">
        <w:rPr>
          <w:rFonts w:asciiTheme="minorHAnsi" w:hAnsiTheme="minorHAnsi" w:cstheme="minorHAnsi"/>
          <w:b w:val="0"/>
        </w:rPr>
        <w:t xml:space="preserve"> level</w:t>
      </w:r>
      <w:r w:rsidR="00E753AA">
        <w:rPr>
          <w:rFonts w:asciiTheme="minorHAnsi" w:hAnsiTheme="minorHAnsi" w:cstheme="minorHAnsi"/>
          <w:b w:val="0"/>
        </w:rPr>
        <w:t xml:space="preserve"> of generality</w:t>
      </w:r>
      <w:r w:rsidRPr="00573F62">
        <w:rPr>
          <w:rFonts w:asciiTheme="minorHAnsi" w:hAnsiTheme="minorHAnsi" w:cstheme="minorHAnsi"/>
          <w:b w:val="0"/>
        </w:rPr>
        <w:t xml:space="preserve">, but opportunities </w:t>
      </w:r>
      <w:r w:rsidR="003A3EC3">
        <w:rPr>
          <w:rFonts w:asciiTheme="minorHAnsi" w:hAnsiTheme="minorHAnsi" w:cstheme="minorHAnsi"/>
          <w:b w:val="0"/>
        </w:rPr>
        <w:t xml:space="preserve">exist for </w:t>
      </w:r>
      <w:r w:rsidRPr="00573F62">
        <w:rPr>
          <w:rFonts w:asciiTheme="minorHAnsi" w:hAnsiTheme="minorHAnsi" w:cstheme="minorHAnsi"/>
          <w:b w:val="0"/>
        </w:rPr>
        <w:t>some improvements in wording</w:t>
      </w:r>
      <w:r w:rsidR="00100E3D">
        <w:rPr>
          <w:rFonts w:asciiTheme="minorHAnsi" w:hAnsiTheme="minorHAnsi" w:cstheme="minorHAnsi"/>
          <w:b w:val="0"/>
        </w:rPr>
        <w:t xml:space="preserve">. Some changes </w:t>
      </w:r>
      <w:r w:rsidR="003A3EC3">
        <w:rPr>
          <w:rFonts w:asciiTheme="minorHAnsi" w:hAnsiTheme="minorHAnsi" w:cstheme="minorHAnsi"/>
          <w:b w:val="0"/>
        </w:rPr>
        <w:t xml:space="preserve">we suggest relate to </w:t>
      </w:r>
      <w:r w:rsidR="003B741F">
        <w:rPr>
          <w:rFonts w:asciiTheme="minorHAnsi" w:hAnsiTheme="minorHAnsi" w:cstheme="minorHAnsi"/>
          <w:b w:val="0"/>
        </w:rPr>
        <w:t xml:space="preserve">more fundamental problems </w:t>
      </w:r>
      <w:r w:rsidR="00100E3D">
        <w:rPr>
          <w:rFonts w:asciiTheme="minorHAnsi" w:hAnsiTheme="minorHAnsi" w:cstheme="minorHAnsi"/>
          <w:b w:val="0"/>
        </w:rPr>
        <w:t xml:space="preserve">in </w:t>
      </w:r>
      <w:r w:rsidR="003B741F">
        <w:rPr>
          <w:rFonts w:asciiTheme="minorHAnsi" w:hAnsiTheme="minorHAnsi" w:cstheme="minorHAnsi"/>
          <w:b w:val="0"/>
        </w:rPr>
        <w:t>the background paper</w:t>
      </w:r>
      <w:r w:rsidR="00381E8E">
        <w:rPr>
          <w:rFonts w:asciiTheme="minorHAnsi" w:hAnsiTheme="minorHAnsi" w:cstheme="minorHAnsi"/>
          <w:b w:val="0"/>
        </w:rPr>
        <w:t>, to which I’ll return</w:t>
      </w:r>
      <w:r w:rsidR="00100E3D">
        <w:rPr>
          <w:rFonts w:asciiTheme="minorHAnsi" w:hAnsiTheme="minorHAnsi" w:cstheme="minorHAnsi"/>
          <w:b w:val="0"/>
        </w:rPr>
        <w:t xml:space="preserve"> later.</w:t>
      </w:r>
    </w:p>
    <w:p w14:paraId="39DECD5E" w14:textId="77777777" w:rsidR="00573F62" w:rsidRDefault="00381E8E" w:rsidP="00E00729">
      <w:pPr>
        <w:pStyle w:val="Heading1"/>
        <w:spacing w:line="276" w:lineRule="auto"/>
        <w:rPr>
          <w:rFonts w:asciiTheme="minorHAnsi" w:hAnsiTheme="minorHAnsi" w:cstheme="minorHAnsi"/>
          <w:b w:val="0"/>
        </w:rPr>
      </w:pPr>
      <w:r w:rsidRPr="009915DF">
        <w:rPr>
          <w:rFonts w:asciiTheme="minorHAnsi" w:hAnsiTheme="minorHAnsi" w:cstheme="minorHAnsi"/>
        </w:rPr>
        <w:t>P</w:t>
      </w:r>
      <w:r w:rsidR="00573F62" w:rsidRPr="00142AF2">
        <w:rPr>
          <w:rFonts w:asciiTheme="minorHAnsi" w:hAnsiTheme="minorHAnsi" w:cstheme="minorHAnsi"/>
        </w:rPr>
        <w:t>age 22</w:t>
      </w:r>
      <w:r w:rsidR="00573F62" w:rsidRPr="00573F62">
        <w:rPr>
          <w:rFonts w:asciiTheme="minorHAnsi" w:hAnsiTheme="minorHAnsi" w:cstheme="minorHAnsi"/>
          <w:b w:val="0"/>
        </w:rPr>
        <w:t xml:space="preserve"> of the Strategy document and </w:t>
      </w:r>
      <w:r w:rsidR="00573F62" w:rsidRPr="00142AF2">
        <w:rPr>
          <w:rFonts w:asciiTheme="minorHAnsi" w:hAnsiTheme="minorHAnsi" w:cstheme="minorHAnsi"/>
        </w:rPr>
        <w:t>page 10</w:t>
      </w:r>
      <w:r w:rsidR="00573F62" w:rsidRPr="00573F62">
        <w:rPr>
          <w:rFonts w:asciiTheme="minorHAnsi" w:hAnsiTheme="minorHAnsi" w:cstheme="minorHAnsi"/>
          <w:b w:val="0"/>
        </w:rPr>
        <w:t xml:space="preserve"> of the </w:t>
      </w:r>
      <w:r>
        <w:rPr>
          <w:rFonts w:asciiTheme="minorHAnsi" w:hAnsiTheme="minorHAnsi" w:cstheme="minorHAnsi"/>
          <w:b w:val="0"/>
        </w:rPr>
        <w:t>g</w:t>
      </w:r>
      <w:r w:rsidR="00573F62" w:rsidRPr="00573F62">
        <w:rPr>
          <w:rFonts w:asciiTheme="minorHAnsi" w:hAnsiTheme="minorHAnsi" w:cstheme="minorHAnsi"/>
          <w:b w:val="0"/>
        </w:rPr>
        <w:t xml:space="preserve">uidance document </w:t>
      </w:r>
      <w:r>
        <w:rPr>
          <w:rFonts w:asciiTheme="minorHAnsi" w:hAnsiTheme="minorHAnsi" w:cstheme="minorHAnsi"/>
          <w:b w:val="0"/>
        </w:rPr>
        <w:t>include</w:t>
      </w:r>
      <w:r w:rsidRPr="00573F62">
        <w:rPr>
          <w:rFonts w:asciiTheme="minorHAnsi" w:hAnsiTheme="minorHAnsi" w:cstheme="minorHAnsi"/>
          <w:b w:val="0"/>
        </w:rPr>
        <w:t xml:space="preserve"> </w:t>
      </w:r>
      <w:r w:rsidR="00573F62" w:rsidRPr="00573F62">
        <w:rPr>
          <w:rFonts w:asciiTheme="minorHAnsi" w:hAnsiTheme="minorHAnsi" w:cstheme="minorHAnsi"/>
          <w:b w:val="0"/>
        </w:rPr>
        <w:t xml:space="preserve">a </w:t>
      </w:r>
      <w:r w:rsidR="00C85411">
        <w:rPr>
          <w:rFonts w:asciiTheme="minorHAnsi" w:hAnsiTheme="minorHAnsi" w:cstheme="minorHAnsi"/>
          <w:b w:val="0"/>
        </w:rPr>
        <w:t>‘</w:t>
      </w:r>
      <w:r w:rsidR="00573F62" w:rsidRPr="00573F62">
        <w:rPr>
          <w:rFonts w:asciiTheme="minorHAnsi" w:hAnsiTheme="minorHAnsi" w:cstheme="minorHAnsi"/>
          <w:b w:val="0"/>
        </w:rPr>
        <w:t>cross system priority</w:t>
      </w:r>
      <w:r w:rsidR="00573F62" w:rsidRPr="00573F62">
        <w:rPr>
          <w:b w:val="0"/>
        </w:rPr>
        <w:t xml:space="preserve">’ </w:t>
      </w:r>
      <w:r w:rsidR="00142AF2">
        <w:rPr>
          <w:rFonts w:asciiTheme="minorHAnsi" w:hAnsiTheme="minorHAnsi" w:cstheme="minorHAnsi"/>
          <w:b w:val="0"/>
        </w:rPr>
        <w:t>of:</w:t>
      </w:r>
    </w:p>
    <w:p w14:paraId="33796A30" w14:textId="77777777" w:rsidR="00142AF2" w:rsidRPr="00142AF2" w:rsidRDefault="00142AF2" w:rsidP="009915DF">
      <w:pPr>
        <w:pStyle w:val="Quote"/>
        <w:ind w:left="567"/>
      </w:pPr>
      <w:r>
        <w:t>Addressing racism, discrimination and social inclusion, healing and trauma, and the promotion of culture and language for Aboriginal and Torres Strait Islander people</w:t>
      </w:r>
      <w:r w:rsidR="00100E3D">
        <w:t>.</w:t>
      </w:r>
    </w:p>
    <w:p w14:paraId="53EB8183" w14:textId="77777777" w:rsidR="003A3EC3" w:rsidRDefault="00142AF2" w:rsidP="00E00729">
      <w:pPr>
        <w:pStyle w:val="Heading1"/>
        <w:spacing w:line="276" w:lineRule="auto"/>
        <w:rPr>
          <w:rFonts w:asciiTheme="minorHAnsi" w:hAnsiTheme="minorHAnsi" w:cstheme="minorHAnsi"/>
          <w:b w:val="0"/>
        </w:rPr>
      </w:pPr>
      <w:r>
        <w:rPr>
          <w:rFonts w:asciiTheme="minorHAnsi" w:hAnsiTheme="minorHAnsi" w:cstheme="minorHAnsi"/>
          <w:b w:val="0"/>
        </w:rPr>
        <w:t xml:space="preserve">We would recommend that you change the last bit of this to read the </w:t>
      </w:r>
      <w:r w:rsidRPr="009915DF">
        <w:rPr>
          <w:rFonts w:asciiTheme="minorHAnsi" w:hAnsiTheme="minorHAnsi" w:cstheme="minorHAnsi"/>
          <w:b w:val="0"/>
          <w:i/>
        </w:rPr>
        <w:t>‘strengthening of culture</w:t>
      </w:r>
      <w:r w:rsidRPr="009915DF">
        <w:rPr>
          <w:rFonts w:asciiTheme="minorHAnsi" w:hAnsiTheme="minorHAnsi" w:cstheme="minorHAnsi"/>
          <w:b w:val="0"/>
          <w:i/>
          <w:u w:val="single"/>
        </w:rPr>
        <w:t>s</w:t>
      </w:r>
      <w:r w:rsidRPr="009915DF">
        <w:rPr>
          <w:rFonts w:asciiTheme="minorHAnsi" w:hAnsiTheme="minorHAnsi" w:cstheme="minorHAnsi"/>
          <w:b w:val="0"/>
          <w:i/>
        </w:rPr>
        <w:t xml:space="preserve"> and language</w:t>
      </w:r>
      <w:r w:rsidRPr="009915DF">
        <w:rPr>
          <w:rFonts w:asciiTheme="minorHAnsi" w:hAnsiTheme="minorHAnsi" w:cstheme="minorHAnsi"/>
          <w:b w:val="0"/>
          <w:i/>
          <w:u w:val="single"/>
        </w:rPr>
        <w:t>s</w:t>
      </w:r>
      <w:r w:rsidR="00381E8E">
        <w:rPr>
          <w:rFonts w:asciiTheme="minorHAnsi" w:hAnsiTheme="minorHAnsi" w:cstheme="minorHAnsi"/>
          <w:b w:val="0"/>
          <w:i/>
          <w:u w:val="single"/>
        </w:rPr>
        <w:t>’</w:t>
      </w:r>
      <w:r w:rsidR="007F363B" w:rsidRPr="009915DF">
        <w:rPr>
          <w:rFonts w:asciiTheme="minorHAnsi" w:hAnsiTheme="minorHAnsi" w:cstheme="minorHAnsi"/>
          <w:b w:val="0"/>
          <w:i/>
        </w:rPr>
        <w:t xml:space="preserve"> </w:t>
      </w:r>
      <w:r w:rsidR="007F363B" w:rsidRPr="00381E8E">
        <w:rPr>
          <w:rFonts w:asciiTheme="minorHAnsi" w:hAnsiTheme="minorHAnsi" w:cstheme="minorHAnsi"/>
          <w:b w:val="0"/>
        </w:rPr>
        <w:t>(</w:t>
      </w:r>
      <w:r w:rsidR="00381E8E">
        <w:rPr>
          <w:rFonts w:asciiTheme="minorHAnsi" w:hAnsiTheme="minorHAnsi" w:cstheme="minorHAnsi"/>
          <w:b w:val="0"/>
        </w:rPr>
        <w:t>using the</w:t>
      </w:r>
      <w:r w:rsidR="00381E8E" w:rsidRPr="00381E8E">
        <w:rPr>
          <w:rFonts w:asciiTheme="minorHAnsi" w:hAnsiTheme="minorHAnsi" w:cstheme="minorHAnsi"/>
          <w:b w:val="0"/>
        </w:rPr>
        <w:t xml:space="preserve"> </w:t>
      </w:r>
      <w:r w:rsidR="007F363B" w:rsidRPr="00381E8E">
        <w:rPr>
          <w:rFonts w:asciiTheme="minorHAnsi" w:hAnsiTheme="minorHAnsi" w:cstheme="minorHAnsi"/>
          <w:b w:val="0"/>
        </w:rPr>
        <w:t>plural)</w:t>
      </w:r>
      <w:r>
        <w:rPr>
          <w:rFonts w:asciiTheme="minorHAnsi" w:hAnsiTheme="minorHAnsi" w:cstheme="minorHAnsi"/>
          <w:b w:val="0"/>
        </w:rPr>
        <w:t xml:space="preserve">. </w:t>
      </w:r>
      <w:r w:rsidR="003A3EC3">
        <w:rPr>
          <w:rFonts w:asciiTheme="minorHAnsi" w:hAnsiTheme="minorHAnsi" w:cstheme="minorHAnsi"/>
          <w:b w:val="0"/>
        </w:rPr>
        <w:t>(We make a wider point re diversity in our general comments below.)</w:t>
      </w:r>
    </w:p>
    <w:p w14:paraId="0CD462C6" w14:textId="77777777" w:rsidR="00142AF2" w:rsidRDefault="003A3EC3" w:rsidP="00E00729">
      <w:pPr>
        <w:pStyle w:val="Heading1"/>
        <w:spacing w:line="276" w:lineRule="auto"/>
        <w:rPr>
          <w:rFonts w:asciiTheme="minorHAnsi" w:hAnsiTheme="minorHAnsi" w:cstheme="minorHAnsi"/>
          <w:b w:val="0"/>
        </w:rPr>
      </w:pPr>
      <w:r>
        <w:rPr>
          <w:rFonts w:asciiTheme="minorHAnsi" w:hAnsiTheme="minorHAnsi" w:cstheme="minorHAnsi"/>
          <w:b w:val="0"/>
        </w:rPr>
        <w:t>Further</w:t>
      </w:r>
      <w:r w:rsidR="00ED6C52">
        <w:rPr>
          <w:rFonts w:asciiTheme="minorHAnsi" w:hAnsiTheme="minorHAnsi" w:cstheme="minorHAnsi"/>
          <w:b w:val="0"/>
        </w:rPr>
        <w:t xml:space="preserve">, </w:t>
      </w:r>
      <w:r>
        <w:rPr>
          <w:rFonts w:asciiTheme="minorHAnsi" w:hAnsiTheme="minorHAnsi" w:cstheme="minorHAnsi"/>
          <w:b w:val="0"/>
        </w:rPr>
        <w:t>we cannot find</w:t>
      </w:r>
      <w:r w:rsidR="00F50E5C">
        <w:rPr>
          <w:rFonts w:asciiTheme="minorHAnsi" w:hAnsiTheme="minorHAnsi" w:cstheme="minorHAnsi"/>
          <w:b w:val="0"/>
        </w:rPr>
        <w:t xml:space="preserve"> anything</w:t>
      </w:r>
      <w:r>
        <w:rPr>
          <w:rFonts w:asciiTheme="minorHAnsi" w:hAnsiTheme="minorHAnsi" w:cstheme="minorHAnsi"/>
          <w:b w:val="0"/>
        </w:rPr>
        <w:t xml:space="preserve"> in the three documents</w:t>
      </w:r>
      <w:r w:rsidR="00F50E5C">
        <w:rPr>
          <w:rFonts w:asciiTheme="minorHAnsi" w:hAnsiTheme="minorHAnsi" w:cstheme="minorHAnsi"/>
          <w:b w:val="0"/>
        </w:rPr>
        <w:t xml:space="preserve"> that talks about </w:t>
      </w:r>
      <w:r w:rsidR="00F50E5C" w:rsidRPr="009915DF">
        <w:rPr>
          <w:rFonts w:asciiTheme="minorHAnsi" w:hAnsiTheme="minorHAnsi" w:cstheme="minorHAnsi"/>
          <w:b w:val="0"/>
          <w:i/>
        </w:rPr>
        <w:t xml:space="preserve">promoting </w:t>
      </w:r>
      <w:r w:rsidR="00F50E5C">
        <w:rPr>
          <w:rFonts w:asciiTheme="minorHAnsi" w:hAnsiTheme="minorHAnsi" w:cstheme="minorHAnsi"/>
          <w:b w:val="0"/>
        </w:rPr>
        <w:t>language</w:t>
      </w:r>
      <w:r w:rsidR="00ED6C52">
        <w:rPr>
          <w:rFonts w:asciiTheme="minorHAnsi" w:hAnsiTheme="minorHAnsi" w:cstheme="minorHAnsi"/>
          <w:b w:val="0"/>
        </w:rPr>
        <w:t>s</w:t>
      </w:r>
      <w:r w:rsidR="00403941">
        <w:rPr>
          <w:rFonts w:asciiTheme="minorHAnsi" w:hAnsiTheme="minorHAnsi" w:cstheme="minorHAnsi"/>
          <w:b w:val="0"/>
        </w:rPr>
        <w:t xml:space="preserve"> or directing evaluations to </w:t>
      </w:r>
      <w:r w:rsidR="00B44037">
        <w:rPr>
          <w:rFonts w:asciiTheme="minorHAnsi" w:hAnsiTheme="minorHAnsi" w:cstheme="minorHAnsi"/>
          <w:b w:val="0"/>
        </w:rPr>
        <w:t>consider</w:t>
      </w:r>
      <w:r w:rsidR="00403941">
        <w:rPr>
          <w:rFonts w:asciiTheme="minorHAnsi" w:hAnsiTheme="minorHAnsi" w:cstheme="minorHAnsi"/>
          <w:b w:val="0"/>
        </w:rPr>
        <w:t xml:space="preserve"> whether or not language</w:t>
      </w:r>
      <w:r w:rsidR="00ED6C52">
        <w:rPr>
          <w:rFonts w:asciiTheme="minorHAnsi" w:hAnsiTheme="minorHAnsi" w:cstheme="minorHAnsi"/>
          <w:b w:val="0"/>
        </w:rPr>
        <w:t xml:space="preserve">s and language learning (of English and/or Aboriginal &amp; Torres Strait Islander languages) </w:t>
      </w:r>
      <w:r w:rsidR="00403941">
        <w:rPr>
          <w:rFonts w:asciiTheme="minorHAnsi" w:hAnsiTheme="minorHAnsi" w:cstheme="minorHAnsi"/>
          <w:b w:val="0"/>
        </w:rPr>
        <w:t>are promoted</w:t>
      </w:r>
      <w:r w:rsidR="00F50E5C">
        <w:rPr>
          <w:rFonts w:asciiTheme="minorHAnsi" w:hAnsiTheme="minorHAnsi" w:cstheme="minorHAnsi"/>
          <w:b w:val="0"/>
        </w:rPr>
        <w:t>.</w:t>
      </w:r>
      <w:r w:rsidR="006C0026">
        <w:rPr>
          <w:rFonts w:asciiTheme="minorHAnsi" w:hAnsiTheme="minorHAnsi" w:cstheme="minorHAnsi"/>
          <w:b w:val="0"/>
        </w:rPr>
        <w:t xml:space="preserve"> I’ll come back to this point in my more general comments</w:t>
      </w:r>
      <w:r w:rsidR="001624DC">
        <w:rPr>
          <w:rFonts w:asciiTheme="minorHAnsi" w:hAnsiTheme="minorHAnsi" w:cstheme="minorHAnsi"/>
          <w:b w:val="0"/>
        </w:rPr>
        <w:t xml:space="preserve"> (section 2.1)</w:t>
      </w:r>
      <w:r w:rsidR="006C0026">
        <w:rPr>
          <w:rFonts w:asciiTheme="minorHAnsi" w:hAnsiTheme="minorHAnsi" w:cstheme="minorHAnsi"/>
          <w:b w:val="0"/>
        </w:rPr>
        <w:t>.</w:t>
      </w:r>
    </w:p>
    <w:p w14:paraId="4ADDF3C9" w14:textId="77777777" w:rsidR="00573F62" w:rsidRDefault="00403941" w:rsidP="00E00729">
      <w:pPr>
        <w:pStyle w:val="Heading1"/>
        <w:spacing w:line="276" w:lineRule="auto"/>
      </w:pPr>
      <w:r w:rsidRPr="00573F62">
        <w:rPr>
          <w:rFonts w:asciiTheme="minorHAnsi" w:hAnsiTheme="minorHAnsi" w:cstheme="minorHAnsi"/>
          <w:b w:val="0"/>
        </w:rPr>
        <w:t>On</w:t>
      </w:r>
      <w:r>
        <w:rPr>
          <w:rFonts w:asciiTheme="minorHAnsi" w:hAnsiTheme="minorHAnsi" w:cstheme="minorHAnsi"/>
        </w:rPr>
        <w:t xml:space="preserve"> page 24 </w:t>
      </w:r>
      <w:r>
        <w:rPr>
          <w:rFonts w:asciiTheme="minorHAnsi" w:hAnsiTheme="minorHAnsi" w:cstheme="minorHAnsi"/>
          <w:b w:val="0"/>
        </w:rPr>
        <w:t xml:space="preserve">of the Strategy, </w:t>
      </w:r>
      <w:r w:rsidR="00ED6C52">
        <w:rPr>
          <w:rFonts w:asciiTheme="minorHAnsi" w:hAnsiTheme="minorHAnsi" w:cstheme="minorHAnsi"/>
          <w:b w:val="0"/>
        </w:rPr>
        <w:t>i</w:t>
      </w:r>
      <w:r>
        <w:rPr>
          <w:rFonts w:asciiTheme="minorHAnsi" w:hAnsiTheme="minorHAnsi" w:cstheme="minorHAnsi"/>
          <w:b w:val="0"/>
        </w:rPr>
        <w:t xml:space="preserve">n the list of actions, there’s nothing </w:t>
      </w:r>
      <w:r w:rsidR="00E66732">
        <w:rPr>
          <w:rFonts w:asciiTheme="minorHAnsi" w:hAnsiTheme="minorHAnsi" w:cstheme="minorHAnsi"/>
          <w:b w:val="0"/>
        </w:rPr>
        <w:t>(as far as we can see)</w:t>
      </w:r>
      <w:r>
        <w:rPr>
          <w:rFonts w:asciiTheme="minorHAnsi" w:hAnsiTheme="minorHAnsi" w:cstheme="minorHAnsi"/>
          <w:b w:val="0"/>
        </w:rPr>
        <w:t xml:space="preserve"> on </w:t>
      </w:r>
      <w:r w:rsidR="00156929">
        <w:rPr>
          <w:rFonts w:asciiTheme="minorHAnsi" w:hAnsiTheme="minorHAnsi" w:cstheme="minorHAnsi"/>
          <w:b w:val="0"/>
        </w:rPr>
        <w:t xml:space="preserve">where </w:t>
      </w:r>
      <w:r>
        <w:rPr>
          <w:rFonts w:asciiTheme="minorHAnsi" w:hAnsiTheme="minorHAnsi" w:cstheme="minorHAnsi"/>
          <w:b w:val="0"/>
        </w:rPr>
        <w:t xml:space="preserve">Commonwealth-State </w:t>
      </w:r>
      <w:r w:rsidR="001624DC">
        <w:rPr>
          <w:rFonts w:asciiTheme="minorHAnsi" w:hAnsiTheme="minorHAnsi" w:cstheme="minorHAnsi"/>
          <w:b w:val="0"/>
        </w:rPr>
        <w:t xml:space="preserve">responsibilities </w:t>
      </w:r>
      <w:r>
        <w:rPr>
          <w:rFonts w:asciiTheme="minorHAnsi" w:hAnsiTheme="minorHAnsi" w:cstheme="minorHAnsi"/>
          <w:b w:val="0"/>
        </w:rPr>
        <w:t>intersect</w:t>
      </w:r>
      <w:r w:rsidR="00156929">
        <w:rPr>
          <w:rFonts w:asciiTheme="minorHAnsi" w:hAnsiTheme="minorHAnsi" w:cstheme="minorHAnsi"/>
          <w:b w:val="0"/>
        </w:rPr>
        <w:t xml:space="preserve"> and how recommendations might carry forward into State/Territory jurisdictions</w:t>
      </w:r>
      <w:r w:rsidR="00ED6C52">
        <w:rPr>
          <w:rFonts w:asciiTheme="minorHAnsi" w:hAnsiTheme="minorHAnsi" w:cstheme="minorHAnsi"/>
          <w:b w:val="0"/>
        </w:rPr>
        <w:t xml:space="preserve">. </w:t>
      </w:r>
      <w:r w:rsidR="00156929">
        <w:rPr>
          <w:rFonts w:asciiTheme="minorHAnsi" w:hAnsiTheme="minorHAnsi" w:cstheme="minorHAnsi"/>
          <w:b w:val="0"/>
        </w:rPr>
        <w:t xml:space="preserve">Especially with </w:t>
      </w:r>
      <w:r>
        <w:rPr>
          <w:rFonts w:asciiTheme="minorHAnsi" w:hAnsiTheme="minorHAnsi" w:cstheme="minorHAnsi"/>
          <w:b w:val="0"/>
        </w:rPr>
        <w:t xml:space="preserve">mainstream policies, this is a huge </w:t>
      </w:r>
      <w:r w:rsidR="00B44037">
        <w:rPr>
          <w:rFonts w:asciiTheme="minorHAnsi" w:hAnsiTheme="minorHAnsi" w:cstheme="minorHAnsi"/>
          <w:b w:val="0"/>
        </w:rPr>
        <w:t>and</w:t>
      </w:r>
      <w:r w:rsidR="00E800C9">
        <w:rPr>
          <w:rFonts w:asciiTheme="minorHAnsi" w:hAnsiTheme="minorHAnsi" w:cstheme="minorHAnsi"/>
          <w:b w:val="0"/>
        </w:rPr>
        <w:t xml:space="preserve"> </w:t>
      </w:r>
      <w:r w:rsidR="00B44037">
        <w:rPr>
          <w:rFonts w:asciiTheme="minorHAnsi" w:hAnsiTheme="minorHAnsi" w:cstheme="minorHAnsi"/>
          <w:b w:val="0"/>
        </w:rPr>
        <w:t>complex issue</w:t>
      </w:r>
      <w:r w:rsidR="003A3EC3">
        <w:rPr>
          <w:rFonts w:asciiTheme="minorHAnsi" w:hAnsiTheme="minorHAnsi" w:cstheme="minorHAnsi"/>
          <w:b w:val="0"/>
        </w:rPr>
        <w:t xml:space="preserve">, </w:t>
      </w:r>
      <w:r w:rsidR="003A3EC3">
        <w:rPr>
          <w:rFonts w:asciiTheme="minorHAnsi" w:hAnsiTheme="minorHAnsi" w:cstheme="minorHAnsi"/>
          <w:b w:val="0"/>
        </w:rPr>
        <w:lastRenderedPageBreak/>
        <w:t xml:space="preserve">not least </w:t>
      </w:r>
      <w:r w:rsidR="00B44037">
        <w:rPr>
          <w:rFonts w:asciiTheme="minorHAnsi" w:hAnsiTheme="minorHAnsi" w:cstheme="minorHAnsi"/>
          <w:b w:val="0"/>
        </w:rPr>
        <w:t>in education, health and justice</w:t>
      </w:r>
      <w:r w:rsidR="00E800C9">
        <w:rPr>
          <w:rFonts w:asciiTheme="minorHAnsi" w:hAnsiTheme="minorHAnsi" w:cstheme="minorHAnsi"/>
          <w:b w:val="0"/>
        </w:rPr>
        <w:t>. So we wonder if it</w:t>
      </w:r>
      <w:r w:rsidR="00B44037">
        <w:rPr>
          <w:rFonts w:asciiTheme="minorHAnsi" w:hAnsiTheme="minorHAnsi" w:cstheme="minorHAnsi"/>
          <w:b w:val="0"/>
        </w:rPr>
        <w:t>’</w:t>
      </w:r>
      <w:r w:rsidR="00E800C9">
        <w:rPr>
          <w:rFonts w:asciiTheme="minorHAnsi" w:hAnsiTheme="minorHAnsi" w:cstheme="minorHAnsi"/>
          <w:b w:val="0"/>
        </w:rPr>
        <w:t xml:space="preserve">s possible for the Commission to </w:t>
      </w:r>
      <w:r w:rsidR="00B44037">
        <w:rPr>
          <w:rFonts w:asciiTheme="minorHAnsi" w:hAnsiTheme="minorHAnsi" w:cstheme="minorHAnsi"/>
          <w:b w:val="0"/>
        </w:rPr>
        <w:t>consider</w:t>
      </w:r>
      <w:r w:rsidR="00E800C9">
        <w:rPr>
          <w:rFonts w:asciiTheme="minorHAnsi" w:hAnsiTheme="minorHAnsi" w:cstheme="minorHAnsi"/>
          <w:b w:val="0"/>
        </w:rPr>
        <w:t xml:space="preserve"> </w:t>
      </w:r>
      <w:r w:rsidR="00156929">
        <w:rPr>
          <w:rFonts w:asciiTheme="minorHAnsi" w:hAnsiTheme="minorHAnsi" w:cstheme="minorHAnsi"/>
          <w:b w:val="0"/>
        </w:rPr>
        <w:t>actions</w:t>
      </w:r>
      <w:r w:rsidR="00E30ED2">
        <w:rPr>
          <w:rFonts w:asciiTheme="minorHAnsi" w:hAnsiTheme="minorHAnsi" w:cstheme="minorHAnsi"/>
          <w:b w:val="0"/>
        </w:rPr>
        <w:t xml:space="preserve"> </w:t>
      </w:r>
      <w:r w:rsidR="00156929">
        <w:rPr>
          <w:rFonts w:asciiTheme="minorHAnsi" w:hAnsiTheme="minorHAnsi" w:cstheme="minorHAnsi"/>
          <w:b w:val="0"/>
        </w:rPr>
        <w:t xml:space="preserve">that will require </w:t>
      </w:r>
      <w:r w:rsidR="00E800C9">
        <w:rPr>
          <w:rFonts w:asciiTheme="minorHAnsi" w:hAnsiTheme="minorHAnsi" w:cstheme="minorHAnsi"/>
          <w:b w:val="0"/>
        </w:rPr>
        <w:t xml:space="preserve">Commonwealth-State </w:t>
      </w:r>
      <w:r w:rsidR="00156929">
        <w:rPr>
          <w:rFonts w:asciiTheme="minorHAnsi" w:hAnsiTheme="minorHAnsi" w:cstheme="minorHAnsi"/>
          <w:b w:val="0"/>
        </w:rPr>
        <w:t>co-operation and how this might best be achieved</w:t>
      </w:r>
      <w:r w:rsidR="00E800C9">
        <w:rPr>
          <w:rFonts w:asciiTheme="minorHAnsi" w:hAnsiTheme="minorHAnsi" w:cstheme="minorHAnsi"/>
          <w:b w:val="0"/>
        </w:rPr>
        <w:t xml:space="preserve">. </w:t>
      </w:r>
    </w:p>
    <w:p w14:paraId="3FDE4627" w14:textId="77777777" w:rsidR="00761E28" w:rsidRDefault="001C236F" w:rsidP="00E00729">
      <w:pPr>
        <w:pStyle w:val="Heading1"/>
        <w:spacing w:line="276" w:lineRule="auto"/>
        <w:rPr>
          <w:rFonts w:asciiTheme="minorHAnsi" w:hAnsiTheme="minorHAnsi" w:cstheme="minorHAnsi"/>
          <w:b w:val="0"/>
        </w:rPr>
      </w:pPr>
      <w:r w:rsidRPr="00573F62">
        <w:rPr>
          <w:rFonts w:asciiTheme="minorHAnsi" w:hAnsiTheme="minorHAnsi" w:cstheme="minorHAnsi"/>
          <w:b w:val="0"/>
        </w:rPr>
        <w:t>On</w:t>
      </w:r>
      <w:r>
        <w:rPr>
          <w:rFonts w:asciiTheme="minorHAnsi" w:hAnsiTheme="minorHAnsi" w:cstheme="minorHAnsi"/>
        </w:rPr>
        <w:t xml:space="preserve"> page 26 </w:t>
      </w:r>
      <w:r>
        <w:rPr>
          <w:rFonts w:asciiTheme="minorHAnsi" w:hAnsiTheme="minorHAnsi" w:cstheme="minorHAnsi"/>
          <w:b w:val="0"/>
        </w:rPr>
        <w:t>of the Strategy</w:t>
      </w:r>
      <w:r w:rsidR="0064699E">
        <w:rPr>
          <w:rFonts w:asciiTheme="minorHAnsi" w:hAnsiTheme="minorHAnsi" w:cstheme="minorHAnsi"/>
          <w:b w:val="0"/>
        </w:rPr>
        <w:t>, regarding building capability,</w:t>
      </w:r>
      <w:r w:rsidR="008D1960">
        <w:rPr>
          <w:rFonts w:asciiTheme="minorHAnsi" w:hAnsiTheme="minorHAnsi" w:cstheme="minorHAnsi"/>
          <w:b w:val="0"/>
        </w:rPr>
        <w:t xml:space="preserve"> as far as we can see,</w:t>
      </w:r>
      <w:r w:rsidR="0064699E">
        <w:rPr>
          <w:rFonts w:asciiTheme="minorHAnsi" w:hAnsiTheme="minorHAnsi" w:cstheme="minorHAnsi"/>
          <w:b w:val="0"/>
        </w:rPr>
        <w:t xml:space="preserve"> there’s nothing there (or in the whole set of documents) about </w:t>
      </w:r>
      <w:r w:rsidR="00E30ED2">
        <w:rPr>
          <w:rFonts w:asciiTheme="minorHAnsi" w:hAnsiTheme="minorHAnsi" w:cstheme="minorHAnsi"/>
          <w:b w:val="0"/>
        </w:rPr>
        <w:t>t</w:t>
      </w:r>
      <w:r w:rsidR="0064699E">
        <w:rPr>
          <w:rFonts w:asciiTheme="minorHAnsi" w:hAnsiTheme="minorHAnsi" w:cstheme="minorHAnsi"/>
          <w:b w:val="0"/>
        </w:rPr>
        <w:t>raditional training institutions (</w:t>
      </w:r>
      <w:r w:rsidR="00B44037">
        <w:rPr>
          <w:rFonts w:asciiTheme="minorHAnsi" w:hAnsiTheme="minorHAnsi" w:cstheme="minorHAnsi"/>
          <w:b w:val="0"/>
        </w:rPr>
        <w:t>not</w:t>
      </w:r>
      <w:r w:rsidR="00E30ED2">
        <w:rPr>
          <w:rFonts w:asciiTheme="minorHAnsi" w:hAnsiTheme="minorHAnsi" w:cstheme="minorHAnsi"/>
          <w:b w:val="0"/>
        </w:rPr>
        <w:t>a</w:t>
      </w:r>
      <w:r w:rsidR="00B44037">
        <w:rPr>
          <w:rFonts w:asciiTheme="minorHAnsi" w:hAnsiTheme="minorHAnsi" w:cstheme="minorHAnsi"/>
          <w:b w:val="0"/>
        </w:rPr>
        <w:t xml:space="preserve">bly, </w:t>
      </w:r>
      <w:r w:rsidR="0064699E">
        <w:rPr>
          <w:rFonts w:asciiTheme="minorHAnsi" w:hAnsiTheme="minorHAnsi" w:cstheme="minorHAnsi"/>
          <w:b w:val="0"/>
        </w:rPr>
        <w:t>universities and the VET sector).</w:t>
      </w:r>
      <w:r w:rsidR="00F8755D">
        <w:rPr>
          <w:rFonts w:asciiTheme="minorHAnsi" w:hAnsiTheme="minorHAnsi" w:cstheme="minorHAnsi"/>
          <w:b w:val="0"/>
        </w:rPr>
        <w:t xml:space="preserve"> </w:t>
      </w:r>
      <w:r w:rsidR="00B44037">
        <w:rPr>
          <w:rFonts w:asciiTheme="minorHAnsi" w:hAnsiTheme="minorHAnsi" w:cstheme="minorHAnsi"/>
          <w:b w:val="0"/>
        </w:rPr>
        <w:t>The</w:t>
      </w:r>
      <w:r w:rsidR="00F8755D">
        <w:rPr>
          <w:rFonts w:asciiTheme="minorHAnsi" w:hAnsiTheme="minorHAnsi" w:cstheme="minorHAnsi"/>
          <w:b w:val="0"/>
        </w:rPr>
        <w:t xml:space="preserve"> bulk of capability is recruited </w:t>
      </w:r>
      <w:r w:rsidR="00E30ED2">
        <w:rPr>
          <w:rFonts w:asciiTheme="minorHAnsi" w:hAnsiTheme="minorHAnsi" w:cstheme="minorHAnsi"/>
          <w:b w:val="0"/>
        </w:rPr>
        <w:t xml:space="preserve">from and developed in </w:t>
      </w:r>
      <w:r w:rsidR="00B44037">
        <w:rPr>
          <w:rFonts w:asciiTheme="minorHAnsi" w:hAnsiTheme="minorHAnsi" w:cstheme="minorHAnsi"/>
          <w:b w:val="0"/>
        </w:rPr>
        <w:t>these institutions</w:t>
      </w:r>
      <w:r w:rsidR="00F8755D">
        <w:rPr>
          <w:rFonts w:asciiTheme="minorHAnsi" w:hAnsiTheme="minorHAnsi" w:cstheme="minorHAnsi"/>
          <w:b w:val="0"/>
        </w:rPr>
        <w:t>. Bodies like ANZSOG also have a role to play in training.</w:t>
      </w:r>
      <w:r w:rsidR="00E30ED2">
        <w:rPr>
          <w:rFonts w:asciiTheme="minorHAnsi" w:hAnsiTheme="minorHAnsi" w:cstheme="minorHAnsi"/>
          <w:b w:val="0"/>
        </w:rPr>
        <w:t xml:space="preserve"> The discussion of</w:t>
      </w:r>
      <w:r w:rsidR="00761E28">
        <w:rPr>
          <w:rFonts w:asciiTheme="minorHAnsi" w:hAnsiTheme="minorHAnsi" w:cstheme="minorHAnsi"/>
          <w:b w:val="0"/>
        </w:rPr>
        <w:t xml:space="preserve"> </w:t>
      </w:r>
      <w:r w:rsidR="00E30ED2">
        <w:rPr>
          <w:rFonts w:asciiTheme="minorHAnsi" w:hAnsiTheme="minorHAnsi" w:cstheme="minorHAnsi"/>
          <w:b w:val="0"/>
        </w:rPr>
        <w:t xml:space="preserve">building </w:t>
      </w:r>
      <w:r w:rsidR="00761E28">
        <w:rPr>
          <w:rFonts w:asciiTheme="minorHAnsi" w:hAnsiTheme="minorHAnsi" w:cstheme="minorHAnsi"/>
          <w:b w:val="0"/>
        </w:rPr>
        <w:t xml:space="preserve">capability </w:t>
      </w:r>
      <w:r w:rsidR="00E30ED2">
        <w:rPr>
          <w:rFonts w:asciiTheme="minorHAnsi" w:hAnsiTheme="minorHAnsi" w:cstheme="minorHAnsi"/>
          <w:b w:val="0"/>
        </w:rPr>
        <w:t>should include how to impact on</w:t>
      </w:r>
      <w:r w:rsidR="00761E28">
        <w:rPr>
          <w:rFonts w:asciiTheme="minorHAnsi" w:hAnsiTheme="minorHAnsi" w:cstheme="minorHAnsi"/>
          <w:b w:val="0"/>
        </w:rPr>
        <w:t xml:space="preserve"> traditional training institutions.</w:t>
      </w:r>
    </w:p>
    <w:p w14:paraId="4D3621BB" w14:textId="77777777" w:rsidR="00573F62" w:rsidRPr="00422F3E" w:rsidRDefault="00F8755D" w:rsidP="00E00729">
      <w:pPr>
        <w:pStyle w:val="Heading1"/>
        <w:spacing w:line="276" w:lineRule="auto"/>
        <w:rPr>
          <w:rFonts w:asciiTheme="minorHAnsi" w:hAnsiTheme="minorHAnsi" w:cstheme="minorHAnsi"/>
          <w:b w:val="0"/>
        </w:rPr>
      </w:pPr>
      <w:r>
        <w:rPr>
          <w:rFonts w:asciiTheme="minorHAnsi" w:hAnsiTheme="minorHAnsi" w:cstheme="minorHAnsi"/>
          <w:b w:val="0"/>
        </w:rPr>
        <w:t>There is</w:t>
      </w:r>
      <w:r w:rsidR="00432429">
        <w:rPr>
          <w:rFonts w:asciiTheme="minorHAnsi" w:hAnsiTheme="minorHAnsi" w:cstheme="minorHAnsi"/>
          <w:b w:val="0"/>
        </w:rPr>
        <w:t xml:space="preserve"> also</w:t>
      </w:r>
      <w:r>
        <w:rPr>
          <w:rFonts w:asciiTheme="minorHAnsi" w:hAnsiTheme="minorHAnsi" w:cstheme="minorHAnsi"/>
          <w:b w:val="0"/>
        </w:rPr>
        <w:t xml:space="preserve"> a</w:t>
      </w:r>
      <w:r w:rsidR="00432429">
        <w:rPr>
          <w:rFonts w:asciiTheme="minorHAnsi" w:hAnsiTheme="minorHAnsi" w:cstheme="minorHAnsi"/>
          <w:b w:val="0"/>
        </w:rPr>
        <w:t xml:space="preserve"> need to</w:t>
      </w:r>
      <w:r>
        <w:rPr>
          <w:rFonts w:asciiTheme="minorHAnsi" w:hAnsiTheme="minorHAnsi" w:cstheme="minorHAnsi"/>
          <w:b w:val="0"/>
        </w:rPr>
        <w:t xml:space="preserve"> consider professional associations (such as ACTA) </w:t>
      </w:r>
      <w:r w:rsidR="00E724D6">
        <w:rPr>
          <w:rFonts w:asciiTheme="minorHAnsi" w:hAnsiTheme="minorHAnsi" w:cstheme="minorHAnsi"/>
          <w:b w:val="0"/>
        </w:rPr>
        <w:t xml:space="preserve">and advocacy groups </w:t>
      </w:r>
      <w:r>
        <w:rPr>
          <w:rFonts w:asciiTheme="minorHAnsi" w:hAnsiTheme="minorHAnsi" w:cstheme="minorHAnsi"/>
          <w:b w:val="0"/>
        </w:rPr>
        <w:t>and the networks that these associations have and are capable of developing</w:t>
      </w:r>
      <w:r w:rsidR="00422F3E">
        <w:rPr>
          <w:rFonts w:asciiTheme="minorHAnsi" w:hAnsiTheme="minorHAnsi" w:cstheme="minorHAnsi"/>
          <w:b w:val="0"/>
        </w:rPr>
        <w:t xml:space="preserve">. </w:t>
      </w:r>
      <w:r w:rsidR="00156929">
        <w:rPr>
          <w:rFonts w:asciiTheme="minorHAnsi" w:hAnsiTheme="minorHAnsi" w:cstheme="minorHAnsi"/>
          <w:b w:val="0"/>
        </w:rPr>
        <w:t>Most</w:t>
      </w:r>
      <w:r w:rsidR="009C7DA8">
        <w:rPr>
          <w:rFonts w:asciiTheme="minorHAnsi" w:hAnsiTheme="minorHAnsi" w:cstheme="minorHAnsi"/>
          <w:b w:val="0"/>
        </w:rPr>
        <w:t xml:space="preserve"> of </w:t>
      </w:r>
      <w:r w:rsidR="00156929">
        <w:rPr>
          <w:rFonts w:asciiTheme="minorHAnsi" w:hAnsiTheme="minorHAnsi" w:cstheme="minorHAnsi"/>
          <w:b w:val="0"/>
        </w:rPr>
        <w:t xml:space="preserve">the </w:t>
      </w:r>
      <w:r w:rsidR="009C7DA8">
        <w:rPr>
          <w:rFonts w:asciiTheme="minorHAnsi" w:hAnsiTheme="minorHAnsi" w:cstheme="minorHAnsi"/>
          <w:b w:val="0"/>
        </w:rPr>
        <w:t>work</w:t>
      </w:r>
      <w:r w:rsidR="00156929">
        <w:rPr>
          <w:rFonts w:asciiTheme="minorHAnsi" w:hAnsiTheme="minorHAnsi" w:cstheme="minorHAnsi"/>
          <w:b w:val="0"/>
        </w:rPr>
        <w:t xml:space="preserve"> of ACTA’s member associations</w:t>
      </w:r>
      <w:r w:rsidR="009C7DA8">
        <w:rPr>
          <w:rFonts w:asciiTheme="minorHAnsi" w:hAnsiTheme="minorHAnsi" w:cstheme="minorHAnsi"/>
          <w:b w:val="0"/>
        </w:rPr>
        <w:t xml:space="preserve"> is professional development. </w:t>
      </w:r>
      <w:r w:rsidR="00422F3E">
        <w:rPr>
          <w:rFonts w:asciiTheme="minorHAnsi" w:hAnsiTheme="minorHAnsi" w:cstheme="minorHAnsi"/>
          <w:b w:val="0"/>
        </w:rPr>
        <w:t xml:space="preserve">An example of the </w:t>
      </w:r>
      <w:r w:rsidR="00E30ED2">
        <w:rPr>
          <w:rFonts w:asciiTheme="minorHAnsi" w:hAnsiTheme="minorHAnsi" w:cstheme="minorHAnsi"/>
          <w:b w:val="0"/>
        </w:rPr>
        <w:t xml:space="preserve">strategic capability building </w:t>
      </w:r>
      <w:r w:rsidR="00422F3E">
        <w:rPr>
          <w:rFonts w:asciiTheme="minorHAnsi" w:hAnsiTheme="minorHAnsi" w:cstheme="minorHAnsi"/>
          <w:b w:val="0"/>
        </w:rPr>
        <w:t xml:space="preserve">that </w:t>
      </w:r>
      <w:r w:rsidR="00156929">
        <w:rPr>
          <w:rFonts w:asciiTheme="minorHAnsi" w:hAnsiTheme="minorHAnsi" w:cstheme="minorHAnsi"/>
          <w:b w:val="0"/>
        </w:rPr>
        <w:t xml:space="preserve">professional/advocacy </w:t>
      </w:r>
      <w:r w:rsidR="00422F3E">
        <w:rPr>
          <w:rFonts w:asciiTheme="minorHAnsi" w:hAnsiTheme="minorHAnsi" w:cstheme="minorHAnsi"/>
          <w:b w:val="0"/>
        </w:rPr>
        <w:t xml:space="preserve">groups can do </w:t>
      </w:r>
      <w:r w:rsidR="00ED6C52">
        <w:rPr>
          <w:rFonts w:asciiTheme="minorHAnsi" w:hAnsiTheme="minorHAnsi" w:cstheme="minorHAnsi"/>
          <w:b w:val="0"/>
        </w:rPr>
        <w:t>is</w:t>
      </w:r>
      <w:r w:rsidR="00C03B93">
        <w:rPr>
          <w:rFonts w:asciiTheme="minorHAnsi" w:hAnsiTheme="minorHAnsi" w:cstheme="minorHAnsi"/>
          <w:b w:val="0"/>
        </w:rPr>
        <w:t xml:space="preserve"> </w:t>
      </w:r>
      <w:r w:rsidR="00422F3E">
        <w:rPr>
          <w:rFonts w:asciiTheme="minorHAnsi" w:hAnsiTheme="minorHAnsi" w:cstheme="minorHAnsi"/>
          <w:b w:val="0"/>
        </w:rPr>
        <w:t>the Multicultural Youth Advocacy Network</w:t>
      </w:r>
      <w:r w:rsidR="00ED6C52">
        <w:rPr>
          <w:rFonts w:asciiTheme="minorHAnsi" w:hAnsiTheme="minorHAnsi" w:cstheme="minorHAnsi"/>
          <w:b w:val="0"/>
        </w:rPr>
        <w:t>’s</w:t>
      </w:r>
      <w:r w:rsidR="00422F3E">
        <w:rPr>
          <w:rFonts w:asciiTheme="minorHAnsi" w:hAnsiTheme="minorHAnsi" w:cstheme="minorHAnsi"/>
          <w:b w:val="0"/>
        </w:rPr>
        <w:t xml:space="preserve"> </w:t>
      </w:r>
      <w:r w:rsidR="00ED6C52">
        <w:rPr>
          <w:rFonts w:asciiTheme="minorHAnsi" w:hAnsiTheme="minorHAnsi" w:cstheme="minorHAnsi"/>
          <w:b w:val="0"/>
        </w:rPr>
        <w:t>Framework</w:t>
      </w:r>
      <w:r w:rsidR="00422F3E">
        <w:rPr>
          <w:rFonts w:asciiTheme="minorHAnsi" w:hAnsiTheme="minorHAnsi" w:cstheme="minorHAnsi"/>
          <w:b w:val="0"/>
        </w:rPr>
        <w:t xml:space="preserve"> </w:t>
      </w:r>
      <w:r w:rsidR="00D56533">
        <w:rPr>
          <w:rFonts w:asciiTheme="minorHAnsi" w:hAnsiTheme="minorHAnsi" w:cstheme="minorHAnsi"/>
          <w:b w:val="0"/>
        </w:rPr>
        <w:t>to assist organisations in</w:t>
      </w:r>
      <w:r w:rsidR="00422F3E">
        <w:rPr>
          <w:rFonts w:asciiTheme="minorHAnsi" w:hAnsiTheme="minorHAnsi" w:cstheme="minorHAnsi"/>
          <w:b w:val="0"/>
        </w:rPr>
        <w:t xml:space="preserve"> working with </w:t>
      </w:r>
      <w:r w:rsidR="00D56533">
        <w:rPr>
          <w:rFonts w:asciiTheme="minorHAnsi" w:hAnsiTheme="minorHAnsi" w:cstheme="minorHAnsi"/>
          <w:b w:val="0"/>
        </w:rPr>
        <w:t>young people from refugee backgrounds</w:t>
      </w:r>
      <w:r w:rsidR="00422F3E">
        <w:rPr>
          <w:rFonts w:asciiTheme="minorHAnsi" w:hAnsiTheme="minorHAnsi" w:cstheme="minorHAnsi"/>
          <w:b w:val="0"/>
        </w:rPr>
        <w:t>.</w:t>
      </w:r>
      <w:r w:rsidR="009C7DA8">
        <w:rPr>
          <w:rFonts w:asciiTheme="minorHAnsi" w:hAnsiTheme="minorHAnsi" w:cstheme="minorHAnsi"/>
          <w:b w:val="0"/>
        </w:rPr>
        <w:t xml:space="preserve"> </w:t>
      </w:r>
      <w:r w:rsidR="00ED6C52">
        <w:rPr>
          <w:rFonts w:asciiTheme="minorHAnsi" w:hAnsiTheme="minorHAnsi" w:cstheme="minorHAnsi"/>
          <w:b w:val="0"/>
        </w:rPr>
        <w:t xml:space="preserve">(Go to: </w:t>
      </w:r>
      <w:hyperlink r:id="rId8" w:history="1">
        <w:r w:rsidR="00ED6C52" w:rsidRPr="009915DF">
          <w:rPr>
            <w:rStyle w:val="Hyperlink"/>
            <w:rFonts w:asciiTheme="minorHAnsi" w:hAnsiTheme="minorHAnsi" w:cstheme="minorHAnsi"/>
            <w:b w:val="0"/>
          </w:rPr>
          <w:t>https://myan.org.au/resources/national-youth-settlement-framework/</w:t>
        </w:r>
      </w:hyperlink>
      <w:r w:rsidR="00ED6C52" w:rsidRPr="009915DF">
        <w:rPr>
          <w:rFonts w:asciiTheme="minorHAnsi" w:hAnsiTheme="minorHAnsi" w:cstheme="minorHAnsi"/>
          <w:b w:val="0"/>
        </w:rPr>
        <w:t>)</w:t>
      </w:r>
      <w:r w:rsidR="00ED6C52" w:rsidRPr="009915DF">
        <w:rPr>
          <w:rFonts w:asciiTheme="minorHAnsi" w:hAnsiTheme="minorHAnsi" w:cstheme="minorHAnsi"/>
          <w:b w:val="0"/>
          <w:sz w:val="24"/>
        </w:rPr>
        <w:t>.</w:t>
      </w:r>
      <w:r w:rsidR="00ED6C52" w:rsidRPr="009915DF">
        <w:rPr>
          <w:rFonts w:asciiTheme="minorHAnsi" w:hAnsiTheme="minorHAnsi" w:cstheme="minorHAnsi"/>
          <w:b w:val="0"/>
        </w:rPr>
        <w:t xml:space="preserve"> </w:t>
      </w:r>
      <w:r w:rsidR="009C7DA8">
        <w:rPr>
          <w:rFonts w:asciiTheme="minorHAnsi" w:hAnsiTheme="minorHAnsi" w:cstheme="minorHAnsi"/>
          <w:b w:val="0"/>
        </w:rPr>
        <w:t>Th</w:t>
      </w:r>
      <w:r w:rsidR="00D56533">
        <w:rPr>
          <w:rFonts w:asciiTheme="minorHAnsi" w:hAnsiTheme="minorHAnsi" w:cstheme="minorHAnsi"/>
          <w:b w:val="0"/>
        </w:rPr>
        <w:t>ese kinds of resources</w:t>
      </w:r>
      <w:r w:rsidR="009C7DA8">
        <w:rPr>
          <w:rFonts w:asciiTheme="minorHAnsi" w:hAnsiTheme="minorHAnsi" w:cstheme="minorHAnsi"/>
          <w:b w:val="0"/>
        </w:rPr>
        <w:t xml:space="preserve"> </w:t>
      </w:r>
      <w:r w:rsidR="00156929">
        <w:rPr>
          <w:rFonts w:asciiTheme="minorHAnsi" w:hAnsiTheme="minorHAnsi" w:cstheme="minorHAnsi"/>
          <w:b w:val="0"/>
        </w:rPr>
        <w:t xml:space="preserve">could </w:t>
      </w:r>
      <w:r w:rsidR="009C7DA8">
        <w:rPr>
          <w:rFonts w:asciiTheme="minorHAnsi" w:hAnsiTheme="minorHAnsi" w:cstheme="minorHAnsi"/>
          <w:b w:val="0"/>
        </w:rPr>
        <w:t xml:space="preserve">be </w:t>
      </w:r>
      <w:r w:rsidR="00D56533">
        <w:rPr>
          <w:rFonts w:asciiTheme="minorHAnsi" w:hAnsiTheme="minorHAnsi" w:cstheme="minorHAnsi"/>
          <w:b w:val="0"/>
        </w:rPr>
        <w:t xml:space="preserve">developed </w:t>
      </w:r>
      <w:r w:rsidR="009C7DA8">
        <w:rPr>
          <w:rFonts w:asciiTheme="minorHAnsi" w:hAnsiTheme="minorHAnsi" w:cstheme="minorHAnsi"/>
          <w:b w:val="0"/>
        </w:rPr>
        <w:t>by professional association</w:t>
      </w:r>
      <w:r w:rsidR="00C03B93">
        <w:rPr>
          <w:rFonts w:asciiTheme="minorHAnsi" w:hAnsiTheme="minorHAnsi" w:cstheme="minorHAnsi"/>
          <w:b w:val="0"/>
        </w:rPr>
        <w:t>s</w:t>
      </w:r>
      <w:r w:rsidR="009C7DA8">
        <w:rPr>
          <w:rFonts w:asciiTheme="minorHAnsi" w:hAnsiTheme="minorHAnsi" w:cstheme="minorHAnsi"/>
          <w:b w:val="0"/>
        </w:rPr>
        <w:t xml:space="preserve"> and advocacy groups – in fact,</w:t>
      </w:r>
      <w:r w:rsidR="00E724D6">
        <w:rPr>
          <w:rFonts w:asciiTheme="minorHAnsi" w:hAnsiTheme="minorHAnsi" w:cstheme="minorHAnsi"/>
          <w:b w:val="0"/>
        </w:rPr>
        <w:t xml:space="preserve"> this work is </w:t>
      </w:r>
      <w:r w:rsidR="009C7DA8">
        <w:rPr>
          <w:rFonts w:asciiTheme="minorHAnsi" w:hAnsiTheme="minorHAnsi" w:cstheme="minorHAnsi"/>
          <w:b w:val="0"/>
        </w:rPr>
        <w:t>probably best done by them because they are close to the coalface.</w:t>
      </w:r>
    </w:p>
    <w:p w14:paraId="30B8DB6D" w14:textId="77777777" w:rsidR="00BA0F4F" w:rsidRPr="00BA0F4F" w:rsidRDefault="009F0CCA" w:rsidP="00E00729">
      <w:pPr>
        <w:pStyle w:val="Heading1"/>
        <w:spacing w:line="276" w:lineRule="auto"/>
        <w:rPr>
          <w:rFonts w:asciiTheme="minorHAnsi" w:hAnsiTheme="minorHAnsi" w:cstheme="minorHAnsi"/>
          <w:b w:val="0"/>
        </w:rPr>
      </w:pPr>
      <w:r>
        <w:rPr>
          <w:rFonts w:asciiTheme="minorHAnsi" w:hAnsiTheme="minorHAnsi" w:cstheme="minorHAnsi"/>
          <w:b w:val="0"/>
        </w:rPr>
        <w:t>Figure 1 o</w:t>
      </w:r>
      <w:r w:rsidR="0033790E" w:rsidRPr="00573F62">
        <w:rPr>
          <w:rFonts w:asciiTheme="minorHAnsi" w:hAnsiTheme="minorHAnsi" w:cstheme="minorHAnsi"/>
          <w:b w:val="0"/>
        </w:rPr>
        <w:t>n</w:t>
      </w:r>
      <w:r w:rsidR="0033790E">
        <w:rPr>
          <w:rFonts w:asciiTheme="minorHAnsi" w:hAnsiTheme="minorHAnsi" w:cstheme="minorHAnsi"/>
        </w:rPr>
        <w:t xml:space="preserve"> page 2 </w:t>
      </w:r>
      <w:r w:rsidR="0033790E">
        <w:rPr>
          <w:rFonts w:asciiTheme="minorHAnsi" w:hAnsiTheme="minorHAnsi" w:cstheme="minorHAnsi"/>
          <w:b w:val="0"/>
        </w:rPr>
        <w:t>of the guidance document outlines the Strategy’s principles</w:t>
      </w:r>
      <w:r>
        <w:rPr>
          <w:rFonts w:asciiTheme="minorHAnsi" w:hAnsiTheme="minorHAnsi" w:cstheme="minorHAnsi"/>
          <w:b w:val="0"/>
        </w:rPr>
        <w:t>. But</w:t>
      </w:r>
      <w:r w:rsidR="0033790E">
        <w:rPr>
          <w:rFonts w:asciiTheme="minorHAnsi" w:hAnsiTheme="minorHAnsi" w:cstheme="minorHAnsi"/>
          <w:b w:val="0"/>
        </w:rPr>
        <w:t xml:space="preserve"> the role of expert knowledge is </w:t>
      </w:r>
      <w:r w:rsidR="00E724D6">
        <w:rPr>
          <w:rFonts w:asciiTheme="minorHAnsi" w:hAnsiTheme="minorHAnsi" w:cstheme="minorHAnsi"/>
          <w:b w:val="0"/>
        </w:rPr>
        <w:t>unclear</w:t>
      </w:r>
      <w:r w:rsidR="0033790E">
        <w:rPr>
          <w:rFonts w:asciiTheme="minorHAnsi" w:hAnsiTheme="minorHAnsi" w:cstheme="minorHAnsi"/>
          <w:b w:val="0"/>
        </w:rPr>
        <w:t xml:space="preserve">. </w:t>
      </w:r>
      <w:r w:rsidR="00D56533">
        <w:rPr>
          <w:rFonts w:asciiTheme="minorHAnsi" w:hAnsiTheme="minorHAnsi" w:cstheme="minorHAnsi"/>
          <w:b w:val="0"/>
        </w:rPr>
        <w:t>The</w:t>
      </w:r>
      <w:r w:rsidR="0033790E">
        <w:rPr>
          <w:rFonts w:asciiTheme="minorHAnsi" w:hAnsiTheme="minorHAnsi" w:cstheme="minorHAnsi"/>
          <w:b w:val="0"/>
        </w:rPr>
        <w:t xml:space="preserve"> diagram outlines four principles</w:t>
      </w:r>
      <w:r w:rsidR="00D56533">
        <w:rPr>
          <w:rFonts w:asciiTheme="minorHAnsi" w:hAnsiTheme="minorHAnsi" w:cstheme="minorHAnsi"/>
          <w:b w:val="0"/>
        </w:rPr>
        <w:t xml:space="preserve"> that should underpin evaluations: they should be </w:t>
      </w:r>
      <w:r w:rsidR="0033790E">
        <w:rPr>
          <w:rFonts w:asciiTheme="minorHAnsi" w:hAnsiTheme="minorHAnsi" w:cstheme="minorHAnsi"/>
          <w:b w:val="0"/>
        </w:rPr>
        <w:t>credible, useful, ethical and transparent</w:t>
      </w:r>
      <w:r w:rsidR="00D56533">
        <w:rPr>
          <w:rFonts w:asciiTheme="minorHAnsi" w:hAnsiTheme="minorHAnsi" w:cstheme="minorHAnsi"/>
          <w:b w:val="0"/>
        </w:rPr>
        <w:t>. But</w:t>
      </w:r>
      <w:r w:rsidR="0033790E">
        <w:rPr>
          <w:rFonts w:asciiTheme="minorHAnsi" w:hAnsiTheme="minorHAnsi" w:cstheme="minorHAnsi"/>
          <w:b w:val="0"/>
        </w:rPr>
        <w:t xml:space="preserve"> which of those headings </w:t>
      </w:r>
      <w:r w:rsidR="00D56533">
        <w:rPr>
          <w:rFonts w:asciiTheme="minorHAnsi" w:hAnsiTheme="minorHAnsi" w:cstheme="minorHAnsi"/>
          <w:b w:val="0"/>
        </w:rPr>
        <w:t>include</w:t>
      </w:r>
      <w:r w:rsidR="00E724D6">
        <w:rPr>
          <w:rFonts w:asciiTheme="minorHAnsi" w:hAnsiTheme="minorHAnsi" w:cstheme="minorHAnsi"/>
          <w:b w:val="0"/>
        </w:rPr>
        <w:t>s</w:t>
      </w:r>
      <w:r w:rsidR="00D56533">
        <w:rPr>
          <w:rFonts w:asciiTheme="minorHAnsi" w:hAnsiTheme="minorHAnsi" w:cstheme="minorHAnsi"/>
          <w:b w:val="0"/>
        </w:rPr>
        <w:t xml:space="preserve"> the role or contribution of </w:t>
      </w:r>
      <w:r w:rsidR="0033790E">
        <w:rPr>
          <w:rFonts w:asciiTheme="minorHAnsi" w:hAnsiTheme="minorHAnsi" w:cstheme="minorHAnsi"/>
          <w:b w:val="0"/>
        </w:rPr>
        <w:t>expert knowledge</w:t>
      </w:r>
      <w:r w:rsidR="00D56533">
        <w:rPr>
          <w:rFonts w:asciiTheme="minorHAnsi" w:hAnsiTheme="minorHAnsi" w:cstheme="minorHAnsi"/>
          <w:b w:val="0"/>
        </w:rPr>
        <w:t xml:space="preserve"> in guiding evaluations</w:t>
      </w:r>
      <w:r w:rsidR="0033790E">
        <w:rPr>
          <w:rFonts w:asciiTheme="minorHAnsi" w:hAnsiTheme="minorHAnsi" w:cstheme="minorHAnsi"/>
          <w:b w:val="0"/>
        </w:rPr>
        <w:t xml:space="preserve">? </w:t>
      </w:r>
      <w:r w:rsidR="00E724D6">
        <w:rPr>
          <w:rFonts w:asciiTheme="minorHAnsi" w:hAnsiTheme="minorHAnsi" w:cstheme="minorHAnsi"/>
          <w:b w:val="0"/>
        </w:rPr>
        <w:t>It</w:t>
      </w:r>
      <w:r w:rsidR="00D56533">
        <w:rPr>
          <w:rFonts w:asciiTheme="minorHAnsi" w:hAnsiTheme="minorHAnsi" w:cstheme="minorHAnsi"/>
          <w:b w:val="0"/>
        </w:rPr>
        <w:t xml:space="preserve"> </w:t>
      </w:r>
      <w:r w:rsidR="00E724D6">
        <w:rPr>
          <w:rFonts w:asciiTheme="minorHAnsi" w:hAnsiTheme="minorHAnsi" w:cstheme="minorHAnsi"/>
          <w:b w:val="0"/>
        </w:rPr>
        <w:t>might</w:t>
      </w:r>
      <w:r w:rsidR="00D56533">
        <w:rPr>
          <w:rFonts w:asciiTheme="minorHAnsi" w:hAnsiTheme="minorHAnsi" w:cstheme="minorHAnsi"/>
          <w:b w:val="0"/>
        </w:rPr>
        <w:t xml:space="preserve"> come under</w:t>
      </w:r>
      <w:r w:rsidR="0033790E">
        <w:rPr>
          <w:rFonts w:asciiTheme="minorHAnsi" w:hAnsiTheme="minorHAnsi" w:cstheme="minorHAnsi"/>
          <w:b w:val="0"/>
        </w:rPr>
        <w:t xml:space="preserve"> ‘credible’</w:t>
      </w:r>
      <w:r w:rsidR="00D56533">
        <w:rPr>
          <w:rFonts w:asciiTheme="minorHAnsi" w:hAnsiTheme="minorHAnsi" w:cstheme="minorHAnsi"/>
          <w:b w:val="0"/>
        </w:rPr>
        <w:t>. B</w:t>
      </w:r>
      <w:r w:rsidR="0033790E">
        <w:rPr>
          <w:rFonts w:asciiTheme="minorHAnsi" w:hAnsiTheme="minorHAnsi" w:cstheme="minorHAnsi"/>
          <w:b w:val="0"/>
        </w:rPr>
        <w:t xml:space="preserve">ut the elaboration </w:t>
      </w:r>
      <w:r w:rsidR="00D56533">
        <w:rPr>
          <w:rFonts w:asciiTheme="minorHAnsi" w:hAnsiTheme="minorHAnsi" w:cstheme="minorHAnsi"/>
          <w:b w:val="0"/>
        </w:rPr>
        <w:t xml:space="preserve">of </w:t>
      </w:r>
      <w:r w:rsidR="0033790E">
        <w:rPr>
          <w:rFonts w:asciiTheme="minorHAnsi" w:hAnsiTheme="minorHAnsi" w:cstheme="minorHAnsi"/>
          <w:b w:val="0"/>
        </w:rPr>
        <w:t>what</w:t>
      </w:r>
      <w:r w:rsidR="00E724D6">
        <w:rPr>
          <w:rFonts w:asciiTheme="minorHAnsi" w:hAnsiTheme="minorHAnsi" w:cstheme="minorHAnsi"/>
          <w:b w:val="0"/>
        </w:rPr>
        <w:t>’</w:t>
      </w:r>
      <w:r w:rsidR="0033790E">
        <w:rPr>
          <w:rFonts w:asciiTheme="minorHAnsi" w:hAnsiTheme="minorHAnsi" w:cstheme="minorHAnsi"/>
          <w:b w:val="0"/>
        </w:rPr>
        <w:t>s meant by credible doesn’t really cover expert knowledge. The downplaying and sidelining of expert knowledge is a criticism that extends across all the documents</w:t>
      </w:r>
      <w:r>
        <w:rPr>
          <w:rFonts w:asciiTheme="minorHAnsi" w:hAnsiTheme="minorHAnsi" w:cstheme="minorHAnsi"/>
          <w:b w:val="0"/>
        </w:rPr>
        <w:t>, which</w:t>
      </w:r>
      <w:r w:rsidR="0033790E">
        <w:rPr>
          <w:rFonts w:asciiTheme="minorHAnsi" w:hAnsiTheme="minorHAnsi" w:cstheme="minorHAnsi"/>
          <w:b w:val="0"/>
        </w:rPr>
        <w:t xml:space="preserve"> </w:t>
      </w:r>
      <w:r w:rsidR="00D56533">
        <w:rPr>
          <w:rFonts w:asciiTheme="minorHAnsi" w:hAnsiTheme="minorHAnsi" w:cstheme="minorHAnsi"/>
          <w:b w:val="0"/>
        </w:rPr>
        <w:t xml:space="preserve">I’ll come back to </w:t>
      </w:r>
      <w:r w:rsidR="00E724D6">
        <w:rPr>
          <w:rFonts w:asciiTheme="minorHAnsi" w:hAnsiTheme="minorHAnsi" w:cstheme="minorHAnsi"/>
          <w:b w:val="0"/>
        </w:rPr>
        <w:t>in my more general comments</w:t>
      </w:r>
      <w:r w:rsidR="00D56533">
        <w:rPr>
          <w:rFonts w:asciiTheme="minorHAnsi" w:hAnsiTheme="minorHAnsi" w:cstheme="minorHAnsi"/>
          <w:b w:val="0"/>
        </w:rPr>
        <w:t>.</w:t>
      </w:r>
    </w:p>
    <w:p w14:paraId="3EC6ABEE" w14:textId="77777777" w:rsidR="00BA0F4F" w:rsidRDefault="00BA0F4F" w:rsidP="00E00729">
      <w:pPr>
        <w:pStyle w:val="Heading1"/>
        <w:spacing w:line="276" w:lineRule="auto"/>
        <w:rPr>
          <w:rFonts w:asciiTheme="minorHAnsi" w:hAnsiTheme="minorHAnsi" w:cstheme="minorHAnsi"/>
          <w:b w:val="0"/>
        </w:rPr>
      </w:pPr>
      <w:r w:rsidRPr="00573F62">
        <w:rPr>
          <w:rFonts w:asciiTheme="minorHAnsi" w:hAnsiTheme="minorHAnsi" w:cstheme="minorHAnsi"/>
          <w:b w:val="0"/>
        </w:rPr>
        <w:t>On</w:t>
      </w:r>
      <w:r>
        <w:rPr>
          <w:rFonts w:asciiTheme="minorHAnsi" w:hAnsiTheme="minorHAnsi" w:cstheme="minorHAnsi"/>
        </w:rPr>
        <w:t xml:space="preserve"> page 7 </w:t>
      </w:r>
      <w:r>
        <w:rPr>
          <w:rFonts w:asciiTheme="minorHAnsi" w:hAnsiTheme="minorHAnsi" w:cstheme="minorHAnsi"/>
          <w:b w:val="0"/>
        </w:rPr>
        <w:t xml:space="preserve">of the guidance document, there is a reference to the </w:t>
      </w:r>
      <w:r w:rsidRPr="009915DF">
        <w:rPr>
          <w:rFonts w:asciiTheme="minorHAnsi" w:hAnsiTheme="minorHAnsi" w:cstheme="minorHAnsi"/>
          <w:b w:val="0"/>
          <w:i/>
        </w:rPr>
        <w:t xml:space="preserve">translation </w:t>
      </w:r>
      <w:r>
        <w:rPr>
          <w:rFonts w:asciiTheme="minorHAnsi" w:hAnsiTheme="minorHAnsi" w:cstheme="minorHAnsi"/>
          <w:b w:val="0"/>
        </w:rPr>
        <w:t xml:space="preserve">of surveys. What is meant by translation seems to be inconsistently explained throughout the document. Sometimes it seems to mean translation from one language to another, </w:t>
      </w:r>
      <w:r w:rsidR="00D56533">
        <w:rPr>
          <w:rFonts w:asciiTheme="minorHAnsi" w:hAnsiTheme="minorHAnsi" w:cstheme="minorHAnsi"/>
          <w:b w:val="0"/>
        </w:rPr>
        <w:t xml:space="preserve">but at </w:t>
      </w:r>
      <w:r>
        <w:rPr>
          <w:rFonts w:asciiTheme="minorHAnsi" w:hAnsiTheme="minorHAnsi" w:cstheme="minorHAnsi"/>
          <w:b w:val="0"/>
        </w:rPr>
        <w:t xml:space="preserve">other times not. </w:t>
      </w:r>
      <w:r w:rsidR="00D56533">
        <w:rPr>
          <w:rFonts w:asciiTheme="minorHAnsi" w:hAnsiTheme="minorHAnsi" w:cstheme="minorHAnsi"/>
          <w:b w:val="0"/>
        </w:rPr>
        <w:t>Further, t</w:t>
      </w:r>
      <w:r>
        <w:rPr>
          <w:rFonts w:asciiTheme="minorHAnsi" w:hAnsiTheme="minorHAnsi" w:cstheme="minorHAnsi"/>
          <w:b w:val="0"/>
        </w:rPr>
        <w:t xml:space="preserve">ranslation </w:t>
      </w:r>
      <w:r w:rsidR="00D56533">
        <w:rPr>
          <w:rFonts w:asciiTheme="minorHAnsi" w:hAnsiTheme="minorHAnsi" w:cstheme="minorHAnsi"/>
          <w:b w:val="0"/>
        </w:rPr>
        <w:t xml:space="preserve">from English to an Aboriginal or Torres Strait Islander language </w:t>
      </w:r>
      <w:r w:rsidR="00804B5D">
        <w:rPr>
          <w:rFonts w:asciiTheme="minorHAnsi" w:hAnsiTheme="minorHAnsi" w:cstheme="minorHAnsi"/>
          <w:b w:val="0"/>
        </w:rPr>
        <w:t>may</w:t>
      </w:r>
      <w:r>
        <w:rPr>
          <w:rFonts w:asciiTheme="minorHAnsi" w:hAnsiTheme="minorHAnsi" w:cstheme="minorHAnsi"/>
          <w:b w:val="0"/>
        </w:rPr>
        <w:t xml:space="preserve"> </w:t>
      </w:r>
      <w:r w:rsidR="00D56533">
        <w:rPr>
          <w:rFonts w:asciiTheme="minorHAnsi" w:hAnsiTheme="minorHAnsi" w:cstheme="minorHAnsi"/>
          <w:b w:val="0"/>
        </w:rPr>
        <w:t xml:space="preserve">actually </w:t>
      </w:r>
      <w:r>
        <w:rPr>
          <w:rFonts w:asciiTheme="minorHAnsi" w:hAnsiTheme="minorHAnsi" w:cstheme="minorHAnsi"/>
          <w:b w:val="0"/>
        </w:rPr>
        <w:t>be a waste of time and money</w:t>
      </w:r>
      <w:r w:rsidR="00D56533">
        <w:rPr>
          <w:rFonts w:asciiTheme="minorHAnsi" w:hAnsiTheme="minorHAnsi" w:cstheme="minorHAnsi"/>
          <w:b w:val="0"/>
        </w:rPr>
        <w:t>. The question is: what are</w:t>
      </w:r>
      <w:r>
        <w:rPr>
          <w:rFonts w:asciiTheme="minorHAnsi" w:hAnsiTheme="minorHAnsi" w:cstheme="minorHAnsi"/>
          <w:b w:val="0"/>
        </w:rPr>
        <w:t xml:space="preserve"> the most effective ways of </w:t>
      </w:r>
      <w:r w:rsidRPr="009915DF">
        <w:rPr>
          <w:rFonts w:asciiTheme="minorHAnsi" w:hAnsiTheme="minorHAnsi" w:cstheme="minorHAnsi"/>
          <w:b w:val="0"/>
          <w:i/>
        </w:rPr>
        <w:t>communicating</w:t>
      </w:r>
      <w:r>
        <w:rPr>
          <w:rFonts w:asciiTheme="minorHAnsi" w:hAnsiTheme="minorHAnsi" w:cstheme="minorHAnsi"/>
          <w:b w:val="0"/>
        </w:rPr>
        <w:t xml:space="preserve">, not just translating. Are the most effective </w:t>
      </w:r>
      <w:r w:rsidR="00D707CC">
        <w:rPr>
          <w:rFonts w:asciiTheme="minorHAnsi" w:hAnsiTheme="minorHAnsi" w:cstheme="minorHAnsi"/>
          <w:b w:val="0"/>
        </w:rPr>
        <w:t>ways oral</w:t>
      </w:r>
      <w:r>
        <w:rPr>
          <w:rFonts w:asciiTheme="minorHAnsi" w:hAnsiTheme="minorHAnsi" w:cstheme="minorHAnsi"/>
          <w:b w:val="0"/>
        </w:rPr>
        <w:t xml:space="preserve"> or written? </w:t>
      </w:r>
      <w:r w:rsidR="00D56533">
        <w:rPr>
          <w:rFonts w:asciiTheme="minorHAnsi" w:hAnsiTheme="minorHAnsi" w:cstheme="minorHAnsi"/>
          <w:b w:val="0"/>
        </w:rPr>
        <w:t xml:space="preserve">Should </w:t>
      </w:r>
      <w:r>
        <w:rPr>
          <w:rFonts w:asciiTheme="minorHAnsi" w:hAnsiTheme="minorHAnsi" w:cstheme="minorHAnsi"/>
          <w:b w:val="0"/>
        </w:rPr>
        <w:t xml:space="preserve">they rely on literacy? Should they be pictorial? Should they be in English, or should they be in a language or dialect other than English? </w:t>
      </w:r>
      <w:r w:rsidRPr="009915DF">
        <w:rPr>
          <w:rFonts w:asciiTheme="minorHAnsi" w:hAnsiTheme="minorHAnsi" w:cstheme="minorHAnsi"/>
          <w:b w:val="0"/>
          <w:i/>
        </w:rPr>
        <w:t>Who</w:t>
      </w:r>
      <w:r>
        <w:rPr>
          <w:rFonts w:asciiTheme="minorHAnsi" w:hAnsiTheme="minorHAnsi" w:cstheme="minorHAnsi"/>
          <w:b w:val="0"/>
        </w:rPr>
        <w:t xml:space="preserve"> should do the </w:t>
      </w:r>
      <w:r w:rsidR="00994EE9">
        <w:rPr>
          <w:rFonts w:asciiTheme="minorHAnsi" w:hAnsiTheme="minorHAnsi" w:cstheme="minorHAnsi"/>
          <w:b w:val="0"/>
        </w:rPr>
        <w:t>‘</w:t>
      </w:r>
      <w:r>
        <w:rPr>
          <w:rFonts w:asciiTheme="minorHAnsi" w:hAnsiTheme="minorHAnsi" w:cstheme="minorHAnsi"/>
          <w:b w:val="0"/>
        </w:rPr>
        <w:t>translating</w:t>
      </w:r>
      <w:r w:rsidR="00994EE9">
        <w:rPr>
          <w:rFonts w:asciiTheme="minorHAnsi" w:hAnsiTheme="minorHAnsi" w:cstheme="minorHAnsi"/>
          <w:b w:val="0"/>
        </w:rPr>
        <w:t>’</w:t>
      </w:r>
      <w:r w:rsidR="00D56533">
        <w:rPr>
          <w:rFonts w:asciiTheme="minorHAnsi" w:hAnsiTheme="minorHAnsi" w:cstheme="minorHAnsi"/>
          <w:b w:val="0"/>
        </w:rPr>
        <w:t xml:space="preserve"> (in both the literal and more extended sense)</w:t>
      </w:r>
      <w:r w:rsidR="00E724D6">
        <w:rPr>
          <w:rFonts w:asciiTheme="minorHAnsi" w:hAnsiTheme="minorHAnsi" w:cstheme="minorHAnsi"/>
          <w:b w:val="0"/>
        </w:rPr>
        <w:t>, that is</w:t>
      </w:r>
      <w:r w:rsidR="009F0CCA">
        <w:rPr>
          <w:rFonts w:asciiTheme="minorHAnsi" w:hAnsiTheme="minorHAnsi" w:cstheme="minorHAnsi"/>
          <w:b w:val="0"/>
        </w:rPr>
        <w:t xml:space="preserve">, </w:t>
      </w:r>
      <w:r w:rsidR="00E724D6">
        <w:rPr>
          <w:rFonts w:asciiTheme="minorHAnsi" w:hAnsiTheme="minorHAnsi" w:cstheme="minorHAnsi"/>
          <w:b w:val="0"/>
        </w:rPr>
        <w:t>which</w:t>
      </w:r>
      <w:r w:rsidR="00F11E47">
        <w:rPr>
          <w:rFonts w:asciiTheme="minorHAnsi" w:hAnsiTheme="minorHAnsi" w:cstheme="minorHAnsi"/>
          <w:b w:val="0"/>
        </w:rPr>
        <w:t xml:space="preserve"> speakers </w:t>
      </w:r>
      <w:r w:rsidR="00D56533">
        <w:rPr>
          <w:rFonts w:asciiTheme="minorHAnsi" w:hAnsiTheme="minorHAnsi" w:cstheme="minorHAnsi"/>
          <w:b w:val="0"/>
        </w:rPr>
        <w:t xml:space="preserve">of a given language </w:t>
      </w:r>
      <w:r w:rsidR="00F11E47">
        <w:rPr>
          <w:rFonts w:asciiTheme="minorHAnsi" w:hAnsiTheme="minorHAnsi" w:cstheme="minorHAnsi"/>
          <w:b w:val="0"/>
        </w:rPr>
        <w:t xml:space="preserve">should </w:t>
      </w:r>
      <w:r w:rsidR="00D56533">
        <w:rPr>
          <w:rFonts w:asciiTheme="minorHAnsi" w:hAnsiTheme="minorHAnsi" w:cstheme="minorHAnsi"/>
          <w:b w:val="0"/>
        </w:rPr>
        <w:t xml:space="preserve">be asked to make </w:t>
      </w:r>
      <w:r w:rsidR="00F11E47">
        <w:rPr>
          <w:rFonts w:asciiTheme="minorHAnsi" w:hAnsiTheme="minorHAnsi" w:cstheme="minorHAnsi"/>
          <w:b w:val="0"/>
        </w:rPr>
        <w:t>translat</w:t>
      </w:r>
      <w:r w:rsidR="00D56533">
        <w:rPr>
          <w:rFonts w:asciiTheme="minorHAnsi" w:hAnsiTheme="minorHAnsi" w:cstheme="minorHAnsi"/>
          <w:b w:val="0"/>
        </w:rPr>
        <w:t>ions</w:t>
      </w:r>
      <w:r w:rsidR="00F11E47">
        <w:rPr>
          <w:rFonts w:asciiTheme="minorHAnsi" w:hAnsiTheme="minorHAnsi" w:cstheme="minorHAnsi"/>
          <w:b w:val="0"/>
        </w:rPr>
        <w:t xml:space="preserve">? </w:t>
      </w:r>
    </w:p>
    <w:p w14:paraId="66BEA04D" w14:textId="77777777" w:rsidR="00606292" w:rsidRDefault="009F0CCA" w:rsidP="00E00729">
      <w:r w:rsidRPr="004F7D9D">
        <w:rPr>
          <w:b/>
        </w:rPr>
        <w:t xml:space="preserve">Box 4 on </w:t>
      </w:r>
      <w:r w:rsidRPr="00220D62">
        <w:rPr>
          <w:b/>
        </w:rPr>
        <w:t>p</w:t>
      </w:r>
      <w:r w:rsidR="00F11E47" w:rsidRPr="00E724D6">
        <w:rPr>
          <w:b/>
        </w:rPr>
        <w:t>a</w:t>
      </w:r>
      <w:r w:rsidR="00F11E47">
        <w:rPr>
          <w:b/>
        </w:rPr>
        <w:t xml:space="preserve">ge 15 </w:t>
      </w:r>
      <w:r w:rsidR="00F11E47">
        <w:t>of the guidance document</w:t>
      </w:r>
      <w:r>
        <w:t xml:space="preserve"> </w:t>
      </w:r>
      <w:r w:rsidR="00E724D6">
        <w:t>could</w:t>
      </w:r>
      <w:r w:rsidR="00C03B93">
        <w:t xml:space="preserve"> </w:t>
      </w:r>
      <w:r w:rsidR="00E724D6">
        <w:t xml:space="preserve">include mention of </w:t>
      </w:r>
      <w:r w:rsidR="00B17572" w:rsidRPr="009915DF">
        <w:rPr>
          <w:i/>
        </w:rPr>
        <w:t xml:space="preserve">the evaluator’s </w:t>
      </w:r>
      <w:r w:rsidR="00B17572">
        <w:t>credibility. We’ve heard from people who work in the field that evaluators are often simply not credible</w:t>
      </w:r>
      <w:r w:rsidR="00AF1604">
        <w:t xml:space="preserve">, including and maybe especially </w:t>
      </w:r>
      <w:r w:rsidR="00B17572">
        <w:t>‘fly in-fly out’ evaluators.</w:t>
      </w:r>
      <w:r w:rsidR="00606292">
        <w:t xml:space="preserve"> </w:t>
      </w:r>
    </w:p>
    <w:p w14:paraId="3A1897D1" w14:textId="77777777" w:rsidR="00B17572" w:rsidRPr="00F11E47" w:rsidRDefault="00B17572" w:rsidP="00E00729">
      <w:r>
        <w:t xml:space="preserve">In that same box, you could consider including something that allows for ‘in process’ feedback, which is talked about </w:t>
      </w:r>
      <w:r w:rsidR="009F0CCA">
        <w:t>elsewhere</w:t>
      </w:r>
      <w:r w:rsidR="00AF1604">
        <w:t xml:space="preserve"> in the documents</w:t>
      </w:r>
      <w:r>
        <w:t xml:space="preserve">. Feedback as </w:t>
      </w:r>
      <w:r w:rsidR="00E724D6">
        <w:t xml:space="preserve">an </w:t>
      </w:r>
      <w:r>
        <w:t xml:space="preserve">evaluation </w:t>
      </w:r>
      <w:r w:rsidR="00E724D6">
        <w:t>proceeds</w:t>
      </w:r>
      <w:r>
        <w:t xml:space="preserve"> is something that </w:t>
      </w:r>
      <w:r w:rsidR="00AF1604">
        <w:t xml:space="preserve">was </w:t>
      </w:r>
      <w:r>
        <w:t xml:space="preserve">really emphasised </w:t>
      </w:r>
      <w:r w:rsidR="00AF1604">
        <w:t xml:space="preserve">to us </w:t>
      </w:r>
      <w:r>
        <w:t xml:space="preserve">by people working in the field. An evaluation can start out with clear objectives and goals, but when you hit the ground, you can find </w:t>
      </w:r>
      <w:r w:rsidR="00E724D6">
        <w:t xml:space="preserve">that </w:t>
      </w:r>
      <w:r>
        <w:t xml:space="preserve">something </w:t>
      </w:r>
      <w:r w:rsidR="00E724D6">
        <w:t xml:space="preserve">unanticipated </w:t>
      </w:r>
      <w:r>
        <w:t>is going on.</w:t>
      </w:r>
      <w:r w:rsidR="00F4558B">
        <w:t xml:space="preserve"> So you need </w:t>
      </w:r>
      <w:r w:rsidR="00E724D6">
        <w:t>to</w:t>
      </w:r>
      <w:r w:rsidR="00F4558B">
        <w:t xml:space="preserve"> allow for feedback </w:t>
      </w:r>
      <w:r w:rsidR="00E724D6">
        <w:t xml:space="preserve">and change </w:t>
      </w:r>
      <w:r w:rsidR="00156929">
        <w:t xml:space="preserve">during </w:t>
      </w:r>
      <w:r w:rsidR="00E724D6">
        <w:t>evaluation</w:t>
      </w:r>
      <w:r w:rsidR="00156929">
        <w:t>s</w:t>
      </w:r>
      <w:r w:rsidR="00F4558B">
        <w:t xml:space="preserve">. </w:t>
      </w:r>
    </w:p>
    <w:p w14:paraId="5C8511B4" w14:textId="77777777" w:rsidR="00B17572" w:rsidRPr="00B83C64" w:rsidRDefault="00AF1604" w:rsidP="00E00729">
      <w:r w:rsidRPr="004F7D9D">
        <w:rPr>
          <w:b/>
        </w:rPr>
        <w:lastRenderedPageBreak/>
        <w:t>P</w:t>
      </w:r>
      <w:r w:rsidR="00B17572">
        <w:rPr>
          <w:b/>
        </w:rPr>
        <w:t xml:space="preserve">age 17 </w:t>
      </w:r>
      <w:r w:rsidR="00B17572">
        <w:t>of the guidance document</w:t>
      </w:r>
      <w:r>
        <w:t xml:space="preserve"> describes</w:t>
      </w:r>
      <w:r w:rsidR="00B83C64">
        <w:t xml:space="preserve"> ‘questions to consider when deciding who will conduct the evaluation’. You </w:t>
      </w:r>
      <w:r>
        <w:t xml:space="preserve">might </w:t>
      </w:r>
      <w:r w:rsidR="00B83C64">
        <w:t>consider building more into the question ‘</w:t>
      </w:r>
      <w:r>
        <w:t>A</w:t>
      </w:r>
      <w:r w:rsidR="00B83C64">
        <w:t>re evaluators culturally and technically competent?’</w:t>
      </w:r>
      <w:r>
        <w:t xml:space="preserve"> </w:t>
      </w:r>
      <w:r w:rsidR="00B83C64">
        <w:t xml:space="preserve">It should </w:t>
      </w:r>
      <w:r>
        <w:t>certainly be</w:t>
      </w:r>
      <w:r w:rsidR="00B83C64">
        <w:t xml:space="preserve"> revised to read</w:t>
      </w:r>
      <w:r w:rsidR="00191F03">
        <w:t>:</w:t>
      </w:r>
      <w:r w:rsidR="00B83C64">
        <w:t xml:space="preserve"> ‘</w:t>
      </w:r>
      <w:r>
        <w:t>A</w:t>
      </w:r>
      <w:r w:rsidR="00B83C64">
        <w:t xml:space="preserve">re evaluators culturally, </w:t>
      </w:r>
      <w:r w:rsidR="00B83C64" w:rsidRPr="00191F03">
        <w:rPr>
          <w:u w:val="single"/>
        </w:rPr>
        <w:t>linguistically</w:t>
      </w:r>
      <w:r w:rsidR="00B83C64">
        <w:t xml:space="preserve"> and technically competent </w:t>
      </w:r>
      <w:r w:rsidR="00B83C64" w:rsidRPr="00B83C64">
        <w:rPr>
          <w:u w:val="single"/>
        </w:rPr>
        <w:t>and</w:t>
      </w:r>
      <w:r w:rsidR="00B83C64">
        <w:rPr>
          <w:u w:val="single"/>
        </w:rPr>
        <w:t xml:space="preserve"> </w:t>
      </w:r>
      <w:r w:rsidR="00191F03">
        <w:t>knowledgeable?</w:t>
      </w:r>
      <w:r w:rsidR="00B83C64">
        <w:t>’ Another question is</w:t>
      </w:r>
      <w:r w:rsidR="00191F03">
        <w:t>:</w:t>
      </w:r>
      <w:r w:rsidR="00B83C64">
        <w:t xml:space="preserve"> ‘</w:t>
      </w:r>
      <w:r>
        <w:t>A</w:t>
      </w:r>
      <w:r w:rsidR="00B83C64">
        <w:t xml:space="preserve">re they credible in this </w:t>
      </w:r>
      <w:r>
        <w:t xml:space="preserve">particular </w:t>
      </w:r>
      <w:r w:rsidR="00B83C64">
        <w:t xml:space="preserve">context?’ </w:t>
      </w:r>
    </w:p>
    <w:p w14:paraId="78050BFE" w14:textId="77777777" w:rsidR="00B83C64" w:rsidRPr="00B83C64" w:rsidRDefault="00AF1604" w:rsidP="00E00729">
      <w:r w:rsidRPr="009915DF">
        <w:rPr>
          <w:b/>
        </w:rPr>
        <w:t>P</w:t>
      </w:r>
      <w:r w:rsidR="00B83C64">
        <w:rPr>
          <w:b/>
        </w:rPr>
        <w:t xml:space="preserve">age 25 </w:t>
      </w:r>
      <w:r w:rsidR="00B83C64">
        <w:t>of the guidance document</w:t>
      </w:r>
      <w:r>
        <w:t xml:space="preserve"> includes</w:t>
      </w:r>
      <w:r w:rsidR="00832EF5">
        <w:t xml:space="preserve"> a box on collecting baseline data. If baseline data is irrelevant</w:t>
      </w:r>
      <w:r>
        <w:t xml:space="preserve"> </w:t>
      </w:r>
      <w:r w:rsidR="00832EF5">
        <w:t xml:space="preserve">or lacks key indicators, the evaluation is useless. For example, if baseline data in education or health or justice does not take account of </w:t>
      </w:r>
      <w:r w:rsidR="009F0CCA">
        <w:t xml:space="preserve">a person’s </w:t>
      </w:r>
      <w:r w:rsidR="00832EF5">
        <w:t xml:space="preserve">linguistic starting point —their dominant language, or the language </w:t>
      </w:r>
      <w:r w:rsidR="00E724D6">
        <w:t xml:space="preserve">in which </w:t>
      </w:r>
      <w:r w:rsidR="00832EF5">
        <w:t>they are most comfortable</w:t>
      </w:r>
      <w:r w:rsidR="00E724D6">
        <w:t xml:space="preserve"> </w:t>
      </w:r>
      <w:r w:rsidR="00832EF5">
        <w:t xml:space="preserve">— or if it assumes English is the same as literacy (which it is not), then the evaluation is useless. More </w:t>
      </w:r>
      <w:r>
        <w:t xml:space="preserve">needs to </w:t>
      </w:r>
      <w:r w:rsidR="00832EF5">
        <w:t xml:space="preserve">be said about deciding on what constitutes relevant data. </w:t>
      </w:r>
    </w:p>
    <w:p w14:paraId="74A9F4CC" w14:textId="77777777" w:rsidR="003F4A89" w:rsidRDefault="003F4A89" w:rsidP="003F4A89">
      <w:r>
        <w:t>The issue of baseline data applies to two indicators that are ubiquitous in education</w:t>
      </w:r>
      <w:r w:rsidR="00656C6F">
        <w:t>, including</w:t>
      </w:r>
      <w:r>
        <w:t xml:space="preserve"> evaluations, viz. whether students are </w:t>
      </w:r>
      <w:r w:rsidRPr="009915DF">
        <w:rPr>
          <w:i/>
        </w:rPr>
        <w:t>Aboriginal or Torres Strait Islanders</w:t>
      </w:r>
      <w:r>
        <w:t xml:space="preserve"> and whether they are from a </w:t>
      </w:r>
      <w:r w:rsidRPr="009915DF">
        <w:rPr>
          <w:i/>
        </w:rPr>
        <w:t>Language Background Other than English</w:t>
      </w:r>
      <w:r>
        <w:t xml:space="preserve">. </w:t>
      </w:r>
    </w:p>
    <w:p w14:paraId="37213B1C" w14:textId="77777777" w:rsidR="00156929" w:rsidRDefault="003F4A89" w:rsidP="003F4A89">
      <w:r>
        <w:t xml:space="preserve">Neither of these indicators tells us anything about whether or not a student is </w:t>
      </w:r>
      <w:r w:rsidRPr="004F7D9D">
        <w:rPr>
          <w:i/>
        </w:rPr>
        <w:t>an English language learner</w:t>
      </w:r>
      <w:r>
        <w:t xml:space="preserve">. </w:t>
      </w:r>
    </w:p>
    <w:p w14:paraId="10E56489" w14:textId="77777777" w:rsidR="003F4A89" w:rsidRDefault="00156929" w:rsidP="003F4A89">
      <w:r>
        <w:t xml:space="preserve">Students identified as </w:t>
      </w:r>
      <w:r w:rsidR="003F4A89">
        <w:t>Aboriginal and Torres Strait Islander may or may not be fluent in English. They may or may not speak Aboriginal or Torres Strait Islander languages and/or non-standard varieties of English.</w:t>
      </w:r>
    </w:p>
    <w:p w14:paraId="4B4E9A8F" w14:textId="77777777" w:rsidR="003F4A89" w:rsidRDefault="003F4A89" w:rsidP="003F4A89">
      <w:r>
        <w:t xml:space="preserve">Similarly, </w:t>
      </w:r>
      <w:r w:rsidR="00156929">
        <w:t>data on ‘</w:t>
      </w:r>
      <w:r w:rsidR="00656C6F">
        <w:t>L</w:t>
      </w:r>
      <w:r>
        <w:t>anguage Background Other than English</w:t>
      </w:r>
      <w:r w:rsidR="00156929">
        <w:t>’</w:t>
      </w:r>
      <w:r>
        <w:t xml:space="preserve"> (unfortunately known as LBOTE) </w:t>
      </w:r>
      <w:r w:rsidR="00156929">
        <w:t xml:space="preserve">tells us nothing about students’ English language proficiency. </w:t>
      </w:r>
      <w:r w:rsidR="00994EE9">
        <w:t>S</w:t>
      </w:r>
      <w:r w:rsidR="00656C6F">
        <w:t>tudent</w:t>
      </w:r>
      <w:r w:rsidR="00994EE9">
        <w:t>s with a language background other than English</w:t>
      </w:r>
      <w:r>
        <w:t xml:space="preserve"> </w:t>
      </w:r>
      <w:r w:rsidR="00156929">
        <w:t xml:space="preserve">may </w:t>
      </w:r>
      <w:r>
        <w:t xml:space="preserve">come from a home where, say, the mother is a native English speaker (even monolingual) and the father is a Chinese speaker. Children from these households may be monolingual English speakers, </w:t>
      </w:r>
      <w:r w:rsidRPr="009915DF">
        <w:rPr>
          <w:i/>
        </w:rPr>
        <w:t>or</w:t>
      </w:r>
      <w:r>
        <w:t xml:space="preserve"> partial or full bilinguals in English and another language, </w:t>
      </w:r>
      <w:r w:rsidRPr="009915DF">
        <w:rPr>
          <w:i/>
        </w:rPr>
        <w:t>or</w:t>
      </w:r>
      <w:r>
        <w:t xml:space="preserve"> partial or full bilinguals in two languages neither of which is English (as is true for some speakers of Aboriginal languages), </w:t>
      </w:r>
      <w:r w:rsidRPr="009915DF">
        <w:rPr>
          <w:i/>
        </w:rPr>
        <w:t>or</w:t>
      </w:r>
      <w:r>
        <w:t xml:space="preserve"> monolinguals in a language other than English, </w:t>
      </w:r>
      <w:r w:rsidRPr="009915DF">
        <w:rPr>
          <w:i/>
        </w:rPr>
        <w:t xml:space="preserve">or </w:t>
      </w:r>
      <w:r>
        <w:t xml:space="preserve">fluent in non-standard varieties of English. </w:t>
      </w:r>
    </w:p>
    <w:p w14:paraId="218C4208" w14:textId="77777777" w:rsidR="00923415" w:rsidRDefault="00656C6F" w:rsidP="003F4A89">
      <w:r>
        <w:t xml:space="preserve">Currently, </w:t>
      </w:r>
      <w:r w:rsidR="00994EE9">
        <w:t xml:space="preserve">date based on </w:t>
      </w:r>
      <w:r>
        <w:t xml:space="preserve">both these </w:t>
      </w:r>
      <w:r w:rsidR="00994EE9">
        <w:t xml:space="preserve">identifiers </w:t>
      </w:r>
      <w:r>
        <w:t xml:space="preserve">are </w:t>
      </w:r>
      <w:r w:rsidR="00923415">
        <w:t>combined</w:t>
      </w:r>
      <w:r>
        <w:t xml:space="preserve"> with data that measures disadvantage, which further </w:t>
      </w:r>
      <w:r w:rsidR="00994EE9">
        <w:t>obscures the achievements and extent of need for</w:t>
      </w:r>
      <w:r w:rsidR="00923415">
        <w:t xml:space="preserve"> </w:t>
      </w:r>
      <w:r w:rsidR="00994EE9">
        <w:t>those who are learning English</w:t>
      </w:r>
      <w:r>
        <w:t xml:space="preserve">. </w:t>
      </w:r>
      <w:r w:rsidR="00994EE9">
        <w:t>Currently, we have no nationally consistent picture of English language learners in Australian schools.</w:t>
      </w:r>
    </w:p>
    <w:p w14:paraId="1CCDFDD5" w14:textId="77777777" w:rsidR="003F4A89" w:rsidRDefault="00656C6F" w:rsidP="00E00729">
      <w:r>
        <w:t xml:space="preserve">ACTA has argued over many years that baseline data should </w:t>
      </w:r>
      <w:r w:rsidR="00923415">
        <w:t>directly address</w:t>
      </w:r>
      <w:r>
        <w:t xml:space="preserve"> whether or not students </w:t>
      </w:r>
      <w:r w:rsidR="00994EE9">
        <w:t>are</w:t>
      </w:r>
      <w:r w:rsidR="00923415">
        <w:t xml:space="preserve"> </w:t>
      </w:r>
      <w:r>
        <w:t xml:space="preserve">English language learners. That would require a </w:t>
      </w:r>
      <w:r w:rsidR="00994EE9">
        <w:t>valid and reliable</w:t>
      </w:r>
      <w:r>
        <w:t xml:space="preserve"> measurement tool that maps known pathways in learning English. The Australian Curriculum and Assessment Authority (ACARA) has developed such a tool but </w:t>
      </w:r>
      <w:r w:rsidR="00994EE9">
        <w:t>its acceptance has been</w:t>
      </w:r>
      <w:r>
        <w:t xml:space="preserve"> stalled in COAG</w:t>
      </w:r>
      <w:r w:rsidR="00994EE9">
        <w:t xml:space="preserve"> for several years</w:t>
      </w:r>
      <w:r>
        <w:t>.</w:t>
      </w:r>
    </w:p>
    <w:p w14:paraId="258F8E73" w14:textId="77777777" w:rsidR="00360C7A" w:rsidRDefault="00D632F4" w:rsidP="00E00729">
      <w:r w:rsidRPr="009915DF">
        <w:rPr>
          <w:b/>
        </w:rPr>
        <w:t>P</w:t>
      </w:r>
      <w:r w:rsidR="0058337F">
        <w:rPr>
          <w:b/>
        </w:rPr>
        <w:t xml:space="preserve">age 32 </w:t>
      </w:r>
      <w:r w:rsidR="0058337F">
        <w:t>of the guidance document</w:t>
      </w:r>
      <w:r>
        <w:t xml:space="preserve"> includes</w:t>
      </w:r>
      <w:r w:rsidR="00360C7A">
        <w:t xml:space="preserve"> a box on presenting evaluation findings for different audiences. </w:t>
      </w:r>
      <w:r>
        <w:t>F</w:t>
      </w:r>
      <w:r w:rsidR="00360C7A">
        <w:t>actsheets</w:t>
      </w:r>
      <w:r>
        <w:t xml:space="preserve"> are given as an example. B</w:t>
      </w:r>
      <w:r w:rsidR="00360C7A">
        <w:t xml:space="preserve">ut factsheets won’t work for some communities, some parents and some community </w:t>
      </w:r>
      <w:r w:rsidR="00994EE9">
        <w:t>e</w:t>
      </w:r>
      <w:r w:rsidR="00360C7A">
        <w:t>lders, so that needs elaborat</w:t>
      </w:r>
      <w:r>
        <w:t>ion</w:t>
      </w:r>
      <w:r w:rsidR="00360C7A">
        <w:t>. Other types of presentation may be</w:t>
      </w:r>
      <w:r w:rsidR="00B62F5E">
        <w:t xml:space="preserve"> more</w:t>
      </w:r>
      <w:r w:rsidR="00360C7A">
        <w:t xml:space="preserve"> appropriate — for example: visual modes of presentation; radio programs; and drama. </w:t>
      </w:r>
    </w:p>
    <w:p w14:paraId="0F58A2DA" w14:textId="77777777" w:rsidR="00361E4F" w:rsidRDefault="00A81668" w:rsidP="001B11B4">
      <w:r w:rsidRPr="009915DF">
        <w:rPr>
          <w:b/>
        </w:rPr>
        <w:lastRenderedPageBreak/>
        <w:t>P</w:t>
      </w:r>
      <w:r w:rsidR="00360C7A" w:rsidRPr="00A81668">
        <w:rPr>
          <w:b/>
        </w:rPr>
        <w:t>a</w:t>
      </w:r>
      <w:r w:rsidR="00360C7A">
        <w:rPr>
          <w:b/>
        </w:rPr>
        <w:t>ge 33</w:t>
      </w:r>
      <w:r w:rsidR="00360C7A">
        <w:t xml:space="preserve"> of the guidance document</w:t>
      </w:r>
      <w:r>
        <w:t xml:space="preserve"> contains</w:t>
      </w:r>
      <w:r w:rsidR="00360C7A">
        <w:t xml:space="preserve"> a series of questions on what to consider when reporting evaluation findings. He</w:t>
      </w:r>
      <w:r w:rsidR="00FE73C3">
        <w:t xml:space="preserve">re </w:t>
      </w:r>
      <w:r w:rsidR="00360C7A" w:rsidRPr="00360C7A">
        <w:t>elaborat</w:t>
      </w:r>
      <w:r w:rsidR="00D632F4">
        <w:t>ion is needed</w:t>
      </w:r>
      <w:r w:rsidR="00360C7A" w:rsidRPr="00360C7A">
        <w:t xml:space="preserve"> on what </w:t>
      </w:r>
      <w:r w:rsidR="00D632F4">
        <w:t>is</w:t>
      </w:r>
      <w:r w:rsidR="00D632F4" w:rsidRPr="00360C7A">
        <w:t xml:space="preserve"> </w:t>
      </w:r>
      <w:r w:rsidR="00360C7A" w:rsidRPr="00360C7A">
        <w:t>mean</w:t>
      </w:r>
      <w:r w:rsidR="00D632F4">
        <w:t xml:space="preserve">t </w:t>
      </w:r>
      <w:r w:rsidR="00360C7A" w:rsidRPr="00360C7A">
        <w:t>by different formats</w:t>
      </w:r>
      <w:r w:rsidR="00360C7A">
        <w:t xml:space="preserve"> and by </w:t>
      </w:r>
      <w:r w:rsidR="00D632F4">
        <w:t>‘</w:t>
      </w:r>
      <w:r w:rsidR="00360C7A">
        <w:t>knowledge translation</w:t>
      </w:r>
      <w:r w:rsidR="00D632F4">
        <w:t>’</w:t>
      </w:r>
      <w:r w:rsidR="00326BB1">
        <w:t xml:space="preserve"> (which is so abstract, we’re not sure we know what it means)</w:t>
      </w:r>
      <w:r w:rsidR="00360C7A">
        <w:t xml:space="preserve">. </w:t>
      </w:r>
      <w:r w:rsidR="00994EE9">
        <w:t>Likewise, c</w:t>
      </w:r>
      <w:r w:rsidR="00360C7A">
        <w:t>ultural sensitivity</w:t>
      </w:r>
      <w:r w:rsidR="00994EE9">
        <w:t xml:space="preserve"> does not necessarily include </w:t>
      </w:r>
      <w:r w:rsidR="00360C7A">
        <w:t xml:space="preserve">linguistic sensitivity. </w:t>
      </w:r>
    </w:p>
    <w:p w14:paraId="566C4D33" w14:textId="77777777" w:rsidR="00631A29" w:rsidRPr="00E319A6" w:rsidRDefault="00E319A6" w:rsidP="00E00729">
      <w:pPr>
        <w:pStyle w:val="Heading1"/>
        <w:spacing w:line="276" w:lineRule="auto"/>
      </w:pPr>
      <w:r>
        <w:t xml:space="preserve">PART 2: </w:t>
      </w:r>
      <w:r w:rsidR="00D632F4" w:rsidRPr="00E57977">
        <w:t>M</w:t>
      </w:r>
      <w:r w:rsidR="00361E4F" w:rsidRPr="00E319A6">
        <w:t>ore general comments</w:t>
      </w:r>
    </w:p>
    <w:p w14:paraId="13DA8CB9" w14:textId="77777777" w:rsidR="00631A29" w:rsidRPr="00361E4F" w:rsidRDefault="00361E4F" w:rsidP="00E00729">
      <w:r>
        <w:t xml:space="preserve">These comments apply across all </w:t>
      </w:r>
      <w:r w:rsidR="00923415">
        <w:t xml:space="preserve">three </w:t>
      </w:r>
      <w:r>
        <w:t xml:space="preserve">documents, but are based on our reading of the background paper. </w:t>
      </w:r>
    </w:p>
    <w:p w14:paraId="42555DF6" w14:textId="77777777" w:rsidR="00361E4F" w:rsidRPr="009915DF" w:rsidRDefault="009433F4" w:rsidP="00E00729">
      <w:pPr>
        <w:pStyle w:val="Heading2"/>
        <w:spacing w:line="276" w:lineRule="auto"/>
        <w:rPr>
          <w:b/>
          <w:i w:val="0"/>
        </w:rPr>
      </w:pPr>
      <w:r>
        <w:rPr>
          <w:b/>
          <w:i w:val="0"/>
        </w:rPr>
        <w:t>2.</w:t>
      </w:r>
      <w:r w:rsidR="00E319A6" w:rsidRPr="009915DF">
        <w:rPr>
          <w:b/>
          <w:i w:val="0"/>
        </w:rPr>
        <w:t xml:space="preserve">1 The phrase </w:t>
      </w:r>
      <w:r w:rsidR="00994EE9">
        <w:rPr>
          <w:b/>
        </w:rPr>
        <w:t>‘</w:t>
      </w:r>
      <w:r w:rsidR="00361E4F" w:rsidRPr="009915DF">
        <w:rPr>
          <w:b/>
        </w:rPr>
        <w:t>Aboriginal and Torres Strait Islander people, perspectives, priorities and knowledges</w:t>
      </w:r>
      <w:r w:rsidR="00994EE9">
        <w:rPr>
          <w:b/>
        </w:rPr>
        <w:t>’</w:t>
      </w:r>
      <w:r w:rsidR="00306378" w:rsidRPr="009915DF">
        <w:rPr>
          <w:b/>
        </w:rPr>
        <w:t xml:space="preserve"> </w:t>
      </w:r>
      <w:r w:rsidR="00E319A6" w:rsidRPr="009915DF">
        <w:rPr>
          <w:b/>
          <w:i w:val="0"/>
        </w:rPr>
        <w:t xml:space="preserve">and </w:t>
      </w:r>
      <w:r w:rsidR="00E319A6" w:rsidRPr="00E57977">
        <w:rPr>
          <w:b/>
          <w:i w:val="0"/>
        </w:rPr>
        <w:t>it</w:t>
      </w:r>
      <w:r w:rsidR="00E319A6">
        <w:rPr>
          <w:b/>
          <w:i w:val="0"/>
        </w:rPr>
        <w:t>s</w:t>
      </w:r>
      <w:r w:rsidR="00E319A6" w:rsidRPr="009915DF">
        <w:rPr>
          <w:b/>
          <w:i w:val="0"/>
        </w:rPr>
        <w:t xml:space="preserve"> intended </w:t>
      </w:r>
      <w:r w:rsidR="00E319A6">
        <w:rPr>
          <w:b/>
          <w:i w:val="0"/>
        </w:rPr>
        <w:t>meaning</w:t>
      </w:r>
      <w:r w:rsidR="00E319A6" w:rsidRPr="009915DF">
        <w:rPr>
          <w:b/>
          <w:i w:val="0"/>
        </w:rPr>
        <w:t xml:space="preserve"> </w:t>
      </w:r>
      <w:r w:rsidR="00306378" w:rsidRPr="009915DF">
        <w:rPr>
          <w:b/>
          <w:i w:val="0"/>
        </w:rPr>
        <w:t xml:space="preserve">need </w:t>
      </w:r>
      <w:r w:rsidR="00954900">
        <w:rPr>
          <w:b/>
          <w:i w:val="0"/>
        </w:rPr>
        <w:t>elaboration</w:t>
      </w:r>
    </w:p>
    <w:p w14:paraId="60028E84" w14:textId="77777777" w:rsidR="00361E4F" w:rsidRDefault="00E319A6" w:rsidP="00E00729">
      <w:r>
        <w:t xml:space="preserve">What is </w:t>
      </w:r>
      <w:r w:rsidR="00361E4F">
        <w:t>mean</w:t>
      </w:r>
      <w:r>
        <w:t>t</w:t>
      </w:r>
      <w:r w:rsidR="00361E4F">
        <w:t xml:space="preserve"> by </w:t>
      </w:r>
      <w:r w:rsidR="00994EE9" w:rsidRPr="004F7D9D">
        <w:rPr>
          <w:i/>
        </w:rPr>
        <w:t>‘</w:t>
      </w:r>
      <w:r w:rsidR="00361E4F" w:rsidRPr="004F7D9D">
        <w:rPr>
          <w:i/>
        </w:rPr>
        <w:t>Aboriginal and Torres Strait Islander people, perspectives, priorities and knowledges</w:t>
      </w:r>
      <w:r w:rsidR="00994EE9" w:rsidRPr="004F7D9D">
        <w:rPr>
          <w:i/>
        </w:rPr>
        <w:t>’</w:t>
      </w:r>
      <w:r w:rsidRPr="004F7D9D">
        <w:rPr>
          <w:i/>
        </w:rPr>
        <w:t xml:space="preserve"> </w:t>
      </w:r>
      <w:r>
        <w:t>needs explanation.</w:t>
      </w:r>
      <w:r w:rsidR="00361E4F">
        <w:t xml:space="preserve"> </w:t>
      </w:r>
      <w:r w:rsidR="00954900">
        <w:t>N</w:t>
      </w:r>
      <w:r w:rsidR="00361E4F">
        <w:t xml:space="preserve">owhere in the </w:t>
      </w:r>
      <w:r w:rsidR="00923415">
        <w:t xml:space="preserve">discussion </w:t>
      </w:r>
      <w:r w:rsidR="00361E4F">
        <w:t>document</w:t>
      </w:r>
      <w:r w:rsidR="001C4FC6">
        <w:t xml:space="preserve"> (as far as we can see)</w:t>
      </w:r>
      <w:r w:rsidR="00361E4F">
        <w:t xml:space="preserve"> </w:t>
      </w:r>
      <w:r w:rsidR="00954900">
        <w:t xml:space="preserve">is </w:t>
      </w:r>
      <w:r w:rsidR="00923415">
        <w:t xml:space="preserve">the meaning of this phrase </w:t>
      </w:r>
      <w:r w:rsidR="00361E4F">
        <w:t>systematically spel</w:t>
      </w:r>
      <w:r w:rsidR="00954900">
        <w:t>t</w:t>
      </w:r>
      <w:r w:rsidR="00361E4F">
        <w:t xml:space="preserve"> out</w:t>
      </w:r>
      <w:r w:rsidR="00923415">
        <w:t>.</w:t>
      </w:r>
      <w:r w:rsidR="006C262B">
        <w:t xml:space="preserve"> </w:t>
      </w:r>
      <w:r w:rsidR="00954900">
        <w:t>Consequently</w:t>
      </w:r>
      <w:r w:rsidR="00923415">
        <w:t>,</w:t>
      </w:r>
      <w:r w:rsidR="00575AB7">
        <w:t xml:space="preserve"> it</w:t>
      </w:r>
      <w:r w:rsidR="006C262B">
        <w:t xml:space="preserve"> </w:t>
      </w:r>
      <w:r w:rsidR="00DB3ECD">
        <w:t xml:space="preserve">increasingly </w:t>
      </w:r>
      <w:r w:rsidR="00954900">
        <w:t xml:space="preserve">seems </w:t>
      </w:r>
      <w:r w:rsidR="00DB3ECD">
        <w:t>like</w:t>
      </w:r>
      <w:r w:rsidR="006C262B">
        <w:t xml:space="preserve"> a </w:t>
      </w:r>
      <w:r w:rsidR="0061563A">
        <w:t>kind of</w:t>
      </w:r>
      <w:r w:rsidR="006C262B">
        <w:t xml:space="preserve"> mantra. </w:t>
      </w:r>
    </w:p>
    <w:p w14:paraId="5D224A39" w14:textId="77777777" w:rsidR="00954900" w:rsidRDefault="00923415" w:rsidP="00E00729">
      <w:r>
        <w:t>Taking</w:t>
      </w:r>
      <w:r w:rsidR="006C262B">
        <w:t xml:space="preserve"> the </w:t>
      </w:r>
      <w:r>
        <w:t xml:space="preserve">first </w:t>
      </w:r>
      <w:r w:rsidR="00954900">
        <w:t>key noun</w:t>
      </w:r>
      <w:r>
        <w:t xml:space="preserve">, </w:t>
      </w:r>
      <w:r w:rsidR="006C262B" w:rsidRPr="009915DF">
        <w:rPr>
          <w:b/>
          <w:i/>
        </w:rPr>
        <w:t>‘people’</w:t>
      </w:r>
      <w:r>
        <w:t xml:space="preserve">: somewhere </w:t>
      </w:r>
      <w:r w:rsidR="00E319A6">
        <w:t xml:space="preserve">in the document </w:t>
      </w:r>
      <w:r w:rsidR="00575AB7">
        <w:t xml:space="preserve">the danger of generalisations </w:t>
      </w:r>
      <w:r w:rsidR="00E319A6">
        <w:t xml:space="preserve">about </w:t>
      </w:r>
      <w:r w:rsidR="00083CB6">
        <w:t>‘</w:t>
      </w:r>
      <w:r w:rsidR="00E319A6">
        <w:t>Aboriginal people</w:t>
      </w:r>
      <w:r w:rsidR="00083CB6">
        <w:t>’</w:t>
      </w:r>
      <w:r w:rsidR="00E319A6">
        <w:t xml:space="preserve"> </w:t>
      </w:r>
      <w:r w:rsidR="00575AB7">
        <w:t xml:space="preserve">is </w:t>
      </w:r>
      <w:r w:rsidR="00954900">
        <w:t>acknowledged</w:t>
      </w:r>
      <w:r>
        <w:t xml:space="preserve"> but </w:t>
      </w:r>
      <w:r w:rsidR="00DB3ECD">
        <w:t>general</w:t>
      </w:r>
      <w:r>
        <w:t>ly</w:t>
      </w:r>
      <w:r w:rsidR="00E319A6">
        <w:t xml:space="preserve"> </w:t>
      </w:r>
      <w:r w:rsidR="006C262B">
        <w:t>a unified</w:t>
      </w:r>
      <w:r w:rsidR="00575AB7">
        <w:t xml:space="preserve"> and homogeneous</w:t>
      </w:r>
      <w:r w:rsidR="006C262B">
        <w:t xml:space="preserve"> group</w:t>
      </w:r>
      <w:r>
        <w:t xml:space="preserve"> is implied</w:t>
      </w:r>
      <w:r w:rsidR="006C262B">
        <w:t xml:space="preserve">. </w:t>
      </w:r>
    </w:p>
    <w:p w14:paraId="0786589C" w14:textId="77777777" w:rsidR="00801A2F" w:rsidRDefault="006C262B" w:rsidP="00E00729">
      <w:r>
        <w:t xml:space="preserve">For example, </w:t>
      </w:r>
      <w:r w:rsidR="00083CB6">
        <w:t>t</w:t>
      </w:r>
      <w:r w:rsidR="00575AB7">
        <w:t xml:space="preserve">he </w:t>
      </w:r>
      <w:r>
        <w:t xml:space="preserve">discussion </w:t>
      </w:r>
      <w:r w:rsidR="00E319A6">
        <w:t xml:space="preserve">of </w:t>
      </w:r>
      <w:r>
        <w:t>representation on the Indigenous Evaluation Council</w:t>
      </w:r>
      <w:r w:rsidR="00E319A6">
        <w:t xml:space="preserve"> </w:t>
      </w:r>
      <w:r>
        <w:t>say</w:t>
      </w:r>
      <w:r w:rsidR="00E319A6">
        <w:t>s that</w:t>
      </w:r>
      <w:r>
        <w:t xml:space="preserve"> the majority of people should be from </w:t>
      </w:r>
      <w:r w:rsidR="00954900">
        <w:t xml:space="preserve">an </w:t>
      </w:r>
      <w:r>
        <w:t xml:space="preserve">Aboriginal or Torres Strait Islander background. But that </w:t>
      </w:r>
      <w:r w:rsidR="00E319A6">
        <w:t xml:space="preserve">is </w:t>
      </w:r>
      <w:r w:rsidR="00083CB6">
        <w:t xml:space="preserve">quite </w:t>
      </w:r>
      <w:r w:rsidR="00E319A6">
        <w:t>vague</w:t>
      </w:r>
      <w:r>
        <w:t xml:space="preserve">. </w:t>
      </w:r>
      <w:r w:rsidR="00083CB6">
        <w:t>How should/might representation from very different kinds of Aboriginal and Torres Strait Islander people be de</w:t>
      </w:r>
      <w:r w:rsidR="00954900">
        <w:t>cid</w:t>
      </w:r>
      <w:r w:rsidR="00083CB6">
        <w:t xml:space="preserve">ed? </w:t>
      </w:r>
      <w:r w:rsidR="00A961B8">
        <w:t xml:space="preserve">What is meant by </w:t>
      </w:r>
      <w:r w:rsidR="00A961B8" w:rsidRPr="009915DF">
        <w:rPr>
          <w:i/>
        </w:rPr>
        <w:t>‘representation’</w:t>
      </w:r>
      <w:r w:rsidR="00A961B8">
        <w:t xml:space="preserve"> </w:t>
      </w:r>
      <w:r w:rsidR="00954900">
        <w:t>when there is</w:t>
      </w:r>
      <w:r w:rsidR="00A961B8">
        <w:t xml:space="preserve"> </w:t>
      </w:r>
      <w:r w:rsidR="00954900">
        <w:t xml:space="preserve">such </w:t>
      </w:r>
      <w:r>
        <w:t xml:space="preserve">enormous diversity </w:t>
      </w:r>
      <w:r w:rsidR="00E319A6">
        <w:t>among</w:t>
      </w:r>
      <w:r>
        <w:t xml:space="preserve"> Aboriginal and Torres Strait Islander people</w:t>
      </w:r>
      <w:r w:rsidR="00A961B8">
        <w:t xml:space="preserve">, for example, </w:t>
      </w:r>
      <w:r w:rsidR="00954900">
        <w:t xml:space="preserve">between </w:t>
      </w:r>
      <w:r>
        <w:t>urban, rural and remote people</w:t>
      </w:r>
      <w:r w:rsidR="00A961B8">
        <w:t>?</w:t>
      </w:r>
      <w:r w:rsidR="00E319A6">
        <w:t xml:space="preserve"> </w:t>
      </w:r>
      <w:r w:rsidR="00A961B8">
        <w:t>Or, f</w:t>
      </w:r>
      <w:r w:rsidR="00083CB6">
        <w:t xml:space="preserve">rom a linguistic perspective, </w:t>
      </w:r>
      <w:r w:rsidR="00A961B8">
        <w:t>how will</w:t>
      </w:r>
      <w:r w:rsidR="00923415">
        <w:t xml:space="preserve"> representation allow for</w:t>
      </w:r>
      <w:r w:rsidR="00A961B8">
        <w:t xml:space="preserve"> the </w:t>
      </w:r>
      <w:r w:rsidR="00923415">
        <w:t xml:space="preserve">different </w:t>
      </w:r>
      <w:r w:rsidR="00083CB6">
        <w:t>speakers of Aboriginal and Torres Strait Islander languages in different parts of Australia</w:t>
      </w:r>
      <w:r w:rsidR="00A961B8">
        <w:t>?</w:t>
      </w:r>
      <w:r w:rsidR="00801A2F">
        <w:t xml:space="preserve"> </w:t>
      </w:r>
      <w:r w:rsidR="00954900">
        <w:t>H</w:t>
      </w:r>
      <w:r w:rsidR="00A961B8">
        <w:t xml:space="preserve">ow will </w:t>
      </w:r>
      <w:r w:rsidR="00954900">
        <w:t xml:space="preserve">monolingual </w:t>
      </w:r>
      <w:r w:rsidR="007E42F1">
        <w:t>speak</w:t>
      </w:r>
      <w:r w:rsidR="00954900">
        <w:t>ers of</w:t>
      </w:r>
      <w:r w:rsidR="007E42F1">
        <w:t xml:space="preserve"> Indigenous languages </w:t>
      </w:r>
      <w:r w:rsidR="00A961B8">
        <w:t xml:space="preserve">be represented? </w:t>
      </w:r>
      <w:r w:rsidR="00954900">
        <w:t>H</w:t>
      </w:r>
      <w:r w:rsidR="00A961B8">
        <w:t xml:space="preserve">ow will </w:t>
      </w:r>
      <w:r w:rsidR="007E42F1">
        <w:t xml:space="preserve">people who speak </w:t>
      </w:r>
      <w:r w:rsidR="00801A2F">
        <w:t xml:space="preserve">different </w:t>
      </w:r>
      <w:r w:rsidR="007E42F1">
        <w:t>non-standard varieties of English</w:t>
      </w:r>
      <w:r w:rsidR="00A961B8">
        <w:t xml:space="preserve"> be represented?</w:t>
      </w:r>
      <w:r w:rsidR="007E42F1">
        <w:t xml:space="preserve"> </w:t>
      </w:r>
    </w:p>
    <w:p w14:paraId="4801FB5D" w14:textId="77777777" w:rsidR="006C262B" w:rsidRDefault="00A961B8" w:rsidP="00E00729">
      <w:r>
        <w:t>Regarding the last group:</w:t>
      </w:r>
      <w:r w:rsidR="00DB3ECD">
        <w:t xml:space="preserve"> </w:t>
      </w:r>
      <w:r>
        <w:t>the</w:t>
      </w:r>
      <w:r w:rsidR="00801A2F">
        <w:t xml:space="preserve"> complex differences between</w:t>
      </w:r>
      <w:r w:rsidR="00801A2F" w:rsidRPr="004F7D9D">
        <w:rPr>
          <w:i/>
        </w:rPr>
        <w:t xml:space="preserve"> Standard Australian English</w:t>
      </w:r>
      <w:r w:rsidR="00801A2F">
        <w:t xml:space="preserve"> and </w:t>
      </w:r>
      <w:r w:rsidR="00DB3ECD" w:rsidRPr="004F7D9D">
        <w:rPr>
          <w:i/>
        </w:rPr>
        <w:t xml:space="preserve">Aboriginal and </w:t>
      </w:r>
      <w:r w:rsidR="00801A2F" w:rsidRPr="004F7D9D">
        <w:rPr>
          <w:i/>
        </w:rPr>
        <w:t xml:space="preserve">Torres Strait Islander </w:t>
      </w:r>
      <w:r w:rsidR="00DB3ECD" w:rsidRPr="004F7D9D">
        <w:rPr>
          <w:i/>
        </w:rPr>
        <w:t xml:space="preserve">non-standard varieties of </w:t>
      </w:r>
      <w:r w:rsidR="00801A2F" w:rsidRPr="004F7D9D">
        <w:rPr>
          <w:i/>
        </w:rPr>
        <w:t>English</w:t>
      </w:r>
      <w:r w:rsidR="00DB3ECD">
        <w:t xml:space="preserve"> have crucial implications in domains such as education </w:t>
      </w:r>
      <w:r w:rsidR="00C41045">
        <w:t xml:space="preserve">(for example, in literacy teaching and testing, </w:t>
      </w:r>
      <w:r w:rsidR="00334C37">
        <w:t xml:space="preserve">and </w:t>
      </w:r>
      <w:r w:rsidR="00C41045">
        <w:t>teacher education)</w:t>
      </w:r>
      <w:r w:rsidR="00334C37">
        <w:rPr>
          <w:rStyle w:val="FootnoteReference"/>
        </w:rPr>
        <w:footnoteReference w:id="1"/>
      </w:r>
      <w:r w:rsidR="00C41045">
        <w:t xml:space="preserve"> </w:t>
      </w:r>
      <w:r w:rsidR="00DB3ECD">
        <w:t>and the administration of justice</w:t>
      </w:r>
      <w:r w:rsidR="00C41045">
        <w:t xml:space="preserve"> (for example, in misinterpretations of verbal evidence and wrongful self-incrimination)</w:t>
      </w:r>
      <w:r w:rsidR="00334C37">
        <w:rPr>
          <w:rStyle w:val="FootnoteReference"/>
        </w:rPr>
        <w:footnoteReference w:id="2"/>
      </w:r>
      <w:r w:rsidR="00E73817">
        <w:t xml:space="preserve">. </w:t>
      </w:r>
      <w:r w:rsidR="00DB3ECD">
        <w:t>D</w:t>
      </w:r>
      <w:r w:rsidR="00E73817">
        <w:t xml:space="preserve">ifferent meanings </w:t>
      </w:r>
      <w:r w:rsidR="00DB3ECD">
        <w:t xml:space="preserve">can </w:t>
      </w:r>
      <w:r w:rsidR="00E73817">
        <w:t>attach to the same word</w:t>
      </w:r>
      <w:r w:rsidR="00334C37">
        <w:t>/use of language</w:t>
      </w:r>
      <w:r w:rsidR="00DB3ECD">
        <w:t>,</w:t>
      </w:r>
      <w:r w:rsidR="00E73817">
        <w:t xml:space="preserve"> </w:t>
      </w:r>
      <w:r w:rsidR="00DB3ECD">
        <w:t xml:space="preserve">which can cause fundamental misunderstandings, </w:t>
      </w:r>
      <w:r w:rsidR="00C41045">
        <w:t>incorrect</w:t>
      </w:r>
      <w:r w:rsidR="00DB3ECD">
        <w:t xml:space="preserve"> assessments of the facts</w:t>
      </w:r>
      <w:r w:rsidR="00C41045">
        <w:t xml:space="preserve">, injustices, discrimination and </w:t>
      </w:r>
      <w:r w:rsidR="00334C37">
        <w:t>debasing</w:t>
      </w:r>
      <w:r w:rsidR="00C41045">
        <w:t xml:space="preserve"> self-assessments (as when Torres Strait Islanders say they speak ‘rubbish English’)</w:t>
      </w:r>
      <w:r w:rsidR="00801A2F">
        <w:t xml:space="preserve">. </w:t>
      </w:r>
    </w:p>
    <w:p w14:paraId="0F14FC73" w14:textId="77777777" w:rsidR="00631A29" w:rsidRDefault="006E7FE8" w:rsidP="00E00729">
      <w:r>
        <w:t>Th</w:t>
      </w:r>
      <w:r w:rsidR="00801A2F">
        <w:t xml:space="preserve">e need to unpack what’s meant by </w:t>
      </w:r>
      <w:r w:rsidR="009C6FBA">
        <w:t>‘</w:t>
      </w:r>
      <w:r w:rsidR="00801A2F">
        <w:t>Aboriginal and Torres Strait Islander</w:t>
      </w:r>
      <w:r w:rsidR="00A961B8">
        <w:t xml:space="preserve"> people</w:t>
      </w:r>
      <w:r w:rsidR="009C6FBA">
        <w:t>’</w:t>
      </w:r>
      <w:r w:rsidR="00801A2F">
        <w:t>, and the</w:t>
      </w:r>
      <w:r w:rsidR="00A961B8">
        <w:t>ir</w:t>
      </w:r>
      <w:r w:rsidR="00801A2F">
        <w:t xml:space="preserve"> differences and commonalities</w:t>
      </w:r>
      <w:r w:rsidR="009C6FBA">
        <w:t xml:space="preserve">, </w:t>
      </w:r>
      <w:r>
        <w:t>specifically applies in the background</w:t>
      </w:r>
      <w:r w:rsidR="00AE36DB">
        <w:t xml:space="preserve"> paper</w:t>
      </w:r>
      <w:r>
        <w:t xml:space="preserve"> section on data and the discussion </w:t>
      </w:r>
      <w:r w:rsidR="009C6FBA">
        <w:t xml:space="preserve">of </w:t>
      </w:r>
      <w:r>
        <w:t xml:space="preserve">how people identify themselves. </w:t>
      </w:r>
      <w:r w:rsidRPr="006E7FE8">
        <w:t xml:space="preserve">Section 9.2 </w:t>
      </w:r>
      <w:r>
        <w:t xml:space="preserve">on data collection needs more elaboration </w:t>
      </w:r>
      <w:r w:rsidR="00EF5354">
        <w:t xml:space="preserve">on </w:t>
      </w:r>
      <w:r>
        <w:t xml:space="preserve">what Aboriginal and Torres Strait Islander identification </w:t>
      </w:r>
      <w:r w:rsidR="00EF5354">
        <w:t xml:space="preserve">both </w:t>
      </w:r>
      <w:r>
        <w:t>tells us</w:t>
      </w:r>
      <w:r w:rsidR="00EF5354">
        <w:t xml:space="preserve"> and</w:t>
      </w:r>
      <w:r>
        <w:t xml:space="preserve"> </w:t>
      </w:r>
      <w:r w:rsidRPr="009915DF">
        <w:rPr>
          <w:b/>
          <w:i/>
        </w:rPr>
        <w:t>doesn</w:t>
      </w:r>
      <w:r w:rsidR="00EF5354" w:rsidRPr="00EF5354">
        <w:rPr>
          <w:b/>
          <w:i/>
        </w:rPr>
        <w:t>’</w:t>
      </w:r>
      <w:r w:rsidRPr="009915DF">
        <w:rPr>
          <w:b/>
          <w:i/>
        </w:rPr>
        <w:t xml:space="preserve">t </w:t>
      </w:r>
      <w:r>
        <w:t xml:space="preserve">tell us. </w:t>
      </w:r>
      <w:r w:rsidR="0048285A">
        <w:t xml:space="preserve">In regard to language use, the following distinctions </w:t>
      </w:r>
      <w:r w:rsidR="009A3DEE">
        <w:t>may be relevant</w:t>
      </w:r>
      <w:r w:rsidR="0048285A">
        <w:t>:</w:t>
      </w:r>
    </w:p>
    <w:p w14:paraId="33257D34" w14:textId="77777777" w:rsidR="0048285A" w:rsidRPr="001624DC" w:rsidRDefault="0048285A" w:rsidP="004F7D9D">
      <w:pPr>
        <w:pStyle w:val="ListParagraph"/>
        <w:numPr>
          <w:ilvl w:val="0"/>
          <w:numId w:val="7"/>
        </w:numPr>
        <w:ind w:left="714" w:hanging="357"/>
        <w:contextualSpacing w:val="0"/>
        <w:rPr>
          <w:rFonts w:cstheme="minorHAnsi"/>
        </w:rPr>
      </w:pPr>
      <w:r w:rsidRPr="004F7D9D">
        <w:rPr>
          <w:rFonts w:asciiTheme="minorHAnsi" w:hAnsiTheme="minorHAnsi" w:cstheme="minorHAnsi"/>
        </w:rPr>
        <w:lastRenderedPageBreak/>
        <w:t xml:space="preserve">monolingual and bi/multilingual </w:t>
      </w:r>
      <w:r w:rsidRPr="004F7D9D">
        <w:rPr>
          <w:rFonts w:asciiTheme="minorHAnsi" w:hAnsiTheme="minorHAnsi" w:cstheme="minorHAnsi"/>
          <w:b/>
        </w:rPr>
        <w:t>speakers of traditional and emerging Aboriginal and Torres Strait Islander languages</w:t>
      </w:r>
      <w:r w:rsidRPr="004F7D9D">
        <w:rPr>
          <w:rFonts w:asciiTheme="minorHAnsi" w:hAnsiTheme="minorHAnsi" w:cstheme="minorHAnsi"/>
        </w:rPr>
        <w:t xml:space="preserve"> </w:t>
      </w:r>
    </w:p>
    <w:p w14:paraId="4040FAEC" w14:textId="77777777" w:rsidR="0048285A" w:rsidRPr="001624DC" w:rsidRDefault="0048285A" w:rsidP="004F7D9D">
      <w:pPr>
        <w:pStyle w:val="ListParagraph"/>
        <w:numPr>
          <w:ilvl w:val="0"/>
          <w:numId w:val="7"/>
        </w:numPr>
        <w:ind w:left="714" w:hanging="357"/>
        <w:contextualSpacing w:val="0"/>
        <w:rPr>
          <w:rFonts w:cstheme="minorHAnsi"/>
        </w:rPr>
      </w:pPr>
      <w:r w:rsidRPr="004F7D9D">
        <w:rPr>
          <w:rFonts w:asciiTheme="minorHAnsi" w:hAnsiTheme="minorHAnsi" w:cstheme="minorHAnsi"/>
        </w:rPr>
        <w:t xml:space="preserve">monolingual and bi/multilingual </w:t>
      </w:r>
      <w:r w:rsidRPr="004F7D9D">
        <w:rPr>
          <w:rFonts w:asciiTheme="minorHAnsi" w:hAnsiTheme="minorHAnsi" w:cstheme="minorHAnsi"/>
          <w:b/>
        </w:rPr>
        <w:t xml:space="preserve">speakers of English and traditional and emerging Aboriginal and Torres Strait Islander languages </w:t>
      </w:r>
    </w:p>
    <w:p w14:paraId="17E71112" w14:textId="77777777" w:rsidR="0048285A" w:rsidRPr="001624DC" w:rsidRDefault="0048285A" w:rsidP="004F7D9D">
      <w:pPr>
        <w:pStyle w:val="ListParagraph"/>
        <w:numPr>
          <w:ilvl w:val="0"/>
          <w:numId w:val="7"/>
        </w:numPr>
        <w:ind w:left="714" w:hanging="357"/>
        <w:contextualSpacing w:val="0"/>
        <w:rPr>
          <w:rFonts w:cstheme="minorHAnsi"/>
        </w:rPr>
      </w:pPr>
      <w:r w:rsidRPr="004F7D9D">
        <w:rPr>
          <w:rFonts w:asciiTheme="minorHAnsi" w:hAnsiTheme="minorHAnsi" w:cstheme="minorHAnsi"/>
          <w:b/>
        </w:rPr>
        <w:t>learners of Standard Australian E</w:t>
      </w:r>
      <w:r w:rsidR="009A3DEE" w:rsidRPr="004F7D9D">
        <w:rPr>
          <w:rFonts w:asciiTheme="minorHAnsi" w:hAnsiTheme="minorHAnsi" w:cstheme="minorHAnsi"/>
          <w:b/>
        </w:rPr>
        <w:t>nglish</w:t>
      </w:r>
      <w:r w:rsidR="009A3DEE" w:rsidRPr="004F7D9D">
        <w:rPr>
          <w:rFonts w:asciiTheme="minorHAnsi" w:hAnsiTheme="minorHAnsi" w:cstheme="minorHAnsi"/>
        </w:rPr>
        <w:t xml:space="preserve">, and literacy in English, </w:t>
      </w:r>
      <w:r w:rsidRPr="004F7D9D">
        <w:rPr>
          <w:rFonts w:asciiTheme="minorHAnsi" w:hAnsiTheme="minorHAnsi" w:cstheme="minorHAnsi"/>
        </w:rPr>
        <w:t xml:space="preserve">as an additional language </w:t>
      </w:r>
    </w:p>
    <w:p w14:paraId="16869125" w14:textId="77777777" w:rsidR="009A3DEE" w:rsidRDefault="009A3DEE" w:rsidP="004F7D9D">
      <w:pPr>
        <w:pStyle w:val="ListParagraph"/>
        <w:numPr>
          <w:ilvl w:val="0"/>
          <w:numId w:val="7"/>
        </w:numPr>
        <w:ind w:left="714" w:hanging="357"/>
        <w:contextualSpacing w:val="0"/>
      </w:pPr>
      <w:r w:rsidRPr="00FC5F80">
        <w:rPr>
          <w:rFonts w:asciiTheme="minorHAnsi" w:hAnsiTheme="minorHAnsi" w:cstheme="minorHAnsi"/>
        </w:rPr>
        <w:t>Aboriginal and Torres Strait Islander</w:t>
      </w:r>
      <w:r w:rsidRPr="00220D62">
        <w:rPr>
          <w:rFonts w:asciiTheme="minorHAnsi" w:hAnsiTheme="minorHAnsi" w:cstheme="minorHAnsi"/>
        </w:rPr>
        <w:t xml:space="preserve"> </w:t>
      </w:r>
      <w:r w:rsidRPr="004F7D9D">
        <w:rPr>
          <w:rFonts w:asciiTheme="minorHAnsi" w:hAnsiTheme="minorHAnsi" w:cstheme="minorHAnsi"/>
          <w:b/>
        </w:rPr>
        <w:t>learners of traditional Aboriginal and Torres Strait Islander languages</w:t>
      </w:r>
      <w:r>
        <w:rPr>
          <w:rFonts w:asciiTheme="minorHAnsi" w:hAnsiTheme="minorHAnsi" w:cstheme="minorHAnsi"/>
        </w:rPr>
        <w:t>.</w:t>
      </w:r>
      <w:r w:rsidRPr="004F7D9D">
        <w:rPr>
          <w:rFonts w:asciiTheme="minorHAnsi" w:hAnsiTheme="minorHAnsi" w:cstheme="minorHAnsi"/>
        </w:rPr>
        <w:t xml:space="preserve"> </w:t>
      </w:r>
    </w:p>
    <w:p w14:paraId="437AF55C" w14:textId="77777777" w:rsidR="00334C37" w:rsidRDefault="00C508CF" w:rsidP="00E00729">
      <w:r>
        <w:t>Sometimes refer</w:t>
      </w:r>
      <w:r w:rsidR="009C6FBA">
        <w:t>ence</w:t>
      </w:r>
      <w:r w:rsidR="00334C37">
        <w:t>s</w:t>
      </w:r>
      <w:r>
        <w:t xml:space="preserve"> to inclu</w:t>
      </w:r>
      <w:r w:rsidR="00A961B8">
        <w:t>ding</w:t>
      </w:r>
      <w:r>
        <w:t xml:space="preserve"> Aboriginal and Torres Strait Islander people </w:t>
      </w:r>
      <w:r w:rsidR="009C6FBA">
        <w:t>seem</w:t>
      </w:r>
      <w:r>
        <w:t xml:space="preserve"> almost patronising. It shows up in the phrase </w:t>
      </w:r>
      <w:r w:rsidRPr="009915DF">
        <w:rPr>
          <w:i/>
        </w:rPr>
        <w:t>‘cultural safety’</w:t>
      </w:r>
      <w:r w:rsidR="009A3DEE">
        <w:t xml:space="preserve">, which </w:t>
      </w:r>
      <w:r w:rsidR="00EF5354">
        <w:t xml:space="preserve">often </w:t>
      </w:r>
      <w:r w:rsidR="009A3DEE">
        <w:t xml:space="preserve">seems </w:t>
      </w:r>
      <w:r w:rsidR="00EF5354">
        <w:t>problematic (although not always - for example, there is a section about children where it is appropriate</w:t>
      </w:r>
      <w:r w:rsidR="009A3DEE">
        <w:t>)</w:t>
      </w:r>
      <w:r w:rsidR="00EF5354">
        <w:t>.</w:t>
      </w:r>
      <w:r w:rsidR="00F31BC9">
        <w:t xml:space="preserve"> </w:t>
      </w:r>
      <w:r w:rsidR="009C6FBA">
        <w:t>The more ‘</w:t>
      </w:r>
      <w:r w:rsidR="009C6FBA" w:rsidRPr="009915DF">
        <w:rPr>
          <w:i/>
        </w:rPr>
        <w:t xml:space="preserve">cultural safety’ </w:t>
      </w:r>
      <w:r w:rsidR="009A3DEE">
        <w:t>appears in the text</w:t>
      </w:r>
      <w:r w:rsidR="009C6FBA">
        <w:t xml:space="preserve">, the more </w:t>
      </w:r>
      <w:r w:rsidR="00B97155">
        <w:t>feel</w:t>
      </w:r>
      <w:r w:rsidR="009A3DEE">
        <w:t>s</w:t>
      </w:r>
      <w:r w:rsidR="00B97155">
        <w:t xml:space="preserve"> infantilising — </w:t>
      </w:r>
      <w:r w:rsidR="009C6FBA">
        <w:t xml:space="preserve">as though </w:t>
      </w:r>
      <w:r w:rsidR="00EF5354">
        <w:t>it’s referring to</w:t>
      </w:r>
      <w:r w:rsidR="009C6FBA">
        <w:t xml:space="preserve"> </w:t>
      </w:r>
      <w:r w:rsidR="009A3DEE">
        <w:t xml:space="preserve">timid little </w:t>
      </w:r>
      <w:r w:rsidR="009C6FBA">
        <w:t>children</w:t>
      </w:r>
      <w:r w:rsidR="00B97155">
        <w:t xml:space="preserve">. </w:t>
      </w:r>
      <w:r w:rsidR="00555789">
        <w:t xml:space="preserve">We suggest a word search of all three documents to ask if </w:t>
      </w:r>
      <w:r w:rsidR="00555789" w:rsidRPr="009915DF">
        <w:rPr>
          <w:i/>
        </w:rPr>
        <w:t xml:space="preserve">‘appropriate’ </w:t>
      </w:r>
      <w:r w:rsidR="00555789">
        <w:t>isn’t preferable, at least in some places.</w:t>
      </w:r>
      <w:r w:rsidR="00334C37">
        <w:t xml:space="preserve"> </w:t>
      </w:r>
    </w:p>
    <w:p w14:paraId="5F2397BF" w14:textId="77777777" w:rsidR="00F31BC9" w:rsidRDefault="00334C37" w:rsidP="00E00729">
      <w:r>
        <w:t>This issue relates closely to what we see as overtones of ‘</w:t>
      </w:r>
      <w:r w:rsidRPr="00762625">
        <w:rPr>
          <w:i/>
        </w:rPr>
        <w:t xml:space="preserve">them’ </w:t>
      </w:r>
      <w:r>
        <w:t xml:space="preserve">(= alien others/infantilised/weak Aboriginal and Torres Strait Islander people) and </w:t>
      </w:r>
      <w:r w:rsidRPr="00762625">
        <w:rPr>
          <w:i/>
        </w:rPr>
        <w:t xml:space="preserve">‘us’ </w:t>
      </w:r>
      <w:r>
        <w:t>(= white people/evaluators /enlightened experts/the norm, etc.).</w:t>
      </w:r>
    </w:p>
    <w:p w14:paraId="7381659B" w14:textId="77777777" w:rsidR="00B97155" w:rsidRDefault="00EF5354" w:rsidP="00E00729">
      <w:r>
        <w:t xml:space="preserve">An example is in </w:t>
      </w:r>
      <w:r w:rsidR="00B97155">
        <w:t xml:space="preserve">Box 5.11 on page 185 of the background paper. The box says </w:t>
      </w:r>
      <w:r w:rsidR="009C6FBA">
        <w:t xml:space="preserve">that </w:t>
      </w:r>
      <w:r>
        <w:t xml:space="preserve">a </w:t>
      </w:r>
      <w:r w:rsidR="00B97155">
        <w:t>barrier</w:t>
      </w:r>
      <w:r>
        <w:t xml:space="preserve"> to accessing government services</w:t>
      </w:r>
      <w:r w:rsidR="00B97155">
        <w:t xml:space="preserve"> is a ‘lack of cultural safety’. </w:t>
      </w:r>
      <w:r>
        <w:t>The explanation in terms of disrespect and insensitivity is acceptable but</w:t>
      </w:r>
      <w:r w:rsidR="00B97155">
        <w:t xml:space="preserve"> the word ‘safety’ gives the impression that we’re talking about </w:t>
      </w:r>
      <w:r w:rsidR="00334C37">
        <w:t xml:space="preserve">frightened </w:t>
      </w:r>
      <w:r w:rsidR="00B97155">
        <w:t>children who need to be protected</w:t>
      </w:r>
      <w:r w:rsidR="0003194B">
        <w:t xml:space="preserve">. </w:t>
      </w:r>
      <w:r w:rsidR="00B97155">
        <w:t>‘</w:t>
      </w:r>
      <w:r w:rsidR="00555789">
        <w:t xml:space="preserve">A lack of cultural </w:t>
      </w:r>
      <w:r w:rsidR="00B97155">
        <w:t>appropriate</w:t>
      </w:r>
      <w:r w:rsidR="00555789">
        <w:t>ness</w:t>
      </w:r>
      <w:r w:rsidR="00B97155">
        <w:t>’</w:t>
      </w:r>
      <w:r>
        <w:t xml:space="preserve"> would</w:t>
      </w:r>
      <w:r w:rsidR="0003194B">
        <w:t xml:space="preserve"> </w:t>
      </w:r>
      <w:r>
        <w:t>impl</w:t>
      </w:r>
      <w:r w:rsidR="00F31BC9">
        <w:t>y</w:t>
      </w:r>
      <w:r w:rsidR="009C6FBA">
        <w:t xml:space="preserve"> </w:t>
      </w:r>
      <w:r w:rsidR="00B97155">
        <w:t>an equal footing</w:t>
      </w:r>
      <w:r w:rsidR="009C6FBA">
        <w:t xml:space="preserve"> </w:t>
      </w:r>
      <w:r>
        <w:t>on all sides</w:t>
      </w:r>
      <w:r w:rsidR="00B97155">
        <w:t>.</w:t>
      </w:r>
      <w:r w:rsidR="00A1267F">
        <w:t xml:space="preserve"> </w:t>
      </w:r>
    </w:p>
    <w:p w14:paraId="4623E8BD" w14:textId="77777777" w:rsidR="005E1674" w:rsidRDefault="00A12264">
      <w:r>
        <w:t>If we t</w:t>
      </w:r>
      <w:r w:rsidR="00334C37">
        <w:t>ur</w:t>
      </w:r>
      <w:r w:rsidR="00F55FB3">
        <w:t xml:space="preserve">n some of the </w:t>
      </w:r>
      <w:r w:rsidR="002D3D74">
        <w:t>points</w:t>
      </w:r>
      <w:r>
        <w:t xml:space="preserve"> in Box 5.11</w:t>
      </w:r>
      <w:r w:rsidR="00334C37">
        <w:t xml:space="preserve"> </w:t>
      </w:r>
      <w:r w:rsidR="00F55FB3">
        <w:t>on their head</w:t>
      </w:r>
      <w:r w:rsidR="00F31BC9">
        <w:t>s</w:t>
      </w:r>
      <w:r w:rsidR="0003194B">
        <w:t xml:space="preserve"> </w:t>
      </w:r>
      <w:r>
        <w:t xml:space="preserve">to </w:t>
      </w:r>
      <w:r w:rsidR="00F55FB3">
        <w:t xml:space="preserve">make Aboriginal and Torres Strait Islander people equal players, </w:t>
      </w:r>
      <w:r>
        <w:t xml:space="preserve">it becomes clear that </w:t>
      </w:r>
      <w:r w:rsidR="00F31BC9">
        <w:t>a</w:t>
      </w:r>
      <w:r w:rsidR="0003194B">
        <w:t xml:space="preserve"> lack of </w:t>
      </w:r>
      <w:r>
        <w:t>‘</w:t>
      </w:r>
      <w:r w:rsidR="0003194B">
        <w:t>cultural safety</w:t>
      </w:r>
      <w:r>
        <w:t>’</w:t>
      </w:r>
      <w:r w:rsidR="0003194B">
        <w:t xml:space="preserve"> </w:t>
      </w:r>
      <w:r w:rsidR="00F55FB3">
        <w:t>doesn’t take</w:t>
      </w:r>
      <w:r w:rsidR="0003194B">
        <w:t xml:space="preserve"> enough</w:t>
      </w:r>
      <w:r w:rsidR="00F55FB3">
        <w:t xml:space="preserve"> into account. </w:t>
      </w:r>
      <w:r w:rsidR="0003194B">
        <w:t>For example, t</w:t>
      </w:r>
      <w:r w:rsidR="005E1674">
        <w:t xml:space="preserve">he list </w:t>
      </w:r>
      <w:r w:rsidR="00F31BC9">
        <w:t>includes</w:t>
      </w:r>
      <w:r w:rsidR="00F55FB3">
        <w:t xml:space="preserve"> </w:t>
      </w:r>
      <w:r w:rsidR="005E1674" w:rsidRPr="004F7D9D">
        <w:rPr>
          <w:rStyle w:val="QuoteChar"/>
          <w:i w:val="0"/>
        </w:rPr>
        <w:t>a</w:t>
      </w:r>
      <w:r w:rsidR="005E1674">
        <w:rPr>
          <w:rStyle w:val="QuoteChar"/>
        </w:rPr>
        <w:t xml:space="preserve"> </w:t>
      </w:r>
      <w:r w:rsidR="00555789">
        <w:rPr>
          <w:rStyle w:val="QuoteChar"/>
        </w:rPr>
        <w:t>‘</w:t>
      </w:r>
      <w:r w:rsidR="00F55FB3" w:rsidRPr="00087D9E">
        <w:rPr>
          <w:rStyle w:val="QuoteChar"/>
        </w:rPr>
        <w:t>la</w:t>
      </w:r>
      <w:r w:rsidR="00F55FB3" w:rsidRPr="00F55FB3">
        <w:rPr>
          <w:rStyle w:val="QuoteChar"/>
        </w:rPr>
        <w:t>ck of awareness – people do not know what services are available in the first place</w:t>
      </w:r>
      <w:r w:rsidR="00555789">
        <w:rPr>
          <w:rStyle w:val="QuoteChar"/>
        </w:rPr>
        <w:t>’</w:t>
      </w:r>
      <w:r w:rsidR="00F55FB3" w:rsidRPr="00F55FB3">
        <w:rPr>
          <w:rStyle w:val="QuoteChar"/>
        </w:rPr>
        <w:t>.</w:t>
      </w:r>
      <w:r w:rsidR="005E1674">
        <w:t xml:space="preserve"> </w:t>
      </w:r>
      <w:r w:rsidR="0003194B">
        <w:t xml:space="preserve">This </w:t>
      </w:r>
      <w:r w:rsidR="00F31BC9">
        <w:t xml:space="preserve">framing </w:t>
      </w:r>
      <w:r w:rsidR="0003194B">
        <w:t xml:space="preserve">tends to blame the victim. </w:t>
      </w:r>
      <w:r w:rsidR="005E1674">
        <w:t xml:space="preserve">But </w:t>
      </w:r>
      <w:r w:rsidR="00F55FB3">
        <w:t>th</w:t>
      </w:r>
      <w:r w:rsidR="00F31BC9">
        <w:t xml:space="preserve">e </w:t>
      </w:r>
      <w:r w:rsidR="00F55FB3">
        <w:t xml:space="preserve">explanation </w:t>
      </w:r>
      <w:r w:rsidR="00F31BC9">
        <w:t>could also</w:t>
      </w:r>
      <w:r w:rsidR="00F55FB3">
        <w:t xml:space="preserve"> </w:t>
      </w:r>
      <w:r w:rsidR="00F31BC9">
        <w:t>be framed as</w:t>
      </w:r>
      <w:r w:rsidR="005E1674">
        <w:t xml:space="preserve"> </w:t>
      </w:r>
      <w:r w:rsidR="00555789">
        <w:rPr>
          <w:i/>
        </w:rPr>
        <w:t>‘</w:t>
      </w:r>
      <w:r w:rsidR="00F55FB3" w:rsidRPr="009915DF">
        <w:rPr>
          <w:i/>
        </w:rPr>
        <w:t>service</w:t>
      </w:r>
      <w:r w:rsidR="00087D9E" w:rsidRPr="009915DF">
        <w:rPr>
          <w:i/>
        </w:rPr>
        <w:t>s</w:t>
      </w:r>
      <w:r w:rsidR="00F55FB3" w:rsidRPr="009915DF">
        <w:rPr>
          <w:i/>
        </w:rPr>
        <w:t xml:space="preserve"> </w:t>
      </w:r>
      <w:r w:rsidR="00087D9E" w:rsidRPr="009915DF">
        <w:rPr>
          <w:i/>
        </w:rPr>
        <w:t>are not made available to people where they are</w:t>
      </w:r>
      <w:r w:rsidR="005E1674">
        <w:rPr>
          <w:i/>
        </w:rPr>
        <w:t xml:space="preserve"> and how they need them</w:t>
      </w:r>
      <w:r w:rsidR="00555789">
        <w:rPr>
          <w:i/>
        </w:rPr>
        <w:t>’</w:t>
      </w:r>
      <w:r w:rsidR="005E1674">
        <w:t xml:space="preserve">. </w:t>
      </w:r>
      <w:r w:rsidR="0003194B">
        <w:t xml:space="preserve">That phrasing places clear responsibility for getting information to people on the information </w:t>
      </w:r>
      <w:r w:rsidR="0003194B" w:rsidRPr="009915DF">
        <w:rPr>
          <w:b/>
        </w:rPr>
        <w:t>providers</w:t>
      </w:r>
      <w:r w:rsidR="0003194B">
        <w:t>, not its ignorant recipients.</w:t>
      </w:r>
    </w:p>
    <w:p w14:paraId="6AA47732" w14:textId="77777777" w:rsidR="00087D9E" w:rsidRDefault="00A12264" w:rsidP="00E57977">
      <w:r>
        <w:t>The next point in the list is a</w:t>
      </w:r>
      <w:r w:rsidR="00087D9E">
        <w:t>n</w:t>
      </w:r>
      <w:r>
        <w:t>other</w:t>
      </w:r>
      <w:r w:rsidR="00087D9E">
        <w:t xml:space="preserve"> example</w:t>
      </w:r>
      <w:r w:rsidR="00555789">
        <w:t>:</w:t>
      </w:r>
      <w:r w:rsidR="005E1674">
        <w:rPr>
          <w:rStyle w:val="QuoteChar"/>
        </w:rPr>
        <w:t xml:space="preserve"> </w:t>
      </w:r>
      <w:r w:rsidR="00994EE9">
        <w:rPr>
          <w:rStyle w:val="QuoteChar"/>
        </w:rPr>
        <w:t>‘</w:t>
      </w:r>
      <w:r w:rsidR="00087D9E">
        <w:rPr>
          <w:rStyle w:val="QuoteChar"/>
        </w:rPr>
        <w:t xml:space="preserve">language and literacy </w:t>
      </w:r>
      <w:r w:rsidR="00087D9E" w:rsidRPr="00F55FB3">
        <w:rPr>
          <w:rStyle w:val="QuoteChar"/>
        </w:rPr>
        <w:t>–</w:t>
      </w:r>
      <w:r w:rsidR="00087D9E">
        <w:rPr>
          <w:rStyle w:val="QuoteChar"/>
        </w:rPr>
        <w:t xml:space="preserve"> access to information or service delivery can be inadequate for Aboriginal and Torres Strait Islander people who speak English as a second languag</w:t>
      </w:r>
      <w:r w:rsidR="005E1674">
        <w:rPr>
          <w:rStyle w:val="QuoteChar"/>
        </w:rPr>
        <w:t>e</w:t>
      </w:r>
      <w:r w:rsidR="00994EE9">
        <w:rPr>
          <w:rStyle w:val="QuoteChar"/>
        </w:rPr>
        <w:t>’</w:t>
      </w:r>
      <w:r w:rsidR="005E1674">
        <w:rPr>
          <w:rStyle w:val="QuoteChar"/>
        </w:rPr>
        <w:t>.</w:t>
      </w:r>
      <w:r w:rsidR="005E1674">
        <w:t xml:space="preserve"> </w:t>
      </w:r>
      <w:r w:rsidR="00555789">
        <w:t xml:space="preserve">If this were rephrased to say that information should be given in the languages and ways people speak, </w:t>
      </w:r>
      <w:r w:rsidR="00F31BC9">
        <w:t>Aboriginal and</w:t>
      </w:r>
      <w:r w:rsidR="003B3537">
        <w:t xml:space="preserve"> Torres</w:t>
      </w:r>
      <w:r w:rsidR="00F31BC9">
        <w:t xml:space="preserve"> Strait Islander people </w:t>
      </w:r>
      <w:r w:rsidR="00555789">
        <w:t xml:space="preserve">would be placed </w:t>
      </w:r>
      <w:r w:rsidR="00F31BC9">
        <w:t>on an equal footing</w:t>
      </w:r>
      <w:r w:rsidR="00087D9E">
        <w:t xml:space="preserve">. </w:t>
      </w:r>
      <w:r w:rsidR="00555789">
        <w:t>It</w:t>
      </w:r>
      <w:r w:rsidR="005E1674">
        <w:t xml:space="preserve"> </w:t>
      </w:r>
      <w:r w:rsidR="00575AB7">
        <w:t>would displace the implication/assumption that</w:t>
      </w:r>
      <w:r w:rsidR="005E1674">
        <w:t xml:space="preserve"> </w:t>
      </w:r>
      <w:r w:rsidR="00575AB7">
        <w:t xml:space="preserve">‘we’ </w:t>
      </w:r>
      <w:r w:rsidR="00087D9E">
        <w:t>white, benevolent evaluators who mean well</w:t>
      </w:r>
      <w:r w:rsidR="00575AB7">
        <w:t xml:space="preserve"> (who, </w:t>
      </w:r>
      <w:r w:rsidR="00575AB7" w:rsidRPr="009915DF">
        <w:rPr>
          <w:i/>
        </w:rPr>
        <w:t>of course,</w:t>
      </w:r>
      <w:r w:rsidR="00575AB7">
        <w:t xml:space="preserve"> speak English) </w:t>
      </w:r>
      <w:r w:rsidR="00087D9E">
        <w:t xml:space="preserve">are going out </w:t>
      </w:r>
      <w:r w:rsidR="00575AB7">
        <w:t xml:space="preserve">‘there’ </w:t>
      </w:r>
      <w:r w:rsidR="00087D9E">
        <w:t xml:space="preserve">to </w:t>
      </w:r>
      <w:r w:rsidR="00575AB7">
        <w:t>‘</w:t>
      </w:r>
      <w:r w:rsidR="00087D9E">
        <w:t>help</w:t>
      </w:r>
      <w:r w:rsidR="00575AB7">
        <w:t>’</w:t>
      </w:r>
      <w:r w:rsidR="00087D9E">
        <w:t xml:space="preserve"> those</w:t>
      </w:r>
      <w:r w:rsidR="00575AB7">
        <w:t xml:space="preserve"> ‘others’</w:t>
      </w:r>
      <w:r w:rsidR="00087D9E">
        <w:t xml:space="preserve"> </w:t>
      </w:r>
      <w:r w:rsidR="00575AB7">
        <w:t xml:space="preserve">who (unfortunately) </w:t>
      </w:r>
      <w:r w:rsidR="00087D9E">
        <w:t xml:space="preserve">don’t speak English. </w:t>
      </w:r>
    </w:p>
    <w:p w14:paraId="427D9F84" w14:textId="77777777" w:rsidR="00832DEE" w:rsidRDefault="001563D2">
      <w:r>
        <w:t>The h</w:t>
      </w:r>
      <w:r w:rsidR="00575AB7">
        <w:t>omogenis</w:t>
      </w:r>
      <w:r>
        <w:t>ation of</w:t>
      </w:r>
      <w:r w:rsidR="00575AB7">
        <w:t xml:space="preserve"> ‘Aboriginal and Torres Strait Islanders’ </w:t>
      </w:r>
      <w:r>
        <w:t xml:space="preserve">also shows up in </w:t>
      </w:r>
      <w:r w:rsidR="000F26AA">
        <w:t xml:space="preserve">the </w:t>
      </w:r>
      <w:r>
        <w:t>lack of recognition of</w:t>
      </w:r>
      <w:r w:rsidR="000F26AA">
        <w:t xml:space="preserve"> </w:t>
      </w:r>
      <w:r w:rsidR="00E46F06">
        <w:t xml:space="preserve">the potential for </w:t>
      </w:r>
      <w:r w:rsidR="000F26AA">
        <w:t>difference</w:t>
      </w:r>
      <w:r w:rsidR="00E46F06">
        <w:t>s and even conflicts</w:t>
      </w:r>
      <w:r w:rsidR="000F26AA">
        <w:t xml:space="preserve"> </w:t>
      </w:r>
      <w:r w:rsidR="00575AB7">
        <w:t xml:space="preserve">in people’s </w:t>
      </w:r>
      <w:r w:rsidR="000F26AA">
        <w:t xml:space="preserve">preferences and priorities. </w:t>
      </w:r>
      <w:r w:rsidR="00463F87">
        <w:t xml:space="preserve">An </w:t>
      </w:r>
      <w:r w:rsidR="000F26AA">
        <w:t>example</w:t>
      </w:r>
      <w:r w:rsidR="00463F87">
        <w:t xml:space="preserve"> is the sentence </w:t>
      </w:r>
      <w:r w:rsidR="000F26AA">
        <w:t>on page 172</w:t>
      </w:r>
      <w:r w:rsidR="00463F87">
        <w:t xml:space="preserve">: </w:t>
      </w:r>
      <w:r w:rsidR="00994EE9">
        <w:rPr>
          <w:i/>
        </w:rPr>
        <w:t>‘</w:t>
      </w:r>
      <w:r w:rsidR="00E46F06" w:rsidRPr="009915DF">
        <w:rPr>
          <w:i/>
        </w:rPr>
        <w:t>measures of value should reflect Aboriginal and Torres Strait Islander people’s preferences</w:t>
      </w:r>
      <w:r w:rsidR="00994EE9">
        <w:rPr>
          <w:i/>
        </w:rPr>
        <w:t>’</w:t>
      </w:r>
      <w:r w:rsidR="00463F87">
        <w:t xml:space="preserve">, which </w:t>
      </w:r>
      <w:r w:rsidR="00E426FE">
        <w:t>present</w:t>
      </w:r>
      <w:r w:rsidR="00E46F06">
        <w:t>s these preferences</w:t>
      </w:r>
      <w:r w:rsidR="00A12264">
        <w:t xml:space="preserve"> as</w:t>
      </w:r>
      <w:r w:rsidR="00E426FE">
        <w:t xml:space="preserve"> i</w:t>
      </w:r>
      <w:r w:rsidR="000F26AA">
        <w:t xml:space="preserve">ncontestable and </w:t>
      </w:r>
      <w:r w:rsidR="000F26AA">
        <w:lastRenderedPageBreak/>
        <w:t>uncontested</w:t>
      </w:r>
      <w:r w:rsidR="00575AB7">
        <w:t>.</w:t>
      </w:r>
      <w:r w:rsidR="00E46F06">
        <w:t xml:space="preserve"> </w:t>
      </w:r>
      <w:r>
        <w:t>D</w:t>
      </w:r>
      <w:r w:rsidR="000F26AA">
        <w:t xml:space="preserve">etermining preferences among </w:t>
      </w:r>
      <w:r w:rsidR="000F26AA" w:rsidRPr="009915DF">
        <w:rPr>
          <w:i/>
        </w:rPr>
        <w:t>any</w:t>
      </w:r>
      <w:r w:rsidR="000F26AA">
        <w:t xml:space="preserve"> group of people is incredibly tricky – there is (nearly) always </w:t>
      </w:r>
      <w:r>
        <w:t xml:space="preserve">some </w:t>
      </w:r>
      <w:r w:rsidR="000F26AA">
        <w:t xml:space="preserve">conflict. </w:t>
      </w:r>
      <w:r w:rsidR="00463F87">
        <w:t>The them/us assumption is unmasked if we compare that sentence with a (potential) recommendation</w:t>
      </w:r>
      <w:r w:rsidR="00E46F06">
        <w:t xml:space="preserve"> that </w:t>
      </w:r>
      <w:r w:rsidR="00994EE9">
        <w:t>‘</w:t>
      </w:r>
      <w:r w:rsidR="00E46F06">
        <w:t>m</w:t>
      </w:r>
      <w:r w:rsidR="000F26AA">
        <w:t>easures of value should reflect white people</w:t>
      </w:r>
      <w:r w:rsidR="00D906BD">
        <w:t>’</w:t>
      </w:r>
      <w:r w:rsidR="000F26AA">
        <w:t>s preferences</w:t>
      </w:r>
      <w:r w:rsidR="00994EE9">
        <w:t>’</w:t>
      </w:r>
      <w:r w:rsidR="00463F87">
        <w:t>, which is clearly</w:t>
      </w:r>
      <w:r w:rsidR="00E46F06">
        <w:t xml:space="preserve"> </w:t>
      </w:r>
      <w:r>
        <w:t>absurd</w:t>
      </w:r>
      <w:r w:rsidR="000F26AA">
        <w:t xml:space="preserve">. So why </w:t>
      </w:r>
      <w:r w:rsidR="00463F87">
        <w:t>can this recommendation apply to</w:t>
      </w:r>
      <w:r w:rsidR="00A811D8">
        <w:t xml:space="preserve"> </w:t>
      </w:r>
      <w:r w:rsidR="000F26AA">
        <w:t xml:space="preserve">Aboriginal and Torres Strait Islander people? </w:t>
      </w:r>
    </w:p>
    <w:p w14:paraId="685D6970" w14:textId="77777777" w:rsidR="001563D2" w:rsidRDefault="00A811D8" w:rsidP="00E00729">
      <w:r>
        <w:t>Regarding</w:t>
      </w:r>
      <w:r w:rsidR="008733B8">
        <w:t xml:space="preserve"> </w:t>
      </w:r>
      <w:r w:rsidR="008733B8" w:rsidRPr="009915DF">
        <w:rPr>
          <w:b/>
          <w:i/>
        </w:rPr>
        <w:t>‘knowledges’</w:t>
      </w:r>
      <w:r w:rsidR="008733B8" w:rsidRPr="009915DF">
        <w:rPr>
          <w:i/>
        </w:rPr>
        <w:t>,</w:t>
      </w:r>
      <w:r w:rsidR="008733B8" w:rsidRPr="00E57977">
        <w:t xml:space="preserve"> </w:t>
      </w:r>
      <w:r>
        <w:t xml:space="preserve">as far as we can see </w:t>
      </w:r>
      <w:r w:rsidR="008733B8">
        <w:t xml:space="preserve">there is no unpacking of what </w:t>
      </w:r>
      <w:r>
        <w:t xml:space="preserve">is </w:t>
      </w:r>
      <w:r w:rsidR="008733B8">
        <w:t>mean</w:t>
      </w:r>
      <w:r>
        <w:t>t</w:t>
      </w:r>
      <w:r w:rsidR="008733B8">
        <w:t xml:space="preserve"> by knowledges. None. Does it include language? </w:t>
      </w:r>
      <w:r>
        <w:t>In</w:t>
      </w:r>
      <w:r w:rsidR="008733B8">
        <w:t xml:space="preserve"> some places, </w:t>
      </w:r>
      <w:r>
        <w:t xml:space="preserve">language is </w:t>
      </w:r>
      <w:r w:rsidR="008733B8">
        <w:t xml:space="preserve">clearly </w:t>
      </w:r>
      <w:r>
        <w:t xml:space="preserve">included </w:t>
      </w:r>
      <w:r w:rsidR="008733B8">
        <w:t xml:space="preserve">and </w:t>
      </w:r>
      <w:r>
        <w:t xml:space="preserve">the term ‘knowledges’ </w:t>
      </w:r>
      <w:r w:rsidR="008733B8">
        <w:t>works well</w:t>
      </w:r>
      <w:r>
        <w:t>.</w:t>
      </w:r>
      <w:r w:rsidR="008733B8">
        <w:t xml:space="preserve"> </w:t>
      </w:r>
      <w:r>
        <w:t>B</w:t>
      </w:r>
      <w:r w:rsidR="008733B8">
        <w:t>ut elsewhere</w:t>
      </w:r>
      <w:r w:rsidR="00A12264">
        <w:t xml:space="preserve"> </w:t>
      </w:r>
      <w:r>
        <w:t>‘</w:t>
      </w:r>
      <w:r w:rsidR="00463F87">
        <w:t>k</w:t>
      </w:r>
      <w:r>
        <w:t xml:space="preserve">nowledges’ </w:t>
      </w:r>
      <w:r w:rsidR="008733B8">
        <w:t xml:space="preserve">is elaborated </w:t>
      </w:r>
      <w:r>
        <w:t xml:space="preserve">but </w:t>
      </w:r>
      <w:r w:rsidR="008733B8">
        <w:t>language</w:t>
      </w:r>
      <w:r>
        <w:t>(s)</w:t>
      </w:r>
      <w:r w:rsidR="008733B8">
        <w:t xml:space="preserve"> is</w:t>
      </w:r>
      <w:r>
        <w:t>/are</w:t>
      </w:r>
      <w:r w:rsidR="008733B8">
        <w:t xml:space="preserve"> not mentioned. ‘Knowledges’ is a </w:t>
      </w:r>
      <w:r w:rsidR="00463F87">
        <w:t xml:space="preserve">great </w:t>
      </w:r>
      <w:r w:rsidR="008733B8">
        <w:t>word, but what does it mean in th</w:t>
      </w:r>
      <w:r>
        <w:t>ese documents</w:t>
      </w:r>
      <w:r w:rsidR="008733B8">
        <w:t>?</w:t>
      </w:r>
    </w:p>
    <w:p w14:paraId="62A2C966" w14:textId="77777777" w:rsidR="001B11B4" w:rsidRDefault="001563D2" w:rsidP="00E00729">
      <w:r>
        <w:t xml:space="preserve">To sum up: what is meant by </w:t>
      </w:r>
      <w:r w:rsidRPr="00762625">
        <w:rPr>
          <w:b/>
          <w:i/>
        </w:rPr>
        <w:t>each</w:t>
      </w:r>
      <w:r>
        <w:t xml:space="preserve"> </w:t>
      </w:r>
      <w:r w:rsidR="00A12264">
        <w:t xml:space="preserve">noun </w:t>
      </w:r>
      <w:r>
        <w:t>in the phrase</w:t>
      </w:r>
      <w:r w:rsidRPr="009915DF">
        <w:rPr>
          <w:i/>
        </w:rPr>
        <w:t xml:space="preserve"> </w:t>
      </w:r>
      <w:r w:rsidRPr="004F7D9D">
        <w:t xml:space="preserve">‘Aboriginal and Torres Strait Islander </w:t>
      </w:r>
      <w:r w:rsidRPr="004F7D9D">
        <w:rPr>
          <w:u w:val="single"/>
        </w:rPr>
        <w:t>people</w:t>
      </w:r>
      <w:r w:rsidRPr="004F7D9D">
        <w:t xml:space="preserve">, </w:t>
      </w:r>
      <w:r w:rsidRPr="004F7D9D">
        <w:rPr>
          <w:u w:val="single"/>
        </w:rPr>
        <w:t>perspectives</w:t>
      </w:r>
      <w:r w:rsidRPr="004F7D9D">
        <w:t>,</w:t>
      </w:r>
      <w:r w:rsidRPr="004F7D9D">
        <w:rPr>
          <w:u w:val="single"/>
        </w:rPr>
        <w:t xml:space="preserve"> priorities</w:t>
      </w:r>
      <w:r w:rsidRPr="004F7D9D">
        <w:t xml:space="preserve"> and </w:t>
      </w:r>
      <w:r w:rsidRPr="004F7D9D">
        <w:rPr>
          <w:u w:val="single"/>
        </w:rPr>
        <w:t>knowledges</w:t>
      </w:r>
      <w:r w:rsidRPr="004F7D9D">
        <w:t xml:space="preserve">’ </w:t>
      </w:r>
      <w:r>
        <w:t xml:space="preserve">should be explained at the outset. This explanation should </w:t>
      </w:r>
      <w:r w:rsidR="00463F87">
        <w:t>systematically apply t</w:t>
      </w:r>
      <w:r w:rsidR="00A12264">
        <w:t>hroughout</w:t>
      </w:r>
      <w:r w:rsidR="00463F87">
        <w:t xml:space="preserve"> the </w:t>
      </w:r>
      <w:r>
        <w:t xml:space="preserve">discussion. Explanations shouldn’t just appear </w:t>
      </w:r>
      <w:r w:rsidR="00A12264">
        <w:t>where</w:t>
      </w:r>
      <w:r>
        <w:t xml:space="preserve"> someone has realised that </w:t>
      </w:r>
      <w:r w:rsidR="00A12264">
        <w:t xml:space="preserve">an </w:t>
      </w:r>
      <w:r>
        <w:t xml:space="preserve">explanation </w:t>
      </w:r>
      <w:r w:rsidR="00463F87">
        <w:t xml:space="preserve">or elaboration </w:t>
      </w:r>
      <w:r>
        <w:t xml:space="preserve">is needed. </w:t>
      </w:r>
    </w:p>
    <w:p w14:paraId="1A15347C" w14:textId="77777777" w:rsidR="00867B71" w:rsidRPr="009915DF" w:rsidRDefault="00A811D8" w:rsidP="00E00729">
      <w:pPr>
        <w:pStyle w:val="Heading2"/>
        <w:spacing w:line="276" w:lineRule="auto"/>
        <w:rPr>
          <w:b/>
          <w:i w:val="0"/>
        </w:rPr>
      </w:pPr>
      <w:r w:rsidRPr="009915DF">
        <w:rPr>
          <w:b/>
          <w:i w:val="0"/>
        </w:rPr>
        <w:t>2.</w:t>
      </w:r>
      <w:r w:rsidR="009433F4">
        <w:rPr>
          <w:b/>
          <w:i w:val="0"/>
        </w:rPr>
        <w:t>2</w:t>
      </w:r>
      <w:r w:rsidRPr="009915DF">
        <w:rPr>
          <w:b/>
          <w:i w:val="0"/>
        </w:rPr>
        <w:t xml:space="preserve"> C</w:t>
      </w:r>
      <w:r w:rsidR="00867B71" w:rsidRPr="009915DF">
        <w:rPr>
          <w:b/>
          <w:i w:val="0"/>
        </w:rPr>
        <w:t>onsideration of</w:t>
      </w:r>
      <w:r w:rsidR="000F6120" w:rsidRPr="009915DF">
        <w:rPr>
          <w:b/>
          <w:i w:val="0"/>
        </w:rPr>
        <w:t xml:space="preserve"> language,</w:t>
      </w:r>
      <w:r w:rsidR="00867B71" w:rsidRPr="009915DF">
        <w:rPr>
          <w:b/>
          <w:i w:val="0"/>
        </w:rPr>
        <w:t xml:space="preserve"> language issues, multilingu</w:t>
      </w:r>
      <w:r w:rsidRPr="009915DF">
        <w:rPr>
          <w:b/>
          <w:i w:val="0"/>
        </w:rPr>
        <w:t>al</w:t>
      </w:r>
      <w:r w:rsidR="00867B71" w:rsidRPr="009915DF">
        <w:rPr>
          <w:b/>
          <w:i w:val="0"/>
        </w:rPr>
        <w:t>ism, English language proficiency</w:t>
      </w:r>
      <w:r w:rsidRPr="009915DF">
        <w:rPr>
          <w:b/>
          <w:i w:val="0"/>
        </w:rPr>
        <w:t>,</w:t>
      </w:r>
      <w:r w:rsidR="00867B71" w:rsidRPr="009915DF">
        <w:rPr>
          <w:b/>
          <w:i w:val="0"/>
        </w:rPr>
        <w:t xml:space="preserve"> and English language varieties is inconsistent and mostly missing</w:t>
      </w:r>
    </w:p>
    <w:p w14:paraId="3A8B3823" w14:textId="77777777" w:rsidR="00867B71" w:rsidRDefault="006C0026" w:rsidP="00E00729">
      <w:r>
        <w:t>All three documents seem to reflect</w:t>
      </w:r>
      <w:r w:rsidR="004E2308">
        <w:t xml:space="preserve"> </w:t>
      </w:r>
      <w:r>
        <w:t>an</w:t>
      </w:r>
      <w:r w:rsidR="004E2308">
        <w:t xml:space="preserve"> assumption that </w:t>
      </w:r>
      <w:r>
        <w:t xml:space="preserve">mention of </w:t>
      </w:r>
      <w:r w:rsidR="004E2308">
        <w:t xml:space="preserve">culture (or knowledges) </w:t>
      </w:r>
      <w:r>
        <w:t xml:space="preserve">will allow </w:t>
      </w:r>
      <w:r w:rsidR="004E2308">
        <w:t xml:space="preserve">language </w:t>
      </w:r>
      <w:r>
        <w:t>issues to be addressed.</w:t>
      </w:r>
      <w:r w:rsidR="004E2308">
        <w:t xml:space="preserve"> </w:t>
      </w:r>
    </w:p>
    <w:p w14:paraId="09F56E4F" w14:textId="77777777" w:rsidR="009A0D95" w:rsidRDefault="00123D50" w:rsidP="00E00729">
      <w:r>
        <w:t>The discussion of</w:t>
      </w:r>
      <w:r w:rsidR="00B55D3E">
        <w:t xml:space="preserve"> priorities early </w:t>
      </w:r>
      <w:r>
        <w:t xml:space="preserve">in the </w:t>
      </w:r>
      <w:r w:rsidR="004E2308">
        <w:t xml:space="preserve">discussion paper </w:t>
      </w:r>
      <w:r w:rsidR="00E57977">
        <w:t>refers to</w:t>
      </w:r>
      <w:r w:rsidR="00B55D3E">
        <w:t xml:space="preserve"> the United Nations Declaration on Indigenous Rights</w:t>
      </w:r>
      <w:r w:rsidR="009A0D95">
        <w:t>.</w:t>
      </w:r>
      <w:r w:rsidR="00B55D3E">
        <w:t xml:space="preserve"> </w:t>
      </w:r>
      <w:r w:rsidR="009A0D95">
        <w:t xml:space="preserve">But </w:t>
      </w:r>
      <w:r w:rsidR="00B55D3E">
        <w:t xml:space="preserve">no reference </w:t>
      </w:r>
      <w:r w:rsidR="009A0D95">
        <w:t xml:space="preserve">is made </w:t>
      </w:r>
      <w:r w:rsidR="00B55D3E">
        <w:t xml:space="preserve">to </w:t>
      </w:r>
      <w:r w:rsidR="00E57977">
        <w:t>the Declaration’s</w:t>
      </w:r>
      <w:r w:rsidR="00B55D3E">
        <w:t xml:space="preserve"> paragraphs on languages. We made extensive reference to </w:t>
      </w:r>
      <w:r>
        <w:t xml:space="preserve">these paragraphs </w:t>
      </w:r>
      <w:r w:rsidR="00B55D3E">
        <w:t xml:space="preserve">in </w:t>
      </w:r>
      <w:r>
        <w:t xml:space="preserve">the ACTA </w:t>
      </w:r>
      <w:r w:rsidR="00B55D3E">
        <w:t>submission</w:t>
      </w:r>
      <w:r w:rsidR="009A0D95">
        <w:t>. T</w:t>
      </w:r>
      <w:r w:rsidR="00E57977">
        <w:t>he</w:t>
      </w:r>
      <w:r>
        <w:t>ir</w:t>
      </w:r>
      <w:r w:rsidR="00E57977">
        <w:t xml:space="preserve"> </w:t>
      </w:r>
      <w:r w:rsidR="00B55D3E">
        <w:t xml:space="preserve">implications are substantive. </w:t>
      </w:r>
    </w:p>
    <w:p w14:paraId="27958D24" w14:textId="77777777" w:rsidR="00C42257" w:rsidRDefault="009A0D95" w:rsidP="00E00729">
      <w:r>
        <w:t xml:space="preserve">We are disappointed that </w:t>
      </w:r>
      <w:r w:rsidR="004E2308">
        <w:t xml:space="preserve">our </w:t>
      </w:r>
      <w:r>
        <w:t xml:space="preserve">extensive </w:t>
      </w:r>
      <w:r w:rsidR="004E2308">
        <w:t xml:space="preserve">submission arguing that </w:t>
      </w:r>
      <w:r>
        <w:t>language(s) and language issues should be taken account of in evaluations does not seem</w:t>
      </w:r>
      <w:r w:rsidR="00123D50">
        <w:t xml:space="preserve"> to have</w:t>
      </w:r>
      <w:r w:rsidR="00E57977">
        <w:t xml:space="preserve"> </w:t>
      </w:r>
      <w:r w:rsidR="00C52390">
        <w:t xml:space="preserve">been attended to in any part of </w:t>
      </w:r>
      <w:r w:rsidR="00E57977">
        <w:t xml:space="preserve">the </w:t>
      </w:r>
      <w:r>
        <w:t xml:space="preserve">Commission’s </w:t>
      </w:r>
      <w:r w:rsidR="00C52390">
        <w:t>document</w:t>
      </w:r>
      <w:r>
        <w:t>s</w:t>
      </w:r>
      <w:r w:rsidR="00C52390">
        <w:t>. The</w:t>
      </w:r>
      <w:r w:rsidR="00622FF1">
        <w:t>re is</w:t>
      </w:r>
      <w:r w:rsidR="00C52390">
        <w:t xml:space="preserve"> just one reference to the ACTA submission </w:t>
      </w:r>
      <w:r w:rsidR="004E2308">
        <w:t xml:space="preserve">(re </w:t>
      </w:r>
      <w:r w:rsidR="00C52390">
        <w:t xml:space="preserve">data that’s </w:t>
      </w:r>
      <w:r w:rsidR="00A12264">
        <w:t xml:space="preserve">included </w:t>
      </w:r>
      <w:r w:rsidR="00C52390">
        <w:t xml:space="preserve">and </w:t>
      </w:r>
      <w:r w:rsidR="00A12264">
        <w:t>omitted</w:t>
      </w:r>
      <w:r w:rsidR="00C52390">
        <w:t xml:space="preserve"> – we don’t think this is the most important thing we said</w:t>
      </w:r>
      <w:r w:rsidR="004E2308">
        <w:t>)</w:t>
      </w:r>
      <w:r w:rsidR="00C52390">
        <w:t xml:space="preserve">. </w:t>
      </w:r>
      <w:r w:rsidR="008F1E4E">
        <w:t xml:space="preserve">We </w:t>
      </w:r>
      <w:r w:rsidR="00123D50">
        <w:t xml:space="preserve">also </w:t>
      </w:r>
      <w:r w:rsidR="008F1E4E">
        <w:t xml:space="preserve">can’t see </w:t>
      </w:r>
      <w:r w:rsidR="00622FF1">
        <w:t xml:space="preserve">any </w:t>
      </w:r>
      <w:r w:rsidR="008F1E4E">
        <w:t>evidence that attention was paid to other submissions</w:t>
      </w:r>
      <w:r w:rsidR="00E57977">
        <w:t xml:space="preserve"> that focussed on language issues</w:t>
      </w:r>
      <w:r w:rsidR="004E2308">
        <w:t>, notably</w:t>
      </w:r>
      <w:r w:rsidR="008F1E4E">
        <w:t xml:space="preserve"> the submission by Denise Angelo and others, the submission by the ARC Centre for Excellence for the Dynamics of Language </w:t>
      </w:r>
      <w:r w:rsidR="00F53FDF">
        <w:t xml:space="preserve">and the submission by Audiology Australia (deafness is a huge issue in Aboriginal communities, with a huge impact on educational achievement for not just Aboriginal children </w:t>
      </w:r>
      <w:r w:rsidR="00A50DFD">
        <w:t>and</w:t>
      </w:r>
      <w:r w:rsidR="00F53FDF">
        <w:t xml:space="preserve"> adults </w:t>
      </w:r>
      <w:r w:rsidR="00A50DFD">
        <w:t>but everybody</w:t>
      </w:r>
      <w:r w:rsidR="00F53FDF">
        <w:t>)</w:t>
      </w:r>
      <w:r w:rsidR="00A50DFD">
        <w:t xml:space="preserve">. </w:t>
      </w:r>
    </w:p>
    <w:p w14:paraId="2F5459A6" w14:textId="77777777" w:rsidR="006C0026" w:rsidRDefault="00E57977" w:rsidP="004E2308">
      <w:r w:rsidRPr="004F7D9D">
        <w:t xml:space="preserve">Somewhere in the </w:t>
      </w:r>
      <w:r w:rsidR="00622FF1" w:rsidRPr="004F7D9D">
        <w:t xml:space="preserve">background </w:t>
      </w:r>
      <w:r w:rsidRPr="004F7D9D">
        <w:t>document is</w:t>
      </w:r>
      <w:r w:rsidR="0092093A" w:rsidRPr="004F7D9D">
        <w:t xml:space="preserve"> a quote that has words to the effect of </w:t>
      </w:r>
      <w:r w:rsidR="00994EE9">
        <w:t>‘</w:t>
      </w:r>
      <w:r w:rsidRPr="004F7D9D">
        <w:t>Y</w:t>
      </w:r>
      <w:r w:rsidR="0092093A" w:rsidRPr="004F7D9D">
        <w:t>ou can’t see what you’re not looking for</w:t>
      </w:r>
      <w:r w:rsidR="00994EE9">
        <w:t>’</w:t>
      </w:r>
      <w:r w:rsidR="00BC1F9D" w:rsidRPr="004F7D9D">
        <w:t xml:space="preserve"> (p. 161)</w:t>
      </w:r>
      <w:r w:rsidR="0092093A" w:rsidRPr="004F7D9D">
        <w:t>. We think that</w:t>
      </w:r>
      <w:r w:rsidRPr="004F7D9D">
        <w:t xml:space="preserve"> observation</w:t>
      </w:r>
      <w:r w:rsidR="0092093A" w:rsidRPr="004F7D9D">
        <w:t xml:space="preserve"> </w:t>
      </w:r>
      <w:r w:rsidR="00622FF1" w:rsidRPr="004F7D9D">
        <w:t xml:space="preserve">clearly </w:t>
      </w:r>
      <w:r w:rsidR="0092093A" w:rsidRPr="004F7D9D">
        <w:t>applies</w:t>
      </w:r>
      <w:r w:rsidRPr="004F7D9D">
        <w:t xml:space="preserve"> </w:t>
      </w:r>
      <w:r w:rsidR="0092093A" w:rsidRPr="004F7D9D">
        <w:t xml:space="preserve">to </w:t>
      </w:r>
      <w:r w:rsidR="00622FF1" w:rsidRPr="004F7D9D">
        <w:t>the Commission’s own discussion</w:t>
      </w:r>
      <w:r w:rsidR="0092093A" w:rsidRPr="004F7D9D">
        <w:t>. If you’re not looking for language issues, you don’t see them.</w:t>
      </w:r>
      <w:r w:rsidR="0077075B" w:rsidRPr="004F7D9D">
        <w:t xml:space="preserve"> </w:t>
      </w:r>
      <w:r w:rsidR="004E2308" w:rsidRPr="004F7D9D">
        <w:t xml:space="preserve">This criticism applies not </w:t>
      </w:r>
      <w:r w:rsidRPr="004F7D9D">
        <w:t xml:space="preserve">just </w:t>
      </w:r>
      <w:r w:rsidR="004E2308" w:rsidRPr="004F7D9D">
        <w:t xml:space="preserve">to </w:t>
      </w:r>
      <w:r w:rsidRPr="004F7D9D">
        <w:t xml:space="preserve">the Commission’s </w:t>
      </w:r>
      <w:r w:rsidR="00622FF1" w:rsidRPr="004F7D9D">
        <w:t>analysis</w:t>
      </w:r>
      <w:r w:rsidRPr="004F7D9D">
        <w:t xml:space="preserve"> – the</w:t>
      </w:r>
      <w:r w:rsidR="0077075B" w:rsidRPr="004F7D9D">
        <w:t xml:space="preserve"> submissions and frameworks referenced </w:t>
      </w:r>
      <w:r w:rsidR="00622FF1" w:rsidRPr="004F7D9D">
        <w:t xml:space="preserve">also say very little or </w:t>
      </w:r>
      <w:r w:rsidR="00532407" w:rsidRPr="004F7D9D">
        <w:t xml:space="preserve">nothing </w:t>
      </w:r>
      <w:r w:rsidR="0077075B" w:rsidRPr="004F7D9D">
        <w:t xml:space="preserve">about language. </w:t>
      </w:r>
    </w:p>
    <w:p w14:paraId="51FFF84A" w14:textId="77777777" w:rsidR="004E2308" w:rsidRDefault="00E57977" w:rsidP="004E2308">
      <w:r w:rsidRPr="004F7D9D">
        <w:t xml:space="preserve">But </w:t>
      </w:r>
      <w:r w:rsidR="00123D50" w:rsidRPr="004F7D9D">
        <w:t>language is</w:t>
      </w:r>
      <w:r w:rsidR="003372D8" w:rsidRPr="004F7D9D">
        <w:t xml:space="preserve"> really important. </w:t>
      </w:r>
      <w:r w:rsidR="004E2308">
        <w:t>At the beginning of ACTA’s submission (p. 9 ff.), we re</w:t>
      </w:r>
      <w:r w:rsidR="00133BA3">
        <w:t xml:space="preserve">ported on </w:t>
      </w:r>
      <w:r w:rsidR="004E2308">
        <w:t>an unpublished paper on policies and evaluations that do and don’t consider language in its own right, and what gets overlooked when you don’t consider it</w:t>
      </w:r>
      <w:r w:rsidR="00A12264">
        <w:t xml:space="preserve"> (see also </w:t>
      </w:r>
      <w:r w:rsidR="00133BA3">
        <w:t>Appendix B)</w:t>
      </w:r>
      <w:r w:rsidR="004E2308">
        <w:t xml:space="preserve">. We </w:t>
      </w:r>
      <w:r w:rsidR="00133BA3">
        <w:t>commend</w:t>
      </w:r>
      <w:r w:rsidR="004E2308">
        <w:t xml:space="preserve"> th</w:t>
      </w:r>
      <w:r w:rsidR="00133BA3">
        <w:t>ose</w:t>
      </w:r>
      <w:r w:rsidR="004E2308">
        <w:t xml:space="preserve"> </w:t>
      </w:r>
      <w:r w:rsidR="00133BA3">
        <w:t xml:space="preserve">sections of our submission </w:t>
      </w:r>
      <w:r w:rsidR="004E2308">
        <w:t xml:space="preserve">to you. </w:t>
      </w:r>
      <w:r w:rsidR="00133BA3">
        <w:t>(The paper may have been published by now.)</w:t>
      </w:r>
    </w:p>
    <w:p w14:paraId="63E5178E" w14:textId="77777777" w:rsidR="00622FF1" w:rsidRPr="004F7D9D" w:rsidRDefault="00622FF1" w:rsidP="004E2308">
      <w:pPr>
        <w:pStyle w:val="Heading1"/>
        <w:spacing w:line="276" w:lineRule="auto"/>
        <w:rPr>
          <w:rFonts w:asciiTheme="minorHAnsi" w:hAnsiTheme="minorHAnsi" w:cstheme="minorHAnsi"/>
          <w:b w:val="0"/>
        </w:rPr>
      </w:pPr>
      <w:r w:rsidRPr="004F7D9D">
        <w:rPr>
          <w:rFonts w:asciiTheme="minorHAnsi" w:hAnsiTheme="minorHAnsi" w:cstheme="minorHAnsi"/>
          <w:b w:val="0"/>
        </w:rPr>
        <w:lastRenderedPageBreak/>
        <w:t xml:space="preserve">There’s a very good paragraph </w:t>
      </w:r>
      <w:r w:rsidR="004E2308">
        <w:rPr>
          <w:rFonts w:asciiTheme="minorHAnsi" w:hAnsiTheme="minorHAnsi" w:cstheme="minorHAnsi"/>
          <w:b w:val="0"/>
        </w:rPr>
        <w:t xml:space="preserve">somewhere </w:t>
      </w:r>
      <w:r w:rsidRPr="004F7D9D">
        <w:rPr>
          <w:rFonts w:asciiTheme="minorHAnsi" w:hAnsiTheme="minorHAnsi" w:cstheme="minorHAnsi"/>
          <w:b w:val="0"/>
        </w:rPr>
        <w:t xml:space="preserve">in the background document about how minorities are overlooked and the tendency to preference the majority. Attention is paid to how to balance minority perspectives (in this case, Aboriginal and Torres Strait Islander perspectives) against those of the majority. This principle </w:t>
      </w:r>
      <w:r w:rsidR="006C0026">
        <w:rPr>
          <w:rFonts w:asciiTheme="minorHAnsi" w:hAnsiTheme="minorHAnsi" w:cstheme="minorHAnsi"/>
          <w:b w:val="0"/>
        </w:rPr>
        <w:t>should</w:t>
      </w:r>
      <w:r w:rsidRPr="004F7D9D">
        <w:rPr>
          <w:rFonts w:asciiTheme="minorHAnsi" w:hAnsiTheme="minorHAnsi" w:cstheme="minorHAnsi"/>
          <w:b w:val="0"/>
        </w:rPr>
        <w:t xml:space="preserve"> extend to the submissions the Commission receives. The majority of submissions say nothing about language, but maybe it’s worth asking: ‘Is there an important unexamined bias in how evaluations and professional evaluators work?’ Just because evaluators never think about language does</w:t>
      </w:r>
      <w:r w:rsidR="006C0026">
        <w:rPr>
          <w:rFonts w:asciiTheme="minorHAnsi" w:hAnsiTheme="minorHAnsi" w:cstheme="minorHAnsi"/>
          <w:b w:val="0"/>
        </w:rPr>
        <w:t xml:space="preserve"> </w:t>
      </w:r>
      <w:r w:rsidRPr="004F7D9D">
        <w:rPr>
          <w:rFonts w:asciiTheme="minorHAnsi" w:hAnsiTheme="minorHAnsi" w:cstheme="minorHAnsi"/>
          <w:b w:val="0"/>
        </w:rPr>
        <w:t>n</w:t>
      </w:r>
      <w:r w:rsidR="006C0026">
        <w:rPr>
          <w:rFonts w:asciiTheme="minorHAnsi" w:hAnsiTheme="minorHAnsi" w:cstheme="minorHAnsi"/>
          <w:b w:val="0"/>
        </w:rPr>
        <w:t>o</w:t>
      </w:r>
      <w:r w:rsidRPr="004F7D9D">
        <w:rPr>
          <w:rFonts w:asciiTheme="minorHAnsi" w:hAnsiTheme="minorHAnsi" w:cstheme="minorHAnsi"/>
          <w:b w:val="0"/>
        </w:rPr>
        <w:t xml:space="preserve">t mean it’s not important in the real world. </w:t>
      </w:r>
    </w:p>
    <w:p w14:paraId="66C59945" w14:textId="77777777" w:rsidR="00622FF1" w:rsidRPr="00AE437F" w:rsidRDefault="00AE437F" w:rsidP="00622FF1">
      <w:r>
        <w:t xml:space="preserve">Your recommendations include </w:t>
      </w:r>
      <w:r w:rsidR="00622FF1" w:rsidRPr="009915DF">
        <w:t>creating a Centre for Evaluation and building an evaluation culture – we find this a little scary in some ways, because it could end up being another silo, where evaluators only go to evaluator conferences and only talk to other evaluators. This means that the assumptions that exist amongst evaluators will be perpetuated. Something needs to be built in that breaks that.</w:t>
      </w:r>
    </w:p>
    <w:p w14:paraId="4595E17B" w14:textId="77777777" w:rsidR="003372D8" w:rsidRPr="003372D8" w:rsidRDefault="00622FF1" w:rsidP="00E00729">
      <w:r>
        <w:t>I</w:t>
      </w:r>
      <w:r w:rsidR="003372D8">
        <w:t xml:space="preserve">f the principles in the </w:t>
      </w:r>
      <w:r w:rsidR="00532407">
        <w:t xml:space="preserve">Commission’s </w:t>
      </w:r>
      <w:r>
        <w:t xml:space="preserve">analysis </w:t>
      </w:r>
      <w:r w:rsidR="00123D50">
        <w:t xml:space="preserve">are </w:t>
      </w:r>
      <w:r>
        <w:t xml:space="preserve">to be </w:t>
      </w:r>
      <w:r w:rsidR="00123D50">
        <w:t xml:space="preserve">applied </w:t>
      </w:r>
      <w:r w:rsidR="006C0026">
        <w:t>to its</w:t>
      </w:r>
      <w:r>
        <w:t xml:space="preserve"> own way of framing things </w:t>
      </w:r>
      <w:r w:rsidR="003372D8">
        <w:t xml:space="preserve">– </w:t>
      </w:r>
      <w:r>
        <w:t xml:space="preserve">viz. </w:t>
      </w:r>
      <w:r w:rsidR="003372D8">
        <w:t xml:space="preserve">that </w:t>
      </w:r>
      <w:r>
        <w:t xml:space="preserve">minority perspectives have a place, and that </w:t>
      </w:r>
      <w:r w:rsidR="00532407">
        <w:t xml:space="preserve">evaluators </w:t>
      </w:r>
      <w:r w:rsidR="003372D8">
        <w:t xml:space="preserve">need to try and look for things that are </w:t>
      </w:r>
      <w:r w:rsidR="003372D8" w:rsidRPr="009915DF">
        <w:rPr>
          <w:i/>
        </w:rPr>
        <w:t>there</w:t>
      </w:r>
      <w:r w:rsidR="003372D8">
        <w:t>, rather th</w:t>
      </w:r>
      <w:r w:rsidR="008C4BA9">
        <w:t xml:space="preserve">an just what </w:t>
      </w:r>
      <w:r w:rsidR="00532407">
        <w:t xml:space="preserve">they are </w:t>
      </w:r>
      <w:r w:rsidR="00123D50">
        <w:t xml:space="preserve">initially primed to </w:t>
      </w:r>
      <w:r w:rsidR="008C4BA9">
        <w:t>look for</w:t>
      </w:r>
      <w:r w:rsidR="00532407">
        <w:t xml:space="preserve"> – </w:t>
      </w:r>
      <w:r w:rsidR="003372D8">
        <w:t>then language</w:t>
      </w:r>
      <w:r w:rsidR="00532407">
        <w:t>(s)</w:t>
      </w:r>
      <w:r w:rsidR="003372D8">
        <w:t xml:space="preserve"> might </w:t>
      </w:r>
      <w:r>
        <w:t xml:space="preserve">gain more attention </w:t>
      </w:r>
      <w:r w:rsidR="00123D50">
        <w:t>in the final version</w:t>
      </w:r>
      <w:r>
        <w:t xml:space="preserve"> of </w:t>
      </w:r>
      <w:r w:rsidR="006C0026">
        <w:t xml:space="preserve">these </w:t>
      </w:r>
      <w:r>
        <w:t>documents</w:t>
      </w:r>
      <w:r w:rsidR="003372D8">
        <w:t xml:space="preserve">. </w:t>
      </w:r>
    </w:p>
    <w:p w14:paraId="21F7F75D" w14:textId="77777777" w:rsidR="00631A29" w:rsidRDefault="00AE437F" w:rsidP="00E00729">
      <w:r w:rsidRPr="009915DF">
        <w:t>Because l</w:t>
      </w:r>
      <w:r w:rsidR="00916094" w:rsidRPr="00AE437F">
        <w:t>a</w:t>
      </w:r>
      <w:r w:rsidR="00916094">
        <w:t xml:space="preserve">nguage is </w:t>
      </w:r>
      <w:r w:rsidR="00916094" w:rsidRPr="009915DF">
        <w:rPr>
          <w:i/>
        </w:rPr>
        <w:t>so</w:t>
      </w:r>
      <w:r w:rsidR="00916094">
        <w:t xml:space="preserve"> </w:t>
      </w:r>
      <w:r>
        <w:t>fundamental,</w:t>
      </w:r>
      <w:r w:rsidR="00916094">
        <w:t xml:space="preserve"> it’s </w:t>
      </w:r>
      <w:r>
        <w:t xml:space="preserve">frequently taken for granted – </w:t>
      </w:r>
      <w:r w:rsidR="00916094">
        <w:t xml:space="preserve">like breathing or </w:t>
      </w:r>
      <w:r>
        <w:t>the</w:t>
      </w:r>
      <w:r w:rsidR="00916094">
        <w:t xml:space="preserve"> heart beating. It’s only when something goes wrong </w:t>
      </w:r>
      <w:r w:rsidR="009E6F1F">
        <w:t>that people pay attention. T</w:t>
      </w:r>
      <w:r w:rsidR="00916094">
        <w:t>hen the</w:t>
      </w:r>
      <w:r>
        <w:t>se things</w:t>
      </w:r>
      <w:r w:rsidR="00916094">
        <w:t xml:space="preserve"> are encountered as problems: emphysema or heart failure. </w:t>
      </w:r>
      <w:r>
        <w:t>Likewise</w:t>
      </w:r>
      <w:r w:rsidR="00916094">
        <w:t>,</w:t>
      </w:r>
      <w:r w:rsidR="008C0C2D">
        <w:t xml:space="preserve"> language issues </w:t>
      </w:r>
      <w:r w:rsidR="00FF074C">
        <w:t xml:space="preserve">mostly </w:t>
      </w:r>
      <w:r w:rsidR="00916094">
        <w:t>g</w:t>
      </w:r>
      <w:r w:rsidR="009E6F1F">
        <w:t>ain</w:t>
      </w:r>
      <w:r w:rsidR="00916094">
        <w:t xml:space="preserve"> attention </w:t>
      </w:r>
      <w:r w:rsidR="00FF074C">
        <w:t>with reference to</w:t>
      </w:r>
      <w:r w:rsidR="008C0C2D">
        <w:t xml:space="preserve"> </w:t>
      </w:r>
      <w:r w:rsidR="006C0026">
        <w:t xml:space="preserve">problems, </w:t>
      </w:r>
      <w:r w:rsidR="008C0C2D">
        <w:t>barrier</w:t>
      </w:r>
      <w:r w:rsidR="00916094">
        <w:t>s</w:t>
      </w:r>
      <w:r w:rsidR="008C0C2D">
        <w:t xml:space="preserve"> or impediment</w:t>
      </w:r>
      <w:r w:rsidR="00916094">
        <w:t xml:space="preserve">s, </w:t>
      </w:r>
      <w:r w:rsidR="008C0C2D">
        <w:t>for example</w:t>
      </w:r>
      <w:r w:rsidR="00916094">
        <w:t xml:space="preserve"> </w:t>
      </w:r>
      <w:r w:rsidR="00123D50">
        <w:t xml:space="preserve">when people </w:t>
      </w:r>
      <w:r w:rsidR="009E6F1F">
        <w:t xml:space="preserve">are </w:t>
      </w:r>
      <w:r w:rsidR="006C0026">
        <w:t xml:space="preserve">described </w:t>
      </w:r>
      <w:r w:rsidR="009E6F1F">
        <w:t xml:space="preserve">as </w:t>
      </w:r>
      <w:r w:rsidR="00123D50">
        <w:t>not speaking English or illiterate.</w:t>
      </w:r>
      <w:r w:rsidR="00916094">
        <w:t xml:space="preserve"> </w:t>
      </w:r>
      <w:r w:rsidR="008C0C2D">
        <w:t xml:space="preserve">But </w:t>
      </w:r>
      <w:r w:rsidR="006C0026">
        <w:t>if</w:t>
      </w:r>
      <w:r w:rsidR="009E6F1F">
        <w:t xml:space="preserve"> we think about language</w:t>
      </w:r>
      <w:r w:rsidR="00FF074C">
        <w:t>(s)</w:t>
      </w:r>
      <w:r w:rsidR="009E6F1F">
        <w:t xml:space="preserve"> as </w:t>
      </w:r>
      <w:r w:rsidR="00DA7F17">
        <w:t>asset</w:t>
      </w:r>
      <w:r w:rsidR="00FF074C">
        <w:t>s</w:t>
      </w:r>
      <w:r w:rsidR="009E6F1F">
        <w:t xml:space="preserve"> or </w:t>
      </w:r>
      <w:r w:rsidR="00DA7F17">
        <w:t>strength</w:t>
      </w:r>
      <w:r w:rsidR="00FF074C">
        <w:t>s</w:t>
      </w:r>
      <w:r w:rsidR="009E6F1F">
        <w:t>, a different way of understanding language issues emerges. P</w:t>
      </w:r>
      <w:r w:rsidR="00DA7F17">
        <w:t xml:space="preserve">olicies </w:t>
      </w:r>
      <w:r w:rsidR="009E6F1F">
        <w:t xml:space="preserve">need to </w:t>
      </w:r>
      <w:r w:rsidR="00DA7F17">
        <w:t>take account of the way that language</w:t>
      </w:r>
      <w:r w:rsidR="00FF074C">
        <w:t>s</w:t>
      </w:r>
      <w:r w:rsidR="00DA7F17">
        <w:t xml:space="preserve"> </w:t>
      </w:r>
      <w:r w:rsidR="006C0026">
        <w:t xml:space="preserve">actually </w:t>
      </w:r>
      <w:r w:rsidR="00DA7F17">
        <w:t>work</w:t>
      </w:r>
      <w:r w:rsidR="006C0026">
        <w:t xml:space="preserve"> in society and for individuals</w:t>
      </w:r>
      <w:r w:rsidR="009E6F1F">
        <w:t xml:space="preserve">, just as doctors need to understand how the heart works. Policy evaluations need to focus on whether, to what extent and how policies </w:t>
      </w:r>
      <w:r w:rsidR="00FF074C">
        <w:t xml:space="preserve">have </w:t>
      </w:r>
      <w:r w:rsidR="009E6F1F">
        <w:t xml:space="preserve">understood and responded to how language(s) work, and what can </w:t>
      </w:r>
      <w:r w:rsidR="00FF074C">
        <w:t xml:space="preserve">and should </w:t>
      </w:r>
      <w:r w:rsidR="009E6F1F">
        <w:t>be done to build on language strengths and language assets. That goes far beyond saying</w:t>
      </w:r>
      <w:r w:rsidR="00DA7F17">
        <w:t xml:space="preserve"> </w:t>
      </w:r>
      <w:r w:rsidR="00994EE9">
        <w:t>‘</w:t>
      </w:r>
      <w:r w:rsidR="009E6F1F">
        <w:t>P</w:t>
      </w:r>
      <w:r w:rsidR="00DA7F17">
        <w:t xml:space="preserve">eople don’t understand English, therefore the policy is not </w:t>
      </w:r>
      <w:r w:rsidR="00FF074C">
        <w:t>working</w:t>
      </w:r>
      <w:r w:rsidR="00DA7F17">
        <w:t>.</w:t>
      </w:r>
      <w:r w:rsidR="00994EE9">
        <w:t>’</w:t>
      </w:r>
    </w:p>
    <w:p w14:paraId="40D96FCB" w14:textId="77777777" w:rsidR="00CF34BF" w:rsidRDefault="00FF074C" w:rsidP="00E00729">
      <w:r>
        <w:t>P</w:t>
      </w:r>
      <w:r w:rsidR="00CF34BF">
        <w:t>age 114</w:t>
      </w:r>
      <w:r>
        <w:t xml:space="preserve"> includes a</w:t>
      </w:r>
      <w:r w:rsidR="00CF34BF">
        <w:t xml:space="preserve"> discussion about what works and does not work, but </w:t>
      </w:r>
      <w:r w:rsidR="005F2D31">
        <w:t>it</w:t>
      </w:r>
      <w:r w:rsidR="009E6F1F">
        <w:t xml:space="preserve"> seems to be</w:t>
      </w:r>
      <w:r w:rsidR="005F2D31">
        <w:t xml:space="preserve"> taken for granted that we all know what works</w:t>
      </w:r>
      <w:r w:rsidR="00094FDA">
        <w:t>.</w:t>
      </w:r>
      <w:r w:rsidR="005F2D31">
        <w:t xml:space="preserve"> </w:t>
      </w:r>
      <w:r w:rsidR="00094FDA">
        <w:t>B</w:t>
      </w:r>
      <w:r w:rsidR="005F2D31">
        <w:t xml:space="preserve">ut the question </w:t>
      </w:r>
      <w:r>
        <w:t>should be</w:t>
      </w:r>
      <w:r w:rsidR="004D47A7">
        <w:t>:</w:t>
      </w:r>
      <w:r w:rsidR="005F2D31">
        <w:t xml:space="preserve"> ‘</w:t>
      </w:r>
      <w:r w:rsidR="005F2D31" w:rsidRPr="00094FDA">
        <w:t xml:space="preserve">what </w:t>
      </w:r>
      <w:r w:rsidR="005F2D31">
        <w:t>works</w:t>
      </w:r>
      <w:r w:rsidR="00094FDA">
        <w:t xml:space="preserve"> </w:t>
      </w:r>
      <w:r w:rsidR="005F2D31" w:rsidRPr="009915DF">
        <w:rPr>
          <w:i/>
        </w:rPr>
        <w:t>for whom</w:t>
      </w:r>
      <w:r>
        <w:rPr>
          <w:i/>
        </w:rPr>
        <w:t xml:space="preserve"> </w:t>
      </w:r>
      <w:r w:rsidRPr="009915DF">
        <w:t xml:space="preserve">and </w:t>
      </w:r>
      <w:r>
        <w:rPr>
          <w:i/>
        </w:rPr>
        <w:t>according to what criteria</w:t>
      </w:r>
      <w:r w:rsidR="005F2D31">
        <w:t>?’</w:t>
      </w:r>
      <w:r w:rsidR="00A8308C">
        <w:t xml:space="preserve"> For example</w:t>
      </w:r>
      <w:r w:rsidR="00094FDA">
        <w:t xml:space="preserve">, </w:t>
      </w:r>
      <w:r>
        <w:t xml:space="preserve">with </w:t>
      </w:r>
      <w:r w:rsidR="00A8308C">
        <w:t xml:space="preserve">Cashless Debit Card you could say that </w:t>
      </w:r>
      <w:r w:rsidR="00094FDA">
        <w:t xml:space="preserve">this policy is </w:t>
      </w:r>
      <w:r w:rsidR="00A8308C">
        <w:t xml:space="preserve">‘working’ for </w:t>
      </w:r>
      <w:r>
        <w:t>those</w:t>
      </w:r>
      <w:r w:rsidR="00A8308C">
        <w:t xml:space="preserve"> who th</w:t>
      </w:r>
      <w:r>
        <w:t>ink it is</w:t>
      </w:r>
      <w:r w:rsidR="00094FDA">
        <w:t xml:space="preserve"> a</w:t>
      </w:r>
      <w:r w:rsidR="00A8308C">
        <w:t xml:space="preserve"> go</w:t>
      </w:r>
      <w:r w:rsidR="004D47A7">
        <w:t xml:space="preserve">od idea. </w:t>
      </w:r>
      <w:r>
        <w:t>Likewise,</w:t>
      </w:r>
      <w:r w:rsidR="004D47A7">
        <w:t xml:space="preserve"> </w:t>
      </w:r>
      <w:r w:rsidR="00094FDA">
        <w:t xml:space="preserve">the </w:t>
      </w:r>
      <w:r w:rsidR="00E461F6">
        <w:t>abolition</w:t>
      </w:r>
      <w:r w:rsidR="00A8308C">
        <w:t xml:space="preserve"> </w:t>
      </w:r>
      <w:r>
        <w:t xml:space="preserve">of </w:t>
      </w:r>
      <w:r w:rsidR="00A8308C">
        <w:t xml:space="preserve">bilingual programs in the Northern Territory </w:t>
      </w:r>
      <w:r w:rsidR="00133BA3">
        <w:t xml:space="preserve">has </w:t>
      </w:r>
      <w:r w:rsidR="00A8308C">
        <w:t>‘work</w:t>
      </w:r>
      <w:r w:rsidR="00133BA3">
        <w:t>ed</w:t>
      </w:r>
      <w:r w:rsidR="00A8308C">
        <w:t xml:space="preserve">’ for </w:t>
      </w:r>
      <w:r>
        <w:t xml:space="preserve">policy makers </w:t>
      </w:r>
      <w:r w:rsidR="00A8308C">
        <w:t xml:space="preserve">who </w:t>
      </w:r>
      <w:r>
        <w:t xml:space="preserve">think that </w:t>
      </w:r>
      <w:r w:rsidR="00A8308C">
        <w:t>bilingual</w:t>
      </w:r>
      <w:r>
        <w:t xml:space="preserve">ism </w:t>
      </w:r>
      <w:r w:rsidR="00A8308C">
        <w:t>hold</w:t>
      </w:r>
      <w:r>
        <w:t xml:space="preserve">s </w:t>
      </w:r>
      <w:r w:rsidR="00A8308C">
        <w:t>kids back</w:t>
      </w:r>
      <w:r w:rsidR="00094FDA">
        <w:t>.</w:t>
      </w:r>
      <w:r w:rsidR="00A8308C">
        <w:t xml:space="preserve"> </w:t>
      </w:r>
      <w:r w:rsidR="00094FDA">
        <w:t>B</w:t>
      </w:r>
      <w:r w:rsidR="00A8308C">
        <w:t xml:space="preserve">ut </w:t>
      </w:r>
      <w:r>
        <w:t>many language</w:t>
      </w:r>
      <w:r w:rsidR="00A8308C">
        <w:t xml:space="preserve"> educators consider </w:t>
      </w:r>
      <w:r w:rsidR="00094FDA">
        <w:t xml:space="preserve">the termination of (good) bilingual programs </w:t>
      </w:r>
      <w:r w:rsidR="00A8308C">
        <w:t xml:space="preserve">to be </w:t>
      </w:r>
      <w:r w:rsidR="00094FDA">
        <w:t xml:space="preserve">a key factor in </w:t>
      </w:r>
      <w:r w:rsidR="00A8308C">
        <w:t>why the Closing the Gap targets have not been met.</w:t>
      </w:r>
      <w:r w:rsidR="00440C90">
        <w:t xml:space="preserve"> So what works for whom</w:t>
      </w:r>
      <w:r>
        <w:t xml:space="preserve"> and why</w:t>
      </w:r>
      <w:r w:rsidR="00440C90">
        <w:t xml:space="preserve"> is a question that needs to be asked</w:t>
      </w:r>
      <w:r>
        <w:t>.</w:t>
      </w:r>
    </w:p>
    <w:p w14:paraId="70A2A3BF" w14:textId="77777777" w:rsidR="00892892" w:rsidRDefault="00FF074C" w:rsidP="00E00729">
      <w:r>
        <w:t>P</w:t>
      </w:r>
      <w:r w:rsidR="00892892">
        <w:t>age 114</w:t>
      </w:r>
      <w:r>
        <w:t xml:space="preserve"> makes</w:t>
      </w:r>
      <w:r w:rsidR="00892892">
        <w:t xml:space="preserve"> no mention </w:t>
      </w:r>
      <w:r w:rsidR="00094FDA">
        <w:t xml:space="preserve">of </w:t>
      </w:r>
      <w:r w:rsidR="00892892">
        <w:t xml:space="preserve">what we’ve learned about including </w:t>
      </w:r>
      <w:r>
        <w:t xml:space="preserve">or excluding </w:t>
      </w:r>
      <w:r w:rsidR="00892892">
        <w:t xml:space="preserve">language issues from consideration. </w:t>
      </w:r>
      <w:r>
        <w:t xml:space="preserve">But </w:t>
      </w:r>
      <w:r w:rsidR="00892892">
        <w:t xml:space="preserve">a huge amount of evidence </w:t>
      </w:r>
      <w:r w:rsidR="00E13AEC">
        <w:t>(and the United Nations Declaration) s</w:t>
      </w:r>
      <w:r w:rsidR="00CB5EC4">
        <w:t>upport</w:t>
      </w:r>
      <w:r w:rsidR="00E13AEC">
        <w:t>s</w:t>
      </w:r>
      <w:r w:rsidR="00CB5EC4">
        <w:t xml:space="preserve"> </w:t>
      </w:r>
      <w:r w:rsidR="00892892">
        <w:t xml:space="preserve">incorporating </w:t>
      </w:r>
      <w:r w:rsidR="00CB5EC4">
        <w:t xml:space="preserve">the mother tongue at least </w:t>
      </w:r>
      <w:r w:rsidR="00892892">
        <w:t xml:space="preserve">as </w:t>
      </w:r>
      <w:r w:rsidR="00CB5EC4">
        <w:t xml:space="preserve">a </w:t>
      </w:r>
      <w:r w:rsidR="00892892">
        <w:t xml:space="preserve">starting point for learning in the </w:t>
      </w:r>
      <w:r w:rsidR="00CB5EC4">
        <w:t xml:space="preserve">formal </w:t>
      </w:r>
      <w:r w:rsidR="00892892">
        <w:t xml:space="preserve">school system. </w:t>
      </w:r>
      <w:r w:rsidR="00CB5EC4">
        <w:t>W</w:t>
      </w:r>
      <w:r w:rsidR="00892892">
        <w:t xml:space="preserve">ith respect to the Closing the Gap target </w:t>
      </w:r>
      <w:r w:rsidR="00094FDA">
        <w:t xml:space="preserve">for </w:t>
      </w:r>
      <w:r w:rsidR="00892892">
        <w:t xml:space="preserve">kindergarten, children are </w:t>
      </w:r>
      <w:r w:rsidR="00094FDA">
        <w:t>unlikely</w:t>
      </w:r>
      <w:r w:rsidR="00892892">
        <w:t xml:space="preserve"> to </w:t>
      </w:r>
      <w:r w:rsidR="00CB5EC4">
        <w:t xml:space="preserve">maintain </w:t>
      </w:r>
      <w:r w:rsidR="00133BA3">
        <w:t xml:space="preserve">school </w:t>
      </w:r>
      <w:r w:rsidR="00094FDA">
        <w:t>attend</w:t>
      </w:r>
      <w:r w:rsidR="00CB5EC4">
        <w:t xml:space="preserve">ance </w:t>
      </w:r>
      <w:r w:rsidR="00892892">
        <w:t>if they’re confronted with a language that the</w:t>
      </w:r>
      <w:r w:rsidR="00265601">
        <w:t>y</w:t>
      </w:r>
      <w:r w:rsidR="00892892">
        <w:t xml:space="preserve"> don’t understand. </w:t>
      </w:r>
      <w:r w:rsidR="00CB5EC4">
        <w:t>If</w:t>
      </w:r>
      <w:r w:rsidR="00892892">
        <w:t xml:space="preserve"> </w:t>
      </w:r>
      <w:r w:rsidR="00E13AEC">
        <w:t xml:space="preserve">data </w:t>
      </w:r>
      <w:r w:rsidR="00CB5EC4">
        <w:t xml:space="preserve">is sought </w:t>
      </w:r>
      <w:r w:rsidR="00E13AEC">
        <w:t xml:space="preserve">from </w:t>
      </w:r>
      <w:r w:rsidR="00CB5EC4">
        <w:t>schools where</w:t>
      </w:r>
      <w:r w:rsidR="00892892">
        <w:t xml:space="preserve"> </w:t>
      </w:r>
      <w:r w:rsidR="00094FDA">
        <w:t xml:space="preserve">(among other things) </w:t>
      </w:r>
      <w:r w:rsidR="00892892">
        <w:t xml:space="preserve">the starting point is the child’s </w:t>
      </w:r>
      <w:r w:rsidR="00CB5EC4">
        <w:t xml:space="preserve">mother tongue (and maybe even </w:t>
      </w:r>
      <w:r w:rsidR="00CB5EC4">
        <w:lastRenderedPageBreak/>
        <w:t xml:space="preserve">where it is </w:t>
      </w:r>
      <w:r w:rsidR="00133BA3">
        <w:t xml:space="preserve">promoted with pride </w:t>
      </w:r>
      <w:r w:rsidR="00CB5EC4">
        <w:t>alongside learning English)</w:t>
      </w:r>
      <w:r w:rsidR="00892892">
        <w:t xml:space="preserve">, </w:t>
      </w:r>
      <w:r w:rsidR="00CB5EC4">
        <w:t xml:space="preserve">it might be found that </w:t>
      </w:r>
      <w:r w:rsidR="00E13AEC">
        <w:t xml:space="preserve">those schools are doing better in meeting </w:t>
      </w:r>
      <w:r w:rsidR="00892892">
        <w:t xml:space="preserve">Closing the Gap targets. </w:t>
      </w:r>
    </w:p>
    <w:p w14:paraId="2A70D0E5" w14:textId="77777777" w:rsidR="00133BA3" w:rsidRDefault="00093EBF" w:rsidP="00656C6F">
      <w:r>
        <w:t xml:space="preserve">NAPLAN is a prime example of the impact of mainstream polices that take no account of the language proficiency of Aboriginal and Torres Strait Islander children. NAPLAN sets </w:t>
      </w:r>
      <w:r w:rsidR="00133BA3">
        <w:t xml:space="preserve">many of </w:t>
      </w:r>
      <w:r>
        <w:t xml:space="preserve">these children up to fail. </w:t>
      </w:r>
      <w:r w:rsidR="00133BA3">
        <w:t xml:space="preserve">A chilling illustration of how this process works is documented in the film </w:t>
      </w:r>
      <w:r w:rsidR="00133BA3" w:rsidRPr="009915DF">
        <w:rPr>
          <w:i/>
        </w:rPr>
        <w:t>In My Blood It Runs</w:t>
      </w:r>
      <w:r w:rsidR="00133BA3">
        <w:t xml:space="preserve">. The teacher tells her class of predominantly Aboriginal students </w:t>
      </w:r>
      <w:r w:rsidR="00C43844">
        <w:t xml:space="preserve">(in Alice Springs) </w:t>
      </w:r>
      <w:r w:rsidR="00133BA3">
        <w:t xml:space="preserve">not </w:t>
      </w:r>
      <w:r w:rsidR="00C43844">
        <w:t xml:space="preserve">to </w:t>
      </w:r>
      <w:r w:rsidR="00133BA3">
        <w:t xml:space="preserve">worry that they can’t do the test. They should just tick any box, because at least if they tick a box, they give themselves a 25 per cent chance of getting a mark. The impact of this advice on these students’ self-esteem and commitment </w:t>
      </w:r>
      <w:r w:rsidR="00C43844">
        <w:t xml:space="preserve">to schooling requires no imagination – it </w:t>
      </w:r>
      <w:r w:rsidR="00133BA3">
        <w:t xml:space="preserve">is </w:t>
      </w:r>
      <w:r w:rsidR="00C43844">
        <w:t xml:space="preserve">evident </w:t>
      </w:r>
      <w:r w:rsidR="00133BA3">
        <w:t>in their faces</w:t>
      </w:r>
      <w:r w:rsidR="00C43844">
        <w:t xml:space="preserve">. </w:t>
      </w:r>
    </w:p>
    <w:p w14:paraId="450ABA6E" w14:textId="77777777" w:rsidR="00E13AEC" w:rsidRDefault="00656C6F" w:rsidP="00656C6F">
      <w:r>
        <w:t>A comment we’ve received from an educational consultant who works out of Darwin and spends a lot of time in remote communities was that evaluation of school education for Indigenous-language speakers and Aboriginal English speakers (and they are not the same) in the Northern Territory focusse</w:t>
      </w:r>
      <w:r w:rsidR="00093EBF">
        <w:t xml:space="preserve">s </w:t>
      </w:r>
      <w:r>
        <w:t xml:space="preserve">on looking for </w:t>
      </w:r>
      <w:r w:rsidRPr="009915DF">
        <w:rPr>
          <w:i/>
        </w:rPr>
        <w:t xml:space="preserve">the same outcomes at the same stage of schooling </w:t>
      </w:r>
      <w:r>
        <w:t xml:space="preserve">as for students who speak Standard Australian English. </w:t>
      </w:r>
      <w:r w:rsidR="00093EBF">
        <w:t xml:space="preserve">As already </w:t>
      </w:r>
      <w:r w:rsidR="00C43844">
        <w:t>discussed regarding base-line data</w:t>
      </w:r>
      <w:r w:rsidR="00093EBF">
        <w:t xml:space="preserve">, </w:t>
      </w:r>
      <w:r w:rsidR="00C43844">
        <w:t xml:space="preserve">the </w:t>
      </w:r>
      <w:r>
        <w:t xml:space="preserve">assessment tools used </w:t>
      </w:r>
      <w:r w:rsidR="00C43844">
        <w:t>to measure the achievement of</w:t>
      </w:r>
      <w:r>
        <w:t xml:space="preserve"> fluent English </w:t>
      </w:r>
      <w:r w:rsidR="00C43844">
        <w:t>us</w:t>
      </w:r>
      <w:r>
        <w:t xml:space="preserve">ers </w:t>
      </w:r>
      <w:r w:rsidR="00C43844">
        <w:t xml:space="preserve">do not accurately reflect </w:t>
      </w:r>
      <w:r>
        <w:t xml:space="preserve">the progress and achievement of students who are </w:t>
      </w:r>
      <w:r w:rsidRPr="009915DF">
        <w:rPr>
          <w:i/>
        </w:rPr>
        <w:t xml:space="preserve">learning </w:t>
      </w:r>
      <w:r>
        <w:t>English at school</w:t>
      </w:r>
      <w:r w:rsidR="00C43844">
        <w:t xml:space="preserve">, </w:t>
      </w:r>
      <w:r>
        <w:t>learn</w:t>
      </w:r>
      <w:r w:rsidR="00C43844">
        <w:t>ing</w:t>
      </w:r>
      <w:r>
        <w:t xml:space="preserve"> other content </w:t>
      </w:r>
      <w:r w:rsidRPr="009915DF">
        <w:rPr>
          <w:i/>
        </w:rPr>
        <w:t xml:space="preserve">through </w:t>
      </w:r>
      <w:r>
        <w:t>English</w:t>
      </w:r>
      <w:r w:rsidR="00C43844">
        <w:t xml:space="preserve"> and </w:t>
      </w:r>
      <w:r>
        <w:t xml:space="preserve">who </w:t>
      </w:r>
      <w:r w:rsidR="00C43844">
        <w:t>use</w:t>
      </w:r>
      <w:r>
        <w:t xml:space="preserve"> other languages </w:t>
      </w:r>
      <w:r w:rsidR="00C43844">
        <w:t>beyond the</w:t>
      </w:r>
      <w:r>
        <w:t xml:space="preserve"> school. The</w:t>
      </w:r>
      <w:r w:rsidR="00C43844">
        <w:t>ir</w:t>
      </w:r>
      <w:r>
        <w:t xml:space="preserve"> learning pathways </w:t>
      </w:r>
      <w:r w:rsidR="00C43844">
        <w:t xml:space="preserve">– </w:t>
      </w:r>
      <w:r>
        <w:t xml:space="preserve">and therefore benchmarks for progress </w:t>
      </w:r>
      <w:r w:rsidR="00C43844">
        <w:t xml:space="preserve">– </w:t>
      </w:r>
      <w:r>
        <w:t xml:space="preserve">are not the same. </w:t>
      </w:r>
      <w:r w:rsidR="00C43844">
        <w:t>L</w:t>
      </w:r>
      <w:r w:rsidR="00E13AEC">
        <w:t xml:space="preserve">earners’ actual knowledge and skills should be benchmarked against what is known about </w:t>
      </w:r>
      <w:r w:rsidR="00E13AEC" w:rsidRPr="009915DF">
        <w:rPr>
          <w:i/>
        </w:rPr>
        <w:t>the steps in</w:t>
      </w:r>
      <w:r w:rsidR="00E13AEC">
        <w:t xml:space="preserve"> </w:t>
      </w:r>
      <w:r w:rsidR="00E13AEC" w:rsidRPr="009915DF">
        <w:rPr>
          <w:i/>
        </w:rPr>
        <w:t>learning English</w:t>
      </w:r>
      <w:r w:rsidR="00E13AEC">
        <w:t xml:space="preserve">, not a mother tongue (English) </w:t>
      </w:r>
      <w:r w:rsidR="00E13AEC" w:rsidRPr="009915DF">
        <w:rPr>
          <w:i/>
        </w:rPr>
        <w:t>literacy</w:t>
      </w:r>
      <w:r w:rsidR="00E13AEC">
        <w:t xml:space="preserve"> scale.</w:t>
      </w:r>
    </w:p>
    <w:p w14:paraId="479EF49D" w14:textId="77777777" w:rsidR="00656C6F" w:rsidRDefault="00656C6F" w:rsidP="00656C6F">
      <w:r>
        <w:t>(To illustrate: I</w:t>
      </w:r>
      <w:r w:rsidR="00093EBF">
        <w:t>’m a</w:t>
      </w:r>
      <w:r>
        <w:t xml:space="preserve"> reasonably fluent and literate speaker and writer of English. I </w:t>
      </w:r>
      <w:r w:rsidR="00093EBF">
        <w:t>learned German at school and in first year university and can understand a bit</w:t>
      </w:r>
      <w:r>
        <w:t>. In a test of</w:t>
      </w:r>
      <w:r w:rsidR="00E13AEC">
        <w:t xml:space="preserve"> reading German or</w:t>
      </w:r>
      <w:r>
        <w:t xml:space="preserve"> geography</w:t>
      </w:r>
      <w:r w:rsidR="00E13AEC">
        <w:t xml:space="preserve"> </w:t>
      </w:r>
      <w:r>
        <w:t xml:space="preserve">or numeracy in </w:t>
      </w:r>
      <w:r w:rsidR="00093EBF">
        <w:t>German</w:t>
      </w:r>
      <w:r>
        <w:t>, I would do appallingly. But that wouldn’t mean I</w:t>
      </w:r>
      <w:r w:rsidR="00E13AEC">
        <w:t xml:space="preserve"> have literacy or numeracy problems or</w:t>
      </w:r>
      <w:r>
        <w:t xml:space="preserve"> d</w:t>
      </w:r>
      <w:r w:rsidR="00093EBF">
        <w:t>o</w:t>
      </w:r>
      <w:r>
        <w:t xml:space="preserve">n’t know any geography. A valid and reliable test would have to check out </w:t>
      </w:r>
      <w:r w:rsidR="00093EBF">
        <w:t>where I am in my German learning</w:t>
      </w:r>
      <w:r w:rsidR="009433F4">
        <w:t>, which would need to be taken into account in any assessments of</w:t>
      </w:r>
      <w:r>
        <w:t xml:space="preserve"> my knowledge and skills in geography</w:t>
      </w:r>
      <w:r w:rsidR="00E13AEC">
        <w:t>, reading</w:t>
      </w:r>
      <w:r>
        <w:t xml:space="preserve"> and numeracy.)</w:t>
      </w:r>
      <w:r w:rsidR="009433F4">
        <w:t xml:space="preserve"> </w:t>
      </w:r>
    </w:p>
    <w:p w14:paraId="381AFF08" w14:textId="77777777" w:rsidR="004E2308" w:rsidRDefault="00E13AEC" w:rsidP="004E2308">
      <w:r>
        <w:t>To sum up, a</w:t>
      </w:r>
      <w:r w:rsidR="004E2308">
        <w:t xml:space="preserve"> review of the three documents </w:t>
      </w:r>
      <w:r>
        <w:t xml:space="preserve">should </w:t>
      </w:r>
      <w:r w:rsidR="009433F4">
        <w:t xml:space="preserve">systematically </w:t>
      </w:r>
      <w:r w:rsidR="004E2308">
        <w:t xml:space="preserve">apply the following question to all sections: </w:t>
      </w:r>
      <w:r w:rsidR="004E2308" w:rsidRPr="009915DF">
        <w:rPr>
          <w:b/>
        </w:rPr>
        <w:t xml:space="preserve">would adding the word </w:t>
      </w:r>
      <w:r w:rsidR="004E2308" w:rsidRPr="009915DF">
        <w:rPr>
          <w:b/>
          <w:i/>
        </w:rPr>
        <w:t>‘language(s)’</w:t>
      </w:r>
      <w:r w:rsidR="004E2308" w:rsidRPr="009915DF">
        <w:rPr>
          <w:b/>
        </w:rPr>
        <w:t xml:space="preserve">, or the phrase </w:t>
      </w:r>
      <w:r w:rsidR="004E2308" w:rsidRPr="009915DF">
        <w:rPr>
          <w:b/>
          <w:i/>
        </w:rPr>
        <w:t>‘language issues’</w:t>
      </w:r>
      <w:r w:rsidR="004E2308" w:rsidRPr="009915DF">
        <w:rPr>
          <w:b/>
        </w:rPr>
        <w:t xml:space="preserve"> or </w:t>
      </w:r>
      <w:r w:rsidR="004E2308" w:rsidRPr="009915DF">
        <w:rPr>
          <w:b/>
          <w:i/>
        </w:rPr>
        <w:t xml:space="preserve">‘language use’ </w:t>
      </w:r>
      <w:r w:rsidR="004E2308" w:rsidRPr="009915DF">
        <w:rPr>
          <w:b/>
        </w:rPr>
        <w:t xml:space="preserve">or </w:t>
      </w:r>
      <w:r w:rsidR="004E2308" w:rsidRPr="009915DF">
        <w:rPr>
          <w:b/>
          <w:i/>
        </w:rPr>
        <w:t>‘language proficiency’</w:t>
      </w:r>
      <w:r w:rsidR="004E2308" w:rsidRPr="009915DF">
        <w:rPr>
          <w:b/>
        </w:rPr>
        <w:t xml:space="preserve"> make any difference to </w:t>
      </w:r>
      <w:r w:rsidR="004E2308">
        <w:rPr>
          <w:b/>
        </w:rPr>
        <w:t xml:space="preserve">the recommendations about </w:t>
      </w:r>
      <w:r w:rsidR="004E2308" w:rsidRPr="009915DF">
        <w:rPr>
          <w:b/>
        </w:rPr>
        <w:t>how evaluation</w:t>
      </w:r>
      <w:r w:rsidR="004E2308">
        <w:rPr>
          <w:b/>
        </w:rPr>
        <w:t>s</w:t>
      </w:r>
      <w:r w:rsidR="004E2308" w:rsidRPr="009915DF">
        <w:rPr>
          <w:b/>
        </w:rPr>
        <w:t xml:space="preserve"> </w:t>
      </w:r>
      <w:r w:rsidR="004E2308">
        <w:rPr>
          <w:b/>
        </w:rPr>
        <w:t xml:space="preserve">should be </w:t>
      </w:r>
      <w:r w:rsidR="004E2308" w:rsidRPr="009915DF">
        <w:rPr>
          <w:b/>
        </w:rPr>
        <w:t>conceptualised and operationalised?’</w:t>
      </w:r>
      <w:r w:rsidR="004E2308">
        <w:t xml:space="preserve"> In some places adding these words will make no difference. But in others including these words will make a substantive difference.</w:t>
      </w:r>
    </w:p>
    <w:p w14:paraId="7EB6A121" w14:textId="77777777" w:rsidR="00EA75B0" w:rsidRDefault="009433F4" w:rsidP="00E00729">
      <w:pPr>
        <w:pStyle w:val="Heading2"/>
        <w:spacing w:line="276" w:lineRule="auto"/>
        <w:rPr>
          <w:b/>
          <w:i w:val="0"/>
        </w:rPr>
      </w:pPr>
      <w:r w:rsidRPr="004F7D9D">
        <w:rPr>
          <w:b/>
          <w:i w:val="0"/>
        </w:rPr>
        <w:t>2.</w:t>
      </w:r>
      <w:r w:rsidR="00BB4542" w:rsidRPr="004F7D9D">
        <w:rPr>
          <w:b/>
          <w:i w:val="0"/>
        </w:rPr>
        <w:t>3</w:t>
      </w:r>
      <w:r w:rsidR="00BB4542" w:rsidRPr="009915DF">
        <w:rPr>
          <w:b/>
        </w:rPr>
        <w:t xml:space="preserve"> </w:t>
      </w:r>
      <w:r w:rsidR="0067058F" w:rsidRPr="009915DF">
        <w:rPr>
          <w:b/>
          <w:i w:val="0"/>
          <w:color w:val="auto"/>
        </w:rPr>
        <w:t>The background paper has a narrow view of stakeholders</w:t>
      </w:r>
      <w:r>
        <w:rPr>
          <w:b/>
          <w:i w:val="0"/>
          <w:color w:val="auto"/>
        </w:rPr>
        <w:t xml:space="preserve">, </w:t>
      </w:r>
      <w:r w:rsidR="005E1F5C" w:rsidRPr="009915DF">
        <w:rPr>
          <w:b/>
          <w:i w:val="0"/>
          <w:color w:val="auto"/>
        </w:rPr>
        <w:t xml:space="preserve">other </w:t>
      </w:r>
      <w:r w:rsidR="0067058F" w:rsidRPr="009915DF">
        <w:rPr>
          <w:b/>
          <w:i w:val="0"/>
          <w:color w:val="auto"/>
        </w:rPr>
        <w:t xml:space="preserve">participants in policy </w:t>
      </w:r>
      <w:r w:rsidR="00F7104F" w:rsidRPr="009915DF">
        <w:rPr>
          <w:b/>
          <w:i w:val="0"/>
          <w:color w:val="auto"/>
        </w:rPr>
        <w:t>and</w:t>
      </w:r>
      <w:r w:rsidR="0067058F" w:rsidRPr="009915DF">
        <w:rPr>
          <w:b/>
          <w:i w:val="0"/>
          <w:color w:val="auto"/>
        </w:rPr>
        <w:t xml:space="preserve"> program evaluation</w:t>
      </w:r>
      <w:r>
        <w:rPr>
          <w:b/>
          <w:i w:val="0"/>
          <w:color w:val="auto"/>
        </w:rPr>
        <w:t>, and established knowledge</w:t>
      </w:r>
      <w:r w:rsidR="0067058F" w:rsidRPr="009915DF">
        <w:rPr>
          <w:b/>
          <w:i w:val="0"/>
        </w:rPr>
        <w:t xml:space="preserve"> </w:t>
      </w:r>
    </w:p>
    <w:p w14:paraId="3F507D47" w14:textId="77777777" w:rsidR="00BB0939" w:rsidRPr="009915DF" w:rsidRDefault="009433F4" w:rsidP="009915DF">
      <w:pPr>
        <w:rPr>
          <w:b/>
        </w:rPr>
      </w:pPr>
      <w:r>
        <w:rPr>
          <w:b/>
        </w:rPr>
        <w:t>2.</w:t>
      </w:r>
      <w:r w:rsidR="00BB0939" w:rsidRPr="009915DF">
        <w:rPr>
          <w:b/>
        </w:rPr>
        <w:t>3.1 Stakeholders</w:t>
      </w:r>
    </w:p>
    <w:p w14:paraId="0DE2E43D" w14:textId="77777777" w:rsidR="00C56698" w:rsidRDefault="009524AE" w:rsidP="00E00729">
      <w:r>
        <w:t xml:space="preserve">The </w:t>
      </w:r>
      <w:r w:rsidR="00CB5EC4">
        <w:t xml:space="preserve">Commission documents rightly place </w:t>
      </w:r>
      <w:r>
        <w:t xml:space="preserve">huge emphasis on </w:t>
      </w:r>
      <w:r w:rsidR="00CB5EC4">
        <w:t xml:space="preserve">including </w:t>
      </w:r>
      <w:r>
        <w:t>Aboriginal and Torres Strait Islander stakeholders and participants</w:t>
      </w:r>
      <w:r w:rsidR="005E1F5C">
        <w:t xml:space="preserve"> in the evaluation process</w:t>
      </w:r>
      <w:r>
        <w:t xml:space="preserve">. </w:t>
      </w:r>
      <w:r w:rsidR="005A5ED0">
        <w:t xml:space="preserve">The </w:t>
      </w:r>
      <w:r w:rsidR="00C56698">
        <w:t>‘</w:t>
      </w:r>
      <w:r w:rsidR="009433F4">
        <w:t xml:space="preserve">perspectives, priorities and </w:t>
      </w:r>
      <w:r w:rsidR="005A5ED0">
        <w:t>knowledges</w:t>
      </w:r>
      <w:r w:rsidR="00C56698">
        <w:t>’</w:t>
      </w:r>
      <w:r w:rsidR="005A5ED0">
        <w:t xml:space="preserve"> of Aboriginal and Torres Strait Islander people are given value throughout the document (although what this means is not specified), but </w:t>
      </w:r>
      <w:r w:rsidR="009433F4">
        <w:t>this value is not accorded to those of other stakeholders in these evaluations.</w:t>
      </w:r>
      <w:r w:rsidR="005A5ED0">
        <w:t xml:space="preserve"> </w:t>
      </w:r>
      <w:r w:rsidR="0080549C">
        <w:t xml:space="preserve">The emphasis on Aboriginal and Torres Strait Islander </w:t>
      </w:r>
      <w:r w:rsidR="0080549C">
        <w:lastRenderedPageBreak/>
        <w:t xml:space="preserve">participation, which we absolutely endorse, perpetuates the ‘them’/‘us’ dichotomy when the stakes and roles of others in evaluations remain an undefined ‘us’ and are not explicitly examined. </w:t>
      </w:r>
    </w:p>
    <w:p w14:paraId="545AAAA9" w14:textId="77777777" w:rsidR="00204830" w:rsidRDefault="00C56698" w:rsidP="00E00729">
      <w:r>
        <w:t>Other potential stakeholders and contributors include:</w:t>
      </w:r>
    </w:p>
    <w:p w14:paraId="3551FF92" w14:textId="77777777" w:rsidR="005009E9" w:rsidRPr="001624DC" w:rsidRDefault="00C56698" w:rsidP="004F7D9D">
      <w:pPr>
        <w:pStyle w:val="ListParagraph"/>
        <w:numPr>
          <w:ilvl w:val="0"/>
          <w:numId w:val="8"/>
        </w:numPr>
        <w:ind w:left="714" w:hanging="357"/>
        <w:contextualSpacing w:val="0"/>
        <w:rPr>
          <w:rFonts w:cstheme="minorHAnsi"/>
        </w:rPr>
      </w:pPr>
      <w:r w:rsidRPr="004F7D9D">
        <w:rPr>
          <w:rFonts w:asciiTheme="minorHAnsi" w:hAnsiTheme="minorHAnsi" w:cstheme="minorHAnsi"/>
          <w:b/>
        </w:rPr>
        <w:t>academics</w:t>
      </w:r>
      <w:r w:rsidR="009524AE" w:rsidRPr="004F7D9D">
        <w:rPr>
          <w:rFonts w:asciiTheme="minorHAnsi" w:hAnsiTheme="minorHAnsi" w:cstheme="minorHAnsi"/>
          <w:b/>
        </w:rPr>
        <w:t xml:space="preserve"> with formal expert knowledge</w:t>
      </w:r>
      <w:r w:rsidR="009524AE" w:rsidRPr="004F7D9D">
        <w:rPr>
          <w:rFonts w:asciiTheme="minorHAnsi" w:hAnsiTheme="minorHAnsi" w:cstheme="minorHAnsi"/>
        </w:rPr>
        <w:t xml:space="preserve"> </w:t>
      </w:r>
      <w:r w:rsidR="005E1F5C" w:rsidRPr="004F7D9D">
        <w:rPr>
          <w:rFonts w:asciiTheme="minorHAnsi" w:hAnsiTheme="minorHAnsi" w:cstheme="minorHAnsi"/>
        </w:rPr>
        <w:t>about Aboriginal and Torres Strait Islanders and their perspectives, priorities and knowledges</w:t>
      </w:r>
      <w:r>
        <w:rPr>
          <w:rFonts w:asciiTheme="minorHAnsi" w:hAnsiTheme="minorHAnsi" w:cstheme="minorHAnsi"/>
        </w:rPr>
        <w:t xml:space="preserve">, </w:t>
      </w:r>
      <w:r w:rsidR="005E1F5C" w:rsidRPr="004F7D9D">
        <w:rPr>
          <w:rFonts w:asciiTheme="minorHAnsi" w:hAnsiTheme="minorHAnsi" w:cstheme="minorHAnsi"/>
        </w:rPr>
        <w:t xml:space="preserve">for example </w:t>
      </w:r>
      <w:r w:rsidR="006357E7" w:rsidRPr="004F7D9D">
        <w:rPr>
          <w:rFonts w:asciiTheme="minorHAnsi" w:hAnsiTheme="minorHAnsi" w:cstheme="minorHAnsi"/>
        </w:rPr>
        <w:t>linguists, cri</w:t>
      </w:r>
      <w:r w:rsidR="00204830" w:rsidRPr="004F7D9D">
        <w:rPr>
          <w:rFonts w:asciiTheme="minorHAnsi" w:hAnsiTheme="minorHAnsi" w:cstheme="minorHAnsi"/>
        </w:rPr>
        <w:t>minologists, health researchers and</w:t>
      </w:r>
      <w:r w:rsidR="006357E7" w:rsidRPr="004F7D9D">
        <w:rPr>
          <w:rFonts w:asciiTheme="minorHAnsi" w:hAnsiTheme="minorHAnsi" w:cstheme="minorHAnsi"/>
        </w:rPr>
        <w:t xml:space="preserve"> </w:t>
      </w:r>
      <w:r w:rsidR="00C70783" w:rsidRPr="004F7D9D">
        <w:rPr>
          <w:rFonts w:asciiTheme="minorHAnsi" w:hAnsiTheme="minorHAnsi" w:cstheme="minorHAnsi"/>
        </w:rPr>
        <w:t>specialists</w:t>
      </w:r>
      <w:r w:rsidR="006357E7" w:rsidRPr="004F7D9D">
        <w:rPr>
          <w:rFonts w:asciiTheme="minorHAnsi" w:hAnsiTheme="minorHAnsi" w:cstheme="minorHAnsi"/>
        </w:rPr>
        <w:t xml:space="preserve"> in language learning.</w:t>
      </w:r>
    </w:p>
    <w:p w14:paraId="25C64647" w14:textId="77777777" w:rsidR="005009E9" w:rsidRPr="001624DC" w:rsidRDefault="00C56698" w:rsidP="004F7D9D">
      <w:pPr>
        <w:pStyle w:val="ListParagraph"/>
        <w:numPr>
          <w:ilvl w:val="0"/>
          <w:numId w:val="8"/>
        </w:numPr>
        <w:ind w:left="714" w:hanging="357"/>
        <w:contextualSpacing w:val="0"/>
        <w:rPr>
          <w:rFonts w:cstheme="minorHAnsi"/>
        </w:rPr>
      </w:pPr>
      <w:r w:rsidRPr="004F7D9D">
        <w:rPr>
          <w:rFonts w:asciiTheme="minorHAnsi" w:hAnsiTheme="minorHAnsi" w:cstheme="minorHAnsi"/>
          <w:b/>
        </w:rPr>
        <w:t>e</w:t>
      </w:r>
      <w:r w:rsidR="005009E9" w:rsidRPr="004F7D9D">
        <w:rPr>
          <w:rFonts w:asciiTheme="minorHAnsi" w:hAnsiTheme="minorHAnsi" w:cstheme="minorHAnsi"/>
          <w:b/>
        </w:rPr>
        <w:t xml:space="preserve">xperts </w:t>
      </w:r>
      <w:r w:rsidR="006357E7" w:rsidRPr="004F7D9D">
        <w:rPr>
          <w:rFonts w:asciiTheme="minorHAnsi" w:hAnsiTheme="minorHAnsi" w:cstheme="minorHAnsi"/>
          <w:b/>
        </w:rPr>
        <w:t>‘on the ground’</w:t>
      </w:r>
      <w:r w:rsidR="005E1F5C" w:rsidRPr="004F7D9D">
        <w:rPr>
          <w:rFonts w:asciiTheme="minorHAnsi" w:hAnsiTheme="minorHAnsi" w:cstheme="minorHAnsi"/>
        </w:rPr>
        <w:t xml:space="preserve">, that is, </w:t>
      </w:r>
      <w:r w:rsidR="006357E7" w:rsidRPr="004F7D9D">
        <w:rPr>
          <w:rFonts w:asciiTheme="minorHAnsi" w:hAnsiTheme="minorHAnsi" w:cstheme="minorHAnsi"/>
        </w:rPr>
        <w:t xml:space="preserve">professionals </w:t>
      </w:r>
      <w:r w:rsidR="005E1F5C" w:rsidRPr="004F7D9D">
        <w:rPr>
          <w:rFonts w:asciiTheme="minorHAnsi" w:hAnsiTheme="minorHAnsi" w:cstheme="minorHAnsi"/>
        </w:rPr>
        <w:t xml:space="preserve">and </w:t>
      </w:r>
      <w:r w:rsidR="006357E7" w:rsidRPr="004F7D9D">
        <w:rPr>
          <w:rFonts w:asciiTheme="minorHAnsi" w:hAnsiTheme="minorHAnsi" w:cstheme="minorHAnsi"/>
        </w:rPr>
        <w:t>practitioners</w:t>
      </w:r>
      <w:r w:rsidR="005E1F5C" w:rsidRPr="004F7D9D">
        <w:rPr>
          <w:rFonts w:asciiTheme="minorHAnsi" w:hAnsiTheme="minorHAnsi" w:cstheme="minorHAnsi"/>
        </w:rPr>
        <w:t xml:space="preserve"> who work in Aboriginal and Torres Strait Islander contexts</w:t>
      </w:r>
      <w:r w:rsidR="006357E7" w:rsidRPr="004F7D9D">
        <w:rPr>
          <w:rFonts w:asciiTheme="minorHAnsi" w:hAnsiTheme="minorHAnsi" w:cstheme="minorHAnsi"/>
        </w:rPr>
        <w:t xml:space="preserve"> – including teachers, doctors, nurses, legal aid lawyers, etc. </w:t>
      </w:r>
    </w:p>
    <w:p w14:paraId="4282DB26" w14:textId="77777777" w:rsidR="005009E9" w:rsidRPr="001624DC" w:rsidRDefault="00C56698" w:rsidP="004F7D9D">
      <w:pPr>
        <w:pStyle w:val="ListParagraph"/>
        <w:numPr>
          <w:ilvl w:val="0"/>
          <w:numId w:val="8"/>
        </w:numPr>
        <w:ind w:left="714" w:hanging="357"/>
        <w:contextualSpacing w:val="0"/>
        <w:rPr>
          <w:rFonts w:cstheme="minorHAnsi"/>
        </w:rPr>
      </w:pPr>
      <w:r w:rsidRPr="004F7D9D">
        <w:rPr>
          <w:rFonts w:asciiTheme="minorHAnsi" w:hAnsiTheme="minorHAnsi" w:cstheme="minorHAnsi"/>
          <w:b/>
        </w:rPr>
        <w:t>p</w:t>
      </w:r>
      <w:r w:rsidR="005009E9" w:rsidRPr="004F7D9D">
        <w:rPr>
          <w:rFonts w:asciiTheme="minorHAnsi" w:hAnsiTheme="minorHAnsi" w:cstheme="minorHAnsi"/>
          <w:b/>
        </w:rPr>
        <w:t>oliticians</w:t>
      </w:r>
      <w:r w:rsidR="005E1F5C" w:rsidRPr="004F7D9D">
        <w:rPr>
          <w:rFonts w:asciiTheme="minorHAnsi" w:hAnsiTheme="minorHAnsi" w:cstheme="minorHAnsi"/>
          <w:b/>
        </w:rPr>
        <w:t xml:space="preserve"> and policy makers</w:t>
      </w:r>
      <w:r>
        <w:rPr>
          <w:rFonts w:asciiTheme="minorHAnsi" w:hAnsiTheme="minorHAnsi" w:cstheme="minorHAnsi"/>
        </w:rPr>
        <w:t xml:space="preserve"> are</w:t>
      </w:r>
      <w:r w:rsidR="005009E9" w:rsidRPr="004F7D9D">
        <w:rPr>
          <w:rFonts w:asciiTheme="minorHAnsi" w:hAnsiTheme="minorHAnsi" w:cstheme="minorHAnsi"/>
        </w:rPr>
        <w:t xml:space="preserve"> given some attention </w:t>
      </w:r>
      <w:r w:rsidR="006357E7" w:rsidRPr="004F7D9D">
        <w:rPr>
          <w:rFonts w:asciiTheme="minorHAnsi" w:hAnsiTheme="minorHAnsi" w:cstheme="minorHAnsi"/>
        </w:rPr>
        <w:t>in chapter 7</w:t>
      </w:r>
      <w:r w:rsidR="005A5ED0" w:rsidRPr="004F7D9D">
        <w:rPr>
          <w:rFonts w:asciiTheme="minorHAnsi" w:hAnsiTheme="minorHAnsi" w:cstheme="minorHAnsi"/>
        </w:rPr>
        <w:t xml:space="preserve"> but not nearly enough</w:t>
      </w:r>
      <w:r w:rsidR="005009E9" w:rsidRPr="004F7D9D">
        <w:rPr>
          <w:rFonts w:asciiTheme="minorHAnsi" w:hAnsiTheme="minorHAnsi" w:cstheme="minorHAnsi"/>
        </w:rPr>
        <w:t>.</w:t>
      </w:r>
      <w:r w:rsidR="00BB0939" w:rsidRPr="004F7D9D">
        <w:rPr>
          <w:rFonts w:asciiTheme="minorHAnsi" w:hAnsiTheme="minorHAnsi" w:cstheme="minorHAnsi"/>
        </w:rPr>
        <w:t xml:space="preserve"> They </w:t>
      </w:r>
      <w:r w:rsidR="00445A2B">
        <w:rPr>
          <w:rFonts w:asciiTheme="minorHAnsi" w:hAnsiTheme="minorHAnsi" w:cstheme="minorHAnsi"/>
        </w:rPr>
        <w:t>have significant stakes in the</w:t>
      </w:r>
      <w:r w:rsidR="00BB0939" w:rsidRPr="004F7D9D">
        <w:rPr>
          <w:rFonts w:asciiTheme="minorHAnsi" w:hAnsiTheme="minorHAnsi" w:cstheme="minorHAnsi"/>
        </w:rPr>
        <w:t xml:space="preserve"> policies and programs</w:t>
      </w:r>
      <w:r w:rsidR="00445A2B">
        <w:rPr>
          <w:rFonts w:asciiTheme="minorHAnsi" w:hAnsiTheme="minorHAnsi" w:cstheme="minorHAnsi"/>
        </w:rPr>
        <w:t xml:space="preserve"> that they initiate and for which they are responsible.</w:t>
      </w:r>
      <w:r w:rsidR="00BB0939" w:rsidRPr="004F7D9D">
        <w:rPr>
          <w:rFonts w:asciiTheme="minorHAnsi" w:hAnsiTheme="minorHAnsi" w:cstheme="minorHAnsi"/>
        </w:rPr>
        <w:t xml:space="preserve"> </w:t>
      </w:r>
      <w:r w:rsidR="00445A2B">
        <w:rPr>
          <w:rFonts w:asciiTheme="minorHAnsi" w:hAnsiTheme="minorHAnsi" w:cstheme="minorHAnsi"/>
        </w:rPr>
        <w:t>If they have not moved on,</w:t>
      </w:r>
      <w:r w:rsidR="005A5ED0" w:rsidRPr="004F7D9D">
        <w:rPr>
          <w:rFonts w:asciiTheme="minorHAnsi" w:hAnsiTheme="minorHAnsi" w:cstheme="minorHAnsi"/>
        </w:rPr>
        <w:t xml:space="preserve"> </w:t>
      </w:r>
      <w:r w:rsidR="00445A2B">
        <w:rPr>
          <w:rFonts w:asciiTheme="minorHAnsi" w:hAnsiTheme="minorHAnsi" w:cstheme="minorHAnsi"/>
        </w:rPr>
        <w:t xml:space="preserve">they may </w:t>
      </w:r>
      <w:r w:rsidR="005A5ED0" w:rsidRPr="004F7D9D">
        <w:rPr>
          <w:rFonts w:asciiTheme="minorHAnsi" w:hAnsiTheme="minorHAnsi" w:cstheme="minorHAnsi"/>
        </w:rPr>
        <w:t xml:space="preserve">have </w:t>
      </w:r>
      <w:r w:rsidR="00445A2B">
        <w:rPr>
          <w:rFonts w:asciiTheme="minorHAnsi" w:hAnsiTheme="minorHAnsi" w:cstheme="minorHAnsi"/>
        </w:rPr>
        <w:t>equal stakes in how these policies and programs are evaluated</w:t>
      </w:r>
      <w:r>
        <w:rPr>
          <w:rFonts w:asciiTheme="minorHAnsi" w:hAnsiTheme="minorHAnsi" w:cstheme="minorHAnsi"/>
        </w:rPr>
        <w:t>. I’ll come back to this group in discussing Chapter 7.</w:t>
      </w:r>
    </w:p>
    <w:p w14:paraId="311E13FA" w14:textId="77777777" w:rsidR="006357E7" w:rsidRPr="001624DC" w:rsidRDefault="006357E7" w:rsidP="004F7D9D">
      <w:pPr>
        <w:pStyle w:val="ListParagraph"/>
        <w:numPr>
          <w:ilvl w:val="0"/>
          <w:numId w:val="8"/>
        </w:numPr>
        <w:ind w:left="714" w:hanging="357"/>
        <w:contextualSpacing w:val="0"/>
        <w:rPr>
          <w:rFonts w:cstheme="minorHAnsi"/>
        </w:rPr>
      </w:pPr>
      <w:r w:rsidRPr="004F7D9D">
        <w:rPr>
          <w:rFonts w:asciiTheme="minorHAnsi" w:hAnsiTheme="minorHAnsi" w:cstheme="minorHAnsi"/>
          <w:b/>
        </w:rPr>
        <w:t>voters</w:t>
      </w:r>
      <w:r w:rsidR="005009E9" w:rsidRPr="004F7D9D">
        <w:rPr>
          <w:rFonts w:asciiTheme="minorHAnsi" w:hAnsiTheme="minorHAnsi" w:cstheme="minorHAnsi"/>
          <w:b/>
        </w:rPr>
        <w:t>/taxpayers</w:t>
      </w:r>
      <w:r w:rsidRPr="004F7D9D">
        <w:rPr>
          <w:rFonts w:asciiTheme="minorHAnsi" w:hAnsiTheme="minorHAnsi" w:cstheme="minorHAnsi"/>
          <w:b/>
        </w:rPr>
        <w:t xml:space="preserve"> and the general public</w:t>
      </w:r>
      <w:r w:rsidR="005A5ED0" w:rsidRPr="004F7D9D">
        <w:rPr>
          <w:rFonts w:asciiTheme="minorHAnsi" w:hAnsiTheme="minorHAnsi" w:cstheme="minorHAnsi"/>
        </w:rPr>
        <w:t>, whose interests are often invoked</w:t>
      </w:r>
      <w:r w:rsidR="00445A2B">
        <w:rPr>
          <w:rFonts w:asciiTheme="minorHAnsi" w:hAnsiTheme="minorHAnsi" w:cstheme="minorHAnsi"/>
        </w:rPr>
        <w:t xml:space="preserve">, </w:t>
      </w:r>
      <w:r w:rsidR="005A5ED0" w:rsidRPr="004F7D9D">
        <w:rPr>
          <w:rFonts w:asciiTheme="minorHAnsi" w:hAnsiTheme="minorHAnsi" w:cstheme="minorHAnsi"/>
        </w:rPr>
        <w:t>often to serve particular purposes.</w:t>
      </w:r>
    </w:p>
    <w:p w14:paraId="69F1291F" w14:textId="77777777" w:rsidR="0096381E" w:rsidRDefault="00BB0939" w:rsidP="009D47E0">
      <w:r>
        <w:t xml:space="preserve">‘Experts’ can be academics </w:t>
      </w:r>
      <w:r w:rsidR="009D47E0">
        <w:t xml:space="preserve">who spend their lives acquiring disciplined </w:t>
      </w:r>
      <w:r w:rsidR="00445A2B">
        <w:t xml:space="preserve">formal </w:t>
      </w:r>
      <w:r w:rsidR="009D47E0">
        <w:t>knowledge and skills in thinking about Aboriginal and Torres Strait Islander ‘</w:t>
      </w:r>
      <w:r w:rsidR="009D47E0" w:rsidRPr="00FC5F80">
        <w:rPr>
          <w:rFonts w:cstheme="minorHAnsi"/>
        </w:rPr>
        <w:t>perspectives, priorities and knowledges</w:t>
      </w:r>
      <w:r w:rsidR="00994EE9">
        <w:rPr>
          <w:rFonts w:cstheme="minorHAnsi"/>
        </w:rPr>
        <w:t>’</w:t>
      </w:r>
      <w:r w:rsidR="009D47E0">
        <w:t>.</w:t>
      </w:r>
      <w:r>
        <w:t xml:space="preserve"> </w:t>
      </w:r>
      <w:r w:rsidR="00445A2B">
        <w:t xml:space="preserve">Experts are also the </w:t>
      </w:r>
      <w:r>
        <w:t xml:space="preserve">professionals and practitioners </w:t>
      </w:r>
      <w:r w:rsidR="00445A2B">
        <w:t>with</w:t>
      </w:r>
      <w:r w:rsidR="00C56698">
        <w:t xml:space="preserve"> deep </w:t>
      </w:r>
      <w:r>
        <w:t>experiential knowledge</w:t>
      </w:r>
      <w:r w:rsidR="00C56698">
        <w:t xml:space="preserve">, </w:t>
      </w:r>
      <w:r w:rsidR="00445A2B">
        <w:t xml:space="preserve">who </w:t>
      </w:r>
      <w:r>
        <w:t xml:space="preserve">have built up trust in Aboriginal and Torres Strait Islander communities. </w:t>
      </w:r>
      <w:r w:rsidR="0096381E">
        <w:t xml:space="preserve">These different types of experts may work closely together, for example where linguists and teachers work in schools where Aboriginal and Torres Strait Islander languages are spoken. </w:t>
      </w:r>
      <w:r w:rsidR="0080549C">
        <w:t>Both kinds of</w:t>
      </w:r>
      <w:r w:rsidR="0096381E">
        <w:t xml:space="preserve"> experts </w:t>
      </w:r>
      <w:r w:rsidR="0080549C">
        <w:t>include</w:t>
      </w:r>
      <w:r w:rsidR="0096381E">
        <w:t xml:space="preserve"> Aboriginal and Torres Strait Islanders.</w:t>
      </w:r>
    </w:p>
    <w:p w14:paraId="63C37927" w14:textId="77777777" w:rsidR="009D47E0" w:rsidRDefault="0096381E" w:rsidP="009D47E0">
      <w:r>
        <w:t>A</w:t>
      </w:r>
      <w:r w:rsidR="00BB0939">
        <w:t xml:space="preserve">cademic experts and practitioners </w:t>
      </w:r>
      <w:r>
        <w:t xml:space="preserve">may or may not see their interests as </w:t>
      </w:r>
      <w:r w:rsidR="00445A2B">
        <w:t>close</w:t>
      </w:r>
      <w:r>
        <w:t>ly align</w:t>
      </w:r>
      <w:r w:rsidR="00445A2B">
        <w:t>ed</w:t>
      </w:r>
      <w:r>
        <w:t xml:space="preserve">. </w:t>
      </w:r>
      <w:r w:rsidR="00D214B2">
        <w:t>The</w:t>
      </w:r>
      <w:r>
        <w:t xml:space="preserve"> </w:t>
      </w:r>
      <w:r w:rsidR="00D214B2">
        <w:t xml:space="preserve">criticism </w:t>
      </w:r>
      <w:r>
        <w:t xml:space="preserve">we received </w:t>
      </w:r>
      <w:r w:rsidR="00D214B2">
        <w:t>of</w:t>
      </w:r>
      <w:r>
        <w:t xml:space="preserve"> the example of evaluation</w:t>
      </w:r>
      <w:r w:rsidR="00D214B2">
        <w:t xml:space="preserve"> in the discussion paper</w:t>
      </w:r>
      <w:r>
        <w:t xml:space="preserve"> in box 4.1 on page 123</w:t>
      </w:r>
      <w:r w:rsidR="00D214B2">
        <w:t xml:space="preserve"> (which we endorse and will discuss in Part 3) reflects the </w:t>
      </w:r>
      <w:r>
        <w:t>profound</w:t>
      </w:r>
      <w:r w:rsidR="00D214B2">
        <w:t xml:space="preserve"> hostility that </w:t>
      </w:r>
      <w:r w:rsidR="0080549C">
        <w:t xml:space="preserve">can exist </w:t>
      </w:r>
      <w:r w:rsidR="00D214B2">
        <w:t>between practising teachers and academic researchers. In contrast, the submissions o</w:t>
      </w:r>
      <w:r w:rsidR="0080549C">
        <w:t>n</w:t>
      </w:r>
      <w:r w:rsidR="00D214B2">
        <w:t xml:space="preserve"> languages issues that the Commission received (mentioned earlier) reflect </w:t>
      </w:r>
      <w:r w:rsidR="0080549C">
        <w:t xml:space="preserve">long-standing and </w:t>
      </w:r>
      <w:r w:rsidR="00D214B2">
        <w:t>close working relations between academic researchers and teachers.</w:t>
      </w:r>
    </w:p>
    <w:p w14:paraId="5D0BC6C6" w14:textId="77777777" w:rsidR="00C56698" w:rsidRDefault="00C56698" w:rsidP="00BB0939">
      <w:r>
        <w:t>There needs to be systematic consideration of the knowledge, skills and networks (both among each other and in the field and communities) o</w:t>
      </w:r>
      <w:r w:rsidR="0096381E">
        <w:t>f these two kinds of experts. They have very real stakes in</w:t>
      </w:r>
      <w:r>
        <w:t xml:space="preserve"> evaluation outcomes. </w:t>
      </w:r>
      <w:r w:rsidR="0096381E">
        <w:t xml:space="preserve">Their interests </w:t>
      </w:r>
      <w:r w:rsidR="0080549C">
        <w:t xml:space="preserve">in the outcomes of an evaluation </w:t>
      </w:r>
      <w:r w:rsidR="0096381E">
        <w:t xml:space="preserve">may be quite different from </w:t>
      </w:r>
      <w:r w:rsidR="0080549C">
        <w:t xml:space="preserve">those of </w:t>
      </w:r>
      <w:r w:rsidR="0096381E">
        <w:t>a politician or public servant</w:t>
      </w:r>
      <w:r>
        <w:t>.</w:t>
      </w:r>
    </w:p>
    <w:p w14:paraId="27D59291" w14:textId="77777777" w:rsidR="00BB0939" w:rsidRDefault="00BB0939" w:rsidP="00BB0939">
      <w:r>
        <w:t>For example, do the</w:t>
      </w:r>
      <w:r w:rsidR="001E706D">
        <w:t>se experts</w:t>
      </w:r>
      <w:r>
        <w:t xml:space="preserve"> have a</w:t>
      </w:r>
      <w:r w:rsidR="001E706D">
        <w:t>ny</w:t>
      </w:r>
      <w:r>
        <w:t xml:space="preserve"> role in the Office of Indigenous Policy Evaluation? Or in particular steering committees? Should the Strategy </w:t>
      </w:r>
      <w:r w:rsidR="001E706D">
        <w:t xml:space="preserve">include </w:t>
      </w:r>
      <w:r>
        <w:t xml:space="preserve">a place for specialised sub-committees or short-term committees </w:t>
      </w:r>
      <w:r w:rsidR="001E706D">
        <w:t xml:space="preserve">for </w:t>
      </w:r>
      <w:r>
        <w:t xml:space="preserve">particular evaluations? </w:t>
      </w:r>
    </w:p>
    <w:p w14:paraId="47648916" w14:textId="77777777" w:rsidR="00C56698" w:rsidRPr="00E22FFE" w:rsidRDefault="001E706D" w:rsidP="00C56698">
      <w:r>
        <w:t>In short, w</w:t>
      </w:r>
      <w:r w:rsidR="00C56698">
        <w:t>e recommend that the revised document</w:t>
      </w:r>
      <w:r w:rsidR="009D47E0">
        <w:t>s</w:t>
      </w:r>
      <w:r w:rsidR="00C56698">
        <w:t xml:space="preserve"> should systematically address the question: </w:t>
      </w:r>
      <w:r w:rsidR="00C56698" w:rsidRPr="009915DF">
        <w:rPr>
          <w:b/>
          <w:i/>
        </w:rPr>
        <w:t>who are the stakeholders – across the board – and how should they be positioned</w:t>
      </w:r>
      <w:r w:rsidR="00C56698">
        <w:rPr>
          <w:b/>
          <w:i/>
        </w:rPr>
        <w:t xml:space="preserve"> </w:t>
      </w:r>
      <w:r>
        <w:rPr>
          <w:b/>
          <w:i/>
        </w:rPr>
        <w:t xml:space="preserve">and represented </w:t>
      </w:r>
      <w:r w:rsidR="00C56698" w:rsidRPr="009915DF">
        <w:t>in the evaluation process</w:t>
      </w:r>
      <w:r w:rsidR="00C56698" w:rsidRPr="00E22FFE">
        <w:t>?</w:t>
      </w:r>
    </w:p>
    <w:p w14:paraId="76EBE49C" w14:textId="77777777" w:rsidR="00BB0939" w:rsidRPr="009915DF" w:rsidRDefault="001E706D" w:rsidP="00E00729">
      <w:pPr>
        <w:rPr>
          <w:b/>
        </w:rPr>
      </w:pPr>
      <w:r w:rsidRPr="004F7D9D">
        <w:rPr>
          <w:b/>
        </w:rPr>
        <w:t>2.</w:t>
      </w:r>
      <w:r w:rsidR="00BB0939" w:rsidRPr="009915DF">
        <w:rPr>
          <w:b/>
        </w:rPr>
        <w:t>3.2 Knowledge</w:t>
      </w:r>
    </w:p>
    <w:p w14:paraId="52AE29C9" w14:textId="77777777" w:rsidR="005A5ED0" w:rsidRPr="00E22FFE" w:rsidRDefault="005A5ED0" w:rsidP="00E00729">
      <w:r>
        <w:lastRenderedPageBreak/>
        <w:t>Over and above the stakes that different groups have in evaluation</w:t>
      </w:r>
      <w:r w:rsidR="009D47E0">
        <w:t>s</w:t>
      </w:r>
      <w:r>
        <w:t xml:space="preserve">, and the different </w:t>
      </w:r>
      <w:r w:rsidR="001E706D">
        <w:t>‘perspectives, priorities and knowledges’</w:t>
      </w:r>
      <w:r>
        <w:t xml:space="preserve"> they can bring to this process, there </w:t>
      </w:r>
      <w:r w:rsidR="001E706D">
        <w:t xml:space="preserve">must </w:t>
      </w:r>
      <w:r>
        <w:t xml:space="preserve">also </w:t>
      </w:r>
      <w:r w:rsidR="001E706D">
        <w:t xml:space="preserve">be </w:t>
      </w:r>
      <w:r>
        <w:t xml:space="preserve">a place for </w:t>
      </w:r>
      <w:r w:rsidRPr="009915DF">
        <w:rPr>
          <w:b/>
          <w:i/>
        </w:rPr>
        <w:t>knowledge per se</w:t>
      </w:r>
      <w:r w:rsidR="009D47E0">
        <w:t xml:space="preserve"> – </w:t>
      </w:r>
      <w:r>
        <w:t>that is, wha</w:t>
      </w:r>
      <w:r w:rsidR="00D9423C">
        <w:t xml:space="preserve">t has been </w:t>
      </w:r>
      <w:r>
        <w:t xml:space="preserve">established </w:t>
      </w:r>
      <w:r w:rsidR="00D9423C">
        <w:t xml:space="preserve">as fact </w:t>
      </w:r>
      <w:r>
        <w:t>through consistent research findings and practical experience</w:t>
      </w:r>
      <w:r w:rsidR="00D9423C">
        <w:t>, and supported by credible theory building</w:t>
      </w:r>
      <w:r>
        <w:t>.</w:t>
      </w:r>
    </w:p>
    <w:p w14:paraId="7E85DA42" w14:textId="77777777" w:rsidR="00313C40" w:rsidRDefault="00477993" w:rsidP="00E00729">
      <w:r>
        <w:t>The discussion</w:t>
      </w:r>
      <w:r w:rsidR="00867686">
        <w:t xml:space="preserve"> document </w:t>
      </w:r>
      <w:r>
        <w:t xml:space="preserve">places considerable emphasis </w:t>
      </w:r>
      <w:r w:rsidR="00867686">
        <w:t xml:space="preserve">on process, capabilities and competency but </w:t>
      </w:r>
      <w:r w:rsidR="00D9423C">
        <w:t xml:space="preserve">makes </w:t>
      </w:r>
      <w:r w:rsidR="00867686">
        <w:t xml:space="preserve">hardly any reference to actual knowledge and </w:t>
      </w:r>
      <w:r>
        <w:t xml:space="preserve">the need for </w:t>
      </w:r>
      <w:r w:rsidR="00D9423C">
        <w:t>those contributing to evaluations</w:t>
      </w:r>
      <w:r w:rsidR="00313C40">
        <w:t xml:space="preserve"> </w:t>
      </w:r>
      <w:r>
        <w:t xml:space="preserve">to be </w:t>
      </w:r>
      <w:r w:rsidR="00867686">
        <w:t xml:space="preserve">knowledgeable. How can </w:t>
      </w:r>
      <w:r w:rsidR="00D9423C">
        <w:t>assessments be made as to</w:t>
      </w:r>
      <w:r w:rsidR="00867686">
        <w:t xml:space="preserve"> whether </w:t>
      </w:r>
      <w:r>
        <w:t xml:space="preserve">a policy or program </w:t>
      </w:r>
      <w:r w:rsidR="00867686">
        <w:t xml:space="preserve">is worthwhile </w:t>
      </w:r>
      <w:r>
        <w:t>(</w:t>
      </w:r>
      <w:r w:rsidR="00867686">
        <w:t>or not</w:t>
      </w:r>
      <w:r>
        <w:t>)</w:t>
      </w:r>
      <w:r w:rsidR="00867686">
        <w:t xml:space="preserve"> if </w:t>
      </w:r>
      <w:r w:rsidR="00D9423C">
        <w:t xml:space="preserve">those </w:t>
      </w:r>
      <w:r w:rsidR="001E706D">
        <w:t xml:space="preserve">designing and undertaking </w:t>
      </w:r>
      <w:r w:rsidR="00D9423C">
        <w:t xml:space="preserve">these assessments are </w:t>
      </w:r>
      <w:r>
        <w:t>not knowledgeable</w:t>
      </w:r>
      <w:r w:rsidR="00867686">
        <w:t xml:space="preserve"> </w:t>
      </w:r>
      <w:r w:rsidR="00313C40">
        <w:t xml:space="preserve">in one way or another </w:t>
      </w:r>
      <w:r w:rsidR="00867686">
        <w:t xml:space="preserve">about </w:t>
      </w:r>
      <w:r w:rsidR="00D9423C">
        <w:t>a</w:t>
      </w:r>
      <w:r w:rsidR="00313C40">
        <w:t xml:space="preserve"> policy/program </w:t>
      </w:r>
      <w:r>
        <w:t>(and its predecessors) and its context</w:t>
      </w:r>
      <w:r w:rsidR="00626380">
        <w:t>?</w:t>
      </w:r>
      <w:r w:rsidR="00867686">
        <w:t xml:space="preserve"> </w:t>
      </w:r>
      <w:r w:rsidR="001E706D">
        <w:t xml:space="preserve">(See also our earlier comments re credible evaluators.) </w:t>
      </w:r>
      <w:r w:rsidR="00D9423C">
        <w:t xml:space="preserve">This is not an abstract </w:t>
      </w:r>
      <w:r w:rsidR="001E706D">
        <w:t>question</w:t>
      </w:r>
      <w:r w:rsidR="00D9423C">
        <w:t xml:space="preserve">. Evaluations of programs are frequently </w:t>
      </w:r>
      <w:r w:rsidR="001E706D">
        <w:t xml:space="preserve">designed </w:t>
      </w:r>
      <w:r w:rsidR="00D9423C">
        <w:t xml:space="preserve">by government officials with little or no substantive knowledge about the actual programs and policies they </w:t>
      </w:r>
      <w:r w:rsidR="001E706D">
        <w:t>seek to evaluate</w:t>
      </w:r>
      <w:r w:rsidR="00D9423C">
        <w:t>.</w:t>
      </w:r>
      <w:r w:rsidR="008936DD">
        <w:t xml:space="preserve"> I’ll return to this point in discussing Chapter 7.</w:t>
      </w:r>
    </w:p>
    <w:p w14:paraId="701318CC" w14:textId="77777777" w:rsidR="00313C40" w:rsidRDefault="00313C40" w:rsidP="00E00729">
      <w:r>
        <w:t>As asked earlier: where does knowledge fit into the principles</w:t>
      </w:r>
      <w:r w:rsidR="00D9423C">
        <w:t xml:space="preserve"> that are described as informing evaluations</w:t>
      </w:r>
      <w:r>
        <w:t xml:space="preserve">? Does it come under ‘credible’? </w:t>
      </w:r>
      <w:r w:rsidR="00867686">
        <w:t xml:space="preserve">We </w:t>
      </w:r>
      <w:r w:rsidR="00231BF1">
        <w:t xml:space="preserve">recommend </w:t>
      </w:r>
      <w:r w:rsidR="00867686">
        <w:t>that the background paper – and the whole conceptual framework of the Strategy – needs revision to systematically include reference</w:t>
      </w:r>
      <w:r w:rsidR="008B2C86">
        <w:t xml:space="preserve"> to bodies of expert knowledge and research</w:t>
      </w:r>
      <w:r>
        <w:t>,</w:t>
      </w:r>
      <w:r w:rsidR="008B2C86">
        <w:t xml:space="preserve"> and </w:t>
      </w:r>
      <w:r w:rsidR="00D9423C">
        <w:t xml:space="preserve">the </w:t>
      </w:r>
      <w:r w:rsidR="008B2C86">
        <w:t xml:space="preserve">specialist skills </w:t>
      </w:r>
      <w:r w:rsidR="00231BF1">
        <w:t>underpinning</w:t>
      </w:r>
      <w:r w:rsidR="008B2A06">
        <w:t xml:space="preserve"> this knowledge</w:t>
      </w:r>
      <w:r w:rsidR="00231BF1">
        <w:t xml:space="preserve">, </w:t>
      </w:r>
      <w:r>
        <w:t>for example,</w:t>
      </w:r>
      <w:r w:rsidR="008B2A06">
        <w:t xml:space="preserve"> </w:t>
      </w:r>
      <w:r w:rsidR="008936DD">
        <w:t xml:space="preserve">in </w:t>
      </w:r>
      <w:r w:rsidR="008B2A06">
        <w:t xml:space="preserve">linguistics, </w:t>
      </w:r>
      <w:r w:rsidR="008936DD">
        <w:t xml:space="preserve">education, </w:t>
      </w:r>
      <w:r w:rsidR="008B2A06">
        <w:t>medic</w:t>
      </w:r>
      <w:r w:rsidR="008936DD">
        <w:t>ine and</w:t>
      </w:r>
      <w:r>
        <w:t xml:space="preserve"> </w:t>
      </w:r>
      <w:r w:rsidR="008936DD">
        <w:t>the law</w:t>
      </w:r>
      <w:r w:rsidR="00231BF1">
        <w:t>.</w:t>
      </w:r>
      <w:r w:rsidR="00DD5A24">
        <w:t xml:space="preserve"> </w:t>
      </w:r>
    </w:p>
    <w:p w14:paraId="27AB5002" w14:textId="77777777" w:rsidR="00705DD4" w:rsidRDefault="00231BF1" w:rsidP="00E00729">
      <w:pPr>
        <w:pStyle w:val="Heading1"/>
        <w:spacing w:line="276" w:lineRule="auto"/>
      </w:pPr>
      <w:r>
        <w:t xml:space="preserve">PART </w:t>
      </w:r>
      <w:r w:rsidR="00974F38">
        <w:t>3</w:t>
      </w:r>
      <w:r>
        <w:t>:</w:t>
      </w:r>
      <w:r w:rsidR="00D9423C">
        <w:t xml:space="preserve"> </w:t>
      </w:r>
      <w:r w:rsidR="00705DD4">
        <w:t xml:space="preserve">Comments on </w:t>
      </w:r>
      <w:r w:rsidR="00974F38">
        <w:t xml:space="preserve">three </w:t>
      </w:r>
      <w:r w:rsidR="00705DD4">
        <w:t xml:space="preserve">particular chapters </w:t>
      </w:r>
    </w:p>
    <w:p w14:paraId="722926FA" w14:textId="77777777" w:rsidR="00705DD4" w:rsidRDefault="00705DD4" w:rsidP="00E00729">
      <w:pPr>
        <w:pStyle w:val="Heading2"/>
        <w:spacing w:line="276" w:lineRule="auto"/>
      </w:pPr>
      <w:r>
        <w:t xml:space="preserve">Chapter 4 – Types of </w:t>
      </w:r>
      <w:r w:rsidR="006E5A9F">
        <w:t>e</w:t>
      </w:r>
      <w:r>
        <w:t>valuation</w:t>
      </w:r>
    </w:p>
    <w:p w14:paraId="2FC94540" w14:textId="77777777" w:rsidR="00705DD4" w:rsidRPr="00705DD4" w:rsidRDefault="00E22FFE" w:rsidP="00E00729">
      <w:r>
        <w:t xml:space="preserve">We suggest a scan through the </w:t>
      </w:r>
      <w:r w:rsidR="008936DD">
        <w:t xml:space="preserve">discussion </w:t>
      </w:r>
      <w:r>
        <w:t xml:space="preserve">document to determine if the description of evaluation types, approaches and methods is consistent, </w:t>
      </w:r>
      <w:r w:rsidR="00231BF1">
        <w:t xml:space="preserve">and </w:t>
      </w:r>
      <w:r>
        <w:t xml:space="preserve">especially </w:t>
      </w:r>
      <w:r w:rsidR="00231BF1">
        <w:t>r</w:t>
      </w:r>
      <w:r>
        <w:t>egard</w:t>
      </w:r>
      <w:r w:rsidR="00231BF1">
        <w:t>ing</w:t>
      </w:r>
      <w:r>
        <w:t xml:space="preserve"> whether quantitative methodologies are assumed as the norm or </w:t>
      </w:r>
      <w:r w:rsidR="00231BF1">
        <w:t>preferenced</w:t>
      </w:r>
      <w:r>
        <w:t xml:space="preserve">. </w:t>
      </w:r>
      <w:r w:rsidR="00513759">
        <w:t>I</w:t>
      </w:r>
      <w:r>
        <w:t>n places it</w:t>
      </w:r>
      <w:r w:rsidR="00513759">
        <w:t xml:space="preserve"> </w:t>
      </w:r>
      <w:r>
        <w:t xml:space="preserve">seems as if </w:t>
      </w:r>
      <w:r w:rsidR="00513759">
        <w:t xml:space="preserve">different people </w:t>
      </w:r>
      <w:r>
        <w:t xml:space="preserve">have </w:t>
      </w:r>
      <w:r w:rsidR="00513759">
        <w:t xml:space="preserve">written different </w:t>
      </w:r>
      <w:r>
        <w:t>sections</w:t>
      </w:r>
      <w:r w:rsidR="00513759">
        <w:t xml:space="preserve">, or someone had a </w:t>
      </w:r>
      <w:r w:rsidR="00231BF1">
        <w:t xml:space="preserve">good </w:t>
      </w:r>
      <w:r w:rsidR="00513759">
        <w:t>idea in one part and added it</w:t>
      </w:r>
      <w:r w:rsidR="00231BF1">
        <w:t xml:space="preserve"> there</w:t>
      </w:r>
      <w:r w:rsidR="00513759">
        <w:t xml:space="preserve">, when it </w:t>
      </w:r>
      <w:r w:rsidR="00231BF1">
        <w:t xml:space="preserve">is </w:t>
      </w:r>
      <w:r w:rsidR="00513759">
        <w:t xml:space="preserve">quite important </w:t>
      </w:r>
      <w:r w:rsidR="00231BF1">
        <w:t>across the board</w:t>
      </w:r>
      <w:r w:rsidR="00513759">
        <w:t>.</w:t>
      </w:r>
    </w:p>
    <w:p w14:paraId="5772689D" w14:textId="77777777" w:rsidR="00240DE5" w:rsidRDefault="008936DD" w:rsidP="00E00729">
      <w:r>
        <w:t>O</w:t>
      </w:r>
      <w:r w:rsidR="00240DE5">
        <w:t xml:space="preserve">n page 122, there is a quote </w:t>
      </w:r>
      <w:r>
        <w:t xml:space="preserve">at </w:t>
      </w:r>
      <w:r w:rsidR="00240DE5">
        <w:t>the top of the page from the New Zealand Evaluation Association:</w:t>
      </w:r>
    </w:p>
    <w:p w14:paraId="5B2429FF" w14:textId="77777777" w:rsidR="00240DE5" w:rsidRDefault="00240DE5" w:rsidP="009915DF">
      <w:pPr>
        <w:pStyle w:val="Quote"/>
        <w:jc w:val="left"/>
      </w:pPr>
      <w:r>
        <w:t>At the end of an evaluation process, an evaluation needs to be able to say whether something is any good, or not, and why.</w:t>
      </w:r>
    </w:p>
    <w:p w14:paraId="156C091C" w14:textId="77777777" w:rsidR="000E2146" w:rsidRDefault="000E2146" w:rsidP="00E00729">
      <w:r>
        <w:t>We would also add ‘</w:t>
      </w:r>
      <w:r w:rsidR="00CC13AC">
        <w:t>W</w:t>
      </w:r>
      <w:r>
        <w:t xml:space="preserve">hat </w:t>
      </w:r>
      <w:r w:rsidR="008936DD">
        <w:t xml:space="preserve">are </w:t>
      </w:r>
      <w:r w:rsidR="00E22FFE">
        <w:t xml:space="preserve">the </w:t>
      </w:r>
      <w:r>
        <w:t>criteria</w:t>
      </w:r>
      <w:r w:rsidR="00CB2D78">
        <w:t xml:space="preserve"> </w:t>
      </w:r>
      <w:r w:rsidR="00E22FFE">
        <w:t xml:space="preserve">determining the </w:t>
      </w:r>
      <w:r w:rsidR="00CB2D78" w:rsidRPr="009915DF">
        <w:rPr>
          <w:i/>
        </w:rPr>
        <w:t>why</w:t>
      </w:r>
      <w:r>
        <w:t>?’</w:t>
      </w:r>
      <w:r w:rsidR="00875CAD">
        <w:t xml:space="preserve"> This </w:t>
      </w:r>
      <w:r w:rsidR="008936DD">
        <w:t xml:space="preserve">issue </w:t>
      </w:r>
      <w:r w:rsidR="00875CAD">
        <w:t>carries through into section 4.1, where the report raises three questions:</w:t>
      </w:r>
    </w:p>
    <w:p w14:paraId="6CA6391B" w14:textId="77777777" w:rsidR="00CC13AC" w:rsidRDefault="00875CAD" w:rsidP="009915DF">
      <w:pPr>
        <w:pStyle w:val="Quote"/>
        <w:numPr>
          <w:ilvl w:val="0"/>
          <w:numId w:val="5"/>
        </w:numPr>
        <w:jc w:val="left"/>
      </w:pPr>
      <w:r>
        <w:t>how well has the policy or program been delivered?</w:t>
      </w:r>
    </w:p>
    <w:p w14:paraId="3FE9BB04" w14:textId="77777777" w:rsidR="00CC13AC" w:rsidRDefault="00875CAD" w:rsidP="009915DF">
      <w:pPr>
        <w:pStyle w:val="Quote"/>
        <w:numPr>
          <w:ilvl w:val="0"/>
          <w:numId w:val="5"/>
        </w:numPr>
        <w:jc w:val="left"/>
      </w:pPr>
      <w:r>
        <w:t>what difference did the</w:t>
      </w:r>
      <w:r w:rsidR="00EF44FF">
        <w:t xml:space="preserve"> policy or </w:t>
      </w:r>
      <w:r>
        <w:t>program make?</w:t>
      </w:r>
    </w:p>
    <w:p w14:paraId="04B86C30" w14:textId="77777777" w:rsidR="00EF44FF" w:rsidRPr="00EF44FF" w:rsidRDefault="00497A5C" w:rsidP="009915DF">
      <w:pPr>
        <w:pStyle w:val="Quote"/>
        <w:numPr>
          <w:ilvl w:val="0"/>
          <w:numId w:val="5"/>
        </w:numPr>
        <w:jc w:val="left"/>
      </w:pPr>
      <w:r>
        <w:t xml:space="preserve"> d</w:t>
      </w:r>
      <w:r w:rsidR="00EF44FF">
        <w:t>o the benefits of the policy or program justify the costs?</w:t>
      </w:r>
    </w:p>
    <w:p w14:paraId="321B17D9" w14:textId="77777777" w:rsidR="00875CAD" w:rsidRDefault="003832D4" w:rsidP="00E00729">
      <w:r>
        <w:t xml:space="preserve">These questions </w:t>
      </w:r>
      <w:r w:rsidR="00231BF1">
        <w:t>will not</w:t>
      </w:r>
      <w:r>
        <w:t xml:space="preserve"> </w:t>
      </w:r>
      <w:r w:rsidR="00CC13AC">
        <w:t>yield</w:t>
      </w:r>
      <w:r>
        <w:t xml:space="preserve"> answers </w:t>
      </w:r>
      <w:r w:rsidR="00CC13AC">
        <w:t>t</w:t>
      </w:r>
      <w:r w:rsidR="00231BF1">
        <w:t>hat</w:t>
      </w:r>
      <w:r w:rsidR="00CC13AC">
        <w:t xml:space="preserve"> </w:t>
      </w:r>
      <w:r>
        <w:t>inform</w:t>
      </w:r>
      <w:r w:rsidR="008936DD">
        <w:t xml:space="preserve"> good</w:t>
      </w:r>
      <w:r>
        <w:t xml:space="preserve"> judgements about a </w:t>
      </w:r>
      <w:r w:rsidR="008936DD">
        <w:t xml:space="preserve">policy or </w:t>
      </w:r>
      <w:r>
        <w:t>program. For example, you could ask these questions in relation to bilingual programs</w:t>
      </w:r>
      <w:r w:rsidR="007D290F">
        <w:t xml:space="preserve"> (or the forced removal of Aboriginal children from their parents)</w:t>
      </w:r>
      <w:r>
        <w:t>:</w:t>
      </w:r>
    </w:p>
    <w:p w14:paraId="546EB254" w14:textId="77777777" w:rsidR="00CC13AC" w:rsidRPr="009915DF" w:rsidRDefault="003832D4" w:rsidP="00E00729">
      <w:pPr>
        <w:pStyle w:val="ListParagraph"/>
        <w:numPr>
          <w:ilvl w:val="0"/>
          <w:numId w:val="6"/>
        </w:numPr>
        <w:spacing w:line="276" w:lineRule="auto"/>
        <w:rPr>
          <w:rFonts w:asciiTheme="minorHAnsi" w:hAnsiTheme="minorHAnsi" w:cstheme="minorHAnsi"/>
          <w:szCs w:val="22"/>
        </w:rPr>
      </w:pPr>
      <w:r w:rsidRPr="003832D4">
        <w:rPr>
          <w:rFonts w:asciiTheme="minorHAnsi" w:hAnsiTheme="minorHAnsi" w:cstheme="minorHAnsi"/>
          <w:i/>
          <w:szCs w:val="22"/>
        </w:rPr>
        <w:t xml:space="preserve">How well </w:t>
      </w:r>
      <w:r w:rsidR="008936DD">
        <w:rPr>
          <w:rFonts w:asciiTheme="minorHAnsi" w:hAnsiTheme="minorHAnsi" w:cstheme="minorHAnsi"/>
          <w:i/>
          <w:szCs w:val="22"/>
        </w:rPr>
        <w:t>has</w:t>
      </w:r>
      <w:r w:rsidR="008936DD" w:rsidRPr="003832D4">
        <w:rPr>
          <w:rFonts w:asciiTheme="minorHAnsi" w:hAnsiTheme="minorHAnsi" w:cstheme="minorHAnsi"/>
          <w:i/>
          <w:szCs w:val="22"/>
        </w:rPr>
        <w:t xml:space="preserve"> </w:t>
      </w:r>
      <w:r w:rsidRPr="003832D4">
        <w:rPr>
          <w:rFonts w:asciiTheme="minorHAnsi" w:hAnsiTheme="minorHAnsi" w:cstheme="minorHAnsi"/>
          <w:i/>
          <w:szCs w:val="22"/>
        </w:rPr>
        <w:t xml:space="preserve">the stamping out of bilingual programs and replacing them in the Northern Territory </w:t>
      </w:r>
      <w:r w:rsidR="008936DD" w:rsidRPr="003832D4">
        <w:rPr>
          <w:rFonts w:asciiTheme="minorHAnsi" w:hAnsiTheme="minorHAnsi" w:cstheme="minorHAnsi"/>
          <w:i/>
          <w:szCs w:val="22"/>
        </w:rPr>
        <w:t>be</w:t>
      </w:r>
      <w:r w:rsidR="008936DD">
        <w:rPr>
          <w:rFonts w:asciiTheme="minorHAnsi" w:hAnsiTheme="minorHAnsi" w:cstheme="minorHAnsi"/>
          <w:i/>
          <w:szCs w:val="22"/>
        </w:rPr>
        <w:t>en</w:t>
      </w:r>
      <w:r w:rsidR="008936DD" w:rsidRPr="003832D4">
        <w:rPr>
          <w:rFonts w:asciiTheme="minorHAnsi" w:hAnsiTheme="minorHAnsi" w:cstheme="minorHAnsi"/>
          <w:i/>
          <w:szCs w:val="22"/>
        </w:rPr>
        <w:t xml:space="preserve"> </w:t>
      </w:r>
      <w:r w:rsidRPr="003832D4">
        <w:rPr>
          <w:rFonts w:asciiTheme="minorHAnsi" w:hAnsiTheme="minorHAnsi" w:cstheme="minorHAnsi"/>
          <w:i/>
          <w:szCs w:val="22"/>
        </w:rPr>
        <w:t xml:space="preserve">delivered? </w:t>
      </w:r>
    </w:p>
    <w:p w14:paraId="35BC19D5" w14:textId="77777777" w:rsidR="003832D4" w:rsidRPr="003832D4" w:rsidRDefault="00CC13AC" w:rsidP="004F7D9D">
      <w:pPr>
        <w:pStyle w:val="ListParagraph"/>
        <w:spacing w:line="276" w:lineRule="auto"/>
        <w:contextualSpacing w:val="0"/>
        <w:rPr>
          <w:rFonts w:asciiTheme="minorHAnsi" w:hAnsiTheme="minorHAnsi" w:cstheme="minorHAnsi"/>
          <w:szCs w:val="22"/>
        </w:rPr>
      </w:pPr>
      <w:r w:rsidRPr="009915DF">
        <w:rPr>
          <w:rFonts w:asciiTheme="minorHAnsi" w:hAnsiTheme="minorHAnsi" w:cstheme="minorHAnsi"/>
          <w:b/>
          <w:szCs w:val="22"/>
        </w:rPr>
        <w:lastRenderedPageBreak/>
        <w:t>Answer:</w:t>
      </w:r>
      <w:r>
        <w:rPr>
          <w:rFonts w:asciiTheme="minorHAnsi" w:hAnsiTheme="minorHAnsi" w:cstheme="minorHAnsi"/>
          <w:szCs w:val="22"/>
        </w:rPr>
        <w:t xml:space="preserve"> </w:t>
      </w:r>
      <w:r w:rsidR="003832D4" w:rsidRPr="003832D4">
        <w:rPr>
          <w:rFonts w:asciiTheme="minorHAnsi" w:hAnsiTheme="minorHAnsi" w:cstheme="minorHAnsi"/>
          <w:szCs w:val="22"/>
        </w:rPr>
        <w:t xml:space="preserve">it’s </w:t>
      </w:r>
      <w:r w:rsidR="008936DD" w:rsidRPr="003832D4">
        <w:rPr>
          <w:rFonts w:asciiTheme="minorHAnsi" w:hAnsiTheme="minorHAnsi" w:cstheme="minorHAnsi"/>
          <w:szCs w:val="22"/>
        </w:rPr>
        <w:t>be</w:t>
      </w:r>
      <w:r w:rsidR="008936DD">
        <w:rPr>
          <w:rFonts w:asciiTheme="minorHAnsi" w:hAnsiTheme="minorHAnsi" w:cstheme="minorHAnsi"/>
          <w:szCs w:val="22"/>
        </w:rPr>
        <w:t>en</w:t>
      </w:r>
      <w:r w:rsidR="008936DD" w:rsidRPr="003832D4">
        <w:rPr>
          <w:rFonts w:asciiTheme="minorHAnsi" w:hAnsiTheme="minorHAnsi" w:cstheme="minorHAnsi"/>
          <w:szCs w:val="22"/>
        </w:rPr>
        <w:t xml:space="preserve"> </w:t>
      </w:r>
      <w:r w:rsidR="003832D4" w:rsidRPr="003832D4">
        <w:rPr>
          <w:rFonts w:asciiTheme="minorHAnsi" w:hAnsiTheme="minorHAnsi" w:cstheme="minorHAnsi"/>
          <w:szCs w:val="22"/>
        </w:rPr>
        <w:t xml:space="preserve">delivered well. But it’s bad policy. </w:t>
      </w:r>
    </w:p>
    <w:p w14:paraId="0C37C7A4" w14:textId="77777777" w:rsidR="00CC13AC" w:rsidRPr="009915DF" w:rsidRDefault="003832D4" w:rsidP="00220D62">
      <w:pPr>
        <w:pStyle w:val="ListParagraph"/>
        <w:numPr>
          <w:ilvl w:val="0"/>
          <w:numId w:val="6"/>
        </w:numPr>
        <w:spacing w:line="276" w:lineRule="auto"/>
        <w:rPr>
          <w:rFonts w:asciiTheme="minorHAnsi" w:hAnsiTheme="minorHAnsi" w:cstheme="minorHAnsi"/>
          <w:szCs w:val="22"/>
        </w:rPr>
      </w:pPr>
      <w:r w:rsidRPr="003832D4">
        <w:rPr>
          <w:rFonts w:asciiTheme="minorHAnsi" w:hAnsiTheme="minorHAnsi" w:cstheme="minorHAnsi"/>
          <w:i/>
          <w:szCs w:val="22"/>
        </w:rPr>
        <w:t xml:space="preserve">What difference did the policy or program make? </w:t>
      </w:r>
    </w:p>
    <w:p w14:paraId="52F28816" w14:textId="77777777" w:rsidR="003832D4" w:rsidRPr="003832D4" w:rsidRDefault="00CC13AC" w:rsidP="004F7D9D">
      <w:pPr>
        <w:pStyle w:val="ListParagraph"/>
        <w:spacing w:line="276" w:lineRule="auto"/>
        <w:contextualSpacing w:val="0"/>
        <w:rPr>
          <w:rFonts w:asciiTheme="minorHAnsi" w:hAnsiTheme="minorHAnsi" w:cstheme="minorHAnsi"/>
          <w:szCs w:val="22"/>
        </w:rPr>
      </w:pPr>
      <w:r w:rsidRPr="009915DF">
        <w:rPr>
          <w:rFonts w:asciiTheme="minorHAnsi" w:hAnsiTheme="minorHAnsi" w:cstheme="minorHAnsi"/>
          <w:b/>
          <w:szCs w:val="22"/>
        </w:rPr>
        <w:t>Answer:</w:t>
      </w:r>
      <w:r>
        <w:rPr>
          <w:rFonts w:asciiTheme="minorHAnsi" w:hAnsiTheme="minorHAnsi" w:cstheme="minorHAnsi"/>
          <w:i/>
          <w:szCs w:val="22"/>
        </w:rPr>
        <w:t xml:space="preserve"> </w:t>
      </w:r>
      <w:r w:rsidR="003832D4" w:rsidRPr="003832D4">
        <w:rPr>
          <w:rFonts w:asciiTheme="minorHAnsi" w:hAnsiTheme="minorHAnsi" w:cstheme="minorHAnsi"/>
          <w:szCs w:val="22"/>
        </w:rPr>
        <w:t xml:space="preserve">It </w:t>
      </w:r>
      <w:r w:rsidR="00231BF1">
        <w:rPr>
          <w:rFonts w:asciiTheme="minorHAnsi" w:hAnsiTheme="minorHAnsi" w:cstheme="minorHAnsi"/>
          <w:szCs w:val="22"/>
        </w:rPr>
        <w:t>has</w:t>
      </w:r>
      <w:r w:rsidR="00231BF1" w:rsidRPr="003832D4">
        <w:rPr>
          <w:rFonts w:asciiTheme="minorHAnsi" w:hAnsiTheme="minorHAnsi" w:cstheme="minorHAnsi"/>
          <w:szCs w:val="22"/>
        </w:rPr>
        <w:t xml:space="preserve"> ma</w:t>
      </w:r>
      <w:r w:rsidR="00231BF1">
        <w:rPr>
          <w:rFonts w:asciiTheme="minorHAnsi" w:hAnsiTheme="minorHAnsi" w:cstheme="minorHAnsi"/>
          <w:szCs w:val="22"/>
        </w:rPr>
        <w:t>de</w:t>
      </w:r>
      <w:r w:rsidR="00231BF1" w:rsidRPr="003832D4">
        <w:rPr>
          <w:rFonts w:asciiTheme="minorHAnsi" w:hAnsiTheme="minorHAnsi" w:cstheme="minorHAnsi"/>
          <w:szCs w:val="22"/>
        </w:rPr>
        <w:t xml:space="preserve"> </w:t>
      </w:r>
      <w:r w:rsidR="003832D4" w:rsidRPr="003832D4">
        <w:rPr>
          <w:rFonts w:asciiTheme="minorHAnsi" w:hAnsiTheme="minorHAnsi" w:cstheme="minorHAnsi"/>
          <w:szCs w:val="22"/>
        </w:rPr>
        <w:t xml:space="preserve">a huge difference, but </w:t>
      </w:r>
      <w:r w:rsidR="00231BF1">
        <w:rPr>
          <w:rFonts w:asciiTheme="minorHAnsi" w:hAnsiTheme="minorHAnsi" w:cstheme="minorHAnsi"/>
          <w:szCs w:val="22"/>
        </w:rPr>
        <w:t>the</w:t>
      </w:r>
      <w:r w:rsidR="003832D4" w:rsidRPr="003832D4">
        <w:rPr>
          <w:rFonts w:asciiTheme="minorHAnsi" w:hAnsiTheme="minorHAnsi" w:cstheme="minorHAnsi"/>
          <w:szCs w:val="22"/>
        </w:rPr>
        <w:t xml:space="preserve"> difference</w:t>
      </w:r>
      <w:r w:rsidR="00231BF1">
        <w:rPr>
          <w:rFonts w:asciiTheme="minorHAnsi" w:hAnsiTheme="minorHAnsi" w:cstheme="minorHAnsi"/>
          <w:szCs w:val="22"/>
        </w:rPr>
        <w:t>s are undesirable</w:t>
      </w:r>
      <w:r>
        <w:rPr>
          <w:rFonts w:asciiTheme="minorHAnsi" w:hAnsiTheme="minorHAnsi" w:cstheme="minorHAnsi"/>
          <w:szCs w:val="22"/>
        </w:rPr>
        <w:t>.</w:t>
      </w:r>
    </w:p>
    <w:p w14:paraId="3D5BA5F5" w14:textId="77777777" w:rsidR="00CC13AC" w:rsidRDefault="003832D4" w:rsidP="00220D62">
      <w:pPr>
        <w:pStyle w:val="ListParagraph"/>
        <w:numPr>
          <w:ilvl w:val="0"/>
          <w:numId w:val="6"/>
        </w:numPr>
        <w:spacing w:line="276" w:lineRule="auto"/>
        <w:rPr>
          <w:rFonts w:asciiTheme="minorHAnsi" w:hAnsiTheme="minorHAnsi" w:cstheme="minorHAnsi"/>
          <w:szCs w:val="22"/>
        </w:rPr>
      </w:pPr>
      <w:r w:rsidRPr="003832D4">
        <w:rPr>
          <w:rFonts w:asciiTheme="minorHAnsi" w:hAnsiTheme="minorHAnsi" w:cstheme="minorHAnsi"/>
          <w:i/>
          <w:szCs w:val="22"/>
        </w:rPr>
        <w:t>Do the benefits outweigh the costs</w:t>
      </w:r>
      <w:r w:rsidRPr="003832D4">
        <w:rPr>
          <w:rFonts w:asciiTheme="minorHAnsi" w:hAnsiTheme="minorHAnsi" w:cstheme="minorHAnsi"/>
          <w:szCs w:val="22"/>
        </w:rPr>
        <w:t xml:space="preserve">? </w:t>
      </w:r>
    </w:p>
    <w:p w14:paraId="7FFA8C67" w14:textId="77777777" w:rsidR="003832D4" w:rsidRPr="003832D4" w:rsidRDefault="008936DD" w:rsidP="00220D62">
      <w:pPr>
        <w:pStyle w:val="ListParagraph"/>
        <w:spacing w:line="276" w:lineRule="auto"/>
        <w:rPr>
          <w:rFonts w:asciiTheme="minorHAnsi" w:hAnsiTheme="minorHAnsi" w:cstheme="minorHAnsi"/>
          <w:szCs w:val="22"/>
        </w:rPr>
      </w:pPr>
      <w:r>
        <w:rPr>
          <w:rFonts w:asciiTheme="minorHAnsi" w:hAnsiTheme="minorHAnsi" w:cstheme="minorHAnsi"/>
          <w:b/>
          <w:szCs w:val="22"/>
        </w:rPr>
        <w:t xml:space="preserve">But there’s another </w:t>
      </w:r>
      <w:r w:rsidR="00CC13AC">
        <w:rPr>
          <w:rFonts w:asciiTheme="minorHAnsi" w:hAnsiTheme="minorHAnsi" w:cstheme="minorHAnsi"/>
          <w:b/>
          <w:szCs w:val="22"/>
        </w:rPr>
        <w:t>question</w:t>
      </w:r>
      <w:r w:rsidR="00CC13AC" w:rsidRPr="009915DF">
        <w:rPr>
          <w:rFonts w:asciiTheme="minorHAnsi" w:hAnsiTheme="minorHAnsi" w:cstheme="minorHAnsi"/>
          <w:b/>
          <w:szCs w:val="22"/>
        </w:rPr>
        <w:t>:</w:t>
      </w:r>
      <w:r w:rsidR="00CC13AC">
        <w:rPr>
          <w:rFonts w:asciiTheme="minorHAnsi" w:hAnsiTheme="minorHAnsi" w:cstheme="minorHAnsi"/>
          <w:szCs w:val="22"/>
        </w:rPr>
        <w:t xml:space="preserve"> T</w:t>
      </w:r>
      <w:r w:rsidR="003832D4" w:rsidRPr="003832D4">
        <w:rPr>
          <w:rFonts w:asciiTheme="minorHAnsi" w:hAnsiTheme="minorHAnsi" w:cstheme="minorHAnsi"/>
          <w:szCs w:val="22"/>
        </w:rPr>
        <w:t>he benefits to whom</w:t>
      </w:r>
      <w:r w:rsidR="00CC13AC">
        <w:rPr>
          <w:rFonts w:asciiTheme="minorHAnsi" w:hAnsiTheme="minorHAnsi" w:cstheme="minorHAnsi"/>
          <w:szCs w:val="22"/>
        </w:rPr>
        <w:t>?</w:t>
      </w:r>
      <w:r>
        <w:rPr>
          <w:rFonts w:asciiTheme="minorHAnsi" w:hAnsiTheme="minorHAnsi" w:cstheme="minorHAnsi"/>
          <w:szCs w:val="22"/>
        </w:rPr>
        <w:t xml:space="preserve"> and the costs to whom?</w:t>
      </w:r>
    </w:p>
    <w:p w14:paraId="49E95AE8" w14:textId="77777777" w:rsidR="004526CD" w:rsidRDefault="00231BF1" w:rsidP="00E00729">
      <w:r>
        <w:t>T</w:t>
      </w:r>
      <w:r w:rsidR="00CC13AC">
        <w:t>he key</w:t>
      </w:r>
      <w:r w:rsidR="003832D4">
        <w:t xml:space="preserve"> question</w:t>
      </w:r>
      <w:r w:rsidR="008936DD">
        <w:t xml:space="preserve"> is:</w:t>
      </w:r>
      <w:r w:rsidR="003832D4">
        <w:t xml:space="preserve"> ‘</w:t>
      </w:r>
      <w:r w:rsidR="00CC13AC">
        <w:t>I</w:t>
      </w:r>
      <w:r w:rsidR="003832D4">
        <w:t xml:space="preserve">s the policy or program a good </w:t>
      </w:r>
      <w:r w:rsidR="00CC13AC">
        <w:t xml:space="preserve">policy or </w:t>
      </w:r>
      <w:r w:rsidR="003832D4">
        <w:t>program?’ or ‘</w:t>
      </w:r>
      <w:r w:rsidR="00CC13AC">
        <w:t xml:space="preserve">Does the policy or program </w:t>
      </w:r>
      <w:r w:rsidR="003832D4">
        <w:t>pursue desirable goals?’</w:t>
      </w:r>
      <w:r w:rsidR="00CC13AC">
        <w:t xml:space="preserve"> These questions </w:t>
      </w:r>
      <w:r w:rsidR="003832D4">
        <w:t xml:space="preserve">need to </w:t>
      </w:r>
      <w:r w:rsidR="00CC13AC">
        <w:t>follow from</w:t>
      </w:r>
      <w:r w:rsidR="003832D4">
        <w:t xml:space="preserve"> </w:t>
      </w:r>
      <w:r w:rsidR="00CC13AC">
        <w:t xml:space="preserve">and be grounded in </w:t>
      </w:r>
      <w:r w:rsidR="00B109C8">
        <w:t>other parts of the Strategy</w:t>
      </w:r>
      <w:r w:rsidR="00CC13AC">
        <w:t xml:space="preserve"> that set out the values </w:t>
      </w:r>
      <w:r>
        <w:t xml:space="preserve">espoused by </w:t>
      </w:r>
      <w:r w:rsidR="008936DD">
        <w:t>the Commission</w:t>
      </w:r>
      <w:r w:rsidR="00CC13AC">
        <w:t>. Answers to</w:t>
      </w:r>
      <w:r w:rsidR="00B109C8">
        <w:t xml:space="preserve"> </w:t>
      </w:r>
      <w:r w:rsidR="00CC13AC">
        <w:t xml:space="preserve">these </w:t>
      </w:r>
      <w:r w:rsidR="00B109C8">
        <w:t>questions</w:t>
      </w:r>
      <w:r w:rsidR="00CC13AC">
        <w:t xml:space="preserve"> are not</w:t>
      </w:r>
      <w:r w:rsidR="00B109C8">
        <w:t xml:space="preserve"> </w:t>
      </w:r>
      <w:r>
        <w:t xml:space="preserve">content-neutral or </w:t>
      </w:r>
      <w:r w:rsidR="00B109C8">
        <w:t>independent of value judgements</w:t>
      </w:r>
      <w:r w:rsidR="00CC13AC">
        <w:t xml:space="preserve"> and</w:t>
      </w:r>
      <w:r w:rsidR="004C58C2">
        <w:t xml:space="preserve"> </w:t>
      </w:r>
      <w:r w:rsidR="00CC13AC">
        <w:t>contexts</w:t>
      </w:r>
      <w:r w:rsidR="004C58C2">
        <w:t xml:space="preserve">. </w:t>
      </w:r>
    </w:p>
    <w:p w14:paraId="18514A21" w14:textId="77777777" w:rsidR="00121269" w:rsidRDefault="00E45DC9" w:rsidP="00E00729">
      <w:r>
        <w:t xml:space="preserve">In </w:t>
      </w:r>
      <w:r w:rsidR="004C58C2">
        <w:t>box 4.1 on page 123</w:t>
      </w:r>
      <w:r>
        <w:t xml:space="preserve">, </w:t>
      </w:r>
      <w:r w:rsidR="004C58C2">
        <w:t xml:space="preserve">we don’t think </w:t>
      </w:r>
      <w:r w:rsidR="00231BF1">
        <w:t xml:space="preserve">firm </w:t>
      </w:r>
      <w:r w:rsidR="004C58C2">
        <w:t xml:space="preserve">distinctions </w:t>
      </w:r>
      <w:r>
        <w:t xml:space="preserve">can be made </w:t>
      </w:r>
      <w:r w:rsidR="004C58C2">
        <w:t>between ‘evaluation type’, ‘evaluation approach, ‘evaluation method’</w:t>
      </w:r>
      <w:r w:rsidR="00CC13AC">
        <w:t>,</w:t>
      </w:r>
      <w:r w:rsidR="004C58C2">
        <w:t xml:space="preserve"> and ‘data collection’ in the way that</w:t>
      </w:r>
      <w:r w:rsidR="00121269">
        <w:t xml:space="preserve"> seems to be</w:t>
      </w:r>
      <w:r w:rsidR="004C58C2">
        <w:t xml:space="preserve"> implied. </w:t>
      </w:r>
      <w:r w:rsidR="00CC13AC">
        <w:t>These distinctions do</w:t>
      </w:r>
      <w:r w:rsidR="004C58C2">
        <w:t xml:space="preserve">n’t work particularly well in education contexts. </w:t>
      </w:r>
      <w:r w:rsidR="00121269">
        <w:t>For example, if you wanted to ask</w:t>
      </w:r>
      <w:r>
        <w:t xml:space="preserve"> </w:t>
      </w:r>
      <w:r w:rsidR="00121269">
        <w:t xml:space="preserve">‘how well </w:t>
      </w:r>
      <w:r>
        <w:t xml:space="preserve">is </w:t>
      </w:r>
      <w:r w:rsidR="00121269">
        <w:t>a bilingual education program working?’</w:t>
      </w:r>
      <w:r>
        <w:t>,</w:t>
      </w:r>
      <w:r w:rsidR="00121269">
        <w:t xml:space="preserve"> these distinctions would play into each other more than is implied. The elements in box 4.1 would be better show</w:t>
      </w:r>
      <w:r>
        <w:t>n</w:t>
      </w:r>
      <w:r w:rsidR="00121269">
        <w:t xml:space="preserve"> as a circle with arrows going each way. </w:t>
      </w:r>
    </w:p>
    <w:p w14:paraId="01959149" w14:textId="77777777" w:rsidR="008859FA" w:rsidRDefault="00121269" w:rsidP="00E00729">
      <w:r>
        <w:t xml:space="preserve">In box 4.1 it also says that the type of evaluation is dictated by the question, but very often the type of evaluation is dictated by the theoretical and epistemological stance of the evaluator. </w:t>
      </w:r>
      <w:r w:rsidR="00E45DC9">
        <w:t>A</w:t>
      </w:r>
      <w:r w:rsidR="00BC1F9D">
        <w:t xml:space="preserve"> </w:t>
      </w:r>
      <w:r w:rsidR="00E45DC9">
        <w:t xml:space="preserve">commitment </w:t>
      </w:r>
      <w:r w:rsidR="00BC1F9D">
        <w:t xml:space="preserve">to ethnographic </w:t>
      </w:r>
      <w:r w:rsidR="00E45DC9">
        <w:t xml:space="preserve">perspectives and </w:t>
      </w:r>
      <w:r w:rsidR="00BC1F9D">
        <w:t>approach</w:t>
      </w:r>
      <w:r w:rsidR="00E45DC9">
        <w:t>es</w:t>
      </w:r>
      <w:r w:rsidR="00BC1F9D">
        <w:t xml:space="preserve"> will determine the evaluation question(s) and </w:t>
      </w:r>
      <w:r w:rsidR="00E45DC9">
        <w:t xml:space="preserve">the </w:t>
      </w:r>
      <w:r w:rsidR="00BC1F9D">
        <w:t>type</w:t>
      </w:r>
      <w:r w:rsidR="00E45DC9">
        <w:t>s</w:t>
      </w:r>
      <w:r w:rsidR="00BC1F9D">
        <w:t xml:space="preserve"> of data collected. </w:t>
      </w:r>
    </w:p>
    <w:p w14:paraId="61F340F5" w14:textId="77777777" w:rsidR="008859FA" w:rsidRDefault="002D1984" w:rsidP="00E00729">
      <w:r>
        <w:t xml:space="preserve">On page 125, </w:t>
      </w:r>
      <w:r w:rsidR="00121269">
        <w:t>it’s said that</w:t>
      </w:r>
      <w:r>
        <w:t>:</w:t>
      </w:r>
    </w:p>
    <w:p w14:paraId="4C0FF3FC" w14:textId="77777777" w:rsidR="008859FA" w:rsidRDefault="008859FA" w:rsidP="009915DF">
      <w:pPr>
        <w:pStyle w:val="Quote"/>
        <w:jc w:val="left"/>
      </w:pPr>
      <w:r>
        <w:t>One of the key challenges for impact evaluation is coming up with an estimate of the actual effects of a policy or program.</w:t>
      </w:r>
      <w:r w:rsidR="00813769">
        <w:t xml:space="preserve"> To do this, evaluators need to estimate the effects of a program on policy and program participants (the ‘treatment group’), and compare this with non-participants (the ‘control group’) who represent the counterfactual (box 4.3). </w:t>
      </w:r>
      <w:r>
        <w:t xml:space="preserve"> </w:t>
      </w:r>
    </w:p>
    <w:p w14:paraId="1B0FEEF4" w14:textId="77777777" w:rsidR="00E45DC9" w:rsidRDefault="008859FA" w:rsidP="00E00729">
      <w:r>
        <w:t xml:space="preserve">This </w:t>
      </w:r>
      <w:r w:rsidR="00E45DC9">
        <w:t xml:space="preserve">approach </w:t>
      </w:r>
      <w:r>
        <w:t>doesn’t work very well in educational contexts</w:t>
      </w:r>
      <w:r w:rsidR="00E45DC9">
        <w:t xml:space="preserve"> </w:t>
      </w:r>
      <w:r>
        <w:t>because too many variables</w:t>
      </w:r>
      <w:r w:rsidR="00813769">
        <w:t xml:space="preserve"> are in play</w:t>
      </w:r>
      <w:r>
        <w:t xml:space="preserve">. </w:t>
      </w:r>
      <w:r w:rsidR="00813769">
        <w:t xml:space="preserve">The example given in </w:t>
      </w:r>
      <w:r>
        <w:t xml:space="preserve">Box 4.4 on page 127 is a </w:t>
      </w:r>
      <w:r w:rsidR="00813769">
        <w:t xml:space="preserve">case in point. </w:t>
      </w:r>
      <w:r w:rsidR="00E45DC9">
        <w:t>I</w:t>
      </w:r>
      <w:r w:rsidR="00813769">
        <w:t xml:space="preserve">t’s a </w:t>
      </w:r>
      <w:r>
        <w:t>very good example of very bad evaluation</w:t>
      </w:r>
      <w:r w:rsidR="00E45DC9">
        <w:t xml:space="preserve"> in education</w:t>
      </w:r>
      <w:r w:rsidR="00813769">
        <w:t>.</w:t>
      </w:r>
      <w:r>
        <w:t xml:space="preserve"> </w:t>
      </w:r>
      <w:r w:rsidR="00E45DC9">
        <w:t xml:space="preserve">The evaluation </w:t>
      </w:r>
      <w:r w:rsidR="00813769">
        <w:t xml:space="preserve">set out to </w:t>
      </w:r>
      <w:r w:rsidR="000966BC">
        <w:t>assess</w:t>
      </w:r>
      <w:r>
        <w:t xml:space="preserve"> </w:t>
      </w:r>
      <w:r w:rsidR="00813769">
        <w:t xml:space="preserve">the effectiveness of </w:t>
      </w:r>
      <w:r w:rsidR="000966BC">
        <w:t xml:space="preserve">a web-based learning tool </w:t>
      </w:r>
      <w:r w:rsidR="00E45DC9">
        <w:t xml:space="preserve">compared to </w:t>
      </w:r>
      <w:r w:rsidR="000966BC">
        <w:t>regular instruction</w:t>
      </w:r>
      <w:r w:rsidR="00813769">
        <w:t>.</w:t>
      </w:r>
      <w:r w:rsidR="000966BC">
        <w:t xml:space="preserve"> </w:t>
      </w:r>
      <w:r w:rsidR="00813769">
        <w:t xml:space="preserve">But </w:t>
      </w:r>
      <w:r w:rsidR="00A718F8">
        <w:t>the multiplicity of variables</w:t>
      </w:r>
      <w:r w:rsidR="000966BC">
        <w:t xml:space="preserve"> in both </w:t>
      </w:r>
      <w:r w:rsidR="00813769">
        <w:t xml:space="preserve">‘treatments’ </w:t>
      </w:r>
      <w:r w:rsidR="00E45DC9">
        <w:t>make</w:t>
      </w:r>
      <w:r w:rsidR="00231BF1">
        <w:t>s</w:t>
      </w:r>
      <w:r w:rsidR="00E45DC9">
        <w:t xml:space="preserve"> such an assessment impossible. </w:t>
      </w:r>
      <w:r w:rsidR="00A718F8">
        <w:t>In our view, attempting it is fruitless.</w:t>
      </w:r>
    </w:p>
    <w:p w14:paraId="4D4EC967" w14:textId="77777777" w:rsidR="008859FA" w:rsidRDefault="00813769" w:rsidP="00E00729">
      <w:r>
        <w:t>T</w:t>
      </w:r>
      <w:r w:rsidR="00A718F8">
        <w:t>o start with, t</w:t>
      </w:r>
      <w:r>
        <w:t>he ‘control group’ is described as follows</w:t>
      </w:r>
      <w:r w:rsidR="000966BC">
        <w:t>:</w:t>
      </w:r>
    </w:p>
    <w:p w14:paraId="62914830" w14:textId="77777777" w:rsidR="000966BC" w:rsidRDefault="000966BC" w:rsidP="009915DF">
      <w:pPr>
        <w:pStyle w:val="Quote"/>
        <w:jc w:val="left"/>
      </w:pPr>
      <w:r>
        <w:t>A control group of 148 students received literacy education through regular classroom instruction</w:t>
      </w:r>
    </w:p>
    <w:p w14:paraId="7A8B361F" w14:textId="77777777" w:rsidR="009B737F" w:rsidRDefault="00813769" w:rsidP="00E00729">
      <w:r>
        <w:t xml:space="preserve">Among the crucial variables that are not </w:t>
      </w:r>
      <w:r w:rsidR="00E45DC9">
        <w:t xml:space="preserve">considered </w:t>
      </w:r>
      <w:r w:rsidR="00A718F8">
        <w:t xml:space="preserve">but could, each on their own, have crucial effects </w:t>
      </w:r>
      <w:r>
        <w:t>are</w:t>
      </w:r>
      <w:r w:rsidR="00A718F8">
        <w:t>:</w:t>
      </w:r>
      <w:r w:rsidR="00F7683D">
        <w:t xml:space="preserve"> </w:t>
      </w:r>
      <w:r w:rsidR="000966BC">
        <w:t xml:space="preserve">the </w:t>
      </w:r>
      <w:r>
        <w:t xml:space="preserve">quality of the </w:t>
      </w:r>
      <w:r w:rsidR="00E45DC9">
        <w:t>‘</w:t>
      </w:r>
      <w:r>
        <w:t>regular</w:t>
      </w:r>
      <w:r w:rsidR="00E45DC9">
        <w:t>’</w:t>
      </w:r>
      <w:r w:rsidR="009B737F">
        <w:t xml:space="preserve"> instruction </w:t>
      </w:r>
      <w:r w:rsidR="00A96D80">
        <w:t>(both the teaching and the pedagogic resources they teachers had at their disposal)</w:t>
      </w:r>
      <w:r w:rsidR="00A718F8">
        <w:t>;</w:t>
      </w:r>
      <w:r w:rsidR="00A96D80">
        <w:t xml:space="preserve"> the </w:t>
      </w:r>
      <w:r>
        <w:t>focus</w:t>
      </w:r>
      <w:r w:rsidR="00A96D80">
        <w:t xml:space="preserve"> of the teaching </w:t>
      </w:r>
      <w:r w:rsidR="009B737F">
        <w:t>(which c</w:t>
      </w:r>
      <w:r w:rsidR="00A96D80">
        <w:t>an</w:t>
      </w:r>
      <w:r w:rsidR="009B737F">
        <w:t xml:space="preserve"> vary wildly)</w:t>
      </w:r>
      <w:r w:rsidR="00A718F8">
        <w:t>;</w:t>
      </w:r>
      <w:r w:rsidR="009B737F">
        <w:t xml:space="preserve"> and</w:t>
      </w:r>
      <w:r>
        <w:t xml:space="preserve"> </w:t>
      </w:r>
      <w:r w:rsidR="009B737F">
        <w:t xml:space="preserve">where </w:t>
      </w:r>
      <w:r w:rsidR="000966BC">
        <w:t xml:space="preserve">the </w:t>
      </w:r>
      <w:r w:rsidR="00E45DC9">
        <w:t>‘</w:t>
      </w:r>
      <w:r w:rsidR="000966BC">
        <w:t>regular</w:t>
      </w:r>
      <w:r w:rsidR="00E45DC9">
        <w:t>’</w:t>
      </w:r>
      <w:r w:rsidR="000966BC">
        <w:t xml:space="preserve"> classroom instruction</w:t>
      </w:r>
      <w:r w:rsidR="009B737F">
        <w:t xml:space="preserve"> took place</w:t>
      </w:r>
      <w:r>
        <w:t xml:space="preserve"> (the children’s normal school? a laboratory </w:t>
      </w:r>
      <w:r w:rsidR="009B737F">
        <w:t xml:space="preserve">or other special </w:t>
      </w:r>
      <w:r>
        <w:t>situation</w:t>
      </w:r>
      <w:r w:rsidR="000966BC">
        <w:t>?</w:t>
      </w:r>
      <w:r>
        <w:t>)</w:t>
      </w:r>
      <w:r w:rsidR="00A718F8">
        <w:t>;</w:t>
      </w:r>
      <w:r w:rsidR="000966BC">
        <w:t xml:space="preserve"> </w:t>
      </w:r>
      <w:r w:rsidR="00A718F8">
        <w:t xml:space="preserve">whether </w:t>
      </w:r>
      <w:r w:rsidR="009B737F">
        <w:t xml:space="preserve">the </w:t>
      </w:r>
      <w:r w:rsidR="00FE7536">
        <w:t>‘</w:t>
      </w:r>
      <w:r w:rsidR="009B737F">
        <w:t>regular</w:t>
      </w:r>
      <w:r w:rsidR="00FE7536">
        <w:t>’</w:t>
      </w:r>
      <w:r w:rsidR="009B737F">
        <w:t xml:space="preserve"> instruction </w:t>
      </w:r>
      <w:r w:rsidR="00A718F8">
        <w:t xml:space="preserve">was </w:t>
      </w:r>
      <w:r w:rsidR="009B737F">
        <w:t>appropriate to</w:t>
      </w:r>
      <w:r w:rsidR="000966BC">
        <w:t xml:space="preserve"> the children’s </w:t>
      </w:r>
      <w:r w:rsidR="009B737F">
        <w:t xml:space="preserve">English </w:t>
      </w:r>
      <w:r w:rsidR="000966BC">
        <w:lastRenderedPageBreak/>
        <w:t xml:space="preserve">language </w:t>
      </w:r>
      <w:r w:rsidR="009B737F">
        <w:t>proficiency</w:t>
      </w:r>
      <w:r w:rsidR="00A718F8">
        <w:t>;</w:t>
      </w:r>
      <w:r w:rsidR="000966BC">
        <w:t xml:space="preserve"> </w:t>
      </w:r>
      <w:r w:rsidR="009B737F">
        <w:t xml:space="preserve">the </w:t>
      </w:r>
      <w:r w:rsidR="00A718F8">
        <w:t xml:space="preserve">students’ </w:t>
      </w:r>
      <w:r w:rsidR="00A96D80">
        <w:t>age</w:t>
      </w:r>
      <w:r w:rsidR="00A718F8">
        <w:t xml:space="preserve">s </w:t>
      </w:r>
      <w:r w:rsidR="00A96D80">
        <w:t>and gender</w:t>
      </w:r>
      <w:r w:rsidR="00A718F8">
        <w:t>;</w:t>
      </w:r>
      <w:r w:rsidR="000966BC">
        <w:t xml:space="preserve"> </w:t>
      </w:r>
      <w:r w:rsidR="00A718F8">
        <w:t>the number of</w:t>
      </w:r>
      <w:r w:rsidR="00A96D80">
        <w:t xml:space="preserve"> children </w:t>
      </w:r>
      <w:r w:rsidR="006220CD">
        <w:t>i</w:t>
      </w:r>
      <w:r w:rsidR="00A96D80">
        <w:t>n the ‘regular’ classroom compared to the treatment group</w:t>
      </w:r>
      <w:r w:rsidR="00A718F8">
        <w:t>;</w:t>
      </w:r>
      <w:r w:rsidR="00A96D80">
        <w:t xml:space="preserve"> </w:t>
      </w:r>
      <w:r w:rsidR="00A718F8">
        <w:t xml:space="preserve">and </w:t>
      </w:r>
      <w:r w:rsidR="00A96D80">
        <w:t>the student-teacher ratio in each group</w:t>
      </w:r>
      <w:r w:rsidR="00A718F8">
        <w:t xml:space="preserve">. </w:t>
      </w:r>
      <w:r w:rsidR="009B737F">
        <w:t xml:space="preserve">We are told </w:t>
      </w:r>
      <w:r w:rsidR="000966BC">
        <w:t xml:space="preserve">that the </w:t>
      </w:r>
      <w:r w:rsidR="009B737F">
        <w:t xml:space="preserve">students </w:t>
      </w:r>
      <w:r w:rsidR="000966BC">
        <w:t xml:space="preserve">in the treatment group had trained teachers. </w:t>
      </w:r>
      <w:r w:rsidR="00A96D80">
        <w:t>But w</w:t>
      </w:r>
      <w:r w:rsidR="000966BC">
        <w:t>hat</w:t>
      </w:r>
      <w:r w:rsidR="009B737F">
        <w:t xml:space="preserve"> level </w:t>
      </w:r>
      <w:r w:rsidR="00A718F8">
        <w:t xml:space="preserve">and focus </w:t>
      </w:r>
      <w:r w:rsidR="000966BC">
        <w:t xml:space="preserve">of training did the teachers in the regular classroom have? </w:t>
      </w:r>
      <w:r w:rsidR="00A96D80">
        <w:t>Did the students in the regular classroom have teachers they liked (— student-teacher relationships have a huge bearing on student learning)?</w:t>
      </w:r>
    </w:p>
    <w:p w14:paraId="49A8378D" w14:textId="77777777" w:rsidR="000966BC" w:rsidRDefault="009B737F" w:rsidP="00E00729">
      <w:r>
        <w:t>We are told that</w:t>
      </w:r>
      <w:r w:rsidR="000966BC">
        <w:t>:</w:t>
      </w:r>
    </w:p>
    <w:p w14:paraId="5567F277" w14:textId="77777777" w:rsidR="000966BC" w:rsidRDefault="000966BC" w:rsidP="009915DF">
      <w:pPr>
        <w:pStyle w:val="Quote"/>
        <w:jc w:val="left"/>
      </w:pPr>
      <w:r>
        <w:t xml:space="preserve">The study found that all treatment group students made significant gains compared with their control group peers in two key reading competences – phonological awareness and phoneme-grapheme knowledge. </w:t>
      </w:r>
    </w:p>
    <w:p w14:paraId="0FCD9BB2" w14:textId="77777777" w:rsidR="009B737F" w:rsidRDefault="000966BC" w:rsidP="00E00729">
      <w:r>
        <w:t xml:space="preserve">If you </w:t>
      </w:r>
      <w:r w:rsidR="00FE7536">
        <w:t xml:space="preserve">train </w:t>
      </w:r>
      <w:r>
        <w:t>a</w:t>
      </w:r>
      <w:r w:rsidR="009B737F">
        <w:t>ny</w:t>
      </w:r>
      <w:r>
        <w:t xml:space="preserve"> group of people in </w:t>
      </w:r>
      <w:r w:rsidR="00A718F8">
        <w:t xml:space="preserve">two </w:t>
      </w:r>
      <w:r w:rsidR="00A96D80">
        <w:t>specific skills</w:t>
      </w:r>
      <w:r>
        <w:t xml:space="preserve">, they will probably get better at </w:t>
      </w:r>
      <w:r w:rsidR="00FE7536">
        <w:t>them</w:t>
      </w:r>
      <w:r w:rsidR="009B737F">
        <w:t>, no matter wh</w:t>
      </w:r>
      <w:r w:rsidR="00FE7536">
        <w:t>ether</w:t>
      </w:r>
      <w:r w:rsidR="00A718F8">
        <w:t xml:space="preserve"> or not</w:t>
      </w:r>
      <w:r w:rsidR="00FE7536">
        <w:t xml:space="preserve"> it is web-based</w:t>
      </w:r>
      <w:r w:rsidR="009B737F">
        <w:t xml:space="preserve">. </w:t>
      </w:r>
      <w:r w:rsidR="00FE7536">
        <w:t>W</w:t>
      </w:r>
      <w:r w:rsidR="0059372C">
        <w:t xml:space="preserve">ere these same competencies </w:t>
      </w:r>
      <w:r w:rsidR="00FE7536">
        <w:t xml:space="preserve">also </w:t>
      </w:r>
      <w:r w:rsidR="0059372C">
        <w:t xml:space="preserve">the focus of the </w:t>
      </w:r>
      <w:r w:rsidR="00FE7536">
        <w:t>‘</w:t>
      </w:r>
      <w:r w:rsidR="0059372C">
        <w:t>regular</w:t>
      </w:r>
      <w:r w:rsidR="00FE7536">
        <w:t>’</w:t>
      </w:r>
      <w:r w:rsidR="0059372C">
        <w:t xml:space="preserve"> classroom instruction? </w:t>
      </w:r>
      <w:r w:rsidR="00FE7536">
        <w:t>Or did the classroom instruction focus on other skills that, if teste</w:t>
      </w:r>
      <w:r w:rsidR="00616964">
        <w:t>d, might have shown improvement?</w:t>
      </w:r>
      <w:r w:rsidR="00FE7536">
        <w:t xml:space="preserve"> </w:t>
      </w:r>
      <w:r w:rsidR="009B737F">
        <w:t xml:space="preserve">The fact that one group </w:t>
      </w:r>
      <w:r w:rsidR="00FE7536">
        <w:t>were withdrawn</w:t>
      </w:r>
      <w:r w:rsidR="009B737F">
        <w:t xml:space="preserve"> to have fun with </w:t>
      </w:r>
      <w:r w:rsidR="00FE7536">
        <w:t>‘</w:t>
      </w:r>
      <w:r w:rsidR="009B737F">
        <w:t>rich animations</w:t>
      </w:r>
      <w:r w:rsidR="00FE7536">
        <w:t>’</w:t>
      </w:r>
      <w:r w:rsidR="009B737F">
        <w:t xml:space="preserve"> and </w:t>
      </w:r>
      <w:r w:rsidR="00FE7536">
        <w:t>‘</w:t>
      </w:r>
      <w:r w:rsidR="009B737F">
        <w:t>game-like learning activities</w:t>
      </w:r>
      <w:r w:rsidR="00FE7536">
        <w:t>’</w:t>
      </w:r>
      <w:r w:rsidR="009B737F">
        <w:t xml:space="preserve"> no doubt helped</w:t>
      </w:r>
      <w:r w:rsidR="0059372C">
        <w:t xml:space="preserve"> their learning.</w:t>
      </w:r>
      <w:r w:rsidR="009B737F">
        <w:t xml:space="preserve"> But w</w:t>
      </w:r>
      <w:r w:rsidR="00A96D80">
        <w:t>as</w:t>
      </w:r>
      <w:r w:rsidR="009B737F">
        <w:t xml:space="preserve"> the regular </w:t>
      </w:r>
      <w:r w:rsidR="00A96D80">
        <w:t xml:space="preserve">teaching </w:t>
      </w:r>
      <w:r w:rsidR="0059372C">
        <w:t xml:space="preserve">as </w:t>
      </w:r>
      <w:r w:rsidR="00A96D80">
        <w:t>interesting</w:t>
      </w:r>
      <w:r w:rsidR="0059372C">
        <w:t xml:space="preserve"> or was it routine and boring</w:t>
      </w:r>
      <w:r w:rsidR="00A96D80">
        <w:t xml:space="preserve">? </w:t>
      </w:r>
      <w:r w:rsidR="00FE7536">
        <w:t xml:space="preserve">Was it the rich animations and game-like learning activities that made the crucial difference or the fact that these activities were web-based? </w:t>
      </w:r>
      <w:r w:rsidR="00A96D80">
        <w:t xml:space="preserve">The results prove nothing about the </w:t>
      </w:r>
      <w:r w:rsidR="0059372C">
        <w:t xml:space="preserve">teaching </w:t>
      </w:r>
      <w:r w:rsidR="00A96D80">
        <w:t>tool</w:t>
      </w:r>
      <w:r w:rsidR="00FE7536">
        <w:t xml:space="preserve"> </w:t>
      </w:r>
      <w:r w:rsidR="00A96D80">
        <w:t xml:space="preserve">but </w:t>
      </w:r>
      <w:r w:rsidR="0059372C">
        <w:t xml:space="preserve">they </w:t>
      </w:r>
      <w:r w:rsidR="00A96D80">
        <w:t xml:space="preserve">might </w:t>
      </w:r>
      <w:r w:rsidR="00FE7536">
        <w:t xml:space="preserve">indicate </w:t>
      </w:r>
      <w:r w:rsidR="00A96D80">
        <w:t>something about making teaching and learning engaging, especially for learners who are struggling.</w:t>
      </w:r>
    </w:p>
    <w:p w14:paraId="5DDAB4AF" w14:textId="77777777" w:rsidR="00CB063E" w:rsidRDefault="00616964" w:rsidP="00E00729">
      <w:r>
        <w:t>Crucially</w:t>
      </w:r>
      <w:r w:rsidR="00FE7536">
        <w:t xml:space="preserve">, the </w:t>
      </w:r>
      <w:r w:rsidR="0059372C">
        <w:t xml:space="preserve">results don’t tell us whether the treatment students were </w:t>
      </w:r>
      <w:r w:rsidR="00FE7536">
        <w:t xml:space="preserve">actually </w:t>
      </w:r>
      <w:r w:rsidR="000966BC">
        <w:t xml:space="preserve">better </w:t>
      </w:r>
      <w:r w:rsidR="000966BC" w:rsidRPr="004F7D9D">
        <w:rPr>
          <w:i/>
        </w:rPr>
        <w:t xml:space="preserve">readers </w:t>
      </w:r>
      <w:r w:rsidR="0059372C">
        <w:t>than the regular group</w:t>
      </w:r>
      <w:r w:rsidR="00FE7536">
        <w:t>.</w:t>
      </w:r>
      <w:r w:rsidR="000966BC">
        <w:t xml:space="preserve"> </w:t>
      </w:r>
      <w:r w:rsidR="00FE7536">
        <w:t xml:space="preserve">If properly taught, </w:t>
      </w:r>
      <w:r w:rsidR="00DD5046">
        <w:t>the</w:t>
      </w:r>
      <w:r w:rsidR="0059372C">
        <w:t xml:space="preserve"> regular group</w:t>
      </w:r>
      <w:r w:rsidR="00DD5046">
        <w:t xml:space="preserve"> </w:t>
      </w:r>
      <w:r w:rsidR="00FE7536">
        <w:t xml:space="preserve">may well have </w:t>
      </w:r>
      <w:r w:rsidR="0059372C">
        <w:t>develop</w:t>
      </w:r>
      <w:r w:rsidR="00FE7536">
        <w:t>ed</w:t>
      </w:r>
      <w:r w:rsidR="0059372C">
        <w:t xml:space="preserve"> </w:t>
      </w:r>
      <w:r>
        <w:t>key</w:t>
      </w:r>
      <w:r w:rsidR="0059372C">
        <w:t xml:space="preserve"> </w:t>
      </w:r>
      <w:r w:rsidR="004209DD">
        <w:t xml:space="preserve">reading </w:t>
      </w:r>
      <w:r w:rsidR="00DD5046">
        <w:t xml:space="preserve">skills </w:t>
      </w:r>
      <w:r>
        <w:t>at a higher level</w:t>
      </w:r>
      <w:r w:rsidR="00FE7536">
        <w:t xml:space="preserve"> than </w:t>
      </w:r>
      <w:r w:rsidR="004209DD">
        <w:t xml:space="preserve">those </w:t>
      </w:r>
      <w:r>
        <w:t>in</w:t>
      </w:r>
      <w:r w:rsidR="004209DD">
        <w:t xml:space="preserve"> </w:t>
      </w:r>
      <w:r w:rsidR="00FE7536">
        <w:t xml:space="preserve">the treatment group. </w:t>
      </w:r>
    </w:p>
    <w:p w14:paraId="2A52802E" w14:textId="77777777" w:rsidR="000966BC" w:rsidRDefault="0059372C" w:rsidP="00E00729">
      <w:r>
        <w:t>The most interesting result was that</w:t>
      </w:r>
      <w:r w:rsidR="00CB063E">
        <w:t>:</w:t>
      </w:r>
      <w:r w:rsidR="00DD5046">
        <w:t xml:space="preserve"> </w:t>
      </w:r>
    </w:p>
    <w:p w14:paraId="3A0C400D" w14:textId="77777777" w:rsidR="00CB063E" w:rsidRDefault="00CB063E" w:rsidP="009915DF">
      <w:pPr>
        <w:pStyle w:val="Quote"/>
        <w:jc w:val="left"/>
      </w:pPr>
      <w:r>
        <w:t>Aboriginal and Torres Strait Islander students and students who spo</w:t>
      </w:r>
      <w:r w:rsidR="00F7683D">
        <w:t>ke English as a second language</w:t>
      </w:r>
      <w:r>
        <w:t xml:space="preserve"> were also more likely to drop out of the trial. </w:t>
      </w:r>
    </w:p>
    <w:p w14:paraId="0301F650" w14:textId="77777777" w:rsidR="0059372C" w:rsidRDefault="0059372C" w:rsidP="00E00729">
      <w:r>
        <w:t>So</w:t>
      </w:r>
      <w:r w:rsidR="004209DD">
        <w:t>:</w:t>
      </w:r>
      <w:r>
        <w:t xml:space="preserve"> was speaking English as a second language a random variable </w:t>
      </w:r>
      <w:r w:rsidR="00616964">
        <w:t xml:space="preserve">not </w:t>
      </w:r>
      <w:r w:rsidR="004209DD">
        <w:t xml:space="preserve">taken into </w:t>
      </w:r>
      <w:r>
        <w:t xml:space="preserve">account? </w:t>
      </w:r>
      <w:r w:rsidR="004209DD">
        <w:t xml:space="preserve">And what </w:t>
      </w:r>
      <w:r>
        <w:t xml:space="preserve">is meant by ‘students who spoke English as a second language’? We are told that the students were pre-tested for literacy but </w:t>
      </w:r>
      <w:r w:rsidR="00616964">
        <w:t xml:space="preserve">not whether </w:t>
      </w:r>
      <w:r>
        <w:t xml:space="preserve">they pre-tested for English language levels? Were the </w:t>
      </w:r>
      <w:r w:rsidR="00616964">
        <w:t xml:space="preserve">students </w:t>
      </w:r>
      <w:r>
        <w:t xml:space="preserve">who dropped out fluent English </w:t>
      </w:r>
      <w:r w:rsidR="00616964">
        <w:t xml:space="preserve">users </w:t>
      </w:r>
      <w:r>
        <w:t xml:space="preserve">or were they English language learners? </w:t>
      </w:r>
      <w:r w:rsidR="00046837">
        <w:t>Did they drop out because of unfamiliar cultural content in the trial tool</w:t>
      </w:r>
      <w:r w:rsidR="00616964">
        <w:t>,</w:t>
      </w:r>
      <w:r w:rsidR="00046837">
        <w:t xml:space="preserve"> or because of English they couldn’t understand</w:t>
      </w:r>
      <w:r w:rsidR="00616964">
        <w:t>,</w:t>
      </w:r>
      <w:r w:rsidR="004209DD">
        <w:t xml:space="preserve"> or both</w:t>
      </w:r>
      <w:r w:rsidR="00046837">
        <w:t>?</w:t>
      </w:r>
    </w:p>
    <w:p w14:paraId="7D530864" w14:textId="77777777" w:rsidR="004209DD" w:rsidRDefault="004209DD" w:rsidP="00E00729">
      <w:r>
        <w:t xml:space="preserve">In our view, </w:t>
      </w:r>
      <w:r w:rsidR="00616964">
        <w:t>this kind of educational intervention and its supposed evaluation attempt</w:t>
      </w:r>
      <w:r>
        <w:t xml:space="preserve"> to emulate laboratory e</w:t>
      </w:r>
      <w:r w:rsidR="00CE1327">
        <w:t>xperiments in the hard sciences</w:t>
      </w:r>
      <w:r w:rsidR="00616964">
        <w:t>. Educational settings are not conducive to such approaches.</w:t>
      </w:r>
    </w:p>
    <w:p w14:paraId="7575E069" w14:textId="77777777" w:rsidR="00433548" w:rsidRPr="00433548" w:rsidRDefault="004209DD" w:rsidP="00E00729">
      <w:r>
        <w:t xml:space="preserve">Unfortunately, </w:t>
      </w:r>
      <w:r w:rsidR="00616964">
        <w:t>these kinds of</w:t>
      </w:r>
      <w:r>
        <w:t xml:space="preserve"> pseudo-scientific </w:t>
      </w:r>
      <w:r w:rsidR="00CE1327">
        <w:t xml:space="preserve">educational </w:t>
      </w:r>
      <w:r>
        <w:t>evaluations are</w:t>
      </w:r>
      <w:r w:rsidR="00CE1327">
        <w:t xml:space="preserve"> common. </w:t>
      </w:r>
      <w:r>
        <w:t xml:space="preserve">While some are simply misguided, </w:t>
      </w:r>
      <w:r w:rsidR="00CE1327">
        <w:t>others</w:t>
      </w:r>
      <w:r>
        <w:t xml:space="preserve"> </w:t>
      </w:r>
      <w:r w:rsidR="00046837">
        <w:t xml:space="preserve">are </w:t>
      </w:r>
      <w:r>
        <w:t xml:space="preserve">frequently </w:t>
      </w:r>
      <w:r w:rsidR="00CE1327">
        <w:t xml:space="preserve">undertaken and </w:t>
      </w:r>
      <w:r>
        <w:t xml:space="preserve">reported </w:t>
      </w:r>
      <w:r w:rsidR="00046837">
        <w:t xml:space="preserve">by </w:t>
      </w:r>
      <w:r>
        <w:t xml:space="preserve">those with </w:t>
      </w:r>
      <w:r w:rsidR="00046837">
        <w:t xml:space="preserve">vested interests in promoting (and even directly selling) particular fixes for literacy </w:t>
      </w:r>
      <w:r w:rsidR="00CE1327">
        <w:t xml:space="preserve">and numeracy </w:t>
      </w:r>
      <w:r w:rsidR="00046837">
        <w:t xml:space="preserve">problems. </w:t>
      </w:r>
      <w:r>
        <w:t>Education authorities in</w:t>
      </w:r>
      <w:r w:rsidR="00605354">
        <w:t xml:space="preserve"> </w:t>
      </w:r>
      <w:r w:rsidR="00046837">
        <w:t xml:space="preserve">Aboriginal and Torres Strait Islander contexts, </w:t>
      </w:r>
      <w:r w:rsidR="00605354">
        <w:t xml:space="preserve">along with others, </w:t>
      </w:r>
      <w:r w:rsidR="00046837">
        <w:t xml:space="preserve">are particularly </w:t>
      </w:r>
      <w:r w:rsidR="00605354">
        <w:t>open</w:t>
      </w:r>
      <w:r w:rsidR="00046837">
        <w:t xml:space="preserve"> to </w:t>
      </w:r>
      <w:r>
        <w:t xml:space="preserve">these </w:t>
      </w:r>
      <w:r w:rsidR="00605354">
        <w:t xml:space="preserve">one-shot solutions </w:t>
      </w:r>
      <w:r>
        <w:t xml:space="preserve">promoted </w:t>
      </w:r>
      <w:r w:rsidR="00605354">
        <w:t xml:space="preserve">by educational </w:t>
      </w:r>
      <w:r w:rsidR="00046837">
        <w:t>shysters and carpet-baggers.</w:t>
      </w:r>
      <w:r w:rsidR="00CE1327">
        <w:t xml:space="preserve"> </w:t>
      </w:r>
    </w:p>
    <w:p w14:paraId="462F0545" w14:textId="77777777" w:rsidR="006E5A9F" w:rsidRDefault="00605354" w:rsidP="00E00729">
      <w:r>
        <w:lastRenderedPageBreak/>
        <w:t>B</w:t>
      </w:r>
      <w:r w:rsidR="000F21B2">
        <w:t xml:space="preserve">ox 4.8 on page 134 </w:t>
      </w:r>
      <w:r>
        <w:t xml:space="preserve">provides </w:t>
      </w:r>
      <w:r w:rsidR="006C02E7">
        <w:t>an</w:t>
      </w:r>
      <w:r w:rsidR="00CE1327">
        <w:t xml:space="preserve"> </w:t>
      </w:r>
      <w:r w:rsidR="006C02E7">
        <w:t xml:space="preserve">example where the </w:t>
      </w:r>
      <w:r w:rsidR="00D75C03">
        <w:t xml:space="preserve">research </w:t>
      </w:r>
      <w:r w:rsidR="006C02E7">
        <w:t xml:space="preserve">focus has determined the outcome. </w:t>
      </w:r>
      <w:r w:rsidR="00CE1327">
        <w:t>The evaluation</w:t>
      </w:r>
      <w:r w:rsidR="006C02E7">
        <w:t>:</w:t>
      </w:r>
    </w:p>
    <w:p w14:paraId="14E9FBEA" w14:textId="77777777" w:rsidR="006C02E7" w:rsidRPr="000F21B2" w:rsidRDefault="006C02E7" w:rsidP="009915DF">
      <w:pPr>
        <w:pStyle w:val="Quote"/>
        <w:jc w:val="left"/>
      </w:pPr>
      <w:r>
        <w:t>identified four different family types served by the RSAS, each requiring different kinds of support</w:t>
      </w:r>
      <w:r w:rsidR="00605354">
        <w:t>.</w:t>
      </w:r>
    </w:p>
    <w:p w14:paraId="6F71FD4C" w14:textId="77777777" w:rsidR="000F21B2" w:rsidRDefault="006C02E7" w:rsidP="00E00729">
      <w:r>
        <w:t xml:space="preserve">But </w:t>
      </w:r>
      <w:r w:rsidR="00605354">
        <w:t xml:space="preserve">the </w:t>
      </w:r>
      <w:r>
        <w:t xml:space="preserve">focus </w:t>
      </w:r>
      <w:r w:rsidR="00D75C03">
        <w:t xml:space="preserve">on families </w:t>
      </w:r>
      <w:r w:rsidR="00CE1327">
        <w:t xml:space="preserve">of this evaluation </w:t>
      </w:r>
      <w:r w:rsidR="00D75C03">
        <w:t xml:space="preserve">has </w:t>
      </w:r>
      <w:r w:rsidR="00F241DB">
        <w:t xml:space="preserve">set </w:t>
      </w:r>
      <w:r w:rsidR="00D75C03">
        <w:t>families</w:t>
      </w:r>
      <w:r w:rsidR="00F241DB">
        <w:t xml:space="preserve"> </w:t>
      </w:r>
      <w:r w:rsidR="00CE1327">
        <w:t>up</w:t>
      </w:r>
      <w:r w:rsidR="00605354">
        <w:t xml:space="preserve"> to take the blame </w:t>
      </w:r>
      <w:r w:rsidR="00ED5BA8">
        <w:t>for children’s</w:t>
      </w:r>
      <w:r>
        <w:t xml:space="preserve"> </w:t>
      </w:r>
      <w:r w:rsidR="00605354">
        <w:t xml:space="preserve">poor school </w:t>
      </w:r>
      <w:r>
        <w:t>attendance</w:t>
      </w:r>
      <w:r w:rsidR="00605354">
        <w:t xml:space="preserve">. </w:t>
      </w:r>
      <w:r w:rsidR="00F241DB">
        <w:t xml:space="preserve">Clearly, it’s important to </w:t>
      </w:r>
      <w:r>
        <w:t xml:space="preserve">identify </w:t>
      </w:r>
      <w:r w:rsidR="00F241DB">
        <w:t xml:space="preserve">and address </w:t>
      </w:r>
      <w:r>
        <w:t>families</w:t>
      </w:r>
      <w:r w:rsidR="00F241DB">
        <w:t>’ aspirations</w:t>
      </w:r>
      <w:r>
        <w:t xml:space="preserve"> </w:t>
      </w:r>
      <w:r w:rsidR="00605354">
        <w:t xml:space="preserve">for </w:t>
      </w:r>
      <w:r w:rsidR="00F241DB">
        <w:t>their children</w:t>
      </w:r>
      <w:r w:rsidR="00605354">
        <w:t>.</w:t>
      </w:r>
      <w:r>
        <w:t xml:space="preserve"> </w:t>
      </w:r>
      <w:r w:rsidR="00605354">
        <w:t>But</w:t>
      </w:r>
      <w:r w:rsidR="00F241DB">
        <w:t xml:space="preserve"> </w:t>
      </w:r>
      <w:r w:rsidR="00D75C03">
        <w:t xml:space="preserve">(at least as described) </w:t>
      </w:r>
      <w:r w:rsidR="00F241DB">
        <w:t xml:space="preserve">the </w:t>
      </w:r>
      <w:r w:rsidR="00D75C03">
        <w:t>research</w:t>
      </w:r>
      <w:r w:rsidR="00F241DB">
        <w:t xml:space="preserve"> seemed to ignore </w:t>
      </w:r>
      <w:r w:rsidR="00D75C03">
        <w:t>a</w:t>
      </w:r>
      <w:r w:rsidR="00F241DB">
        <w:t xml:space="preserve"> </w:t>
      </w:r>
      <w:r w:rsidR="00D75C03">
        <w:t xml:space="preserve">key </w:t>
      </w:r>
      <w:r w:rsidR="00F241DB">
        <w:t xml:space="preserve">question </w:t>
      </w:r>
      <w:r w:rsidR="00D75C03">
        <w:t xml:space="preserve">regarding </w:t>
      </w:r>
      <w:r w:rsidR="00F241DB">
        <w:t xml:space="preserve">what the schools were offering these families. </w:t>
      </w:r>
      <w:r>
        <w:t>‘</w:t>
      </w:r>
      <w:r w:rsidR="00F241DB">
        <w:t>U</w:t>
      </w:r>
      <w:r>
        <w:t xml:space="preserve">nsure families’ </w:t>
      </w:r>
      <w:r w:rsidR="00F241DB">
        <w:t xml:space="preserve">were </w:t>
      </w:r>
      <w:r>
        <w:t xml:space="preserve">described as: </w:t>
      </w:r>
    </w:p>
    <w:p w14:paraId="030F3CC8" w14:textId="77777777" w:rsidR="006C02E7" w:rsidRPr="000F21B2" w:rsidRDefault="006C02E7" w:rsidP="00E00729">
      <w:pPr>
        <w:pStyle w:val="Quote"/>
      </w:pPr>
      <w:r>
        <w:t xml:space="preserve">Not convinced that the education would lead to opportunities for their children  </w:t>
      </w:r>
    </w:p>
    <w:p w14:paraId="7A9B74FB" w14:textId="77777777" w:rsidR="006C02E7" w:rsidRPr="000F21B2" w:rsidRDefault="006C02E7" w:rsidP="00E00729">
      <w:r>
        <w:t xml:space="preserve">If </w:t>
      </w:r>
      <w:r w:rsidR="00605354">
        <w:t xml:space="preserve">these </w:t>
      </w:r>
      <w:r>
        <w:t>families</w:t>
      </w:r>
      <w:r w:rsidR="00605354">
        <w:t xml:space="preserve"> </w:t>
      </w:r>
      <w:r w:rsidR="00F241DB">
        <w:t xml:space="preserve">were </w:t>
      </w:r>
      <w:r>
        <w:t>in remote communities</w:t>
      </w:r>
      <w:r w:rsidR="00605354">
        <w:t xml:space="preserve"> </w:t>
      </w:r>
      <w:r w:rsidR="001A0F96">
        <w:t>where</w:t>
      </w:r>
      <w:r w:rsidR="00605354">
        <w:t xml:space="preserve"> English is rarely or never used in everyday life</w:t>
      </w:r>
      <w:r>
        <w:t xml:space="preserve"> </w:t>
      </w:r>
      <w:r w:rsidR="00F241DB">
        <w:t xml:space="preserve">and sent </w:t>
      </w:r>
      <w:r w:rsidR="00605354">
        <w:t>their children to school</w:t>
      </w:r>
      <w:r w:rsidR="00F241DB">
        <w:t>s</w:t>
      </w:r>
      <w:r w:rsidR="00605354">
        <w:t xml:space="preserve"> </w:t>
      </w:r>
      <w:r w:rsidR="00F241DB">
        <w:t xml:space="preserve">that took </w:t>
      </w:r>
      <w:r w:rsidR="00605354">
        <w:t>no account of their language</w:t>
      </w:r>
      <w:r w:rsidR="00F241DB">
        <w:t>, delivered the curriculum</w:t>
      </w:r>
      <w:r w:rsidR="00605354" w:rsidDel="00605354">
        <w:t xml:space="preserve"> </w:t>
      </w:r>
      <w:r w:rsidR="00F241DB">
        <w:t>i</w:t>
      </w:r>
      <w:r w:rsidR="00605354">
        <w:t xml:space="preserve">n English and </w:t>
      </w:r>
      <w:r w:rsidR="00F241DB">
        <w:t>taught</w:t>
      </w:r>
      <w:r>
        <w:t xml:space="preserve"> literacy </w:t>
      </w:r>
      <w:r w:rsidR="00605354">
        <w:t>assum</w:t>
      </w:r>
      <w:r w:rsidR="00F241DB">
        <w:t xml:space="preserve">ing </w:t>
      </w:r>
      <w:r>
        <w:t xml:space="preserve">English </w:t>
      </w:r>
      <w:r w:rsidR="00605354">
        <w:t>proficiency</w:t>
      </w:r>
      <w:r>
        <w:t xml:space="preserve">, </w:t>
      </w:r>
      <w:r w:rsidR="00605354">
        <w:t xml:space="preserve">these families </w:t>
      </w:r>
      <w:r w:rsidR="00220D62">
        <w:t xml:space="preserve">are </w:t>
      </w:r>
      <w:r w:rsidR="00D75C03">
        <w:t xml:space="preserve">highly </w:t>
      </w:r>
      <w:r w:rsidR="00220D62">
        <w:t xml:space="preserve">likely to </w:t>
      </w:r>
      <w:r w:rsidR="00F241DB">
        <w:t xml:space="preserve">be </w:t>
      </w:r>
      <w:r>
        <w:t>unsure</w:t>
      </w:r>
      <w:r w:rsidR="00605354">
        <w:t xml:space="preserve"> </w:t>
      </w:r>
      <w:r w:rsidR="00D75C03">
        <w:t xml:space="preserve">about </w:t>
      </w:r>
      <w:r w:rsidR="00605354">
        <w:t>what schooling can offer</w:t>
      </w:r>
      <w:r>
        <w:t>. But if the</w:t>
      </w:r>
      <w:r w:rsidR="00F241DB">
        <w:t xml:space="preserve"> children’s</w:t>
      </w:r>
      <w:r>
        <w:t xml:space="preserve"> school</w:t>
      </w:r>
      <w:r w:rsidR="00564A8F">
        <w:t xml:space="preserve">s </w:t>
      </w:r>
      <w:r>
        <w:t>started from where the children were at, and interacted more with families, maybe the</w:t>
      </w:r>
      <w:r w:rsidR="00F241DB">
        <w:t xml:space="preserve"> families</w:t>
      </w:r>
      <w:r>
        <w:t xml:space="preserve"> </w:t>
      </w:r>
      <w:r w:rsidR="00D75C03">
        <w:t xml:space="preserve">would cease </w:t>
      </w:r>
      <w:r w:rsidR="00220D62">
        <w:t>being</w:t>
      </w:r>
      <w:r>
        <w:t xml:space="preserve"> unsure</w:t>
      </w:r>
      <w:r w:rsidR="00220D62">
        <w:t>.</w:t>
      </w:r>
      <w:r>
        <w:t xml:space="preserve"> </w:t>
      </w:r>
      <w:r w:rsidR="0082495C">
        <w:t>This is a</w:t>
      </w:r>
      <w:r w:rsidR="00564A8F">
        <w:t xml:space="preserve"> potential</w:t>
      </w:r>
      <w:r w:rsidR="0082495C">
        <w:t xml:space="preserve"> example </w:t>
      </w:r>
      <w:r w:rsidR="00564A8F">
        <w:t>of where the</w:t>
      </w:r>
      <w:r w:rsidR="00F241DB">
        <w:t xml:space="preserve"> research</w:t>
      </w:r>
      <w:r w:rsidR="00564A8F">
        <w:t xml:space="preserve"> focus leads to </w:t>
      </w:r>
      <w:r w:rsidR="0082495C">
        <w:t xml:space="preserve">‘blaming the victim’ rather than interrogating the </w:t>
      </w:r>
      <w:r w:rsidR="00F241DB">
        <w:t>context</w:t>
      </w:r>
      <w:r w:rsidR="0082495C">
        <w:t xml:space="preserve">. </w:t>
      </w:r>
    </w:p>
    <w:p w14:paraId="38E3C775" w14:textId="77777777" w:rsidR="006E5A9F" w:rsidRDefault="006E5A9F" w:rsidP="00E00729">
      <w:pPr>
        <w:pStyle w:val="Heading2"/>
        <w:spacing w:line="276" w:lineRule="auto"/>
      </w:pPr>
      <w:r>
        <w:t>Chapter 5 – Evaluating for quality results</w:t>
      </w:r>
    </w:p>
    <w:p w14:paraId="1567B13E" w14:textId="77777777" w:rsidR="000966BC" w:rsidRDefault="00564A8F" w:rsidP="00E00729">
      <w:r>
        <w:t xml:space="preserve">Parts of </w:t>
      </w:r>
      <w:r w:rsidR="006E5A9F">
        <w:t>this chapter</w:t>
      </w:r>
      <w:r>
        <w:t xml:space="preserve"> </w:t>
      </w:r>
      <w:r w:rsidR="00220D62">
        <w:t xml:space="preserve">seem </w:t>
      </w:r>
      <w:r w:rsidR="006E5A9F">
        <w:t>bias</w:t>
      </w:r>
      <w:r w:rsidR="00BC1F9D">
        <w:t>ed</w:t>
      </w:r>
      <w:r w:rsidR="006E5A9F">
        <w:t xml:space="preserve"> in favour of quantitative approaches</w:t>
      </w:r>
      <w:r w:rsidR="00220D62">
        <w:t>,</w:t>
      </w:r>
      <w:r>
        <w:t xml:space="preserve"> and apply </w:t>
      </w:r>
      <w:r w:rsidR="006E5A9F">
        <w:t xml:space="preserve">quantitative criteria to qualitative methods. </w:t>
      </w:r>
    </w:p>
    <w:p w14:paraId="460753EA" w14:textId="77777777" w:rsidR="000F21B2" w:rsidRDefault="000F21B2" w:rsidP="00E00729">
      <w:r>
        <w:t>Observational methods are inconsistently referenced. In educational contexts, observational methods</w:t>
      </w:r>
      <w:r w:rsidR="00564A8F">
        <w:t xml:space="preserve"> can be effective.</w:t>
      </w:r>
      <w:r>
        <w:t xml:space="preserve"> </w:t>
      </w:r>
      <w:r w:rsidR="00564A8F">
        <w:t>The evaluator</w:t>
      </w:r>
      <w:r>
        <w:t xml:space="preserve"> </w:t>
      </w:r>
      <w:r w:rsidR="00564A8F">
        <w:t xml:space="preserve">simply </w:t>
      </w:r>
      <w:r>
        <w:t>sit</w:t>
      </w:r>
      <w:r w:rsidR="00564A8F">
        <w:t>s</w:t>
      </w:r>
      <w:r>
        <w:t xml:space="preserve"> and watch</w:t>
      </w:r>
      <w:r w:rsidR="00564A8F">
        <w:t>es</w:t>
      </w:r>
      <w:r>
        <w:t xml:space="preserve"> what’s going on in a classroom </w:t>
      </w:r>
      <w:r w:rsidR="00564A8F">
        <w:t xml:space="preserve">– </w:t>
      </w:r>
      <w:r>
        <w:t xml:space="preserve">with </w:t>
      </w:r>
      <w:r w:rsidR="00564A8F">
        <w:t xml:space="preserve">either </w:t>
      </w:r>
      <w:r>
        <w:t>a structured, or semi-structured, or</w:t>
      </w:r>
      <w:r w:rsidR="0064403B">
        <w:t xml:space="preserve"> an open or</w:t>
      </w:r>
      <w:r>
        <w:t xml:space="preserve"> theory driven approach to what </w:t>
      </w:r>
      <w:r w:rsidR="00564A8F">
        <w:t xml:space="preserve">he/she is </w:t>
      </w:r>
      <w:r>
        <w:t xml:space="preserve">observing. </w:t>
      </w:r>
    </w:p>
    <w:p w14:paraId="222B2149" w14:textId="77777777" w:rsidR="00F339AC" w:rsidRDefault="009915DF" w:rsidP="00E00729">
      <w:r>
        <w:t xml:space="preserve">At the bottom of </w:t>
      </w:r>
      <w:r w:rsidR="00F339AC">
        <w:t xml:space="preserve">page 161, </w:t>
      </w:r>
      <w:r>
        <w:t xml:space="preserve">there is a quote </w:t>
      </w:r>
      <w:r w:rsidR="00F339AC">
        <w:t>from Patton:</w:t>
      </w:r>
    </w:p>
    <w:p w14:paraId="6BA8A8DC" w14:textId="77777777" w:rsidR="00F339AC" w:rsidRDefault="00F339AC" w:rsidP="009915DF">
      <w:pPr>
        <w:pStyle w:val="Quote"/>
        <w:ind w:left="720"/>
        <w:jc w:val="left"/>
      </w:pPr>
      <w:r>
        <w:t xml:space="preserve">Our very process of taking in information distorts reality. </w:t>
      </w:r>
    </w:p>
    <w:p w14:paraId="4062FABB" w14:textId="77777777" w:rsidR="00F339AC" w:rsidRPr="00F339AC" w:rsidRDefault="00BC1F9D" w:rsidP="00E00729">
      <w:r>
        <w:t>A</w:t>
      </w:r>
      <w:r w:rsidR="00C207AC">
        <w:t xml:space="preserve">s </w:t>
      </w:r>
      <w:r w:rsidR="00D75C03">
        <w:t xml:space="preserve">I have </w:t>
      </w:r>
      <w:r>
        <w:t xml:space="preserve">already </w:t>
      </w:r>
      <w:r w:rsidR="00D75C03">
        <w:t>elaborated</w:t>
      </w:r>
      <w:r>
        <w:t xml:space="preserve">, if </w:t>
      </w:r>
      <w:r w:rsidR="00D75C03">
        <w:t xml:space="preserve">evaluators </w:t>
      </w:r>
      <w:r w:rsidR="00C207AC">
        <w:t xml:space="preserve">are </w:t>
      </w:r>
      <w:r>
        <w:t xml:space="preserve">not interested in </w:t>
      </w:r>
      <w:r w:rsidR="00AF66E0">
        <w:t xml:space="preserve">language issues, </w:t>
      </w:r>
      <w:r w:rsidR="00C207AC">
        <w:t xml:space="preserve">they </w:t>
      </w:r>
      <w:r w:rsidR="00AF66E0">
        <w:t xml:space="preserve">won’t notice them. </w:t>
      </w:r>
      <w:r w:rsidR="00C207AC">
        <w:t>T</w:t>
      </w:r>
      <w:r w:rsidR="00AF66E0">
        <w:t>he next paragraph talk</w:t>
      </w:r>
      <w:r w:rsidR="00C207AC">
        <w:t>s</w:t>
      </w:r>
      <w:r w:rsidR="00AF66E0">
        <w:t xml:space="preserve"> about cultural bias</w:t>
      </w:r>
      <w:r w:rsidR="00C207AC">
        <w:t xml:space="preserve">, </w:t>
      </w:r>
      <w:r w:rsidR="00AF66E0">
        <w:t xml:space="preserve">where evaluation findings are influenced by the evaluator’s own cultural values and perspectives. </w:t>
      </w:r>
      <w:r w:rsidR="00D75C03">
        <w:t>B</w:t>
      </w:r>
      <w:r w:rsidR="00C207AC">
        <w:t>lindness to language issues can</w:t>
      </w:r>
      <w:r w:rsidR="00AF66E0">
        <w:t xml:space="preserve"> </w:t>
      </w:r>
      <w:r w:rsidR="00D75C03">
        <w:t xml:space="preserve">also bias findings, for example, if </w:t>
      </w:r>
      <w:r w:rsidR="00AF66E0">
        <w:t xml:space="preserve">the </w:t>
      </w:r>
      <w:r>
        <w:t xml:space="preserve">effects of using </w:t>
      </w:r>
      <w:r w:rsidR="00AF66E0">
        <w:t xml:space="preserve">English </w:t>
      </w:r>
      <w:r>
        <w:t>in a given context</w:t>
      </w:r>
      <w:r w:rsidR="00AF66E0">
        <w:t xml:space="preserve"> </w:t>
      </w:r>
      <w:r w:rsidR="00D75C03">
        <w:t xml:space="preserve">are ignored </w:t>
      </w:r>
      <w:r w:rsidR="00AF66E0">
        <w:t xml:space="preserve">or </w:t>
      </w:r>
      <w:r w:rsidR="00D75C03">
        <w:t xml:space="preserve">if it is assumed </w:t>
      </w:r>
      <w:r w:rsidR="00C207AC">
        <w:t>that written texts are</w:t>
      </w:r>
      <w:r>
        <w:t xml:space="preserve"> </w:t>
      </w:r>
      <w:r w:rsidR="00C207AC">
        <w:t xml:space="preserve">the </w:t>
      </w:r>
      <w:r w:rsidR="00D75C03">
        <w:t>an effective mode of</w:t>
      </w:r>
      <w:r w:rsidR="00C207AC">
        <w:t xml:space="preserve"> communicat</w:t>
      </w:r>
      <w:r w:rsidR="00D75C03">
        <w:t>ion</w:t>
      </w:r>
      <w:r w:rsidR="00AF66E0">
        <w:t xml:space="preserve">. </w:t>
      </w:r>
    </w:p>
    <w:p w14:paraId="3039A6AF" w14:textId="77777777" w:rsidR="00AF66E0" w:rsidRDefault="00AF66E0" w:rsidP="00E00729">
      <w:pPr>
        <w:pStyle w:val="Heading2"/>
        <w:spacing w:line="276" w:lineRule="auto"/>
      </w:pPr>
      <w:r>
        <w:t xml:space="preserve">Chapter 7 – Embedding a culture of evaluation and learning </w:t>
      </w:r>
    </w:p>
    <w:p w14:paraId="2EBC5DBE" w14:textId="77777777" w:rsidR="001A0F96" w:rsidRDefault="00AF66E0" w:rsidP="00E00729">
      <w:r>
        <w:t>This was a really interesting chapter</w:t>
      </w:r>
      <w:r w:rsidR="001A0F96">
        <w:t xml:space="preserve"> but could probe much further</w:t>
      </w:r>
      <w:r>
        <w:t xml:space="preserve">. </w:t>
      </w:r>
    </w:p>
    <w:p w14:paraId="0B651785" w14:textId="77777777" w:rsidR="001A0F96" w:rsidRDefault="001A0F96" w:rsidP="001A0F96">
      <w:r>
        <w:t xml:space="preserve">Here </w:t>
      </w:r>
      <w:r w:rsidR="00AF66E0">
        <w:t xml:space="preserve">we come back to politicians as stakeholders. </w:t>
      </w:r>
      <w:r w:rsidR="00C207AC">
        <w:t>No doubt</w:t>
      </w:r>
      <w:r w:rsidR="00AF66E0">
        <w:t xml:space="preserve"> there </w:t>
      </w:r>
      <w:r w:rsidR="00C207AC">
        <w:t>are constraints</w:t>
      </w:r>
      <w:r w:rsidR="00AF66E0">
        <w:t xml:space="preserve"> on what </w:t>
      </w:r>
      <w:r w:rsidR="006E658A">
        <w:t xml:space="preserve">the Commission </w:t>
      </w:r>
      <w:r w:rsidR="00AF66E0">
        <w:t>can and can’t say about politicians</w:t>
      </w:r>
      <w:r w:rsidR="00C207AC">
        <w:t>,</w:t>
      </w:r>
      <w:r w:rsidR="00AF66E0">
        <w:t xml:space="preserve"> government ministers</w:t>
      </w:r>
      <w:r w:rsidR="00905A92">
        <w:t xml:space="preserve"> </w:t>
      </w:r>
      <w:r w:rsidR="00C207AC">
        <w:t>and government officials/public servants.</w:t>
      </w:r>
      <w:r w:rsidR="00AF66E0">
        <w:t xml:space="preserve"> </w:t>
      </w:r>
      <w:r w:rsidR="00C207AC">
        <w:t xml:space="preserve">But </w:t>
      </w:r>
      <w:r w:rsidR="00220D62">
        <w:t xml:space="preserve">these people </w:t>
      </w:r>
      <w:r w:rsidR="00AF66E0">
        <w:t xml:space="preserve">are huge stakeholders in policy and </w:t>
      </w:r>
      <w:r w:rsidR="00B85EEB">
        <w:t>program</w:t>
      </w:r>
      <w:r w:rsidR="00AF66E0">
        <w:t xml:space="preserve"> evaluation. </w:t>
      </w:r>
      <w:r>
        <w:t>W</w:t>
      </w:r>
      <w:r w:rsidR="00C207AC">
        <w:t xml:space="preserve">e suggest that </w:t>
      </w:r>
      <w:r w:rsidR="00AF66E0">
        <w:t xml:space="preserve">more attention </w:t>
      </w:r>
      <w:r>
        <w:t>could be paid</w:t>
      </w:r>
      <w:r w:rsidR="00AF66E0">
        <w:t xml:space="preserve"> to </w:t>
      </w:r>
      <w:r w:rsidR="005B3BE4">
        <w:t xml:space="preserve">how and why political imperatives frequently override </w:t>
      </w:r>
      <w:r>
        <w:t xml:space="preserve">evidence </w:t>
      </w:r>
      <w:r w:rsidR="005B3BE4">
        <w:t xml:space="preserve">or </w:t>
      </w:r>
      <w:r w:rsidR="006E658A">
        <w:t xml:space="preserve">prompt </w:t>
      </w:r>
      <w:r>
        <w:t xml:space="preserve">its highly </w:t>
      </w:r>
      <w:r w:rsidR="005B3BE4">
        <w:t xml:space="preserve">selective </w:t>
      </w:r>
      <w:r w:rsidR="006E658A">
        <w:t>use</w:t>
      </w:r>
      <w:r w:rsidR="00D75C03">
        <w:t xml:space="preserve"> – a</w:t>
      </w:r>
      <w:r>
        <w:t xml:space="preserve"> cynical view would be that it’s the norm</w:t>
      </w:r>
      <w:r w:rsidR="005B3BE4">
        <w:t xml:space="preserve">. </w:t>
      </w:r>
      <w:r>
        <w:t xml:space="preserve">In </w:t>
      </w:r>
      <w:r>
        <w:lastRenderedPageBreak/>
        <w:t xml:space="preserve">regard to literacy, it’s almost predictable that every five or six years, </w:t>
      </w:r>
      <w:r w:rsidR="00D75C03">
        <w:t xml:space="preserve">an </w:t>
      </w:r>
      <w:r>
        <w:t xml:space="preserve">Education </w:t>
      </w:r>
      <w:r w:rsidR="00D75C03">
        <w:t xml:space="preserve">Minster </w:t>
      </w:r>
      <w:r>
        <w:t xml:space="preserve">will </w:t>
      </w:r>
      <w:r w:rsidR="00F15D97">
        <w:t>discover</w:t>
      </w:r>
      <w:r>
        <w:t xml:space="preserve"> a literacy crisis. </w:t>
      </w:r>
      <w:r w:rsidR="00D0054C">
        <w:t>The</w:t>
      </w:r>
      <w:r>
        <w:t xml:space="preserve"> evidence</w:t>
      </w:r>
      <w:r w:rsidR="00D0054C">
        <w:t xml:space="preserve"> to support claims of </w:t>
      </w:r>
      <w:r w:rsidR="00F15D97">
        <w:t xml:space="preserve">this </w:t>
      </w:r>
      <w:r w:rsidR="00D0054C">
        <w:t>crisis and the consequent</w:t>
      </w:r>
      <w:r>
        <w:t xml:space="preserve"> </w:t>
      </w:r>
      <w:r w:rsidR="00F15D97">
        <w:t xml:space="preserve">implementation </w:t>
      </w:r>
      <w:r>
        <w:t xml:space="preserve">of simplistic solutions </w:t>
      </w:r>
      <w:r w:rsidR="00D0054C">
        <w:t>is highly selective</w:t>
      </w:r>
      <w:r>
        <w:t xml:space="preserve">. </w:t>
      </w:r>
      <w:r w:rsidR="00CE1327">
        <w:t>It is in this context that pseudo-scientific evaluations like the one critiqued earlier gain traction.</w:t>
      </w:r>
    </w:p>
    <w:p w14:paraId="40440675" w14:textId="77777777" w:rsidR="00D0054C" w:rsidRDefault="00D0054C" w:rsidP="00E00729">
      <w:r>
        <w:t>The</w:t>
      </w:r>
      <w:r w:rsidR="005B3BE4">
        <w:t xml:space="preserve"> termination of bilingual programs in the Northern Territory</w:t>
      </w:r>
      <w:r>
        <w:t xml:space="preserve"> is a prime example. That</w:t>
      </w:r>
      <w:r w:rsidR="005B3BE4">
        <w:t xml:space="preserve"> followed from a report show</w:t>
      </w:r>
      <w:r>
        <w:t>ing</w:t>
      </w:r>
      <w:r w:rsidR="005B3BE4">
        <w:t xml:space="preserve"> that Territory Aboriginal children were failing dismally in NAPLAN tests. The </w:t>
      </w:r>
      <w:r w:rsidR="006E658A">
        <w:t>NT Education Minister</w:t>
      </w:r>
      <w:r w:rsidR="005B3BE4">
        <w:t xml:space="preserve"> </w:t>
      </w:r>
      <w:r w:rsidR="00905A92">
        <w:t>– who was</w:t>
      </w:r>
      <w:r w:rsidR="006E658A">
        <w:t>, in fact,</w:t>
      </w:r>
      <w:r w:rsidR="00905A92">
        <w:t xml:space="preserve"> an Aboriginal woman </w:t>
      </w:r>
      <w:r w:rsidR="0047630B">
        <w:t>–</w:t>
      </w:r>
      <w:r w:rsidR="00905A92">
        <w:t xml:space="preserve"> </w:t>
      </w:r>
      <w:r w:rsidR="005B3BE4">
        <w:t>took fright,</w:t>
      </w:r>
      <w:r w:rsidR="00B85EEB">
        <w:t xml:space="preserve"> and</w:t>
      </w:r>
      <w:r w:rsidR="005B3BE4">
        <w:t xml:space="preserve"> decided that bilingual programs were the cause of the problem. </w:t>
      </w:r>
      <w:r w:rsidR="007C0653">
        <w:t xml:space="preserve">(See </w:t>
      </w:r>
      <w:r w:rsidR="00F15D97">
        <w:t xml:space="preserve">what I said earlier about </w:t>
      </w:r>
      <w:r w:rsidR="007C0653">
        <w:t xml:space="preserve">homogenising Aboriginal and Torres Strait Islander </w:t>
      </w:r>
      <w:r w:rsidR="00F15D97">
        <w:t xml:space="preserve">people and their </w:t>
      </w:r>
      <w:r w:rsidR="007C0653">
        <w:t xml:space="preserve">knowledges, perspectives and </w:t>
      </w:r>
      <w:r w:rsidR="00F15D97">
        <w:t>priorities</w:t>
      </w:r>
      <w:r w:rsidR="007C0653">
        <w:t xml:space="preserve">). </w:t>
      </w:r>
      <w:r>
        <w:t xml:space="preserve">Evidence and evaluations were irrelevant. </w:t>
      </w:r>
      <w:r w:rsidR="006E658A">
        <w:t>She</w:t>
      </w:r>
      <w:r w:rsidR="005B3BE4">
        <w:t xml:space="preserve"> </w:t>
      </w:r>
      <w:r w:rsidR="001A0F96">
        <w:t>replaced</w:t>
      </w:r>
      <w:r w:rsidR="005B3BE4">
        <w:t xml:space="preserve"> </w:t>
      </w:r>
      <w:r w:rsidR="001A0F96">
        <w:t>bilingual programs</w:t>
      </w:r>
      <w:r w:rsidR="006E658A">
        <w:t xml:space="preserve"> </w:t>
      </w:r>
      <w:r w:rsidR="001A0F96">
        <w:t>with</w:t>
      </w:r>
      <w:r w:rsidR="00C207AC">
        <w:t xml:space="preserve"> </w:t>
      </w:r>
      <w:r w:rsidR="001A0F96">
        <w:t>tightly focussed</w:t>
      </w:r>
      <w:r w:rsidR="005B3BE4">
        <w:t xml:space="preserve"> </w:t>
      </w:r>
      <w:r w:rsidR="00C207AC">
        <w:t xml:space="preserve">approaches </w:t>
      </w:r>
      <w:r w:rsidR="005B3BE4">
        <w:t>to literacy and phonics</w:t>
      </w:r>
      <w:r w:rsidR="006E658A">
        <w:t>, which</w:t>
      </w:r>
      <w:r w:rsidR="001A0F96">
        <w:t>,</w:t>
      </w:r>
      <w:r w:rsidR="006E658A">
        <w:t xml:space="preserve"> as </w:t>
      </w:r>
      <w:r w:rsidR="001A0F96">
        <w:t>the Closing the Gap data reveal, have also failed</w:t>
      </w:r>
      <w:r w:rsidR="006E658A">
        <w:t>.</w:t>
      </w:r>
      <w:r w:rsidR="005B3BE4">
        <w:t xml:space="preserve">  The </w:t>
      </w:r>
      <w:r w:rsidR="00C207AC">
        <w:t xml:space="preserve">Northern Territory National Emergency Response is </w:t>
      </w:r>
      <w:r w:rsidR="005B3BE4">
        <w:t>another example of a</w:t>
      </w:r>
      <w:r w:rsidR="007C0653">
        <w:t xml:space="preserve"> knee-jerk</w:t>
      </w:r>
      <w:r w:rsidR="005B3BE4">
        <w:t xml:space="preserve"> political </w:t>
      </w:r>
      <w:r w:rsidR="007C0653">
        <w:t xml:space="preserve">response </w:t>
      </w:r>
      <w:r w:rsidR="005B3BE4">
        <w:t xml:space="preserve">to a report </w:t>
      </w:r>
      <w:r w:rsidR="007C0653">
        <w:t>revealing child</w:t>
      </w:r>
      <w:r w:rsidR="005B3BE4">
        <w:t xml:space="preserve"> abuse in Aboriginal communities. </w:t>
      </w:r>
    </w:p>
    <w:p w14:paraId="0CB898BD" w14:textId="77777777" w:rsidR="009032A3" w:rsidRDefault="006E658A" w:rsidP="00E00729">
      <w:r>
        <w:t xml:space="preserve">The discovery of these crises in education and other domains is spurred on by the media, where pressure to </w:t>
      </w:r>
      <w:r w:rsidR="00F15D97">
        <w:t xml:space="preserve">produce </w:t>
      </w:r>
      <w:r>
        <w:t xml:space="preserve">an eye-catching story </w:t>
      </w:r>
      <w:r w:rsidR="00F15D97">
        <w:t xml:space="preserve">places politicians under pressure and </w:t>
      </w:r>
      <w:r>
        <w:t>acts against considered approach</w:t>
      </w:r>
      <w:r w:rsidR="00F15D97">
        <w:t>es</w:t>
      </w:r>
      <w:r>
        <w:t xml:space="preserve"> to evaluation. Even where more in-depth and serious investigative </w:t>
      </w:r>
      <w:r w:rsidR="00F15D97">
        <w:t xml:space="preserve">media </w:t>
      </w:r>
      <w:r>
        <w:t>reporting is done, the fact that journalists lack knowledge (see above) mean</w:t>
      </w:r>
      <w:r w:rsidR="007C0653">
        <w:t>s</w:t>
      </w:r>
      <w:r>
        <w:t xml:space="preserve"> their investigations remain </w:t>
      </w:r>
      <w:r w:rsidR="007C0653">
        <w:t xml:space="preserve">relatively </w:t>
      </w:r>
      <w:r>
        <w:t>superficial</w:t>
      </w:r>
      <w:r w:rsidR="00F15D97">
        <w:t xml:space="preserve"> and often get crucial factors wrong (or half-right)</w:t>
      </w:r>
      <w:r w:rsidR="007C0653">
        <w:t xml:space="preserve">. </w:t>
      </w:r>
      <w:r>
        <w:t xml:space="preserve">We suggest this section might say </w:t>
      </w:r>
      <w:r w:rsidR="009032A3">
        <w:t xml:space="preserve">more </w:t>
      </w:r>
      <w:r>
        <w:t xml:space="preserve">about the effect of </w:t>
      </w:r>
      <w:r w:rsidR="009032A3">
        <w:t>the media</w:t>
      </w:r>
      <w:r w:rsidR="007C0653">
        <w:t>, among other forces,</w:t>
      </w:r>
      <w:r w:rsidR="009032A3">
        <w:t xml:space="preserve"> </w:t>
      </w:r>
      <w:r>
        <w:t xml:space="preserve">in undermining </w:t>
      </w:r>
      <w:r w:rsidR="009032A3">
        <w:t xml:space="preserve">a culture of evaluation. </w:t>
      </w:r>
    </w:p>
    <w:p w14:paraId="20C84329" w14:textId="77777777" w:rsidR="004E2DBE" w:rsidRDefault="00D0054C" w:rsidP="00E00729">
      <w:r>
        <w:t>A related issue</w:t>
      </w:r>
      <w:r w:rsidR="009032A3">
        <w:t xml:space="preserve"> </w:t>
      </w:r>
      <w:r>
        <w:t>is</w:t>
      </w:r>
      <w:r w:rsidR="009032A3">
        <w:t xml:space="preserve"> the impetus </w:t>
      </w:r>
      <w:r>
        <w:t>for</w:t>
      </w:r>
      <w:r w:rsidR="007C0653">
        <w:t xml:space="preserve"> incoming governments </w:t>
      </w:r>
      <w:r w:rsidR="009032A3">
        <w:t xml:space="preserve">to change </w:t>
      </w:r>
      <w:r w:rsidR="007C0653">
        <w:t xml:space="preserve">policies and programs. </w:t>
      </w:r>
      <w:r w:rsidR="00A95AE4">
        <w:t>Elections are driven by</w:t>
      </w:r>
      <w:r w:rsidR="007C0653">
        <w:t xml:space="preserve"> </w:t>
      </w:r>
      <w:r w:rsidR="00A95AE4">
        <w:t>the promises of oppositions to make changes. Promising to continue successful programs and policies is not good strategy.</w:t>
      </w:r>
      <w:r w:rsidR="009032A3">
        <w:t xml:space="preserve"> </w:t>
      </w:r>
      <w:r w:rsidR="00A95AE4">
        <w:t xml:space="preserve">When new governments take office, they are compelled to make changes, and evaluations can be irrelevant. </w:t>
      </w:r>
      <w:r w:rsidR="004F7D9D">
        <w:t>(</w:t>
      </w:r>
      <w:r>
        <w:t>An</w:t>
      </w:r>
      <w:r w:rsidR="003D40DF">
        <w:t xml:space="preserve"> example</w:t>
      </w:r>
      <w:r w:rsidR="001E4028">
        <w:t xml:space="preserve"> from </w:t>
      </w:r>
      <w:r w:rsidR="004F7D9D">
        <w:t xml:space="preserve">provision </w:t>
      </w:r>
      <w:r>
        <w:t>for adult migrants is</w:t>
      </w:r>
      <w:r w:rsidR="003D40DF">
        <w:t xml:space="preserve"> the $4</w:t>
      </w:r>
      <w:r w:rsidR="007C0653">
        <w:t xml:space="preserve"> </w:t>
      </w:r>
      <w:r w:rsidR="003D40DF">
        <w:t xml:space="preserve">million </w:t>
      </w:r>
      <w:r>
        <w:t xml:space="preserve">worth </w:t>
      </w:r>
      <w:r w:rsidR="003D40DF">
        <w:t>of citizenship materials</w:t>
      </w:r>
      <w:r>
        <w:t xml:space="preserve"> developed</w:t>
      </w:r>
      <w:r w:rsidR="003D40DF">
        <w:t xml:space="preserve"> </w:t>
      </w:r>
      <w:r>
        <w:t xml:space="preserve">when Philip Ruddock was Immigration Minister. Evaluations showed that teachers and students loved them. The incoming </w:t>
      </w:r>
      <w:r w:rsidR="003D40DF">
        <w:t xml:space="preserve">Labor </w:t>
      </w:r>
      <w:r>
        <w:t>Government scrapped them</w:t>
      </w:r>
      <w:r w:rsidR="00A95AE4">
        <w:t>.</w:t>
      </w:r>
      <w:r>
        <w:t xml:space="preserve"> </w:t>
      </w:r>
      <w:r w:rsidR="00A95AE4">
        <w:t xml:space="preserve">These materials </w:t>
      </w:r>
      <w:r w:rsidR="00F15D97">
        <w:t>now moulder in retired teachers</w:t>
      </w:r>
      <w:r w:rsidR="00A95AE4">
        <w:t>’ cupboards</w:t>
      </w:r>
      <w:r>
        <w:t>.</w:t>
      </w:r>
      <w:r w:rsidR="004F7D9D">
        <w:t>)</w:t>
      </w:r>
    </w:p>
    <w:p w14:paraId="3DC52DB9" w14:textId="77777777" w:rsidR="00F339AC" w:rsidRDefault="004E2DBE" w:rsidP="00E00729">
      <w:r>
        <w:t xml:space="preserve">For a program to be properly evaluated, it needs to run for a while. Obviously, if a program is terrible, it should go, but programs are </w:t>
      </w:r>
      <w:r w:rsidR="0046530F">
        <w:t xml:space="preserve">often </w:t>
      </w:r>
      <w:r>
        <w:t>abandoned just when they are bedded down and people have got used to working with them.</w:t>
      </w:r>
    </w:p>
    <w:p w14:paraId="5077E407" w14:textId="77777777" w:rsidR="004E2DBE" w:rsidRDefault="007A3B27" w:rsidP="00E00729">
      <w:r>
        <w:t xml:space="preserve">The institution of New Public Management approaches in the public service </w:t>
      </w:r>
      <w:r w:rsidR="004E2DBE">
        <w:t xml:space="preserve">since the late 1980s </w:t>
      </w:r>
      <w:r>
        <w:t>have undermined commitments to a culture of evaluation.</w:t>
      </w:r>
      <w:r w:rsidR="004E2DBE">
        <w:t xml:space="preserve"> </w:t>
      </w:r>
      <w:r w:rsidR="0046530F">
        <w:t>C</w:t>
      </w:r>
      <w:r w:rsidR="004E2DBE">
        <w:t xml:space="preserve">areer and promotion structures </w:t>
      </w:r>
      <w:r w:rsidR="0046530F">
        <w:t>were instituted to</w:t>
      </w:r>
      <w:r w:rsidR="004F7D9D">
        <w:t xml:space="preserve"> incentivise</w:t>
      </w:r>
      <w:r w:rsidR="0046530F">
        <w:t xml:space="preserve"> </w:t>
      </w:r>
      <w:r w:rsidR="004E2DBE">
        <w:t xml:space="preserve">individuals </w:t>
      </w:r>
      <w:r w:rsidR="004F7D9D">
        <w:t xml:space="preserve">to </w:t>
      </w:r>
      <w:r w:rsidR="004E2DBE">
        <w:t>mov</w:t>
      </w:r>
      <w:r w:rsidR="004F7D9D">
        <w:t xml:space="preserve">e </w:t>
      </w:r>
      <w:r w:rsidR="004E2DBE">
        <w:t xml:space="preserve">between policy areas. </w:t>
      </w:r>
      <w:r w:rsidR="0046530F">
        <w:t xml:space="preserve">These </w:t>
      </w:r>
      <w:r w:rsidR="004E2DBE">
        <w:t xml:space="preserve">incentives undermine deep institutional knowledge and learning from experience. </w:t>
      </w:r>
      <w:r w:rsidR="0046530F">
        <w:t xml:space="preserve">I’ve encountered public </w:t>
      </w:r>
      <w:r w:rsidR="004E2DBE">
        <w:t xml:space="preserve">servants </w:t>
      </w:r>
      <w:r w:rsidR="0046530F">
        <w:t xml:space="preserve">with </w:t>
      </w:r>
      <w:r w:rsidR="004E2DBE">
        <w:t xml:space="preserve">no knowledge of previous evaluations of policies and programs for which they </w:t>
      </w:r>
      <w:r w:rsidR="0046530F">
        <w:t xml:space="preserve">have become </w:t>
      </w:r>
      <w:r w:rsidR="004E2DBE">
        <w:t xml:space="preserve">responsible. The </w:t>
      </w:r>
      <w:r w:rsidR="0046530F">
        <w:t>result is</w:t>
      </w:r>
      <w:r w:rsidR="004E2DBE">
        <w:t xml:space="preserve"> constant reinvention of the wheel</w:t>
      </w:r>
      <w:r w:rsidR="0046530F">
        <w:t xml:space="preserve"> and repeated evaluations that go nowhere</w:t>
      </w:r>
      <w:r w:rsidR="004E2DBE">
        <w:t xml:space="preserve">. </w:t>
      </w:r>
      <w:r w:rsidR="001E4028">
        <w:t>It is to be hoped that t</w:t>
      </w:r>
      <w:r w:rsidR="003D40DF">
        <w:t xml:space="preserve">he </w:t>
      </w:r>
      <w:r w:rsidR="000C5021">
        <w:t>Review of the Public</w:t>
      </w:r>
      <w:r w:rsidR="003D40DF">
        <w:t xml:space="preserve"> Service referred to in the </w:t>
      </w:r>
      <w:r w:rsidR="004E2DBE">
        <w:t xml:space="preserve">discussion document </w:t>
      </w:r>
      <w:r w:rsidR="001E4028">
        <w:t>has</w:t>
      </w:r>
      <w:r w:rsidR="003D40DF">
        <w:t xml:space="preserve"> tackled this</w:t>
      </w:r>
      <w:r w:rsidR="001E4028">
        <w:t xml:space="preserve"> problem.</w:t>
      </w:r>
      <w:r w:rsidR="003D40DF">
        <w:t xml:space="preserve"> </w:t>
      </w:r>
      <w:r w:rsidR="004E2DBE">
        <w:t xml:space="preserve">Embedding a culture of evaluation will require confronting the incentives for policy makers that work against </w:t>
      </w:r>
      <w:r w:rsidR="0046530F">
        <w:t>this culture</w:t>
      </w:r>
      <w:r w:rsidR="004E2DBE">
        <w:t>.</w:t>
      </w:r>
    </w:p>
    <w:p w14:paraId="2273C7DF" w14:textId="77777777" w:rsidR="00A74253" w:rsidRDefault="008B6EF6" w:rsidP="00A74253">
      <w:r>
        <w:t>A cornerstone of New Public Management is outsourcing</w:t>
      </w:r>
      <w:r w:rsidDel="004E2DBE">
        <w:t xml:space="preserve"> </w:t>
      </w:r>
      <w:r>
        <w:t>and delivery of programs through competitive contracting</w:t>
      </w:r>
      <w:r w:rsidR="0046530F">
        <w:t xml:space="preserve"> that has created a dynamic that is hostile to any genuine evaluation culture. </w:t>
      </w:r>
      <w:r>
        <w:lastRenderedPageBreak/>
        <w:t xml:space="preserve">Outsourced programs allocated through competitive contracting </w:t>
      </w:r>
      <w:r w:rsidR="0046530F">
        <w:t xml:space="preserve">are governed by </w:t>
      </w:r>
      <w:r>
        <w:t>contracts that</w:t>
      </w:r>
      <w:r w:rsidR="0046530F">
        <w:t xml:space="preserve"> seek to </w:t>
      </w:r>
      <w:r>
        <w:t xml:space="preserve">enforce compliance against </w:t>
      </w:r>
      <w:r w:rsidR="0046530F">
        <w:t xml:space="preserve">detailed </w:t>
      </w:r>
      <w:r>
        <w:t>specifications and KPIs</w:t>
      </w:r>
      <w:r w:rsidR="00A74253">
        <w:t>, which,</w:t>
      </w:r>
      <w:r>
        <w:t xml:space="preserve"> </w:t>
      </w:r>
      <w:r w:rsidR="00A74253">
        <w:t>by definition, can’t be questioned by service providers. Commercial-in-confidence requirements and confidentiality agreements shield both these specifications and provider performance from scrutiny. O</w:t>
      </w:r>
      <w:r>
        <w:t xml:space="preserve">n the other hand, </w:t>
      </w:r>
      <w:r w:rsidR="00A74253">
        <w:t xml:space="preserve">contracting out absolves </w:t>
      </w:r>
      <w:r>
        <w:t xml:space="preserve">government from responsibility for what actually is delivered. </w:t>
      </w:r>
      <w:r w:rsidR="00A74253">
        <w:t>(Thus, for example, the current contracts for English programs for adult migrants rely on paper-based audits of student assessments, which teachers openly acknowledge they sometimes fabricate in order to keep students who need English in their classes. However, the responsible public servants cannot tell Senate Estimates whether the methods of assessing students are valid and reliable, how many teachers are employed in these programs or their levels of qualification – the Quality Assurance provider is responsible for these matters.)</w:t>
      </w:r>
    </w:p>
    <w:p w14:paraId="4EC77BFF" w14:textId="77777777" w:rsidR="008B6EF6" w:rsidRDefault="009138BE" w:rsidP="007A3B27">
      <w:r>
        <w:t xml:space="preserve">The ideologies that underpin program delivery need to be taken into account. </w:t>
      </w:r>
      <w:r w:rsidR="00A70785">
        <w:t xml:space="preserve">An evaluation culture requires a commitment to professionalism and honesty that trumps self-interest. </w:t>
      </w:r>
      <w:r w:rsidR="00A74253">
        <w:t xml:space="preserve">It requires trust and open communication between parties. It requires a willingness to report and admit mistakes and failures. </w:t>
      </w:r>
      <w:r>
        <w:t>If outsourcing and competitive contracting cannot be questioned</w:t>
      </w:r>
      <w:r w:rsidR="00A70785">
        <w:t xml:space="preserve"> – if competition is seen as the prime motivation for human behaviour – </w:t>
      </w:r>
      <w:r>
        <w:t>as has been the case at least until recently, an evaluation culture is impossible.</w:t>
      </w:r>
      <w:r w:rsidR="00A70785">
        <w:t xml:space="preserve"> </w:t>
      </w:r>
    </w:p>
    <w:p w14:paraId="55ECB223" w14:textId="77777777" w:rsidR="00F15D97" w:rsidRPr="004F7D9D" w:rsidRDefault="00F15D97" w:rsidP="007A3B27">
      <w:pPr>
        <w:rPr>
          <w:i/>
        </w:rPr>
      </w:pPr>
      <w:r>
        <w:t xml:space="preserve">The question for this chapter might be: </w:t>
      </w:r>
      <w:r w:rsidR="007A43A1" w:rsidRPr="004F7D9D">
        <w:rPr>
          <w:i/>
        </w:rPr>
        <w:t xml:space="preserve">how </w:t>
      </w:r>
      <w:r w:rsidRPr="004F7D9D">
        <w:rPr>
          <w:i/>
        </w:rPr>
        <w:t xml:space="preserve">can an evaluation culture </w:t>
      </w:r>
      <w:r w:rsidR="007A43A1">
        <w:rPr>
          <w:i/>
        </w:rPr>
        <w:t>be established that</w:t>
      </w:r>
      <w:r w:rsidRPr="004F7D9D">
        <w:rPr>
          <w:i/>
        </w:rPr>
        <w:t xml:space="preserve"> counter</w:t>
      </w:r>
      <w:r w:rsidR="007A43A1">
        <w:rPr>
          <w:i/>
        </w:rPr>
        <w:t>s</w:t>
      </w:r>
      <w:r w:rsidRPr="004F7D9D">
        <w:rPr>
          <w:i/>
        </w:rPr>
        <w:t xml:space="preserve"> these </w:t>
      </w:r>
      <w:r w:rsidR="007A43A1">
        <w:rPr>
          <w:i/>
        </w:rPr>
        <w:t xml:space="preserve">undermining </w:t>
      </w:r>
      <w:r w:rsidRPr="004F7D9D">
        <w:rPr>
          <w:i/>
        </w:rPr>
        <w:t>forces?</w:t>
      </w:r>
    </w:p>
    <w:p w14:paraId="747AD402" w14:textId="77777777" w:rsidR="00A53ADD" w:rsidRDefault="00974F38" w:rsidP="00E00729">
      <w:pPr>
        <w:pStyle w:val="Heading1"/>
        <w:spacing w:line="276" w:lineRule="auto"/>
      </w:pPr>
      <w:r>
        <w:t xml:space="preserve">PART 4: </w:t>
      </w:r>
      <w:r w:rsidR="00A70785">
        <w:t>T</w:t>
      </w:r>
      <w:r w:rsidR="00A53ADD">
        <w:t xml:space="preserve">he information requests </w:t>
      </w:r>
    </w:p>
    <w:p w14:paraId="27245520" w14:textId="77777777" w:rsidR="00A53ADD" w:rsidRDefault="00A70785" w:rsidP="00E00729">
      <w:r w:rsidRPr="009915DF">
        <w:rPr>
          <w:b/>
        </w:rPr>
        <w:t xml:space="preserve">Re </w:t>
      </w:r>
      <w:r w:rsidR="000F7630" w:rsidRPr="009915DF">
        <w:rPr>
          <w:b/>
        </w:rPr>
        <w:t>information</w:t>
      </w:r>
      <w:r w:rsidR="00A53ADD" w:rsidRPr="009915DF">
        <w:rPr>
          <w:b/>
        </w:rPr>
        <w:t xml:space="preserve"> request 6.1,</w:t>
      </w:r>
      <w:r w:rsidR="00A53ADD">
        <w:t xml:space="preserve"> which </w:t>
      </w:r>
      <w:r>
        <w:t xml:space="preserve">is </w:t>
      </w:r>
      <w:r w:rsidR="00A53ADD">
        <w:t>about priorit</w:t>
      </w:r>
      <w:r w:rsidR="00663ADF">
        <w:t>ies,</w:t>
      </w:r>
      <w:r w:rsidR="00A53ADD">
        <w:t xml:space="preserve"> the top priority for ACTA is </w:t>
      </w:r>
      <w:r>
        <w:t>a</w:t>
      </w:r>
      <w:r w:rsidR="007A43A1">
        <w:t>n in-depth quantitative and qualitative</w:t>
      </w:r>
      <w:r>
        <w:t xml:space="preserve"> evaluation of </w:t>
      </w:r>
      <w:r w:rsidR="00A53ADD">
        <w:t>the effect</w:t>
      </w:r>
      <w:r>
        <w:t>s</w:t>
      </w:r>
      <w:r w:rsidR="00A53ADD">
        <w:t xml:space="preserve"> of NAPLAN on Indigenous children</w:t>
      </w:r>
      <w:r>
        <w:t xml:space="preserve">, </w:t>
      </w:r>
      <w:r w:rsidR="007A43A1">
        <w:t xml:space="preserve">which includes investigating </w:t>
      </w:r>
      <w:r>
        <w:t xml:space="preserve">how </w:t>
      </w:r>
      <w:r w:rsidR="007A43A1">
        <w:t xml:space="preserve">NAPLAN data reflects and does not reflect </w:t>
      </w:r>
      <w:r>
        <w:t xml:space="preserve">their educational achievements </w:t>
      </w:r>
      <w:r w:rsidR="007A43A1">
        <w:t xml:space="preserve">and needs, </w:t>
      </w:r>
      <w:r>
        <w:t xml:space="preserve">but </w:t>
      </w:r>
      <w:r w:rsidR="007A43A1">
        <w:t>also</w:t>
      </w:r>
      <w:r>
        <w:t xml:space="preserve"> factors such as </w:t>
      </w:r>
      <w:r w:rsidR="007A43A1">
        <w:t xml:space="preserve">the impact </w:t>
      </w:r>
      <w:r>
        <w:t>students’ self-esteem and commitment to schooling</w:t>
      </w:r>
      <w:r w:rsidR="00A53ADD">
        <w:t xml:space="preserve">. </w:t>
      </w:r>
      <w:r>
        <w:t xml:space="preserve">NAPLAN testing </w:t>
      </w:r>
      <w:r w:rsidR="007A43A1">
        <w:t>plays a major role in mainstream schooling</w:t>
      </w:r>
      <w:r w:rsidR="00A53ADD">
        <w:t xml:space="preserve"> – schools advertise themselves around NAPLAN results</w:t>
      </w:r>
      <w:r w:rsidR="007A43A1">
        <w:t>; p</w:t>
      </w:r>
      <w:r w:rsidR="00A53ADD">
        <w:t xml:space="preserve">arents select their </w:t>
      </w:r>
      <w:r w:rsidR="007A43A1">
        <w:t xml:space="preserve">children’s </w:t>
      </w:r>
      <w:r w:rsidR="00A53ADD">
        <w:t xml:space="preserve">schools </w:t>
      </w:r>
      <w:r w:rsidR="007A43A1">
        <w:t xml:space="preserve">based </w:t>
      </w:r>
      <w:r w:rsidR="00A53ADD">
        <w:t>on NAPLAN results</w:t>
      </w:r>
      <w:r w:rsidR="007A43A1">
        <w:t xml:space="preserve">; many schools teach to improving achievements in NAPLAN tests; private schools exclude students with poor NAPLAN results; and, as </w:t>
      </w:r>
      <w:r>
        <w:t xml:space="preserve"> already indicated, policies </w:t>
      </w:r>
      <w:r w:rsidR="007A43A1">
        <w:t xml:space="preserve">that affect Aboriginal and Torres Strait Islander students </w:t>
      </w:r>
      <w:r>
        <w:t xml:space="preserve">are </w:t>
      </w:r>
      <w:r w:rsidR="007A43A1">
        <w:t xml:space="preserve">instituted </w:t>
      </w:r>
      <w:r>
        <w:t xml:space="preserve">on the basis of NAPLAN data. </w:t>
      </w:r>
    </w:p>
    <w:p w14:paraId="37E284F7" w14:textId="77777777" w:rsidR="000F7630" w:rsidRDefault="009915DF" w:rsidP="00E00729">
      <w:r>
        <w:t xml:space="preserve">A </w:t>
      </w:r>
      <w:r w:rsidR="00A53ADD">
        <w:t xml:space="preserve">second priority </w:t>
      </w:r>
      <w:r>
        <w:t xml:space="preserve">would be a </w:t>
      </w:r>
      <w:r w:rsidR="007A43A1">
        <w:t xml:space="preserve">quantitative and qualitative </w:t>
      </w:r>
      <w:r w:rsidR="00974F38">
        <w:t xml:space="preserve">longitudinal </w:t>
      </w:r>
      <w:r w:rsidR="000F7630">
        <w:t xml:space="preserve">evaluation of bilingual </w:t>
      </w:r>
      <w:r w:rsidR="00974F38">
        <w:t xml:space="preserve">teaching/learning </w:t>
      </w:r>
      <w:r w:rsidR="000F7630">
        <w:t>approaches</w:t>
      </w:r>
      <w:r w:rsidR="00974F38">
        <w:t xml:space="preserve"> for Aboriginal and Torres Strait Islander students, especially in regional and remote locations, conducted by knowledgeable and culturally aware evaluators</w:t>
      </w:r>
      <w:r w:rsidR="000F7630">
        <w:t xml:space="preserve">. </w:t>
      </w:r>
    </w:p>
    <w:p w14:paraId="0813D77E" w14:textId="77777777" w:rsidR="00B9440D" w:rsidRDefault="009915DF" w:rsidP="00E00729">
      <w:r w:rsidRPr="009915DF">
        <w:rPr>
          <w:b/>
        </w:rPr>
        <w:t xml:space="preserve">Re </w:t>
      </w:r>
      <w:r w:rsidR="000F7630" w:rsidRPr="009915DF">
        <w:rPr>
          <w:b/>
        </w:rPr>
        <w:t xml:space="preserve">information request 7.3, </w:t>
      </w:r>
      <w:r w:rsidR="000F7630">
        <w:t>which is about who should be members o</w:t>
      </w:r>
      <w:r w:rsidR="00D144D0">
        <w:t xml:space="preserve">f the central evaluation body, </w:t>
      </w:r>
      <w:r>
        <w:t xml:space="preserve">ACTA </w:t>
      </w:r>
      <w:r w:rsidR="00A95AE4">
        <w:t xml:space="preserve">recommends </w:t>
      </w:r>
      <w:r>
        <w:t xml:space="preserve">that </w:t>
      </w:r>
      <w:r w:rsidR="000F7630">
        <w:t>academic and p</w:t>
      </w:r>
      <w:r w:rsidR="00B5052E">
        <w:t xml:space="preserve">ractical </w:t>
      </w:r>
      <w:r>
        <w:t xml:space="preserve">experts should be included </w:t>
      </w:r>
      <w:r w:rsidR="00B5052E">
        <w:t xml:space="preserve">at all stages of policy development and evaluation. </w:t>
      </w:r>
      <w:r w:rsidR="00A95AE4">
        <w:t>We would be pleased to suggest individual experts.</w:t>
      </w:r>
    </w:p>
    <w:p w14:paraId="7C3EB57E" w14:textId="77777777" w:rsidR="009915DF" w:rsidRPr="009915DF" w:rsidRDefault="009915DF" w:rsidP="009915DF">
      <w:pPr>
        <w:jc w:val="center"/>
        <w:rPr>
          <w:b/>
        </w:rPr>
      </w:pPr>
      <w:r w:rsidRPr="009915DF">
        <w:rPr>
          <w:b/>
        </w:rPr>
        <w:t>***********************</w:t>
      </w:r>
    </w:p>
    <w:sectPr w:rsidR="009915DF" w:rsidRPr="009915DF">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4A6BB5" w14:textId="77777777" w:rsidR="00FD3527" w:rsidRDefault="00FD3527">
      <w:pPr>
        <w:spacing w:after="0" w:line="240" w:lineRule="auto"/>
      </w:pPr>
      <w:r>
        <w:separator/>
      </w:r>
    </w:p>
  </w:endnote>
  <w:endnote w:type="continuationSeparator" w:id="0">
    <w:p w14:paraId="49C1AB46" w14:textId="77777777" w:rsidR="00FD3527" w:rsidRDefault="00FD3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0646468"/>
      <w:docPartObj>
        <w:docPartGallery w:val="Page Numbers (Bottom of Page)"/>
        <w:docPartUnique/>
      </w:docPartObj>
    </w:sdtPr>
    <w:sdtEndPr>
      <w:rPr>
        <w:noProof/>
      </w:rPr>
    </w:sdtEndPr>
    <w:sdtContent>
      <w:p w14:paraId="62400CF2" w14:textId="77777777" w:rsidR="007A43A1" w:rsidRDefault="007A43A1" w:rsidP="00B9440D">
        <w:pPr>
          <w:pStyle w:val="Footer"/>
          <w:jc w:val="right"/>
        </w:pPr>
        <w:r>
          <w:fldChar w:fldCharType="begin"/>
        </w:r>
        <w:r>
          <w:instrText xml:space="preserve"> PAGE   \* MERGEFORMAT </w:instrText>
        </w:r>
        <w:r>
          <w:fldChar w:fldCharType="separate"/>
        </w:r>
        <w:r w:rsidR="00681DE1">
          <w:rPr>
            <w:noProof/>
          </w:rPr>
          <w:t>1</w:t>
        </w:r>
        <w:r>
          <w:rPr>
            <w:noProof/>
          </w:rPr>
          <w:fldChar w:fldCharType="end"/>
        </w:r>
      </w:p>
    </w:sdtContent>
  </w:sdt>
  <w:p w14:paraId="4E3D7F4C" w14:textId="77777777" w:rsidR="007A43A1" w:rsidRDefault="007A43A1" w:rsidP="00B94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58FDF" w14:textId="77777777" w:rsidR="00FD3527" w:rsidRDefault="00FD3527">
      <w:pPr>
        <w:spacing w:after="0" w:line="240" w:lineRule="auto"/>
      </w:pPr>
      <w:r>
        <w:separator/>
      </w:r>
    </w:p>
  </w:footnote>
  <w:footnote w:type="continuationSeparator" w:id="0">
    <w:p w14:paraId="68B69B0B" w14:textId="77777777" w:rsidR="00FD3527" w:rsidRDefault="00FD3527">
      <w:pPr>
        <w:spacing w:after="0" w:line="240" w:lineRule="auto"/>
      </w:pPr>
      <w:r>
        <w:continuationSeparator/>
      </w:r>
    </w:p>
  </w:footnote>
  <w:footnote w:id="1">
    <w:p w14:paraId="3EA19360" w14:textId="77777777" w:rsidR="007A43A1" w:rsidRDefault="007A43A1">
      <w:pPr>
        <w:pStyle w:val="FootnoteText"/>
      </w:pPr>
      <w:r>
        <w:rPr>
          <w:rStyle w:val="FootnoteReference"/>
        </w:rPr>
        <w:footnoteRef/>
      </w:r>
      <w:r>
        <w:t xml:space="preserve"> </w:t>
      </w:r>
      <w:r w:rsidRPr="004F7D9D">
        <w:rPr>
          <w:sz w:val="18"/>
        </w:rPr>
        <w:t>See the submission from Denise Angelo et al.</w:t>
      </w:r>
    </w:p>
  </w:footnote>
  <w:footnote w:id="2">
    <w:p w14:paraId="579F9D92" w14:textId="77777777" w:rsidR="007A43A1" w:rsidRDefault="007A43A1">
      <w:pPr>
        <w:pStyle w:val="FootnoteText"/>
      </w:pPr>
      <w:r>
        <w:rPr>
          <w:rStyle w:val="FootnoteReference"/>
        </w:rPr>
        <w:footnoteRef/>
      </w:r>
      <w:r>
        <w:t xml:space="preserve"> </w:t>
      </w:r>
      <w:r w:rsidRPr="004F7D9D">
        <w:rPr>
          <w:sz w:val="18"/>
        </w:rPr>
        <w:t xml:space="preserve">See pioneering work on language and the law by Diana Eades and others (e.g. </w:t>
      </w:r>
      <w:hyperlink r:id="rId1" w:history="1">
        <w:r w:rsidRPr="004F7D9D">
          <w:rPr>
            <w:rStyle w:val="Hyperlink"/>
            <w:sz w:val="18"/>
          </w:rPr>
          <w:t>http://classic.austlii.edu.au/au/journals/PrecedentAULA/2015/12.html</w:t>
        </w:r>
      </w:hyperlink>
      <w:r w:rsidRPr="004F7D9D">
        <w:rPr>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8C3260"/>
    <w:multiLevelType w:val="hybridMultilevel"/>
    <w:tmpl w:val="99584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7B71ED4"/>
    <w:multiLevelType w:val="hybridMultilevel"/>
    <w:tmpl w:val="E62CAA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30134BF"/>
    <w:multiLevelType w:val="hybridMultilevel"/>
    <w:tmpl w:val="9FEA5192"/>
    <w:lvl w:ilvl="0" w:tplc="9214910A">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6D40202"/>
    <w:multiLevelType w:val="hybridMultilevel"/>
    <w:tmpl w:val="D8B42DD2"/>
    <w:lvl w:ilvl="0" w:tplc="59EC1846">
      <w:start w:val="1"/>
      <w:numFmt w:val="bullet"/>
      <w:pStyle w:val="ListBullet"/>
      <w:lvlText w:val=""/>
      <w:lvlJc w:val="righ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6433B8"/>
    <w:multiLevelType w:val="hybridMultilevel"/>
    <w:tmpl w:val="22BCEAA6"/>
    <w:lvl w:ilvl="0" w:tplc="9E162678">
      <w:start w:val="1"/>
      <w:numFmt w:val="decimal"/>
      <w:lvlText w:val="%1)"/>
      <w:lvlJc w:val="left"/>
      <w:pPr>
        <w:ind w:left="1224" w:hanging="360"/>
      </w:pPr>
      <w:rPr>
        <w:rFonts w:hint="default"/>
      </w:rPr>
    </w:lvl>
    <w:lvl w:ilvl="1" w:tplc="0C090019" w:tentative="1">
      <w:start w:val="1"/>
      <w:numFmt w:val="lowerLetter"/>
      <w:lvlText w:val="%2."/>
      <w:lvlJc w:val="left"/>
      <w:pPr>
        <w:ind w:left="1944" w:hanging="360"/>
      </w:pPr>
    </w:lvl>
    <w:lvl w:ilvl="2" w:tplc="0C09001B" w:tentative="1">
      <w:start w:val="1"/>
      <w:numFmt w:val="lowerRoman"/>
      <w:lvlText w:val="%3."/>
      <w:lvlJc w:val="right"/>
      <w:pPr>
        <w:ind w:left="2664" w:hanging="180"/>
      </w:pPr>
    </w:lvl>
    <w:lvl w:ilvl="3" w:tplc="0C09000F" w:tentative="1">
      <w:start w:val="1"/>
      <w:numFmt w:val="decimal"/>
      <w:lvlText w:val="%4."/>
      <w:lvlJc w:val="left"/>
      <w:pPr>
        <w:ind w:left="3384" w:hanging="360"/>
      </w:pPr>
    </w:lvl>
    <w:lvl w:ilvl="4" w:tplc="0C090019" w:tentative="1">
      <w:start w:val="1"/>
      <w:numFmt w:val="lowerLetter"/>
      <w:lvlText w:val="%5."/>
      <w:lvlJc w:val="left"/>
      <w:pPr>
        <w:ind w:left="4104" w:hanging="360"/>
      </w:pPr>
    </w:lvl>
    <w:lvl w:ilvl="5" w:tplc="0C09001B" w:tentative="1">
      <w:start w:val="1"/>
      <w:numFmt w:val="lowerRoman"/>
      <w:lvlText w:val="%6."/>
      <w:lvlJc w:val="right"/>
      <w:pPr>
        <w:ind w:left="4824" w:hanging="180"/>
      </w:pPr>
    </w:lvl>
    <w:lvl w:ilvl="6" w:tplc="0C09000F" w:tentative="1">
      <w:start w:val="1"/>
      <w:numFmt w:val="decimal"/>
      <w:lvlText w:val="%7."/>
      <w:lvlJc w:val="left"/>
      <w:pPr>
        <w:ind w:left="5544" w:hanging="360"/>
      </w:pPr>
    </w:lvl>
    <w:lvl w:ilvl="7" w:tplc="0C090019" w:tentative="1">
      <w:start w:val="1"/>
      <w:numFmt w:val="lowerLetter"/>
      <w:lvlText w:val="%8."/>
      <w:lvlJc w:val="left"/>
      <w:pPr>
        <w:ind w:left="6264" w:hanging="360"/>
      </w:pPr>
    </w:lvl>
    <w:lvl w:ilvl="8" w:tplc="0C09001B" w:tentative="1">
      <w:start w:val="1"/>
      <w:numFmt w:val="lowerRoman"/>
      <w:lvlText w:val="%9."/>
      <w:lvlJc w:val="right"/>
      <w:pPr>
        <w:ind w:left="6984" w:hanging="180"/>
      </w:pPr>
    </w:lvl>
  </w:abstractNum>
  <w:abstractNum w:abstractNumId="5" w15:restartNumberingAfterBreak="0">
    <w:nsid w:val="708B5600"/>
    <w:multiLevelType w:val="hybridMultilevel"/>
    <w:tmpl w:val="C00C124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4232303"/>
    <w:multiLevelType w:val="hybridMultilevel"/>
    <w:tmpl w:val="EA9E5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78A283D"/>
    <w:multiLevelType w:val="hybridMultilevel"/>
    <w:tmpl w:val="8E5CFC9E"/>
    <w:lvl w:ilvl="0" w:tplc="BDFC27FC">
      <w:start w:val="1"/>
      <w:numFmt w:val="bullet"/>
      <w:pStyle w:val="ListBullet2"/>
      <w:lvlText w:val=""/>
      <w:lvlJc w:val="righ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7"/>
  </w:num>
  <w:num w:numId="2">
    <w:abstractNumId w:val="3"/>
  </w:num>
  <w:num w:numId="3">
    <w:abstractNumId w:val="5"/>
  </w:num>
  <w:num w:numId="4">
    <w:abstractNumId w:val="6"/>
  </w:num>
  <w:num w:numId="5">
    <w:abstractNumId w:val="4"/>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1A3"/>
    <w:rsid w:val="00013155"/>
    <w:rsid w:val="00017743"/>
    <w:rsid w:val="0003194B"/>
    <w:rsid w:val="00046837"/>
    <w:rsid w:val="0005044D"/>
    <w:rsid w:val="00082DEC"/>
    <w:rsid w:val="00083CB6"/>
    <w:rsid w:val="00087A8C"/>
    <w:rsid w:val="00087D9E"/>
    <w:rsid w:val="00091633"/>
    <w:rsid w:val="00093EBF"/>
    <w:rsid w:val="000942CF"/>
    <w:rsid w:val="00094FDA"/>
    <w:rsid w:val="000966BC"/>
    <w:rsid w:val="000A408C"/>
    <w:rsid w:val="000B46B0"/>
    <w:rsid w:val="000C1462"/>
    <w:rsid w:val="000C5021"/>
    <w:rsid w:val="000D72B5"/>
    <w:rsid w:val="000E2146"/>
    <w:rsid w:val="000F21B2"/>
    <w:rsid w:val="000F26AA"/>
    <w:rsid w:val="000F499E"/>
    <w:rsid w:val="000F4B8C"/>
    <w:rsid w:val="000F6120"/>
    <w:rsid w:val="000F7630"/>
    <w:rsid w:val="00100E3D"/>
    <w:rsid w:val="00121269"/>
    <w:rsid w:val="00123D50"/>
    <w:rsid w:val="00133BA3"/>
    <w:rsid w:val="00142AF2"/>
    <w:rsid w:val="001543E9"/>
    <w:rsid w:val="00154631"/>
    <w:rsid w:val="001563D2"/>
    <w:rsid w:val="00156929"/>
    <w:rsid w:val="001624DC"/>
    <w:rsid w:val="001675E8"/>
    <w:rsid w:val="00184C63"/>
    <w:rsid w:val="00185309"/>
    <w:rsid w:val="00191F03"/>
    <w:rsid w:val="001A0F96"/>
    <w:rsid w:val="001B11B4"/>
    <w:rsid w:val="001B5D1B"/>
    <w:rsid w:val="001B611B"/>
    <w:rsid w:val="001C236F"/>
    <w:rsid w:val="001C440B"/>
    <w:rsid w:val="001C4FC6"/>
    <w:rsid w:val="001E4028"/>
    <w:rsid w:val="001E706D"/>
    <w:rsid w:val="00204830"/>
    <w:rsid w:val="00220D62"/>
    <w:rsid w:val="002303A6"/>
    <w:rsid w:val="00230E66"/>
    <w:rsid w:val="00231BF1"/>
    <w:rsid w:val="00240788"/>
    <w:rsid w:val="00240DE5"/>
    <w:rsid w:val="00265601"/>
    <w:rsid w:val="002763AE"/>
    <w:rsid w:val="002A6105"/>
    <w:rsid w:val="002D1984"/>
    <w:rsid w:val="002D3D74"/>
    <w:rsid w:val="002E5A0C"/>
    <w:rsid w:val="00306378"/>
    <w:rsid w:val="00307518"/>
    <w:rsid w:val="00313442"/>
    <w:rsid w:val="00313C40"/>
    <w:rsid w:val="00322694"/>
    <w:rsid w:val="00326BB1"/>
    <w:rsid w:val="00331921"/>
    <w:rsid w:val="00334C37"/>
    <w:rsid w:val="003372D8"/>
    <w:rsid w:val="0033790E"/>
    <w:rsid w:val="00342A8B"/>
    <w:rsid w:val="00353701"/>
    <w:rsid w:val="00360C7A"/>
    <w:rsid w:val="00361E4F"/>
    <w:rsid w:val="00381E8E"/>
    <w:rsid w:val="003832D4"/>
    <w:rsid w:val="00393F63"/>
    <w:rsid w:val="003A3EC3"/>
    <w:rsid w:val="003A45B7"/>
    <w:rsid w:val="003A4F0D"/>
    <w:rsid w:val="003B3537"/>
    <w:rsid w:val="003B393B"/>
    <w:rsid w:val="003B741F"/>
    <w:rsid w:val="003C2069"/>
    <w:rsid w:val="003C44B0"/>
    <w:rsid w:val="003C4B9B"/>
    <w:rsid w:val="003D13FC"/>
    <w:rsid w:val="003D40DF"/>
    <w:rsid w:val="003E0307"/>
    <w:rsid w:val="003F3058"/>
    <w:rsid w:val="003F4A89"/>
    <w:rsid w:val="00401224"/>
    <w:rsid w:val="004025AA"/>
    <w:rsid w:val="00403941"/>
    <w:rsid w:val="00410591"/>
    <w:rsid w:val="004209DD"/>
    <w:rsid w:val="00420CE6"/>
    <w:rsid w:val="00422F3E"/>
    <w:rsid w:val="00432429"/>
    <w:rsid w:val="00433548"/>
    <w:rsid w:val="00440C90"/>
    <w:rsid w:val="00445A2B"/>
    <w:rsid w:val="00450ACD"/>
    <w:rsid w:val="004526CD"/>
    <w:rsid w:val="004613FE"/>
    <w:rsid w:val="00463770"/>
    <w:rsid w:val="00463F87"/>
    <w:rsid w:val="0046530F"/>
    <w:rsid w:val="0047630B"/>
    <w:rsid w:val="00477993"/>
    <w:rsid w:val="0048285A"/>
    <w:rsid w:val="00486FD3"/>
    <w:rsid w:val="00491A06"/>
    <w:rsid w:val="00497A5C"/>
    <w:rsid w:val="004A71A5"/>
    <w:rsid w:val="004B6BCD"/>
    <w:rsid w:val="004C3E1A"/>
    <w:rsid w:val="004C58C2"/>
    <w:rsid w:val="004D47A7"/>
    <w:rsid w:val="004E2308"/>
    <w:rsid w:val="004E2DBE"/>
    <w:rsid w:val="004E657C"/>
    <w:rsid w:val="004F4B84"/>
    <w:rsid w:val="004F7D9D"/>
    <w:rsid w:val="005009E9"/>
    <w:rsid w:val="00513759"/>
    <w:rsid w:val="00524B94"/>
    <w:rsid w:val="00532407"/>
    <w:rsid w:val="00555789"/>
    <w:rsid w:val="00564A8F"/>
    <w:rsid w:val="0057015C"/>
    <w:rsid w:val="00573F62"/>
    <w:rsid w:val="00575AB7"/>
    <w:rsid w:val="00577B09"/>
    <w:rsid w:val="0058337F"/>
    <w:rsid w:val="00584B2F"/>
    <w:rsid w:val="00586C56"/>
    <w:rsid w:val="00586C78"/>
    <w:rsid w:val="005923BB"/>
    <w:rsid w:val="0059372C"/>
    <w:rsid w:val="005A38CC"/>
    <w:rsid w:val="005A5ED0"/>
    <w:rsid w:val="005B3BE4"/>
    <w:rsid w:val="005C2BFA"/>
    <w:rsid w:val="005D5BA7"/>
    <w:rsid w:val="005E1674"/>
    <w:rsid w:val="005E1F5C"/>
    <w:rsid w:val="005E235D"/>
    <w:rsid w:val="005F2D31"/>
    <w:rsid w:val="00605354"/>
    <w:rsid w:val="00606292"/>
    <w:rsid w:val="0061563A"/>
    <w:rsid w:val="00616964"/>
    <w:rsid w:val="006220CD"/>
    <w:rsid w:val="00622FF1"/>
    <w:rsid w:val="00626380"/>
    <w:rsid w:val="0062771F"/>
    <w:rsid w:val="00631A29"/>
    <w:rsid w:val="00631AEC"/>
    <w:rsid w:val="0063459B"/>
    <w:rsid w:val="006357E7"/>
    <w:rsid w:val="00635AB7"/>
    <w:rsid w:val="0064403B"/>
    <w:rsid w:val="0064699E"/>
    <w:rsid w:val="00656C6F"/>
    <w:rsid w:val="00657FF5"/>
    <w:rsid w:val="0066284A"/>
    <w:rsid w:val="00663ADF"/>
    <w:rsid w:val="00664159"/>
    <w:rsid w:val="006641C7"/>
    <w:rsid w:val="006660A6"/>
    <w:rsid w:val="0066614D"/>
    <w:rsid w:val="006662FF"/>
    <w:rsid w:val="0067058F"/>
    <w:rsid w:val="006725C8"/>
    <w:rsid w:val="00676B39"/>
    <w:rsid w:val="00681DE1"/>
    <w:rsid w:val="006B3229"/>
    <w:rsid w:val="006B32C9"/>
    <w:rsid w:val="006C0026"/>
    <w:rsid w:val="006C02E7"/>
    <w:rsid w:val="006C262B"/>
    <w:rsid w:val="006E5A9F"/>
    <w:rsid w:val="006E658A"/>
    <w:rsid w:val="006E7FE8"/>
    <w:rsid w:val="00705DD4"/>
    <w:rsid w:val="007367F2"/>
    <w:rsid w:val="00751CBB"/>
    <w:rsid w:val="007543F7"/>
    <w:rsid w:val="00761E28"/>
    <w:rsid w:val="00762483"/>
    <w:rsid w:val="0077075B"/>
    <w:rsid w:val="007A3B27"/>
    <w:rsid w:val="007A43A1"/>
    <w:rsid w:val="007C0653"/>
    <w:rsid w:val="007D290F"/>
    <w:rsid w:val="007E42F1"/>
    <w:rsid w:val="007F363B"/>
    <w:rsid w:val="00801A2F"/>
    <w:rsid w:val="00804B5D"/>
    <w:rsid w:val="0080549C"/>
    <w:rsid w:val="00813769"/>
    <w:rsid w:val="00813DA4"/>
    <w:rsid w:val="0082495C"/>
    <w:rsid w:val="008311F8"/>
    <w:rsid w:val="00832DEE"/>
    <w:rsid w:val="00832EF5"/>
    <w:rsid w:val="00866DC5"/>
    <w:rsid w:val="00867686"/>
    <w:rsid w:val="00867B71"/>
    <w:rsid w:val="00872037"/>
    <w:rsid w:val="008733B8"/>
    <w:rsid w:val="00875CAD"/>
    <w:rsid w:val="008859FA"/>
    <w:rsid w:val="00892892"/>
    <w:rsid w:val="008936DD"/>
    <w:rsid w:val="008B2A06"/>
    <w:rsid w:val="008B2C86"/>
    <w:rsid w:val="008B6EF6"/>
    <w:rsid w:val="008C0C2D"/>
    <w:rsid w:val="008C4BA9"/>
    <w:rsid w:val="008C5F4E"/>
    <w:rsid w:val="008D1960"/>
    <w:rsid w:val="008E7AB9"/>
    <w:rsid w:val="008E7B4A"/>
    <w:rsid w:val="008F1BBD"/>
    <w:rsid w:val="008F1E4E"/>
    <w:rsid w:val="008F282D"/>
    <w:rsid w:val="009032A3"/>
    <w:rsid w:val="009032B2"/>
    <w:rsid w:val="00905A92"/>
    <w:rsid w:val="009138BE"/>
    <w:rsid w:val="0091555E"/>
    <w:rsid w:val="00916094"/>
    <w:rsid w:val="0092093A"/>
    <w:rsid w:val="00923415"/>
    <w:rsid w:val="00926C02"/>
    <w:rsid w:val="00930176"/>
    <w:rsid w:val="009433F4"/>
    <w:rsid w:val="0095197F"/>
    <w:rsid w:val="009524AE"/>
    <w:rsid w:val="00954900"/>
    <w:rsid w:val="0096381E"/>
    <w:rsid w:val="00964FF6"/>
    <w:rsid w:val="00974F38"/>
    <w:rsid w:val="009915DF"/>
    <w:rsid w:val="0099349D"/>
    <w:rsid w:val="00994EE9"/>
    <w:rsid w:val="009A0D95"/>
    <w:rsid w:val="009A3DD9"/>
    <w:rsid w:val="009A3DEE"/>
    <w:rsid w:val="009A40F6"/>
    <w:rsid w:val="009A7038"/>
    <w:rsid w:val="009B737F"/>
    <w:rsid w:val="009C3766"/>
    <w:rsid w:val="009C6FBA"/>
    <w:rsid w:val="009C7DA8"/>
    <w:rsid w:val="009D47E0"/>
    <w:rsid w:val="009E06FC"/>
    <w:rsid w:val="009E6F1F"/>
    <w:rsid w:val="009F0CCA"/>
    <w:rsid w:val="00A12264"/>
    <w:rsid w:val="00A1267F"/>
    <w:rsid w:val="00A36E8C"/>
    <w:rsid w:val="00A50DFD"/>
    <w:rsid w:val="00A53ADD"/>
    <w:rsid w:val="00A54FD1"/>
    <w:rsid w:val="00A70785"/>
    <w:rsid w:val="00A70DC2"/>
    <w:rsid w:val="00A718F8"/>
    <w:rsid w:val="00A74253"/>
    <w:rsid w:val="00A811D8"/>
    <w:rsid w:val="00A81668"/>
    <w:rsid w:val="00A8308C"/>
    <w:rsid w:val="00A90D3C"/>
    <w:rsid w:val="00A91692"/>
    <w:rsid w:val="00A95AE4"/>
    <w:rsid w:val="00A961B8"/>
    <w:rsid w:val="00A96D80"/>
    <w:rsid w:val="00AA21A3"/>
    <w:rsid w:val="00AB68CD"/>
    <w:rsid w:val="00AC0AA1"/>
    <w:rsid w:val="00AD48F1"/>
    <w:rsid w:val="00AE36DB"/>
    <w:rsid w:val="00AE437F"/>
    <w:rsid w:val="00AF1604"/>
    <w:rsid w:val="00AF2FF2"/>
    <w:rsid w:val="00AF66E0"/>
    <w:rsid w:val="00B07F25"/>
    <w:rsid w:val="00B109C8"/>
    <w:rsid w:val="00B17572"/>
    <w:rsid w:val="00B2024F"/>
    <w:rsid w:val="00B44037"/>
    <w:rsid w:val="00B455B0"/>
    <w:rsid w:val="00B5052E"/>
    <w:rsid w:val="00B55D3E"/>
    <w:rsid w:val="00B62F5E"/>
    <w:rsid w:val="00B73596"/>
    <w:rsid w:val="00B83C64"/>
    <w:rsid w:val="00B85EEB"/>
    <w:rsid w:val="00B9440D"/>
    <w:rsid w:val="00B97155"/>
    <w:rsid w:val="00BA0F4F"/>
    <w:rsid w:val="00BB0939"/>
    <w:rsid w:val="00BB4542"/>
    <w:rsid w:val="00BB61E4"/>
    <w:rsid w:val="00BC1F9D"/>
    <w:rsid w:val="00BE2B97"/>
    <w:rsid w:val="00C03B93"/>
    <w:rsid w:val="00C15815"/>
    <w:rsid w:val="00C207AC"/>
    <w:rsid w:val="00C25F7E"/>
    <w:rsid w:val="00C3648D"/>
    <w:rsid w:val="00C41045"/>
    <w:rsid w:val="00C42257"/>
    <w:rsid w:val="00C43844"/>
    <w:rsid w:val="00C46CC8"/>
    <w:rsid w:val="00C508CF"/>
    <w:rsid w:val="00C52390"/>
    <w:rsid w:val="00C56698"/>
    <w:rsid w:val="00C70783"/>
    <w:rsid w:val="00C764C1"/>
    <w:rsid w:val="00C85411"/>
    <w:rsid w:val="00C85F8D"/>
    <w:rsid w:val="00CB063E"/>
    <w:rsid w:val="00CB1773"/>
    <w:rsid w:val="00CB2D78"/>
    <w:rsid w:val="00CB5EC4"/>
    <w:rsid w:val="00CB7DBC"/>
    <w:rsid w:val="00CC13AC"/>
    <w:rsid w:val="00CE1327"/>
    <w:rsid w:val="00CF34BF"/>
    <w:rsid w:val="00D0054C"/>
    <w:rsid w:val="00D144D0"/>
    <w:rsid w:val="00D159E8"/>
    <w:rsid w:val="00D214B2"/>
    <w:rsid w:val="00D30544"/>
    <w:rsid w:val="00D56533"/>
    <w:rsid w:val="00D615AA"/>
    <w:rsid w:val="00D61B3D"/>
    <w:rsid w:val="00D632F4"/>
    <w:rsid w:val="00D642AE"/>
    <w:rsid w:val="00D707CC"/>
    <w:rsid w:val="00D74BFF"/>
    <w:rsid w:val="00D75C03"/>
    <w:rsid w:val="00D906BD"/>
    <w:rsid w:val="00D9423C"/>
    <w:rsid w:val="00DA7F17"/>
    <w:rsid w:val="00DB3ECD"/>
    <w:rsid w:val="00DD5046"/>
    <w:rsid w:val="00DD5A24"/>
    <w:rsid w:val="00DE5DB5"/>
    <w:rsid w:val="00DE749B"/>
    <w:rsid w:val="00E00729"/>
    <w:rsid w:val="00E0239E"/>
    <w:rsid w:val="00E0529A"/>
    <w:rsid w:val="00E13AEC"/>
    <w:rsid w:val="00E17594"/>
    <w:rsid w:val="00E20BEB"/>
    <w:rsid w:val="00E22851"/>
    <w:rsid w:val="00E22FFE"/>
    <w:rsid w:val="00E30ED2"/>
    <w:rsid w:val="00E319A6"/>
    <w:rsid w:val="00E40C54"/>
    <w:rsid w:val="00E426FE"/>
    <w:rsid w:val="00E45DC9"/>
    <w:rsid w:val="00E461F6"/>
    <w:rsid w:val="00E46F06"/>
    <w:rsid w:val="00E57977"/>
    <w:rsid w:val="00E66732"/>
    <w:rsid w:val="00E724D6"/>
    <w:rsid w:val="00E73817"/>
    <w:rsid w:val="00E753AA"/>
    <w:rsid w:val="00E800C9"/>
    <w:rsid w:val="00EA75B0"/>
    <w:rsid w:val="00EC2A36"/>
    <w:rsid w:val="00EC58D9"/>
    <w:rsid w:val="00ED5BA8"/>
    <w:rsid w:val="00ED6C52"/>
    <w:rsid w:val="00EE7E0E"/>
    <w:rsid w:val="00EF44FF"/>
    <w:rsid w:val="00EF5354"/>
    <w:rsid w:val="00F11E47"/>
    <w:rsid w:val="00F15D97"/>
    <w:rsid w:val="00F23439"/>
    <w:rsid w:val="00F241DB"/>
    <w:rsid w:val="00F31BC9"/>
    <w:rsid w:val="00F339AC"/>
    <w:rsid w:val="00F450DF"/>
    <w:rsid w:val="00F4558B"/>
    <w:rsid w:val="00F50E5C"/>
    <w:rsid w:val="00F53FDF"/>
    <w:rsid w:val="00F55FB3"/>
    <w:rsid w:val="00F60F96"/>
    <w:rsid w:val="00F6195C"/>
    <w:rsid w:val="00F7104F"/>
    <w:rsid w:val="00F747A5"/>
    <w:rsid w:val="00F7683D"/>
    <w:rsid w:val="00F8755D"/>
    <w:rsid w:val="00F91D23"/>
    <w:rsid w:val="00FD3527"/>
    <w:rsid w:val="00FE73C3"/>
    <w:rsid w:val="00FE7536"/>
    <w:rsid w:val="00FF07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95B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1A3"/>
    <w:pPr>
      <w:spacing w:after="240" w:line="240" w:lineRule="auto"/>
      <w:outlineLvl w:val="0"/>
    </w:pPr>
    <w:rPr>
      <w:rFonts w:ascii="Arial" w:hAnsi="Arial" w:cs="Arial"/>
      <w:b/>
      <w:szCs w:val="21"/>
    </w:rPr>
  </w:style>
  <w:style w:type="paragraph" w:styleId="Heading2">
    <w:name w:val="heading 2"/>
    <w:basedOn w:val="Normal"/>
    <w:next w:val="Normal"/>
    <w:link w:val="Heading2Char"/>
    <w:uiPriority w:val="9"/>
    <w:qFormat/>
    <w:rsid w:val="00AA21A3"/>
    <w:pPr>
      <w:spacing w:after="240" w:line="240" w:lineRule="auto"/>
      <w:outlineLvl w:val="1"/>
    </w:pPr>
    <w:rPr>
      <w:rFonts w:ascii="Arial" w:hAnsi="Arial" w:cs="Arial"/>
      <w:i/>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1A3"/>
    <w:rPr>
      <w:rFonts w:ascii="Arial" w:hAnsi="Arial" w:cs="Arial"/>
      <w:b/>
      <w:szCs w:val="21"/>
    </w:rPr>
  </w:style>
  <w:style w:type="character" w:customStyle="1" w:styleId="Heading2Char">
    <w:name w:val="Heading 2 Char"/>
    <w:basedOn w:val="DefaultParagraphFont"/>
    <w:link w:val="Heading2"/>
    <w:uiPriority w:val="9"/>
    <w:rsid w:val="00AA21A3"/>
    <w:rPr>
      <w:rFonts w:ascii="Arial" w:hAnsi="Arial" w:cs="Arial"/>
      <w:i/>
      <w:color w:val="000000"/>
      <w:szCs w:val="21"/>
    </w:rPr>
  </w:style>
  <w:style w:type="paragraph" w:styleId="ListParagraph">
    <w:name w:val="List Paragraph"/>
    <w:basedOn w:val="Normal"/>
    <w:uiPriority w:val="34"/>
    <w:unhideWhenUsed/>
    <w:rsid w:val="00AA21A3"/>
    <w:pPr>
      <w:spacing w:after="240" w:line="240" w:lineRule="auto"/>
      <w:ind w:left="720"/>
      <w:contextualSpacing/>
    </w:pPr>
    <w:rPr>
      <w:rFonts w:ascii="Arial" w:hAnsi="Arial" w:cs="Arial"/>
      <w:szCs w:val="21"/>
    </w:rPr>
  </w:style>
  <w:style w:type="paragraph" w:styleId="ListBullet">
    <w:name w:val="List Bullet"/>
    <w:basedOn w:val="ListParagraph"/>
    <w:link w:val="ListBulletChar"/>
    <w:qFormat/>
    <w:rsid w:val="00AA21A3"/>
    <w:pPr>
      <w:numPr>
        <w:numId w:val="2"/>
      </w:numPr>
      <w:ind w:left="386" w:hanging="284"/>
      <w:contextualSpacing w:val="0"/>
    </w:pPr>
  </w:style>
  <w:style w:type="character" w:customStyle="1" w:styleId="ListBulletChar">
    <w:name w:val="List Bullet Char"/>
    <w:basedOn w:val="DefaultParagraphFont"/>
    <w:link w:val="ListBullet"/>
    <w:rsid w:val="00AA21A3"/>
    <w:rPr>
      <w:rFonts w:ascii="Arial" w:hAnsi="Arial" w:cs="Arial"/>
      <w:szCs w:val="21"/>
    </w:rPr>
  </w:style>
  <w:style w:type="paragraph" w:styleId="Footer">
    <w:name w:val="footer"/>
    <w:basedOn w:val="Normal"/>
    <w:link w:val="FooterChar"/>
    <w:uiPriority w:val="99"/>
    <w:unhideWhenUsed/>
    <w:rsid w:val="00AA21A3"/>
    <w:pPr>
      <w:tabs>
        <w:tab w:val="center" w:pos="4513"/>
        <w:tab w:val="right" w:pos="9026"/>
      </w:tabs>
      <w:spacing w:after="0" w:line="240" w:lineRule="auto"/>
    </w:pPr>
    <w:rPr>
      <w:rFonts w:ascii="Arial" w:hAnsi="Arial" w:cs="Arial"/>
      <w:szCs w:val="21"/>
    </w:rPr>
  </w:style>
  <w:style w:type="character" w:customStyle="1" w:styleId="FooterChar">
    <w:name w:val="Footer Char"/>
    <w:basedOn w:val="DefaultParagraphFont"/>
    <w:link w:val="Footer"/>
    <w:uiPriority w:val="99"/>
    <w:rsid w:val="00AA21A3"/>
    <w:rPr>
      <w:rFonts w:ascii="Arial" w:hAnsi="Arial" w:cs="Arial"/>
      <w:szCs w:val="21"/>
    </w:rPr>
  </w:style>
  <w:style w:type="paragraph" w:styleId="Title">
    <w:name w:val="Title"/>
    <w:basedOn w:val="Normal"/>
    <w:next w:val="Normal"/>
    <w:link w:val="TitleChar"/>
    <w:uiPriority w:val="10"/>
    <w:qFormat/>
    <w:rsid w:val="00AA21A3"/>
    <w:pPr>
      <w:spacing w:after="360" w:line="240" w:lineRule="auto"/>
      <w:jc w:val="center"/>
    </w:pPr>
    <w:rPr>
      <w:rFonts w:ascii="Arial" w:hAnsi="Arial" w:cs="Arial"/>
      <w:b/>
      <w:sz w:val="24"/>
      <w:szCs w:val="24"/>
    </w:rPr>
  </w:style>
  <w:style w:type="character" w:customStyle="1" w:styleId="TitleChar">
    <w:name w:val="Title Char"/>
    <w:basedOn w:val="DefaultParagraphFont"/>
    <w:link w:val="Title"/>
    <w:uiPriority w:val="10"/>
    <w:rsid w:val="00AA21A3"/>
    <w:rPr>
      <w:rFonts w:ascii="Arial" w:hAnsi="Arial" w:cs="Arial"/>
      <w:b/>
      <w:sz w:val="24"/>
      <w:szCs w:val="24"/>
    </w:rPr>
  </w:style>
  <w:style w:type="paragraph" w:styleId="ListBullet2">
    <w:name w:val="List Bullet 2"/>
    <w:basedOn w:val="ListParagraph"/>
    <w:qFormat/>
    <w:rsid w:val="00AA21A3"/>
    <w:pPr>
      <w:numPr>
        <w:numId w:val="1"/>
      </w:numPr>
      <w:ind w:left="777" w:hanging="284"/>
      <w:contextualSpacing w:val="0"/>
    </w:pPr>
  </w:style>
  <w:style w:type="paragraph" w:styleId="Quote">
    <w:name w:val="Quote"/>
    <w:basedOn w:val="Normal"/>
    <w:next w:val="Normal"/>
    <w:link w:val="QuoteChar"/>
    <w:uiPriority w:val="29"/>
    <w:qFormat/>
    <w:rsid w:val="00142AF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42AF2"/>
    <w:rPr>
      <w:i/>
      <w:iCs/>
      <w:color w:val="404040" w:themeColor="text1" w:themeTint="BF"/>
    </w:rPr>
  </w:style>
  <w:style w:type="character" w:styleId="CommentReference">
    <w:name w:val="annotation reference"/>
    <w:basedOn w:val="DefaultParagraphFont"/>
    <w:uiPriority w:val="99"/>
    <w:semiHidden/>
    <w:unhideWhenUsed/>
    <w:rsid w:val="00240788"/>
    <w:rPr>
      <w:sz w:val="16"/>
      <w:szCs w:val="16"/>
    </w:rPr>
  </w:style>
  <w:style w:type="paragraph" w:styleId="CommentText">
    <w:name w:val="annotation text"/>
    <w:basedOn w:val="Normal"/>
    <w:link w:val="CommentTextChar"/>
    <w:uiPriority w:val="99"/>
    <w:semiHidden/>
    <w:unhideWhenUsed/>
    <w:rsid w:val="00240788"/>
    <w:pPr>
      <w:spacing w:line="240" w:lineRule="auto"/>
    </w:pPr>
    <w:rPr>
      <w:sz w:val="20"/>
      <w:szCs w:val="20"/>
    </w:rPr>
  </w:style>
  <w:style w:type="character" w:customStyle="1" w:styleId="CommentTextChar">
    <w:name w:val="Comment Text Char"/>
    <w:basedOn w:val="DefaultParagraphFont"/>
    <w:link w:val="CommentText"/>
    <w:uiPriority w:val="99"/>
    <w:semiHidden/>
    <w:rsid w:val="00240788"/>
    <w:rPr>
      <w:sz w:val="20"/>
      <w:szCs w:val="20"/>
    </w:rPr>
  </w:style>
  <w:style w:type="paragraph" w:styleId="CommentSubject">
    <w:name w:val="annotation subject"/>
    <w:basedOn w:val="CommentText"/>
    <w:next w:val="CommentText"/>
    <w:link w:val="CommentSubjectChar"/>
    <w:uiPriority w:val="99"/>
    <w:semiHidden/>
    <w:unhideWhenUsed/>
    <w:rsid w:val="00240788"/>
    <w:rPr>
      <w:b/>
      <w:bCs/>
    </w:rPr>
  </w:style>
  <w:style w:type="character" w:customStyle="1" w:styleId="CommentSubjectChar">
    <w:name w:val="Comment Subject Char"/>
    <w:basedOn w:val="CommentTextChar"/>
    <w:link w:val="CommentSubject"/>
    <w:uiPriority w:val="99"/>
    <w:semiHidden/>
    <w:rsid w:val="00240788"/>
    <w:rPr>
      <w:b/>
      <w:bCs/>
      <w:sz w:val="20"/>
      <w:szCs w:val="20"/>
    </w:rPr>
  </w:style>
  <w:style w:type="paragraph" w:styleId="BalloonText">
    <w:name w:val="Balloon Text"/>
    <w:basedOn w:val="Normal"/>
    <w:link w:val="BalloonTextChar"/>
    <w:uiPriority w:val="99"/>
    <w:semiHidden/>
    <w:unhideWhenUsed/>
    <w:rsid w:val="002407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788"/>
    <w:rPr>
      <w:rFonts w:ascii="Segoe UI" w:hAnsi="Segoe UI" w:cs="Segoe UI"/>
      <w:sz w:val="18"/>
      <w:szCs w:val="18"/>
    </w:rPr>
  </w:style>
  <w:style w:type="character" w:styleId="Hyperlink">
    <w:name w:val="Hyperlink"/>
    <w:basedOn w:val="DefaultParagraphFont"/>
    <w:uiPriority w:val="99"/>
    <w:semiHidden/>
    <w:unhideWhenUsed/>
    <w:rsid w:val="00ED6C52"/>
    <w:rPr>
      <w:color w:val="0000FF"/>
      <w:u w:val="single"/>
    </w:rPr>
  </w:style>
  <w:style w:type="paragraph" w:styleId="Revision">
    <w:name w:val="Revision"/>
    <w:hidden/>
    <w:uiPriority w:val="99"/>
    <w:semiHidden/>
    <w:rsid w:val="00220D62"/>
    <w:pPr>
      <w:spacing w:after="0" w:line="240" w:lineRule="auto"/>
    </w:pPr>
  </w:style>
  <w:style w:type="paragraph" w:styleId="FootnoteText">
    <w:name w:val="footnote text"/>
    <w:basedOn w:val="Normal"/>
    <w:link w:val="FootnoteTextChar"/>
    <w:uiPriority w:val="99"/>
    <w:semiHidden/>
    <w:unhideWhenUsed/>
    <w:rsid w:val="00334C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4C37"/>
    <w:rPr>
      <w:sz w:val="20"/>
      <w:szCs w:val="20"/>
    </w:rPr>
  </w:style>
  <w:style w:type="character" w:styleId="FootnoteReference">
    <w:name w:val="footnote reference"/>
    <w:basedOn w:val="DefaultParagraphFont"/>
    <w:uiPriority w:val="99"/>
    <w:semiHidden/>
    <w:unhideWhenUsed/>
    <w:rsid w:val="00334C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540259">
      <w:bodyDiv w:val="1"/>
      <w:marLeft w:val="0"/>
      <w:marRight w:val="0"/>
      <w:marTop w:val="0"/>
      <w:marBottom w:val="0"/>
      <w:divBdr>
        <w:top w:val="none" w:sz="0" w:space="0" w:color="auto"/>
        <w:left w:val="none" w:sz="0" w:space="0" w:color="auto"/>
        <w:bottom w:val="none" w:sz="0" w:space="0" w:color="auto"/>
        <w:right w:val="none" w:sz="0" w:space="0" w:color="auto"/>
      </w:divBdr>
    </w:div>
    <w:div w:id="1755709498">
      <w:bodyDiv w:val="1"/>
      <w:marLeft w:val="0"/>
      <w:marRight w:val="0"/>
      <w:marTop w:val="0"/>
      <w:marBottom w:val="0"/>
      <w:divBdr>
        <w:top w:val="none" w:sz="0" w:space="0" w:color="auto"/>
        <w:left w:val="none" w:sz="0" w:space="0" w:color="auto"/>
        <w:bottom w:val="none" w:sz="0" w:space="0" w:color="auto"/>
        <w:right w:val="none" w:sz="0" w:space="0" w:color="auto"/>
      </w:divBdr>
    </w:div>
    <w:div w:id="179393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an.org.au/resources/national-youth-settlement-framewor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classic.austlii.edu.au/au/journals/PrecedentAULA/2015/1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EF859-E2C7-466E-B37A-A3D7D2EAF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7263</Words>
  <Characters>41402</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Submission DR179 - Australian Council of TESOL Associations (ACTA) - Indigenous Evaluation Strategy - Project</vt:lpstr>
    </vt:vector>
  </TitlesOfParts>
  <Manager/>
  <Company/>
  <LinksUpToDate>false</LinksUpToDate>
  <CharactersWithSpaces>48568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DR179 - Australian Council of TESOL Associations (ACTA) - Indigenous Evaluation Strategy - Project</dc:title>
  <dc:creator/>
  <cp:lastModifiedBy/>
  <cp:revision>1</cp:revision>
  <dcterms:created xsi:type="dcterms:W3CDTF">2020-10-01T03:30:00Z</dcterms:created>
  <dcterms:modified xsi:type="dcterms:W3CDTF">2020-10-01T05:29:00Z</dcterms:modified>
</cp:coreProperties>
</file>