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9C98" w14:textId="6ED3AE75" w:rsidR="00332AB9" w:rsidRPr="004442DD" w:rsidRDefault="005A225E">
      <w:pPr>
        <w:rPr>
          <w:rFonts w:ascii="Arial" w:hAnsi="Arial" w:cs="Arial"/>
          <w:lang w:val="en-AU"/>
        </w:rPr>
      </w:pPr>
      <w:r w:rsidRPr="004442DD">
        <w:rPr>
          <w:rFonts w:ascii="Arial" w:hAnsi="Arial" w:cs="Arial"/>
          <w:lang w:val="en-AU"/>
        </w:rPr>
        <w:t xml:space="preserve">Dear </w:t>
      </w:r>
      <w:r w:rsidR="00F667D1" w:rsidRPr="004442DD">
        <w:rPr>
          <w:rFonts w:ascii="Arial" w:hAnsi="Arial" w:cs="Arial"/>
          <w:lang w:val="en-AU"/>
        </w:rPr>
        <w:t>Productivity Commission</w:t>
      </w:r>
      <w:r w:rsidRPr="004442DD">
        <w:rPr>
          <w:rFonts w:ascii="Arial" w:hAnsi="Arial" w:cs="Arial"/>
          <w:lang w:val="en-AU"/>
        </w:rPr>
        <w:t>,</w:t>
      </w:r>
    </w:p>
    <w:p w14:paraId="435D2AEB" w14:textId="77777777" w:rsidR="008D569B" w:rsidRDefault="008D569B" w:rsidP="00662CC1">
      <w:pPr>
        <w:spacing w:after="0" w:line="240" w:lineRule="auto"/>
        <w:rPr>
          <w:rFonts w:ascii="Arial" w:eastAsia="Times New Roman" w:hAnsi="Arial" w:cs="Arial"/>
          <w:color w:val="000000"/>
          <w:kern w:val="0"/>
          <w:lang w:eastAsia="en-GB"/>
          <w14:ligatures w14:val="none"/>
        </w:rPr>
      </w:pPr>
    </w:p>
    <w:p w14:paraId="612DD12A" w14:textId="3BE10A84" w:rsidR="00662CC1" w:rsidRPr="00662CC1" w:rsidRDefault="00662CC1" w:rsidP="00662CC1">
      <w:pPr>
        <w:spacing w:after="0" w:line="240" w:lineRule="auto"/>
        <w:rPr>
          <w:rFonts w:ascii="Times New Roman" w:eastAsia="Times New Roman" w:hAnsi="Times New Roman" w:cs="Times New Roman"/>
          <w:kern w:val="0"/>
          <w:lang w:eastAsia="en-GB"/>
          <w14:ligatures w14:val="none"/>
        </w:rPr>
      </w:pPr>
      <w:r w:rsidRPr="00662CC1">
        <w:rPr>
          <w:rFonts w:ascii="Arial" w:eastAsia="Times New Roman" w:hAnsi="Arial" w:cs="Arial"/>
          <w:color w:val="000000"/>
          <w:kern w:val="0"/>
          <w:lang w:eastAsia="en-GB"/>
          <w14:ligatures w14:val="none"/>
        </w:rPr>
        <w:t>I feel like charity law has fallen out of step with what my peers and I care most about, and that my generation doesn’t have the same kinds of philanthropic organisations supporting us and our values as older generations do.</w:t>
      </w:r>
    </w:p>
    <w:p w14:paraId="35BE20DC" w14:textId="77777777" w:rsidR="00662CC1" w:rsidRPr="00662CC1" w:rsidRDefault="00662CC1" w:rsidP="00662CC1">
      <w:pPr>
        <w:spacing w:after="0" w:line="240" w:lineRule="auto"/>
        <w:rPr>
          <w:rFonts w:ascii="Times New Roman" w:eastAsia="Times New Roman" w:hAnsi="Times New Roman" w:cs="Times New Roman"/>
          <w:kern w:val="0"/>
          <w:lang w:eastAsia="en-GB"/>
          <w14:ligatures w14:val="none"/>
        </w:rPr>
      </w:pPr>
    </w:p>
    <w:p w14:paraId="59FF6147" w14:textId="77777777" w:rsidR="00662CC1" w:rsidRPr="00662CC1" w:rsidRDefault="00662CC1" w:rsidP="00662CC1">
      <w:pPr>
        <w:spacing w:after="0" w:line="240" w:lineRule="auto"/>
        <w:rPr>
          <w:rFonts w:ascii="Times New Roman" w:eastAsia="Times New Roman" w:hAnsi="Times New Roman" w:cs="Times New Roman"/>
          <w:kern w:val="0"/>
          <w:lang w:eastAsia="en-GB"/>
          <w14:ligatures w14:val="none"/>
        </w:rPr>
      </w:pPr>
      <w:r w:rsidRPr="00662CC1">
        <w:rPr>
          <w:rFonts w:ascii="Arial" w:eastAsia="Times New Roman" w:hAnsi="Arial" w:cs="Arial"/>
          <w:color w:val="000000"/>
          <w:kern w:val="0"/>
          <w:lang w:eastAsia="en-GB"/>
          <w14:ligatures w14:val="none"/>
        </w:rPr>
        <w:t xml:space="preserve">To achieve goals like growing donations and increasing community engagement, charity laws should build incentive structures that foster organisations that work on the kinds of issues that younger generations of Australians care the most about. </w:t>
      </w:r>
    </w:p>
    <w:p w14:paraId="1F68CC9D" w14:textId="77777777" w:rsidR="005A225E" w:rsidRPr="004442DD" w:rsidRDefault="005A225E">
      <w:pPr>
        <w:rPr>
          <w:lang w:val="en-AU"/>
        </w:rPr>
      </w:pPr>
    </w:p>
    <w:p w14:paraId="778FE917" w14:textId="649163F0" w:rsidR="004442DD" w:rsidRPr="004442DD" w:rsidRDefault="004442DD" w:rsidP="004442DD">
      <w:pPr>
        <w:spacing w:after="0" w:line="240" w:lineRule="auto"/>
        <w:rPr>
          <w:rFonts w:ascii="Times New Roman" w:eastAsia="Times New Roman" w:hAnsi="Times New Roman" w:cs="Times New Roman"/>
          <w:kern w:val="0"/>
          <w:lang w:eastAsia="en-GB"/>
          <w14:ligatures w14:val="none"/>
        </w:rPr>
      </w:pPr>
      <w:r w:rsidRPr="004442DD">
        <w:rPr>
          <w:rFonts w:ascii="Arial" w:eastAsia="Times New Roman" w:hAnsi="Arial" w:cs="Arial"/>
          <w:color w:val="000000"/>
          <w:kern w:val="0"/>
          <w:lang w:eastAsia="en-GB"/>
          <w14:ligatures w14:val="none"/>
        </w:rPr>
        <w:t>I would like to raise with the Inquiry:</w:t>
      </w:r>
      <w:r w:rsidRPr="004442DD">
        <w:rPr>
          <w:rFonts w:ascii="Times New Roman" w:eastAsia="Times New Roman" w:hAnsi="Times New Roman" w:cs="Times New Roman"/>
          <w:kern w:val="0"/>
          <w:lang w:eastAsia="en-GB"/>
          <w14:ligatures w14:val="none"/>
        </w:rPr>
        <w:br/>
      </w:r>
    </w:p>
    <w:p w14:paraId="66EE1D66" w14:textId="77777777" w:rsidR="004442DD" w:rsidRPr="004442DD" w:rsidRDefault="004442DD" w:rsidP="004442DD">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4442DD">
        <w:rPr>
          <w:rFonts w:ascii="Arial" w:eastAsia="Times New Roman" w:hAnsi="Arial" w:cs="Arial"/>
          <w:color w:val="000000"/>
          <w:kern w:val="0"/>
          <w:lang w:eastAsia="en-GB"/>
          <w14:ligatures w14:val="none"/>
        </w:rPr>
        <w:t xml:space="preserve">The need to realign DGR status with the values of today’s Australians </w:t>
      </w:r>
      <w:r w:rsidRPr="004442DD">
        <w:rPr>
          <w:rFonts w:ascii="Arial" w:eastAsia="Times New Roman" w:hAnsi="Arial" w:cs="Arial"/>
          <w:i/>
          <w:iCs/>
          <w:color w:val="000000"/>
          <w:kern w:val="0"/>
          <w:lang w:eastAsia="en-GB"/>
          <w14:ligatures w14:val="none"/>
        </w:rPr>
        <w:t>(2.ii, 3.ii, 5, 6)</w:t>
      </w:r>
    </w:p>
    <w:p w14:paraId="57EAD09C" w14:textId="77777777" w:rsidR="004442DD" w:rsidRPr="004442DD" w:rsidRDefault="004442DD" w:rsidP="004442DD">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4442DD">
        <w:rPr>
          <w:rFonts w:ascii="Arial" w:eastAsia="Times New Roman" w:hAnsi="Arial" w:cs="Arial"/>
          <w:color w:val="000000"/>
          <w:kern w:val="0"/>
          <w:lang w:eastAsia="en-GB"/>
          <w14:ligatures w14:val="none"/>
        </w:rPr>
        <w:t>Allowing Public Benevolent Institutions to properly support their communities (2.iii, 3.i)</w:t>
      </w:r>
    </w:p>
    <w:p w14:paraId="699F4319" w14:textId="77777777" w:rsidR="004442DD" w:rsidRPr="004442DD" w:rsidRDefault="004442DD" w:rsidP="004442DD">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4442DD">
        <w:rPr>
          <w:rFonts w:ascii="Arial" w:eastAsia="Times New Roman" w:hAnsi="Arial" w:cs="Arial"/>
          <w:color w:val="000000"/>
          <w:kern w:val="0"/>
          <w:lang w:eastAsia="en-GB"/>
          <w14:ligatures w14:val="none"/>
        </w:rPr>
        <w:t>The way in which DGR-status charities shaping Government policy can make democracy work better for communities (3.i, 5, 6.iii)</w:t>
      </w:r>
    </w:p>
    <w:p w14:paraId="1DDE026E" w14:textId="77777777" w:rsidR="004442DD" w:rsidRPr="004442DD" w:rsidRDefault="004442DD" w:rsidP="004442DD">
      <w:pPr>
        <w:spacing w:after="0" w:line="240" w:lineRule="auto"/>
        <w:rPr>
          <w:rFonts w:ascii="Times New Roman" w:eastAsia="Times New Roman" w:hAnsi="Times New Roman" w:cs="Times New Roman"/>
          <w:kern w:val="0"/>
          <w:lang w:eastAsia="en-GB"/>
          <w14:ligatures w14:val="none"/>
        </w:rPr>
      </w:pPr>
    </w:p>
    <w:p w14:paraId="15B25B47" w14:textId="214F2340" w:rsidR="005A225E" w:rsidRPr="008D569B" w:rsidRDefault="004442DD" w:rsidP="008D569B">
      <w:pPr>
        <w:spacing w:after="0" w:line="240" w:lineRule="auto"/>
        <w:rPr>
          <w:rFonts w:ascii="Times New Roman" w:eastAsia="Times New Roman" w:hAnsi="Times New Roman" w:cs="Times New Roman"/>
          <w:kern w:val="0"/>
          <w:lang w:eastAsia="en-GB"/>
          <w14:ligatures w14:val="none"/>
        </w:rPr>
      </w:pPr>
      <w:r w:rsidRPr="004442DD">
        <w:rPr>
          <w:rFonts w:ascii="Arial" w:eastAsia="Times New Roman" w:hAnsi="Arial" w:cs="Arial"/>
          <w:color w:val="000000"/>
          <w:kern w:val="0"/>
          <w:lang w:eastAsia="en-GB"/>
          <w14:ligatures w14:val="none"/>
        </w:rPr>
        <w:t>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 </w:t>
      </w:r>
    </w:p>
    <w:p w14:paraId="46C39158" w14:textId="77777777" w:rsidR="00CA1E93" w:rsidRDefault="00CA1E93">
      <w:pPr>
        <w:rPr>
          <w:lang w:val="en-AU"/>
        </w:rPr>
      </w:pPr>
    </w:p>
    <w:p w14:paraId="48901592"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b/>
          <w:bCs/>
          <w:color w:val="000000"/>
          <w:kern w:val="0"/>
          <w:lang w:eastAsia="en-GB"/>
          <w14:ligatures w14:val="none"/>
        </w:rPr>
        <w:t>Animal Welfare as a whole should be a DGR class, not just short-term direct care of animals (Information request 4)</w:t>
      </w:r>
    </w:p>
    <w:p w14:paraId="5A986432"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p>
    <w:p w14:paraId="2348AA0F"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color w:val="000000"/>
          <w:kern w:val="0"/>
          <w:lang w:eastAsia="en-GB"/>
          <w14:ligatures w14:val="none"/>
        </w:rPr>
        <w:t>I am concerned about animal welfare, including in our agricultural sector. I know, both from public polling and from interactions with my friends, family and community, that this concern is widely shared by Australians and only growing.</w:t>
      </w:r>
    </w:p>
    <w:p w14:paraId="35B0B766"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p>
    <w:p w14:paraId="57789580"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color w:val="000000"/>
          <w:kern w:val="0"/>
          <w:lang w:eastAsia="en-GB"/>
          <w14:ligatures w14:val="none"/>
        </w:rPr>
        <w:t xml:space="preserve">I think the phrasing of the charitable purpose regarding animals in the </w:t>
      </w:r>
      <w:r w:rsidRPr="0054145D">
        <w:rPr>
          <w:rFonts w:ascii="Arial" w:eastAsia="Times New Roman" w:hAnsi="Arial" w:cs="Arial"/>
          <w:i/>
          <w:iCs/>
          <w:color w:val="000000"/>
          <w:kern w:val="0"/>
          <w:lang w:eastAsia="en-GB"/>
          <w14:ligatures w14:val="none"/>
        </w:rPr>
        <w:t>Charities Act</w:t>
      </w:r>
      <w:r w:rsidRPr="0054145D">
        <w:rPr>
          <w:rFonts w:ascii="Arial" w:eastAsia="Times New Roman" w:hAnsi="Arial" w:cs="Arial"/>
          <w:color w:val="000000"/>
          <w:kern w:val="0"/>
          <w:lang w:eastAsia="en-GB"/>
          <w14:ligatures w14:val="none"/>
        </w:rPr>
        <w:t xml:space="preserve"> makes sense. “Preventing or relieving the suffering of animals” is a clear and laudable concept. However, the way that 4.1.6 of the </w:t>
      </w:r>
      <w:r w:rsidRPr="0054145D">
        <w:rPr>
          <w:rFonts w:ascii="Arial" w:eastAsia="Times New Roman" w:hAnsi="Arial" w:cs="Arial"/>
          <w:i/>
          <w:iCs/>
          <w:color w:val="000000"/>
          <w:kern w:val="0"/>
          <w:lang w:eastAsia="en-GB"/>
          <w14:ligatures w14:val="none"/>
        </w:rPr>
        <w:t>Tax Act</w:t>
      </w:r>
      <w:r w:rsidRPr="0054145D">
        <w:rPr>
          <w:rFonts w:ascii="Arial" w:eastAsia="Times New Roman" w:hAnsi="Arial" w:cs="Arial"/>
          <w:color w:val="000000"/>
          <w:kern w:val="0"/>
          <w:lang w:eastAsia="en-GB"/>
          <w14:ligatures w14:val="none"/>
        </w:rPr>
        <w:t xml:space="preserve"> narrows that down to organisations whose principal activity is “</w:t>
      </w:r>
      <w:r w:rsidRPr="0054145D">
        <w:rPr>
          <w:rFonts w:ascii="Arial" w:eastAsia="Times New Roman" w:hAnsi="Arial" w:cs="Arial"/>
          <w:i/>
          <w:iCs/>
          <w:color w:val="000000"/>
          <w:kern w:val="0"/>
          <w:lang w:eastAsia="en-GB"/>
          <w14:ligatures w14:val="none"/>
        </w:rPr>
        <w:t>providing short-term direct care to animals (but not only native wildlife) that have been lost, mistreated or are without owners</w:t>
      </w:r>
      <w:r w:rsidRPr="0054145D">
        <w:rPr>
          <w:rFonts w:ascii="Arial" w:eastAsia="Times New Roman" w:hAnsi="Arial" w:cs="Arial"/>
          <w:color w:val="000000"/>
          <w:kern w:val="0"/>
          <w:lang w:eastAsia="en-GB"/>
          <w14:ligatures w14:val="none"/>
        </w:rPr>
        <w:t>” or “</w:t>
      </w:r>
      <w:r w:rsidRPr="0054145D">
        <w:rPr>
          <w:rFonts w:ascii="Arial" w:eastAsia="Times New Roman" w:hAnsi="Arial" w:cs="Arial"/>
          <w:i/>
          <w:iCs/>
          <w:color w:val="000000"/>
          <w:kern w:val="0"/>
          <w:lang w:eastAsia="en-GB"/>
          <w14:ligatures w14:val="none"/>
        </w:rPr>
        <w:t>rehabilitating orphaned, sick or injured animals (but not only native wildlife) that have been lost, mistreated or are without owners</w:t>
      </w:r>
      <w:r w:rsidRPr="0054145D">
        <w:rPr>
          <w:rFonts w:ascii="Arial" w:eastAsia="Times New Roman" w:hAnsi="Arial" w:cs="Arial"/>
          <w:color w:val="000000"/>
          <w:kern w:val="0"/>
          <w:lang w:eastAsia="en-GB"/>
          <w14:ligatures w14:val="none"/>
        </w:rPr>
        <w:t>” is obviously unreasonable. </w:t>
      </w:r>
    </w:p>
    <w:p w14:paraId="480C3A59"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p>
    <w:p w14:paraId="182742EC"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color w:val="000000"/>
          <w:kern w:val="0"/>
          <w:lang w:eastAsia="en-GB"/>
          <w14:ligatures w14:val="none"/>
        </w:rPr>
        <w:t>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Limiting DGR – a significant boost to the efficacy of charities who can access it – to only “bandaid solutions” limits the impact of the cause overall.  </w:t>
      </w:r>
    </w:p>
    <w:p w14:paraId="353F225D"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color w:val="000000"/>
          <w:kern w:val="0"/>
          <w:lang w:eastAsia="en-GB"/>
          <w14:ligatures w14:val="none"/>
        </w:rPr>
        <w:t> </w:t>
      </w:r>
    </w:p>
    <w:p w14:paraId="52162054"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color w:val="000000"/>
          <w:kern w:val="0"/>
          <w:lang w:eastAsia="en-GB"/>
          <w14:ligatures w14:val="none"/>
        </w:rPr>
        <w:t>I sympathise with concerns that a dramatic expansion of DGR status could have impacts on the tax base. I think, if DGR is going to be expanded gradually, prioritisation should be based on where the most positive impact can be achieved per dollar, and with a view to aligning DGR status with the values of modern Australians.</w:t>
      </w:r>
    </w:p>
    <w:p w14:paraId="35E3087D"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p>
    <w:p w14:paraId="61C9724F" w14:textId="77777777" w:rsidR="0054145D" w:rsidRPr="0054145D" w:rsidRDefault="0054145D" w:rsidP="0054145D">
      <w:pPr>
        <w:spacing w:after="0" w:line="240" w:lineRule="auto"/>
        <w:rPr>
          <w:rFonts w:ascii="Times New Roman" w:eastAsia="Times New Roman" w:hAnsi="Times New Roman" w:cs="Times New Roman"/>
          <w:kern w:val="0"/>
          <w:sz w:val="24"/>
          <w:szCs w:val="24"/>
          <w:lang w:eastAsia="en-GB"/>
          <w14:ligatures w14:val="none"/>
        </w:rPr>
      </w:pPr>
      <w:r w:rsidRPr="0054145D">
        <w:rPr>
          <w:rFonts w:ascii="Arial" w:eastAsia="Times New Roman" w:hAnsi="Arial" w:cs="Arial"/>
          <w:color w:val="000000"/>
          <w:kern w:val="0"/>
          <w:lang w:eastAsia="en-GB"/>
          <w14:ligatures w14:val="none"/>
        </w:rPr>
        <w:t xml:space="preserve">Charity evaluators, in their work assessing the potential good that could be achieved by working on different causes, consistently agree that animal welfare is one of the most </w:t>
      </w:r>
      <w:r w:rsidRPr="0054145D">
        <w:rPr>
          <w:rFonts w:ascii="Arial" w:eastAsia="Times New Roman" w:hAnsi="Arial" w:cs="Arial"/>
          <w:color w:val="000000"/>
          <w:kern w:val="0"/>
          <w:lang w:eastAsia="en-GB"/>
          <w14:ligatures w14:val="none"/>
        </w:rPr>
        <w:lastRenderedPageBreak/>
        <w:t>impactful ways to do good. As a proxy for interest in the community, Roy Morgan has found that the trend in vegetarian eating continues to grow, with 2.5 million people in Australia (over 12% of the population) now eating all or almost all vegetarian. About 1 Australian decides to go meat-free every 5 minutes. Obviously, not everyone who cares deeply about animal welfare is a vegetarian, but this indicates that a very significant portion of the Australian population is motivated by this concern. Despite how widespread this view is, the community is currently underserved by charity law. This limits the extent to which we can make tax-deductible donations and limits the positive impact we can achieve through our donations.</w:t>
      </w:r>
    </w:p>
    <w:p w14:paraId="4DE2F477" w14:textId="77777777" w:rsidR="00CA1E93" w:rsidRDefault="00CA1E93">
      <w:pPr>
        <w:rPr>
          <w:lang w:val="en-AU"/>
        </w:rPr>
      </w:pPr>
    </w:p>
    <w:p w14:paraId="13C801C1"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r w:rsidRPr="0048610A">
        <w:rPr>
          <w:rFonts w:ascii="Arial" w:eastAsia="Times New Roman" w:hAnsi="Arial" w:cs="Arial"/>
          <w:b/>
          <w:bCs/>
          <w:color w:val="000000"/>
          <w:kern w:val="0"/>
          <w:lang w:eastAsia="en-GB"/>
          <w14:ligatures w14:val="none"/>
        </w:rPr>
        <w:t>PBI rules should not hamper community building (Information request 6)</w:t>
      </w:r>
    </w:p>
    <w:p w14:paraId="7AF809C6"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p>
    <w:p w14:paraId="189BE7C5"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r w:rsidRPr="0048610A">
        <w:rPr>
          <w:rFonts w:ascii="Arial" w:eastAsia="Times New Roman" w:hAnsi="Arial" w:cs="Arial"/>
          <w:color w:val="000000"/>
          <w:kern w:val="0"/>
          <w:lang w:eastAsia="en-GB"/>
          <w14:ligatures w14:val="none"/>
        </w:rPr>
        <w:t>I support Effective Altruism Australia and the work they’re doing to help effective altruism groups in universities and major cities. These EA groups are getting people excited about doing good, helping them think about impactful donations, running reading groups, and giving advice about impactful careers. But Effective Altruism Australia’s status as a “Public Benevolent Institution” limits the work of its community builders to align with EAA’s work on global health and poverty and “incidental” topics.</w:t>
      </w:r>
    </w:p>
    <w:p w14:paraId="30172757"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p>
    <w:p w14:paraId="034D05FB"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r w:rsidRPr="0048610A">
        <w:rPr>
          <w:rFonts w:ascii="Arial" w:eastAsia="Times New Roman" w:hAnsi="Arial" w:cs="Arial"/>
          <w:color w:val="000000"/>
          <w:kern w:val="0"/>
          <w:lang w:eastAsia="en-GB"/>
          <w14:ligatures w14:val="none"/>
        </w:rPr>
        <w:t>For instance, EAA community builders probably can’t facilitate a reading group on animal wellbeing because the wellbeing of animals isn’t “incidental or ancillary” to global poverty. I find it hard to understand why the law would stop the peak body of effective altruism in Australia from properly supporting effective altruism clubs in universities. I understand that a charity shouldn’t just be able to do anything, because that would open up the system to abuse, but supporting university clubs and city groups with the same philosophy and philanthropic goals is well within the normal operation of philanthropy. Given the Terms of Reference are framed around building social connection, it would seem a simple change for a big improvement to recommend to Government to remove narrow, PBI-specific rules around “dominant purpose” that prevent PBIs from doing work in their communities.</w:t>
      </w:r>
    </w:p>
    <w:p w14:paraId="3CEB2BB3"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p>
    <w:p w14:paraId="24F850BE" w14:textId="77777777" w:rsidR="0048610A" w:rsidRPr="0048610A" w:rsidRDefault="0048610A" w:rsidP="0048610A">
      <w:pPr>
        <w:spacing w:after="0" w:line="240" w:lineRule="auto"/>
        <w:rPr>
          <w:rFonts w:ascii="Times New Roman" w:eastAsia="Times New Roman" w:hAnsi="Times New Roman" w:cs="Times New Roman"/>
          <w:kern w:val="0"/>
          <w:sz w:val="24"/>
          <w:szCs w:val="24"/>
          <w:lang w:eastAsia="en-GB"/>
          <w14:ligatures w14:val="none"/>
        </w:rPr>
      </w:pPr>
      <w:r w:rsidRPr="0048610A">
        <w:rPr>
          <w:rFonts w:ascii="Arial" w:eastAsia="Times New Roman" w:hAnsi="Arial" w:cs="Arial"/>
          <w:color w:val="000000"/>
          <w:kern w:val="0"/>
          <w:lang w:eastAsia="en-GB"/>
          <w14:ligatures w14:val="none"/>
        </w:rPr>
        <w:t>A change to allow PBIs to also pursue other charitable purposes would help me and my group be more involved in our community and find more ways to do good. I think effective altruism clubs and similar groups, like One For The World, have the potential to be life-long sources of connection for younger Australians. But we need regulatory changes now so that we and these organisations can grow together.</w:t>
      </w:r>
    </w:p>
    <w:p w14:paraId="0DEA3A69" w14:textId="77777777" w:rsidR="00CA1E93" w:rsidRDefault="00CA1E93">
      <w:pPr>
        <w:rPr>
          <w:lang w:val="en-AU"/>
        </w:rPr>
      </w:pPr>
    </w:p>
    <w:p w14:paraId="6A51AE73"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r w:rsidRPr="006173FF">
        <w:rPr>
          <w:rFonts w:ascii="Arial" w:eastAsia="Times New Roman" w:hAnsi="Arial" w:cs="Arial"/>
          <w:b/>
          <w:bCs/>
          <w:color w:val="000000"/>
          <w:kern w:val="0"/>
          <w:lang w:eastAsia="en-GB"/>
          <w14:ligatures w14:val="none"/>
        </w:rPr>
        <w:t>The DGR Status Barrier: Why Advocacy-Focused Charities Are Left Out (Information request 4, 5)</w:t>
      </w:r>
    </w:p>
    <w:p w14:paraId="5A9E544F"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p>
    <w:p w14:paraId="07152F13"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r w:rsidRPr="006173FF">
        <w:rPr>
          <w:rFonts w:ascii="Arial" w:eastAsia="Times New Roman" w:hAnsi="Arial" w:cs="Arial"/>
          <w:color w:val="000000"/>
          <w:kern w:val="0"/>
          <w:lang w:eastAsia="en-GB"/>
          <w14:ligatures w14:val="none"/>
        </w:rPr>
        <w:t>I understand that the ACNC’s view is that a charity can promote or oppose a change to law, policy or practice, provided its advocacy is aligned with a charitable purpose. </w:t>
      </w:r>
    </w:p>
    <w:p w14:paraId="52BB8D3F"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p>
    <w:p w14:paraId="00267D36"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r w:rsidRPr="006173FF">
        <w:rPr>
          <w:rFonts w:ascii="Arial" w:eastAsia="Times New Roman" w:hAnsi="Arial" w:cs="Arial"/>
          <w:color w:val="000000"/>
          <w:kern w:val="0"/>
          <w:lang w:eastAsia="en-GB"/>
          <w14:ligatures w14:val="none"/>
        </w:rPr>
        <w:t>That is a good policy, but it largely misses the real problem. The real problem is that DGR status is almost essential to effectively being able to raise funds and employ talented staff, but the gateways to DGR status are narrow and typically exclude any framings around policy or advocacy.</w:t>
      </w:r>
    </w:p>
    <w:p w14:paraId="5F9E337E"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p>
    <w:p w14:paraId="532A4F6D"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r w:rsidRPr="006173FF">
        <w:rPr>
          <w:rFonts w:ascii="Arial" w:eastAsia="Times New Roman" w:hAnsi="Arial" w:cs="Arial"/>
          <w:color w:val="000000"/>
          <w:kern w:val="0"/>
          <w:lang w:eastAsia="en-GB"/>
          <w14:ligatures w14:val="none"/>
        </w:rPr>
        <w:t>So, while it’s technically true that a charity can engage in advocacy, DGR charities largely monopolise fundraising and staff attraction, and DGR status is not available to organisations that prioritise advocacy. </w:t>
      </w:r>
    </w:p>
    <w:p w14:paraId="1935EAFB"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p>
    <w:p w14:paraId="4484659E"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r w:rsidRPr="006173FF">
        <w:rPr>
          <w:rFonts w:ascii="Arial" w:eastAsia="Times New Roman" w:hAnsi="Arial" w:cs="Arial"/>
          <w:color w:val="000000"/>
          <w:kern w:val="0"/>
          <w:lang w:eastAsia="en-GB"/>
          <w14:ligatures w14:val="none"/>
        </w:rPr>
        <w:lastRenderedPageBreak/>
        <w:t>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advantages. This should change, specifically by broadening out DGR classes so that advocacy-focused organisations can get DGR status. This problem is most obvious in the space of animal welfare, where DGR status is limited to certain kinds of animal rehabilitation. Charities that want to advocate for rules and approaches that mean animals don’t need rehabilitation in the first place don’t get DGR and are therefore limited in their ability to advocate. </w:t>
      </w:r>
    </w:p>
    <w:p w14:paraId="263B2E59"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p>
    <w:p w14:paraId="476DDEE7" w14:textId="77777777" w:rsidR="006173FF" w:rsidRPr="006173FF" w:rsidRDefault="006173FF" w:rsidP="006173FF">
      <w:pPr>
        <w:spacing w:after="0" w:line="240" w:lineRule="auto"/>
        <w:rPr>
          <w:rFonts w:ascii="Times New Roman" w:eastAsia="Times New Roman" w:hAnsi="Times New Roman" w:cs="Times New Roman"/>
          <w:kern w:val="0"/>
          <w:sz w:val="24"/>
          <w:szCs w:val="24"/>
          <w:lang w:eastAsia="en-GB"/>
          <w14:ligatures w14:val="none"/>
        </w:rPr>
      </w:pPr>
      <w:r w:rsidRPr="006173FF">
        <w:rPr>
          <w:rFonts w:ascii="Arial" w:eastAsia="Times New Roman" w:hAnsi="Arial" w:cs="Arial"/>
          <w:color w:val="000000"/>
          <w:kern w:val="0"/>
          <w:lang w:eastAsia="en-GB"/>
          <w14:ligatures w14:val="none"/>
        </w:rPr>
        <w:t>This change would make democracy fairer, help connect communities around the things they care about, and encourage donations. I know I’d feel more confident in our democracy if there were organisations whose values I aligned with that had active and powerful voices in the policy conversation. </w:t>
      </w:r>
    </w:p>
    <w:p w14:paraId="538FA17D" w14:textId="77777777" w:rsidR="004729EF" w:rsidRDefault="004729EF">
      <w:pPr>
        <w:rPr>
          <w:lang w:val="en-AU"/>
        </w:rPr>
      </w:pPr>
    </w:p>
    <w:p w14:paraId="393B5827" w14:textId="77777777" w:rsidR="004729EF" w:rsidRPr="004729EF" w:rsidRDefault="004729EF" w:rsidP="004729EF">
      <w:pPr>
        <w:spacing w:after="0" w:line="240" w:lineRule="auto"/>
        <w:rPr>
          <w:rFonts w:ascii="Times New Roman" w:eastAsia="Times New Roman" w:hAnsi="Times New Roman" w:cs="Times New Roman"/>
          <w:kern w:val="0"/>
          <w:sz w:val="24"/>
          <w:szCs w:val="24"/>
          <w:lang w:eastAsia="en-GB"/>
          <w14:ligatures w14:val="none"/>
        </w:rPr>
      </w:pPr>
      <w:r w:rsidRPr="004729EF">
        <w:rPr>
          <w:rFonts w:ascii="Arial" w:eastAsia="Times New Roman" w:hAnsi="Arial" w:cs="Arial"/>
          <w:b/>
          <w:bCs/>
          <w:color w:val="000000"/>
          <w:kern w:val="0"/>
          <w:lang w:eastAsia="en-GB"/>
          <w14:ligatures w14:val="none"/>
        </w:rPr>
        <w:t>Conclusion </w:t>
      </w:r>
    </w:p>
    <w:p w14:paraId="34B1B2D9" w14:textId="77777777" w:rsidR="004729EF" w:rsidRPr="004729EF" w:rsidRDefault="004729EF" w:rsidP="004729EF">
      <w:pPr>
        <w:spacing w:after="0" w:line="240" w:lineRule="auto"/>
        <w:rPr>
          <w:rFonts w:ascii="Times New Roman" w:eastAsia="Times New Roman" w:hAnsi="Times New Roman" w:cs="Times New Roman"/>
          <w:kern w:val="0"/>
          <w:sz w:val="24"/>
          <w:szCs w:val="24"/>
          <w:lang w:eastAsia="en-GB"/>
          <w14:ligatures w14:val="none"/>
        </w:rPr>
      </w:pPr>
    </w:p>
    <w:p w14:paraId="476601C8"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r w:rsidRPr="00F762BE">
        <w:rPr>
          <w:rFonts w:ascii="Arial" w:eastAsia="Times New Roman" w:hAnsi="Arial" w:cs="Arial"/>
          <w:color w:val="000000"/>
          <w:kern w:val="0"/>
          <w:lang w:eastAsia="en-GB"/>
          <w14:ligatures w14:val="none"/>
        </w:rPr>
        <w:t>In addition to the above arguments, if the Australian Government wants to double philanthropic giving and increase impact, it should lead from the front. </w:t>
      </w:r>
    </w:p>
    <w:p w14:paraId="2F5F1DD0"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p>
    <w:p w14:paraId="6F078B54"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r w:rsidRPr="00F762BE">
        <w:rPr>
          <w:rFonts w:ascii="Arial" w:eastAsia="Times New Roman" w:hAnsi="Arial" w:cs="Arial"/>
          <w:color w:val="000000"/>
          <w:kern w:val="0"/>
          <w:lang w:eastAsia="en-GB"/>
          <w14:ligatures w14:val="none"/>
        </w:rPr>
        <w:t>Australia’s Overseas Direct Aid as a proportion of Gross National Income (GNI)—the official measure of development assistance—is expected to remain at the 2021–22 level of 0.20%. </w:t>
      </w:r>
    </w:p>
    <w:p w14:paraId="0F78FC65"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p>
    <w:p w14:paraId="2F77714E"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r w:rsidRPr="00F762BE">
        <w:rPr>
          <w:rFonts w:ascii="Arial" w:eastAsia="Times New Roman" w:hAnsi="Arial" w:cs="Arial"/>
          <w:color w:val="000000"/>
          <w:kern w:val="0"/>
          <w:lang w:eastAsia="en-GB"/>
          <w14:ligatures w14:val="none"/>
        </w:rPr>
        <w:t>This continues to place Australia well below the OECD Development Assistance Committee (DAC) country average of 0.32%.</w:t>
      </w:r>
    </w:p>
    <w:p w14:paraId="1442832C"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p>
    <w:p w14:paraId="56AEED8C"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r w:rsidRPr="00F762BE">
        <w:rPr>
          <w:rFonts w:ascii="Arial" w:eastAsia="Times New Roman" w:hAnsi="Arial" w:cs="Arial"/>
          <w:color w:val="000000"/>
          <w:kern w:val="0"/>
          <w:lang w:eastAsia="en-GB"/>
          <w14:ligatures w14:val="none"/>
        </w:rPr>
        <w:t>In 2020 Australia ranked 21 out of 29 OECD DAC countries on the generosity of its aid, measured by the ODA-to-GNI ratio. On current estimates, Australia’s ODA-to-GNI ratio is expected to tail off to 0.17% by 2025–26.</w:t>
      </w:r>
    </w:p>
    <w:p w14:paraId="0FDC0767"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p>
    <w:p w14:paraId="0714B158"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r w:rsidRPr="00F762BE">
        <w:rPr>
          <w:rFonts w:ascii="Arial" w:eastAsia="Times New Roman" w:hAnsi="Arial" w:cs="Arial"/>
          <w:color w:val="000000"/>
          <w:kern w:val="0"/>
          <w:lang w:eastAsia="en-GB"/>
          <w14:ligatures w14:val="none"/>
        </w:rPr>
        <w:t>The UN’s ODA target is to spend 0.7 per cent of GNI on ODA every year. If the Australian Government wants to double giving by its citizens, it should show that it means business by doubling its own giving and focusing on using evidence to double the impact of the giving that it does do.</w:t>
      </w:r>
    </w:p>
    <w:p w14:paraId="3FE435EA" w14:textId="77777777" w:rsidR="00F762BE" w:rsidRPr="00F762BE" w:rsidRDefault="00F762BE" w:rsidP="00F762BE">
      <w:pPr>
        <w:spacing w:after="0" w:line="240" w:lineRule="auto"/>
        <w:rPr>
          <w:rFonts w:ascii="Times New Roman" w:eastAsia="Times New Roman" w:hAnsi="Times New Roman" w:cs="Times New Roman"/>
          <w:kern w:val="0"/>
          <w:sz w:val="24"/>
          <w:szCs w:val="24"/>
          <w:lang w:eastAsia="en-GB"/>
          <w14:ligatures w14:val="none"/>
        </w:rPr>
      </w:pPr>
    </w:p>
    <w:p w14:paraId="30F52DA5" w14:textId="429D17BB" w:rsidR="00F762BE" w:rsidRDefault="00F762BE" w:rsidP="00F762BE">
      <w:pPr>
        <w:spacing w:after="0" w:line="240" w:lineRule="auto"/>
        <w:rPr>
          <w:rFonts w:ascii="Arial" w:eastAsia="Times New Roman" w:hAnsi="Arial" w:cs="Arial"/>
          <w:color w:val="000000"/>
          <w:kern w:val="0"/>
          <w:lang w:eastAsia="en-GB"/>
          <w14:ligatures w14:val="none"/>
        </w:rPr>
      </w:pPr>
      <w:r w:rsidRPr="00F762BE">
        <w:rPr>
          <w:rFonts w:ascii="Arial" w:eastAsia="Times New Roman" w:hAnsi="Arial" w:cs="Arial"/>
          <w:color w:val="000000"/>
          <w:kern w:val="0"/>
          <w:lang w:eastAsia="en-GB"/>
          <w14:ligatures w14:val="none"/>
        </w:rPr>
        <w:t>I trust</w:t>
      </w:r>
      <w:r>
        <w:rPr>
          <w:rFonts w:ascii="Arial" w:eastAsia="Times New Roman" w:hAnsi="Arial" w:cs="Arial"/>
          <w:color w:val="000000"/>
          <w:kern w:val="0"/>
          <w:lang w:eastAsia="en-GB"/>
          <w14:ligatures w14:val="none"/>
        </w:rPr>
        <w:t xml:space="preserve"> that</w:t>
      </w:r>
      <w:r w:rsidRPr="00F762BE">
        <w:rPr>
          <w:rFonts w:ascii="Arial" w:eastAsia="Times New Roman" w:hAnsi="Arial" w:cs="Arial"/>
          <w:color w:val="000000"/>
          <w:kern w:val="0"/>
          <w:lang w:eastAsia="en-GB"/>
          <w14:ligatures w14:val="none"/>
        </w:rPr>
        <w:t xml:space="preserve"> this information has been valuable to the Productivity Commission.</w:t>
      </w:r>
    </w:p>
    <w:p w14:paraId="309539D6" w14:textId="77777777" w:rsidR="00C41EEC" w:rsidRDefault="00C41EEC" w:rsidP="00F762BE">
      <w:pPr>
        <w:spacing w:after="0" w:line="240" w:lineRule="auto"/>
        <w:rPr>
          <w:rFonts w:ascii="Arial" w:eastAsia="Times New Roman" w:hAnsi="Arial" w:cs="Arial"/>
          <w:color w:val="000000"/>
          <w:kern w:val="0"/>
          <w:lang w:eastAsia="en-GB"/>
          <w14:ligatures w14:val="none"/>
        </w:rPr>
      </w:pPr>
    </w:p>
    <w:p w14:paraId="7CD1A315" w14:textId="77777777" w:rsidR="00C41EEC" w:rsidRDefault="00C41EEC" w:rsidP="00F762BE">
      <w:pPr>
        <w:spacing w:after="0" w:line="240" w:lineRule="auto"/>
        <w:rPr>
          <w:rFonts w:ascii="Arial" w:eastAsia="Times New Roman" w:hAnsi="Arial" w:cs="Arial"/>
          <w:color w:val="000000"/>
          <w:kern w:val="0"/>
          <w:lang w:eastAsia="en-GB"/>
          <w14:ligatures w14:val="none"/>
        </w:rPr>
      </w:pPr>
    </w:p>
    <w:p w14:paraId="644EB9BF" w14:textId="77777777" w:rsidR="00CA1E93" w:rsidRDefault="00CA1E93" w:rsidP="00F762BE">
      <w:pPr>
        <w:spacing w:after="0" w:line="240" w:lineRule="auto"/>
        <w:rPr>
          <w:rFonts w:ascii="Arial" w:eastAsia="Times New Roman" w:hAnsi="Arial" w:cs="Arial"/>
          <w:color w:val="000000"/>
          <w:kern w:val="0"/>
          <w:lang w:eastAsia="en-GB"/>
          <w14:ligatures w14:val="none"/>
        </w:rPr>
      </w:pPr>
    </w:p>
    <w:p w14:paraId="36EE5AEB" w14:textId="46DBA5D6" w:rsidR="00C41EEC" w:rsidRDefault="00C41EEC" w:rsidP="00F762BE">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Sincerely,</w:t>
      </w:r>
    </w:p>
    <w:p w14:paraId="0E6D9158" w14:textId="77777777" w:rsidR="00C41EEC" w:rsidRDefault="00C41EEC" w:rsidP="00F762BE">
      <w:pPr>
        <w:spacing w:after="0" w:line="240" w:lineRule="auto"/>
        <w:rPr>
          <w:rFonts w:ascii="Arial" w:eastAsia="Times New Roman" w:hAnsi="Arial" w:cs="Arial"/>
          <w:color w:val="000000"/>
          <w:kern w:val="0"/>
          <w:lang w:eastAsia="en-GB"/>
          <w14:ligatures w14:val="none"/>
        </w:rPr>
      </w:pPr>
    </w:p>
    <w:p w14:paraId="32737547" w14:textId="1079C89C" w:rsidR="00C41EEC" w:rsidRPr="00F762BE" w:rsidRDefault="00C41EEC" w:rsidP="00F762BE">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Kasey K</w:t>
      </w:r>
      <w:r w:rsidR="00CA1E93">
        <w:rPr>
          <w:rFonts w:ascii="Arial" w:eastAsia="Times New Roman" w:hAnsi="Arial" w:cs="Arial"/>
          <w:color w:val="000000"/>
          <w:kern w:val="0"/>
          <w:lang w:eastAsia="en-GB"/>
          <w14:ligatures w14:val="none"/>
        </w:rPr>
        <w:t>ing</w:t>
      </w:r>
    </w:p>
    <w:p w14:paraId="1D680811" w14:textId="37CE6BDE" w:rsidR="00C41EEC" w:rsidRPr="004729EF" w:rsidRDefault="00C41EEC" w:rsidP="004729EF">
      <w:pPr>
        <w:spacing w:after="0" w:line="240" w:lineRule="auto"/>
        <w:rPr>
          <w:rFonts w:ascii="Times New Roman" w:eastAsia="Times New Roman" w:hAnsi="Times New Roman" w:cs="Times New Roman"/>
          <w:kern w:val="0"/>
          <w:sz w:val="24"/>
          <w:szCs w:val="24"/>
          <w:lang w:eastAsia="en-GB"/>
          <w14:ligatures w14:val="none"/>
        </w:rPr>
      </w:pPr>
    </w:p>
    <w:p w14:paraId="6D9E3D90" w14:textId="77777777" w:rsidR="00544A30" w:rsidRPr="005A225E" w:rsidRDefault="00544A30">
      <w:pPr>
        <w:rPr>
          <w:lang w:val="en-AU"/>
        </w:rPr>
      </w:pPr>
    </w:p>
    <w:sectPr w:rsidR="00544A30" w:rsidRPr="005A2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371"/>
    <w:multiLevelType w:val="multilevel"/>
    <w:tmpl w:val="1BDC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142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B9"/>
    <w:rsid w:val="00332AB9"/>
    <w:rsid w:val="004442DD"/>
    <w:rsid w:val="004729EF"/>
    <w:rsid w:val="0048610A"/>
    <w:rsid w:val="0054145D"/>
    <w:rsid w:val="00544A30"/>
    <w:rsid w:val="005A225E"/>
    <w:rsid w:val="00611C21"/>
    <w:rsid w:val="006173FF"/>
    <w:rsid w:val="00662CC1"/>
    <w:rsid w:val="008D569B"/>
    <w:rsid w:val="00C41EEC"/>
    <w:rsid w:val="00CA1E93"/>
    <w:rsid w:val="00D31904"/>
    <w:rsid w:val="00F667D1"/>
    <w:rsid w:val="00F7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8C7E"/>
  <w15:chartTrackingRefBased/>
  <w15:docId w15:val="{99939E96-970E-4C7D-880A-C274F4E5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2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86565">
      <w:bodyDiv w:val="1"/>
      <w:marLeft w:val="0"/>
      <w:marRight w:val="0"/>
      <w:marTop w:val="0"/>
      <w:marBottom w:val="0"/>
      <w:divBdr>
        <w:top w:val="none" w:sz="0" w:space="0" w:color="auto"/>
        <w:left w:val="none" w:sz="0" w:space="0" w:color="auto"/>
        <w:bottom w:val="none" w:sz="0" w:space="0" w:color="auto"/>
        <w:right w:val="none" w:sz="0" w:space="0" w:color="auto"/>
      </w:divBdr>
    </w:div>
    <w:div w:id="401416720">
      <w:bodyDiv w:val="1"/>
      <w:marLeft w:val="0"/>
      <w:marRight w:val="0"/>
      <w:marTop w:val="0"/>
      <w:marBottom w:val="0"/>
      <w:divBdr>
        <w:top w:val="none" w:sz="0" w:space="0" w:color="auto"/>
        <w:left w:val="none" w:sz="0" w:space="0" w:color="auto"/>
        <w:bottom w:val="none" w:sz="0" w:space="0" w:color="auto"/>
        <w:right w:val="none" w:sz="0" w:space="0" w:color="auto"/>
      </w:divBdr>
    </w:div>
    <w:div w:id="1014916267">
      <w:bodyDiv w:val="1"/>
      <w:marLeft w:val="0"/>
      <w:marRight w:val="0"/>
      <w:marTop w:val="0"/>
      <w:marBottom w:val="0"/>
      <w:divBdr>
        <w:top w:val="none" w:sz="0" w:space="0" w:color="auto"/>
        <w:left w:val="none" w:sz="0" w:space="0" w:color="auto"/>
        <w:bottom w:val="none" w:sz="0" w:space="0" w:color="auto"/>
        <w:right w:val="none" w:sz="0" w:space="0" w:color="auto"/>
      </w:divBdr>
    </w:div>
    <w:div w:id="1099983254">
      <w:bodyDiv w:val="1"/>
      <w:marLeft w:val="0"/>
      <w:marRight w:val="0"/>
      <w:marTop w:val="0"/>
      <w:marBottom w:val="0"/>
      <w:divBdr>
        <w:top w:val="none" w:sz="0" w:space="0" w:color="auto"/>
        <w:left w:val="none" w:sz="0" w:space="0" w:color="auto"/>
        <w:bottom w:val="none" w:sz="0" w:space="0" w:color="auto"/>
        <w:right w:val="none" w:sz="0" w:space="0" w:color="auto"/>
      </w:divBdr>
    </w:div>
    <w:div w:id="1103720709">
      <w:bodyDiv w:val="1"/>
      <w:marLeft w:val="0"/>
      <w:marRight w:val="0"/>
      <w:marTop w:val="0"/>
      <w:marBottom w:val="0"/>
      <w:divBdr>
        <w:top w:val="none" w:sz="0" w:space="0" w:color="auto"/>
        <w:left w:val="none" w:sz="0" w:space="0" w:color="auto"/>
        <w:bottom w:val="none" w:sz="0" w:space="0" w:color="auto"/>
        <w:right w:val="none" w:sz="0" w:space="0" w:color="auto"/>
      </w:divBdr>
    </w:div>
    <w:div w:id="1122920811">
      <w:bodyDiv w:val="1"/>
      <w:marLeft w:val="0"/>
      <w:marRight w:val="0"/>
      <w:marTop w:val="0"/>
      <w:marBottom w:val="0"/>
      <w:divBdr>
        <w:top w:val="none" w:sz="0" w:space="0" w:color="auto"/>
        <w:left w:val="none" w:sz="0" w:space="0" w:color="auto"/>
        <w:bottom w:val="none" w:sz="0" w:space="0" w:color="auto"/>
        <w:right w:val="none" w:sz="0" w:space="0" w:color="auto"/>
      </w:divBdr>
    </w:div>
    <w:div w:id="16006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C9EF9-05D4-44CD-B13C-4F5EE0D4F6FE}">
  <ds:schemaRefs>
    <ds:schemaRef ds:uri="http://purl.org/dc/dcmitype/"/>
    <ds:schemaRef ds:uri="http://schemas.microsoft.com/office/2006/documentManagement/types"/>
    <ds:schemaRef ds:uri="http://schemas.microsoft.com/office/infopath/2007/PartnerControls"/>
    <ds:schemaRef ds:uri="http://www.w3.org/XML/1998/namespace"/>
    <ds:schemaRef ds:uri="bef64c59-a3ef-40a9-ab00-88fd54a78ca7"/>
    <ds:schemaRef ds:uri="http://purl.org/dc/elements/1.1/"/>
    <ds:schemaRef ds:uri="http://purl.org/dc/terms/"/>
    <ds:schemaRef ds:uri="http://schemas.openxmlformats.org/package/2006/metadata/core-properties"/>
    <ds:schemaRef ds:uri="e98515d3-35d1-48c7-98b0-9361f3d04ddf"/>
    <ds:schemaRef ds:uri="http://schemas.microsoft.com/office/2006/metadata/properties"/>
  </ds:schemaRefs>
</ds:datastoreItem>
</file>

<file path=customXml/itemProps2.xml><?xml version="1.0" encoding="utf-8"?>
<ds:datastoreItem xmlns:ds="http://schemas.openxmlformats.org/officeDocument/2006/customXml" ds:itemID="{5DFA135E-BDEC-4D9C-B41D-0794DE967A50}">
  <ds:schemaRefs>
    <ds:schemaRef ds:uri="http://schemas.microsoft.com/sharepoint/v3/contenttype/forms"/>
  </ds:schemaRefs>
</ds:datastoreItem>
</file>

<file path=customXml/itemProps3.xml><?xml version="1.0" encoding="utf-8"?>
<ds:datastoreItem xmlns:ds="http://schemas.openxmlformats.org/officeDocument/2006/customXml" ds:itemID="{0F76F097-F768-4B00-85EF-CA9C41B2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160 - Kasey King - Philanthropy - Public inquiry</vt:lpstr>
    </vt:vector>
  </TitlesOfParts>
  <Company>Kasey King</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160 - Kasey King - Philanthropy - Public inquiry</dc:title>
  <dc:subject/>
  <dc:creator>Kasey King</dc:creator>
  <cp:keywords/>
  <dc:description/>
  <cp:lastModifiedBy>Bianca Dobson</cp:lastModifiedBy>
  <cp:revision>16</cp:revision>
  <dcterms:created xsi:type="dcterms:W3CDTF">2023-05-05T10:58:00Z</dcterms:created>
  <dcterms:modified xsi:type="dcterms:W3CDTF">2023-05-18T01:04:00Z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