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29F7B" w14:textId="77777777" w:rsidR="0084536E" w:rsidRDefault="00000000">
      <w:pPr>
        <w:ind w:left="-425" w:right="-182"/>
        <w:rPr>
          <w:rFonts w:ascii="Spectral" w:eastAsia="Spectral" w:hAnsi="Spectral" w:cs="Spectral"/>
        </w:rPr>
      </w:pPr>
      <w:r>
        <w:rPr>
          <w:rFonts w:ascii="Spectral" w:eastAsia="Spectral" w:hAnsi="Spectral" w:cs="Spectral"/>
        </w:rPr>
        <w:t>Dear Australian Government,</w:t>
      </w:r>
    </w:p>
    <w:p w14:paraId="15329F7C" w14:textId="77777777" w:rsidR="0084536E" w:rsidRDefault="0084536E">
      <w:pPr>
        <w:spacing w:line="240" w:lineRule="auto"/>
        <w:ind w:left="-425" w:right="-182"/>
        <w:rPr>
          <w:rFonts w:ascii="Spectral" w:eastAsia="Spectral" w:hAnsi="Spectral" w:cs="Spectral"/>
        </w:rPr>
      </w:pPr>
    </w:p>
    <w:p w14:paraId="15329F7D" w14:textId="77777777" w:rsidR="0084536E" w:rsidRDefault="00000000">
      <w:pPr>
        <w:spacing w:line="240" w:lineRule="auto"/>
        <w:ind w:left="-425" w:right="-182"/>
        <w:rPr>
          <w:rFonts w:ascii="Spectral" w:eastAsia="Spectral" w:hAnsi="Spectral" w:cs="Spectral"/>
        </w:rPr>
      </w:pPr>
      <w:r>
        <w:rPr>
          <w:rFonts w:ascii="Spectral" w:eastAsia="Spectral" w:hAnsi="Spectral" w:cs="Spectral"/>
        </w:rPr>
        <w:t>I feel like charity law has fallen out of step with what my peers and I care most about, and that my generation doesn’t have the same kinds of philanthropic organisations supporting us and our values as older generations do.</w:t>
      </w:r>
    </w:p>
    <w:p w14:paraId="15329F7E" w14:textId="77777777" w:rsidR="0084536E" w:rsidRDefault="0084536E">
      <w:pPr>
        <w:spacing w:line="240" w:lineRule="auto"/>
        <w:ind w:left="-425" w:right="-182"/>
        <w:rPr>
          <w:rFonts w:ascii="Spectral" w:eastAsia="Spectral" w:hAnsi="Spectral" w:cs="Spectral"/>
        </w:rPr>
      </w:pPr>
    </w:p>
    <w:p w14:paraId="15329F7F" w14:textId="77777777" w:rsidR="0084536E" w:rsidRDefault="00000000">
      <w:pPr>
        <w:spacing w:line="240" w:lineRule="auto"/>
        <w:ind w:left="-425" w:right="-182"/>
        <w:rPr>
          <w:rFonts w:ascii="Spectral" w:eastAsia="Spectral" w:hAnsi="Spectral" w:cs="Spectral"/>
        </w:rPr>
      </w:pPr>
      <w:r>
        <w:rPr>
          <w:rFonts w:ascii="Spectral" w:eastAsia="Spectral" w:hAnsi="Spectral" w:cs="Spectral"/>
        </w:rPr>
        <w:t xml:space="preserve">To achieve goals like growing donations and increasing community engagement, charity laws should build incentive structures that foster organisations that work on the kinds of issues that younger generations of Australians care the most about. </w:t>
      </w:r>
    </w:p>
    <w:p w14:paraId="15329F80" w14:textId="77777777" w:rsidR="0084536E" w:rsidRDefault="0084536E">
      <w:pPr>
        <w:spacing w:line="240" w:lineRule="auto"/>
        <w:ind w:left="-425" w:right="-182"/>
        <w:rPr>
          <w:rFonts w:ascii="Spectral" w:eastAsia="Spectral" w:hAnsi="Spectral" w:cs="Spectral"/>
        </w:rPr>
      </w:pPr>
    </w:p>
    <w:p w14:paraId="15329F81" w14:textId="77777777" w:rsidR="0084536E" w:rsidRDefault="00000000">
      <w:pPr>
        <w:ind w:left="-425" w:right="-182"/>
        <w:rPr>
          <w:rFonts w:ascii="Spectral" w:eastAsia="Spectral" w:hAnsi="Spectral" w:cs="Spectral"/>
        </w:rPr>
      </w:pPr>
      <w:r>
        <w:rPr>
          <w:rFonts w:ascii="Spectral" w:eastAsia="Spectral" w:hAnsi="Spectral" w:cs="Spectral"/>
        </w:rPr>
        <w:t>I’m writing this submission to you to discuss:</w:t>
      </w:r>
    </w:p>
    <w:p w14:paraId="15329F82" w14:textId="77777777" w:rsidR="0084536E" w:rsidRDefault="00000000">
      <w:pPr>
        <w:numPr>
          <w:ilvl w:val="0"/>
          <w:numId w:val="1"/>
        </w:numPr>
        <w:ind w:left="-425" w:right="-182" w:firstLine="0"/>
        <w:rPr>
          <w:rFonts w:ascii="Spectral" w:eastAsia="Spectral" w:hAnsi="Spectral" w:cs="Spectral"/>
        </w:rPr>
      </w:pPr>
      <w:r>
        <w:rPr>
          <w:rFonts w:ascii="Spectral" w:eastAsia="Spectral" w:hAnsi="Spectral" w:cs="Spectral"/>
        </w:rPr>
        <w:t xml:space="preserve">Expanding </w:t>
      </w:r>
      <w:proofErr w:type="spellStart"/>
      <w:r>
        <w:rPr>
          <w:rFonts w:ascii="Spectral" w:eastAsia="Spectral" w:hAnsi="Spectral" w:cs="Spectral"/>
        </w:rPr>
        <w:t>DGR</w:t>
      </w:r>
      <w:proofErr w:type="spellEnd"/>
      <w:r>
        <w:rPr>
          <w:rFonts w:ascii="Spectral" w:eastAsia="Spectral" w:hAnsi="Spectral" w:cs="Spectral"/>
        </w:rPr>
        <w:t xml:space="preserve"> status to the high impact cause areas that align with the values of modern Australians </w:t>
      </w:r>
      <w:r>
        <w:rPr>
          <w:rFonts w:ascii="Spectral" w:eastAsia="Spectral" w:hAnsi="Spectral" w:cs="Spectral"/>
          <w:i/>
        </w:rPr>
        <w:t>(</w:t>
      </w:r>
      <w:proofErr w:type="spellStart"/>
      <w:r>
        <w:rPr>
          <w:rFonts w:ascii="Spectral" w:eastAsia="Spectral" w:hAnsi="Spectral" w:cs="Spectral"/>
          <w:i/>
        </w:rPr>
        <w:t>2.ii</w:t>
      </w:r>
      <w:proofErr w:type="spellEnd"/>
      <w:r>
        <w:rPr>
          <w:rFonts w:ascii="Spectral" w:eastAsia="Spectral" w:hAnsi="Spectral" w:cs="Spectral"/>
          <w:i/>
        </w:rPr>
        <w:t xml:space="preserve">, </w:t>
      </w:r>
      <w:proofErr w:type="spellStart"/>
      <w:r>
        <w:rPr>
          <w:rFonts w:ascii="Spectral" w:eastAsia="Spectral" w:hAnsi="Spectral" w:cs="Spectral"/>
          <w:i/>
        </w:rPr>
        <w:t>3.ii</w:t>
      </w:r>
      <w:proofErr w:type="spellEnd"/>
      <w:r>
        <w:rPr>
          <w:rFonts w:ascii="Spectral" w:eastAsia="Spectral" w:hAnsi="Spectral" w:cs="Spectral"/>
          <w:i/>
        </w:rPr>
        <w:t>, 5, 6)</w:t>
      </w:r>
    </w:p>
    <w:p w14:paraId="15329F83" w14:textId="77777777" w:rsidR="0084536E" w:rsidRDefault="00000000">
      <w:pPr>
        <w:numPr>
          <w:ilvl w:val="0"/>
          <w:numId w:val="1"/>
        </w:numPr>
        <w:ind w:left="-425" w:right="-182" w:firstLine="0"/>
        <w:rPr>
          <w:rFonts w:ascii="Spectral" w:eastAsia="Spectral" w:hAnsi="Spectral" w:cs="Spectral"/>
        </w:rPr>
      </w:pPr>
      <w:r>
        <w:rPr>
          <w:rFonts w:ascii="Spectral" w:eastAsia="Spectral" w:hAnsi="Spectral" w:cs="Spectral"/>
        </w:rPr>
        <w:t xml:space="preserve">The benefits of rigorous charity evaluation </w:t>
      </w:r>
      <w:r>
        <w:rPr>
          <w:rFonts w:ascii="Spectral" w:eastAsia="Spectral" w:hAnsi="Spectral" w:cs="Spectral"/>
          <w:i/>
        </w:rPr>
        <w:t>(</w:t>
      </w:r>
      <w:proofErr w:type="spellStart"/>
      <w:r>
        <w:rPr>
          <w:rFonts w:ascii="Spectral" w:eastAsia="Spectral" w:hAnsi="Spectral" w:cs="Spectral"/>
          <w:i/>
        </w:rPr>
        <w:t>3.ii</w:t>
      </w:r>
      <w:proofErr w:type="spellEnd"/>
      <w:r>
        <w:rPr>
          <w:rFonts w:ascii="Spectral" w:eastAsia="Spectral" w:hAnsi="Spectral" w:cs="Spectral"/>
          <w:i/>
        </w:rPr>
        <w:t xml:space="preserve">, </w:t>
      </w:r>
      <w:proofErr w:type="spellStart"/>
      <w:r>
        <w:rPr>
          <w:rFonts w:ascii="Spectral" w:eastAsia="Spectral" w:hAnsi="Spectral" w:cs="Spectral"/>
          <w:i/>
        </w:rPr>
        <w:t>6.iii</w:t>
      </w:r>
      <w:proofErr w:type="spellEnd"/>
      <w:r>
        <w:rPr>
          <w:rFonts w:ascii="Spectral" w:eastAsia="Spectral" w:hAnsi="Spectral" w:cs="Spectral"/>
          <w:i/>
        </w:rPr>
        <w:t>)</w:t>
      </w:r>
    </w:p>
    <w:p w14:paraId="15329F84" w14:textId="77777777" w:rsidR="0084536E" w:rsidRDefault="0084536E">
      <w:pPr>
        <w:ind w:left="-425" w:right="-182"/>
        <w:rPr>
          <w:rFonts w:ascii="Spectral" w:eastAsia="Spectral" w:hAnsi="Spectral" w:cs="Spectral"/>
        </w:rPr>
      </w:pPr>
    </w:p>
    <w:p w14:paraId="15329F85" w14:textId="77777777" w:rsidR="0084536E" w:rsidRDefault="00000000">
      <w:pPr>
        <w:ind w:left="-425" w:right="-182"/>
        <w:rPr>
          <w:rFonts w:ascii="Spectral" w:eastAsia="Spectral" w:hAnsi="Spectral" w:cs="Spectral"/>
          <w:b/>
        </w:rPr>
      </w:pPr>
      <w:r>
        <w:rPr>
          <w:rFonts w:ascii="Spectral" w:eastAsia="Spectral" w:hAnsi="Spectral" w:cs="Spectral"/>
          <w:b/>
        </w:rPr>
        <w:t xml:space="preserve">1. Animal welfare and global catastrophic risk reduction should be </w:t>
      </w:r>
      <w:proofErr w:type="spellStart"/>
      <w:r>
        <w:rPr>
          <w:rFonts w:ascii="Spectral" w:eastAsia="Spectral" w:hAnsi="Spectral" w:cs="Spectral"/>
          <w:b/>
        </w:rPr>
        <w:t>DGR</w:t>
      </w:r>
      <w:proofErr w:type="spellEnd"/>
      <w:r>
        <w:rPr>
          <w:rFonts w:ascii="Spectral" w:eastAsia="Spectral" w:hAnsi="Spectral" w:cs="Spectral"/>
          <w:b/>
        </w:rPr>
        <w:t xml:space="preserve"> classes (Information request 4)</w:t>
      </w:r>
    </w:p>
    <w:p w14:paraId="15329F86" w14:textId="77777777" w:rsidR="0084536E" w:rsidRDefault="0084536E">
      <w:pPr>
        <w:ind w:left="-425" w:right="-182"/>
        <w:rPr>
          <w:rFonts w:ascii="Spectral" w:eastAsia="Spectral" w:hAnsi="Spectral" w:cs="Spectral"/>
        </w:rPr>
      </w:pPr>
    </w:p>
    <w:p w14:paraId="15329F87"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As I see it, the most important issue is that </w:t>
      </w:r>
      <w:proofErr w:type="spellStart"/>
      <w:r>
        <w:rPr>
          <w:rFonts w:ascii="Spectral" w:eastAsia="Spectral" w:hAnsi="Spectral" w:cs="Spectral"/>
        </w:rPr>
        <w:t>DGR</w:t>
      </w:r>
      <w:proofErr w:type="spellEnd"/>
      <w:r>
        <w:rPr>
          <w:rFonts w:ascii="Spectral" w:eastAsia="Spectral" w:hAnsi="Spectral" w:cs="Spectral"/>
        </w:rPr>
        <w:t xml:space="preserve"> status needs to be broadened to include things that young people today care about – specifically reducing global catastrophic risks and supporting the well-being of animals. </w:t>
      </w:r>
    </w:p>
    <w:p w14:paraId="15329F88" w14:textId="77777777" w:rsidR="0084536E" w:rsidRDefault="0084536E">
      <w:pPr>
        <w:widowControl w:val="0"/>
        <w:spacing w:line="240" w:lineRule="auto"/>
        <w:ind w:left="-425" w:right="-182"/>
        <w:rPr>
          <w:rFonts w:ascii="Spectral" w:eastAsia="Spectral" w:hAnsi="Spectral" w:cs="Spectral"/>
        </w:rPr>
      </w:pPr>
    </w:p>
    <w:p w14:paraId="15329F89"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w:t>
      </w:r>
      <w:proofErr w:type="spellStart"/>
      <w:r>
        <w:rPr>
          <w:rFonts w:ascii="Spectral" w:eastAsia="Spectral" w:hAnsi="Spectral" w:cs="Spectral"/>
        </w:rPr>
        <w:t>DGR</w:t>
      </w:r>
      <w:proofErr w:type="spellEnd"/>
      <w:r>
        <w:rPr>
          <w:rFonts w:ascii="Spectral" w:eastAsia="Spectral" w:hAnsi="Spectral" w:cs="Spectral"/>
        </w:rPr>
        <w:t xml:space="preserve"> status </w:t>
      </w:r>
      <w:proofErr w:type="spellStart"/>
      <w:r>
        <w:rPr>
          <w:rFonts w:ascii="Spectral" w:eastAsia="Spectral" w:hAnsi="Spectral" w:cs="Spectral"/>
        </w:rPr>
        <w:t>the</w:t>
      </w:r>
      <w:proofErr w:type="spellEnd"/>
      <w:r>
        <w:rPr>
          <w:rFonts w:ascii="Spectral" w:eastAsia="Spectral" w:hAnsi="Spectral" w:cs="Spectral"/>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w:t>
      </w:r>
      <w:proofErr w:type="spellStart"/>
      <w:r>
        <w:rPr>
          <w:rFonts w:ascii="Spectral" w:eastAsia="Spectral" w:hAnsi="Spectral" w:cs="Spectral"/>
        </w:rPr>
        <w:t>DGR</w:t>
      </w:r>
      <w:proofErr w:type="spellEnd"/>
      <w:r>
        <w:rPr>
          <w:rFonts w:ascii="Spectral" w:eastAsia="Spectral" w:hAnsi="Spectral" w:cs="Spectral"/>
        </w:rPr>
        <w:t xml:space="preserve"> regulation hasn’t kept up.</w:t>
      </w:r>
    </w:p>
    <w:p w14:paraId="15329F8A" w14:textId="77777777" w:rsidR="0084536E" w:rsidRDefault="0084536E">
      <w:pPr>
        <w:widowControl w:val="0"/>
        <w:spacing w:line="240" w:lineRule="auto"/>
        <w:ind w:left="-425" w:right="-182"/>
        <w:rPr>
          <w:rFonts w:ascii="Spectral" w:eastAsia="Spectral" w:hAnsi="Spectral" w:cs="Spectral"/>
        </w:rPr>
      </w:pPr>
    </w:p>
    <w:p w14:paraId="15329F8B"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In the same way, my peers and I care deeply about the welfare of animals. While the animal charities I support can be “charities” under the </w:t>
      </w:r>
      <w:r>
        <w:rPr>
          <w:rFonts w:ascii="Spectral" w:eastAsia="Spectral" w:hAnsi="Spectral" w:cs="Spectral"/>
          <w:i/>
        </w:rPr>
        <w:t>Charities Act</w:t>
      </w:r>
      <w:r>
        <w:rPr>
          <w:rFonts w:ascii="Spectral" w:eastAsia="Spectral" w:hAnsi="Spectral" w:cs="Spectral"/>
        </w:rPr>
        <w:t xml:space="preserve">, they can’t get </w:t>
      </w:r>
      <w:proofErr w:type="spellStart"/>
      <w:r>
        <w:rPr>
          <w:rFonts w:ascii="Spectral" w:eastAsia="Spectral" w:hAnsi="Spectral" w:cs="Spectral"/>
        </w:rPr>
        <w:t>DGR</w:t>
      </w:r>
      <w:proofErr w:type="spellEnd"/>
      <w:r>
        <w:rPr>
          <w:rFonts w:ascii="Spectral" w:eastAsia="Spectral" w:hAnsi="Spectral" w:cs="Spectral"/>
        </w:rPr>
        <w:t xml:space="preserve"> status under the </w:t>
      </w:r>
      <w:r>
        <w:rPr>
          <w:rFonts w:ascii="Spectral" w:eastAsia="Spectral" w:hAnsi="Spectral" w:cs="Spectral"/>
          <w:i/>
        </w:rPr>
        <w:t>Tax Act</w:t>
      </w:r>
      <w:r>
        <w:rPr>
          <w:rFonts w:ascii="Spectral" w:eastAsia="Spectral" w:hAnsi="Spectral" w:cs="Spectral"/>
        </w:rPr>
        <w:t xml:space="preserve">. I understand that this is because </w:t>
      </w:r>
      <w:proofErr w:type="spellStart"/>
      <w:r>
        <w:rPr>
          <w:rFonts w:ascii="Spectral" w:eastAsia="Spectral" w:hAnsi="Spectral" w:cs="Spectral"/>
        </w:rPr>
        <w:t>DGR</w:t>
      </w:r>
      <w:proofErr w:type="spellEnd"/>
      <w:r>
        <w:rPr>
          <w:rFonts w:ascii="Spectral" w:eastAsia="Spectral" w:hAnsi="Spectral" w:cs="Spectral"/>
        </w:rPr>
        <w:t xml:space="preserve"> status is limited to things like the short-term direct care and rehabilitation of lost or mistreated animals. While any animal suffering is a tragedy, it’s obvious to me that it would be far more effective to give </w:t>
      </w:r>
      <w:proofErr w:type="spellStart"/>
      <w:r>
        <w:rPr>
          <w:rFonts w:ascii="Spectral" w:eastAsia="Spectral" w:hAnsi="Spectral" w:cs="Spectral"/>
        </w:rPr>
        <w:t>DGR</w:t>
      </w:r>
      <w:proofErr w:type="spellEnd"/>
      <w:r>
        <w:rPr>
          <w:rFonts w:ascii="Spectral" w:eastAsia="Spectral" w:hAnsi="Spectral" w:cs="Spectral"/>
        </w:rPr>
        <w:t xml:space="preserve"> status to charities that are seeking to prevent animals from needing this kind of direct care in the first place. Everyone knows prevention is better than cure, so why should the law incentivise treatment over prevention? </w:t>
      </w:r>
    </w:p>
    <w:p w14:paraId="15329F8C" w14:textId="77777777" w:rsidR="0084536E" w:rsidRDefault="0084536E">
      <w:pPr>
        <w:widowControl w:val="0"/>
        <w:spacing w:line="240" w:lineRule="auto"/>
        <w:ind w:left="-425" w:right="-182"/>
        <w:rPr>
          <w:rFonts w:ascii="Spectral" w:eastAsia="Spectral" w:hAnsi="Spectral" w:cs="Spectral"/>
        </w:rPr>
      </w:pPr>
    </w:p>
    <w:p w14:paraId="15329F8D"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I really think the exclusion of these two cause areas from </w:t>
      </w:r>
      <w:proofErr w:type="spellStart"/>
      <w:r>
        <w:rPr>
          <w:rFonts w:ascii="Spectral" w:eastAsia="Spectral" w:hAnsi="Spectral" w:cs="Spectral"/>
        </w:rPr>
        <w:t>DGR</w:t>
      </w:r>
      <w:proofErr w:type="spellEnd"/>
      <w:r>
        <w:rPr>
          <w:rFonts w:ascii="Spectral" w:eastAsia="Spectral" w:hAnsi="Spectral" w:cs="Spectral"/>
        </w:rPr>
        <w:t xml:space="preserve"> status hurts our ability to do good. These causes are recognised by sophisticated charity evaluators as being high-impact and allowed to accept tax-deductible donations internationally, but excluded here in Australia. If the Government wants to increase donations to charities and increase the ability of charities to build social connections, it needs to give </w:t>
      </w:r>
      <w:proofErr w:type="spellStart"/>
      <w:r>
        <w:rPr>
          <w:rFonts w:ascii="Spectral" w:eastAsia="Spectral" w:hAnsi="Spectral" w:cs="Spectral"/>
        </w:rPr>
        <w:t>DGR</w:t>
      </w:r>
      <w:proofErr w:type="spellEnd"/>
      <w:r>
        <w:rPr>
          <w:rFonts w:ascii="Spectral" w:eastAsia="Spectral" w:hAnsi="Spectral" w:cs="Spectral"/>
        </w:rPr>
        <w:t xml:space="preserve"> status to these high-impact cause areas that today's </w:t>
      </w:r>
      <w:r>
        <w:rPr>
          <w:rFonts w:ascii="Spectral" w:eastAsia="Spectral" w:hAnsi="Spectral" w:cs="Spectral"/>
        </w:rPr>
        <w:lastRenderedPageBreak/>
        <w:t>Australians are so passionate about.</w:t>
      </w:r>
    </w:p>
    <w:p w14:paraId="15329F8E" w14:textId="77777777" w:rsidR="0084536E" w:rsidRDefault="0084536E">
      <w:pPr>
        <w:widowControl w:val="0"/>
        <w:spacing w:line="240" w:lineRule="auto"/>
        <w:ind w:left="-425" w:right="-182"/>
        <w:rPr>
          <w:rFonts w:ascii="Spectral" w:eastAsia="Spectral" w:hAnsi="Spectral" w:cs="Spectral"/>
        </w:rPr>
      </w:pPr>
    </w:p>
    <w:p w14:paraId="15329F8F" w14:textId="77777777" w:rsidR="0084536E" w:rsidRDefault="00000000">
      <w:pPr>
        <w:ind w:left="-425" w:right="-182"/>
        <w:rPr>
          <w:rFonts w:ascii="Spectral" w:eastAsia="Spectral" w:hAnsi="Spectral" w:cs="Spectral"/>
          <w:b/>
        </w:rPr>
      </w:pPr>
      <w:r>
        <w:rPr>
          <w:rFonts w:ascii="Spectral" w:eastAsia="Spectral" w:hAnsi="Spectral" w:cs="Spectral"/>
          <w:b/>
        </w:rPr>
        <w:t>2. Australian charity evaluation would build confidence (Information request 7)</w:t>
      </w:r>
    </w:p>
    <w:p w14:paraId="15329F90" w14:textId="77777777" w:rsidR="0084536E" w:rsidRDefault="0084536E">
      <w:pPr>
        <w:ind w:left="-425" w:right="-182"/>
        <w:rPr>
          <w:rFonts w:ascii="Spectral" w:eastAsia="Spectral" w:hAnsi="Spectral" w:cs="Spectral"/>
        </w:rPr>
      </w:pPr>
    </w:p>
    <w:p w14:paraId="15329F91"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I’m also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15329F92" w14:textId="77777777" w:rsidR="0084536E" w:rsidRDefault="0084536E">
      <w:pPr>
        <w:widowControl w:val="0"/>
        <w:spacing w:line="240" w:lineRule="auto"/>
        <w:ind w:left="-425" w:right="-182"/>
        <w:rPr>
          <w:rFonts w:ascii="Spectral" w:eastAsia="Spectral" w:hAnsi="Spectral" w:cs="Spectral"/>
        </w:rPr>
      </w:pPr>
    </w:p>
    <w:p w14:paraId="15329F93"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I would encourage the Productivity Commission to review:</w:t>
      </w:r>
    </w:p>
    <w:p w14:paraId="15329F94" w14:textId="77777777" w:rsidR="0084536E" w:rsidRDefault="0084536E">
      <w:pPr>
        <w:widowControl w:val="0"/>
        <w:spacing w:line="240" w:lineRule="auto"/>
        <w:ind w:left="-425" w:right="-182"/>
        <w:rPr>
          <w:rFonts w:ascii="Spectral" w:eastAsia="Spectral" w:hAnsi="Spectral" w:cs="Spectral"/>
        </w:rPr>
      </w:pPr>
    </w:p>
    <w:p w14:paraId="15329F95" w14:textId="77777777" w:rsidR="0084536E" w:rsidRDefault="00000000">
      <w:pPr>
        <w:widowControl w:val="0"/>
        <w:numPr>
          <w:ilvl w:val="0"/>
          <w:numId w:val="2"/>
        </w:numPr>
        <w:spacing w:line="240" w:lineRule="auto"/>
        <w:ind w:left="-425" w:right="-182" w:firstLine="0"/>
        <w:rPr>
          <w:rFonts w:ascii="Spectral" w:eastAsia="Spectral" w:hAnsi="Spectral" w:cs="Spectral"/>
        </w:rPr>
      </w:pPr>
      <w:r>
        <w:rPr>
          <w:rFonts w:ascii="Spectral" w:eastAsia="Spectral" w:hAnsi="Spectral" w:cs="Spectral"/>
          <w:i/>
        </w:rPr>
        <w:t xml:space="preserve">Donors vastly underestimate differences in charities’ effectiveness </w:t>
      </w:r>
      <w:r>
        <w:rPr>
          <w:rFonts w:ascii="Spectral" w:eastAsia="Spectral" w:hAnsi="Spectral" w:cs="Spectral"/>
        </w:rPr>
        <w:t xml:space="preserve">by </w:t>
      </w:r>
      <w:proofErr w:type="spellStart"/>
      <w:r>
        <w:rPr>
          <w:rFonts w:ascii="Spectral" w:eastAsia="Spectral" w:hAnsi="Spectral" w:cs="Spectral"/>
        </w:rPr>
        <w:t>Caviola</w:t>
      </w:r>
      <w:proofErr w:type="spellEnd"/>
      <w:r>
        <w:rPr>
          <w:rFonts w:ascii="Spectral" w:eastAsia="Spectral" w:hAnsi="Spectral" w:cs="Spectral"/>
        </w:rPr>
        <w:t xml:space="preserve">, L; Schubert, S; </w:t>
      </w:r>
      <w:proofErr w:type="spellStart"/>
      <w:r>
        <w:rPr>
          <w:rFonts w:ascii="Spectral" w:eastAsia="Spectral" w:hAnsi="Spectral" w:cs="Spectral"/>
        </w:rPr>
        <w:t>Teperman</w:t>
      </w:r>
      <w:proofErr w:type="spellEnd"/>
      <w:r>
        <w:rPr>
          <w:rFonts w:ascii="Spectral" w:eastAsia="Spectral" w:hAnsi="Spectral" w:cs="Spectral"/>
        </w:rPr>
        <w:t xml:space="preserve">, E; et al. available online at  </w:t>
      </w:r>
      <w:hyperlink r:id="rId8">
        <w:r>
          <w:rPr>
            <w:rFonts w:ascii="Spectral" w:eastAsia="Spectral" w:hAnsi="Spectral" w:cs="Spectral"/>
            <w:color w:val="1155CC"/>
            <w:u w:val="single"/>
          </w:rPr>
          <w:t>http://</w:t>
        </w:r>
        <w:proofErr w:type="spellStart"/>
        <w:r>
          <w:rPr>
            <w:rFonts w:ascii="Spectral" w:eastAsia="Spectral" w:hAnsi="Spectral" w:cs="Spectral"/>
            <w:color w:val="1155CC"/>
            <w:u w:val="single"/>
          </w:rPr>
          <w:t>hdl.handle.net</w:t>
        </w:r>
        <w:proofErr w:type="spellEnd"/>
        <w:r>
          <w:rPr>
            <w:rFonts w:ascii="Spectral" w:eastAsia="Spectral" w:hAnsi="Spectral" w:cs="Spectral"/>
            <w:color w:val="1155CC"/>
            <w:u w:val="single"/>
          </w:rPr>
          <w:t>/10871/122268</w:t>
        </w:r>
      </w:hyperlink>
      <w:r>
        <w:rPr>
          <w:rFonts w:ascii="Spectral" w:eastAsia="Spectral" w:hAnsi="Spectral" w:cs="Spectral"/>
        </w:rPr>
        <w:t xml:space="preserve">, and </w:t>
      </w:r>
    </w:p>
    <w:p w14:paraId="15329F96" w14:textId="77777777" w:rsidR="0084536E" w:rsidRDefault="00000000">
      <w:pPr>
        <w:widowControl w:val="0"/>
        <w:numPr>
          <w:ilvl w:val="0"/>
          <w:numId w:val="2"/>
        </w:numPr>
        <w:spacing w:line="240" w:lineRule="auto"/>
        <w:ind w:left="-425" w:right="-182" w:firstLine="0"/>
        <w:rPr>
          <w:rFonts w:ascii="Spectral" w:eastAsia="Spectral" w:hAnsi="Spectral" w:cs="Spectral"/>
        </w:rPr>
      </w:pPr>
      <w:r>
        <w:rPr>
          <w:rFonts w:ascii="Spectral" w:eastAsia="Spectral" w:hAnsi="Spectral" w:cs="Spectral"/>
          <w:i/>
        </w:rPr>
        <w:t>Don’t Feed the Zombies</w:t>
      </w:r>
      <w:r>
        <w:rPr>
          <w:rFonts w:ascii="Spectral" w:eastAsia="Spectral" w:hAnsi="Spectral" w:cs="Spectral"/>
        </w:rPr>
        <w:t xml:space="preserve"> by Kevin Star in the Stanford Social Innovation Review, available online at </w:t>
      </w:r>
      <w:hyperlink r:id="rId9">
        <w:r>
          <w:rPr>
            <w:rFonts w:ascii="Spectral" w:eastAsia="Spectral" w:hAnsi="Spectral" w:cs="Spectral"/>
            <w:color w:val="1155CC"/>
            <w:u w:val="single"/>
          </w:rPr>
          <w:t>https://</w:t>
        </w:r>
        <w:proofErr w:type="spellStart"/>
        <w:r>
          <w:rPr>
            <w:rFonts w:ascii="Spectral" w:eastAsia="Spectral" w:hAnsi="Spectral" w:cs="Spectral"/>
            <w:color w:val="1155CC"/>
            <w:u w:val="single"/>
          </w:rPr>
          <w:t>ssir.org</w:t>
        </w:r>
        <w:proofErr w:type="spellEnd"/>
        <w:r>
          <w:rPr>
            <w:rFonts w:ascii="Spectral" w:eastAsia="Spectral" w:hAnsi="Spectral" w:cs="Spectral"/>
            <w:color w:val="1155CC"/>
            <w:u w:val="single"/>
          </w:rPr>
          <w:t>/articles/entry/</w:t>
        </w:r>
        <w:proofErr w:type="spellStart"/>
        <w:r>
          <w:rPr>
            <w:rFonts w:ascii="Spectral" w:eastAsia="Spectral" w:hAnsi="Spectral" w:cs="Spectral"/>
            <w:color w:val="1155CC"/>
            <w:u w:val="single"/>
          </w:rPr>
          <w:t>dont_feed_the_zombies</w:t>
        </w:r>
        <w:proofErr w:type="spellEnd"/>
      </w:hyperlink>
      <w:r>
        <w:rPr>
          <w:rFonts w:ascii="Spectral" w:eastAsia="Spectral" w:hAnsi="Spectral" w:cs="Spectral"/>
        </w:rPr>
        <w:t xml:space="preserve"> </w:t>
      </w:r>
    </w:p>
    <w:p w14:paraId="15329F97" w14:textId="77777777" w:rsidR="0084536E" w:rsidRDefault="0084536E">
      <w:pPr>
        <w:widowControl w:val="0"/>
        <w:spacing w:line="240" w:lineRule="auto"/>
        <w:ind w:left="-425" w:right="-182"/>
        <w:rPr>
          <w:rFonts w:ascii="Spectral" w:eastAsia="Spectral" w:hAnsi="Spectral" w:cs="Spectral"/>
        </w:rPr>
      </w:pPr>
    </w:p>
    <w:p w14:paraId="15329F98"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The research is usefully summarised in two illustrations that depict how different the view of the impact of charity is between lay people and experts:</w:t>
      </w:r>
    </w:p>
    <w:p w14:paraId="15329F99" w14:textId="77777777" w:rsidR="0084536E" w:rsidRDefault="00000000">
      <w:pPr>
        <w:widowControl w:val="0"/>
        <w:spacing w:line="240" w:lineRule="auto"/>
        <w:ind w:left="-425" w:right="-182"/>
        <w:jc w:val="center"/>
        <w:rPr>
          <w:rFonts w:ascii="Spectral" w:eastAsia="Spectral" w:hAnsi="Spectral" w:cs="Spectral"/>
        </w:rPr>
      </w:pPr>
      <w:r>
        <w:rPr>
          <w:rFonts w:ascii="Spectral" w:eastAsia="Spectral" w:hAnsi="Spectral" w:cs="Spectral"/>
          <w:noProof/>
        </w:rPr>
        <w:drawing>
          <wp:inline distT="114300" distB="114300" distL="114300" distR="114300" wp14:anchorId="15329FB6" wp14:editId="15329FB7">
            <wp:extent cx="4624913" cy="3390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24913" cy="3390975"/>
                    </a:xfrm>
                    <a:prstGeom prst="rect">
                      <a:avLst/>
                    </a:prstGeom>
                    <a:ln/>
                  </pic:spPr>
                </pic:pic>
              </a:graphicData>
            </a:graphic>
          </wp:inline>
        </w:drawing>
      </w:r>
    </w:p>
    <w:p w14:paraId="15329F9A" w14:textId="77777777" w:rsidR="0084536E" w:rsidRDefault="00000000">
      <w:pPr>
        <w:widowControl w:val="0"/>
        <w:spacing w:line="240" w:lineRule="auto"/>
        <w:ind w:left="-425" w:right="-182"/>
        <w:jc w:val="center"/>
        <w:rPr>
          <w:rFonts w:ascii="Spectral" w:eastAsia="Spectral" w:hAnsi="Spectral" w:cs="Spectral"/>
        </w:rPr>
      </w:pPr>
      <w:r>
        <w:rPr>
          <w:rFonts w:ascii="Spectral" w:eastAsia="Spectral" w:hAnsi="Spectral" w:cs="Spectral"/>
          <w:noProof/>
        </w:rPr>
        <w:lastRenderedPageBreak/>
        <w:drawing>
          <wp:inline distT="114300" distB="114300" distL="114300" distR="114300" wp14:anchorId="15329FB8" wp14:editId="15329FB9">
            <wp:extent cx="4474501" cy="328260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74501" cy="3282603"/>
                    </a:xfrm>
                    <a:prstGeom prst="rect">
                      <a:avLst/>
                    </a:prstGeom>
                    <a:ln/>
                  </pic:spPr>
                </pic:pic>
              </a:graphicData>
            </a:graphic>
          </wp:inline>
        </w:drawing>
      </w:r>
    </w:p>
    <w:p w14:paraId="15329F9B" w14:textId="77777777" w:rsidR="0084536E" w:rsidRDefault="00000000">
      <w:pPr>
        <w:widowControl w:val="0"/>
        <w:spacing w:line="240" w:lineRule="auto"/>
        <w:ind w:left="-425" w:right="-182"/>
        <w:jc w:val="center"/>
        <w:rPr>
          <w:rFonts w:ascii="Spectral" w:eastAsia="Spectral" w:hAnsi="Spectral" w:cs="Spectral"/>
        </w:rPr>
      </w:pPr>
      <w:r>
        <w:rPr>
          <w:rFonts w:ascii="Spectral" w:eastAsia="Spectral" w:hAnsi="Spectral" w:cs="Spectral"/>
        </w:rPr>
        <w:t xml:space="preserve"> </w:t>
      </w:r>
    </w:p>
    <w:p w14:paraId="15329F9C"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15329F9D" w14:textId="77777777" w:rsidR="0084536E" w:rsidRDefault="0084536E">
      <w:pPr>
        <w:widowControl w:val="0"/>
        <w:spacing w:line="240" w:lineRule="auto"/>
        <w:ind w:left="-425" w:right="-182"/>
        <w:rPr>
          <w:rFonts w:ascii="Spectral" w:eastAsia="Spectral" w:hAnsi="Spectral" w:cs="Spectral"/>
        </w:rPr>
      </w:pPr>
    </w:p>
    <w:p w14:paraId="15329F9E"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 </w:t>
      </w:r>
    </w:p>
    <w:p w14:paraId="15329F9F" w14:textId="77777777" w:rsidR="0084536E" w:rsidRDefault="0084536E">
      <w:pPr>
        <w:widowControl w:val="0"/>
        <w:spacing w:line="240" w:lineRule="auto"/>
        <w:ind w:left="-425" w:right="-182"/>
        <w:rPr>
          <w:rFonts w:ascii="Spectral" w:eastAsia="Spectral" w:hAnsi="Spectral" w:cs="Spectral"/>
        </w:rPr>
      </w:pPr>
    </w:p>
    <w:p w14:paraId="15329FA0"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noProof/>
        </w:rPr>
        <w:drawing>
          <wp:inline distT="114300" distB="114300" distL="114300" distR="114300" wp14:anchorId="15329FBA" wp14:editId="15329FBB">
            <wp:extent cx="5731200" cy="37084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31200" cy="3708400"/>
                    </a:xfrm>
                    <a:prstGeom prst="rect">
                      <a:avLst/>
                    </a:prstGeom>
                    <a:ln/>
                  </pic:spPr>
                </pic:pic>
              </a:graphicData>
            </a:graphic>
          </wp:inline>
        </w:drawing>
      </w:r>
      <w:r>
        <w:rPr>
          <w:rFonts w:ascii="Spectral" w:eastAsia="Spectral" w:hAnsi="Spectral" w:cs="Spectral"/>
        </w:rPr>
        <w:t xml:space="preserve"> </w:t>
      </w:r>
    </w:p>
    <w:p w14:paraId="15329FA1" w14:textId="77777777" w:rsidR="0084536E" w:rsidRDefault="0084536E">
      <w:pPr>
        <w:widowControl w:val="0"/>
        <w:spacing w:line="240" w:lineRule="auto"/>
        <w:ind w:left="-425" w:right="-182"/>
        <w:rPr>
          <w:rFonts w:ascii="Spectral" w:eastAsia="Spectral" w:hAnsi="Spectral" w:cs="Spectral"/>
        </w:rPr>
      </w:pPr>
    </w:p>
    <w:p w14:paraId="15329FA2"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15329FA3" w14:textId="77777777" w:rsidR="0084536E" w:rsidRDefault="0084536E">
      <w:pPr>
        <w:widowControl w:val="0"/>
        <w:spacing w:line="240" w:lineRule="auto"/>
        <w:ind w:left="-425" w:right="-182"/>
        <w:rPr>
          <w:rFonts w:ascii="Spectral" w:eastAsia="Spectral" w:hAnsi="Spectral" w:cs="Spectral"/>
        </w:rPr>
      </w:pPr>
    </w:p>
    <w:p w14:paraId="15329FA4"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Australia funding and promoting charity evaluation has the potential to fix the market failure, help Australian charities do far more good, and potentially make us a world leader. </w:t>
      </w:r>
    </w:p>
    <w:p w14:paraId="15329FA5" w14:textId="77777777" w:rsidR="0084536E" w:rsidRDefault="0084536E">
      <w:pPr>
        <w:widowControl w:val="0"/>
        <w:spacing w:line="240" w:lineRule="auto"/>
        <w:ind w:left="-425" w:right="-182"/>
        <w:rPr>
          <w:rFonts w:ascii="Spectral" w:eastAsia="Spectral" w:hAnsi="Spectral" w:cs="Spectral"/>
        </w:rPr>
      </w:pPr>
    </w:p>
    <w:p w14:paraId="15329FA6" w14:textId="77777777" w:rsidR="0084536E" w:rsidRDefault="00000000">
      <w:pPr>
        <w:widowControl w:val="0"/>
        <w:spacing w:line="240" w:lineRule="auto"/>
        <w:ind w:left="-425" w:right="-182"/>
        <w:rPr>
          <w:rFonts w:ascii="Spectral" w:eastAsia="Spectral" w:hAnsi="Spectral" w:cs="Spectral"/>
          <w:b/>
        </w:rPr>
      </w:pPr>
      <w:r>
        <w:rPr>
          <w:rFonts w:ascii="Spectral" w:eastAsia="Spectral" w:hAnsi="Spectral" w:cs="Spectral"/>
          <w:b/>
        </w:rPr>
        <w:t>The Australian Government must lead the way</w:t>
      </w:r>
    </w:p>
    <w:p w14:paraId="15329FA7" w14:textId="77777777" w:rsidR="0084536E" w:rsidRDefault="0084536E">
      <w:pPr>
        <w:widowControl w:val="0"/>
        <w:spacing w:line="240" w:lineRule="auto"/>
        <w:ind w:left="-425" w:right="-182"/>
        <w:rPr>
          <w:rFonts w:ascii="Spectral" w:eastAsia="Spectral" w:hAnsi="Spectral" w:cs="Spectral"/>
        </w:rPr>
      </w:pPr>
    </w:p>
    <w:p w14:paraId="15329FA8"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In addition to the above arguments, if the Australian Government wants to double philanthropic giving and increase impact, it should lead from the front. </w:t>
      </w:r>
    </w:p>
    <w:p w14:paraId="15329FA9" w14:textId="77777777" w:rsidR="0084536E" w:rsidRDefault="0084536E">
      <w:pPr>
        <w:widowControl w:val="0"/>
        <w:spacing w:line="240" w:lineRule="auto"/>
        <w:ind w:left="-425" w:right="-182"/>
        <w:rPr>
          <w:rFonts w:ascii="Spectral" w:eastAsia="Spectral" w:hAnsi="Spectral" w:cs="Spectral"/>
        </w:rPr>
      </w:pPr>
    </w:p>
    <w:p w14:paraId="15329FAA"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Australia’s Overseas Direct Aid as a proportion of Gross National Income (</w:t>
      </w:r>
      <w:proofErr w:type="spellStart"/>
      <w:r>
        <w:rPr>
          <w:rFonts w:ascii="Spectral" w:eastAsia="Spectral" w:hAnsi="Spectral" w:cs="Spectral"/>
        </w:rPr>
        <w:t>GNI</w:t>
      </w:r>
      <w:proofErr w:type="spellEnd"/>
      <w:r>
        <w:rPr>
          <w:rFonts w:ascii="Spectral" w:eastAsia="Spectral" w:hAnsi="Spectral" w:cs="Spectral"/>
        </w:rPr>
        <w:t xml:space="preserve">)—the official measure of development assistance—is expected to remain at the 2021–22 level of 0.20%. </w:t>
      </w:r>
    </w:p>
    <w:p w14:paraId="15329FAB" w14:textId="77777777" w:rsidR="0084536E" w:rsidRDefault="0084536E">
      <w:pPr>
        <w:widowControl w:val="0"/>
        <w:spacing w:line="240" w:lineRule="auto"/>
        <w:ind w:left="-425" w:right="-182"/>
        <w:rPr>
          <w:rFonts w:ascii="Spectral" w:eastAsia="Spectral" w:hAnsi="Spectral" w:cs="Spectral"/>
        </w:rPr>
      </w:pPr>
    </w:p>
    <w:p w14:paraId="15329FAC"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This continues to place Australia well below the OECD Development Assistance Committee (DAC) country average of 0.32%.</w:t>
      </w:r>
    </w:p>
    <w:p w14:paraId="15329FAD" w14:textId="77777777" w:rsidR="0084536E" w:rsidRDefault="0084536E">
      <w:pPr>
        <w:widowControl w:val="0"/>
        <w:spacing w:line="240" w:lineRule="auto"/>
        <w:ind w:left="-425" w:right="-182"/>
        <w:rPr>
          <w:rFonts w:ascii="Spectral" w:eastAsia="Spectral" w:hAnsi="Spectral" w:cs="Spectral"/>
        </w:rPr>
      </w:pPr>
    </w:p>
    <w:p w14:paraId="15329FAE"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In 2020 Australia ranked 21 out of 29 OECD DAC countries on the generosity of its aid, measured by the ODA-to-</w:t>
      </w:r>
      <w:proofErr w:type="spellStart"/>
      <w:r>
        <w:rPr>
          <w:rFonts w:ascii="Spectral" w:eastAsia="Spectral" w:hAnsi="Spectral" w:cs="Spectral"/>
        </w:rPr>
        <w:t>GNI</w:t>
      </w:r>
      <w:proofErr w:type="spellEnd"/>
      <w:r>
        <w:rPr>
          <w:rFonts w:ascii="Spectral" w:eastAsia="Spectral" w:hAnsi="Spectral" w:cs="Spectral"/>
        </w:rPr>
        <w:t xml:space="preserve"> ratio. On current estimates, Australia’s ODA-to-</w:t>
      </w:r>
      <w:proofErr w:type="spellStart"/>
      <w:r>
        <w:rPr>
          <w:rFonts w:ascii="Spectral" w:eastAsia="Spectral" w:hAnsi="Spectral" w:cs="Spectral"/>
        </w:rPr>
        <w:t>GNI</w:t>
      </w:r>
      <w:proofErr w:type="spellEnd"/>
      <w:r>
        <w:rPr>
          <w:rFonts w:ascii="Spectral" w:eastAsia="Spectral" w:hAnsi="Spectral" w:cs="Spectral"/>
        </w:rPr>
        <w:t xml:space="preserve"> ratio is expected to tail off to 0.17% by 2025–26.</w:t>
      </w:r>
    </w:p>
    <w:p w14:paraId="15329FAF" w14:textId="77777777" w:rsidR="0084536E" w:rsidRDefault="0084536E">
      <w:pPr>
        <w:widowControl w:val="0"/>
        <w:spacing w:line="240" w:lineRule="auto"/>
        <w:ind w:left="-425" w:right="-182"/>
        <w:rPr>
          <w:rFonts w:ascii="Spectral" w:eastAsia="Spectral" w:hAnsi="Spectral" w:cs="Spectral"/>
        </w:rPr>
      </w:pPr>
    </w:p>
    <w:p w14:paraId="15329FB0"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 xml:space="preserve">The UN’s ODA target is to spend 0.7 per cent of </w:t>
      </w:r>
      <w:proofErr w:type="spellStart"/>
      <w:r>
        <w:rPr>
          <w:rFonts w:ascii="Spectral" w:eastAsia="Spectral" w:hAnsi="Spectral" w:cs="Spectral"/>
        </w:rPr>
        <w:t>GNI</w:t>
      </w:r>
      <w:proofErr w:type="spellEnd"/>
      <w:r>
        <w:rPr>
          <w:rFonts w:ascii="Spectral" w:eastAsia="Spectral" w:hAnsi="Spectral" w:cs="Spectral"/>
        </w:rPr>
        <w:t xml:space="preserve"> on ODA every year. If the Australian Government wants to double giving by its citizens, it should show that it means business by doubling its own giving and focusing on using evidence to double the impact of the giving that it does do.</w:t>
      </w:r>
    </w:p>
    <w:p w14:paraId="15329FB1" w14:textId="77777777" w:rsidR="0084536E" w:rsidRDefault="0084536E">
      <w:pPr>
        <w:widowControl w:val="0"/>
        <w:spacing w:line="240" w:lineRule="auto"/>
        <w:ind w:left="-425" w:right="-182"/>
        <w:rPr>
          <w:rFonts w:ascii="Spectral" w:eastAsia="Spectral" w:hAnsi="Spectral" w:cs="Spectral"/>
        </w:rPr>
      </w:pPr>
    </w:p>
    <w:p w14:paraId="15329FB2"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I trust this information and perspective has been valuable to the Productivity Commission.</w:t>
      </w:r>
    </w:p>
    <w:p w14:paraId="15329FB3" w14:textId="77777777" w:rsidR="0084536E" w:rsidRDefault="0084536E">
      <w:pPr>
        <w:widowControl w:val="0"/>
        <w:spacing w:line="240" w:lineRule="auto"/>
        <w:ind w:left="-425" w:right="-182"/>
        <w:rPr>
          <w:rFonts w:ascii="Spectral" w:eastAsia="Spectral" w:hAnsi="Spectral" w:cs="Spectral"/>
        </w:rPr>
      </w:pPr>
    </w:p>
    <w:p w14:paraId="15329FB4" w14:textId="77777777" w:rsidR="0084536E" w:rsidRDefault="00000000">
      <w:pPr>
        <w:widowControl w:val="0"/>
        <w:spacing w:line="240" w:lineRule="auto"/>
        <w:ind w:left="-425" w:right="-182"/>
        <w:rPr>
          <w:rFonts w:ascii="Spectral" w:eastAsia="Spectral" w:hAnsi="Spectral" w:cs="Spectral"/>
        </w:rPr>
      </w:pPr>
      <w:r>
        <w:rPr>
          <w:rFonts w:ascii="Spectral" w:eastAsia="Spectral" w:hAnsi="Spectral" w:cs="Spectral"/>
        </w:rPr>
        <w:t>Yours Charitably,</w:t>
      </w:r>
    </w:p>
    <w:p w14:paraId="15329FB5" w14:textId="77777777" w:rsidR="0084536E" w:rsidRDefault="00000000">
      <w:pPr>
        <w:widowControl w:val="0"/>
        <w:spacing w:line="240" w:lineRule="auto"/>
        <w:ind w:left="-425" w:right="-182"/>
        <w:rPr>
          <w:rFonts w:ascii="Spectral" w:eastAsia="Spectral" w:hAnsi="Spectral" w:cs="Spectral"/>
        </w:rPr>
      </w:pPr>
      <w:proofErr w:type="spellStart"/>
      <w:r>
        <w:rPr>
          <w:rFonts w:ascii="Spectral" w:eastAsia="Spectral" w:hAnsi="Spectral" w:cs="Spectral"/>
        </w:rPr>
        <w:t>Tharun</w:t>
      </w:r>
      <w:proofErr w:type="spellEnd"/>
      <w:r>
        <w:rPr>
          <w:rFonts w:ascii="Spectral" w:eastAsia="Spectral" w:hAnsi="Spectral" w:cs="Spectral"/>
        </w:rPr>
        <w:t xml:space="preserve"> </w:t>
      </w:r>
      <w:proofErr w:type="spellStart"/>
      <w:r>
        <w:rPr>
          <w:rFonts w:ascii="Spectral" w:eastAsia="Spectral" w:hAnsi="Spectral" w:cs="Spectral"/>
        </w:rPr>
        <w:t>Sonti</w:t>
      </w:r>
      <w:proofErr w:type="spellEnd"/>
    </w:p>
    <w:sectPr w:rsidR="0084536E">
      <w:pgSz w:w="11909" w:h="16834"/>
      <w:pgMar w:top="708" w:right="1440" w:bottom="8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2E71"/>
    <w:multiLevelType w:val="multilevel"/>
    <w:tmpl w:val="B2F60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1C392D"/>
    <w:multiLevelType w:val="multilevel"/>
    <w:tmpl w:val="89E0C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1134398">
    <w:abstractNumId w:val="1"/>
  </w:num>
  <w:num w:numId="2" w16cid:durableId="25948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6E"/>
    <w:rsid w:val="00265B74"/>
    <w:rsid w:val="00845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9F7B"/>
  <w15:docId w15:val="{5A0CDFB7-66AD-4F87-B27A-0FFB54A5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1DB31-7C65-4AD0-9A6B-B47C425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5E9DE-9E2A-4C6B-AFBE-5100E3D8017E}">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89D61F94-EB5B-4E44-9C59-0480EDD66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176 - Tharun Sonti - Philanthropy - Public inquiry</vt:lpstr>
    </vt:vector>
  </TitlesOfParts>
  <Company>Tharun Sonti</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176 - Tharun Sonti - Philanthropy - Public inquiry</dc:title>
  <dc:creator>Tharun Sonti</dc:creator>
  <cp:lastModifiedBy>Alexandra Dazey</cp:lastModifiedBy>
  <cp:revision>2</cp:revision>
  <dcterms:created xsi:type="dcterms:W3CDTF">2023-05-18T04:55:00Z</dcterms:created>
  <dcterms:modified xsi:type="dcterms:W3CDTF">2023-05-18T04:59:00Z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