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1360" w14:textId="77777777" w:rsidR="00C73E85" w:rsidRDefault="00C73E85" w:rsidP="0049094B">
      <w:pPr>
        <w:pStyle w:val="Title"/>
        <w:rPr>
          <w:rFonts w:asciiTheme="minorHAnsi" w:hAnsiTheme="minorHAnsi" w:cstheme="minorHAnsi"/>
          <w:sz w:val="44"/>
          <w:szCs w:val="44"/>
        </w:rPr>
      </w:pPr>
    </w:p>
    <w:p w14:paraId="2FF33358" w14:textId="77777777" w:rsidR="00C73E85" w:rsidRDefault="00C73E85" w:rsidP="0049094B">
      <w:pPr>
        <w:pStyle w:val="Title"/>
        <w:rPr>
          <w:rFonts w:asciiTheme="minorHAnsi" w:hAnsiTheme="minorHAnsi" w:cstheme="minorHAnsi"/>
          <w:sz w:val="44"/>
          <w:szCs w:val="44"/>
        </w:rPr>
      </w:pPr>
    </w:p>
    <w:p w14:paraId="5EF73C64" w14:textId="0EB424C4" w:rsidR="00954405" w:rsidRPr="00985E42" w:rsidRDefault="00954405" w:rsidP="0049094B">
      <w:pPr>
        <w:pStyle w:val="Title"/>
        <w:rPr>
          <w:rFonts w:asciiTheme="minorHAnsi" w:hAnsiTheme="minorHAnsi" w:cstheme="minorHAnsi"/>
          <w:sz w:val="44"/>
          <w:szCs w:val="44"/>
        </w:rPr>
      </w:pPr>
      <w:r w:rsidRPr="00985E42">
        <w:rPr>
          <w:rFonts w:asciiTheme="minorHAnsi" w:hAnsiTheme="minorHAnsi" w:cstheme="minorHAnsi"/>
          <w:sz w:val="44"/>
          <w:szCs w:val="44"/>
        </w:rPr>
        <w:t xml:space="preserve">Joint Submission to the Productivity Commission – Review of the National Agreement on Closing the Gap </w:t>
      </w:r>
    </w:p>
    <w:p w14:paraId="14629B3A" w14:textId="77777777" w:rsidR="00954405" w:rsidRPr="00985E42" w:rsidRDefault="00954405" w:rsidP="00954405">
      <w:pPr>
        <w:pStyle w:val="L3Header"/>
        <w:rPr>
          <w:rFonts w:cstheme="minorHAnsi"/>
          <w:color w:val="000000" w:themeColor="text1"/>
        </w:rPr>
      </w:pPr>
    </w:p>
    <w:p w14:paraId="04A091D8" w14:textId="77777777" w:rsidR="002E76A0" w:rsidRPr="00985E42" w:rsidRDefault="002E76A0" w:rsidP="00954405">
      <w:pPr>
        <w:pStyle w:val="L3Header"/>
        <w:rPr>
          <w:rFonts w:cstheme="minorHAnsi"/>
          <w:color w:val="000000" w:themeColor="text1"/>
          <w:sz w:val="22"/>
          <w:szCs w:val="22"/>
        </w:rPr>
      </w:pPr>
    </w:p>
    <w:p w14:paraId="0990D5DA" w14:textId="32DC437E" w:rsidR="00954405" w:rsidRPr="00985E42" w:rsidRDefault="00FD05B0" w:rsidP="00954405">
      <w:pPr>
        <w:pStyle w:val="L3Header"/>
        <w:rPr>
          <w:rFonts w:cstheme="minorHAnsi"/>
          <w:color w:val="000000" w:themeColor="text1"/>
          <w:sz w:val="22"/>
          <w:szCs w:val="22"/>
        </w:rPr>
      </w:pPr>
      <w:r w:rsidRPr="00985E42">
        <w:rPr>
          <w:rFonts w:cstheme="minorHAnsi"/>
          <w:color w:val="000000" w:themeColor="text1"/>
          <w:sz w:val="22"/>
          <w:szCs w:val="22"/>
        </w:rPr>
        <w:t>27 October 2023</w:t>
      </w:r>
    </w:p>
    <w:p w14:paraId="002E301A" w14:textId="77777777" w:rsidR="002E76A0" w:rsidRPr="00985E42" w:rsidRDefault="002E76A0" w:rsidP="00954405">
      <w:pPr>
        <w:pStyle w:val="L3Header"/>
        <w:rPr>
          <w:rFonts w:cstheme="minorHAnsi"/>
          <w:color w:val="000000" w:themeColor="text1"/>
          <w:sz w:val="22"/>
          <w:szCs w:val="22"/>
        </w:rPr>
      </w:pPr>
    </w:p>
    <w:p w14:paraId="619AC0E9" w14:textId="698C5B0D" w:rsidR="00954405" w:rsidRPr="00985E42" w:rsidRDefault="00AE4611" w:rsidP="00954405">
      <w:pPr>
        <w:pStyle w:val="L3Header"/>
        <w:rPr>
          <w:rFonts w:cstheme="minorHAnsi"/>
          <w:color w:val="000000" w:themeColor="text1"/>
          <w:sz w:val="22"/>
          <w:szCs w:val="22"/>
        </w:rPr>
      </w:pPr>
      <w:r w:rsidRPr="00985E42">
        <w:rPr>
          <w:rFonts w:cstheme="minorHAnsi"/>
          <w:color w:val="000000" w:themeColor="text1"/>
          <w:sz w:val="22"/>
          <w:szCs w:val="22"/>
        </w:rPr>
        <w:t>Co-produced by:</w:t>
      </w:r>
    </w:p>
    <w:p w14:paraId="3057932D" w14:textId="39173BA8" w:rsidR="00954405" w:rsidRPr="00985E42" w:rsidRDefault="00954405" w:rsidP="00954405">
      <w:pPr>
        <w:pStyle w:val="L3Header"/>
        <w:rPr>
          <w:rFonts w:cstheme="minorHAnsi"/>
          <w:b w:val="0"/>
          <w:bCs w:val="0"/>
          <w:color w:val="000000" w:themeColor="text1"/>
          <w:sz w:val="22"/>
          <w:szCs w:val="22"/>
        </w:rPr>
      </w:pPr>
      <w:r w:rsidRPr="00985E42">
        <w:rPr>
          <w:rFonts w:cstheme="minorHAnsi"/>
          <w:b w:val="0"/>
          <w:bCs w:val="0"/>
          <w:color w:val="000000" w:themeColor="text1"/>
          <w:sz w:val="22"/>
          <w:szCs w:val="22"/>
        </w:rPr>
        <w:t xml:space="preserve">Allies for Children comprising The Benevolent Society, Life Without Barriers, Key Assets, Act for Kids, Mackillop Family Services, </w:t>
      </w:r>
      <w:proofErr w:type="spellStart"/>
      <w:r w:rsidRPr="00985E42">
        <w:rPr>
          <w:rFonts w:cstheme="minorHAnsi"/>
          <w:b w:val="0"/>
          <w:bCs w:val="0"/>
          <w:color w:val="000000" w:themeColor="text1"/>
          <w:sz w:val="22"/>
          <w:szCs w:val="22"/>
        </w:rPr>
        <w:t>OzChild</w:t>
      </w:r>
      <w:proofErr w:type="spellEnd"/>
      <w:r w:rsidR="00607A79" w:rsidRPr="00985E42">
        <w:rPr>
          <w:rFonts w:cstheme="minorHAnsi"/>
          <w:b w:val="0"/>
          <w:bCs w:val="0"/>
          <w:color w:val="000000" w:themeColor="text1"/>
          <w:sz w:val="22"/>
          <w:szCs w:val="22"/>
        </w:rPr>
        <w:t xml:space="preserve"> and</w:t>
      </w:r>
      <w:r w:rsidRPr="00985E42">
        <w:rPr>
          <w:rFonts w:cstheme="minorHAnsi"/>
          <w:b w:val="0"/>
          <w:bCs w:val="0"/>
          <w:color w:val="000000" w:themeColor="text1"/>
          <w:sz w:val="22"/>
          <w:szCs w:val="22"/>
        </w:rPr>
        <w:t xml:space="preserve"> </w:t>
      </w:r>
      <w:proofErr w:type="spellStart"/>
      <w:r w:rsidRPr="00985E42">
        <w:rPr>
          <w:rFonts w:cstheme="minorHAnsi"/>
          <w:b w:val="0"/>
          <w:bCs w:val="0"/>
          <w:color w:val="000000" w:themeColor="text1"/>
          <w:sz w:val="22"/>
          <w:szCs w:val="22"/>
        </w:rPr>
        <w:t>Barnardos</w:t>
      </w:r>
      <w:proofErr w:type="spellEnd"/>
      <w:r w:rsidRPr="00985E42">
        <w:rPr>
          <w:rFonts w:cstheme="minorHAnsi"/>
          <w:b w:val="0"/>
          <w:bCs w:val="0"/>
          <w:color w:val="000000" w:themeColor="text1"/>
          <w:sz w:val="22"/>
          <w:szCs w:val="22"/>
        </w:rPr>
        <w:t xml:space="preserve"> in partnership </w:t>
      </w:r>
      <w:r w:rsidR="009027C4" w:rsidRPr="00985E42">
        <w:rPr>
          <w:rFonts w:cstheme="minorHAnsi"/>
          <w:b w:val="0"/>
          <w:bCs w:val="0"/>
          <w:color w:val="000000" w:themeColor="text1"/>
          <w:sz w:val="22"/>
          <w:szCs w:val="22"/>
        </w:rPr>
        <w:t>and the</w:t>
      </w:r>
      <w:r w:rsidRPr="00985E42">
        <w:rPr>
          <w:rFonts w:cstheme="minorHAnsi"/>
          <w:b w:val="0"/>
          <w:bCs w:val="0"/>
          <w:color w:val="000000" w:themeColor="text1"/>
          <w:sz w:val="22"/>
          <w:szCs w:val="22"/>
        </w:rPr>
        <w:t xml:space="preserve"> First Nations Non-Government Alliance.</w:t>
      </w:r>
    </w:p>
    <w:p w14:paraId="05230578" w14:textId="77777777" w:rsidR="00746DD9" w:rsidRPr="00985E42" w:rsidRDefault="00746DD9" w:rsidP="00FD7B7E">
      <w:pPr>
        <w:spacing w:line="240" w:lineRule="auto"/>
        <w:jc w:val="center"/>
        <w:rPr>
          <w:rFonts w:cstheme="minorHAnsi"/>
          <w:b/>
          <w:bCs/>
          <w:lang w:val="en-US"/>
        </w:rPr>
      </w:pPr>
    </w:p>
    <w:p w14:paraId="6760ABBA" w14:textId="5D7D2C2D" w:rsidR="0020323B" w:rsidRPr="00985E42" w:rsidRDefault="0020323B" w:rsidP="00FD7B7E">
      <w:pPr>
        <w:spacing w:line="240" w:lineRule="auto"/>
        <w:jc w:val="both"/>
        <w:rPr>
          <w:rFonts w:cstheme="minorHAnsi"/>
          <w:i/>
          <w:iCs/>
          <w:lang w:val="en-US"/>
        </w:rPr>
      </w:pPr>
      <w:r w:rsidRPr="00985E42">
        <w:rPr>
          <w:rFonts w:cstheme="minorHAnsi"/>
          <w:i/>
          <w:iCs/>
          <w:lang w:val="en-US"/>
        </w:rPr>
        <w:t xml:space="preserve">We thank the Productivity Commission for the opportunity to provide this co-designed submission </w:t>
      </w:r>
      <w:r w:rsidR="00127279" w:rsidRPr="00985E42">
        <w:rPr>
          <w:rFonts w:cstheme="minorHAnsi"/>
          <w:i/>
          <w:iCs/>
          <w:lang w:val="en-US"/>
        </w:rPr>
        <w:t>on</w:t>
      </w:r>
      <w:r w:rsidRPr="00985E42">
        <w:rPr>
          <w:rFonts w:cstheme="minorHAnsi"/>
          <w:i/>
          <w:iCs/>
          <w:lang w:val="en-US"/>
        </w:rPr>
        <w:t xml:space="preserve"> the review of the National Agreement on Closing the Gap. We extend appreciation for the extension granted.</w:t>
      </w:r>
    </w:p>
    <w:p w14:paraId="71BAD717" w14:textId="77777777" w:rsidR="002E76A0" w:rsidRDefault="002E76A0" w:rsidP="00FD7B7E">
      <w:pPr>
        <w:spacing w:line="240" w:lineRule="auto"/>
        <w:jc w:val="both"/>
        <w:rPr>
          <w:rFonts w:cstheme="minorHAnsi"/>
          <w:i/>
          <w:iCs/>
          <w:lang w:val="en-US"/>
        </w:rPr>
      </w:pPr>
    </w:p>
    <w:p w14:paraId="4FB3F380" w14:textId="77777777" w:rsidR="00C73E85" w:rsidRDefault="00C73E85" w:rsidP="00FD7B7E">
      <w:pPr>
        <w:spacing w:line="240" w:lineRule="auto"/>
        <w:jc w:val="both"/>
        <w:rPr>
          <w:rFonts w:cstheme="minorHAnsi"/>
          <w:i/>
          <w:iCs/>
          <w:lang w:val="en-US"/>
        </w:rPr>
      </w:pPr>
    </w:p>
    <w:p w14:paraId="750A7257" w14:textId="77777777" w:rsidR="00C73E85" w:rsidRDefault="00C73E85" w:rsidP="00FD7B7E">
      <w:pPr>
        <w:spacing w:line="240" w:lineRule="auto"/>
        <w:jc w:val="both"/>
        <w:rPr>
          <w:rFonts w:cstheme="minorHAnsi"/>
          <w:i/>
          <w:iCs/>
          <w:lang w:val="en-US"/>
        </w:rPr>
      </w:pPr>
    </w:p>
    <w:p w14:paraId="79186C2B" w14:textId="77777777" w:rsidR="00C73E85" w:rsidRDefault="00C73E85" w:rsidP="00FD7B7E">
      <w:pPr>
        <w:spacing w:line="240" w:lineRule="auto"/>
        <w:jc w:val="both"/>
        <w:rPr>
          <w:rFonts w:cstheme="minorHAnsi"/>
          <w:i/>
          <w:iCs/>
          <w:lang w:val="en-US"/>
        </w:rPr>
      </w:pPr>
    </w:p>
    <w:p w14:paraId="03D72A3C" w14:textId="77777777" w:rsidR="00C73E85" w:rsidRDefault="00C73E85" w:rsidP="00FD7B7E">
      <w:pPr>
        <w:spacing w:line="240" w:lineRule="auto"/>
        <w:jc w:val="both"/>
        <w:rPr>
          <w:rFonts w:cstheme="minorHAnsi"/>
          <w:i/>
          <w:iCs/>
          <w:lang w:val="en-US"/>
        </w:rPr>
      </w:pPr>
    </w:p>
    <w:p w14:paraId="5CB2474D" w14:textId="77777777" w:rsidR="00C73E85" w:rsidRDefault="00C73E85" w:rsidP="00FD7B7E">
      <w:pPr>
        <w:spacing w:line="240" w:lineRule="auto"/>
        <w:jc w:val="both"/>
        <w:rPr>
          <w:rFonts w:cstheme="minorHAnsi"/>
          <w:i/>
          <w:iCs/>
          <w:lang w:val="en-US"/>
        </w:rPr>
      </w:pPr>
    </w:p>
    <w:p w14:paraId="72B6E0DE" w14:textId="77777777" w:rsidR="00C73E85" w:rsidRDefault="00C73E85" w:rsidP="00FD7B7E">
      <w:pPr>
        <w:spacing w:line="240" w:lineRule="auto"/>
        <w:jc w:val="both"/>
        <w:rPr>
          <w:rFonts w:cstheme="minorHAnsi"/>
          <w:i/>
          <w:iCs/>
          <w:lang w:val="en-US"/>
        </w:rPr>
      </w:pPr>
    </w:p>
    <w:p w14:paraId="0C832289" w14:textId="77777777" w:rsidR="00C73E85" w:rsidRDefault="00C73E85" w:rsidP="00FD7B7E">
      <w:pPr>
        <w:spacing w:line="240" w:lineRule="auto"/>
        <w:jc w:val="both"/>
        <w:rPr>
          <w:rFonts w:cstheme="minorHAnsi"/>
          <w:i/>
          <w:iCs/>
          <w:lang w:val="en-US"/>
        </w:rPr>
      </w:pPr>
    </w:p>
    <w:p w14:paraId="64B8720B" w14:textId="77777777" w:rsidR="00C73E85" w:rsidRDefault="00C73E85" w:rsidP="00FD7B7E">
      <w:pPr>
        <w:spacing w:line="240" w:lineRule="auto"/>
        <w:jc w:val="both"/>
        <w:rPr>
          <w:rFonts w:cstheme="minorHAnsi"/>
          <w:i/>
          <w:iCs/>
          <w:lang w:val="en-US"/>
        </w:rPr>
      </w:pPr>
    </w:p>
    <w:p w14:paraId="6563471E" w14:textId="77777777" w:rsidR="00C73E85" w:rsidRDefault="00C73E85" w:rsidP="00FD7B7E">
      <w:pPr>
        <w:spacing w:line="240" w:lineRule="auto"/>
        <w:jc w:val="both"/>
        <w:rPr>
          <w:rFonts w:cstheme="minorHAnsi"/>
          <w:i/>
          <w:iCs/>
          <w:lang w:val="en-US"/>
        </w:rPr>
      </w:pPr>
    </w:p>
    <w:p w14:paraId="68251ECE" w14:textId="77777777" w:rsidR="00C73E85" w:rsidRDefault="00C73E85" w:rsidP="00FD7B7E">
      <w:pPr>
        <w:spacing w:line="240" w:lineRule="auto"/>
        <w:jc w:val="both"/>
        <w:rPr>
          <w:rFonts w:cstheme="minorHAnsi"/>
          <w:i/>
          <w:iCs/>
          <w:lang w:val="en-US"/>
        </w:rPr>
      </w:pPr>
    </w:p>
    <w:p w14:paraId="09BF3531" w14:textId="77777777" w:rsidR="00C73E85" w:rsidRDefault="00C73E85" w:rsidP="00FD7B7E">
      <w:pPr>
        <w:spacing w:line="240" w:lineRule="auto"/>
        <w:jc w:val="both"/>
        <w:rPr>
          <w:rFonts w:cstheme="minorHAnsi"/>
          <w:i/>
          <w:iCs/>
          <w:lang w:val="en-US"/>
        </w:rPr>
      </w:pPr>
    </w:p>
    <w:p w14:paraId="45602731" w14:textId="77777777" w:rsidR="00C73E85" w:rsidRDefault="00C73E85" w:rsidP="00FD7B7E">
      <w:pPr>
        <w:spacing w:line="240" w:lineRule="auto"/>
        <w:jc w:val="both"/>
        <w:rPr>
          <w:rFonts w:cstheme="minorHAnsi"/>
          <w:i/>
          <w:iCs/>
          <w:lang w:val="en-US"/>
        </w:rPr>
      </w:pPr>
    </w:p>
    <w:p w14:paraId="7F3E8EEB" w14:textId="77777777" w:rsidR="00C73E85" w:rsidRDefault="00C73E85" w:rsidP="00FD7B7E">
      <w:pPr>
        <w:spacing w:line="240" w:lineRule="auto"/>
        <w:jc w:val="both"/>
        <w:rPr>
          <w:rFonts w:cstheme="minorHAnsi"/>
          <w:i/>
          <w:iCs/>
          <w:lang w:val="en-US"/>
        </w:rPr>
      </w:pPr>
    </w:p>
    <w:p w14:paraId="2D14CE88" w14:textId="77777777" w:rsidR="00C73E85" w:rsidRDefault="00C73E85" w:rsidP="00FD7B7E">
      <w:pPr>
        <w:spacing w:line="240" w:lineRule="auto"/>
        <w:jc w:val="both"/>
        <w:rPr>
          <w:rFonts w:cstheme="minorHAnsi"/>
          <w:i/>
          <w:iCs/>
          <w:lang w:val="en-US"/>
        </w:rPr>
      </w:pPr>
    </w:p>
    <w:p w14:paraId="5385470A" w14:textId="77777777" w:rsidR="00C73E85" w:rsidRDefault="00C73E85" w:rsidP="00FD7B7E">
      <w:pPr>
        <w:spacing w:line="240" w:lineRule="auto"/>
        <w:jc w:val="both"/>
        <w:rPr>
          <w:rFonts w:cstheme="minorHAnsi"/>
          <w:i/>
          <w:iCs/>
          <w:lang w:val="en-US"/>
        </w:rPr>
      </w:pPr>
    </w:p>
    <w:p w14:paraId="030562D9" w14:textId="77777777" w:rsidR="00C73E85" w:rsidRDefault="00C73E85" w:rsidP="00FD7B7E">
      <w:pPr>
        <w:spacing w:line="240" w:lineRule="auto"/>
        <w:jc w:val="both"/>
        <w:rPr>
          <w:rFonts w:cstheme="minorHAnsi"/>
          <w:i/>
          <w:iCs/>
          <w:lang w:val="en-US"/>
        </w:rPr>
      </w:pPr>
    </w:p>
    <w:p w14:paraId="58FA6706" w14:textId="349ADC2C" w:rsidR="0020323B" w:rsidRPr="00985E42" w:rsidRDefault="00945303" w:rsidP="00FD7B7E">
      <w:pPr>
        <w:spacing w:line="240" w:lineRule="auto"/>
        <w:jc w:val="both"/>
        <w:rPr>
          <w:rFonts w:cstheme="minorHAnsi"/>
          <w:b/>
          <w:bCs/>
          <w:caps/>
          <w:sz w:val="24"/>
          <w:szCs w:val="24"/>
          <w:lang w:val="en-US"/>
        </w:rPr>
      </w:pPr>
      <w:r w:rsidRPr="00985E42">
        <w:rPr>
          <w:rFonts w:cstheme="minorHAnsi"/>
          <w:b/>
          <w:bCs/>
          <w:caps/>
          <w:sz w:val="24"/>
          <w:szCs w:val="24"/>
          <w:lang w:val="en-US"/>
        </w:rPr>
        <w:t>Partnerships</w:t>
      </w:r>
      <w:r w:rsidR="00882293" w:rsidRPr="00985E42">
        <w:rPr>
          <w:rFonts w:cstheme="minorHAnsi"/>
          <w:b/>
          <w:bCs/>
          <w:caps/>
          <w:sz w:val="24"/>
          <w:szCs w:val="24"/>
          <w:lang w:val="en-US"/>
        </w:rPr>
        <w:t xml:space="preserve"> which recognise</w:t>
      </w:r>
      <w:r w:rsidRPr="00985E42">
        <w:rPr>
          <w:rFonts w:cstheme="minorHAnsi"/>
          <w:b/>
          <w:bCs/>
          <w:caps/>
          <w:sz w:val="24"/>
          <w:szCs w:val="24"/>
          <w:lang w:val="en-US"/>
        </w:rPr>
        <w:t xml:space="preserve"> and </w:t>
      </w:r>
      <w:r w:rsidR="00882293" w:rsidRPr="00985E42">
        <w:rPr>
          <w:rFonts w:cstheme="minorHAnsi"/>
          <w:b/>
          <w:bCs/>
          <w:caps/>
          <w:sz w:val="24"/>
          <w:szCs w:val="24"/>
          <w:lang w:val="en-US"/>
        </w:rPr>
        <w:t>elevate</w:t>
      </w:r>
      <w:r w:rsidRPr="00985E42">
        <w:rPr>
          <w:rFonts w:cstheme="minorHAnsi"/>
          <w:b/>
          <w:bCs/>
          <w:caps/>
          <w:sz w:val="24"/>
          <w:szCs w:val="24"/>
          <w:lang w:val="en-US"/>
        </w:rPr>
        <w:t xml:space="preserve"> </w:t>
      </w:r>
      <w:r w:rsidR="00F01BCF" w:rsidRPr="00985E42">
        <w:rPr>
          <w:rFonts w:cstheme="minorHAnsi"/>
          <w:b/>
          <w:bCs/>
          <w:caps/>
          <w:sz w:val="24"/>
          <w:szCs w:val="24"/>
          <w:lang w:val="en-US"/>
        </w:rPr>
        <w:t>shared decision making, c</w:t>
      </w:r>
      <w:r w:rsidRPr="00985E42">
        <w:rPr>
          <w:rFonts w:cstheme="minorHAnsi"/>
          <w:b/>
          <w:bCs/>
          <w:caps/>
          <w:sz w:val="24"/>
          <w:szCs w:val="24"/>
          <w:lang w:val="en-US"/>
        </w:rPr>
        <w:t>ultural authority and First Nations Self-Determination</w:t>
      </w:r>
      <w:r w:rsidR="00831BCF" w:rsidRPr="00985E42">
        <w:rPr>
          <w:rFonts w:cstheme="minorHAnsi"/>
          <w:b/>
          <w:bCs/>
          <w:caps/>
          <w:sz w:val="24"/>
          <w:szCs w:val="24"/>
          <w:lang w:val="en-US"/>
        </w:rPr>
        <w:t xml:space="preserve"> to</w:t>
      </w:r>
      <w:r w:rsidR="00882293" w:rsidRPr="00985E42">
        <w:rPr>
          <w:rFonts w:cstheme="minorHAnsi"/>
          <w:b/>
          <w:bCs/>
          <w:caps/>
          <w:sz w:val="24"/>
          <w:szCs w:val="24"/>
          <w:lang w:val="en-US"/>
        </w:rPr>
        <w:t xml:space="preserve"> improve the lives of First Nations children</w:t>
      </w:r>
      <w:r w:rsidR="00BB5512" w:rsidRPr="00985E42">
        <w:rPr>
          <w:rFonts w:cstheme="minorHAnsi"/>
          <w:b/>
          <w:bCs/>
          <w:caps/>
          <w:sz w:val="24"/>
          <w:szCs w:val="24"/>
          <w:lang w:val="en-US"/>
        </w:rPr>
        <w:t xml:space="preserve"> and families</w:t>
      </w:r>
    </w:p>
    <w:p w14:paraId="33006B83" w14:textId="3849D386" w:rsidR="0020323B" w:rsidRPr="00985E42" w:rsidRDefault="00F01BCF" w:rsidP="00FD7B7E">
      <w:pPr>
        <w:spacing w:line="240" w:lineRule="auto"/>
        <w:jc w:val="both"/>
        <w:rPr>
          <w:rFonts w:cstheme="minorHAnsi"/>
          <w:lang w:val="en-US"/>
        </w:rPr>
      </w:pPr>
      <w:r w:rsidRPr="00985E42">
        <w:rPr>
          <w:rFonts w:cstheme="minorHAnsi"/>
          <w:lang w:val="en-US"/>
        </w:rPr>
        <w:t xml:space="preserve">The draft review on the National Agreement on Closing the Gap (CTG) identifies the critical importance </w:t>
      </w:r>
      <w:r w:rsidR="00746DD9" w:rsidRPr="00985E42">
        <w:rPr>
          <w:rFonts w:cstheme="minorHAnsi"/>
          <w:lang w:val="en-US"/>
        </w:rPr>
        <w:t>of solutions</w:t>
      </w:r>
      <w:r w:rsidRPr="00985E42">
        <w:rPr>
          <w:rFonts w:cstheme="minorHAnsi"/>
          <w:lang w:val="en-US"/>
        </w:rPr>
        <w:t xml:space="preserve"> </w:t>
      </w:r>
      <w:r w:rsidR="007F463A" w:rsidRPr="00985E42">
        <w:rPr>
          <w:rFonts w:cstheme="minorHAnsi"/>
          <w:lang w:val="en-US"/>
        </w:rPr>
        <w:t>designed with</w:t>
      </w:r>
      <w:r w:rsidR="001B006D" w:rsidRPr="00985E42">
        <w:rPr>
          <w:rFonts w:cstheme="minorHAnsi"/>
          <w:lang w:val="en-US"/>
        </w:rPr>
        <w:t xml:space="preserve"> </w:t>
      </w:r>
      <w:r w:rsidRPr="00985E42">
        <w:rPr>
          <w:rFonts w:cstheme="minorHAnsi"/>
          <w:lang w:val="en-US"/>
        </w:rPr>
        <w:t xml:space="preserve">Aboriginal and Torres Strait Islander perspectives and cultural knowledge </w:t>
      </w:r>
      <w:proofErr w:type="gramStart"/>
      <w:r w:rsidRPr="00985E42">
        <w:rPr>
          <w:rFonts w:cstheme="minorHAnsi"/>
          <w:lang w:val="en-US"/>
        </w:rPr>
        <w:t>in order to</w:t>
      </w:r>
      <w:proofErr w:type="gramEnd"/>
      <w:r w:rsidRPr="00985E42">
        <w:rPr>
          <w:rFonts w:cstheme="minorHAnsi"/>
          <w:lang w:val="en-US"/>
        </w:rPr>
        <w:t xml:space="preserve"> ‘overcome entrenched </w:t>
      </w:r>
      <w:r w:rsidR="00D0426D">
        <w:rPr>
          <w:rFonts w:cstheme="minorHAnsi"/>
          <w:lang w:val="en-US"/>
        </w:rPr>
        <w:t>in</w:t>
      </w:r>
      <w:r w:rsidRPr="00985E42">
        <w:rPr>
          <w:rFonts w:cstheme="minorHAnsi"/>
          <w:lang w:val="en-US"/>
        </w:rPr>
        <w:t xml:space="preserve">equality’. </w:t>
      </w:r>
    </w:p>
    <w:p w14:paraId="01314A37" w14:textId="33FD5595" w:rsidR="00B70B39" w:rsidRPr="00985E42" w:rsidRDefault="005F0B9A" w:rsidP="0030156C">
      <w:pPr>
        <w:spacing w:line="240" w:lineRule="auto"/>
        <w:jc w:val="both"/>
        <w:rPr>
          <w:rFonts w:cstheme="minorHAnsi"/>
          <w:lang w:val="en-US"/>
        </w:rPr>
      </w:pPr>
      <w:r w:rsidRPr="00985E42">
        <w:rPr>
          <w:rFonts w:cstheme="minorHAnsi"/>
          <w:lang w:val="en-US"/>
        </w:rPr>
        <w:t xml:space="preserve">This </w:t>
      </w:r>
      <w:r w:rsidR="00C13AAE" w:rsidRPr="00985E42">
        <w:rPr>
          <w:rFonts w:cstheme="minorHAnsi"/>
          <w:lang w:val="en-US"/>
        </w:rPr>
        <w:t xml:space="preserve">submission </w:t>
      </w:r>
      <w:r w:rsidR="000E4867" w:rsidRPr="00985E42">
        <w:rPr>
          <w:rFonts w:cstheme="minorHAnsi"/>
          <w:lang w:val="en-US"/>
        </w:rPr>
        <w:t>offers insight</w:t>
      </w:r>
      <w:r w:rsidR="00114A8E" w:rsidRPr="00985E42">
        <w:rPr>
          <w:rFonts w:cstheme="minorHAnsi"/>
          <w:lang w:val="en-US"/>
        </w:rPr>
        <w:t>s</w:t>
      </w:r>
      <w:r w:rsidR="000E4867" w:rsidRPr="00985E42">
        <w:rPr>
          <w:rFonts w:cstheme="minorHAnsi"/>
          <w:lang w:val="en-US"/>
        </w:rPr>
        <w:t xml:space="preserve"> to</w:t>
      </w:r>
      <w:r w:rsidR="00C13AAE" w:rsidRPr="00985E42">
        <w:rPr>
          <w:rFonts w:cstheme="minorHAnsi"/>
          <w:lang w:val="en-US"/>
        </w:rPr>
        <w:t xml:space="preserve"> a newly formed partnership </w:t>
      </w:r>
      <w:r w:rsidR="00BE4356" w:rsidRPr="00985E42">
        <w:rPr>
          <w:rFonts w:cstheme="minorHAnsi"/>
          <w:lang w:val="en-US"/>
        </w:rPr>
        <w:t xml:space="preserve">between the Allies for Children and </w:t>
      </w:r>
      <w:r w:rsidR="00384D6F" w:rsidRPr="00985E42">
        <w:rPr>
          <w:rFonts w:cstheme="minorHAnsi"/>
          <w:lang w:val="en-US"/>
        </w:rPr>
        <w:t>the</w:t>
      </w:r>
      <w:r w:rsidR="00C2283A" w:rsidRPr="00985E42">
        <w:rPr>
          <w:rFonts w:cstheme="minorHAnsi"/>
          <w:lang w:val="en-US"/>
        </w:rPr>
        <w:t xml:space="preserve"> </w:t>
      </w:r>
      <w:r w:rsidR="00BE4356" w:rsidRPr="00985E42">
        <w:rPr>
          <w:rFonts w:cstheme="minorHAnsi"/>
          <w:lang w:val="en-US"/>
        </w:rPr>
        <w:t>First Nations Non</w:t>
      </w:r>
      <w:r w:rsidR="001A31C0" w:rsidRPr="00985E42">
        <w:rPr>
          <w:rFonts w:cstheme="minorHAnsi"/>
          <w:lang w:val="en-US"/>
        </w:rPr>
        <w:t>-Government Alliance</w:t>
      </w:r>
      <w:r w:rsidR="00B70B39" w:rsidRPr="00985E42">
        <w:rPr>
          <w:rFonts w:cstheme="minorHAnsi"/>
          <w:lang w:val="en-US"/>
        </w:rPr>
        <w:t xml:space="preserve"> and the value of such partnerships in </w:t>
      </w:r>
      <w:r w:rsidR="00E31903" w:rsidRPr="00985E42">
        <w:rPr>
          <w:rFonts w:cstheme="minorHAnsi"/>
          <w:lang w:val="en-US"/>
        </w:rPr>
        <w:t xml:space="preserve">amplifying self-determination </w:t>
      </w:r>
      <w:r w:rsidR="00F36D71" w:rsidRPr="00985E42">
        <w:rPr>
          <w:rFonts w:cstheme="minorHAnsi"/>
          <w:lang w:val="en-US"/>
        </w:rPr>
        <w:t>and shared decision making in the non-government sector</w:t>
      </w:r>
      <w:r w:rsidR="006F3AEA" w:rsidRPr="00985E42">
        <w:rPr>
          <w:rFonts w:cstheme="minorHAnsi"/>
          <w:lang w:val="en-US"/>
        </w:rPr>
        <w:t xml:space="preserve"> </w:t>
      </w:r>
      <w:r w:rsidR="00862D3E" w:rsidRPr="00985E42">
        <w:rPr>
          <w:rFonts w:cstheme="minorHAnsi"/>
          <w:lang w:val="en-US"/>
        </w:rPr>
        <w:t>specific to Target 12</w:t>
      </w:r>
      <w:r w:rsidR="00F36D71" w:rsidRPr="00985E42">
        <w:rPr>
          <w:rFonts w:cstheme="minorHAnsi"/>
          <w:lang w:val="en-US"/>
        </w:rPr>
        <w:t>.</w:t>
      </w:r>
      <w:r w:rsidR="00E31903" w:rsidRPr="00985E42">
        <w:rPr>
          <w:rFonts w:cstheme="minorHAnsi"/>
          <w:lang w:val="en-US"/>
        </w:rPr>
        <w:t xml:space="preserve">  </w:t>
      </w:r>
    </w:p>
    <w:p w14:paraId="5FAE8B8B" w14:textId="44D7572E" w:rsidR="00825BE8" w:rsidRPr="00985E42" w:rsidRDefault="0030156C" w:rsidP="0030156C">
      <w:pPr>
        <w:spacing w:line="240" w:lineRule="auto"/>
        <w:jc w:val="both"/>
        <w:rPr>
          <w:rFonts w:cstheme="minorHAnsi"/>
          <w:lang w:val="en-US"/>
        </w:rPr>
      </w:pPr>
      <w:r w:rsidRPr="00985E42">
        <w:rPr>
          <w:rFonts w:cstheme="minorHAnsi"/>
          <w:lang w:val="en-US"/>
        </w:rPr>
        <w:t>Through a series of case studies from founding organisations</w:t>
      </w:r>
      <w:r w:rsidR="00561145" w:rsidRPr="00985E42">
        <w:rPr>
          <w:rFonts w:cstheme="minorHAnsi"/>
          <w:lang w:val="en-US"/>
        </w:rPr>
        <w:t xml:space="preserve">, the Allies and First Nations Non-Government Alliance demonstrate </w:t>
      </w:r>
      <w:r w:rsidR="00561145" w:rsidRPr="00985E42">
        <w:rPr>
          <w:rFonts w:cstheme="minorHAnsi"/>
        </w:rPr>
        <w:t xml:space="preserve">examples of partnerships with First Nations </w:t>
      </w:r>
      <w:r w:rsidR="009027C4" w:rsidRPr="00985E42">
        <w:rPr>
          <w:rFonts w:cstheme="minorHAnsi"/>
        </w:rPr>
        <w:t>community-controlled</w:t>
      </w:r>
      <w:r w:rsidR="00561145" w:rsidRPr="00985E42">
        <w:rPr>
          <w:rFonts w:cstheme="minorHAnsi"/>
        </w:rPr>
        <w:t xml:space="preserve"> organisations or peaks</w:t>
      </w:r>
      <w:r w:rsidR="004171D4" w:rsidRPr="00985E42">
        <w:rPr>
          <w:rFonts w:cstheme="minorHAnsi"/>
        </w:rPr>
        <w:t xml:space="preserve"> which have been culturally reviewed by the</w:t>
      </w:r>
      <w:r w:rsidRPr="00985E42">
        <w:rPr>
          <w:rFonts w:cstheme="minorHAnsi"/>
          <w:lang w:val="en-US"/>
        </w:rPr>
        <w:t xml:space="preserve"> First Nations NGO Alliance</w:t>
      </w:r>
      <w:r w:rsidR="00A23F07" w:rsidRPr="00985E42">
        <w:rPr>
          <w:rFonts w:cstheme="minorHAnsi"/>
          <w:lang w:val="en-US"/>
        </w:rPr>
        <w:t xml:space="preserve">. The </w:t>
      </w:r>
      <w:r w:rsidR="006D5FB4" w:rsidRPr="00985E42">
        <w:rPr>
          <w:rFonts w:cstheme="minorHAnsi"/>
          <w:lang w:val="en-US"/>
        </w:rPr>
        <w:t xml:space="preserve">cultural </w:t>
      </w:r>
      <w:r w:rsidR="00A23F07" w:rsidRPr="00985E42">
        <w:rPr>
          <w:rFonts w:cstheme="minorHAnsi"/>
          <w:lang w:val="en-US"/>
        </w:rPr>
        <w:t>reviews</w:t>
      </w:r>
      <w:r w:rsidRPr="00985E42">
        <w:rPr>
          <w:rFonts w:cstheme="minorHAnsi"/>
          <w:lang w:val="en-US"/>
        </w:rPr>
        <w:t xml:space="preserve"> </w:t>
      </w:r>
      <w:r w:rsidR="00F02E57" w:rsidRPr="00985E42">
        <w:rPr>
          <w:rFonts w:cstheme="minorHAnsi"/>
          <w:lang w:val="en-US"/>
        </w:rPr>
        <w:t>explore and asses</w:t>
      </w:r>
      <w:r w:rsidR="00AE79D2">
        <w:rPr>
          <w:rFonts w:cstheme="minorHAnsi"/>
          <w:lang w:val="en-US"/>
        </w:rPr>
        <w:t>s</w:t>
      </w:r>
      <w:r w:rsidR="004171D4" w:rsidRPr="00985E42">
        <w:rPr>
          <w:rFonts w:cstheme="minorHAnsi"/>
          <w:lang w:val="en-US"/>
        </w:rPr>
        <w:t xml:space="preserve"> the approach</w:t>
      </w:r>
      <w:r w:rsidR="00F02E57" w:rsidRPr="00985E42">
        <w:rPr>
          <w:rFonts w:cstheme="minorHAnsi"/>
          <w:lang w:val="en-US"/>
        </w:rPr>
        <w:t xml:space="preserve"> </w:t>
      </w:r>
      <w:r w:rsidR="004171D4" w:rsidRPr="00985E42">
        <w:rPr>
          <w:rFonts w:cstheme="minorHAnsi"/>
          <w:lang w:val="en-US"/>
        </w:rPr>
        <w:t>and</w:t>
      </w:r>
      <w:r w:rsidR="00B756EC" w:rsidRPr="00985E42">
        <w:rPr>
          <w:rFonts w:cstheme="minorHAnsi"/>
          <w:lang w:val="en-US"/>
        </w:rPr>
        <w:t xml:space="preserve"> the</w:t>
      </w:r>
      <w:r w:rsidR="004171D4" w:rsidRPr="00985E42">
        <w:rPr>
          <w:rFonts w:cstheme="minorHAnsi"/>
          <w:lang w:val="en-US"/>
        </w:rPr>
        <w:t xml:space="preserve"> partnerships</w:t>
      </w:r>
      <w:r w:rsidR="00B756EC" w:rsidRPr="00985E42">
        <w:rPr>
          <w:rFonts w:cstheme="minorHAnsi"/>
          <w:lang w:val="en-US"/>
        </w:rPr>
        <w:t>,</w:t>
      </w:r>
      <w:r w:rsidR="004171D4" w:rsidRPr="00985E42">
        <w:rPr>
          <w:rFonts w:cstheme="minorHAnsi"/>
          <w:lang w:val="en-US"/>
        </w:rPr>
        <w:t xml:space="preserve"> </w:t>
      </w:r>
      <w:r w:rsidR="00A31C17" w:rsidRPr="00985E42">
        <w:rPr>
          <w:rFonts w:cstheme="minorHAnsi"/>
          <w:lang w:val="en-US"/>
        </w:rPr>
        <w:t>with a goal to show what has been</w:t>
      </w:r>
      <w:r w:rsidR="00A23F07" w:rsidRPr="00985E42">
        <w:rPr>
          <w:rFonts w:cstheme="minorHAnsi"/>
          <w:lang w:val="en-US"/>
        </w:rPr>
        <w:t xml:space="preserve"> effective </w:t>
      </w:r>
      <w:r w:rsidR="002A17D3" w:rsidRPr="00985E42">
        <w:rPr>
          <w:rFonts w:cstheme="minorHAnsi"/>
          <w:lang w:val="en-US"/>
        </w:rPr>
        <w:t xml:space="preserve">in the collaboration </w:t>
      </w:r>
      <w:r w:rsidR="00A23F07" w:rsidRPr="00985E42">
        <w:rPr>
          <w:rFonts w:cstheme="minorHAnsi"/>
          <w:lang w:val="en-US"/>
        </w:rPr>
        <w:t>and why. Th</w:t>
      </w:r>
      <w:r w:rsidR="005243C4" w:rsidRPr="00985E42">
        <w:rPr>
          <w:rFonts w:cstheme="minorHAnsi"/>
          <w:lang w:val="en-US"/>
        </w:rPr>
        <w:t>e</w:t>
      </w:r>
      <w:r w:rsidR="00A23F07" w:rsidRPr="00985E42">
        <w:rPr>
          <w:rFonts w:cstheme="minorHAnsi"/>
          <w:lang w:val="en-US"/>
        </w:rPr>
        <w:t xml:space="preserve"> reviews offer the Productivity Commission </w:t>
      </w:r>
      <w:r w:rsidR="00F41AB0" w:rsidRPr="00985E42">
        <w:rPr>
          <w:rFonts w:cstheme="minorHAnsi"/>
          <w:lang w:val="en-US"/>
        </w:rPr>
        <w:t>insights</w:t>
      </w:r>
      <w:r w:rsidR="00A23F07" w:rsidRPr="00985E42">
        <w:rPr>
          <w:rFonts w:cstheme="minorHAnsi"/>
          <w:lang w:val="en-US"/>
        </w:rPr>
        <w:t xml:space="preserve"> into partnership </w:t>
      </w:r>
      <w:r w:rsidR="00F41AB0" w:rsidRPr="00985E42">
        <w:rPr>
          <w:rFonts w:cstheme="minorHAnsi"/>
          <w:lang w:val="en-US"/>
        </w:rPr>
        <w:t>arrangements</w:t>
      </w:r>
      <w:r w:rsidR="00A23F07" w:rsidRPr="00985E42">
        <w:rPr>
          <w:rFonts w:cstheme="minorHAnsi"/>
          <w:lang w:val="en-US"/>
        </w:rPr>
        <w:t xml:space="preserve"> in the non-government arena which have the direct ability to </w:t>
      </w:r>
      <w:r w:rsidR="00F41AB0" w:rsidRPr="00985E42">
        <w:rPr>
          <w:rFonts w:cstheme="minorHAnsi"/>
          <w:lang w:val="en-US"/>
        </w:rPr>
        <w:t xml:space="preserve">positively influence </w:t>
      </w:r>
      <w:r w:rsidR="00B06BE1" w:rsidRPr="00985E42">
        <w:rPr>
          <w:rFonts w:cstheme="minorHAnsi"/>
          <w:lang w:val="en-US"/>
        </w:rPr>
        <w:t>Priority Reform Area 1 – Shared Decision Making.</w:t>
      </w:r>
    </w:p>
    <w:p w14:paraId="52C05FBE" w14:textId="521321C9" w:rsidR="00673A2E" w:rsidRPr="00985E42" w:rsidRDefault="00673A2E" w:rsidP="00FD7B7E">
      <w:pPr>
        <w:spacing w:line="240" w:lineRule="auto"/>
        <w:jc w:val="both"/>
        <w:rPr>
          <w:rFonts w:cstheme="minorHAnsi"/>
          <w:b/>
          <w:bCs/>
          <w:lang w:val="en-US"/>
        </w:rPr>
      </w:pPr>
      <w:r w:rsidRPr="00985E42">
        <w:rPr>
          <w:rFonts w:cstheme="minorHAnsi"/>
          <w:b/>
          <w:bCs/>
          <w:lang w:val="en-US"/>
        </w:rPr>
        <w:t>ALLIES FOR CHILDREN</w:t>
      </w:r>
    </w:p>
    <w:p w14:paraId="23771706" w14:textId="488DE980" w:rsidR="00470319" w:rsidRPr="00985E42" w:rsidRDefault="00673A2E" w:rsidP="00673A2E">
      <w:pPr>
        <w:spacing w:after="0" w:line="240" w:lineRule="auto"/>
        <w:jc w:val="both"/>
        <w:rPr>
          <w:rFonts w:eastAsia="Times New Roman" w:cstheme="minorHAnsi"/>
          <w:color w:val="000000"/>
          <w:lang w:eastAsia="en-AU"/>
        </w:rPr>
      </w:pPr>
      <w:r w:rsidRPr="00985E42">
        <w:rPr>
          <w:rFonts w:eastAsia="Times New Roman" w:cstheme="minorHAnsi"/>
          <w:lang w:eastAsia="en-AU"/>
        </w:rPr>
        <w:t xml:space="preserve">The Allies for Children is a </w:t>
      </w:r>
      <w:r w:rsidRPr="00985E42">
        <w:rPr>
          <w:rFonts w:eastAsia="Times New Roman" w:cstheme="minorHAnsi"/>
          <w:color w:val="000000"/>
          <w:lang w:eastAsia="en-AU"/>
        </w:rPr>
        <w:t>committed partnership of several founding organisations working within the Child, Youth and Family sector</w:t>
      </w:r>
      <w:r w:rsidR="000E4867" w:rsidRPr="00985E42">
        <w:rPr>
          <w:rFonts w:eastAsia="Times New Roman" w:cstheme="minorHAnsi"/>
          <w:color w:val="000000"/>
          <w:lang w:eastAsia="en-AU"/>
        </w:rPr>
        <w:t xml:space="preserve">. The Allies was formed through a </w:t>
      </w:r>
      <w:r w:rsidR="00A214FC" w:rsidRPr="00985E42">
        <w:rPr>
          <w:rFonts w:eastAsia="Times New Roman" w:cstheme="minorHAnsi"/>
          <w:color w:val="000000"/>
          <w:lang w:eastAsia="en-AU"/>
        </w:rPr>
        <w:t>shared</w:t>
      </w:r>
      <w:r w:rsidR="000E4867" w:rsidRPr="00985E42">
        <w:rPr>
          <w:rFonts w:eastAsia="Times New Roman" w:cstheme="minorHAnsi"/>
          <w:color w:val="000000"/>
          <w:lang w:eastAsia="en-AU"/>
        </w:rPr>
        <w:t xml:space="preserve"> belief and commitment that </w:t>
      </w:r>
      <w:r w:rsidR="00470319" w:rsidRPr="00985E42">
        <w:rPr>
          <w:rFonts w:eastAsia="Times New Roman" w:cstheme="minorHAnsi"/>
          <w:color w:val="000000"/>
          <w:lang w:eastAsia="en-AU"/>
        </w:rPr>
        <w:t xml:space="preserve">seismic change to advance improved outcomes for vulnerable children and families </w:t>
      </w:r>
      <w:r w:rsidR="00A214FC" w:rsidRPr="00985E42">
        <w:rPr>
          <w:rFonts w:eastAsia="Times New Roman" w:cstheme="minorHAnsi"/>
          <w:color w:val="000000"/>
          <w:lang w:eastAsia="en-AU"/>
        </w:rPr>
        <w:t>is best achieved</w:t>
      </w:r>
      <w:r w:rsidR="00014AA3" w:rsidRPr="00985E42">
        <w:rPr>
          <w:rFonts w:eastAsia="Times New Roman" w:cstheme="minorHAnsi"/>
          <w:color w:val="000000"/>
          <w:lang w:eastAsia="en-AU"/>
        </w:rPr>
        <w:t xml:space="preserve"> through a partnership approach.</w:t>
      </w:r>
      <w:r w:rsidR="00B32511" w:rsidRPr="00985E42">
        <w:rPr>
          <w:rFonts w:eastAsia="Times New Roman" w:cstheme="minorHAnsi"/>
          <w:color w:val="000000"/>
          <w:lang w:eastAsia="en-AU"/>
        </w:rPr>
        <w:t xml:space="preserve"> </w:t>
      </w:r>
      <w:r w:rsidR="00014AA3" w:rsidRPr="00985E42">
        <w:rPr>
          <w:rFonts w:eastAsia="Times New Roman" w:cstheme="minorHAnsi"/>
          <w:color w:val="000000"/>
          <w:lang w:eastAsia="en-AU"/>
        </w:rPr>
        <w:t xml:space="preserve">Whilst relatively new in formation, the Allies </w:t>
      </w:r>
      <w:r w:rsidR="007A684C" w:rsidRPr="00985E42">
        <w:rPr>
          <w:rFonts w:eastAsia="Times New Roman" w:cstheme="minorHAnsi"/>
          <w:color w:val="000000"/>
          <w:lang w:eastAsia="en-AU"/>
        </w:rPr>
        <w:t xml:space="preserve">CEO’s and their organisations are seeking to advance </w:t>
      </w:r>
      <w:r w:rsidR="00B32511" w:rsidRPr="00985E42">
        <w:rPr>
          <w:rFonts w:eastAsia="Times New Roman" w:cstheme="minorHAnsi"/>
          <w:color w:val="000000"/>
          <w:lang w:eastAsia="en-AU"/>
        </w:rPr>
        <w:t>improved</w:t>
      </w:r>
      <w:r w:rsidR="007A684C" w:rsidRPr="00985E42">
        <w:rPr>
          <w:rFonts w:eastAsia="Times New Roman" w:cstheme="minorHAnsi"/>
          <w:color w:val="000000"/>
          <w:lang w:eastAsia="en-AU"/>
        </w:rPr>
        <w:t xml:space="preserve"> social policy responses and reform within</w:t>
      </w:r>
      <w:r w:rsidR="00897762" w:rsidRPr="00985E42">
        <w:rPr>
          <w:rFonts w:eastAsia="Times New Roman" w:cstheme="minorHAnsi"/>
          <w:color w:val="000000"/>
          <w:lang w:eastAsia="en-AU"/>
        </w:rPr>
        <w:t xml:space="preserve"> state</w:t>
      </w:r>
      <w:r w:rsidR="007A684C" w:rsidRPr="00985E42">
        <w:rPr>
          <w:rFonts w:eastAsia="Times New Roman" w:cstheme="minorHAnsi"/>
          <w:color w:val="000000"/>
          <w:lang w:eastAsia="en-AU"/>
        </w:rPr>
        <w:t xml:space="preserve"> child </w:t>
      </w:r>
      <w:r w:rsidR="00B32511" w:rsidRPr="00985E42">
        <w:rPr>
          <w:rFonts w:eastAsia="Times New Roman" w:cstheme="minorHAnsi"/>
          <w:color w:val="000000"/>
          <w:lang w:eastAsia="en-AU"/>
        </w:rPr>
        <w:t>protection</w:t>
      </w:r>
      <w:r w:rsidR="00897762" w:rsidRPr="00985E42">
        <w:rPr>
          <w:rFonts w:eastAsia="Times New Roman" w:cstheme="minorHAnsi"/>
          <w:color w:val="000000"/>
          <w:lang w:eastAsia="en-AU"/>
        </w:rPr>
        <w:t xml:space="preserve"> </w:t>
      </w:r>
      <w:r w:rsidR="00882293" w:rsidRPr="00985E42">
        <w:rPr>
          <w:rFonts w:eastAsia="Times New Roman" w:cstheme="minorHAnsi"/>
          <w:color w:val="000000"/>
          <w:lang w:eastAsia="en-AU"/>
        </w:rPr>
        <w:t>jurisdictions</w:t>
      </w:r>
      <w:r w:rsidR="007A684C" w:rsidRPr="00985E42">
        <w:rPr>
          <w:rFonts w:eastAsia="Times New Roman" w:cstheme="minorHAnsi"/>
          <w:color w:val="000000"/>
          <w:lang w:eastAsia="en-AU"/>
        </w:rPr>
        <w:t xml:space="preserve"> </w:t>
      </w:r>
      <w:r w:rsidR="004E61F2" w:rsidRPr="00985E42">
        <w:rPr>
          <w:rFonts w:eastAsia="Times New Roman" w:cstheme="minorHAnsi"/>
          <w:color w:val="000000"/>
          <w:lang w:eastAsia="en-AU"/>
        </w:rPr>
        <w:t>at scale.</w:t>
      </w:r>
      <w:r w:rsidR="00B32511" w:rsidRPr="00985E42">
        <w:rPr>
          <w:rFonts w:eastAsia="Times New Roman" w:cstheme="minorHAnsi"/>
          <w:color w:val="000000"/>
          <w:lang w:eastAsia="en-AU"/>
        </w:rPr>
        <w:t xml:space="preserve"> </w:t>
      </w:r>
      <w:r w:rsidR="00CE18D0" w:rsidRPr="00985E42">
        <w:rPr>
          <w:rFonts w:eastAsia="Times New Roman" w:cstheme="minorHAnsi"/>
          <w:color w:val="000000"/>
          <w:lang w:eastAsia="en-AU"/>
        </w:rPr>
        <w:t xml:space="preserve">The </w:t>
      </w:r>
      <w:r w:rsidR="00281442" w:rsidRPr="00985E42">
        <w:rPr>
          <w:rFonts w:eastAsia="Times New Roman" w:cstheme="minorHAnsi"/>
          <w:color w:val="000000"/>
          <w:lang w:eastAsia="en-AU"/>
        </w:rPr>
        <w:t xml:space="preserve">Allies </w:t>
      </w:r>
      <w:r w:rsidR="000C3FF6" w:rsidRPr="00985E42">
        <w:rPr>
          <w:rFonts w:eastAsia="Times New Roman" w:cstheme="minorHAnsi"/>
          <w:color w:val="000000"/>
          <w:lang w:eastAsia="en-AU"/>
        </w:rPr>
        <w:t xml:space="preserve">immediate priority </w:t>
      </w:r>
      <w:r w:rsidR="00CE18D0" w:rsidRPr="00985E42">
        <w:rPr>
          <w:rFonts w:eastAsia="Times New Roman" w:cstheme="minorHAnsi"/>
          <w:color w:val="000000"/>
          <w:lang w:eastAsia="en-AU"/>
        </w:rPr>
        <w:t xml:space="preserve">reform agenda </w:t>
      </w:r>
      <w:r w:rsidR="00281442" w:rsidRPr="00985E42">
        <w:rPr>
          <w:rFonts w:eastAsia="Times New Roman" w:cstheme="minorHAnsi"/>
          <w:color w:val="000000"/>
          <w:lang w:eastAsia="en-AU"/>
        </w:rPr>
        <w:t xml:space="preserve">includes specifically </w:t>
      </w:r>
      <w:r w:rsidR="00C34F2D" w:rsidRPr="00985E42">
        <w:rPr>
          <w:rFonts w:eastAsia="Times New Roman" w:cstheme="minorHAnsi"/>
          <w:color w:val="000000"/>
          <w:lang w:eastAsia="en-AU"/>
        </w:rPr>
        <w:t>contributing to</w:t>
      </w:r>
      <w:r w:rsidR="00281442" w:rsidRPr="00985E42">
        <w:rPr>
          <w:rFonts w:eastAsia="Times New Roman" w:cstheme="minorHAnsi"/>
          <w:color w:val="000000"/>
          <w:lang w:eastAsia="en-AU"/>
        </w:rPr>
        <w:t xml:space="preserve"> Target 12 in Closing the Gap</w:t>
      </w:r>
      <w:r w:rsidR="000C3FF6" w:rsidRPr="00985E42">
        <w:rPr>
          <w:rFonts w:eastAsia="Times New Roman" w:cstheme="minorHAnsi"/>
          <w:color w:val="000000"/>
          <w:lang w:eastAsia="en-AU"/>
        </w:rPr>
        <w:t xml:space="preserve"> and the over-representation of Aboriginal and Torres Strait Islander children in care. This reform commitment includes</w:t>
      </w:r>
      <w:r w:rsidR="00281442" w:rsidRPr="00985E42">
        <w:rPr>
          <w:rFonts w:eastAsia="Times New Roman" w:cstheme="minorHAnsi"/>
          <w:color w:val="000000"/>
          <w:lang w:eastAsia="en-AU"/>
        </w:rPr>
        <w:t xml:space="preserve"> </w:t>
      </w:r>
      <w:r w:rsidR="00C75A0D" w:rsidRPr="00985E42">
        <w:rPr>
          <w:rFonts w:eastAsia="Times New Roman" w:cstheme="minorHAnsi"/>
          <w:color w:val="000000"/>
          <w:lang w:eastAsia="en-AU"/>
        </w:rPr>
        <w:t>advocating for the</w:t>
      </w:r>
      <w:r w:rsidR="005149D2" w:rsidRPr="00985E42">
        <w:rPr>
          <w:rFonts w:eastAsia="Times New Roman" w:cstheme="minorHAnsi"/>
          <w:color w:val="000000"/>
          <w:lang w:eastAsia="en-AU"/>
        </w:rPr>
        <w:t xml:space="preserve"> Aboriginal and Torres Strait Islander Community Controlled sector to be </w:t>
      </w:r>
      <w:r w:rsidR="00C75A0D" w:rsidRPr="00985E42">
        <w:rPr>
          <w:rFonts w:eastAsia="Times New Roman" w:cstheme="minorHAnsi"/>
          <w:color w:val="000000"/>
          <w:lang w:eastAsia="en-AU"/>
        </w:rPr>
        <w:t>supported with resourcing capacity</w:t>
      </w:r>
      <w:r w:rsidR="009B44D6" w:rsidRPr="00985E42">
        <w:rPr>
          <w:rFonts w:eastAsia="Times New Roman" w:cstheme="minorHAnsi"/>
          <w:color w:val="000000"/>
          <w:lang w:eastAsia="en-AU"/>
        </w:rPr>
        <w:t xml:space="preserve"> so future child protection system responses are</w:t>
      </w:r>
      <w:r w:rsidR="00E44EB0" w:rsidRPr="00985E42">
        <w:rPr>
          <w:rFonts w:eastAsia="Times New Roman" w:cstheme="minorHAnsi"/>
          <w:color w:val="000000"/>
          <w:lang w:eastAsia="en-AU"/>
        </w:rPr>
        <w:t xml:space="preserve"> informed directly by First Nations Leadership and ACCO’s</w:t>
      </w:r>
      <w:r w:rsidR="00000208" w:rsidRPr="00985E42">
        <w:rPr>
          <w:rFonts w:eastAsia="Times New Roman" w:cstheme="minorHAnsi"/>
          <w:color w:val="000000"/>
          <w:lang w:eastAsia="en-AU"/>
        </w:rPr>
        <w:t>,</w:t>
      </w:r>
      <w:r w:rsidR="009B44D6" w:rsidRPr="00985E42">
        <w:rPr>
          <w:rFonts w:eastAsia="Times New Roman" w:cstheme="minorHAnsi"/>
          <w:color w:val="000000"/>
          <w:lang w:eastAsia="en-AU"/>
        </w:rPr>
        <w:t xml:space="preserve"> </w:t>
      </w:r>
      <w:r w:rsidR="00C34F2D" w:rsidRPr="00985E42">
        <w:rPr>
          <w:rFonts w:eastAsia="Times New Roman" w:cstheme="minorHAnsi"/>
          <w:color w:val="000000"/>
          <w:lang w:eastAsia="en-AU"/>
        </w:rPr>
        <w:t xml:space="preserve">built on </w:t>
      </w:r>
      <w:r w:rsidR="009B44D6" w:rsidRPr="00985E42">
        <w:rPr>
          <w:rFonts w:eastAsia="Times New Roman" w:cstheme="minorHAnsi"/>
          <w:color w:val="000000"/>
          <w:lang w:eastAsia="en-AU"/>
        </w:rPr>
        <w:t xml:space="preserve">shared decision making and with recognition of cultural </w:t>
      </w:r>
      <w:r w:rsidR="00114A8E" w:rsidRPr="00985E42">
        <w:rPr>
          <w:rFonts w:eastAsia="Times New Roman" w:cstheme="minorHAnsi"/>
          <w:color w:val="000000"/>
          <w:lang w:eastAsia="en-AU"/>
        </w:rPr>
        <w:t>authority.</w:t>
      </w:r>
      <w:r w:rsidR="008648CB" w:rsidRPr="00985E42">
        <w:rPr>
          <w:rFonts w:eastAsia="Times New Roman" w:cstheme="minorHAnsi"/>
          <w:color w:val="000000"/>
          <w:lang w:eastAsia="en-AU"/>
        </w:rPr>
        <w:t xml:space="preserve"> The </w:t>
      </w:r>
      <w:r w:rsidR="002A39D5" w:rsidRPr="00985E42">
        <w:rPr>
          <w:rFonts w:eastAsia="Times New Roman" w:cstheme="minorHAnsi"/>
          <w:color w:val="000000"/>
          <w:lang w:eastAsia="en-AU"/>
        </w:rPr>
        <w:t>future goal of this commitment from the Allies is to support First Nations communities to thrive</w:t>
      </w:r>
      <w:r w:rsidR="00A23F07" w:rsidRPr="00985E42">
        <w:rPr>
          <w:rFonts w:eastAsia="Times New Roman" w:cstheme="minorHAnsi"/>
          <w:color w:val="000000"/>
          <w:lang w:eastAsia="en-AU"/>
        </w:rPr>
        <w:t xml:space="preserve"> with children growing in culture and with kin and where child protection responses are needed, they reside within the leadership of community.</w:t>
      </w:r>
    </w:p>
    <w:p w14:paraId="2507D5EE" w14:textId="77777777" w:rsidR="00014AA3" w:rsidRPr="00985E42" w:rsidRDefault="00014AA3" w:rsidP="00673A2E">
      <w:pPr>
        <w:spacing w:after="0" w:line="240" w:lineRule="auto"/>
        <w:jc w:val="both"/>
        <w:rPr>
          <w:rFonts w:eastAsia="Times New Roman" w:cstheme="minorHAnsi"/>
          <w:color w:val="000000"/>
          <w:lang w:eastAsia="en-AU"/>
        </w:rPr>
      </w:pPr>
    </w:p>
    <w:p w14:paraId="6A65E237" w14:textId="77777777" w:rsidR="00922D01" w:rsidRPr="00985E42" w:rsidRDefault="00922D01" w:rsidP="00922D01">
      <w:pPr>
        <w:jc w:val="both"/>
        <w:rPr>
          <w:rFonts w:cstheme="minorHAnsi"/>
          <w:b/>
          <w:bCs/>
          <w:color w:val="000000"/>
          <w:lang w:eastAsia="en-AU"/>
        </w:rPr>
      </w:pPr>
      <w:r w:rsidRPr="00985E42">
        <w:rPr>
          <w:rFonts w:cstheme="minorHAnsi"/>
          <w:b/>
          <w:bCs/>
          <w:color w:val="000000"/>
          <w:lang w:eastAsia="en-AU"/>
        </w:rPr>
        <w:t>FIRST NATIONS NON-GOVERNMENT (NGO) ALLIANCE</w:t>
      </w:r>
    </w:p>
    <w:p w14:paraId="6E8BDF6A" w14:textId="771210EA" w:rsidR="0032003F" w:rsidRDefault="00922D01" w:rsidP="0032003F">
      <w:pPr>
        <w:jc w:val="both"/>
        <w:rPr>
          <w:rFonts w:cstheme="minorHAnsi"/>
          <w:color w:val="000000"/>
          <w:lang w:val="en-US"/>
        </w:rPr>
      </w:pPr>
      <w:r w:rsidRPr="00985E42">
        <w:rPr>
          <w:rFonts w:cstheme="minorHAnsi"/>
          <w:color w:val="000000"/>
          <w:lang w:val="en-US"/>
        </w:rPr>
        <w:t xml:space="preserve">The First Nation NGO Alliance is a self-determined group of Aboriginal and Torres Strait Islander leaders working across the Non-Government Child and Family Sector. The Alliance emerged partially in response to the guidance being sought on the intended priority reform area of the Allies for Children. The Alliance members identified the need for a unified Aboriginal and Torres Strait Islander voice to guide the Allies for Children as they seek to address the over-representation of First Nations children in child protection. Current members of the Alliance are employees within the Allies founding organisations, however in their </w:t>
      </w:r>
      <w:r w:rsidRPr="00985E42">
        <w:rPr>
          <w:rFonts w:cstheme="minorHAnsi"/>
          <w:color w:val="000000"/>
          <w:lang w:val="en-US"/>
        </w:rPr>
        <w:lastRenderedPageBreak/>
        <w:t xml:space="preserve">capacity as </w:t>
      </w:r>
      <w:r w:rsidR="002E3887" w:rsidRPr="00985E42">
        <w:rPr>
          <w:rFonts w:cstheme="minorHAnsi"/>
          <w:color w:val="000000"/>
          <w:lang w:val="en-US"/>
        </w:rPr>
        <w:t xml:space="preserve">Alliance </w:t>
      </w:r>
      <w:r w:rsidRPr="00985E42">
        <w:rPr>
          <w:rFonts w:cstheme="minorHAnsi"/>
          <w:color w:val="000000"/>
          <w:lang w:val="en-US"/>
        </w:rPr>
        <w:t xml:space="preserve">members and as Aboriginal and Torres Strait Islander people, </w:t>
      </w:r>
      <w:r w:rsidR="005C5398" w:rsidRPr="00985E42">
        <w:rPr>
          <w:rFonts w:cstheme="minorHAnsi"/>
          <w:color w:val="000000"/>
          <w:lang w:val="en-US"/>
        </w:rPr>
        <w:t xml:space="preserve">each </w:t>
      </w:r>
      <w:r w:rsidRPr="00985E42">
        <w:rPr>
          <w:rFonts w:cstheme="minorHAnsi"/>
          <w:color w:val="000000"/>
          <w:lang w:val="en-US"/>
        </w:rPr>
        <w:t>retain</w:t>
      </w:r>
      <w:r w:rsidR="005C5398" w:rsidRPr="00985E42">
        <w:rPr>
          <w:rFonts w:cstheme="minorHAnsi"/>
          <w:color w:val="000000"/>
          <w:lang w:val="en-US"/>
        </w:rPr>
        <w:t>s</w:t>
      </w:r>
      <w:r w:rsidRPr="00985E42">
        <w:rPr>
          <w:rFonts w:cstheme="minorHAnsi"/>
          <w:color w:val="000000"/>
          <w:lang w:val="en-US"/>
        </w:rPr>
        <w:t xml:space="preserve"> their cultural authority, responsibility and independent voice on matters relating to ‘our children and communities too’. </w:t>
      </w:r>
    </w:p>
    <w:p w14:paraId="593E8A5F" w14:textId="50B8F9F0" w:rsidR="00DD369A" w:rsidRPr="00985E42" w:rsidRDefault="0032003F" w:rsidP="00DD369A">
      <w:pPr>
        <w:jc w:val="both"/>
        <w:rPr>
          <w:rFonts w:cstheme="minorHAnsi"/>
          <w:color w:val="000000"/>
          <w:lang w:val="en-US"/>
        </w:rPr>
      </w:pPr>
      <w:r w:rsidRPr="00985E42">
        <w:rPr>
          <w:rFonts w:cstheme="minorHAnsi"/>
          <w:color w:val="000000"/>
          <w:lang w:val="en-US"/>
        </w:rPr>
        <w:t xml:space="preserve">The Alliance members provide cultural leadership within their respective organisations, </w:t>
      </w:r>
      <w:r w:rsidR="005862E6" w:rsidRPr="00985E42">
        <w:rPr>
          <w:rFonts w:cstheme="minorHAnsi"/>
          <w:color w:val="000000"/>
          <w:lang w:val="en-US"/>
        </w:rPr>
        <w:t>across practice</w:t>
      </w:r>
      <w:r w:rsidRPr="00985E42">
        <w:rPr>
          <w:rFonts w:cstheme="minorHAnsi"/>
          <w:color w:val="000000"/>
          <w:lang w:val="en-US"/>
        </w:rPr>
        <w:t xml:space="preserve">, strategy, </w:t>
      </w:r>
      <w:proofErr w:type="gramStart"/>
      <w:r w:rsidRPr="00985E42">
        <w:rPr>
          <w:rFonts w:cstheme="minorHAnsi"/>
          <w:color w:val="000000"/>
          <w:lang w:val="en-US"/>
        </w:rPr>
        <w:t>partnerships</w:t>
      </w:r>
      <w:proofErr w:type="gramEnd"/>
      <w:r w:rsidRPr="00985E42">
        <w:rPr>
          <w:rFonts w:cstheme="minorHAnsi"/>
          <w:color w:val="000000"/>
          <w:lang w:val="en-US"/>
        </w:rPr>
        <w:t xml:space="preserve"> and policy. They understand </w:t>
      </w:r>
      <w:r w:rsidR="00BC32A9" w:rsidRPr="00985E42">
        <w:rPr>
          <w:rFonts w:cstheme="minorHAnsi"/>
          <w:color w:val="000000"/>
          <w:lang w:val="en-US"/>
        </w:rPr>
        <w:t xml:space="preserve">the </w:t>
      </w:r>
      <w:r w:rsidR="00295C9F" w:rsidRPr="00985E42">
        <w:rPr>
          <w:rFonts w:cstheme="minorHAnsi"/>
          <w:color w:val="000000"/>
          <w:lang w:val="en-US"/>
        </w:rPr>
        <w:t>circumstances</w:t>
      </w:r>
      <w:r w:rsidR="00BC32A9" w:rsidRPr="00985E42">
        <w:rPr>
          <w:rFonts w:cstheme="minorHAnsi"/>
          <w:color w:val="000000"/>
          <w:lang w:val="en-US"/>
        </w:rPr>
        <w:t xml:space="preserve"> First</w:t>
      </w:r>
      <w:r w:rsidRPr="00985E42">
        <w:rPr>
          <w:rFonts w:cstheme="minorHAnsi"/>
          <w:color w:val="000000"/>
          <w:lang w:val="en-US"/>
        </w:rPr>
        <w:t xml:space="preserve"> Nations leaders face in balancing cultural and community responsibility whilst working within a non-Indigenous organisation, and the risk of feeling isolated or burden</w:t>
      </w:r>
      <w:r w:rsidR="00295C9F" w:rsidRPr="00985E42">
        <w:rPr>
          <w:rFonts w:cstheme="minorHAnsi"/>
          <w:color w:val="000000"/>
          <w:lang w:val="en-US"/>
        </w:rPr>
        <w:t>ed</w:t>
      </w:r>
      <w:r w:rsidRPr="00985E42">
        <w:rPr>
          <w:rFonts w:cstheme="minorHAnsi"/>
          <w:color w:val="000000"/>
          <w:lang w:val="en-US"/>
        </w:rPr>
        <w:t xml:space="preserve"> by cultural burnout. </w:t>
      </w:r>
      <w:r w:rsidR="00DD369A" w:rsidRPr="00985E42">
        <w:rPr>
          <w:rFonts w:cstheme="minorHAnsi"/>
          <w:color w:val="000000"/>
          <w:lang w:val="en-US"/>
        </w:rPr>
        <w:t xml:space="preserve">The Alliance </w:t>
      </w:r>
      <w:proofErr w:type="spellStart"/>
      <w:r w:rsidR="00DD369A" w:rsidRPr="00985E42">
        <w:rPr>
          <w:rFonts w:cstheme="minorHAnsi"/>
          <w:color w:val="000000"/>
          <w:lang w:val="en-US"/>
        </w:rPr>
        <w:t>recognises</w:t>
      </w:r>
      <w:proofErr w:type="spellEnd"/>
      <w:r w:rsidR="00DD369A" w:rsidRPr="00985E42">
        <w:rPr>
          <w:rFonts w:cstheme="minorHAnsi"/>
          <w:color w:val="000000"/>
          <w:lang w:val="en-US"/>
        </w:rPr>
        <w:t xml:space="preserve"> the specific and important role of Aboriginal and Torres Strait Islander community-controlled organisations and Peak bodies and works in partnership with them. The Alliance is positioned to elevate the voice and leadership of First Nations people within non-Indigenous organisations for more effective progress in the reduction of First Nations children in child protection and the restoration of justice to First Nations communities.</w:t>
      </w:r>
    </w:p>
    <w:p w14:paraId="3388CD39" w14:textId="2676F0A2" w:rsidR="0032003F" w:rsidRPr="00985E42" w:rsidRDefault="00DC6214" w:rsidP="0032003F">
      <w:pPr>
        <w:jc w:val="both"/>
        <w:rPr>
          <w:rFonts w:cstheme="minorHAnsi"/>
          <w:color w:val="000000"/>
          <w:lang w:val="en-US"/>
        </w:rPr>
      </w:pPr>
      <w:r w:rsidRPr="00985E42">
        <w:rPr>
          <w:rFonts w:cstheme="minorHAnsi"/>
          <w:color w:val="000000"/>
          <w:lang w:val="en-US"/>
        </w:rPr>
        <w:t>In this approach, the First Nations NGO</w:t>
      </w:r>
      <w:r w:rsidR="0032003F" w:rsidRPr="00985E42">
        <w:rPr>
          <w:rFonts w:cstheme="minorHAnsi"/>
          <w:color w:val="000000"/>
          <w:lang w:val="en-US"/>
        </w:rPr>
        <w:t xml:space="preserve"> Alliance aims to strengthen the support and influence of Aboriginal and Torres Strait Islander people across the NGO sector to contribute to sector reform. The Alliance intends to become a critical friend to the NGO sector, championing community led solutions and funding and harnessing their strength in system advocacy and new ways of working to bring change. This is the basis of the partnership with the Allies for Children. </w:t>
      </w:r>
    </w:p>
    <w:p w14:paraId="3E1B27C4" w14:textId="603A8C79" w:rsidR="0084554C" w:rsidRPr="00985E42" w:rsidRDefault="00FF0E5C" w:rsidP="00673A2E">
      <w:pPr>
        <w:spacing w:after="0" w:line="240" w:lineRule="auto"/>
        <w:jc w:val="both"/>
        <w:rPr>
          <w:rFonts w:eastAsia="Times New Roman" w:cstheme="minorHAnsi"/>
          <w:b/>
          <w:bCs/>
          <w14:ligatures w14:val="standardContextual"/>
        </w:rPr>
      </w:pPr>
      <w:r w:rsidRPr="00985E42">
        <w:rPr>
          <w:rFonts w:eastAsia="Times New Roman" w:cstheme="minorHAnsi"/>
          <w:b/>
          <w:bCs/>
          <w14:ligatures w14:val="standardContextual"/>
        </w:rPr>
        <w:t>PARTNERSHIP BETWEEN ALLIES FOR CHILDREN AND THE FIRST NATIONS NON-GOVERNMENT ALLIANCE</w:t>
      </w:r>
    </w:p>
    <w:p w14:paraId="545E1DE2" w14:textId="1B95FCDD" w:rsidR="00FD7B7E" w:rsidRPr="00985E42" w:rsidRDefault="00435CB4" w:rsidP="00FD7B7E">
      <w:pPr>
        <w:spacing w:line="240" w:lineRule="auto"/>
        <w:jc w:val="both"/>
        <w:rPr>
          <w:rFonts w:cstheme="minorHAnsi"/>
          <w:b/>
          <w:bCs/>
          <w:lang w:val="en-US"/>
        </w:rPr>
      </w:pPr>
      <w:r w:rsidRPr="00985E42">
        <w:rPr>
          <w:rFonts w:cstheme="minorHAnsi"/>
          <w:lang w:val="en-US"/>
        </w:rPr>
        <w:t>Through a formal governance approach, t</w:t>
      </w:r>
      <w:r w:rsidR="00FF0E5C" w:rsidRPr="00985E42">
        <w:rPr>
          <w:rFonts w:cstheme="minorHAnsi"/>
          <w:lang w:val="en-US"/>
        </w:rPr>
        <w:t xml:space="preserve">he Allies for Children </w:t>
      </w:r>
      <w:proofErr w:type="gramStart"/>
      <w:r w:rsidR="00DA649F" w:rsidRPr="00985E42">
        <w:rPr>
          <w:rFonts w:cstheme="minorHAnsi"/>
          <w:lang w:val="en-US"/>
        </w:rPr>
        <w:t>CEO’s</w:t>
      </w:r>
      <w:proofErr w:type="gramEnd"/>
      <w:r w:rsidR="00DA649F" w:rsidRPr="00985E42">
        <w:rPr>
          <w:rFonts w:cstheme="minorHAnsi"/>
          <w:lang w:val="en-US"/>
        </w:rPr>
        <w:t xml:space="preserve"> seek the direct counsel and </w:t>
      </w:r>
      <w:r w:rsidR="00C91518" w:rsidRPr="00985E42">
        <w:rPr>
          <w:rFonts w:cstheme="minorHAnsi"/>
          <w:lang w:val="en-US"/>
        </w:rPr>
        <w:t>cultural direction</w:t>
      </w:r>
      <w:r w:rsidR="00DA649F" w:rsidRPr="00985E42">
        <w:rPr>
          <w:rFonts w:cstheme="minorHAnsi"/>
          <w:lang w:val="en-US"/>
        </w:rPr>
        <w:t xml:space="preserve"> of the First Nations non-Government Alliance on </w:t>
      </w:r>
      <w:r w:rsidR="00F02627" w:rsidRPr="00985E42">
        <w:rPr>
          <w:rFonts w:cstheme="minorHAnsi"/>
          <w:lang w:val="en-US"/>
        </w:rPr>
        <w:t>activities and policy commitments which relate to the experience and outcomes of First Nations peoples. In doing so</w:t>
      </w:r>
      <w:r w:rsidR="004541C8" w:rsidRPr="00985E42">
        <w:rPr>
          <w:rFonts w:cstheme="minorHAnsi"/>
          <w:lang w:val="en-US"/>
        </w:rPr>
        <w:t xml:space="preserve">, the partnership is designed to strengthen </w:t>
      </w:r>
      <w:r w:rsidR="00BE13E3" w:rsidRPr="00985E42">
        <w:rPr>
          <w:rFonts w:cstheme="minorHAnsi"/>
          <w:lang w:val="en-US"/>
        </w:rPr>
        <w:t xml:space="preserve">the </w:t>
      </w:r>
      <w:r w:rsidR="004541C8" w:rsidRPr="00985E42">
        <w:rPr>
          <w:rFonts w:cstheme="minorHAnsi"/>
          <w:lang w:val="en-US"/>
        </w:rPr>
        <w:t xml:space="preserve">commitment and accountability of the Allies for Children and ensure their activities are </w:t>
      </w:r>
      <w:r w:rsidR="007F2A05" w:rsidRPr="00985E42">
        <w:rPr>
          <w:rFonts w:cstheme="minorHAnsi"/>
          <w:lang w:val="en-US"/>
        </w:rPr>
        <w:t>directly informed and guided by Aboriginal and Torres Strait Islander leadership.</w:t>
      </w:r>
    </w:p>
    <w:p w14:paraId="7A462B6D" w14:textId="77777777" w:rsidR="00C73E85" w:rsidRDefault="00C73E85" w:rsidP="00FD7B7E">
      <w:pPr>
        <w:spacing w:line="240" w:lineRule="auto"/>
        <w:jc w:val="both"/>
        <w:rPr>
          <w:rFonts w:cstheme="minorHAnsi"/>
          <w:b/>
          <w:bCs/>
          <w:lang w:val="en-US"/>
        </w:rPr>
      </w:pPr>
    </w:p>
    <w:p w14:paraId="02539782" w14:textId="70975FE1" w:rsidR="00DE73D2" w:rsidRPr="00985E42" w:rsidRDefault="005F0B9A" w:rsidP="00FD7B7E">
      <w:pPr>
        <w:spacing w:line="240" w:lineRule="auto"/>
        <w:jc w:val="both"/>
        <w:rPr>
          <w:rFonts w:cstheme="minorHAnsi"/>
          <w:b/>
          <w:bCs/>
          <w:lang w:val="en-US"/>
        </w:rPr>
      </w:pPr>
      <w:r w:rsidRPr="00985E42">
        <w:rPr>
          <w:rFonts w:cstheme="minorHAnsi"/>
          <w:b/>
          <w:bCs/>
          <w:lang w:val="en-US"/>
        </w:rPr>
        <w:t>CASE STUDY 1</w:t>
      </w:r>
    </w:p>
    <w:p w14:paraId="08F2AFFA" w14:textId="641277D6" w:rsidR="005F0B9A" w:rsidRPr="00985E42" w:rsidRDefault="005F0B9A" w:rsidP="00FD7B7E">
      <w:pPr>
        <w:spacing w:line="240" w:lineRule="auto"/>
        <w:jc w:val="both"/>
        <w:rPr>
          <w:rFonts w:cstheme="minorHAnsi"/>
          <w:b/>
          <w:bCs/>
          <w:lang w:val="en-US"/>
        </w:rPr>
      </w:pPr>
      <w:r w:rsidRPr="00985E42">
        <w:rPr>
          <w:rFonts w:cstheme="minorHAnsi"/>
          <w:b/>
          <w:bCs/>
          <w:lang w:val="en-US"/>
        </w:rPr>
        <w:t xml:space="preserve">Act for Kids Supporting the </w:t>
      </w:r>
      <w:r w:rsidR="00CC617F" w:rsidRPr="00985E42">
        <w:rPr>
          <w:rFonts w:cstheme="minorHAnsi"/>
          <w:b/>
          <w:bCs/>
          <w:lang w:val="en-US"/>
        </w:rPr>
        <w:t>t</w:t>
      </w:r>
      <w:r w:rsidRPr="00985E42">
        <w:rPr>
          <w:rFonts w:cstheme="minorHAnsi"/>
          <w:b/>
          <w:bCs/>
          <w:lang w:val="en-US"/>
        </w:rPr>
        <w:t xml:space="preserve">ransition of child protection services to Community Controlled Organisations in </w:t>
      </w:r>
      <w:proofErr w:type="spellStart"/>
      <w:r w:rsidR="00CC5BE2" w:rsidRPr="00985E42">
        <w:rPr>
          <w:rFonts w:cstheme="minorHAnsi"/>
          <w:b/>
          <w:bCs/>
          <w:lang w:val="en-US"/>
        </w:rPr>
        <w:t>Doomadgee</w:t>
      </w:r>
      <w:proofErr w:type="spellEnd"/>
    </w:p>
    <w:p w14:paraId="173B4DA2" w14:textId="77777777" w:rsidR="005F0B9A" w:rsidRPr="00985E42" w:rsidRDefault="005F0B9A" w:rsidP="00FD7B7E">
      <w:pPr>
        <w:spacing w:line="240" w:lineRule="auto"/>
        <w:jc w:val="both"/>
        <w:rPr>
          <w:rFonts w:cstheme="minorHAnsi"/>
          <w:b/>
        </w:rPr>
      </w:pPr>
      <w:r w:rsidRPr="00985E42">
        <w:rPr>
          <w:rFonts w:cstheme="minorHAnsi"/>
          <w:b/>
        </w:rPr>
        <w:t>Background</w:t>
      </w:r>
    </w:p>
    <w:p w14:paraId="591DF26D" w14:textId="29D01CE7" w:rsidR="005F0B9A" w:rsidRPr="00985E42" w:rsidRDefault="005F0B9A" w:rsidP="00FD7B7E">
      <w:pPr>
        <w:spacing w:line="240" w:lineRule="auto"/>
        <w:jc w:val="both"/>
        <w:rPr>
          <w:rFonts w:cstheme="minorHAnsi"/>
        </w:rPr>
      </w:pPr>
      <w:r w:rsidRPr="00985E42">
        <w:rPr>
          <w:rFonts w:cstheme="minorHAnsi"/>
        </w:rPr>
        <w:t>Child Protection Safe Houses were introduced by the Queensland Government in 2008. Safe house services were described as short</w:t>
      </w:r>
      <w:r w:rsidR="00885A02" w:rsidRPr="00985E42">
        <w:rPr>
          <w:rFonts w:cstheme="minorHAnsi"/>
        </w:rPr>
        <w:t>-</w:t>
      </w:r>
      <w:r w:rsidRPr="00985E42">
        <w:rPr>
          <w:rFonts w:cstheme="minorHAnsi"/>
        </w:rPr>
        <w:t xml:space="preserve">term placements for children in remote Aboriginal and/or Torres Strait Island communities to ensure “children who require out-of-home care are provided the opportunity to remain connected with their family, culture, language and country” (p.29 of original Safe House Service Agreement 2009). </w:t>
      </w:r>
    </w:p>
    <w:p w14:paraId="6CEA30BD" w14:textId="77777777" w:rsidR="005F0B9A" w:rsidRPr="00985E42" w:rsidRDefault="005F0B9A" w:rsidP="00FD7B7E">
      <w:pPr>
        <w:spacing w:line="240" w:lineRule="auto"/>
        <w:jc w:val="both"/>
        <w:rPr>
          <w:rFonts w:cstheme="minorHAnsi"/>
        </w:rPr>
      </w:pPr>
      <w:r w:rsidRPr="00985E42">
        <w:rPr>
          <w:rFonts w:cstheme="minorHAnsi"/>
        </w:rPr>
        <w:t>Section 3.1 of the original Service Agreement (2009) has a General Provision:</w:t>
      </w:r>
    </w:p>
    <w:p w14:paraId="6F5CA723" w14:textId="77777777" w:rsidR="005F0B9A" w:rsidRPr="00985E42" w:rsidRDefault="005F0B9A" w:rsidP="00FD7B7E">
      <w:pPr>
        <w:spacing w:line="240" w:lineRule="auto"/>
        <w:jc w:val="both"/>
        <w:rPr>
          <w:rFonts w:cstheme="minorHAnsi"/>
        </w:rPr>
      </w:pPr>
      <w:r w:rsidRPr="00985E42">
        <w:rPr>
          <w:rFonts w:cstheme="minorHAnsi"/>
          <w:i/>
        </w:rPr>
        <w:t>The residential care and family intervention service provider (if not a local organisation) is expected to formally work in a partnership with the local Aboriginal and/or Torres Strait Islander community and/or local council and/or local non-government agencies to build, over time, a local Aboriginal or Torres Strait Islander owned and managed service. This includes developing a local Indigenous workforce. The service provider must establish formal partnership arrangements which include provisions in relation to authority structures, decision making, conflict resolution, processes for skills sharing/upgrading and transfer of auspice.</w:t>
      </w:r>
      <w:r w:rsidRPr="00985E42">
        <w:rPr>
          <w:rFonts w:cstheme="minorHAnsi"/>
        </w:rPr>
        <w:t xml:space="preserve"> (p.30 original Service Agreement, 2009).</w:t>
      </w:r>
    </w:p>
    <w:p w14:paraId="5084D9E2" w14:textId="69F4D1D6" w:rsidR="005F0B9A" w:rsidRPr="00985E42" w:rsidRDefault="005F0B9A" w:rsidP="00FD7B7E">
      <w:pPr>
        <w:spacing w:line="240" w:lineRule="auto"/>
        <w:jc w:val="both"/>
        <w:rPr>
          <w:rFonts w:cstheme="minorHAnsi"/>
        </w:rPr>
      </w:pPr>
      <w:r w:rsidRPr="00985E42">
        <w:rPr>
          <w:rFonts w:cstheme="minorHAnsi"/>
        </w:rPr>
        <w:t xml:space="preserve">Over the last decade of Act for Kids’ delivery of safe house services in </w:t>
      </w:r>
      <w:proofErr w:type="spellStart"/>
      <w:r w:rsidRPr="00985E42">
        <w:rPr>
          <w:rFonts w:cstheme="minorHAnsi"/>
        </w:rPr>
        <w:t>Napranum</w:t>
      </w:r>
      <w:proofErr w:type="spellEnd"/>
      <w:r w:rsidRPr="00985E42">
        <w:rPr>
          <w:rFonts w:cstheme="minorHAnsi"/>
        </w:rPr>
        <w:t xml:space="preserve">, Aurukun, Kowanyama, </w:t>
      </w:r>
      <w:proofErr w:type="spellStart"/>
      <w:r w:rsidRPr="00985E42">
        <w:rPr>
          <w:rFonts w:cstheme="minorHAnsi"/>
        </w:rPr>
        <w:t>Pormpuraaw</w:t>
      </w:r>
      <w:proofErr w:type="spellEnd"/>
      <w:r w:rsidRPr="00985E42">
        <w:rPr>
          <w:rFonts w:cstheme="minorHAnsi"/>
        </w:rPr>
        <w:t xml:space="preserve"> and Doomadgee, </w:t>
      </w:r>
      <w:r w:rsidR="00854F19" w:rsidRPr="00985E42">
        <w:rPr>
          <w:rFonts w:cstheme="minorHAnsi"/>
        </w:rPr>
        <w:t>the service has</w:t>
      </w:r>
      <w:r w:rsidRPr="00985E42">
        <w:rPr>
          <w:rFonts w:cstheme="minorHAnsi"/>
        </w:rPr>
        <w:t xml:space="preserve"> endeavoured to fulfil the responsibilities outlined in the above general provision of the original agreement. </w:t>
      </w:r>
      <w:r w:rsidR="00083EA0" w:rsidRPr="00985E42">
        <w:rPr>
          <w:rFonts w:cstheme="minorHAnsi"/>
        </w:rPr>
        <w:t>Act for Kids</w:t>
      </w:r>
      <w:r w:rsidRPr="00985E42">
        <w:rPr>
          <w:rFonts w:cstheme="minorHAnsi"/>
        </w:rPr>
        <w:t xml:space="preserve"> have been committed to this despite the provision </w:t>
      </w:r>
      <w:r w:rsidR="00083EA0" w:rsidRPr="00985E42">
        <w:rPr>
          <w:rFonts w:cstheme="minorHAnsi"/>
        </w:rPr>
        <w:t xml:space="preserve">subsequently </w:t>
      </w:r>
      <w:r w:rsidRPr="00985E42">
        <w:rPr>
          <w:rFonts w:cstheme="minorHAnsi"/>
        </w:rPr>
        <w:t xml:space="preserve">being removed from the funding schedule. Over this period </w:t>
      </w:r>
      <w:r w:rsidR="00083EA0" w:rsidRPr="00985E42">
        <w:rPr>
          <w:rFonts w:cstheme="minorHAnsi"/>
        </w:rPr>
        <w:t>Act for Kids:</w:t>
      </w:r>
    </w:p>
    <w:p w14:paraId="13A789CC" w14:textId="716FA892" w:rsidR="005F0B9A" w:rsidRPr="00985E42" w:rsidRDefault="005F0B9A" w:rsidP="000F16FD">
      <w:pPr>
        <w:pStyle w:val="ListParagraph"/>
        <w:numPr>
          <w:ilvl w:val="0"/>
          <w:numId w:val="6"/>
        </w:numPr>
        <w:spacing w:line="240" w:lineRule="auto"/>
        <w:jc w:val="both"/>
        <w:rPr>
          <w:rFonts w:cstheme="minorHAnsi"/>
        </w:rPr>
      </w:pPr>
      <w:r w:rsidRPr="00985E42">
        <w:rPr>
          <w:rFonts w:cstheme="minorHAnsi"/>
        </w:rPr>
        <w:t xml:space="preserve">Held an initial conference in Cairns in 2008 with Traditional Owners from the Western Cape York Peninsula safe house communities and formalised </w:t>
      </w:r>
      <w:r w:rsidR="00083EA0" w:rsidRPr="00985E42">
        <w:rPr>
          <w:rFonts w:cstheme="minorHAnsi"/>
        </w:rPr>
        <w:t>a</w:t>
      </w:r>
      <w:r w:rsidRPr="00985E42">
        <w:rPr>
          <w:rFonts w:cstheme="minorHAnsi"/>
        </w:rPr>
        <w:t xml:space="preserve"> partnership and joint commitment to children and young people.</w:t>
      </w:r>
    </w:p>
    <w:p w14:paraId="1D5E10A8" w14:textId="7DBDD113" w:rsidR="005F0B9A" w:rsidRPr="00985E42" w:rsidRDefault="005F0B9A" w:rsidP="000F16FD">
      <w:pPr>
        <w:pStyle w:val="ListParagraph"/>
        <w:numPr>
          <w:ilvl w:val="0"/>
          <w:numId w:val="6"/>
        </w:numPr>
        <w:spacing w:line="240" w:lineRule="auto"/>
        <w:jc w:val="both"/>
        <w:rPr>
          <w:rFonts w:cstheme="minorHAnsi"/>
        </w:rPr>
      </w:pPr>
      <w:r w:rsidRPr="00985E42">
        <w:rPr>
          <w:rFonts w:cstheme="minorHAnsi"/>
        </w:rPr>
        <w:t xml:space="preserve">Developed representative community Reference Groups from which </w:t>
      </w:r>
      <w:r w:rsidR="000E6EA3" w:rsidRPr="00985E42">
        <w:rPr>
          <w:rFonts w:cstheme="minorHAnsi"/>
        </w:rPr>
        <w:t>Act for Kids</w:t>
      </w:r>
      <w:r w:rsidRPr="00985E42">
        <w:rPr>
          <w:rFonts w:cstheme="minorHAnsi"/>
        </w:rPr>
        <w:t xml:space="preserve"> seek</w:t>
      </w:r>
      <w:r w:rsidR="000E6EA3" w:rsidRPr="00985E42">
        <w:rPr>
          <w:rFonts w:cstheme="minorHAnsi"/>
        </w:rPr>
        <w:t>s</w:t>
      </w:r>
      <w:r w:rsidRPr="00985E42">
        <w:rPr>
          <w:rFonts w:cstheme="minorHAnsi"/>
        </w:rPr>
        <w:t xml:space="preserve"> cultural and community expertise, guidance and approval for safe house service delivery (including approval for staff to work in community).  Those Reference Groups have been in place since that time.</w:t>
      </w:r>
    </w:p>
    <w:p w14:paraId="3CB1C3B0" w14:textId="77777777" w:rsidR="005F0B9A" w:rsidRPr="00985E42" w:rsidRDefault="005F0B9A" w:rsidP="000F16FD">
      <w:pPr>
        <w:pStyle w:val="ListParagraph"/>
        <w:numPr>
          <w:ilvl w:val="0"/>
          <w:numId w:val="6"/>
        </w:numPr>
        <w:spacing w:line="240" w:lineRule="auto"/>
        <w:jc w:val="both"/>
        <w:rPr>
          <w:rFonts w:cstheme="minorHAnsi"/>
        </w:rPr>
      </w:pPr>
      <w:r w:rsidRPr="00985E42">
        <w:rPr>
          <w:rFonts w:cstheme="minorHAnsi"/>
        </w:rPr>
        <w:t>Commissioned research from SVA Consulting to develop stakeholder program logic models for outcomes from the safe houses, in particular seeking community opinions on “ownership” and “transfer of auspice”.</w:t>
      </w:r>
    </w:p>
    <w:p w14:paraId="0AAD1BCB" w14:textId="2FF18231" w:rsidR="005F0B9A" w:rsidRPr="00985E42" w:rsidRDefault="005F0B9A" w:rsidP="000F16FD">
      <w:pPr>
        <w:pStyle w:val="ListParagraph"/>
        <w:numPr>
          <w:ilvl w:val="0"/>
          <w:numId w:val="6"/>
        </w:numPr>
        <w:spacing w:line="240" w:lineRule="auto"/>
        <w:jc w:val="both"/>
        <w:rPr>
          <w:rFonts w:cstheme="minorHAnsi"/>
        </w:rPr>
      </w:pPr>
      <w:r w:rsidRPr="00985E42">
        <w:rPr>
          <w:rFonts w:cstheme="minorHAnsi"/>
        </w:rPr>
        <w:t xml:space="preserve">Commissioned community consultation research from Monash University to explore and understand community expectations and beliefs around “ownership” and “transfer of auspice”. </w:t>
      </w:r>
    </w:p>
    <w:p w14:paraId="2E1000F5" w14:textId="77777777" w:rsidR="005F0B9A" w:rsidRPr="00985E42" w:rsidRDefault="005F0B9A" w:rsidP="000F16FD">
      <w:pPr>
        <w:pStyle w:val="ListParagraph"/>
        <w:numPr>
          <w:ilvl w:val="0"/>
          <w:numId w:val="6"/>
        </w:numPr>
        <w:spacing w:line="240" w:lineRule="auto"/>
        <w:jc w:val="both"/>
        <w:rPr>
          <w:rFonts w:cstheme="minorHAnsi"/>
        </w:rPr>
      </w:pPr>
      <w:r w:rsidRPr="00985E42">
        <w:rPr>
          <w:rFonts w:cstheme="minorHAnsi"/>
        </w:rPr>
        <w:t xml:space="preserve">A team that included a Doomadgee Traditional Owner, Act for Kids </w:t>
      </w:r>
      <w:proofErr w:type="spellStart"/>
      <w:r w:rsidRPr="00985E42">
        <w:rPr>
          <w:rFonts w:cstheme="minorHAnsi"/>
        </w:rPr>
        <w:t>SafeKIDS</w:t>
      </w:r>
      <w:proofErr w:type="spellEnd"/>
      <w:r w:rsidRPr="00985E42">
        <w:rPr>
          <w:rFonts w:cstheme="minorHAnsi"/>
        </w:rPr>
        <w:t xml:space="preserve"> leaders and Monash Researchers presented the research findings and process of engaging with communities to the National Diversity Conference in Darwin. </w:t>
      </w:r>
    </w:p>
    <w:p w14:paraId="3701720C" w14:textId="306DDD8D" w:rsidR="005F0B9A" w:rsidRPr="00985E42" w:rsidRDefault="005F0B9A" w:rsidP="000F16FD">
      <w:pPr>
        <w:pStyle w:val="ListParagraph"/>
        <w:numPr>
          <w:ilvl w:val="0"/>
          <w:numId w:val="6"/>
        </w:numPr>
        <w:spacing w:line="240" w:lineRule="auto"/>
        <w:jc w:val="both"/>
        <w:rPr>
          <w:rFonts w:cstheme="minorHAnsi"/>
        </w:rPr>
      </w:pPr>
      <w:r w:rsidRPr="00985E42">
        <w:rPr>
          <w:rFonts w:cstheme="minorHAnsi"/>
        </w:rPr>
        <w:t xml:space="preserve">Held a </w:t>
      </w:r>
      <w:proofErr w:type="spellStart"/>
      <w:r w:rsidRPr="00985E42">
        <w:rPr>
          <w:rFonts w:cstheme="minorHAnsi"/>
        </w:rPr>
        <w:t>SafeKIDS</w:t>
      </w:r>
      <w:proofErr w:type="spellEnd"/>
      <w:r w:rsidRPr="00985E42">
        <w:rPr>
          <w:rFonts w:cstheme="minorHAnsi"/>
        </w:rPr>
        <w:t xml:space="preserve"> conference in Cairns where th</w:t>
      </w:r>
      <w:r w:rsidR="00430FD5" w:rsidRPr="00985E42">
        <w:rPr>
          <w:rFonts w:cstheme="minorHAnsi"/>
        </w:rPr>
        <w:t>is was discussed</w:t>
      </w:r>
      <w:r w:rsidRPr="00985E42">
        <w:rPr>
          <w:rFonts w:cstheme="minorHAnsi"/>
        </w:rPr>
        <w:t xml:space="preserve"> in greater detail with Traditional Owners, Reference Groups, staff and Far North Queensland Departmental leaders.</w:t>
      </w:r>
    </w:p>
    <w:p w14:paraId="4D81154B" w14:textId="77777777" w:rsidR="005F0B9A" w:rsidRPr="00985E42" w:rsidRDefault="005F0B9A" w:rsidP="000F16FD">
      <w:pPr>
        <w:pStyle w:val="ListParagraph"/>
        <w:numPr>
          <w:ilvl w:val="0"/>
          <w:numId w:val="6"/>
        </w:numPr>
        <w:spacing w:line="240" w:lineRule="auto"/>
        <w:jc w:val="both"/>
        <w:rPr>
          <w:rFonts w:cstheme="minorHAnsi"/>
        </w:rPr>
      </w:pPr>
      <w:r w:rsidRPr="00985E42">
        <w:rPr>
          <w:rFonts w:cstheme="minorHAnsi"/>
        </w:rPr>
        <w:t>Worked with Reference Groups and Child Safety Services to successfully reunify more than 130 children with family and kin through the safe houses.</w:t>
      </w:r>
    </w:p>
    <w:p w14:paraId="6C1ABD67" w14:textId="5F1C5516" w:rsidR="005F0B9A" w:rsidRPr="00985E42" w:rsidRDefault="005F0B9A" w:rsidP="00FD7B7E">
      <w:pPr>
        <w:spacing w:line="240" w:lineRule="auto"/>
        <w:jc w:val="both"/>
        <w:rPr>
          <w:rFonts w:cstheme="minorHAnsi"/>
        </w:rPr>
      </w:pPr>
      <w:r w:rsidRPr="00985E42">
        <w:rPr>
          <w:rFonts w:cstheme="minorHAnsi"/>
        </w:rPr>
        <w:t xml:space="preserve">The results of the extensive community consultations undertaken through these activities has </w:t>
      </w:r>
      <w:r w:rsidR="00942324" w:rsidRPr="00985E42">
        <w:rPr>
          <w:rFonts w:cstheme="minorHAnsi"/>
        </w:rPr>
        <w:t>indicated</w:t>
      </w:r>
      <w:r w:rsidRPr="00985E42">
        <w:rPr>
          <w:rFonts w:cstheme="minorHAnsi"/>
        </w:rPr>
        <w:t xml:space="preserve"> communities want [more] “ownership” of safe house services, but that the meaning of “ownership” has not always been consistent with the Western concept of the word. Ownership has been described by community members as being able to own child protection issues and have meaningful input to the operations of the safe house, including who works there and how things are done; not necessarily to be ultimately responsible for every aspect of the delivery of the services themselves. </w:t>
      </w:r>
    </w:p>
    <w:p w14:paraId="58E10C7B" w14:textId="77777777" w:rsidR="005F0B9A" w:rsidRPr="00985E42" w:rsidRDefault="005F0B9A" w:rsidP="00FD7B7E">
      <w:pPr>
        <w:spacing w:line="240" w:lineRule="auto"/>
        <w:jc w:val="both"/>
        <w:rPr>
          <w:rFonts w:cstheme="minorHAnsi"/>
          <w:b/>
        </w:rPr>
      </w:pPr>
      <w:r w:rsidRPr="00985E42">
        <w:rPr>
          <w:rFonts w:cstheme="minorHAnsi"/>
          <w:b/>
        </w:rPr>
        <w:t>Safe House Legacy in Community</w:t>
      </w:r>
    </w:p>
    <w:p w14:paraId="04D797C1" w14:textId="632505A3" w:rsidR="005F0B9A" w:rsidRDefault="005F0B9A" w:rsidP="00FD7B7E">
      <w:pPr>
        <w:spacing w:line="240" w:lineRule="auto"/>
        <w:jc w:val="both"/>
        <w:rPr>
          <w:rFonts w:cstheme="minorHAnsi"/>
        </w:rPr>
      </w:pPr>
      <w:r w:rsidRPr="00985E42">
        <w:rPr>
          <w:rFonts w:cstheme="minorHAnsi"/>
        </w:rPr>
        <w:t>Over the last decade, over 90% of Act for Kids Safe House staff have been recruited locally from the communities. Some of these staff members have been working in the program for more than 10 years. The Reference Groups are formed from the local Traditional Owner groups and most of the Reference Group members have been supporting Safe House operations for the whole period of the program.</w:t>
      </w:r>
      <w:r w:rsidR="0040614E" w:rsidRPr="00985E42">
        <w:rPr>
          <w:rFonts w:cstheme="minorHAnsi"/>
        </w:rPr>
        <w:t xml:space="preserve"> </w:t>
      </w:r>
      <w:r w:rsidRPr="00985E42">
        <w:rPr>
          <w:rFonts w:cstheme="minorHAnsi"/>
        </w:rPr>
        <w:t xml:space="preserve">There are currently more than 100 people working </w:t>
      </w:r>
      <w:r w:rsidR="00397D95" w:rsidRPr="00985E42">
        <w:rPr>
          <w:rFonts w:cstheme="minorHAnsi"/>
        </w:rPr>
        <w:t>in</w:t>
      </w:r>
      <w:r w:rsidRPr="00985E42">
        <w:rPr>
          <w:rFonts w:cstheme="minorHAnsi"/>
        </w:rPr>
        <w:t xml:space="preserve"> Act for Kids Safe House services, with more than 90% identifying as Aboriginal and/or Torres Strait Islander and 90% are local residents of </w:t>
      </w:r>
      <w:proofErr w:type="spellStart"/>
      <w:r w:rsidRPr="00985E42">
        <w:rPr>
          <w:rFonts w:cstheme="minorHAnsi"/>
        </w:rPr>
        <w:t>Napranum</w:t>
      </w:r>
      <w:proofErr w:type="spellEnd"/>
      <w:r w:rsidRPr="00985E42">
        <w:rPr>
          <w:rFonts w:cstheme="minorHAnsi"/>
        </w:rPr>
        <w:t xml:space="preserve">, Aurukun, Kowanyama, </w:t>
      </w:r>
      <w:proofErr w:type="spellStart"/>
      <w:r w:rsidRPr="00985E42">
        <w:rPr>
          <w:rFonts w:cstheme="minorHAnsi"/>
        </w:rPr>
        <w:t>Pormpuraaw</w:t>
      </w:r>
      <w:proofErr w:type="spellEnd"/>
      <w:r w:rsidRPr="00985E42">
        <w:rPr>
          <w:rFonts w:cstheme="minorHAnsi"/>
        </w:rPr>
        <w:t xml:space="preserve"> and Doomadgee.</w:t>
      </w:r>
    </w:p>
    <w:p w14:paraId="1C97F380" w14:textId="77777777" w:rsidR="003F699B" w:rsidRDefault="003F699B" w:rsidP="00FD7B7E">
      <w:pPr>
        <w:spacing w:line="240" w:lineRule="auto"/>
        <w:jc w:val="both"/>
        <w:rPr>
          <w:rFonts w:cstheme="minorHAnsi"/>
        </w:rPr>
      </w:pPr>
    </w:p>
    <w:p w14:paraId="2054CB52" w14:textId="77777777" w:rsidR="003F699B" w:rsidRPr="00985E42" w:rsidRDefault="003F699B" w:rsidP="00FD7B7E">
      <w:pPr>
        <w:spacing w:line="240" w:lineRule="auto"/>
        <w:jc w:val="both"/>
        <w:rPr>
          <w:rFonts w:cstheme="minorHAnsi"/>
        </w:rPr>
      </w:pPr>
    </w:p>
    <w:p w14:paraId="5DE56801" w14:textId="77777777" w:rsidR="005F0B9A" w:rsidRPr="00985E42" w:rsidRDefault="005F0B9A" w:rsidP="00FD7B7E">
      <w:pPr>
        <w:spacing w:before="240" w:line="240" w:lineRule="auto"/>
        <w:jc w:val="both"/>
        <w:rPr>
          <w:rFonts w:cstheme="minorHAnsi"/>
          <w:b/>
        </w:rPr>
      </w:pPr>
      <w:r w:rsidRPr="00985E42">
        <w:rPr>
          <w:rFonts w:cstheme="minorHAnsi"/>
          <w:b/>
        </w:rPr>
        <w:t>Doomadgee Safe House</w:t>
      </w:r>
    </w:p>
    <w:p w14:paraId="44D3E49A" w14:textId="4041DC45" w:rsidR="005F0B9A" w:rsidRDefault="005F0B9A" w:rsidP="00FD7B7E">
      <w:pPr>
        <w:spacing w:line="240" w:lineRule="auto"/>
        <w:jc w:val="both"/>
        <w:rPr>
          <w:rFonts w:cstheme="minorHAnsi"/>
        </w:rPr>
      </w:pPr>
      <w:r w:rsidRPr="00985E42">
        <w:rPr>
          <w:rFonts w:cstheme="minorHAnsi"/>
        </w:rPr>
        <w:t xml:space="preserve">Through extensive consultations and close working relationships in each of the safe house communities Act for Kids delivers services, </w:t>
      </w:r>
      <w:r w:rsidR="008554E8" w:rsidRPr="00985E42">
        <w:rPr>
          <w:rFonts w:cstheme="minorHAnsi"/>
        </w:rPr>
        <w:t>Act for Kids</w:t>
      </w:r>
      <w:r w:rsidRPr="00985E42">
        <w:rPr>
          <w:rFonts w:cstheme="minorHAnsi"/>
        </w:rPr>
        <w:t xml:space="preserve"> ha</w:t>
      </w:r>
      <w:r w:rsidR="008554E8" w:rsidRPr="00985E42">
        <w:rPr>
          <w:rFonts w:cstheme="minorHAnsi"/>
        </w:rPr>
        <w:t>s</w:t>
      </w:r>
      <w:r w:rsidRPr="00985E42">
        <w:rPr>
          <w:rFonts w:cstheme="minorHAnsi"/>
        </w:rPr>
        <w:t xml:space="preserve"> observed the high level of engagement, stability and commitment of the Doomadgee Reference Group. Because of this </w:t>
      </w:r>
      <w:r w:rsidR="00420347" w:rsidRPr="00985E42">
        <w:rPr>
          <w:rFonts w:cstheme="minorHAnsi"/>
        </w:rPr>
        <w:t xml:space="preserve">it </w:t>
      </w:r>
      <w:r w:rsidR="00D42DDF" w:rsidRPr="00985E42">
        <w:rPr>
          <w:rFonts w:cstheme="minorHAnsi"/>
        </w:rPr>
        <w:t>was</w:t>
      </w:r>
      <w:r w:rsidR="00420347" w:rsidRPr="00985E42">
        <w:rPr>
          <w:rFonts w:cstheme="minorHAnsi"/>
        </w:rPr>
        <w:t xml:space="preserve"> the view of </w:t>
      </w:r>
      <w:r w:rsidR="00D42DDF" w:rsidRPr="00985E42">
        <w:rPr>
          <w:rFonts w:cstheme="minorHAnsi"/>
        </w:rPr>
        <w:t>Act for Kids</w:t>
      </w:r>
      <w:r w:rsidR="00420347" w:rsidRPr="00985E42">
        <w:rPr>
          <w:rFonts w:cstheme="minorHAnsi"/>
        </w:rPr>
        <w:t xml:space="preserve"> that </w:t>
      </w:r>
      <w:r w:rsidRPr="00985E42">
        <w:rPr>
          <w:rFonts w:cstheme="minorHAnsi"/>
        </w:rPr>
        <w:t>the Doomadgee safe house provides an opportunity to develop a Community Controlled Organisation to take on auspice for the safe house funding. Discussions with the Doomadgee Reference Group and Traditional Owners (without commitment to any specific outcome) identified a strong desire from the community for this to occur.</w:t>
      </w:r>
    </w:p>
    <w:p w14:paraId="0FF5B38D" w14:textId="660658D5" w:rsidR="005F0B9A" w:rsidRPr="00985E42" w:rsidRDefault="005F0B9A" w:rsidP="00FD7B7E">
      <w:pPr>
        <w:tabs>
          <w:tab w:val="left" w:pos="668"/>
          <w:tab w:val="left" w:pos="669"/>
        </w:tabs>
        <w:spacing w:before="1" w:line="240" w:lineRule="auto"/>
        <w:jc w:val="both"/>
        <w:rPr>
          <w:rFonts w:cstheme="minorHAnsi"/>
        </w:rPr>
      </w:pPr>
      <w:r w:rsidRPr="00985E42">
        <w:rPr>
          <w:rFonts w:cstheme="minorHAnsi"/>
        </w:rPr>
        <w:t>With the Reference Group a staged process</w:t>
      </w:r>
      <w:r w:rsidR="00165459" w:rsidRPr="00985E42">
        <w:rPr>
          <w:rFonts w:cstheme="minorHAnsi"/>
        </w:rPr>
        <w:t xml:space="preserve"> was developed</w:t>
      </w:r>
      <w:r w:rsidRPr="00985E42">
        <w:rPr>
          <w:rFonts w:cstheme="minorHAnsi"/>
        </w:rPr>
        <w:t xml:space="preserve"> that would</w:t>
      </w:r>
      <w:r w:rsidR="00711CEE" w:rsidRPr="00985E42">
        <w:rPr>
          <w:rFonts w:cstheme="minorHAnsi"/>
        </w:rPr>
        <w:t xml:space="preserve"> potentially</w:t>
      </w:r>
      <w:r w:rsidRPr="00985E42">
        <w:rPr>
          <w:rFonts w:cstheme="minorHAnsi"/>
        </w:rPr>
        <w:t xml:space="preserve"> involve:</w:t>
      </w:r>
    </w:p>
    <w:p w14:paraId="5FF5E643" w14:textId="77777777" w:rsidR="005F0B9A" w:rsidRPr="00985E42" w:rsidRDefault="005F0B9A" w:rsidP="000F16FD">
      <w:pPr>
        <w:pStyle w:val="ListParagraph"/>
        <w:numPr>
          <w:ilvl w:val="0"/>
          <w:numId w:val="7"/>
        </w:numPr>
        <w:tabs>
          <w:tab w:val="left" w:pos="668"/>
          <w:tab w:val="left" w:pos="669"/>
        </w:tabs>
        <w:spacing w:before="1" w:line="240" w:lineRule="auto"/>
        <w:jc w:val="both"/>
        <w:rPr>
          <w:rFonts w:cstheme="minorHAnsi"/>
        </w:rPr>
      </w:pPr>
      <w:r w:rsidRPr="00985E42">
        <w:rPr>
          <w:rFonts w:cstheme="minorHAnsi"/>
        </w:rPr>
        <w:t xml:space="preserve">The Queensland Government and Act for Kids working with the Doomadgee community to create a new entity (ideally a “CATSI” established under the </w:t>
      </w:r>
      <w:r w:rsidRPr="00985E42">
        <w:rPr>
          <w:rFonts w:cstheme="minorHAnsi"/>
          <w:i/>
          <w:iCs/>
        </w:rPr>
        <w:t>Corporations (Aboriginal and Torres Strait Islander) Act 2006</w:t>
      </w:r>
      <w:r w:rsidRPr="00985E42">
        <w:rPr>
          <w:rFonts w:cstheme="minorHAnsi"/>
          <w:iCs/>
        </w:rPr>
        <w:t>)</w:t>
      </w:r>
      <w:r w:rsidRPr="00985E42">
        <w:rPr>
          <w:rFonts w:cstheme="minorHAnsi"/>
        </w:rPr>
        <w:t xml:space="preserve"> including governance and management structures in preparation for transfer of auspice.</w:t>
      </w:r>
    </w:p>
    <w:p w14:paraId="778F8176" w14:textId="77777777" w:rsidR="005F0B9A" w:rsidRPr="00985E42" w:rsidRDefault="005F0B9A" w:rsidP="000F16FD">
      <w:pPr>
        <w:pStyle w:val="ListParagraph"/>
        <w:numPr>
          <w:ilvl w:val="0"/>
          <w:numId w:val="7"/>
        </w:numPr>
        <w:tabs>
          <w:tab w:val="left" w:pos="668"/>
          <w:tab w:val="left" w:pos="669"/>
        </w:tabs>
        <w:spacing w:before="1" w:line="240" w:lineRule="auto"/>
        <w:jc w:val="both"/>
        <w:rPr>
          <w:rFonts w:cstheme="minorHAnsi"/>
        </w:rPr>
      </w:pPr>
      <w:r w:rsidRPr="00985E42">
        <w:rPr>
          <w:rFonts w:cstheme="minorHAnsi"/>
        </w:rPr>
        <w:t>Ensuring continuity of the availability of quality out-of-home care for children in Doomadgee through the transition. The new organisation would sub-contract Act for Kids to deliver safe house services via a service level agreement. This would extend to administration/grants management and governance in the near term.  Subject to the wishes of the Community, the ultimate goal is for complete self-governance and operation of the new organisation.</w:t>
      </w:r>
    </w:p>
    <w:p w14:paraId="57668600" w14:textId="77777777" w:rsidR="005F0B9A" w:rsidRPr="00985E42" w:rsidRDefault="005F0B9A" w:rsidP="00FD7B7E">
      <w:pPr>
        <w:spacing w:before="240" w:line="240" w:lineRule="auto"/>
        <w:jc w:val="both"/>
        <w:rPr>
          <w:rFonts w:cstheme="minorHAnsi"/>
          <w:b/>
        </w:rPr>
      </w:pPr>
      <w:r w:rsidRPr="00985E42">
        <w:rPr>
          <w:rFonts w:cstheme="minorHAnsi"/>
          <w:b/>
        </w:rPr>
        <w:t>Specific Proposal (variations of which was put to the Queensland Child Safety Minister (of the time) in 2016, 2017, 2018, 2019, 2020 and 2021).</w:t>
      </w:r>
    </w:p>
    <w:p w14:paraId="132F8AD7" w14:textId="77777777" w:rsidR="005F0B9A" w:rsidRPr="00985E42" w:rsidRDefault="005F0B9A" w:rsidP="00FD7B7E">
      <w:pPr>
        <w:tabs>
          <w:tab w:val="left" w:pos="668"/>
          <w:tab w:val="left" w:pos="669"/>
        </w:tabs>
        <w:spacing w:before="1" w:line="240" w:lineRule="auto"/>
        <w:jc w:val="both"/>
        <w:rPr>
          <w:rFonts w:cstheme="minorHAnsi"/>
          <w:i/>
          <w:iCs/>
        </w:rPr>
      </w:pPr>
      <w:r w:rsidRPr="00985E42">
        <w:rPr>
          <w:rFonts w:cstheme="minorHAnsi"/>
          <w:i/>
          <w:iCs/>
        </w:rPr>
        <w:t>We are seeking commitment from the Queensland Government to partner with the Doomadgee community and Act for Kids to develop a Doomadgee Community Controlled Organisation based on the current Safe House Reference Group that will take on auspice for the Doomadgee safe house funding.</w:t>
      </w:r>
    </w:p>
    <w:p w14:paraId="21EE0F9B" w14:textId="77777777" w:rsidR="005F0B9A" w:rsidRPr="00985E42" w:rsidRDefault="005F0B9A" w:rsidP="00FD7B7E">
      <w:pPr>
        <w:tabs>
          <w:tab w:val="left" w:pos="668"/>
          <w:tab w:val="left" w:pos="669"/>
        </w:tabs>
        <w:spacing w:before="1" w:line="240" w:lineRule="auto"/>
        <w:jc w:val="both"/>
        <w:rPr>
          <w:rFonts w:cstheme="minorHAnsi"/>
          <w:i/>
          <w:iCs/>
        </w:rPr>
      </w:pPr>
      <w:r w:rsidRPr="00985E42">
        <w:rPr>
          <w:rFonts w:cstheme="minorHAnsi"/>
          <w:i/>
          <w:iCs/>
        </w:rPr>
        <w:t>We would like to arrange a meeting with Doomadgee Traditional Owners and the Minister and Director-General to discuss options for the safe house in Doomadgee.</w:t>
      </w:r>
    </w:p>
    <w:p w14:paraId="44D97B4F" w14:textId="77777777" w:rsidR="005F0B9A" w:rsidRPr="00985E42" w:rsidRDefault="005F0B9A" w:rsidP="00FD7B7E">
      <w:pPr>
        <w:spacing w:line="240" w:lineRule="auto"/>
        <w:jc w:val="both"/>
        <w:rPr>
          <w:rFonts w:cstheme="minorHAnsi"/>
          <w:b/>
          <w:bCs/>
          <w:lang w:val="en-US"/>
        </w:rPr>
      </w:pPr>
      <w:r w:rsidRPr="00985E42">
        <w:rPr>
          <w:rFonts w:cstheme="minorHAnsi"/>
          <w:b/>
          <w:bCs/>
          <w:lang w:val="en-US"/>
        </w:rPr>
        <w:t>Act for Kids Governance</w:t>
      </w:r>
    </w:p>
    <w:p w14:paraId="665C62E8" w14:textId="588BF898" w:rsidR="005F0B9A" w:rsidRPr="00985E42" w:rsidRDefault="005F0B9A" w:rsidP="00FD7B7E">
      <w:pPr>
        <w:tabs>
          <w:tab w:val="left" w:pos="668"/>
          <w:tab w:val="left" w:pos="669"/>
        </w:tabs>
        <w:spacing w:before="1" w:line="240" w:lineRule="auto"/>
        <w:jc w:val="both"/>
        <w:rPr>
          <w:rFonts w:cstheme="minorHAnsi"/>
        </w:rPr>
      </w:pPr>
      <w:r w:rsidRPr="00985E42">
        <w:rPr>
          <w:rFonts w:cstheme="minorHAnsi"/>
        </w:rPr>
        <w:t>The Board created a First Nations Working Group (FNWG) in 2016. The FNWG reports directly to the Act for Kids Board. Members include two First Nations Directors, three other Directors, CEO, ED Service Strategy &amp; Growth, Director Service Strategy and Partnerships and external stakeholders including First Nations stakeholders. The aim of the FNWG is to provide high level governance and business support and decision making around our First Nations Strategic Goals, our Reconciliation goals and the goal of transitioning safe house services.</w:t>
      </w:r>
    </w:p>
    <w:p w14:paraId="014B5CFD" w14:textId="3F34A2B7" w:rsidR="005F0B9A" w:rsidRPr="00985E42" w:rsidRDefault="005F0B9A" w:rsidP="00FD7B7E">
      <w:pPr>
        <w:spacing w:line="240" w:lineRule="auto"/>
        <w:jc w:val="both"/>
        <w:rPr>
          <w:rFonts w:cstheme="minorHAnsi"/>
          <w:b/>
          <w:bCs/>
          <w:lang w:val="en-US"/>
        </w:rPr>
      </w:pPr>
      <w:r w:rsidRPr="00985E42">
        <w:rPr>
          <w:rFonts w:cstheme="minorHAnsi"/>
          <w:b/>
          <w:bCs/>
          <w:lang w:val="en-US"/>
        </w:rPr>
        <w:t xml:space="preserve">Development of </w:t>
      </w:r>
      <w:proofErr w:type="spellStart"/>
      <w:r w:rsidRPr="00985E42">
        <w:rPr>
          <w:rFonts w:cstheme="minorHAnsi"/>
          <w:b/>
          <w:bCs/>
          <w:lang w:val="en-US"/>
        </w:rPr>
        <w:t>Gunawuna</w:t>
      </w:r>
      <w:proofErr w:type="spellEnd"/>
      <w:r w:rsidRPr="00985E42">
        <w:rPr>
          <w:rFonts w:cstheme="minorHAnsi"/>
          <w:b/>
          <w:bCs/>
          <w:lang w:val="en-US"/>
        </w:rPr>
        <w:t xml:space="preserve"> </w:t>
      </w:r>
      <w:proofErr w:type="spellStart"/>
      <w:r w:rsidRPr="00985E42">
        <w:rPr>
          <w:rFonts w:cstheme="minorHAnsi"/>
          <w:b/>
          <w:bCs/>
          <w:lang w:val="en-US"/>
        </w:rPr>
        <w:t>Jungai</w:t>
      </w:r>
      <w:proofErr w:type="spellEnd"/>
      <w:r w:rsidRPr="00985E42">
        <w:rPr>
          <w:rFonts w:cstheme="minorHAnsi"/>
          <w:b/>
          <w:bCs/>
          <w:lang w:val="en-US"/>
        </w:rPr>
        <w:t xml:space="preserve"> Ltd</w:t>
      </w:r>
      <w:r w:rsidR="009571BC" w:rsidRPr="00985E42">
        <w:rPr>
          <w:rFonts w:cstheme="minorHAnsi"/>
          <w:b/>
          <w:bCs/>
          <w:lang w:val="en-US"/>
        </w:rPr>
        <w:t xml:space="preserve"> (GJL)</w:t>
      </w:r>
    </w:p>
    <w:p w14:paraId="433B0F4E" w14:textId="37C54FAF" w:rsidR="005F0B9A" w:rsidRPr="00985E42" w:rsidRDefault="005F0B9A" w:rsidP="00FD7B7E">
      <w:pPr>
        <w:spacing w:line="240" w:lineRule="auto"/>
        <w:jc w:val="both"/>
        <w:rPr>
          <w:rFonts w:cstheme="minorHAnsi"/>
          <w:lang w:val="en-US"/>
        </w:rPr>
      </w:pPr>
      <w:r w:rsidRPr="00985E42">
        <w:rPr>
          <w:rFonts w:cstheme="minorHAnsi"/>
          <w:lang w:val="en-US"/>
        </w:rPr>
        <w:t xml:space="preserve">Along with all the other work </w:t>
      </w:r>
      <w:r w:rsidR="00EF7A00" w:rsidRPr="00985E42">
        <w:rPr>
          <w:rFonts w:cstheme="minorHAnsi"/>
          <w:lang w:val="en-US"/>
        </w:rPr>
        <w:t xml:space="preserve">that had occurred </w:t>
      </w:r>
      <w:r w:rsidRPr="00985E42">
        <w:rPr>
          <w:rFonts w:cstheme="minorHAnsi"/>
          <w:lang w:val="en-US"/>
        </w:rPr>
        <w:t xml:space="preserve">since 2008, in 2016 at the request of the </w:t>
      </w:r>
      <w:proofErr w:type="spellStart"/>
      <w:r w:rsidRPr="00985E42">
        <w:rPr>
          <w:rFonts w:cstheme="minorHAnsi"/>
          <w:lang w:val="en-US"/>
        </w:rPr>
        <w:t>Doomadgee</w:t>
      </w:r>
      <w:proofErr w:type="spellEnd"/>
      <w:r w:rsidRPr="00985E42">
        <w:rPr>
          <w:rFonts w:cstheme="minorHAnsi"/>
          <w:lang w:val="en-US"/>
        </w:rPr>
        <w:t xml:space="preserve"> Traditional Owners </w:t>
      </w:r>
      <w:r w:rsidR="00B1223D" w:rsidRPr="00985E42">
        <w:rPr>
          <w:rFonts w:cstheme="minorHAnsi"/>
          <w:lang w:val="en-US"/>
        </w:rPr>
        <w:t>Act for Kids</w:t>
      </w:r>
      <w:r w:rsidRPr="00985E42">
        <w:rPr>
          <w:rFonts w:cstheme="minorHAnsi"/>
          <w:lang w:val="en-US"/>
        </w:rPr>
        <w:t xml:space="preserve"> started using resources to scope what a Community Controlled Entity would look like for them. This was largely the work of the FNWG. King &amp; Wood Mallesons did a background paper on what the development of a CCO would entail and options for </w:t>
      </w:r>
      <w:proofErr w:type="gramStart"/>
      <w:r w:rsidRPr="00985E42">
        <w:rPr>
          <w:rFonts w:cstheme="minorHAnsi"/>
          <w:lang w:val="en-US"/>
        </w:rPr>
        <w:t>whether or not</w:t>
      </w:r>
      <w:proofErr w:type="gramEnd"/>
      <w:r w:rsidRPr="00985E42">
        <w:rPr>
          <w:rFonts w:cstheme="minorHAnsi"/>
          <w:lang w:val="en-US"/>
        </w:rPr>
        <w:t xml:space="preserve"> it should be related to Act for Kids (at the request of the </w:t>
      </w:r>
      <w:proofErr w:type="spellStart"/>
      <w:r w:rsidRPr="00985E42">
        <w:rPr>
          <w:rFonts w:cstheme="minorHAnsi"/>
          <w:lang w:val="en-US"/>
        </w:rPr>
        <w:t>Doomadgee</w:t>
      </w:r>
      <w:proofErr w:type="spellEnd"/>
      <w:r w:rsidRPr="00985E42">
        <w:rPr>
          <w:rFonts w:cstheme="minorHAnsi"/>
          <w:lang w:val="en-US"/>
        </w:rPr>
        <w:t xml:space="preserve"> Traditional Owners). The scope of the entity changed over time with work intensifying in 2021-2022 and culminating in the registration of GJL in late 2022.</w:t>
      </w:r>
    </w:p>
    <w:p w14:paraId="4BC7026C" w14:textId="77777777" w:rsidR="005F0B9A" w:rsidRPr="00985E42" w:rsidRDefault="005F0B9A" w:rsidP="00FD7B7E">
      <w:pPr>
        <w:spacing w:line="240" w:lineRule="auto"/>
        <w:jc w:val="both"/>
        <w:rPr>
          <w:rFonts w:cstheme="minorHAnsi"/>
          <w:lang w:val="en-US"/>
        </w:rPr>
      </w:pPr>
      <w:r w:rsidRPr="00985E42">
        <w:rPr>
          <w:rFonts w:cstheme="minorHAnsi"/>
          <w:lang w:val="en-US"/>
        </w:rPr>
        <w:t xml:space="preserve">Despite a positive response from 2018 on, the Queensland Government and Department of Child Safety did not commit to act on the proposal until 2022. At that time, the Department committed to working with the </w:t>
      </w:r>
      <w:proofErr w:type="spellStart"/>
      <w:r w:rsidRPr="00985E42">
        <w:rPr>
          <w:rFonts w:cstheme="minorHAnsi"/>
          <w:lang w:val="en-US"/>
        </w:rPr>
        <w:t>Doomadgee</w:t>
      </w:r>
      <w:proofErr w:type="spellEnd"/>
      <w:r w:rsidRPr="00985E42">
        <w:rPr>
          <w:rFonts w:cstheme="minorHAnsi"/>
          <w:lang w:val="en-US"/>
        </w:rPr>
        <w:t xml:space="preserve"> community on the transition of the safe house. In September 2022, the </w:t>
      </w:r>
      <w:proofErr w:type="spellStart"/>
      <w:r w:rsidRPr="00985E42">
        <w:rPr>
          <w:rFonts w:cstheme="minorHAnsi"/>
          <w:lang w:val="en-US"/>
        </w:rPr>
        <w:t>Doomadgee</w:t>
      </w:r>
      <w:proofErr w:type="spellEnd"/>
      <w:r w:rsidRPr="00985E42">
        <w:rPr>
          <w:rFonts w:cstheme="minorHAnsi"/>
          <w:lang w:val="en-US"/>
        </w:rPr>
        <w:t xml:space="preserve"> safe house contract was renewed for a period of two years, with the specific goal of transitioning the service to GJL. The plan was for a steering group to be formed of GJL, the Department and Act for Kids to drive the plan for transition, however, this still has not </w:t>
      </w:r>
      <w:proofErr w:type="gramStart"/>
      <w:r w:rsidRPr="00985E42">
        <w:rPr>
          <w:rFonts w:cstheme="minorHAnsi"/>
          <w:lang w:val="en-US"/>
        </w:rPr>
        <w:t>eventuated</w:t>
      </w:r>
      <w:proofErr w:type="gramEnd"/>
      <w:r w:rsidRPr="00985E42">
        <w:rPr>
          <w:rFonts w:cstheme="minorHAnsi"/>
          <w:lang w:val="en-US"/>
        </w:rPr>
        <w:t>.</w:t>
      </w:r>
    </w:p>
    <w:p w14:paraId="2CB4BB6F" w14:textId="6D24065C" w:rsidR="005F0B9A" w:rsidRDefault="005F0B9A" w:rsidP="00FD7B7E">
      <w:pPr>
        <w:spacing w:line="240" w:lineRule="auto"/>
        <w:jc w:val="both"/>
        <w:rPr>
          <w:rFonts w:cstheme="minorHAnsi"/>
          <w:lang w:val="en-US"/>
        </w:rPr>
      </w:pPr>
      <w:r w:rsidRPr="00985E42">
        <w:rPr>
          <w:rFonts w:cstheme="minorHAnsi"/>
          <w:lang w:val="en-US"/>
        </w:rPr>
        <w:t xml:space="preserve">GJL has worked hard </w:t>
      </w:r>
      <w:r w:rsidR="00942324" w:rsidRPr="00985E42">
        <w:rPr>
          <w:rFonts w:cstheme="minorHAnsi"/>
          <w:lang w:val="en-US"/>
        </w:rPr>
        <w:t>to nominate</w:t>
      </w:r>
      <w:r w:rsidRPr="00985E42">
        <w:rPr>
          <w:rFonts w:cstheme="minorHAnsi"/>
          <w:lang w:val="en-US"/>
        </w:rPr>
        <w:t xml:space="preserve"> </w:t>
      </w:r>
      <w:proofErr w:type="spellStart"/>
      <w:r w:rsidRPr="00985E42">
        <w:rPr>
          <w:rFonts w:cstheme="minorHAnsi"/>
          <w:lang w:val="en-US"/>
        </w:rPr>
        <w:t>Doomadgee</w:t>
      </w:r>
      <w:proofErr w:type="spellEnd"/>
      <w:r w:rsidRPr="00985E42">
        <w:rPr>
          <w:rFonts w:cstheme="minorHAnsi"/>
          <w:lang w:val="en-US"/>
        </w:rPr>
        <w:t xml:space="preserve"> as the Queensland and Australian Government Closing the Gap trial site. They are working with multiple government departments across jurisdictions within the place-based partnership model and the justice reinvestment approach. The work has </w:t>
      </w:r>
      <w:proofErr w:type="gramStart"/>
      <w:r w:rsidRPr="00985E42">
        <w:rPr>
          <w:rFonts w:cstheme="minorHAnsi"/>
          <w:lang w:val="en-US"/>
        </w:rPr>
        <w:t>stalled at</w:t>
      </w:r>
      <w:proofErr w:type="gramEnd"/>
      <w:r w:rsidRPr="00985E42">
        <w:rPr>
          <w:rFonts w:cstheme="minorHAnsi"/>
          <w:lang w:val="en-US"/>
        </w:rPr>
        <w:t xml:space="preserve"> many times because of government processes being misaligned with cultural processes. An example is the development of contracts which have commenced as standard legal documents, with GJL fighting to have them made into cultural place-based partnership agreements. The other barrier appears to be funding, with departments being unwilling </w:t>
      </w:r>
      <w:r w:rsidR="00E67580" w:rsidRPr="00985E42">
        <w:rPr>
          <w:rFonts w:cstheme="minorHAnsi"/>
          <w:lang w:val="en-US"/>
        </w:rPr>
        <w:t xml:space="preserve">or unable </w:t>
      </w:r>
      <w:r w:rsidRPr="00985E42">
        <w:rPr>
          <w:rFonts w:cstheme="minorHAnsi"/>
          <w:lang w:val="en-US"/>
        </w:rPr>
        <w:t>to pay the costs of capability, growth and capacity building for GJL, despite wanting them to take on an enormous project load for the Closing the Gap and Qld Govt targets (</w:t>
      </w:r>
      <w:proofErr w:type="gramStart"/>
      <w:r w:rsidRPr="00985E42">
        <w:rPr>
          <w:rFonts w:cstheme="minorHAnsi"/>
          <w:lang w:val="en-US"/>
        </w:rPr>
        <w:t>e.g.</w:t>
      </w:r>
      <w:proofErr w:type="gramEnd"/>
      <w:r w:rsidRPr="00985E42">
        <w:rPr>
          <w:rFonts w:cstheme="minorHAnsi"/>
          <w:lang w:val="en-US"/>
        </w:rPr>
        <w:t xml:space="preserve"> delegated authority).</w:t>
      </w:r>
    </w:p>
    <w:p w14:paraId="5DE58CF1" w14:textId="77777777" w:rsidR="005F0B9A" w:rsidRPr="00985E42" w:rsidRDefault="005F0B9A" w:rsidP="00FD7B7E">
      <w:pPr>
        <w:spacing w:line="240" w:lineRule="auto"/>
        <w:jc w:val="both"/>
        <w:rPr>
          <w:rFonts w:cstheme="minorHAnsi"/>
          <w:b/>
          <w:bCs/>
          <w:lang w:val="en-US"/>
        </w:rPr>
      </w:pPr>
      <w:r w:rsidRPr="00985E42">
        <w:rPr>
          <w:rFonts w:cstheme="minorHAnsi"/>
          <w:b/>
          <w:bCs/>
          <w:lang w:val="en-US"/>
        </w:rPr>
        <w:t>Act for Kids’ Investment</w:t>
      </w:r>
    </w:p>
    <w:p w14:paraId="4A5CEE4A" w14:textId="42E22530" w:rsidR="005F0B9A" w:rsidRPr="00985E42" w:rsidRDefault="005F0B9A" w:rsidP="00FD7B7E">
      <w:pPr>
        <w:spacing w:line="240" w:lineRule="auto"/>
        <w:jc w:val="both"/>
        <w:rPr>
          <w:rFonts w:cstheme="minorHAnsi"/>
          <w:lang w:val="en-US"/>
        </w:rPr>
      </w:pPr>
      <w:r w:rsidRPr="00985E42">
        <w:rPr>
          <w:rFonts w:cstheme="minorHAnsi"/>
          <w:lang w:val="en-US"/>
        </w:rPr>
        <w:t xml:space="preserve">It would be difficult to put a monetary value on </w:t>
      </w:r>
      <w:r w:rsidR="005A2E3D" w:rsidRPr="00985E42">
        <w:rPr>
          <w:rFonts w:cstheme="minorHAnsi"/>
          <w:lang w:val="en-US"/>
        </w:rPr>
        <w:t>the</w:t>
      </w:r>
      <w:r w:rsidRPr="00985E42">
        <w:rPr>
          <w:rFonts w:cstheme="minorHAnsi"/>
          <w:lang w:val="en-US"/>
        </w:rPr>
        <w:t xml:space="preserve"> investment since 2008 in the goal of transitioning safe house services. The </w:t>
      </w:r>
      <w:proofErr w:type="gramStart"/>
      <w:r w:rsidRPr="00985E42">
        <w:rPr>
          <w:rFonts w:cstheme="minorHAnsi"/>
          <w:lang w:val="en-US"/>
        </w:rPr>
        <w:t>ultimate goal</w:t>
      </w:r>
      <w:proofErr w:type="gramEnd"/>
      <w:r w:rsidRPr="00985E42">
        <w:rPr>
          <w:rFonts w:cstheme="minorHAnsi"/>
          <w:lang w:val="en-US"/>
        </w:rPr>
        <w:t xml:space="preserve"> was self-determination for these communities, with the only real progress made in </w:t>
      </w:r>
      <w:proofErr w:type="spellStart"/>
      <w:r w:rsidRPr="00985E42">
        <w:rPr>
          <w:rFonts w:cstheme="minorHAnsi"/>
          <w:lang w:val="en-US"/>
        </w:rPr>
        <w:t>Doomadgee</w:t>
      </w:r>
      <w:proofErr w:type="spellEnd"/>
      <w:r w:rsidRPr="00985E42">
        <w:rPr>
          <w:rFonts w:cstheme="minorHAnsi"/>
          <w:lang w:val="en-US"/>
        </w:rPr>
        <w:t xml:space="preserve"> to date, which is disappointing.</w:t>
      </w:r>
    </w:p>
    <w:p w14:paraId="6A2E6692" w14:textId="41D829B2" w:rsidR="005F0B9A" w:rsidRPr="00985E42" w:rsidRDefault="005F0B9A" w:rsidP="00FD7B7E">
      <w:pPr>
        <w:spacing w:line="240" w:lineRule="auto"/>
        <w:jc w:val="both"/>
        <w:rPr>
          <w:rFonts w:cstheme="minorHAnsi"/>
          <w:lang w:val="en-US"/>
        </w:rPr>
      </w:pPr>
      <w:r w:rsidRPr="00985E42">
        <w:rPr>
          <w:rFonts w:cstheme="minorHAnsi"/>
          <w:lang w:val="en-US"/>
        </w:rPr>
        <w:t xml:space="preserve">The human investment was years of time, travel and community engagement by the leader of the </w:t>
      </w:r>
      <w:proofErr w:type="spellStart"/>
      <w:r w:rsidRPr="00985E42">
        <w:rPr>
          <w:rFonts w:cstheme="minorHAnsi"/>
          <w:lang w:val="en-US"/>
        </w:rPr>
        <w:t>SafeKIDS</w:t>
      </w:r>
      <w:proofErr w:type="spellEnd"/>
      <w:r w:rsidRPr="00985E42">
        <w:rPr>
          <w:rFonts w:cstheme="minorHAnsi"/>
          <w:lang w:val="en-US"/>
        </w:rPr>
        <w:t xml:space="preserve"> </w:t>
      </w:r>
      <w:proofErr w:type="gramStart"/>
      <w:r w:rsidRPr="00985E42">
        <w:rPr>
          <w:rFonts w:cstheme="minorHAnsi"/>
          <w:lang w:val="en-US"/>
        </w:rPr>
        <w:t>program  and</w:t>
      </w:r>
      <w:proofErr w:type="gramEnd"/>
      <w:r w:rsidRPr="00985E42">
        <w:rPr>
          <w:rFonts w:cstheme="minorHAnsi"/>
          <w:lang w:val="en-US"/>
        </w:rPr>
        <w:t xml:space="preserve"> the (then) Executive Director of Services. In 2018, Kieran became Director of Service Strategy and Partnerships and 50% of his time in that role was invested in our First Nations goals. Since 2021, almost 100% of his time </w:t>
      </w:r>
      <w:proofErr w:type="gramStart"/>
      <w:r w:rsidRPr="00985E42">
        <w:rPr>
          <w:rFonts w:cstheme="minorHAnsi"/>
          <w:lang w:val="en-US"/>
        </w:rPr>
        <w:t>was</w:t>
      </w:r>
      <w:proofErr w:type="gramEnd"/>
      <w:r w:rsidRPr="00985E42">
        <w:rPr>
          <w:rFonts w:cstheme="minorHAnsi"/>
          <w:lang w:val="en-US"/>
        </w:rPr>
        <w:t xml:space="preserve"> devoted to working with the </w:t>
      </w:r>
      <w:proofErr w:type="spellStart"/>
      <w:r w:rsidRPr="00985E42">
        <w:rPr>
          <w:rFonts w:cstheme="minorHAnsi"/>
          <w:lang w:val="en-US"/>
        </w:rPr>
        <w:t>Doomadgee</w:t>
      </w:r>
      <w:proofErr w:type="spellEnd"/>
      <w:r w:rsidRPr="00985E42">
        <w:rPr>
          <w:rFonts w:cstheme="minorHAnsi"/>
          <w:lang w:val="en-US"/>
        </w:rPr>
        <w:t xml:space="preserve"> community. In 2020 </w:t>
      </w:r>
      <w:r w:rsidR="00D0426D">
        <w:rPr>
          <w:rFonts w:cstheme="minorHAnsi"/>
          <w:lang w:val="en-US"/>
        </w:rPr>
        <w:t>the</w:t>
      </w:r>
      <w:r w:rsidRPr="00985E42">
        <w:rPr>
          <w:rFonts w:cstheme="minorHAnsi"/>
          <w:lang w:val="en-US"/>
        </w:rPr>
        <w:t xml:space="preserve"> CEO increased investment in time and resourcing from the Executive Team, </w:t>
      </w:r>
      <w:proofErr w:type="gramStart"/>
      <w:r w:rsidRPr="00985E42">
        <w:rPr>
          <w:rFonts w:cstheme="minorHAnsi"/>
          <w:lang w:val="en-US"/>
        </w:rPr>
        <w:t>Board</w:t>
      </w:r>
      <w:proofErr w:type="gramEnd"/>
      <w:r w:rsidRPr="00985E42">
        <w:rPr>
          <w:rFonts w:cstheme="minorHAnsi"/>
          <w:lang w:val="en-US"/>
        </w:rPr>
        <w:t xml:space="preserve"> and corporate partners towards assisting </w:t>
      </w:r>
      <w:proofErr w:type="spellStart"/>
      <w:r w:rsidRPr="00985E42">
        <w:rPr>
          <w:rFonts w:cstheme="minorHAnsi"/>
          <w:lang w:val="en-US"/>
        </w:rPr>
        <w:t>Doomadgee</w:t>
      </w:r>
      <w:proofErr w:type="spellEnd"/>
      <w:r w:rsidRPr="00985E42">
        <w:rPr>
          <w:rFonts w:cstheme="minorHAnsi"/>
          <w:lang w:val="en-US"/>
        </w:rPr>
        <w:t xml:space="preserve"> to achieve their goals.</w:t>
      </w:r>
    </w:p>
    <w:p w14:paraId="2463D523" w14:textId="24F45CC9" w:rsidR="00C73E85" w:rsidRDefault="005F0B9A" w:rsidP="00FD7B7E">
      <w:pPr>
        <w:spacing w:line="240" w:lineRule="auto"/>
        <w:jc w:val="both"/>
        <w:rPr>
          <w:rFonts w:cstheme="minorHAnsi"/>
          <w:lang w:val="en-US"/>
        </w:rPr>
      </w:pPr>
      <w:r w:rsidRPr="00985E42">
        <w:rPr>
          <w:rFonts w:cstheme="minorHAnsi"/>
          <w:lang w:val="en-US"/>
        </w:rPr>
        <w:t>If you included the cost of the time of everyone devoted to the project over many years, the costs of travel, accommodation, consultation with lawyers, pro bono support, financial support from our corporate partners and other resourcing, the monetary cost to date would be in the millions.</w:t>
      </w:r>
    </w:p>
    <w:p w14:paraId="570C9A4C" w14:textId="77777777" w:rsidR="00DC2180" w:rsidRPr="00C73E85" w:rsidRDefault="00DC2180" w:rsidP="00DC2180">
      <w:pPr>
        <w:pStyle w:val="L3Header"/>
        <w:rPr>
          <w:rFonts w:cstheme="minorHAnsi"/>
          <w:color w:val="000000" w:themeColor="text1"/>
          <w:sz w:val="24"/>
          <w:szCs w:val="24"/>
        </w:rPr>
      </w:pPr>
      <w:r w:rsidRPr="00C73E85">
        <w:rPr>
          <w:rFonts w:cstheme="minorHAnsi"/>
          <w:color w:val="000000" w:themeColor="text1"/>
          <w:sz w:val="24"/>
          <w:szCs w:val="24"/>
        </w:rPr>
        <w:t>FIRST NATION NGO ALLIANCE REFLECTION:</w:t>
      </w:r>
    </w:p>
    <w:p w14:paraId="6118902A" w14:textId="77777777" w:rsidR="00AB3127" w:rsidRDefault="00AB3127" w:rsidP="00AB3127">
      <w:pPr>
        <w:spacing w:line="240" w:lineRule="auto"/>
        <w:rPr>
          <w:rFonts w:cstheme="minorHAnsi"/>
          <w:color w:val="000000" w:themeColor="text1"/>
        </w:rPr>
      </w:pPr>
      <w:r w:rsidRPr="00985E42">
        <w:rPr>
          <w:rFonts w:cstheme="minorHAnsi"/>
          <w:color w:val="000000" w:themeColor="text1"/>
        </w:rPr>
        <w:t xml:space="preserve">The Service agreement specified a need to establish a formal partnership with Aboriginal and Torres Strait Islander communities with a view to build and transfer services to the community. This included supporting the ongoing operating viability of an entity, including developing workforce, skills, and governance. </w:t>
      </w:r>
    </w:p>
    <w:p w14:paraId="065F958B" w14:textId="77777777" w:rsidR="00AB3127" w:rsidRDefault="00AB3127" w:rsidP="00AB3127">
      <w:pPr>
        <w:spacing w:line="240" w:lineRule="auto"/>
        <w:rPr>
          <w:rFonts w:cstheme="minorHAnsi"/>
          <w:color w:val="000000" w:themeColor="text1"/>
        </w:rPr>
      </w:pPr>
      <w:r w:rsidRPr="00985E42">
        <w:rPr>
          <w:rFonts w:cstheme="minorHAnsi"/>
          <w:color w:val="000000" w:themeColor="text1"/>
        </w:rPr>
        <w:t xml:space="preserve">This case study highlights several critical ingredients that a partnering organisation can do to authentically honour an agreement like this with communities including: </w:t>
      </w:r>
    </w:p>
    <w:p w14:paraId="1BF8B9C2" w14:textId="77777777" w:rsidR="00AB3127" w:rsidRPr="00985E42" w:rsidRDefault="00AB3127" w:rsidP="00AB3127">
      <w:pPr>
        <w:pStyle w:val="ListParagraph"/>
        <w:numPr>
          <w:ilvl w:val="0"/>
          <w:numId w:val="8"/>
        </w:numPr>
        <w:spacing w:line="240" w:lineRule="auto"/>
        <w:rPr>
          <w:rFonts w:cstheme="minorHAnsi"/>
          <w:color w:val="000000" w:themeColor="text1"/>
        </w:rPr>
      </w:pPr>
      <w:r w:rsidRPr="00985E42">
        <w:rPr>
          <w:rFonts w:cstheme="minorHAnsi"/>
          <w:b/>
          <w:bCs/>
          <w:color w:val="000000" w:themeColor="text1"/>
        </w:rPr>
        <w:t xml:space="preserve">Respecting the role and cultural authority of Traditional Owners </w:t>
      </w:r>
      <w:r w:rsidRPr="00985E42">
        <w:rPr>
          <w:rFonts w:cstheme="minorHAnsi"/>
          <w:color w:val="000000" w:themeColor="text1"/>
        </w:rPr>
        <w:t xml:space="preserve">in negotiations, and the value it brings with time and trust.   </w:t>
      </w:r>
    </w:p>
    <w:p w14:paraId="2FFB0D29" w14:textId="23FE1FC0" w:rsidR="00AB3127" w:rsidRPr="00985E42" w:rsidRDefault="00AB3127" w:rsidP="00AB3127">
      <w:pPr>
        <w:pStyle w:val="ListParagraph"/>
        <w:numPr>
          <w:ilvl w:val="0"/>
          <w:numId w:val="8"/>
        </w:numPr>
        <w:spacing w:line="240" w:lineRule="auto"/>
        <w:rPr>
          <w:rFonts w:cstheme="minorHAnsi"/>
          <w:color w:val="000000" w:themeColor="text1"/>
        </w:rPr>
      </w:pPr>
      <w:r w:rsidRPr="00985E42">
        <w:rPr>
          <w:rFonts w:cstheme="minorHAnsi"/>
          <w:b/>
          <w:bCs/>
          <w:color w:val="000000" w:themeColor="text1"/>
        </w:rPr>
        <w:t>Valuing the important role of Aboriginal leadership</w:t>
      </w:r>
      <w:r w:rsidRPr="00985E42">
        <w:rPr>
          <w:rFonts w:cstheme="minorHAnsi"/>
          <w:color w:val="000000" w:themeColor="text1"/>
        </w:rPr>
        <w:t xml:space="preserve"> in partnerships and the subsequent organisational responsibility to these individuals being asked to broker relationships and lead negotiations with communities. </w:t>
      </w:r>
    </w:p>
    <w:p w14:paraId="4D34B4E3" w14:textId="77777777" w:rsidR="00AB3127" w:rsidRPr="00985E42" w:rsidRDefault="00AB3127" w:rsidP="00AB3127">
      <w:pPr>
        <w:pStyle w:val="ListParagraph"/>
        <w:numPr>
          <w:ilvl w:val="0"/>
          <w:numId w:val="8"/>
        </w:numPr>
        <w:spacing w:line="240" w:lineRule="auto"/>
        <w:rPr>
          <w:rFonts w:cstheme="minorHAnsi"/>
          <w:color w:val="000000" w:themeColor="text1"/>
        </w:rPr>
      </w:pPr>
      <w:r w:rsidRPr="00985E42">
        <w:rPr>
          <w:rFonts w:cstheme="minorHAnsi"/>
          <w:b/>
          <w:bCs/>
          <w:color w:val="000000" w:themeColor="text1"/>
        </w:rPr>
        <w:t>Developing two-way cultural governance processes</w:t>
      </w:r>
      <w:r w:rsidRPr="00985E42">
        <w:rPr>
          <w:rFonts w:cstheme="minorHAnsi"/>
          <w:color w:val="000000" w:themeColor="text1"/>
        </w:rPr>
        <w:t xml:space="preserve"> where cultural authority and decision making meets corporate governance to negotiate, share leadership and hold each other accountable.  </w:t>
      </w:r>
    </w:p>
    <w:p w14:paraId="7A0C3DE1" w14:textId="48275041" w:rsidR="00AB3127" w:rsidRPr="00985E42" w:rsidRDefault="00AB3127" w:rsidP="00AB3127">
      <w:pPr>
        <w:pStyle w:val="ListParagraph"/>
        <w:numPr>
          <w:ilvl w:val="0"/>
          <w:numId w:val="8"/>
        </w:numPr>
        <w:spacing w:line="240" w:lineRule="auto"/>
        <w:rPr>
          <w:rFonts w:cstheme="minorHAnsi"/>
          <w:color w:val="000000" w:themeColor="text1"/>
        </w:rPr>
      </w:pPr>
      <w:r w:rsidRPr="00985E42">
        <w:rPr>
          <w:rFonts w:cstheme="minorHAnsi"/>
          <w:b/>
          <w:bCs/>
          <w:color w:val="000000" w:themeColor="text1"/>
        </w:rPr>
        <w:t>Investing in a local workforce strategy</w:t>
      </w:r>
      <w:r w:rsidRPr="00985E42">
        <w:rPr>
          <w:rFonts w:cstheme="minorHAnsi"/>
          <w:color w:val="000000" w:themeColor="text1"/>
        </w:rPr>
        <w:t xml:space="preserve"> </w:t>
      </w:r>
      <w:r w:rsidR="007D4A85" w:rsidRPr="00985E42">
        <w:rPr>
          <w:rFonts w:cstheme="minorHAnsi"/>
          <w:color w:val="000000" w:themeColor="text1"/>
        </w:rPr>
        <w:t xml:space="preserve">which </w:t>
      </w:r>
      <w:r w:rsidRPr="00985E42">
        <w:rPr>
          <w:rFonts w:cstheme="minorHAnsi"/>
          <w:color w:val="000000" w:themeColor="text1"/>
        </w:rPr>
        <w:t>brings many benefits including engaging a workforce reflective of and committed to their community. In this partnership</w:t>
      </w:r>
      <w:r w:rsidR="007D4A85" w:rsidRPr="00985E42">
        <w:rPr>
          <w:rFonts w:cstheme="minorHAnsi"/>
          <w:color w:val="000000" w:themeColor="text1"/>
        </w:rPr>
        <w:t>,</w:t>
      </w:r>
      <w:r w:rsidRPr="00985E42">
        <w:rPr>
          <w:rFonts w:cstheme="minorHAnsi"/>
          <w:color w:val="000000" w:themeColor="text1"/>
        </w:rPr>
        <w:t xml:space="preserve"> 90% of the workforce (90/100) are local Aboriginal and Torres Strait Islander people who have stayed for the life of the partnership affording significant benefits for all involved. </w:t>
      </w:r>
    </w:p>
    <w:p w14:paraId="421678C5" w14:textId="1607622D" w:rsidR="00C73E85" w:rsidRPr="003F699B" w:rsidRDefault="00AB3127" w:rsidP="003F699B">
      <w:pPr>
        <w:pStyle w:val="ListParagraph"/>
        <w:numPr>
          <w:ilvl w:val="0"/>
          <w:numId w:val="8"/>
        </w:numPr>
        <w:spacing w:line="240" w:lineRule="auto"/>
        <w:rPr>
          <w:rFonts w:cstheme="minorHAnsi"/>
          <w:color w:val="000000" w:themeColor="text1"/>
        </w:rPr>
      </w:pPr>
      <w:r w:rsidRPr="00985E42">
        <w:rPr>
          <w:rFonts w:cstheme="minorHAnsi"/>
          <w:b/>
          <w:bCs/>
          <w:color w:val="000000" w:themeColor="text1"/>
        </w:rPr>
        <w:t>Transition pace determined by community / community organisation</w:t>
      </w:r>
      <w:r w:rsidRPr="00985E42">
        <w:rPr>
          <w:rFonts w:cstheme="minorHAnsi"/>
          <w:color w:val="000000" w:themeColor="text1"/>
        </w:rPr>
        <w:t xml:space="preserve"> with this partnership established over a decade ago and yet to be transferred due to Government ‘misalignment’. </w:t>
      </w:r>
    </w:p>
    <w:p w14:paraId="42AEE3A3" w14:textId="7994D4C5" w:rsidR="00AB3127" w:rsidRPr="00985E42" w:rsidRDefault="00AB3127" w:rsidP="00AB3127">
      <w:pPr>
        <w:pStyle w:val="ListParagraph"/>
        <w:numPr>
          <w:ilvl w:val="0"/>
          <w:numId w:val="8"/>
        </w:numPr>
        <w:spacing w:line="240" w:lineRule="auto"/>
        <w:rPr>
          <w:rFonts w:cstheme="minorHAnsi"/>
          <w:color w:val="000000" w:themeColor="text1"/>
        </w:rPr>
      </w:pPr>
      <w:r w:rsidRPr="00985E42">
        <w:rPr>
          <w:rFonts w:cstheme="minorHAnsi"/>
          <w:color w:val="000000" w:themeColor="text1"/>
        </w:rPr>
        <w:t xml:space="preserve">Whilst an agreement and steerco has now been established to support an intended transition period, largely credited to the advocacy of this partnership, it highlights the absence of a ready contracting processes to deliver on the very service agreement that this partnership was based. </w:t>
      </w:r>
    </w:p>
    <w:p w14:paraId="4A4C9946" w14:textId="4A7A467E" w:rsidR="008A581E" w:rsidRDefault="00AB3127" w:rsidP="00C73E85">
      <w:pPr>
        <w:pStyle w:val="ListParagraph"/>
        <w:numPr>
          <w:ilvl w:val="0"/>
          <w:numId w:val="8"/>
        </w:numPr>
        <w:spacing w:line="240" w:lineRule="auto"/>
        <w:rPr>
          <w:rFonts w:cstheme="minorHAnsi"/>
          <w:color w:val="000000" w:themeColor="text1"/>
        </w:rPr>
      </w:pPr>
      <w:r w:rsidRPr="00985E42">
        <w:rPr>
          <w:rFonts w:cstheme="minorHAnsi"/>
          <w:b/>
          <w:bCs/>
          <w:color w:val="000000" w:themeColor="text1"/>
        </w:rPr>
        <w:t xml:space="preserve">Community led Solutions and funding </w:t>
      </w:r>
      <w:r w:rsidRPr="00985E42">
        <w:rPr>
          <w:rFonts w:cstheme="minorHAnsi"/>
          <w:color w:val="000000" w:themeColor="text1"/>
        </w:rPr>
        <w:t xml:space="preserve">sees Aboriginal and Torres Strait Islander people and communities best placed to determine and authorise a response to a community need or request. As indicated in this example, this may include asking others to deliver aspects of the work on behalf of the community or organisation. Authority to do this, as in this example is largely limited or / and enabled via contracting and commissioning.   </w:t>
      </w:r>
    </w:p>
    <w:p w14:paraId="349DC77E" w14:textId="77777777" w:rsidR="003F699B" w:rsidRPr="00C73E85" w:rsidRDefault="003F699B" w:rsidP="003F699B">
      <w:pPr>
        <w:pStyle w:val="ListParagraph"/>
        <w:spacing w:line="240" w:lineRule="auto"/>
        <w:ind w:left="778"/>
        <w:rPr>
          <w:rFonts w:cstheme="minorHAnsi"/>
          <w:color w:val="000000" w:themeColor="text1"/>
        </w:rPr>
      </w:pPr>
    </w:p>
    <w:p w14:paraId="77940AA9" w14:textId="77777777" w:rsidR="00DE73D2" w:rsidRPr="00985E42" w:rsidRDefault="005F0B9A" w:rsidP="00FD7B7E">
      <w:pPr>
        <w:spacing w:line="240" w:lineRule="auto"/>
        <w:jc w:val="both"/>
        <w:rPr>
          <w:rFonts w:cstheme="minorHAnsi"/>
          <w:b/>
          <w:bCs/>
          <w:lang w:val="en-US"/>
        </w:rPr>
      </w:pPr>
      <w:r w:rsidRPr="00985E42">
        <w:rPr>
          <w:rFonts w:cstheme="minorHAnsi"/>
          <w:b/>
          <w:bCs/>
          <w:lang w:val="en-US"/>
        </w:rPr>
        <w:t>CASE STUDY 3</w:t>
      </w:r>
    </w:p>
    <w:p w14:paraId="00E6A463" w14:textId="2D062582" w:rsidR="000F1D88" w:rsidRPr="00985E42" w:rsidRDefault="005F0B9A" w:rsidP="00FD7B7E">
      <w:pPr>
        <w:spacing w:line="240" w:lineRule="auto"/>
        <w:jc w:val="both"/>
        <w:rPr>
          <w:rFonts w:cstheme="minorHAnsi"/>
          <w:b/>
          <w:bCs/>
          <w:lang w:val="en-US"/>
        </w:rPr>
      </w:pPr>
      <w:r w:rsidRPr="00985E42">
        <w:rPr>
          <w:rFonts w:cstheme="minorHAnsi"/>
          <w:b/>
          <w:bCs/>
          <w:lang w:val="en-US"/>
        </w:rPr>
        <w:t>The Benevolent Society and Institute for Urban Indigenous Health Partnership</w:t>
      </w:r>
    </w:p>
    <w:p w14:paraId="79C25830" w14:textId="15A96CA7" w:rsidR="00DC2180" w:rsidRPr="00985E42" w:rsidRDefault="00DC2180" w:rsidP="00FD7B7E">
      <w:pPr>
        <w:spacing w:line="240" w:lineRule="auto"/>
        <w:jc w:val="both"/>
        <w:rPr>
          <w:rFonts w:cstheme="minorHAnsi"/>
          <w:b/>
          <w:bCs/>
          <w:lang w:val="en-US"/>
        </w:rPr>
      </w:pPr>
      <w:r w:rsidRPr="00985E42">
        <w:rPr>
          <w:rFonts w:cstheme="minorHAnsi"/>
          <w:b/>
          <w:bCs/>
          <w:lang w:val="en-US"/>
        </w:rPr>
        <w:t>Background</w:t>
      </w:r>
    </w:p>
    <w:p w14:paraId="326C083D" w14:textId="77777777" w:rsidR="005F0B9A" w:rsidRPr="00985E42" w:rsidRDefault="005F0B9A" w:rsidP="0093085B">
      <w:pPr>
        <w:rPr>
          <w:rFonts w:cstheme="minorHAnsi"/>
        </w:rPr>
      </w:pPr>
      <w:bookmarkStart w:id="0" w:name="_Hlk141426990"/>
      <w:bookmarkStart w:id="1" w:name="_Toc132881736"/>
      <w:bookmarkStart w:id="2" w:name="_Toc133271506"/>
      <w:bookmarkStart w:id="3" w:name="_Toc133577740"/>
      <w:bookmarkStart w:id="4" w:name="_Toc133590975"/>
      <w:bookmarkStart w:id="5" w:name="_Hlk141082439"/>
      <w:r w:rsidRPr="00985E42">
        <w:rPr>
          <w:rFonts w:cstheme="minorHAnsi"/>
        </w:rPr>
        <w:t xml:space="preserve">In Southeast Queensland, The Benevolent Society has partnered with the Institute for Urban Indigenous Health (IUIH) to collaboratively deliver the Early Childhood Approach. First Nations families are consistently underrepresented in the design and delivery of services. The partnership works to change this - reducing barriers to services and cultivating trust within communities through a culturally meaningful and client-centred approach. </w:t>
      </w:r>
    </w:p>
    <w:p w14:paraId="073EB6C1" w14:textId="77777777" w:rsidR="005F0B9A" w:rsidRPr="00985E42" w:rsidRDefault="005F0B9A" w:rsidP="00FD7B7E">
      <w:pPr>
        <w:pStyle w:val="Heading2"/>
        <w:keepNext/>
        <w:keepLines/>
        <w:spacing w:after="120" w:line="240" w:lineRule="auto"/>
        <w:ind w:left="0"/>
        <w:jc w:val="both"/>
        <w:rPr>
          <w:rStyle w:val="Strong"/>
          <w:rFonts w:asciiTheme="minorHAnsi" w:cstheme="minorHAnsi"/>
          <w:b/>
          <w:bCs w:val="0"/>
          <w:sz w:val="22"/>
          <w:szCs w:val="22"/>
          <w:lang w:val="en-AU"/>
        </w:rPr>
      </w:pPr>
      <w:bookmarkStart w:id="6" w:name="_Toc144114818"/>
      <w:bookmarkStart w:id="7" w:name="_Toc144201465"/>
      <w:bookmarkEnd w:id="0"/>
      <w:r w:rsidRPr="00985E42">
        <w:rPr>
          <w:rStyle w:val="Strong"/>
          <w:rFonts w:asciiTheme="minorHAnsi" w:cstheme="minorHAnsi"/>
          <w:b/>
          <w:bCs w:val="0"/>
          <w:sz w:val="22"/>
          <w:szCs w:val="22"/>
          <w:lang w:val="en-AU"/>
        </w:rPr>
        <w:t>Context</w:t>
      </w:r>
      <w:bookmarkEnd w:id="6"/>
      <w:bookmarkEnd w:id="7"/>
    </w:p>
    <w:p w14:paraId="0BF5AD68" w14:textId="77777777" w:rsidR="005F0B9A" w:rsidRPr="00985E42" w:rsidRDefault="005F0B9A" w:rsidP="00FD7B7E">
      <w:pPr>
        <w:spacing w:after="120" w:line="240" w:lineRule="auto"/>
        <w:jc w:val="both"/>
        <w:rPr>
          <w:rFonts w:cstheme="minorHAnsi"/>
          <w:lang w:val="en-US"/>
        </w:rPr>
      </w:pPr>
      <w:r w:rsidRPr="00985E42">
        <w:rPr>
          <w:rFonts w:cstheme="minorHAnsi"/>
        </w:rPr>
        <w:t xml:space="preserve">The Benevolent Society has been the </w:t>
      </w:r>
      <w:bookmarkStart w:id="8" w:name="_Hlk141087572"/>
      <w:r w:rsidRPr="00985E42">
        <w:rPr>
          <w:rFonts w:cstheme="minorHAnsi"/>
        </w:rPr>
        <w:t>NDIS Early Childhood Partner in the Community since 2018, delivering the Early Childhood Approach for the Brisbane, Beenleigh-Redlands, Caboolture - Strathpine regions.</w:t>
      </w:r>
      <w:bookmarkEnd w:id="8"/>
      <w:r w:rsidRPr="00985E42">
        <w:rPr>
          <w:rFonts w:cstheme="minorHAnsi"/>
        </w:rPr>
        <w:t xml:space="preserve"> Since 2020, this work has been extended through an innovative partnership with the Institute for Urban Indigenous Health (IUIH). Evidence shows that the single biggest factor in improving health and social outcomes for Indigenous people is self-determination</w:t>
      </w:r>
      <w:r w:rsidRPr="00985E42">
        <w:rPr>
          <w:rFonts w:cstheme="minorHAnsi"/>
        </w:rPr>
        <w:footnoteReference w:id="1"/>
      </w:r>
      <w:r w:rsidRPr="00985E42">
        <w:rPr>
          <w:rFonts w:cstheme="minorHAnsi"/>
        </w:rPr>
        <w:t xml:space="preserve">. When First Nations people have control of the design and delivery of services in their communities, it is more likely these services will be culturally safe and responsive. </w:t>
      </w:r>
    </w:p>
    <w:p w14:paraId="6B0A3776" w14:textId="77777777" w:rsidR="005F0B9A" w:rsidRDefault="005F0B9A" w:rsidP="00FD7B7E">
      <w:pPr>
        <w:spacing w:after="120" w:line="240" w:lineRule="auto"/>
        <w:jc w:val="both"/>
        <w:rPr>
          <w:rFonts w:cstheme="minorHAnsi"/>
        </w:rPr>
      </w:pPr>
      <w:r w:rsidRPr="00985E42">
        <w:rPr>
          <w:rFonts w:cstheme="minorHAnsi"/>
        </w:rPr>
        <w:t>The significance of First Nations leadership has been evident in The Benevolent Society/IUIH partnership. The first of its kind in Australia, the partnership has increased the impact of services in the region by ensuring First Nations families have access to culturally appropriate supports. Over the last three years this partnership has lifted the number of First Nations families engaging with the Early Childhood Approach from below the population level to significantly above</w:t>
      </w:r>
      <w:r w:rsidRPr="00985E42">
        <w:rPr>
          <w:rFonts w:cstheme="minorHAnsi"/>
          <w:vertAlign w:val="superscript"/>
        </w:rPr>
        <w:footnoteReference w:id="2"/>
      </w:r>
      <w:r w:rsidRPr="00985E42">
        <w:rPr>
          <w:rFonts w:cstheme="minorHAnsi"/>
        </w:rPr>
        <w:t>. The rate of NDIS plans being utilised by First Nations families to support their child’s development through the Early Childhood Approach has also continued to grow, in large part due to the work maintaining relationships across each child’s life trajectory - including across both IUIH and The Benevolent Society’s services through the embedded partnership. For example, each family can maintain the same key contact for supports both within their Aboriginal Medical Service and The Benevolent Society’s Early Childhood approach. Through this key relationship, families are also supported to access other government and community services to ensure that wrap-around services can be provided where there are additional areas of need.</w:t>
      </w:r>
    </w:p>
    <w:p w14:paraId="01FE8B0E" w14:textId="77777777" w:rsidR="005F0B9A" w:rsidRPr="00985E42" w:rsidRDefault="005F0B9A" w:rsidP="00FD7B7E">
      <w:pPr>
        <w:pStyle w:val="Heading2"/>
        <w:keepNext/>
        <w:keepLines/>
        <w:spacing w:after="120" w:line="240" w:lineRule="auto"/>
        <w:ind w:left="0"/>
        <w:jc w:val="both"/>
        <w:rPr>
          <w:rStyle w:val="Strong"/>
          <w:rFonts w:asciiTheme="minorHAnsi" w:cstheme="minorHAnsi"/>
          <w:b/>
          <w:bCs w:val="0"/>
          <w:sz w:val="22"/>
          <w:szCs w:val="22"/>
          <w:lang w:val="en-AU"/>
        </w:rPr>
      </w:pPr>
      <w:bookmarkStart w:id="9" w:name="_Toc144114819"/>
      <w:bookmarkStart w:id="10" w:name="_Toc144201466"/>
      <w:r w:rsidRPr="00985E42">
        <w:rPr>
          <w:rStyle w:val="Strong"/>
          <w:rFonts w:asciiTheme="minorHAnsi" w:cstheme="minorHAnsi"/>
          <w:b/>
          <w:bCs w:val="0"/>
          <w:sz w:val="22"/>
          <w:szCs w:val="22"/>
          <w:lang w:val="en-AU"/>
        </w:rPr>
        <w:t>Why this partnership works</w:t>
      </w:r>
      <w:bookmarkEnd w:id="9"/>
      <w:bookmarkEnd w:id="10"/>
    </w:p>
    <w:p w14:paraId="1D293BD4" w14:textId="77777777" w:rsidR="005F0B9A" w:rsidRPr="00985E42" w:rsidRDefault="005F0B9A" w:rsidP="00FD7B7E">
      <w:pPr>
        <w:spacing w:before="120" w:after="120" w:line="240" w:lineRule="auto"/>
        <w:jc w:val="both"/>
        <w:rPr>
          <w:rFonts w:cstheme="minorHAnsi"/>
          <w:b/>
          <w:bCs/>
          <w:lang w:val="en-US"/>
        </w:rPr>
      </w:pPr>
      <w:r w:rsidRPr="00985E42">
        <w:rPr>
          <w:rFonts w:cstheme="minorHAnsi"/>
          <w:b/>
          <w:bCs/>
        </w:rPr>
        <w:t xml:space="preserve">It ensures self-determination and actively works to close-the-gap. </w:t>
      </w:r>
    </w:p>
    <w:p w14:paraId="51E90025" w14:textId="77777777" w:rsidR="005F0B9A" w:rsidRPr="00985E42" w:rsidRDefault="005F0B9A" w:rsidP="00FD7B7E">
      <w:pPr>
        <w:spacing w:after="120" w:line="240" w:lineRule="auto"/>
        <w:jc w:val="both"/>
        <w:rPr>
          <w:rFonts w:cstheme="minorHAnsi"/>
        </w:rPr>
      </w:pPr>
      <w:r w:rsidRPr="00985E42">
        <w:rPr>
          <w:rFonts w:cstheme="minorHAnsi"/>
        </w:rPr>
        <w:t xml:space="preserve">Services that have the greatest impact for First Nations families are led and designed by the First Nations community. This program works because IUIH is the lead – they are the recognised authority, while The Benevolently Society’s role is to support and provide a seamless pathway in the application and planning process for NDIS services. The model has been set up to ensure service delivery is led by our First Nations community, with The Benevolent Society funding a leadership position that is employed and sits within IUIH. This position leads all decisions on service design for First Nations families. </w:t>
      </w:r>
    </w:p>
    <w:p w14:paraId="72B76AE6" w14:textId="77777777" w:rsidR="005F0B9A" w:rsidRPr="00985E42" w:rsidRDefault="005F0B9A" w:rsidP="00FD7B7E">
      <w:pPr>
        <w:spacing w:before="120" w:after="120" w:line="240" w:lineRule="auto"/>
        <w:jc w:val="both"/>
        <w:rPr>
          <w:rFonts w:cstheme="minorHAnsi"/>
          <w:b/>
          <w:bCs/>
        </w:rPr>
      </w:pPr>
      <w:r w:rsidRPr="00985E42">
        <w:rPr>
          <w:rFonts w:cstheme="minorHAnsi"/>
          <w:b/>
          <w:bCs/>
        </w:rPr>
        <w:t>It takes a culturally meaningful and client-centred approach.</w:t>
      </w:r>
    </w:p>
    <w:p w14:paraId="38C2A740" w14:textId="289475A8" w:rsidR="00AC5C90" w:rsidRPr="00985E42" w:rsidRDefault="005F0B9A" w:rsidP="00FD7B7E">
      <w:pPr>
        <w:spacing w:before="120" w:after="120" w:line="240" w:lineRule="auto"/>
        <w:jc w:val="both"/>
        <w:rPr>
          <w:rFonts w:cstheme="minorHAnsi"/>
        </w:rPr>
      </w:pPr>
      <w:r w:rsidRPr="00985E42">
        <w:rPr>
          <w:rFonts w:cstheme="minorHAnsi"/>
        </w:rPr>
        <w:t xml:space="preserve">The partnership ensures First Nations families are engaged through culturally appropriate processes, allowing for a better experience, less confusion and reduced stress. This has included connecting families in community outreach programs such as local caravan park BBQs, First Nations playgroups, and events in the community. By considering the cultural appropriateness within each step of the application process, families in the region are more comfortable accessing and engaging with Early Childhood Approach services. </w:t>
      </w:r>
    </w:p>
    <w:p w14:paraId="14F24048" w14:textId="77777777" w:rsidR="005F0B9A" w:rsidRPr="00985E42" w:rsidRDefault="005F0B9A" w:rsidP="00FD7B7E">
      <w:pPr>
        <w:spacing w:before="120" w:after="120" w:line="240" w:lineRule="auto"/>
        <w:jc w:val="both"/>
        <w:rPr>
          <w:rFonts w:cstheme="minorHAnsi"/>
          <w:b/>
          <w:bCs/>
        </w:rPr>
      </w:pPr>
      <w:r w:rsidRPr="00985E42">
        <w:rPr>
          <w:rFonts w:cstheme="minorHAnsi"/>
          <w:b/>
          <w:bCs/>
        </w:rPr>
        <w:t>It leverages relationships with existing community leaders, practitioners, and professionals.</w:t>
      </w:r>
    </w:p>
    <w:p w14:paraId="2C98D516" w14:textId="77777777" w:rsidR="005F0B9A" w:rsidRPr="00985E42" w:rsidRDefault="005F0B9A" w:rsidP="00FD7B7E">
      <w:pPr>
        <w:spacing w:before="120" w:after="120" w:line="240" w:lineRule="auto"/>
        <w:jc w:val="both"/>
        <w:rPr>
          <w:rFonts w:cstheme="minorHAnsi"/>
        </w:rPr>
      </w:pPr>
      <w:r w:rsidRPr="00985E42">
        <w:rPr>
          <w:rFonts w:cstheme="minorHAnsi"/>
        </w:rPr>
        <w:t>Equitable access to supports for First Nations families is a significant challenge for Early Childhood Approach services. A plan by itself is not enough. It needs the right facilitation – led and designed by the First Nations community. This partnership reduces the barriers to engagement by working within an existing environment of trust within the community. By</w:t>
      </w:r>
      <w:r w:rsidRPr="00985E42">
        <w:rPr>
          <w:rFonts w:cstheme="minorHAnsi"/>
          <w:b/>
        </w:rPr>
        <w:t xml:space="preserve"> </w:t>
      </w:r>
      <w:r w:rsidRPr="00985E42">
        <w:rPr>
          <w:rFonts w:cstheme="minorHAnsi"/>
          <w:bCs/>
        </w:rPr>
        <w:t xml:space="preserve">working as a connector between supports and services the need for families to relive or retell their stories is reduced. This soft entry to engagement is a strength of the partnership. Streamlining access through (informed consent) information sharing protocols between organisations assists with both engagement and retention of families. </w:t>
      </w:r>
    </w:p>
    <w:p w14:paraId="7E33848B" w14:textId="77777777" w:rsidR="005F0B9A" w:rsidRPr="00985E42" w:rsidRDefault="005F0B9A" w:rsidP="00FD7B7E">
      <w:pPr>
        <w:pStyle w:val="Heading2"/>
        <w:keepNext/>
        <w:keepLines/>
        <w:spacing w:after="120" w:line="240" w:lineRule="auto"/>
        <w:ind w:left="0"/>
        <w:jc w:val="both"/>
        <w:rPr>
          <w:rStyle w:val="Strong"/>
          <w:rFonts w:asciiTheme="minorHAnsi" w:cstheme="minorHAnsi"/>
          <w:b/>
          <w:bCs w:val="0"/>
          <w:sz w:val="22"/>
          <w:szCs w:val="22"/>
          <w:lang w:val="en-AU"/>
        </w:rPr>
      </w:pPr>
      <w:bookmarkStart w:id="11" w:name="_Toc144114820"/>
      <w:bookmarkStart w:id="12" w:name="_Toc144201467"/>
      <w:bookmarkEnd w:id="1"/>
      <w:bookmarkEnd w:id="2"/>
      <w:bookmarkEnd w:id="3"/>
      <w:bookmarkEnd w:id="4"/>
      <w:bookmarkEnd w:id="5"/>
      <w:r w:rsidRPr="00985E42">
        <w:rPr>
          <w:rStyle w:val="Strong"/>
          <w:rFonts w:asciiTheme="minorHAnsi" w:cstheme="minorHAnsi"/>
          <w:b/>
          <w:bCs w:val="0"/>
          <w:sz w:val="22"/>
          <w:szCs w:val="22"/>
          <w:lang w:val="en-AU"/>
        </w:rPr>
        <w:t>Next Steps</w:t>
      </w:r>
      <w:bookmarkEnd w:id="11"/>
      <w:bookmarkEnd w:id="12"/>
    </w:p>
    <w:p w14:paraId="1970BEFF" w14:textId="77777777" w:rsidR="005F0B9A" w:rsidRPr="00985E42" w:rsidRDefault="005F0B9A" w:rsidP="00FD7B7E">
      <w:pPr>
        <w:spacing w:after="120" w:line="240" w:lineRule="auto"/>
        <w:jc w:val="both"/>
        <w:rPr>
          <w:rFonts w:cstheme="minorHAnsi"/>
          <w:lang w:val="en-US"/>
        </w:rPr>
      </w:pPr>
      <w:r w:rsidRPr="00985E42">
        <w:rPr>
          <w:rFonts w:cstheme="minorHAnsi"/>
        </w:rPr>
        <w:t>The success of this partnership has seen the partnership grow from funding one position to now funding four positions. These positions include a leadership level position as well as three ‘navigation partner’ positions (one for each funded region).</w:t>
      </w:r>
    </w:p>
    <w:p w14:paraId="0DBEA1C9" w14:textId="5322B8C5" w:rsidR="005F0B9A" w:rsidRPr="00985E42" w:rsidRDefault="005F0B9A" w:rsidP="00FD7B7E">
      <w:pPr>
        <w:spacing w:line="240" w:lineRule="auto"/>
        <w:jc w:val="both"/>
        <w:rPr>
          <w:rFonts w:cstheme="minorHAnsi"/>
          <w:color w:val="ED7D31" w:themeColor="accent2"/>
        </w:rPr>
      </w:pPr>
      <w:r w:rsidRPr="00985E42">
        <w:rPr>
          <w:rFonts w:cstheme="minorHAnsi"/>
        </w:rPr>
        <w:t xml:space="preserve">Our work in this space has seen the NDIA include the stipulation in all Community Partner Contracts, that Partners in the Community </w:t>
      </w:r>
      <w:r w:rsidRPr="00985E42">
        <w:rPr>
          <w:rFonts w:cstheme="minorHAnsi"/>
          <w:i/>
          <w:iCs/>
        </w:rPr>
        <w:t>must have established partnerships with their local Aboriginal Controlled Community Organisation in delivering their contracted requirements.</w:t>
      </w:r>
      <w:r w:rsidRPr="00985E42">
        <w:rPr>
          <w:rFonts w:cstheme="minorHAnsi"/>
        </w:rPr>
        <w:t xml:space="preserve">  The Benevolent Society believes that this is a step in the right direction - but continues to advocate that services designed for First Nations families should be led by ACCOs that work in partnership with like-minded NGOs to ensure that services are accessible and equitable for all.</w:t>
      </w:r>
      <w:r w:rsidRPr="00985E42">
        <w:rPr>
          <w:rFonts w:eastAsiaTheme="minorEastAsia" w:cstheme="minorHAnsi"/>
          <w:noProof/>
          <w:color w:val="ED7D31" w:themeColor="accent2"/>
        </w:rPr>
        <mc:AlternateContent>
          <mc:Choice Requires="wps">
            <w:drawing>
              <wp:anchor distT="0" distB="0" distL="114300" distR="114300" simplePos="0" relativeHeight="251659264" behindDoc="1" locked="0" layoutInCell="1" allowOverlap="1" wp14:anchorId="12E0D26B" wp14:editId="50DB24B6">
                <wp:simplePos x="0" y="0"/>
                <wp:positionH relativeFrom="column">
                  <wp:posOffset>-670560</wp:posOffset>
                </wp:positionH>
                <wp:positionV relativeFrom="paragraph">
                  <wp:posOffset>218440</wp:posOffset>
                </wp:positionV>
                <wp:extent cx="7694930" cy="4559935"/>
                <wp:effectExtent l="0" t="0" r="20320" b="12065"/>
                <wp:wrapNone/>
                <wp:docPr id="32" name="Rectangle: Single Corner Snipped 32"/>
                <wp:cNvGraphicFramePr/>
                <a:graphic xmlns:a="http://schemas.openxmlformats.org/drawingml/2006/main">
                  <a:graphicData uri="http://schemas.microsoft.com/office/word/2010/wordprocessingShape">
                    <wps:wsp>
                      <wps:cNvSpPr/>
                      <wps:spPr>
                        <a:xfrm>
                          <a:off x="0" y="0"/>
                          <a:ext cx="7694930" cy="4559935"/>
                        </a:xfrm>
                        <a:prstGeom prst="snip1Rect">
                          <a:avLst/>
                        </a:prstGeom>
                        <a:solidFill>
                          <a:schemeClr val="bg1">
                            <a:lumMod val="20000"/>
                            <a:lumOff val="80000"/>
                          </a:schemeClr>
                        </a:solidFill>
                        <a:ln>
                          <a:solidFill>
                            <a:schemeClr val="bg1">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D3C96F" id="Rectangle: Single Corner Snipped 32" o:spid="_x0000_s1026" style="position:absolute;margin-left:-52.8pt;margin-top:17.2pt;width:605.9pt;height:35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694930,4559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" path="m,l6934926,r760004,760004l7694930,4559935,,4559935,,xe" fillcolor="white [668]" strokecolor="white [668]" strokeweight="1pt">
                <v:stroke joinstyle="miter"/>
                <v:path arrowok="t" o:connecttype="custom" o:connectlocs="0,0;6934926,0;7694930,760004;7694930,4559935;0,4559935;0,0" o:connectangles="0,0,0,0,0,0"/>
              </v:shape>
            </w:pict>
          </mc:Fallback>
        </mc:AlternateContent>
      </w:r>
      <w:r w:rsidR="00A85EA6" w:rsidRPr="00985E42">
        <w:rPr>
          <w:rFonts w:cstheme="minorHAnsi"/>
          <w:color w:val="ED7D31" w:themeColor="accent2"/>
        </w:rPr>
        <w:t xml:space="preserve"> </w:t>
      </w:r>
    </w:p>
    <w:p w14:paraId="655163A6" w14:textId="77777777" w:rsidR="005F0B9A" w:rsidRPr="00985E42" w:rsidRDefault="005F0B9A" w:rsidP="00FD7B7E">
      <w:pPr>
        <w:pStyle w:val="L3Header"/>
        <w:spacing w:after="120" w:line="240" w:lineRule="auto"/>
        <w:jc w:val="both"/>
        <w:rPr>
          <w:rFonts w:cstheme="minorHAnsi"/>
          <w:color w:val="auto"/>
          <w:sz w:val="22"/>
          <w:szCs w:val="22"/>
        </w:rPr>
      </w:pPr>
      <w:r w:rsidRPr="00985E42">
        <w:rPr>
          <w:rFonts w:cstheme="minorHAnsi"/>
          <w:color w:val="auto"/>
          <w:sz w:val="22"/>
          <w:szCs w:val="22"/>
        </w:rPr>
        <w:t>Grandmother’s Story *</w:t>
      </w:r>
      <w:r w:rsidRPr="00985E42">
        <w:rPr>
          <w:rStyle w:val="FootnoteReference"/>
          <w:rFonts w:cstheme="minorHAnsi"/>
          <w:color w:val="auto"/>
          <w:sz w:val="22"/>
          <w:szCs w:val="22"/>
        </w:rPr>
        <w:footnoteReference w:id="3"/>
      </w:r>
    </w:p>
    <w:p w14:paraId="7E68CA04" w14:textId="77777777" w:rsidR="005F0B9A" w:rsidRPr="00985E42" w:rsidRDefault="005F0B9A" w:rsidP="00FD7B7E">
      <w:pPr>
        <w:pStyle w:val="BodyCopyBenevolent"/>
        <w:spacing w:after="60" w:line="240" w:lineRule="auto"/>
        <w:ind w:right="-45"/>
        <w:jc w:val="both"/>
        <w:rPr>
          <w:rFonts w:cstheme="minorHAnsi"/>
        </w:rPr>
      </w:pPr>
      <w:r w:rsidRPr="00985E42">
        <w:rPr>
          <w:rFonts w:cstheme="minorHAnsi"/>
          <w:b/>
          <w:bCs/>
        </w:rPr>
        <w:t>Grandmother has been caring for her granddaughter (5 years) from the age of 3 months in a kinship care arrangement.</w:t>
      </w:r>
      <w:r w:rsidRPr="00985E42">
        <w:rPr>
          <w:rFonts w:cstheme="minorHAnsi"/>
        </w:rPr>
        <w:t xml:space="preserve"> Both grandmother and granddaughter identify as First Nations people. The granddaughter has developmental delays that are impacting on her grandmother’s ability to continue to care for her granddaughter.  </w:t>
      </w:r>
    </w:p>
    <w:p w14:paraId="151AFF2E" w14:textId="77777777" w:rsidR="005F0B9A" w:rsidRPr="00985E42" w:rsidRDefault="005F0B9A" w:rsidP="00FD7B7E">
      <w:pPr>
        <w:pStyle w:val="BodyCopyBenevolent"/>
        <w:spacing w:after="60" w:line="240" w:lineRule="auto"/>
        <w:ind w:right="-45"/>
        <w:jc w:val="both"/>
        <w:rPr>
          <w:rFonts w:cstheme="minorHAnsi"/>
        </w:rPr>
      </w:pPr>
      <w:r w:rsidRPr="00985E42">
        <w:rPr>
          <w:rFonts w:cstheme="minorHAnsi"/>
          <w:b/>
          <w:bCs/>
        </w:rPr>
        <w:t xml:space="preserve">The family was overwhelmed. </w:t>
      </w:r>
      <w:r w:rsidRPr="00985E42">
        <w:rPr>
          <w:rFonts w:cstheme="minorHAnsi"/>
        </w:rPr>
        <w:t xml:space="preserve">When the IUIH/TBS ECA Partnership team visit, they identify through </w:t>
      </w:r>
      <w:proofErr w:type="gramStart"/>
      <w:r w:rsidRPr="00985E42">
        <w:rPr>
          <w:rFonts w:cstheme="minorHAnsi"/>
        </w:rPr>
        <w:t>yarning</w:t>
      </w:r>
      <w:proofErr w:type="gramEnd"/>
      <w:r w:rsidRPr="00985E42">
        <w:rPr>
          <w:rFonts w:cstheme="minorHAnsi"/>
        </w:rPr>
        <w:t xml:space="preserve"> that while the NDIS was the family’s primary concern, additional concerns exist around schooling, mental health, and carer fatigue. The family are becoming concerned about their ability to care for their granddaughter and the grandparents’ relationship is being particularly affected by the stress. </w:t>
      </w:r>
    </w:p>
    <w:p w14:paraId="47BC47C6" w14:textId="77777777" w:rsidR="005F0B9A" w:rsidRPr="00985E42" w:rsidRDefault="005F0B9A" w:rsidP="00FD7B7E">
      <w:pPr>
        <w:pStyle w:val="BodyCopyBenevolent"/>
        <w:spacing w:after="60" w:line="240" w:lineRule="auto"/>
        <w:ind w:right="-45"/>
        <w:jc w:val="both"/>
        <w:rPr>
          <w:rFonts w:cstheme="minorHAnsi"/>
        </w:rPr>
      </w:pPr>
      <w:r w:rsidRPr="00985E42">
        <w:rPr>
          <w:rFonts w:cstheme="minorHAnsi"/>
          <w:b/>
          <w:bCs/>
        </w:rPr>
        <w:t xml:space="preserve">The grandparents were able to access free IUIH </w:t>
      </w:r>
      <w:proofErr w:type="gramStart"/>
      <w:r w:rsidRPr="00985E42">
        <w:rPr>
          <w:rFonts w:cstheme="minorHAnsi"/>
          <w:b/>
          <w:bCs/>
        </w:rPr>
        <w:t>supports</w:t>
      </w:r>
      <w:proofErr w:type="gramEnd"/>
      <w:r w:rsidRPr="00985E42">
        <w:rPr>
          <w:rFonts w:cstheme="minorHAnsi"/>
          <w:b/>
          <w:bCs/>
        </w:rPr>
        <w:t xml:space="preserve"> due to the partnership and warm referral. </w:t>
      </w:r>
      <w:r w:rsidRPr="00985E42">
        <w:rPr>
          <w:rFonts w:cstheme="minorHAnsi"/>
          <w:lang w:val="en-AU"/>
        </w:rPr>
        <w:t>They were linked in with a paediatrician and allied health professionals after completing a 715-health check with the GP. This flowed to referrals for further supports and allowed Grandmother to gain access to the NDIS through the partnership.</w:t>
      </w:r>
    </w:p>
    <w:p w14:paraId="1D1A5C63" w14:textId="77777777" w:rsidR="005F0B9A" w:rsidRPr="00985E42" w:rsidRDefault="005F0B9A" w:rsidP="00FD7B7E">
      <w:pPr>
        <w:spacing w:after="60" w:line="240" w:lineRule="auto"/>
        <w:jc w:val="both"/>
        <w:rPr>
          <w:rFonts w:cstheme="minorHAnsi"/>
        </w:rPr>
      </w:pPr>
      <w:r w:rsidRPr="00985E42">
        <w:rPr>
          <w:rFonts w:cstheme="minorHAnsi"/>
          <w:b/>
          <w:bCs/>
        </w:rPr>
        <w:t xml:space="preserve">Moving forward the partnership team connected Grandmother to external support that assisted with the granddaughters’ schooling concerns. </w:t>
      </w:r>
      <w:r w:rsidRPr="00985E42">
        <w:rPr>
          <w:rFonts w:cstheme="minorHAnsi"/>
        </w:rPr>
        <w:t xml:space="preserve">One key area was school exclusion, as the school required the granddaughter to be collected by 12 o'clock every day. During the planning meeting Grandmother disclosed the school had even sent a letter advising her granddaughter would no longer be welcome unless her emotional development improved.  Grandmother had been led to believe the 12pm exclusion was normal - that the school was helping. The partnerships team advised Grandmother the school had a responsibility to be inclusive – so should be focused on building capacity so teachers were able to properly support the granddaughter. Another First Nations service was brought into advocate. They organised a community Elder to accompany Grandmother to the school and discuss the exclusion and its effect on the family’s life.  </w:t>
      </w:r>
    </w:p>
    <w:p w14:paraId="1756F332" w14:textId="77777777" w:rsidR="005F0B9A" w:rsidRPr="00985E42" w:rsidRDefault="005F0B9A" w:rsidP="00FD7B7E">
      <w:pPr>
        <w:spacing w:after="240" w:line="240" w:lineRule="auto"/>
        <w:jc w:val="both"/>
        <w:rPr>
          <w:rFonts w:cstheme="minorHAnsi"/>
        </w:rPr>
      </w:pPr>
      <w:r w:rsidRPr="00985E42">
        <w:rPr>
          <w:rFonts w:cstheme="minorHAnsi"/>
          <w:b/>
          <w:bCs/>
        </w:rPr>
        <w:t>Overall, it was an incredible outcome for the family.</w:t>
      </w:r>
      <w:r w:rsidRPr="00985E42">
        <w:rPr>
          <w:rFonts w:cstheme="minorHAnsi"/>
        </w:rPr>
        <w:t xml:space="preserve"> IUIH and The Benevolent Society worked together as a team and together connected the family to even more services. So much support was wrapped around Grandmother - she is positive now that she can continue to care for her young granddaughter.</w:t>
      </w:r>
    </w:p>
    <w:p w14:paraId="7B6E43C6" w14:textId="77777777" w:rsidR="00DC2180" w:rsidRPr="00C73E85" w:rsidRDefault="00DC2180" w:rsidP="00DC2180">
      <w:pPr>
        <w:pStyle w:val="L3Header"/>
        <w:rPr>
          <w:rFonts w:cstheme="minorHAnsi"/>
          <w:color w:val="000000" w:themeColor="text1"/>
          <w:sz w:val="24"/>
          <w:szCs w:val="24"/>
        </w:rPr>
      </w:pPr>
      <w:r w:rsidRPr="00C73E85">
        <w:rPr>
          <w:rFonts w:cstheme="minorHAnsi"/>
          <w:color w:val="000000" w:themeColor="text1"/>
          <w:sz w:val="24"/>
          <w:szCs w:val="24"/>
        </w:rPr>
        <w:t>FIRST NATION NGO ALLIANCE REFLECTION:</w:t>
      </w:r>
    </w:p>
    <w:p w14:paraId="050D50E8" w14:textId="77777777" w:rsidR="0062610C" w:rsidRPr="00985E42" w:rsidRDefault="0062610C" w:rsidP="0062610C">
      <w:pPr>
        <w:pStyle w:val="Heading2"/>
        <w:spacing w:line="240" w:lineRule="auto"/>
        <w:rPr>
          <w:rFonts w:asciiTheme="minorHAnsi" w:eastAsiaTheme="minorHAnsi" w:cstheme="minorHAnsi"/>
          <w:b w:val="0"/>
          <w:color w:val="000000" w:themeColor="text1"/>
          <w:sz w:val="22"/>
          <w:szCs w:val="22"/>
          <w:lang w:val="en-AU"/>
        </w:rPr>
      </w:pPr>
      <w:r w:rsidRPr="00985E42">
        <w:rPr>
          <w:rFonts w:asciiTheme="minorHAnsi" w:eastAsiaTheme="minorHAnsi" w:cstheme="minorHAnsi"/>
          <w:b w:val="0"/>
          <w:color w:val="000000" w:themeColor="text1"/>
          <w:sz w:val="22"/>
          <w:szCs w:val="22"/>
          <w:lang w:val="en-AU"/>
        </w:rPr>
        <w:t>This partnership highlights the importance of placing Aboriginal and Torres Strait Islander people at the heart of service design and delivery. To genuinely seek to understand barriers and to work with others to sustain engagement and subsequent outcomes. A community approach to providing services. Critical elements supporting this approach include:</w:t>
      </w:r>
    </w:p>
    <w:p w14:paraId="6AE57F10" w14:textId="77777777" w:rsidR="0062610C" w:rsidRPr="00985E42" w:rsidRDefault="0062610C" w:rsidP="0062610C">
      <w:pPr>
        <w:pStyle w:val="ListParagraph"/>
        <w:numPr>
          <w:ilvl w:val="0"/>
          <w:numId w:val="9"/>
        </w:numPr>
        <w:rPr>
          <w:rFonts w:cstheme="minorHAnsi"/>
          <w:color w:val="000000" w:themeColor="text1"/>
        </w:rPr>
      </w:pPr>
      <w:r w:rsidRPr="00985E42">
        <w:rPr>
          <w:rFonts w:cstheme="minorHAnsi"/>
          <w:color w:val="000000" w:themeColor="text1"/>
        </w:rPr>
        <w:t>Integrated and co-located health and social service supports led by an Aboriginal Community Organisation. This includes outreach activities to support engagement.</w:t>
      </w:r>
    </w:p>
    <w:p w14:paraId="01487E28" w14:textId="3DC72A54" w:rsidR="0062610C" w:rsidRPr="00985E42" w:rsidRDefault="0062610C" w:rsidP="0062610C">
      <w:pPr>
        <w:pStyle w:val="ListParagraph"/>
        <w:numPr>
          <w:ilvl w:val="0"/>
          <w:numId w:val="9"/>
        </w:numPr>
        <w:rPr>
          <w:rFonts w:cstheme="minorHAnsi"/>
          <w:color w:val="000000" w:themeColor="text1"/>
        </w:rPr>
      </w:pPr>
      <w:r w:rsidRPr="00985E42">
        <w:rPr>
          <w:rFonts w:cstheme="minorHAnsi"/>
          <w:color w:val="000000" w:themeColor="text1"/>
        </w:rPr>
        <w:t xml:space="preserve">A </w:t>
      </w:r>
      <w:r w:rsidR="0006696A" w:rsidRPr="00985E42">
        <w:rPr>
          <w:rFonts w:cstheme="minorHAnsi"/>
          <w:color w:val="000000" w:themeColor="text1"/>
        </w:rPr>
        <w:t>‘</w:t>
      </w:r>
      <w:r w:rsidRPr="00985E42">
        <w:rPr>
          <w:rFonts w:cstheme="minorHAnsi"/>
          <w:color w:val="000000" w:themeColor="text1"/>
        </w:rPr>
        <w:t>no wrong door</w:t>
      </w:r>
      <w:r w:rsidR="0006696A" w:rsidRPr="00985E42">
        <w:rPr>
          <w:rFonts w:cstheme="minorHAnsi"/>
          <w:color w:val="000000" w:themeColor="text1"/>
        </w:rPr>
        <w:t>’</w:t>
      </w:r>
      <w:r w:rsidRPr="00985E42">
        <w:rPr>
          <w:rFonts w:cstheme="minorHAnsi"/>
          <w:color w:val="000000" w:themeColor="text1"/>
        </w:rPr>
        <w:t xml:space="preserve"> </w:t>
      </w:r>
      <w:r w:rsidR="0011484E" w:rsidRPr="00985E42">
        <w:rPr>
          <w:rFonts w:cstheme="minorHAnsi"/>
          <w:color w:val="000000" w:themeColor="text1"/>
        </w:rPr>
        <w:t>way of operating</w:t>
      </w:r>
      <w:r w:rsidRPr="00985E42">
        <w:rPr>
          <w:rFonts w:cstheme="minorHAnsi"/>
          <w:color w:val="000000" w:themeColor="text1"/>
        </w:rPr>
        <w:t xml:space="preserve">, where a holistic approach to supporting families is beyond the single point of service. In the grandmother’s example provided, the exclusion at school was jeopardising the kinship arrangement and indeed the rights of the grandchild to access education. As a trusted support to the family, the partnership was able to coordinate additional supports that helped sustain the kinship arrangement and retain important services. </w:t>
      </w:r>
    </w:p>
    <w:p w14:paraId="551C6307" w14:textId="77777777" w:rsidR="0062610C" w:rsidRPr="00985E42" w:rsidRDefault="0062610C" w:rsidP="0062610C">
      <w:pPr>
        <w:pStyle w:val="ListParagraph"/>
        <w:numPr>
          <w:ilvl w:val="0"/>
          <w:numId w:val="9"/>
        </w:numPr>
        <w:rPr>
          <w:rFonts w:cstheme="minorHAnsi"/>
          <w:color w:val="000000" w:themeColor="text1"/>
        </w:rPr>
      </w:pPr>
      <w:r w:rsidRPr="00985E42">
        <w:rPr>
          <w:rFonts w:cstheme="minorHAnsi"/>
          <w:color w:val="000000" w:themeColor="text1"/>
        </w:rPr>
        <w:t xml:space="preserve">Client centred services and support through co-design builds trust and culturally safe practices and services. Its foundations are respect which is essential to engaging and sustaining Aboriginal and Torres Strait Islander engagement. The success of this partnership is subsequently noted in the increased engagement well above the population. </w:t>
      </w:r>
    </w:p>
    <w:p w14:paraId="25288992" w14:textId="77777777" w:rsidR="00DC2180" w:rsidRPr="00985E42" w:rsidRDefault="00DC2180" w:rsidP="00FD7B7E">
      <w:pPr>
        <w:pStyle w:val="Heading2"/>
        <w:spacing w:line="240" w:lineRule="auto"/>
        <w:jc w:val="both"/>
        <w:rPr>
          <w:rFonts w:asciiTheme="minorHAnsi" w:cstheme="minorHAnsi"/>
          <w:sz w:val="22"/>
          <w:szCs w:val="22"/>
        </w:rPr>
      </w:pPr>
    </w:p>
    <w:p w14:paraId="6D59E9CD" w14:textId="0BCF276F" w:rsidR="00DE73D2" w:rsidRPr="00985E42" w:rsidRDefault="00126CC8" w:rsidP="00FD7B7E">
      <w:pPr>
        <w:pStyle w:val="Heading2"/>
        <w:spacing w:line="240" w:lineRule="auto"/>
        <w:jc w:val="both"/>
        <w:rPr>
          <w:rFonts w:asciiTheme="minorHAnsi" w:cstheme="minorHAnsi"/>
          <w:sz w:val="22"/>
          <w:szCs w:val="22"/>
        </w:rPr>
      </w:pPr>
      <w:r w:rsidRPr="00985E42">
        <w:rPr>
          <w:rFonts w:asciiTheme="minorHAnsi" w:cstheme="minorHAnsi"/>
          <w:sz w:val="22"/>
          <w:szCs w:val="22"/>
        </w:rPr>
        <w:t xml:space="preserve">CASE STUDY 4 </w:t>
      </w:r>
    </w:p>
    <w:p w14:paraId="00154368" w14:textId="1E7E4641" w:rsidR="00126CC8" w:rsidRPr="00985E42" w:rsidRDefault="00126CC8" w:rsidP="00FD7B7E">
      <w:pPr>
        <w:pStyle w:val="Heading2"/>
        <w:spacing w:line="240" w:lineRule="auto"/>
        <w:jc w:val="both"/>
        <w:rPr>
          <w:rFonts w:asciiTheme="minorHAnsi" w:cstheme="minorHAnsi"/>
          <w:sz w:val="22"/>
          <w:szCs w:val="22"/>
        </w:rPr>
      </w:pPr>
      <w:r w:rsidRPr="00985E42">
        <w:rPr>
          <w:rFonts w:asciiTheme="minorHAnsi" w:cstheme="minorHAnsi"/>
          <w:sz w:val="22"/>
          <w:szCs w:val="22"/>
        </w:rPr>
        <w:t>Life Without Barriers and SNAICC</w:t>
      </w:r>
      <w:r w:rsidR="007835D2" w:rsidRPr="00985E42">
        <w:rPr>
          <w:rFonts w:asciiTheme="minorHAnsi" w:cstheme="minorHAnsi"/>
          <w:sz w:val="22"/>
          <w:szCs w:val="22"/>
        </w:rPr>
        <w:t xml:space="preserve"> – National Voice for our children</w:t>
      </w:r>
    </w:p>
    <w:p w14:paraId="6EC633A2" w14:textId="51A6F0BB" w:rsidR="00DE73D2" w:rsidRPr="00985E42" w:rsidRDefault="00DC2180" w:rsidP="001900A0">
      <w:pPr>
        <w:rPr>
          <w:rFonts w:cstheme="minorHAnsi"/>
          <w:b/>
          <w:bCs/>
        </w:rPr>
      </w:pPr>
      <w:r w:rsidRPr="00985E42">
        <w:rPr>
          <w:rFonts w:cstheme="minorHAnsi"/>
          <w:b/>
          <w:bCs/>
        </w:rPr>
        <w:t>Background</w:t>
      </w:r>
    </w:p>
    <w:p w14:paraId="425B2856" w14:textId="394FF831" w:rsidR="00892146" w:rsidRPr="00985E42" w:rsidRDefault="007B5DBB" w:rsidP="00126CC8">
      <w:pPr>
        <w:rPr>
          <w:rFonts w:cstheme="minorHAnsi"/>
          <w:lang w:val="en-US"/>
        </w:rPr>
      </w:pPr>
      <w:r w:rsidRPr="00985E42">
        <w:rPr>
          <w:rFonts w:cstheme="minorHAnsi"/>
          <w:lang w:val="en-US"/>
        </w:rPr>
        <w:t xml:space="preserve">In 2020, Life Without Barriers and SNAICC announced a partnership that </w:t>
      </w:r>
      <w:r w:rsidR="00823D11" w:rsidRPr="00985E42">
        <w:rPr>
          <w:rFonts w:cstheme="minorHAnsi"/>
          <w:lang w:val="en-US"/>
        </w:rPr>
        <w:t xml:space="preserve">was the first of its kind in scale and </w:t>
      </w:r>
      <w:r w:rsidR="00D813B5" w:rsidRPr="00985E42">
        <w:rPr>
          <w:rFonts w:cstheme="minorHAnsi"/>
          <w:lang w:val="en-US"/>
        </w:rPr>
        <w:t>breadth</w:t>
      </w:r>
      <w:r w:rsidR="00823D11" w:rsidRPr="00985E42">
        <w:rPr>
          <w:rFonts w:cstheme="minorHAnsi"/>
          <w:lang w:val="en-US"/>
        </w:rPr>
        <w:t xml:space="preserve">. The partnership brings together one of Australia’s </w:t>
      </w:r>
      <w:r w:rsidR="00D813B5" w:rsidRPr="00985E42">
        <w:rPr>
          <w:rFonts w:cstheme="minorHAnsi"/>
          <w:lang w:val="en-US"/>
        </w:rPr>
        <w:t xml:space="preserve">largest providers in </w:t>
      </w:r>
      <w:proofErr w:type="spellStart"/>
      <w:r w:rsidR="00D813B5" w:rsidRPr="00985E42">
        <w:rPr>
          <w:rFonts w:cstheme="minorHAnsi"/>
          <w:lang w:val="en-US"/>
        </w:rPr>
        <w:t>out-of</w:t>
      </w:r>
      <w:proofErr w:type="spellEnd"/>
      <w:r w:rsidR="00D813B5" w:rsidRPr="00985E42">
        <w:rPr>
          <w:rFonts w:cstheme="minorHAnsi"/>
          <w:lang w:val="en-US"/>
        </w:rPr>
        <w:t xml:space="preserve"> home (OOHC) care</w:t>
      </w:r>
      <w:r w:rsidR="00525D07" w:rsidRPr="00985E42">
        <w:rPr>
          <w:rFonts w:cstheme="minorHAnsi"/>
          <w:lang w:val="en-US"/>
        </w:rPr>
        <w:t>, Life Without Barriers (</w:t>
      </w:r>
      <w:r w:rsidR="004E438A" w:rsidRPr="00985E42">
        <w:rPr>
          <w:rFonts w:cstheme="minorHAnsi"/>
          <w:lang w:val="en-US"/>
        </w:rPr>
        <w:t>LWB)</w:t>
      </w:r>
      <w:r w:rsidR="00525D07" w:rsidRPr="00985E42">
        <w:rPr>
          <w:rFonts w:cstheme="minorHAnsi"/>
          <w:lang w:val="en-US"/>
        </w:rPr>
        <w:t xml:space="preserve"> and SNAICC the Peak body for Aboriginal and Torres Strait Islander children. The partnership committed </w:t>
      </w:r>
      <w:r w:rsidR="004E438A" w:rsidRPr="00985E42">
        <w:rPr>
          <w:rFonts w:cstheme="minorHAnsi"/>
          <w:lang w:val="en-US"/>
        </w:rPr>
        <w:t>LWB</w:t>
      </w:r>
      <w:r w:rsidR="00525D07" w:rsidRPr="00985E42">
        <w:rPr>
          <w:rFonts w:cstheme="minorHAnsi"/>
          <w:lang w:val="en-US"/>
        </w:rPr>
        <w:t xml:space="preserve"> </w:t>
      </w:r>
      <w:r w:rsidR="00EE1603" w:rsidRPr="00985E42">
        <w:rPr>
          <w:rFonts w:cstheme="minorHAnsi"/>
          <w:lang w:val="en-US"/>
        </w:rPr>
        <w:t>to three core arenas of direct investment</w:t>
      </w:r>
      <w:r w:rsidR="00D574B1" w:rsidRPr="00985E42">
        <w:rPr>
          <w:rFonts w:cstheme="minorHAnsi"/>
          <w:lang w:val="en-US"/>
        </w:rPr>
        <w:t xml:space="preserve"> with the support and guidance of SNAICC to leverage</w:t>
      </w:r>
      <w:r w:rsidR="00EE1603" w:rsidRPr="00985E42">
        <w:rPr>
          <w:rFonts w:cstheme="minorHAnsi"/>
          <w:lang w:val="en-US"/>
        </w:rPr>
        <w:t xml:space="preserve"> the organisations own </w:t>
      </w:r>
      <w:r w:rsidR="00B84018" w:rsidRPr="00985E42">
        <w:rPr>
          <w:rFonts w:cstheme="minorHAnsi"/>
          <w:lang w:val="en-US"/>
        </w:rPr>
        <w:t>operations</w:t>
      </w:r>
      <w:r w:rsidR="00EE1603" w:rsidRPr="00985E42">
        <w:rPr>
          <w:rFonts w:cstheme="minorHAnsi"/>
          <w:lang w:val="en-US"/>
        </w:rPr>
        <w:t xml:space="preserve"> and sphere of influence</w:t>
      </w:r>
      <w:r w:rsidR="002061A8" w:rsidRPr="00985E42">
        <w:rPr>
          <w:rFonts w:cstheme="minorHAnsi"/>
          <w:lang w:val="en-US"/>
        </w:rPr>
        <w:t xml:space="preserve"> </w:t>
      </w:r>
      <w:r w:rsidR="00892146" w:rsidRPr="00985E42">
        <w:rPr>
          <w:rFonts w:cstheme="minorHAnsi"/>
          <w:lang w:val="en-US"/>
        </w:rPr>
        <w:t xml:space="preserve">in </w:t>
      </w:r>
      <w:r w:rsidR="0057559E" w:rsidRPr="00985E42">
        <w:rPr>
          <w:rFonts w:cstheme="minorHAnsi"/>
          <w:lang w:val="en-US"/>
        </w:rPr>
        <w:t xml:space="preserve">key </w:t>
      </w:r>
      <w:r w:rsidR="00892146" w:rsidRPr="00985E42">
        <w:rPr>
          <w:rFonts w:cstheme="minorHAnsi"/>
          <w:lang w:val="en-US"/>
        </w:rPr>
        <w:t>areas including</w:t>
      </w:r>
      <w:r w:rsidR="0057559E" w:rsidRPr="00985E42">
        <w:rPr>
          <w:rFonts w:cstheme="minorHAnsi"/>
          <w:lang w:val="en-US"/>
        </w:rPr>
        <w:t>:</w:t>
      </w:r>
    </w:p>
    <w:p w14:paraId="066BC53C" w14:textId="176AB07B" w:rsidR="00892146" w:rsidRPr="00985E42" w:rsidRDefault="00892146" w:rsidP="00892146">
      <w:pPr>
        <w:pStyle w:val="ListParagraph"/>
        <w:numPr>
          <w:ilvl w:val="0"/>
          <w:numId w:val="7"/>
        </w:numPr>
        <w:rPr>
          <w:rFonts w:cstheme="minorHAnsi"/>
          <w:lang w:val="en-US"/>
        </w:rPr>
      </w:pPr>
      <w:r w:rsidRPr="00985E42">
        <w:rPr>
          <w:rFonts w:cstheme="minorHAnsi"/>
          <w:lang w:val="en-US"/>
        </w:rPr>
        <w:t>Transition of all Aboriginal and Torres Strait Islander children care arrangement</w:t>
      </w:r>
      <w:r w:rsidR="0057559E" w:rsidRPr="00985E42">
        <w:rPr>
          <w:rFonts w:cstheme="minorHAnsi"/>
          <w:lang w:val="en-US"/>
        </w:rPr>
        <w:t>s</w:t>
      </w:r>
      <w:r w:rsidRPr="00985E42">
        <w:rPr>
          <w:rFonts w:cstheme="minorHAnsi"/>
          <w:lang w:val="en-US"/>
        </w:rPr>
        <w:t xml:space="preserve"> currently with </w:t>
      </w:r>
      <w:r w:rsidR="00267F9A" w:rsidRPr="00985E42">
        <w:rPr>
          <w:rFonts w:cstheme="minorHAnsi"/>
          <w:lang w:val="en-US"/>
        </w:rPr>
        <w:t>LWB</w:t>
      </w:r>
      <w:r w:rsidRPr="00985E42">
        <w:rPr>
          <w:rFonts w:cstheme="minorHAnsi"/>
          <w:lang w:val="en-US"/>
        </w:rPr>
        <w:t xml:space="preserve"> to community controlled within 10 </w:t>
      </w:r>
      <w:proofErr w:type="gramStart"/>
      <w:r w:rsidRPr="00985E42">
        <w:rPr>
          <w:rFonts w:cstheme="minorHAnsi"/>
          <w:lang w:val="en-US"/>
        </w:rPr>
        <w:t>years</w:t>
      </w:r>
      <w:proofErr w:type="gramEnd"/>
    </w:p>
    <w:p w14:paraId="49C16074" w14:textId="525195CF" w:rsidR="00126CC8" w:rsidRPr="00985E42" w:rsidRDefault="00C42BD7" w:rsidP="00892146">
      <w:pPr>
        <w:pStyle w:val="ListParagraph"/>
        <w:numPr>
          <w:ilvl w:val="0"/>
          <w:numId w:val="7"/>
        </w:numPr>
        <w:rPr>
          <w:rFonts w:cstheme="minorHAnsi"/>
          <w:lang w:val="en-US"/>
        </w:rPr>
      </w:pPr>
      <w:r w:rsidRPr="00985E42">
        <w:rPr>
          <w:rFonts w:cstheme="minorHAnsi"/>
          <w:lang w:val="en-US"/>
        </w:rPr>
        <w:t xml:space="preserve">Investment by </w:t>
      </w:r>
      <w:r w:rsidR="00267F9A" w:rsidRPr="00985E42">
        <w:rPr>
          <w:rFonts w:cstheme="minorHAnsi"/>
          <w:lang w:val="en-US"/>
        </w:rPr>
        <w:t>LWB</w:t>
      </w:r>
      <w:r w:rsidRPr="00985E42">
        <w:rPr>
          <w:rFonts w:cstheme="minorHAnsi"/>
          <w:lang w:val="en-US"/>
        </w:rPr>
        <w:t xml:space="preserve"> to advocate for and with </w:t>
      </w:r>
      <w:r w:rsidR="00E06C0B" w:rsidRPr="00985E42">
        <w:rPr>
          <w:rFonts w:cstheme="minorHAnsi"/>
          <w:lang w:val="en-US"/>
        </w:rPr>
        <w:t>community-controlled</w:t>
      </w:r>
      <w:r w:rsidRPr="00985E42">
        <w:rPr>
          <w:rFonts w:cstheme="minorHAnsi"/>
          <w:lang w:val="en-US"/>
        </w:rPr>
        <w:t xml:space="preserve"> organisations and the sector to direct funding</w:t>
      </w:r>
      <w:r w:rsidR="00F37B89" w:rsidRPr="00985E42">
        <w:rPr>
          <w:rFonts w:cstheme="minorHAnsi"/>
          <w:lang w:val="en-US"/>
        </w:rPr>
        <w:t xml:space="preserve"> and resourcing into </w:t>
      </w:r>
      <w:proofErr w:type="gramStart"/>
      <w:r w:rsidR="00F37B89" w:rsidRPr="00985E42">
        <w:rPr>
          <w:rFonts w:cstheme="minorHAnsi"/>
          <w:lang w:val="en-US"/>
        </w:rPr>
        <w:t>community controlled</w:t>
      </w:r>
      <w:proofErr w:type="gramEnd"/>
      <w:r w:rsidR="00F37B89" w:rsidRPr="00985E42">
        <w:rPr>
          <w:rFonts w:cstheme="minorHAnsi"/>
          <w:lang w:val="en-US"/>
        </w:rPr>
        <w:t xml:space="preserve"> entities.</w:t>
      </w:r>
    </w:p>
    <w:p w14:paraId="4998AC27" w14:textId="41355EFA" w:rsidR="00F37B89" w:rsidRPr="00985E42" w:rsidRDefault="0057559E" w:rsidP="00892146">
      <w:pPr>
        <w:pStyle w:val="ListParagraph"/>
        <w:numPr>
          <w:ilvl w:val="0"/>
          <w:numId w:val="7"/>
        </w:numPr>
        <w:rPr>
          <w:rFonts w:cstheme="minorHAnsi"/>
          <w:lang w:val="en-US"/>
        </w:rPr>
      </w:pPr>
      <w:r w:rsidRPr="00985E42">
        <w:rPr>
          <w:rFonts w:cstheme="minorHAnsi"/>
          <w:lang w:val="en-US"/>
        </w:rPr>
        <w:t>Active partnering</w:t>
      </w:r>
      <w:r w:rsidR="00420415" w:rsidRPr="00985E42">
        <w:rPr>
          <w:rFonts w:cstheme="minorHAnsi"/>
          <w:lang w:val="en-US"/>
        </w:rPr>
        <w:t xml:space="preserve"> with the sector to support other organisations currently providing OOHC to work towards</w:t>
      </w:r>
      <w:r w:rsidR="00F32607" w:rsidRPr="00985E42">
        <w:rPr>
          <w:rFonts w:cstheme="minorHAnsi"/>
          <w:lang w:val="en-US"/>
        </w:rPr>
        <w:t xml:space="preserve"> transitioning care </w:t>
      </w:r>
      <w:r w:rsidR="009005B1" w:rsidRPr="00985E42">
        <w:rPr>
          <w:rFonts w:cstheme="minorHAnsi"/>
          <w:lang w:val="en-US"/>
        </w:rPr>
        <w:t>arrangement</w:t>
      </w:r>
      <w:r w:rsidR="00F32607" w:rsidRPr="00985E42">
        <w:rPr>
          <w:rFonts w:cstheme="minorHAnsi"/>
          <w:lang w:val="en-US"/>
        </w:rPr>
        <w:t xml:space="preserve"> of Aboriginal and Torres Strait Islander children to community </w:t>
      </w:r>
      <w:proofErr w:type="gramStart"/>
      <w:r w:rsidR="009005B1" w:rsidRPr="00985E42">
        <w:rPr>
          <w:rFonts w:cstheme="minorHAnsi"/>
          <w:lang w:val="en-US"/>
        </w:rPr>
        <w:t>control</w:t>
      </w:r>
      <w:proofErr w:type="gramEnd"/>
    </w:p>
    <w:p w14:paraId="14481787" w14:textId="5D9ECCAD" w:rsidR="00F32607" w:rsidRPr="00985E42" w:rsidRDefault="00F32607" w:rsidP="001900A0">
      <w:pPr>
        <w:pStyle w:val="ListParagraph"/>
        <w:numPr>
          <w:ilvl w:val="0"/>
          <w:numId w:val="7"/>
        </w:numPr>
        <w:rPr>
          <w:rFonts w:cstheme="minorHAnsi"/>
          <w:lang w:val="en-US"/>
        </w:rPr>
      </w:pPr>
      <w:r w:rsidRPr="00985E42">
        <w:rPr>
          <w:rFonts w:cstheme="minorHAnsi"/>
          <w:lang w:val="en-US"/>
        </w:rPr>
        <w:t xml:space="preserve">To advocate and work with Peaks, community control, the sector and Government to </w:t>
      </w:r>
      <w:r w:rsidR="00FD6A8A" w:rsidRPr="00985E42">
        <w:rPr>
          <w:rFonts w:cstheme="minorHAnsi"/>
          <w:lang w:val="en-US"/>
        </w:rPr>
        <w:t>increase investment in early intervention and rapidly curb the rate of First Nations children coming into child protection.</w:t>
      </w:r>
    </w:p>
    <w:p w14:paraId="0B602A67" w14:textId="4109C059" w:rsidR="007B5DBB" w:rsidRPr="00985E42" w:rsidRDefault="007B5DBB" w:rsidP="001900A0">
      <w:pPr>
        <w:rPr>
          <w:rFonts w:cstheme="minorHAnsi"/>
        </w:rPr>
      </w:pPr>
      <w:r w:rsidRPr="00985E42">
        <w:rPr>
          <w:rFonts w:cstheme="minorHAnsi"/>
          <w:lang w:val="en-US"/>
        </w:rPr>
        <w:t xml:space="preserve">Life Without </w:t>
      </w:r>
      <w:r w:rsidR="00431605" w:rsidRPr="00985E42">
        <w:rPr>
          <w:rFonts w:cstheme="minorHAnsi"/>
          <w:lang w:val="en-US"/>
        </w:rPr>
        <w:t xml:space="preserve">Barriers has previously provided direct insight to the Productivity Commission </w:t>
      </w:r>
      <w:proofErr w:type="gramStart"/>
      <w:r w:rsidR="00FD6A8A" w:rsidRPr="00985E42">
        <w:rPr>
          <w:rFonts w:cstheme="minorHAnsi"/>
          <w:lang w:val="en-US"/>
        </w:rPr>
        <w:t>about</w:t>
      </w:r>
      <w:proofErr w:type="gramEnd"/>
      <w:r w:rsidR="00FD6A8A" w:rsidRPr="00985E42">
        <w:rPr>
          <w:rFonts w:cstheme="minorHAnsi"/>
          <w:lang w:val="en-US"/>
        </w:rPr>
        <w:t xml:space="preserve"> this partnership and its intent. The model of the partnership is enabling wide scale collaboration </w:t>
      </w:r>
      <w:r w:rsidR="00F90141" w:rsidRPr="00985E42">
        <w:rPr>
          <w:rFonts w:cstheme="minorHAnsi"/>
          <w:lang w:val="en-US"/>
        </w:rPr>
        <w:t xml:space="preserve">with </w:t>
      </w:r>
      <w:proofErr w:type="gramStart"/>
      <w:r w:rsidR="00F90141" w:rsidRPr="00985E42">
        <w:rPr>
          <w:rFonts w:cstheme="minorHAnsi"/>
          <w:lang w:val="en-US"/>
        </w:rPr>
        <w:t>state based</w:t>
      </w:r>
      <w:proofErr w:type="gramEnd"/>
      <w:r w:rsidR="00F90141" w:rsidRPr="00985E42">
        <w:rPr>
          <w:rFonts w:cstheme="minorHAnsi"/>
          <w:lang w:val="en-US"/>
        </w:rPr>
        <w:t xml:space="preserve"> community controlled organisations. Within each state and territory, the organisation </w:t>
      </w:r>
      <w:r w:rsidR="005308BC" w:rsidRPr="00985E42">
        <w:rPr>
          <w:rFonts w:cstheme="minorHAnsi"/>
          <w:lang w:val="en-US"/>
        </w:rPr>
        <w:t xml:space="preserve">is formalizing partnerships with ACCO’s to prepare for the transition of care </w:t>
      </w:r>
      <w:r w:rsidR="00A05FEC" w:rsidRPr="00985E42">
        <w:rPr>
          <w:rFonts w:cstheme="minorHAnsi"/>
          <w:lang w:val="en-US"/>
        </w:rPr>
        <w:t>arrangements</w:t>
      </w:r>
      <w:r w:rsidR="00342F39" w:rsidRPr="00985E42">
        <w:rPr>
          <w:rFonts w:cstheme="minorHAnsi"/>
          <w:lang w:val="en-US"/>
        </w:rPr>
        <w:t xml:space="preserve">. The partnership of SNAICC offers key </w:t>
      </w:r>
      <w:r w:rsidR="00E06C0B" w:rsidRPr="00985E42">
        <w:rPr>
          <w:rFonts w:cstheme="minorHAnsi"/>
          <w:lang w:val="en-US"/>
        </w:rPr>
        <w:t>engagement</w:t>
      </w:r>
      <w:r w:rsidR="00342F39" w:rsidRPr="00985E42">
        <w:rPr>
          <w:rFonts w:cstheme="minorHAnsi"/>
          <w:lang w:val="en-US"/>
        </w:rPr>
        <w:t xml:space="preserve"> with AC</w:t>
      </w:r>
      <w:r w:rsidR="00E06C0B" w:rsidRPr="00985E42">
        <w:rPr>
          <w:rFonts w:cstheme="minorHAnsi"/>
          <w:lang w:val="en-US"/>
        </w:rPr>
        <w:t>CO</w:t>
      </w:r>
      <w:r w:rsidR="00342F39" w:rsidRPr="00985E42">
        <w:rPr>
          <w:rFonts w:cstheme="minorHAnsi"/>
          <w:lang w:val="en-US"/>
        </w:rPr>
        <w:t xml:space="preserve">s </w:t>
      </w:r>
      <w:proofErr w:type="gramStart"/>
      <w:r w:rsidR="00342F39" w:rsidRPr="00985E42">
        <w:rPr>
          <w:rFonts w:cstheme="minorHAnsi"/>
          <w:lang w:val="en-US"/>
        </w:rPr>
        <w:t>and also</w:t>
      </w:r>
      <w:proofErr w:type="gramEnd"/>
      <w:r w:rsidR="00342F39" w:rsidRPr="00985E42">
        <w:rPr>
          <w:rFonts w:cstheme="minorHAnsi"/>
          <w:lang w:val="en-US"/>
        </w:rPr>
        <w:t xml:space="preserve"> ensures accountability of </w:t>
      </w:r>
      <w:r w:rsidR="00E06C0B" w:rsidRPr="00985E42">
        <w:rPr>
          <w:rFonts w:cstheme="minorHAnsi"/>
          <w:lang w:val="en-US"/>
        </w:rPr>
        <w:t>LWB</w:t>
      </w:r>
      <w:r w:rsidR="00342F39" w:rsidRPr="00985E42">
        <w:rPr>
          <w:rFonts w:cstheme="minorHAnsi"/>
          <w:lang w:val="en-US"/>
        </w:rPr>
        <w:t xml:space="preserve"> to the </w:t>
      </w:r>
      <w:r w:rsidR="00D64146" w:rsidRPr="00985E42">
        <w:rPr>
          <w:rFonts w:cstheme="minorHAnsi"/>
          <w:lang w:val="en-US"/>
        </w:rPr>
        <w:t xml:space="preserve">agreed approach on transitions. The partnership </w:t>
      </w:r>
      <w:r w:rsidR="009664DB" w:rsidRPr="00985E42">
        <w:rPr>
          <w:rFonts w:cstheme="minorHAnsi"/>
          <w:lang w:val="en-US"/>
        </w:rPr>
        <w:t>has supported the establishment of the Allies for Children</w:t>
      </w:r>
      <w:r w:rsidR="00D64146" w:rsidRPr="00985E42">
        <w:rPr>
          <w:rFonts w:cstheme="minorHAnsi"/>
          <w:lang w:val="en-US"/>
        </w:rPr>
        <w:t xml:space="preserve"> and </w:t>
      </w:r>
      <w:r w:rsidR="00C1565C" w:rsidRPr="00985E42">
        <w:rPr>
          <w:rFonts w:cstheme="minorHAnsi"/>
          <w:lang w:val="en-US"/>
        </w:rPr>
        <w:t>created broader</w:t>
      </w:r>
      <w:r w:rsidR="00A05FEC" w:rsidRPr="00985E42">
        <w:rPr>
          <w:rFonts w:cstheme="minorHAnsi"/>
          <w:lang w:val="en-US"/>
        </w:rPr>
        <w:t xml:space="preserve"> sector engagement with the peak</w:t>
      </w:r>
      <w:r w:rsidR="00C1565C" w:rsidRPr="00985E42">
        <w:rPr>
          <w:rFonts w:cstheme="minorHAnsi"/>
          <w:lang w:val="en-US"/>
        </w:rPr>
        <w:t xml:space="preserve"> on its agenda for First Nations children.</w:t>
      </w:r>
    </w:p>
    <w:p w14:paraId="3115A4A9" w14:textId="77777777" w:rsidR="004E438A" w:rsidRPr="00C73E85" w:rsidRDefault="004E438A" w:rsidP="004E438A">
      <w:pPr>
        <w:pStyle w:val="L3Header"/>
        <w:rPr>
          <w:rFonts w:cstheme="minorHAnsi"/>
          <w:color w:val="000000" w:themeColor="text1"/>
          <w:sz w:val="24"/>
          <w:szCs w:val="24"/>
        </w:rPr>
      </w:pPr>
      <w:r w:rsidRPr="00C73E85">
        <w:rPr>
          <w:rFonts w:cstheme="minorHAnsi"/>
          <w:color w:val="000000" w:themeColor="text1"/>
          <w:sz w:val="24"/>
          <w:szCs w:val="24"/>
        </w:rPr>
        <w:t>FIRST NATION NGO ALLIANCE REFLECTION:</w:t>
      </w:r>
    </w:p>
    <w:p w14:paraId="0C29438F" w14:textId="2D010FC1" w:rsidR="00B951A3" w:rsidRPr="00985E42" w:rsidRDefault="00824EAE" w:rsidP="00824EAE">
      <w:pPr>
        <w:rPr>
          <w:rFonts w:cstheme="minorHAnsi"/>
          <w:lang w:val="en-US"/>
        </w:rPr>
      </w:pPr>
      <w:r w:rsidRPr="00985E42">
        <w:rPr>
          <w:rFonts w:cstheme="minorHAnsi"/>
          <w:lang w:val="en-US"/>
        </w:rPr>
        <w:t>This partnership was</w:t>
      </w:r>
      <w:r w:rsidR="00C0202D" w:rsidRPr="00985E42">
        <w:rPr>
          <w:rFonts w:cstheme="minorHAnsi"/>
          <w:lang w:val="en-US"/>
        </w:rPr>
        <w:t xml:space="preserve"> delivered </w:t>
      </w:r>
      <w:r w:rsidR="00AE4611" w:rsidRPr="00985E42">
        <w:rPr>
          <w:rFonts w:cstheme="minorHAnsi"/>
          <w:lang w:val="en-US"/>
        </w:rPr>
        <w:t xml:space="preserve">within </w:t>
      </w:r>
      <w:proofErr w:type="gramStart"/>
      <w:r w:rsidR="00AE4611" w:rsidRPr="00985E42">
        <w:rPr>
          <w:rFonts w:cstheme="minorHAnsi"/>
          <w:lang w:val="en-US"/>
        </w:rPr>
        <w:t>a framework</w:t>
      </w:r>
      <w:proofErr w:type="gramEnd"/>
      <w:r w:rsidR="00AE4611" w:rsidRPr="00985E42">
        <w:rPr>
          <w:rFonts w:cstheme="minorHAnsi"/>
          <w:lang w:val="en-US"/>
        </w:rPr>
        <w:t xml:space="preserve"> of the organisation Elevate RAP which requires a substantial transformation project to be central to its commitments. The </w:t>
      </w:r>
      <w:proofErr w:type="gramStart"/>
      <w:r w:rsidR="00AE4611" w:rsidRPr="00985E42">
        <w:rPr>
          <w:rFonts w:cstheme="minorHAnsi"/>
          <w:lang w:val="en-US"/>
        </w:rPr>
        <w:t xml:space="preserve">Partnership </w:t>
      </w:r>
      <w:r w:rsidR="00C0202D" w:rsidRPr="00985E42">
        <w:rPr>
          <w:rFonts w:cstheme="minorHAnsi"/>
          <w:lang w:val="en-US"/>
        </w:rPr>
        <w:t xml:space="preserve"> </w:t>
      </w:r>
      <w:r w:rsidR="006D31D6" w:rsidRPr="00985E42">
        <w:rPr>
          <w:rFonts w:cstheme="minorHAnsi"/>
          <w:lang w:val="en-US"/>
        </w:rPr>
        <w:t>commits</w:t>
      </w:r>
      <w:proofErr w:type="gramEnd"/>
      <w:r w:rsidR="006D31D6" w:rsidRPr="00985E42">
        <w:rPr>
          <w:rFonts w:cstheme="minorHAnsi"/>
          <w:lang w:val="en-US"/>
        </w:rPr>
        <w:t xml:space="preserve"> to a number of</w:t>
      </w:r>
      <w:r w:rsidR="00B951A3" w:rsidRPr="00985E42">
        <w:rPr>
          <w:rFonts w:cstheme="minorHAnsi"/>
          <w:lang w:val="en-US"/>
        </w:rPr>
        <w:t xml:space="preserve"> public deliverables </w:t>
      </w:r>
      <w:r w:rsidR="00CD1C74" w:rsidRPr="00985E42">
        <w:rPr>
          <w:rFonts w:cstheme="minorHAnsi"/>
          <w:lang w:val="en-US"/>
        </w:rPr>
        <w:t xml:space="preserve">which </w:t>
      </w:r>
      <w:r w:rsidR="006D31D6" w:rsidRPr="00985E42">
        <w:rPr>
          <w:rFonts w:cstheme="minorHAnsi"/>
          <w:lang w:val="en-US"/>
        </w:rPr>
        <w:t>LWB is accountable for</w:t>
      </w:r>
      <w:r w:rsidR="00AD4268" w:rsidRPr="00985E42">
        <w:rPr>
          <w:rFonts w:cstheme="minorHAnsi"/>
          <w:lang w:val="en-US"/>
        </w:rPr>
        <w:t xml:space="preserve"> and is</w:t>
      </w:r>
      <w:r w:rsidR="00CD1C74" w:rsidRPr="00985E42">
        <w:rPr>
          <w:rFonts w:cstheme="minorHAnsi"/>
          <w:lang w:val="en-US"/>
        </w:rPr>
        <w:t xml:space="preserve"> a first of its kind</w:t>
      </w:r>
      <w:r w:rsidR="00AE3C8F" w:rsidRPr="00985E42">
        <w:rPr>
          <w:rFonts w:cstheme="minorHAnsi"/>
          <w:lang w:val="en-US"/>
        </w:rPr>
        <w:t xml:space="preserve"> for both organisations </w:t>
      </w:r>
      <w:r w:rsidR="00926DAF" w:rsidRPr="00985E42">
        <w:rPr>
          <w:rFonts w:cstheme="minorHAnsi"/>
          <w:lang w:val="en-US"/>
        </w:rPr>
        <w:t>and for the sector</w:t>
      </w:r>
      <w:r w:rsidR="002B778B" w:rsidRPr="00985E42">
        <w:rPr>
          <w:rFonts w:cstheme="minorHAnsi"/>
          <w:lang w:val="en-US"/>
        </w:rPr>
        <w:t xml:space="preserve"> and</w:t>
      </w:r>
      <w:r w:rsidR="00926DAF" w:rsidRPr="00985E42">
        <w:rPr>
          <w:rFonts w:cstheme="minorHAnsi"/>
          <w:lang w:val="en-US"/>
        </w:rPr>
        <w:t xml:space="preserve"> </w:t>
      </w:r>
      <w:r w:rsidR="00AE3C8F" w:rsidRPr="00985E42">
        <w:rPr>
          <w:rFonts w:cstheme="minorHAnsi"/>
          <w:lang w:val="en-US"/>
        </w:rPr>
        <w:t xml:space="preserve">provides a blue print for others to follow </w:t>
      </w:r>
      <w:r w:rsidR="00926DAF" w:rsidRPr="00985E42">
        <w:rPr>
          <w:rFonts w:cstheme="minorHAnsi"/>
          <w:lang w:val="en-US"/>
        </w:rPr>
        <w:t>including</w:t>
      </w:r>
      <w:r w:rsidR="00AE3C8F" w:rsidRPr="00985E42">
        <w:rPr>
          <w:rFonts w:cstheme="minorHAnsi"/>
          <w:lang w:val="en-US"/>
        </w:rPr>
        <w:t>:</w:t>
      </w:r>
    </w:p>
    <w:p w14:paraId="4A7530CF" w14:textId="368AF556" w:rsidR="00926DAF" w:rsidRPr="00985E42" w:rsidRDefault="0063768A" w:rsidP="00926DAF">
      <w:pPr>
        <w:pStyle w:val="ListParagraph"/>
        <w:numPr>
          <w:ilvl w:val="0"/>
          <w:numId w:val="11"/>
        </w:numPr>
        <w:rPr>
          <w:rFonts w:cstheme="minorHAnsi"/>
        </w:rPr>
      </w:pPr>
      <w:r w:rsidRPr="00985E42">
        <w:rPr>
          <w:rFonts w:cstheme="minorHAnsi"/>
        </w:rPr>
        <w:t>A shared purpose and commitment</w:t>
      </w:r>
      <w:r w:rsidR="00F7404D" w:rsidRPr="00985E42">
        <w:rPr>
          <w:rFonts w:cstheme="minorHAnsi"/>
        </w:rPr>
        <w:t xml:space="preserve"> – LWB Elevate RAP commitments</w:t>
      </w:r>
      <w:r w:rsidR="006D31D6" w:rsidRPr="00985E42">
        <w:rPr>
          <w:rFonts w:cstheme="minorHAnsi"/>
        </w:rPr>
        <w:t xml:space="preserve"> and the Transformation Project</w:t>
      </w:r>
      <w:r w:rsidR="00F7404D" w:rsidRPr="00985E42">
        <w:rPr>
          <w:rFonts w:cstheme="minorHAnsi"/>
        </w:rPr>
        <w:t xml:space="preserve"> </w:t>
      </w:r>
      <w:r w:rsidR="002B778B" w:rsidRPr="00985E42">
        <w:rPr>
          <w:rFonts w:cstheme="minorHAnsi"/>
        </w:rPr>
        <w:t>acknowledges and reflects</w:t>
      </w:r>
      <w:r w:rsidR="00F7404D" w:rsidRPr="00985E42">
        <w:rPr>
          <w:rFonts w:cstheme="minorHAnsi"/>
        </w:rPr>
        <w:t xml:space="preserve"> </w:t>
      </w:r>
      <w:r w:rsidR="00AE4611" w:rsidRPr="00985E42">
        <w:rPr>
          <w:rFonts w:cstheme="minorHAnsi"/>
        </w:rPr>
        <w:t>SNAICC’s</w:t>
      </w:r>
      <w:r w:rsidR="00F7404D" w:rsidRPr="00985E42">
        <w:rPr>
          <w:rFonts w:cstheme="minorHAnsi"/>
        </w:rPr>
        <w:t xml:space="preserve"> </w:t>
      </w:r>
      <w:r w:rsidR="002B778B" w:rsidRPr="00985E42">
        <w:rPr>
          <w:rFonts w:cstheme="minorHAnsi"/>
        </w:rPr>
        <w:t>Family Matters report</w:t>
      </w:r>
      <w:r w:rsidR="00F7404D" w:rsidRPr="00985E42">
        <w:rPr>
          <w:rFonts w:cstheme="minorHAnsi"/>
        </w:rPr>
        <w:t xml:space="preserve"> and broader agenda</w:t>
      </w:r>
      <w:r w:rsidR="00C0202D" w:rsidRPr="00985E42">
        <w:rPr>
          <w:rFonts w:cstheme="minorHAnsi"/>
        </w:rPr>
        <w:t xml:space="preserve"> </w:t>
      </w:r>
      <w:r w:rsidR="002125FD" w:rsidRPr="00985E42">
        <w:rPr>
          <w:rFonts w:cstheme="minorHAnsi"/>
        </w:rPr>
        <w:t xml:space="preserve">and amplifies progress towards these </w:t>
      </w:r>
      <w:r w:rsidR="00780E8A" w:rsidRPr="00985E42">
        <w:rPr>
          <w:rFonts w:cstheme="minorHAnsi"/>
        </w:rPr>
        <w:t>priority reform areas.</w:t>
      </w:r>
      <w:r w:rsidR="00546E3F" w:rsidRPr="00985E42">
        <w:rPr>
          <w:rFonts w:cstheme="minorHAnsi"/>
        </w:rPr>
        <w:t xml:space="preserve"> </w:t>
      </w:r>
    </w:p>
    <w:p w14:paraId="68CDE2F8" w14:textId="23438ABC" w:rsidR="006E04D0" w:rsidRPr="00985E42" w:rsidRDefault="006E04D0" w:rsidP="00926DAF">
      <w:pPr>
        <w:pStyle w:val="ListParagraph"/>
        <w:numPr>
          <w:ilvl w:val="0"/>
          <w:numId w:val="11"/>
        </w:numPr>
        <w:rPr>
          <w:rFonts w:cstheme="minorHAnsi"/>
        </w:rPr>
      </w:pPr>
      <w:r w:rsidRPr="00985E42">
        <w:rPr>
          <w:rFonts w:cstheme="minorHAnsi"/>
        </w:rPr>
        <w:t xml:space="preserve">The Partnership has enabled </w:t>
      </w:r>
      <w:r w:rsidR="001D0BDB" w:rsidRPr="00985E42">
        <w:rPr>
          <w:rFonts w:cstheme="minorHAnsi"/>
        </w:rPr>
        <w:t xml:space="preserve">a strong commitment towards Target 12 in Closing the gap in over-representation for First Nations children in care </w:t>
      </w:r>
    </w:p>
    <w:p w14:paraId="31BC23F7" w14:textId="64215AF2" w:rsidR="00E466FC" w:rsidRPr="00985E42" w:rsidRDefault="00780E8A" w:rsidP="00926DAF">
      <w:pPr>
        <w:pStyle w:val="ListParagraph"/>
        <w:numPr>
          <w:ilvl w:val="0"/>
          <w:numId w:val="11"/>
        </w:numPr>
        <w:rPr>
          <w:rFonts w:cstheme="minorHAnsi"/>
        </w:rPr>
      </w:pPr>
      <w:r w:rsidRPr="00985E42">
        <w:rPr>
          <w:rFonts w:cstheme="minorHAnsi"/>
        </w:rPr>
        <w:t>Demonstrates</w:t>
      </w:r>
      <w:r w:rsidR="00E466FC" w:rsidRPr="00985E42">
        <w:rPr>
          <w:rFonts w:cstheme="minorHAnsi"/>
        </w:rPr>
        <w:t xml:space="preserve"> respect for </w:t>
      </w:r>
      <w:r w:rsidRPr="00985E42">
        <w:rPr>
          <w:rFonts w:cstheme="minorHAnsi"/>
        </w:rPr>
        <w:t>SNAICC’s</w:t>
      </w:r>
      <w:r w:rsidR="00E466FC" w:rsidRPr="00985E42">
        <w:rPr>
          <w:rFonts w:cstheme="minorHAnsi"/>
        </w:rPr>
        <w:t xml:space="preserve"> cultural authority </w:t>
      </w:r>
      <w:r w:rsidR="00F86596" w:rsidRPr="00985E42">
        <w:rPr>
          <w:rFonts w:cstheme="minorHAnsi"/>
        </w:rPr>
        <w:t>and</w:t>
      </w:r>
      <w:r w:rsidR="00E466FC" w:rsidRPr="00985E42">
        <w:rPr>
          <w:rFonts w:cstheme="minorHAnsi"/>
        </w:rPr>
        <w:t xml:space="preserve"> provide</w:t>
      </w:r>
      <w:r w:rsidRPr="00985E42">
        <w:rPr>
          <w:rFonts w:cstheme="minorHAnsi"/>
        </w:rPr>
        <w:t xml:space="preserve">s </w:t>
      </w:r>
      <w:r w:rsidR="00F86596" w:rsidRPr="00985E42">
        <w:rPr>
          <w:rFonts w:cstheme="minorHAnsi"/>
        </w:rPr>
        <w:t xml:space="preserve">important </w:t>
      </w:r>
      <w:r w:rsidR="00E466FC" w:rsidRPr="00985E42">
        <w:rPr>
          <w:rFonts w:cstheme="minorHAnsi"/>
        </w:rPr>
        <w:t xml:space="preserve">cultural governance </w:t>
      </w:r>
      <w:r w:rsidRPr="00985E42">
        <w:rPr>
          <w:rFonts w:cstheme="minorHAnsi"/>
        </w:rPr>
        <w:t>which is critical to shared decision making</w:t>
      </w:r>
    </w:p>
    <w:p w14:paraId="29A4EDDB" w14:textId="4073E3C7" w:rsidR="00072246" w:rsidRPr="00985E42" w:rsidRDefault="00072246" w:rsidP="00926DAF">
      <w:pPr>
        <w:pStyle w:val="ListParagraph"/>
        <w:numPr>
          <w:ilvl w:val="0"/>
          <w:numId w:val="11"/>
        </w:numPr>
        <w:rPr>
          <w:rFonts w:cstheme="minorHAnsi"/>
        </w:rPr>
      </w:pPr>
      <w:r w:rsidRPr="00985E42">
        <w:rPr>
          <w:rFonts w:cstheme="minorHAnsi"/>
        </w:rPr>
        <w:t xml:space="preserve">Expands the sphere of influence </w:t>
      </w:r>
      <w:r w:rsidR="002F1D7F" w:rsidRPr="00985E42">
        <w:rPr>
          <w:rFonts w:cstheme="minorHAnsi"/>
        </w:rPr>
        <w:t>beyond LWB</w:t>
      </w:r>
      <w:r w:rsidR="009E410C" w:rsidRPr="00985E42">
        <w:rPr>
          <w:rFonts w:cstheme="minorHAnsi"/>
        </w:rPr>
        <w:t xml:space="preserve">’s own </w:t>
      </w:r>
      <w:r w:rsidR="00CC0D39" w:rsidRPr="00985E42">
        <w:rPr>
          <w:rFonts w:cstheme="minorHAnsi"/>
        </w:rPr>
        <w:t>organisations response in stepping away from care for First Nations children, but to ensure its journey encourages and supports other organisations to follow</w:t>
      </w:r>
    </w:p>
    <w:p w14:paraId="2CEA1AE5" w14:textId="557F85C7" w:rsidR="00F71D3A" w:rsidRPr="00985E42" w:rsidRDefault="00C07D9F" w:rsidP="00CC0D39">
      <w:pPr>
        <w:pStyle w:val="ListParagraph"/>
        <w:numPr>
          <w:ilvl w:val="0"/>
          <w:numId w:val="11"/>
        </w:numPr>
        <w:rPr>
          <w:rFonts w:cstheme="minorHAnsi"/>
        </w:rPr>
      </w:pPr>
      <w:r w:rsidRPr="00985E42">
        <w:rPr>
          <w:rFonts w:cstheme="minorHAnsi"/>
        </w:rPr>
        <w:t>The partnerships is built on strong governance across the organisations and ensures the proper representation and leadership of First Nations people within LWB</w:t>
      </w:r>
      <w:r w:rsidR="00F71D3A" w:rsidRPr="00985E42">
        <w:rPr>
          <w:rFonts w:cstheme="minorHAnsi"/>
        </w:rPr>
        <w:t xml:space="preserve"> and accountability at senior levels</w:t>
      </w:r>
    </w:p>
    <w:p w14:paraId="0A02219D" w14:textId="6B6C6C7D" w:rsidR="00176828" w:rsidRPr="00985E42" w:rsidRDefault="00546E3F" w:rsidP="006F31B2">
      <w:pPr>
        <w:pStyle w:val="ListParagraph"/>
        <w:numPr>
          <w:ilvl w:val="0"/>
          <w:numId w:val="11"/>
        </w:numPr>
        <w:rPr>
          <w:rFonts w:cstheme="minorHAnsi"/>
        </w:rPr>
      </w:pPr>
      <w:r w:rsidRPr="00985E42">
        <w:rPr>
          <w:rFonts w:cstheme="minorHAnsi"/>
        </w:rPr>
        <w:t>Genuine good will to share resources and opportunities</w:t>
      </w:r>
      <w:r w:rsidR="004F2173" w:rsidRPr="00985E42">
        <w:rPr>
          <w:rFonts w:cstheme="minorHAnsi"/>
        </w:rPr>
        <w:t xml:space="preserve"> and to unite on key agendas and </w:t>
      </w:r>
      <w:r w:rsidRPr="00985E42">
        <w:rPr>
          <w:rFonts w:cstheme="minorHAnsi"/>
        </w:rPr>
        <w:t>to truth tell when it isn’t easy or working</w:t>
      </w:r>
      <w:r w:rsidR="00E466FC" w:rsidRPr="00985E42">
        <w:rPr>
          <w:rFonts w:cstheme="minorHAnsi"/>
        </w:rPr>
        <w:t>.</w:t>
      </w:r>
    </w:p>
    <w:p w14:paraId="4AAF99D5" w14:textId="339C35B8" w:rsidR="00546E3F" w:rsidRPr="00985E42" w:rsidRDefault="00546E3F" w:rsidP="006F31B2">
      <w:pPr>
        <w:pStyle w:val="ListParagraph"/>
        <w:numPr>
          <w:ilvl w:val="0"/>
          <w:numId w:val="11"/>
        </w:numPr>
        <w:rPr>
          <w:rFonts w:cstheme="minorHAnsi"/>
        </w:rPr>
      </w:pPr>
      <w:r w:rsidRPr="00985E42">
        <w:rPr>
          <w:rFonts w:cstheme="minorHAnsi"/>
        </w:rPr>
        <w:t xml:space="preserve">To </w:t>
      </w:r>
      <w:r w:rsidR="004F2173" w:rsidRPr="00985E42">
        <w:rPr>
          <w:rFonts w:cstheme="minorHAnsi"/>
        </w:rPr>
        <w:t>share and give in</w:t>
      </w:r>
      <w:r w:rsidRPr="00985E42">
        <w:rPr>
          <w:rFonts w:cstheme="minorHAnsi"/>
        </w:rPr>
        <w:t xml:space="preserve"> relationships that serve the purpose and commitment of this partnership</w:t>
      </w:r>
    </w:p>
    <w:p w14:paraId="68654376" w14:textId="6CBC1021" w:rsidR="00DE73D2" w:rsidRPr="00985E42" w:rsidRDefault="00762C2F" w:rsidP="00FD7B7E">
      <w:pPr>
        <w:pStyle w:val="Heading2"/>
        <w:spacing w:line="240" w:lineRule="auto"/>
        <w:jc w:val="both"/>
        <w:rPr>
          <w:rFonts w:asciiTheme="minorHAnsi" w:cstheme="minorHAnsi"/>
          <w:sz w:val="22"/>
          <w:szCs w:val="22"/>
        </w:rPr>
      </w:pPr>
      <w:r w:rsidRPr="00985E42">
        <w:rPr>
          <w:rFonts w:asciiTheme="minorHAnsi" w:cstheme="minorHAnsi"/>
          <w:sz w:val="22"/>
          <w:szCs w:val="22"/>
        </w:rPr>
        <w:t xml:space="preserve">CASE STUDY </w:t>
      </w:r>
      <w:r w:rsidR="00126CC8" w:rsidRPr="00985E42">
        <w:rPr>
          <w:rFonts w:asciiTheme="minorHAnsi" w:cstheme="minorHAnsi"/>
          <w:sz w:val="22"/>
          <w:szCs w:val="22"/>
        </w:rPr>
        <w:t>5</w:t>
      </w:r>
      <w:r w:rsidRPr="00985E42">
        <w:rPr>
          <w:rFonts w:asciiTheme="minorHAnsi" w:cstheme="minorHAnsi"/>
          <w:sz w:val="22"/>
          <w:szCs w:val="22"/>
        </w:rPr>
        <w:t xml:space="preserve"> </w:t>
      </w:r>
    </w:p>
    <w:p w14:paraId="0A1349C0" w14:textId="65BEEBB4" w:rsidR="00762C2F" w:rsidRPr="00985E42" w:rsidRDefault="00762C2F" w:rsidP="00FD7B7E">
      <w:pPr>
        <w:pStyle w:val="Heading2"/>
        <w:spacing w:line="240" w:lineRule="auto"/>
        <w:jc w:val="both"/>
        <w:rPr>
          <w:rFonts w:asciiTheme="minorHAnsi" w:cstheme="minorHAnsi"/>
          <w:sz w:val="22"/>
          <w:szCs w:val="22"/>
        </w:rPr>
      </w:pPr>
      <w:r w:rsidRPr="00985E42">
        <w:rPr>
          <w:rFonts w:asciiTheme="minorHAnsi" w:cstheme="minorHAnsi"/>
          <w:sz w:val="22"/>
          <w:szCs w:val="22"/>
        </w:rPr>
        <w:t xml:space="preserve">Key Assets, Wunan Foundation and </w:t>
      </w:r>
      <w:proofErr w:type="spellStart"/>
      <w:r w:rsidRPr="00985E42">
        <w:rPr>
          <w:rFonts w:asciiTheme="minorHAnsi" w:cstheme="minorHAnsi"/>
          <w:sz w:val="22"/>
          <w:szCs w:val="22"/>
        </w:rPr>
        <w:t>Ngowar</w:t>
      </w:r>
      <w:proofErr w:type="spellEnd"/>
      <w:r w:rsidRPr="00985E42">
        <w:rPr>
          <w:rFonts w:asciiTheme="minorHAnsi" w:cstheme="minorHAnsi"/>
          <w:sz w:val="22"/>
          <w:szCs w:val="22"/>
        </w:rPr>
        <w:t xml:space="preserve"> </w:t>
      </w:r>
      <w:proofErr w:type="spellStart"/>
      <w:r w:rsidRPr="00985E42">
        <w:rPr>
          <w:rFonts w:asciiTheme="minorHAnsi" w:cstheme="minorHAnsi"/>
          <w:sz w:val="22"/>
          <w:szCs w:val="22"/>
        </w:rPr>
        <w:t>Aerwah</w:t>
      </w:r>
      <w:proofErr w:type="spellEnd"/>
      <w:r w:rsidRPr="00985E42">
        <w:rPr>
          <w:rFonts w:asciiTheme="minorHAnsi" w:cstheme="minorHAnsi"/>
          <w:sz w:val="22"/>
          <w:szCs w:val="22"/>
        </w:rPr>
        <w:t xml:space="preserve"> – East Kimberley</w:t>
      </w:r>
    </w:p>
    <w:p w14:paraId="358C3AC5" w14:textId="64325D3B" w:rsidR="00762C2F" w:rsidRPr="00985E42" w:rsidRDefault="00985E42" w:rsidP="00FD7B7E">
      <w:pPr>
        <w:spacing w:line="240" w:lineRule="auto"/>
        <w:jc w:val="both"/>
        <w:rPr>
          <w:rFonts w:cstheme="minorHAnsi"/>
          <w:b/>
          <w:bCs/>
          <w:lang w:val="en-US"/>
        </w:rPr>
      </w:pPr>
      <w:r w:rsidRPr="00985E42">
        <w:rPr>
          <w:rFonts w:cstheme="minorHAnsi"/>
          <w:b/>
          <w:bCs/>
          <w:lang w:val="en-US"/>
        </w:rPr>
        <w:t>Background</w:t>
      </w:r>
    </w:p>
    <w:p w14:paraId="6B4F749C" w14:textId="77777777" w:rsidR="00985E42" w:rsidRPr="00985E42" w:rsidRDefault="00762C2F" w:rsidP="00FD7B7E">
      <w:pPr>
        <w:spacing w:line="240" w:lineRule="auto"/>
        <w:jc w:val="both"/>
        <w:rPr>
          <w:rFonts w:cstheme="minorHAnsi"/>
          <w14:ligatures w14:val="standardContextual"/>
        </w:rPr>
      </w:pPr>
      <w:r w:rsidRPr="00985E42">
        <w:rPr>
          <w:rFonts w:cstheme="minorHAnsi"/>
          <w14:ligatures w14:val="standardContextual"/>
        </w:rPr>
        <w:t xml:space="preserve">Key Assets </w:t>
      </w:r>
      <w:r w:rsidR="00822D32" w:rsidRPr="00985E42">
        <w:rPr>
          <w:rFonts w:cstheme="minorHAnsi"/>
          <w14:ligatures w14:val="standardContextual"/>
        </w:rPr>
        <w:t>first</w:t>
      </w:r>
      <w:r w:rsidRPr="00985E42">
        <w:rPr>
          <w:rFonts w:cstheme="minorHAnsi"/>
          <w14:ligatures w14:val="standardContextual"/>
        </w:rPr>
        <w:t xml:space="preserve"> </w:t>
      </w:r>
      <w:r w:rsidR="007B6583" w:rsidRPr="00985E42">
        <w:rPr>
          <w:rFonts w:cstheme="minorHAnsi"/>
          <w14:ligatures w14:val="standardContextual"/>
        </w:rPr>
        <w:t xml:space="preserve">commenced services in </w:t>
      </w:r>
      <w:r w:rsidR="00822D32" w:rsidRPr="00985E42">
        <w:rPr>
          <w:rFonts w:cstheme="minorHAnsi"/>
          <w14:ligatures w14:val="standardContextual"/>
        </w:rPr>
        <w:t>the East Kimberley in 2015</w:t>
      </w:r>
      <w:r w:rsidR="00FA5CF3" w:rsidRPr="00985E42">
        <w:rPr>
          <w:rFonts w:cstheme="minorHAnsi"/>
          <w14:ligatures w14:val="standardContextual"/>
        </w:rPr>
        <w:t xml:space="preserve">. It was recognised at the time that Key Assets </w:t>
      </w:r>
      <w:r w:rsidR="00822D32" w:rsidRPr="00985E42">
        <w:rPr>
          <w:rFonts w:cstheme="minorHAnsi"/>
          <w14:ligatures w14:val="standardContextual"/>
        </w:rPr>
        <w:t xml:space="preserve">were strangers in that country, and that there was much </w:t>
      </w:r>
      <w:r w:rsidR="00FA5CF3" w:rsidRPr="00985E42">
        <w:rPr>
          <w:rFonts w:cstheme="minorHAnsi"/>
          <w14:ligatures w14:val="standardContextual"/>
        </w:rPr>
        <w:t>the agency</w:t>
      </w:r>
      <w:r w:rsidR="00822D32" w:rsidRPr="00985E42">
        <w:rPr>
          <w:rFonts w:cstheme="minorHAnsi"/>
          <w14:ligatures w14:val="standardContextual"/>
        </w:rPr>
        <w:t xml:space="preserve"> did not know</w:t>
      </w:r>
      <w:r w:rsidR="00FA5CF3" w:rsidRPr="00985E42">
        <w:rPr>
          <w:rFonts w:cstheme="minorHAnsi"/>
          <w14:ligatures w14:val="standardContextual"/>
        </w:rPr>
        <w:t>,</w:t>
      </w:r>
      <w:r w:rsidR="00822D32" w:rsidRPr="00985E42">
        <w:rPr>
          <w:rFonts w:cstheme="minorHAnsi"/>
          <w14:ligatures w14:val="standardContextual"/>
        </w:rPr>
        <w:t xml:space="preserve"> nor could ever know about the complex culture of the region. </w:t>
      </w:r>
      <w:r w:rsidR="007A51E4" w:rsidRPr="00985E42">
        <w:rPr>
          <w:rFonts w:cstheme="minorHAnsi"/>
          <w14:ligatures w14:val="standardContextual"/>
        </w:rPr>
        <w:t>Key Assets</w:t>
      </w:r>
      <w:r w:rsidR="00822D32" w:rsidRPr="00985E42">
        <w:rPr>
          <w:rFonts w:cstheme="minorHAnsi"/>
          <w14:ligatures w14:val="standardContextual"/>
        </w:rPr>
        <w:t xml:space="preserve"> sought from the beginning to build relationships and develop trust with local people and organisations. Relationships were built through a number of initiatives, including formal and informal meetings, speaking on local radio, participating in local events and setting up a small office in the premises of a large ACCO, and engagement with local Elders. </w:t>
      </w:r>
      <w:r w:rsidR="007A51E4" w:rsidRPr="00985E42">
        <w:rPr>
          <w:rFonts w:cstheme="minorHAnsi"/>
          <w14:ligatures w14:val="standardContextual"/>
        </w:rPr>
        <w:t xml:space="preserve">These relationships took many years to establish and relied on trust, commitment and a willingness to spend as much time as needed to </w:t>
      </w:r>
      <w:r w:rsidR="003E27CA" w:rsidRPr="00985E42">
        <w:rPr>
          <w:rFonts w:cstheme="minorHAnsi"/>
          <w14:ligatures w14:val="standardContextual"/>
        </w:rPr>
        <w:t xml:space="preserve">demonstrate a commitment to staying in the region beyond the cycle of Government funding. </w:t>
      </w:r>
      <w:r w:rsidR="00822D32" w:rsidRPr="00985E42">
        <w:rPr>
          <w:rFonts w:cstheme="minorHAnsi"/>
          <w14:ligatures w14:val="standardContextual"/>
        </w:rPr>
        <w:t xml:space="preserve">Eventually formal partnerships with two significant ACCOs, the Wunan Foundation and </w:t>
      </w:r>
      <w:proofErr w:type="spellStart"/>
      <w:r w:rsidR="00822D32" w:rsidRPr="00985E42">
        <w:rPr>
          <w:rFonts w:cstheme="minorHAnsi"/>
          <w14:ligatures w14:val="standardContextual"/>
        </w:rPr>
        <w:t>Ngowar</w:t>
      </w:r>
      <w:proofErr w:type="spellEnd"/>
      <w:r w:rsidR="00822D32" w:rsidRPr="00985E42">
        <w:rPr>
          <w:rFonts w:cstheme="minorHAnsi"/>
          <w14:ligatures w14:val="standardContextual"/>
        </w:rPr>
        <w:t xml:space="preserve"> </w:t>
      </w:r>
      <w:proofErr w:type="spellStart"/>
      <w:r w:rsidR="00822D32" w:rsidRPr="00985E42">
        <w:rPr>
          <w:rFonts w:cstheme="minorHAnsi"/>
          <w14:ligatures w14:val="standardContextual"/>
        </w:rPr>
        <w:t>Aerwah</w:t>
      </w:r>
      <w:proofErr w:type="spellEnd"/>
      <w:r w:rsidR="00822D32" w:rsidRPr="00985E42">
        <w:rPr>
          <w:rFonts w:cstheme="minorHAnsi"/>
          <w14:ligatures w14:val="standardContextual"/>
        </w:rPr>
        <w:t xml:space="preserve">, were formed. </w:t>
      </w:r>
    </w:p>
    <w:p w14:paraId="497A3418" w14:textId="7B2F940B" w:rsidR="007C5EFB" w:rsidRPr="00985E42" w:rsidRDefault="006E1626" w:rsidP="00FD7B7E">
      <w:pPr>
        <w:spacing w:line="240" w:lineRule="auto"/>
        <w:jc w:val="both"/>
        <w:rPr>
          <w:rFonts w:cstheme="minorHAnsi"/>
          <w14:ligatures w14:val="standardContextual"/>
        </w:rPr>
      </w:pPr>
      <w:r w:rsidRPr="00985E42">
        <w:rPr>
          <w:rFonts w:cstheme="minorHAnsi"/>
          <w14:ligatures w14:val="standardContextual"/>
        </w:rPr>
        <w:t xml:space="preserve">Key Assets </w:t>
      </w:r>
      <w:r w:rsidR="00822D32" w:rsidRPr="00985E42">
        <w:rPr>
          <w:rFonts w:cstheme="minorHAnsi"/>
          <w14:ligatures w14:val="standardContextual"/>
        </w:rPr>
        <w:t>learned that authentic partnerships with local people required us to be clear about what we ha</w:t>
      </w:r>
      <w:r w:rsidRPr="00985E42">
        <w:rPr>
          <w:rFonts w:cstheme="minorHAnsi"/>
          <w14:ligatures w14:val="standardContextual"/>
        </w:rPr>
        <w:t>d</w:t>
      </w:r>
      <w:r w:rsidR="00822D32" w:rsidRPr="00985E42">
        <w:rPr>
          <w:rFonts w:cstheme="minorHAnsi"/>
          <w14:ligatures w14:val="standardContextual"/>
        </w:rPr>
        <w:t xml:space="preserve"> to offer and what </w:t>
      </w:r>
      <w:r w:rsidRPr="00985E42">
        <w:rPr>
          <w:rFonts w:cstheme="minorHAnsi"/>
          <w14:ligatures w14:val="standardContextual"/>
        </w:rPr>
        <w:t>was</w:t>
      </w:r>
      <w:r w:rsidR="00822D32" w:rsidRPr="00985E42">
        <w:rPr>
          <w:rFonts w:cstheme="minorHAnsi"/>
          <w14:ligatures w14:val="standardContextual"/>
        </w:rPr>
        <w:t xml:space="preserve"> unique about </w:t>
      </w:r>
      <w:r w:rsidRPr="00985E42">
        <w:rPr>
          <w:rFonts w:cstheme="minorHAnsi"/>
          <w14:ligatures w14:val="standardContextual"/>
        </w:rPr>
        <w:t xml:space="preserve">the </w:t>
      </w:r>
      <w:r w:rsidR="00822D32" w:rsidRPr="00985E42">
        <w:rPr>
          <w:rFonts w:cstheme="minorHAnsi"/>
          <w14:ligatures w14:val="standardContextual"/>
        </w:rPr>
        <w:t>service and approach</w:t>
      </w:r>
      <w:r w:rsidRPr="00985E42">
        <w:rPr>
          <w:rFonts w:cstheme="minorHAnsi"/>
          <w14:ligatures w14:val="standardContextual"/>
        </w:rPr>
        <w:t>, but more importantly what would not work and how we would need to adjust the approach to service delivery</w:t>
      </w:r>
      <w:r w:rsidR="00822D32" w:rsidRPr="00985E42">
        <w:rPr>
          <w:rFonts w:cstheme="minorHAnsi"/>
          <w14:ligatures w14:val="standardContextual"/>
        </w:rPr>
        <w:t>.</w:t>
      </w:r>
      <w:r w:rsidRPr="00985E42">
        <w:rPr>
          <w:rFonts w:cstheme="minorHAnsi"/>
          <w14:ligatures w14:val="standardContextual"/>
        </w:rPr>
        <w:t xml:space="preserve"> The</w:t>
      </w:r>
      <w:r w:rsidR="00822D32" w:rsidRPr="00985E42">
        <w:rPr>
          <w:rFonts w:cstheme="minorHAnsi"/>
          <w14:ligatures w14:val="standardContextual"/>
        </w:rPr>
        <w:t xml:space="preserve"> importance of committing long-term and remaining resilient through the inevitable </w:t>
      </w:r>
      <w:proofErr w:type="gramStart"/>
      <w:r w:rsidR="00822D32" w:rsidRPr="00985E42">
        <w:rPr>
          <w:rFonts w:cstheme="minorHAnsi"/>
          <w14:ligatures w14:val="standardContextual"/>
        </w:rPr>
        <w:t>set-backs</w:t>
      </w:r>
      <w:proofErr w:type="gramEnd"/>
      <w:r w:rsidR="00822D32" w:rsidRPr="00985E42">
        <w:rPr>
          <w:rFonts w:cstheme="minorHAnsi"/>
          <w14:ligatures w14:val="standardContextual"/>
        </w:rPr>
        <w:t xml:space="preserve"> and challenges </w:t>
      </w:r>
      <w:r w:rsidRPr="00985E42">
        <w:rPr>
          <w:rFonts w:cstheme="minorHAnsi"/>
          <w14:ligatures w14:val="standardContextual"/>
        </w:rPr>
        <w:t xml:space="preserve">was key to </w:t>
      </w:r>
      <w:r w:rsidR="00822D32" w:rsidRPr="00985E42">
        <w:rPr>
          <w:rFonts w:cstheme="minorHAnsi"/>
          <w14:ligatures w14:val="standardContextual"/>
        </w:rPr>
        <w:t xml:space="preserve">working in such a remote area. </w:t>
      </w:r>
    </w:p>
    <w:p w14:paraId="7BFAFF94" w14:textId="77777777" w:rsidR="007C5EFB" w:rsidRPr="00985E42" w:rsidRDefault="00114218" w:rsidP="00FD7B7E">
      <w:pPr>
        <w:spacing w:line="240" w:lineRule="auto"/>
        <w:jc w:val="both"/>
        <w:rPr>
          <w:rFonts w:cstheme="minorHAnsi"/>
          <w14:ligatures w14:val="standardContextual"/>
        </w:rPr>
      </w:pPr>
      <w:r w:rsidRPr="00985E42">
        <w:rPr>
          <w:rFonts w:cstheme="minorHAnsi"/>
          <w14:ligatures w14:val="standardContextual"/>
        </w:rPr>
        <w:t>Key Assets built relations and</w:t>
      </w:r>
      <w:r w:rsidR="00822D32" w:rsidRPr="00985E42">
        <w:rPr>
          <w:rFonts w:cstheme="minorHAnsi"/>
          <w14:ligatures w14:val="standardContextual"/>
        </w:rPr>
        <w:t xml:space="preserve"> employed local people </w:t>
      </w:r>
      <w:r w:rsidRPr="00985E42">
        <w:rPr>
          <w:rFonts w:cstheme="minorHAnsi"/>
          <w14:ligatures w14:val="standardContextual"/>
        </w:rPr>
        <w:t xml:space="preserve">and </w:t>
      </w:r>
      <w:r w:rsidR="00822D32" w:rsidRPr="00985E42">
        <w:rPr>
          <w:rFonts w:cstheme="minorHAnsi"/>
          <w14:ligatures w14:val="standardContextual"/>
        </w:rPr>
        <w:t xml:space="preserve">anchored the service with Key Assets staff. </w:t>
      </w:r>
      <w:r w:rsidRPr="00985E42">
        <w:rPr>
          <w:rFonts w:cstheme="minorHAnsi"/>
          <w14:ligatures w14:val="standardContextual"/>
        </w:rPr>
        <w:t>It was clear that</w:t>
      </w:r>
      <w:r w:rsidR="00822D32" w:rsidRPr="00985E42">
        <w:rPr>
          <w:rFonts w:cstheme="minorHAnsi"/>
          <w14:ligatures w14:val="standardContextual"/>
        </w:rPr>
        <w:t xml:space="preserve"> service development, especially in more </w:t>
      </w:r>
      <w:r w:rsidRPr="00985E42">
        <w:rPr>
          <w:rFonts w:cstheme="minorHAnsi"/>
          <w14:ligatures w14:val="standardContextual"/>
        </w:rPr>
        <w:t>remote</w:t>
      </w:r>
      <w:r w:rsidR="00822D32" w:rsidRPr="00985E42">
        <w:rPr>
          <w:rFonts w:cstheme="minorHAnsi"/>
          <w14:ligatures w14:val="standardContextual"/>
        </w:rPr>
        <w:t xml:space="preserve"> areas requires a whole of organisation approach</w:t>
      </w:r>
      <w:r w:rsidR="004E311C" w:rsidRPr="00985E42">
        <w:rPr>
          <w:rFonts w:cstheme="minorHAnsi"/>
          <w14:ligatures w14:val="standardContextual"/>
        </w:rPr>
        <w:t xml:space="preserve"> and a commitment from Board level down to investment of resources, time and demonstrating a willingness to listen, learn and walk with the many partners in the community who had multi-generational stories and experience to share</w:t>
      </w:r>
      <w:r w:rsidR="00822D32" w:rsidRPr="00985E42">
        <w:rPr>
          <w:rFonts w:cstheme="minorHAnsi"/>
          <w14:ligatures w14:val="standardContextual"/>
        </w:rPr>
        <w:t xml:space="preserve">. </w:t>
      </w:r>
      <w:r w:rsidR="004E311C" w:rsidRPr="00985E42">
        <w:rPr>
          <w:rFonts w:cstheme="minorHAnsi"/>
          <w14:ligatures w14:val="standardContextual"/>
        </w:rPr>
        <w:t xml:space="preserve">Key Assets </w:t>
      </w:r>
      <w:r w:rsidR="00822D32" w:rsidRPr="00985E42">
        <w:rPr>
          <w:rFonts w:cstheme="minorHAnsi"/>
          <w14:ligatures w14:val="standardContextual"/>
        </w:rPr>
        <w:t xml:space="preserve">demonstrated </w:t>
      </w:r>
      <w:r w:rsidR="004E311C" w:rsidRPr="00985E42">
        <w:rPr>
          <w:rFonts w:cstheme="minorHAnsi"/>
          <w14:ligatures w14:val="standardContextual"/>
        </w:rPr>
        <w:t xml:space="preserve">a commitment </w:t>
      </w:r>
      <w:r w:rsidR="00822D32" w:rsidRPr="00985E42">
        <w:rPr>
          <w:rFonts w:cstheme="minorHAnsi"/>
          <w14:ligatures w14:val="standardContextual"/>
        </w:rPr>
        <w:t xml:space="preserve">to contribute to the community beyond the </w:t>
      </w:r>
      <w:r w:rsidR="004E311C" w:rsidRPr="00985E42">
        <w:rPr>
          <w:rFonts w:cstheme="minorHAnsi"/>
          <w14:ligatures w14:val="standardContextual"/>
        </w:rPr>
        <w:t>funded Government Services</w:t>
      </w:r>
      <w:r w:rsidR="00822D32" w:rsidRPr="00985E42">
        <w:rPr>
          <w:rFonts w:cstheme="minorHAnsi"/>
          <w14:ligatures w14:val="standardContextual"/>
        </w:rPr>
        <w:t xml:space="preserve">. </w:t>
      </w:r>
    </w:p>
    <w:p w14:paraId="1BC7D035" w14:textId="05C3C5A4" w:rsidR="00822D32" w:rsidRPr="00985E42" w:rsidRDefault="004E311C" w:rsidP="00FD7B7E">
      <w:pPr>
        <w:spacing w:line="240" w:lineRule="auto"/>
        <w:jc w:val="both"/>
        <w:rPr>
          <w:rFonts w:cstheme="minorHAnsi"/>
          <w14:ligatures w14:val="standardContextual"/>
        </w:rPr>
      </w:pPr>
      <w:r w:rsidRPr="00985E42">
        <w:rPr>
          <w:rFonts w:cstheme="minorHAnsi"/>
          <w14:ligatures w14:val="standardContextual"/>
        </w:rPr>
        <w:t xml:space="preserve">In </w:t>
      </w:r>
      <w:proofErr w:type="gramStart"/>
      <w:r w:rsidRPr="00985E42">
        <w:rPr>
          <w:rFonts w:cstheme="minorHAnsi"/>
          <w14:ligatures w14:val="standardContextual"/>
        </w:rPr>
        <w:t xml:space="preserve">2022 </w:t>
      </w:r>
      <w:r w:rsidR="00822D32" w:rsidRPr="00985E42">
        <w:rPr>
          <w:rFonts w:cstheme="minorHAnsi"/>
          <w14:ligatures w14:val="standardContextual"/>
        </w:rPr>
        <w:t xml:space="preserve"> </w:t>
      </w:r>
      <w:r w:rsidRPr="00985E42">
        <w:rPr>
          <w:rFonts w:cstheme="minorHAnsi"/>
          <w14:ligatures w14:val="standardContextual"/>
        </w:rPr>
        <w:t>a</w:t>
      </w:r>
      <w:proofErr w:type="gramEnd"/>
      <w:r w:rsidR="00822D32" w:rsidRPr="00985E42">
        <w:rPr>
          <w:rFonts w:cstheme="minorHAnsi"/>
          <w14:ligatures w14:val="standardContextual"/>
        </w:rPr>
        <w:t xml:space="preserve"> successful service mapping project </w:t>
      </w:r>
      <w:r w:rsidRPr="00985E42">
        <w:rPr>
          <w:rFonts w:cstheme="minorHAnsi"/>
          <w14:ligatures w14:val="standardContextual"/>
        </w:rPr>
        <w:t xml:space="preserve">was completed </w:t>
      </w:r>
      <w:r w:rsidR="00822D32" w:rsidRPr="00985E42">
        <w:rPr>
          <w:rFonts w:cstheme="minorHAnsi"/>
          <w14:ligatures w14:val="standardContextual"/>
        </w:rPr>
        <w:t>in the East Kimberley</w:t>
      </w:r>
      <w:r w:rsidRPr="00985E42">
        <w:rPr>
          <w:rFonts w:cstheme="minorHAnsi"/>
          <w14:ligatures w14:val="standardContextual"/>
        </w:rPr>
        <w:t xml:space="preserve">, </w:t>
      </w:r>
      <w:r w:rsidR="00822D32" w:rsidRPr="00985E42">
        <w:rPr>
          <w:rFonts w:cstheme="minorHAnsi"/>
          <w14:ligatures w14:val="standardContextual"/>
        </w:rPr>
        <w:t xml:space="preserve">delivered in partnership with </w:t>
      </w:r>
      <w:proofErr w:type="spellStart"/>
      <w:r w:rsidR="00822D32" w:rsidRPr="00985E42">
        <w:rPr>
          <w:rFonts w:cstheme="minorHAnsi"/>
          <w14:ligatures w14:val="standardContextual"/>
        </w:rPr>
        <w:t>Binarri-binya</w:t>
      </w:r>
      <w:proofErr w:type="spellEnd"/>
      <w:r w:rsidR="00822D32" w:rsidRPr="00985E42">
        <w:rPr>
          <w:rFonts w:cstheme="minorHAnsi"/>
          <w14:ligatures w14:val="standardContextual"/>
        </w:rPr>
        <w:t xml:space="preserve"> </w:t>
      </w:r>
      <w:proofErr w:type="spellStart"/>
      <w:r w:rsidR="00822D32" w:rsidRPr="00985E42">
        <w:rPr>
          <w:rFonts w:cstheme="minorHAnsi"/>
          <w14:ligatures w14:val="standardContextual"/>
        </w:rPr>
        <w:t>yarrawoo</w:t>
      </w:r>
      <w:proofErr w:type="spellEnd"/>
      <w:r w:rsidR="00822D32" w:rsidRPr="00985E42">
        <w:rPr>
          <w:rFonts w:cstheme="minorHAnsi"/>
          <w14:ligatures w14:val="standardContextual"/>
        </w:rPr>
        <w:t xml:space="preserve"> (BBY) the ‘backbone’ organisation supporting the implementation of Empowered Communities. The purpose of the project was to gain greater visibility of community needs and the services available to children, young people and families in the East Kimberley to meet those needs, so that people could be better supported</w:t>
      </w:r>
      <w:r w:rsidR="00E823D8" w:rsidRPr="00985E42">
        <w:rPr>
          <w:rFonts w:cstheme="minorHAnsi"/>
          <w14:ligatures w14:val="standardContextual"/>
        </w:rPr>
        <w:t xml:space="preserve"> not just for the cycle of government contracts but well into the future. </w:t>
      </w:r>
    </w:p>
    <w:p w14:paraId="7D1A43AC" w14:textId="77777777" w:rsidR="00985E42" w:rsidRPr="00985E42" w:rsidRDefault="00985E42" w:rsidP="00985E42">
      <w:pPr>
        <w:pStyle w:val="L3Header"/>
        <w:rPr>
          <w:rFonts w:cstheme="minorHAnsi"/>
          <w:sz w:val="24"/>
          <w:szCs w:val="24"/>
        </w:rPr>
      </w:pPr>
      <w:r w:rsidRPr="003F699B">
        <w:rPr>
          <w:rFonts w:cstheme="minorHAnsi"/>
          <w:color w:val="000000" w:themeColor="text1"/>
          <w:sz w:val="24"/>
          <w:szCs w:val="24"/>
        </w:rPr>
        <w:t>FIRST NATION NGO ALLIANCE REFLECTION:</w:t>
      </w:r>
    </w:p>
    <w:p w14:paraId="10D5762C" w14:textId="5887AED6" w:rsidR="004C60D1" w:rsidRPr="00985E42" w:rsidRDefault="004C60D1" w:rsidP="004C60D1">
      <w:pPr>
        <w:spacing w:line="240" w:lineRule="auto"/>
        <w:rPr>
          <w:rFonts w:cstheme="minorHAnsi"/>
          <w:lang w:val="en-US"/>
        </w:rPr>
      </w:pPr>
      <w:r w:rsidRPr="00985E42">
        <w:rPr>
          <w:rFonts w:cstheme="minorHAnsi"/>
          <w:lang w:val="en-US"/>
        </w:rPr>
        <w:t xml:space="preserve">Establishing partnerships with Aboriginal and Torres Strait Islander communities and </w:t>
      </w:r>
      <w:r w:rsidR="0011484E" w:rsidRPr="00985E42">
        <w:rPr>
          <w:rFonts w:cstheme="minorHAnsi"/>
          <w:lang w:val="en-US"/>
        </w:rPr>
        <w:t>organisations</w:t>
      </w:r>
      <w:r w:rsidRPr="00985E42">
        <w:rPr>
          <w:rFonts w:cstheme="minorHAnsi"/>
          <w:lang w:val="en-US"/>
        </w:rPr>
        <w:t xml:space="preserve"> is always dependent on relationships built on trust and time. This case study highlights that the process is often lengthy, with some organizations needing to earn the right to be a partner, with the following key learnings reflected:</w:t>
      </w:r>
    </w:p>
    <w:p w14:paraId="68233320" w14:textId="2495494A" w:rsidR="004C60D1" w:rsidRPr="00985E42" w:rsidRDefault="007C03DC" w:rsidP="004C60D1">
      <w:pPr>
        <w:pStyle w:val="ListParagraph"/>
        <w:numPr>
          <w:ilvl w:val="0"/>
          <w:numId w:val="10"/>
        </w:numPr>
        <w:spacing w:line="240" w:lineRule="auto"/>
        <w:rPr>
          <w:rFonts w:cstheme="minorHAnsi"/>
          <w:lang w:val="en-US"/>
        </w:rPr>
      </w:pPr>
      <w:r w:rsidRPr="00985E42">
        <w:rPr>
          <w:rFonts w:cstheme="minorHAnsi"/>
          <w:lang w:val="en-US"/>
        </w:rPr>
        <w:t xml:space="preserve">Organisations must be </w:t>
      </w:r>
      <w:r w:rsidR="004C60D1" w:rsidRPr="00985E42">
        <w:rPr>
          <w:rFonts w:cstheme="minorHAnsi"/>
          <w:lang w:val="en-US"/>
        </w:rPr>
        <w:t xml:space="preserve">intentional in </w:t>
      </w:r>
      <w:r w:rsidRPr="00985E42">
        <w:rPr>
          <w:rFonts w:cstheme="minorHAnsi"/>
          <w:lang w:val="en-US"/>
        </w:rPr>
        <w:t>their</w:t>
      </w:r>
      <w:r w:rsidR="004C60D1" w:rsidRPr="00985E42">
        <w:rPr>
          <w:rFonts w:cstheme="minorHAnsi"/>
          <w:lang w:val="en-US"/>
        </w:rPr>
        <w:t xml:space="preserve"> commitment, including having a willingness to stay at it for as long as it takes, including when it is tough. </w:t>
      </w:r>
    </w:p>
    <w:p w14:paraId="296D34DC" w14:textId="0DF61EAD" w:rsidR="004C60D1" w:rsidRPr="00985E42" w:rsidRDefault="004C60D1" w:rsidP="004C60D1">
      <w:pPr>
        <w:pStyle w:val="ListParagraph"/>
        <w:numPr>
          <w:ilvl w:val="0"/>
          <w:numId w:val="10"/>
        </w:numPr>
        <w:spacing w:line="240" w:lineRule="auto"/>
        <w:rPr>
          <w:rFonts w:cstheme="minorHAnsi"/>
          <w:lang w:val="en-US"/>
        </w:rPr>
      </w:pPr>
      <w:proofErr w:type="gramStart"/>
      <w:r w:rsidRPr="00985E42">
        <w:rPr>
          <w:rFonts w:cstheme="minorHAnsi"/>
          <w:lang w:val="en-US"/>
        </w:rPr>
        <w:t>Understand</w:t>
      </w:r>
      <w:proofErr w:type="gramEnd"/>
      <w:r w:rsidRPr="00985E42">
        <w:rPr>
          <w:rFonts w:cstheme="minorHAnsi"/>
          <w:lang w:val="en-US"/>
        </w:rPr>
        <w:t xml:space="preserve"> a partnership may require an all-organizational commitment, with </w:t>
      </w:r>
      <w:r w:rsidR="007C03DC" w:rsidRPr="00985E42">
        <w:rPr>
          <w:rFonts w:cstheme="minorHAnsi"/>
          <w:lang w:val="en-US"/>
        </w:rPr>
        <w:t>the</w:t>
      </w:r>
      <w:r w:rsidRPr="00985E42">
        <w:rPr>
          <w:rFonts w:cstheme="minorHAnsi"/>
          <w:lang w:val="en-US"/>
        </w:rPr>
        <w:t xml:space="preserve"> Executive and Board </w:t>
      </w:r>
      <w:proofErr w:type="gramStart"/>
      <w:r w:rsidRPr="00985E42">
        <w:rPr>
          <w:rFonts w:cstheme="minorHAnsi"/>
          <w:lang w:val="en-US"/>
        </w:rPr>
        <w:t>collaborating  throughout</w:t>
      </w:r>
      <w:proofErr w:type="gramEnd"/>
      <w:r w:rsidRPr="00985E42">
        <w:rPr>
          <w:rFonts w:cstheme="minorHAnsi"/>
          <w:lang w:val="en-US"/>
        </w:rPr>
        <w:t xml:space="preserve"> the partnership – Aboriginal and Torres Strait Islander people want to do business with </w:t>
      </w:r>
      <w:r w:rsidR="007C03DC" w:rsidRPr="00985E42">
        <w:rPr>
          <w:rFonts w:cstheme="minorHAnsi"/>
          <w:lang w:val="en-US"/>
        </w:rPr>
        <w:t>the</w:t>
      </w:r>
      <w:r w:rsidRPr="00985E42">
        <w:rPr>
          <w:rFonts w:cstheme="minorHAnsi"/>
          <w:lang w:val="en-US"/>
        </w:rPr>
        <w:t xml:space="preserve"> highest authority, so respect theirs. </w:t>
      </w:r>
    </w:p>
    <w:p w14:paraId="5D91946B" w14:textId="77777777" w:rsidR="004C60D1" w:rsidRPr="00985E42" w:rsidRDefault="004C60D1" w:rsidP="004C60D1">
      <w:pPr>
        <w:pStyle w:val="ListParagraph"/>
        <w:numPr>
          <w:ilvl w:val="0"/>
          <w:numId w:val="10"/>
        </w:numPr>
        <w:spacing w:line="240" w:lineRule="auto"/>
        <w:rPr>
          <w:rFonts w:cstheme="minorHAnsi"/>
          <w:lang w:val="en-US"/>
        </w:rPr>
      </w:pPr>
      <w:r w:rsidRPr="00985E42">
        <w:rPr>
          <w:rFonts w:cstheme="minorHAnsi"/>
          <w:lang w:val="en-US"/>
        </w:rPr>
        <w:t xml:space="preserve">Understand that any partnership needs to be both-way with Aboriginal and Torres Strait Islander organization more astute to their needs, and how a partner might meet them.  </w:t>
      </w:r>
    </w:p>
    <w:p w14:paraId="618A14B0" w14:textId="77777777" w:rsidR="008503D2" w:rsidRPr="00985E42" w:rsidRDefault="008503D2" w:rsidP="00FD7B7E">
      <w:pPr>
        <w:spacing w:line="240" w:lineRule="auto"/>
        <w:jc w:val="both"/>
        <w:rPr>
          <w:rFonts w:cstheme="minorHAnsi"/>
          <w:b/>
          <w:bCs/>
        </w:rPr>
      </w:pPr>
    </w:p>
    <w:p w14:paraId="6B388C99" w14:textId="0C1CC041" w:rsidR="008503D2" w:rsidRPr="00985E42" w:rsidRDefault="008503D2" w:rsidP="00FD7B7E">
      <w:pPr>
        <w:spacing w:line="240" w:lineRule="auto"/>
        <w:jc w:val="both"/>
        <w:rPr>
          <w:rFonts w:cstheme="minorHAnsi"/>
          <w:b/>
          <w:bCs/>
          <w:lang w:val="en-US"/>
        </w:rPr>
      </w:pPr>
    </w:p>
    <w:sectPr w:rsidR="008503D2" w:rsidRPr="00985E42" w:rsidSect="003F699B">
      <w:headerReference w:type="default" r:id="rId11"/>
      <w:footerReference w:type="default" r:id="rId12"/>
      <w:headerReference w:type="first" r:id="rId13"/>
      <w:footerReference w:type="first" r:id="rId14"/>
      <w:pgSz w:w="12240" w:h="15840"/>
      <w:pgMar w:top="1276" w:right="1440" w:bottom="226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5F65" w14:textId="77777777" w:rsidR="007E46DF" w:rsidRDefault="007E46DF" w:rsidP="00565586">
      <w:pPr>
        <w:spacing w:after="0" w:line="240" w:lineRule="auto"/>
      </w:pPr>
      <w:r>
        <w:separator/>
      </w:r>
    </w:p>
  </w:endnote>
  <w:endnote w:type="continuationSeparator" w:id="0">
    <w:p w14:paraId="277FF17F" w14:textId="77777777" w:rsidR="007E46DF" w:rsidRDefault="007E46DF" w:rsidP="0056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re Sans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1BAC" w14:textId="2D7D773A" w:rsidR="00C73E85" w:rsidRPr="00C73E85" w:rsidRDefault="00C73E85" w:rsidP="00C73E85">
    <w:pPr>
      <w:pStyle w:val="Footer"/>
      <w:rPr>
        <w:rFonts w:ascii="Quire Sans Light" w:hAnsi="Quire Sans Light"/>
        <w:b/>
        <w:bCs/>
        <w:sz w:val="24"/>
        <w:szCs w:val="24"/>
      </w:rPr>
    </w:pPr>
    <w:r>
      <w:rPr>
        <w:noProof/>
      </w:rPr>
      <w:drawing>
        <wp:anchor distT="0" distB="0" distL="114300" distR="114300" simplePos="0" relativeHeight="251660288" behindDoc="1" locked="0" layoutInCell="1" allowOverlap="1" wp14:anchorId="50096FC6" wp14:editId="1511D40D">
          <wp:simplePos x="0" y="0"/>
          <wp:positionH relativeFrom="margin">
            <wp:posOffset>177377</wp:posOffset>
          </wp:positionH>
          <wp:positionV relativeFrom="paragraph">
            <wp:posOffset>-184573</wp:posOffset>
          </wp:positionV>
          <wp:extent cx="2099310" cy="518795"/>
          <wp:effectExtent l="0" t="0" r="0" b="0"/>
          <wp:wrapTight wrapText="bothSides">
            <wp:wrapPolygon edited="0">
              <wp:start x="0" y="0"/>
              <wp:lineTo x="0" y="20622"/>
              <wp:lineTo x="21365" y="20622"/>
              <wp:lineTo x="21365" y="0"/>
              <wp:lineTo x="0" y="0"/>
            </wp:wrapPolygon>
          </wp:wrapTight>
          <wp:docPr id="1321453421" name="Picture 13214534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07061" name="Picture 21650706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5187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C73E85">
      <w:rPr>
        <w:sz w:val="24"/>
        <w:szCs w:val="24"/>
      </w:rPr>
      <w:t xml:space="preserve"> </w:t>
    </w:r>
    <w:r w:rsidRPr="00C73E85">
      <w:rPr>
        <w:rFonts w:ascii="Quire Sans Light" w:hAnsi="Quire Sans Light"/>
        <w:b/>
        <w:bCs/>
        <w:sz w:val="24"/>
        <w:szCs w:val="24"/>
      </w:rPr>
      <w:t>FIRST NATIONS NON</w:t>
    </w:r>
    <w:r>
      <w:rPr>
        <w:rFonts w:ascii="Quire Sans Light" w:hAnsi="Quire Sans Light"/>
        <w:b/>
        <w:bCs/>
        <w:sz w:val="24"/>
        <w:szCs w:val="24"/>
      </w:rPr>
      <w:t>-</w:t>
    </w:r>
    <w:r w:rsidRPr="00C73E85">
      <w:rPr>
        <w:rFonts w:ascii="Quire Sans Light" w:hAnsi="Quire Sans Light"/>
        <w:b/>
        <w:bCs/>
        <w:sz w:val="24"/>
        <w:szCs w:val="24"/>
      </w:rPr>
      <w:t>GOVERNMENT ALLIANCE</w:t>
    </w:r>
  </w:p>
  <w:p w14:paraId="0B58324C" w14:textId="77777777" w:rsidR="00C73E85" w:rsidRDefault="00C73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776031"/>
      <w:docPartObj>
        <w:docPartGallery w:val="Page Numbers (Bottom of Page)"/>
        <w:docPartUnique/>
      </w:docPartObj>
    </w:sdtPr>
    <w:sdtEndPr>
      <w:rPr>
        <w:noProof/>
      </w:rPr>
    </w:sdtEndPr>
    <w:sdtContent>
      <w:p w14:paraId="57BACC9D" w14:textId="7FEB690F" w:rsidR="00D0426D" w:rsidRDefault="00D042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62EB5" w14:textId="05C45342" w:rsidR="00C73E85" w:rsidRPr="00C73E85" w:rsidRDefault="00C73E85">
    <w:pPr>
      <w:pStyle w:val="Footer"/>
      <w:rPr>
        <w:rFonts w:ascii="Quire Sans Light" w:hAnsi="Quire Sans Light"/>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D74A" w14:textId="77777777" w:rsidR="007E46DF" w:rsidRDefault="007E46DF" w:rsidP="00565586">
      <w:pPr>
        <w:spacing w:after="0" w:line="240" w:lineRule="auto"/>
      </w:pPr>
      <w:r>
        <w:separator/>
      </w:r>
    </w:p>
  </w:footnote>
  <w:footnote w:type="continuationSeparator" w:id="0">
    <w:p w14:paraId="15E09D8A" w14:textId="77777777" w:rsidR="007E46DF" w:rsidRDefault="007E46DF" w:rsidP="00565586">
      <w:pPr>
        <w:spacing w:after="0" w:line="240" w:lineRule="auto"/>
      </w:pPr>
      <w:r>
        <w:continuationSeparator/>
      </w:r>
    </w:p>
  </w:footnote>
  <w:footnote w:id="1">
    <w:p w14:paraId="445E46E0" w14:textId="77777777" w:rsidR="005F0B9A" w:rsidRDefault="005F0B9A" w:rsidP="005F0B9A">
      <w:pPr>
        <w:pStyle w:val="FootnoteText"/>
      </w:pPr>
      <w:r>
        <w:rPr>
          <w:rStyle w:val="FootnoteReference"/>
          <w:color w:val="auto"/>
        </w:rPr>
        <w:footnoteRef/>
      </w:r>
      <w:r>
        <w:rPr>
          <w:color w:val="auto"/>
        </w:rPr>
        <w:t xml:space="preserve"> M Bamblett &amp; P Lewis, ‘Detoxifying the child and family welfare system for Australian Indigenous peoples: Self-determination, rights and culture as the critical tools’, The First Peoples Child &amp; Family Review, vol. 3, no. 3, 2007, pp. 43–56</w:t>
      </w:r>
    </w:p>
  </w:footnote>
  <w:footnote w:id="2">
    <w:p w14:paraId="6FD1E8CC" w14:textId="77777777" w:rsidR="005F0B9A" w:rsidRDefault="005F0B9A" w:rsidP="005F0B9A">
      <w:pPr>
        <w:pStyle w:val="FootnoteText"/>
      </w:pPr>
      <w:r>
        <w:rPr>
          <w:rStyle w:val="FootnoteReference"/>
          <w:color w:val="auto"/>
        </w:rPr>
        <w:footnoteRef/>
      </w:r>
      <w:r>
        <w:rPr>
          <w:color w:val="auto"/>
        </w:rPr>
        <w:t xml:space="preserve"> </w:t>
      </w:r>
      <w:r>
        <w:rPr>
          <w:color w:val="auto"/>
          <w:szCs w:val="16"/>
        </w:rPr>
        <w:t>For example: 1,144 of 11,777 or 9.7% of access decisions in our three regions are represented by children who are Aboriginal and or Torres Strait Islander, this is significantly above the population level of Aboriginal and Torres Strait Islander people in our three regions of: Caboolture/Strathpine 3.9%; Brisbane 1.8% and; Logan/Beenleigh 4.2%.</w:t>
      </w:r>
    </w:p>
  </w:footnote>
  <w:footnote w:id="3">
    <w:p w14:paraId="62DCC9C0" w14:textId="77777777" w:rsidR="005F0B9A" w:rsidRDefault="005F0B9A" w:rsidP="005F0B9A">
      <w:pPr>
        <w:pStyle w:val="FootnoteText"/>
        <w:rPr>
          <w:color w:val="auto"/>
        </w:rPr>
      </w:pPr>
      <w:r>
        <w:rPr>
          <w:rStyle w:val="FootnoteReference"/>
          <w:color w:val="auto"/>
        </w:rPr>
        <w:footnoteRef/>
      </w:r>
      <w:r>
        <w:rPr>
          <w:color w:val="auto"/>
        </w:rPr>
        <w:t xml:space="preserve"> Grandmother’s Story was told as part of digital story for The Benevolent Society and IHIU with consent to share given by the family on the 1</w:t>
      </w:r>
      <w:r>
        <w:rPr>
          <w:color w:val="auto"/>
          <w:vertAlign w:val="superscript"/>
        </w:rPr>
        <w:t xml:space="preserve">st </w:t>
      </w:r>
      <w:r>
        <w:rPr>
          <w:color w:val="auto"/>
        </w:rPr>
        <w:t>of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B34A" w14:textId="2B3BC782" w:rsidR="00565586" w:rsidRDefault="00565586" w:rsidP="005655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8797" w14:textId="1D53466F" w:rsidR="00C03E9D" w:rsidRDefault="00C03E9D">
    <w:pPr>
      <w:pStyle w:val="Header"/>
      <w:jc w:val="right"/>
    </w:pPr>
  </w:p>
  <w:p w14:paraId="786E81C4" w14:textId="76A31B74" w:rsidR="00565586" w:rsidRDefault="00565586" w:rsidP="005655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9BF"/>
    <w:multiLevelType w:val="hybridMultilevel"/>
    <w:tmpl w:val="4E8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E317B"/>
    <w:multiLevelType w:val="hybridMultilevel"/>
    <w:tmpl w:val="EDB8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B0257"/>
    <w:multiLevelType w:val="hybridMultilevel"/>
    <w:tmpl w:val="1E2E32F4"/>
    <w:lvl w:ilvl="0" w:tplc="E34682E6">
      <w:start w:val="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4070C"/>
    <w:multiLevelType w:val="hybridMultilevel"/>
    <w:tmpl w:val="FE64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1608C"/>
    <w:multiLevelType w:val="hybridMultilevel"/>
    <w:tmpl w:val="7128A03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45E76224"/>
    <w:multiLevelType w:val="hybridMultilevel"/>
    <w:tmpl w:val="7F0C7992"/>
    <w:lvl w:ilvl="0" w:tplc="B9FC8F28">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6864DBF"/>
    <w:multiLevelType w:val="hybridMultilevel"/>
    <w:tmpl w:val="A07ACEF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534013B0"/>
    <w:multiLevelType w:val="hybridMultilevel"/>
    <w:tmpl w:val="0F488E82"/>
    <w:lvl w:ilvl="0" w:tplc="B9FC8F28">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796205"/>
    <w:multiLevelType w:val="hybridMultilevel"/>
    <w:tmpl w:val="26BEB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35943"/>
    <w:multiLevelType w:val="hybridMultilevel"/>
    <w:tmpl w:val="E8661E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656150976">
    <w:abstractNumId w:val="8"/>
  </w:num>
  <w:num w:numId="2" w16cid:durableId="1979411399">
    <w:abstractNumId w:val="3"/>
  </w:num>
  <w:num w:numId="3" w16cid:durableId="1350571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608968">
    <w:abstractNumId w:val="2"/>
  </w:num>
  <w:num w:numId="5" w16cid:durableId="1272709291">
    <w:abstractNumId w:val="9"/>
  </w:num>
  <w:num w:numId="6" w16cid:durableId="1958367530">
    <w:abstractNumId w:val="7"/>
  </w:num>
  <w:num w:numId="7" w16cid:durableId="458299908">
    <w:abstractNumId w:val="5"/>
  </w:num>
  <w:num w:numId="8" w16cid:durableId="409932878">
    <w:abstractNumId w:val="4"/>
  </w:num>
  <w:num w:numId="9" w16cid:durableId="643584438">
    <w:abstractNumId w:val="0"/>
  </w:num>
  <w:num w:numId="10" w16cid:durableId="341398031">
    <w:abstractNumId w:val="6"/>
  </w:num>
  <w:num w:numId="11" w16cid:durableId="17596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86"/>
    <w:rsid w:val="00000208"/>
    <w:rsid w:val="00014AA3"/>
    <w:rsid w:val="0002075A"/>
    <w:rsid w:val="00020C67"/>
    <w:rsid w:val="00025504"/>
    <w:rsid w:val="000316B1"/>
    <w:rsid w:val="00036E50"/>
    <w:rsid w:val="00040B22"/>
    <w:rsid w:val="00040D08"/>
    <w:rsid w:val="000641E7"/>
    <w:rsid w:val="0006696A"/>
    <w:rsid w:val="00072246"/>
    <w:rsid w:val="000831FF"/>
    <w:rsid w:val="00083EA0"/>
    <w:rsid w:val="000A3088"/>
    <w:rsid w:val="000C2326"/>
    <w:rsid w:val="000C3FF6"/>
    <w:rsid w:val="000C4B39"/>
    <w:rsid w:val="000C7CD6"/>
    <w:rsid w:val="000D4D75"/>
    <w:rsid w:val="000E39AC"/>
    <w:rsid w:val="000E4867"/>
    <w:rsid w:val="000E6EA3"/>
    <w:rsid w:val="000F16C6"/>
    <w:rsid w:val="000F16FD"/>
    <w:rsid w:val="000F1D88"/>
    <w:rsid w:val="00105CFC"/>
    <w:rsid w:val="00105F6B"/>
    <w:rsid w:val="00110A5E"/>
    <w:rsid w:val="00114218"/>
    <w:rsid w:val="0011484E"/>
    <w:rsid w:val="00114A8E"/>
    <w:rsid w:val="00126CC8"/>
    <w:rsid w:val="00127279"/>
    <w:rsid w:val="001305AE"/>
    <w:rsid w:val="0014141C"/>
    <w:rsid w:val="00165459"/>
    <w:rsid w:val="00176828"/>
    <w:rsid w:val="001900A0"/>
    <w:rsid w:val="001A03DA"/>
    <w:rsid w:val="001A31C0"/>
    <w:rsid w:val="001B006D"/>
    <w:rsid w:val="001B55B9"/>
    <w:rsid w:val="001B6A9C"/>
    <w:rsid w:val="001D0BDB"/>
    <w:rsid w:val="001D436E"/>
    <w:rsid w:val="001D4E1C"/>
    <w:rsid w:val="001F30EC"/>
    <w:rsid w:val="0020323B"/>
    <w:rsid w:val="002061A8"/>
    <w:rsid w:val="002125FD"/>
    <w:rsid w:val="002137FA"/>
    <w:rsid w:val="00235BF3"/>
    <w:rsid w:val="002460DD"/>
    <w:rsid w:val="00246477"/>
    <w:rsid w:val="002547F5"/>
    <w:rsid w:val="00267F9A"/>
    <w:rsid w:val="00281442"/>
    <w:rsid w:val="00286F16"/>
    <w:rsid w:val="0029483D"/>
    <w:rsid w:val="00295C9F"/>
    <w:rsid w:val="002A17D3"/>
    <w:rsid w:val="002A34F8"/>
    <w:rsid w:val="002A39D5"/>
    <w:rsid w:val="002B778B"/>
    <w:rsid w:val="002C0DE4"/>
    <w:rsid w:val="002C5150"/>
    <w:rsid w:val="002D0223"/>
    <w:rsid w:val="002E3887"/>
    <w:rsid w:val="002E5AF0"/>
    <w:rsid w:val="002E5DA8"/>
    <w:rsid w:val="002E61B1"/>
    <w:rsid w:val="002E717E"/>
    <w:rsid w:val="002E76A0"/>
    <w:rsid w:val="002F1D7F"/>
    <w:rsid w:val="002F2472"/>
    <w:rsid w:val="0030156C"/>
    <w:rsid w:val="00310AA3"/>
    <w:rsid w:val="0031691F"/>
    <w:rsid w:val="0032003F"/>
    <w:rsid w:val="00323C63"/>
    <w:rsid w:val="00324766"/>
    <w:rsid w:val="003263B3"/>
    <w:rsid w:val="00335835"/>
    <w:rsid w:val="00336B73"/>
    <w:rsid w:val="00340293"/>
    <w:rsid w:val="00342F39"/>
    <w:rsid w:val="00351F77"/>
    <w:rsid w:val="00352720"/>
    <w:rsid w:val="00366CE7"/>
    <w:rsid w:val="00372FB2"/>
    <w:rsid w:val="003832AC"/>
    <w:rsid w:val="00384D6F"/>
    <w:rsid w:val="00397D95"/>
    <w:rsid w:val="003C7900"/>
    <w:rsid w:val="003D2FCB"/>
    <w:rsid w:val="003D6B16"/>
    <w:rsid w:val="003E27CA"/>
    <w:rsid w:val="003F2450"/>
    <w:rsid w:val="003F699B"/>
    <w:rsid w:val="003F70C0"/>
    <w:rsid w:val="00402056"/>
    <w:rsid w:val="00403D6F"/>
    <w:rsid w:val="0040614E"/>
    <w:rsid w:val="00407DF0"/>
    <w:rsid w:val="004171D4"/>
    <w:rsid w:val="00420347"/>
    <w:rsid w:val="00420415"/>
    <w:rsid w:val="00423BD8"/>
    <w:rsid w:val="00430FD5"/>
    <w:rsid w:val="00431605"/>
    <w:rsid w:val="004323AE"/>
    <w:rsid w:val="004332EB"/>
    <w:rsid w:val="00435CB4"/>
    <w:rsid w:val="00443907"/>
    <w:rsid w:val="004476C4"/>
    <w:rsid w:val="004541C8"/>
    <w:rsid w:val="00470319"/>
    <w:rsid w:val="004708DA"/>
    <w:rsid w:val="00483C22"/>
    <w:rsid w:val="0049094B"/>
    <w:rsid w:val="004A2FC9"/>
    <w:rsid w:val="004B514C"/>
    <w:rsid w:val="004C35F5"/>
    <w:rsid w:val="004C584A"/>
    <w:rsid w:val="004C60D1"/>
    <w:rsid w:val="004E311C"/>
    <w:rsid w:val="004E438A"/>
    <w:rsid w:val="004E61F2"/>
    <w:rsid w:val="004F2173"/>
    <w:rsid w:val="004F2448"/>
    <w:rsid w:val="004F2CA2"/>
    <w:rsid w:val="004F7B3F"/>
    <w:rsid w:val="005149D2"/>
    <w:rsid w:val="005155FE"/>
    <w:rsid w:val="005204AC"/>
    <w:rsid w:val="005243C4"/>
    <w:rsid w:val="00525D07"/>
    <w:rsid w:val="005308BC"/>
    <w:rsid w:val="0054284D"/>
    <w:rsid w:val="00546E3F"/>
    <w:rsid w:val="00561145"/>
    <w:rsid w:val="00565586"/>
    <w:rsid w:val="0057559E"/>
    <w:rsid w:val="005862E6"/>
    <w:rsid w:val="005A2E3D"/>
    <w:rsid w:val="005A34E9"/>
    <w:rsid w:val="005B1726"/>
    <w:rsid w:val="005C5398"/>
    <w:rsid w:val="005D5A2A"/>
    <w:rsid w:val="005D5AA2"/>
    <w:rsid w:val="005E18FC"/>
    <w:rsid w:val="005E6803"/>
    <w:rsid w:val="005F0B9A"/>
    <w:rsid w:val="005F7FB5"/>
    <w:rsid w:val="0060061A"/>
    <w:rsid w:val="006026CA"/>
    <w:rsid w:val="006058EC"/>
    <w:rsid w:val="006069F6"/>
    <w:rsid w:val="00607A79"/>
    <w:rsid w:val="00607F98"/>
    <w:rsid w:val="006139A9"/>
    <w:rsid w:val="006172F1"/>
    <w:rsid w:val="0062610C"/>
    <w:rsid w:val="0063768A"/>
    <w:rsid w:val="006459C5"/>
    <w:rsid w:val="00653102"/>
    <w:rsid w:val="00662047"/>
    <w:rsid w:val="006668F9"/>
    <w:rsid w:val="00667C66"/>
    <w:rsid w:val="0067057C"/>
    <w:rsid w:val="006734AC"/>
    <w:rsid w:val="00673A2E"/>
    <w:rsid w:val="00680D04"/>
    <w:rsid w:val="00680D2A"/>
    <w:rsid w:val="00692DE7"/>
    <w:rsid w:val="006A6D85"/>
    <w:rsid w:val="006D31D6"/>
    <w:rsid w:val="006D5FB4"/>
    <w:rsid w:val="006E04D0"/>
    <w:rsid w:val="006E1626"/>
    <w:rsid w:val="006F3AEA"/>
    <w:rsid w:val="006F4817"/>
    <w:rsid w:val="00700DD2"/>
    <w:rsid w:val="00704577"/>
    <w:rsid w:val="00711CEE"/>
    <w:rsid w:val="00717967"/>
    <w:rsid w:val="0074532D"/>
    <w:rsid w:val="007469CC"/>
    <w:rsid w:val="00746DD9"/>
    <w:rsid w:val="00751F65"/>
    <w:rsid w:val="00761ACC"/>
    <w:rsid w:val="00762C2F"/>
    <w:rsid w:val="00771553"/>
    <w:rsid w:val="00774074"/>
    <w:rsid w:val="0077558F"/>
    <w:rsid w:val="00776BA6"/>
    <w:rsid w:val="00780E8A"/>
    <w:rsid w:val="007835D2"/>
    <w:rsid w:val="00787A83"/>
    <w:rsid w:val="00792E6F"/>
    <w:rsid w:val="007A51E4"/>
    <w:rsid w:val="007A684C"/>
    <w:rsid w:val="007B24CD"/>
    <w:rsid w:val="007B5DBB"/>
    <w:rsid w:val="007B6583"/>
    <w:rsid w:val="007B6D10"/>
    <w:rsid w:val="007C03DC"/>
    <w:rsid w:val="007C5EFB"/>
    <w:rsid w:val="007C6BB7"/>
    <w:rsid w:val="007D4A85"/>
    <w:rsid w:val="007E30D6"/>
    <w:rsid w:val="007E46DF"/>
    <w:rsid w:val="007F2A05"/>
    <w:rsid w:val="007F463A"/>
    <w:rsid w:val="00801CA3"/>
    <w:rsid w:val="008127AB"/>
    <w:rsid w:val="00822D32"/>
    <w:rsid w:val="00822F34"/>
    <w:rsid w:val="00823D11"/>
    <w:rsid w:val="00824EAE"/>
    <w:rsid w:val="00825BE8"/>
    <w:rsid w:val="00826C00"/>
    <w:rsid w:val="00831BCF"/>
    <w:rsid w:val="0084554C"/>
    <w:rsid w:val="008503D2"/>
    <w:rsid w:val="00854F19"/>
    <w:rsid w:val="008554E8"/>
    <w:rsid w:val="00862D3E"/>
    <w:rsid w:val="008648CB"/>
    <w:rsid w:val="00882293"/>
    <w:rsid w:val="00884380"/>
    <w:rsid w:val="00885A02"/>
    <w:rsid w:val="00891D1B"/>
    <w:rsid w:val="00892146"/>
    <w:rsid w:val="00892B93"/>
    <w:rsid w:val="00896888"/>
    <w:rsid w:val="00897762"/>
    <w:rsid w:val="008A0BE1"/>
    <w:rsid w:val="008A581E"/>
    <w:rsid w:val="008B5CBC"/>
    <w:rsid w:val="008C2387"/>
    <w:rsid w:val="008C7BF6"/>
    <w:rsid w:val="008D2FCB"/>
    <w:rsid w:val="008D69B5"/>
    <w:rsid w:val="008E171F"/>
    <w:rsid w:val="008E27D9"/>
    <w:rsid w:val="009005B1"/>
    <w:rsid w:val="009027C4"/>
    <w:rsid w:val="009028DD"/>
    <w:rsid w:val="009135F8"/>
    <w:rsid w:val="009174F9"/>
    <w:rsid w:val="00922D01"/>
    <w:rsid w:val="009266B9"/>
    <w:rsid w:val="00926DAF"/>
    <w:rsid w:val="0093085B"/>
    <w:rsid w:val="00942324"/>
    <w:rsid w:val="00945303"/>
    <w:rsid w:val="009515C4"/>
    <w:rsid w:val="009540A0"/>
    <w:rsid w:val="00954405"/>
    <w:rsid w:val="009571BC"/>
    <w:rsid w:val="00963596"/>
    <w:rsid w:val="00964088"/>
    <w:rsid w:val="00965790"/>
    <w:rsid w:val="009664DB"/>
    <w:rsid w:val="00971ED4"/>
    <w:rsid w:val="00980D7C"/>
    <w:rsid w:val="00985E42"/>
    <w:rsid w:val="009877E2"/>
    <w:rsid w:val="00990A3C"/>
    <w:rsid w:val="00991358"/>
    <w:rsid w:val="00992DF6"/>
    <w:rsid w:val="009A6D46"/>
    <w:rsid w:val="009B44D6"/>
    <w:rsid w:val="009B4A52"/>
    <w:rsid w:val="009C4ABC"/>
    <w:rsid w:val="009E12DB"/>
    <w:rsid w:val="009E18BC"/>
    <w:rsid w:val="009E410C"/>
    <w:rsid w:val="009E659E"/>
    <w:rsid w:val="009E6E79"/>
    <w:rsid w:val="009F37DB"/>
    <w:rsid w:val="009F5BEF"/>
    <w:rsid w:val="00A05FEC"/>
    <w:rsid w:val="00A214FC"/>
    <w:rsid w:val="00A2168D"/>
    <w:rsid w:val="00A2375D"/>
    <w:rsid w:val="00A23F07"/>
    <w:rsid w:val="00A2638D"/>
    <w:rsid w:val="00A277DF"/>
    <w:rsid w:val="00A31C17"/>
    <w:rsid w:val="00A51CAE"/>
    <w:rsid w:val="00A56AA8"/>
    <w:rsid w:val="00A74F42"/>
    <w:rsid w:val="00A85EA6"/>
    <w:rsid w:val="00AB3127"/>
    <w:rsid w:val="00AB5BEB"/>
    <w:rsid w:val="00AC2B88"/>
    <w:rsid w:val="00AC5C90"/>
    <w:rsid w:val="00AD4268"/>
    <w:rsid w:val="00AD61C4"/>
    <w:rsid w:val="00AE3C8F"/>
    <w:rsid w:val="00AE4611"/>
    <w:rsid w:val="00AE79D2"/>
    <w:rsid w:val="00AF5F8D"/>
    <w:rsid w:val="00B0105D"/>
    <w:rsid w:val="00B05FB7"/>
    <w:rsid w:val="00B06BE1"/>
    <w:rsid w:val="00B1223D"/>
    <w:rsid w:val="00B17B3C"/>
    <w:rsid w:val="00B20464"/>
    <w:rsid w:val="00B27AD4"/>
    <w:rsid w:val="00B30CA1"/>
    <w:rsid w:val="00B32511"/>
    <w:rsid w:val="00B32931"/>
    <w:rsid w:val="00B41B88"/>
    <w:rsid w:val="00B50B4E"/>
    <w:rsid w:val="00B50DC6"/>
    <w:rsid w:val="00B51B1F"/>
    <w:rsid w:val="00B628D7"/>
    <w:rsid w:val="00B645FE"/>
    <w:rsid w:val="00B70B39"/>
    <w:rsid w:val="00B70BEF"/>
    <w:rsid w:val="00B756EC"/>
    <w:rsid w:val="00B7662B"/>
    <w:rsid w:val="00B84018"/>
    <w:rsid w:val="00B90F16"/>
    <w:rsid w:val="00B951A3"/>
    <w:rsid w:val="00BA5C10"/>
    <w:rsid w:val="00BB5512"/>
    <w:rsid w:val="00BC2CF6"/>
    <w:rsid w:val="00BC32A9"/>
    <w:rsid w:val="00BC3847"/>
    <w:rsid w:val="00BC472D"/>
    <w:rsid w:val="00BC49B7"/>
    <w:rsid w:val="00BD22E9"/>
    <w:rsid w:val="00BE0620"/>
    <w:rsid w:val="00BE13E3"/>
    <w:rsid w:val="00BE30AA"/>
    <w:rsid w:val="00BE313C"/>
    <w:rsid w:val="00BE34BE"/>
    <w:rsid w:val="00BE4356"/>
    <w:rsid w:val="00BE454E"/>
    <w:rsid w:val="00C01CE1"/>
    <w:rsid w:val="00C0202D"/>
    <w:rsid w:val="00C03E9D"/>
    <w:rsid w:val="00C07D9F"/>
    <w:rsid w:val="00C12A9B"/>
    <w:rsid w:val="00C13AAE"/>
    <w:rsid w:val="00C1565C"/>
    <w:rsid w:val="00C2283A"/>
    <w:rsid w:val="00C34F2D"/>
    <w:rsid w:val="00C368A2"/>
    <w:rsid w:val="00C42BD7"/>
    <w:rsid w:val="00C43530"/>
    <w:rsid w:val="00C54D2D"/>
    <w:rsid w:val="00C56255"/>
    <w:rsid w:val="00C738E4"/>
    <w:rsid w:val="00C73E85"/>
    <w:rsid w:val="00C75A0D"/>
    <w:rsid w:val="00C91518"/>
    <w:rsid w:val="00C94817"/>
    <w:rsid w:val="00CA6C4F"/>
    <w:rsid w:val="00CB4283"/>
    <w:rsid w:val="00CB77CD"/>
    <w:rsid w:val="00CC0D39"/>
    <w:rsid w:val="00CC5BE2"/>
    <w:rsid w:val="00CC617F"/>
    <w:rsid w:val="00CD1C74"/>
    <w:rsid w:val="00CE18D0"/>
    <w:rsid w:val="00CF2EA8"/>
    <w:rsid w:val="00CF4590"/>
    <w:rsid w:val="00CF6A18"/>
    <w:rsid w:val="00D0426D"/>
    <w:rsid w:val="00D066B7"/>
    <w:rsid w:val="00D10BB7"/>
    <w:rsid w:val="00D42DDF"/>
    <w:rsid w:val="00D574B1"/>
    <w:rsid w:val="00D627EB"/>
    <w:rsid w:val="00D634E2"/>
    <w:rsid w:val="00D64146"/>
    <w:rsid w:val="00D6709F"/>
    <w:rsid w:val="00D813B5"/>
    <w:rsid w:val="00D87B0F"/>
    <w:rsid w:val="00D90A6C"/>
    <w:rsid w:val="00DA649F"/>
    <w:rsid w:val="00DB4904"/>
    <w:rsid w:val="00DB5D8A"/>
    <w:rsid w:val="00DC2180"/>
    <w:rsid w:val="00DC6214"/>
    <w:rsid w:val="00DD313E"/>
    <w:rsid w:val="00DD369A"/>
    <w:rsid w:val="00DE73D2"/>
    <w:rsid w:val="00E05666"/>
    <w:rsid w:val="00E06C0B"/>
    <w:rsid w:val="00E06C99"/>
    <w:rsid w:val="00E13D9F"/>
    <w:rsid w:val="00E27E9C"/>
    <w:rsid w:val="00E31903"/>
    <w:rsid w:val="00E31D72"/>
    <w:rsid w:val="00E37B79"/>
    <w:rsid w:val="00E44EB0"/>
    <w:rsid w:val="00E466FC"/>
    <w:rsid w:val="00E57D39"/>
    <w:rsid w:val="00E63B70"/>
    <w:rsid w:val="00E67580"/>
    <w:rsid w:val="00E75ADF"/>
    <w:rsid w:val="00E815BA"/>
    <w:rsid w:val="00E823D8"/>
    <w:rsid w:val="00E83FE1"/>
    <w:rsid w:val="00E87125"/>
    <w:rsid w:val="00EA250C"/>
    <w:rsid w:val="00EC1086"/>
    <w:rsid w:val="00EC7E31"/>
    <w:rsid w:val="00EE1603"/>
    <w:rsid w:val="00EF30C6"/>
    <w:rsid w:val="00EF4DE9"/>
    <w:rsid w:val="00EF7A00"/>
    <w:rsid w:val="00F01BCF"/>
    <w:rsid w:val="00F02627"/>
    <w:rsid w:val="00F02E57"/>
    <w:rsid w:val="00F0687C"/>
    <w:rsid w:val="00F119E1"/>
    <w:rsid w:val="00F14987"/>
    <w:rsid w:val="00F169F5"/>
    <w:rsid w:val="00F32607"/>
    <w:rsid w:val="00F32F7A"/>
    <w:rsid w:val="00F364E9"/>
    <w:rsid w:val="00F366D6"/>
    <w:rsid w:val="00F36D71"/>
    <w:rsid w:val="00F37B89"/>
    <w:rsid w:val="00F41AB0"/>
    <w:rsid w:val="00F53FBB"/>
    <w:rsid w:val="00F564BC"/>
    <w:rsid w:val="00F609EB"/>
    <w:rsid w:val="00F66427"/>
    <w:rsid w:val="00F71D3A"/>
    <w:rsid w:val="00F7404D"/>
    <w:rsid w:val="00F8052B"/>
    <w:rsid w:val="00F84FEA"/>
    <w:rsid w:val="00F86596"/>
    <w:rsid w:val="00F90141"/>
    <w:rsid w:val="00F9406B"/>
    <w:rsid w:val="00FA2C4A"/>
    <w:rsid w:val="00FA5CF3"/>
    <w:rsid w:val="00FA6474"/>
    <w:rsid w:val="00FA6D22"/>
    <w:rsid w:val="00FB05C4"/>
    <w:rsid w:val="00FB34CD"/>
    <w:rsid w:val="00FC2FCC"/>
    <w:rsid w:val="00FD05B0"/>
    <w:rsid w:val="00FD6A8A"/>
    <w:rsid w:val="00FD7B7E"/>
    <w:rsid w:val="00FE730B"/>
    <w:rsid w:val="00FE7F88"/>
    <w:rsid w:val="00FF0E5C"/>
    <w:rsid w:val="00FF22FB"/>
    <w:rsid w:val="00FF5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56D7F"/>
  <w15:chartTrackingRefBased/>
  <w15:docId w15:val="{002F7044-440B-4C5B-9AD2-1354E429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F0B9A"/>
    <w:pPr>
      <w:spacing w:after="0" w:line="565" w:lineRule="exact"/>
      <w:ind w:left="20"/>
      <w:outlineLvl w:val="1"/>
    </w:pPr>
    <w:rPr>
      <w:rFonts w:ascii="Calibri" w:eastAsiaTheme="minorEastAsia"/>
      <w:b/>
      <w:color w:val="231F20"/>
      <w:sz w:val="5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586"/>
  </w:style>
  <w:style w:type="paragraph" w:styleId="Footer">
    <w:name w:val="footer"/>
    <w:basedOn w:val="Normal"/>
    <w:link w:val="FooterChar"/>
    <w:uiPriority w:val="99"/>
    <w:unhideWhenUsed/>
    <w:rsid w:val="00565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586"/>
  </w:style>
  <w:style w:type="paragraph" w:styleId="ListParagraph">
    <w:name w:val="List Paragraph"/>
    <w:basedOn w:val="Normal"/>
    <w:uiPriority w:val="34"/>
    <w:qFormat/>
    <w:rsid w:val="00565586"/>
    <w:pPr>
      <w:ind w:left="720"/>
      <w:contextualSpacing/>
    </w:pPr>
  </w:style>
  <w:style w:type="table" w:styleId="TableGrid">
    <w:name w:val="Table Grid"/>
    <w:basedOn w:val="TableNormal"/>
    <w:uiPriority w:val="39"/>
    <w:rsid w:val="00CF6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0B9A"/>
    <w:rPr>
      <w:rFonts w:ascii="Calibri" w:eastAsiaTheme="minorEastAsia"/>
      <w:b/>
      <w:color w:val="231F20"/>
      <w:sz w:val="52"/>
      <w:szCs w:val="24"/>
      <w:lang w:val="en-US"/>
    </w:rPr>
  </w:style>
  <w:style w:type="paragraph" w:styleId="FootnoteText">
    <w:name w:val="footnote text"/>
    <w:basedOn w:val="Normal"/>
    <w:link w:val="FootnoteTextChar"/>
    <w:uiPriority w:val="99"/>
    <w:semiHidden/>
    <w:unhideWhenUsed/>
    <w:rsid w:val="005F0B9A"/>
    <w:pPr>
      <w:spacing w:after="0" w:line="188" w:lineRule="exact"/>
      <w:ind w:left="20"/>
    </w:pPr>
    <w:rPr>
      <w:rFonts w:ascii="Calibri" w:eastAsiaTheme="minorEastAsia"/>
      <w:color w:val="1696C6"/>
      <w:sz w:val="16"/>
      <w:szCs w:val="24"/>
      <w:lang w:val="en-US"/>
    </w:rPr>
  </w:style>
  <w:style w:type="character" w:customStyle="1" w:styleId="FootnoteTextChar">
    <w:name w:val="Footnote Text Char"/>
    <w:basedOn w:val="DefaultParagraphFont"/>
    <w:link w:val="FootnoteText"/>
    <w:uiPriority w:val="99"/>
    <w:semiHidden/>
    <w:rsid w:val="005F0B9A"/>
    <w:rPr>
      <w:rFonts w:ascii="Calibri" w:eastAsiaTheme="minorEastAsia"/>
      <w:color w:val="1696C6"/>
      <w:sz w:val="16"/>
      <w:szCs w:val="24"/>
      <w:lang w:val="en-US"/>
    </w:rPr>
  </w:style>
  <w:style w:type="paragraph" w:customStyle="1" w:styleId="BodyCopyBenevolent">
    <w:name w:val="Body Copy Benevolent"/>
    <w:basedOn w:val="Normal"/>
    <w:qFormat/>
    <w:rsid w:val="005F0B9A"/>
    <w:pPr>
      <w:spacing w:after="0" w:line="280" w:lineRule="exact"/>
      <w:ind w:right="1080"/>
    </w:pPr>
    <w:rPr>
      <w:rFonts w:eastAsiaTheme="minorEastAsia"/>
      <w:lang w:val="en-US"/>
    </w:rPr>
  </w:style>
  <w:style w:type="paragraph" w:customStyle="1" w:styleId="L3Header">
    <w:name w:val="L3 Header"/>
    <w:basedOn w:val="Normal"/>
    <w:qFormat/>
    <w:rsid w:val="005F0B9A"/>
    <w:pPr>
      <w:spacing w:after="0" w:line="320" w:lineRule="exact"/>
    </w:pPr>
    <w:rPr>
      <w:rFonts w:eastAsiaTheme="minorEastAsia"/>
      <w:b/>
      <w:bCs/>
      <w:color w:val="4472C4" w:themeColor="accent1"/>
      <w:sz w:val="28"/>
      <w:szCs w:val="28"/>
      <w:lang w:val="en-US"/>
    </w:rPr>
  </w:style>
  <w:style w:type="character" w:styleId="FootnoteReference">
    <w:name w:val="footnote reference"/>
    <w:basedOn w:val="DefaultParagraphFont"/>
    <w:uiPriority w:val="99"/>
    <w:semiHidden/>
    <w:unhideWhenUsed/>
    <w:rsid w:val="005F0B9A"/>
    <w:rPr>
      <w:vertAlign w:val="superscript"/>
    </w:rPr>
  </w:style>
  <w:style w:type="character" w:styleId="Strong">
    <w:name w:val="Strong"/>
    <w:basedOn w:val="DefaultParagraphFont"/>
    <w:uiPriority w:val="22"/>
    <w:qFormat/>
    <w:rsid w:val="005F0B9A"/>
    <w:rPr>
      <w:b/>
      <w:bCs/>
    </w:rPr>
  </w:style>
  <w:style w:type="paragraph" w:styleId="Revision">
    <w:name w:val="Revision"/>
    <w:hidden/>
    <w:uiPriority w:val="99"/>
    <w:semiHidden/>
    <w:rsid w:val="00954405"/>
    <w:pPr>
      <w:spacing w:after="0" w:line="240" w:lineRule="auto"/>
    </w:pPr>
  </w:style>
  <w:style w:type="paragraph" w:styleId="Title">
    <w:name w:val="Title"/>
    <w:basedOn w:val="Normal"/>
    <w:next w:val="Normal"/>
    <w:link w:val="TitleChar"/>
    <w:uiPriority w:val="10"/>
    <w:qFormat/>
    <w:rsid w:val="00607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A7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7662B"/>
    <w:rPr>
      <w:sz w:val="16"/>
      <w:szCs w:val="16"/>
    </w:rPr>
  </w:style>
  <w:style w:type="paragraph" w:styleId="CommentText">
    <w:name w:val="annotation text"/>
    <w:basedOn w:val="Normal"/>
    <w:link w:val="CommentTextChar"/>
    <w:uiPriority w:val="99"/>
    <w:unhideWhenUsed/>
    <w:rsid w:val="00B7662B"/>
    <w:pPr>
      <w:spacing w:line="240" w:lineRule="auto"/>
    </w:pPr>
    <w:rPr>
      <w:sz w:val="20"/>
      <w:szCs w:val="20"/>
    </w:rPr>
  </w:style>
  <w:style w:type="character" w:customStyle="1" w:styleId="CommentTextChar">
    <w:name w:val="Comment Text Char"/>
    <w:basedOn w:val="DefaultParagraphFont"/>
    <w:link w:val="CommentText"/>
    <w:uiPriority w:val="99"/>
    <w:rsid w:val="00B7662B"/>
    <w:rPr>
      <w:sz w:val="20"/>
      <w:szCs w:val="20"/>
    </w:rPr>
  </w:style>
  <w:style w:type="paragraph" w:styleId="CommentSubject">
    <w:name w:val="annotation subject"/>
    <w:basedOn w:val="CommentText"/>
    <w:next w:val="CommentText"/>
    <w:link w:val="CommentSubjectChar"/>
    <w:uiPriority w:val="99"/>
    <w:semiHidden/>
    <w:unhideWhenUsed/>
    <w:rsid w:val="00B7662B"/>
    <w:rPr>
      <w:b/>
      <w:bCs/>
    </w:rPr>
  </w:style>
  <w:style w:type="character" w:customStyle="1" w:styleId="CommentSubjectChar">
    <w:name w:val="Comment Subject Char"/>
    <w:basedOn w:val="CommentTextChar"/>
    <w:link w:val="CommentSubject"/>
    <w:uiPriority w:val="99"/>
    <w:semiHidden/>
    <w:rsid w:val="00B7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63594">
      <w:bodyDiv w:val="1"/>
      <w:marLeft w:val="0"/>
      <w:marRight w:val="0"/>
      <w:marTop w:val="0"/>
      <w:marBottom w:val="0"/>
      <w:divBdr>
        <w:top w:val="none" w:sz="0" w:space="0" w:color="auto"/>
        <w:left w:val="none" w:sz="0" w:space="0" w:color="auto"/>
        <w:bottom w:val="none" w:sz="0" w:space="0" w:color="auto"/>
        <w:right w:val="none" w:sz="0" w:space="0" w:color="auto"/>
      </w:divBdr>
    </w:div>
    <w:div w:id="1323461016">
      <w:bodyDiv w:val="1"/>
      <w:marLeft w:val="0"/>
      <w:marRight w:val="0"/>
      <w:marTop w:val="0"/>
      <w:marBottom w:val="0"/>
      <w:divBdr>
        <w:top w:val="none" w:sz="0" w:space="0" w:color="auto"/>
        <w:left w:val="none" w:sz="0" w:space="0" w:color="auto"/>
        <w:bottom w:val="none" w:sz="0" w:space="0" w:color="auto"/>
        <w:right w:val="none" w:sz="0" w:space="0" w:color="auto"/>
      </w:divBdr>
    </w:div>
    <w:div w:id="1455632264">
      <w:bodyDiv w:val="1"/>
      <w:marLeft w:val="0"/>
      <w:marRight w:val="0"/>
      <w:marTop w:val="0"/>
      <w:marBottom w:val="0"/>
      <w:divBdr>
        <w:top w:val="none" w:sz="0" w:space="0" w:color="auto"/>
        <w:left w:val="none" w:sz="0" w:space="0" w:color="auto"/>
        <w:bottom w:val="none" w:sz="0" w:space="0" w:color="auto"/>
        <w:right w:val="none" w:sz="0" w:space="0" w:color="auto"/>
      </w:divBdr>
    </w:div>
    <w:div w:id="21217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f5e18051250712ad31793556331de07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590560274e91a9355e92cd1a0cef75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452E63-480C-4886-9DB1-939CB7D27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96125-FAFA-4509-9D5A-B0AE60D0DE68}">
  <ds:schemaRefs>
    <ds:schemaRef ds:uri="http://schemas.microsoft.com/sharepoint/v3/contenttype/forms"/>
  </ds:schemaRefs>
</ds:datastoreItem>
</file>

<file path=customXml/itemProps3.xml><?xml version="1.0" encoding="utf-8"?>
<ds:datastoreItem xmlns:ds="http://schemas.openxmlformats.org/officeDocument/2006/customXml" ds:itemID="{ED4DB6CD-079F-4008-8B7C-8CEA85160435}">
  <ds:schemaRefs>
    <ds:schemaRef ds:uri="http://schemas.openxmlformats.org/officeDocument/2006/bibliography"/>
  </ds:schemaRefs>
</ds:datastoreItem>
</file>

<file path=customXml/itemProps4.xml><?xml version="1.0" encoding="utf-8"?>
<ds:datastoreItem xmlns:ds="http://schemas.openxmlformats.org/officeDocument/2006/customXml" ds:itemID="{F7C1FB54-17D2-4651-8832-8639AF6821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5182</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Submission 81 - Allies for Children and the First Nations Non-Government Alliance - Closing the Gap Review - Commissioned study</vt:lpstr>
    </vt:vector>
  </TitlesOfParts>
  <Company>Allies for Children and the First Nations Non-Government Alliance</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81 - Allies for Children and the First Nations Non-Government Alliance - Closing the Gap Review - Commissioned study</dc:title>
  <dc:subject/>
  <dc:creator>Allies for Children and the First Nations Non-Government Alliance</dc:creator>
  <cp:keywords/>
  <dc:description/>
  <cp:lastModifiedBy>Chris Alston</cp:lastModifiedBy>
  <cp:revision>4</cp:revision>
  <cp:lastPrinted>2023-10-03T06:50:00Z</cp:lastPrinted>
  <dcterms:created xsi:type="dcterms:W3CDTF">2023-10-30T03:10:00Z</dcterms:created>
  <dcterms:modified xsi:type="dcterms:W3CDTF">2023-10-30T04:42:00Z</dcterms:modified>
</cp:coreProperties>
</file>