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292A" w14:textId="77777777" w:rsidR="00833CB2" w:rsidRPr="00576CEA" w:rsidRDefault="00833CB2">
      <w:pPr>
        <w:rPr>
          <w:sz w:val="21"/>
          <w:szCs w:val="21"/>
        </w:rPr>
      </w:pPr>
    </w:p>
    <w:p w14:paraId="094E5918" w14:textId="77777777" w:rsidR="00833CB2" w:rsidRPr="00576CEA" w:rsidRDefault="00833CB2">
      <w:pPr>
        <w:rPr>
          <w:sz w:val="21"/>
          <w:szCs w:val="21"/>
        </w:rPr>
      </w:pPr>
    </w:p>
    <w:p w14:paraId="69F39C27" w14:textId="77777777" w:rsidR="00833CB2" w:rsidRPr="00576CEA" w:rsidRDefault="00833CB2">
      <w:pPr>
        <w:rPr>
          <w:sz w:val="21"/>
          <w:szCs w:val="21"/>
        </w:rPr>
      </w:pPr>
    </w:p>
    <w:p w14:paraId="3E81BADF" w14:textId="1DBCAADD" w:rsidR="000F713A" w:rsidRPr="00576CEA" w:rsidRDefault="005A1269">
      <w:pPr>
        <w:rPr>
          <w:sz w:val="21"/>
          <w:szCs w:val="21"/>
        </w:rPr>
      </w:pPr>
      <w:r w:rsidRPr="00576CEA">
        <w:rPr>
          <w:noProof/>
          <w:sz w:val="21"/>
          <w:szCs w:val="21"/>
          <w:lang w:eastAsia="en-AU" w:bidi="or-IN"/>
        </w:rPr>
        <w:drawing>
          <wp:anchor distT="0" distB="0" distL="114300" distR="114300" simplePos="0" relativeHeight="251659264" behindDoc="1" locked="0" layoutInCell="1" allowOverlap="1" wp14:anchorId="0134BB05" wp14:editId="44E40E42">
            <wp:simplePos x="0" y="0"/>
            <wp:positionH relativeFrom="column">
              <wp:posOffset>1170305</wp:posOffset>
            </wp:positionH>
            <wp:positionV relativeFrom="paragraph">
              <wp:posOffset>187960</wp:posOffset>
            </wp:positionV>
            <wp:extent cx="3195955" cy="1638300"/>
            <wp:effectExtent l="0" t="0" r="4445" b="0"/>
            <wp:wrapThrough wrapText="bothSides">
              <wp:wrapPolygon edited="0">
                <wp:start x="0" y="0"/>
                <wp:lineTo x="0" y="21433"/>
                <wp:lineTo x="21544" y="21433"/>
                <wp:lineTo x="2154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5955" cy="1638300"/>
                    </a:xfrm>
                    <a:prstGeom prst="rect">
                      <a:avLst/>
                    </a:prstGeom>
                    <a:noFill/>
                  </pic:spPr>
                </pic:pic>
              </a:graphicData>
            </a:graphic>
            <wp14:sizeRelH relativeFrom="page">
              <wp14:pctWidth>0</wp14:pctWidth>
            </wp14:sizeRelH>
            <wp14:sizeRelV relativeFrom="page">
              <wp14:pctHeight>0</wp14:pctHeight>
            </wp14:sizeRelV>
          </wp:anchor>
        </w:drawing>
      </w:r>
    </w:p>
    <w:p w14:paraId="7449EAD6" w14:textId="52C316DE" w:rsidR="005A1269" w:rsidRPr="00576CEA" w:rsidRDefault="005A1269">
      <w:pPr>
        <w:rPr>
          <w:sz w:val="21"/>
          <w:szCs w:val="21"/>
        </w:rPr>
      </w:pPr>
    </w:p>
    <w:p w14:paraId="215117B2" w14:textId="77777777" w:rsidR="005A1269" w:rsidRPr="00576CEA" w:rsidRDefault="005A1269">
      <w:pPr>
        <w:rPr>
          <w:sz w:val="21"/>
          <w:szCs w:val="21"/>
        </w:rPr>
      </w:pPr>
    </w:p>
    <w:p w14:paraId="2BC21C69" w14:textId="53ED0422" w:rsidR="00527E76" w:rsidRPr="00576CEA" w:rsidRDefault="00527E76">
      <w:pPr>
        <w:rPr>
          <w:sz w:val="21"/>
          <w:szCs w:val="21"/>
        </w:rPr>
      </w:pPr>
    </w:p>
    <w:p w14:paraId="46C4722E" w14:textId="795D22C7" w:rsidR="005A1269" w:rsidRPr="00576CEA" w:rsidRDefault="005A1269">
      <w:pPr>
        <w:rPr>
          <w:sz w:val="21"/>
          <w:szCs w:val="21"/>
        </w:rPr>
      </w:pPr>
    </w:p>
    <w:p w14:paraId="050C24DB" w14:textId="3DEEA313" w:rsidR="005A1269" w:rsidRPr="00576CEA" w:rsidRDefault="005A1269">
      <w:pPr>
        <w:rPr>
          <w:sz w:val="21"/>
          <w:szCs w:val="21"/>
        </w:rPr>
      </w:pPr>
    </w:p>
    <w:p w14:paraId="06F2EE9E" w14:textId="30B8C74A" w:rsidR="005A1269" w:rsidRPr="00576CEA" w:rsidRDefault="005A1269">
      <w:pPr>
        <w:rPr>
          <w:sz w:val="21"/>
          <w:szCs w:val="21"/>
        </w:rPr>
      </w:pPr>
    </w:p>
    <w:p w14:paraId="3BC23BF2" w14:textId="2582997E" w:rsidR="005A1269" w:rsidRPr="00576CEA" w:rsidRDefault="005A1269">
      <w:pPr>
        <w:rPr>
          <w:sz w:val="21"/>
          <w:szCs w:val="21"/>
        </w:rPr>
      </w:pPr>
    </w:p>
    <w:p w14:paraId="1E4743CD" w14:textId="2F00DED3" w:rsidR="005A1269" w:rsidRPr="00576CEA" w:rsidRDefault="005A1269">
      <w:pPr>
        <w:rPr>
          <w:sz w:val="21"/>
          <w:szCs w:val="21"/>
        </w:rPr>
      </w:pPr>
    </w:p>
    <w:p w14:paraId="4F7105D7" w14:textId="3DF9E3FE" w:rsidR="005A1269" w:rsidRPr="00576CEA" w:rsidRDefault="005A1269">
      <w:pPr>
        <w:rPr>
          <w:sz w:val="21"/>
          <w:szCs w:val="21"/>
        </w:rPr>
      </w:pPr>
    </w:p>
    <w:p w14:paraId="36AC6DC7" w14:textId="7C9CB4D2" w:rsidR="005A1269" w:rsidRPr="00576CEA" w:rsidRDefault="005A1269">
      <w:pPr>
        <w:rPr>
          <w:sz w:val="21"/>
          <w:szCs w:val="21"/>
        </w:rPr>
      </w:pPr>
    </w:p>
    <w:p w14:paraId="22D1E290" w14:textId="68ED74F8" w:rsidR="005A1269" w:rsidRPr="00576CEA" w:rsidRDefault="005A1269">
      <w:pPr>
        <w:rPr>
          <w:sz w:val="21"/>
          <w:szCs w:val="21"/>
        </w:rPr>
      </w:pPr>
    </w:p>
    <w:p w14:paraId="78AD32F2" w14:textId="27885A7D" w:rsidR="005A1269" w:rsidRPr="00576CEA" w:rsidRDefault="005A1269">
      <w:pPr>
        <w:rPr>
          <w:b/>
          <w:bCs/>
          <w:sz w:val="21"/>
          <w:szCs w:val="21"/>
        </w:rPr>
      </w:pPr>
    </w:p>
    <w:p w14:paraId="35042888" w14:textId="7B93A8F1" w:rsidR="005A1269" w:rsidRPr="00576CEA" w:rsidRDefault="005A1269">
      <w:pPr>
        <w:rPr>
          <w:sz w:val="21"/>
          <w:szCs w:val="21"/>
        </w:rPr>
      </w:pPr>
    </w:p>
    <w:p w14:paraId="6AC526F3" w14:textId="77777777" w:rsidR="005A1269" w:rsidRPr="00576CEA" w:rsidRDefault="005A1269">
      <w:pPr>
        <w:rPr>
          <w:sz w:val="21"/>
          <w:szCs w:val="21"/>
        </w:rPr>
      </w:pPr>
    </w:p>
    <w:p w14:paraId="2D1A01EB" w14:textId="73818D51" w:rsidR="005A1269" w:rsidRDefault="005A1269" w:rsidP="005A1269">
      <w:pPr>
        <w:jc w:val="center"/>
        <w:rPr>
          <w:sz w:val="21"/>
          <w:szCs w:val="21"/>
        </w:rPr>
      </w:pPr>
      <w:r w:rsidRPr="00576CEA">
        <w:rPr>
          <w:sz w:val="21"/>
          <w:szCs w:val="21"/>
        </w:rPr>
        <w:t>nfaw.org</w:t>
      </w:r>
    </w:p>
    <w:p w14:paraId="4C174912" w14:textId="77777777" w:rsidR="00576CEA" w:rsidRPr="00576CEA" w:rsidRDefault="00576CEA" w:rsidP="00576CEA">
      <w:pPr>
        <w:rPr>
          <w:sz w:val="21"/>
          <w:szCs w:val="21"/>
        </w:rPr>
      </w:pPr>
    </w:p>
    <w:p w14:paraId="59C85C9A" w14:textId="77777777" w:rsidR="005A1269" w:rsidRPr="00576CEA" w:rsidRDefault="005A1269" w:rsidP="005A1269">
      <w:pPr>
        <w:rPr>
          <w:sz w:val="21"/>
          <w:szCs w:val="21"/>
        </w:rPr>
      </w:pPr>
    </w:p>
    <w:p w14:paraId="5FC5520F" w14:textId="31E0F37E" w:rsidR="00BC1A46" w:rsidRPr="00757AE6" w:rsidRDefault="00BC1A46" w:rsidP="00E6682F">
      <w:pPr>
        <w:spacing w:after="240"/>
        <w:jc w:val="center"/>
        <w:rPr>
          <w:rFonts w:asciiTheme="majorHAnsi" w:hAnsiTheme="majorHAnsi" w:cstheme="majorHAnsi"/>
          <w:b/>
          <w:bCs/>
          <w:sz w:val="28"/>
          <w:szCs w:val="28"/>
        </w:rPr>
      </w:pPr>
      <w:r w:rsidRPr="00757AE6">
        <w:rPr>
          <w:rFonts w:asciiTheme="majorHAnsi" w:hAnsiTheme="majorHAnsi" w:cstheme="majorHAnsi"/>
          <w:b/>
          <w:bCs/>
          <w:sz w:val="28"/>
          <w:szCs w:val="28"/>
        </w:rPr>
        <w:t xml:space="preserve">Submission to the </w:t>
      </w:r>
      <w:r w:rsidR="005A1269" w:rsidRPr="00757AE6">
        <w:rPr>
          <w:rFonts w:asciiTheme="majorHAnsi" w:hAnsiTheme="majorHAnsi" w:cstheme="majorHAnsi"/>
          <w:b/>
          <w:bCs/>
          <w:sz w:val="28"/>
          <w:szCs w:val="28"/>
        </w:rPr>
        <w:t>Productivity Commission Inquiry on</w:t>
      </w:r>
    </w:p>
    <w:p w14:paraId="7C84C5CD" w14:textId="33EF042B" w:rsidR="005A1269" w:rsidRPr="00757AE6" w:rsidRDefault="005A1269" w:rsidP="00E6682F">
      <w:pPr>
        <w:spacing w:after="240"/>
        <w:jc w:val="center"/>
        <w:rPr>
          <w:rFonts w:asciiTheme="majorHAnsi" w:hAnsiTheme="majorHAnsi" w:cstheme="majorHAnsi"/>
          <w:b/>
          <w:bCs/>
          <w:sz w:val="28"/>
          <w:szCs w:val="28"/>
        </w:rPr>
      </w:pPr>
      <w:r w:rsidRPr="00757AE6">
        <w:rPr>
          <w:rFonts w:asciiTheme="majorHAnsi" w:hAnsiTheme="majorHAnsi" w:cstheme="majorHAnsi"/>
          <w:b/>
          <w:bCs/>
          <w:sz w:val="28"/>
          <w:szCs w:val="28"/>
        </w:rPr>
        <w:t>Early Childhood Education and Care</w:t>
      </w:r>
    </w:p>
    <w:p w14:paraId="323B0DC4" w14:textId="54973A4B" w:rsidR="005A1269" w:rsidRPr="00576CEA" w:rsidRDefault="005A1269" w:rsidP="00576CEA">
      <w:pPr>
        <w:pStyle w:val="Default"/>
        <w:spacing w:after="160"/>
        <w:rPr>
          <w:rFonts w:ascii="Calibri" w:hAnsi="Calibri" w:cs="Calibri"/>
          <w:b/>
          <w:bCs/>
          <w:sz w:val="21"/>
          <w:szCs w:val="21"/>
        </w:rPr>
      </w:pPr>
    </w:p>
    <w:p w14:paraId="48A44256" w14:textId="6091B714" w:rsidR="005A1269" w:rsidRPr="00576CEA" w:rsidRDefault="005A1269" w:rsidP="00576CEA">
      <w:pPr>
        <w:pStyle w:val="Default"/>
        <w:spacing w:after="160"/>
        <w:rPr>
          <w:rFonts w:ascii="Calibri" w:hAnsi="Calibri" w:cs="Calibri"/>
          <w:b/>
          <w:bCs/>
          <w:sz w:val="21"/>
          <w:szCs w:val="21"/>
        </w:rPr>
      </w:pPr>
    </w:p>
    <w:p w14:paraId="5129724D" w14:textId="3E12CD5D" w:rsidR="005A1269" w:rsidRPr="00576CEA" w:rsidRDefault="005A1269" w:rsidP="00576CEA">
      <w:pPr>
        <w:pStyle w:val="Default"/>
        <w:spacing w:after="160"/>
        <w:rPr>
          <w:rFonts w:ascii="Calibri" w:hAnsi="Calibri" w:cs="Calibri"/>
          <w:b/>
          <w:bCs/>
          <w:sz w:val="21"/>
          <w:szCs w:val="21"/>
        </w:rPr>
      </w:pPr>
    </w:p>
    <w:p w14:paraId="725D3702" w14:textId="7D1439D7" w:rsidR="005A1269" w:rsidRPr="00576CEA" w:rsidRDefault="005A1269" w:rsidP="00576CEA">
      <w:pPr>
        <w:pStyle w:val="Default"/>
        <w:spacing w:after="160"/>
        <w:rPr>
          <w:rFonts w:ascii="Calibri" w:hAnsi="Calibri" w:cs="Calibri"/>
          <w:b/>
          <w:bCs/>
          <w:sz w:val="21"/>
          <w:szCs w:val="21"/>
        </w:rPr>
      </w:pPr>
    </w:p>
    <w:p w14:paraId="0BFBDF86" w14:textId="77777777" w:rsidR="005A1269" w:rsidRPr="00576CEA" w:rsidRDefault="005A1269" w:rsidP="00576CEA">
      <w:pPr>
        <w:pStyle w:val="Default"/>
        <w:spacing w:after="160"/>
        <w:rPr>
          <w:rFonts w:ascii="Calibri" w:hAnsi="Calibri" w:cs="Calibri"/>
          <w:b/>
          <w:bCs/>
          <w:sz w:val="21"/>
          <w:szCs w:val="21"/>
        </w:rPr>
      </w:pPr>
    </w:p>
    <w:p w14:paraId="5F3883C1" w14:textId="77777777" w:rsidR="00576CEA" w:rsidRDefault="00576CEA" w:rsidP="00833CB2">
      <w:pPr>
        <w:pStyle w:val="Default"/>
        <w:spacing w:after="160"/>
        <w:rPr>
          <w:rFonts w:ascii="Calibri" w:hAnsi="Calibri" w:cs="Calibri"/>
          <w:b/>
          <w:bCs/>
          <w:sz w:val="21"/>
          <w:szCs w:val="21"/>
        </w:rPr>
      </w:pPr>
    </w:p>
    <w:p w14:paraId="72587C2B" w14:textId="77777777" w:rsidR="00576CEA" w:rsidRDefault="00576CEA" w:rsidP="00833CB2">
      <w:pPr>
        <w:pStyle w:val="Default"/>
        <w:spacing w:after="160"/>
        <w:rPr>
          <w:rFonts w:ascii="Calibri" w:hAnsi="Calibri" w:cs="Calibri"/>
          <w:b/>
          <w:bCs/>
          <w:sz w:val="21"/>
          <w:szCs w:val="21"/>
        </w:rPr>
      </w:pPr>
    </w:p>
    <w:p w14:paraId="1E8BE7B4" w14:textId="4252822B" w:rsidR="005A1269" w:rsidRPr="00576CEA" w:rsidRDefault="005A1269" w:rsidP="00833CB2">
      <w:pPr>
        <w:pStyle w:val="Default"/>
        <w:spacing w:after="160"/>
        <w:rPr>
          <w:rFonts w:ascii="Calibri" w:hAnsi="Calibri" w:cs="Calibri"/>
          <w:b/>
          <w:bCs/>
          <w:sz w:val="21"/>
          <w:szCs w:val="21"/>
        </w:rPr>
      </w:pPr>
      <w:r w:rsidRPr="00576CEA">
        <w:rPr>
          <w:rFonts w:ascii="Calibri" w:hAnsi="Calibri" w:cs="Calibri"/>
          <w:b/>
          <w:bCs/>
          <w:sz w:val="21"/>
          <w:szCs w:val="21"/>
        </w:rPr>
        <w:t>Prepared by: NFAW Social Policy Committee</w:t>
      </w:r>
    </w:p>
    <w:p w14:paraId="7844B383" w14:textId="5714A8F3" w:rsidR="005A1269" w:rsidRPr="00576CEA" w:rsidRDefault="00BA119D" w:rsidP="005A1269">
      <w:pPr>
        <w:pStyle w:val="Default"/>
        <w:spacing w:after="160"/>
        <w:contextualSpacing/>
        <w:rPr>
          <w:rFonts w:ascii="Calibri" w:hAnsi="Calibri" w:cs="Calibri"/>
          <w:sz w:val="21"/>
          <w:szCs w:val="21"/>
        </w:rPr>
      </w:pPr>
      <w:r>
        <w:rPr>
          <w:rFonts w:ascii="Calibri" w:hAnsi="Calibri" w:cs="Calibri"/>
          <w:sz w:val="21"/>
          <w:szCs w:val="21"/>
        </w:rPr>
        <w:t>February 2024</w:t>
      </w:r>
    </w:p>
    <w:p w14:paraId="5354F08A" w14:textId="77777777" w:rsidR="005A1269" w:rsidRPr="00576CEA" w:rsidRDefault="005A1269" w:rsidP="005A1269">
      <w:pPr>
        <w:pStyle w:val="Default"/>
        <w:bidi/>
        <w:spacing w:after="160"/>
        <w:rPr>
          <w:rFonts w:ascii="Calibri" w:hAnsi="Calibri" w:cs="Calibri"/>
          <w:b/>
          <w:bCs/>
          <w:sz w:val="21"/>
          <w:szCs w:val="21"/>
        </w:rPr>
      </w:pPr>
    </w:p>
    <w:p w14:paraId="7FEF51E8" w14:textId="04D8A61F" w:rsidR="005A1269" w:rsidRPr="00576CEA" w:rsidRDefault="005A1269" w:rsidP="005A1269">
      <w:pPr>
        <w:pStyle w:val="Default"/>
        <w:spacing w:after="160"/>
        <w:rPr>
          <w:rFonts w:ascii="Calibri" w:hAnsi="Calibri" w:cs="Calibri"/>
          <w:sz w:val="21"/>
          <w:szCs w:val="21"/>
        </w:rPr>
      </w:pPr>
      <w:r w:rsidRPr="00576CEA">
        <w:rPr>
          <w:rFonts w:ascii="Calibri" w:hAnsi="Calibri" w:cs="Calibri"/>
          <w:b/>
          <w:bCs/>
          <w:sz w:val="21"/>
          <w:szCs w:val="21"/>
        </w:rPr>
        <w:t>Authorisation</w:t>
      </w:r>
    </w:p>
    <w:p w14:paraId="1B261DB4" w14:textId="77777777" w:rsidR="005A1269" w:rsidRPr="00576CEA" w:rsidRDefault="005A1269" w:rsidP="005A1269">
      <w:pPr>
        <w:pStyle w:val="Default"/>
        <w:spacing w:after="160"/>
        <w:rPr>
          <w:rFonts w:ascii="Calibri" w:hAnsi="Calibri" w:cs="Calibri"/>
          <w:sz w:val="21"/>
          <w:szCs w:val="21"/>
        </w:rPr>
      </w:pPr>
      <w:r w:rsidRPr="00576CEA">
        <w:rPr>
          <w:rFonts w:ascii="Calibri" w:hAnsi="Calibri" w:cs="Calibri"/>
          <w:sz w:val="21"/>
          <w:szCs w:val="21"/>
        </w:rPr>
        <w:t xml:space="preserve">This submission has been authorised by the NFAW Board </w:t>
      </w:r>
    </w:p>
    <w:p w14:paraId="204E55F0" w14:textId="77777777" w:rsidR="005A1269" w:rsidRPr="00576CEA" w:rsidRDefault="005A1269" w:rsidP="005A1269">
      <w:pPr>
        <w:pStyle w:val="Default"/>
        <w:spacing w:after="120"/>
        <w:contextualSpacing/>
        <w:rPr>
          <w:rFonts w:ascii="Calibri" w:hAnsi="Calibri" w:cs="Calibri"/>
          <w:sz w:val="21"/>
          <w:szCs w:val="21"/>
        </w:rPr>
      </w:pPr>
      <w:r w:rsidRPr="00576CEA">
        <w:rPr>
          <w:rFonts w:ascii="Calibri" w:hAnsi="Calibri" w:cs="Calibri"/>
          <w:sz w:val="21"/>
          <w:szCs w:val="21"/>
        </w:rPr>
        <w:t>Professor Helen Hodgson</w:t>
      </w:r>
    </w:p>
    <w:p w14:paraId="78439FF7" w14:textId="77777777" w:rsidR="005A1269" w:rsidRPr="00576CEA" w:rsidRDefault="005A1269" w:rsidP="005A1269">
      <w:pPr>
        <w:pStyle w:val="Default"/>
        <w:spacing w:after="120"/>
        <w:contextualSpacing/>
        <w:rPr>
          <w:rFonts w:ascii="Calibri" w:hAnsi="Calibri" w:cs="Calibri"/>
          <w:sz w:val="21"/>
          <w:szCs w:val="21"/>
        </w:rPr>
      </w:pPr>
      <w:r w:rsidRPr="00576CEA">
        <w:rPr>
          <w:rFonts w:ascii="Calibri" w:hAnsi="Calibri" w:cs="Calibri"/>
          <w:sz w:val="21"/>
          <w:szCs w:val="21"/>
        </w:rPr>
        <w:t xml:space="preserve">Chair, Social Policy Committee, </w:t>
      </w:r>
    </w:p>
    <w:p w14:paraId="555CC762" w14:textId="77777777" w:rsidR="005A1269" w:rsidRPr="00576CEA" w:rsidRDefault="005A1269" w:rsidP="005A1269">
      <w:pPr>
        <w:pStyle w:val="Default"/>
        <w:spacing w:after="120"/>
        <w:contextualSpacing/>
        <w:rPr>
          <w:rFonts w:ascii="Calibri" w:hAnsi="Calibri" w:cs="Calibri"/>
          <w:sz w:val="21"/>
          <w:szCs w:val="21"/>
        </w:rPr>
      </w:pPr>
      <w:r w:rsidRPr="00576CEA">
        <w:rPr>
          <w:rFonts w:ascii="Calibri" w:hAnsi="Calibri" w:cs="Calibri"/>
          <w:sz w:val="21"/>
          <w:szCs w:val="21"/>
        </w:rPr>
        <w:t xml:space="preserve">National Foundation for Australian Women </w:t>
      </w:r>
    </w:p>
    <w:p w14:paraId="6359CFCB" w14:textId="77777777" w:rsidR="005A1269" w:rsidRPr="00576CEA" w:rsidRDefault="005A1269" w:rsidP="005A1269">
      <w:pPr>
        <w:pStyle w:val="Default"/>
        <w:spacing w:after="120"/>
        <w:contextualSpacing/>
        <w:rPr>
          <w:rFonts w:ascii="Calibri" w:hAnsi="Calibri" w:cs="Calibri"/>
          <w:sz w:val="21"/>
          <w:szCs w:val="21"/>
        </w:rPr>
      </w:pPr>
    </w:p>
    <w:p w14:paraId="07858CBF" w14:textId="77777777" w:rsidR="005A1269" w:rsidRPr="00576CEA" w:rsidRDefault="005A1269" w:rsidP="005A1269">
      <w:pPr>
        <w:pStyle w:val="Default"/>
        <w:spacing w:after="120"/>
        <w:contextualSpacing/>
        <w:rPr>
          <w:rFonts w:ascii="Calibri" w:hAnsi="Calibri" w:cs="Calibri"/>
          <w:sz w:val="21"/>
          <w:szCs w:val="21"/>
        </w:rPr>
      </w:pPr>
      <w:r w:rsidRPr="00576CEA">
        <w:rPr>
          <w:rFonts w:ascii="Calibri" w:hAnsi="Calibri" w:cs="Calibri"/>
          <w:sz w:val="21"/>
          <w:szCs w:val="21"/>
        </w:rPr>
        <w:t xml:space="preserve">Marie Coleman AO PSM </w:t>
      </w:r>
    </w:p>
    <w:p w14:paraId="29752161" w14:textId="77777777" w:rsidR="005A1269" w:rsidRPr="00576CEA" w:rsidRDefault="005A1269" w:rsidP="005A1269">
      <w:pPr>
        <w:pStyle w:val="Default"/>
        <w:spacing w:after="120"/>
        <w:contextualSpacing/>
        <w:rPr>
          <w:rFonts w:ascii="Calibri" w:hAnsi="Calibri" w:cs="Calibri"/>
          <w:sz w:val="21"/>
          <w:szCs w:val="21"/>
        </w:rPr>
      </w:pPr>
      <w:r w:rsidRPr="00576CEA">
        <w:rPr>
          <w:rFonts w:ascii="Calibri" w:hAnsi="Calibri" w:cs="Calibri"/>
          <w:sz w:val="21"/>
          <w:szCs w:val="21"/>
        </w:rPr>
        <w:t>Advisor, Social Policy Committee</w:t>
      </w:r>
    </w:p>
    <w:p w14:paraId="0D8E3D3D" w14:textId="14D2E0E0" w:rsidR="005A1269" w:rsidRPr="00576CEA" w:rsidRDefault="005A1269" w:rsidP="005A1269">
      <w:pPr>
        <w:spacing w:before="100" w:beforeAutospacing="1" w:after="100" w:afterAutospacing="1"/>
        <w:rPr>
          <w:sz w:val="21"/>
          <w:szCs w:val="21"/>
          <w:lang w:eastAsia="en-AU"/>
        </w:rPr>
      </w:pPr>
      <w:r w:rsidRPr="00576CEA">
        <w:rPr>
          <w:rFonts w:cs="Calibri"/>
          <w:sz w:val="21"/>
          <w:szCs w:val="21"/>
        </w:rPr>
        <w:t xml:space="preserve">Inquiries about this submission should be directed to Helen Hodgson </w:t>
      </w:r>
    </w:p>
    <w:p w14:paraId="3E87CC16" w14:textId="3217F7A5" w:rsidR="00527E76" w:rsidRPr="00576CEA" w:rsidRDefault="005A1269" w:rsidP="005A1269">
      <w:pPr>
        <w:rPr>
          <w:b/>
          <w:bCs/>
        </w:rPr>
      </w:pPr>
      <w:r w:rsidRPr="00576CEA">
        <w:rPr>
          <w:rFonts w:ascii="Times New Roman" w:hAnsi="Times New Roman" w:cs="Times New Roman"/>
          <w:b/>
          <w:bCs/>
          <w:sz w:val="21"/>
          <w:szCs w:val="21"/>
        </w:rPr>
        <w:br w:type="column"/>
      </w:r>
      <w:r w:rsidRPr="00576CEA">
        <w:rPr>
          <w:b/>
          <w:bCs/>
        </w:rPr>
        <w:lastRenderedPageBreak/>
        <w:t xml:space="preserve">NFAW </w:t>
      </w:r>
      <w:r w:rsidR="007C4DB8">
        <w:rPr>
          <w:b/>
          <w:bCs/>
        </w:rPr>
        <w:t>s</w:t>
      </w:r>
      <w:r w:rsidR="00527E76" w:rsidRPr="00576CEA">
        <w:rPr>
          <w:b/>
          <w:bCs/>
        </w:rPr>
        <w:t xml:space="preserve">ubmission </w:t>
      </w:r>
      <w:r w:rsidR="007C4DB8">
        <w:rPr>
          <w:b/>
          <w:bCs/>
        </w:rPr>
        <w:t xml:space="preserve">on </w:t>
      </w:r>
      <w:r w:rsidR="00527E76" w:rsidRPr="00576CEA">
        <w:rPr>
          <w:b/>
          <w:bCs/>
        </w:rPr>
        <w:t xml:space="preserve">the Productivity Commission </w:t>
      </w:r>
      <w:r w:rsidR="00BA119D">
        <w:rPr>
          <w:b/>
          <w:bCs/>
        </w:rPr>
        <w:t>Review of</w:t>
      </w:r>
      <w:r w:rsidR="00527E76" w:rsidRPr="00576CEA">
        <w:rPr>
          <w:b/>
          <w:bCs/>
        </w:rPr>
        <w:t xml:space="preserve"> Early Childhood Education and Care</w:t>
      </w:r>
      <w:r w:rsidR="00BA119D">
        <w:rPr>
          <w:b/>
          <w:bCs/>
        </w:rPr>
        <w:t xml:space="preserve"> draft report released 23 November 2023: </w:t>
      </w:r>
      <w:r w:rsidR="00BA119D">
        <w:rPr>
          <w:b/>
          <w:bCs/>
          <w:i/>
          <w:iCs/>
        </w:rPr>
        <w:t xml:space="preserve">A path to universal early childhood education and </w:t>
      </w:r>
      <w:proofErr w:type="gramStart"/>
      <w:r w:rsidR="00BA119D">
        <w:rPr>
          <w:b/>
          <w:bCs/>
          <w:i/>
          <w:iCs/>
        </w:rPr>
        <w:t>care</w:t>
      </w:r>
      <w:proofErr w:type="gramEnd"/>
    </w:p>
    <w:p w14:paraId="78D5ACD3" w14:textId="4FE5BC00" w:rsidR="00527E76" w:rsidRPr="00576CEA" w:rsidRDefault="00527E76">
      <w:pPr>
        <w:rPr>
          <w:sz w:val="21"/>
          <w:szCs w:val="21"/>
        </w:rPr>
      </w:pPr>
    </w:p>
    <w:p w14:paraId="4B5A7B56" w14:textId="55DB5B0D" w:rsidR="00CC0723" w:rsidRPr="00CC0723" w:rsidRDefault="005A1269" w:rsidP="00CC0723">
      <w:pPr>
        <w:spacing w:line="264" w:lineRule="auto"/>
        <w:rPr>
          <w:rFonts w:cstheme="minorHAnsi"/>
          <w:sz w:val="21"/>
          <w:szCs w:val="21"/>
        </w:rPr>
      </w:pPr>
      <w:r w:rsidRPr="00576CEA">
        <w:rPr>
          <w:rFonts w:cstheme="minorHAnsi"/>
          <w:sz w:val="21"/>
          <w:szCs w:val="21"/>
        </w:rPr>
        <w:t xml:space="preserve">The National Foundation for Australian Women (NFAW) is dedicated to promoting and protecting the interests of Australian women, including </w:t>
      </w:r>
      <w:r w:rsidR="00BF2AED">
        <w:rPr>
          <w:rFonts w:cstheme="minorHAnsi"/>
          <w:sz w:val="21"/>
          <w:szCs w:val="21"/>
        </w:rPr>
        <w:t xml:space="preserve">in </w:t>
      </w:r>
      <w:r w:rsidRPr="00576CEA">
        <w:rPr>
          <w:rFonts w:cstheme="minorHAnsi"/>
          <w:sz w:val="21"/>
          <w:szCs w:val="21"/>
        </w:rPr>
        <w:t xml:space="preserve">intellectual, cultural, political, social, economic, legal, </w:t>
      </w:r>
      <w:proofErr w:type="gramStart"/>
      <w:r w:rsidRPr="00576CEA">
        <w:rPr>
          <w:rFonts w:cstheme="minorHAnsi"/>
          <w:sz w:val="21"/>
          <w:szCs w:val="21"/>
        </w:rPr>
        <w:t>industrial</w:t>
      </w:r>
      <w:proofErr w:type="gramEnd"/>
      <w:r w:rsidRPr="00576CEA">
        <w:rPr>
          <w:rFonts w:cstheme="minorHAnsi"/>
          <w:sz w:val="21"/>
          <w:szCs w:val="21"/>
        </w:rPr>
        <w:t xml:space="preserve"> and domestic spheres, and ensuring that the aims and ideals of the women’s movement and its collective wisdom are </w:t>
      </w:r>
      <w:r w:rsidRPr="00E70146">
        <w:rPr>
          <w:rFonts w:cstheme="minorHAnsi"/>
          <w:sz w:val="21"/>
          <w:szCs w:val="21"/>
        </w:rPr>
        <w:t xml:space="preserve">handed </w:t>
      </w:r>
      <w:r w:rsidRPr="00576CEA">
        <w:rPr>
          <w:rFonts w:cstheme="minorHAnsi"/>
          <w:sz w:val="21"/>
          <w:szCs w:val="21"/>
        </w:rPr>
        <w:t xml:space="preserve">on to new generations of women. </w:t>
      </w:r>
      <w:r w:rsidR="003F7D59" w:rsidRPr="00576CEA">
        <w:rPr>
          <w:rFonts w:cstheme="minorHAnsi"/>
          <w:sz w:val="21"/>
          <w:szCs w:val="21"/>
        </w:rPr>
        <w:t xml:space="preserve">The </w:t>
      </w:r>
      <w:r w:rsidRPr="00576CEA">
        <w:rPr>
          <w:rFonts w:cstheme="minorHAnsi"/>
          <w:sz w:val="21"/>
          <w:szCs w:val="21"/>
        </w:rPr>
        <w:t>NFAW is a feminist organisation, independent of party politics and working in partnership with other women’s organisations.</w:t>
      </w:r>
      <w:r w:rsidR="00CC0723">
        <w:rPr>
          <w:rFonts w:cstheme="minorHAnsi"/>
          <w:sz w:val="21"/>
          <w:szCs w:val="21"/>
        </w:rPr>
        <w:t xml:space="preserve"> </w:t>
      </w:r>
      <w:r w:rsidR="00E70146">
        <w:rPr>
          <w:rFonts w:cstheme="minorHAnsi"/>
          <w:sz w:val="21"/>
          <w:szCs w:val="21"/>
        </w:rPr>
        <w:t xml:space="preserve">In our advocacy work, </w:t>
      </w:r>
      <w:r w:rsidR="00E70146">
        <w:rPr>
          <w:rFonts w:cstheme="minorHAnsi"/>
          <w:sz w:val="21"/>
          <w:szCs w:val="21"/>
          <w:lang w:val="en-GB"/>
        </w:rPr>
        <w:t>w</w:t>
      </w:r>
      <w:r w:rsidR="00CC0723" w:rsidRPr="00CC0723">
        <w:rPr>
          <w:rFonts w:cstheme="minorHAnsi"/>
          <w:sz w:val="21"/>
          <w:szCs w:val="21"/>
          <w:lang w:val="en-GB"/>
        </w:rPr>
        <w:t xml:space="preserve">e acknowledge the </w:t>
      </w:r>
      <w:r w:rsidR="00E70146">
        <w:rPr>
          <w:rFonts w:cstheme="minorHAnsi"/>
          <w:sz w:val="21"/>
          <w:szCs w:val="21"/>
          <w:lang w:val="en-GB"/>
        </w:rPr>
        <w:t>t</w:t>
      </w:r>
      <w:r w:rsidR="00CC0723" w:rsidRPr="00CC0723">
        <w:rPr>
          <w:rFonts w:cstheme="minorHAnsi"/>
          <w:sz w:val="21"/>
          <w:szCs w:val="21"/>
          <w:lang w:val="en-GB"/>
        </w:rPr>
        <w:t xml:space="preserve">raditional </w:t>
      </w:r>
      <w:r w:rsidR="00E70146">
        <w:rPr>
          <w:rFonts w:cstheme="minorHAnsi"/>
          <w:sz w:val="21"/>
          <w:szCs w:val="21"/>
          <w:lang w:val="en-GB"/>
        </w:rPr>
        <w:t>c</w:t>
      </w:r>
      <w:r w:rsidR="00CC0723" w:rsidRPr="00CC0723">
        <w:rPr>
          <w:rFonts w:cstheme="minorHAnsi"/>
          <w:sz w:val="21"/>
          <w:szCs w:val="21"/>
          <w:lang w:val="en-GB"/>
        </w:rPr>
        <w:t xml:space="preserve">ustodians of </w:t>
      </w:r>
      <w:r w:rsidR="00E3180F">
        <w:rPr>
          <w:rFonts w:cstheme="minorHAnsi"/>
          <w:sz w:val="21"/>
          <w:szCs w:val="21"/>
          <w:lang w:val="en-GB"/>
        </w:rPr>
        <w:t>C</w:t>
      </w:r>
      <w:r w:rsidR="00CC0723" w:rsidRPr="00CC0723">
        <w:rPr>
          <w:rFonts w:cstheme="minorHAnsi"/>
          <w:sz w:val="21"/>
          <w:szCs w:val="21"/>
          <w:lang w:val="en-GB"/>
        </w:rPr>
        <w:t xml:space="preserve">ountry throughout Australia and pay our respects to their </w:t>
      </w:r>
      <w:r w:rsidR="00E70146">
        <w:rPr>
          <w:rFonts w:cstheme="minorHAnsi"/>
          <w:sz w:val="21"/>
          <w:szCs w:val="21"/>
          <w:lang w:val="en-GB"/>
        </w:rPr>
        <w:t>el</w:t>
      </w:r>
      <w:r w:rsidR="00CC0723" w:rsidRPr="00CC0723">
        <w:rPr>
          <w:rFonts w:cstheme="minorHAnsi"/>
          <w:sz w:val="21"/>
          <w:szCs w:val="21"/>
          <w:lang w:val="en-GB"/>
        </w:rPr>
        <w:t xml:space="preserve">ders past and present. </w:t>
      </w:r>
    </w:p>
    <w:p w14:paraId="7E00EB6E" w14:textId="63C00A04" w:rsidR="005A1269" w:rsidRPr="00576CEA" w:rsidRDefault="005A1269" w:rsidP="00527E76">
      <w:pPr>
        <w:spacing w:line="264" w:lineRule="auto"/>
        <w:rPr>
          <w:rFonts w:cstheme="minorHAnsi"/>
          <w:sz w:val="21"/>
          <w:szCs w:val="21"/>
        </w:rPr>
      </w:pPr>
    </w:p>
    <w:p w14:paraId="1312D6D5" w14:textId="3D182075" w:rsidR="00FF5813" w:rsidRPr="00576CEA" w:rsidRDefault="005A1269" w:rsidP="00FF5813">
      <w:pPr>
        <w:spacing w:line="264" w:lineRule="auto"/>
        <w:rPr>
          <w:rFonts w:cstheme="minorHAnsi"/>
          <w:b/>
          <w:bCs/>
          <w:sz w:val="21"/>
          <w:szCs w:val="21"/>
        </w:rPr>
      </w:pPr>
      <w:r w:rsidRPr="00576CEA">
        <w:rPr>
          <w:rFonts w:cstheme="minorHAnsi"/>
          <w:b/>
          <w:bCs/>
          <w:sz w:val="21"/>
          <w:szCs w:val="21"/>
        </w:rPr>
        <w:t>Key points</w:t>
      </w:r>
      <w:r w:rsidR="0039458D">
        <w:rPr>
          <w:rFonts w:cstheme="minorHAnsi"/>
          <w:b/>
          <w:bCs/>
          <w:sz w:val="21"/>
          <w:szCs w:val="21"/>
        </w:rPr>
        <w:t xml:space="preserve"> </w:t>
      </w:r>
    </w:p>
    <w:p w14:paraId="7D0BC027" w14:textId="77777777" w:rsidR="007469A4" w:rsidRDefault="007469A4" w:rsidP="00F706F7">
      <w:pPr>
        <w:spacing w:line="264" w:lineRule="auto"/>
        <w:rPr>
          <w:rFonts w:cstheme="minorHAnsi"/>
          <w:sz w:val="21"/>
          <w:szCs w:val="21"/>
        </w:rPr>
      </w:pPr>
    </w:p>
    <w:p w14:paraId="6B5CE0DD" w14:textId="54849317" w:rsidR="0019320E" w:rsidRPr="00154D08" w:rsidRDefault="00527E76" w:rsidP="00F706F7">
      <w:pPr>
        <w:spacing w:line="264" w:lineRule="auto"/>
        <w:rPr>
          <w:rFonts w:cstheme="minorHAnsi"/>
          <w:b/>
          <w:bCs/>
          <w:sz w:val="21"/>
          <w:szCs w:val="21"/>
        </w:rPr>
      </w:pPr>
      <w:r w:rsidRPr="00CC0723">
        <w:rPr>
          <w:rFonts w:cstheme="minorHAnsi"/>
          <w:sz w:val="21"/>
          <w:szCs w:val="21"/>
        </w:rPr>
        <w:t>The NFAW supports measures that improve the affordability</w:t>
      </w:r>
      <w:r w:rsidR="00E70DEF" w:rsidRPr="00CC0723">
        <w:rPr>
          <w:rFonts w:cstheme="minorHAnsi"/>
          <w:sz w:val="21"/>
          <w:szCs w:val="21"/>
        </w:rPr>
        <w:t>, accessibility and quality</w:t>
      </w:r>
      <w:r w:rsidRPr="00CC0723">
        <w:rPr>
          <w:rFonts w:cstheme="minorHAnsi"/>
          <w:sz w:val="21"/>
          <w:szCs w:val="21"/>
        </w:rPr>
        <w:t xml:space="preserve"> of </w:t>
      </w:r>
      <w:r w:rsidR="00000134" w:rsidRPr="00CC0723">
        <w:rPr>
          <w:rFonts w:cstheme="minorHAnsi"/>
          <w:sz w:val="21"/>
          <w:szCs w:val="21"/>
        </w:rPr>
        <w:t>early childhood education and care (ECEC)</w:t>
      </w:r>
      <w:r w:rsidRPr="00CC0723">
        <w:rPr>
          <w:rFonts w:cstheme="minorHAnsi"/>
          <w:sz w:val="21"/>
          <w:szCs w:val="21"/>
        </w:rPr>
        <w:t>.</w:t>
      </w:r>
      <w:r w:rsidRPr="00154D08">
        <w:rPr>
          <w:rFonts w:cstheme="minorHAnsi"/>
          <w:b/>
          <w:bCs/>
          <w:sz w:val="21"/>
          <w:szCs w:val="21"/>
        </w:rPr>
        <w:t xml:space="preserve"> </w:t>
      </w:r>
      <w:r w:rsidR="00E70146">
        <w:rPr>
          <w:rFonts w:cstheme="minorHAnsi"/>
          <w:b/>
          <w:bCs/>
          <w:sz w:val="21"/>
          <w:szCs w:val="21"/>
        </w:rPr>
        <w:t>W</w:t>
      </w:r>
      <w:r w:rsidR="00E01D40" w:rsidRPr="00154D08">
        <w:rPr>
          <w:rFonts w:cstheme="minorHAnsi"/>
          <w:b/>
          <w:bCs/>
          <w:sz w:val="21"/>
          <w:szCs w:val="21"/>
        </w:rPr>
        <w:t>e advocate for</w:t>
      </w:r>
      <w:r w:rsidR="0055258C" w:rsidRPr="00154D08">
        <w:rPr>
          <w:rFonts w:cstheme="minorHAnsi"/>
          <w:b/>
          <w:bCs/>
          <w:sz w:val="21"/>
          <w:szCs w:val="21"/>
        </w:rPr>
        <w:t xml:space="preserve">: </w:t>
      </w:r>
    </w:p>
    <w:p w14:paraId="66B42BD7" w14:textId="77777777" w:rsidR="006113FC" w:rsidRPr="00576CEA" w:rsidRDefault="006113FC" w:rsidP="0019320E">
      <w:pPr>
        <w:spacing w:line="264" w:lineRule="auto"/>
        <w:rPr>
          <w:rFonts w:cstheme="minorHAnsi"/>
          <w:sz w:val="21"/>
          <w:szCs w:val="21"/>
        </w:rPr>
      </w:pPr>
    </w:p>
    <w:p w14:paraId="42F81D3E" w14:textId="3F916150" w:rsidR="003F7D59" w:rsidRPr="00576CEA" w:rsidRDefault="00E70146" w:rsidP="007C4DB8">
      <w:pPr>
        <w:pStyle w:val="ListParagraph"/>
        <w:numPr>
          <w:ilvl w:val="0"/>
          <w:numId w:val="5"/>
        </w:numPr>
        <w:spacing w:line="264" w:lineRule="auto"/>
        <w:rPr>
          <w:rFonts w:cstheme="minorHAnsi"/>
          <w:sz w:val="21"/>
          <w:szCs w:val="21"/>
        </w:rPr>
      </w:pPr>
      <w:r>
        <w:rPr>
          <w:rFonts w:cstheme="minorHAnsi"/>
          <w:sz w:val="21"/>
          <w:szCs w:val="21"/>
        </w:rPr>
        <w:t>c</w:t>
      </w:r>
      <w:r w:rsidR="0039458D">
        <w:rPr>
          <w:rFonts w:cstheme="minorHAnsi"/>
          <w:sz w:val="21"/>
          <w:szCs w:val="21"/>
        </w:rPr>
        <w:t>reating workplace conditions that ensure ECEC is a sustainable and attractive career path, which would include better pay</w:t>
      </w:r>
      <w:r w:rsidR="00A734D7">
        <w:rPr>
          <w:rFonts w:cstheme="minorHAnsi"/>
          <w:sz w:val="21"/>
          <w:szCs w:val="21"/>
        </w:rPr>
        <w:t xml:space="preserve">, </w:t>
      </w:r>
      <w:r w:rsidR="0039458D">
        <w:rPr>
          <w:rFonts w:cstheme="minorHAnsi"/>
          <w:sz w:val="21"/>
          <w:szCs w:val="21"/>
        </w:rPr>
        <w:t>conditions</w:t>
      </w:r>
      <w:r w:rsidR="00A734D7">
        <w:rPr>
          <w:rFonts w:cstheme="minorHAnsi"/>
          <w:sz w:val="21"/>
          <w:szCs w:val="21"/>
        </w:rPr>
        <w:t xml:space="preserve"> </w:t>
      </w:r>
      <w:r w:rsidR="0039458D">
        <w:rPr>
          <w:rFonts w:cstheme="minorHAnsi"/>
          <w:sz w:val="21"/>
          <w:szCs w:val="21"/>
        </w:rPr>
        <w:t xml:space="preserve">and pathways for professional development and growth for ECEC </w:t>
      </w:r>
      <w:proofErr w:type="gramStart"/>
      <w:r w:rsidR="00A734D7">
        <w:rPr>
          <w:rFonts w:cstheme="minorHAnsi"/>
          <w:sz w:val="21"/>
          <w:szCs w:val="21"/>
        </w:rPr>
        <w:t>e</w:t>
      </w:r>
      <w:r w:rsidR="0039458D">
        <w:rPr>
          <w:rFonts w:cstheme="minorHAnsi"/>
          <w:sz w:val="21"/>
          <w:szCs w:val="21"/>
        </w:rPr>
        <w:t>ducators</w:t>
      </w:r>
      <w:proofErr w:type="gramEnd"/>
    </w:p>
    <w:p w14:paraId="4BB349FE" w14:textId="69FE4823" w:rsidR="007469A4" w:rsidRPr="00576CEA" w:rsidRDefault="007469A4" w:rsidP="007469A4">
      <w:pPr>
        <w:pStyle w:val="ListParagraph"/>
        <w:numPr>
          <w:ilvl w:val="0"/>
          <w:numId w:val="5"/>
        </w:numPr>
        <w:spacing w:line="264" w:lineRule="auto"/>
        <w:rPr>
          <w:rFonts w:cstheme="minorHAnsi"/>
          <w:sz w:val="21"/>
          <w:szCs w:val="21"/>
        </w:rPr>
      </w:pPr>
      <w:r w:rsidRPr="00576CEA">
        <w:rPr>
          <w:rFonts w:cstheme="minorHAnsi"/>
          <w:sz w:val="21"/>
          <w:szCs w:val="21"/>
        </w:rPr>
        <w:t xml:space="preserve">more affordable </w:t>
      </w:r>
      <w:r>
        <w:rPr>
          <w:rFonts w:cstheme="minorHAnsi"/>
          <w:sz w:val="21"/>
          <w:szCs w:val="21"/>
        </w:rPr>
        <w:t xml:space="preserve">and accessible </w:t>
      </w:r>
      <w:r w:rsidRPr="00576CEA">
        <w:rPr>
          <w:rFonts w:cstheme="minorHAnsi"/>
          <w:sz w:val="21"/>
          <w:szCs w:val="21"/>
        </w:rPr>
        <w:t>ECEC for families</w:t>
      </w:r>
    </w:p>
    <w:p w14:paraId="2611A7D1" w14:textId="1241D04A" w:rsidR="00D8763C" w:rsidRPr="0041310E" w:rsidRDefault="009E473B" w:rsidP="0041310E">
      <w:pPr>
        <w:pStyle w:val="ListParagraph"/>
        <w:numPr>
          <w:ilvl w:val="0"/>
          <w:numId w:val="5"/>
        </w:numPr>
        <w:spacing w:line="264" w:lineRule="auto"/>
        <w:rPr>
          <w:rFonts w:cstheme="minorHAnsi"/>
          <w:sz w:val="21"/>
          <w:szCs w:val="21"/>
        </w:rPr>
      </w:pPr>
      <w:r w:rsidRPr="00E31B59">
        <w:rPr>
          <w:rFonts w:cstheme="minorHAnsi"/>
          <w:sz w:val="21"/>
          <w:szCs w:val="21"/>
        </w:rPr>
        <w:t>monitoring</w:t>
      </w:r>
      <w:r w:rsidR="0039458D" w:rsidRPr="00E31B59">
        <w:rPr>
          <w:rFonts w:cstheme="minorHAnsi"/>
          <w:sz w:val="21"/>
          <w:szCs w:val="21"/>
        </w:rPr>
        <w:t xml:space="preserve"> access </w:t>
      </w:r>
      <w:r w:rsidR="00996530" w:rsidRPr="00E31B59">
        <w:rPr>
          <w:rFonts w:cstheme="minorHAnsi"/>
          <w:sz w:val="21"/>
          <w:szCs w:val="21"/>
        </w:rPr>
        <w:t>to</w:t>
      </w:r>
      <w:r w:rsidR="0039458D" w:rsidRPr="00E31B59">
        <w:rPr>
          <w:rFonts w:cstheme="minorHAnsi"/>
          <w:sz w:val="21"/>
          <w:szCs w:val="21"/>
        </w:rPr>
        <w:t xml:space="preserve"> ECEC across Australia</w:t>
      </w:r>
      <w:r w:rsidR="00194ED3" w:rsidRPr="00E31B59">
        <w:rPr>
          <w:rFonts w:cstheme="minorHAnsi"/>
          <w:sz w:val="21"/>
          <w:szCs w:val="21"/>
        </w:rPr>
        <w:t xml:space="preserve"> (including unmet demand</w:t>
      </w:r>
      <w:r w:rsidR="00194ED3" w:rsidRPr="00194ED3">
        <w:rPr>
          <w:rFonts w:cstheme="minorHAnsi"/>
          <w:sz w:val="21"/>
          <w:szCs w:val="21"/>
        </w:rPr>
        <w:t>)</w:t>
      </w:r>
      <w:r w:rsidR="0039458D" w:rsidRPr="00194ED3">
        <w:rPr>
          <w:rFonts w:cstheme="minorHAnsi"/>
          <w:sz w:val="21"/>
          <w:szCs w:val="21"/>
        </w:rPr>
        <w:t>,</w:t>
      </w:r>
      <w:r w:rsidR="0039458D">
        <w:rPr>
          <w:rFonts w:cstheme="minorHAnsi"/>
          <w:sz w:val="21"/>
          <w:szCs w:val="21"/>
        </w:rPr>
        <w:t xml:space="preserve"> with a particular focus on</w:t>
      </w:r>
      <w:r w:rsidR="0081783B">
        <w:rPr>
          <w:rFonts w:cstheme="minorHAnsi"/>
          <w:sz w:val="21"/>
          <w:szCs w:val="21"/>
        </w:rPr>
        <w:t xml:space="preserve"> families</w:t>
      </w:r>
      <w:r w:rsidR="002E4491" w:rsidRPr="00576CEA">
        <w:rPr>
          <w:rFonts w:cstheme="minorHAnsi"/>
          <w:sz w:val="21"/>
          <w:szCs w:val="21"/>
        </w:rPr>
        <w:t xml:space="preserve"> living in disadvantaged, regional or remote areas of Australia</w:t>
      </w:r>
      <w:r w:rsidR="0041310E">
        <w:rPr>
          <w:rFonts w:cstheme="minorHAnsi"/>
          <w:sz w:val="21"/>
          <w:szCs w:val="21"/>
        </w:rPr>
        <w:t>,</w:t>
      </w:r>
      <w:r w:rsidR="0039458D">
        <w:rPr>
          <w:rFonts w:cstheme="minorHAnsi"/>
          <w:sz w:val="21"/>
          <w:szCs w:val="21"/>
        </w:rPr>
        <w:t xml:space="preserve"> and development of flexible ECEC care models that support women’s </w:t>
      </w:r>
      <w:r w:rsidR="00996530">
        <w:rPr>
          <w:rFonts w:cstheme="minorHAnsi"/>
          <w:sz w:val="21"/>
          <w:szCs w:val="21"/>
        </w:rPr>
        <w:t>workforce</w:t>
      </w:r>
      <w:r w:rsidR="0039458D">
        <w:rPr>
          <w:rFonts w:cstheme="minorHAnsi"/>
          <w:sz w:val="21"/>
          <w:szCs w:val="21"/>
        </w:rPr>
        <w:t xml:space="preserve"> participation, including </w:t>
      </w:r>
      <w:r w:rsidR="00D8763C" w:rsidRPr="0041310E">
        <w:rPr>
          <w:rFonts w:cstheme="minorHAnsi"/>
          <w:sz w:val="21"/>
          <w:szCs w:val="21"/>
        </w:rPr>
        <w:t xml:space="preserve">outside school hours </w:t>
      </w:r>
      <w:r w:rsidR="0041310E">
        <w:rPr>
          <w:rFonts w:cstheme="minorHAnsi"/>
          <w:sz w:val="21"/>
          <w:szCs w:val="21"/>
        </w:rPr>
        <w:t xml:space="preserve">and </w:t>
      </w:r>
      <w:r w:rsidR="0041310E" w:rsidRPr="0041310E">
        <w:rPr>
          <w:rFonts w:cstheme="minorHAnsi"/>
          <w:sz w:val="21"/>
          <w:szCs w:val="21"/>
        </w:rPr>
        <w:t xml:space="preserve">vacation </w:t>
      </w:r>
      <w:proofErr w:type="gramStart"/>
      <w:r w:rsidR="00D8763C" w:rsidRPr="0041310E">
        <w:rPr>
          <w:rFonts w:cstheme="minorHAnsi"/>
          <w:sz w:val="21"/>
          <w:szCs w:val="21"/>
        </w:rPr>
        <w:t>care</w:t>
      </w:r>
      <w:proofErr w:type="gramEnd"/>
      <w:r w:rsidR="0039458D">
        <w:rPr>
          <w:rFonts w:cstheme="minorHAnsi"/>
          <w:sz w:val="21"/>
          <w:szCs w:val="21"/>
        </w:rPr>
        <w:t xml:space="preserve"> </w:t>
      </w:r>
    </w:p>
    <w:p w14:paraId="1B6054ED" w14:textId="2BF73225" w:rsidR="002E4491" w:rsidRPr="00576CEA" w:rsidRDefault="0081783B" w:rsidP="002E4491">
      <w:pPr>
        <w:pStyle w:val="ListParagraph"/>
        <w:numPr>
          <w:ilvl w:val="0"/>
          <w:numId w:val="5"/>
        </w:numPr>
        <w:spacing w:line="264" w:lineRule="auto"/>
        <w:rPr>
          <w:rFonts w:cstheme="minorHAnsi"/>
          <w:sz w:val="21"/>
          <w:szCs w:val="21"/>
        </w:rPr>
      </w:pPr>
      <w:r>
        <w:rPr>
          <w:rFonts w:cstheme="minorHAnsi"/>
          <w:sz w:val="21"/>
          <w:szCs w:val="21"/>
        </w:rPr>
        <w:t xml:space="preserve">children’s </w:t>
      </w:r>
      <w:r w:rsidR="002E4491" w:rsidRPr="00576CEA">
        <w:rPr>
          <w:rFonts w:cstheme="minorHAnsi"/>
          <w:sz w:val="21"/>
          <w:szCs w:val="21"/>
        </w:rPr>
        <w:t xml:space="preserve">access </w:t>
      </w:r>
      <w:r w:rsidR="007850CE">
        <w:rPr>
          <w:rFonts w:cstheme="minorHAnsi"/>
          <w:sz w:val="21"/>
          <w:szCs w:val="21"/>
        </w:rPr>
        <w:t xml:space="preserve">to </w:t>
      </w:r>
      <w:r w:rsidR="002E4491" w:rsidRPr="00576CEA">
        <w:rPr>
          <w:rFonts w:cstheme="minorHAnsi"/>
          <w:sz w:val="21"/>
          <w:szCs w:val="21"/>
        </w:rPr>
        <w:t>two years of preschool/kindergarten before school</w:t>
      </w:r>
    </w:p>
    <w:p w14:paraId="1141EA40" w14:textId="444A90EB" w:rsidR="0055258C" w:rsidRPr="00576CEA" w:rsidRDefault="00E557C7" w:rsidP="0055258C">
      <w:pPr>
        <w:pStyle w:val="ListParagraph"/>
        <w:numPr>
          <w:ilvl w:val="0"/>
          <w:numId w:val="5"/>
        </w:numPr>
        <w:spacing w:line="264" w:lineRule="auto"/>
        <w:rPr>
          <w:rFonts w:cstheme="minorHAnsi"/>
          <w:sz w:val="21"/>
          <w:szCs w:val="21"/>
        </w:rPr>
      </w:pPr>
      <w:r w:rsidRPr="00576CEA">
        <w:rPr>
          <w:rFonts w:cstheme="minorHAnsi"/>
          <w:sz w:val="21"/>
          <w:szCs w:val="21"/>
        </w:rPr>
        <w:t xml:space="preserve">moving to a </w:t>
      </w:r>
      <w:r w:rsidR="0055258C" w:rsidRPr="00576CEA">
        <w:rPr>
          <w:rFonts w:cstheme="minorHAnsi"/>
          <w:sz w:val="21"/>
          <w:szCs w:val="21"/>
        </w:rPr>
        <w:t>free</w:t>
      </w:r>
      <w:r w:rsidR="009254AC" w:rsidRPr="00576CEA">
        <w:rPr>
          <w:rFonts w:cstheme="minorHAnsi"/>
          <w:sz w:val="21"/>
          <w:szCs w:val="21"/>
        </w:rPr>
        <w:t>,</w:t>
      </w:r>
      <w:r w:rsidR="0055258C" w:rsidRPr="00576CEA">
        <w:rPr>
          <w:rFonts w:cstheme="minorHAnsi"/>
          <w:sz w:val="21"/>
          <w:szCs w:val="21"/>
        </w:rPr>
        <w:t xml:space="preserve"> universal system of ECE</w:t>
      </w:r>
      <w:r w:rsidRPr="00576CEA">
        <w:rPr>
          <w:rFonts w:cstheme="minorHAnsi"/>
          <w:sz w:val="21"/>
          <w:szCs w:val="21"/>
        </w:rPr>
        <w:t>C</w:t>
      </w:r>
      <w:r w:rsidR="004E3F50" w:rsidRPr="00576CEA">
        <w:rPr>
          <w:rFonts w:cstheme="minorHAnsi"/>
          <w:sz w:val="21"/>
          <w:szCs w:val="21"/>
        </w:rPr>
        <w:t xml:space="preserve"> and support for early childhood development</w:t>
      </w:r>
      <w:r w:rsidRPr="00576CEA">
        <w:rPr>
          <w:rFonts w:cstheme="minorHAnsi"/>
          <w:sz w:val="21"/>
          <w:szCs w:val="21"/>
        </w:rPr>
        <w:t>.</w:t>
      </w:r>
    </w:p>
    <w:p w14:paraId="073DF112" w14:textId="77777777" w:rsidR="00FF5813" w:rsidRPr="00576CEA" w:rsidRDefault="00FF5813" w:rsidP="00527E76">
      <w:pPr>
        <w:spacing w:line="264" w:lineRule="auto"/>
        <w:rPr>
          <w:rFonts w:cstheme="minorHAnsi"/>
          <w:sz w:val="21"/>
          <w:szCs w:val="21"/>
        </w:rPr>
      </w:pPr>
    </w:p>
    <w:p w14:paraId="4E3E204C" w14:textId="25065225" w:rsidR="007469A4" w:rsidRDefault="007C4DB8" w:rsidP="00BF2AED">
      <w:pPr>
        <w:spacing w:line="264" w:lineRule="auto"/>
        <w:rPr>
          <w:rFonts w:cstheme="minorHAnsi"/>
          <w:sz w:val="21"/>
          <w:szCs w:val="21"/>
        </w:rPr>
      </w:pPr>
      <w:r>
        <w:rPr>
          <w:rFonts w:cstheme="minorHAnsi"/>
          <w:sz w:val="21"/>
          <w:szCs w:val="21"/>
        </w:rPr>
        <w:t>In line with these priorities, w</w:t>
      </w:r>
      <w:r w:rsidR="00BA119D">
        <w:rPr>
          <w:rFonts w:cstheme="minorHAnsi"/>
          <w:sz w:val="21"/>
          <w:szCs w:val="21"/>
        </w:rPr>
        <w:t xml:space="preserve">e endorse </w:t>
      </w:r>
      <w:r>
        <w:rPr>
          <w:rFonts w:cstheme="minorHAnsi"/>
          <w:sz w:val="21"/>
          <w:szCs w:val="21"/>
        </w:rPr>
        <w:t xml:space="preserve">many of </w:t>
      </w:r>
      <w:r w:rsidR="00BA119D">
        <w:rPr>
          <w:rFonts w:cstheme="minorHAnsi"/>
          <w:sz w:val="21"/>
          <w:szCs w:val="21"/>
        </w:rPr>
        <w:t xml:space="preserve">the Productivity Commission’s findings and recommendations in its draft report, </w:t>
      </w:r>
      <w:hyperlink r:id="rId13" w:history="1">
        <w:r w:rsidR="00BA119D" w:rsidRPr="00D93991">
          <w:rPr>
            <w:rStyle w:val="Hyperlink"/>
            <w:rFonts w:cstheme="minorHAnsi"/>
            <w:i/>
            <w:iCs/>
            <w:sz w:val="21"/>
            <w:szCs w:val="21"/>
          </w:rPr>
          <w:t>A path to universal early childhood education and care</w:t>
        </w:r>
      </w:hyperlink>
      <w:r w:rsidR="00BA119D" w:rsidRPr="00E31B59">
        <w:rPr>
          <w:rFonts w:cstheme="minorHAnsi"/>
          <w:sz w:val="21"/>
          <w:szCs w:val="21"/>
        </w:rPr>
        <w:t xml:space="preserve">. </w:t>
      </w:r>
      <w:r w:rsidR="00194ED3" w:rsidRPr="00E31B59">
        <w:rPr>
          <w:rFonts w:cstheme="minorHAnsi"/>
          <w:sz w:val="21"/>
          <w:szCs w:val="21"/>
        </w:rPr>
        <w:t>Some points relate to the Commission’s information requests on pp.87-93 of the report.</w:t>
      </w:r>
    </w:p>
    <w:p w14:paraId="39D9E582" w14:textId="77777777" w:rsidR="007469A4" w:rsidRDefault="007469A4" w:rsidP="00BF2AED">
      <w:pPr>
        <w:spacing w:line="264" w:lineRule="auto"/>
        <w:rPr>
          <w:rFonts w:cstheme="minorHAnsi"/>
          <w:sz w:val="21"/>
          <w:szCs w:val="21"/>
        </w:rPr>
      </w:pPr>
    </w:p>
    <w:p w14:paraId="43EA2596" w14:textId="12A6142A" w:rsidR="00BA119D" w:rsidRPr="00154D08" w:rsidRDefault="00E70146" w:rsidP="00BF2AED">
      <w:pPr>
        <w:spacing w:line="264" w:lineRule="auto"/>
        <w:rPr>
          <w:rFonts w:cstheme="minorHAnsi"/>
          <w:b/>
          <w:bCs/>
          <w:sz w:val="21"/>
          <w:szCs w:val="21"/>
        </w:rPr>
      </w:pPr>
      <w:proofErr w:type="gramStart"/>
      <w:r>
        <w:rPr>
          <w:rFonts w:cstheme="minorHAnsi"/>
          <w:b/>
          <w:bCs/>
          <w:sz w:val="21"/>
          <w:szCs w:val="21"/>
        </w:rPr>
        <w:t>In particular, w</w:t>
      </w:r>
      <w:r w:rsidR="00BA119D" w:rsidRPr="00154D08">
        <w:rPr>
          <w:rFonts w:cstheme="minorHAnsi"/>
          <w:b/>
          <w:bCs/>
          <w:sz w:val="21"/>
          <w:szCs w:val="21"/>
        </w:rPr>
        <w:t>e</w:t>
      </w:r>
      <w:proofErr w:type="gramEnd"/>
      <w:r w:rsidR="00BA119D" w:rsidRPr="00154D08">
        <w:rPr>
          <w:rFonts w:cstheme="minorHAnsi"/>
          <w:b/>
          <w:bCs/>
          <w:sz w:val="21"/>
          <w:szCs w:val="21"/>
        </w:rPr>
        <w:t xml:space="preserve"> support </w:t>
      </w:r>
      <w:r w:rsidR="00E50476">
        <w:rPr>
          <w:rFonts w:cstheme="minorHAnsi"/>
          <w:b/>
          <w:bCs/>
          <w:sz w:val="21"/>
          <w:szCs w:val="21"/>
        </w:rPr>
        <w:t xml:space="preserve">draft </w:t>
      </w:r>
      <w:r w:rsidR="00BA119D" w:rsidRPr="00154D08">
        <w:rPr>
          <w:rFonts w:cstheme="minorHAnsi"/>
          <w:b/>
          <w:bCs/>
          <w:sz w:val="21"/>
          <w:szCs w:val="21"/>
        </w:rPr>
        <w:t>recommendations relating to:</w:t>
      </w:r>
    </w:p>
    <w:p w14:paraId="4125A4C9" w14:textId="5C2F9327" w:rsidR="00891C32" w:rsidRDefault="00891C32" w:rsidP="00BF2AED">
      <w:pPr>
        <w:spacing w:line="264" w:lineRule="auto"/>
        <w:rPr>
          <w:rFonts w:cstheme="minorHAnsi"/>
          <w:sz w:val="21"/>
          <w:szCs w:val="21"/>
        </w:rPr>
      </w:pPr>
    </w:p>
    <w:p w14:paraId="56B3DCD5" w14:textId="3718F62C" w:rsidR="00891C32" w:rsidRDefault="007C4DB8" w:rsidP="00891C32">
      <w:pPr>
        <w:pStyle w:val="ListParagraph"/>
        <w:numPr>
          <w:ilvl w:val="0"/>
          <w:numId w:val="10"/>
        </w:numPr>
        <w:spacing w:line="264" w:lineRule="auto"/>
        <w:rPr>
          <w:rFonts w:cstheme="minorHAnsi"/>
          <w:sz w:val="21"/>
          <w:szCs w:val="21"/>
        </w:rPr>
      </w:pPr>
      <w:r>
        <w:rPr>
          <w:rFonts w:cstheme="minorHAnsi"/>
          <w:sz w:val="21"/>
          <w:szCs w:val="21"/>
        </w:rPr>
        <w:t>removing</w:t>
      </w:r>
      <w:r w:rsidR="00431490">
        <w:rPr>
          <w:rFonts w:cstheme="minorHAnsi"/>
          <w:sz w:val="21"/>
          <w:szCs w:val="21"/>
        </w:rPr>
        <w:t xml:space="preserve"> barriers</w:t>
      </w:r>
      <w:r w:rsidR="00A6185C">
        <w:rPr>
          <w:rFonts w:cstheme="minorHAnsi"/>
          <w:sz w:val="21"/>
          <w:szCs w:val="21"/>
        </w:rPr>
        <w:t xml:space="preserve"> for educator upskilling, </w:t>
      </w:r>
      <w:r w:rsidR="00011510">
        <w:rPr>
          <w:rFonts w:cstheme="minorHAnsi"/>
          <w:sz w:val="21"/>
          <w:szCs w:val="21"/>
        </w:rPr>
        <w:t xml:space="preserve">support and mentoring on the job, </w:t>
      </w:r>
      <w:r w:rsidR="00266140">
        <w:rPr>
          <w:rFonts w:cstheme="minorHAnsi"/>
          <w:sz w:val="21"/>
          <w:szCs w:val="21"/>
        </w:rPr>
        <w:t xml:space="preserve">better pathways into the profession, </w:t>
      </w:r>
      <w:r w:rsidR="00A6185C">
        <w:rPr>
          <w:rFonts w:cstheme="minorHAnsi"/>
          <w:sz w:val="21"/>
          <w:szCs w:val="21"/>
        </w:rPr>
        <w:t>improved registration processes for early childhood teachers to improve recruitment, job satisfaction and retention</w:t>
      </w:r>
      <w:r w:rsidR="00011510">
        <w:rPr>
          <w:rFonts w:cstheme="minorHAnsi"/>
          <w:sz w:val="21"/>
          <w:szCs w:val="21"/>
        </w:rPr>
        <w:t xml:space="preserve"> and help boost the supply of ECEC</w:t>
      </w:r>
      <w:r w:rsidR="009B04B6">
        <w:rPr>
          <w:rFonts w:cstheme="minorHAnsi"/>
          <w:sz w:val="21"/>
          <w:szCs w:val="21"/>
        </w:rPr>
        <w:t xml:space="preserve"> across Australia</w:t>
      </w:r>
      <w:r w:rsidR="00431490">
        <w:rPr>
          <w:rFonts w:cstheme="minorHAnsi"/>
          <w:sz w:val="21"/>
          <w:szCs w:val="21"/>
        </w:rPr>
        <w:t xml:space="preserve"> (</w:t>
      </w:r>
      <w:r w:rsidR="00431490" w:rsidRPr="00564DAB">
        <w:rPr>
          <w:rFonts w:cstheme="minorHAnsi"/>
          <w:b/>
          <w:bCs/>
          <w:sz w:val="21"/>
          <w:szCs w:val="21"/>
        </w:rPr>
        <w:t>recommendations 3.1, 3.2, 3.3 and 3.4</w:t>
      </w:r>
      <w:r w:rsidR="00431490">
        <w:rPr>
          <w:rFonts w:cstheme="minorHAnsi"/>
          <w:sz w:val="21"/>
          <w:szCs w:val="21"/>
        </w:rPr>
        <w:t>)</w:t>
      </w:r>
      <w:r>
        <w:rPr>
          <w:rFonts w:cstheme="minorHAnsi"/>
          <w:sz w:val="21"/>
          <w:szCs w:val="21"/>
        </w:rPr>
        <w:t xml:space="preserve">, trialling of </w:t>
      </w:r>
      <w:r w:rsidR="00431490">
        <w:rPr>
          <w:rFonts w:cstheme="minorHAnsi"/>
          <w:sz w:val="21"/>
          <w:szCs w:val="21"/>
        </w:rPr>
        <w:t>new pathways for Aboriginal and Torres Strait Islander people to obtain ECEC qualifications (</w:t>
      </w:r>
      <w:r w:rsidR="00431490" w:rsidRPr="00564DAB">
        <w:rPr>
          <w:rFonts w:cstheme="minorHAnsi"/>
          <w:b/>
          <w:bCs/>
          <w:sz w:val="21"/>
          <w:szCs w:val="21"/>
        </w:rPr>
        <w:t>recommendation 3.5</w:t>
      </w:r>
      <w:r w:rsidR="00431490">
        <w:rPr>
          <w:rFonts w:cstheme="minorHAnsi"/>
          <w:sz w:val="21"/>
          <w:szCs w:val="21"/>
        </w:rPr>
        <w:t>)</w:t>
      </w:r>
      <w:r w:rsidR="00B93555">
        <w:rPr>
          <w:rFonts w:cstheme="minorHAnsi"/>
          <w:sz w:val="21"/>
          <w:szCs w:val="21"/>
        </w:rPr>
        <w:t xml:space="preserve"> and promot</w:t>
      </w:r>
      <w:r>
        <w:rPr>
          <w:rFonts w:cstheme="minorHAnsi"/>
          <w:sz w:val="21"/>
          <w:szCs w:val="21"/>
        </w:rPr>
        <w:t>ing</w:t>
      </w:r>
      <w:r w:rsidR="00B93555">
        <w:rPr>
          <w:rFonts w:cstheme="minorHAnsi"/>
          <w:sz w:val="21"/>
          <w:szCs w:val="21"/>
        </w:rPr>
        <w:t xml:space="preserve"> professional development of ECEC educators (</w:t>
      </w:r>
      <w:r w:rsidR="00B93555" w:rsidRPr="00564DAB">
        <w:rPr>
          <w:rFonts w:cstheme="minorHAnsi"/>
          <w:b/>
          <w:bCs/>
          <w:sz w:val="21"/>
          <w:szCs w:val="21"/>
        </w:rPr>
        <w:t>recommendations 3.6 and 3.7)</w:t>
      </w:r>
    </w:p>
    <w:p w14:paraId="53A8CA0E" w14:textId="7E8A0E3C" w:rsidR="00D63BB5" w:rsidRDefault="00D63BB5" w:rsidP="00891C32">
      <w:pPr>
        <w:pStyle w:val="ListParagraph"/>
        <w:numPr>
          <w:ilvl w:val="0"/>
          <w:numId w:val="10"/>
        </w:numPr>
        <w:spacing w:line="264" w:lineRule="auto"/>
        <w:rPr>
          <w:rFonts w:cstheme="minorHAnsi"/>
          <w:sz w:val="21"/>
          <w:szCs w:val="21"/>
        </w:rPr>
      </w:pPr>
      <w:r>
        <w:rPr>
          <w:rFonts w:cstheme="minorHAnsi"/>
          <w:sz w:val="21"/>
          <w:szCs w:val="21"/>
        </w:rPr>
        <w:t xml:space="preserve">the proposal that all children </w:t>
      </w:r>
      <w:r w:rsidR="00545B26">
        <w:rPr>
          <w:rFonts w:cstheme="minorHAnsi"/>
          <w:sz w:val="21"/>
          <w:szCs w:val="21"/>
        </w:rPr>
        <w:t>are entitled to</w:t>
      </w:r>
      <w:r>
        <w:rPr>
          <w:rFonts w:cstheme="minorHAnsi"/>
          <w:sz w:val="21"/>
          <w:szCs w:val="21"/>
        </w:rPr>
        <w:t xml:space="preserve"> access to </w:t>
      </w:r>
      <w:r w:rsidR="00545B26">
        <w:rPr>
          <w:rFonts w:cstheme="minorHAnsi"/>
          <w:sz w:val="21"/>
          <w:szCs w:val="21"/>
        </w:rPr>
        <w:t xml:space="preserve">affordable </w:t>
      </w:r>
      <w:r>
        <w:rPr>
          <w:rFonts w:cstheme="minorHAnsi"/>
          <w:sz w:val="21"/>
          <w:szCs w:val="21"/>
        </w:rPr>
        <w:t>30 hours of ECEC, or at least three days per week</w:t>
      </w:r>
      <w:r w:rsidR="00564DAB">
        <w:rPr>
          <w:rFonts w:cstheme="minorHAnsi"/>
          <w:sz w:val="21"/>
          <w:szCs w:val="21"/>
        </w:rPr>
        <w:t xml:space="preserve"> (72 hours per fortnight)</w:t>
      </w:r>
      <w:r w:rsidR="00194ED3">
        <w:rPr>
          <w:rFonts w:cstheme="minorHAnsi"/>
          <w:sz w:val="21"/>
          <w:szCs w:val="21"/>
        </w:rPr>
        <w:t>,</w:t>
      </w:r>
      <w:r w:rsidR="00564DAB">
        <w:rPr>
          <w:rFonts w:cstheme="minorHAnsi"/>
          <w:sz w:val="21"/>
          <w:szCs w:val="21"/>
        </w:rPr>
        <w:t xml:space="preserve"> which underpins options 1-3 of the modelled </w:t>
      </w:r>
      <w:proofErr w:type="gramStart"/>
      <w:r w:rsidR="00564DAB">
        <w:rPr>
          <w:rFonts w:cstheme="minorHAnsi"/>
          <w:sz w:val="21"/>
          <w:szCs w:val="21"/>
        </w:rPr>
        <w:t>Child Care</w:t>
      </w:r>
      <w:proofErr w:type="gramEnd"/>
      <w:r w:rsidR="00564DAB">
        <w:rPr>
          <w:rFonts w:cstheme="minorHAnsi"/>
          <w:sz w:val="21"/>
          <w:szCs w:val="21"/>
        </w:rPr>
        <w:t xml:space="preserve"> Subsidy (CCS) options on p.37</w:t>
      </w:r>
    </w:p>
    <w:p w14:paraId="282D1ABB" w14:textId="0435CAAB" w:rsidR="00891C32" w:rsidRDefault="00A6185C" w:rsidP="00891C32">
      <w:pPr>
        <w:pStyle w:val="ListParagraph"/>
        <w:numPr>
          <w:ilvl w:val="0"/>
          <w:numId w:val="10"/>
        </w:numPr>
        <w:spacing w:line="264" w:lineRule="auto"/>
        <w:rPr>
          <w:rFonts w:cstheme="minorHAnsi"/>
          <w:sz w:val="21"/>
          <w:szCs w:val="21"/>
        </w:rPr>
      </w:pPr>
      <w:r>
        <w:rPr>
          <w:rFonts w:cstheme="minorHAnsi"/>
          <w:sz w:val="21"/>
          <w:szCs w:val="21"/>
        </w:rPr>
        <w:t>relaxing</w:t>
      </w:r>
      <w:r w:rsidR="00154D08">
        <w:rPr>
          <w:rFonts w:cstheme="minorHAnsi"/>
          <w:sz w:val="21"/>
          <w:szCs w:val="21"/>
        </w:rPr>
        <w:t>,</w:t>
      </w:r>
      <w:r>
        <w:rPr>
          <w:rFonts w:cstheme="minorHAnsi"/>
          <w:sz w:val="21"/>
          <w:szCs w:val="21"/>
        </w:rPr>
        <w:t xml:space="preserve"> or</w:t>
      </w:r>
      <w:r w:rsidR="00154D08">
        <w:rPr>
          <w:rFonts w:cstheme="minorHAnsi"/>
          <w:sz w:val="21"/>
          <w:szCs w:val="21"/>
        </w:rPr>
        <w:t xml:space="preserve"> </w:t>
      </w:r>
      <w:r w:rsidR="00154D08" w:rsidRPr="00194ED3">
        <w:rPr>
          <w:rFonts w:cstheme="minorHAnsi"/>
          <w:b/>
          <w:bCs/>
          <w:sz w:val="21"/>
          <w:szCs w:val="21"/>
        </w:rPr>
        <w:t xml:space="preserve">preferably </w:t>
      </w:r>
      <w:r w:rsidR="00891C32" w:rsidRPr="00194ED3">
        <w:rPr>
          <w:rFonts w:cstheme="minorHAnsi"/>
          <w:b/>
          <w:bCs/>
          <w:sz w:val="21"/>
          <w:szCs w:val="21"/>
        </w:rPr>
        <w:t>abolishing</w:t>
      </w:r>
      <w:r w:rsidR="00154D08">
        <w:rPr>
          <w:rFonts w:cstheme="minorHAnsi"/>
          <w:sz w:val="21"/>
          <w:szCs w:val="21"/>
        </w:rPr>
        <w:t xml:space="preserve">, </w:t>
      </w:r>
      <w:r w:rsidR="00891C32">
        <w:rPr>
          <w:rFonts w:cstheme="minorHAnsi"/>
          <w:sz w:val="21"/>
          <w:szCs w:val="21"/>
        </w:rPr>
        <w:t xml:space="preserve">the activity test for all families </w:t>
      </w:r>
      <w:r>
        <w:rPr>
          <w:rFonts w:cstheme="minorHAnsi"/>
          <w:sz w:val="21"/>
          <w:szCs w:val="21"/>
        </w:rPr>
        <w:t>(options 1-4</w:t>
      </w:r>
      <w:r w:rsidR="00564DAB">
        <w:rPr>
          <w:rFonts w:cstheme="minorHAnsi"/>
          <w:sz w:val="21"/>
          <w:szCs w:val="21"/>
        </w:rPr>
        <w:t>) for at least three days per week</w:t>
      </w:r>
      <w:r>
        <w:rPr>
          <w:rFonts w:cstheme="minorHAnsi"/>
          <w:sz w:val="21"/>
          <w:szCs w:val="21"/>
        </w:rPr>
        <w:t>, noting that the lower cost option</w:t>
      </w:r>
      <w:r w:rsidR="00431490">
        <w:rPr>
          <w:rFonts w:cstheme="minorHAnsi"/>
          <w:sz w:val="21"/>
          <w:szCs w:val="21"/>
        </w:rPr>
        <w:t xml:space="preserve"> </w:t>
      </w:r>
      <w:r w:rsidR="00011510">
        <w:rPr>
          <w:rFonts w:cstheme="minorHAnsi"/>
          <w:sz w:val="21"/>
          <w:szCs w:val="21"/>
        </w:rPr>
        <w:t xml:space="preserve">2 </w:t>
      </w:r>
      <w:r w:rsidR="00431490">
        <w:rPr>
          <w:rFonts w:cstheme="minorHAnsi"/>
          <w:sz w:val="21"/>
          <w:szCs w:val="21"/>
        </w:rPr>
        <w:t>(</w:t>
      </w:r>
      <w:r w:rsidR="00431490" w:rsidRPr="00564DAB">
        <w:rPr>
          <w:rFonts w:cstheme="minorHAnsi"/>
          <w:b/>
          <w:bCs/>
          <w:sz w:val="21"/>
          <w:szCs w:val="21"/>
        </w:rPr>
        <w:t>recommendation 6.2</w:t>
      </w:r>
      <w:r w:rsidR="00431490">
        <w:rPr>
          <w:rFonts w:cstheme="minorHAnsi"/>
          <w:sz w:val="21"/>
          <w:szCs w:val="21"/>
        </w:rPr>
        <w:t>) may be</w:t>
      </w:r>
      <w:r>
        <w:rPr>
          <w:rFonts w:cstheme="minorHAnsi"/>
          <w:sz w:val="21"/>
          <w:szCs w:val="21"/>
        </w:rPr>
        <w:t xml:space="preserve"> more </w:t>
      </w:r>
      <w:r w:rsidR="00011510">
        <w:rPr>
          <w:rFonts w:cstheme="minorHAnsi"/>
          <w:sz w:val="21"/>
          <w:szCs w:val="21"/>
        </w:rPr>
        <w:t>manageable</w:t>
      </w:r>
      <w:r>
        <w:rPr>
          <w:rFonts w:cstheme="minorHAnsi"/>
          <w:sz w:val="21"/>
          <w:szCs w:val="21"/>
        </w:rPr>
        <w:t xml:space="preserve"> </w:t>
      </w:r>
      <w:r w:rsidR="00011510">
        <w:rPr>
          <w:rFonts w:cstheme="minorHAnsi"/>
          <w:sz w:val="21"/>
          <w:szCs w:val="21"/>
        </w:rPr>
        <w:t>for</w:t>
      </w:r>
      <w:r>
        <w:rPr>
          <w:rFonts w:cstheme="minorHAnsi"/>
          <w:sz w:val="21"/>
          <w:szCs w:val="21"/>
        </w:rPr>
        <w:t xml:space="preserve"> </w:t>
      </w:r>
      <w:r w:rsidR="00011510">
        <w:rPr>
          <w:rFonts w:cstheme="minorHAnsi"/>
          <w:sz w:val="21"/>
          <w:szCs w:val="21"/>
        </w:rPr>
        <w:t>the Australian G</w:t>
      </w:r>
      <w:r>
        <w:rPr>
          <w:rFonts w:cstheme="minorHAnsi"/>
          <w:sz w:val="21"/>
          <w:szCs w:val="21"/>
        </w:rPr>
        <w:t>overnment</w:t>
      </w:r>
      <w:r w:rsidR="00011510">
        <w:rPr>
          <w:rFonts w:cstheme="minorHAnsi"/>
          <w:sz w:val="21"/>
          <w:szCs w:val="21"/>
        </w:rPr>
        <w:t xml:space="preserve"> to implement</w:t>
      </w:r>
      <w:r w:rsidR="007C4DB8">
        <w:rPr>
          <w:rFonts w:cstheme="minorHAnsi"/>
          <w:sz w:val="21"/>
          <w:szCs w:val="21"/>
        </w:rPr>
        <w:t xml:space="preserve"> in the short term</w:t>
      </w:r>
      <w:r w:rsidR="00431490">
        <w:rPr>
          <w:rFonts w:cstheme="minorHAnsi"/>
          <w:sz w:val="21"/>
          <w:szCs w:val="21"/>
        </w:rPr>
        <w:t>,</w:t>
      </w:r>
      <w:r w:rsidR="009B04B6">
        <w:rPr>
          <w:rFonts w:cstheme="minorHAnsi"/>
          <w:sz w:val="21"/>
          <w:szCs w:val="21"/>
        </w:rPr>
        <w:t xml:space="preserve"> </w:t>
      </w:r>
      <w:r w:rsidR="00431490">
        <w:rPr>
          <w:rFonts w:cstheme="minorHAnsi"/>
          <w:sz w:val="21"/>
          <w:szCs w:val="21"/>
        </w:rPr>
        <w:t>while</w:t>
      </w:r>
      <w:r w:rsidR="009B04B6">
        <w:rPr>
          <w:rFonts w:cstheme="minorHAnsi"/>
          <w:sz w:val="21"/>
          <w:szCs w:val="21"/>
        </w:rPr>
        <w:t xml:space="preserve"> option 3 (90</w:t>
      </w:r>
      <w:r w:rsidR="00411024">
        <w:rPr>
          <w:rFonts w:cstheme="minorHAnsi"/>
          <w:sz w:val="21"/>
          <w:szCs w:val="21"/>
        </w:rPr>
        <w:t> </w:t>
      </w:r>
      <w:r w:rsidR="009B04B6">
        <w:rPr>
          <w:rFonts w:cstheme="minorHAnsi"/>
          <w:sz w:val="21"/>
          <w:szCs w:val="21"/>
        </w:rPr>
        <w:t>per cent subsidy for all families for three days of ECEC per week</w:t>
      </w:r>
      <w:r w:rsidR="00564DAB">
        <w:rPr>
          <w:rFonts w:cstheme="minorHAnsi"/>
          <w:sz w:val="21"/>
          <w:szCs w:val="21"/>
        </w:rPr>
        <w:t xml:space="preserve"> for all families</w:t>
      </w:r>
      <w:r w:rsidR="009B04B6">
        <w:rPr>
          <w:rFonts w:cstheme="minorHAnsi"/>
          <w:sz w:val="21"/>
          <w:szCs w:val="21"/>
        </w:rPr>
        <w:t>) could be a longer</w:t>
      </w:r>
      <w:r w:rsidR="00996530">
        <w:rPr>
          <w:rFonts w:cstheme="minorHAnsi"/>
          <w:sz w:val="21"/>
          <w:szCs w:val="21"/>
        </w:rPr>
        <w:noBreakHyphen/>
      </w:r>
      <w:r w:rsidR="009B04B6">
        <w:rPr>
          <w:rFonts w:cstheme="minorHAnsi"/>
          <w:sz w:val="21"/>
          <w:szCs w:val="21"/>
        </w:rPr>
        <w:t>term goal</w:t>
      </w:r>
      <w:r w:rsidR="00564DAB">
        <w:rPr>
          <w:rFonts w:cstheme="minorHAnsi"/>
          <w:sz w:val="21"/>
          <w:szCs w:val="21"/>
        </w:rPr>
        <w:t xml:space="preserve"> for Government</w:t>
      </w:r>
      <w:r w:rsidR="007C4DB8">
        <w:rPr>
          <w:rFonts w:cstheme="minorHAnsi"/>
          <w:sz w:val="21"/>
          <w:szCs w:val="21"/>
        </w:rPr>
        <w:t xml:space="preserve"> to work towards</w:t>
      </w:r>
    </w:p>
    <w:p w14:paraId="44065F3D" w14:textId="3F340FC7" w:rsidR="00564DAB" w:rsidRPr="00564DAB" w:rsidRDefault="00564DAB" w:rsidP="00564DAB">
      <w:pPr>
        <w:pStyle w:val="ListParagraph"/>
        <w:numPr>
          <w:ilvl w:val="0"/>
          <w:numId w:val="10"/>
        </w:numPr>
        <w:spacing w:line="264" w:lineRule="auto"/>
        <w:rPr>
          <w:rFonts w:cstheme="minorHAnsi"/>
          <w:sz w:val="21"/>
          <w:szCs w:val="21"/>
        </w:rPr>
      </w:pPr>
      <w:r w:rsidRPr="00CC0723">
        <w:rPr>
          <w:rFonts w:cstheme="minorHAnsi"/>
          <w:sz w:val="21"/>
          <w:szCs w:val="21"/>
        </w:rPr>
        <w:lastRenderedPageBreak/>
        <w:t>in addition,</w:t>
      </w:r>
      <w:r>
        <w:rPr>
          <w:rFonts w:cstheme="minorHAnsi"/>
          <w:sz w:val="21"/>
          <w:szCs w:val="21"/>
        </w:rPr>
        <w:t xml:space="preserve"> considering whether the $80,000 annual family income threshold should be raised to $90,000 or even $100,000 given cost of living increases in recent years (</w:t>
      </w:r>
      <w:r w:rsidRPr="00CC0723">
        <w:rPr>
          <w:rFonts w:cstheme="minorHAnsi"/>
          <w:b/>
          <w:bCs/>
          <w:sz w:val="21"/>
          <w:szCs w:val="21"/>
        </w:rPr>
        <w:t>not currently a recommendation</w:t>
      </w:r>
      <w:r>
        <w:rPr>
          <w:rFonts w:cstheme="minorHAnsi"/>
          <w:sz w:val="21"/>
          <w:szCs w:val="21"/>
        </w:rPr>
        <w:t>)</w:t>
      </w:r>
    </w:p>
    <w:p w14:paraId="48A35F5E" w14:textId="4901C4C8" w:rsidR="00D63BB5" w:rsidRPr="00564DAB" w:rsidRDefault="002D7D01" w:rsidP="00545B26">
      <w:pPr>
        <w:pStyle w:val="ListParagraph"/>
        <w:numPr>
          <w:ilvl w:val="0"/>
          <w:numId w:val="10"/>
        </w:numPr>
        <w:spacing w:line="264" w:lineRule="auto"/>
        <w:rPr>
          <w:rFonts w:cstheme="minorHAnsi"/>
          <w:sz w:val="21"/>
          <w:szCs w:val="21"/>
        </w:rPr>
      </w:pPr>
      <w:r>
        <w:rPr>
          <w:rFonts w:cstheme="minorHAnsi"/>
          <w:sz w:val="21"/>
          <w:szCs w:val="21"/>
        </w:rPr>
        <w:t xml:space="preserve">monitoring changes in fees and families’ out of pocket ECEC costs regularly, feeding in to </w:t>
      </w:r>
      <w:r w:rsidR="00D63BB5">
        <w:rPr>
          <w:rFonts w:cstheme="minorHAnsi"/>
          <w:sz w:val="21"/>
          <w:szCs w:val="21"/>
        </w:rPr>
        <w:t>review</w:t>
      </w:r>
      <w:r>
        <w:rPr>
          <w:rFonts w:cstheme="minorHAnsi"/>
          <w:sz w:val="21"/>
          <w:szCs w:val="21"/>
        </w:rPr>
        <w:t xml:space="preserve"> of</w:t>
      </w:r>
      <w:r w:rsidR="00D63BB5">
        <w:rPr>
          <w:rFonts w:cstheme="minorHAnsi"/>
          <w:sz w:val="21"/>
          <w:szCs w:val="21"/>
        </w:rPr>
        <w:t xml:space="preserve"> the hourly rate cap (</w:t>
      </w:r>
      <w:r w:rsidR="00D63BB5" w:rsidRPr="00564DAB">
        <w:rPr>
          <w:rFonts w:cstheme="minorHAnsi"/>
          <w:b/>
          <w:bCs/>
          <w:sz w:val="21"/>
          <w:szCs w:val="21"/>
        </w:rPr>
        <w:t>recommendation 6.</w:t>
      </w:r>
      <w:r w:rsidR="00545B26" w:rsidRPr="00564DAB">
        <w:rPr>
          <w:rFonts w:cstheme="minorHAnsi"/>
          <w:b/>
          <w:bCs/>
          <w:sz w:val="21"/>
          <w:szCs w:val="21"/>
        </w:rPr>
        <w:t>1</w:t>
      </w:r>
      <w:r w:rsidR="00D63BB5">
        <w:rPr>
          <w:rFonts w:cstheme="minorHAnsi"/>
          <w:sz w:val="21"/>
          <w:szCs w:val="21"/>
        </w:rPr>
        <w:t xml:space="preserve">) to ensure it </w:t>
      </w:r>
      <w:r w:rsidR="00545B26">
        <w:rPr>
          <w:rFonts w:cstheme="minorHAnsi"/>
          <w:sz w:val="21"/>
          <w:szCs w:val="21"/>
        </w:rPr>
        <w:t xml:space="preserve">continues to reflect </w:t>
      </w:r>
      <w:r w:rsidR="00194ED3">
        <w:rPr>
          <w:rFonts w:cstheme="minorHAnsi"/>
          <w:sz w:val="21"/>
          <w:szCs w:val="21"/>
        </w:rPr>
        <w:t xml:space="preserve">ECEC </w:t>
      </w:r>
      <w:r w:rsidR="00545B26">
        <w:rPr>
          <w:rFonts w:cstheme="minorHAnsi"/>
          <w:sz w:val="21"/>
          <w:szCs w:val="21"/>
        </w:rPr>
        <w:t xml:space="preserve">operating costs, and in between these reviews, the cap should be </w:t>
      </w:r>
      <w:r w:rsidR="00545B26" w:rsidRPr="00545B26">
        <w:rPr>
          <w:rFonts w:cstheme="minorHAnsi"/>
          <w:sz w:val="21"/>
          <w:szCs w:val="21"/>
          <w:lang w:val="en-GB"/>
        </w:rPr>
        <w:t>indexed at a rate that best reflects changes in the costs of provision</w:t>
      </w:r>
      <w:r w:rsidR="00194ED3">
        <w:rPr>
          <w:rFonts w:cstheme="minorHAnsi"/>
          <w:sz w:val="21"/>
          <w:szCs w:val="21"/>
          <w:lang w:val="en-GB"/>
        </w:rPr>
        <w:t xml:space="preserve"> (e.g. </w:t>
      </w:r>
      <w:r w:rsidR="00194ED3" w:rsidRPr="00E31B59">
        <w:rPr>
          <w:rFonts w:cstheme="minorHAnsi"/>
          <w:sz w:val="21"/>
          <w:szCs w:val="21"/>
          <w:lang w:val="en-GB"/>
        </w:rPr>
        <w:t>according to</w:t>
      </w:r>
      <w:r w:rsidR="00194ED3">
        <w:rPr>
          <w:rFonts w:cstheme="minorHAnsi"/>
          <w:sz w:val="21"/>
          <w:szCs w:val="21"/>
          <w:lang w:val="en-GB"/>
        </w:rPr>
        <w:t xml:space="preserve"> </w:t>
      </w:r>
      <w:r w:rsidR="00545B26" w:rsidRPr="00545B26">
        <w:rPr>
          <w:rFonts w:cstheme="minorHAnsi"/>
          <w:sz w:val="21"/>
          <w:szCs w:val="21"/>
          <w:lang w:val="en-GB"/>
        </w:rPr>
        <w:t>wage indices or CPI</w:t>
      </w:r>
      <w:r w:rsidR="00194ED3">
        <w:rPr>
          <w:rFonts w:cstheme="minorHAnsi"/>
          <w:sz w:val="21"/>
          <w:szCs w:val="21"/>
          <w:lang w:val="en-GB"/>
        </w:rPr>
        <w:t>)</w:t>
      </w:r>
    </w:p>
    <w:p w14:paraId="361C3125" w14:textId="68A9D4CD" w:rsidR="00564DAB" w:rsidRPr="00545B26" w:rsidRDefault="00564DAB" w:rsidP="00564DAB">
      <w:pPr>
        <w:pStyle w:val="ListParagraph"/>
        <w:numPr>
          <w:ilvl w:val="0"/>
          <w:numId w:val="10"/>
        </w:numPr>
        <w:spacing w:line="264" w:lineRule="auto"/>
        <w:rPr>
          <w:rFonts w:cstheme="minorHAnsi"/>
          <w:sz w:val="21"/>
          <w:szCs w:val="21"/>
        </w:rPr>
      </w:pPr>
      <w:r w:rsidRPr="00564DAB">
        <w:rPr>
          <w:rFonts w:cstheme="minorHAnsi"/>
          <w:sz w:val="21"/>
          <w:szCs w:val="21"/>
          <w:lang w:val="en-GB"/>
        </w:rPr>
        <w:t>considering</w:t>
      </w:r>
      <w:r w:rsidRPr="00545B26">
        <w:rPr>
          <w:rFonts w:cstheme="minorHAnsi"/>
          <w:sz w:val="21"/>
          <w:szCs w:val="21"/>
          <w:lang w:val="en-GB"/>
        </w:rPr>
        <w:t xml:space="preserve"> a higher hourly rate cap for non-standard hours (</w:t>
      </w:r>
      <w:r w:rsidRPr="00545B26">
        <w:rPr>
          <w:rFonts w:cstheme="minorHAnsi"/>
          <w:b/>
          <w:bCs/>
          <w:sz w:val="21"/>
          <w:szCs w:val="21"/>
          <w:lang w:val="en-GB"/>
        </w:rPr>
        <w:t>recommendation 7.3)</w:t>
      </w:r>
      <w:r w:rsidRPr="00564DAB">
        <w:rPr>
          <w:rFonts w:cstheme="minorHAnsi"/>
          <w:sz w:val="21"/>
          <w:szCs w:val="21"/>
          <w:lang w:val="en-GB"/>
        </w:rPr>
        <w:t xml:space="preserve"> to support shift workers and families who work non-standard </w:t>
      </w:r>
      <w:r w:rsidR="00EE0646" w:rsidRPr="00564DAB">
        <w:rPr>
          <w:rFonts w:cstheme="minorHAnsi"/>
          <w:sz w:val="21"/>
          <w:szCs w:val="21"/>
          <w:lang w:val="en-GB"/>
        </w:rPr>
        <w:t>hours.</w:t>
      </w:r>
    </w:p>
    <w:p w14:paraId="4F50B271" w14:textId="3EABB390" w:rsidR="007C4DB8" w:rsidRPr="00154D08" w:rsidRDefault="007C4DB8" w:rsidP="00891C32">
      <w:pPr>
        <w:pStyle w:val="ListParagraph"/>
        <w:numPr>
          <w:ilvl w:val="0"/>
          <w:numId w:val="10"/>
        </w:numPr>
        <w:spacing w:line="264" w:lineRule="auto"/>
        <w:rPr>
          <w:rFonts w:cstheme="minorHAnsi"/>
          <w:sz w:val="21"/>
          <w:szCs w:val="21"/>
        </w:rPr>
      </w:pPr>
      <w:r w:rsidRPr="00891C32">
        <w:rPr>
          <w:rFonts w:cstheme="minorHAnsi"/>
          <w:sz w:val="21"/>
          <w:szCs w:val="21"/>
          <w:lang w:val="en-GB"/>
        </w:rPr>
        <w:t xml:space="preserve">supporting universal access in persistently thin markets via supply-side funding </w:t>
      </w:r>
      <w:r>
        <w:rPr>
          <w:rFonts w:cstheme="minorHAnsi"/>
          <w:sz w:val="21"/>
          <w:szCs w:val="21"/>
          <w:lang w:val="en-GB"/>
        </w:rPr>
        <w:t>(</w:t>
      </w:r>
      <w:r w:rsidRPr="00E70146">
        <w:rPr>
          <w:rFonts w:cstheme="minorHAnsi"/>
          <w:b/>
          <w:bCs/>
          <w:sz w:val="21"/>
          <w:szCs w:val="21"/>
          <w:lang w:val="en-GB"/>
        </w:rPr>
        <w:t>recommendation 5.1</w:t>
      </w:r>
      <w:r>
        <w:rPr>
          <w:rFonts w:cstheme="minorHAnsi"/>
          <w:sz w:val="21"/>
          <w:szCs w:val="21"/>
          <w:lang w:val="en-GB"/>
        </w:rPr>
        <w:t xml:space="preserve">) through supply-side funding, e.g. expansion of the Community </w:t>
      </w:r>
      <w:proofErr w:type="gramStart"/>
      <w:r>
        <w:rPr>
          <w:rFonts w:cstheme="minorHAnsi"/>
          <w:sz w:val="21"/>
          <w:szCs w:val="21"/>
          <w:lang w:val="en-GB"/>
        </w:rPr>
        <w:t>Child Care</w:t>
      </w:r>
      <w:proofErr w:type="gramEnd"/>
      <w:r>
        <w:rPr>
          <w:rFonts w:cstheme="minorHAnsi"/>
          <w:sz w:val="21"/>
          <w:szCs w:val="21"/>
          <w:lang w:val="en-GB"/>
        </w:rPr>
        <w:t xml:space="preserve"> Fund and/or other funding models for ECEC services to ensure the availability of ECEC in regional, remote and very remote areas of Australia.</w:t>
      </w:r>
    </w:p>
    <w:p w14:paraId="6425B066" w14:textId="77777777" w:rsidR="00211DA6" w:rsidRDefault="00211DA6" w:rsidP="00211DA6">
      <w:pPr>
        <w:spacing w:line="264" w:lineRule="auto"/>
        <w:rPr>
          <w:rFonts w:cstheme="minorHAnsi"/>
          <w:sz w:val="21"/>
          <w:szCs w:val="21"/>
        </w:rPr>
      </w:pPr>
    </w:p>
    <w:p w14:paraId="61B5C9FE" w14:textId="3378E23C" w:rsidR="00211DA6" w:rsidRPr="00154D08" w:rsidRDefault="00E70146" w:rsidP="00154D08">
      <w:pPr>
        <w:spacing w:line="264" w:lineRule="auto"/>
        <w:rPr>
          <w:rFonts w:cstheme="minorHAnsi"/>
          <w:i/>
          <w:iCs/>
          <w:sz w:val="21"/>
          <w:szCs w:val="21"/>
        </w:rPr>
      </w:pPr>
      <w:r>
        <w:rPr>
          <w:rFonts w:cstheme="minorHAnsi"/>
          <w:i/>
          <w:iCs/>
          <w:sz w:val="21"/>
          <w:szCs w:val="21"/>
        </w:rPr>
        <w:t>ECEC</w:t>
      </w:r>
      <w:r w:rsidR="00211DA6" w:rsidRPr="00154D08">
        <w:rPr>
          <w:rFonts w:cstheme="minorHAnsi"/>
          <w:i/>
          <w:iCs/>
          <w:sz w:val="21"/>
          <w:szCs w:val="21"/>
        </w:rPr>
        <w:t xml:space="preserve"> is essential to Australia’s economic prosperity </w:t>
      </w:r>
      <w:r>
        <w:rPr>
          <w:rFonts w:cstheme="minorHAnsi"/>
          <w:i/>
          <w:iCs/>
          <w:sz w:val="21"/>
          <w:szCs w:val="21"/>
        </w:rPr>
        <w:t xml:space="preserve">and human capital </w:t>
      </w:r>
      <w:proofErr w:type="gramStart"/>
      <w:r>
        <w:rPr>
          <w:rFonts w:cstheme="minorHAnsi"/>
          <w:i/>
          <w:iCs/>
          <w:sz w:val="21"/>
          <w:szCs w:val="21"/>
        </w:rPr>
        <w:t>development</w:t>
      </w:r>
      <w:proofErr w:type="gramEnd"/>
    </w:p>
    <w:p w14:paraId="0108D4D9" w14:textId="77777777" w:rsidR="00982BA0" w:rsidRPr="00011510" w:rsidRDefault="00982BA0" w:rsidP="00011510">
      <w:pPr>
        <w:spacing w:line="264" w:lineRule="auto"/>
        <w:rPr>
          <w:rFonts w:cstheme="minorHAnsi"/>
          <w:sz w:val="21"/>
          <w:szCs w:val="21"/>
        </w:rPr>
      </w:pPr>
    </w:p>
    <w:p w14:paraId="3746C53F" w14:textId="69DA8A83" w:rsidR="002B05B9" w:rsidRDefault="001D4EBB" w:rsidP="00301739">
      <w:pPr>
        <w:spacing w:line="264" w:lineRule="auto"/>
        <w:rPr>
          <w:rFonts w:cstheme="minorHAnsi"/>
          <w:sz w:val="21"/>
          <w:szCs w:val="21"/>
        </w:rPr>
      </w:pPr>
      <w:r w:rsidRPr="001D4EBB">
        <w:rPr>
          <w:rFonts w:cstheme="minorHAnsi"/>
          <w:sz w:val="21"/>
          <w:szCs w:val="21"/>
        </w:rPr>
        <w:t>The NFAW</w:t>
      </w:r>
      <w:r w:rsidR="002B05B9" w:rsidRPr="001D4EBB">
        <w:rPr>
          <w:rFonts w:cstheme="minorHAnsi"/>
          <w:sz w:val="21"/>
          <w:szCs w:val="21"/>
        </w:rPr>
        <w:t xml:space="preserve"> supports </w:t>
      </w:r>
      <w:r w:rsidR="00626F1A" w:rsidRPr="001D4EBB">
        <w:rPr>
          <w:rFonts w:cstheme="minorHAnsi"/>
          <w:sz w:val="21"/>
          <w:szCs w:val="21"/>
        </w:rPr>
        <w:t>quality, affordable</w:t>
      </w:r>
      <w:r w:rsidR="002B05B9" w:rsidRPr="001D4EBB">
        <w:rPr>
          <w:rFonts w:cstheme="minorHAnsi"/>
          <w:sz w:val="21"/>
          <w:szCs w:val="21"/>
        </w:rPr>
        <w:t xml:space="preserve"> ECEC for </w:t>
      </w:r>
      <w:r w:rsidR="00301739">
        <w:rPr>
          <w:rFonts w:cstheme="minorHAnsi"/>
          <w:sz w:val="21"/>
          <w:szCs w:val="21"/>
        </w:rPr>
        <w:t xml:space="preserve">optimal </w:t>
      </w:r>
      <w:r w:rsidR="002B05B9" w:rsidRPr="001D4EBB">
        <w:rPr>
          <w:rFonts w:cstheme="minorHAnsi"/>
          <w:sz w:val="21"/>
          <w:szCs w:val="21"/>
        </w:rPr>
        <w:t>child development and parents’ workforce participation</w:t>
      </w:r>
      <w:r>
        <w:rPr>
          <w:rFonts w:cstheme="minorHAnsi"/>
          <w:sz w:val="21"/>
          <w:szCs w:val="21"/>
        </w:rPr>
        <w:t xml:space="preserve">. We were pleased to see </w:t>
      </w:r>
      <w:r w:rsidR="00301739">
        <w:rPr>
          <w:rFonts w:cstheme="minorHAnsi"/>
          <w:sz w:val="21"/>
          <w:szCs w:val="21"/>
        </w:rPr>
        <w:t xml:space="preserve">this Productivity Commission report addresses the early childhood development </w:t>
      </w:r>
      <w:r w:rsidR="00E435CB">
        <w:rPr>
          <w:rFonts w:cstheme="minorHAnsi"/>
          <w:sz w:val="21"/>
          <w:szCs w:val="21"/>
        </w:rPr>
        <w:t xml:space="preserve">(ECD) </w:t>
      </w:r>
      <w:r w:rsidR="00301739">
        <w:rPr>
          <w:rFonts w:cstheme="minorHAnsi"/>
          <w:sz w:val="21"/>
          <w:szCs w:val="21"/>
        </w:rPr>
        <w:t>aspect</w:t>
      </w:r>
      <w:r w:rsidR="002B05B9" w:rsidRPr="001D4EBB">
        <w:rPr>
          <w:rFonts w:cstheme="minorHAnsi"/>
          <w:sz w:val="21"/>
          <w:szCs w:val="21"/>
        </w:rPr>
        <w:t xml:space="preserve"> </w:t>
      </w:r>
      <w:r w:rsidR="00301739">
        <w:rPr>
          <w:rFonts w:cstheme="minorHAnsi"/>
          <w:sz w:val="21"/>
          <w:szCs w:val="21"/>
        </w:rPr>
        <w:t xml:space="preserve">of human capital development </w:t>
      </w:r>
      <w:r w:rsidR="00411024">
        <w:rPr>
          <w:rFonts w:cstheme="minorHAnsi"/>
          <w:sz w:val="21"/>
          <w:szCs w:val="21"/>
        </w:rPr>
        <w:t xml:space="preserve">much </w:t>
      </w:r>
      <w:r w:rsidR="00E3180F">
        <w:rPr>
          <w:rFonts w:cstheme="minorHAnsi"/>
          <w:sz w:val="21"/>
          <w:szCs w:val="21"/>
        </w:rPr>
        <w:t>better</w:t>
      </w:r>
      <w:r w:rsidR="00301739">
        <w:rPr>
          <w:rFonts w:cstheme="minorHAnsi"/>
          <w:sz w:val="21"/>
          <w:szCs w:val="21"/>
        </w:rPr>
        <w:t xml:space="preserve"> than the previous </w:t>
      </w:r>
      <w:r w:rsidR="002B05B9">
        <w:rPr>
          <w:rFonts w:cstheme="minorHAnsi"/>
          <w:sz w:val="21"/>
          <w:szCs w:val="21"/>
        </w:rPr>
        <w:t xml:space="preserve">Productivity Commission </w:t>
      </w:r>
      <w:r w:rsidR="00301739">
        <w:rPr>
          <w:rFonts w:cstheme="minorHAnsi"/>
          <w:sz w:val="21"/>
          <w:szCs w:val="21"/>
        </w:rPr>
        <w:t xml:space="preserve">report </w:t>
      </w:r>
      <w:r w:rsidR="00411024">
        <w:rPr>
          <w:rFonts w:cstheme="minorHAnsi"/>
          <w:sz w:val="21"/>
          <w:szCs w:val="21"/>
        </w:rPr>
        <w:t xml:space="preserve">on the </w:t>
      </w:r>
      <w:r w:rsidR="002B05B9">
        <w:rPr>
          <w:rFonts w:cstheme="minorHAnsi"/>
          <w:sz w:val="21"/>
          <w:szCs w:val="21"/>
        </w:rPr>
        <w:t xml:space="preserve">2014-15 </w:t>
      </w:r>
      <w:hyperlink r:id="rId14" w:anchor="report" w:history="1">
        <w:r w:rsidR="002B05B9" w:rsidRPr="00E435CB">
          <w:rPr>
            <w:rStyle w:val="Hyperlink"/>
            <w:rFonts w:cstheme="minorHAnsi"/>
            <w:i/>
            <w:iCs/>
            <w:sz w:val="21"/>
            <w:szCs w:val="21"/>
          </w:rPr>
          <w:t>Inquiry into child care and early childhood learning</w:t>
        </w:r>
      </w:hyperlink>
      <w:r w:rsidR="00301739">
        <w:rPr>
          <w:rFonts w:cstheme="minorHAnsi"/>
          <w:sz w:val="21"/>
          <w:szCs w:val="21"/>
        </w:rPr>
        <w:t>. That report was focused on ECEC and families’ workforce participation from an economic perspective</w:t>
      </w:r>
      <w:r w:rsidR="00E435CB">
        <w:rPr>
          <w:rFonts w:cstheme="minorHAnsi"/>
          <w:sz w:val="21"/>
          <w:szCs w:val="21"/>
        </w:rPr>
        <w:t xml:space="preserve"> and less on ECD.</w:t>
      </w:r>
    </w:p>
    <w:p w14:paraId="3109DB6D" w14:textId="77777777" w:rsidR="002B05B9" w:rsidRDefault="002B05B9" w:rsidP="002B05B9">
      <w:pPr>
        <w:spacing w:line="264" w:lineRule="auto"/>
        <w:rPr>
          <w:rFonts w:cstheme="minorHAnsi"/>
          <w:sz w:val="21"/>
          <w:szCs w:val="21"/>
        </w:rPr>
      </w:pPr>
    </w:p>
    <w:p w14:paraId="754EC79B" w14:textId="0DDCBE0C" w:rsidR="00301739" w:rsidRDefault="003B5475" w:rsidP="002B05B9">
      <w:pPr>
        <w:spacing w:line="264" w:lineRule="auto"/>
        <w:rPr>
          <w:rFonts w:cstheme="minorHAnsi"/>
          <w:sz w:val="21"/>
          <w:szCs w:val="21"/>
        </w:rPr>
      </w:pPr>
      <w:r>
        <w:rPr>
          <w:rFonts w:cstheme="minorHAnsi"/>
          <w:sz w:val="21"/>
          <w:szCs w:val="21"/>
        </w:rPr>
        <w:t>T</w:t>
      </w:r>
      <w:r w:rsidR="00301739">
        <w:rPr>
          <w:rFonts w:cstheme="minorHAnsi"/>
          <w:sz w:val="21"/>
          <w:szCs w:val="21"/>
        </w:rPr>
        <w:t>he economic focus</w:t>
      </w:r>
      <w:r>
        <w:rPr>
          <w:rFonts w:cstheme="minorHAnsi"/>
          <w:sz w:val="21"/>
          <w:szCs w:val="21"/>
        </w:rPr>
        <w:t xml:space="preserve"> of the previous</w:t>
      </w:r>
      <w:r w:rsidR="00301739">
        <w:rPr>
          <w:rFonts w:cstheme="minorHAnsi"/>
          <w:sz w:val="21"/>
          <w:szCs w:val="21"/>
        </w:rPr>
        <w:t xml:space="preserve"> </w:t>
      </w:r>
      <w:r w:rsidR="00E3180F">
        <w:rPr>
          <w:rFonts w:cstheme="minorHAnsi"/>
          <w:sz w:val="21"/>
          <w:szCs w:val="21"/>
        </w:rPr>
        <w:t xml:space="preserve">report </w:t>
      </w:r>
      <w:r>
        <w:rPr>
          <w:rFonts w:cstheme="minorHAnsi"/>
          <w:sz w:val="21"/>
          <w:szCs w:val="21"/>
        </w:rPr>
        <w:t>contributed to policy settings in the Government’s</w:t>
      </w:r>
      <w:r w:rsidR="00301739">
        <w:rPr>
          <w:rFonts w:cstheme="minorHAnsi"/>
          <w:sz w:val="21"/>
          <w:szCs w:val="21"/>
        </w:rPr>
        <w:t xml:space="preserve"> </w:t>
      </w:r>
      <w:proofErr w:type="gramStart"/>
      <w:r w:rsidR="00301739">
        <w:rPr>
          <w:rFonts w:cstheme="minorHAnsi"/>
          <w:sz w:val="21"/>
          <w:szCs w:val="21"/>
        </w:rPr>
        <w:t>Child Care</w:t>
      </w:r>
      <w:proofErr w:type="gramEnd"/>
      <w:r w:rsidR="00301739">
        <w:rPr>
          <w:rFonts w:cstheme="minorHAnsi"/>
          <w:sz w:val="21"/>
          <w:szCs w:val="21"/>
        </w:rPr>
        <w:t xml:space="preserve"> Package introduced in July 2018</w:t>
      </w:r>
      <w:r w:rsidR="00E3180F">
        <w:rPr>
          <w:rFonts w:cstheme="minorHAnsi"/>
          <w:sz w:val="21"/>
          <w:szCs w:val="21"/>
        </w:rPr>
        <w:t xml:space="preserve">. </w:t>
      </w:r>
      <w:proofErr w:type="gramStart"/>
      <w:r w:rsidR="00E3180F">
        <w:rPr>
          <w:rFonts w:cstheme="minorHAnsi"/>
          <w:sz w:val="21"/>
          <w:szCs w:val="21"/>
        </w:rPr>
        <w:t>In spite of</w:t>
      </w:r>
      <w:proofErr w:type="gramEnd"/>
      <w:r w:rsidR="00E3180F">
        <w:rPr>
          <w:rFonts w:cstheme="minorHAnsi"/>
          <w:sz w:val="21"/>
          <w:szCs w:val="21"/>
        </w:rPr>
        <w:t xml:space="preserve"> this, </w:t>
      </w:r>
      <w:r w:rsidR="00301739">
        <w:rPr>
          <w:rFonts w:cstheme="minorHAnsi"/>
          <w:sz w:val="21"/>
          <w:szCs w:val="21"/>
        </w:rPr>
        <w:t xml:space="preserve">we are aware that disincentives to greater workforce participation </w:t>
      </w:r>
      <w:r w:rsidR="00E435CB">
        <w:rPr>
          <w:rFonts w:cstheme="minorHAnsi"/>
          <w:sz w:val="21"/>
          <w:szCs w:val="21"/>
        </w:rPr>
        <w:t>still exist</w:t>
      </w:r>
      <w:r w:rsidR="00E3180F">
        <w:rPr>
          <w:rFonts w:cstheme="minorHAnsi"/>
          <w:sz w:val="21"/>
          <w:szCs w:val="21"/>
        </w:rPr>
        <w:t xml:space="preserve"> – principally, </w:t>
      </w:r>
      <w:r w:rsidR="00411024">
        <w:rPr>
          <w:rFonts w:cstheme="minorHAnsi"/>
          <w:sz w:val="21"/>
          <w:szCs w:val="21"/>
        </w:rPr>
        <w:t xml:space="preserve">the </w:t>
      </w:r>
      <w:r w:rsidR="00E3180F">
        <w:rPr>
          <w:rFonts w:cstheme="minorHAnsi"/>
          <w:sz w:val="21"/>
          <w:szCs w:val="21"/>
        </w:rPr>
        <w:t>cost and availability of ECEC</w:t>
      </w:r>
      <w:r w:rsidR="00301739">
        <w:rPr>
          <w:rFonts w:cstheme="minorHAnsi"/>
          <w:sz w:val="21"/>
          <w:szCs w:val="21"/>
        </w:rPr>
        <w:t xml:space="preserve">. Families may have unsubsidised </w:t>
      </w:r>
      <w:r w:rsidR="00411024">
        <w:rPr>
          <w:rFonts w:cstheme="minorHAnsi"/>
          <w:sz w:val="21"/>
          <w:szCs w:val="21"/>
        </w:rPr>
        <w:t xml:space="preserve">ECEC </w:t>
      </w:r>
      <w:r w:rsidR="00301739">
        <w:rPr>
          <w:rFonts w:cstheme="minorHAnsi"/>
          <w:sz w:val="21"/>
          <w:szCs w:val="21"/>
        </w:rPr>
        <w:t>hours if both parents are working full-time (owing to the 100 hours per fortnight limit on subsidised care and the length of sessions of care being generally 10-12 hours per day). This effectively acts as a disincentive for women to increase their hours of care or work full-time</w:t>
      </w:r>
      <w:r w:rsidR="00411024">
        <w:rPr>
          <w:rFonts w:cstheme="minorHAnsi"/>
          <w:sz w:val="21"/>
          <w:szCs w:val="21"/>
        </w:rPr>
        <w:t xml:space="preserve"> and it</w:t>
      </w:r>
      <w:r w:rsidR="00E435CB">
        <w:rPr>
          <w:rFonts w:cstheme="minorHAnsi"/>
          <w:sz w:val="21"/>
          <w:szCs w:val="21"/>
        </w:rPr>
        <w:t xml:space="preserve"> needs to be addressed.</w:t>
      </w:r>
    </w:p>
    <w:p w14:paraId="11D944BA" w14:textId="77777777" w:rsidR="00301739" w:rsidRDefault="00301739" w:rsidP="002B05B9">
      <w:pPr>
        <w:spacing w:line="264" w:lineRule="auto"/>
        <w:rPr>
          <w:rFonts w:cstheme="minorHAnsi"/>
          <w:sz w:val="21"/>
          <w:szCs w:val="21"/>
        </w:rPr>
      </w:pPr>
    </w:p>
    <w:p w14:paraId="6233C0C2" w14:textId="1FD3644F" w:rsidR="002B05B9" w:rsidRDefault="002B05B9" w:rsidP="002B05B9">
      <w:pPr>
        <w:spacing w:line="264" w:lineRule="auto"/>
        <w:rPr>
          <w:rFonts w:cstheme="minorHAnsi"/>
          <w:sz w:val="21"/>
          <w:szCs w:val="21"/>
        </w:rPr>
      </w:pPr>
      <w:r>
        <w:rPr>
          <w:rFonts w:cstheme="minorHAnsi"/>
          <w:sz w:val="21"/>
          <w:szCs w:val="21"/>
        </w:rPr>
        <w:t xml:space="preserve">The NFAW supports the proposal to introduce a higher hourly rate cap for </w:t>
      </w:r>
      <w:r w:rsidRPr="003B5475">
        <w:rPr>
          <w:rFonts w:cstheme="minorHAnsi"/>
          <w:b/>
          <w:bCs/>
          <w:sz w:val="21"/>
          <w:szCs w:val="21"/>
        </w:rPr>
        <w:t>non-standard hours of care</w:t>
      </w:r>
      <w:r>
        <w:rPr>
          <w:rFonts w:cstheme="minorHAnsi"/>
          <w:sz w:val="21"/>
          <w:szCs w:val="21"/>
        </w:rPr>
        <w:t xml:space="preserve"> (</w:t>
      </w:r>
      <w:r w:rsidRPr="00B66A0A">
        <w:rPr>
          <w:rFonts w:cstheme="minorHAnsi"/>
          <w:b/>
          <w:bCs/>
          <w:sz w:val="21"/>
          <w:szCs w:val="21"/>
        </w:rPr>
        <w:t>recommendation 7.3</w:t>
      </w:r>
      <w:r>
        <w:rPr>
          <w:rFonts w:cstheme="minorHAnsi"/>
          <w:sz w:val="21"/>
          <w:szCs w:val="21"/>
        </w:rPr>
        <w:t>)</w:t>
      </w:r>
      <w:r w:rsidR="00E435CB">
        <w:rPr>
          <w:rFonts w:cstheme="minorHAnsi"/>
          <w:sz w:val="21"/>
          <w:szCs w:val="21"/>
        </w:rPr>
        <w:t xml:space="preserve"> and examine planning regulations to ensure they do not necessarily restrict the ability of services to provide non-standard hours of care (</w:t>
      </w:r>
      <w:r w:rsidR="00E435CB" w:rsidRPr="00B66A0A">
        <w:rPr>
          <w:rFonts w:cstheme="minorHAnsi"/>
          <w:b/>
          <w:bCs/>
          <w:sz w:val="21"/>
          <w:szCs w:val="21"/>
        </w:rPr>
        <w:t>recommendation 7.4</w:t>
      </w:r>
      <w:r w:rsidR="00E435CB">
        <w:rPr>
          <w:rFonts w:cstheme="minorHAnsi"/>
          <w:sz w:val="21"/>
          <w:szCs w:val="21"/>
        </w:rPr>
        <w:t>).</w:t>
      </w:r>
      <w:r>
        <w:rPr>
          <w:rFonts w:cstheme="minorHAnsi"/>
          <w:sz w:val="21"/>
          <w:szCs w:val="21"/>
        </w:rPr>
        <w:t xml:space="preserve"> This would support parents who work shifts and have difficulties balancing workforce participation and </w:t>
      </w:r>
      <w:r w:rsidR="003D5135">
        <w:rPr>
          <w:rFonts w:cstheme="minorHAnsi"/>
          <w:sz w:val="21"/>
          <w:szCs w:val="21"/>
        </w:rPr>
        <w:t>family</w:t>
      </w:r>
      <w:r>
        <w:rPr>
          <w:rFonts w:cstheme="minorHAnsi"/>
          <w:sz w:val="21"/>
          <w:szCs w:val="21"/>
        </w:rPr>
        <w:t xml:space="preserve"> car</w:t>
      </w:r>
      <w:r w:rsidR="00E50476">
        <w:rPr>
          <w:rFonts w:cstheme="minorHAnsi"/>
          <w:sz w:val="21"/>
          <w:szCs w:val="21"/>
        </w:rPr>
        <w:t>e</w:t>
      </w:r>
      <w:r>
        <w:rPr>
          <w:rFonts w:cstheme="minorHAnsi"/>
          <w:sz w:val="21"/>
          <w:szCs w:val="21"/>
        </w:rPr>
        <w:t>.</w:t>
      </w:r>
    </w:p>
    <w:p w14:paraId="4424956C" w14:textId="2FF46456" w:rsidR="002B05B9" w:rsidRDefault="002B05B9" w:rsidP="00BF2AED">
      <w:pPr>
        <w:spacing w:line="264" w:lineRule="auto"/>
        <w:rPr>
          <w:rFonts w:cstheme="minorHAnsi"/>
          <w:sz w:val="21"/>
          <w:szCs w:val="21"/>
        </w:rPr>
      </w:pPr>
    </w:p>
    <w:p w14:paraId="35C16266" w14:textId="7A625BE4" w:rsidR="00626F1A" w:rsidRDefault="00626F1A" w:rsidP="00626F1A">
      <w:pPr>
        <w:spacing w:line="264" w:lineRule="auto"/>
        <w:rPr>
          <w:rFonts w:cstheme="minorHAnsi"/>
          <w:sz w:val="21"/>
          <w:szCs w:val="21"/>
        </w:rPr>
      </w:pPr>
      <w:r>
        <w:rPr>
          <w:rFonts w:cstheme="minorHAnsi"/>
          <w:sz w:val="21"/>
          <w:szCs w:val="21"/>
        </w:rPr>
        <w:t xml:space="preserve">In relation to the issue of more affordable and flexible ECEC to suit families’ needs, we note the report’s finding </w:t>
      </w:r>
      <w:r w:rsidRPr="005F4386">
        <w:rPr>
          <w:rFonts w:cstheme="minorHAnsi"/>
          <w:sz w:val="21"/>
          <w:szCs w:val="21"/>
        </w:rPr>
        <w:t xml:space="preserve">(p. 79, </w:t>
      </w:r>
      <w:r w:rsidRPr="003D5135">
        <w:rPr>
          <w:rFonts w:cstheme="minorHAnsi"/>
          <w:b/>
          <w:bCs/>
          <w:sz w:val="21"/>
          <w:szCs w:val="21"/>
        </w:rPr>
        <w:t>finding 7.5</w:t>
      </w:r>
      <w:r w:rsidRPr="005F4386">
        <w:rPr>
          <w:rFonts w:cstheme="minorHAnsi"/>
          <w:sz w:val="21"/>
          <w:szCs w:val="21"/>
        </w:rPr>
        <w:t xml:space="preserve"> on unused capacity) that</w:t>
      </w:r>
      <w:r>
        <w:rPr>
          <w:rFonts w:cstheme="minorHAnsi"/>
          <w:sz w:val="21"/>
          <w:szCs w:val="21"/>
        </w:rPr>
        <w:t xml:space="preserve"> families are only using around 60 per cent of the hours of care for which they are charged, the usual session of care being 10-12 hours per day. </w:t>
      </w:r>
      <w:r w:rsidRPr="00341C93">
        <w:rPr>
          <w:rFonts w:cstheme="minorHAnsi"/>
          <w:sz w:val="21"/>
          <w:szCs w:val="21"/>
        </w:rPr>
        <w:t>We suggest that</w:t>
      </w:r>
      <w:r w:rsidRPr="00A7248B">
        <w:rPr>
          <w:rFonts w:cstheme="minorHAnsi"/>
          <w:b/>
          <w:bCs/>
          <w:sz w:val="21"/>
          <w:szCs w:val="21"/>
        </w:rPr>
        <w:t xml:space="preserve"> </w:t>
      </w:r>
      <w:r w:rsidRPr="00194ED3">
        <w:rPr>
          <w:rFonts w:cstheme="minorHAnsi"/>
          <w:sz w:val="21"/>
          <w:szCs w:val="21"/>
        </w:rPr>
        <w:t>the</w:t>
      </w:r>
      <w:r w:rsidRPr="00A7248B">
        <w:rPr>
          <w:rFonts w:cstheme="minorHAnsi"/>
          <w:b/>
          <w:bCs/>
          <w:sz w:val="21"/>
          <w:szCs w:val="21"/>
        </w:rPr>
        <w:t xml:space="preserve"> length of the ‘session of care’ needs further consideration</w:t>
      </w:r>
      <w:r>
        <w:rPr>
          <w:rFonts w:cstheme="minorHAnsi"/>
          <w:sz w:val="21"/>
          <w:szCs w:val="21"/>
        </w:rPr>
        <w:t xml:space="preserve">. Many working families with children in ECEC and school would appreciate a more flexible approach whereby ‘core hours’ of care (say, six hours a day are around school hours) and any additional care used before and after school hours </w:t>
      </w:r>
      <w:r w:rsidRPr="00E31B59">
        <w:rPr>
          <w:rFonts w:cstheme="minorHAnsi"/>
          <w:sz w:val="21"/>
          <w:szCs w:val="21"/>
        </w:rPr>
        <w:t xml:space="preserve">is </w:t>
      </w:r>
      <w:r w:rsidR="00194ED3" w:rsidRPr="00E31B59">
        <w:rPr>
          <w:rFonts w:cstheme="minorHAnsi"/>
          <w:sz w:val="21"/>
          <w:szCs w:val="21"/>
        </w:rPr>
        <w:t xml:space="preserve">an extra </w:t>
      </w:r>
      <w:r w:rsidRPr="00E31B59">
        <w:rPr>
          <w:rFonts w:cstheme="minorHAnsi"/>
          <w:sz w:val="21"/>
          <w:szCs w:val="21"/>
        </w:rPr>
        <w:t>charge</w:t>
      </w:r>
      <w:r w:rsidR="00194ED3" w:rsidRPr="00E31B59">
        <w:rPr>
          <w:rFonts w:cstheme="minorHAnsi"/>
          <w:sz w:val="21"/>
          <w:szCs w:val="21"/>
        </w:rPr>
        <w:t xml:space="preserve"> and</w:t>
      </w:r>
      <w:r w:rsidRPr="00E31B59">
        <w:rPr>
          <w:rFonts w:cstheme="minorHAnsi"/>
          <w:sz w:val="21"/>
          <w:szCs w:val="21"/>
        </w:rPr>
        <w:t xml:space="preserve"> based on a booking system. This idea is captured in draft </w:t>
      </w:r>
      <w:r w:rsidRPr="00E31B59">
        <w:rPr>
          <w:rFonts w:cstheme="minorHAnsi"/>
          <w:b/>
          <w:bCs/>
          <w:sz w:val="21"/>
          <w:szCs w:val="21"/>
        </w:rPr>
        <w:t xml:space="preserve">recommendation </w:t>
      </w:r>
      <w:r w:rsidR="00444030" w:rsidRPr="00E31B59">
        <w:rPr>
          <w:rFonts w:cstheme="minorHAnsi"/>
          <w:b/>
          <w:bCs/>
          <w:sz w:val="21"/>
          <w:szCs w:val="21"/>
        </w:rPr>
        <w:t>7.6</w:t>
      </w:r>
      <w:r w:rsidRPr="00E31B59">
        <w:rPr>
          <w:rFonts w:cstheme="minorHAnsi"/>
          <w:sz w:val="21"/>
          <w:szCs w:val="21"/>
        </w:rPr>
        <w:t xml:space="preserve"> regarding wrap-around care for children attending preschool/kindergartens. We agree that Family Assistance Law needs to be amended </w:t>
      </w:r>
      <w:proofErr w:type="gramStart"/>
      <w:r w:rsidRPr="00E31B59">
        <w:rPr>
          <w:rFonts w:cstheme="minorHAnsi"/>
          <w:sz w:val="21"/>
          <w:szCs w:val="21"/>
        </w:rPr>
        <w:t>with regard to</w:t>
      </w:r>
      <w:proofErr w:type="gramEnd"/>
      <w:r w:rsidRPr="00E31B59">
        <w:rPr>
          <w:rFonts w:cstheme="minorHAnsi"/>
          <w:sz w:val="21"/>
          <w:szCs w:val="21"/>
        </w:rPr>
        <w:t xml:space="preserve"> eligibility of preschools and kindergartens </w:t>
      </w:r>
      <w:r w:rsidR="00341C93" w:rsidRPr="00E31B59">
        <w:rPr>
          <w:rFonts w:cstheme="minorHAnsi"/>
          <w:sz w:val="21"/>
          <w:szCs w:val="21"/>
        </w:rPr>
        <w:t>for</w:t>
      </w:r>
      <w:r w:rsidRPr="00E31B59">
        <w:rPr>
          <w:rFonts w:cstheme="minorHAnsi"/>
          <w:sz w:val="21"/>
          <w:szCs w:val="21"/>
        </w:rPr>
        <w:t xml:space="preserve"> subsidised </w:t>
      </w:r>
      <w:r w:rsidR="003D5135" w:rsidRPr="00E31B59">
        <w:rPr>
          <w:rFonts w:cstheme="minorHAnsi"/>
          <w:sz w:val="21"/>
          <w:szCs w:val="21"/>
        </w:rPr>
        <w:t xml:space="preserve">ECEC </w:t>
      </w:r>
      <w:r w:rsidRPr="00E31B59">
        <w:rPr>
          <w:rFonts w:cstheme="minorHAnsi"/>
          <w:sz w:val="21"/>
          <w:szCs w:val="21"/>
        </w:rPr>
        <w:t xml:space="preserve">(i.e. </w:t>
      </w:r>
      <w:r w:rsidR="003D5135" w:rsidRPr="00E31B59">
        <w:rPr>
          <w:rFonts w:cstheme="minorHAnsi"/>
          <w:sz w:val="21"/>
          <w:szCs w:val="21"/>
        </w:rPr>
        <w:t xml:space="preserve">for </w:t>
      </w:r>
      <w:r w:rsidRPr="00E31B59">
        <w:rPr>
          <w:rFonts w:cstheme="minorHAnsi"/>
          <w:sz w:val="21"/>
          <w:szCs w:val="21"/>
        </w:rPr>
        <w:t xml:space="preserve">before and after school hours). This will help meet the needs of working families and </w:t>
      </w:r>
      <w:r w:rsidR="003D5135" w:rsidRPr="00E31B59">
        <w:rPr>
          <w:rFonts w:cstheme="minorHAnsi"/>
          <w:sz w:val="21"/>
          <w:szCs w:val="21"/>
        </w:rPr>
        <w:t xml:space="preserve">reduce the impact </w:t>
      </w:r>
      <w:r w:rsidR="004A26FA" w:rsidRPr="00E31B59">
        <w:rPr>
          <w:rFonts w:cstheme="minorHAnsi"/>
          <w:sz w:val="21"/>
          <w:szCs w:val="21"/>
        </w:rPr>
        <w:t xml:space="preserve">of </w:t>
      </w:r>
      <w:r w:rsidRPr="00E31B59">
        <w:rPr>
          <w:rFonts w:cstheme="minorHAnsi"/>
          <w:sz w:val="21"/>
          <w:szCs w:val="21"/>
        </w:rPr>
        <w:t>patchwork</w:t>
      </w:r>
      <w:r w:rsidR="00194ED3" w:rsidRPr="00E31B59">
        <w:rPr>
          <w:rFonts w:cstheme="minorHAnsi"/>
          <w:sz w:val="21"/>
          <w:szCs w:val="21"/>
        </w:rPr>
        <w:t xml:space="preserve"> care</w:t>
      </w:r>
      <w:r w:rsidRPr="00E31B59">
        <w:rPr>
          <w:rFonts w:cstheme="minorHAnsi"/>
          <w:sz w:val="21"/>
          <w:szCs w:val="21"/>
        </w:rPr>
        <w:t xml:space="preserve"> arrangements </w:t>
      </w:r>
      <w:r w:rsidR="004A26FA" w:rsidRPr="00E31B59">
        <w:rPr>
          <w:rFonts w:cstheme="minorHAnsi"/>
          <w:sz w:val="21"/>
          <w:szCs w:val="21"/>
        </w:rPr>
        <w:t>to access sessional</w:t>
      </w:r>
      <w:r w:rsidR="003D5135" w:rsidRPr="00E31B59">
        <w:rPr>
          <w:rFonts w:cstheme="minorHAnsi"/>
          <w:sz w:val="21"/>
          <w:szCs w:val="21"/>
        </w:rPr>
        <w:t xml:space="preserve"> </w:t>
      </w:r>
      <w:r w:rsidRPr="00E31B59">
        <w:rPr>
          <w:rFonts w:cstheme="minorHAnsi"/>
          <w:sz w:val="21"/>
          <w:szCs w:val="21"/>
        </w:rPr>
        <w:t>government or community preschool/kindergarten.</w:t>
      </w:r>
    </w:p>
    <w:p w14:paraId="56E8A9B6" w14:textId="77777777" w:rsidR="00626F1A" w:rsidRDefault="00626F1A" w:rsidP="00626F1A">
      <w:pPr>
        <w:spacing w:line="264" w:lineRule="auto"/>
        <w:rPr>
          <w:rFonts w:cstheme="minorHAnsi"/>
          <w:sz w:val="21"/>
          <w:szCs w:val="21"/>
        </w:rPr>
      </w:pPr>
    </w:p>
    <w:p w14:paraId="36C38FF9" w14:textId="1C62F3B1" w:rsidR="00626F1A" w:rsidRDefault="00626F1A" w:rsidP="00626F1A">
      <w:pPr>
        <w:spacing w:line="264" w:lineRule="auto"/>
        <w:rPr>
          <w:rFonts w:cstheme="minorHAnsi"/>
          <w:sz w:val="21"/>
          <w:szCs w:val="21"/>
        </w:rPr>
      </w:pPr>
      <w:r>
        <w:rPr>
          <w:rFonts w:cstheme="minorHAnsi"/>
          <w:sz w:val="21"/>
          <w:szCs w:val="21"/>
        </w:rPr>
        <w:t xml:space="preserve">We further suggest that the 30 hours per week of ECEC recommended in the report could be </w:t>
      </w:r>
      <w:r w:rsidRPr="002D3EC4">
        <w:rPr>
          <w:rFonts w:cstheme="minorHAnsi"/>
          <w:b/>
          <w:bCs/>
          <w:sz w:val="21"/>
          <w:szCs w:val="21"/>
        </w:rPr>
        <w:t xml:space="preserve">configured as </w:t>
      </w:r>
      <w:r w:rsidRPr="0090245B">
        <w:rPr>
          <w:rFonts w:cstheme="minorHAnsi"/>
          <w:b/>
          <w:bCs/>
          <w:sz w:val="21"/>
          <w:szCs w:val="21"/>
        </w:rPr>
        <w:t xml:space="preserve">5 x </w:t>
      </w:r>
      <w:proofErr w:type="gramStart"/>
      <w:r w:rsidRPr="0090245B">
        <w:rPr>
          <w:rFonts w:cstheme="minorHAnsi"/>
          <w:b/>
          <w:bCs/>
          <w:sz w:val="21"/>
          <w:szCs w:val="21"/>
        </w:rPr>
        <w:t>6 hour</w:t>
      </w:r>
      <w:proofErr w:type="gramEnd"/>
      <w:r w:rsidRPr="0090245B">
        <w:rPr>
          <w:rFonts w:cstheme="minorHAnsi"/>
          <w:b/>
          <w:bCs/>
          <w:sz w:val="21"/>
          <w:szCs w:val="21"/>
        </w:rPr>
        <w:t xml:space="preserve"> sessions a week</w:t>
      </w:r>
      <w:r>
        <w:rPr>
          <w:rFonts w:cstheme="minorHAnsi"/>
          <w:sz w:val="21"/>
          <w:szCs w:val="21"/>
        </w:rPr>
        <w:t xml:space="preserve">, with before and after care hours optional and bookable for those families </w:t>
      </w:r>
      <w:r>
        <w:rPr>
          <w:rFonts w:cstheme="minorHAnsi"/>
          <w:sz w:val="21"/>
          <w:szCs w:val="21"/>
        </w:rPr>
        <w:lastRenderedPageBreak/>
        <w:t xml:space="preserve">who need additional hours of ECEC. Shorter hours per day, </w:t>
      </w:r>
      <w:r w:rsidR="00194ED3" w:rsidRPr="00E31B59">
        <w:rPr>
          <w:rFonts w:cstheme="minorHAnsi"/>
          <w:sz w:val="21"/>
          <w:szCs w:val="21"/>
        </w:rPr>
        <w:t>five</w:t>
      </w:r>
      <w:r>
        <w:rPr>
          <w:rFonts w:cstheme="minorHAnsi"/>
          <w:sz w:val="21"/>
          <w:szCs w:val="21"/>
        </w:rPr>
        <w:t xml:space="preserve"> days a week, would be particularly suitable for children in the 1-2 years before school. </w:t>
      </w:r>
      <w:r w:rsidR="00444030">
        <w:rPr>
          <w:rFonts w:cstheme="minorHAnsi"/>
          <w:sz w:val="21"/>
          <w:szCs w:val="21"/>
        </w:rPr>
        <w:t>P</w:t>
      </w:r>
      <w:r>
        <w:rPr>
          <w:rFonts w:cstheme="minorHAnsi"/>
          <w:sz w:val="21"/>
          <w:szCs w:val="21"/>
        </w:rPr>
        <w:t xml:space="preserve">reschool </w:t>
      </w:r>
      <w:r w:rsidR="00444030">
        <w:rPr>
          <w:rFonts w:cstheme="minorHAnsi"/>
          <w:sz w:val="21"/>
          <w:szCs w:val="21"/>
        </w:rPr>
        <w:t xml:space="preserve">five days per week </w:t>
      </w:r>
      <w:r>
        <w:rPr>
          <w:rFonts w:cstheme="minorHAnsi"/>
          <w:sz w:val="21"/>
          <w:szCs w:val="21"/>
        </w:rPr>
        <w:t xml:space="preserve">is the norm in many countries </w:t>
      </w:r>
      <w:r w:rsidR="00444030">
        <w:rPr>
          <w:rFonts w:cstheme="minorHAnsi"/>
          <w:sz w:val="21"/>
          <w:szCs w:val="21"/>
        </w:rPr>
        <w:t xml:space="preserve">for children </w:t>
      </w:r>
      <w:r>
        <w:rPr>
          <w:rFonts w:cstheme="minorHAnsi"/>
          <w:sz w:val="21"/>
          <w:szCs w:val="21"/>
        </w:rPr>
        <w:t xml:space="preserve">from age three, with shorter hours of attendance each day.  </w:t>
      </w:r>
    </w:p>
    <w:p w14:paraId="4DBA173A" w14:textId="77777777" w:rsidR="00626F1A" w:rsidRPr="00626F1A" w:rsidRDefault="00626F1A" w:rsidP="00BF2AED">
      <w:pPr>
        <w:spacing w:line="264" w:lineRule="auto"/>
        <w:rPr>
          <w:rFonts w:cstheme="minorHAnsi"/>
          <w:sz w:val="21"/>
          <w:szCs w:val="21"/>
        </w:rPr>
      </w:pPr>
    </w:p>
    <w:p w14:paraId="31C81371" w14:textId="7676BC59" w:rsidR="009B1739" w:rsidRDefault="009B1739" w:rsidP="00BF2AED">
      <w:pPr>
        <w:spacing w:line="264" w:lineRule="auto"/>
        <w:rPr>
          <w:rFonts w:cstheme="minorHAnsi"/>
          <w:i/>
          <w:iCs/>
          <w:sz w:val="21"/>
          <w:szCs w:val="21"/>
        </w:rPr>
      </w:pPr>
      <w:r>
        <w:rPr>
          <w:rFonts w:cstheme="minorHAnsi"/>
          <w:i/>
          <w:iCs/>
          <w:sz w:val="21"/>
          <w:szCs w:val="21"/>
        </w:rPr>
        <w:t xml:space="preserve">ECEC workforce issues need to be addressed as a </w:t>
      </w:r>
      <w:proofErr w:type="gramStart"/>
      <w:r>
        <w:rPr>
          <w:rFonts w:cstheme="minorHAnsi"/>
          <w:i/>
          <w:iCs/>
          <w:sz w:val="21"/>
          <w:szCs w:val="21"/>
        </w:rPr>
        <w:t>priority</w:t>
      </w:r>
      <w:proofErr w:type="gramEnd"/>
    </w:p>
    <w:p w14:paraId="23C703B8" w14:textId="77777777" w:rsidR="009B1739" w:rsidRPr="009B1739" w:rsidRDefault="009B1739" w:rsidP="00BF2AED">
      <w:pPr>
        <w:spacing w:line="264" w:lineRule="auto"/>
        <w:rPr>
          <w:rFonts w:cstheme="minorHAnsi"/>
          <w:sz w:val="21"/>
          <w:szCs w:val="21"/>
        </w:rPr>
      </w:pPr>
    </w:p>
    <w:p w14:paraId="1D7F1E3C" w14:textId="786DFA41" w:rsidR="005F4386" w:rsidRDefault="005F4386" w:rsidP="005F4386">
      <w:pPr>
        <w:spacing w:line="264" w:lineRule="auto"/>
        <w:rPr>
          <w:rFonts w:cstheme="minorHAnsi"/>
          <w:sz w:val="21"/>
          <w:szCs w:val="21"/>
        </w:rPr>
      </w:pPr>
      <w:r>
        <w:rPr>
          <w:rFonts w:cstheme="minorHAnsi"/>
          <w:sz w:val="21"/>
          <w:szCs w:val="21"/>
        </w:rPr>
        <w:t>The post-COVID period has demonstrated that the availability of ECEC is constrained by workforce shortages. This needs to be addressed through a</w:t>
      </w:r>
      <w:r w:rsidR="0090245B">
        <w:rPr>
          <w:rFonts w:cstheme="minorHAnsi"/>
          <w:sz w:val="21"/>
          <w:szCs w:val="21"/>
        </w:rPr>
        <w:t xml:space="preserve"> </w:t>
      </w:r>
      <w:r w:rsidR="0090245B">
        <w:rPr>
          <w:rFonts w:cstheme="minorHAnsi"/>
          <w:b/>
          <w:bCs/>
          <w:sz w:val="21"/>
          <w:szCs w:val="21"/>
        </w:rPr>
        <w:t>properly</w:t>
      </w:r>
      <w:r w:rsidRPr="0090245B">
        <w:rPr>
          <w:rFonts w:cstheme="minorHAnsi"/>
          <w:b/>
          <w:bCs/>
          <w:sz w:val="21"/>
          <w:szCs w:val="21"/>
        </w:rPr>
        <w:t xml:space="preserve"> funded </w:t>
      </w:r>
      <w:hyperlink r:id="rId15" w:history="1">
        <w:r w:rsidR="0090245B" w:rsidRPr="0090245B">
          <w:rPr>
            <w:rStyle w:val="Hyperlink"/>
            <w:rFonts w:cstheme="minorHAnsi"/>
            <w:b/>
            <w:bCs/>
            <w:sz w:val="21"/>
            <w:szCs w:val="21"/>
          </w:rPr>
          <w:t xml:space="preserve">National </w:t>
        </w:r>
        <w:r w:rsidRPr="0090245B">
          <w:rPr>
            <w:rStyle w:val="Hyperlink"/>
            <w:rFonts w:cstheme="minorHAnsi"/>
            <w:b/>
            <w:bCs/>
            <w:sz w:val="21"/>
            <w:szCs w:val="21"/>
          </w:rPr>
          <w:t>Workforce Strategy</w:t>
        </w:r>
      </w:hyperlink>
      <w:r>
        <w:rPr>
          <w:rFonts w:cstheme="minorHAnsi"/>
          <w:sz w:val="21"/>
          <w:szCs w:val="21"/>
        </w:rPr>
        <w:t xml:space="preserve"> and recommendations set out in the report (</w:t>
      </w:r>
      <w:r w:rsidRPr="00564DAB">
        <w:rPr>
          <w:rFonts w:cstheme="minorHAnsi"/>
          <w:b/>
          <w:bCs/>
          <w:sz w:val="21"/>
          <w:szCs w:val="21"/>
        </w:rPr>
        <w:t>recommendations 3.1, 3.2, 3.3 and 3.4</w:t>
      </w:r>
      <w:r>
        <w:rPr>
          <w:rFonts w:cstheme="minorHAnsi"/>
          <w:sz w:val="21"/>
          <w:szCs w:val="21"/>
        </w:rPr>
        <w:t xml:space="preserve">). </w:t>
      </w:r>
      <w:r w:rsidRPr="00EE7AF6">
        <w:rPr>
          <w:rFonts w:cstheme="minorHAnsi"/>
          <w:sz w:val="21"/>
          <w:szCs w:val="21"/>
        </w:rPr>
        <w:t xml:space="preserve">The current situation whereby educators </w:t>
      </w:r>
      <w:r>
        <w:rPr>
          <w:rFonts w:cstheme="minorHAnsi"/>
          <w:sz w:val="21"/>
          <w:szCs w:val="21"/>
        </w:rPr>
        <w:t>have</w:t>
      </w:r>
      <w:r w:rsidRPr="00EE7AF6">
        <w:rPr>
          <w:rFonts w:cstheme="minorHAnsi"/>
          <w:sz w:val="21"/>
          <w:szCs w:val="21"/>
        </w:rPr>
        <w:t xml:space="preserve"> to become casual employees to access a higher rate of pay will likely </w:t>
      </w:r>
      <w:proofErr w:type="gramStart"/>
      <w:r w:rsidRPr="00EE7AF6">
        <w:rPr>
          <w:rFonts w:cstheme="minorHAnsi"/>
          <w:sz w:val="21"/>
          <w:szCs w:val="21"/>
        </w:rPr>
        <w:t>drive up</w:t>
      </w:r>
      <w:proofErr w:type="gramEnd"/>
      <w:r w:rsidRPr="00EE7AF6">
        <w:rPr>
          <w:rFonts w:cstheme="minorHAnsi"/>
          <w:sz w:val="21"/>
          <w:szCs w:val="21"/>
        </w:rPr>
        <w:t xml:space="preserve"> wage costs for the sector, but it may add to workforce instability </w:t>
      </w:r>
      <w:r>
        <w:rPr>
          <w:rFonts w:cstheme="minorHAnsi"/>
          <w:sz w:val="21"/>
          <w:szCs w:val="21"/>
        </w:rPr>
        <w:t>for</w:t>
      </w:r>
      <w:r w:rsidRPr="00EE7AF6">
        <w:rPr>
          <w:rFonts w:cstheme="minorHAnsi"/>
          <w:sz w:val="21"/>
          <w:szCs w:val="21"/>
        </w:rPr>
        <w:t xml:space="preserve"> ECEC services, as well </w:t>
      </w:r>
      <w:r>
        <w:rPr>
          <w:rFonts w:cstheme="minorHAnsi"/>
          <w:sz w:val="21"/>
          <w:szCs w:val="21"/>
        </w:rPr>
        <w:t xml:space="preserve">as a </w:t>
      </w:r>
      <w:r w:rsidRPr="00EE7AF6">
        <w:rPr>
          <w:rFonts w:cstheme="minorHAnsi"/>
          <w:sz w:val="21"/>
          <w:szCs w:val="21"/>
        </w:rPr>
        <w:t xml:space="preserve">loss of working conditions and </w:t>
      </w:r>
      <w:r>
        <w:rPr>
          <w:rFonts w:cstheme="minorHAnsi"/>
          <w:sz w:val="21"/>
          <w:szCs w:val="21"/>
        </w:rPr>
        <w:t xml:space="preserve">more </w:t>
      </w:r>
      <w:r w:rsidRPr="00EE7AF6">
        <w:rPr>
          <w:rFonts w:cstheme="minorHAnsi"/>
          <w:sz w:val="21"/>
          <w:szCs w:val="21"/>
        </w:rPr>
        <w:t>job insecurity</w:t>
      </w:r>
      <w:r>
        <w:rPr>
          <w:rFonts w:cstheme="minorHAnsi"/>
          <w:sz w:val="21"/>
          <w:szCs w:val="21"/>
        </w:rPr>
        <w:t xml:space="preserve"> for ECEC educators</w:t>
      </w:r>
      <w:r w:rsidRPr="00EE7AF6">
        <w:rPr>
          <w:rFonts w:cstheme="minorHAnsi"/>
          <w:sz w:val="21"/>
          <w:szCs w:val="21"/>
        </w:rPr>
        <w:t>.</w:t>
      </w:r>
    </w:p>
    <w:p w14:paraId="126BF97A" w14:textId="77777777" w:rsidR="005F4386" w:rsidRDefault="005F4386" w:rsidP="00BF2AED">
      <w:pPr>
        <w:spacing w:line="264" w:lineRule="auto"/>
        <w:rPr>
          <w:rFonts w:cstheme="minorHAnsi"/>
          <w:sz w:val="21"/>
          <w:szCs w:val="21"/>
        </w:rPr>
      </w:pPr>
    </w:p>
    <w:p w14:paraId="1D4F18BA" w14:textId="1AADC9AE" w:rsidR="00A7248B" w:rsidRDefault="00266140" w:rsidP="00BF2AED">
      <w:pPr>
        <w:spacing w:line="264" w:lineRule="auto"/>
        <w:rPr>
          <w:rFonts w:cstheme="minorHAnsi"/>
          <w:sz w:val="21"/>
          <w:szCs w:val="21"/>
        </w:rPr>
      </w:pPr>
      <w:r>
        <w:rPr>
          <w:rFonts w:cstheme="minorHAnsi"/>
          <w:sz w:val="21"/>
          <w:szCs w:val="21"/>
        </w:rPr>
        <w:t xml:space="preserve">We note that </w:t>
      </w:r>
      <w:r w:rsidR="00B93555" w:rsidRPr="00CC0723">
        <w:rPr>
          <w:rFonts w:cstheme="minorHAnsi"/>
          <w:b/>
          <w:bCs/>
          <w:sz w:val="21"/>
          <w:szCs w:val="21"/>
        </w:rPr>
        <w:t xml:space="preserve">ways of </w:t>
      </w:r>
      <w:r w:rsidR="006402EC" w:rsidRPr="00CC0723">
        <w:rPr>
          <w:rFonts w:cstheme="minorHAnsi"/>
          <w:b/>
          <w:bCs/>
          <w:sz w:val="21"/>
          <w:szCs w:val="21"/>
        </w:rPr>
        <w:t xml:space="preserve">increasing </w:t>
      </w:r>
      <w:r w:rsidRPr="00CC0723">
        <w:rPr>
          <w:rFonts w:cstheme="minorHAnsi"/>
          <w:b/>
          <w:bCs/>
          <w:sz w:val="21"/>
          <w:szCs w:val="21"/>
        </w:rPr>
        <w:t>educator</w:t>
      </w:r>
      <w:r w:rsidR="006402EC" w:rsidRPr="00CC0723">
        <w:rPr>
          <w:rFonts w:cstheme="minorHAnsi"/>
          <w:b/>
          <w:bCs/>
          <w:sz w:val="21"/>
          <w:szCs w:val="21"/>
        </w:rPr>
        <w:t xml:space="preserve"> </w:t>
      </w:r>
      <w:r w:rsidR="00814FF4" w:rsidRPr="00CC0723">
        <w:rPr>
          <w:rFonts w:cstheme="minorHAnsi"/>
          <w:b/>
          <w:bCs/>
          <w:sz w:val="21"/>
          <w:szCs w:val="21"/>
        </w:rPr>
        <w:t>wages</w:t>
      </w:r>
      <w:r>
        <w:rPr>
          <w:rFonts w:cstheme="minorHAnsi"/>
          <w:sz w:val="21"/>
          <w:szCs w:val="21"/>
        </w:rPr>
        <w:t xml:space="preserve"> </w:t>
      </w:r>
      <w:r w:rsidRPr="003A7281">
        <w:rPr>
          <w:rFonts w:cstheme="minorHAnsi"/>
          <w:b/>
          <w:bCs/>
          <w:sz w:val="21"/>
          <w:szCs w:val="21"/>
        </w:rPr>
        <w:t>ha</w:t>
      </w:r>
      <w:r w:rsidR="00B93555" w:rsidRPr="003A7281">
        <w:rPr>
          <w:rFonts w:cstheme="minorHAnsi"/>
          <w:b/>
          <w:bCs/>
          <w:sz w:val="21"/>
          <w:szCs w:val="21"/>
        </w:rPr>
        <w:t>ve</w:t>
      </w:r>
      <w:r w:rsidR="006402EC" w:rsidRPr="003A7281">
        <w:rPr>
          <w:rFonts w:cstheme="minorHAnsi"/>
          <w:b/>
          <w:bCs/>
          <w:sz w:val="21"/>
          <w:szCs w:val="21"/>
        </w:rPr>
        <w:t xml:space="preserve"> </w:t>
      </w:r>
      <w:r w:rsidRPr="003A7281">
        <w:rPr>
          <w:rFonts w:cstheme="minorHAnsi"/>
          <w:b/>
          <w:bCs/>
          <w:sz w:val="21"/>
          <w:szCs w:val="21"/>
        </w:rPr>
        <w:t>not been considered</w:t>
      </w:r>
      <w:r>
        <w:rPr>
          <w:rFonts w:cstheme="minorHAnsi"/>
          <w:sz w:val="21"/>
          <w:szCs w:val="21"/>
        </w:rPr>
        <w:t xml:space="preserve"> in </w:t>
      </w:r>
      <w:proofErr w:type="gramStart"/>
      <w:r>
        <w:rPr>
          <w:rFonts w:cstheme="minorHAnsi"/>
          <w:sz w:val="21"/>
          <w:szCs w:val="21"/>
        </w:rPr>
        <w:t>great detail</w:t>
      </w:r>
      <w:proofErr w:type="gramEnd"/>
      <w:r>
        <w:rPr>
          <w:rFonts w:cstheme="minorHAnsi"/>
          <w:sz w:val="21"/>
          <w:szCs w:val="21"/>
        </w:rPr>
        <w:t xml:space="preserve"> in the report</w:t>
      </w:r>
      <w:r w:rsidR="00B93555">
        <w:rPr>
          <w:rFonts w:cstheme="minorHAnsi"/>
          <w:sz w:val="21"/>
          <w:szCs w:val="21"/>
        </w:rPr>
        <w:t xml:space="preserve">. The report confirms </w:t>
      </w:r>
      <w:r w:rsidR="006402EC">
        <w:rPr>
          <w:rFonts w:cstheme="minorHAnsi"/>
          <w:sz w:val="21"/>
          <w:szCs w:val="21"/>
        </w:rPr>
        <w:t>that wages are a large proportion of ECEC operating costs and</w:t>
      </w:r>
      <w:r w:rsidR="003A3C54">
        <w:rPr>
          <w:rFonts w:cstheme="minorHAnsi"/>
          <w:sz w:val="21"/>
          <w:szCs w:val="21"/>
        </w:rPr>
        <w:t>, in general, there</w:t>
      </w:r>
      <w:r w:rsidR="006402EC">
        <w:rPr>
          <w:rFonts w:cstheme="minorHAnsi"/>
          <w:sz w:val="21"/>
          <w:szCs w:val="21"/>
        </w:rPr>
        <w:t xml:space="preserve"> </w:t>
      </w:r>
      <w:r w:rsidR="00B93555">
        <w:rPr>
          <w:rFonts w:cstheme="minorHAnsi"/>
          <w:sz w:val="21"/>
          <w:szCs w:val="21"/>
        </w:rPr>
        <w:t xml:space="preserve">are </w:t>
      </w:r>
      <w:r w:rsidR="006402EC">
        <w:rPr>
          <w:rFonts w:cstheme="minorHAnsi"/>
          <w:sz w:val="21"/>
          <w:szCs w:val="21"/>
        </w:rPr>
        <w:t xml:space="preserve">some differences </w:t>
      </w:r>
      <w:r w:rsidR="007C4DB8">
        <w:rPr>
          <w:rFonts w:cstheme="minorHAnsi"/>
          <w:sz w:val="21"/>
          <w:szCs w:val="21"/>
        </w:rPr>
        <w:t xml:space="preserve">in </w:t>
      </w:r>
      <w:r w:rsidR="003A3C54">
        <w:rPr>
          <w:rFonts w:cstheme="minorHAnsi"/>
          <w:sz w:val="21"/>
          <w:szCs w:val="21"/>
        </w:rPr>
        <w:t xml:space="preserve">educator pay </w:t>
      </w:r>
      <w:r w:rsidR="006402EC">
        <w:rPr>
          <w:rFonts w:cstheme="minorHAnsi"/>
          <w:sz w:val="21"/>
          <w:szCs w:val="21"/>
        </w:rPr>
        <w:t>between for-profit and not-for-profit providers</w:t>
      </w:r>
      <w:r w:rsidRPr="00940084">
        <w:rPr>
          <w:rFonts w:cstheme="minorHAnsi"/>
          <w:sz w:val="21"/>
          <w:szCs w:val="21"/>
        </w:rPr>
        <w:t>.</w:t>
      </w:r>
      <w:r w:rsidR="0071546C" w:rsidRPr="00940084">
        <w:rPr>
          <w:rFonts w:cstheme="minorHAnsi"/>
          <w:sz w:val="21"/>
          <w:szCs w:val="21"/>
        </w:rPr>
        <w:t xml:space="preserve"> There is passing reference to Fair Work Commission (FWC) work on pay issues and collective bargaining.</w:t>
      </w:r>
      <w:r w:rsidR="0090245B">
        <w:rPr>
          <w:rFonts w:cstheme="minorHAnsi"/>
          <w:sz w:val="21"/>
          <w:szCs w:val="21"/>
        </w:rPr>
        <w:t xml:space="preserve"> G</w:t>
      </w:r>
      <w:r w:rsidR="00626F1A" w:rsidRPr="00940084">
        <w:rPr>
          <w:rFonts w:cstheme="minorHAnsi"/>
          <w:sz w:val="21"/>
          <w:szCs w:val="21"/>
        </w:rPr>
        <w:t xml:space="preserve">overnment(s) </w:t>
      </w:r>
      <w:r w:rsidR="0090245B">
        <w:rPr>
          <w:rFonts w:cstheme="minorHAnsi"/>
          <w:sz w:val="21"/>
          <w:szCs w:val="21"/>
        </w:rPr>
        <w:t xml:space="preserve">need </w:t>
      </w:r>
      <w:r w:rsidR="0090245B" w:rsidRPr="00E31B59">
        <w:rPr>
          <w:rFonts w:cstheme="minorHAnsi"/>
          <w:sz w:val="21"/>
          <w:szCs w:val="21"/>
        </w:rPr>
        <w:t xml:space="preserve">to </w:t>
      </w:r>
      <w:r w:rsidR="00194ED3" w:rsidRPr="00E31B59">
        <w:rPr>
          <w:rFonts w:cstheme="minorHAnsi"/>
          <w:sz w:val="21"/>
          <w:szCs w:val="21"/>
        </w:rPr>
        <w:t xml:space="preserve">plan </w:t>
      </w:r>
      <w:proofErr w:type="gramStart"/>
      <w:r w:rsidR="00194ED3" w:rsidRPr="00E31B59">
        <w:rPr>
          <w:rFonts w:cstheme="minorHAnsi"/>
          <w:sz w:val="21"/>
          <w:szCs w:val="21"/>
        </w:rPr>
        <w:t>for</w:t>
      </w:r>
      <w:proofErr w:type="gramEnd"/>
      <w:r w:rsidR="00194ED3" w:rsidRPr="00E31B59">
        <w:rPr>
          <w:rFonts w:cstheme="minorHAnsi"/>
          <w:sz w:val="21"/>
          <w:szCs w:val="21"/>
        </w:rPr>
        <w:t xml:space="preserve"> and </w:t>
      </w:r>
      <w:r w:rsidR="00940084" w:rsidRPr="00E31B59">
        <w:rPr>
          <w:rFonts w:cstheme="minorHAnsi"/>
          <w:sz w:val="21"/>
          <w:szCs w:val="21"/>
        </w:rPr>
        <w:t>support</w:t>
      </w:r>
      <w:r w:rsidR="006402EC" w:rsidRPr="00E31B59">
        <w:rPr>
          <w:rFonts w:cstheme="minorHAnsi"/>
          <w:sz w:val="21"/>
          <w:szCs w:val="21"/>
        </w:rPr>
        <w:t xml:space="preserve"> pay increases </w:t>
      </w:r>
      <w:r w:rsidR="00CF1C11" w:rsidRPr="00E31B59">
        <w:rPr>
          <w:rFonts w:cstheme="minorHAnsi"/>
          <w:sz w:val="21"/>
          <w:szCs w:val="21"/>
        </w:rPr>
        <w:t xml:space="preserve">for ECEC educators and teachers. </w:t>
      </w:r>
      <w:r w:rsidR="00626F1A" w:rsidRPr="00E31B59">
        <w:rPr>
          <w:rFonts w:cstheme="minorHAnsi"/>
          <w:sz w:val="21"/>
          <w:szCs w:val="21"/>
        </w:rPr>
        <w:t xml:space="preserve">This would </w:t>
      </w:r>
      <w:r w:rsidR="00B93555" w:rsidRPr="00E31B59">
        <w:rPr>
          <w:rFonts w:cstheme="minorHAnsi"/>
          <w:sz w:val="21"/>
          <w:szCs w:val="21"/>
        </w:rPr>
        <w:t>support future</w:t>
      </w:r>
      <w:r w:rsidR="006402EC" w:rsidRPr="00E31B59">
        <w:rPr>
          <w:rFonts w:cstheme="minorHAnsi"/>
          <w:sz w:val="21"/>
          <w:szCs w:val="21"/>
        </w:rPr>
        <w:t xml:space="preserve"> </w:t>
      </w:r>
      <w:r w:rsidR="0071546C" w:rsidRPr="00E31B59">
        <w:rPr>
          <w:rFonts w:cstheme="minorHAnsi"/>
          <w:sz w:val="21"/>
          <w:szCs w:val="21"/>
        </w:rPr>
        <w:t>FWC</w:t>
      </w:r>
      <w:r w:rsidR="006402EC" w:rsidRPr="00E31B59">
        <w:rPr>
          <w:rFonts w:cstheme="minorHAnsi"/>
          <w:sz w:val="21"/>
          <w:szCs w:val="21"/>
        </w:rPr>
        <w:t xml:space="preserve"> decisions on remuner</w:t>
      </w:r>
      <w:r w:rsidR="006402EC" w:rsidRPr="00940084">
        <w:rPr>
          <w:rFonts w:cstheme="minorHAnsi"/>
          <w:sz w:val="21"/>
          <w:szCs w:val="21"/>
        </w:rPr>
        <w:t>ation</w:t>
      </w:r>
      <w:r w:rsidR="00CF1C11">
        <w:rPr>
          <w:rFonts w:cstheme="minorHAnsi"/>
          <w:sz w:val="21"/>
          <w:szCs w:val="21"/>
        </w:rPr>
        <w:t xml:space="preserve"> and help ease workforce shortages</w:t>
      </w:r>
      <w:r w:rsidR="006402EC" w:rsidRPr="00940084">
        <w:rPr>
          <w:rFonts w:cstheme="minorHAnsi"/>
          <w:sz w:val="21"/>
          <w:szCs w:val="21"/>
        </w:rPr>
        <w:t>.</w:t>
      </w:r>
      <w:r w:rsidR="00B93555">
        <w:rPr>
          <w:rFonts w:cstheme="minorHAnsi"/>
          <w:sz w:val="21"/>
          <w:szCs w:val="21"/>
        </w:rPr>
        <w:t xml:space="preserve"> </w:t>
      </w:r>
    </w:p>
    <w:p w14:paraId="520D7363" w14:textId="77777777" w:rsidR="00A7248B" w:rsidRDefault="00A7248B" w:rsidP="00BF2AED">
      <w:pPr>
        <w:spacing w:line="264" w:lineRule="auto"/>
        <w:rPr>
          <w:rFonts w:cstheme="minorHAnsi"/>
          <w:sz w:val="21"/>
          <w:szCs w:val="21"/>
        </w:rPr>
      </w:pPr>
    </w:p>
    <w:p w14:paraId="0E39BDA8" w14:textId="402D4631" w:rsidR="00A7248B" w:rsidRPr="00576CEA" w:rsidRDefault="00814FF4" w:rsidP="00A7248B">
      <w:pPr>
        <w:spacing w:line="264" w:lineRule="auto"/>
        <w:rPr>
          <w:sz w:val="21"/>
          <w:szCs w:val="21"/>
        </w:rPr>
      </w:pPr>
      <w:r>
        <w:rPr>
          <w:rFonts w:cstheme="minorHAnsi"/>
          <w:sz w:val="21"/>
          <w:szCs w:val="21"/>
        </w:rPr>
        <w:t xml:space="preserve">As a </w:t>
      </w:r>
      <w:r w:rsidR="00C102D9">
        <w:rPr>
          <w:rFonts w:cstheme="minorHAnsi"/>
          <w:sz w:val="21"/>
          <w:szCs w:val="21"/>
        </w:rPr>
        <w:t>predominantly</w:t>
      </w:r>
      <w:r>
        <w:rPr>
          <w:rFonts w:cstheme="minorHAnsi"/>
          <w:sz w:val="21"/>
          <w:szCs w:val="21"/>
        </w:rPr>
        <w:t xml:space="preserve"> female, low paid </w:t>
      </w:r>
      <w:r w:rsidR="00EE7AF6">
        <w:rPr>
          <w:rFonts w:cstheme="minorHAnsi"/>
          <w:sz w:val="21"/>
          <w:szCs w:val="21"/>
        </w:rPr>
        <w:t>workforce</w:t>
      </w:r>
      <w:r>
        <w:rPr>
          <w:rFonts w:cstheme="minorHAnsi"/>
          <w:sz w:val="21"/>
          <w:szCs w:val="21"/>
        </w:rPr>
        <w:t xml:space="preserve"> that supports the caring economy, </w:t>
      </w:r>
      <w:r w:rsidR="00EE7AF6">
        <w:rPr>
          <w:rFonts w:cstheme="minorHAnsi"/>
          <w:sz w:val="21"/>
          <w:szCs w:val="21"/>
        </w:rPr>
        <w:t xml:space="preserve">women’s </w:t>
      </w:r>
      <w:r>
        <w:rPr>
          <w:rFonts w:cstheme="minorHAnsi"/>
          <w:sz w:val="21"/>
          <w:szCs w:val="21"/>
        </w:rPr>
        <w:t xml:space="preserve">workforce participation and </w:t>
      </w:r>
      <w:r w:rsidR="00EE7AF6">
        <w:rPr>
          <w:rFonts w:cstheme="minorHAnsi"/>
          <w:sz w:val="21"/>
          <w:szCs w:val="21"/>
        </w:rPr>
        <w:t>children’s early</w:t>
      </w:r>
      <w:r>
        <w:rPr>
          <w:rFonts w:cstheme="minorHAnsi"/>
          <w:sz w:val="21"/>
          <w:szCs w:val="21"/>
        </w:rPr>
        <w:t xml:space="preserve"> development through the provision of quality ECEC, we feel that wages cannot be left </w:t>
      </w:r>
      <w:r w:rsidR="00EE7AF6">
        <w:rPr>
          <w:rFonts w:cstheme="minorHAnsi"/>
          <w:sz w:val="21"/>
          <w:szCs w:val="21"/>
        </w:rPr>
        <w:t xml:space="preserve">to the </w:t>
      </w:r>
      <w:r>
        <w:rPr>
          <w:rFonts w:cstheme="minorHAnsi"/>
          <w:sz w:val="21"/>
          <w:szCs w:val="21"/>
        </w:rPr>
        <w:t>vagaries of ‘the market’</w:t>
      </w:r>
      <w:r w:rsidR="00CF1C11">
        <w:rPr>
          <w:rFonts w:cstheme="minorHAnsi"/>
          <w:sz w:val="21"/>
          <w:szCs w:val="21"/>
        </w:rPr>
        <w:t xml:space="preserve"> or provider preferences</w:t>
      </w:r>
      <w:r>
        <w:rPr>
          <w:rFonts w:cstheme="minorHAnsi"/>
          <w:sz w:val="21"/>
          <w:szCs w:val="21"/>
        </w:rPr>
        <w:t xml:space="preserve">. </w:t>
      </w:r>
      <w:r w:rsidR="00A7248B" w:rsidRPr="00576CEA">
        <w:rPr>
          <w:rFonts w:cstheme="minorHAnsi"/>
          <w:sz w:val="21"/>
          <w:szCs w:val="21"/>
        </w:rPr>
        <w:t xml:space="preserve">The NFAW strongly support </w:t>
      </w:r>
      <w:r w:rsidR="00A7248B" w:rsidRPr="00576CEA">
        <w:rPr>
          <w:sz w:val="21"/>
          <w:szCs w:val="21"/>
        </w:rPr>
        <w:t xml:space="preserve">calls from the sector for </w:t>
      </w:r>
      <w:r w:rsidR="00A7248B" w:rsidRPr="00CC0723">
        <w:rPr>
          <w:b/>
          <w:bCs/>
          <w:sz w:val="21"/>
          <w:szCs w:val="21"/>
        </w:rPr>
        <w:t>government</w:t>
      </w:r>
      <w:r w:rsidR="00EE7AF6" w:rsidRPr="00CC0723">
        <w:rPr>
          <w:b/>
          <w:bCs/>
          <w:sz w:val="21"/>
          <w:szCs w:val="21"/>
        </w:rPr>
        <w:t>(s)</w:t>
      </w:r>
      <w:r w:rsidR="00A7248B" w:rsidRPr="00CC0723">
        <w:rPr>
          <w:b/>
          <w:bCs/>
          <w:sz w:val="21"/>
          <w:szCs w:val="21"/>
        </w:rPr>
        <w:t xml:space="preserve"> to provide an interim wage supplement for educators</w:t>
      </w:r>
      <w:r w:rsidR="00A7248B" w:rsidRPr="00576CEA">
        <w:rPr>
          <w:sz w:val="21"/>
          <w:szCs w:val="21"/>
        </w:rPr>
        <w:t xml:space="preserve">, to be funded from the savings achieved through </w:t>
      </w:r>
      <w:r w:rsidR="005F4386">
        <w:rPr>
          <w:sz w:val="21"/>
          <w:szCs w:val="21"/>
        </w:rPr>
        <w:t xml:space="preserve">changes </w:t>
      </w:r>
      <w:r w:rsidR="00A7248B" w:rsidRPr="00576CEA">
        <w:rPr>
          <w:sz w:val="21"/>
          <w:szCs w:val="21"/>
        </w:rPr>
        <w:t xml:space="preserve">introduced </w:t>
      </w:r>
      <w:r w:rsidR="005F4386">
        <w:rPr>
          <w:sz w:val="21"/>
          <w:szCs w:val="21"/>
        </w:rPr>
        <w:t>in</w:t>
      </w:r>
      <w:r w:rsidR="00A7248B" w:rsidRPr="00576CEA">
        <w:rPr>
          <w:sz w:val="21"/>
          <w:szCs w:val="21"/>
        </w:rPr>
        <w:t xml:space="preserve"> July 2023. </w:t>
      </w:r>
      <w:r w:rsidR="00A7248B">
        <w:rPr>
          <w:sz w:val="21"/>
          <w:szCs w:val="21"/>
        </w:rPr>
        <w:t xml:space="preserve">A 10-15% Australian Government wage supplement for ECEC educators and early childhood teachers (ECTs) has been suggested by a number of child care providers and organisations (including </w:t>
      </w:r>
      <w:hyperlink r:id="rId16" w:history="1">
        <w:r w:rsidR="00A7248B" w:rsidRPr="00556FF5">
          <w:rPr>
            <w:rStyle w:val="Hyperlink"/>
            <w:sz w:val="21"/>
            <w:szCs w:val="21"/>
          </w:rPr>
          <w:t>Goodstart</w:t>
        </w:r>
      </w:hyperlink>
      <w:r w:rsidR="00A7248B">
        <w:rPr>
          <w:sz w:val="21"/>
          <w:szCs w:val="21"/>
        </w:rPr>
        <w:t xml:space="preserve"> and </w:t>
      </w:r>
      <w:hyperlink r:id="rId17" w:history="1">
        <w:r w:rsidR="00A7248B" w:rsidRPr="00A43B35">
          <w:rPr>
            <w:rStyle w:val="Hyperlink"/>
            <w:sz w:val="21"/>
            <w:szCs w:val="21"/>
          </w:rPr>
          <w:t>The Front Project</w:t>
        </w:r>
      </w:hyperlink>
      <w:r w:rsidR="00A7248B">
        <w:rPr>
          <w:sz w:val="21"/>
          <w:szCs w:val="21"/>
        </w:rPr>
        <w:t>).</w:t>
      </w:r>
    </w:p>
    <w:p w14:paraId="4C3CCD23" w14:textId="77777777" w:rsidR="00211DA6" w:rsidRDefault="00211DA6" w:rsidP="00BF2AED">
      <w:pPr>
        <w:spacing w:line="264" w:lineRule="auto"/>
        <w:rPr>
          <w:rFonts w:cstheme="minorHAnsi"/>
          <w:sz w:val="21"/>
          <w:szCs w:val="21"/>
        </w:rPr>
      </w:pPr>
    </w:p>
    <w:p w14:paraId="42F5CC1A" w14:textId="6C782D31" w:rsidR="00211DA6" w:rsidRPr="00E70146" w:rsidRDefault="00CC0723" w:rsidP="00154D08">
      <w:pPr>
        <w:spacing w:line="264" w:lineRule="auto"/>
        <w:rPr>
          <w:rFonts w:cstheme="minorHAnsi"/>
          <w:i/>
          <w:iCs/>
          <w:color w:val="000000" w:themeColor="text1"/>
          <w:sz w:val="21"/>
          <w:szCs w:val="21"/>
        </w:rPr>
      </w:pPr>
      <w:r w:rsidRPr="00E70146">
        <w:rPr>
          <w:rFonts w:cstheme="minorHAnsi"/>
          <w:i/>
          <w:iCs/>
          <w:color w:val="000000" w:themeColor="text1"/>
          <w:sz w:val="21"/>
          <w:szCs w:val="21"/>
        </w:rPr>
        <w:t>ECEC</w:t>
      </w:r>
      <w:r w:rsidR="00E70146">
        <w:rPr>
          <w:rFonts w:cstheme="minorHAnsi"/>
          <w:i/>
          <w:iCs/>
          <w:color w:val="000000" w:themeColor="text1"/>
          <w:sz w:val="21"/>
          <w:szCs w:val="21"/>
        </w:rPr>
        <w:t xml:space="preserve"> must be reviewed from an intersectional </w:t>
      </w:r>
      <w:proofErr w:type="gramStart"/>
      <w:r w:rsidR="00E70146">
        <w:rPr>
          <w:rFonts w:cstheme="minorHAnsi"/>
          <w:i/>
          <w:iCs/>
          <w:color w:val="000000" w:themeColor="text1"/>
          <w:sz w:val="21"/>
          <w:szCs w:val="21"/>
        </w:rPr>
        <w:t>perspective</w:t>
      </w:r>
      <w:proofErr w:type="gramEnd"/>
    </w:p>
    <w:p w14:paraId="5CD528A4" w14:textId="46068674" w:rsidR="00481681" w:rsidRDefault="00481681" w:rsidP="00BF2AED">
      <w:pPr>
        <w:spacing w:line="264" w:lineRule="auto"/>
        <w:rPr>
          <w:rFonts w:cstheme="minorHAnsi"/>
          <w:sz w:val="21"/>
          <w:szCs w:val="21"/>
        </w:rPr>
      </w:pPr>
    </w:p>
    <w:p w14:paraId="238FCC76" w14:textId="3BE50B6B" w:rsidR="009F4EBA" w:rsidRDefault="00481681" w:rsidP="009F4EBA">
      <w:pPr>
        <w:spacing w:line="264" w:lineRule="auto"/>
        <w:rPr>
          <w:rFonts w:cstheme="minorHAnsi"/>
          <w:sz w:val="21"/>
          <w:szCs w:val="21"/>
          <w:lang w:val="en-GB"/>
        </w:rPr>
      </w:pPr>
      <w:r>
        <w:rPr>
          <w:rFonts w:cstheme="minorHAnsi"/>
          <w:sz w:val="21"/>
          <w:szCs w:val="21"/>
        </w:rPr>
        <w:t xml:space="preserve">The NFAW supports strongly supports draft recommendations which </w:t>
      </w:r>
      <w:r w:rsidR="002B05B9">
        <w:rPr>
          <w:rFonts w:cstheme="minorHAnsi"/>
          <w:sz w:val="21"/>
          <w:szCs w:val="21"/>
        </w:rPr>
        <w:t xml:space="preserve">facilitate and </w:t>
      </w:r>
      <w:r>
        <w:rPr>
          <w:rFonts w:cstheme="minorHAnsi"/>
          <w:sz w:val="21"/>
          <w:szCs w:val="21"/>
        </w:rPr>
        <w:t>promote the inclusion of vulnerable children, including those with a disability (</w:t>
      </w:r>
      <w:r w:rsidRPr="00481681">
        <w:rPr>
          <w:rFonts w:cstheme="minorHAnsi"/>
          <w:b/>
          <w:bCs/>
          <w:sz w:val="21"/>
          <w:szCs w:val="21"/>
        </w:rPr>
        <w:t xml:space="preserve">recommendations </w:t>
      </w:r>
      <w:r w:rsidRPr="00E3180F">
        <w:rPr>
          <w:rFonts w:cstheme="minorHAnsi"/>
          <w:b/>
          <w:bCs/>
          <w:sz w:val="21"/>
          <w:szCs w:val="21"/>
        </w:rPr>
        <w:t>2.3, 2.4, 2.5, 2.6 and 2.7</w:t>
      </w:r>
      <w:r w:rsidRPr="00E3180F">
        <w:rPr>
          <w:rFonts w:cstheme="minorHAnsi"/>
          <w:sz w:val="21"/>
          <w:szCs w:val="21"/>
        </w:rPr>
        <w:t>).</w:t>
      </w:r>
      <w:r w:rsidR="00B66A0A">
        <w:rPr>
          <w:rFonts w:cstheme="minorHAnsi"/>
          <w:sz w:val="21"/>
          <w:szCs w:val="21"/>
        </w:rPr>
        <w:t xml:space="preserve"> </w:t>
      </w:r>
      <w:r w:rsidR="002B05B9">
        <w:rPr>
          <w:rFonts w:cstheme="minorHAnsi"/>
          <w:sz w:val="21"/>
          <w:szCs w:val="21"/>
        </w:rPr>
        <w:t>It is not acceptable that children with a disability can end up excluded from ECEC. Better support for services through the Inclusion Support Program (ISP</w:t>
      </w:r>
      <w:r w:rsidR="002D3EC4">
        <w:rPr>
          <w:rFonts w:cstheme="minorHAnsi"/>
          <w:sz w:val="21"/>
          <w:szCs w:val="21"/>
        </w:rPr>
        <w:t>)</w:t>
      </w:r>
      <w:r w:rsidR="002B05B9">
        <w:rPr>
          <w:rFonts w:cstheme="minorHAnsi"/>
          <w:sz w:val="21"/>
          <w:szCs w:val="21"/>
        </w:rPr>
        <w:t xml:space="preserve"> needs to accessible longer term than is currently the case under ISP guidelines.</w:t>
      </w:r>
      <w:r w:rsidR="009F4EBA">
        <w:rPr>
          <w:rFonts w:cstheme="minorHAnsi"/>
          <w:sz w:val="21"/>
          <w:szCs w:val="21"/>
        </w:rPr>
        <w:t xml:space="preserve"> We also support </w:t>
      </w:r>
      <w:r w:rsidR="009F4EBA" w:rsidRPr="009F4EBA">
        <w:rPr>
          <w:rFonts w:cstheme="minorHAnsi"/>
          <w:sz w:val="21"/>
          <w:szCs w:val="21"/>
          <w:lang w:val="en-GB"/>
        </w:rPr>
        <w:t>connections between ECEC and other child and family services and identifying the most suitable way to address any gaps</w:t>
      </w:r>
      <w:r w:rsidR="009F4EBA">
        <w:rPr>
          <w:rFonts w:cstheme="minorHAnsi"/>
          <w:sz w:val="21"/>
          <w:szCs w:val="21"/>
          <w:lang w:val="en-GB"/>
        </w:rPr>
        <w:t xml:space="preserve"> (</w:t>
      </w:r>
      <w:r w:rsidR="009F4EBA" w:rsidRPr="009F4EBA">
        <w:rPr>
          <w:rFonts w:cstheme="minorHAnsi"/>
          <w:b/>
          <w:bCs/>
          <w:sz w:val="21"/>
          <w:szCs w:val="21"/>
          <w:lang w:val="en-GB"/>
        </w:rPr>
        <w:t>recommendation 7.2</w:t>
      </w:r>
      <w:r w:rsidR="009F4EBA">
        <w:rPr>
          <w:rFonts w:cstheme="minorHAnsi"/>
          <w:sz w:val="21"/>
          <w:szCs w:val="21"/>
          <w:lang w:val="en-GB"/>
        </w:rPr>
        <w:t xml:space="preserve">). </w:t>
      </w:r>
    </w:p>
    <w:p w14:paraId="4606D008" w14:textId="77777777" w:rsidR="009F4EBA" w:rsidRDefault="009F4EBA" w:rsidP="009F4EBA">
      <w:pPr>
        <w:spacing w:line="264" w:lineRule="auto"/>
        <w:rPr>
          <w:rFonts w:cstheme="minorHAnsi"/>
          <w:sz w:val="21"/>
          <w:szCs w:val="21"/>
          <w:lang w:val="en-GB"/>
        </w:rPr>
      </w:pPr>
    </w:p>
    <w:p w14:paraId="35C9DE93" w14:textId="1683D042" w:rsidR="002B05B9" w:rsidRPr="002B05B9" w:rsidRDefault="002D3EC4" w:rsidP="009F4EBA">
      <w:pPr>
        <w:spacing w:line="264" w:lineRule="auto"/>
        <w:rPr>
          <w:rFonts w:cstheme="minorHAnsi"/>
          <w:sz w:val="21"/>
          <w:szCs w:val="21"/>
        </w:rPr>
      </w:pPr>
      <w:r w:rsidRPr="002D3EC4">
        <w:rPr>
          <w:rFonts w:cstheme="minorHAnsi"/>
          <w:b/>
          <w:bCs/>
          <w:sz w:val="21"/>
          <w:szCs w:val="21"/>
        </w:rPr>
        <w:t>R</w:t>
      </w:r>
      <w:r w:rsidR="00B66A0A" w:rsidRPr="00E3180F">
        <w:rPr>
          <w:rFonts w:cstheme="minorHAnsi"/>
          <w:b/>
          <w:bCs/>
          <w:sz w:val="21"/>
          <w:szCs w:val="21"/>
        </w:rPr>
        <w:t>ecommendatio</w:t>
      </w:r>
      <w:r w:rsidR="00626F1A" w:rsidRPr="00E3180F">
        <w:rPr>
          <w:rFonts w:cstheme="minorHAnsi"/>
          <w:b/>
          <w:bCs/>
          <w:sz w:val="21"/>
          <w:szCs w:val="21"/>
        </w:rPr>
        <w:t xml:space="preserve">n </w:t>
      </w:r>
      <w:r w:rsidR="006E3113" w:rsidRPr="00E3180F">
        <w:rPr>
          <w:rFonts w:cstheme="minorHAnsi"/>
          <w:b/>
          <w:bCs/>
          <w:sz w:val="21"/>
          <w:szCs w:val="21"/>
        </w:rPr>
        <w:t>7.3</w:t>
      </w:r>
      <w:r w:rsidR="00626F1A">
        <w:rPr>
          <w:rFonts w:cstheme="minorHAnsi"/>
          <w:sz w:val="21"/>
          <w:szCs w:val="21"/>
        </w:rPr>
        <w:t xml:space="preserve"> </w:t>
      </w:r>
      <w:r w:rsidR="00B66A0A">
        <w:rPr>
          <w:rFonts w:cstheme="minorHAnsi"/>
          <w:sz w:val="21"/>
          <w:szCs w:val="21"/>
        </w:rPr>
        <w:t xml:space="preserve">for </w:t>
      </w:r>
      <w:r w:rsidR="000F7DD8">
        <w:rPr>
          <w:rFonts w:cstheme="minorHAnsi"/>
          <w:sz w:val="21"/>
          <w:szCs w:val="21"/>
        </w:rPr>
        <w:t xml:space="preserve">different </w:t>
      </w:r>
      <w:r w:rsidR="006E3113">
        <w:rPr>
          <w:rFonts w:cstheme="minorHAnsi"/>
          <w:sz w:val="21"/>
          <w:szCs w:val="21"/>
        </w:rPr>
        <w:t>funding frameworks</w:t>
      </w:r>
      <w:r w:rsidR="000F7DD8">
        <w:rPr>
          <w:rFonts w:cstheme="minorHAnsi"/>
          <w:sz w:val="21"/>
          <w:szCs w:val="21"/>
        </w:rPr>
        <w:t xml:space="preserve"> of </w:t>
      </w:r>
      <w:r w:rsidR="006E3113">
        <w:rPr>
          <w:rFonts w:cstheme="minorHAnsi"/>
          <w:sz w:val="21"/>
          <w:szCs w:val="21"/>
        </w:rPr>
        <w:t>ECEC</w:t>
      </w:r>
      <w:r w:rsidR="000F7DD8">
        <w:rPr>
          <w:rFonts w:cstheme="minorHAnsi"/>
          <w:sz w:val="21"/>
          <w:szCs w:val="21"/>
        </w:rPr>
        <w:t xml:space="preserve"> for Aboriginal and Torres Strait Islander children</w:t>
      </w:r>
      <w:r w:rsidR="002B05B9">
        <w:rPr>
          <w:rFonts w:cstheme="minorHAnsi"/>
          <w:sz w:val="21"/>
          <w:szCs w:val="21"/>
        </w:rPr>
        <w:t xml:space="preserve">, </w:t>
      </w:r>
      <w:r w:rsidR="000F7DD8">
        <w:rPr>
          <w:rFonts w:cstheme="minorHAnsi"/>
          <w:sz w:val="21"/>
          <w:szCs w:val="21"/>
        </w:rPr>
        <w:t xml:space="preserve">families </w:t>
      </w:r>
      <w:r w:rsidR="002B05B9">
        <w:rPr>
          <w:rFonts w:cstheme="minorHAnsi"/>
          <w:sz w:val="21"/>
          <w:szCs w:val="21"/>
        </w:rPr>
        <w:t xml:space="preserve">and services is </w:t>
      </w:r>
      <w:r w:rsidR="00626F1A">
        <w:rPr>
          <w:rFonts w:cstheme="minorHAnsi"/>
          <w:sz w:val="21"/>
          <w:szCs w:val="21"/>
        </w:rPr>
        <w:t xml:space="preserve">appropriate from a cultural and </w:t>
      </w:r>
      <w:r w:rsidR="009F4EBA">
        <w:rPr>
          <w:rFonts w:cstheme="minorHAnsi"/>
          <w:sz w:val="21"/>
          <w:szCs w:val="21"/>
        </w:rPr>
        <w:t>financial</w:t>
      </w:r>
      <w:r w:rsidR="00626F1A">
        <w:rPr>
          <w:rFonts w:cstheme="minorHAnsi"/>
          <w:sz w:val="21"/>
          <w:szCs w:val="21"/>
        </w:rPr>
        <w:t xml:space="preserve"> perspective</w:t>
      </w:r>
      <w:r w:rsidR="001D4EBB">
        <w:rPr>
          <w:rFonts w:cstheme="minorHAnsi"/>
          <w:sz w:val="21"/>
          <w:szCs w:val="21"/>
        </w:rPr>
        <w:t xml:space="preserve"> (e.g. removing the activity test, support </w:t>
      </w:r>
      <w:r w:rsidR="004227AF" w:rsidRPr="00E31B59">
        <w:rPr>
          <w:rFonts w:cstheme="minorHAnsi"/>
          <w:sz w:val="21"/>
          <w:szCs w:val="21"/>
        </w:rPr>
        <w:t xml:space="preserve">for families </w:t>
      </w:r>
      <w:r w:rsidR="001D4EBB" w:rsidRPr="00E31B59">
        <w:rPr>
          <w:rFonts w:cstheme="minorHAnsi"/>
          <w:sz w:val="21"/>
          <w:szCs w:val="21"/>
        </w:rPr>
        <w:t>in</w:t>
      </w:r>
      <w:r w:rsidR="001D4EBB">
        <w:rPr>
          <w:rFonts w:cstheme="minorHAnsi"/>
          <w:sz w:val="21"/>
          <w:szCs w:val="21"/>
        </w:rPr>
        <w:t xml:space="preserve"> navigating Services Australia</w:t>
      </w:r>
      <w:r w:rsidR="00411024">
        <w:rPr>
          <w:rFonts w:cstheme="minorHAnsi"/>
          <w:sz w:val="21"/>
          <w:szCs w:val="21"/>
        </w:rPr>
        <w:t xml:space="preserve"> and more grants to support service</w:t>
      </w:r>
      <w:r w:rsidR="00CF1C11">
        <w:rPr>
          <w:rFonts w:cstheme="minorHAnsi"/>
          <w:sz w:val="21"/>
          <w:szCs w:val="21"/>
        </w:rPr>
        <w:t xml:space="preserve"> viability and expansion</w:t>
      </w:r>
      <w:r w:rsidR="001D4EBB">
        <w:rPr>
          <w:rFonts w:cstheme="minorHAnsi"/>
          <w:sz w:val="21"/>
          <w:szCs w:val="21"/>
        </w:rPr>
        <w:t>)</w:t>
      </w:r>
      <w:r w:rsidR="002B05B9">
        <w:rPr>
          <w:rFonts w:cstheme="minorHAnsi"/>
          <w:sz w:val="21"/>
          <w:szCs w:val="21"/>
        </w:rPr>
        <w:t xml:space="preserve">. </w:t>
      </w:r>
      <w:r w:rsidR="00E3180F" w:rsidRPr="00E3180F">
        <w:rPr>
          <w:rFonts w:cstheme="minorHAnsi"/>
          <w:b/>
          <w:bCs/>
          <w:sz w:val="21"/>
          <w:szCs w:val="21"/>
        </w:rPr>
        <w:t>Recommendation 2.4</w:t>
      </w:r>
      <w:r w:rsidR="00E3180F">
        <w:rPr>
          <w:rFonts w:cstheme="minorHAnsi"/>
          <w:sz w:val="21"/>
          <w:szCs w:val="21"/>
        </w:rPr>
        <w:t xml:space="preserve"> focus</w:t>
      </w:r>
      <w:r>
        <w:rPr>
          <w:rFonts w:cstheme="minorHAnsi"/>
          <w:sz w:val="21"/>
          <w:szCs w:val="21"/>
        </w:rPr>
        <w:t>es</w:t>
      </w:r>
      <w:r w:rsidR="00E3180F">
        <w:rPr>
          <w:rFonts w:cstheme="minorHAnsi"/>
          <w:sz w:val="21"/>
          <w:szCs w:val="21"/>
        </w:rPr>
        <w:t xml:space="preserve"> appropriately on the need for cultural safety to be addressed</w:t>
      </w:r>
      <w:r w:rsidR="00E3180F" w:rsidRPr="00E31B59">
        <w:rPr>
          <w:rFonts w:cstheme="minorHAnsi"/>
          <w:sz w:val="21"/>
          <w:szCs w:val="21"/>
        </w:rPr>
        <w:t xml:space="preserve">. </w:t>
      </w:r>
      <w:r w:rsidR="008D413B" w:rsidRPr="00E31B59">
        <w:rPr>
          <w:rFonts w:cstheme="minorHAnsi"/>
          <w:sz w:val="21"/>
          <w:szCs w:val="21"/>
        </w:rPr>
        <w:t>A</w:t>
      </w:r>
      <w:r w:rsidR="004227AF" w:rsidRPr="00E31B59">
        <w:rPr>
          <w:rFonts w:cstheme="minorHAnsi"/>
          <w:sz w:val="21"/>
          <w:szCs w:val="21"/>
        </w:rPr>
        <w:t xml:space="preserve"> </w:t>
      </w:r>
      <w:proofErr w:type="gramStart"/>
      <w:r w:rsidR="00E3180F" w:rsidRPr="00E31B59">
        <w:rPr>
          <w:rFonts w:cstheme="minorHAnsi"/>
          <w:sz w:val="21"/>
          <w:szCs w:val="21"/>
        </w:rPr>
        <w:t xml:space="preserve">key </w:t>
      </w:r>
      <w:r w:rsidR="00EE0646">
        <w:rPr>
          <w:rFonts w:cstheme="minorHAnsi"/>
          <w:sz w:val="21"/>
          <w:szCs w:val="21"/>
        </w:rPr>
        <w:t>way</w:t>
      </w:r>
      <w:proofErr w:type="gramEnd"/>
      <w:r w:rsidR="00E3180F">
        <w:rPr>
          <w:rFonts w:cstheme="minorHAnsi"/>
          <w:sz w:val="21"/>
          <w:szCs w:val="21"/>
        </w:rPr>
        <w:t xml:space="preserve"> to do this is to </w:t>
      </w:r>
      <w:r w:rsidR="00E3180F" w:rsidRPr="008D413B">
        <w:rPr>
          <w:rFonts w:cstheme="minorHAnsi"/>
          <w:b/>
          <w:bCs/>
          <w:sz w:val="21"/>
          <w:szCs w:val="21"/>
        </w:rPr>
        <w:t xml:space="preserve">employ more </w:t>
      </w:r>
      <w:r w:rsidR="00CF1C11" w:rsidRPr="008D413B">
        <w:rPr>
          <w:rFonts w:cstheme="minorHAnsi"/>
          <w:b/>
          <w:bCs/>
          <w:sz w:val="21"/>
          <w:szCs w:val="21"/>
        </w:rPr>
        <w:t>Aboriginal and Torres Strait</w:t>
      </w:r>
      <w:r w:rsidR="00E3180F" w:rsidRPr="008D413B">
        <w:rPr>
          <w:rFonts w:cstheme="minorHAnsi"/>
          <w:b/>
          <w:bCs/>
          <w:sz w:val="21"/>
          <w:szCs w:val="21"/>
        </w:rPr>
        <w:t xml:space="preserve"> </w:t>
      </w:r>
      <w:r w:rsidR="00EE0646">
        <w:rPr>
          <w:rFonts w:cstheme="minorHAnsi"/>
          <w:b/>
          <w:bCs/>
          <w:sz w:val="21"/>
          <w:szCs w:val="21"/>
        </w:rPr>
        <w:t xml:space="preserve">Islander </w:t>
      </w:r>
      <w:r w:rsidR="00E3180F" w:rsidRPr="008D413B">
        <w:rPr>
          <w:rFonts w:cstheme="minorHAnsi"/>
          <w:b/>
          <w:bCs/>
          <w:sz w:val="21"/>
          <w:szCs w:val="21"/>
        </w:rPr>
        <w:t>educators</w:t>
      </w:r>
      <w:r w:rsidR="00E3180F">
        <w:rPr>
          <w:rFonts w:cstheme="minorHAnsi"/>
          <w:sz w:val="21"/>
          <w:szCs w:val="21"/>
        </w:rPr>
        <w:t xml:space="preserve"> to provide a culturally safe environment</w:t>
      </w:r>
      <w:r w:rsidR="00411024">
        <w:rPr>
          <w:rFonts w:cstheme="minorHAnsi"/>
          <w:sz w:val="21"/>
          <w:szCs w:val="21"/>
        </w:rPr>
        <w:t xml:space="preserve"> (</w:t>
      </w:r>
      <w:r w:rsidR="00411024" w:rsidRPr="00411024">
        <w:rPr>
          <w:rFonts w:cstheme="minorHAnsi"/>
          <w:b/>
          <w:bCs/>
          <w:sz w:val="21"/>
          <w:szCs w:val="21"/>
        </w:rPr>
        <w:t>recommendation 3.5</w:t>
      </w:r>
      <w:r w:rsidR="00411024">
        <w:rPr>
          <w:rFonts w:cstheme="minorHAnsi"/>
          <w:sz w:val="21"/>
          <w:szCs w:val="21"/>
        </w:rPr>
        <w:t>)</w:t>
      </w:r>
      <w:r w:rsidR="00E3180F">
        <w:rPr>
          <w:rFonts w:cstheme="minorHAnsi"/>
          <w:sz w:val="21"/>
          <w:szCs w:val="21"/>
        </w:rPr>
        <w:t xml:space="preserve">. </w:t>
      </w:r>
      <w:r w:rsidR="002B05B9">
        <w:rPr>
          <w:rFonts w:cstheme="minorHAnsi"/>
          <w:sz w:val="21"/>
          <w:szCs w:val="21"/>
        </w:rPr>
        <w:t xml:space="preserve">The Australian Government’s </w:t>
      </w:r>
      <w:r w:rsidR="009F4EBA">
        <w:rPr>
          <w:rFonts w:cstheme="minorHAnsi"/>
          <w:sz w:val="21"/>
          <w:szCs w:val="21"/>
        </w:rPr>
        <w:t>review</w:t>
      </w:r>
      <w:r w:rsidR="002B05B9">
        <w:rPr>
          <w:rFonts w:cstheme="minorHAnsi"/>
          <w:sz w:val="21"/>
          <w:szCs w:val="21"/>
        </w:rPr>
        <w:t xml:space="preserve"> of the </w:t>
      </w:r>
      <w:hyperlink r:id="rId18" w:history="1">
        <w:r w:rsidR="002B05B9" w:rsidRPr="002B05B9">
          <w:rPr>
            <w:rStyle w:val="Hyperlink"/>
            <w:rFonts w:cstheme="minorHAnsi"/>
            <w:sz w:val="21"/>
            <w:szCs w:val="21"/>
          </w:rPr>
          <w:t>Community Development Program</w:t>
        </w:r>
      </w:hyperlink>
      <w:r w:rsidR="002B05B9">
        <w:rPr>
          <w:rFonts w:cstheme="minorHAnsi"/>
          <w:sz w:val="21"/>
          <w:szCs w:val="21"/>
        </w:rPr>
        <w:t xml:space="preserve"> (CDP) might provide opportunities </w:t>
      </w:r>
      <w:r w:rsidR="00626F1A">
        <w:rPr>
          <w:rFonts w:cstheme="minorHAnsi"/>
          <w:sz w:val="21"/>
          <w:szCs w:val="21"/>
        </w:rPr>
        <w:t>for people living in remote areas to access</w:t>
      </w:r>
      <w:r w:rsidR="002B05B9">
        <w:rPr>
          <w:rFonts w:cstheme="minorHAnsi"/>
          <w:sz w:val="21"/>
          <w:szCs w:val="21"/>
        </w:rPr>
        <w:t xml:space="preserve"> pathways to ECEC qualifications and work in the </w:t>
      </w:r>
      <w:r w:rsidR="00626F1A">
        <w:rPr>
          <w:rFonts w:cstheme="minorHAnsi"/>
          <w:sz w:val="21"/>
          <w:szCs w:val="21"/>
        </w:rPr>
        <w:t xml:space="preserve">formal care </w:t>
      </w:r>
      <w:r w:rsidR="002B05B9">
        <w:rPr>
          <w:rFonts w:cstheme="minorHAnsi"/>
          <w:sz w:val="21"/>
          <w:szCs w:val="21"/>
        </w:rPr>
        <w:t>sector.</w:t>
      </w:r>
      <w:r w:rsidR="00626F1A">
        <w:rPr>
          <w:rStyle w:val="FootnoteReference"/>
          <w:rFonts w:cstheme="minorHAnsi"/>
          <w:sz w:val="21"/>
          <w:szCs w:val="21"/>
        </w:rPr>
        <w:footnoteReference w:id="1"/>
      </w:r>
    </w:p>
    <w:p w14:paraId="0C229731" w14:textId="4107C2D8" w:rsidR="00A7248B" w:rsidRDefault="00A7248B" w:rsidP="00BF2AED">
      <w:pPr>
        <w:spacing w:line="264" w:lineRule="auto"/>
        <w:rPr>
          <w:rFonts w:cstheme="minorHAnsi"/>
          <w:sz w:val="21"/>
          <w:szCs w:val="21"/>
        </w:rPr>
      </w:pPr>
    </w:p>
    <w:p w14:paraId="01343299" w14:textId="77777777" w:rsidR="00CF1C11" w:rsidRDefault="00CF1C11" w:rsidP="00BF2AED">
      <w:pPr>
        <w:spacing w:line="264" w:lineRule="auto"/>
        <w:rPr>
          <w:rFonts w:cstheme="minorHAnsi"/>
          <w:i/>
          <w:iCs/>
          <w:sz w:val="21"/>
          <w:szCs w:val="21"/>
        </w:rPr>
      </w:pPr>
    </w:p>
    <w:p w14:paraId="61CABAD9" w14:textId="705B7F6C" w:rsidR="00F117BD" w:rsidRPr="00F117BD" w:rsidRDefault="00F117BD" w:rsidP="00BF2AED">
      <w:pPr>
        <w:spacing w:line="264" w:lineRule="auto"/>
        <w:rPr>
          <w:rFonts w:cstheme="minorHAnsi"/>
          <w:i/>
          <w:iCs/>
          <w:sz w:val="21"/>
          <w:szCs w:val="21"/>
        </w:rPr>
      </w:pPr>
      <w:r w:rsidRPr="00F117BD">
        <w:rPr>
          <w:rFonts w:cstheme="minorHAnsi"/>
          <w:i/>
          <w:iCs/>
          <w:sz w:val="21"/>
          <w:szCs w:val="21"/>
        </w:rPr>
        <w:t xml:space="preserve">The ECEC ‘system’ needs to be easier for families and services to </w:t>
      </w:r>
      <w:proofErr w:type="gramStart"/>
      <w:r w:rsidRPr="00F117BD">
        <w:rPr>
          <w:rFonts w:cstheme="minorHAnsi"/>
          <w:i/>
          <w:iCs/>
          <w:sz w:val="21"/>
          <w:szCs w:val="21"/>
        </w:rPr>
        <w:t>navigate</w:t>
      </w:r>
      <w:proofErr w:type="gramEnd"/>
    </w:p>
    <w:p w14:paraId="7F6E1682" w14:textId="77777777" w:rsidR="00F117BD" w:rsidRDefault="00F117BD" w:rsidP="00BF2AED">
      <w:pPr>
        <w:spacing w:line="264" w:lineRule="auto"/>
        <w:rPr>
          <w:rFonts w:cstheme="minorHAnsi"/>
          <w:sz w:val="21"/>
          <w:szCs w:val="21"/>
        </w:rPr>
      </w:pPr>
    </w:p>
    <w:p w14:paraId="279061D8" w14:textId="6F658452" w:rsidR="00A7248B" w:rsidRDefault="003B5475" w:rsidP="00BF2AED">
      <w:pPr>
        <w:spacing w:line="264" w:lineRule="auto"/>
        <w:rPr>
          <w:rFonts w:cstheme="minorHAnsi"/>
          <w:sz w:val="21"/>
          <w:szCs w:val="21"/>
        </w:rPr>
      </w:pPr>
      <w:r>
        <w:rPr>
          <w:rFonts w:cstheme="minorHAnsi"/>
          <w:sz w:val="21"/>
          <w:szCs w:val="21"/>
        </w:rPr>
        <w:t xml:space="preserve">NFAW </w:t>
      </w:r>
      <w:r w:rsidR="00A7248B">
        <w:rPr>
          <w:rFonts w:cstheme="minorHAnsi"/>
          <w:sz w:val="21"/>
          <w:szCs w:val="21"/>
        </w:rPr>
        <w:t>agree</w:t>
      </w:r>
      <w:r>
        <w:rPr>
          <w:rFonts w:cstheme="minorHAnsi"/>
          <w:sz w:val="21"/>
          <w:szCs w:val="21"/>
        </w:rPr>
        <w:t>s</w:t>
      </w:r>
      <w:r w:rsidR="00A7248B">
        <w:rPr>
          <w:rFonts w:cstheme="minorHAnsi"/>
          <w:sz w:val="21"/>
          <w:szCs w:val="21"/>
        </w:rPr>
        <w:t xml:space="preserve"> with recommendations regarding reducing the complexity of navigating the ECEC system and funding </w:t>
      </w:r>
      <w:r w:rsidR="005D67AE">
        <w:rPr>
          <w:rFonts w:cstheme="minorHAnsi"/>
          <w:sz w:val="21"/>
          <w:szCs w:val="21"/>
        </w:rPr>
        <w:t xml:space="preserve">and </w:t>
      </w:r>
      <w:r w:rsidR="005143EA">
        <w:rPr>
          <w:rFonts w:cstheme="minorHAnsi"/>
          <w:sz w:val="21"/>
          <w:szCs w:val="21"/>
        </w:rPr>
        <w:t xml:space="preserve">the need to </w:t>
      </w:r>
      <w:r w:rsidR="005D67AE">
        <w:rPr>
          <w:rFonts w:cstheme="minorHAnsi"/>
          <w:sz w:val="21"/>
          <w:szCs w:val="21"/>
        </w:rPr>
        <w:t>improv</w:t>
      </w:r>
      <w:r w:rsidR="005143EA">
        <w:rPr>
          <w:rFonts w:cstheme="minorHAnsi"/>
          <w:sz w:val="21"/>
          <w:szCs w:val="21"/>
        </w:rPr>
        <w:t>e</w:t>
      </w:r>
      <w:r w:rsidR="005D67AE">
        <w:rPr>
          <w:rFonts w:cstheme="minorHAnsi"/>
          <w:sz w:val="21"/>
          <w:szCs w:val="21"/>
        </w:rPr>
        <w:t xml:space="preserve"> the information available </w:t>
      </w:r>
      <w:r w:rsidR="001E2DA3">
        <w:rPr>
          <w:rFonts w:cstheme="minorHAnsi"/>
          <w:sz w:val="21"/>
          <w:szCs w:val="21"/>
        </w:rPr>
        <w:t xml:space="preserve">to families </w:t>
      </w:r>
      <w:r w:rsidR="005D67AE">
        <w:rPr>
          <w:rFonts w:cstheme="minorHAnsi"/>
          <w:sz w:val="21"/>
          <w:szCs w:val="21"/>
        </w:rPr>
        <w:t xml:space="preserve">on government websites and </w:t>
      </w:r>
      <w:hyperlink r:id="rId19" w:history="1">
        <w:r w:rsidR="005D67AE" w:rsidRPr="005143EA">
          <w:rPr>
            <w:rStyle w:val="Hyperlink"/>
            <w:rFonts w:cstheme="minorHAnsi"/>
            <w:sz w:val="21"/>
            <w:szCs w:val="21"/>
          </w:rPr>
          <w:t>Starting Blocks</w:t>
        </w:r>
      </w:hyperlink>
      <w:r w:rsidR="005D67AE">
        <w:rPr>
          <w:rFonts w:cstheme="minorHAnsi"/>
          <w:sz w:val="21"/>
          <w:szCs w:val="21"/>
        </w:rPr>
        <w:t xml:space="preserve"> </w:t>
      </w:r>
      <w:r w:rsidR="00481681">
        <w:rPr>
          <w:rFonts w:cstheme="minorHAnsi"/>
          <w:sz w:val="21"/>
          <w:szCs w:val="21"/>
        </w:rPr>
        <w:t xml:space="preserve">and the child care calculator </w:t>
      </w:r>
      <w:r w:rsidR="00A7248B">
        <w:rPr>
          <w:rFonts w:cstheme="minorHAnsi"/>
          <w:sz w:val="21"/>
          <w:szCs w:val="21"/>
        </w:rPr>
        <w:t>(</w:t>
      </w:r>
      <w:r w:rsidR="00A7248B" w:rsidRPr="003A67AA">
        <w:rPr>
          <w:rFonts w:cstheme="minorHAnsi"/>
          <w:b/>
          <w:bCs/>
          <w:sz w:val="21"/>
          <w:szCs w:val="21"/>
        </w:rPr>
        <w:t>recommendations 6.2</w:t>
      </w:r>
      <w:r w:rsidR="0015251A" w:rsidRPr="003A67AA">
        <w:rPr>
          <w:rFonts w:cstheme="minorHAnsi"/>
          <w:b/>
          <w:bCs/>
          <w:sz w:val="21"/>
          <w:szCs w:val="21"/>
        </w:rPr>
        <w:t xml:space="preserve">, </w:t>
      </w:r>
      <w:r w:rsidR="00A7248B" w:rsidRPr="003A67AA">
        <w:rPr>
          <w:rFonts w:cstheme="minorHAnsi"/>
          <w:b/>
          <w:bCs/>
          <w:sz w:val="21"/>
          <w:szCs w:val="21"/>
        </w:rPr>
        <w:t>6.3</w:t>
      </w:r>
      <w:r w:rsidR="0015251A" w:rsidRPr="003A67AA">
        <w:rPr>
          <w:rFonts w:cstheme="minorHAnsi"/>
          <w:b/>
          <w:bCs/>
          <w:sz w:val="21"/>
          <w:szCs w:val="21"/>
        </w:rPr>
        <w:t>, 6.4, 6.5 and 6.6</w:t>
      </w:r>
      <w:r w:rsidR="0015251A">
        <w:rPr>
          <w:rFonts w:cstheme="minorHAnsi"/>
          <w:sz w:val="21"/>
          <w:szCs w:val="21"/>
        </w:rPr>
        <w:t>)</w:t>
      </w:r>
      <w:r w:rsidR="00DB7582">
        <w:rPr>
          <w:rFonts w:cstheme="minorHAnsi"/>
          <w:sz w:val="21"/>
          <w:szCs w:val="21"/>
        </w:rPr>
        <w:t>.</w:t>
      </w:r>
      <w:r w:rsidR="009C5C02">
        <w:rPr>
          <w:rFonts w:cstheme="minorHAnsi"/>
          <w:sz w:val="21"/>
          <w:szCs w:val="21"/>
        </w:rPr>
        <w:t xml:space="preserve"> The interaction between families’ activity, total family income, work patterns and </w:t>
      </w:r>
      <w:r w:rsidR="005F7431">
        <w:rPr>
          <w:rFonts w:cstheme="minorHAnsi"/>
          <w:sz w:val="21"/>
          <w:szCs w:val="21"/>
        </w:rPr>
        <w:t xml:space="preserve">ECEC </w:t>
      </w:r>
      <w:r w:rsidR="009C5C02">
        <w:rPr>
          <w:rFonts w:cstheme="minorHAnsi"/>
          <w:sz w:val="21"/>
          <w:szCs w:val="21"/>
        </w:rPr>
        <w:t xml:space="preserve">preferences has been complex for families to manage, </w:t>
      </w:r>
      <w:r w:rsidR="005F7431">
        <w:rPr>
          <w:rFonts w:cstheme="minorHAnsi"/>
          <w:sz w:val="21"/>
          <w:szCs w:val="21"/>
        </w:rPr>
        <w:t>let alone the issue of</w:t>
      </w:r>
      <w:r w:rsidR="009C5C02">
        <w:rPr>
          <w:rFonts w:cstheme="minorHAnsi"/>
          <w:sz w:val="21"/>
          <w:szCs w:val="21"/>
        </w:rPr>
        <w:t xml:space="preserve"> finding</w:t>
      </w:r>
      <w:r w:rsidR="005143EA">
        <w:rPr>
          <w:rFonts w:cstheme="minorHAnsi"/>
          <w:sz w:val="21"/>
          <w:szCs w:val="21"/>
        </w:rPr>
        <w:t xml:space="preserve"> </w:t>
      </w:r>
      <w:r w:rsidR="009C5C02">
        <w:rPr>
          <w:rFonts w:cstheme="minorHAnsi"/>
          <w:sz w:val="21"/>
          <w:szCs w:val="21"/>
        </w:rPr>
        <w:t xml:space="preserve">available </w:t>
      </w:r>
      <w:r w:rsidR="005143EA">
        <w:rPr>
          <w:rFonts w:cstheme="minorHAnsi"/>
          <w:sz w:val="21"/>
          <w:szCs w:val="21"/>
        </w:rPr>
        <w:t xml:space="preserve">and suitable </w:t>
      </w:r>
      <w:r w:rsidR="009C5C02">
        <w:rPr>
          <w:rFonts w:cstheme="minorHAnsi"/>
          <w:sz w:val="21"/>
          <w:szCs w:val="21"/>
        </w:rPr>
        <w:t>ECEC to meet families’ needs.</w:t>
      </w:r>
    </w:p>
    <w:p w14:paraId="5E4F9B78" w14:textId="2F0C4255" w:rsidR="009B04B6" w:rsidRDefault="009B04B6" w:rsidP="00BF2AED">
      <w:pPr>
        <w:spacing w:line="264" w:lineRule="auto"/>
        <w:rPr>
          <w:rFonts w:cstheme="minorHAnsi"/>
          <w:sz w:val="21"/>
          <w:szCs w:val="21"/>
        </w:rPr>
      </w:pPr>
    </w:p>
    <w:p w14:paraId="7FBD265A" w14:textId="77777777" w:rsidR="002B05B9" w:rsidRPr="00F117BD" w:rsidRDefault="002B05B9" w:rsidP="002B05B9">
      <w:pPr>
        <w:spacing w:line="264" w:lineRule="auto"/>
        <w:rPr>
          <w:rFonts w:cstheme="minorHAnsi"/>
          <w:i/>
          <w:iCs/>
          <w:sz w:val="21"/>
          <w:szCs w:val="21"/>
        </w:rPr>
      </w:pPr>
      <w:r w:rsidRPr="00F117BD">
        <w:rPr>
          <w:rFonts w:cstheme="minorHAnsi"/>
          <w:i/>
          <w:iCs/>
          <w:sz w:val="21"/>
          <w:szCs w:val="21"/>
        </w:rPr>
        <w:t xml:space="preserve">ECEC requires more coordination and collaboration between different levels of </w:t>
      </w:r>
      <w:proofErr w:type="gramStart"/>
      <w:r w:rsidRPr="00F117BD">
        <w:rPr>
          <w:rFonts w:cstheme="minorHAnsi"/>
          <w:i/>
          <w:iCs/>
          <w:sz w:val="21"/>
          <w:szCs w:val="21"/>
        </w:rPr>
        <w:t>government</w:t>
      </w:r>
      <w:proofErr w:type="gramEnd"/>
    </w:p>
    <w:p w14:paraId="16754E33" w14:textId="77777777" w:rsidR="002B05B9" w:rsidRDefault="002B05B9" w:rsidP="002B05B9">
      <w:pPr>
        <w:spacing w:line="264" w:lineRule="auto"/>
        <w:rPr>
          <w:rFonts w:cstheme="minorHAnsi"/>
          <w:sz w:val="21"/>
          <w:szCs w:val="21"/>
        </w:rPr>
      </w:pPr>
    </w:p>
    <w:p w14:paraId="5F476D26" w14:textId="424DD0BA" w:rsidR="00301739" w:rsidRDefault="002B05B9" w:rsidP="00E3180F">
      <w:pPr>
        <w:spacing w:line="264" w:lineRule="auto"/>
        <w:rPr>
          <w:rFonts w:cstheme="minorHAnsi"/>
          <w:sz w:val="21"/>
          <w:szCs w:val="21"/>
        </w:rPr>
      </w:pPr>
      <w:r>
        <w:rPr>
          <w:rFonts w:cstheme="minorHAnsi"/>
          <w:sz w:val="21"/>
          <w:szCs w:val="21"/>
        </w:rPr>
        <w:t>W</w:t>
      </w:r>
      <w:r w:rsidR="00E86A70">
        <w:rPr>
          <w:rFonts w:cstheme="minorHAnsi"/>
          <w:sz w:val="21"/>
          <w:szCs w:val="21"/>
        </w:rPr>
        <w:t>hile we</w:t>
      </w:r>
      <w:r>
        <w:rPr>
          <w:rFonts w:cstheme="minorHAnsi"/>
          <w:sz w:val="21"/>
          <w:szCs w:val="21"/>
        </w:rPr>
        <w:t xml:space="preserve"> appreciate the need for greater coordination, </w:t>
      </w:r>
      <w:proofErr w:type="gramStart"/>
      <w:r>
        <w:rPr>
          <w:rFonts w:cstheme="minorHAnsi"/>
          <w:sz w:val="21"/>
          <w:szCs w:val="21"/>
        </w:rPr>
        <w:t>collaboration</w:t>
      </w:r>
      <w:proofErr w:type="gramEnd"/>
      <w:r>
        <w:rPr>
          <w:rFonts w:cstheme="minorHAnsi"/>
          <w:sz w:val="21"/>
          <w:szCs w:val="21"/>
        </w:rPr>
        <w:t xml:space="preserve"> and stewardship by all levels of government </w:t>
      </w:r>
      <w:r w:rsidR="00E86A70">
        <w:rPr>
          <w:rFonts w:cstheme="minorHAnsi"/>
          <w:sz w:val="21"/>
          <w:szCs w:val="21"/>
        </w:rPr>
        <w:t>on matters related</w:t>
      </w:r>
      <w:r>
        <w:rPr>
          <w:rFonts w:cstheme="minorHAnsi"/>
          <w:sz w:val="21"/>
          <w:szCs w:val="21"/>
        </w:rPr>
        <w:t xml:space="preserve"> the ECEC sector</w:t>
      </w:r>
      <w:r w:rsidR="00E86A70">
        <w:rPr>
          <w:rFonts w:cstheme="minorHAnsi"/>
          <w:sz w:val="21"/>
          <w:szCs w:val="21"/>
        </w:rPr>
        <w:t>, we</w:t>
      </w:r>
      <w:r>
        <w:rPr>
          <w:rFonts w:cstheme="minorHAnsi"/>
          <w:sz w:val="21"/>
          <w:szCs w:val="21"/>
        </w:rPr>
        <w:t xml:space="preserve"> are not convinced this would be achieved through the establishment of a proposed ECEC Commission</w:t>
      </w:r>
      <w:r w:rsidR="00E86A70">
        <w:rPr>
          <w:rFonts w:cstheme="minorHAnsi"/>
          <w:sz w:val="21"/>
          <w:szCs w:val="21"/>
        </w:rPr>
        <w:t xml:space="preserve"> (</w:t>
      </w:r>
      <w:r w:rsidR="00E50476">
        <w:rPr>
          <w:rFonts w:cstheme="minorHAnsi"/>
          <w:b/>
          <w:bCs/>
          <w:sz w:val="21"/>
          <w:szCs w:val="21"/>
        </w:rPr>
        <w:t>r</w:t>
      </w:r>
      <w:r w:rsidR="00E86A70" w:rsidRPr="00E50476">
        <w:rPr>
          <w:rFonts w:cstheme="minorHAnsi"/>
          <w:b/>
          <w:bCs/>
          <w:sz w:val="21"/>
          <w:szCs w:val="21"/>
        </w:rPr>
        <w:t xml:space="preserve">ecommendation </w:t>
      </w:r>
      <w:r w:rsidR="00FB27D9" w:rsidRPr="00E50476">
        <w:rPr>
          <w:rFonts w:cstheme="minorHAnsi"/>
          <w:b/>
          <w:bCs/>
          <w:sz w:val="21"/>
          <w:szCs w:val="21"/>
        </w:rPr>
        <w:t>9.2</w:t>
      </w:r>
      <w:r w:rsidR="00E86A70">
        <w:rPr>
          <w:rFonts w:cstheme="minorHAnsi"/>
          <w:sz w:val="21"/>
          <w:szCs w:val="21"/>
        </w:rPr>
        <w:t>)</w:t>
      </w:r>
      <w:r>
        <w:rPr>
          <w:rFonts w:cstheme="minorHAnsi"/>
          <w:sz w:val="21"/>
          <w:szCs w:val="21"/>
        </w:rPr>
        <w:t xml:space="preserve">. </w:t>
      </w:r>
      <w:r w:rsidR="00E3180F">
        <w:rPr>
          <w:rFonts w:cstheme="minorHAnsi"/>
          <w:sz w:val="21"/>
          <w:szCs w:val="21"/>
        </w:rPr>
        <w:t>We feel that the funding which would be needed to staff and manage an ECEC Commission could be used more appropriate</w:t>
      </w:r>
      <w:r w:rsidR="008D413B">
        <w:rPr>
          <w:rFonts w:cstheme="minorHAnsi"/>
          <w:sz w:val="21"/>
          <w:szCs w:val="21"/>
        </w:rPr>
        <w:t xml:space="preserve">ly </w:t>
      </w:r>
      <w:r w:rsidR="00E3180F">
        <w:rPr>
          <w:rFonts w:cstheme="minorHAnsi"/>
          <w:sz w:val="21"/>
          <w:szCs w:val="21"/>
        </w:rPr>
        <w:t xml:space="preserve">to improve current coordination and oversight mechanisms between </w:t>
      </w:r>
      <w:r>
        <w:rPr>
          <w:rFonts w:cstheme="minorHAnsi"/>
          <w:sz w:val="21"/>
          <w:szCs w:val="21"/>
        </w:rPr>
        <w:t xml:space="preserve">state and territory regulatory authorities in the states and the Australian Children’s Education and Care Quality Authority (ACECQA), as well as an enhanced role for early childhood costs and price monitoring through the </w:t>
      </w:r>
      <w:r w:rsidR="008D413B">
        <w:rPr>
          <w:rFonts w:cstheme="minorHAnsi"/>
          <w:sz w:val="21"/>
          <w:szCs w:val="21"/>
        </w:rPr>
        <w:t>Australian Competition and Consumer Commission (</w:t>
      </w:r>
      <w:r>
        <w:rPr>
          <w:rFonts w:cstheme="minorHAnsi"/>
          <w:sz w:val="21"/>
          <w:szCs w:val="21"/>
        </w:rPr>
        <w:t>ACCC</w:t>
      </w:r>
      <w:r w:rsidR="008D413B">
        <w:rPr>
          <w:rFonts w:cstheme="minorHAnsi"/>
          <w:sz w:val="21"/>
          <w:szCs w:val="21"/>
        </w:rPr>
        <w:t>)</w:t>
      </w:r>
      <w:r>
        <w:rPr>
          <w:rFonts w:cstheme="minorHAnsi"/>
          <w:sz w:val="21"/>
          <w:szCs w:val="21"/>
        </w:rPr>
        <w:t xml:space="preserve"> and performance monitoring through inter-governmental Ministerial Council standing committees, together could improve stewardship, oversight of quality, regulation and price monitoring within the sector. </w:t>
      </w:r>
      <w:proofErr w:type="gramStart"/>
      <w:r w:rsidR="00301739">
        <w:rPr>
          <w:rFonts w:cstheme="minorHAnsi"/>
          <w:sz w:val="21"/>
          <w:szCs w:val="21"/>
        </w:rPr>
        <w:t>With regard to</w:t>
      </w:r>
      <w:proofErr w:type="gramEnd"/>
      <w:r w:rsidR="00301739">
        <w:rPr>
          <w:rFonts w:cstheme="minorHAnsi"/>
          <w:sz w:val="21"/>
          <w:szCs w:val="21"/>
        </w:rPr>
        <w:t xml:space="preserve"> stewardship of research on ECEC, the Australian Education Research Organisation (AERO) could continue to play a role supporting the ACECQA and Ministerial Council standing committees. </w:t>
      </w:r>
    </w:p>
    <w:p w14:paraId="432B3DD5" w14:textId="6CEFED51" w:rsidR="00A676A3" w:rsidRDefault="00A676A3" w:rsidP="002B05B9">
      <w:pPr>
        <w:spacing w:line="264" w:lineRule="auto"/>
        <w:rPr>
          <w:rFonts w:cstheme="minorHAnsi"/>
          <w:sz w:val="21"/>
          <w:szCs w:val="21"/>
        </w:rPr>
      </w:pPr>
    </w:p>
    <w:p w14:paraId="4B702D91" w14:textId="717D6B8F" w:rsidR="00A676A3" w:rsidRDefault="00A676A3" w:rsidP="00A676A3">
      <w:pPr>
        <w:spacing w:line="264" w:lineRule="auto"/>
        <w:rPr>
          <w:rFonts w:cstheme="minorHAnsi"/>
          <w:sz w:val="21"/>
          <w:szCs w:val="21"/>
        </w:rPr>
      </w:pPr>
      <w:r w:rsidRPr="00A676A3">
        <w:rPr>
          <w:rFonts w:cstheme="minorHAnsi"/>
          <w:sz w:val="21"/>
          <w:szCs w:val="21"/>
        </w:rPr>
        <w:t xml:space="preserve">If the mixed-market system (for profit, not-for-profit providers, </w:t>
      </w:r>
      <w:proofErr w:type="gramStart"/>
      <w:r w:rsidRPr="00A676A3">
        <w:rPr>
          <w:rFonts w:cstheme="minorHAnsi"/>
          <w:sz w:val="21"/>
          <w:szCs w:val="21"/>
        </w:rPr>
        <w:t>community</w:t>
      </w:r>
      <w:proofErr w:type="gramEnd"/>
      <w:r w:rsidRPr="00A676A3">
        <w:rPr>
          <w:rFonts w:cstheme="minorHAnsi"/>
          <w:sz w:val="21"/>
          <w:szCs w:val="21"/>
        </w:rPr>
        <w:t xml:space="preserve"> and government providers) is </w:t>
      </w:r>
      <w:r w:rsidR="00FB27D9">
        <w:rPr>
          <w:rFonts w:cstheme="minorHAnsi"/>
          <w:sz w:val="21"/>
          <w:szCs w:val="21"/>
        </w:rPr>
        <w:t>‘here to stay’</w:t>
      </w:r>
      <w:r w:rsidRPr="00A676A3">
        <w:rPr>
          <w:rFonts w:cstheme="minorHAnsi"/>
          <w:sz w:val="21"/>
          <w:szCs w:val="21"/>
        </w:rPr>
        <w:t xml:space="preserve">, </w:t>
      </w:r>
      <w:r>
        <w:rPr>
          <w:rFonts w:cstheme="minorHAnsi"/>
          <w:sz w:val="21"/>
          <w:szCs w:val="21"/>
        </w:rPr>
        <w:t xml:space="preserve">the </w:t>
      </w:r>
      <w:r w:rsidRPr="00A676A3">
        <w:rPr>
          <w:rFonts w:cstheme="minorHAnsi"/>
          <w:sz w:val="21"/>
          <w:szCs w:val="21"/>
        </w:rPr>
        <w:t xml:space="preserve">Australian Government, state and territory and local governments need to intervene more in planning, monitoring and regulation of the sector – for example, via </w:t>
      </w:r>
      <w:r w:rsidR="00FB27D9">
        <w:rPr>
          <w:rFonts w:cstheme="minorHAnsi"/>
          <w:sz w:val="21"/>
          <w:szCs w:val="21"/>
        </w:rPr>
        <w:t xml:space="preserve">review of </w:t>
      </w:r>
      <w:r w:rsidRPr="00A676A3">
        <w:rPr>
          <w:rFonts w:cstheme="minorHAnsi"/>
          <w:sz w:val="21"/>
          <w:szCs w:val="21"/>
        </w:rPr>
        <w:t>provider and service approval</w:t>
      </w:r>
      <w:r w:rsidR="00E3180F">
        <w:rPr>
          <w:rFonts w:cstheme="minorHAnsi"/>
          <w:sz w:val="21"/>
          <w:szCs w:val="21"/>
        </w:rPr>
        <w:t xml:space="preserve"> processes</w:t>
      </w:r>
      <w:r w:rsidRPr="00A676A3">
        <w:rPr>
          <w:rFonts w:cstheme="minorHAnsi"/>
          <w:sz w:val="21"/>
          <w:szCs w:val="21"/>
        </w:rPr>
        <w:t xml:space="preserve">, building approvals, allocation of real estate, leases and rental regulation. This would help ensure that there is not oversupply of </w:t>
      </w:r>
      <w:proofErr w:type="gramStart"/>
      <w:r w:rsidRPr="00A676A3">
        <w:rPr>
          <w:rFonts w:cstheme="minorHAnsi"/>
          <w:sz w:val="21"/>
          <w:szCs w:val="21"/>
        </w:rPr>
        <w:t>child care</w:t>
      </w:r>
      <w:proofErr w:type="gramEnd"/>
      <w:r w:rsidRPr="00A676A3">
        <w:rPr>
          <w:rFonts w:cstheme="minorHAnsi"/>
          <w:sz w:val="21"/>
          <w:szCs w:val="21"/>
        </w:rPr>
        <w:t xml:space="preserve"> in profitable areas and under (or no) supply in other areas where families badly need access to ECEC. </w:t>
      </w:r>
      <w:r w:rsidR="00FB27D9">
        <w:rPr>
          <w:rFonts w:cstheme="minorHAnsi"/>
          <w:sz w:val="21"/>
          <w:szCs w:val="21"/>
        </w:rPr>
        <w:t xml:space="preserve">A </w:t>
      </w:r>
      <w:r w:rsidR="00E3180F">
        <w:rPr>
          <w:rFonts w:cstheme="minorHAnsi"/>
          <w:sz w:val="21"/>
          <w:szCs w:val="21"/>
        </w:rPr>
        <w:t>better way</w:t>
      </w:r>
      <w:r w:rsidR="00FB27D9">
        <w:rPr>
          <w:rFonts w:cstheme="minorHAnsi"/>
          <w:sz w:val="21"/>
          <w:szCs w:val="21"/>
        </w:rPr>
        <w:t xml:space="preserve"> </w:t>
      </w:r>
      <w:r w:rsidR="00E3180F">
        <w:rPr>
          <w:rFonts w:cstheme="minorHAnsi"/>
          <w:sz w:val="21"/>
          <w:szCs w:val="21"/>
        </w:rPr>
        <w:t>to</w:t>
      </w:r>
      <w:r w:rsidR="00FB27D9">
        <w:rPr>
          <w:rFonts w:cstheme="minorHAnsi"/>
          <w:sz w:val="21"/>
          <w:szCs w:val="21"/>
        </w:rPr>
        <w:t xml:space="preserve"> monitor demand for ECEC </w:t>
      </w:r>
      <w:r w:rsidR="00E3180F">
        <w:rPr>
          <w:rFonts w:cstheme="minorHAnsi"/>
          <w:sz w:val="21"/>
          <w:szCs w:val="21"/>
        </w:rPr>
        <w:t xml:space="preserve">also </w:t>
      </w:r>
      <w:r w:rsidR="00FB27D9">
        <w:rPr>
          <w:rFonts w:cstheme="minorHAnsi"/>
          <w:sz w:val="21"/>
          <w:szCs w:val="21"/>
        </w:rPr>
        <w:t xml:space="preserve">needs to be developed as listing of vacancies is not a reliable indication of </w:t>
      </w:r>
      <w:r w:rsidR="00E3180F">
        <w:rPr>
          <w:rFonts w:cstheme="minorHAnsi"/>
          <w:sz w:val="21"/>
          <w:szCs w:val="21"/>
        </w:rPr>
        <w:t xml:space="preserve">supply, let alone </w:t>
      </w:r>
      <w:r w:rsidR="00FB27D9">
        <w:rPr>
          <w:rFonts w:cstheme="minorHAnsi"/>
          <w:sz w:val="21"/>
          <w:szCs w:val="21"/>
        </w:rPr>
        <w:t>demand.</w:t>
      </w:r>
    </w:p>
    <w:p w14:paraId="6787F869" w14:textId="77777777" w:rsidR="00A676A3" w:rsidRDefault="00A676A3" w:rsidP="002B05B9">
      <w:pPr>
        <w:spacing w:line="264" w:lineRule="auto"/>
        <w:rPr>
          <w:rFonts w:cstheme="minorHAnsi"/>
          <w:sz w:val="21"/>
          <w:szCs w:val="21"/>
        </w:rPr>
      </w:pPr>
    </w:p>
    <w:p w14:paraId="4C32B72A" w14:textId="6EDFF6A7" w:rsidR="00A676A3" w:rsidRPr="00A676A3" w:rsidRDefault="00A676A3" w:rsidP="002B05B9">
      <w:pPr>
        <w:spacing w:line="264" w:lineRule="auto"/>
        <w:rPr>
          <w:rFonts w:cstheme="minorHAnsi"/>
          <w:i/>
          <w:iCs/>
          <w:sz w:val="21"/>
          <w:szCs w:val="21"/>
        </w:rPr>
      </w:pPr>
      <w:r w:rsidRPr="00A676A3">
        <w:rPr>
          <w:rFonts w:cstheme="minorHAnsi"/>
          <w:i/>
          <w:iCs/>
          <w:sz w:val="21"/>
          <w:szCs w:val="21"/>
        </w:rPr>
        <w:t>Final points</w:t>
      </w:r>
    </w:p>
    <w:p w14:paraId="117B8B31" w14:textId="77777777" w:rsidR="002B05B9" w:rsidRDefault="002B05B9" w:rsidP="0071546C">
      <w:pPr>
        <w:spacing w:line="264" w:lineRule="auto"/>
        <w:rPr>
          <w:rFonts w:cstheme="minorHAnsi"/>
          <w:sz w:val="21"/>
          <w:szCs w:val="21"/>
        </w:rPr>
      </w:pPr>
    </w:p>
    <w:p w14:paraId="7707299A" w14:textId="1B1D7A1E" w:rsidR="009B1739" w:rsidRPr="00FB27D9" w:rsidRDefault="00054C46" w:rsidP="00FB27D9">
      <w:pPr>
        <w:spacing w:line="264" w:lineRule="auto"/>
        <w:rPr>
          <w:rFonts w:cstheme="minorHAnsi"/>
          <w:sz w:val="21"/>
          <w:szCs w:val="21"/>
        </w:rPr>
      </w:pPr>
      <w:r>
        <w:rPr>
          <w:rFonts w:cstheme="minorHAnsi"/>
          <w:sz w:val="21"/>
          <w:szCs w:val="21"/>
        </w:rPr>
        <w:t>NFAW’s</w:t>
      </w:r>
      <w:r w:rsidR="00FB27D9">
        <w:rPr>
          <w:rFonts w:cstheme="minorHAnsi"/>
          <w:sz w:val="21"/>
          <w:szCs w:val="21"/>
        </w:rPr>
        <w:t xml:space="preserve"> comments above in relation to Productivity Commission’s recommendations are in addition to those made in </w:t>
      </w:r>
      <w:r>
        <w:rPr>
          <w:rFonts w:cstheme="minorHAnsi"/>
          <w:sz w:val="21"/>
          <w:szCs w:val="21"/>
        </w:rPr>
        <w:t>our</w:t>
      </w:r>
      <w:r w:rsidR="00FB27D9">
        <w:rPr>
          <w:rFonts w:cstheme="minorHAnsi"/>
          <w:sz w:val="21"/>
          <w:szCs w:val="21"/>
        </w:rPr>
        <w:t xml:space="preserve"> initial Productivity Commission submission in April 2023 (submission 10 on the Commission’s </w:t>
      </w:r>
      <w:hyperlink r:id="rId20" w:history="1">
        <w:r w:rsidR="00FB27D9" w:rsidRPr="00536E6C">
          <w:rPr>
            <w:rStyle w:val="Hyperlink"/>
            <w:rFonts w:cstheme="minorHAnsi"/>
            <w:sz w:val="21"/>
            <w:szCs w:val="21"/>
          </w:rPr>
          <w:t>website</w:t>
        </w:r>
      </w:hyperlink>
      <w:r w:rsidR="00FB27D9">
        <w:rPr>
          <w:rFonts w:cstheme="minorHAnsi"/>
          <w:sz w:val="21"/>
          <w:szCs w:val="21"/>
        </w:rPr>
        <w:t xml:space="preserve">). </w:t>
      </w:r>
      <w:r w:rsidR="00A676A3" w:rsidRPr="00154D08">
        <w:rPr>
          <w:rFonts w:cstheme="minorHAnsi"/>
          <w:b/>
          <w:bCs/>
          <w:sz w:val="21"/>
          <w:szCs w:val="21"/>
        </w:rPr>
        <w:t xml:space="preserve">In summary, we are concerned that the complexity of Australia’s ECEC system, persistent workforce shortages, lack of affordability and </w:t>
      </w:r>
      <w:r w:rsidR="00A676A3">
        <w:rPr>
          <w:rFonts w:cstheme="minorHAnsi"/>
          <w:b/>
          <w:bCs/>
          <w:sz w:val="21"/>
          <w:szCs w:val="21"/>
        </w:rPr>
        <w:t>availability</w:t>
      </w:r>
      <w:r w:rsidR="00A676A3" w:rsidRPr="00154D08">
        <w:rPr>
          <w:rFonts w:cstheme="minorHAnsi"/>
          <w:b/>
          <w:bCs/>
          <w:sz w:val="21"/>
          <w:szCs w:val="21"/>
        </w:rPr>
        <w:t xml:space="preserve"> </w:t>
      </w:r>
      <w:r w:rsidR="00A676A3">
        <w:rPr>
          <w:rFonts w:cstheme="minorHAnsi"/>
          <w:b/>
          <w:bCs/>
          <w:sz w:val="21"/>
          <w:szCs w:val="21"/>
        </w:rPr>
        <w:t>of</w:t>
      </w:r>
      <w:r w:rsidR="00A676A3" w:rsidRPr="00154D08">
        <w:rPr>
          <w:rFonts w:cstheme="minorHAnsi"/>
          <w:b/>
          <w:bCs/>
          <w:sz w:val="21"/>
          <w:szCs w:val="21"/>
        </w:rPr>
        <w:t xml:space="preserve"> ECEC places are key barriers and disincentives for women’s workforce participation and human capital development.</w:t>
      </w:r>
      <w:r w:rsidR="00A676A3">
        <w:rPr>
          <w:rFonts w:cstheme="minorHAnsi"/>
          <w:b/>
          <w:bCs/>
          <w:sz w:val="21"/>
          <w:szCs w:val="21"/>
        </w:rPr>
        <w:t xml:space="preserve"> </w:t>
      </w:r>
    </w:p>
    <w:p w14:paraId="40B0B932" w14:textId="77777777" w:rsidR="000F7DD8" w:rsidRDefault="000F7DD8" w:rsidP="0071546C">
      <w:pPr>
        <w:spacing w:line="264" w:lineRule="auto"/>
        <w:rPr>
          <w:rFonts w:cstheme="minorHAnsi"/>
          <w:sz w:val="21"/>
          <w:szCs w:val="21"/>
        </w:rPr>
      </w:pPr>
    </w:p>
    <w:p w14:paraId="7ABEEE15" w14:textId="14E2FC96" w:rsidR="007469A4" w:rsidRPr="00154D08" w:rsidRDefault="009B1739" w:rsidP="009B1739">
      <w:pPr>
        <w:spacing w:line="264" w:lineRule="auto"/>
        <w:rPr>
          <w:rFonts w:cstheme="minorHAnsi"/>
          <w:sz w:val="21"/>
          <w:szCs w:val="21"/>
        </w:rPr>
      </w:pPr>
      <w:r>
        <w:rPr>
          <w:rFonts w:cstheme="minorHAnsi"/>
          <w:sz w:val="21"/>
          <w:szCs w:val="21"/>
        </w:rPr>
        <w:t>T</w:t>
      </w:r>
      <w:r w:rsidR="007469A4">
        <w:rPr>
          <w:rFonts w:cstheme="minorHAnsi"/>
          <w:sz w:val="21"/>
          <w:szCs w:val="21"/>
        </w:rPr>
        <w:t xml:space="preserve">he NFAW commends the Productivity Commission on its comprehensive draft report. Five years on from the introduction of the Australian Government’s </w:t>
      </w:r>
      <w:r w:rsidR="007469A4">
        <w:rPr>
          <w:rFonts w:cstheme="minorHAnsi"/>
          <w:i/>
          <w:iCs/>
          <w:sz w:val="21"/>
          <w:szCs w:val="21"/>
        </w:rPr>
        <w:t xml:space="preserve">Child Care Package </w:t>
      </w:r>
      <w:r w:rsidR="007469A4">
        <w:rPr>
          <w:rFonts w:cstheme="minorHAnsi"/>
          <w:sz w:val="21"/>
          <w:szCs w:val="21"/>
        </w:rPr>
        <w:t>in July 2018</w:t>
      </w:r>
      <w:r>
        <w:rPr>
          <w:rFonts w:cstheme="minorHAnsi"/>
          <w:sz w:val="21"/>
          <w:szCs w:val="21"/>
        </w:rPr>
        <w:t xml:space="preserve"> (the last major set of changes to ECEC funding)</w:t>
      </w:r>
      <w:r w:rsidR="007469A4">
        <w:rPr>
          <w:rFonts w:cstheme="minorHAnsi"/>
          <w:sz w:val="21"/>
          <w:szCs w:val="21"/>
        </w:rPr>
        <w:t xml:space="preserve">, it is timely that the report has addressed key issues affecting the child care sector and families: </w:t>
      </w:r>
      <w:r w:rsidR="00054C46">
        <w:rPr>
          <w:rFonts w:cstheme="minorHAnsi"/>
          <w:sz w:val="21"/>
          <w:szCs w:val="21"/>
        </w:rPr>
        <w:t xml:space="preserve">how </w:t>
      </w:r>
      <w:r>
        <w:rPr>
          <w:rFonts w:cstheme="minorHAnsi"/>
          <w:sz w:val="21"/>
          <w:szCs w:val="21"/>
        </w:rPr>
        <w:t xml:space="preserve">key Child Care Package policy </w:t>
      </w:r>
      <w:r w:rsidR="00054C46">
        <w:rPr>
          <w:rFonts w:cstheme="minorHAnsi"/>
          <w:sz w:val="21"/>
          <w:szCs w:val="21"/>
        </w:rPr>
        <w:t>settings</w:t>
      </w:r>
      <w:r>
        <w:rPr>
          <w:rFonts w:cstheme="minorHAnsi"/>
          <w:sz w:val="21"/>
          <w:szCs w:val="21"/>
        </w:rPr>
        <w:t xml:space="preserve"> </w:t>
      </w:r>
      <w:r w:rsidR="00054C46">
        <w:rPr>
          <w:rFonts w:cstheme="minorHAnsi"/>
          <w:sz w:val="21"/>
          <w:szCs w:val="21"/>
        </w:rPr>
        <w:t xml:space="preserve">are working </w:t>
      </w:r>
      <w:r>
        <w:rPr>
          <w:rFonts w:cstheme="minorHAnsi"/>
          <w:sz w:val="21"/>
          <w:szCs w:val="21"/>
        </w:rPr>
        <w:t>(activity test, hourly fee caps</w:t>
      </w:r>
      <w:r w:rsidR="00054C46">
        <w:rPr>
          <w:rFonts w:cstheme="minorHAnsi"/>
          <w:sz w:val="21"/>
          <w:szCs w:val="21"/>
        </w:rPr>
        <w:t>)</w:t>
      </w:r>
      <w:r w:rsidR="00F117BD">
        <w:rPr>
          <w:rFonts w:cstheme="minorHAnsi"/>
          <w:sz w:val="21"/>
          <w:szCs w:val="21"/>
        </w:rPr>
        <w:t xml:space="preserve">, </w:t>
      </w:r>
      <w:r w:rsidR="007469A4">
        <w:rPr>
          <w:rFonts w:cstheme="minorHAnsi"/>
          <w:sz w:val="21"/>
          <w:szCs w:val="21"/>
        </w:rPr>
        <w:t>workforce shortages</w:t>
      </w:r>
      <w:r w:rsidR="00054C46">
        <w:rPr>
          <w:rFonts w:cstheme="minorHAnsi"/>
          <w:sz w:val="21"/>
          <w:szCs w:val="21"/>
        </w:rPr>
        <w:t xml:space="preserve"> and pressing issues related to the </w:t>
      </w:r>
      <w:r w:rsidR="007469A4">
        <w:rPr>
          <w:rFonts w:cstheme="minorHAnsi"/>
          <w:sz w:val="21"/>
          <w:szCs w:val="21"/>
        </w:rPr>
        <w:t xml:space="preserve">inclusivity, affordability and availability of ECEC. We have also reviewed the ACCC’s </w:t>
      </w:r>
      <w:r w:rsidR="00F117BD">
        <w:rPr>
          <w:rFonts w:cstheme="minorHAnsi"/>
          <w:sz w:val="21"/>
          <w:szCs w:val="21"/>
        </w:rPr>
        <w:t xml:space="preserve">final </w:t>
      </w:r>
      <w:r w:rsidR="007469A4">
        <w:rPr>
          <w:rFonts w:cstheme="minorHAnsi"/>
          <w:sz w:val="21"/>
          <w:szCs w:val="21"/>
        </w:rPr>
        <w:t>report on</w:t>
      </w:r>
      <w:r w:rsidR="0018382E">
        <w:rPr>
          <w:rFonts w:cstheme="minorHAnsi"/>
          <w:sz w:val="21"/>
          <w:szCs w:val="21"/>
        </w:rPr>
        <w:t xml:space="preserve"> its</w:t>
      </w:r>
      <w:r w:rsidR="007469A4">
        <w:rPr>
          <w:rFonts w:cstheme="minorHAnsi"/>
          <w:sz w:val="21"/>
          <w:szCs w:val="21"/>
        </w:rPr>
        <w:t xml:space="preserve"> </w:t>
      </w:r>
      <w:hyperlink r:id="rId21" w:history="1">
        <w:r w:rsidR="007469A4" w:rsidRPr="009B1739">
          <w:rPr>
            <w:rStyle w:val="Hyperlink"/>
            <w:rFonts w:cstheme="minorHAnsi"/>
            <w:i/>
            <w:iCs/>
            <w:sz w:val="21"/>
            <w:szCs w:val="21"/>
          </w:rPr>
          <w:t>Childcare Inquiry</w:t>
        </w:r>
      </w:hyperlink>
      <w:r w:rsidR="007469A4">
        <w:rPr>
          <w:rFonts w:cstheme="minorHAnsi"/>
          <w:sz w:val="21"/>
          <w:szCs w:val="21"/>
        </w:rPr>
        <w:t xml:space="preserve"> and note that there are intersections and overlaps between the ACCC report and the Productivity Commission report that need to be carefully considered and integrated </w:t>
      </w:r>
      <w:r w:rsidR="00F117BD">
        <w:rPr>
          <w:rFonts w:cstheme="minorHAnsi"/>
          <w:sz w:val="21"/>
          <w:szCs w:val="21"/>
        </w:rPr>
        <w:t>as</w:t>
      </w:r>
      <w:r>
        <w:rPr>
          <w:rFonts w:cstheme="minorHAnsi"/>
          <w:sz w:val="21"/>
          <w:szCs w:val="21"/>
        </w:rPr>
        <w:t xml:space="preserve"> consolidated</w:t>
      </w:r>
      <w:r w:rsidR="007469A4">
        <w:rPr>
          <w:rFonts w:cstheme="minorHAnsi"/>
          <w:sz w:val="21"/>
          <w:szCs w:val="21"/>
        </w:rPr>
        <w:t xml:space="preserve"> advice to government(s). </w:t>
      </w:r>
      <w:r w:rsidR="0018382E">
        <w:rPr>
          <w:sz w:val="21"/>
          <w:szCs w:val="21"/>
        </w:rPr>
        <w:t>T</w:t>
      </w:r>
      <w:r w:rsidR="007469A4">
        <w:rPr>
          <w:rFonts w:cstheme="minorHAnsi"/>
          <w:sz w:val="21"/>
          <w:szCs w:val="21"/>
        </w:rPr>
        <w:t>he two reports provide a thorough analysis of key issues</w:t>
      </w:r>
      <w:r w:rsidR="005817C2">
        <w:rPr>
          <w:rFonts w:cstheme="minorHAnsi"/>
          <w:sz w:val="21"/>
          <w:szCs w:val="21"/>
        </w:rPr>
        <w:t xml:space="preserve"> for</w:t>
      </w:r>
      <w:r w:rsidR="007469A4">
        <w:rPr>
          <w:rFonts w:cstheme="minorHAnsi"/>
          <w:sz w:val="21"/>
          <w:szCs w:val="21"/>
        </w:rPr>
        <w:t xml:space="preserve"> </w:t>
      </w:r>
      <w:r w:rsidR="00F117BD">
        <w:rPr>
          <w:rFonts w:cstheme="minorHAnsi"/>
          <w:sz w:val="21"/>
          <w:szCs w:val="21"/>
        </w:rPr>
        <w:t>G</w:t>
      </w:r>
      <w:r w:rsidR="007469A4">
        <w:rPr>
          <w:rFonts w:cstheme="minorHAnsi"/>
          <w:sz w:val="21"/>
          <w:szCs w:val="21"/>
        </w:rPr>
        <w:t xml:space="preserve">overnment </w:t>
      </w:r>
      <w:r w:rsidR="005817C2">
        <w:rPr>
          <w:rFonts w:cstheme="minorHAnsi"/>
          <w:sz w:val="21"/>
          <w:szCs w:val="21"/>
        </w:rPr>
        <w:t>to</w:t>
      </w:r>
      <w:r w:rsidR="007469A4">
        <w:rPr>
          <w:rFonts w:cstheme="minorHAnsi"/>
          <w:sz w:val="21"/>
          <w:szCs w:val="21"/>
        </w:rPr>
        <w:t xml:space="preserve"> consider and respond to</w:t>
      </w:r>
      <w:r w:rsidR="005817C2">
        <w:rPr>
          <w:rFonts w:cstheme="minorHAnsi"/>
          <w:sz w:val="21"/>
          <w:szCs w:val="21"/>
        </w:rPr>
        <w:t xml:space="preserve"> as </w:t>
      </w:r>
      <w:r>
        <w:rPr>
          <w:rFonts w:cstheme="minorHAnsi"/>
          <w:sz w:val="21"/>
          <w:szCs w:val="21"/>
        </w:rPr>
        <w:t>a priority</w:t>
      </w:r>
      <w:r w:rsidR="007469A4">
        <w:rPr>
          <w:rFonts w:cstheme="minorHAnsi"/>
          <w:sz w:val="21"/>
          <w:szCs w:val="21"/>
        </w:rPr>
        <w:t xml:space="preserve">. </w:t>
      </w:r>
    </w:p>
    <w:sectPr w:rsidR="007469A4" w:rsidRPr="00154D08">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3DDC" w14:textId="77777777" w:rsidR="005F5A00" w:rsidRDefault="005F5A00" w:rsidP="00CE118E">
      <w:r>
        <w:separator/>
      </w:r>
    </w:p>
  </w:endnote>
  <w:endnote w:type="continuationSeparator" w:id="0">
    <w:p w14:paraId="623A90D0" w14:textId="77777777" w:rsidR="005F5A00" w:rsidRDefault="005F5A00" w:rsidP="00CE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1031992"/>
      <w:docPartObj>
        <w:docPartGallery w:val="Page Numbers (Bottom of Page)"/>
        <w:docPartUnique/>
      </w:docPartObj>
    </w:sdtPr>
    <w:sdtEndPr>
      <w:rPr>
        <w:rStyle w:val="PageNumber"/>
      </w:rPr>
    </w:sdtEndPr>
    <w:sdtContent>
      <w:p w14:paraId="0E345156" w14:textId="743CB6AA" w:rsidR="00462E7B" w:rsidRDefault="00462E7B" w:rsidP="007634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3D663" w14:textId="77777777" w:rsidR="00462E7B" w:rsidRDefault="00462E7B" w:rsidP="00462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2823697"/>
      <w:docPartObj>
        <w:docPartGallery w:val="Page Numbers (Bottom of Page)"/>
        <w:docPartUnique/>
      </w:docPartObj>
    </w:sdtPr>
    <w:sdtEndPr>
      <w:rPr>
        <w:rStyle w:val="PageNumber"/>
        <w:sz w:val="21"/>
        <w:szCs w:val="21"/>
      </w:rPr>
    </w:sdtEndPr>
    <w:sdtContent>
      <w:p w14:paraId="6B204F17" w14:textId="258E247C" w:rsidR="00462E7B" w:rsidRPr="00576CEA" w:rsidRDefault="00462E7B" w:rsidP="0076340E">
        <w:pPr>
          <w:pStyle w:val="Footer"/>
          <w:framePr w:wrap="none" w:vAnchor="text" w:hAnchor="margin" w:xAlign="right" w:y="1"/>
          <w:rPr>
            <w:rStyle w:val="PageNumber"/>
            <w:sz w:val="21"/>
            <w:szCs w:val="21"/>
          </w:rPr>
        </w:pPr>
        <w:r w:rsidRPr="00576CEA">
          <w:rPr>
            <w:rStyle w:val="PageNumber"/>
            <w:sz w:val="21"/>
            <w:szCs w:val="21"/>
          </w:rPr>
          <w:fldChar w:fldCharType="begin"/>
        </w:r>
        <w:r w:rsidRPr="00576CEA">
          <w:rPr>
            <w:rStyle w:val="PageNumber"/>
            <w:sz w:val="21"/>
            <w:szCs w:val="21"/>
          </w:rPr>
          <w:instrText xml:space="preserve"> PAGE </w:instrText>
        </w:r>
        <w:r w:rsidRPr="00576CEA">
          <w:rPr>
            <w:rStyle w:val="PageNumber"/>
            <w:sz w:val="21"/>
            <w:szCs w:val="21"/>
          </w:rPr>
          <w:fldChar w:fldCharType="separate"/>
        </w:r>
        <w:r w:rsidRPr="00576CEA">
          <w:rPr>
            <w:rStyle w:val="PageNumber"/>
            <w:noProof/>
            <w:sz w:val="21"/>
            <w:szCs w:val="21"/>
          </w:rPr>
          <w:t>1</w:t>
        </w:r>
        <w:r w:rsidRPr="00576CEA">
          <w:rPr>
            <w:rStyle w:val="PageNumber"/>
            <w:sz w:val="21"/>
            <w:szCs w:val="21"/>
          </w:rPr>
          <w:fldChar w:fldCharType="end"/>
        </w:r>
      </w:p>
    </w:sdtContent>
  </w:sdt>
  <w:p w14:paraId="76A9CCBC" w14:textId="77777777" w:rsidR="00462E7B" w:rsidRPr="00576CEA" w:rsidRDefault="00462E7B" w:rsidP="00462E7B">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FD5A" w14:textId="77777777" w:rsidR="005F5A00" w:rsidRDefault="005F5A00" w:rsidP="00CE118E">
      <w:r>
        <w:separator/>
      </w:r>
    </w:p>
  </w:footnote>
  <w:footnote w:type="continuationSeparator" w:id="0">
    <w:p w14:paraId="7B8FDC2E" w14:textId="77777777" w:rsidR="005F5A00" w:rsidRDefault="005F5A00" w:rsidP="00CE118E">
      <w:r>
        <w:continuationSeparator/>
      </w:r>
    </w:p>
  </w:footnote>
  <w:footnote w:id="1">
    <w:p w14:paraId="1509965A" w14:textId="33ECBDB7" w:rsidR="00626F1A" w:rsidRDefault="00626F1A">
      <w:pPr>
        <w:pStyle w:val="FootnoteText"/>
      </w:pPr>
      <w:r>
        <w:rPr>
          <w:rStyle w:val="FootnoteReference"/>
        </w:rPr>
        <w:footnoteRef/>
      </w:r>
      <w:r>
        <w:t xml:space="preserve"> </w:t>
      </w:r>
      <w:r w:rsidRPr="00626F1A">
        <w:rPr>
          <w:rFonts w:cstheme="minorHAnsi"/>
          <w:sz w:val="18"/>
          <w:szCs w:val="18"/>
        </w:rPr>
        <w:t>CDP aims to support job seekers in remote Australia to build skills, address barriers to employment and contribute to their communities through activities and training.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334A"/>
    <w:multiLevelType w:val="multilevel"/>
    <w:tmpl w:val="D4C0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63C8A"/>
    <w:multiLevelType w:val="hybridMultilevel"/>
    <w:tmpl w:val="6356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836CE"/>
    <w:multiLevelType w:val="multilevel"/>
    <w:tmpl w:val="96B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83B8E"/>
    <w:multiLevelType w:val="hybridMultilevel"/>
    <w:tmpl w:val="F31E4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27018A"/>
    <w:multiLevelType w:val="hybridMultilevel"/>
    <w:tmpl w:val="6F1ABF2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5" w15:restartNumberingAfterBreak="0">
    <w:nsid w:val="4EA71E01"/>
    <w:multiLevelType w:val="hybridMultilevel"/>
    <w:tmpl w:val="668CA674"/>
    <w:lvl w:ilvl="0" w:tplc="5C3862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0EDF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4283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3862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8085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ECB6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8D2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CC3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DE7D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362ECA"/>
    <w:multiLevelType w:val="hybridMultilevel"/>
    <w:tmpl w:val="865E331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7" w15:restartNumberingAfterBreak="0">
    <w:nsid w:val="65664784"/>
    <w:multiLevelType w:val="hybridMultilevel"/>
    <w:tmpl w:val="B630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50C0B"/>
    <w:multiLevelType w:val="hybridMultilevel"/>
    <w:tmpl w:val="7900674C"/>
    <w:lvl w:ilvl="0" w:tplc="2E7A5B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A67B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9C38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366C4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B49E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34DA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6627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48DF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04B1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4445A9"/>
    <w:multiLevelType w:val="hybridMultilevel"/>
    <w:tmpl w:val="72A462EC"/>
    <w:lvl w:ilvl="0" w:tplc="63CE2C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0E0B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F273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2EE0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8D6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68AD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A22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AA27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F22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87330637">
    <w:abstractNumId w:val="5"/>
  </w:num>
  <w:num w:numId="2" w16cid:durableId="294140008">
    <w:abstractNumId w:val="8"/>
  </w:num>
  <w:num w:numId="3" w16cid:durableId="1113862499">
    <w:abstractNumId w:val="9"/>
  </w:num>
  <w:num w:numId="4" w16cid:durableId="1044911815">
    <w:abstractNumId w:val="1"/>
  </w:num>
  <w:num w:numId="5" w16cid:durableId="416027289">
    <w:abstractNumId w:val="3"/>
  </w:num>
  <w:num w:numId="6" w16cid:durableId="1340352225">
    <w:abstractNumId w:val="2"/>
  </w:num>
  <w:num w:numId="7" w16cid:durableId="1891526826">
    <w:abstractNumId w:val="4"/>
  </w:num>
  <w:num w:numId="8" w16cid:durableId="1924334442">
    <w:abstractNumId w:val="6"/>
  </w:num>
  <w:num w:numId="9" w16cid:durableId="962269550">
    <w:abstractNumId w:val="0"/>
  </w:num>
  <w:num w:numId="10" w16cid:durableId="216287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76"/>
    <w:rsid w:val="00000134"/>
    <w:rsid w:val="00011510"/>
    <w:rsid w:val="00021806"/>
    <w:rsid w:val="000233A5"/>
    <w:rsid w:val="00035DB4"/>
    <w:rsid w:val="0005002C"/>
    <w:rsid w:val="00053AEE"/>
    <w:rsid w:val="00054C46"/>
    <w:rsid w:val="00063963"/>
    <w:rsid w:val="000655C9"/>
    <w:rsid w:val="000656A2"/>
    <w:rsid w:val="0009610B"/>
    <w:rsid w:val="000D1AC8"/>
    <w:rsid w:val="000D78EC"/>
    <w:rsid w:val="000F713A"/>
    <w:rsid w:val="000F7DD8"/>
    <w:rsid w:val="00111113"/>
    <w:rsid w:val="0011797A"/>
    <w:rsid w:val="00123FE5"/>
    <w:rsid w:val="001261DF"/>
    <w:rsid w:val="00143B93"/>
    <w:rsid w:val="001472E8"/>
    <w:rsid w:val="0015251A"/>
    <w:rsid w:val="00153DB1"/>
    <w:rsid w:val="00154D08"/>
    <w:rsid w:val="001640FA"/>
    <w:rsid w:val="00164887"/>
    <w:rsid w:val="00171734"/>
    <w:rsid w:val="00177730"/>
    <w:rsid w:val="00177A0D"/>
    <w:rsid w:val="0018382E"/>
    <w:rsid w:val="0019320E"/>
    <w:rsid w:val="00194ED3"/>
    <w:rsid w:val="001A739C"/>
    <w:rsid w:val="001A7557"/>
    <w:rsid w:val="001D4EBB"/>
    <w:rsid w:val="001E2DA3"/>
    <w:rsid w:val="00211DA6"/>
    <w:rsid w:val="0023121A"/>
    <w:rsid w:val="00235A13"/>
    <w:rsid w:val="00260A1D"/>
    <w:rsid w:val="00261C9F"/>
    <w:rsid w:val="00266140"/>
    <w:rsid w:val="002730F9"/>
    <w:rsid w:val="002909F2"/>
    <w:rsid w:val="002A7058"/>
    <w:rsid w:val="002A7491"/>
    <w:rsid w:val="002B05B9"/>
    <w:rsid w:val="002B39AA"/>
    <w:rsid w:val="002B5284"/>
    <w:rsid w:val="002B716F"/>
    <w:rsid w:val="002D1B82"/>
    <w:rsid w:val="002D3EC4"/>
    <w:rsid w:val="002D7D01"/>
    <w:rsid w:val="002E4491"/>
    <w:rsid w:val="002E676F"/>
    <w:rsid w:val="002F5A4A"/>
    <w:rsid w:val="0030043A"/>
    <w:rsid w:val="0030127F"/>
    <w:rsid w:val="00301739"/>
    <w:rsid w:val="003032F6"/>
    <w:rsid w:val="003135B9"/>
    <w:rsid w:val="00314696"/>
    <w:rsid w:val="00341C93"/>
    <w:rsid w:val="0036361E"/>
    <w:rsid w:val="0039458D"/>
    <w:rsid w:val="00394F89"/>
    <w:rsid w:val="003A30F9"/>
    <w:rsid w:val="003A3C54"/>
    <w:rsid w:val="003A67AA"/>
    <w:rsid w:val="003A7281"/>
    <w:rsid w:val="003B2C97"/>
    <w:rsid w:val="003B5475"/>
    <w:rsid w:val="003C5DE7"/>
    <w:rsid w:val="003D2A02"/>
    <w:rsid w:val="003D5135"/>
    <w:rsid w:val="003F5E3D"/>
    <w:rsid w:val="003F7D59"/>
    <w:rsid w:val="004001BE"/>
    <w:rsid w:val="00405ED6"/>
    <w:rsid w:val="00410135"/>
    <w:rsid w:val="00411024"/>
    <w:rsid w:val="0041310E"/>
    <w:rsid w:val="004227AF"/>
    <w:rsid w:val="00424AA7"/>
    <w:rsid w:val="00425B12"/>
    <w:rsid w:val="00431490"/>
    <w:rsid w:val="00432C43"/>
    <w:rsid w:val="00436BCF"/>
    <w:rsid w:val="00444030"/>
    <w:rsid w:val="00455011"/>
    <w:rsid w:val="00462E7B"/>
    <w:rsid w:val="0047120E"/>
    <w:rsid w:val="0047199E"/>
    <w:rsid w:val="0048087C"/>
    <w:rsid w:val="00481681"/>
    <w:rsid w:val="004854B7"/>
    <w:rsid w:val="004A244E"/>
    <w:rsid w:val="004A26FA"/>
    <w:rsid w:val="004A7ECF"/>
    <w:rsid w:val="004B01D5"/>
    <w:rsid w:val="004C13F5"/>
    <w:rsid w:val="004E3F50"/>
    <w:rsid w:val="005010E0"/>
    <w:rsid w:val="005143EA"/>
    <w:rsid w:val="0051660A"/>
    <w:rsid w:val="00522497"/>
    <w:rsid w:val="00527E29"/>
    <w:rsid w:val="00527E76"/>
    <w:rsid w:val="00532770"/>
    <w:rsid w:val="00536E6C"/>
    <w:rsid w:val="0054576A"/>
    <w:rsid w:val="00545B26"/>
    <w:rsid w:val="0055258C"/>
    <w:rsid w:val="00556FF5"/>
    <w:rsid w:val="00564DAB"/>
    <w:rsid w:val="005677DC"/>
    <w:rsid w:val="00576CEA"/>
    <w:rsid w:val="005817C2"/>
    <w:rsid w:val="00587274"/>
    <w:rsid w:val="005A095D"/>
    <w:rsid w:val="005A1269"/>
    <w:rsid w:val="005B1542"/>
    <w:rsid w:val="005C2540"/>
    <w:rsid w:val="005D4522"/>
    <w:rsid w:val="005D67AE"/>
    <w:rsid w:val="005F3779"/>
    <w:rsid w:val="005F4386"/>
    <w:rsid w:val="005F5A00"/>
    <w:rsid w:val="005F7431"/>
    <w:rsid w:val="00603429"/>
    <w:rsid w:val="0060343C"/>
    <w:rsid w:val="006113FC"/>
    <w:rsid w:val="00626F1A"/>
    <w:rsid w:val="006402EC"/>
    <w:rsid w:val="00644CC8"/>
    <w:rsid w:val="00654E68"/>
    <w:rsid w:val="0066153F"/>
    <w:rsid w:val="00663F2B"/>
    <w:rsid w:val="0066481F"/>
    <w:rsid w:val="00665616"/>
    <w:rsid w:val="0067280C"/>
    <w:rsid w:val="00673D57"/>
    <w:rsid w:val="006810D5"/>
    <w:rsid w:val="006834AE"/>
    <w:rsid w:val="00687363"/>
    <w:rsid w:val="006A4148"/>
    <w:rsid w:val="006B30BE"/>
    <w:rsid w:val="006B3364"/>
    <w:rsid w:val="006D046E"/>
    <w:rsid w:val="006D287A"/>
    <w:rsid w:val="006D4551"/>
    <w:rsid w:val="006D6C0D"/>
    <w:rsid w:val="006E3113"/>
    <w:rsid w:val="006E412D"/>
    <w:rsid w:val="006E4BD8"/>
    <w:rsid w:val="006E548F"/>
    <w:rsid w:val="00704124"/>
    <w:rsid w:val="007062F3"/>
    <w:rsid w:val="00710FEF"/>
    <w:rsid w:val="0071426F"/>
    <w:rsid w:val="0071546C"/>
    <w:rsid w:val="00723857"/>
    <w:rsid w:val="007254F3"/>
    <w:rsid w:val="007469A4"/>
    <w:rsid w:val="007478EA"/>
    <w:rsid w:val="00757AE6"/>
    <w:rsid w:val="00757F2F"/>
    <w:rsid w:val="00767807"/>
    <w:rsid w:val="0077647F"/>
    <w:rsid w:val="007764B6"/>
    <w:rsid w:val="007850CE"/>
    <w:rsid w:val="007876CB"/>
    <w:rsid w:val="00791CC8"/>
    <w:rsid w:val="007A42A5"/>
    <w:rsid w:val="007B11A3"/>
    <w:rsid w:val="007B1249"/>
    <w:rsid w:val="007C2601"/>
    <w:rsid w:val="007C4DB8"/>
    <w:rsid w:val="007E61FC"/>
    <w:rsid w:val="00814FF4"/>
    <w:rsid w:val="0081783B"/>
    <w:rsid w:val="008304AA"/>
    <w:rsid w:val="00833CB2"/>
    <w:rsid w:val="00836AD2"/>
    <w:rsid w:val="008422A6"/>
    <w:rsid w:val="00842515"/>
    <w:rsid w:val="00844234"/>
    <w:rsid w:val="008444EA"/>
    <w:rsid w:val="00851817"/>
    <w:rsid w:val="008545DD"/>
    <w:rsid w:val="008568D9"/>
    <w:rsid w:val="00857F8B"/>
    <w:rsid w:val="008625E2"/>
    <w:rsid w:val="00863B42"/>
    <w:rsid w:val="00891C32"/>
    <w:rsid w:val="008A1394"/>
    <w:rsid w:val="008A5093"/>
    <w:rsid w:val="008B35DE"/>
    <w:rsid w:val="008D40A3"/>
    <w:rsid w:val="008D413B"/>
    <w:rsid w:val="008D7A08"/>
    <w:rsid w:val="008E3DAB"/>
    <w:rsid w:val="008E697D"/>
    <w:rsid w:val="008E6E20"/>
    <w:rsid w:val="008F6142"/>
    <w:rsid w:val="0090245B"/>
    <w:rsid w:val="0090707F"/>
    <w:rsid w:val="0091151F"/>
    <w:rsid w:val="009159E4"/>
    <w:rsid w:val="009254AC"/>
    <w:rsid w:val="00932F6E"/>
    <w:rsid w:val="00937B32"/>
    <w:rsid w:val="00940084"/>
    <w:rsid w:val="009404D8"/>
    <w:rsid w:val="00946E4F"/>
    <w:rsid w:val="00961FA6"/>
    <w:rsid w:val="009678CD"/>
    <w:rsid w:val="00967DA1"/>
    <w:rsid w:val="00982BA0"/>
    <w:rsid w:val="009848EA"/>
    <w:rsid w:val="009868BC"/>
    <w:rsid w:val="00996530"/>
    <w:rsid w:val="009B04B6"/>
    <w:rsid w:val="009B1739"/>
    <w:rsid w:val="009B1DDC"/>
    <w:rsid w:val="009B3A36"/>
    <w:rsid w:val="009C362B"/>
    <w:rsid w:val="009C5687"/>
    <w:rsid w:val="009C5C02"/>
    <w:rsid w:val="009D05BD"/>
    <w:rsid w:val="009E3938"/>
    <w:rsid w:val="009E473B"/>
    <w:rsid w:val="009E625B"/>
    <w:rsid w:val="009E65F9"/>
    <w:rsid w:val="009F4EBA"/>
    <w:rsid w:val="009F7048"/>
    <w:rsid w:val="00A13777"/>
    <w:rsid w:val="00A165E1"/>
    <w:rsid w:val="00A24A70"/>
    <w:rsid w:val="00A426FB"/>
    <w:rsid w:val="00A43B35"/>
    <w:rsid w:val="00A5358D"/>
    <w:rsid w:val="00A5545C"/>
    <w:rsid w:val="00A6185C"/>
    <w:rsid w:val="00A63765"/>
    <w:rsid w:val="00A6398C"/>
    <w:rsid w:val="00A676A3"/>
    <w:rsid w:val="00A7248B"/>
    <w:rsid w:val="00A734D7"/>
    <w:rsid w:val="00A95842"/>
    <w:rsid w:val="00AB065C"/>
    <w:rsid w:val="00AC77B5"/>
    <w:rsid w:val="00AE7905"/>
    <w:rsid w:val="00B0350E"/>
    <w:rsid w:val="00B06771"/>
    <w:rsid w:val="00B1089D"/>
    <w:rsid w:val="00B25905"/>
    <w:rsid w:val="00B30263"/>
    <w:rsid w:val="00B32854"/>
    <w:rsid w:val="00B419EB"/>
    <w:rsid w:val="00B41DD7"/>
    <w:rsid w:val="00B42019"/>
    <w:rsid w:val="00B661B6"/>
    <w:rsid w:val="00B66A0A"/>
    <w:rsid w:val="00B80906"/>
    <w:rsid w:val="00B823D0"/>
    <w:rsid w:val="00B830C6"/>
    <w:rsid w:val="00B871BA"/>
    <w:rsid w:val="00B93555"/>
    <w:rsid w:val="00B93F78"/>
    <w:rsid w:val="00B94454"/>
    <w:rsid w:val="00B9634D"/>
    <w:rsid w:val="00BA119D"/>
    <w:rsid w:val="00BA5982"/>
    <w:rsid w:val="00BC1A46"/>
    <w:rsid w:val="00BC5F27"/>
    <w:rsid w:val="00BD2D2B"/>
    <w:rsid w:val="00BF2AED"/>
    <w:rsid w:val="00BF522A"/>
    <w:rsid w:val="00BF72C6"/>
    <w:rsid w:val="00C033DB"/>
    <w:rsid w:val="00C102D9"/>
    <w:rsid w:val="00C41FA7"/>
    <w:rsid w:val="00C67D4B"/>
    <w:rsid w:val="00C743C8"/>
    <w:rsid w:val="00C77253"/>
    <w:rsid w:val="00C827AA"/>
    <w:rsid w:val="00C83E2A"/>
    <w:rsid w:val="00CA527E"/>
    <w:rsid w:val="00CB7DB9"/>
    <w:rsid w:val="00CC0723"/>
    <w:rsid w:val="00CC5D48"/>
    <w:rsid w:val="00CC7F94"/>
    <w:rsid w:val="00CD6974"/>
    <w:rsid w:val="00CE118E"/>
    <w:rsid w:val="00CF0B25"/>
    <w:rsid w:val="00CF0CE4"/>
    <w:rsid w:val="00CF1C11"/>
    <w:rsid w:val="00D0757C"/>
    <w:rsid w:val="00D16682"/>
    <w:rsid w:val="00D2501A"/>
    <w:rsid w:val="00D307FB"/>
    <w:rsid w:val="00D3122E"/>
    <w:rsid w:val="00D34970"/>
    <w:rsid w:val="00D42498"/>
    <w:rsid w:val="00D63BB5"/>
    <w:rsid w:val="00D73848"/>
    <w:rsid w:val="00D755B8"/>
    <w:rsid w:val="00D836BF"/>
    <w:rsid w:val="00D83F5A"/>
    <w:rsid w:val="00D8763C"/>
    <w:rsid w:val="00D93991"/>
    <w:rsid w:val="00D95DD4"/>
    <w:rsid w:val="00D975E6"/>
    <w:rsid w:val="00DB7582"/>
    <w:rsid w:val="00DC2437"/>
    <w:rsid w:val="00DD1772"/>
    <w:rsid w:val="00DF68E5"/>
    <w:rsid w:val="00E01D40"/>
    <w:rsid w:val="00E032AD"/>
    <w:rsid w:val="00E121D8"/>
    <w:rsid w:val="00E13659"/>
    <w:rsid w:val="00E21241"/>
    <w:rsid w:val="00E30568"/>
    <w:rsid w:val="00E3180F"/>
    <w:rsid w:val="00E31B59"/>
    <w:rsid w:val="00E435CB"/>
    <w:rsid w:val="00E50476"/>
    <w:rsid w:val="00E51ADD"/>
    <w:rsid w:val="00E52904"/>
    <w:rsid w:val="00E52BAD"/>
    <w:rsid w:val="00E557C7"/>
    <w:rsid w:val="00E560FF"/>
    <w:rsid w:val="00E5727F"/>
    <w:rsid w:val="00E6682F"/>
    <w:rsid w:val="00E67AC3"/>
    <w:rsid w:val="00E70146"/>
    <w:rsid w:val="00E70279"/>
    <w:rsid w:val="00E70DEF"/>
    <w:rsid w:val="00E743B6"/>
    <w:rsid w:val="00E86A70"/>
    <w:rsid w:val="00E9784D"/>
    <w:rsid w:val="00EA5CBF"/>
    <w:rsid w:val="00EB7757"/>
    <w:rsid w:val="00EC2F69"/>
    <w:rsid w:val="00ED69D5"/>
    <w:rsid w:val="00EE0646"/>
    <w:rsid w:val="00EE7AF6"/>
    <w:rsid w:val="00EF4B79"/>
    <w:rsid w:val="00EF727E"/>
    <w:rsid w:val="00F02D8D"/>
    <w:rsid w:val="00F0335B"/>
    <w:rsid w:val="00F117BD"/>
    <w:rsid w:val="00F20F47"/>
    <w:rsid w:val="00F25B93"/>
    <w:rsid w:val="00F342E0"/>
    <w:rsid w:val="00F53E52"/>
    <w:rsid w:val="00F54A0C"/>
    <w:rsid w:val="00F706F7"/>
    <w:rsid w:val="00F76156"/>
    <w:rsid w:val="00F84F10"/>
    <w:rsid w:val="00F945CB"/>
    <w:rsid w:val="00F94B54"/>
    <w:rsid w:val="00FA1810"/>
    <w:rsid w:val="00FA4E39"/>
    <w:rsid w:val="00FB27D9"/>
    <w:rsid w:val="00FB2F66"/>
    <w:rsid w:val="00FB58E5"/>
    <w:rsid w:val="00FC5925"/>
    <w:rsid w:val="00FD13F0"/>
    <w:rsid w:val="00FD197F"/>
    <w:rsid w:val="00FE2566"/>
    <w:rsid w:val="00FE4B83"/>
    <w:rsid w:val="00FF58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DE8F"/>
  <w15:chartTrackingRefBased/>
  <w15:docId w15:val="{AF0ED894-9163-E744-90B7-1ADC9681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5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27E76"/>
    <w:rPr>
      <w:color w:val="0563C1"/>
      <w:u w:val="single"/>
    </w:rPr>
  </w:style>
  <w:style w:type="paragraph" w:customStyle="1" w:styleId="Default">
    <w:name w:val="Default"/>
    <w:rsid w:val="005A1269"/>
    <w:pPr>
      <w:autoSpaceDE w:val="0"/>
      <w:autoSpaceDN w:val="0"/>
      <w:adjustRightInd w:val="0"/>
    </w:pPr>
    <w:rPr>
      <w:rFonts w:ascii="Times New Roman" w:eastAsia="Calibri" w:hAnsi="Times New Roman" w:cs="Times New Roman"/>
      <w:color w:val="000000"/>
      <w:lang w:eastAsia="en-US"/>
    </w:rPr>
  </w:style>
  <w:style w:type="paragraph" w:styleId="FootnoteText">
    <w:name w:val="footnote text"/>
    <w:aliases w:val="Footnote Text Char2 Char,Footnote Text Char1 Char Char1,Footnote Text Char Char Char Char1,Footnote Text Char Char1 Char1,Footnote Text Char1 Char1,Footnote Text Char Char Char1,Footnote Text Char Char,Footnote Text Char Char Char,ft,Char"/>
    <w:basedOn w:val="Normal"/>
    <w:link w:val="FootnoteTextChar"/>
    <w:uiPriority w:val="99"/>
    <w:unhideWhenUsed/>
    <w:rsid w:val="00CE118E"/>
    <w:rPr>
      <w:rFonts w:eastAsiaTheme="minorHAnsi"/>
      <w:sz w:val="20"/>
      <w:szCs w:val="20"/>
      <w:lang w:eastAsia="en-US"/>
    </w:rPr>
  </w:style>
  <w:style w:type="character" w:customStyle="1" w:styleId="FootnoteTextChar">
    <w:name w:val="Footnote Text Char"/>
    <w:aliases w:val="Footnote Text Char2 Char Char,Footnote Text Char1 Char Char1 Char,Footnote Text Char Char Char Char1 Char,Footnote Text Char Char1 Char1 Char,Footnote Text Char1 Char1 Char,Footnote Text Char Char Char1 Char,ft Char,Char Char"/>
    <w:basedOn w:val="DefaultParagraphFont"/>
    <w:link w:val="FootnoteText"/>
    <w:uiPriority w:val="99"/>
    <w:rsid w:val="00CE118E"/>
    <w:rPr>
      <w:rFonts w:eastAsiaTheme="minorHAnsi"/>
      <w:sz w:val="20"/>
      <w:szCs w:val="20"/>
      <w:lang w:eastAsia="en-US"/>
    </w:rPr>
  </w:style>
  <w:style w:type="character" w:styleId="FootnoteReference">
    <w:name w:val="footnote reference"/>
    <w:aliases w:val="NO,Footnotes refss,Footnote number,Footnote,4_G,Ref,de nota al pie,opcalrc,callout,4_G Char Char Char Char,Footnotes refss Char Char Char Char,ftref Char Char Char Char,BVI fnr Char Char Char Char,BVI fnr Car Car Char Char Char Char,f"/>
    <w:basedOn w:val="DefaultParagraphFont"/>
    <w:link w:val="4GCharCharChar"/>
    <w:uiPriority w:val="99"/>
    <w:unhideWhenUsed/>
    <w:qFormat/>
    <w:rsid w:val="00CE118E"/>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E118E"/>
    <w:pPr>
      <w:spacing w:before="120" w:after="120" w:line="240" w:lineRule="exact"/>
      <w:jc w:val="both"/>
    </w:pPr>
    <w:rPr>
      <w:vertAlign w:val="superscript"/>
    </w:rPr>
  </w:style>
  <w:style w:type="paragraph" w:styleId="ListParagraph">
    <w:name w:val="List Paragraph"/>
    <w:basedOn w:val="Normal"/>
    <w:uiPriority w:val="34"/>
    <w:qFormat/>
    <w:rsid w:val="00394F89"/>
    <w:pPr>
      <w:ind w:left="720"/>
      <w:contextualSpacing/>
    </w:pPr>
  </w:style>
  <w:style w:type="paragraph" w:styleId="Footer">
    <w:name w:val="footer"/>
    <w:basedOn w:val="Normal"/>
    <w:link w:val="FooterChar"/>
    <w:uiPriority w:val="99"/>
    <w:unhideWhenUsed/>
    <w:rsid w:val="00462E7B"/>
    <w:pPr>
      <w:tabs>
        <w:tab w:val="center" w:pos="4513"/>
        <w:tab w:val="right" w:pos="9026"/>
      </w:tabs>
    </w:pPr>
  </w:style>
  <w:style w:type="character" w:customStyle="1" w:styleId="FooterChar">
    <w:name w:val="Footer Char"/>
    <w:basedOn w:val="DefaultParagraphFont"/>
    <w:link w:val="Footer"/>
    <w:uiPriority w:val="99"/>
    <w:rsid w:val="00462E7B"/>
  </w:style>
  <w:style w:type="character" w:styleId="PageNumber">
    <w:name w:val="page number"/>
    <w:basedOn w:val="DefaultParagraphFont"/>
    <w:uiPriority w:val="99"/>
    <w:semiHidden/>
    <w:unhideWhenUsed/>
    <w:rsid w:val="00462E7B"/>
  </w:style>
  <w:style w:type="character" w:styleId="UnresolvedMention">
    <w:name w:val="Unresolved Mention"/>
    <w:basedOn w:val="DefaultParagraphFont"/>
    <w:uiPriority w:val="99"/>
    <w:semiHidden/>
    <w:unhideWhenUsed/>
    <w:rsid w:val="002909F2"/>
    <w:rPr>
      <w:color w:val="605E5C"/>
      <w:shd w:val="clear" w:color="auto" w:fill="E1DFDD"/>
    </w:rPr>
  </w:style>
  <w:style w:type="character" w:styleId="FollowedHyperlink">
    <w:name w:val="FollowedHyperlink"/>
    <w:basedOn w:val="DefaultParagraphFont"/>
    <w:uiPriority w:val="99"/>
    <w:semiHidden/>
    <w:unhideWhenUsed/>
    <w:rsid w:val="00B32854"/>
    <w:rPr>
      <w:color w:val="954F72" w:themeColor="followedHyperlink"/>
      <w:u w:val="single"/>
    </w:rPr>
  </w:style>
  <w:style w:type="character" w:customStyle="1" w:styleId="apple-converted-space">
    <w:name w:val="apple-converted-space"/>
    <w:basedOn w:val="DefaultParagraphFont"/>
    <w:rsid w:val="00F94B54"/>
  </w:style>
  <w:style w:type="paragraph" w:styleId="Header">
    <w:name w:val="header"/>
    <w:basedOn w:val="Normal"/>
    <w:link w:val="HeaderChar"/>
    <w:uiPriority w:val="99"/>
    <w:unhideWhenUsed/>
    <w:rsid w:val="00576CEA"/>
    <w:pPr>
      <w:tabs>
        <w:tab w:val="center" w:pos="4513"/>
        <w:tab w:val="right" w:pos="9026"/>
      </w:tabs>
    </w:pPr>
  </w:style>
  <w:style w:type="character" w:customStyle="1" w:styleId="HeaderChar">
    <w:name w:val="Header Char"/>
    <w:basedOn w:val="DefaultParagraphFont"/>
    <w:link w:val="Header"/>
    <w:uiPriority w:val="99"/>
    <w:rsid w:val="00576CEA"/>
  </w:style>
  <w:style w:type="character" w:customStyle="1" w:styleId="Heading1Char">
    <w:name w:val="Heading 1 Char"/>
    <w:basedOn w:val="DefaultParagraphFont"/>
    <w:link w:val="Heading1"/>
    <w:uiPriority w:val="9"/>
    <w:rsid w:val="003135B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9458D"/>
    <w:rPr>
      <w:sz w:val="16"/>
      <w:szCs w:val="16"/>
    </w:rPr>
  </w:style>
  <w:style w:type="paragraph" w:styleId="CommentText">
    <w:name w:val="annotation text"/>
    <w:basedOn w:val="Normal"/>
    <w:link w:val="CommentTextChar"/>
    <w:uiPriority w:val="99"/>
    <w:semiHidden/>
    <w:unhideWhenUsed/>
    <w:rsid w:val="0039458D"/>
    <w:rPr>
      <w:sz w:val="20"/>
      <w:szCs w:val="20"/>
    </w:rPr>
  </w:style>
  <w:style w:type="character" w:customStyle="1" w:styleId="CommentTextChar">
    <w:name w:val="Comment Text Char"/>
    <w:basedOn w:val="DefaultParagraphFont"/>
    <w:link w:val="CommentText"/>
    <w:uiPriority w:val="99"/>
    <w:semiHidden/>
    <w:rsid w:val="0039458D"/>
    <w:rPr>
      <w:sz w:val="20"/>
      <w:szCs w:val="20"/>
    </w:rPr>
  </w:style>
  <w:style w:type="paragraph" w:styleId="CommentSubject">
    <w:name w:val="annotation subject"/>
    <w:basedOn w:val="CommentText"/>
    <w:next w:val="CommentText"/>
    <w:link w:val="CommentSubjectChar"/>
    <w:uiPriority w:val="99"/>
    <w:semiHidden/>
    <w:unhideWhenUsed/>
    <w:rsid w:val="0039458D"/>
    <w:rPr>
      <w:b/>
      <w:bCs/>
    </w:rPr>
  </w:style>
  <w:style w:type="character" w:customStyle="1" w:styleId="CommentSubjectChar">
    <w:name w:val="Comment Subject Char"/>
    <w:basedOn w:val="CommentTextChar"/>
    <w:link w:val="CommentSubject"/>
    <w:uiPriority w:val="99"/>
    <w:semiHidden/>
    <w:rsid w:val="0039458D"/>
    <w:rPr>
      <w:b/>
      <w:bCs/>
      <w:sz w:val="20"/>
      <w:szCs w:val="20"/>
    </w:rPr>
  </w:style>
  <w:style w:type="paragraph" w:styleId="Revision">
    <w:name w:val="Revision"/>
    <w:hidden/>
    <w:uiPriority w:val="99"/>
    <w:semiHidden/>
    <w:rsid w:val="0039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9683">
      <w:bodyDiv w:val="1"/>
      <w:marLeft w:val="0"/>
      <w:marRight w:val="0"/>
      <w:marTop w:val="0"/>
      <w:marBottom w:val="0"/>
      <w:divBdr>
        <w:top w:val="none" w:sz="0" w:space="0" w:color="auto"/>
        <w:left w:val="none" w:sz="0" w:space="0" w:color="auto"/>
        <w:bottom w:val="none" w:sz="0" w:space="0" w:color="auto"/>
        <w:right w:val="none" w:sz="0" w:space="0" w:color="auto"/>
      </w:divBdr>
    </w:div>
    <w:div w:id="382949921">
      <w:bodyDiv w:val="1"/>
      <w:marLeft w:val="0"/>
      <w:marRight w:val="0"/>
      <w:marTop w:val="0"/>
      <w:marBottom w:val="0"/>
      <w:divBdr>
        <w:top w:val="none" w:sz="0" w:space="0" w:color="auto"/>
        <w:left w:val="none" w:sz="0" w:space="0" w:color="auto"/>
        <w:bottom w:val="none" w:sz="0" w:space="0" w:color="auto"/>
        <w:right w:val="none" w:sz="0" w:space="0" w:color="auto"/>
      </w:divBdr>
      <w:divsChild>
        <w:div w:id="2144691213">
          <w:marLeft w:val="0"/>
          <w:marRight w:val="0"/>
          <w:marTop w:val="240"/>
          <w:marBottom w:val="240"/>
          <w:divBdr>
            <w:top w:val="none" w:sz="0" w:space="0" w:color="auto"/>
            <w:left w:val="none" w:sz="0" w:space="0" w:color="auto"/>
            <w:bottom w:val="none" w:sz="0" w:space="0" w:color="auto"/>
            <w:right w:val="none" w:sz="0" w:space="0" w:color="auto"/>
          </w:divBdr>
          <w:divsChild>
            <w:div w:id="662970967">
              <w:marLeft w:val="0"/>
              <w:marRight w:val="0"/>
              <w:marTop w:val="0"/>
              <w:marBottom w:val="0"/>
              <w:divBdr>
                <w:top w:val="none" w:sz="0" w:space="0" w:color="auto"/>
                <w:left w:val="none" w:sz="0" w:space="0" w:color="auto"/>
                <w:bottom w:val="none" w:sz="0" w:space="0" w:color="auto"/>
                <w:right w:val="none" w:sz="0" w:space="0" w:color="auto"/>
              </w:divBdr>
            </w:div>
          </w:divsChild>
        </w:div>
        <w:div w:id="645162979">
          <w:marLeft w:val="0"/>
          <w:marRight w:val="0"/>
          <w:marTop w:val="240"/>
          <w:marBottom w:val="240"/>
          <w:divBdr>
            <w:top w:val="none" w:sz="0" w:space="0" w:color="auto"/>
            <w:left w:val="none" w:sz="0" w:space="0" w:color="auto"/>
            <w:bottom w:val="none" w:sz="0" w:space="0" w:color="auto"/>
            <w:right w:val="none" w:sz="0" w:space="0" w:color="auto"/>
          </w:divBdr>
          <w:divsChild>
            <w:div w:id="20108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87758">
      <w:bodyDiv w:val="1"/>
      <w:marLeft w:val="0"/>
      <w:marRight w:val="0"/>
      <w:marTop w:val="0"/>
      <w:marBottom w:val="0"/>
      <w:divBdr>
        <w:top w:val="none" w:sz="0" w:space="0" w:color="auto"/>
        <w:left w:val="none" w:sz="0" w:space="0" w:color="auto"/>
        <w:bottom w:val="none" w:sz="0" w:space="0" w:color="auto"/>
        <w:right w:val="none" w:sz="0" w:space="0" w:color="auto"/>
      </w:divBdr>
    </w:div>
    <w:div w:id="449203434">
      <w:bodyDiv w:val="1"/>
      <w:marLeft w:val="0"/>
      <w:marRight w:val="0"/>
      <w:marTop w:val="0"/>
      <w:marBottom w:val="0"/>
      <w:divBdr>
        <w:top w:val="none" w:sz="0" w:space="0" w:color="auto"/>
        <w:left w:val="none" w:sz="0" w:space="0" w:color="auto"/>
        <w:bottom w:val="none" w:sz="0" w:space="0" w:color="auto"/>
        <w:right w:val="none" w:sz="0" w:space="0" w:color="auto"/>
      </w:divBdr>
    </w:div>
    <w:div w:id="493692167">
      <w:bodyDiv w:val="1"/>
      <w:marLeft w:val="0"/>
      <w:marRight w:val="0"/>
      <w:marTop w:val="0"/>
      <w:marBottom w:val="0"/>
      <w:divBdr>
        <w:top w:val="none" w:sz="0" w:space="0" w:color="auto"/>
        <w:left w:val="none" w:sz="0" w:space="0" w:color="auto"/>
        <w:bottom w:val="none" w:sz="0" w:space="0" w:color="auto"/>
        <w:right w:val="none" w:sz="0" w:space="0" w:color="auto"/>
      </w:divBdr>
    </w:div>
    <w:div w:id="499583418">
      <w:bodyDiv w:val="1"/>
      <w:marLeft w:val="0"/>
      <w:marRight w:val="0"/>
      <w:marTop w:val="0"/>
      <w:marBottom w:val="0"/>
      <w:divBdr>
        <w:top w:val="none" w:sz="0" w:space="0" w:color="auto"/>
        <w:left w:val="none" w:sz="0" w:space="0" w:color="auto"/>
        <w:bottom w:val="none" w:sz="0" w:space="0" w:color="auto"/>
        <w:right w:val="none" w:sz="0" w:space="0" w:color="auto"/>
      </w:divBdr>
    </w:div>
    <w:div w:id="622229292">
      <w:bodyDiv w:val="1"/>
      <w:marLeft w:val="0"/>
      <w:marRight w:val="0"/>
      <w:marTop w:val="0"/>
      <w:marBottom w:val="0"/>
      <w:divBdr>
        <w:top w:val="none" w:sz="0" w:space="0" w:color="auto"/>
        <w:left w:val="none" w:sz="0" w:space="0" w:color="auto"/>
        <w:bottom w:val="none" w:sz="0" w:space="0" w:color="auto"/>
        <w:right w:val="none" w:sz="0" w:space="0" w:color="auto"/>
      </w:divBdr>
    </w:div>
    <w:div w:id="729427799">
      <w:bodyDiv w:val="1"/>
      <w:marLeft w:val="0"/>
      <w:marRight w:val="0"/>
      <w:marTop w:val="0"/>
      <w:marBottom w:val="0"/>
      <w:divBdr>
        <w:top w:val="none" w:sz="0" w:space="0" w:color="auto"/>
        <w:left w:val="none" w:sz="0" w:space="0" w:color="auto"/>
        <w:bottom w:val="none" w:sz="0" w:space="0" w:color="auto"/>
        <w:right w:val="none" w:sz="0" w:space="0" w:color="auto"/>
      </w:divBdr>
    </w:div>
    <w:div w:id="857815762">
      <w:bodyDiv w:val="1"/>
      <w:marLeft w:val="0"/>
      <w:marRight w:val="0"/>
      <w:marTop w:val="0"/>
      <w:marBottom w:val="0"/>
      <w:divBdr>
        <w:top w:val="none" w:sz="0" w:space="0" w:color="auto"/>
        <w:left w:val="none" w:sz="0" w:space="0" w:color="auto"/>
        <w:bottom w:val="none" w:sz="0" w:space="0" w:color="auto"/>
        <w:right w:val="none" w:sz="0" w:space="0" w:color="auto"/>
      </w:divBdr>
    </w:div>
    <w:div w:id="885533702">
      <w:bodyDiv w:val="1"/>
      <w:marLeft w:val="0"/>
      <w:marRight w:val="0"/>
      <w:marTop w:val="0"/>
      <w:marBottom w:val="0"/>
      <w:divBdr>
        <w:top w:val="none" w:sz="0" w:space="0" w:color="auto"/>
        <w:left w:val="none" w:sz="0" w:space="0" w:color="auto"/>
        <w:bottom w:val="none" w:sz="0" w:space="0" w:color="auto"/>
        <w:right w:val="none" w:sz="0" w:space="0" w:color="auto"/>
      </w:divBdr>
      <w:divsChild>
        <w:div w:id="179585304">
          <w:marLeft w:val="0"/>
          <w:marRight w:val="0"/>
          <w:marTop w:val="240"/>
          <w:marBottom w:val="240"/>
          <w:divBdr>
            <w:top w:val="none" w:sz="0" w:space="0" w:color="auto"/>
            <w:left w:val="none" w:sz="0" w:space="0" w:color="auto"/>
            <w:bottom w:val="none" w:sz="0" w:space="0" w:color="auto"/>
            <w:right w:val="none" w:sz="0" w:space="0" w:color="auto"/>
          </w:divBdr>
          <w:divsChild>
            <w:div w:id="663512575">
              <w:marLeft w:val="0"/>
              <w:marRight w:val="0"/>
              <w:marTop w:val="0"/>
              <w:marBottom w:val="0"/>
              <w:divBdr>
                <w:top w:val="none" w:sz="0" w:space="0" w:color="auto"/>
                <w:left w:val="none" w:sz="0" w:space="0" w:color="auto"/>
                <w:bottom w:val="none" w:sz="0" w:space="0" w:color="auto"/>
                <w:right w:val="none" w:sz="0" w:space="0" w:color="auto"/>
              </w:divBdr>
            </w:div>
          </w:divsChild>
        </w:div>
        <w:div w:id="512499782">
          <w:marLeft w:val="0"/>
          <w:marRight w:val="0"/>
          <w:marTop w:val="240"/>
          <w:marBottom w:val="240"/>
          <w:divBdr>
            <w:top w:val="none" w:sz="0" w:space="0" w:color="auto"/>
            <w:left w:val="none" w:sz="0" w:space="0" w:color="auto"/>
            <w:bottom w:val="none" w:sz="0" w:space="0" w:color="auto"/>
            <w:right w:val="none" w:sz="0" w:space="0" w:color="auto"/>
          </w:divBdr>
          <w:divsChild>
            <w:div w:id="14459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8792">
      <w:bodyDiv w:val="1"/>
      <w:marLeft w:val="0"/>
      <w:marRight w:val="0"/>
      <w:marTop w:val="0"/>
      <w:marBottom w:val="0"/>
      <w:divBdr>
        <w:top w:val="none" w:sz="0" w:space="0" w:color="auto"/>
        <w:left w:val="none" w:sz="0" w:space="0" w:color="auto"/>
        <w:bottom w:val="none" w:sz="0" w:space="0" w:color="auto"/>
        <w:right w:val="none" w:sz="0" w:space="0" w:color="auto"/>
      </w:divBdr>
    </w:div>
    <w:div w:id="1457026765">
      <w:bodyDiv w:val="1"/>
      <w:marLeft w:val="0"/>
      <w:marRight w:val="0"/>
      <w:marTop w:val="0"/>
      <w:marBottom w:val="0"/>
      <w:divBdr>
        <w:top w:val="none" w:sz="0" w:space="0" w:color="auto"/>
        <w:left w:val="none" w:sz="0" w:space="0" w:color="auto"/>
        <w:bottom w:val="none" w:sz="0" w:space="0" w:color="auto"/>
        <w:right w:val="none" w:sz="0" w:space="0" w:color="auto"/>
      </w:divBdr>
    </w:div>
    <w:div w:id="1687512868">
      <w:bodyDiv w:val="1"/>
      <w:marLeft w:val="0"/>
      <w:marRight w:val="0"/>
      <w:marTop w:val="0"/>
      <w:marBottom w:val="0"/>
      <w:divBdr>
        <w:top w:val="none" w:sz="0" w:space="0" w:color="auto"/>
        <w:left w:val="none" w:sz="0" w:space="0" w:color="auto"/>
        <w:bottom w:val="none" w:sz="0" w:space="0" w:color="auto"/>
        <w:right w:val="none" w:sz="0" w:space="0" w:color="auto"/>
      </w:divBdr>
      <w:divsChild>
        <w:div w:id="1455829151">
          <w:marLeft w:val="0"/>
          <w:marRight w:val="0"/>
          <w:marTop w:val="240"/>
          <w:marBottom w:val="240"/>
          <w:divBdr>
            <w:top w:val="none" w:sz="0" w:space="0" w:color="auto"/>
            <w:left w:val="none" w:sz="0" w:space="0" w:color="auto"/>
            <w:bottom w:val="none" w:sz="0" w:space="0" w:color="auto"/>
            <w:right w:val="none" w:sz="0" w:space="0" w:color="auto"/>
          </w:divBdr>
          <w:divsChild>
            <w:div w:id="1058094533">
              <w:marLeft w:val="0"/>
              <w:marRight w:val="0"/>
              <w:marTop w:val="0"/>
              <w:marBottom w:val="0"/>
              <w:divBdr>
                <w:top w:val="none" w:sz="0" w:space="0" w:color="auto"/>
                <w:left w:val="none" w:sz="0" w:space="0" w:color="auto"/>
                <w:bottom w:val="none" w:sz="0" w:space="0" w:color="auto"/>
                <w:right w:val="none" w:sz="0" w:space="0" w:color="auto"/>
              </w:divBdr>
            </w:div>
          </w:divsChild>
        </w:div>
        <w:div w:id="6489985">
          <w:marLeft w:val="0"/>
          <w:marRight w:val="0"/>
          <w:marTop w:val="240"/>
          <w:marBottom w:val="240"/>
          <w:divBdr>
            <w:top w:val="none" w:sz="0" w:space="0" w:color="auto"/>
            <w:left w:val="none" w:sz="0" w:space="0" w:color="auto"/>
            <w:bottom w:val="none" w:sz="0" w:space="0" w:color="auto"/>
            <w:right w:val="none" w:sz="0" w:space="0" w:color="auto"/>
          </w:divBdr>
          <w:divsChild>
            <w:div w:id="1749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c.gov.au/inquiries/current/childhood/draft" TargetMode="External"/><Relationship Id="rId18" Type="http://schemas.openxmlformats.org/officeDocument/2006/relationships/hyperlink" Target="https://www.niaa.gov.au/indigenous-affairs/employment/cdp" TargetMode="External"/><Relationship Id="rId3" Type="http://schemas.openxmlformats.org/officeDocument/2006/relationships/customXml" Target="../customXml/item3.xml"/><Relationship Id="rId21" Type="http://schemas.openxmlformats.org/officeDocument/2006/relationships/hyperlink" Target="https://www.accc.gov.au/inquiries-and-consultations/childcare-inquiry-2023/december-2023-final-report"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thefrontproject.org.au/images/2023/TFP_Pre-Budget_Submission_2023-24_compressed_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mh.com.au/politics/federal/childcare-giant-calls-for-urgent-10-per-cent-pay-rise-for-workers-20221031-p5bucu.html" TargetMode="External"/><Relationship Id="rId20" Type="http://schemas.openxmlformats.org/officeDocument/2006/relationships/hyperlink" Target="https://www.pc.gov.au/inquiries/current/childhood/submiss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cecqa.gov.au/national-workforce-strategy"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tartingblocks.gov.au/?gad_source=1&amp;gclid=CjwKCAiAq4KuBhA6EiwArMAw1KMHeF_xTDjKnfiHPkwfKA7VtjIQY2r0rI1UJ2KVa7rmpsMRMQ9sqhoCtUgQAvD_Bw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gov.au/inquiries/completed/childcar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MPWT-2140667901-59338</_dlc_DocId>
    <_dlc_DocIdUrl xmlns="20393cdf-440a-4521-8f19-00ba43423d00">
      <Url>https://pcgov.sharepoint.com/sites/sceteam/_layouts/15/DocIdRedir.aspx?ID=MPWT-2140667901-59338</Url>
      <Description>MPWT-2140667901-59338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C9A4FE-D526-46D8-B9B8-83E6D828C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07850-77E9-744E-9D1E-C3AF84D68EBD}">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9634AC50-CB5C-4F59-A700-AB339C9F7ABA}">
  <ds:schemaRefs>
    <ds:schemaRef ds:uri="http://www.w3.org/XML/1998/namespace"/>
    <ds:schemaRef ds:uri="3d385984-9344-419b-a80b-49c06a2bdab8"/>
    <ds:schemaRef ds:uri="http://schemas.microsoft.com/office/2006/documentManagement/types"/>
    <ds:schemaRef ds:uri="http://purl.org/dc/elements/1.1/"/>
    <ds:schemaRef ds:uri="http://schemas.microsoft.com/office/2006/metadata/properties"/>
    <ds:schemaRef ds:uri="http://purl.org/dc/terms/"/>
    <ds:schemaRef ds:uri="20393cdf-440a-4521-8f19-00ba43423d00"/>
    <ds:schemaRef ds:uri="http://schemas.openxmlformats.org/package/2006/metadata/core-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0FCD182E-EEE4-4AC2-90AA-2CBBF3AF209C}">
  <ds:schemaRefs>
    <ds:schemaRef ds:uri="http://schemas.microsoft.com/sharepoint/v3/contenttype/forms"/>
  </ds:schemaRefs>
</ds:datastoreItem>
</file>

<file path=customXml/itemProps5.xml><?xml version="1.0" encoding="utf-8"?>
<ds:datastoreItem xmlns:ds="http://schemas.openxmlformats.org/officeDocument/2006/customXml" ds:itemID="{4926F209-8DD0-41E2-9D7F-D0151A3450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Submission 194 - National Foundation for Australian Women (NFAW) - Early Childhood Education and Care - Public inquiry</vt:lpstr>
    </vt:vector>
  </TitlesOfParts>
  <Company>National Foundation for Australian Women (NFAW)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194 - National Foundation for Australian Women (NFAW) - Early Childhood Education and Care - Public inquiry</dc:title>
  <dc:subject/>
  <dc:creator>National Foundation for Australian Women (NFAW) </dc:creator>
  <cp:keywords/>
  <dc:description/>
  <cp:lastModifiedBy>Chris Alston</cp:lastModifiedBy>
  <cp:revision>3</cp:revision>
  <cp:lastPrinted>2023-04-16T07:17:00Z</cp:lastPrinted>
  <dcterms:created xsi:type="dcterms:W3CDTF">2024-02-14T22:12:00Z</dcterms:created>
  <dcterms:modified xsi:type="dcterms:W3CDTF">2024-02-16T02:50:00Z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5baa7c2a-8a21-41d9-8a62-29d352c3431d</vt:lpwstr>
  </property>
</Properties>
</file>