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17B33" w14:textId="56379FA0" w:rsidR="00BD0971" w:rsidRPr="00907207" w:rsidRDefault="00D630F2" w:rsidP="00907207">
      <w:pPr>
        <w:pStyle w:val="Heading2"/>
        <w:spacing w:after="0" w:afterAutospacing="0"/>
        <w:jc w:val="center"/>
        <w:rPr>
          <w:rFonts w:asciiTheme="minorHAnsi" w:hAnsiTheme="minorHAnsi" w:cstheme="minorHAnsi"/>
          <w:b w:val="0"/>
          <w:bCs w:val="0"/>
          <w:color w:val="1E6A85"/>
          <w:spacing w:val="7"/>
        </w:rPr>
      </w:pPr>
      <w:r w:rsidRPr="00907207">
        <w:rPr>
          <w:rFonts w:asciiTheme="minorHAnsi" w:hAnsiTheme="minorHAnsi" w:cstheme="minorHAnsi"/>
          <w:b w:val="0"/>
          <w:bCs w:val="0"/>
        </w:rPr>
        <w:t>Submission</w:t>
      </w:r>
      <w:r w:rsidR="00907207">
        <w:rPr>
          <w:rFonts w:asciiTheme="minorHAnsi" w:hAnsiTheme="minorHAnsi" w:cstheme="minorHAnsi"/>
          <w:b w:val="0"/>
          <w:bCs w:val="0"/>
        </w:rPr>
        <w:t xml:space="preserve">: </w:t>
      </w:r>
      <w:r w:rsidR="00907207" w:rsidRPr="00907207">
        <w:rPr>
          <w:rFonts w:asciiTheme="minorHAnsi" w:hAnsiTheme="minorHAnsi" w:cstheme="minorHAnsi"/>
          <w:b w:val="0"/>
          <w:bCs w:val="0"/>
          <w:color w:val="1E6A85"/>
          <w:spacing w:val="7"/>
        </w:rPr>
        <w:t>A path to universal</w:t>
      </w:r>
      <w:r w:rsidR="00907207">
        <w:rPr>
          <w:rFonts w:asciiTheme="minorHAnsi" w:hAnsiTheme="minorHAnsi" w:cstheme="minorHAnsi"/>
          <w:b w:val="0"/>
          <w:bCs w:val="0"/>
          <w:color w:val="1E6A85"/>
          <w:spacing w:val="7"/>
        </w:rPr>
        <w:t xml:space="preserve"> </w:t>
      </w:r>
      <w:r w:rsidR="007D1FCE">
        <w:rPr>
          <w:rFonts w:asciiTheme="minorHAnsi" w:hAnsiTheme="minorHAnsi" w:cstheme="minorHAnsi"/>
          <w:b w:val="0"/>
          <w:bCs w:val="0"/>
          <w:color w:val="1E6A85"/>
          <w:spacing w:val="7"/>
        </w:rPr>
        <w:t>ECE</w:t>
      </w:r>
      <w:r w:rsidR="00907207">
        <w:rPr>
          <w:rFonts w:asciiTheme="minorHAnsi" w:hAnsiTheme="minorHAnsi" w:cstheme="minorHAnsi"/>
          <w:b w:val="0"/>
          <w:bCs w:val="0"/>
          <w:color w:val="1E6A85"/>
          <w:spacing w:val="7"/>
        </w:rPr>
        <w:t xml:space="preserve">C </w:t>
      </w:r>
      <w:r w:rsidRPr="00907207">
        <w:rPr>
          <w:rFonts w:asciiTheme="minorHAnsi" w:hAnsiTheme="minorHAnsi" w:cstheme="minorHAnsi"/>
          <w:b w:val="0"/>
          <w:bCs w:val="0"/>
        </w:rPr>
        <w:t>Draft Report</w:t>
      </w:r>
    </w:p>
    <w:p w14:paraId="6767FA16" w14:textId="77777777" w:rsidR="00D630F2" w:rsidRPr="00D630F2" w:rsidRDefault="00D630F2">
      <w:pPr>
        <w:rPr>
          <w:rFonts w:cstheme="minorHAnsi"/>
          <w:b/>
          <w:bCs/>
        </w:rPr>
      </w:pPr>
    </w:p>
    <w:p w14:paraId="35E2897B" w14:textId="24D88DB7" w:rsidR="00F33761" w:rsidRPr="003F74E8" w:rsidRDefault="00F33761">
      <w:pPr>
        <w:rPr>
          <w:rFonts w:cstheme="minorHAnsi"/>
        </w:rPr>
      </w:pPr>
      <w:r w:rsidRPr="003F74E8">
        <w:rPr>
          <w:rFonts w:cstheme="minorHAnsi"/>
        </w:rPr>
        <w:t>Dear Commission</w:t>
      </w:r>
      <w:r w:rsidR="00D4741C" w:rsidRPr="003F74E8">
        <w:rPr>
          <w:rFonts w:cstheme="minorHAnsi"/>
        </w:rPr>
        <w:t>er</w:t>
      </w:r>
      <w:r w:rsidRPr="003F74E8">
        <w:rPr>
          <w:rFonts w:cstheme="minorHAnsi"/>
        </w:rPr>
        <w:t>s</w:t>
      </w:r>
    </w:p>
    <w:p w14:paraId="78FBB759" w14:textId="1B38F3E7" w:rsidR="0042018B" w:rsidRPr="003F74E8" w:rsidRDefault="00F7679E">
      <w:pPr>
        <w:rPr>
          <w:rFonts w:cstheme="minorHAnsi"/>
        </w:rPr>
      </w:pPr>
      <w:r w:rsidRPr="003F74E8">
        <w:rPr>
          <w:rFonts w:cstheme="minorHAnsi"/>
        </w:rPr>
        <w:t>Thank you for the opportunity to respond to the</w:t>
      </w:r>
      <w:r w:rsidR="00F33761" w:rsidRPr="003F74E8">
        <w:rPr>
          <w:rFonts w:cstheme="minorHAnsi"/>
        </w:rPr>
        <w:t xml:space="preserve"> Draft</w:t>
      </w:r>
      <w:r w:rsidRPr="003F74E8">
        <w:rPr>
          <w:rFonts w:cstheme="minorHAnsi"/>
        </w:rPr>
        <w:t xml:space="preserve"> Report. </w:t>
      </w:r>
      <w:r w:rsidR="00040F8C" w:rsidRPr="003F74E8">
        <w:rPr>
          <w:rFonts w:cstheme="minorHAnsi"/>
        </w:rPr>
        <w:t>My submission</w:t>
      </w:r>
      <w:r w:rsidRPr="003F74E8">
        <w:rPr>
          <w:rFonts w:cstheme="minorHAnsi"/>
        </w:rPr>
        <w:t xml:space="preserve"> provide</w:t>
      </w:r>
      <w:r w:rsidR="00040F8C" w:rsidRPr="003F74E8">
        <w:rPr>
          <w:rFonts w:cstheme="minorHAnsi"/>
        </w:rPr>
        <w:t>s</w:t>
      </w:r>
      <w:r w:rsidRPr="003F74E8">
        <w:rPr>
          <w:rFonts w:cstheme="minorHAnsi"/>
        </w:rPr>
        <w:t xml:space="preserve"> </w:t>
      </w:r>
      <w:r w:rsidR="004221CC" w:rsidRPr="003F74E8">
        <w:rPr>
          <w:rFonts w:cstheme="minorHAnsi"/>
        </w:rPr>
        <w:t>a response to the</w:t>
      </w:r>
      <w:r w:rsidRPr="003F74E8">
        <w:rPr>
          <w:rFonts w:cstheme="minorHAnsi"/>
        </w:rPr>
        <w:t xml:space="preserve"> </w:t>
      </w:r>
      <w:r w:rsidR="008E7AA5" w:rsidRPr="003F74E8">
        <w:rPr>
          <w:rFonts w:cstheme="minorHAnsi"/>
        </w:rPr>
        <w:t xml:space="preserve">findings and </w:t>
      </w:r>
      <w:r w:rsidRPr="003F74E8">
        <w:rPr>
          <w:rFonts w:cstheme="minorHAnsi"/>
        </w:rPr>
        <w:t>recommendations</w:t>
      </w:r>
      <w:r w:rsidR="008E7AA5" w:rsidRPr="003F74E8">
        <w:rPr>
          <w:rFonts w:cstheme="minorHAnsi"/>
        </w:rPr>
        <w:t xml:space="preserve"> </w:t>
      </w:r>
      <w:r w:rsidR="004221CC" w:rsidRPr="003F74E8">
        <w:rPr>
          <w:rFonts w:cstheme="minorHAnsi"/>
        </w:rPr>
        <w:t xml:space="preserve">with </w:t>
      </w:r>
      <w:r w:rsidR="008F6290" w:rsidRPr="00AE09E6">
        <w:rPr>
          <w:rFonts w:cstheme="minorHAnsi"/>
        </w:rPr>
        <w:t>suggested</w:t>
      </w:r>
      <w:r w:rsidR="008F6290" w:rsidRPr="00403E83">
        <w:rPr>
          <w:rFonts w:cstheme="minorHAnsi"/>
          <w:b/>
          <w:bCs/>
        </w:rPr>
        <w:t xml:space="preserve"> </w:t>
      </w:r>
      <w:r w:rsidR="002142A4">
        <w:rPr>
          <w:rFonts w:cstheme="minorHAnsi"/>
          <w:b/>
          <w:bCs/>
        </w:rPr>
        <w:t>A</w:t>
      </w:r>
      <w:r w:rsidR="008F6290" w:rsidRPr="00403E83">
        <w:rPr>
          <w:rFonts w:cstheme="minorHAnsi"/>
          <w:b/>
          <w:bCs/>
        </w:rPr>
        <w:t>dditions</w:t>
      </w:r>
      <w:r w:rsidR="008F6290" w:rsidRPr="003F74E8">
        <w:rPr>
          <w:rFonts w:cstheme="minorHAnsi"/>
        </w:rPr>
        <w:t xml:space="preserve"> </w:t>
      </w:r>
      <w:r w:rsidR="008E7AA5" w:rsidRPr="003F74E8">
        <w:rPr>
          <w:rFonts w:cstheme="minorHAnsi"/>
        </w:rPr>
        <w:t xml:space="preserve">relating to: </w:t>
      </w:r>
    </w:p>
    <w:p w14:paraId="32007284" w14:textId="554A634F" w:rsidR="00B544C4" w:rsidRPr="003F74E8" w:rsidRDefault="008E7AA5" w:rsidP="00B544C4">
      <w:pPr>
        <w:pStyle w:val="ListBullet"/>
        <w:rPr>
          <w:rFonts w:eastAsia="Arial" w:cstheme="minorHAnsi"/>
          <w:sz w:val="22"/>
          <w:szCs w:val="22"/>
        </w:rPr>
      </w:pPr>
      <w:r w:rsidRPr="003F74E8">
        <w:rPr>
          <w:rFonts w:cstheme="minorHAnsi"/>
          <w:sz w:val="22"/>
          <w:szCs w:val="22"/>
        </w:rPr>
        <w:t>Supporting equitable access for children living in regional / remote and low-socio</w:t>
      </w:r>
      <w:r w:rsidR="00873C37" w:rsidRPr="003F74E8">
        <w:rPr>
          <w:rFonts w:cstheme="minorHAnsi"/>
          <w:sz w:val="22"/>
          <w:szCs w:val="22"/>
        </w:rPr>
        <w:t>-</w:t>
      </w:r>
      <w:r w:rsidRPr="003F74E8">
        <w:rPr>
          <w:rFonts w:cstheme="minorHAnsi"/>
          <w:sz w:val="22"/>
          <w:szCs w:val="22"/>
        </w:rPr>
        <w:t>economic areas</w:t>
      </w:r>
      <w:r w:rsidR="00AA4613" w:rsidRPr="003F74E8">
        <w:rPr>
          <w:rFonts w:cstheme="minorHAnsi"/>
          <w:sz w:val="22"/>
          <w:szCs w:val="22"/>
        </w:rPr>
        <w:t xml:space="preserve">, specifically: </w:t>
      </w:r>
    </w:p>
    <w:p w14:paraId="0C1A2A10" w14:textId="132B361E" w:rsidR="002D5EF6" w:rsidRPr="003F74E8" w:rsidRDefault="008E7AA5" w:rsidP="008B5214">
      <w:pPr>
        <w:pStyle w:val="ListBullet2"/>
        <w:numPr>
          <w:ilvl w:val="0"/>
          <w:numId w:val="6"/>
        </w:numPr>
        <w:rPr>
          <w:rFonts w:eastAsia="Arial" w:cstheme="minorHAnsi"/>
          <w:sz w:val="22"/>
          <w:szCs w:val="22"/>
        </w:rPr>
      </w:pPr>
      <w:r w:rsidRPr="003F74E8">
        <w:rPr>
          <w:rFonts w:cstheme="minorHAnsi"/>
          <w:sz w:val="22"/>
          <w:szCs w:val="22"/>
        </w:rPr>
        <w:t>Children experiencing disadvantage and vulnerability are less likely to attend than their more advantaged peers. [</w:t>
      </w:r>
      <w:r w:rsidRPr="003F74E8">
        <w:rPr>
          <w:rFonts w:cstheme="minorHAnsi"/>
          <w:b/>
          <w:bCs/>
          <w:sz w:val="22"/>
          <w:szCs w:val="22"/>
        </w:rPr>
        <w:t>Draft finding 2.2</w:t>
      </w:r>
      <w:r w:rsidRPr="003F74E8">
        <w:rPr>
          <w:rFonts w:cstheme="minorHAnsi"/>
          <w:sz w:val="22"/>
          <w:szCs w:val="22"/>
        </w:rPr>
        <w:t>]</w:t>
      </w:r>
      <w:r w:rsidR="00E9044F" w:rsidRPr="003F74E8">
        <w:rPr>
          <w:rFonts w:cstheme="minorHAnsi"/>
          <w:sz w:val="22"/>
          <w:szCs w:val="22"/>
        </w:rPr>
        <w:t xml:space="preserve"> </w:t>
      </w:r>
      <w:r w:rsidR="00B544C4" w:rsidRPr="003F74E8">
        <w:rPr>
          <w:rFonts w:cstheme="minorHAnsi"/>
          <w:sz w:val="22"/>
          <w:szCs w:val="22"/>
        </w:rPr>
        <w:t>and</w:t>
      </w:r>
      <w:r w:rsidR="00227787" w:rsidRPr="003F74E8">
        <w:rPr>
          <w:rFonts w:eastAsia="Arial" w:cstheme="minorHAnsi"/>
          <w:sz w:val="22"/>
          <w:szCs w:val="22"/>
        </w:rPr>
        <w:t xml:space="preserve"> </w:t>
      </w:r>
      <w:r w:rsidR="005A3963" w:rsidRPr="003F74E8">
        <w:rPr>
          <w:rFonts w:eastAsia="Arial" w:cstheme="minorHAnsi"/>
          <w:sz w:val="22"/>
          <w:szCs w:val="22"/>
        </w:rPr>
        <w:t xml:space="preserve">related </w:t>
      </w:r>
      <w:r w:rsidR="002D5EF6" w:rsidRPr="003F74E8">
        <w:rPr>
          <w:rFonts w:eastAsia="Arial" w:cstheme="minorHAnsi"/>
          <w:sz w:val="22"/>
          <w:szCs w:val="22"/>
        </w:rPr>
        <w:t>workforce</w:t>
      </w:r>
      <w:r w:rsidR="00C5711F" w:rsidRPr="003F74E8">
        <w:rPr>
          <w:rFonts w:cstheme="minorHAnsi"/>
          <w:sz w:val="22"/>
          <w:szCs w:val="22"/>
        </w:rPr>
        <w:t xml:space="preserve"> barriers to accessing professional development</w:t>
      </w:r>
      <w:r w:rsidR="00C5711F" w:rsidRPr="003F74E8">
        <w:rPr>
          <w:rFonts w:cstheme="minorHAnsi"/>
          <w:b/>
          <w:bCs/>
          <w:sz w:val="22"/>
          <w:szCs w:val="22"/>
        </w:rPr>
        <w:t xml:space="preserve"> </w:t>
      </w:r>
      <w:r w:rsidR="00227787" w:rsidRPr="003F74E8">
        <w:rPr>
          <w:rFonts w:cstheme="minorHAnsi"/>
          <w:sz w:val="22"/>
          <w:szCs w:val="22"/>
        </w:rPr>
        <w:t>[</w:t>
      </w:r>
      <w:r w:rsidR="002D5EF6" w:rsidRPr="003F74E8">
        <w:rPr>
          <w:rFonts w:cstheme="minorHAnsi"/>
          <w:b/>
          <w:bCs/>
          <w:sz w:val="22"/>
          <w:szCs w:val="22"/>
        </w:rPr>
        <w:t>Draft finding 3.7</w:t>
      </w:r>
      <w:r w:rsidR="002D5EF6" w:rsidRPr="003F74E8">
        <w:rPr>
          <w:rFonts w:cstheme="minorHAnsi"/>
          <w:sz w:val="22"/>
          <w:szCs w:val="22"/>
        </w:rPr>
        <w:t>]</w:t>
      </w:r>
      <w:r w:rsidR="005A3963" w:rsidRPr="003F74E8">
        <w:rPr>
          <w:rFonts w:cstheme="minorHAnsi"/>
          <w:sz w:val="22"/>
          <w:szCs w:val="22"/>
        </w:rPr>
        <w:t xml:space="preserve"> </w:t>
      </w:r>
    </w:p>
    <w:p w14:paraId="59C119A7" w14:textId="0148D12F" w:rsidR="00B4037F" w:rsidRPr="003F74E8" w:rsidRDefault="00B4037F" w:rsidP="00B4037F">
      <w:pPr>
        <w:pStyle w:val="ListBullet2"/>
        <w:numPr>
          <w:ilvl w:val="0"/>
          <w:numId w:val="0"/>
        </w:numPr>
        <w:ind w:left="587"/>
        <w:rPr>
          <w:rFonts w:eastAsia="Arial" w:cstheme="minorHAnsi"/>
          <w:sz w:val="22"/>
          <w:szCs w:val="22"/>
        </w:rPr>
      </w:pPr>
      <w:r w:rsidRPr="003F74E8">
        <w:rPr>
          <w:rFonts w:eastAsia="Arial" w:cstheme="minorHAnsi"/>
          <w:sz w:val="22"/>
          <w:szCs w:val="22"/>
        </w:rPr>
        <w:t xml:space="preserve">AND </w:t>
      </w:r>
    </w:p>
    <w:p w14:paraId="0F461955" w14:textId="49CC0A1E" w:rsidR="008B5214" w:rsidRPr="003F74E8" w:rsidRDefault="00CD0C2A" w:rsidP="007E5F2E">
      <w:pPr>
        <w:pStyle w:val="ListBullet2"/>
        <w:numPr>
          <w:ilvl w:val="0"/>
          <w:numId w:val="6"/>
        </w:numPr>
        <w:rPr>
          <w:rFonts w:eastAsia="Arial" w:cstheme="minorHAnsi"/>
          <w:sz w:val="22"/>
          <w:szCs w:val="22"/>
        </w:rPr>
      </w:pPr>
      <w:r w:rsidRPr="003F74E8">
        <w:rPr>
          <w:rFonts w:cstheme="minorHAnsi"/>
          <w:sz w:val="22"/>
          <w:szCs w:val="22"/>
        </w:rPr>
        <w:t xml:space="preserve">Government </w:t>
      </w:r>
      <w:r w:rsidR="007E5F2E" w:rsidRPr="003F74E8">
        <w:rPr>
          <w:rFonts w:cstheme="minorHAnsi"/>
          <w:sz w:val="22"/>
          <w:szCs w:val="22"/>
        </w:rPr>
        <w:t>c</w:t>
      </w:r>
      <w:r w:rsidR="00702FAB" w:rsidRPr="003F74E8">
        <w:rPr>
          <w:rFonts w:cstheme="minorHAnsi"/>
          <w:sz w:val="22"/>
          <w:szCs w:val="22"/>
        </w:rPr>
        <w:t>ontribut</w:t>
      </w:r>
      <w:r w:rsidR="007E5F2E" w:rsidRPr="003F74E8">
        <w:rPr>
          <w:rFonts w:cstheme="minorHAnsi"/>
          <w:sz w:val="22"/>
          <w:szCs w:val="22"/>
        </w:rPr>
        <w:t>ions</w:t>
      </w:r>
      <w:r w:rsidR="00702FAB" w:rsidRPr="003F74E8">
        <w:rPr>
          <w:rFonts w:cstheme="minorHAnsi"/>
          <w:sz w:val="22"/>
          <w:szCs w:val="22"/>
        </w:rPr>
        <w:t xml:space="preserve"> to professional development for the </w:t>
      </w:r>
      <w:r w:rsidR="007D1FCE">
        <w:rPr>
          <w:rFonts w:cstheme="minorHAnsi"/>
          <w:sz w:val="22"/>
          <w:szCs w:val="22"/>
        </w:rPr>
        <w:t>ECE</w:t>
      </w:r>
      <w:r w:rsidR="00702FAB" w:rsidRPr="003F74E8">
        <w:rPr>
          <w:rFonts w:cstheme="minorHAnsi"/>
          <w:sz w:val="22"/>
          <w:szCs w:val="22"/>
        </w:rPr>
        <w:t>C workforce</w:t>
      </w:r>
      <w:r w:rsidR="00702FAB" w:rsidRPr="003F74E8">
        <w:rPr>
          <w:rFonts w:eastAsia="Arial" w:cstheme="minorHAnsi"/>
          <w:sz w:val="22"/>
          <w:szCs w:val="22"/>
        </w:rPr>
        <w:t xml:space="preserve"> </w:t>
      </w:r>
      <w:r w:rsidR="008B5214" w:rsidRPr="003F74E8">
        <w:rPr>
          <w:rFonts w:eastAsia="Arial" w:cstheme="minorHAnsi"/>
          <w:sz w:val="22"/>
          <w:szCs w:val="22"/>
        </w:rPr>
        <w:t xml:space="preserve">to </w:t>
      </w:r>
      <w:r w:rsidR="008B5214" w:rsidRPr="003F74E8">
        <w:rPr>
          <w:rFonts w:cstheme="minorHAnsi"/>
          <w:sz w:val="22"/>
          <w:szCs w:val="22"/>
        </w:rPr>
        <w:t xml:space="preserve">deliver more inclusive </w:t>
      </w:r>
      <w:r w:rsidR="007D1FCE">
        <w:rPr>
          <w:rFonts w:cstheme="minorHAnsi"/>
          <w:sz w:val="22"/>
          <w:szCs w:val="22"/>
        </w:rPr>
        <w:t>ECE</w:t>
      </w:r>
      <w:r w:rsidR="008B5214" w:rsidRPr="003F74E8">
        <w:rPr>
          <w:rFonts w:cstheme="minorHAnsi"/>
          <w:sz w:val="22"/>
          <w:szCs w:val="22"/>
        </w:rPr>
        <w:t xml:space="preserve">C, including for children with disability, developmental delay or additional needs, children who have experienced trauma and Aboriginal and Torres Strait Islander children, and work with families – including families in complex or challenging situations – to engage with and participate in </w:t>
      </w:r>
      <w:r w:rsidR="007D1FCE">
        <w:rPr>
          <w:rFonts w:cstheme="minorHAnsi"/>
          <w:sz w:val="22"/>
          <w:szCs w:val="22"/>
        </w:rPr>
        <w:t>ECE</w:t>
      </w:r>
      <w:r w:rsidR="008B5214" w:rsidRPr="003F74E8">
        <w:rPr>
          <w:rFonts w:cstheme="minorHAnsi"/>
          <w:sz w:val="22"/>
          <w:szCs w:val="22"/>
        </w:rPr>
        <w:t>C. [</w:t>
      </w:r>
      <w:r w:rsidR="008B5214" w:rsidRPr="003F74E8">
        <w:rPr>
          <w:rFonts w:cstheme="minorHAnsi"/>
          <w:b/>
          <w:bCs/>
          <w:sz w:val="22"/>
          <w:szCs w:val="22"/>
        </w:rPr>
        <w:t>Draft recommendation 3.6</w:t>
      </w:r>
      <w:r w:rsidR="008B5214" w:rsidRPr="003F74E8">
        <w:rPr>
          <w:rFonts w:cstheme="minorHAnsi"/>
          <w:sz w:val="22"/>
          <w:szCs w:val="22"/>
        </w:rPr>
        <w:t>]</w:t>
      </w:r>
    </w:p>
    <w:p w14:paraId="61B548C1" w14:textId="77777777" w:rsidR="007E5F2E" w:rsidRPr="003F74E8" w:rsidRDefault="007E5F2E" w:rsidP="007E5F2E">
      <w:pPr>
        <w:pStyle w:val="ListBullet2"/>
        <w:numPr>
          <w:ilvl w:val="0"/>
          <w:numId w:val="0"/>
        </w:numPr>
        <w:ind w:left="587"/>
        <w:rPr>
          <w:rFonts w:eastAsia="Arial" w:cstheme="minorHAnsi"/>
          <w:sz w:val="22"/>
          <w:szCs w:val="22"/>
        </w:rPr>
      </w:pPr>
      <w:r w:rsidRPr="003F74E8">
        <w:rPr>
          <w:rFonts w:eastAsia="Arial" w:cstheme="minorHAnsi"/>
          <w:sz w:val="22"/>
          <w:szCs w:val="22"/>
        </w:rPr>
        <w:t>BY</w:t>
      </w:r>
    </w:p>
    <w:p w14:paraId="1E05ABDD" w14:textId="6AD41A35" w:rsidR="008E7AA5" w:rsidRPr="00511E17" w:rsidRDefault="008B5214" w:rsidP="00511E17">
      <w:pPr>
        <w:pStyle w:val="ListBullet2"/>
        <w:numPr>
          <w:ilvl w:val="0"/>
          <w:numId w:val="6"/>
        </w:numPr>
        <w:rPr>
          <w:rFonts w:eastAsia="Arial" w:cstheme="minorHAnsi"/>
          <w:sz w:val="22"/>
          <w:szCs w:val="22"/>
        </w:rPr>
      </w:pPr>
      <w:r w:rsidRPr="003F77DA">
        <w:rPr>
          <w:rFonts w:eastAsia="Arial" w:cstheme="minorHAnsi"/>
          <w:b/>
          <w:bCs/>
          <w:sz w:val="22"/>
          <w:szCs w:val="22"/>
        </w:rPr>
        <w:t xml:space="preserve">recognising the </w:t>
      </w:r>
      <w:r w:rsidRPr="003F77DA">
        <w:rPr>
          <w:rFonts w:cstheme="minorHAnsi"/>
          <w:b/>
          <w:bCs/>
          <w:sz w:val="22"/>
          <w:szCs w:val="22"/>
        </w:rPr>
        <w:t xml:space="preserve">need for </w:t>
      </w:r>
      <w:r w:rsidR="00AB300B" w:rsidRPr="003F77DA">
        <w:rPr>
          <w:rFonts w:cstheme="minorHAnsi"/>
          <w:b/>
          <w:bCs/>
          <w:sz w:val="22"/>
          <w:szCs w:val="22"/>
        </w:rPr>
        <w:t xml:space="preserve">and providing </w:t>
      </w:r>
      <w:r w:rsidR="00AE09E6" w:rsidRPr="003F77DA">
        <w:rPr>
          <w:rFonts w:cstheme="minorHAnsi"/>
          <w:b/>
          <w:bCs/>
          <w:sz w:val="22"/>
          <w:szCs w:val="22"/>
        </w:rPr>
        <w:t xml:space="preserve">operational </w:t>
      </w:r>
      <w:r w:rsidR="00AB300B" w:rsidRPr="003F77DA">
        <w:rPr>
          <w:rFonts w:cstheme="minorHAnsi"/>
          <w:b/>
          <w:bCs/>
          <w:sz w:val="22"/>
          <w:szCs w:val="22"/>
        </w:rPr>
        <w:t xml:space="preserve">funding for </w:t>
      </w:r>
      <w:r w:rsidRPr="003F77DA">
        <w:rPr>
          <w:rFonts w:cstheme="minorHAnsi"/>
          <w:b/>
          <w:bCs/>
          <w:sz w:val="22"/>
          <w:szCs w:val="22"/>
        </w:rPr>
        <w:t xml:space="preserve">targeted professional learning </w:t>
      </w:r>
      <w:r w:rsidR="00743F5A" w:rsidRPr="003F77DA">
        <w:rPr>
          <w:rFonts w:cstheme="minorHAnsi"/>
          <w:b/>
          <w:bCs/>
          <w:sz w:val="22"/>
          <w:szCs w:val="22"/>
        </w:rPr>
        <w:t xml:space="preserve">and resource support </w:t>
      </w:r>
      <w:r w:rsidRPr="003F77DA">
        <w:rPr>
          <w:rFonts w:cstheme="minorHAnsi"/>
          <w:sz w:val="22"/>
          <w:szCs w:val="22"/>
        </w:rPr>
        <w:t xml:space="preserve">to </w:t>
      </w:r>
      <w:r w:rsidR="007C31F2" w:rsidRPr="003F77DA">
        <w:rPr>
          <w:rFonts w:cstheme="minorHAnsi"/>
          <w:sz w:val="22"/>
          <w:szCs w:val="22"/>
        </w:rPr>
        <w:t>identify</w:t>
      </w:r>
      <w:r w:rsidR="00511E17" w:rsidRPr="003F77DA">
        <w:rPr>
          <w:rFonts w:cstheme="minorHAnsi"/>
          <w:sz w:val="22"/>
          <w:szCs w:val="22"/>
        </w:rPr>
        <w:t xml:space="preserve"> and address</w:t>
      </w:r>
      <w:r w:rsidR="007C31F2" w:rsidRPr="003F77DA">
        <w:rPr>
          <w:rFonts w:cstheme="minorHAnsi"/>
          <w:sz w:val="22"/>
          <w:szCs w:val="22"/>
        </w:rPr>
        <w:t xml:space="preserve"> </w:t>
      </w:r>
      <w:r w:rsidRPr="003F77DA">
        <w:rPr>
          <w:rFonts w:cstheme="minorHAnsi"/>
          <w:sz w:val="22"/>
          <w:szCs w:val="22"/>
        </w:rPr>
        <w:t xml:space="preserve">localised issues and </w:t>
      </w:r>
      <w:r w:rsidR="00511E17" w:rsidRPr="003F77DA">
        <w:rPr>
          <w:rFonts w:cstheme="minorHAnsi"/>
          <w:sz w:val="22"/>
          <w:szCs w:val="22"/>
        </w:rPr>
        <w:t>barriers</w:t>
      </w:r>
      <w:r w:rsidRPr="003F77DA">
        <w:rPr>
          <w:rFonts w:cstheme="minorHAnsi"/>
          <w:sz w:val="22"/>
          <w:szCs w:val="22"/>
        </w:rPr>
        <w:t xml:space="preserve"> related to community disadvantage, child vulnerability and equitable access</w:t>
      </w:r>
      <w:r w:rsidR="007C31F2">
        <w:rPr>
          <w:rFonts w:cstheme="minorHAnsi"/>
          <w:sz w:val="22"/>
          <w:szCs w:val="22"/>
        </w:rPr>
        <w:t xml:space="preserve"> </w:t>
      </w:r>
      <w:r w:rsidR="008F6290" w:rsidRPr="003F74E8">
        <w:rPr>
          <w:rFonts w:cstheme="minorHAnsi"/>
          <w:sz w:val="22"/>
          <w:szCs w:val="22"/>
        </w:rPr>
        <w:t>[</w:t>
      </w:r>
      <w:r w:rsidR="00A61826" w:rsidRPr="003F74E8">
        <w:rPr>
          <w:rFonts w:cstheme="minorHAnsi"/>
          <w:b/>
          <w:bCs/>
          <w:sz w:val="22"/>
          <w:szCs w:val="22"/>
        </w:rPr>
        <w:t>A</w:t>
      </w:r>
      <w:r w:rsidR="008F6290" w:rsidRPr="003F74E8">
        <w:rPr>
          <w:rFonts w:cstheme="minorHAnsi"/>
          <w:b/>
          <w:bCs/>
          <w:sz w:val="22"/>
          <w:szCs w:val="22"/>
        </w:rPr>
        <w:t>ddition 1</w:t>
      </w:r>
      <w:r w:rsidR="00A61826" w:rsidRPr="003F74E8">
        <w:rPr>
          <w:rFonts w:cstheme="minorHAnsi"/>
          <w:sz w:val="22"/>
          <w:szCs w:val="22"/>
        </w:rPr>
        <w:t>]</w:t>
      </w:r>
    </w:p>
    <w:p w14:paraId="6ABBD6F0" w14:textId="77777777" w:rsidR="00511E17" w:rsidRPr="00511E17" w:rsidRDefault="00511E17" w:rsidP="00511E17">
      <w:pPr>
        <w:pStyle w:val="ListBullet2"/>
        <w:numPr>
          <w:ilvl w:val="0"/>
          <w:numId w:val="0"/>
        </w:numPr>
        <w:ind w:left="587"/>
        <w:rPr>
          <w:rFonts w:eastAsia="Arial" w:cstheme="minorHAnsi"/>
          <w:sz w:val="22"/>
          <w:szCs w:val="22"/>
        </w:rPr>
      </w:pPr>
    </w:p>
    <w:p w14:paraId="7723A2B2" w14:textId="5B33D624" w:rsidR="00F73CA2" w:rsidRPr="003F74E8" w:rsidRDefault="00C36B1F" w:rsidP="00A52D3C">
      <w:pPr>
        <w:pStyle w:val="ListBullet"/>
        <w:rPr>
          <w:rFonts w:cstheme="minorHAnsi"/>
          <w:sz w:val="22"/>
          <w:szCs w:val="22"/>
        </w:rPr>
      </w:pPr>
      <w:r w:rsidRPr="003F74E8">
        <w:rPr>
          <w:rFonts w:cstheme="minorHAnsi"/>
          <w:sz w:val="22"/>
          <w:szCs w:val="22"/>
        </w:rPr>
        <w:t>A r</w:t>
      </w:r>
      <w:r w:rsidR="00B97C5C" w:rsidRPr="003F74E8">
        <w:rPr>
          <w:rFonts w:cstheme="minorHAnsi"/>
          <w:sz w:val="22"/>
          <w:szCs w:val="22"/>
        </w:rPr>
        <w:t xml:space="preserve">eview of the </w:t>
      </w:r>
      <w:r w:rsidRPr="003F74E8">
        <w:rPr>
          <w:rFonts w:cstheme="minorHAnsi"/>
          <w:sz w:val="22"/>
          <w:szCs w:val="22"/>
        </w:rPr>
        <w:t xml:space="preserve">National Quality Framework </w:t>
      </w:r>
      <w:r w:rsidR="00D7415C" w:rsidRPr="003F74E8">
        <w:rPr>
          <w:rFonts w:cstheme="minorHAnsi"/>
          <w:sz w:val="22"/>
          <w:szCs w:val="22"/>
        </w:rPr>
        <w:t xml:space="preserve">focussing on the </w:t>
      </w:r>
      <w:r w:rsidR="00B97C5C" w:rsidRPr="003F74E8">
        <w:rPr>
          <w:rFonts w:cstheme="minorHAnsi"/>
          <w:sz w:val="22"/>
          <w:szCs w:val="22"/>
        </w:rPr>
        <w:t xml:space="preserve">way in which services are assessed against the National Quality Standard, </w:t>
      </w:r>
      <w:proofErr w:type="gramStart"/>
      <w:r w:rsidR="00094DDC" w:rsidRPr="003F74E8">
        <w:rPr>
          <w:rFonts w:cstheme="minorHAnsi"/>
          <w:sz w:val="22"/>
          <w:szCs w:val="22"/>
        </w:rPr>
        <w:t>in order for</w:t>
      </w:r>
      <w:proofErr w:type="gramEnd"/>
      <w:r w:rsidR="00094DDC" w:rsidRPr="003F74E8">
        <w:rPr>
          <w:rFonts w:cstheme="minorHAnsi"/>
          <w:sz w:val="22"/>
          <w:szCs w:val="22"/>
        </w:rPr>
        <w:t xml:space="preserve"> assessments to be made more accurate, consistent and efficient</w:t>
      </w:r>
      <w:r w:rsidR="00A52D3C" w:rsidRPr="003F74E8">
        <w:rPr>
          <w:rFonts w:cstheme="minorHAnsi"/>
          <w:sz w:val="22"/>
          <w:szCs w:val="22"/>
        </w:rPr>
        <w:t xml:space="preserve">, </w:t>
      </w:r>
      <w:r w:rsidR="00F73CA2" w:rsidRPr="003F74E8">
        <w:rPr>
          <w:rFonts w:cstheme="minorHAnsi"/>
          <w:sz w:val="22"/>
          <w:szCs w:val="22"/>
        </w:rPr>
        <w:t xml:space="preserve">specifically: </w:t>
      </w:r>
    </w:p>
    <w:p w14:paraId="49CC213E" w14:textId="0E5573C0" w:rsidR="000A73BD" w:rsidRPr="003F74E8" w:rsidRDefault="00E71375" w:rsidP="0008265D">
      <w:pPr>
        <w:pStyle w:val="TableListBullet"/>
        <w:numPr>
          <w:ilvl w:val="0"/>
          <w:numId w:val="6"/>
        </w:numPr>
        <w:rPr>
          <w:rFonts w:cstheme="minorHAnsi"/>
          <w:sz w:val="22"/>
          <w:szCs w:val="22"/>
        </w:rPr>
      </w:pPr>
      <w:r w:rsidRPr="003F74E8">
        <w:rPr>
          <w:rFonts w:cstheme="minorHAnsi"/>
          <w:sz w:val="22"/>
          <w:szCs w:val="22"/>
        </w:rPr>
        <w:t>T</w:t>
      </w:r>
      <w:r w:rsidR="00DA3E54" w:rsidRPr="003F74E8">
        <w:rPr>
          <w:rFonts w:cstheme="minorHAnsi"/>
          <w:sz w:val="22"/>
          <w:szCs w:val="22"/>
        </w:rPr>
        <w:t>o</w:t>
      </w:r>
      <w:r w:rsidRPr="003F74E8">
        <w:rPr>
          <w:rFonts w:cstheme="minorHAnsi"/>
          <w:sz w:val="22"/>
          <w:szCs w:val="22"/>
        </w:rPr>
        <w:t xml:space="preserve"> improve </w:t>
      </w:r>
      <w:r w:rsidR="00EB3B6F" w:rsidRPr="003F74E8">
        <w:rPr>
          <w:rFonts w:cstheme="minorHAnsi"/>
          <w:sz w:val="22"/>
          <w:szCs w:val="22"/>
        </w:rPr>
        <w:t xml:space="preserve">the transparency of the </w:t>
      </w:r>
      <w:r w:rsidR="007D1FCE">
        <w:rPr>
          <w:rFonts w:cstheme="minorHAnsi"/>
          <w:sz w:val="22"/>
          <w:szCs w:val="22"/>
        </w:rPr>
        <w:t>ECE</w:t>
      </w:r>
      <w:r w:rsidR="00EB3B6F" w:rsidRPr="003F74E8">
        <w:rPr>
          <w:rFonts w:cstheme="minorHAnsi"/>
          <w:sz w:val="22"/>
          <w:szCs w:val="22"/>
        </w:rPr>
        <w:t>C regulatory system, including metrics</w:t>
      </w:r>
      <w:r w:rsidR="008A211A" w:rsidRPr="003F74E8">
        <w:rPr>
          <w:rFonts w:cstheme="minorHAnsi"/>
          <w:sz w:val="22"/>
          <w:szCs w:val="22"/>
        </w:rPr>
        <w:t xml:space="preserve"> on … monitoring, </w:t>
      </w:r>
      <w:proofErr w:type="gramStart"/>
      <w:r w:rsidR="008A211A" w:rsidRPr="003F74E8">
        <w:rPr>
          <w:rFonts w:cstheme="minorHAnsi"/>
          <w:sz w:val="22"/>
          <w:szCs w:val="22"/>
        </w:rPr>
        <w:t>compliance</w:t>
      </w:r>
      <w:proofErr w:type="gramEnd"/>
      <w:r w:rsidR="008A211A" w:rsidRPr="003F74E8">
        <w:rPr>
          <w:rFonts w:cstheme="minorHAnsi"/>
          <w:sz w:val="22"/>
          <w:szCs w:val="22"/>
        </w:rPr>
        <w:t xml:space="preserve"> and enforcement activities</w:t>
      </w:r>
      <w:r w:rsidR="000A73BD" w:rsidRPr="003F74E8">
        <w:rPr>
          <w:rFonts w:cstheme="minorHAnsi"/>
          <w:sz w:val="22"/>
          <w:szCs w:val="22"/>
        </w:rPr>
        <w:t xml:space="preserve"> [</w:t>
      </w:r>
      <w:r w:rsidR="000A73BD" w:rsidRPr="003F74E8">
        <w:rPr>
          <w:rFonts w:cstheme="minorHAnsi"/>
          <w:b/>
          <w:bCs/>
          <w:sz w:val="22"/>
          <w:szCs w:val="22"/>
        </w:rPr>
        <w:t>Draft recommendation 8.1</w:t>
      </w:r>
      <w:r w:rsidR="000A73BD" w:rsidRPr="003F74E8">
        <w:rPr>
          <w:rFonts w:cstheme="minorHAnsi"/>
          <w:sz w:val="22"/>
          <w:szCs w:val="22"/>
        </w:rPr>
        <w:t>]</w:t>
      </w:r>
    </w:p>
    <w:p w14:paraId="03487A1F" w14:textId="06EC7451" w:rsidR="000A73BD" w:rsidRPr="003F74E8" w:rsidRDefault="000A73BD" w:rsidP="000A73BD">
      <w:pPr>
        <w:pStyle w:val="TableListBullet"/>
        <w:numPr>
          <w:ilvl w:val="0"/>
          <w:numId w:val="0"/>
        </w:numPr>
        <w:ind w:left="587"/>
        <w:rPr>
          <w:rFonts w:cstheme="minorHAnsi"/>
          <w:sz w:val="22"/>
          <w:szCs w:val="22"/>
        </w:rPr>
      </w:pPr>
      <w:r w:rsidRPr="003F74E8">
        <w:rPr>
          <w:rFonts w:cstheme="minorHAnsi"/>
          <w:sz w:val="22"/>
          <w:szCs w:val="22"/>
        </w:rPr>
        <w:t>AND</w:t>
      </w:r>
    </w:p>
    <w:p w14:paraId="2C1C4E9E" w14:textId="4E161C1B" w:rsidR="0042018B" w:rsidRPr="003F74E8" w:rsidRDefault="00DA3E54" w:rsidP="0008265D">
      <w:pPr>
        <w:pStyle w:val="TableListBullet"/>
        <w:numPr>
          <w:ilvl w:val="0"/>
          <w:numId w:val="6"/>
        </w:numPr>
        <w:rPr>
          <w:rFonts w:cstheme="minorHAnsi"/>
          <w:sz w:val="22"/>
          <w:szCs w:val="22"/>
        </w:rPr>
      </w:pPr>
      <w:r w:rsidRPr="003F74E8">
        <w:rPr>
          <w:rFonts w:cstheme="minorHAnsi"/>
          <w:sz w:val="22"/>
          <w:szCs w:val="22"/>
        </w:rPr>
        <w:t xml:space="preserve">incorporate feedback from </w:t>
      </w:r>
      <w:r w:rsidR="007D1FCE">
        <w:rPr>
          <w:rFonts w:cstheme="minorHAnsi"/>
          <w:sz w:val="22"/>
          <w:szCs w:val="22"/>
        </w:rPr>
        <w:t>ECE</w:t>
      </w:r>
      <w:r w:rsidRPr="003F74E8">
        <w:rPr>
          <w:rFonts w:cstheme="minorHAnsi"/>
          <w:sz w:val="22"/>
          <w:szCs w:val="22"/>
        </w:rPr>
        <w:t xml:space="preserve">C providers as well as new findings from research on </w:t>
      </w:r>
      <w:r w:rsidR="007D1FCE">
        <w:rPr>
          <w:rFonts w:cstheme="minorHAnsi"/>
          <w:sz w:val="22"/>
          <w:szCs w:val="22"/>
        </w:rPr>
        <w:t>ECE</w:t>
      </w:r>
      <w:r w:rsidRPr="003F74E8">
        <w:rPr>
          <w:rFonts w:cstheme="minorHAnsi"/>
          <w:sz w:val="22"/>
          <w:szCs w:val="22"/>
        </w:rPr>
        <w:t>C quality</w:t>
      </w:r>
      <w:r w:rsidR="00B47705" w:rsidRPr="003F74E8">
        <w:rPr>
          <w:rFonts w:cstheme="minorHAnsi"/>
          <w:sz w:val="22"/>
          <w:szCs w:val="22"/>
        </w:rPr>
        <w:t xml:space="preserve"> </w:t>
      </w:r>
      <w:r w:rsidRPr="003F74E8">
        <w:rPr>
          <w:rFonts w:cstheme="minorHAnsi"/>
          <w:sz w:val="22"/>
          <w:szCs w:val="22"/>
        </w:rPr>
        <w:t>[</w:t>
      </w:r>
      <w:r w:rsidRPr="003F74E8">
        <w:rPr>
          <w:rFonts w:cstheme="minorHAnsi"/>
          <w:b/>
          <w:bCs/>
          <w:sz w:val="22"/>
          <w:szCs w:val="22"/>
        </w:rPr>
        <w:t>Draft recommendation 8.2</w:t>
      </w:r>
      <w:r w:rsidRPr="003F74E8">
        <w:rPr>
          <w:rFonts w:cstheme="minorHAnsi"/>
          <w:sz w:val="22"/>
          <w:szCs w:val="22"/>
        </w:rPr>
        <w:t>]</w:t>
      </w:r>
    </w:p>
    <w:p w14:paraId="0C12B1C6" w14:textId="1682E834" w:rsidR="00E71375" w:rsidRPr="003F74E8" w:rsidRDefault="001C77DC" w:rsidP="00E71375">
      <w:pPr>
        <w:pStyle w:val="TableListBullet"/>
        <w:numPr>
          <w:ilvl w:val="0"/>
          <w:numId w:val="0"/>
        </w:numPr>
        <w:ind w:left="587"/>
        <w:rPr>
          <w:rFonts w:cstheme="minorHAnsi"/>
          <w:sz w:val="22"/>
          <w:szCs w:val="22"/>
        </w:rPr>
      </w:pPr>
      <w:r w:rsidRPr="003F74E8">
        <w:rPr>
          <w:rFonts w:cstheme="minorHAnsi"/>
          <w:sz w:val="22"/>
          <w:szCs w:val="22"/>
        </w:rPr>
        <w:t>BY</w:t>
      </w:r>
    </w:p>
    <w:p w14:paraId="75B1047C" w14:textId="4CF308CB" w:rsidR="0042018B" w:rsidRPr="003F74E8" w:rsidRDefault="00BE6978" w:rsidP="0064779E">
      <w:pPr>
        <w:pStyle w:val="ListParagraph"/>
        <w:numPr>
          <w:ilvl w:val="0"/>
          <w:numId w:val="6"/>
        </w:numPr>
        <w:rPr>
          <w:rFonts w:cstheme="minorHAnsi"/>
        </w:rPr>
      </w:pPr>
      <w:r w:rsidRPr="003F77DA">
        <w:rPr>
          <w:rFonts w:cstheme="minorHAnsi"/>
          <w:b/>
          <w:bCs/>
        </w:rPr>
        <w:t xml:space="preserve">including collection of </w:t>
      </w:r>
      <w:r w:rsidR="00A61826" w:rsidRPr="003F77DA">
        <w:rPr>
          <w:rFonts w:cstheme="minorHAnsi"/>
          <w:b/>
          <w:bCs/>
        </w:rPr>
        <w:t>information on staffing</w:t>
      </w:r>
      <w:r w:rsidRPr="003F77DA">
        <w:rPr>
          <w:rFonts w:cstheme="minorHAnsi"/>
          <w:b/>
          <w:bCs/>
        </w:rPr>
        <w:t xml:space="preserve"> a</w:t>
      </w:r>
      <w:r w:rsidR="00730101" w:rsidRPr="003F77DA">
        <w:rPr>
          <w:rFonts w:cstheme="minorHAnsi"/>
          <w:b/>
          <w:bCs/>
        </w:rPr>
        <w:t xml:space="preserve">s part of the </w:t>
      </w:r>
      <w:r w:rsidR="00D4741C" w:rsidRPr="003F77DA">
        <w:rPr>
          <w:rFonts w:cstheme="minorHAnsi"/>
          <w:b/>
          <w:bCs/>
        </w:rPr>
        <w:t xml:space="preserve">NQS </w:t>
      </w:r>
      <w:r w:rsidR="00730101" w:rsidRPr="003F77DA">
        <w:rPr>
          <w:rFonts w:cstheme="minorHAnsi"/>
          <w:b/>
          <w:bCs/>
        </w:rPr>
        <w:t>Assessment and Rating process</w:t>
      </w:r>
      <w:r w:rsidR="00A61826" w:rsidRPr="003F77DA">
        <w:rPr>
          <w:rFonts w:cstheme="minorHAnsi"/>
          <w:b/>
          <w:bCs/>
        </w:rPr>
        <w:t xml:space="preserve"> </w:t>
      </w:r>
      <w:r w:rsidR="00AB300B" w:rsidRPr="003F77DA">
        <w:rPr>
          <w:rFonts w:cstheme="minorHAnsi"/>
        </w:rPr>
        <w:t xml:space="preserve">in relation to legislated </w:t>
      </w:r>
      <w:r w:rsidR="00A61826" w:rsidRPr="003F77DA">
        <w:rPr>
          <w:rFonts w:cstheme="minorHAnsi"/>
        </w:rPr>
        <w:t>requirements</w:t>
      </w:r>
      <w:r w:rsidR="00AB300B" w:rsidRPr="003F77DA">
        <w:rPr>
          <w:rFonts w:cstheme="minorHAnsi"/>
        </w:rPr>
        <w:t xml:space="preserve"> </w:t>
      </w:r>
      <w:r w:rsidR="007D2A75" w:rsidRPr="003F77DA">
        <w:rPr>
          <w:rFonts w:cstheme="minorHAnsi"/>
        </w:rPr>
        <w:t>for age group, qualification, ratios</w:t>
      </w:r>
      <w:r w:rsidR="007D2A75" w:rsidRPr="003F77DA">
        <w:rPr>
          <w:rFonts w:cstheme="minorHAnsi"/>
          <w:b/>
          <w:bCs/>
        </w:rPr>
        <w:t xml:space="preserve"> [Ad</w:t>
      </w:r>
      <w:r w:rsidR="007D2A75" w:rsidRPr="003F74E8">
        <w:rPr>
          <w:rFonts w:cstheme="minorHAnsi"/>
          <w:b/>
          <w:bCs/>
        </w:rPr>
        <w:t>dition 2</w:t>
      </w:r>
      <w:r w:rsidR="007D2A75" w:rsidRPr="003F74E8">
        <w:rPr>
          <w:rFonts w:cstheme="minorHAnsi"/>
        </w:rPr>
        <w:t xml:space="preserve">]   </w:t>
      </w:r>
    </w:p>
    <w:p w14:paraId="48BCB8FD" w14:textId="77777777" w:rsidR="00563D1A" w:rsidRPr="003F74E8" w:rsidRDefault="00563D1A">
      <w:pPr>
        <w:rPr>
          <w:rFonts w:cstheme="minorHAnsi"/>
        </w:rPr>
      </w:pPr>
    </w:p>
    <w:p w14:paraId="02514F75" w14:textId="76F0D951" w:rsidR="00F561C2" w:rsidRPr="00D836A2" w:rsidRDefault="00D836A2">
      <w:pPr>
        <w:rPr>
          <w:rFonts w:cstheme="minorHAnsi"/>
          <w:b/>
          <w:bCs/>
        </w:rPr>
      </w:pPr>
      <w:r w:rsidRPr="00D836A2">
        <w:rPr>
          <w:rFonts w:cstheme="minorHAnsi"/>
          <w:b/>
          <w:bCs/>
        </w:rPr>
        <w:t>RESPONSE</w:t>
      </w:r>
      <w:r w:rsidR="00586D5A">
        <w:rPr>
          <w:rFonts w:cstheme="minorHAnsi"/>
          <w:b/>
          <w:bCs/>
        </w:rPr>
        <w:t xml:space="preserve"> TO DRAFT REPORT: </w:t>
      </w:r>
      <w:r w:rsidRPr="00D836A2">
        <w:rPr>
          <w:rFonts w:cstheme="minorHAnsi"/>
          <w:b/>
          <w:bCs/>
        </w:rPr>
        <w:t>SUGGESTED ADDITIONS</w:t>
      </w:r>
    </w:p>
    <w:p w14:paraId="2D51F75F" w14:textId="77777777" w:rsidR="000C0081" w:rsidRPr="000C0081" w:rsidRDefault="004221CC" w:rsidP="000C0081">
      <w:pPr>
        <w:pStyle w:val="ListParagraph"/>
        <w:numPr>
          <w:ilvl w:val="0"/>
          <w:numId w:val="7"/>
        </w:numPr>
        <w:spacing w:after="0"/>
        <w:ind w:left="426"/>
      </w:pPr>
      <w:r w:rsidRPr="00511E17">
        <w:rPr>
          <w:rFonts w:cstheme="minorHAnsi"/>
          <w:b/>
          <w:bCs/>
        </w:rPr>
        <w:t>Provid</w:t>
      </w:r>
      <w:r w:rsidR="00CD41DB" w:rsidRPr="00511E17">
        <w:rPr>
          <w:rFonts w:cstheme="minorHAnsi"/>
          <w:b/>
          <w:bCs/>
        </w:rPr>
        <w:t>e</w:t>
      </w:r>
      <w:r w:rsidRPr="00511E17">
        <w:rPr>
          <w:rFonts w:cstheme="minorHAnsi"/>
          <w:b/>
          <w:bCs/>
        </w:rPr>
        <w:t xml:space="preserve"> </w:t>
      </w:r>
      <w:r w:rsidR="00586D5A" w:rsidRPr="00511E17">
        <w:rPr>
          <w:rFonts w:cstheme="minorHAnsi"/>
          <w:b/>
          <w:bCs/>
        </w:rPr>
        <w:t xml:space="preserve">operational </w:t>
      </w:r>
      <w:r w:rsidRPr="00511E17">
        <w:rPr>
          <w:rFonts w:cstheme="minorHAnsi"/>
          <w:b/>
          <w:bCs/>
        </w:rPr>
        <w:t>funding for targeted professional learning</w:t>
      </w:r>
      <w:r w:rsidRPr="00511E17">
        <w:rPr>
          <w:rFonts w:cstheme="minorHAnsi"/>
        </w:rPr>
        <w:t xml:space="preserve"> </w:t>
      </w:r>
      <w:r w:rsidR="00923F1F" w:rsidRPr="00511E17">
        <w:rPr>
          <w:rFonts w:cstheme="minorHAnsi"/>
          <w:b/>
          <w:bCs/>
        </w:rPr>
        <w:t>and</w:t>
      </w:r>
      <w:r w:rsidR="004D5792" w:rsidRPr="00511E17">
        <w:rPr>
          <w:rFonts w:cstheme="minorHAnsi"/>
          <w:b/>
          <w:bCs/>
        </w:rPr>
        <w:t xml:space="preserve"> resource</w:t>
      </w:r>
      <w:r w:rsidR="00923F1F" w:rsidRPr="00511E17">
        <w:rPr>
          <w:rFonts w:cstheme="minorHAnsi"/>
          <w:b/>
          <w:bCs/>
        </w:rPr>
        <w:t xml:space="preserve"> </w:t>
      </w:r>
      <w:r w:rsidR="004D5792" w:rsidRPr="00511E17">
        <w:rPr>
          <w:rFonts w:cstheme="minorHAnsi"/>
          <w:b/>
          <w:bCs/>
        </w:rPr>
        <w:t>s</w:t>
      </w:r>
      <w:r w:rsidR="00923F1F" w:rsidRPr="00511E17">
        <w:rPr>
          <w:rFonts w:cstheme="minorHAnsi"/>
          <w:b/>
          <w:bCs/>
        </w:rPr>
        <w:t>upport</w:t>
      </w:r>
      <w:r w:rsidR="004D1EF5" w:rsidRPr="00511E17">
        <w:rPr>
          <w:rFonts w:cstheme="minorHAnsi"/>
        </w:rPr>
        <w:t xml:space="preserve"> to</w:t>
      </w:r>
      <w:r w:rsidR="00CD41DB" w:rsidRPr="00511E17">
        <w:rPr>
          <w:rFonts w:cstheme="minorHAnsi"/>
        </w:rPr>
        <w:t xml:space="preserve"> identify</w:t>
      </w:r>
      <w:r w:rsidRPr="00511E17">
        <w:rPr>
          <w:rFonts w:cstheme="minorHAnsi"/>
        </w:rPr>
        <w:t xml:space="preserve"> </w:t>
      </w:r>
      <w:r w:rsidR="004D5792" w:rsidRPr="00511E17">
        <w:rPr>
          <w:rFonts w:cstheme="minorHAnsi"/>
        </w:rPr>
        <w:t xml:space="preserve">and address </w:t>
      </w:r>
      <w:r w:rsidRPr="00511E17">
        <w:rPr>
          <w:rFonts w:cstheme="minorHAnsi"/>
        </w:rPr>
        <w:t xml:space="preserve">localised issues and </w:t>
      </w:r>
      <w:r w:rsidR="008B4369" w:rsidRPr="00511E17">
        <w:rPr>
          <w:rFonts w:cstheme="minorHAnsi"/>
        </w:rPr>
        <w:t>barrier</w:t>
      </w:r>
      <w:r w:rsidRPr="00511E17">
        <w:rPr>
          <w:rFonts w:cstheme="minorHAnsi"/>
        </w:rPr>
        <w:t xml:space="preserve">s related to </w:t>
      </w:r>
      <w:r w:rsidR="00511E17" w:rsidRPr="003F74E8">
        <w:rPr>
          <w:rFonts w:cstheme="minorHAnsi"/>
        </w:rPr>
        <w:t>community disadvantage, child vulnerability and equitable access</w:t>
      </w:r>
      <w:r w:rsidR="00511E17">
        <w:rPr>
          <w:rFonts w:cstheme="minorHAnsi"/>
        </w:rPr>
        <w:t xml:space="preserve"> </w:t>
      </w:r>
    </w:p>
    <w:p w14:paraId="193BCA59" w14:textId="77777777" w:rsidR="000C0081" w:rsidRDefault="000C0081" w:rsidP="000C0081">
      <w:pPr>
        <w:spacing w:after="0"/>
        <w:ind w:left="66"/>
        <w:rPr>
          <w:rFonts w:cstheme="minorHAnsi"/>
        </w:rPr>
      </w:pPr>
    </w:p>
    <w:p w14:paraId="1143B790" w14:textId="793A945E" w:rsidR="00D576FF" w:rsidRDefault="00170B51" w:rsidP="000C0081">
      <w:pPr>
        <w:spacing w:after="0"/>
        <w:ind w:left="66"/>
        <w:rPr>
          <w:rFonts w:eastAsia="Calibri"/>
        </w:rPr>
      </w:pPr>
      <w:r w:rsidRPr="000C0081">
        <w:rPr>
          <w:rFonts w:cstheme="minorHAnsi"/>
        </w:rPr>
        <w:t>This suggest</w:t>
      </w:r>
      <w:r w:rsidR="004D1EF5" w:rsidRPr="000C0081">
        <w:rPr>
          <w:rFonts w:cstheme="minorHAnsi"/>
        </w:rPr>
        <w:t>ed addition to the Draft Report</w:t>
      </w:r>
      <w:r w:rsidRPr="000C0081">
        <w:rPr>
          <w:rFonts w:cstheme="minorHAnsi"/>
        </w:rPr>
        <w:t xml:space="preserve"> is </w:t>
      </w:r>
      <w:r w:rsidR="00816395" w:rsidRPr="000C0081">
        <w:rPr>
          <w:rFonts w:cstheme="minorHAnsi"/>
        </w:rPr>
        <w:t xml:space="preserve">based on the findings </w:t>
      </w:r>
      <w:r w:rsidR="00504592">
        <w:rPr>
          <w:rFonts w:cstheme="minorHAnsi"/>
        </w:rPr>
        <w:t>of the</w:t>
      </w:r>
      <w:r w:rsidR="00816395" w:rsidRPr="000C0081">
        <w:rPr>
          <w:rFonts w:cstheme="minorHAnsi"/>
        </w:rPr>
        <w:t xml:space="preserve"> Supporting Participation in Early Childhood Education (SPi</w:t>
      </w:r>
      <w:r w:rsidR="007D1FCE">
        <w:rPr>
          <w:rFonts w:cstheme="minorHAnsi"/>
        </w:rPr>
        <w:t>ECE</w:t>
      </w:r>
      <w:r w:rsidR="00816395" w:rsidRPr="000C0081">
        <w:rPr>
          <w:rFonts w:cstheme="minorHAnsi"/>
        </w:rPr>
        <w:t xml:space="preserve">) research </w:t>
      </w:r>
      <w:r w:rsidR="00525486" w:rsidRPr="000C0081">
        <w:rPr>
          <w:rFonts w:cstheme="minorHAnsi"/>
        </w:rPr>
        <w:t>(</w:t>
      </w:r>
      <w:r w:rsidR="008D60FF">
        <w:rPr>
          <w:rFonts w:cstheme="minorHAnsi"/>
        </w:rPr>
        <w:t>Harrison et al</w:t>
      </w:r>
      <w:r w:rsidR="003B1518">
        <w:rPr>
          <w:rFonts w:cstheme="minorHAnsi"/>
        </w:rPr>
        <w:t xml:space="preserve">. 2023b; </w:t>
      </w:r>
      <w:r w:rsidR="00525486" w:rsidRPr="000C0081">
        <w:rPr>
          <w:rFonts w:cstheme="minorHAnsi"/>
        </w:rPr>
        <w:t>Harrison et al., 2022)</w:t>
      </w:r>
      <w:r w:rsidR="00F96E8C">
        <w:rPr>
          <w:rFonts w:cstheme="minorHAnsi"/>
        </w:rPr>
        <w:t>, wh</w:t>
      </w:r>
      <w:r w:rsidR="00F96E8C">
        <w:rPr>
          <w:rFonts w:eastAsia="Calibri"/>
        </w:rPr>
        <w:t>ich was initiated by the NSW Department of Education</w:t>
      </w:r>
      <w:r w:rsidR="00DF4F2F">
        <w:rPr>
          <w:rFonts w:eastAsia="Calibri"/>
        </w:rPr>
        <w:t xml:space="preserve"> </w:t>
      </w:r>
      <w:r w:rsidR="00645AE2" w:rsidRPr="012649F2">
        <w:rPr>
          <w:rFonts w:eastAsia="Calibri"/>
        </w:rPr>
        <w:t xml:space="preserve">to “better understand and improve the participation of children from low SES backgrounds” and “build the evidence base and support future policy making on efficient and sustainable improvement” through gathering evidence on the </w:t>
      </w:r>
      <w:r w:rsidR="00645AE2" w:rsidRPr="012649F2">
        <w:rPr>
          <w:rFonts w:eastAsia="Calibri"/>
        </w:rPr>
        <w:lastRenderedPageBreak/>
        <w:t>measurable impact of non-fee intervention(s) on participation rates</w:t>
      </w:r>
      <w:r w:rsidR="00AE39E1">
        <w:rPr>
          <w:rFonts w:eastAsia="Calibri"/>
        </w:rPr>
        <w:t xml:space="preserve"> (</w:t>
      </w:r>
      <w:r w:rsidR="007C0F1E" w:rsidRPr="012649F2">
        <w:rPr>
          <w:rFonts w:eastAsia="Calibri"/>
        </w:rPr>
        <w:t>Request for Quotation and Statement of Requirements</w:t>
      </w:r>
      <w:r w:rsidR="00F96E8C">
        <w:rPr>
          <w:rFonts w:eastAsia="Calibri"/>
        </w:rPr>
        <w:t>).</w:t>
      </w:r>
      <w:r w:rsidR="00645AE2" w:rsidRPr="012649F2">
        <w:rPr>
          <w:rFonts w:eastAsia="Calibri"/>
        </w:rPr>
        <w:t xml:space="preserve"> </w:t>
      </w:r>
    </w:p>
    <w:p w14:paraId="24431BFA" w14:textId="77777777" w:rsidR="00D576FF" w:rsidRDefault="00D576FF" w:rsidP="000C0081">
      <w:pPr>
        <w:spacing w:after="0"/>
        <w:ind w:left="66"/>
        <w:rPr>
          <w:rFonts w:eastAsia="Calibri"/>
        </w:rPr>
      </w:pPr>
    </w:p>
    <w:p w14:paraId="4B1F87D7" w14:textId="2F0FAF51" w:rsidR="00525486" w:rsidRDefault="00CD131F" w:rsidP="000C0081">
      <w:pPr>
        <w:spacing w:after="0"/>
        <w:ind w:left="66"/>
      </w:pPr>
      <w:r w:rsidRPr="000C0081">
        <w:rPr>
          <w:rFonts w:cstheme="minorHAnsi"/>
        </w:rPr>
        <w:t xml:space="preserve">The </w:t>
      </w:r>
      <w:r w:rsidR="003B1518">
        <w:rPr>
          <w:rFonts w:cstheme="minorHAnsi"/>
        </w:rPr>
        <w:t xml:space="preserve">aim of the </w:t>
      </w:r>
      <w:r w:rsidRPr="000C0081">
        <w:rPr>
          <w:rFonts w:cstheme="minorHAnsi"/>
        </w:rPr>
        <w:t>SPi</w:t>
      </w:r>
      <w:r w:rsidR="007D1FCE">
        <w:rPr>
          <w:rFonts w:cstheme="minorHAnsi"/>
        </w:rPr>
        <w:t>ECE</w:t>
      </w:r>
      <w:r w:rsidRPr="000C0081">
        <w:rPr>
          <w:rFonts w:cstheme="minorHAnsi"/>
        </w:rPr>
        <w:t xml:space="preserve"> project</w:t>
      </w:r>
      <w:r w:rsidR="00816395" w:rsidRPr="000C0081">
        <w:rPr>
          <w:rFonts w:cstheme="minorHAnsi"/>
        </w:rPr>
        <w:t xml:space="preserve"> </w:t>
      </w:r>
      <w:r w:rsidR="003B1518">
        <w:rPr>
          <w:rFonts w:cstheme="minorHAnsi"/>
        </w:rPr>
        <w:t xml:space="preserve">was </w:t>
      </w:r>
      <w:r w:rsidR="002520CC" w:rsidRPr="000C0081">
        <w:rPr>
          <w:rFonts w:eastAsia="Calibri"/>
        </w:rPr>
        <w:t xml:space="preserve">to encourage and support early childhood leaders and educators </w:t>
      </w:r>
      <w:r w:rsidR="00007EA3" w:rsidRPr="000C0081">
        <w:rPr>
          <w:rFonts w:eastAsia="Calibri"/>
        </w:rPr>
        <w:t xml:space="preserve">working in </w:t>
      </w:r>
      <w:r w:rsidR="00007EA3">
        <w:t>preschool and long day care centre</w:t>
      </w:r>
      <w:r w:rsidR="007D1FCE">
        <w:t>s</w:t>
      </w:r>
      <w:r w:rsidR="00007EA3">
        <w:t xml:space="preserve"> in</w:t>
      </w:r>
      <w:r w:rsidR="000B2597">
        <w:t xml:space="preserve"> three</w:t>
      </w:r>
      <w:r w:rsidR="00007EA3">
        <w:t xml:space="preserve"> low SES communities </w:t>
      </w:r>
      <w:r w:rsidR="000B2597">
        <w:t>in metropolitan and regional</w:t>
      </w:r>
      <w:r w:rsidR="00007EA3">
        <w:t xml:space="preserve"> NSW</w:t>
      </w:r>
      <w:r w:rsidR="00007EA3" w:rsidRPr="000C0081">
        <w:rPr>
          <w:rFonts w:eastAsia="Calibri"/>
        </w:rPr>
        <w:t xml:space="preserve"> </w:t>
      </w:r>
      <w:r w:rsidR="002520CC" w:rsidRPr="000C0081">
        <w:rPr>
          <w:rFonts w:eastAsia="Calibri"/>
        </w:rPr>
        <w:t>to build positive relationships with families, better understand ways of working with families living in complex situations, be proactive in promoting regular attendance and engaging families in their children’s learning and provide practical assistance to address specific family concerns.</w:t>
      </w:r>
      <w:r w:rsidR="002520CC" w:rsidRPr="000C0081" w:rsidDel="00E92AE5">
        <w:rPr>
          <w:rFonts w:eastAsia="Calibri"/>
        </w:rPr>
        <w:t xml:space="preserve"> </w:t>
      </w:r>
      <w:r w:rsidR="006543FC" w:rsidRPr="000C0081">
        <w:rPr>
          <w:rFonts w:cstheme="minorHAnsi"/>
        </w:rPr>
        <w:t>The S</w:t>
      </w:r>
      <w:r w:rsidR="00007EA3" w:rsidRPr="000C0081">
        <w:rPr>
          <w:rFonts w:cstheme="minorHAnsi"/>
        </w:rPr>
        <w:t>P</w:t>
      </w:r>
      <w:r w:rsidR="006543FC" w:rsidRPr="000C0081">
        <w:rPr>
          <w:rFonts w:cstheme="minorHAnsi"/>
        </w:rPr>
        <w:t>i</w:t>
      </w:r>
      <w:r w:rsidR="007D1FCE">
        <w:rPr>
          <w:rFonts w:cstheme="minorHAnsi"/>
        </w:rPr>
        <w:t>ECE</w:t>
      </w:r>
      <w:r w:rsidR="006276E1" w:rsidRPr="00442544">
        <w:t xml:space="preserve"> professional learning and support</w:t>
      </w:r>
      <w:r w:rsidR="006276E1">
        <w:t xml:space="preserve"> </w:t>
      </w:r>
      <w:r w:rsidR="006276E1" w:rsidRPr="00442544">
        <w:t xml:space="preserve">intervention </w:t>
      </w:r>
      <w:r w:rsidR="00525486" w:rsidRPr="00442544">
        <w:t>compri</w:t>
      </w:r>
      <w:r w:rsidR="00007EA3">
        <w:t xml:space="preserve">sed </w:t>
      </w:r>
      <w:r w:rsidR="00525486" w:rsidRPr="00442544">
        <w:t xml:space="preserve">three components: </w:t>
      </w:r>
    </w:p>
    <w:p w14:paraId="1D164827" w14:textId="35F799E1" w:rsidR="00886797" w:rsidRDefault="00525486" w:rsidP="00886797">
      <w:pPr>
        <w:pStyle w:val="ListParagraph"/>
        <w:numPr>
          <w:ilvl w:val="0"/>
          <w:numId w:val="9"/>
        </w:numPr>
        <w:spacing w:after="0"/>
      </w:pPr>
      <w:r w:rsidRPr="00442544">
        <w:t>support visits and professional mentoring</w:t>
      </w:r>
      <w:r>
        <w:t xml:space="preserve"> by</w:t>
      </w:r>
      <w:r w:rsidRPr="00442544">
        <w:t xml:space="preserve"> members of the research team</w:t>
      </w:r>
      <w:r w:rsidR="006E1FF4">
        <w:t xml:space="preserve"> </w:t>
      </w:r>
      <w:r w:rsidR="00617B9B">
        <w:rPr>
          <w:rFonts w:eastAsia="Calibri"/>
        </w:rPr>
        <w:t xml:space="preserve">that </w:t>
      </w:r>
      <w:r w:rsidR="00617B9B" w:rsidRPr="0089580B">
        <w:rPr>
          <w:rFonts w:eastAsia="Calibri"/>
        </w:rPr>
        <w:t>provide</w:t>
      </w:r>
      <w:r w:rsidR="00617B9B">
        <w:rPr>
          <w:rFonts w:eastAsia="Calibri"/>
        </w:rPr>
        <w:t>d</w:t>
      </w:r>
      <w:r w:rsidR="00617B9B" w:rsidRPr="0089580B">
        <w:rPr>
          <w:rFonts w:eastAsia="Calibri"/>
        </w:rPr>
        <w:t xml:space="preserve"> active, ongoing support to </w:t>
      </w:r>
      <w:r w:rsidR="007D1FCE">
        <w:rPr>
          <w:rFonts w:eastAsia="Calibri"/>
        </w:rPr>
        <w:t>ECEC</w:t>
      </w:r>
      <w:r w:rsidR="00617B9B">
        <w:rPr>
          <w:rFonts w:eastAsia="Calibri"/>
        </w:rPr>
        <w:t xml:space="preserve"> leaders and </w:t>
      </w:r>
      <w:r w:rsidR="00617B9B" w:rsidRPr="0089580B">
        <w:rPr>
          <w:rFonts w:eastAsia="Calibri"/>
        </w:rPr>
        <w:t xml:space="preserve">educators to </w:t>
      </w:r>
      <w:r w:rsidR="00617B9B">
        <w:rPr>
          <w:rFonts w:eastAsia="Calibri"/>
        </w:rPr>
        <w:t>assist</w:t>
      </w:r>
      <w:r w:rsidR="00617B9B" w:rsidRPr="0089580B">
        <w:rPr>
          <w:rFonts w:eastAsia="Calibri"/>
        </w:rPr>
        <w:t xml:space="preserve"> them identify and </w:t>
      </w:r>
      <w:r w:rsidR="00617B9B">
        <w:rPr>
          <w:rFonts w:eastAsia="Calibri"/>
        </w:rPr>
        <w:t>address</w:t>
      </w:r>
      <w:r w:rsidR="00617B9B" w:rsidRPr="0089580B">
        <w:rPr>
          <w:rFonts w:eastAsia="Calibri"/>
        </w:rPr>
        <w:t xml:space="preserve"> the needs of families and </w:t>
      </w:r>
      <w:proofErr w:type="gramStart"/>
      <w:r w:rsidR="00617B9B" w:rsidRPr="0089580B">
        <w:rPr>
          <w:rFonts w:eastAsia="Calibri"/>
        </w:rPr>
        <w:t>children</w:t>
      </w:r>
      <w:r w:rsidR="00513B1E">
        <w:rPr>
          <w:rFonts w:eastAsia="Calibri"/>
        </w:rPr>
        <w:t>;</w:t>
      </w:r>
      <w:proofErr w:type="gramEnd"/>
    </w:p>
    <w:p w14:paraId="19691731" w14:textId="76D72B12" w:rsidR="00886797" w:rsidRDefault="00525486" w:rsidP="00886797">
      <w:pPr>
        <w:pStyle w:val="ListParagraph"/>
        <w:numPr>
          <w:ilvl w:val="0"/>
          <w:numId w:val="9"/>
        </w:numPr>
        <w:spacing w:after="0"/>
      </w:pPr>
      <w:r w:rsidRPr="00442544">
        <w:t>a 4-module Professional Learning Program</w:t>
      </w:r>
      <w:r w:rsidR="004C628E">
        <w:t xml:space="preserve"> </w:t>
      </w:r>
      <w:r w:rsidRPr="00442544">
        <w:t xml:space="preserve">delivered on-site </w:t>
      </w:r>
      <w:r w:rsidR="00D34210">
        <w:t xml:space="preserve">by the research team </w:t>
      </w:r>
      <w:r w:rsidRPr="00442544">
        <w:t>in each community</w:t>
      </w:r>
      <w:r w:rsidR="00891989">
        <w:t xml:space="preserve"> that </w:t>
      </w:r>
      <w:r w:rsidR="00891989" w:rsidRPr="0089580B">
        <w:rPr>
          <w:rFonts w:eastAsia="Calibri"/>
        </w:rPr>
        <w:t>sought</w:t>
      </w:r>
      <w:r w:rsidR="00891989" w:rsidRPr="0089580B">
        <w:rPr>
          <w:rFonts w:eastAsia="Segoe UI"/>
        </w:rPr>
        <w:t xml:space="preserve"> to increase educators’ knowledge about how best to support parents’ efforts to enrol and maintain their children’s participation in </w:t>
      </w:r>
      <w:proofErr w:type="gramStart"/>
      <w:r w:rsidR="007D1FCE">
        <w:rPr>
          <w:rFonts w:eastAsia="Segoe UI"/>
        </w:rPr>
        <w:t>ECEC</w:t>
      </w:r>
      <w:r w:rsidRPr="00442544">
        <w:t>;</w:t>
      </w:r>
      <w:proofErr w:type="gramEnd"/>
    </w:p>
    <w:p w14:paraId="7D9F96B9" w14:textId="45213358" w:rsidR="00DD3422" w:rsidRDefault="00DB43AB" w:rsidP="00DD3422">
      <w:pPr>
        <w:pStyle w:val="ListParagraph"/>
        <w:numPr>
          <w:ilvl w:val="0"/>
          <w:numId w:val="9"/>
        </w:numPr>
        <w:spacing w:after="0"/>
      </w:pPr>
      <w:r>
        <w:t>up to $</w:t>
      </w:r>
      <w:r w:rsidR="00CB0EAB">
        <w:t>1</w:t>
      </w:r>
      <w:r>
        <w:t>5</w:t>
      </w:r>
      <w:r w:rsidR="00F01A63">
        <w:t>,</w:t>
      </w:r>
      <w:r>
        <w:t>000 in ‘community in</w:t>
      </w:r>
      <w:r w:rsidR="00CA36E2">
        <w:t>centives</w:t>
      </w:r>
      <w:r>
        <w:t xml:space="preserve"> </w:t>
      </w:r>
      <w:r w:rsidR="00525486" w:rsidRPr="00442544">
        <w:t>funding</w:t>
      </w:r>
      <w:r w:rsidR="007D1FCE">
        <w:t>’</w:t>
      </w:r>
      <w:r>
        <w:t xml:space="preserve"> (CIF)</w:t>
      </w:r>
      <w:r w:rsidR="00525486" w:rsidRPr="00442544">
        <w:t xml:space="preserve"> to </w:t>
      </w:r>
      <w:r w:rsidR="00B22A0B">
        <w:t xml:space="preserve">enable </w:t>
      </w:r>
      <w:r w:rsidR="00F01A63">
        <w:t xml:space="preserve">centres/schools in each community </w:t>
      </w:r>
      <w:r w:rsidR="00F41925">
        <w:t xml:space="preserve">to provide the practical </w:t>
      </w:r>
      <w:r w:rsidR="00525486" w:rsidRPr="00442544">
        <w:t>resource</w:t>
      </w:r>
      <w:r w:rsidR="00F41925">
        <w:t>s</w:t>
      </w:r>
      <w:r w:rsidR="00525486" w:rsidRPr="00442544">
        <w:t xml:space="preserve"> </w:t>
      </w:r>
      <w:r w:rsidR="00F41925">
        <w:t xml:space="preserve">that would </w:t>
      </w:r>
      <w:r w:rsidR="00525486" w:rsidRPr="00442544">
        <w:t>address locally identified barriers</w:t>
      </w:r>
      <w:r w:rsidR="00053714">
        <w:t>.</w:t>
      </w:r>
    </w:p>
    <w:p w14:paraId="5F67523F" w14:textId="77777777" w:rsidR="009449A1" w:rsidRDefault="009449A1" w:rsidP="009449A1">
      <w:pPr>
        <w:pStyle w:val="ListParagraph"/>
        <w:spacing w:after="0"/>
        <w:ind w:left="1440"/>
      </w:pPr>
    </w:p>
    <w:p w14:paraId="7BB82B4A" w14:textId="354628D3" w:rsidR="004712A1" w:rsidRDefault="009449A1" w:rsidP="00054344">
      <w:pPr>
        <w:spacing w:after="0"/>
        <w:rPr>
          <w:rFonts w:eastAsia="Calibri"/>
        </w:rPr>
      </w:pPr>
      <w:r>
        <w:rPr>
          <w:rFonts w:eastAsia="Calibri"/>
        </w:rPr>
        <w:t xml:space="preserve">Participants were supported to </w:t>
      </w:r>
      <w:r w:rsidR="008E7AC0">
        <w:rPr>
          <w:rFonts w:eastAsia="Calibri"/>
        </w:rPr>
        <w:t xml:space="preserve">undertake </w:t>
      </w:r>
      <w:r w:rsidR="008E7AC0" w:rsidRPr="002B1259">
        <w:rPr>
          <w:rFonts w:eastAsia="Calibri"/>
        </w:rPr>
        <w:t xml:space="preserve">a </w:t>
      </w:r>
      <w:r w:rsidR="008E7AC0">
        <w:rPr>
          <w:rFonts w:eastAsia="Calibri"/>
        </w:rPr>
        <w:t>s</w:t>
      </w:r>
      <w:r w:rsidR="008E7AC0" w:rsidRPr="002B1259">
        <w:rPr>
          <w:rFonts w:eastAsia="Calibri"/>
        </w:rPr>
        <w:t xml:space="preserve">ituational </w:t>
      </w:r>
      <w:r w:rsidR="008E7AC0">
        <w:rPr>
          <w:rFonts w:eastAsia="Calibri"/>
        </w:rPr>
        <w:t>a</w:t>
      </w:r>
      <w:r w:rsidR="008E7AC0" w:rsidRPr="002B1259">
        <w:rPr>
          <w:rFonts w:eastAsia="Calibri"/>
        </w:rPr>
        <w:t xml:space="preserve">nalysis to focus attention on </w:t>
      </w:r>
      <w:r w:rsidR="00BF075C">
        <w:rPr>
          <w:rFonts w:eastAsia="Calibri"/>
        </w:rPr>
        <w:t xml:space="preserve">and </w:t>
      </w:r>
      <w:r w:rsidR="007A0DC5">
        <w:rPr>
          <w:rFonts w:eastAsia="Calibri"/>
        </w:rPr>
        <w:t xml:space="preserve">discuss </w:t>
      </w:r>
      <w:r w:rsidR="008E7AC0" w:rsidRPr="002B1259">
        <w:rPr>
          <w:rFonts w:eastAsia="Calibri"/>
        </w:rPr>
        <w:t>the factors in their</w:t>
      </w:r>
      <w:r w:rsidR="008E7AC0" w:rsidRPr="002B1259">
        <w:rPr>
          <w:rFonts w:eastAsia="Calibri"/>
          <w:b/>
          <w:bCs/>
        </w:rPr>
        <w:t xml:space="preserve"> </w:t>
      </w:r>
      <w:r w:rsidR="008E7AC0" w:rsidRPr="002B1259">
        <w:rPr>
          <w:rFonts w:eastAsia="Calibri"/>
        </w:rPr>
        <w:t>community</w:t>
      </w:r>
      <w:r w:rsidR="008E7AC0">
        <w:rPr>
          <w:rFonts w:eastAsia="Calibri"/>
        </w:rPr>
        <w:t>/</w:t>
      </w:r>
      <w:r w:rsidR="008E7AC0" w:rsidRPr="002B1259">
        <w:rPr>
          <w:rFonts w:eastAsia="Calibri"/>
        </w:rPr>
        <w:t>se</w:t>
      </w:r>
      <w:r w:rsidR="008E7AC0">
        <w:rPr>
          <w:rFonts w:eastAsia="Calibri"/>
        </w:rPr>
        <w:t xml:space="preserve">tting </w:t>
      </w:r>
      <w:r w:rsidR="008E7AC0" w:rsidRPr="002B1259">
        <w:rPr>
          <w:rFonts w:eastAsia="Calibri"/>
        </w:rPr>
        <w:t>that inhibited children’s enrolment</w:t>
      </w:r>
      <w:r w:rsidR="008E7AC0">
        <w:rPr>
          <w:rFonts w:eastAsia="Calibri"/>
        </w:rPr>
        <w:t>/</w:t>
      </w:r>
      <w:r w:rsidR="008E7AC0" w:rsidRPr="002B1259">
        <w:rPr>
          <w:rFonts w:eastAsia="Calibri"/>
        </w:rPr>
        <w:t>attendance</w:t>
      </w:r>
      <w:r w:rsidR="007A0DC5">
        <w:rPr>
          <w:rFonts w:eastAsia="Calibri"/>
        </w:rPr>
        <w:t xml:space="preserve"> and families’ participation. </w:t>
      </w:r>
      <w:r w:rsidR="00054F9D" w:rsidRPr="00054F9D">
        <w:rPr>
          <w:rFonts w:eastAsia="Calibri"/>
        </w:rPr>
        <w:t xml:space="preserve">Spending time to delve into the specific, contextual barriers and strengths of the community, </w:t>
      </w:r>
      <w:proofErr w:type="gramStart"/>
      <w:r w:rsidR="00054F9D" w:rsidRPr="00054F9D">
        <w:rPr>
          <w:rFonts w:eastAsia="Calibri"/>
        </w:rPr>
        <w:t>families</w:t>
      </w:r>
      <w:proofErr w:type="gramEnd"/>
      <w:r w:rsidR="00054F9D" w:rsidRPr="00054F9D">
        <w:rPr>
          <w:rFonts w:eastAsia="Calibri"/>
        </w:rPr>
        <w:t xml:space="preserve"> and children, </w:t>
      </w:r>
      <w:r w:rsidR="0034115F">
        <w:t>and</w:t>
      </w:r>
      <w:r w:rsidR="00203B3B" w:rsidRPr="002B1259">
        <w:t xml:space="preserve"> focusing </w:t>
      </w:r>
      <w:r w:rsidR="0034115F">
        <w:t>participants’</w:t>
      </w:r>
      <w:r w:rsidR="00203B3B" w:rsidRPr="002B1259">
        <w:t xml:space="preserve"> attention on the ‘problem’ and how they could address it</w:t>
      </w:r>
      <w:r w:rsidR="0034115F">
        <w:t>,</w:t>
      </w:r>
      <w:r w:rsidR="00203B3B" w:rsidRPr="00054F9D">
        <w:rPr>
          <w:rFonts w:eastAsia="Calibri"/>
        </w:rPr>
        <w:t xml:space="preserve"> </w:t>
      </w:r>
      <w:r w:rsidR="00054F9D" w:rsidRPr="00054F9D">
        <w:rPr>
          <w:rFonts w:eastAsia="Calibri"/>
        </w:rPr>
        <w:t>ensured</w:t>
      </w:r>
      <w:r w:rsidR="0034115F">
        <w:rPr>
          <w:rFonts w:eastAsia="Calibri"/>
        </w:rPr>
        <w:t xml:space="preserve"> their proposals for</w:t>
      </w:r>
      <w:r w:rsidR="00054F9D" w:rsidRPr="00054F9D">
        <w:rPr>
          <w:rFonts w:eastAsia="Calibri"/>
        </w:rPr>
        <w:t xml:space="preserve"> CIF initiatives were focused and relevant.</w:t>
      </w:r>
      <w:r w:rsidR="00054F9D" w:rsidRPr="002B1259">
        <w:t xml:space="preserve"> </w:t>
      </w:r>
      <w:r w:rsidR="004712A1">
        <w:rPr>
          <w:rFonts w:eastAsia="Calibri"/>
        </w:rPr>
        <w:t>T</w:t>
      </w:r>
      <w:r w:rsidR="004712A1" w:rsidRPr="012649F2">
        <w:rPr>
          <w:rFonts w:eastAsia="Calibri"/>
        </w:rPr>
        <w:t>he local in</w:t>
      </w:r>
      <w:r w:rsidR="00466E0B">
        <w:rPr>
          <w:rFonts w:eastAsia="Calibri"/>
        </w:rPr>
        <w:t>itiatives</w:t>
      </w:r>
      <w:r w:rsidR="004712A1" w:rsidRPr="012649F2">
        <w:rPr>
          <w:rFonts w:eastAsia="Calibri"/>
        </w:rPr>
        <w:t xml:space="preserve"> </w:t>
      </w:r>
      <w:r w:rsidR="002E132E">
        <w:rPr>
          <w:rFonts w:eastAsia="Calibri"/>
        </w:rPr>
        <w:t>designed by</w:t>
      </w:r>
      <w:r w:rsidR="004712A1" w:rsidRPr="012649F2">
        <w:rPr>
          <w:rFonts w:eastAsia="Calibri"/>
        </w:rPr>
        <w:t xml:space="preserve"> </w:t>
      </w:r>
      <w:r w:rsidR="004712A1">
        <w:rPr>
          <w:rFonts w:eastAsia="Calibri"/>
        </w:rPr>
        <w:t>participa</w:t>
      </w:r>
      <w:r w:rsidR="00CD6B61">
        <w:rPr>
          <w:rFonts w:eastAsia="Calibri"/>
        </w:rPr>
        <w:t xml:space="preserve">nts </w:t>
      </w:r>
      <w:r w:rsidR="002E132E" w:rsidRPr="012649F2">
        <w:rPr>
          <w:rFonts w:eastAsia="Calibri"/>
        </w:rPr>
        <w:t xml:space="preserve">were </w:t>
      </w:r>
      <w:r w:rsidR="002E132E">
        <w:rPr>
          <w:rFonts w:eastAsia="Calibri"/>
        </w:rPr>
        <w:t xml:space="preserve">illustrative of </w:t>
      </w:r>
      <w:r w:rsidR="004712A1" w:rsidRPr="012649F2">
        <w:rPr>
          <w:rFonts w:eastAsia="Calibri"/>
        </w:rPr>
        <w:t xml:space="preserve">four </w:t>
      </w:r>
      <w:r w:rsidR="002E132E">
        <w:rPr>
          <w:rFonts w:eastAsia="Calibri"/>
        </w:rPr>
        <w:t xml:space="preserve">broad </w:t>
      </w:r>
      <w:r w:rsidR="004712A1" w:rsidRPr="012649F2">
        <w:rPr>
          <w:rFonts w:eastAsia="Calibri"/>
        </w:rPr>
        <w:t xml:space="preserve">themes: </w:t>
      </w:r>
    </w:p>
    <w:p w14:paraId="49B6B953" w14:textId="71D8C427" w:rsidR="00C30268" w:rsidRPr="009259F4" w:rsidRDefault="004712A1" w:rsidP="00054344">
      <w:pPr>
        <w:pStyle w:val="ListParagraph"/>
        <w:numPr>
          <w:ilvl w:val="0"/>
          <w:numId w:val="11"/>
        </w:numPr>
        <w:spacing w:after="0" w:line="262" w:lineRule="auto"/>
        <w:ind w:left="1418" w:hanging="709"/>
        <w:contextualSpacing w:val="0"/>
        <w:rPr>
          <w:rFonts w:eastAsia="Calibri"/>
        </w:rPr>
      </w:pPr>
      <w:r>
        <w:rPr>
          <w:rFonts w:eastAsia="Calibri"/>
        </w:rPr>
        <w:t>d</w:t>
      </w:r>
      <w:r w:rsidRPr="00104507">
        <w:rPr>
          <w:rFonts w:eastAsia="Calibri"/>
        </w:rPr>
        <w:t xml:space="preserve">eveloping trust and a sense of belonging between families and the </w:t>
      </w:r>
      <w:r w:rsidR="007D1FCE">
        <w:rPr>
          <w:rFonts w:eastAsia="Calibri"/>
        </w:rPr>
        <w:t>ECE</w:t>
      </w:r>
      <w:r w:rsidRPr="00104507">
        <w:rPr>
          <w:rFonts w:eastAsia="Calibri"/>
        </w:rPr>
        <w:t xml:space="preserve"> </w:t>
      </w:r>
      <w:proofErr w:type="gramStart"/>
      <w:r w:rsidRPr="00104507">
        <w:rPr>
          <w:rFonts w:eastAsia="Calibri"/>
        </w:rPr>
        <w:t>setting;</w:t>
      </w:r>
      <w:proofErr w:type="gramEnd"/>
      <w:r w:rsidR="00ED424D">
        <w:rPr>
          <w:rFonts w:eastAsia="Calibri"/>
        </w:rPr>
        <w:t xml:space="preserve"> e.g.</w:t>
      </w:r>
      <w:r w:rsidR="009259F4">
        <w:rPr>
          <w:rFonts w:eastAsia="Calibri"/>
        </w:rPr>
        <w:t xml:space="preserve">, </w:t>
      </w:r>
      <w:r w:rsidR="003E61E2">
        <w:rPr>
          <w:rFonts w:eastAsia="Calibri"/>
        </w:rPr>
        <w:t xml:space="preserve">by </w:t>
      </w:r>
      <w:r w:rsidR="009259F4">
        <w:rPr>
          <w:rFonts w:eastAsia="Calibri"/>
        </w:rPr>
        <w:t>setting up</w:t>
      </w:r>
      <w:r w:rsidR="00C30268" w:rsidRPr="00C30268">
        <w:rPr>
          <w:rFonts w:eastAsia="Calibri"/>
        </w:rPr>
        <w:t xml:space="preserve"> a comfortable, separate space where educators and families could sit together</w:t>
      </w:r>
      <w:r w:rsidR="009259F4">
        <w:rPr>
          <w:rFonts w:eastAsia="Calibri"/>
        </w:rPr>
        <w:t xml:space="preserve"> to</w:t>
      </w:r>
      <w:r w:rsidR="00C30268" w:rsidRPr="00C30268">
        <w:rPr>
          <w:rFonts w:eastAsia="Calibri"/>
        </w:rPr>
        <w:t xml:space="preserve"> complete forms and documentation</w:t>
      </w:r>
      <w:r w:rsidR="00525F9E">
        <w:rPr>
          <w:rFonts w:eastAsia="Calibri"/>
        </w:rPr>
        <w:t>;</w:t>
      </w:r>
      <w:r w:rsidR="00C30268" w:rsidRPr="00C30268">
        <w:rPr>
          <w:rFonts w:eastAsia="Calibri"/>
        </w:rPr>
        <w:t xml:space="preserve"> </w:t>
      </w:r>
    </w:p>
    <w:p w14:paraId="35D86439" w14:textId="0129ECAC" w:rsidR="004712A1" w:rsidRDefault="004712A1" w:rsidP="000C2581">
      <w:pPr>
        <w:pStyle w:val="ListParagraph"/>
        <w:numPr>
          <w:ilvl w:val="0"/>
          <w:numId w:val="11"/>
        </w:numPr>
        <w:spacing w:after="0" w:line="262" w:lineRule="auto"/>
        <w:ind w:left="1418" w:hanging="709"/>
        <w:contextualSpacing w:val="0"/>
        <w:rPr>
          <w:rFonts w:eastAsia="Calibri"/>
        </w:rPr>
      </w:pPr>
      <w:r>
        <w:rPr>
          <w:rFonts w:eastAsia="Calibri"/>
        </w:rPr>
        <w:t>a</w:t>
      </w:r>
      <w:r w:rsidRPr="00104507">
        <w:rPr>
          <w:rFonts w:eastAsia="Calibri"/>
        </w:rPr>
        <w:t xml:space="preserve">ddressing non-fee costs associated with enrolment in </w:t>
      </w:r>
      <w:proofErr w:type="gramStart"/>
      <w:r w:rsidR="007D1FCE">
        <w:rPr>
          <w:rFonts w:eastAsia="Calibri"/>
        </w:rPr>
        <w:t>ECEC</w:t>
      </w:r>
      <w:r w:rsidRPr="00104507">
        <w:rPr>
          <w:rFonts w:eastAsia="Calibri"/>
        </w:rPr>
        <w:t>;</w:t>
      </w:r>
      <w:proofErr w:type="gramEnd"/>
      <w:r w:rsidRPr="00104507">
        <w:rPr>
          <w:rFonts w:eastAsia="Calibri"/>
        </w:rPr>
        <w:t xml:space="preserve"> </w:t>
      </w:r>
      <w:r w:rsidR="00857136">
        <w:rPr>
          <w:rFonts w:eastAsia="Calibri"/>
        </w:rPr>
        <w:t xml:space="preserve">e.g., </w:t>
      </w:r>
      <w:r w:rsidR="000C2581">
        <w:rPr>
          <w:rFonts w:eastAsia="Calibri"/>
        </w:rPr>
        <w:t xml:space="preserve">by </w:t>
      </w:r>
      <w:r w:rsidR="000C2581" w:rsidRPr="002B1259">
        <w:rPr>
          <w:rFonts w:eastAsia="Calibri"/>
        </w:rPr>
        <w:t>purchas</w:t>
      </w:r>
      <w:r w:rsidR="000C2581">
        <w:rPr>
          <w:rFonts w:eastAsia="Calibri"/>
        </w:rPr>
        <w:t>ing</w:t>
      </w:r>
      <w:r w:rsidR="000C2581" w:rsidRPr="002B1259">
        <w:rPr>
          <w:rFonts w:eastAsia="Calibri"/>
        </w:rPr>
        <w:t xml:space="preserve"> appropriate required clothing</w:t>
      </w:r>
      <w:r w:rsidR="00A91930">
        <w:rPr>
          <w:rFonts w:eastAsia="Calibri"/>
        </w:rPr>
        <w:t xml:space="preserve">, </w:t>
      </w:r>
      <w:r w:rsidR="000C2581" w:rsidRPr="002B1259">
        <w:rPr>
          <w:rFonts w:eastAsia="Calibri"/>
        </w:rPr>
        <w:t>drink bottles, insulated lunch boxes, or hats</w:t>
      </w:r>
      <w:r w:rsidR="007A0DC5">
        <w:rPr>
          <w:rFonts w:eastAsia="Calibri"/>
        </w:rPr>
        <w:t>;</w:t>
      </w:r>
    </w:p>
    <w:p w14:paraId="49899EFF" w14:textId="1952897E" w:rsidR="004712A1" w:rsidRDefault="004712A1" w:rsidP="009259F4">
      <w:pPr>
        <w:pStyle w:val="ListParagraph"/>
        <w:numPr>
          <w:ilvl w:val="0"/>
          <w:numId w:val="11"/>
        </w:numPr>
        <w:spacing w:after="0" w:line="262" w:lineRule="auto"/>
        <w:ind w:left="1418" w:hanging="709"/>
        <w:contextualSpacing w:val="0"/>
        <w:rPr>
          <w:rFonts w:eastAsia="Calibri"/>
        </w:rPr>
      </w:pPr>
      <w:r>
        <w:rPr>
          <w:rFonts w:eastAsia="Calibri"/>
        </w:rPr>
        <w:t>s</w:t>
      </w:r>
      <w:r w:rsidRPr="00104507">
        <w:rPr>
          <w:rFonts w:eastAsia="Calibri"/>
        </w:rPr>
        <w:t xml:space="preserve">upporting families experiencing challenges related to having children with disabilities and/or impacted by </w:t>
      </w:r>
      <w:proofErr w:type="gramStart"/>
      <w:r w:rsidRPr="00104507">
        <w:rPr>
          <w:rFonts w:eastAsia="Calibri"/>
        </w:rPr>
        <w:t>trauma;</w:t>
      </w:r>
      <w:proofErr w:type="gramEnd"/>
      <w:r w:rsidRPr="00104507">
        <w:rPr>
          <w:rFonts w:eastAsia="Calibri"/>
        </w:rPr>
        <w:t xml:space="preserve"> </w:t>
      </w:r>
      <w:r w:rsidR="003E61E2">
        <w:rPr>
          <w:rFonts w:eastAsia="Calibri"/>
        </w:rPr>
        <w:t xml:space="preserve">e.g., </w:t>
      </w:r>
      <w:r w:rsidR="000042D0">
        <w:rPr>
          <w:rFonts w:eastAsia="Calibri"/>
        </w:rPr>
        <w:t xml:space="preserve">by </w:t>
      </w:r>
      <w:r w:rsidR="000042D0" w:rsidRPr="002B1259">
        <w:rPr>
          <w:rFonts w:eastAsia="Calibri"/>
        </w:rPr>
        <w:t>provided training for staff and families</w:t>
      </w:r>
      <w:r w:rsidR="008D3AAF">
        <w:rPr>
          <w:rFonts w:eastAsia="Calibri"/>
        </w:rPr>
        <w:t>;</w:t>
      </w:r>
      <w:r w:rsidR="000042D0" w:rsidRPr="002B1259">
        <w:rPr>
          <w:rFonts w:eastAsia="Calibri"/>
        </w:rPr>
        <w:t xml:space="preserve"> </w:t>
      </w:r>
      <w:r w:rsidR="00111790">
        <w:rPr>
          <w:rFonts w:eastAsia="Calibri"/>
        </w:rPr>
        <w:t>or</w:t>
      </w:r>
      <w:r w:rsidR="000042D0" w:rsidRPr="002B1259">
        <w:rPr>
          <w:rFonts w:eastAsia="Calibri"/>
        </w:rPr>
        <w:t xml:space="preserve"> ‘backfill’ </w:t>
      </w:r>
      <w:r w:rsidR="00111790">
        <w:rPr>
          <w:rFonts w:eastAsia="Calibri"/>
        </w:rPr>
        <w:t xml:space="preserve">to </w:t>
      </w:r>
      <w:r w:rsidR="000042D0">
        <w:rPr>
          <w:rFonts w:eastAsia="Calibri"/>
        </w:rPr>
        <w:t>enable</w:t>
      </w:r>
      <w:r w:rsidR="000042D0" w:rsidRPr="002B1259">
        <w:rPr>
          <w:rFonts w:eastAsia="Calibri"/>
        </w:rPr>
        <w:t xml:space="preserve"> </w:t>
      </w:r>
      <w:r w:rsidR="00111790">
        <w:rPr>
          <w:rFonts w:eastAsia="Calibri"/>
        </w:rPr>
        <w:t>educators</w:t>
      </w:r>
      <w:r w:rsidR="000042D0" w:rsidRPr="002B1259">
        <w:rPr>
          <w:rFonts w:eastAsia="Calibri"/>
        </w:rPr>
        <w:t xml:space="preserve"> to observe</w:t>
      </w:r>
      <w:r w:rsidR="00525F9E">
        <w:rPr>
          <w:rFonts w:eastAsia="Calibri"/>
        </w:rPr>
        <w:t>,</w:t>
      </w:r>
      <w:r w:rsidR="000042D0" w:rsidRPr="002B1259">
        <w:rPr>
          <w:rFonts w:eastAsia="Calibri"/>
        </w:rPr>
        <w:t xml:space="preserve"> work with</w:t>
      </w:r>
      <w:r w:rsidR="00525F9E">
        <w:rPr>
          <w:rFonts w:eastAsia="Calibri"/>
        </w:rPr>
        <w:t xml:space="preserve">, and engage in </w:t>
      </w:r>
      <w:r w:rsidR="00525F9E" w:rsidRPr="002B1259">
        <w:rPr>
          <w:rFonts w:eastAsia="Calibri"/>
        </w:rPr>
        <w:t xml:space="preserve">professional conversations </w:t>
      </w:r>
      <w:r w:rsidR="00525F9E">
        <w:rPr>
          <w:rFonts w:eastAsia="Calibri"/>
        </w:rPr>
        <w:t xml:space="preserve">with </w:t>
      </w:r>
      <w:r w:rsidR="000042D0" w:rsidRPr="002B1259">
        <w:rPr>
          <w:rFonts w:eastAsia="Calibri"/>
        </w:rPr>
        <w:t xml:space="preserve">allied health professionals ‘in-situ’ </w:t>
      </w:r>
      <w:r w:rsidR="007D1FCE">
        <w:rPr>
          <w:rFonts w:eastAsia="Calibri"/>
        </w:rPr>
        <w:t>and</w:t>
      </w:r>
      <w:r w:rsidR="000042D0" w:rsidRPr="002B1259">
        <w:rPr>
          <w:rFonts w:eastAsia="Calibri"/>
        </w:rPr>
        <w:t xml:space="preserve"> support children in group </w:t>
      </w:r>
      <w:r w:rsidR="007D1FCE">
        <w:rPr>
          <w:rFonts w:eastAsia="Calibri"/>
        </w:rPr>
        <w:t>ECEC</w:t>
      </w:r>
      <w:r w:rsidR="000042D0" w:rsidRPr="002B1259">
        <w:rPr>
          <w:rFonts w:eastAsia="Calibri"/>
        </w:rPr>
        <w:t xml:space="preserve"> contexts</w:t>
      </w:r>
      <w:r w:rsidR="00525F9E">
        <w:rPr>
          <w:rFonts w:eastAsia="Calibri"/>
        </w:rPr>
        <w:t>;</w:t>
      </w:r>
    </w:p>
    <w:p w14:paraId="41459A09" w14:textId="422109B4" w:rsidR="00417110" w:rsidRDefault="004712A1" w:rsidP="009F100A">
      <w:pPr>
        <w:pStyle w:val="ListParagraph"/>
        <w:numPr>
          <w:ilvl w:val="0"/>
          <w:numId w:val="11"/>
        </w:numPr>
        <w:spacing w:after="0" w:line="262" w:lineRule="auto"/>
        <w:ind w:left="1418" w:hanging="709"/>
        <w:contextualSpacing w:val="0"/>
        <w:rPr>
          <w:rFonts w:eastAsia="Calibri"/>
        </w:rPr>
      </w:pPr>
      <w:r>
        <w:rPr>
          <w:rFonts w:eastAsia="Calibri"/>
        </w:rPr>
        <w:t>i</w:t>
      </w:r>
      <w:r w:rsidRPr="00104507">
        <w:rPr>
          <w:rFonts w:eastAsia="Calibri"/>
        </w:rPr>
        <w:t xml:space="preserve">ncreasing families’ understanding of the value of </w:t>
      </w:r>
      <w:proofErr w:type="gramStart"/>
      <w:r w:rsidR="007D1FCE">
        <w:rPr>
          <w:rFonts w:eastAsia="Calibri"/>
        </w:rPr>
        <w:t>ECEC</w:t>
      </w:r>
      <w:r w:rsidR="00F927DB">
        <w:rPr>
          <w:rFonts w:eastAsia="Calibri"/>
        </w:rPr>
        <w:t>;</w:t>
      </w:r>
      <w:proofErr w:type="gramEnd"/>
      <w:r w:rsidR="00F927DB">
        <w:rPr>
          <w:rFonts w:eastAsia="Calibri"/>
        </w:rPr>
        <w:t xml:space="preserve"> e.g., by</w:t>
      </w:r>
      <w:r w:rsidR="001C6DF7">
        <w:rPr>
          <w:rFonts w:eastAsia="Calibri"/>
        </w:rPr>
        <w:t xml:space="preserve"> </w:t>
      </w:r>
      <w:r w:rsidR="001C6DF7" w:rsidRPr="002B1259">
        <w:rPr>
          <w:rFonts w:eastAsia="Calibri"/>
        </w:rPr>
        <w:t>develop</w:t>
      </w:r>
      <w:r w:rsidR="009F100A">
        <w:rPr>
          <w:rFonts w:eastAsia="Calibri"/>
        </w:rPr>
        <w:t>ing and distributing</w:t>
      </w:r>
      <w:r w:rsidR="001C6DF7" w:rsidRPr="002B1259">
        <w:rPr>
          <w:rFonts w:eastAsia="Calibri"/>
        </w:rPr>
        <w:t xml:space="preserve"> a flyer on the importance of </w:t>
      </w:r>
      <w:r w:rsidR="007D1FCE">
        <w:rPr>
          <w:rFonts w:eastAsia="Calibri"/>
        </w:rPr>
        <w:t>ECEC</w:t>
      </w:r>
      <w:r w:rsidR="001C6DF7" w:rsidRPr="002B1259">
        <w:rPr>
          <w:rFonts w:eastAsia="Calibri"/>
        </w:rPr>
        <w:t xml:space="preserve"> </w:t>
      </w:r>
      <w:r w:rsidR="009F100A">
        <w:rPr>
          <w:rFonts w:eastAsia="Calibri"/>
        </w:rPr>
        <w:t>to a</w:t>
      </w:r>
      <w:r w:rsidR="001C6DF7" w:rsidRPr="002B1259">
        <w:rPr>
          <w:rFonts w:eastAsia="Calibri"/>
        </w:rPr>
        <w:t xml:space="preserve"> wide range of community </w:t>
      </w:r>
      <w:r w:rsidR="001C6DF7" w:rsidRPr="00EC0A7F">
        <w:rPr>
          <w:rFonts w:eastAsia="Calibri"/>
        </w:rPr>
        <w:t>services</w:t>
      </w:r>
      <w:r w:rsidR="001C6DF7" w:rsidRPr="002B1259">
        <w:rPr>
          <w:rFonts w:eastAsia="Calibri"/>
        </w:rPr>
        <w:t xml:space="preserve"> and businesses. </w:t>
      </w:r>
    </w:p>
    <w:p w14:paraId="073D3D92" w14:textId="77777777" w:rsidR="00FF3232" w:rsidRDefault="00FF3232" w:rsidP="00FF3232">
      <w:pPr>
        <w:pStyle w:val="ListParagraph"/>
        <w:spacing w:after="0" w:line="262" w:lineRule="auto"/>
        <w:ind w:left="1418"/>
        <w:contextualSpacing w:val="0"/>
        <w:rPr>
          <w:rFonts w:eastAsia="Calibri"/>
        </w:rPr>
      </w:pPr>
    </w:p>
    <w:p w14:paraId="42E34C4A" w14:textId="74030D69" w:rsidR="0069718F" w:rsidRDefault="00417110" w:rsidP="0069718F">
      <w:pPr>
        <w:spacing w:after="0" w:line="262" w:lineRule="auto"/>
      </w:pPr>
      <w:r>
        <w:t xml:space="preserve">Evaluation of the </w:t>
      </w:r>
      <w:r w:rsidR="009B7C38">
        <w:t>SPi</w:t>
      </w:r>
      <w:r w:rsidR="007D1FCE">
        <w:t>ECE</w:t>
      </w:r>
      <w:r w:rsidR="009B7C38">
        <w:t xml:space="preserve"> </w:t>
      </w:r>
      <w:r>
        <w:t xml:space="preserve">professional learning and support intervention </w:t>
      </w:r>
      <w:r w:rsidR="00FF3232" w:rsidRPr="00DC6D50">
        <w:t xml:space="preserve">demonstrated the benefits and positive impact of linking professional development </w:t>
      </w:r>
      <w:r w:rsidR="00FF3232">
        <w:t xml:space="preserve">in </w:t>
      </w:r>
      <w:r w:rsidR="007D1FCE">
        <w:t>ECEC</w:t>
      </w:r>
      <w:r w:rsidR="00FF3232">
        <w:t xml:space="preserve"> settings</w:t>
      </w:r>
      <w:r w:rsidR="00E21A4F">
        <w:t xml:space="preserve"> at a community level</w:t>
      </w:r>
      <w:r w:rsidR="00FF3232">
        <w:t xml:space="preserve"> </w:t>
      </w:r>
      <w:r w:rsidR="00FF3232" w:rsidRPr="00DC6D50">
        <w:t>with</w:t>
      </w:r>
      <w:r w:rsidR="00FF3232">
        <w:t xml:space="preserve"> initiatives for</w:t>
      </w:r>
      <w:r w:rsidR="00FF3232" w:rsidRPr="00DC6D50">
        <w:t xml:space="preserve"> </w:t>
      </w:r>
      <w:r w:rsidR="00FF3232">
        <w:t xml:space="preserve">practical outcomes through the provision of </w:t>
      </w:r>
      <w:r w:rsidR="00FF3232" w:rsidRPr="00DC6D50">
        <w:t xml:space="preserve">financial support. The allocation of </w:t>
      </w:r>
      <w:r w:rsidR="007D1FCE">
        <w:t xml:space="preserve">CIF </w:t>
      </w:r>
      <w:r w:rsidR="00FF3232" w:rsidRPr="00DC6D50">
        <w:t>resource</w:t>
      </w:r>
      <w:r w:rsidR="00AF3BCE">
        <w:t xml:space="preserve"> funding</w:t>
      </w:r>
      <w:r w:rsidR="00FF3232" w:rsidRPr="00DC6D50">
        <w:t xml:space="preserve"> directly to </w:t>
      </w:r>
      <w:r w:rsidR="00FF3232" w:rsidRPr="006872F1">
        <w:t>centres/schools</w:t>
      </w:r>
      <w:r w:rsidR="00FF3232" w:rsidRPr="00DC6D50">
        <w:t xml:space="preserve"> empowered them to make local decisions </w:t>
      </w:r>
      <w:r w:rsidR="00FF3232">
        <w:t xml:space="preserve">and take actions </w:t>
      </w:r>
      <w:r w:rsidR="00FF3232" w:rsidRPr="00DC6D50">
        <w:t xml:space="preserve">to address local concerns and barriers to </w:t>
      </w:r>
      <w:r w:rsidR="007D1FCE">
        <w:t>ECEC</w:t>
      </w:r>
      <w:r w:rsidR="00FF3232" w:rsidRPr="00DC6D50">
        <w:t xml:space="preserve"> participation. </w:t>
      </w:r>
      <w:r w:rsidR="00871E32">
        <w:t>Educators were able</w:t>
      </w:r>
      <w:r w:rsidR="00FF3232" w:rsidRPr="00DC6D50">
        <w:t xml:space="preserve"> to address needs that specifically appl</w:t>
      </w:r>
      <w:r w:rsidR="00871E32">
        <w:t xml:space="preserve">ied </w:t>
      </w:r>
      <w:r w:rsidR="00FF3232" w:rsidRPr="00DC6D50">
        <w:t xml:space="preserve">to their children and families, </w:t>
      </w:r>
      <w:r w:rsidR="00030EA4">
        <w:t xml:space="preserve">and through working </w:t>
      </w:r>
      <w:r w:rsidR="008457E4">
        <w:t xml:space="preserve">with other </w:t>
      </w:r>
      <w:r w:rsidR="00E21A4F">
        <w:t xml:space="preserve">local </w:t>
      </w:r>
      <w:r w:rsidR="008457E4">
        <w:t>centres/schools</w:t>
      </w:r>
      <w:r w:rsidR="00E6196E">
        <w:t xml:space="preserve"> to,</w:t>
      </w:r>
      <w:r w:rsidR="00E6196E" w:rsidRPr="00DC6D50">
        <w:t xml:space="preserve"> potentially, </w:t>
      </w:r>
      <w:r w:rsidR="00E6196E">
        <w:t>collaborate</w:t>
      </w:r>
      <w:r w:rsidR="008457E4">
        <w:t xml:space="preserve"> </w:t>
      </w:r>
      <w:r w:rsidR="00E21A4F">
        <w:t>on</w:t>
      </w:r>
      <w:r w:rsidR="00FF3232" w:rsidRPr="00DC6D50">
        <w:t xml:space="preserve"> share</w:t>
      </w:r>
      <w:r w:rsidR="00E21A4F">
        <w:t>d</w:t>
      </w:r>
      <w:r w:rsidR="00FF3232" w:rsidRPr="00DC6D50">
        <w:t xml:space="preserve"> costs of providing specialist support for children such as occupational health or speech therapy on-site.</w:t>
      </w:r>
      <w:r w:rsidR="00FF3232">
        <w:t xml:space="preserve"> </w:t>
      </w:r>
      <w:r w:rsidR="00CA0266">
        <w:t>Results showed that</w:t>
      </w:r>
      <w:r w:rsidR="00993CC4">
        <w:t xml:space="preserve"> </w:t>
      </w:r>
      <w:r w:rsidR="00195D76">
        <w:t xml:space="preserve">the </w:t>
      </w:r>
      <w:r w:rsidR="00CA0266">
        <w:t>design and</w:t>
      </w:r>
      <w:r w:rsidR="00EF3BF6">
        <w:t xml:space="preserve"> </w:t>
      </w:r>
      <w:r w:rsidR="00EF3BF6">
        <w:lastRenderedPageBreak/>
        <w:t>deliver</w:t>
      </w:r>
      <w:r w:rsidR="00195D76">
        <w:t>y of</w:t>
      </w:r>
      <w:r w:rsidR="00B064E1">
        <w:t xml:space="preserve"> inclusive, locally relevant strategies and initiatives </w:t>
      </w:r>
      <w:r w:rsidR="00195D76">
        <w:t>by centres/schools had</w:t>
      </w:r>
      <w:r w:rsidR="00B064E1">
        <w:t xml:space="preserve"> positive outcomes for families’ engagement with, and children’s enrolment and attendance in, </w:t>
      </w:r>
      <w:r w:rsidR="007D1FCE">
        <w:t>ECEC</w:t>
      </w:r>
      <w:r w:rsidR="00B064E1">
        <w:t xml:space="preserve"> programs in the year before school. </w:t>
      </w:r>
    </w:p>
    <w:p w14:paraId="08B41F62" w14:textId="77777777" w:rsidR="0069718F" w:rsidRDefault="0069718F" w:rsidP="0069718F">
      <w:pPr>
        <w:spacing w:after="0" w:line="262" w:lineRule="auto"/>
      </w:pPr>
    </w:p>
    <w:p w14:paraId="4D874535" w14:textId="07EE3582" w:rsidR="00170B51" w:rsidRDefault="000C0081" w:rsidP="0069718F">
      <w:pPr>
        <w:spacing w:after="0" w:line="262" w:lineRule="auto"/>
        <w:rPr>
          <w:rFonts w:cstheme="minorHAnsi"/>
          <w:color w:val="40474F"/>
          <w:shd w:val="clear" w:color="auto" w:fill="FFFFFF"/>
        </w:rPr>
      </w:pPr>
      <w:r>
        <w:rPr>
          <w:rFonts w:cstheme="minorHAnsi"/>
        </w:rPr>
        <w:t>FURTHER</w:t>
      </w:r>
      <w:r w:rsidR="0069718F">
        <w:rPr>
          <w:rFonts w:cstheme="minorHAnsi"/>
        </w:rPr>
        <w:t xml:space="preserve"> COMMENT: </w:t>
      </w:r>
      <w:r w:rsidR="00054344">
        <w:rPr>
          <w:rFonts w:cstheme="minorHAnsi"/>
        </w:rPr>
        <w:t>This</w:t>
      </w:r>
      <w:r w:rsidR="004F084F">
        <w:rPr>
          <w:rFonts w:cstheme="minorHAnsi"/>
        </w:rPr>
        <w:t xml:space="preserve"> suggested addition</w:t>
      </w:r>
      <w:r w:rsidR="00517C90">
        <w:rPr>
          <w:rFonts w:cstheme="minorHAnsi"/>
        </w:rPr>
        <w:t xml:space="preserve"> </w:t>
      </w:r>
      <w:r w:rsidR="00F0698D" w:rsidRPr="003F74E8">
        <w:rPr>
          <w:rFonts w:cstheme="minorHAnsi"/>
        </w:rPr>
        <w:t xml:space="preserve">also </w:t>
      </w:r>
      <w:r w:rsidR="00170B51" w:rsidRPr="003F74E8">
        <w:rPr>
          <w:rFonts w:cstheme="minorHAnsi"/>
        </w:rPr>
        <w:t>relate</w:t>
      </w:r>
      <w:r w:rsidR="00816395">
        <w:rPr>
          <w:rFonts w:cstheme="minorHAnsi"/>
        </w:rPr>
        <w:t>s</w:t>
      </w:r>
      <w:r w:rsidR="00170B51" w:rsidRPr="003F74E8">
        <w:rPr>
          <w:rFonts w:cstheme="minorHAnsi"/>
        </w:rPr>
        <w:t xml:space="preserve"> to</w:t>
      </w:r>
      <w:r>
        <w:rPr>
          <w:rFonts w:cstheme="minorHAnsi"/>
        </w:rPr>
        <w:t xml:space="preserve"> </w:t>
      </w:r>
      <w:r w:rsidRPr="003F74E8">
        <w:rPr>
          <w:rFonts w:cstheme="minorHAnsi"/>
          <w:b/>
          <w:bCs/>
        </w:rPr>
        <w:t>Information request 7.1</w:t>
      </w:r>
      <w:r w:rsidR="00170B51" w:rsidRPr="003F74E8">
        <w:rPr>
          <w:rFonts w:cstheme="minorHAnsi"/>
        </w:rPr>
        <w:t xml:space="preserve"> </w:t>
      </w:r>
      <w:r>
        <w:rPr>
          <w:rFonts w:cstheme="minorHAnsi"/>
        </w:rPr>
        <w:t xml:space="preserve">regarding </w:t>
      </w:r>
      <w:r w:rsidR="00170B51" w:rsidRPr="003F74E8">
        <w:rPr>
          <w:rFonts w:cstheme="minorHAnsi"/>
        </w:rPr>
        <w:t>the appropriateness and responsiveness</w:t>
      </w:r>
      <w:r w:rsidR="00170B51" w:rsidRPr="00DD0B00">
        <w:rPr>
          <w:rFonts w:cstheme="minorHAnsi"/>
        </w:rPr>
        <w:t xml:space="preserve"> of the Community </w:t>
      </w:r>
      <w:proofErr w:type="gramStart"/>
      <w:r w:rsidR="00170B51" w:rsidRPr="00DD0B00">
        <w:rPr>
          <w:rFonts w:cstheme="minorHAnsi"/>
        </w:rPr>
        <w:t>Child Care</w:t>
      </w:r>
      <w:proofErr w:type="gramEnd"/>
      <w:r w:rsidR="00170B51" w:rsidRPr="00DD0B00">
        <w:rPr>
          <w:rFonts w:cstheme="minorHAnsi"/>
        </w:rPr>
        <w:t xml:space="preserve"> Fund (CCCF) to address practical barriers to </w:t>
      </w:r>
      <w:r w:rsidR="007D1FCE">
        <w:rPr>
          <w:rFonts w:cstheme="minorHAnsi"/>
        </w:rPr>
        <w:t>ECE</w:t>
      </w:r>
      <w:r w:rsidR="00170B51" w:rsidRPr="00DD0B00">
        <w:rPr>
          <w:rFonts w:cstheme="minorHAnsi"/>
        </w:rPr>
        <w:t>C access</w:t>
      </w:r>
      <w:r w:rsidR="00270C31">
        <w:rPr>
          <w:rFonts w:cstheme="minorHAnsi"/>
        </w:rPr>
        <w:t xml:space="preserve"> </w:t>
      </w:r>
      <w:r w:rsidR="00170B51" w:rsidRPr="00DD0B00">
        <w:rPr>
          <w:rFonts w:cstheme="minorHAnsi"/>
        </w:rPr>
        <w:t xml:space="preserve">that families may face. </w:t>
      </w:r>
      <w:r w:rsidR="007D1FCE">
        <w:rPr>
          <w:rFonts w:cstheme="minorHAnsi"/>
        </w:rPr>
        <w:t>T</w:t>
      </w:r>
      <w:r w:rsidR="00703D0F" w:rsidRPr="00DD0B00">
        <w:rPr>
          <w:rFonts w:cstheme="minorHAnsi"/>
        </w:rPr>
        <w:t xml:space="preserve">he </w:t>
      </w:r>
      <w:r w:rsidR="003F74E8">
        <w:rPr>
          <w:rFonts w:cstheme="minorHAnsi"/>
        </w:rPr>
        <w:t xml:space="preserve">CCCF </w:t>
      </w:r>
      <w:r w:rsidR="00703D0F" w:rsidRPr="00DD0B00">
        <w:rPr>
          <w:rFonts w:cstheme="minorHAnsi"/>
        </w:rPr>
        <w:t>include</w:t>
      </w:r>
      <w:r w:rsidR="00D91235">
        <w:rPr>
          <w:rFonts w:cstheme="minorHAnsi"/>
        </w:rPr>
        <w:t>s “sustainability support”</w:t>
      </w:r>
      <w:r w:rsidR="00703D0F" w:rsidRPr="00DD0B00">
        <w:rPr>
          <w:rFonts w:cstheme="minorHAnsi"/>
        </w:rPr>
        <w:t xml:space="preserve"> </w:t>
      </w:r>
      <w:r w:rsidR="00D91235">
        <w:rPr>
          <w:rFonts w:cstheme="minorHAnsi"/>
        </w:rPr>
        <w:t xml:space="preserve">for services that includes </w:t>
      </w:r>
      <w:r w:rsidR="003F74E8">
        <w:rPr>
          <w:rFonts w:cstheme="minorHAnsi"/>
        </w:rPr>
        <w:t>u</w:t>
      </w:r>
      <w:r w:rsidR="00DD0B00" w:rsidRPr="00DD0B00">
        <w:rPr>
          <w:rFonts w:cstheme="minorHAnsi"/>
          <w:color w:val="40474F"/>
          <w:shd w:val="clear" w:color="auto" w:fill="FFFFFF"/>
        </w:rPr>
        <w:t>pskilling local staff o</w:t>
      </w:r>
      <w:r w:rsidR="00A656BC">
        <w:rPr>
          <w:rFonts w:cstheme="minorHAnsi"/>
          <w:color w:val="40474F"/>
          <w:shd w:val="clear" w:color="auto" w:fill="FFFFFF"/>
        </w:rPr>
        <w:t xml:space="preserve">f </w:t>
      </w:r>
      <w:r w:rsidR="00DD0B00" w:rsidRPr="00DD0B00">
        <w:rPr>
          <w:rFonts w:cstheme="minorHAnsi"/>
          <w:color w:val="40474F"/>
          <w:shd w:val="clear" w:color="auto" w:fill="FFFFFF"/>
        </w:rPr>
        <w:t>educators</w:t>
      </w:r>
      <w:r w:rsidR="00A656BC">
        <w:rPr>
          <w:rFonts w:cstheme="minorHAnsi"/>
          <w:color w:val="40474F"/>
          <w:shd w:val="clear" w:color="auto" w:fill="FFFFFF"/>
        </w:rPr>
        <w:t xml:space="preserve">, </w:t>
      </w:r>
      <w:r w:rsidR="00D91235">
        <w:rPr>
          <w:rFonts w:cstheme="minorHAnsi"/>
          <w:color w:val="40474F"/>
          <w:shd w:val="clear" w:color="auto" w:fill="FFFFFF"/>
        </w:rPr>
        <w:t xml:space="preserve">as well as </w:t>
      </w:r>
      <w:r w:rsidR="00CB1141">
        <w:rPr>
          <w:rFonts w:cstheme="minorHAnsi"/>
          <w:color w:val="40474F"/>
          <w:shd w:val="clear" w:color="auto" w:fill="FFFFFF"/>
        </w:rPr>
        <w:t>building relationships with</w:t>
      </w:r>
      <w:r w:rsidR="00227496">
        <w:rPr>
          <w:rFonts w:cstheme="minorHAnsi"/>
          <w:color w:val="40474F"/>
          <w:shd w:val="clear" w:color="auto" w:fill="FFFFFF"/>
        </w:rPr>
        <w:t xml:space="preserve"> families. This is encouraging; </w:t>
      </w:r>
      <w:r w:rsidR="003D4429">
        <w:rPr>
          <w:rFonts w:cstheme="minorHAnsi"/>
          <w:color w:val="40474F"/>
          <w:shd w:val="clear" w:color="auto" w:fill="FFFFFF"/>
        </w:rPr>
        <w:t>however,</w:t>
      </w:r>
      <w:r w:rsidR="00527F82">
        <w:rPr>
          <w:rFonts w:cstheme="minorHAnsi"/>
          <w:color w:val="40474F"/>
          <w:shd w:val="clear" w:color="auto" w:fill="FFFFFF"/>
        </w:rPr>
        <w:t xml:space="preserve"> it is important to recognise</w:t>
      </w:r>
      <w:r w:rsidR="003D4429">
        <w:rPr>
          <w:rFonts w:cstheme="minorHAnsi"/>
          <w:color w:val="40474F"/>
          <w:shd w:val="clear" w:color="auto" w:fill="FFFFFF"/>
        </w:rPr>
        <w:t xml:space="preserve"> the</w:t>
      </w:r>
      <w:r w:rsidR="00527F82">
        <w:rPr>
          <w:rFonts w:cstheme="minorHAnsi"/>
          <w:color w:val="40474F"/>
          <w:shd w:val="clear" w:color="auto" w:fill="FFFFFF"/>
        </w:rPr>
        <w:t xml:space="preserve"> need </w:t>
      </w:r>
      <w:r w:rsidR="00E94476">
        <w:rPr>
          <w:rFonts w:cstheme="minorHAnsi"/>
          <w:color w:val="40474F"/>
          <w:shd w:val="clear" w:color="auto" w:fill="FFFFFF"/>
        </w:rPr>
        <w:t xml:space="preserve">for </w:t>
      </w:r>
      <w:r w:rsidR="00FA7B25">
        <w:rPr>
          <w:rFonts w:cstheme="minorHAnsi"/>
          <w:color w:val="40474F"/>
          <w:shd w:val="clear" w:color="auto" w:fill="FFFFFF"/>
        </w:rPr>
        <w:t>effectively designed professional learning, mentoring, and support over time</w:t>
      </w:r>
      <w:r w:rsidR="00517C90">
        <w:rPr>
          <w:rFonts w:cstheme="minorHAnsi"/>
          <w:color w:val="40474F"/>
          <w:shd w:val="clear" w:color="auto" w:fill="FFFFFF"/>
        </w:rPr>
        <w:t xml:space="preserve">, as illustrated by the </w:t>
      </w:r>
      <w:r w:rsidR="003D4429">
        <w:rPr>
          <w:rFonts w:cstheme="minorHAnsi"/>
          <w:color w:val="40474F"/>
          <w:shd w:val="clear" w:color="auto" w:fill="FFFFFF"/>
        </w:rPr>
        <w:t>SPi</w:t>
      </w:r>
      <w:r w:rsidR="007D1FCE">
        <w:rPr>
          <w:rFonts w:cstheme="minorHAnsi"/>
          <w:color w:val="40474F"/>
          <w:shd w:val="clear" w:color="auto" w:fill="FFFFFF"/>
        </w:rPr>
        <w:t>ECE</w:t>
      </w:r>
      <w:r w:rsidR="003D4429">
        <w:rPr>
          <w:rFonts w:cstheme="minorHAnsi"/>
          <w:color w:val="40474F"/>
          <w:shd w:val="clear" w:color="auto" w:fill="FFFFFF"/>
        </w:rPr>
        <w:t xml:space="preserve"> research</w:t>
      </w:r>
      <w:r w:rsidR="00227496">
        <w:rPr>
          <w:rFonts w:cstheme="minorHAnsi"/>
          <w:color w:val="40474F"/>
          <w:shd w:val="clear" w:color="auto" w:fill="FFFFFF"/>
        </w:rPr>
        <w:t>, for funding support to be effective</w:t>
      </w:r>
      <w:r w:rsidR="00517C90">
        <w:rPr>
          <w:rFonts w:cstheme="minorHAnsi"/>
          <w:color w:val="40474F"/>
          <w:shd w:val="clear" w:color="auto" w:fill="FFFFFF"/>
        </w:rPr>
        <w:t>.</w:t>
      </w:r>
    </w:p>
    <w:p w14:paraId="0D6DD442" w14:textId="77777777" w:rsidR="00700BD2" w:rsidRDefault="00700BD2" w:rsidP="0069718F">
      <w:pPr>
        <w:spacing w:after="0" w:line="262" w:lineRule="auto"/>
        <w:rPr>
          <w:rFonts w:cstheme="minorHAnsi"/>
          <w:color w:val="40474F"/>
          <w:shd w:val="clear" w:color="auto" w:fill="FFFFFF"/>
        </w:rPr>
      </w:pPr>
    </w:p>
    <w:p w14:paraId="01DE22C0" w14:textId="5887814F" w:rsidR="00EC1543" w:rsidRDefault="00940E6E" w:rsidP="009C3481">
      <w:pPr>
        <w:pStyle w:val="AbstractBookBaseParagraph"/>
        <w:spacing w:line="276" w:lineRule="auto"/>
        <w:rPr>
          <w:rFonts w:cstheme="minorHAnsi"/>
          <w:color w:val="40474F"/>
          <w:shd w:val="clear" w:color="auto" w:fill="FFFFFF"/>
        </w:rPr>
      </w:pPr>
      <w:r>
        <w:rPr>
          <w:rFonts w:cstheme="minorHAnsi"/>
          <w:color w:val="40474F"/>
          <w:shd w:val="clear" w:color="auto" w:fill="FFFFFF"/>
        </w:rPr>
        <w:t>FURTHER COMMENT: The SPi</w:t>
      </w:r>
      <w:r w:rsidR="007D1FCE">
        <w:rPr>
          <w:rFonts w:cstheme="minorHAnsi"/>
          <w:color w:val="40474F"/>
          <w:shd w:val="clear" w:color="auto" w:fill="FFFFFF"/>
        </w:rPr>
        <w:t>ECE</w:t>
      </w:r>
      <w:r>
        <w:rPr>
          <w:rFonts w:cstheme="minorHAnsi"/>
          <w:color w:val="40474F"/>
          <w:shd w:val="clear" w:color="auto" w:fill="FFFFFF"/>
        </w:rPr>
        <w:t xml:space="preserve"> methodology included the collection of </w:t>
      </w:r>
      <w:r w:rsidR="001F0EE6">
        <w:rPr>
          <w:rFonts w:cstheme="minorHAnsi"/>
          <w:color w:val="40474F"/>
          <w:shd w:val="clear" w:color="auto" w:fill="FFFFFF"/>
        </w:rPr>
        <w:t>child attendance r</w:t>
      </w:r>
      <w:r w:rsidR="008807F2">
        <w:rPr>
          <w:rFonts w:cstheme="minorHAnsi"/>
          <w:color w:val="40474F"/>
          <w:shd w:val="clear" w:color="auto" w:fill="FFFFFF"/>
        </w:rPr>
        <w:t xml:space="preserve">ecords </w:t>
      </w:r>
      <w:r w:rsidR="001F0EE6">
        <w:rPr>
          <w:rFonts w:cstheme="minorHAnsi"/>
          <w:color w:val="40474F"/>
          <w:shd w:val="clear" w:color="auto" w:fill="FFFFFF"/>
        </w:rPr>
        <w:t>for the first year of the project (</w:t>
      </w:r>
      <w:r w:rsidR="00D57EEF">
        <w:rPr>
          <w:rFonts w:cstheme="minorHAnsi"/>
          <w:color w:val="40474F"/>
          <w:shd w:val="clear" w:color="auto" w:fill="FFFFFF"/>
        </w:rPr>
        <w:t xml:space="preserve">2019, </w:t>
      </w:r>
      <w:r w:rsidR="001F0EE6">
        <w:rPr>
          <w:rFonts w:cstheme="minorHAnsi"/>
          <w:color w:val="40474F"/>
          <w:shd w:val="clear" w:color="auto" w:fill="FFFFFF"/>
        </w:rPr>
        <w:t>pre-COVID)</w:t>
      </w:r>
      <w:r w:rsidR="00C5432B">
        <w:rPr>
          <w:rFonts w:cstheme="minorHAnsi"/>
          <w:color w:val="40474F"/>
          <w:shd w:val="clear" w:color="auto" w:fill="FFFFFF"/>
        </w:rPr>
        <w:t xml:space="preserve">. </w:t>
      </w:r>
      <w:r w:rsidR="00D57EEF">
        <w:rPr>
          <w:rFonts w:cstheme="minorHAnsi"/>
          <w:color w:val="40474F"/>
          <w:shd w:val="clear" w:color="auto" w:fill="FFFFFF"/>
        </w:rPr>
        <w:t xml:space="preserve">Findings </w:t>
      </w:r>
      <w:r w:rsidR="000B0027">
        <w:rPr>
          <w:rFonts w:cstheme="minorHAnsi"/>
          <w:color w:val="40474F"/>
          <w:shd w:val="clear" w:color="auto" w:fill="FFFFFF"/>
        </w:rPr>
        <w:t xml:space="preserve">reported in Harrison et al. (2023b) </w:t>
      </w:r>
      <w:r w:rsidR="00D57EEF">
        <w:rPr>
          <w:rFonts w:cstheme="minorHAnsi"/>
          <w:color w:val="40474F"/>
          <w:shd w:val="clear" w:color="auto" w:fill="FFFFFF"/>
        </w:rPr>
        <w:t>are relevant to</w:t>
      </w:r>
      <w:r w:rsidR="002F0651">
        <w:rPr>
          <w:rFonts w:cstheme="minorHAnsi"/>
          <w:color w:val="40474F"/>
          <w:shd w:val="clear" w:color="auto" w:fill="FFFFFF"/>
        </w:rPr>
        <w:t xml:space="preserve"> </w:t>
      </w:r>
      <w:r w:rsidR="00440FF7" w:rsidRPr="00440FF7">
        <w:rPr>
          <w:rFonts w:cstheme="minorHAnsi"/>
          <w:b/>
          <w:bCs/>
          <w:color w:val="40474F"/>
          <w:shd w:val="clear" w:color="auto" w:fill="FFFFFF"/>
        </w:rPr>
        <w:t>Draft</w:t>
      </w:r>
      <w:r w:rsidR="00BE5FE1">
        <w:rPr>
          <w:rFonts w:cstheme="minorHAnsi"/>
          <w:b/>
          <w:bCs/>
          <w:color w:val="40474F"/>
          <w:shd w:val="clear" w:color="auto" w:fill="FFFFFF"/>
        </w:rPr>
        <w:t xml:space="preserve"> Finding 5.1 </w:t>
      </w:r>
      <w:r w:rsidR="00BE5FE1" w:rsidRPr="00BE5FE1">
        <w:rPr>
          <w:rFonts w:cstheme="minorHAnsi"/>
          <w:color w:val="40474F"/>
          <w:shd w:val="clear" w:color="auto" w:fill="FFFFFF"/>
        </w:rPr>
        <w:t>that</w:t>
      </w:r>
      <w:r w:rsidR="00440FF7" w:rsidRPr="00BE5FE1">
        <w:rPr>
          <w:rFonts w:cstheme="minorHAnsi"/>
          <w:color w:val="40474F"/>
          <w:shd w:val="clear" w:color="auto" w:fill="FFFFFF"/>
        </w:rPr>
        <w:t xml:space="preserve"> </w:t>
      </w:r>
      <w:r w:rsidR="00BE5FE1">
        <w:t>a</w:t>
      </w:r>
      <w:r w:rsidR="00BE5FE1" w:rsidRPr="00BE5FE1">
        <w:t xml:space="preserve">ll children aged 0–5 years should be able to attend up to 30 hours or three days of quality </w:t>
      </w:r>
      <w:r w:rsidR="007D1FCE">
        <w:t>ECE</w:t>
      </w:r>
      <w:r w:rsidR="00BE5FE1" w:rsidRPr="00BE5FE1">
        <w:t>C a week for 48 weeks per year</w:t>
      </w:r>
      <w:r w:rsidR="00440FF7" w:rsidRPr="00BE5FE1">
        <w:rPr>
          <w:b/>
          <w:bCs/>
        </w:rPr>
        <w:t>.</w:t>
      </w:r>
      <w:r w:rsidR="00D57EEF">
        <w:rPr>
          <w:rFonts w:cstheme="minorHAnsi"/>
          <w:color w:val="40474F"/>
          <w:shd w:val="clear" w:color="auto" w:fill="FFFFFF"/>
        </w:rPr>
        <w:t xml:space="preserve"> </w:t>
      </w:r>
      <w:r w:rsidR="004D4D28">
        <w:rPr>
          <w:rFonts w:cstheme="minorHAnsi"/>
          <w:color w:val="40474F"/>
          <w:shd w:val="clear" w:color="auto" w:fill="FFFFFF"/>
        </w:rPr>
        <w:t xml:space="preserve">The </w:t>
      </w:r>
      <w:r w:rsidR="00440FF7">
        <w:rPr>
          <w:rFonts w:cstheme="minorHAnsi"/>
          <w:color w:val="40474F"/>
          <w:shd w:val="clear" w:color="auto" w:fill="FFFFFF"/>
        </w:rPr>
        <w:t>SPi</w:t>
      </w:r>
      <w:r w:rsidR="007D1FCE">
        <w:rPr>
          <w:rFonts w:cstheme="minorHAnsi"/>
          <w:color w:val="40474F"/>
          <w:shd w:val="clear" w:color="auto" w:fill="FFFFFF"/>
        </w:rPr>
        <w:t>ECE</w:t>
      </w:r>
      <w:r w:rsidR="00440FF7">
        <w:rPr>
          <w:rFonts w:cstheme="minorHAnsi"/>
          <w:color w:val="40474F"/>
          <w:shd w:val="clear" w:color="auto" w:fill="FFFFFF"/>
        </w:rPr>
        <w:t xml:space="preserve"> </w:t>
      </w:r>
      <w:r w:rsidR="004D4D28">
        <w:rPr>
          <w:rFonts w:cstheme="minorHAnsi"/>
          <w:color w:val="40474F"/>
          <w:shd w:val="clear" w:color="auto" w:fill="FFFFFF"/>
        </w:rPr>
        <w:t xml:space="preserve">study sample comprised </w:t>
      </w:r>
      <w:r w:rsidR="00C5432B">
        <w:rPr>
          <w:rFonts w:cstheme="minorHAnsi"/>
          <w:color w:val="40474F"/>
          <w:shd w:val="clear" w:color="auto" w:fill="FFFFFF"/>
        </w:rPr>
        <w:t>97</w:t>
      </w:r>
      <w:r w:rsidR="0037690C">
        <w:rPr>
          <w:rFonts w:cstheme="minorHAnsi"/>
          <w:color w:val="40474F"/>
          <w:shd w:val="clear" w:color="auto" w:fill="FFFFFF"/>
        </w:rPr>
        <w:t>1</w:t>
      </w:r>
      <w:r w:rsidR="00C5432B">
        <w:rPr>
          <w:rFonts w:cstheme="minorHAnsi"/>
          <w:color w:val="40474F"/>
          <w:shd w:val="clear" w:color="auto" w:fill="FFFFFF"/>
        </w:rPr>
        <w:t xml:space="preserve"> children aged 4 to 5-years</w:t>
      </w:r>
      <w:r w:rsidR="0037690C">
        <w:rPr>
          <w:rFonts w:cstheme="minorHAnsi"/>
          <w:color w:val="40474F"/>
          <w:shd w:val="clear" w:color="auto" w:fill="FFFFFF"/>
        </w:rPr>
        <w:t xml:space="preserve"> </w:t>
      </w:r>
      <w:r w:rsidR="00135D0F">
        <w:rPr>
          <w:rFonts w:cstheme="minorHAnsi"/>
          <w:color w:val="40474F"/>
          <w:shd w:val="clear" w:color="auto" w:fill="FFFFFF"/>
        </w:rPr>
        <w:t xml:space="preserve">who </w:t>
      </w:r>
      <w:r w:rsidR="004D4D28">
        <w:rPr>
          <w:rFonts w:cstheme="minorHAnsi"/>
          <w:color w:val="40474F"/>
          <w:shd w:val="clear" w:color="auto" w:fill="FFFFFF"/>
        </w:rPr>
        <w:t>attend</w:t>
      </w:r>
      <w:r w:rsidR="00135D0F">
        <w:rPr>
          <w:rFonts w:cstheme="minorHAnsi"/>
          <w:color w:val="40474F"/>
          <w:shd w:val="clear" w:color="auto" w:fill="FFFFFF"/>
        </w:rPr>
        <w:t>ed</w:t>
      </w:r>
      <w:r w:rsidR="0037690C">
        <w:rPr>
          <w:rFonts w:cstheme="minorHAnsi"/>
          <w:color w:val="40474F"/>
          <w:shd w:val="clear" w:color="auto" w:fill="FFFFFF"/>
        </w:rPr>
        <w:t xml:space="preserve"> </w:t>
      </w:r>
      <w:r w:rsidR="0037690C">
        <w:rPr>
          <w:rFonts w:eastAsia="Calibri"/>
        </w:rPr>
        <w:t xml:space="preserve">19 </w:t>
      </w:r>
      <w:r w:rsidR="007D1FCE">
        <w:rPr>
          <w:rFonts w:eastAsia="Calibri"/>
        </w:rPr>
        <w:t>ECEC</w:t>
      </w:r>
      <w:r w:rsidR="0037690C">
        <w:rPr>
          <w:rFonts w:eastAsia="Calibri"/>
        </w:rPr>
        <w:t xml:space="preserve"> centres/schools (15 long day care, 2 preschools,</w:t>
      </w:r>
      <w:r w:rsidR="0037690C" w:rsidRPr="002B1259">
        <w:rPr>
          <w:rFonts w:eastAsia="Calibri"/>
        </w:rPr>
        <w:t xml:space="preserve"> </w:t>
      </w:r>
      <w:r w:rsidR="0037690C">
        <w:rPr>
          <w:rFonts w:eastAsia="Calibri"/>
        </w:rPr>
        <w:t xml:space="preserve">2 </w:t>
      </w:r>
      <w:r w:rsidR="0037690C" w:rsidRPr="002B1259">
        <w:rPr>
          <w:rFonts w:eastAsia="Calibri"/>
        </w:rPr>
        <w:t>school</w:t>
      </w:r>
      <w:r w:rsidR="0037690C">
        <w:rPr>
          <w:rFonts w:eastAsia="Calibri"/>
        </w:rPr>
        <w:t>-based preschool</w:t>
      </w:r>
      <w:r w:rsidR="0037690C" w:rsidRPr="002B1259">
        <w:rPr>
          <w:rFonts w:eastAsia="Calibri"/>
        </w:rPr>
        <w:t>s</w:t>
      </w:r>
      <w:r w:rsidR="0037690C">
        <w:rPr>
          <w:rFonts w:eastAsia="Calibri"/>
        </w:rPr>
        <w:t xml:space="preserve">) in </w:t>
      </w:r>
      <w:r w:rsidR="004E785B">
        <w:rPr>
          <w:rFonts w:eastAsia="Calibri"/>
        </w:rPr>
        <w:t xml:space="preserve">low SES communities in </w:t>
      </w:r>
      <w:r w:rsidR="0037690C">
        <w:rPr>
          <w:rFonts w:eastAsia="Calibri"/>
        </w:rPr>
        <w:t>regional and metropolitan areas of NSW</w:t>
      </w:r>
      <w:r w:rsidR="00135D0F">
        <w:rPr>
          <w:rFonts w:eastAsia="Calibri"/>
        </w:rPr>
        <w:t xml:space="preserve">. </w:t>
      </w:r>
      <w:r w:rsidR="008807F2">
        <w:rPr>
          <w:rFonts w:cstheme="minorHAnsi"/>
          <w:color w:val="40474F"/>
          <w:shd w:val="clear" w:color="auto" w:fill="FFFFFF"/>
        </w:rPr>
        <w:t xml:space="preserve">Children’s participation across the year was </w:t>
      </w:r>
      <w:r w:rsidR="008D2864">
        <w:rPr>
          <w:rFonts w:cstheme="minorHAnsi"/>
          <w:color w:val="40474F"/>
          <w:shd w:val="clear" w:color="auto" w:fill="FFFFFF"/>
        </w:rPr>
        <w:t xml:space="preserve">calculated as the </w:t>
      </w:r>
      <w:r w:rsidR="00085CF1">
        <w:rPr>
          <w:rFonts w:cstheme="minorHAnsi"/>
          <w:color w:val="40474F"/>
          <w:shd w:val="clear" w:color="auto" w:fill="FFFFFF"/>
        </w:rPr>
        <w:t xml:space="preserve">number and </w:t>
      </w:r>
      <w:r w:rsidR="008D2864">
        <w:rPr>
          <w:rFonts w:cstheme="minorHAnsi"/>
          <w:color w:val="40474F"/>
          <w:shd w:val="clear" w:color="auto" w:fill="FFFFFF"/>
        </w:rPr>
        <w:t>per cent of enrolled days</w:t>
      </w:r>
      <w:r w:rsidR="008807F2">
        <w:rPr>
          <w:rFonts w:cstheme="minorHAnsi"/>
          <w:color w:val="40474F"/>
          <w:shd w:val="clear" w:color="auto" w:fill="FFFFFF"/>
        </w:rPr>
        <w:t xml:space="preserve"> attend</w:t>
      </w:r>
      <w:r w:rsidR="008D2864">
        <w:rPr>
          <w:rFonts w:cstheme="minorHAnsi"/>
          <w:color w:val="40474F"/>
          <w:shd w:val="clear" w:color="auto" w:fill="FFFFFF"/>
        </w:rPr>
        <w:t xml:space="preserve">ed. Results </w:t>
      </w:r>
      <w:r w:rsidR="00135D0F">
        <w:rPr>
          <w:rFonts w:cstheme="minorHAnsi"/>
          <w:color w:val="40474F"/>
          <w:shd w:val="clear" w:color="auto" w:fill="FFFFFF"/>
        </w:rPr>
        <w:t>showed that</w:t>
      </w:r>
      <w:r w:rsidR="00EC1543">
        <w:rPr>
          <w:rFonts w:cstheme="minorHAnsi"/>
          <w:color w:val="40474F"/>
          <w:shd w:val="clear" w:color="auto" w:fill="FFFFFF"/>
        </w:rPr>
        <w:t>:</w:t>
      </w:r>
    </w:p>
    <w:p w14:paraId="298279A2" w14:textId="1B12D351" w:rsidR="00085CF1" w:rsidRDefault="00487E89" w:rsidP="00EC1543">
      <w:pPr>
        <w:pStyle w:val="AbstractBookBaseParagraph"/>
        <w:numPr>
          <w:ilvl w:val="0"/>
          <w:numId w:val="14"/>
        </w:numPr>
        <w:spacing w:line="276" w:lineRule="auto"/>
      </w:pPr>
      <w:r>
        <w:t xml:space="preserve">the average number of enrolled days per </w:t>
      </w:r>
      <w:r w:rsidR="00B21B65">
        <w:t xml:space="preserve">10-week </w:t>
      </w:r>
      <w:r>
        <w:t xml:space="preserve">term were significantly lower for children attending preschool (22.35) versus long day care (24.26), F (1,3138 = 62.39, </w:t>
      </w:r>
      <w:r>
        <w:rPr>
          <w:i/>
          <w:iCs/>
        </w:rPr>
        <w:t xml:space="preserve">p </w:t>
      </w:r>
      <w:r>
        <w:t xml:space="preserve">&lt; .001), </w:t>
      </w:r>
    </w:p>
    <w:p w14:paraId="343EFF08" w14:textId="049E4C26" w:rsidR="009C3481" w:rsidRDefault="009C3481" w:rsidP="00EC1543">
      <w:pPr>
        <w:pStyle w:val="AbstractBookBaseParagraph"/>
        <w:numPr>
          <w:ilvl w:val="0"/>
          <w:numId w:val="14"/>
        </w:numPr>
        <w:spacing w:line="276" w:lineRule="auto"/>
      </w:pPr>
      <w:r>
        <w:t xml:space="preserve">attendance rates were higher for children attending long day care </w:t>
      </w:r>
      <w:r w:rsidR="00DA6381">
        <w:t xml:space="preserve">centres </w:t>
      </w:r>
      <w:r w:rsidR="00047B36">
        <w:t xml:space="preserve">(90%) </w:t>
      </w:r>
      <w:r>
        <w:t xml:space="preserve">than </w:t>
      </w:r>
      <w:r w:rsidR="00DA6381">
        <w:t xml:space="preserve">for children </w:t>
      </w:r>
      <w:r>
        <w:t xml:space="preserve">attending </w:t>
      </w:r>
      <w:r w:rsidR="00DA6381">
        <w:t xml:space="preserve">a </w:t>
      </w:r>
      <w:r>
        <w:t>preschool</w:t>
      </w:r>
      <w:r w:rsidR="00DA6381">
        <w:t xml:space="preserve"> centre/</w:t>
      </w:r>
      <w:r w:rsidR="00DB129F">
        <w:t>school</w:t>
      </w:r>
      <w:r>
        <w:t xml:space="preserve"> (84%)</w:t>
      </w:r>
      <w:r w:rsidR="00CD5B70">
        <w:t xml:space="preserve"> (</w:t>
      </w:r>
      <w:r>
        <w:t xml:space="preserve">F (1,3138) = 112.57. </w:t>
      </w:r>
      <w:r>
        <w:rPr>
          <w:i/>
          <w:iCs/>
        </w:rPr>
        <w:t>p</w:t>
      </w:r>
      <w:r>
        <w:t xml:space="preserve"> &lt; .001).</w:t>
      </w:r>
      <w:r w:rsidR="004E785B">
        <w:t xml:space="preserve"> </w:t>
      </w:r>
    </w:p>
    <w:p w14:paraId="1FF27B29" w14:textId="3EA5FF03" w:rsidR="00FB22A2" w:rsidRPr="00D66F7B" w:rsidRDefault="00B55C54" w:rsidP="00D66F7B">
      <w:pPr>
        <w:pStyle w:val="AbstractBookBaseParagraph"/>
        <w:numPr>
          <w:ilvl w:val="0"/>
          <w:numId w:val="14"/>
        </w:numPr>
        <w:spacing w:line="276" w:lineRule="auto"/>
      </w:pPr>
      <w:r>
        <w:t xml:space="preserve">attendance was more stable for children who attended a preschool than children who attended a long day care centre: 85% of children attended the same preschool centre/school for all four terms compared to </w:t>
      </w:r>
      <w:r w:rsidR="00A145E4">
        <w:t xml:space="preserve">only </w:t>
      </w:r>
      <w:r>
        <w:t>51% of children enrolled in long day care centres. One -third (33%) of children enrolled in long day care centres attended for two or three terms, and one-sixth (16%) attended for only one term.</w:t>
      </w:r>
    </w:p>
    <w:p w14:paraId="22E7A383" w14:textId="5976EFB9" w:rsidR="004443D5" w:rsidRDefault="004443D5" w:rsidP="004443D5"/>
    <w:p w14:paraId="1A9E69E8" w14:textId="71090C5D" w:rsidR="00D33519" w:rsidRDefault="00D33519" w:rsidP="004221CC">
      <w:pPr>
        <w:pStyle w:val="ListParagraph"/>
        <w:numPr>
          <w:ilvl w:val="0"/>
          <w:numId w:val="7"/>
        </w:numPr>
        <w:ind w:left="426"/>
      </w:pPr>
      <w:r w:rsidRPr="004443D5">
        <w:rPr>
          <w:b/>
          <w:bCs/>
        </w:rPr>
        <w:t xml:space="preserve">Collection of information on staffing as part of the </w:t>
      </w:r>
      <w:r w:rsidR="00D4741C">
        <w:rPr>
          <w:b/>
          <w:bCs/>
        </w:rPr>
        <w:t xml:space="preserve">NQS </w:t>
      </w:r>
      <w:r w:rsidRPr="004443D5">
        <w:rPr>
          <w:b/>
          <w:bCs/>
        </w:rPr>
        <w:t>Assessment and Rating process</w:t>
      </w:r>
      <w:r>
        <w:t xml:space="preserve"> in relation to legislated requirements</w:t>
      </w:r>
      <w:r w:rsidR="007D2A75" w:rsidRPr="007D2A75">
        <w:t xml:space="preserve"> (by age group, qualification, ratios)</w:t>
      </w:r>
    </w:p>
    <w:p w14:paraId="0A5C6BCE" w14:textId="1CFDE8BE" w:rsidR="0018068A" w:rsidRDefault="00147D13" w:rsidP="00433C61">
      <w:r>
        <w:t xml:space="preserve">The Draft Report </w:t>
      </w:r>
      <w:r w:rsidR="009E17E4" w:rsidRPr="001E0302">
        <w:rPr>
          <w:i/>
          <w:iCs/>
        </w:rPr>
        <w:t xml:space="preserve">Priorities for </w:t>
      </w:r>
      <w:r w:rsidR="001E0302" w:rsidRPr="001E0302">
        <w:rPr>
          <w:i/>
          <w:iCs/>
        </w:rPr>
        <w:t>r</w:t>
      </w:r>
      <w:r w:rsidR="009E17E4" w:rsidRPr="001E0302">
        <w:rPr>
          <w:i/>
          <w:iCs/>
        </w:rPr>
        <w:t xml:space="preserve">esearch </w:t>
      </w:r>
      <w:r w:rsidR="001E0302" w:rsidRPr="001E0302">
        <w:rPr>
          <w:i/>
          <w:iCs/>
        </w:rPr>
        <w:t>to support childhood development</w:t>
      </w:r>
      <w:r w:rsidR="001E0302">
        <w:t xml:space="preserve"> </w:t>
      </w:r>
      <w:r w:rsidR="007F4EAA">
        <w:t xml:space="preserve">raise questions about the relationship between National </w:t>
      </w:r>
      <w:r w:rsidR="001027E7">
        <w:t>Q</w:t>
      </w:r>
      <w:r w:rsidR="007F4EAA">
        <w:t xml:space="preserve">uality Standard </w:t>
      </w:r>
      <w:r w:rsidR="00BA3FEF">
        <w:t xml:space="preserve">(NQS) </w:t>
      </w:r>
      <w:r w:rsidR="007F4EAA">
        <w:t>ratings and child outcomes</w:t>
      </w:r>
      <w:r w:rsidR="001027E7">
        <w:t>, suggesting that “</w:t>
      </w:r>
      <w:r>
        <w:t>i</w:t>
      </w:r>
      <w:r w:rsidR="00F43183">
        <w:t>f educator</w:t>
      </w:r>
      <w:r w:rsidR="00F43183">
        <w:noBreakHyphen/>
        <w:t>to</w:t>
      </w:r>
      <w:r w:rsidR="00F43183">
        <w:noBreakHyphen/>
        <w:t xml:space="preserve">child ratios and qualification requirements are set at too low a level, </w:t>
      </w:r>
      <w:r w:rsidR="007D1FCE">
        <w:t>ECE</w:t>
      </w:r>
      <w:r w:rsidR="00F43183">
        <w:t>C will not optimally support childhood development</w:t>
      </w:r>
      <w:r w:rsidR="001027E7">
        <w:t>”</w:t>
      </w:r>
      <w:r w:rsidR="00F43183">
        <w:t xml:space="preserve"> </w:t>
      </w:r>
      <w:r w:rsidR="00D93DD4">
        <w:t>(p. 121</w:t>
      </w:r>
      <w:r w:rsidR="00433C61">
        <w:t>)</w:t>
      </w:r>
      <w:r w:rsidR="00E11755">
        <w:t>. The association</w:t>
      </w:r>
      <w:r w:rsidR="0084760F">
        <w:t>s</w:t>
      </w:r>
      <w:r w:rsidR="00E11755">
        <w:t xml:space="preserve"> between </w:t>
      </w:r>
      <w:r w:rsidR="00BA3FEF">
        <w:t>NQS</w:t>
      </w:r>
      <w:r w:rsidR="0084760F">
        <w:t xml:space="preserve"> ratings, </w:t>
      </w:r>
      <w:r w:rsidR="00E11755">
        <w:t>staff qualifications, staff-to-child ratios, and children’s development</w:t>
      </w:r>
      <w:r w:rsidR="00966FFB">
        <w:t xml:space="preserve"> </w:t>
      </w:r>
      <w:r w:rsidR="0084760F">
        <w:t>are important areas to address in</w:t>
      </w:r>
      <w:r w:rsidR="00966FFB">
        <w:t xml:space="preserve"> Australia</w:t>
      </w:r>
      <w:r w:rsidR="007C4EC7">
        <w:t xml:space="preserve">. </w:t>
      </w:r>
      <w:r w:rsidR="00000BBB">
        <w:t>Requesting details of staff qualifications as part of the NQS Assessment and Rating system would make it possible for associations among NQS ratings and other contributors to quality.</w:t>
      </w:r>
    </w:p>
    <w:p w14:paraId="7676E502" w14:textId="4C54A7F7" w:rsidR="0018068A" w:rsidRDefault="007C4EC7" w:rsidP="00433C61">
      <w:r>
        <w:t xml:space="preserve">The </w:t>
      </w:r>
      <w:r w:rsidR="00B629DA">
        <w:t>available</w:t>
      </w:r>
      <w:r>
        <w:t xml:space="preserve"> </w:t>
      </w:r>
      <w:r w:rsidR="00BA3FEF">
        <w:t>national data on NQS ratings is a</w:t>
      </w:r>
      <w:r w:rsidR="0009314B">
        <w:t xml:space="preserve">n excellent resource for researchers, and has generated key findings on the associations among </w:t>
      </w:r>
      <w:r w:rsidR="006048A1">
        <w:t xml:space="preserve">quality and </w:t>
      </w:r>
      <w:r w:rsidR="00C94610">
        <w:t xml:space="preserve">structural features such as </w:t>
      </w:r>
      <w:r w:rsidR="006048A1">
        <w:t xml:space="preserve">type of </w:t>
      </w:r>
      <w:r w:rsidR="002D7B51">
        <w:t xml:space="preserve">service (long day care vs preschool), type of </w:t>
      </w:r>
      <w:r w:rsidR="007D1FCE">
        <w:t>ECE</w:t>
      </w:r>
      <w:r w:rsidR="006048A1">
        <w:t>C provider (for-profit vs not</w:t>
      </w:r>
      <w:r w:rsidR="00BB6DB6">
        <w:t>-for-</w:t>
      </w:r>
      <w:r w:rsidR="006048A1">
        <w:t>profit)</w:t>
      </w:r>
      <w:r w:rsidR="00BB6DB6">
        <w:t xml:space="preserve">, </w:t>
      </w:r>
      <w:r w:rsidR="002B5EFB">
        <w:t xml:space="preserve">size of provider organisation (multi-site vs stand-alone), </w:t>
      </w:r>
      <w:r w:rsidR="00BB6DB6">
        <w:t>communit</w:t>
      </w:r>
      <w:r w:rsidR="002B5EFB">
        <w:t xml:space="preserve">y SES, </w:t>
      </w:r>
      <w:r w:rsidR="00BD2F2D">
        <w:t>location</w:t>
      </w:r>
      <w:r w:rsidR="002B5EFB">
        <w:t xml:space="preserve"> (urban</w:t>
      </w:r>
      <w:r w:rsidR="000C06E4">
        <w:t xml:space="preserve"> / regional / remote)</w:t>
      </w:r>
      <w:r w:rsidR="00BD2F2D">
        <w:t xml:space="preserve"> </w:t>
      </w:r>
      <w:r w:rsidR="000C06E4">
        <w:t xml:space="preserve">and stability of ownership </w:t>
      </w:r>
      <w:r w:rsidR="00BD2F2D">
        <w:t>(</w:t>
      </w:r>
      <w:r w:rsidR="00673E0C">
        <w:t>Char et al., 2023; Harrison et al., 2023a, 2023c)</w:t>
      </w:r>
      <w:r w:rsidR="00C94610">
        <w:t xml:space="preserve">. </w:t>
      </w:r>
      <w:r w:rsidR="00B629DA">
        <w:t xml:space="preserve">Extending the </w:t>
      </w:r>
      <w:r w:rsidR="00B629DA">
        <w:lastRenderedPageBreak/>
        <w:t>NQS data to include staff qualifications would enhance this resource</w:t>
      </w:r>
      <w:r w:rsidR="00DF24E9">
        <w:t xml:space="preserve"> and provide further opportunities to understand and improve quality in Australian </w:t>
      </w:r>
      <w:r w:rsidR="007D1FCE">
        <w:t>ECE</w:t>
      </w:r>
      <w:r w:rsidR="00DF24E9">
        <w:t>C settings.</w:t>
      </w:r>
    </w:p>
    <w:p w14:paraId="4C251DCB" w14:textId="667EAA44" w:rsidR="00E25AF2" w:rsidRDefault="00523298" w:rsidP="00E25AF2">
      <w:pPr>
        <w:rPr>
          <w:rFonts w:cstheme="minorHAnsi"/>
        </w:rPr>
      </w:pPr>
      <w:r>
        <w:t>The</w:t>
      </w:r>
      <w:r w:rsidR="002D3EC9">
        <w:t xml:space="preserve"> </w:t>
      </w:r>
      <w:r>
        <w:t>Exemplary Early Childhood Educators at Work (EEC</w:t>
      </w:r>
      <w:r w:rsidR="00A82B91">
        <w:t>E</w:t>
      </w:r>
      <w:r>
        <w:t xml:space="preserve">@W) research project </w:t>
      </w:r>
      <w:r w:rsidR="00951E21">
        <w:t xml:space="preserve">has </w:t>
      </w:r>
      <w:r w:rsidR="00630BE2">
        <w:t xml:space="preserve">generated some evidence on </w:t>
      </w:r>
      <w:r w:rsidR="00951E21">
        <w:t xml:space="preserve">associations between NQS ratings and staff qualifications </w:t>
      </w:r>
      <w:r>
        <w:t>(Gibson et al., 202</w:t>
      </w:r>
      <w:r w:rsidR="002D7B51">
        <w:t>3</w:t>
      </w:r>
      <w:r>
        <w:t>; Harrison et al</w:t>
      </w:r>
      <w:r w:rsidR="004A2D0F">
        <w:t>., 2023d)</w:t>
      </w:r>
      <w:r w:rsidR="00630BE2">
        <w:t xml:space="preserve">. </w:t>
      </w:r>
      <w:r w:rsidR="006B2238">
        <w:t>In Stage 1, t</w:t>
      </w:r>
      <w:r w:rsidR="00417A83">
        <w:t>he E</w:t>
      </w:r>
      <w:r w:rsidR="007D1FCE">
        <w:t>ECE</w:t>
      </w:r>
      <w:r w:rsidR="00417A83">
        <w:t xml:space="preserve">@W study </w:t>
      </w:r>
      <w:r w:rsidR="00CB0F93">
        <w:t xml:space="preserve">recruited </w:t>
      </w:r>
      <w:r w:rsidR="007D1FCE">
        <w:t>ECE</w:t>
      </w:r>
      <w:r w:rsidR="00CB0F93">
        <w:t xml:space="preserve">C </w:t>
      </w:r>
      <w:r w:rsidR="00417A83">
        <w:t xml:space="preserve">centres </w:t>
      </w:r>
      <w:r w:rsidR="005E3DAC">
        <w:t xml:space="preserve">across Australia </w:t>
      </w:r>
      <w:r w:rsidR="00417A83">
        <w:t xml:space="preserve">that </w:t>
      </w:r>
      <w:r w:rsidR="00417A83">
        <w:rPr>
          <w:rStyle w:val="normaltextrun"/>
        </w:rPr>
        <w:t>had achieved ratings of</w:t>
      </w:r>
      <w:r w:rsidR="00417A83" w:rsidRPr="00A45F16">
        <w:rPr>
          <w:rStyle w:val="normaltextrun"/>
        </w:rPr>
        <w:t xml:space="preserve"> </w:t>
      </w:r>
      <w:r w:rsidR="00417A83">
        <w:rPr>
          <w:rStyle w:val="normaltextrun"/>
        </w:rPr>
        <w:t xml:space="preserve">Exceeding </w:t>
      </w:r>
      <w:r w:rsidR="00A82B91">
        <w:rPr>
          <w:rStyle w:val="normaltextrun"/>
        </w:rPr>
        <w:t xml:space="preserve">NQS </w:t>
      </w:r>
      <w:r w:rsidR="00417A83">
        <w:rPr>
          <w:rStyle w:val="normaltextrun"/>
        </w:rPr>
        <w:t>in all seven Quality Areas</w:t>
      </w:r>
      <w:r w:rsidR="00417A83">
        <w:rPr>
          <w:rFonts w:cstheme="minorHAnsi"/>
        </w:rPr>
        <w:t>.</w:t>
      </w:r>
      <w:r w:rsidR="005E3DAC">
        <w:rPr>
          <w:rFonts w:cstheme="minorHAnsi"/>
        </w:rPr>
        <w:t xml:space="preserve"> A</w:t>
      </w:r>
      <w:r w:rsidR="00CB0F93" w:rsidRPr="00CB0F93">
        <w:t xml:space="preserve"> </w:t>
      </w:r>
      <w:r w:rsidR="00CB0F93">
        <w:t xml:space="preserve">total of 304 educators provided information on </w:t>
      </w:r>
      <w:r w:rsidR="00A82B91">
        <w:t xml:space="preserve">their </w:t>
      </w:r>
      <w:r w:rsidR="00CB0F93">
        <w:t xml:space="preserve">qualifications. </w:t>
      </w:r>
      <w:r w:rsidR="00A82B91">
        <w:t>In Table 1, t</w:t>
      </w:r>
      <w:r w:rsidR="00CB0F93">
        <w:t xml:space="preserve">he distribution of qualifications for the </w:t>
      </w:r>
      <w:r w:rsidR="007D1FCE">
        <w:t>EE</w:t>
      </w:r>
      <w:r w:rsidR="00CB0F93">
        <w:t>C</w:t>
      </w:r>
      <w:r w:rsidR="007D1FCE">
        <w:t>E</w:t>
      </w:r>
      <w:r w:rsidR="00CB0F93">
        <w:t xml:space="preserve">@W sample is contrasted with </w:t>
      </w:r>
      <w:r w:rsidR="00920C8E">
        <w:t xml:space="preserve">2021 </w:t>
      </w:r>
      <w:r w:rsidR="009A6F61">
        <w:t>national workforce census data</w:t>
      </w:r>
      <w:r w:rsidR="005E317B">
        <w:t>. Table 1</w:t>
      </w:r>
      <w:r w:rsidR="00E25AF2">
        <w:t xml:space="preserve"> also </w:t>
      </w:r>
      <w:r w:rsidR="00E25AF2">
        <w:rPr>
          <w:rFonts w:cstheme="minorHAnsi"/>
        </w:rPr>
        <w:t>summarises wider context differences for NQS ratings and qualifications by service type</w:t>
      </w:r>
      <w:r w:rsidR="005E317B">
        <w:rPr>
          <w:rFonts w:cstheme="minorHAnsi"/>
        </w:rPr>
        <w:t xml:space="preserve"> (preschool vs long day care)</w:t>
      </w:r>
      <w:r w:rsidR="00E25AF2">
        <w:rPr>
          <w:rFonts w:cstheme="minorHAnsi"/>
        </w:rPr>
        <w:t>.</w:t>
      </w:r>
    </w:p>
    <w:p w14:paraId="2AA90C2D" w14:textId="05EC8C5D" w:rsidR="000D2C64" w:rsidRDefault="00E25AF2" w:rsidP="00CB0F93">
      <w:pPr>
        <w:rPr>
          <w:rFonts w:cstheme="minorHAnsi"/>
        </w:rPr>
      </w:pPr>
      <w:proofErr w:type="gramStart"/>
      <w:r>
        <w:rPr>
          <w:rFonts w:cstheme="minorHAnsi"/>
        </w:rPr>
        <w:t>All of</w:t>
      </w:r>
      <w:proofErr w:type="gramEnd"/>
      <w:r>
        <w:rPr>
          <w:rFonts w:cstheme="minorHAnsi"/>
        </w:rPr>
        <w:t xml:space="preserve"> the participating E</w:t>
      </w:r>
      <w:r w:rsidR="007D1FCE">
        <w:rPr>
          <w:rFonts w:cstheme="minorHAnsi"/>
        </w:rPr>
        <w:t>ECE</w:t>
      </w:r>
      <w:r>
        <w:rPr>
          <w:rFonts w:cstheme="minorHAnsi"/>
        </w:rPr>
        <w:t xml:space="preserve">@W </w:t>
      </w:r>
      <w:r w:rsidR="00B500DE">
        <w:rPr>
          <w:rFonts w:cstheme="minorHAnsi"/>
        </w:rPr>
        <w:t>preschools and long day care services</w:t>
      </w:r>
      <w:r>
        <w:rPr>
          <w:rFonts w:cstheme="minorHAnsi"/>
        </w:rPr>
        <w:t xml:space="preserve"> had an overall NQS rating of Exceeding. </w:t>
      </w:r>
      <w:r w:rsidR="00ED5F91">
        <w:rPr>
          <w:rFonts w:cstheme="minorHAnsi"/>
        </w:rPr>
        <w:t xml:space="preserve">2023 </w:t>
      </w:r>
      <w:r>
        <w:rPr>
          <w:rFonts w:cstheme="minorHAnsi"/>
        </w:rPr>
        <w:t>NQS data for the wider Australian context showed that 55% of preschools</w:t>
      </w:r>
      <w:r w:rsidR="00A41152">
        <w:rPr>
          <w:rFonts w:cstheme="minorHAnsi"/>
        </w:rPr>
        <w:t>,</w:t>
      </w:r>
      <w:r>
        <w:rPr>
          <w:rFonts w:cstheme="minorHAnsi"/>
        </w:rPr>
        <w:t xml:space="preserve"> </w:t>
      </w:r>
      <w:r w:rsidR="007970CB">
        <w:rPr>
          <w:rFonts w:cstheme="minorHAnsi"/>
        </w:rPr>
        <w:t>but only</w:t>
      </w:r>
      <w:r>
        <w:rPr>
          <w:rFonts w:cstheme="minorHAnsi"/>
        </w:rPr>
        <w:t xml:space="preserve"> 21% of long day care centres</w:t>
      </w:r>
      <w:r w:rsidR="00A41152">
        <w:rPr>
          <w:rFonts w:cstheme="minorHAnsi"/>
        </w:rPr>
        <w:t>,</w:t>
      </w:r>
      <w:r>
        <w:rPr>
          <w:rFonts w:cstheme="minorHAnsi"/>
        </w:rPr>
        <w:t xml:space="preserve"> had achieved Exceeding NQS ratings.</w:t>
      </w:r>
      <w:r w:rsidR="00A41152">
        <w:rPr>
          <w:rFonts w:cstheme="minorHAnsi"/>
        </w:rPr>
        <w:t xml:space="preserve"> </w:t>
      </w:r>
      <w:r w:rsidR="00FC4171">
        <w:rPr>
          <w:rFonts w:cstheme="minorHAnsi"/>
        </w:rPr>
        <w:t xml:space="preserve">Our data suggest the disparity </w:t>
      </w:r>
      <w:r w:rsidR="00B42363">
        <w:rPr>
          <w:rFonts w:cstheme="minorHAnsi"/>
        </w:rPr>
        <w:t xml:space="preserve">between preschool ad long day care quality </w:t>
      </w:r>
      <w:r w:rsidR="00283471">
        <w:rPr>
          <w:rFonts w:cstheme="minorHAnsi"/>
        </w:rPr>
        <w:t xml:space="preserve">ratings </w:t>
      </w:r>
      <w:r w:rsidR="00B42363">
        <w:rPr>
          <w:rFonts w:cstheme="minorHAnsi"/>
        </w:rPr>
        <w:t xml:space="preserve">may reflect staffing differences. </w:t>
      </w:r>
      <w:r w:rsidR="00F56613">
        <w:rPr>
          <w:rFonts w:cstheme="minorHAnsi"/>
        </w:rPr>
        <w:t>T</w:t>
      </w:r>
      <w:r w:rsidR="00381460">
        <w:rPr>
          <w:rFonts w:cstheme="minorHAnsi"/>
        </w:rPr>
        <w:t>able 1 shows that t</w:t>
      </w:r>
      <w:r w:rsidR="00F56613">
        <w:rPr>
          <w:rFonts w:cstheme="minorHAnsi"/>
        </w:rPr>
        <w:t xml:space="preserve">he proportion of degree-qualified educators in the EECE@W sample was </w:t>
      </w:r>
      <w:r w:rsidR="00381460">
        <w:rPr>
          <w:rFonts w:cstheme="minorHAnsi"/>
        </w:rPr>
        <w:t xml:space="preserve">slightly </w:t>
      </w:r>
      <w:r w:rsidR="008136A6">
        <w:rPr>
          <w:rFonts w:cstheme="minorHAnsi"/>
        </w:rPr>
        <w:t xml:space="preserve">higher </w:t>
      </w:r>
      <w:r w:rsidR="00F56613">
        <w:rPr>
          <w:rFonts w:cstheme="minorHAnsi"/>
        </w:rPr>
        <w:t xml:space="preserve">than figures </w:t>
      </w:r>
      <w:r w:rsidR="00F56613" w:rsidRPr="002B5619">
        <w:rPr>
          <w:rFonts w:cstheme="minorHAnsi"/>
        </w:rPr>
        <w:t xml:space="preserve">reported in the </w:t>
      </w:r>
      <w:r w:rsidR="00F56613">
        <w:rPr>
          <w:rFonts w:cstheme="minorHAnsi"/>
        </w:rPr>
        <w:t xml:space="preserve">2021 Australian </w:t>
      </w:r>
      <w:r w:rsidR="00F56613" w:rsidRPr="002B5619">
        <w:rPr>
          <w:rFonts w:cstheme="minorHAnsi"/>
        </w:rPr>
        <w:t>Workforce Census</w:t>
      </w:r>
      <w:r w:rsidR="004978E9">
        <w:rPr>
          <w:rFonts w:cstheme="minorHAnsi"/>
        </w:rPr>
        <w:t xml:space="preserve"> for comparable </w:t>
      </w:r>
      <w:r w:rsidR="00001397">
        <w:rPr>
          <w:rFonts w:cstheme="minorHAnsi"/>
        </w:rPr>
        <w:t xml:space="preserve">(Exceeding NQS) </w:t>
      </w:r>
      <w:r w:rsidR="00381460">
        <w:rPr>
          <w:rFonts w:cstheme="minorHAnsi"/>
        </w:rPr>
        <w:t xml:space="preserve">preschool </w:t>
      </w:r>
      <w:r w:rsidR="00001397">
        <w:rPr>
          <w:rFonts w:cstheme="minorHAnsi"/>
        </w:rPr>
        <w:t>services</w:t>
      </w:r>
      <w:r w:rsidR="00F56613">
        <w:rPr>
          <w:rFonts w:cstheme="minorHAnsi"/>
        </w:rPr>
        <w:t>: 52.2% vs. 41.3%</w:t>
      </w:r>
      <w:r w:rsidR="00381460">
        <w:rPr>
          <w:rFonts w:cstheme="minorHAnsi"/>
        </w:rPr>
        <w:t xml:space="preserve">, but </w:t>
      </w:r>
      <w:r w:rsidR="00422360">
        <w:rPr>
          <w:rFonts w:cstheme="minorHAnsi"/>
        </w:rPr>
        <w:t>almost three-times higher (</w:t>
      </w:r>
      <w:r w:rsidR="00F56613">
        <w:rPr>
          <w:rFonts w:cstheme="minorHAnsi"/>
        </w:rPr>
        <w:t>34.3% vs. 12.4%</w:t>
      </w:r>
      <w:r w:rsidR="00422360">
        <w:rPr>
          <w:rFonts w:cstheme="minorHAnsi"/>
        </w:rPr>
        <w:t>)</w:t>
      </w:r>
      <w:r w:rsidR="00F56613">
        <w:rPr>
          <w:rFonts w:cstheme="minorHAnsi"/>
        </w:rPr>
        <w:t xml:space="preserve"> for long day care centres. </w:t>
      </w:r>
    </w:p>
    <w:p w14:paraId="39032B32" w14:textId="0746DF18" w:rsidR="001F4D98" w:rsidRDefault="004C6CEF" w:rsidP="00800846">
      <w:pPr>
        <w:rPr>
          <w:rFonts w:cstheme="minorHAnsi"/>
        </w:rPr>
      </w:pPr>
      <w:r>
        <w:rPr>
          <w:rFonts w:cstheme="minorHAnsi"/>
        </w:rPr>
        <w:t xml:space="preserve">For </w:t>
      </w:r>
      <w:r w:rsidR="00F56613">
        <w:rPr>
          <w:rFonts w:cstheme="minorHAnsi"/>
        </w:rPr>
        <w:t>diploma-qualified educators</w:t>
      </w:r>
      <w:r>
        <w:rPr>
          <w:rFonts w:cstheme="minorHAnsi"/>
        </w:rPr>
        <w:t xml:space="preserve">, </w:t>
      </w:r>
      <w:r w:rsidR="00F56613">
        <w:rPr>
          <w:rFonts w:cstheme="minorHAnsi"/>
        </w:rPr>
        <w:t>the E</w:t>
      </w:r>
      <w:r w:rsidR="007D1FCE">
        <w:rPr>
          <w:rFonts w:cstheme="minorHAnsi"/>
        </w:rPr>
        <w:t>ECE</w:t>
      </w:r>
      <w:r w:rsidR="00F56613">
        <w:rPr>
          <w:rFonts w:cstheme="minorHAnsi"/>
        </w:rPr>
        <w:t>@W sample w</w:t>
      </w:r>
      <w:r>
        <w:rPr>
          <w:rFonts w:cstheme="minorHAnsi"/>
        </w:rPr>
        <w:t>as</w:t>
      </w:r>
      <w:r w:rsidR="00F56613">
        <w:rPr>
          <w:rFonts w:cstheme="minorHAnsi"/>
        </w:rPr>
        <w:t xml:space="preserve"> </w:t>
      </w:r>
      <w:proofErr w:type="gramStart"/>
      <w:r w:rsidR="00F56613">
        <w:rPr>
          <w:rFonts w:cstheme="minorHAnsi"/>
        </w:rPr>
        <w:t>similar to</w:t>
      </w:r>
      <w:proofErr w:type="gramEnd"/>
      <w:r w:rsidR="00F56613">
        <w:rPr>
          <w:rFonts w:cstheme="minorHAnsi"/>
        </w:rPr>
        <w:t xml:space="preserve"> </w:t>
      </w:r>
      <w:r w:rsidR="00F56613" w:rsidRPr="002B5619">
        <w:rPr>
          <w:rFonts w:cstheme="minorHAnsi"/>
        </w:rPr>
        <w:t xml:space="preserve">the </w:t>
      </w:r>
      <w:r w:rsidR="00F56613">
        <w:rPr>
          <w:rFonts w:cstheme="minorHAnsi"/>
        </w:rPr>
        <w:t xml:space="preserve">2021 </w:t>
      </w:r>
      <w:r w:rsidR="00F56613" w:rsidRPr="002B5619">
        <w:rPr>
          <w:rFonts w:cstheme="minorHAnsi"/>
        </w:rPr>
        <w:t>Workforce Census</w:t>
      </w:r>
      <w:r w:rsidR="00C1273C">
        <w:rPr>
          <w:rFonts w:cstheme="minorHAnsi"/>
        </w:rPr>
        <w:t xml:space="preserve"> for long day care centres</w:t>
      </w:r>
      <w:r w:rsidR="00F56613">
        <w:rPr>
          <w:rFonts w:cstheme="minorHAnsi"/>
        </w:rPr>
        <w:t xml:space="preserve">: 42.2% vs. 47.5%; </w:t>
      </w:r>
      <w:r w:rsidR="00962EEB">
        <w:rPr>
          <w:rFonts w:cstheme="minorHAnsi"/>
        </w:rPr>
        <w:t xml:space="preserve">but lower </w:t>
      </w:r>
      <w:r w:rsidR="00C1273C">
        <w:rPr>
          <w:rFonts w:cstheme="minorHAnsi"/>
        </w:rPr>
        <w:t xml:space="preserve">for preschools: </w:t>
      </w:r>
      <w:r w:rsidR="00F56613">
        <w:rPr>
          <w:rFonts w:cstheme="minorHAnsi"/>
        </w:rPr>
        <w:t>19.6% vs. 30.1%</w:t>
      </w:r>
      <w:r w:rsidR="00C1273C">
        <w:rPr>
          <w:rFonts w:cstheme="minorHAnsi"/>
        </w:rPr>
        <w:t xml:space="preserve">. For staff </w:t>
      </w:r>
      <w:r w:rsidR="00F56613">
        <w:rPr>
          <w:rFonts w:cstheme="minorHAnsi"/>
        </w:rPr>
        <w:t xml:space="preserve">with certificate qualifications: </w:t>
      </w:r>
      <w:r>
        <w:rPr>
          <w:rFonts w:cstheme="minorHAnsi"/>
        </w:rPr>
        <w:t xml:space="preserve">the EECE@W </w:t>
      </w:r>
      <w:r w:rsidR="00CF6677">
        <w:rPr>
          <w:rFonts w:cstheme="minorHAnsi"/>
        </w:rPr>
        <w:t>sample was lower tha</w:t>
      </w:r>
      <w:r>
        <w:rPr>
          <w:rFonts w:cstheme="minorHAnsi"/>
        </w:rPr>
        <w:t>n</w:t>
      </w:r>
      <w:r w:rsidR="00CF6677">
        <w:rPr>
          <w:rFonts w:cstheme="minorHAnsi"/>
        </w:rPr>
        <w:t xml:space="preserve"> the Workforce Census f</w:t>
      </w:r>
      <w:r w:rsidR="0097049E">
        <w:rPr>
          <w:rFonts w:cstheme="minorHAnsi"/>
        </w:rPr>
        <w:t>o</w:t>
      </w:r>
      <w:r w:rsidR="00CF6677">
        <w:rPr>
          <w:rFonts w:cstheme="minorHAnsi"/>
        </w:rPr>
        <w:t xml:space="preserve">r long day care: </w:t>
      </w:r>
      <w:r w:rsidR="00F56613">
        <w:rPr>
          <w:rFonts w:cstheme="minorHAnsi"/>
        </w:rPr>
        <w:t>23.5% vs. 32.2%;</w:t>
      </w:r>
      <w:r w:rsidR="0097049E">
        <w:rPr>
          <w:rFonts w:cstheme="minorHAnsi"/>
        </w:rPr>
        <w:t xml:space="preserve"> but similar for</w:t>
      </w:r>
      <w:r w:rsidR="00F56613">
        <w:rPr>
          <w:rFonts w:cstheme="minorHAnsi"/>
        </w:rPr>
        <w:t xml:space="preserve"> </w:t>
      </w:r>
      <w:r w:rsidR="0097049E">
        <w:rPr>
          <w:rFonts w:cstheme="minorHAnsi"/>
        </w:rPr>
        <w:t xml:space="preserve">preschool: </w:t>
      </w:r>
      <w:r w:rsidR="00F56613">
        <w:rPr>
          <w:rFonts w:cstheme="minorHAnsi"/>
        </w:rPr>
        <w:t xml:space="preserve">28.3% vs. 24.2%.  </w:t>
      </w:r>
    </w:p>
    <w:p w14:paraId="3ABE77AC" w14:textId="5864E155" w:rsidR="00800846" w:rsidRPr="008C4021" w:rsidRDefault="008F11B3" w:rsidP="00800846">
      <w:pPr>
        <w:rPr>
          <w:rFonts w:cstheme="minorHAnsi"/>
          <w:b/>
          <w:bCs/>
        </w:rPr>
      </w:pPr>
      <w:r>
        <w:rPr>
          <w:rFonts w:cstheme="minorHAnsi"/>
        </w:rPr>
        <w:t>Table 1</w:t>
      </w:r>
      <w:r w:rsidR="00E35B25">
        <w:rPr>
          <w:rFonts w:cstheme="minorHAnsi"/>
        </w:rPr>
        <w:t>:</w:t>
      </w:r>
      <w:r>
        <w:rPr>
          <w:rFonts w:cstheme="minorHAnsi"/>
        </w:rPr>
        <w:t xml:space="preserve"> </w:t>
      </w:r>
      <w:r w:rsidR="007D1FCE">
        <w:rPr>
          <w:rFonts w:cstheme="minorHAnsi"/>
          <w:i/>
          <w:iCs/>
        </w:rPr>
        <w:t>ECE</w:t>
      </w:r>
      <w:r w:rsidR="00800846" w:rsidRPr="006B27F1">
        <w:rPr>
          <w:rFonts w:cstheme="minorHAnsi"/>
          <w:i/>
          <w:iCs/>
        </w:rPr>
        <w:t>C Settings and Participants: Type of Setting by Educator Qualifications and Positions</w:t>
      </w:r>
    </w:p>
    <w:tbl>
      <w:tblPr>
        <w:tblStyle w:val="TableGrid"/>
        <w:tblW w:w="0" w:type="auto"/>
        <w:tblLook w:val="04A0" w:firstRow="1" w:lastRow="0" w:firstColumn="1" w:lastColumn="0" w:noHBand="0" w:noVBand="1"/>
      </w:tblPr>
      <w:tblGrid>
        <w:gridCol w:w="1980"/>
        <w:gridCol w:w="1382"/>
        <w:gridCol w:w="1421"/>
        <w:gridCol w:w="1276"/>
        <w:gridCol w:w="1418"/>
        <w:gridCol w:w="1275"/>
      </w:tblGrid>
      <w:tr w:rsidR="00800846" w:rsidRPr="001F5451" w14:paraId="147BBEB8" w14:textId="77777777" w:rsidTr="00D15119">
        <w:tc>
          <w:tcPr>
            <w:tcW w:w="1980" w:type="dxa"/>
          </w:tcPr>
          <w:p w14:paraId="3801E178" w14:textId="77777777" w:rsidR="00800846" w:rsidRPr="001F5451" w:rsidRDefault="00800846" w:rsidP="000F6E88">
            <w:pPr>
              <w:rPr>
                <w:rFonts w:cstheme="minorHAnsi"/>
                <w:sz w:val="20"/>
                <w:szCs w:val="20"/>
              </w:rPr>
            </w:pPr>
          </w:p>
        </w:tc>
        <w:tc>
          <w:tcPr>
            <w:tcW w:w="1382" w:type="dxa"/>
          </w:tcPr>
          <w:p w14:paraId="3B338638" w14:textId="77777777" w:rsidR="00800846" w:rsidRPr="001F5451" w:rsidRDefault="00800846" w:rsidP="000F6E88">
            <w:pPr>
              <w:jc w:val="center"/>
              <w:rPr>
                <w:rFonts w:cstheme="minorHAnsi"/>
                <w:sz w:val="20"/>
                <w:szCs w:val="20"/>
              </w:rPr>
            </w:pPr>
          </w:p>
        </w:tc>
        <w:tc>
          <w:tcPr>
            <w:tcW w:w="2697" w:type="dxa"/>
            <w:gridSpan w:val="2"/>
          </w:tcPr>
          <w:p w14:paraId="42B0F314" w14:textId="77777777" w:rsidR="00800846" w:rsidRPr="001F5451" w:rsidRDefault="00800846" w:rsidP="000F6E88">
            <w:pPr>
              <w:jc w:val="center"/>
              <w:rPr>
                <w:rFonts w:cstheme="minorHAnsi"/>
                <w:sz w:val="20"/>
                <w:szCs w:val="20"/>
              </w:rPr>
            </w:pPr>
            <w:r w:rsidRPr="001F5451">
              <w:rPr>
                <w:rFonts w:cstheme="minorHAnsi"/>
                <w:sz w:val="20"/>
                <w:szCs w:val="20"/>
              </w:rPr>
              <w:t>Preschool</w:t>
            </w:r>
          </w:p>
        </w:tc>
        <w:tc>
          <w:tcPr>
            <w:tcW w:w="2693" w:type="dxa"/>
            <w:gridSpan w:val="2"/>
          </w:tcPr>
          <w:p w14:paraId="196A0CDA" w14:textId="77777777" w:rsidR="00800846" w:rsidRPr="001F5451" w:rsidRDefault="00800846" w:rsidP="000F6E88">
            <w:pPr>
              <w:jc w:val="center"/>
              <w:rPr>
                <w:rFonts w:cstheme="minorHAnsi"/>
                <w:sz w:val="20"/>
                <w:szCs w:val="20"/>
              </w:rPr>
            </w:pPr>
            <w:r w:rsidRPr="001F5451">
              <w:rPr>
                <w:rFonts w:cstheme="minorHAnsi"/>
                <w:sz w:val="20"/>
                <w:szCs w:val="20"/>
              </w:rPr>
              <w:t>Long Day Care</w:t>
            </w:r>
          </w:p>
        </w:tc>
      </w:tr>
      <w:tr w:rsidR="00800846" w:rsidRPr="001F5451" w14:paraId="448BC596" w14:textId="77777777" w:rsidTr="00D15119">
        <w:tc>
          <w:tcPr>
            <w:tcW w:w="1980" w:type="dxa"/>
          </w:tcPr>
          <w:p w14:paraId="6A50632C" w14:textId="77777777" w:rsidR="00800846" w:rsidRPr="001F5451" w:rsidRDefault="00800846" w:rsidP="000F6E88">
            <w:pPr>
              <w:rPr>
                <w:rFonts w:cstheme="minorHAnsi"/>
                <w:sz w:val="20"/>
                <w:szCs w:val="20"/>
              </w:rPr>
            </w:pPr>
          </w:p>
        </w:tc>
        <w:tc>
          <w:tcPr>
            <w:tcW w:w="1382" w:type="dxa"/>
          </w:tcPr>
          <w:p w14:paraId="28F97005" w14:textId="214E8C04" w:rsidR="00800846" w:rsidRPr="001F5451" w:rsidRDefault="00800846" w:rsidP="000F6E88">
            <w:pPr>
              <w:jc w:val="center"/>
              <w:rPr>
                <w:rFonts w:cstheme="minorHAnsi"/>
                <w:sz w:val="20"/>
                <w:szCs w:val="20"/>
              </w:rPr>
            </w:pPr>
            <w:r>
              <w:rPr>
                <w:rFonts w:cstheme="minorHAnsi"/>
                <w:sz w:val="20"/>
                <w:szCs w:val="20"/>
              </w:rPr>
              <w:t>E</w:t>
            </w:r>
            <w:r w:rsidR="007D1FCE">
              <w:rPr>
                <w:rFonts w:cstheme="minorHAnsi"/>
                <w:sz w:val="20"/>
                <w:szCs w:val="20"/>
              </w:rPr>
              <w:t>ECE</w:t>
            </w:r>
            <w:r>
              <w:rPr>
                <w:rFonts w:cstheme="minorHAnsi"/>
                <w:sz w:val="20"/>
                <w:szCs w:val="20"/>
              </w:rPr>
              <w:t>@W Sample</w:t>
            </w:r>
          </w:p>
          <w:p w14:paraId="044B2BEA" w14:textId="77777777" w:rsidR="00800846" w:rsidRPr="001F5451" w:rsidRDefault="00800846" w:rsidP="000F6E88">
            <w:pPr>
              <w:jc w:val="center"/>
              <w:rPr>
                <w:rFonts w:cstheme="minorHAnsi"/>
                <w:sz w:val="20"/>
                <w:szCs w:val="20"/>
              </w:rPr>
            </w:pPr>
            <w:r w:rsidRPr="001F5451">
              <w:rPr>
                <w:rFonts w:cstheme="minorHAnsi"/>
                <w:sz w:val="20"/>
                <w:szCs w:val="20"/>
              </w:rPr>
              <w:t>N = 304</w:t>
            </w:r>
          </w:p>
        </w:tc>
        <w:tc>
          <w:tcPr>
            <w:tcW w:w="1421" w:type="dxa"/>
          </w:tcPr>
          <w:p w14:paraId="52E0570B" w14:textId="01F011A5" w:rsidR="00800846" w:rsidRDefault="00800846" w:rsidP="000F6E88">
            <w:pPr>
              <w:jc w:val="center"/>
              <w:rPr>
                <w:rFonts w:cstheme="minorHAnsi"/>
                <w:sz w:val="20"/>
                <w:szCs w:val="20"/>
              </w:rPr>
            </w:pPr>
            <w:r>
              <w:rPr>
                <w:rFonts w:cstheme="minorHAnsi"/>
                <w:sz w:val="20"/>
                <w:szCs w:val="20"/>
              </w:rPr>
              <w:t>E</w:t>
            </w:r>
            <w:r w:rsidR="007D1FCE">
              <w:rPr>
                <w:rFonts w:cstheme="minorHAnsi"/>
                <w:sz w:val="20"/>
                <w:szCs w:val="20"/>
              </w:rPr>
              <w:t>ECE</w:t>
            </w:r>
            <w:r>
              <w:rPr>
                <w:rFonts w:cstheme="minorHAnsi"/>
                <w:sz w:val="20"/>
                <w:szCs w:val="20"/>
              </w:rPr>
              <w:t xml:space="preserve">@W </w:t>
            </w:r>
          </w:p>
          <w:p w14:paraId="03783331" w14:textId="77777777" w:rsidR="00800846" w:rsidRPr="001F5451" w:rsidRDefault="00800846" w:rsidP="000F6E88">
            <w:pPr>
              <w:jc w:val="center"/>
              <w:rPr>
                <w:rFonts w:cstheme="minorHAnsi"/>
                <w:sz w:val="20"/>
                <w:szCs w:val="20"/>
              </w:rPr>
            </w:pPr>
            <w:r>
              <w:rPr>
                <w:rFonts w:cstheme="minorHAnsi"/>
                <w:sz w:val="20"/>
                <w:szCs w:val="20"/>
              </w:rPr>
              <w:t>Sub-sample</w:t>
            </w:r>
            <w:r w:rsidRPr="001F5451">
              <w:rPr>
                <w:rFonts w:cstheme="minorHAnsi"/>
                <w:sz w:val="20"/>
                <w:szCs w:val="20"/>
              </w:rPr>
              <w:t xml:space="preserve"> n=138</w:t>
            </w:r>
          </w:p>
        </w:tc>
        <w:tc>
          <w:tcPr>
            <w:tcW w:w="1276" w:type="dxa"/>
          </w:tcPr>
          <w:p w14:paraId="35508B62" w14:textId="77777777" w:rsidR="00800846" w:rsidRPr="001F5451" w:rsidRDefault="00800846" w:rsidP="000F6E88">
            <w:pPr>
              <w:jc w:val="center"/>
              <w:rPr>
                <w:rFonts w:cstheme="minorHAnsi"/>
                <w:sz w:val="20"/>
                <w:szCs w:val="20"/>
              </w:rPr>
            </w:pPr>
            <w:r w:rsidRPr="001F5451">
              <w:rPr>
                <w:rFonts w:cstheme="minorHAnsi"/>
                <w:sz w:val="20"/>
                <w:szCs w:val="20"/>
              </w:rPr>
              <w:t xml:space="preserve">2021 </w:t>
            </w:r>
            <w:proofErr w:type="spellStart"/>
            <w:r w:rsidRPr="001F5451">
              <w:rPr>
                <w:rFonts w:cstheme="minorHAnsi"/>
                <w:sz w:val="20"/>
                <w:szCs w:val="20"/>
              </w:rPr>
              <w:t>Census</w:t>
            </w:r>
            <w:r>
              <w:rPr>
                <w:rFonts w:cstheme="minorHAnsi"/>
                <w:sz w:val="20"/>
                <w:szCs w:val="20"/>
                <w:vertAlign w:val="superscript"/>
              </w:rPr>
              <w:t>a</w:t>
            </w:r>
            <w:proofErr w:type="spellEnd"/>
          </w:p>
        </w:tc>
        <w:tc>
          <w:tcPr>
            <w:tcW w:w="1418" w:type="dxa"/>
          </w:tcPr>
          <w:p w14:paraId="6E000B5C" w14:textId="74C8C53E" w:rsidR="00800846" w:rsidRDefault="00800846" w:rsidP="000F6E88">
            <w:pPr>
              <w:jc w:val="center"/>
              <w:rPr>
                <w:rFonts w:cstheme="minorHAnsi"/>
                <w:sz w:val="20"/>
                <w:szCs w:val="20"/>
              </w:rPr>
            </w:pPr>
            <w:r>
              <w:rPr>
                <w:rFonts w:cstheme="minorHAnsi"/>
                <w:sz w:val="20"/>
                <w:szCs w:val="20"/>
              </w:rPr>
              <w:t>E</w:t>
            </w:r>
            <w:r w:rsidR="007D1FCE">
              <w:rPr>
                <w:rFonts w:cstheme="minorHAnsi"/>
                <w:sz w:val="20"/>
                <w:szCs w:val="20"/>
              </w:rPr>
              <w:t>ECE</w:t>
            </w:r>
            <w:r>
              <w:rPr>
                <w:rFonts w:cstheme="minorHAnsi"/>
                <w:sz w:val="20"/>
                <w:szCs w:val="20"/>
              </w:rPr>
              <w:t xml:space="preserve">@W </w:t>
            </w:r>
          </w:p>
          <w:p w14:paraId="12C0C3AF" w14:textId="77777777" w:rsidR="00800846" w:rsidRPr="001F5451" w:rsidRDefault="00800846" w:rsidP="000F6E88">
            <w:pPr>
              <w:jc w:val="center"/>
              <w:rPr>
                <w:rFonts w:cstheme="minorHAnsi"/>
                <w:sz w:val="20"/>
                <w:szCs w:val="20"/>
              </w:rPr>
            </w:pPr>
            <w:r>
              <w:rPr>
                <w:rFonts w:cstheme="minorHAnsi"/>
                <w:sz w:val="20"/>
                <w:szCs w:val="20"/>
              </w:rPr>
              <w:t>Sub-sample</w:t>
            </w:r>
            <w:r w:rsidRPr="001F5451">
              <w:rPr>
                <w:rFonts w:cstheme="minorHAnsi"/>
                <w:sz w:val="20"/>
                <w:szCs w:val="20"/>
              </w:rPr>
              <w:t xml:space="preserve">  </w:t>
            </w:r>
            <w:r>
              <w:rPr>
                <w:rFonts w:cstheme="minorHAnsi"/>
                <w:sz w:val="20"/>
                <w:szCs w:val="20"/>
              </w:rPr>
              <w:t xml:space="preserve"> </w:t>
            </w:r>
            <w:r w:rsidRPr="001F5451">
              <w:rPr>
                <w:rFonts w:cstheme="minorHAnsi"/>
                <w:sz w:val="20"/>
                <w:szCs w:val="20"/>
              </w:rPr>
              <w:t xml:space="preserve"> n = 166</w:t>
            </w:r>
          </w:p>
        </w:tc>
        <w:tc>
          <w:tcPr>
            <w:tcW w:w="1275" w:type="dxa"/>
          </w:tcPr>
          <w:p w14:paraId="081FBC69" w14:textId="77777777" w:rsidR="00800846" w:rsidRPr="001F5451" w:rsidRDefault="00800846" w:rsidP="000F6E88">
            <w:pPr>
              <w:jc w:val="center"/>
              <w:rPr>
                <w:rFonts w:cstheme="minorHAnsi"/>
                <w:sz w:val="20"/>
                <w:szCs w:val="20"/>
              </w:rPr>
            </w:pPr>
            <w:r w:rsidRPr="001F5451">
              <w:rPr>
                <w:rFonts w:cstheme="minorHAnsi"/>
                <w:sz w:val="20"/>
                <w:szCs w:val="20"/>
              </w:rPr>
              <w:t xml:space="preserve">2021 </w:t>
            </w:r>
            <w:proofErr w:type="spellStart"/>
            <w:r w:rsidRPr="001F5451">
              <w:rPr>
                <w:rFonts w:cstheme="minorHAnsi"/>
                <w:sz w:val="20"/>
                <w:szCs w:val="20"/>
              </w:rPr>
              <w:t>Census</w:t>
            </w:r>
            <w:r>
              <w:rPr>
                <w:rFonts w:cstheme="minorHAnsi"/>
                <w:sz w:val="20"/>
                <w:szCs w:val="20"/>
                <w:vertAlign w:val="superscript"/>
              </w:rPr>
              <w:t>a</w:t>
            </w:r>
            <w:proofErr w:type="spellEnd"/>
          </w:p>
        </w:tc>
      </w:tr>
      <w:tr w:rsidR="00800846" w:rsidRPr="001F5451" w14:paraId="5DF4592A" w14:textId="77777777" w:rsidTr="00D15119">
        <w:tc>
          <w:tcPr>
            <w:tcW w:w="1980" w:type="dxa"/>
          </w:tcPr>
          <w:p w14:paraId="4127E33C" w14:textId="77777777" w:rsidR="00800846" w:rsidRPr="001F5451" w:rsidRDefault="00800846" w:rsidP="000F6E88">
            <w:pPr>
              <w:rPr>
                <w:rFonts w:cstheme="minorHAnsi"/>
                <w:b/>
                <w:bCs/>
                <w:sz w:val="20"/>
                <w:szCs w:val="20"/>
              </w:rPr>
            </w:pPr>
            <w:r w:rsidRPr="001F5451">
              <w:rPr>
                <w:rFonts w:cstheme="minorHAnsi"/>
                <w:b/>
                <w:bCs/>
                <w:sz w:val="20"/>
                <w:szCs w:val="20"/>
              </w:rPr>
              <w:t>Qualifications</w:t>
            </w:r>
          </w:p>
        </w:tc>
        <w:tc>
          <w:tcPr>
            <w:tcW w:w="1382" w:type="dxa"/>
          </w:tcPr>
          <w:p w14:paraId="3245432C" w14:textId="77777777" w:rsidR="00800846" w:rsidRPr="001F5451" w:rsidRDefault="00800846" w:rsidP="000F6E88">
            <w:pPr>
              <w:jc w:val="center"/>
              <w:rPr>
                <w:rFonts w:cstheme="minorHAnsi"/>
                <w:sz w:val="20"/>
                <w:szCs w:val="20"/>
              </w:rPr>
            </w:pPr>
          </w:p>
        </w:tc>
        <w:tc>
          <w:tcPr>
            <w:tcW w:w="1421" w:type="dxa"/>
          </w:tcPr>
          <w:p w14:paraId="262EC8AD" w14:textId="77777777" w:rsidR="00800846" w:rsidRPr="001F5451" w:rsidRDefault="00800846" w:rsidP="000F6E88">
            <w:pPr>
              <w:jc w:val="center"/>
              <w:rPr>
                <w:rFonts w:cstheme="minorHAnsi"/>
                <w:sz w:val="20"/>
                <w:szCs w:val="20"/>
              </w:rPr>
            </w:pPr>
          </w:p>
        </w:tc>
        <w:tc>
          <w:tcPr>
            <w:tcW w:w="1276" w:type="dxa"/>
          </w:tcPr>
          <w:p w14:paraId="6BD55895" w14:textId="77777777" w:rsidR="00800846" w:rsidRPr="001F5451" w:rsidRDefault="00800846" w:rsidP="000F6E88">
            <w:pPr>
              <w:jc w:val="center"/>
              <w:rPr>
                <w:rFonts w:cstheme="minorHAnsi"/>
                <w:sz w:val="20"/>
                <w:szCs w:val="20"/>
              </w:rPr>
            </w:pPr>
          </w:p>
        </w:tc>
        <w:tc>
          <w:tcPr>
            <w:tcW w:w="1418" w:type="dxa"/>
          </w:tcPr>
          <w:p w14:paraId="72B42DC2" w14:textId="77777777" w:rsidR="00800846" w:rsidRPr="001F5451" w:rsidRDefault="00800846" w:rsidP="000F6E88">
            <w:pPr>
              <w:jc w:val="center"/>
              <w:rPr>
                <w:rFonts w:cstheme="minorHAnsi"/>
                <w:sz w:val="20"/>
                <w:szCs w:val="20"/>
              </w:rPr>
            </w:pPr>
          </w:p>
        </w:tc>
        <w:tc>
          <w:tcPr>
            <w:tcW w:w="1275" w:type="dxa"/>
          </w:tcPr>
          <w:p w14:paraId="054C5F65" w14:textId="77777777" w:rsidR="00800846" w:rsidRPr="001F5451" w:rsidRDefault="00800846" w:rsidP="000F6E88">
            <w:pPr>
              <w:jc w:val="center"/>
              <w:rPr>
                <w:rFonts w:cstheme="minorHAnsi"/>
                <w:sz w:val="20"/>
                <w:szCs w:val="20"/>
              </w:rPr>
            </w:pPr>
          </w:p>
        </w:tc>
      </w:tr>
      <w:tr w:rsidR="00800846" w:rsidRPr="001F5451" w14:paraId="6383F12E" w14:textId="77777777" w:rsidTr="00D15119">
        <w:tc>
          <w:tcPr>
            <w:tcW w:w="1980" w:type="dxa"/>
          </w:tcPr>
          <w:p w14:paraId="020D984C" w14:textId="77777777" w:rsidR="00800846" w:rsidRPr="001F5451" w:rsidRDefault="00800846" w:rsidP="000F6E88">
            <w:pPr>
              <w:rPr>
                <w:rFonts w:cstheme="minorHAnsi"/>
                <w:sz w:val="20"/>
                <w:szCs w:val="20"/>
              </w:rPr>
            </w:pPr>
            <w:r w:rsidRPr="001F5451">
              <w:rPr>
                <w:rFonts w:cstheme="minorHAnsi"/>
                <w:sz w:val="20"/>
                <w:szCs w:val="20"/>
              </w:rPr>
              <w:t>Certificate</w:t>
            </w:r>
          </w:p>
        </w:tc>
        <w:tc>
          <w:tcPr>
            <w:tcW w:w="1382" w:type="dxa"/>
          </w:tcPr>
          <w:p w14:paraId="5E984EA2" w14:textId="77777777" w:rsidR="00800846" w:rsidRPr="001F5451" w:rsidRDefault="00800846" w:rsidP="000F6E88">
            <w:pPr>
              <w:jc w:val="center"/>
              <w:rPr>
                <w:rFonts w:cstheme="minorHAnsi"/>
                <w:sz w:val="20"/>
                <w:szCs w:val="20"/>
              </w:rPr>
            </w:pPr>
            <w:r w:rsidRPr="001F5451">
              <w:rPr>
                <w:rFonts w:cstheme="minorHAnsi"/>
                <w:sz w:val="20"/>
                <w:szCs w:val="20"/>
              </w:rPr>
              <w:t>25.7%</w:t>
            </w:r>
          </w:p>
        </w:tc>
        <w:tc>
          <w:tcPr>
            <w:tcW w:w="1421" w:type="dxa"/>
          </w:tcPr>
          <w:p w14:paraId="140D9172" w14:textId="77777777" w:rsidR="00800846" w:rsidRPr="001F5451" w:rsidRDefault="00800846" w:rsidP="000F6E88">
            <w:pPr>
              <w:jc w:val="center"/>
              <w:rPr>
                <w:rFonts w:cstheme="minorHAnsi"/>
                <w:sz w:val="20"/>
                <w:szCs w:val="20"/>
              </w:rPr>
            </w:pPr>
            <w:r w:rsidRPr="001F5451">
              <w:rPr>
                <w:rFonts w:cstheme="minorHAnsi"/>
                <w:sz w:val="20"/>
                <w:szCs w:val="20"/>
              </w:rPr>
              <w:t>28.3%</w:t>
            </w:r>
          </w:p>
        </w:tc>
        <w:tc>
          <w:tcPr>
            <w:tcW w:w="1276" w:type="dxa"/>
          </w:tcPr>
          <w:p w14:paraId="67917ECE" w14:textId="77777777" w:rsidR="00800846" w:rsidRPr="001F5451" w:rsidRDefault="00800846" w:rsidP="000F6E88">
            <w:pPr>
              <w:jc w:val="center"/>
              <w:rPr>
                <w:rFonts w:cstheme="minorHAnsi"/>
                <w:sz w:val="20"/>
                <w:szCs w:val="20"/>
              </w:rPr>
            </w:pPr>
            <w:r w:rsidRPr="001F5451">
              <w:rPr>
                <w:rFonts w:cstheme="minorHAnsi"/>
                <w:sz w:val="20"/>
                <w:szCs w:val="20"/>
              </w:rPr>
              <w:t>24.2%</w:t>
            </w:r>
          </w:p>
        </w:tc>
        <w:tc>
          <w:tcPr>
            <w:tcW w:w="1418" w:type="dxa"/>
          </w:tcPr>
          <w:p w14:paraId="53BA8E1C" w14:textId="77777777" w:rsidR="00800846" w:rsidRPr="001F5451" w:rsidRDefault="00800846" w:rsidP="000F6E88">
            <w:pPr>
              <w:jc w:val="center"/>
              <w:rPr>
                <w:rFonts w:cstheme="minorHAnsi"/>
                <w:sz w:val="20"/>
                <w:szCs w:val="20"/>
              </w:rPr>
            </w:pPr>
            <w:r w:rsidRPr="001F5451">
              <w:rPr>
                <w:rFonts w:cstheme="minorHAnsi"/>
                <w:sz w:val="20"/>
                <w:szCs w:val="20"/>
              </w:rPr>
              <w:t>23.5%</w:t>
            </w:r>
          </w:p>
        </w:tc>
        <w:tc>
          <w:tcPr>
            <w:tcW w:w="1275" w:type="dxa"/>
          </w:tcPr>
          <w:p w14:paraId="36EAA9E1" w14:textId="77777777" w:rsidR="00800846" w:rsidRPr="001F5451" w:rsidRDefault="00800846" w:rsidP="000F6E88">
            <w:pPr>
              <w:jc w:val="center"/>
              <w:rPr>
                <w:rFonts w:cstheme="minorHAnsi"/>
                <w:sz w:val="20"/>
                <w:szCs w:val="20"/>
              </w:rPr>
            </w:pPr>
            <w:r w:rsidRPr="001F5451">
              <w:rPr>
                <w:rFonts w:cstheme="minorHAnsi"/>
                <w:sz w:val="20"/>
                <w:szCs w:val="20"/>
              </w:rPr>
              <w:t>32.2%</w:t>
            </w:r>
          </w:p>
        </w:tc>
      </w:tr>
      <w:tr w:rsidR="00800846" w:rsidRPr="001F5451" w14:paraId="1E727116" w14:textId="77777777" w:rsidTr="00D15119">
        <w:tc>
          <w:tcPr>
            <w:tcW w:w="1980" w:type="dxa"/>
          </w:tcPr>
          <w:p w14:paraId="57C866BF" w14:textId="77777777" w:rsidR="00800846" w:rsidRPr="001F5451" w:rsidRDefault="00800846" w:rsidP="000F6E88">
            <w:pPr>
              <w:rPr>
                <w:rFonts w:cstheme="minorHAnsi"/>
                <w:sz w:val="20"/>
                <w:szCs w:val="20"/>
              </w:rPr>
            </w:pPr>
            <w:r w:rsidRPr="001F5451">
              <w:rPr>
                <w:rFonts w:cstheme="minorHAnsi"/>
                <w:sz w:val="20"/>
                <w:szCs w:val="20"/>
              </w:rPr>
              <w:t>Diploma</w:t>
            </w:r>
          </w:p>
        </w:tc>
        <w:tc>
          <w:tcPr>
            <w:tcW w:w="1382" w:type="dxa"/>
          </w:tcPr>
          <w:p w14:paraId="3E1AA2F3" w14:textId="77777777" w:rsidR="00800846" w:rsidRPr="001F5451" w:rsidRDefault="00800846" w:rsidP="000F6E88">
            <w:pPr>
              <w:jc w:val="center"/>
              <w:rPr>
                <w:rFonts w:cstheme="minorHAnsi"/>
                <w:sz w:val="20"/>
                <w:szCs w:val="20"/>
              </w:rPr>
            </w:pPr>
            <w:r w:rsidRPr="001F5451">
              <w:rPr>
                <w:rFonts w:cstheme="minorHAnsi"/>
                <w:sz w:val="20"/>
                <w:szCs w:val="20"/>
              </w:rPr>
              <w:t>31.9%</w:t>
            </w:r>
          </w:p>
        </w:tc>
        <w:tc>
          <w:tcPr>
            <w:tcW w:w="1421" w:type="dxa"/>
          </w:tcPr>
          <w:p w14:paraId="1EEA1DE5" w14:textId="77777777" w:rsidR="00800846" w:rsidRPr="001F5451" w:rsidRDefault="00800846" w:rsidP="000F6E88">
            <w:pPr>
              <w:jc w:val="center"/>
              <w:rPr>
                <w:rFonts w:cstheme="minorHAnsi"/>
                <w:sz w:val="20"/>
                <w:szCs w:val="20"/>
              </w:rPr>
            </w:pPr>
            <w:r w:rsidRPr="001F5451">
              <w:rPr>
                <w:rFonts w:cstheme="minorHAnsi"/>
                <w:sz w:val="20"/>
                <w:szCs w:val="20"/>
              </w:rPr>
              <w:t>19.6%</w:t>
            </w:r>
          </w:p>
        </w:tc>
        <w:tc>
          <w:tcPr>
            <w:tcW w:w="1276" w:type="dxa"/>
          </w:tcPr>
          <w:p w14:paraId="168996F6" w14:textId="77777777" w:rsidR="00800846" w:rsidRPr="001F5451" w:rsidRDefault="00800846" w:rsidP="000F6E88">
            <w:pPr>
              <w:jc w:val="center"/>
              <w:rPr>
                <w:rFonts w:cstheme="minorHAnsi"/>
                <w:sz w:val="20"/>
                <w:szCs w:val="20"/>
              </w:rPr>
            </w:pPr>
            <w:r w:rsidRPr="001F5451">
              <w:rPr>
                <w:rFonts w:cstheme="minorHAnsi"/>
                <w:sz w:val="20"/>
                <w:szCs w:val="20"/>
              </w:rPr>
              <w:t>30.1%</w:t>
            </w:r>
          </w:p>
        </w:tc>
        <w:tc>
          <w:tcPr>
            <w:tcW w:w="1418" w:type="dxa"/>
          </w:tcPr>
          <w:p w14:paraId="37711AC2" w14:textId="77777777" w:rsidR="00800846" w:rsidRPr="001F5451" w:rsidRDefault="00800846" w:rsidP="000F6E88">
            <w:pPr>
              <w:jc w:val="center"/>
              <w:rPr>
                <w:rFonts w:cstheme="minorHAnsi"/>
                <w:sz w:val="20"/>
                <w:szCs w:val="20"/>
              </w:rPr>
            </w:pPr>
            <w:r w:rsidRPr="001F5451">
              <w:rPr>
                <w:rFonts w:cstheme="minorHAnsi"/>
                <w:sz w:val="20"/>
                <w:szCs w:val="20"/>
              </w:rPr>
              <w:t>42.2%</w:t>
            </w:r>
          </w:p>
        </w:tc>
        <w:tc>
          <w:tcPr>
            <w:tcW w:w="1275" w:type="dxa"/>
          </w:tcPr>
          <w:p w14:paraId="091C5195" w14:textId="77777777" w:rsidR="00800846" w:rsidRPr="001F5451" w:rsidRDefault="00800846" w:rsidP="000F6E88">
            <w:pPr>
              <w:jc w:val="center"/>
              <w:rPr>
                <w:rFonts w:cstheme="minorHAnsi"/>
                <w:sz w:val="20"/>
                <w:szCs w:val="20"/>
              </w:rPr>
            </w:pPr>
            <w:r w:rsidRPr="001F5451">
              <w:rPr>
                <w:rFonts w:cstheme="minorHAnsi"/>
                <w:sz w:val="20"/>
                <w:szCs w:val="20"/>
              </w:rPr>
              <w:t>47.5%</w:t>
            </w:r>
          </w:p>
        </w:tc>
      </w:tr>
      <w:tr w:rsidR="00800846" w:rsidRPr="001F5451" w14:paraId="03EED3E3" w14:textId="77777777" w:rsidTr="00D15119">
        <w:tc>
          <w:tcPr>
            <w:tcW w:w="1980" w:type="dxa"/>
          </w:tcPr>
          <w:p w14:paraId="27691610" w14:textId="77777777" w:rsidR="00800846" w:rsidRPr="001F5451" w:rsidRDefault="00800846" w:rsidP="000F6E88">
            <w:pPr>
              <w:rPr>
                <w:rFonts w:cstheme="minorHAnsi"/>
                <w:sz w:val="20"/>
                <w:szCs w:val="20"/>
              </w:rPr>
            </w:pPr>
            <w:r w:rsidRPr="001F5451">
              <w:rPr>
                <w:rFonts w:cstheme="minorHAnsi"/>
                <w:sz w:val="20"/>
                <w:szCs w:val="20"/>
              </w:rPr>
              <w:t>Degree</w:t>
            </w:r>
          </w:p>
        </w:tc>
        <w:tc>
          <w:tcPr>
            <w:tcW w:w="1382" w:type="dxa"/>
          </w:tcPr>
          <w:p w14:paraId="058018B7" w14:textId="77777777" w:rsidR="00800846" w:rsidRPr="001F5451" w:rsidRDefault="00800846" w:rsidP="000F6E88">
            <w:pPr>
              <w:jc w:val="center"/>
              <w:rPr>
                <w:rFonts w:cstheme="minorHAnsi"/>
                <w:sz w:val="20"/>
                <w:szCs w:val="20"/>
              </w:rPr>
            </w:pPr>
            <w:r w:rsidRPr="001F5451">
              <w:rPr>
                <w:rFonts w:cstheme="minorHAnsi"/>
                <w:sz w:val="20"/>
                <w:szCs w:val="20"/>
              </w:rPr>
              <w:t>42.4%</w:t>
            </w:r>
          </w:p>
        </w:tc>
        <w:tc>
          <w:tcPr>
            <w:tcW w:w="1421" w:type="dxa"/>
          </w:tcPr>
          <w:p w14:paraId="1E40E11A" w14:textId="77777777" w:rsidR="00800846" w:rsidRPr="001F5451" w:rsidRDefault="00800846" w:rsidP="000F6E88">
            <w:pPr>
              <w:jc w:val="center"/>
              <w:rPr>
                <w:rFonts w:cstheme="minorHAnsi"/>
                <w:sz w:val="20"/>
                <w:szCs w:val="20"/>
              </w:rPr>
            </w:pPr>
            <w:r w:rsidRPr="001F5451">
              <w:rPr>
                <w:rFonts w:cstheme="minorHAnsi"/>
                <w:sz w:val="20"/>
                <w:szCs w:val="20"/>
              </w:rPr>
              <w:t>52.2%</w:t>
            </w:r>
          </w:p>
        </w:tc>
        <w:tc>
          <w:tcPr>
            <w:tcW w:w="1276" w:type="dxa"/>
          </w:tcPr>
          <w:p w14:paraId="3A0853E6" w14:textId="77777777" w:rsidR="00800846" w:rsidRPr="001F5451" w:rsidRDefault="00800846" w:rsidP="000F6E88">
            <w:pPr>
              <w:jc w:val="center"/>
              <w:rPr>
                <w:rFonts w:cstheme="minorHAnsi"/>
                <w:sz w:val="20"/>
                <w:szCs w:val="20"/>
              </w:rPr>
            </w:pPr>
            <w:r w:rsidRPr="001F5451">
              <w:rPr>
                <w:rFonts w:cstheme="minorHAnsi"/>
                <w:sz w:val="20"/>
                <w:szCs w:val="20"/>
              </w:rPr>
              <w:t>41.3%</w:t>
            </w:r>
          </w:p>
        </w:tc>
        <w:tc>
          <w:tcPr>
            <w:tcW w:w="1418" w:type="dxa"/>
          </w:tcPr>
          <w:p w14:paraId="6C8773E5" w14:textId="77777777" w:rsidR="00800846" w:rsidRPr="001F5451" w:rsidRDefault="00800846" w:rsidP="000F6E88">
            <w:pPr>
              <w:jc w:val="center"/>
              <w:rPr>
                <w:rFonts w:cstheme="minorHAnsi"/>
                <w:sz w:val="20"/>
                <w:szCs w:val="20"/>
              </w:rPr>
            </w:pPr>
            <w:r w:rsidRPr="001F5451">
              <w:rPr>
                <w:rFonts w:cstheme="minorHAnsi"/>
                <w:sz w:val="20"/>
                <w:szCs w:val="20"/>
              </w:rPr>
              <w:t>34.3%</w:t>
            </w:r>
          </w:p>
        </w:tc>
        <w:tc>
          <w:tcPr>
            <w:tcW w:w="1275" w:type="dxa"/>
          </w:tcPr>
          <w:p w14:paraId="23761420" w14:textId="77777777" w:rsidR="00800846" w:rsidRPr="001F5451" w:rsidRDefault="00800846" w:rsidP="000F6E88">
            <w:pPr>
              <w:jc w:val="center"/>
              <w:rPr>
                <w:rFonts w:cstheme="minorHAnsi"/>
                <w:sz w:val="20"/>
                <w:szCs w:val="20"/>
              </w:rPr>
            </w:pPr>
            <w:r w:rsidRPr="001F5451">
              <w:rPr>
                <w:rFonts w:cstheme="minorHAnsi"/>
                <w:sz w:val="20"/>
                <w:szCs w:val="20"/>
              </w:rPr>
              <w:t>12.4%</w:t>
            </w:r>
          </w:p>
        </w:tc>
      </w:tr>
      <w:tr w:rsidR="00800846" w:rsidRPr="001F5451" w14:paraId="7D54AFB3" w14:textId="77777777" w:rsidTr="00D15119">
        <w:tc>
          <w:tcPr>
            <w:tcW w:w="1980" w:type="dxa"/>
          </w:tcPr>
          <w:p w14:paraId="75268970" w14:textId="77777777" w:rsidR="00800846" w:rsidRPr="008A3F16" w:rsidRDefault="00800846" w:rsidP="000F6E88">
            <w:pPr>
              <w:rPr>
                <w:rFonts w:cstheme="minorHAnsi"/>
                <w:b/>
                <w:bCs/>
                <w:sz w:val="20"/>
                <w:szCs w:val="20"/>
              </w:rPr>
            </w:pPr>
            <w:r>
              <w:rPr>
                <w:rFonts w:cstheme="minorHAnsi"/>
                <w:b/>
                <w:bCs/>
                <w:sz w:val="20"/>
                <w:szCs w:val="20"/>
              </w:rPr>
              <w:t>NQS Quality Rating</w:t>
            </w:r>
          </w:p>
        </w:tc>
        <w:tc>
          <w:tcPr>
            <w:tcW w:w="1382" w:type="dxa"/>
          </w:tcPr>
          <w:p w14:paraId="62738E7D" w14:textId="77777777" w:rsidR="00800846" w:rsidRPr="001F5451" w:rsidRDefault="00800846" w:rsidP="000F6E88">
            <w:pPr>
              <w:jc w:val="center"/>
              <w:rPr>
                <w:rFonts w:cstheme="minorHAnsi"/>
                <w:sz w:val="20"/>
                <w:szCs w:val="20"/>
              </w:rPr>
            </w:pPr>
          </w:p>
        </w:tc>
        <w:tc>
          <w:tcPr>
            <w:tcW w:w="1421" w:type="dxa"/>
          </w:tcPr>
          <w:p w14:paraId="062E348B" w14:textId="77777777" w:rsidR="00800846" w:rsidRPr="001F5451" w:rsidRDefault="00800846" w:rsidP="000F6E88">
            <w:pPr>
              <w:jc w:val="center"/>
              <w:rPr>
                <w:rFonts w:cstheme="minorHAnsi"/>
                <w:sz w:val="20"/>
                <w:szCs w:val="20"/>
              </w:rPr>
            </w:pPr>
          </w:p>
        </w:tc>
        <w:tc>
          <w:tcPr>
            <w:tcW w:w="1276" w:type="dxa"/>
          </w:tcPr>
          <w:p w14:paraId="35A277E3" w14:textId="77777777" w:rsidR="00800846" w:rsidRPr="005F74FA" w:rsidRDefault="00800846" w:rsidP="000F6E88">
            <w:pPr>
              <w:jc w:val="center"/>
              <w:rPr>
                <w:rFonts w:cstheme="minorHAnsi"/>
                <w:sz w:val="20"/>
                <w:szCs w:val="20"/>
                <w:vertAlign w:val="superscript"/>
              </w:rPr>
            </w:pPr>
            <w:r>
              <w:rPr>
                <w:rFonts w:cstheme="minorHAnsi"/>
                <w:sz w:val="20"/>
                <w:szCs w:val="20"/>
              </w:rPr>
              <w:t>Q2, 2023</w:t>
            </w:r>
            <w:r>
              <w:rPr>
                <w:rFonts w:cstheme="minorHAnsi"/>
                <w:sz w:val="20"/>
                <w:szCs w:val="20"/>
                <w:vertAlign w:val="superscript"/>
              </w:rPr>
              <w:t>b</w:t>
            </w:r>
          </w:p>
        </w:tc>
        <w:tc>
          <w:tcPr>
            <w:tcW w:w="1418" w:type="dxa"/>
          </w:tcPr>
          <w:p w14:paraId="34DE0C91" w14:textId="77777777" w:rsidR="00800846" w:rsidRPr="001F5451" w:rsidRDefault="00800846" w:rsidP="000F6E88">
            <w:pPr>
              <w:jc w:val="center"/>
              <w:rPr>
                <w:rFonts w:cstheme="minorHAnsi"/>
                <w:sz w:val="20"/>
                <w:szCs w:val="20"/>
              </w:rPr>
            </w:pPr>
          </w:p>
        </w:tc>
        <w:tc>
          <w:tcPr>
            <w:tcW w:w="1275" w:type="dxa"/>
          </w:tcPr>
          <w:p w14:paraId="4594ECFE" w14:textId="77777777" w:rsidR="00800846" w:rsidRPr="005F74FA" w:rsidRDefault="00800846" w:rsidP="000F6E88">
            <w:pPr>
              <w:jc w:val="center"/>
              <w:rPr>
                <w:rFonts w:cstheme="minorHAnsi"/>
                <w:sz w:val="20"/>
                <w:szCs w:val="20"/>
                <w:vertAlign w:val="superscript"/>
              </w:rPr>
            </w:pPr>
            <w:r>
              <w:rPr>
                <w:rFonts w:cstheme="minorHAnsi"/>
                <w:sz w:val="20"/>
                <w:szCs w:val="20"/>
              </w:rPr>
              <w:t>Q2, 2023</w:t>
            </w:r>
            <w:r>
              <w:rPr>
                <w:rFonts w:cstheme="minorHAnsi"/>
                <w:sz w:val="20"/>
                <w:szCs w:val="20"/>
                <w:vertAlign w:val="superscript"/>
              </w:rPr>
              <w:t>b</w:t>
            </w:r>
          </w:p>
        </w:tc>
      </w:tr>
      <w:tr w:rsidR="00800846" w:rsidRPr="001F5451" w14:paraId="0D47BCC2" w14:textId="77777777" w:rsidTr="00D15119">
        <w:tc>
          <w:tcPr>
            <w:tcW w:w="1980" w:type="dxa"/>
          </w:tcPr>
          <w:p w14:paraId="34E567A8" w14:textId="3907D9A4" w:rsidR="00800846" w:rsidRPr="001F5451" w:rsidRDefault="00800846" w:rsidP="000F6E88">
            <w:pPr>
              <w:rPr>
                <w:rFonts w:cstheme="minorHAnsi"/>
                <w:sz w:val="20"/>
                <w:szCs w:val="20"/>
              </w:rPr>
            </w:pPr>
            <w:r>
              <w:rPr>
                <w:rFonts w:cstheme="minorHAnsi"/>
                <w:sz w:val="20"/>
                <w:szCs w:val="20"/>
              </w:rPr>
              <w:t>Exceeding</w:t>
            </w:r>
            <w:r w:rsidR="00D15119">
              <w:rPr>
                <w:rFonts w:cstheme="minorHAnsi"/>
                <w:sz w:val="20"/>
                <w:szCs w:val="20"/>
              </w:rPr>
              <w:t xml:space="preserve"> NQS</w:t>
            </w:r>
          </w:p>
        </w:tc>
        <w:tc>
          <w:tcPr>
            <w:tcW w:w="1382" w:type="dxa"/>
          </w:tcPr>
          <w:p w14:paraId="5FC654CC" w14:textId="77777777" w:rsidR="00800846" w:rsidRPr="001F5451" w:rsidRDefault="00800846" w:rsidP="000F6E88">
            <w:pPr>
              <w:jc w:val="center"/>
              <w:rPr>
                <w:rFonts w:cstheme="minorHAnsi"/>
                <w:sz w:val="20"/>
                <w:szCs w:val="20"/>
              </w:rPr>
            </w:pPr>
            <w:r>
              <w:rPr>
                <w:rFonts w:cstheme="minorHAnsi"/>
                <w:sz w:val="20"/>
                <w:szCs w:val="20"/>
              </w:rPr>
              <w:t>100%</w:t>
            </w:r>
          </w:p>
        </w:tc>
        <w:tc>
          <w:tcPr>
            <w:tcW w:w="1421" w:type="dxa"/>
          </w:tcPr>
          <w:p w14:paraId="56AFFBDC" w14:textId="77777777" w:rsidR="00800846" w:rsidRPr="001F5451" w:rsidRDefault="00800846" w:rsidP="000F6E88">
            <w:pPr>
              <w:jc w:val="center"/>
              <w:rPr>
                <w:rFonts w:cstheme="minorHAnsi"/>
                <w:sz w:val="20"/>
                <w:szCs w:val="20"/>
              </w:rPr>
            </w:pPr>
            <w:r>
              <w:rPr>
                <w:rFonts w:cstheme="minorHAnsi"/>
                <w:sz w:val="20"/>
                <w:szCs w:val="20"/>
              </w:rPr>
              <w:t>100%</w:t>
            </w:r>
          </w:p>
        </w:tc>
        <w:tc>
          <w:tcPr>
            <w:tcW w:w="1276" w:type="dxa"/>
          </w:tcPr>
          <w:p w14:paraId="385E1A63" w14:textId="77777777" w:rsidR="00800846" w:rsidRPr="001F5451" w:rsidRDefault="00800846" w:rsidP="000F6E88">
            <w:pPr>
              <w:jc w:val="center"/>
              <w:rPr>
                <w:rFonts w:cstheme="minorHAnsi"/>
                <w:sz w:val="20"/>
                <w:szCs w:val="20"/>
              </w:rPr>
            </w:pPr>
            <w:r>
              <w:rPr>
                <w:rFonts w:cstheme="minorHAnsi"/>
                <w:sz w:val="20"/>
                <w:szCs w:val="20"/>
              </w:rPr>
              <w:t>55%</w:t>
            </w:r>
          </w:p>
        </w:tc>
        <w:tc>
          <w:tcPr>
            <w:tcW w:w="1418" w:type="dxa"/>
          </w:tcPr>
          <w:p w14:paraId="0D271E49" w14:textId="77777777" w:rsidR="00800846" w:rsidRPr="001F5451" w:rsidRDefault="00800846" w:rsidP="000F6E88">
            <w:pPr>
              <w:jc w:val="center"/>
              <w:rPr>
                <w:rFonts w:cstheme="minorHAnsi"/>
                <w:sz w:val="20"/>
                <w:szCs w:val="20"/>
              </w:rPr>
            </w:pPr>
            <w:r>
              <w:rPr>
                <w:rFonts w:cstheme="minorHAnsi"/>
                <w:sz w:val="20"/>
                <w:szCs w:val="20"/>
              </w:rPr>
              <w:t>100%</w:t>
            </w:r>
          </w:p>
        </w:tc>
        <w:tc>
          <w:tcPr>
            <w:tcW w:w="1275" w:type="dxa"/>
          </w:tcPr>
          <w:p w14:paraId="30C19396" w14:textId="77777777" w:rsidR="00800846" w:rsidRPr="001F5451" w:rsidRDefault="00800846" w:rsidP="000F6E88">
            <w:pPr>
              <w:jc w:val="center"/>
              <w:rPr>
                <w:rFonts w:cstheme="minorHAnsi"/>
                <w:sz w:val="20"/>
                <w:szCs w:val="20"/>
              </w:rPr>
            </w:pPr>
            <w:r>
              <w:rPr>
                <w:rFonts w:cstheme="minorHAnsi"/>
                <w:sz w:val="20"/>
                <w:szCs w:val="20"/>
              </w:rPr>
              <w:t>21%</w:t>
            </w:r>
          </w:p>
        </w:tc>
      </w:tr>
      <w:tr w:rsidR="00800846" w:rsidRPr="001F5451" w14:paraId="6D4B9BEA" w14:textId="77777777" w:rsidTr="00D15119">
        <w:tc>
          <w:tcPr>
            <w:tcW w:w="1980" w:type="dxa"/>
          </w:tcPr>
          <w:p w14:paraId="14211B19" w14:textId="30D14848" w:rsidR="00800846" w:rsidRPr="001F5451" w:rsidRDefault="00800846" w:rsidP="000F6E88">
            <w:pPr>
              <w:rPr>
                <w:rFonts w:cstheme="minorHAnsi"/>
                <w:sz w:val="20"/>
                <w:szCs w:val="20"/>
              </w:rPr>
            </w:pPr>
            <w:r>
              <w:rPr>
                <w:rFonts w:cstheme="minorHAnsi"/>
                <w:sz w:val="20"/>
                <w:szCs w:val="20"/>
              </w:rPr>
              <w:t>Meeting</w:t>
            </w:r>
            <w:r w:rsidR="00D15119">
              <w:rPr>
                <w:rFonts w:cstheme="minorHAnsi"/>
                <w:sz w:val="20"/>
                <w:szCs w:val="20"/>
              </w:rPr>
              <w:t xml:space="preserve"> NQS</w:t>
            </w:r>
          </w:p>
        </w:tc>
        <w:tc>
          <w:tcPr>
            <w:tcW w:w="1382" w:type="dxa"/>
          </w:tcPr>
          <w:p w14:paraId="55193F89" w14:textId="77777777" w:rsidR="00800846" w:rsidRPr="001F5451" w:rsidRDefault="00800846" w:rsidP="000F6E88">
            <w:pPr>
              <w:jc w:val="center"/>
              <w:rPr>
                <w:rFonts w:cstheme="minorHAnsi"/>
                <w:sz w:val="20"/>
                <w:szCs w:val="20"/>
              </w:rPr>
            </w:pPr>
          </w:p>
        </w:tc>
        <w:tc>
          <w:tcPr>
            <w:tcW w:w="1421" w:type="dxa"/>
          </w:tcPr>
          <w:p w14:paraId="44A7401D" w14:textId="77777777" w:rsidR="00800846" w:rsidRPr="001F5451" w:rsidRDefault="00800846" w:rsidP="000F6E88">
            <w:pPr>
              <w:jc w:val="center"/>
              <w:rPr>
                <w:rFonts w:cstheme="minorHAnsi"/>
                <w:sz w:val="20"/>
                <w:szCs w:val="20"/>
              </w:rPr>
            </w:pPr>
          </w:p>
        </w:tc>
        <w:tc>
          <w:tcPr>
            <w:tcW w:w="1276" w:type="dxa"/>
          </w:tcPr>
          <w:p w14:paraId="5F536E1A" w14:textId="77777777" w:rsidR="00800846" w:rsidRPr="001F5451" w:rsidRDefault="00800846" w:rsidP="000F6E88">
            <w:pPr>
              <w:jc w:val="center"/>
              <w:rPr>
                <w:rFonts w:cstheme="minorHAnsi"/>
                <w:sz w:val="20"/>
                <w:szCs w:val="20"/>
              </w:rPr>
            </w:pPr>
            <w:r>
              <w:rPr>
                <w:rFonts w:cstheme="minorHAnsi"/>
                <w:sz w:val="20"/>
                <w:szCs w:val="20"/>
              </w:rPr>
              <w:t>41%</w:t>
            </w:r>
          </w:p>
        </w:tc>
        <w:tc>
          <w:tcPr>
            <w:tcW w:w="1418" w:type="dxa"/>
          </w:tcPr>
          <w:p w14:paraId="1EB3C5EC" w14:textId="77777777" w:rsidR="00800846" w:rsidRPr="001F5451" w:rsidRDefault="00800846" w:rsidP="000F6E88">
            <w:pPr>
              <w:jc w:val="center"/>
              <w:rPr>
                <w:rFonts w:cstheme="minorHAnsi"/>
                <w:sz w:val="20"/>
                <w:szCs w:val="20"/>
              </w:rPr>
            </w:pPr>
          </w:p>
        </w:tc>
        <w:tc>
          <w:tcPr>
            <w:tcW w:w="1275" w:type="dxa"/>
          </w:tcPr>
          <w:p w14:paraId="71BCA67A" w14:textId="77777777" w:rsidR="00800846" w:rsidRPr="001F5451" w:rsidRDefault="00800846" w:rsidP="000F6E88">
            <w:pPr>
              <w:jc w:val="center"/>
              <w:rPr>
                <w:rFonts w:cstheme="minorHAnsi"/>
                <w:sz w:val="20"/>
                <w:szCs w:val="20"/>
              </w:rPr>
            </w:pPr>
            <w:r>
              <w:rPr>
                <w:rFonts w:cstheme="minorHAnsi"/>
                <w:sz w:val="20"/>
                <w:szCs w:val="20"/>
              </w:rPr>
              <w:t>67%</w:t>
            </w:r>
          </w:p>
        </w:tc>
      </w:tr>
      <w:tr w:rsidR="00800846" w:rsidRPr="001F5451" w14:paraId="3D7A85EC" w14:textId="77777777" w:rsidTr="00D15119">
        <w:tc>
          <w:tcPr>
            <w:tcW w:w="1980" w:type="dxa"/>
          </w:tcPr>
          <w:p w14:paraId="08A95B1E" w14:textId="3E80DB53" w:rsidR="00800846" w:rsidRDefault="00800846" w:rsidP="000F6E88">
            <w:pPr>
              <w:rPr>
                <w:rFonts w:cstheme="minorHAnsi"/>
                <w:sz w:val="20"/>
                <w:szCs w:val="20"/>
              </w:rPr>
            </w:pPr>
            <w:r>
              <w:rPr>
                <w:rFonts w:cstheme="minorHAnsi"/>
                <w:sz w:val="20"/>
                <w:szCs w:val="20"/>
              </w:rPr>
              <w:t>Working Toward</w:t>
            </w:r>
            <w:r w:rsidR="00D15119">
              <w:rPr>
                <w:rFonts w:cstheme="minorHAnsi"/>
                <w:sz w:val="20"/>
                <w:szCs w:val="20"/>
              </w:rPr>
              <w:t xml:space="preserve"> NQS</w:t>
            </w:r>
          </w:p>
        </w:tc>
        <w:tc>
          <w:tcPr>
            <w:tcW w:w="1382" w:type="dxa"/>
          </w:tcPr>
          <w:p w14:paraId="64195228" w14:textId="77777777" w:rsidR="00800846" w:rsidRPr="001F5451" w:rsidRDefault="00800846" w:rsidP="000F6E88">
            <w:pPr>
              <w:jc w:val="center"/>
              <w:rPr>
                <w:rFonts w:cstheme="minorHAnsi"/>
                <w:sz w:val="20"/>
                <w:szCs w:val="20"/>
              </w:rPr>
            </w:pPr>
          </w:p>
        </w:tc>
        <w:tc>
          <w:tcPr>
            <w:tcW w:w="1421" w:type="dxa"/>
          </w:tcPr>
          <w:p w14:paraId="3A71B494" w14:textId="77777777" w:rsidR="00800846" w:rsidRPr="001F5451" w:rsidRDefault="00800846" w:rsidP="000F6E88">
            <w:pPr>
              <w:jc w:val="center"/>
              <w:rPr>
                <w:rFonts w:cstheme="minorHAnsi"/>
                <w:sz w:val="20"/>
                <w:szCs w:val="20"/>
              </w:rPr>
            </w:pPr>
          </w:p>
        </w:tc>
        <w:tc>
          <w:tcPr>
            <w:tcW w:w="1276" w:type="dxa"/>
          </w:tcPr>
          <w:p w14:paraId="372968C2" w14:textId="77777777" w:rsidR="00800846" w:rsidRPr="001F5451" w:rsidRDefault="00800846" w:rsidP="000F6E88">
            <w:pPr>
              <w:jc w:val="center"/>
              <w:rPr>
                <w:rFonts w:cstheme="minorHAnsi"/>
                <w:sz w:val="20"/>
                <w:szCs w:val="20"/>
              </w:rPr>
            </w:pPr>
            <w:r>
              <w:rPr>
                <w:rFonts w:cstheme="minorHAnsi"/>
                <w:sz w:val="20"/>
                <w:szCs w:val="20"/>
              </w:rPr>
              <w:t>1%</w:t>
            </w:r>
          </w:p>
        </w:tc>
        <w:tc>
          <w:tcPr>
            <w:tcW w:w="1418" w:type="dxa"/>
          </w:tcPr>
          <w:p w14:paraId="4AA4AFE5" w14:textId="77777777" w:rsidR="00800846" w:rsidRPr="001F5451" w:rsidRDefault="00800846" w:rsidP="000F6E88">
            <w:pPr>
              <w:jc w:val="center"/>
              <w:rPr>
                <w:rFonts w:cstheme="minorHAnsi"/>
                <w:sz w:val="20"/>
                <w:szCs w:val="20"/>
              </w:rPr>
            </w:pPr>
          </w:p>
        </w:tc>
        <w:tc>
          <w:tcPr>
            <w:tcW w:w="1275" w:type="dxa"/>
          </w:tcPr>
          <w:p w14:paraId="2AFCC0BB" w14:textId="77777777" w:rsidR="00800846" w:rsidRPr="001F5451" w:rsidRDefault="00800846" w:rsidP="000F6E88">
            <w:pPr>
              <w:jc w:val="center"/>
              <w:rPr>
                <w:rFonts w:cstheme="minorHAnsi"/>
                <w:sz w:val="20"/>
                <w:szCs w:val="20"/>
              </w:rPr>
            </w:pPr>
            <w:r>
              <w:rPr>
                <w:rFonts w:cstheme="minorHAnsi"/>
                <w:sz w:val="20"/>
                <w:szCs w:val="20"/>
              </w:rPr>
              <w:t>12%</w:t>
            </w:r>
          </w:p>
        </w:tc>
      </w:tr>
    </w:tbl>
    <w:p w14:paraId="20708D39" w14:textId="77777777" w:rsidR="00800846" w:rsidRDefault="00800846" w:rsidP="00800846">
      <w:pPr>
        <w:spacing w:after="0"/>
        <w:rPr>
          <w:rFonts w:cstheme="minorHAnsi"/>
          <w:sz w:val="20"/>
          <w:szCs w:val="20"/>
        </w:rPr>
      </w:pPr>
      <w:r>
        <w:rPr>
          <w:rFonts w:cstheme="minorHAnsi"/>
          <w:sz w:val="20"/>
          <w:szCs w:val="20"/>
        </w:rPr>
        <w:t>Note:</w:t>
      </w:r>
    </w:p>
    <w:p w14:paraId="18E6790F" w14:textId="77777777" w:rsidR="00800846" w:rsidRDefault="00800846" w:rsidP="00800846">
      <w:pPr>
        <w:spacing w:after="0"/>
        <w:rPr>
          <w:rFonts w:cstheme="minorHAnsi"/>
          <w:sz w:val="20"/>
          <w:szCs w:val="20"/>
        </w:rPr>
      </w:pPr>
      <w:r>
        <w:rPr>
          <w:rFonts w:cstheme="minorHAnsi"/>
          <w:sz w:val="20"/>
          <w:szCs w:val="20"/>
          <w:vertAlign w:val="superscript"/>
        </w:rPr>
        <w:t>a</w:t>
      </w:r>
      <w:r>
        <w:rPr>
          <w:rFonts w:cstheme="minorHAnsi"/>
          <w:sz w:val="20"/>
          <w:szCs w:val="20"/>
        </w:rPr>
        <w:t xml:space="preserve"> source is </w:t>
      </w:r>
      <w:hyperlink r:id="rId11" w:history="1">
        <w:r w:rsidRPr="00D60D02">
          <w:rPr>
            <w:rStyle w:val="Hyperlink"/>
            <w:rFonts w:cstheme="minorHAnsi"/>
            <w:sz w:val="20"/>
            <w:szCs w:val="20"/>
          </w:rPr>
          <w:t>https://snapshots.acecqa.gov.au/workforcedata/wfglance.html</w:t>
        </w:r>
      </w:hyperlink>
      <w:r>
        <w:rPr>
          <w:rFonts w:cstheme="minorHAnsi"/>
          <w:sz w:val="20"/>
          <w:szCs w:val="20"/>
        </w:rPr>
        <w:t xml:space="preserve"> </w:t>
      </w:r>
    </w:p>
    <w:p w14:paraId="232AE16C" w14:textId="1F49AC9E" w:rsidR="00920C8E" w:rsidRDefault="00800846" w:rsidP="00920C8E">
      <w:r>
        <w:rPr>
          <w:rFonts w:cstheme="minorHAnsi"/>
          <w:sz w:val="20"/>
          <w:szCs w:val="20"/>
          <w:vertAlign w:val="superscript"/>
        </w:rPr>
        <w:t xml:space="preserve">b </w:t>
      </w:r>
      <w:r>
        <w:rPr>
          <w:rFonts w:cstheme="minorHAnsi"/>
          <w:sz w:val="20"/>
          <w:szCs w:val="20"/>
        </w:rPr>
        <w:t xml:space="preserve">source is </w:t>
      </w:r>
      <w:hyperlink r:id="rId12" w:history="1">
        <w:r w:rsidR="00920C8E" w:rsidRPr="008A65E7">
          <w:rPr>
            <w:rStyle w:val="Hyperlink"/>
            <w:rFonts w:cstheme="minorHAnsi"/>
            <w:sz w:val="20"/>
            <w:szCs w:val="20"/>
          </w:rPr>
          <w:t>https://www.acecqa.gov.au/sites/default/files/2023-08/NQF%20Snapshot%20Q2%202023%20FINAL.PDF</w:t>
        </w:r>
      </w:hyperlink>
    </w:p>
    <w:p w14:paraId="44E93D49" w14:textId="0F8B12E1" w:rsidR="006B2238" w:rsidRDefault="006B2238" w:rsidP="006B2238">
      <w:pPr>
        <w:rPr>
          <w:rFonts w:cstheme="minorHAnsi"/>
        </w:rPr>
      </w:pPr>
      <w:r>
        <w:rPr>
          <w:rFonts w:cstheme="minorHAnsi"/>
        </w:rPr>
        <w:t xml:space="preserve">Findings from Stage 1 of the EECE@W study, reported in Harrison et al. (2023d), provide detailed information on the work activities completed by staff with different qualifications and in different ECEC settings, which sheds further light on possible links between qualification profiles in services achieving Exceeding NQS ratings. </w:t>
      </w:r>
    </w:p>
    <w:p w14:paraId="4282A7A7" w14:textId="52BF871D" w:rsidR="00A57567" w:rsidRDefault="00A57567" w:rsidP="006B2238">
      <w:pPr>
        <w:rPr>
          <w:rFonts w:cstheme="minorHAnsi"/>
        </w:rPr>
      </w:pPr>
      <w:r>
        <w:rPr>
          <w:rFonts w:cstheme="minorHAnsi"/>
        </w:rPr>
        <w:t xml:space="preserve">Stage 3 of the EECE@W study recruited a further </w:t>
      </w:r>
      <w:r w:rsidR="00CD616A">
        <w:rPr>
          <w:rFonts w:cstheme="minorHAnsi"/>
        </w:rPr>
        <w:t xml:space="preserve">sample of </w:t>
      </w:r>
      <w:r>
        <w:rPr>
          <w:rFonts w:cstheme="minorHAnsi"/>
        </w:rPr>
        <w:t>113 educators working in 10 ECEC services, that represented a mix of long day care and preschool settings</w:t>
      </w:r>
      <w:r w:rsidR="009C26F5">
        <w:rPr>
          <w:rFonts w:cstheme="minorHAnsi"/>
        </w:rPr>
        <w:t xml:space="preserve">. The proportion of qualifications was very similar to the Stage 1 sample: </w:t>
      </w:r>
      <w:r w:rsidR="00743942">
        <w:rPr>
          <w:rFonts w:cstheme="minorHAnsi"/>
        </w:rPr>
        <w:t>37% were degree-qualified</w:t>
      </w:r>
      <w:r w:rsidR="00AF4453">
        <w:rPr>
          <w:rFonts w:cstheme="minorHAnsi"/>
        </w:rPr>
        <w:t xml:space="preserve">; 41% were diploma- qualified; and 22% held a certificate-level qualification (Gibson et al., 2023). </w:t>
      </w:r>
      <w:r w:rsidR="00654282">
        <w:rPr>
          <w:rFonts w:cstheme="minorHAnsi"/>
        </w:rPr>
        <w:t xml:space="preserve">This work shines a light </w:t>
      </w:r>
      <w:r w:rsidR="00654282">
        <w:rPr>
          <w:rFonts w:cstheme="minorHAnsi"/>
        </w:rPr>
        <w:lastRenderedPageBreak/>
        <w:t>on the importance of staffing profiles and role</w:t>
      </w:r>
      <w:r w:rsidR="00802B9F">
        <w:rPr>
          <w:rFonts w:cstheme="minorHAnsi"/>
        </w:rPr>
        <w:t xml:space="preserve"> complementarities</w:t>
      </w:r>
      <w:r w:rsidR="00654282">
        <w:rPr>
          <w:rFonts w:cstheme="minorHAnsi"/>
        </w:rPr>
        <w:t xml:space="preserve"> in the ECEC workforce that</w:t>
      </w:r>
      <w:r w:rsidR="00802B9F">
        <w:rPr>
          <w:rFonts w:cstheme="minorHAnsi"/>
        </w:rPr>
        <w:t xml:space="preserve"> warrant further investigation</w:t>
      </w:r>
      <w:r w:rsidR="007D5F56">
        <w:rPr>
          <w:rFonts w:cstheme="minorHAnsi"/>
        </w:rPr>
        <w:t>.</w:t>
      </w:r>
    </w:p>
    <w:p w14:paraId="7C8B9E14" w14:textId="04E39D87" w:rsidR="00DC20F7" w:rsidRPr="00A60940" w:rsidRDefault="00DC20F7" w:rsidP="00D33519">
      <w:pPr>
        <w:rPr>
          <w:b/>
          <w:bCs/>
        </w:rPr>
      </w:pPr>
      <w:r w:rsidRPr="00A60940">
        <w:rPr>
          <w:b/>
          <w:bCs/>
        </w:rPr>
        <w:t>Refer</w:t>
      </w:r>
      <w:r w:rsidR="00A60940" w:rsidRPr="00A60940">
        <w:rPr>
          <w:b/>
          <w:bCs/>
        </w:rPr>
        <w:t>e</w:t>
      </w:r>
      <w:r w:rsidRPr="00A60940">
        <w:rPr>
          <w:b/>
          <w:bCs/>
        </w:rPr>
        <w:t>nces</w:t>
      </w:r>
    </w:p>
    <w:p w14:paraId="780A6BAF" w14:textId="77777777" w:rsidR="00ED28E3" w:rsidRDefault="003455BB" w:rsidP="00ED28E3">
      <w:pPr>
        <w:spacing w:after="0" w:line="240" w:lineRule="auto"/>
        <w:ind w:left="426" w:hanging="426"/>
        <w:rPr>
          <w:rStyle w:val="Hyperlink"/>
          <w:rFonts w:cstheme="minorHAnsi"/>
          <w:color w:val="0070C0"/>
          <w:sz w:val="18"/>
          <w:szCs w:val="18"/>
          <w:shd w:val="clear" w:color="auto" w:fill="F7F7F7"/>
        </w:rPr>
      </w:pPr>
      <w:bookmarkStart w:id="0" w:name="_Hlk150322922"/>
      <w:r w:rsidRPr="00617330">
        <w:rPr>
          <w:lang w:eastAsia="en-AU"/>
        </w:rPr>
        <w:t>Char, V</w:t>
      </w:r>
      <w:r w:rsidRPr="00617330">
        <w:rPr>
          <w:i/>
          <w:lang w:eastAsia="en-AU"/>
        </w:rPr>
        <w:t>.</w:t>
      </w:r>
      <w:r>
        <w:rPr>
          <w:lang w:eastAsia="en-AU"/>
        </w:rPr>
        <w:t xml:space="preserve">, </w:t>
      </w:r>
      <w:r w:rsidRPr="003455BB">
        <w:rPr>
          <w:bCs/>
          <w:lang w:eastAsia="en-AU"/>
        </w:rPr>
        <w:t xml:space="preserve">Harrison </w:t>
      </w:r>
      <w:r>
        <w:rPr>
          <w:lang w:eastAsia="en-AU"/>
        </w:rPr>
        <w:t xml:space="preserve">L. J., &amp; Li, H. (2023). Macro-structural </w:t>
      </w:r>
      <w:r>
        <w:rPr>
          <w:bCs/>
          <w:color w:val="000000" w:themeColor="text1"/>
        </w:rPr>
        <w:t>predictors of A</w:t>
      </w:r>
      <w:r w:rsidRPr="00617330">
        <w:rPr>
          <w:bCs/>
          <w:color w:val="000000" w:themeColor="text1"/>
        </w:rPr>
        <w:t>ustralian family day care quality</w:t>
      </w:r>
      <w:r>
        <w:rPr>
          <w:bCs/>
          <w:color w:val="000000" w:themeColor="text1"/>
        </w:rPr>
        <w:t xml:space="preserve">. </w:t>
      </w:r>
      <w:r>
        <w:rPr>
          <w:bCs/>
          <w:i/>
          <w:color w:val="000000" w:themeColor="text1"/>
        </w:rPr>
        <w:t xml:space="preserve">Frontiers in Public Health </w:t>
      </w:r>
      <w:r>
        <w:rPr>
          <w:rStyle w:val="volumeinfo"/>
          <w:rFonts w:ascii="Georgia" w:hAnsi="Georgia"/>
          <w:color w:val="282828"/>
          <w:shd w:val="clear" w:color="auto" w:fill="F7F7F7"/>
        </w:rPr>
        <w:t> </w:t>
      </w:r>
      <w:hyperlink r:id="rId13" w:history="1">
        <w:r w:rsidRPr="008055F4">
          <w:rPr>
            <w:rStyle w:val="Hyperlink"/>
            <w:color w:val="0070C0"/>
            <w:shd w:val="clear" w:color="auto" w:fill="F7F7F7"/>
          </w:rPr>
          <w:t>https://doi.org/10.3389/fpubh.2023.111425</w:t>
        </w:r>
        <w:r>
          <w:rPr>
            <w:rStyle w:val="Hyperlink"/>
            <w:rFonts w:cstheme="minorHAnsi"/>
            <w:color w:val="0070C0"/>
            <w:sz w:val="18"/>
            <w:szCs w:val="18"/>
            <w:shd w:val="clear" w:color="auto" w:fill="F7F7F7"/>
          </w:rPr>
          <w:t>6</w:t>
        </w:r>
      </w:hyperlink>
    </w:p>
    <w:p w14:paraId="09537367" w14:textId="0A00B274" w:rsidR="00ED28E3" w:rsidRPr="00ED28E3" w:rsidRDefault="00ED28E3" w:rsidP="00ED28E3">
      <w:pPr>
        <w:spacing w:after="0" w:line="240" w:lineRule="auto"/>
        <w:ind w:left="426" w:hanging="426"/>
        <w:rPr>
          <w:rFonts w:cstheme="minorHAnsi"/>
          <w:color w:val="0070C0"/>
          <w:sz w:val="18"/>
          <w:szCs w:val="18"/>
          <w:u w:val="single"/>
          <w:shd w:val="clear" w:color="auto" w:fill="F7F7F7"/>
        </w:rPr>
      </w:pPr>
      <w:r>
        <w:t>Gibson, M.,</w:t>
      </w:r>
      <w:r w:rsidRPr="005E3B86">
        <w:rPr>
          <w:color w:val="393A3D"/>
          <w:shd w:val="clear" w:color="auto" w:fill="FFFFFF"/>
        </w:rPr>
        <w:t> </w:t>
      </w:r>
      <w:r w:rsidRPr="005E3B86">
        <w:rPr>
          <w:rStyle w:val="personname"/>
          <w:color w:val="393A3D"/>
          <w:shd w:val="clear" w:color="auto" w:fill="FFFFFF"/>
        </w:rPr>
        <w:t>Press, F</w:t>
      </w:r>
      <w:r>
        <w:rPr>
          <w:rStyle w:val="personname"/>
          <w:color w:val="393A3D"/>
          <w:shd w:val="clear" w:color="auto" w:fill="FFFFFF"/>
        </w:rPr>
        <w:t>.</w:t>
      </w:r>
      <w:r w:rsidRPr="005E3B86">
        <w:rPr>
          <w:color w:val="393A3D"/>
          <w:shd w:val="clear" w:color="auto" w:fill="FFFFFF"/>
        </w:rPr>
        <w:t>, </w:t>
      </w:r>
      <w:r w:rsidRPr="005E3B86">
        <w:rPr>
          <w:rStyle w:val="personname"/>
          <w:color w:val="393A3D"/>
          <w:shd w:val="clear" w:color="auto" w:fill="FFFFFF"/>
        </w:rPr>
        <w:t>Harrison, L</w:t>
      </w:r>
      <w:r>
        <w:rPr>
          <w:rStyle w:val="personname"/>
          <w:color w:val="393A3D"/>
          <w:shd w:val="clear" w:color="auto" w:fill="FFFFFF"/>
        </w:rPr>
        <w:t>.</w:t>
      </w:r>
      <w:r w:rsidRPr="005E3B86">
        <w:rPr>
          <w:color w:val="393A3D"/>
          <w:shd w:val="clear" w:color="auto" w:fill="FFFFFF"/>
        </w:rPr>
        <w:t>, </w:t>
      </w:r>
      <w:r w:rsidRPr="005E3B86">
        <w:rPr>
          <w:rStyle w:val="personname"/>
          <w:color w:val="393A3D"/>
          <w:shd w:val="clear" w:color="auto" w:fill="FFFFFF"/>
        </w:rPr>
        <w:t>Wong, S</w:t>
      </w:r>
      <w:r>
        <w:rPr>
          <w:rStyle w:val="personname"/>
          <w:color w:val="393A3D"/>
          <w:shd w:val="clear" w:color="auto" w:fill="FFFFFF"/>
        </w:rPr>
        <w:t xml:space="preserve">., </w:t>
      </w:r>
      <w:r w:rsidRPr="005E3B86">
        <w:rPr>
          <w:rStyle w:val="personname"/>
          <w:color w:val="393A3D"/>
          <w:shd w:val="clear" w:color="auto" w:fill="FFFFFF"/>
        </w:rPr>
        <w:t>Cumming, T</w:t>
      </w:r>
      <w:r>
        <w:rPr>
          <w:rStyle w:val="personname"/>
          <w:color w:val="393A3D"/>
          <w:shd w:val="clear" w:color="auto" w:fill="FFFFFF"/>
        </w:rPr>
        <w:t>.</w:t>
      </w:r>
      <w:r w:rsidRPr="005E3B86">
        <w:rPr>
          <w:color w:val="393A3D"/>
          <w:shd w:val="clear" w:color="auto" w:fill="FFFFFF"/>
        </w:rPr>
        <w:t>, </w:t>
      </w:r>
      <w:r w:rsidRPr="005E3B86">
        <w:rPr>
          <w:rStyle w:val="personname"/>
          <w:color w:val="393A3D"/>
          <w:shd w:val="clear" w:color="auto" w:fill="FFFFFF"/>
        </w:rPr>
        <w:t>Ryan, S</w:t>
      </w:r>
      <w:r>
        <w:rPr>
          <w:rStyle w:val="personname"/>
          <w:color w:val="393A3D"/>
          <w:shd w:val="clear" w:color="auto" w:fill="FFFFFF"/>
        </w:rPr>
        <w:t>.</w:t>
      </w:r>
      <w:r w:rsidRPr="005E3B86">
        <w:rPr>
          <w:rStyle w:val="personname"/>
          <w:shd w:val="clear" w:color="auto" w:fill="FFFFFF"/>
        </w:rPr>
        <w:t xml:space="preserve">, </w:t>
      </w:r>
      <w:hyperlink r:id="rId14" w:history="1">
        <w:r w:rsidRPr="005E3B86">
          <w:rPr>
            <w:rStyle w:val="personname"/>
            <w:shd w:val="clear" w:color="auto" w:fill="FFFFFF"/>
          </w:rPr>
          <w:t>Crisp, K.</w:t>
        </w:r>
      </w:hyperlink>
      <w:r w:rsidRPr="005E3B86">
        <w:rPr>
          <w:color w:val="393A3D"/>
          <w:shd w:val="clear" w:color="auto" w:fill="FFFFFF"/>
        </w:rPr>
        <w:t>, </w:t>
      </w:r>
      <w:r w:rsidRPr="005E3B86">
        <w:rPr>
          <w:rStyle w:val="personname"/>
          <w:color w:val="393A3D"/>
          <w:shd w:val="clear" w:color="auto" w:fill="FFFFFF"/>
        </w:rPr>
        <w:t>Richardson, S</w:t>
      </w:r>
      <w:r>
        <w:rPr>
          <w:rStyle w:val="personname"/>
          <w:color w:val="393A3D"/>
          <w:shd w:val="clear" w:color="auto" w:fill="FFFFFF"/>
        </w:rPr>
        <w:t>.</w:t>
      </w:r>
      <w:r w:rsidRPr="005E3B86">
        <w:rPr>
          <w:color w:val="393A3D"/>
          <w:shd w:val="clear" w:color="auto" w:fill="FFFFFF"/>
        </w:rPr>
        <w:t>, </w:t>
      </w:r>
      <w:r w:rsidRPr="005E3B86">
        <w:rPr>
          <w:rStyle w:val="personname"/>
          <w:color w:val="393A3D"/>
          <w:shd w:val="clear" w:color="auto" w:fill="FFFFFF"/>
        </w:rPr>
        <w:t>Gibbs, L</w:t>
      </w:r>
      <w:r>
        <w:rPr>
          <w:rStyle w:val="personname"/>
          <w:color w:val="393A3D"/>
          <w:shd w:val="clear" w:color="auto" w:fill="FFFFFF"/>
        </w:rPr>
        <w:t>.</w:t>
      </w:r>
      <w:r w:rsidRPr="005E3B86">
        <w:rPr>
          <w:color w:val="393A3D"/>
          <w:shd w:val="clear" w:color="auto" w:fill="FFFFFF"/>
        </w:rPr>
        <w:t>, </w:t>
      </w:r>
      <w:r w:rsidRPr="005E3B86">
        <w:rPr>
          <w:rStyle w:val="personname"/>
          <w:color w:val="393A3D"/>
          <w:shd w:val="clear" w:color="auto" w:fill="FFFFFF"/>
        </w:rPr>
        <w:t>Cooke, M</w:t>
      </w:r>
      <w:r>
        <w:rPr>
          <w:rStyle w:val="personname"/>
          <w:color w:val="393A3D"/>
          <w:shd w:val="clear" w:color="auto" w:fill="FFFFFF"/>
        </w:rPr>
        <w:t>.</w:t>
      </w:r>
      <w:r w:rsidRPr="005E3B86">
        <w:rPr>
          <w:color w:val="393A3D"/>
          <w:shd w:val="clear" w:color="auto" w:fill="FFFFFF"/>
        </w:rPr>
        <w:t>, &amp; </w:t>
      </w:r>
      <w:r w:rsidRPr="005E3B86">
        <w:rPr>
          <w:rStyle w:val="personname"/>
          <w:color w:val="393A3D"/>
          <w:shd w:val="clear" w:color="auto" w:fill="FFFFFF"/>
        </w:rPr>
        <w:t>Brown, J</w:t>
      </w:r>
      <w:r>
        <w:rPr>
          <w:rStyle w:val="personname"/>
          <w:color w:val="393A3D"/>
          <w:shd w:val="clear" w:color="auto" w:fill="FFFFFF"/>
        </w:rPr>
        <w:t xml:space="preserve">. </w:t>
      </w:r>
      <w:r w:rsidRPr="005E3B86">
        <w:rPr>
          <w:color w:val="393A3D"/>
          <w:shd w:val="clear" w:color="auto" w:fill="FFFFFF"/>
        </w:rPr>
        <w:t>(2023) </w:t>
      </w:r>
      <w:r w:rsidRPr="005E3B86">
        <w:rPr>
          <w:rStyle w:val="Emphasis"/>
          <w:color w:val="393A3D"/>
          <w:shd w:val="clear" w:color="auto" w:fill="FFFFFF"/>
        </w:rPr>
        <w:t>Shining a Light on Early Childhood Educators' Work: A report from the Australian study Exemplary Early Childhood Educators at Work: A Multi-Level Investigation. </w:t>
      </w:r>
      <w:r w:rsidRPr="005E3B86">
        <w:rPr>
          <w:color w:val="393A3D"/>
          <w:shd w:val="clear" w:color="auto" w:fill="FFFFFF"/>
        </w:rPr>
        <w:t>Queensland University of Technology, Brisbane, QLD.</w:t>
      </w:r>
      <w:r>
        <w:rPr>
          <w:color w:val="393A3D"/>
          <w:shd w:val="clear" w:color="auto" w:fill="FFFFFF"/>
        </w:rPr>
        <w:t xml:space="preserve"> </w:t>
      </w:r>
      <w:hyperlink r:id="rId15" w:history="1">
        <w:r w:rsidRPr="00D60D02">
          <w:rPr>
            <w:rStyle w:val="Hyperlink"/>
          </w:rPr>
          <w:t>https://eprints.qut.edu.au/241514/</w:t>
        </w:r>
      </w:hyperlink>
    </w:p>
    <w:p w14:paraId="6FCE49DD" w14:textId="75AFDF09" w:rsidR="002125CB" w:rsidRPr="00FE7363" w:rsidRDefault="00B738B8" w:rsidP="00FE7363">
      <w:pPr>
        <w:spacing w:after="0" w:line="240" w:lineRule="auto"/>
        <w:ind w:left="426" w:hanging="426"/>
        <w:rPr>
          <w:color w:val="0070C0"/>
          <w:u w:val="single"/>
        </w:rPr>
      </w:pPr>
      <w:r w:rsidRPr="008214B7">
        <w:rPr>
          <w:bCs/>
          <w:lang w:eastAsia="en-AU"/>
        </w:rPr>
        <w:t xml:space="preserve">Harrison L. J., Andrews, R., Hadley, F., Irvine, S., </w:t>
      </w:r>
      <w:proofErr w:type="spellStart"/>
      <w:r w:rsidRPr="008214B7">
        <w:rPr>
          <w:bCs/>
          <w:lang w:eastAsia="en-AU"/>
        </w:rPr>
        <w:t>Waniganayake</w:t>
      </w:r>
      <w:proofErr w:type="spellEnd"/>
      <w:r w:rsidRPr="008214B7">
        <w:rPr>
          <w:bCs/>
          <w:lang w:eastAsia="en-AU"/>
        </w:rPr>
        <w:t xml:space="preserve">, M., </w:t>
      </w:r>
      <w:proofErr w:type="spellStart"/>
      <w:r w:rsidRPr="008214B7">
        <w:rPr>
          <w:bCs/>
          <w:lang w:eastAsia="en-AU"/>
        </w:rPr>
        <w:t>Barblett</w:t>
      </w:r>
      <w:proofErr w:type="spellEnd"/>
      <w:r w:rsidRPr="008214B7">
        <w:rPr>
          <w:bCs/>
          <w:lang w:eastAsia="en-AU"/>
        </w:rPr>
        <w:t xml:space="preserve">, L., Davis, B., </w:t>
      </w:r>
      <w:proofErr w:type="spellStart"/>
      <w:r w:rsidRPr="008214B7">
        <w:rPr>
          <w:bCs/>
          <w:lang w:eastAsia="en-AU"/>
        </w:rPr>
        <w:t>Hatzigianni</w:t>
      </w:r>
      <w:proofErr w:type="spellEnd"/>
      <w:r w:rsidRPr="008214B7">
        <w:rPr>
          <w:bCs/>
          <w:lang w:eastAsia="en-AU"/>
        </w:rPr>
        <w:t>, M., &amp; Li, H. (2023</w:t>
      </w:r>
      <w:r w:rsidR="00A02832">
        <w:rPr>
          <w:bCs/>
          <w:lang w:eastAsia="en-AU"/>
        </w:rPr>
        <w:t>a</w:t>
      </w:r>
      <w:r w:rsidRPr="008214B7">
        <w:rPr>
          <w:bCs/>
          <w:lang w:eastAsia="en-AU"/>
        </w:rPr>
        <w:t xml:space="preserve">). </w:t>
      </w:r>
      <w:r w:rsidRPr="008214B7">
        <w:rPr>
          <w:bCs/>
        </w:rPr>
        <w:t>Protocol for a mixed-methods investigation of the structures and processes that support</w:t>
      </w:r>
      <w:r w:rsidRPr="00592A8E">
        <w:t xml:space="preserve"> quality improvement in early childhood education and care in Australia</w:t>
      </w:r>
      <w:r w:rsidRPr="002A423D">
        <w:rPr>
          <w:i/>
          <w:lang w:eastAsia="en-AU"/>
        </w:rPr>
        <w:t>. Children and Youth Services Review, 155</w:t>
      </w:r>
      <w:r w:rsidRPr="002A423D">
        <w:rPr>
          <w:iCs/>
          <w:lang w:eastAsia="en-AU"/>
        </w:rPr>
        <w:t>. 107278.</w:t>
      </w:r>
      <w:r w:rsidRPr="002A423D">
        <w:rPr>
          <w:i/>
          <w:lang w:eastAsia="en-AU"/>
        </w:rPr>
        <w:t xml:space="preserve"> </w:t>
      </w:r>
      <w:hyperlink r:id="rId16" w:tgtFrame="_blank" w:tooltip="Persistent link using digital object identifier" w:history="1">
        <w:r w:rsidRPr="00F707A1">
          <w:rPr>
            <w:rStyle w:val="anchor-text"/>
            <w:color w:val="0070C0"/>
            <w:u w:val="single"/>
          </w:rPr>
          <w:t>https://doi.org/10.1016/j.childyouth.2023.107278</w:t>
        </w:r>
      </w:hyperlink>
    </w:p>
    <w:bookmarkEnd w:id="0"/>
    <w:p w14:paraId="73D475B9" w14:textId="77777777" w:rsidR="0029042B" w:rsidRDefault="008214B7" w:rsidP="0029042B">
      <w:pPr>
        <w:spacing w:after="0" w:line="240" w:lineRule="auto"/>
        <w:ind w:left="426" w:hanging="426"/>
        <w:rPr>
          <w:bCs/>
          <w:i/>
          <w:lang w:eastAsia="en-AU"/>
        </w:rPr>
      </w:pPr>
      <w:r w:rsidRPr="008214B7">
        <w:rPr>
          <w:bCs/>
        </w:rPr>
        <w:t xml:space="preserve">Harrison, L.J., Redman, T., Lavina, L., Brown J., Hadley, F., </w:t>
      </w:r>
      <w:proofErr w:type="spellStart"/>
      <w:r w:rsidRPr="008214B7">
        <w:rPr>
          <w:bCs/>
        </w:rPr>
        <w:t>Waniganayake</w:t>
      </w:r>
      <w:proofErr w:type="spellEnd"/>
      <w:r w:rsidRPr="008214B7">
        <w:rPr>
          <w:bCs/>
        </w:rPr>
        <w:t>, M., Davis, B., Wong, S. (2023</w:t>
      </w:r>
      <w:r w:rsidR="00A02832">
        <w:rPr>
          <w:bCs/>
        </w:rPr>
        <w:t>b</w:t>
      </w:r>
      <w:r w:rsidRPr="008214B7">
        <w:rPr>
          <w:bCs/>
        </w:rPr>
        <w:t xml:space="preserve">) Unpacking and unpicking the challenge of 600 hours of preschool education. </w:t>
      </w:r>
      <w:r w:rsidRPr="008214B7">
        <w:rPr>
          <w:bCs/>
          <w:i/>
          <w:lang w:eastAsia="en-AU"/>
        </w:rPr>
        <w:t xml:space="preserve">Australasian Journal of Early Childhood </w:t>
      </w:r>
      <w:hyperlink r:id="rId17" w:history="1">
        <w:r w:rsidRPr="008214B7">
          <w:rPr>
            <w:rStyle w:val="Hyperlink"/>
            <w:bCs/>
            <w:iCs/>
            <w:lang w:eastAsia="en-AU"/>
          </w:rPr>
          <w:t>https://doi.org.10.1177/18369391231219829</w:t>
        </w:r>
      </w:hyperlink>
    </w:p>
    <w:p w14:paraId="06CA7A7A" w14:textId="627D167C" w:rsidR="00FE7363" w:rsidRPr="0029042B" w:rsidRDefault="00FE7363" w:rsidP="0029042B">
      <w:pPr>
        <w:spacing w:after="0" w:line="240" w:lineRule="auto"/>
        <w:ind w:left="426" w:hanging="426"/>
        <w:rPr>
          <w:bCs/>
          <w:i/>
          <w:lang w:eastAsia="en-AU"/>
        </w:rPr>
      </w:pPr>
      <w:r w:rsidRPr="00FE7363">
        <w:rPr>
          <w:bCs/>
          <w:lang w:eastAsia="en-AU"/>
        </w:rPr>
        <w:t>Harrison</w:t>
      </w:r>
      <w:r>
        <w:rPr>
          <w:lang w:eastAsia="en-AU"/>
        </w:rPr>
        <w:t xml:space="preserve"> L. J., </w:t>
      </w:r>
      <w:proofErr w:type="spellStart"/>
      <w:r>
        <w:rPr>
          <w:lang w:eastAsia="en-AU"/>
        </w:rPr>
        <w:t>Waniganayake</w:t>
      </w:r>
      <w:proofErr w:type="spellEnd"/>
      <w:r>
        <w:rPr>
          <w:lang w:eastAsia="en-AU"/>
        </w:rPr>
        <w:t>, J., Brown, J., Andrews, R., Li, H. Hadley, F., Irvine, S.,</w:t>
      </w:r>
      <w:r w:rsidRPr="00592A8E">
        <w:rPr>
          <w:lang w:eastAsia="en-AU"/>
        </w:rPr>
        <w:t xml:space="preserve"> </w:t>
      </w:r>
      <w:proofErr w:type="spellStart"/>
      <w:r>
        <w:rPr>
          <w:lang w:eastAsia="en-AU"/>
        </w:rPr>
        <w:t>Barblett</w:t>
      </w:r>
      <w:proofErr w:type="spellEnd"/>
      <w:r>
        <w:rPr>
          <w:lang w:eastAsia="en-AU"/>
        </w:rPr>
        <w:t xml:space="preserve">, L., Davis, B., </w:t>
      </w:r>
      <w:proofErr w:type="spellStart"/>
      <w:r>
        <w:rPr>
          <w:lang w:eastAsia="en-AU"/>
        </w:rPr>
        <w:t>Hatzigianni</w:t>
      </w:r>
      <w:proofErr w:type="spellEnd"/>
      <w:r>
        <w:rPr>
          <w:lang w:eastAsia="en-AU"/>
        </w:rPr>
        <w:t>, M. (2023</w:t>
      </w:r>
      <w:r w:rsidR="0029042B">
        <w:rPr>
          <w:lang w:eastAsia="en-AU"/>
        </w:rPr>
        <w:t>c</w:t>
      </w:r>
      <w:r>
        <w:rPr>
          <w:lang w:eastAsia="en-AU"/>
        </w:rPr>
        <w:t xml:space="preserve">). </w:t>
      </w:r>
      <w:r w:rsidRPr="00AB4C5D">
        <w:t>Structur</w:t>
      </w:r>
      <w:r>
        <w:t>es and systems i</w:t>
      </w:r>
      <w:r w:rsidRPr="00AB4C5D">
        <w:t>nfluencing</w:t>
      </w:r>
      <w:r>
        <w:t xml:space="preserve"> quality i</w:t>
      </w:r>
      <w:r w:rsidRPr="00AB4C5D">
        <w:t>mprovement in Australian early childhood education and care services</w:t>
      </w:r>
      <w:r>
        <w:t xml:space="preserve">. </w:t>
      </w:r>
      <w:r>
        <w:rPr>
          <w:i/>
        </w:rPr>
        <w:t>Australian Educational Researcher</w:t>
      </w:r>
      <w:r w:rsidRPr="001841C3">
        <w:rPr>
          <w:rFonts w:ascii="Georgia" w:hAnsi="Georgia"/>
          <w:color w:val="282828"/>
          <w:sz w:val="21"/>
          <w:szCs w:val="21"/>
          <w:shd w:val="clear" w:color="auto" w:fill="F7F7F7"/>
        </w:rPr>
        <w:t xml:space="preserve"> </w:t>
      </w:r>
      <w:r>
        <w:rPr>
          <w:rFonts w:ascii="Georgia" w:hAnsi="Georgia"/>
          <w:color w:val="282828"/>
          <w:sz w:val="21"/>
          <w:szCs w:val="21"/>
          <w:shd w:val="clear" w:color="auto" w:fill="F7F7F7"/>
        </w:rPr>
        <w:t xml:space="preserve">4, 1–23. </w:t>
      </w:r>
      <w:proofErr w:type="spellStart"/>
      <w:r>
        <w:rPr>
          <w:rFonts w:ascii="Georgia" w:hAnsi="Georgia"/>
          <w:color w:val="282828"/>
          <w:sz w:val="21"/>
          <w:szCs w:val="21"/>
          <w:shd w:val="clear" w:color="auto" w:fill="F7F7F7"/>
        </w:rPr>
        <w:t>doi</w:t>
      </w:r>
      <w:proofErr w:type="spellEnd"/>
      <w:r>
        <w:rPr>
          <w:rFonts w:ascii="Georgia" w:hAnsi="Georgia"/>
          <w:color w:val="282828"/>
          <w:sz w:val="21"/>
          <w:szCs w:val="21"/>
          <w:shd w:val="clear" w:color="auto" w:fill="F7F7F7"/>
        </w:rPr>
        <w:t>: 10.1007/s13384-022-00602-8</w:t>
      </w:r>
      <w:r w:rsidRPr="005C5963">
        <w:rPr>
          <w:i/>
        </w:rPr>
        <w:t xml:space="preserve"> </w:t>
      </w:r>
      <w:hyperlink r:id="rId18" w:history="1">
        <w:r w:rsidRPr="005C5963">
          <w:rPr>
            <w:rStyle w:val="Hyperlink"/>
            <w:shd w:val="clear" w:color="auto" w:fill="FCFCFC"/>
          </w:rPr>
          <w:t>https://doi.org/10.1007/s13384-022-00602-8</w:t>
        </w:r>
      </w:hyperlink>
    </w:p>
    <w:p w14:paraId="6D98AA03" w14:textId="1D794D06" w:rsidR="008214B7" w:rsidRPr="008214B7" w:rsidRDefault="008214B7" w:rsidP="008214B7">
      <w:pPr>
        <w:spacing w:after="0" w:line="240" w:lineRule="auto"/>
        <w:ind w:left="426" w:hanging="426"/>
        <w:rPr>
          <w:bCs/>
          <w:i/>
          <w:lang w:eastAsia="en-AU"/>
        </w:rPr>
      </w:pPr>
      <w:r w:rsidRPr="008214B7">
        <w:rPr>
          <w:bCs/>
        </w:rPr>
        <w:t xml:space="preserve">Harrison, L. J., Wong, S., Brown, J., Gibson, M., Cumming, T., Bittman, M., </w:t>
      </w:r>
      <w:proofErr w:type="gramStart"/>
      <w:r w:rsidRPr="008214B7">
        <w:rPr>
          <w:bCs/>
        </w:rPr>
        <w:t>&amp;  Press</w:t>
      </w:r>
      <w:proofErr w:type="gramEnd"/>
      <w:r w:rsidRPr="008214B7">
        <w:rPr>
          <w:bCs/>
        </w:rPr>
        <w:t>, F. (2023</w:t>
      </w:r>
      <w:r w:rsidR="0029042B">
        <w:rPr>
          <w:bCs/>
        </w:rPr>
        <w:t>d</w:t>
      </w:r>
      <w:r w:rsidRPr="008214B7">
        <w:rPr>
          <w:bCs/>
        </w:rPr>
        <w:t xml:space="preserve">). Taking a detailed look at early childhood educators’ worktime. </w:t>
      </w:r>
      <w:r w:rsidRPr="008214B7">
        <w:rPr>
          <w:bCs/>
          <w:i/>
          <w:lang w:eastAsia="en-AU"/>
        </w:rPr>
        <w:t>Australasian Journal of Early Childhood</w:t>
      </w:r>
      <w:r w:rsidRPr="008214B7">
        <w:rPr>
          <w:bCs/>
          <w:lang w:eastAsia="en-AU"/>
        </w:rPr>
        <w:t xml:space="preserve">. </w:t>
      </w:r>
      <w:hyperlink r:id="rId19" w:history="1">
        <w:r w:rsidRPr="008214B7">
          <w:rPr>
            <w:rStyle w:val="Hyperlink"/>
            <w:bCs/>
          </w:rPr>
          <w:t>https://doi.org/10.1177/18369391231219820</w:t>
        </w:r>
      </w:hyperlink>
    </w:p>
    <w:p w14:paraId="6A8637A8" w14:textId="27EC7956" w:rsidR="00DC20F7" w:rsidRDefault="00DC20F7" w:rsidP="008214B7">
      <w:pPr>
        <w:spacing w:after="0" w:line="240" w:lineRule="auto"/>
        <w:ind w:left="426" w:right="113" w:hanging="426"/>
      </w:pPr>
      <w:r w:rsidRPr="003D2E76">
        <w:rPr>
          <w:bCs/>
        </w:rPr>
        <w:t>Harrison,</w:t>
      </w:r>
      <w:r>
        <w:t xml:space="preserve"> L. J., Wong, S., </w:t>
      </w:r>
      <w:proofErr w:type="spellStart"/>
      <w:r>
        <w:t>Degotardi</w:t>
      </w:r>
      <w:proofErr w:type="spellEnd"/>
      <w:r>
        <w:t xml:space="preserve">, S., </w:t>
      </w:r>
      <w:proofErr w:type="spellStart"/>
      <w:r>
        <w:t>Waniganayake</w:t>
      </w:r>
      <w:proofErr w:type="spellEnd"/>
      <w:r>
        <w:t>, M., Hadley. F., Davis, B., Jones, C., Fordham, L., Reade, S., Redman, T., Sadow, L., &amp; Brown, J. (</w:t>
      </w:r>
      <w:proofErr w:type="gramStart"/>
      <w:r>
        <w:t>July,</w:t>
      </w:r>
      <w:proofErr w:type="gramEnd"/>
      <w:r>
        <w:t xml:space="preserve"> 2022). </w:t>
      </w:r>
      <w:r w:rsidRPr="008B7391">
        <w:rPr>
          <w:i/>
        </w:rPr>
        <w:t>Early Childhood Education (</w:t>
      </w:r>
      <w:r w:rsidR="007D1FCE">
        <w:rPr>
          <w:i/>
        </w:rPr>
        <w:t>ECE</w:t>
      </w:r>
      <w:r w:rsidRPr="008B7391">
        <w:rPr>
          <w:i/>
        </w:rPr>
        <w:t xml:space="preserve">) Participation of Children from Low Socio-Economic Status (SES) Backgrounds – A Research Project. </w:t>
      </w:r>
      <w:r w:rsidRPr="0008042F">
        <w:t>Final Report for the NSW Department of Education.</w:t>
      </w:r>
      <w:r>
        <w:t xml:space="preserve"> </w:t>
      </w:r>
      <w:hyperlink r:id="rId20" w:history="1">
        <w:r w:rsidRPr="008B7391">
          <w:rPr>
            <w:rStyle w:val="Hyperlink"/>
            <w:rFonts w:ascii="Aptos" w:hAnsi="Aptos"/>
          </w:rPr>
          <w:t>https://research-management.mq.edu.au/ws/portalfiles/portal/278063150/277412027.pdf</w:t>
        </w:r>
      </w:hyperlink>
    </w:p>
    <w:p w14:paraId="6671FDF4" w14:textId="77777777" w:rsidR="00A60940" w:rsidRDefault="00A60940" w:rsidP="00A60940">
      <w:pPr>
        <w:spacing w:after="0" w:line="240" w:lineRule="auto"/>
        <w:ind w:right="113"/>
      </w:pPr>
    </w:p>
    <w:p w14:paraId="1CB7593A" w14:textId="77777777" w:rsidR="007D5F56" w:rsidRDefault="007D5F56" w:rsidP="007D5F56">
      <w:pPr>
        <w:tabs>
          <w:tab w:val="left" w:pos="8181"/>
        </w:tabs>
        <w:spacing w:after="0" w:line="240" w:lineRule="auto"/>
      </w:pPr>
      <w:r>
        <w:tab/>
      </w:r>
    </w:p>
    <w:p w14:paraId="5463537A" w14:textId="17E08E14" w:rsidR="007D5F56" w:rsidRPr="007D5F56" w:rsidRDefault="007D5F56" w:rsidP="007D5F56">
      <w:pPr>
        <w:tabs>
          <w:tab w:val="left" w:pos="8181"/>
        </w:tabs>
        <w:spacing w:after="0" w:line="240" w:lineRule="auto"/>
        <w:rPr>
          <w:b/>
          <w:bCs/>
        </w:rPr>
      </w:pPr>
      <w:r w:rsidRPr="007D5F56">
        <w:rPr>
          <w:b/>
          <w:bCs/>
        </w:rPr>
        <w:t>Prepared and submitted by:</w:t>
      </w:r>
    </w:p>
    <w:p w14:paraId="758B2F73" w14:textId="77777777" w:rsidR="007D5F56" w:rsidRDefault="007D5F56" w:rsidP="007D5F56">
      <w:pPr>
        <w:tabs>
          <w:tab w:val="left" w:pos="8181"/>
        </w:tabs>
        <w:spacing w:after="0" w:line="240" w:lineRule="auto"/>
      </w:pPr>
    </w:p>
    <w:p w14:paraId="3D161B25" w14:textId="17D623DC" w:rsidR="007D5F56" w:rsidRDefault="007D5F56" w:rsidP="007D5F56">
      <w:pPr>
        <w:tabs>
          <w:tab w:val="left" w:pos="8181"/>
        </w:tabs>
        <w:spacing w:after="0" w:line="240" w:lineRule="auto"/>
      </w:pPr>
      <w:r>
        <w:t>Professor Linda J. Harrison</w:t>
      </w:r>
    </w:p>
    <w:p w14:paraId="161DB8FB" w14:textId="0426BF57" w:rsidR="007D5F56" w:rsidRDefault="007D5F56" w:rsidP="007D5F56">
      <w:pPr>
        <w:tabs>
          <w:tab w:val="left" w:pos="8181"/>
        </w:tabs>
        <w:spacing w:after="0" w:line="240" w:lineRule="auto"/>
      </w:pPr>
      <w:r>
        <w:t xml:space="preserve">Research Fellow in Early Childhood Education </w:t>
      </w:r>
    </w:p>
    <w:p w14:paraId="61CC6877" w14:textId="398AA5C0" w:rsidR="007D5F56" w:rsidRDefault="007D5F56" w:rsidP="007D5F56">
      <w:pPr>
        <w:tabs>
          <w:tab w:val="left" w:pos="8181"/>
        </w:tabs>
        <w:spacing w:after="0" w:line="240" w:lineRule="auto"/>
      </w:pPr>
      <w:r>
        <w:t>Macquarie School of Education</w:t>
      </w:r>
    </w:p>
    <w:p w14:paraId="2148D570" w14:textId="46C9CD4D" w:rsidR="007D5F56" w:rsidRDefault="007D5F56" w:rsidP="007D5F56">
      <w:pPr>
        <w:tabs>
          <w:tab w:val="left" w:pos="8181"/>
        </w:tabs>
        <w:spacing w:after="0" w:line="240" w:lineRule="auto"/>
      </w:pPr>
      <w:r>
        <w:t>Centre for Research in Early Childhood Education</w:t>
      </w:r>
    </w:p>
    <w:p w14:paraId="78010B98" w14:textId="66FF32B1" w:rsidR="007D5F56" w:rsidRDefault="007D5F56" w:rsidP="007D5F56">
      <w:pPr>
        <w:tabs>
          <w:tab w:val="left" w:pos="8181"/>
        </w:tabs>
        <w:spacing w:after="0" w:line="240" w:lineRule="auto"/>
      </w:pPr>
      <w:r>
        <w:t>Faculty of Arts</w:t>
      </w:r>
    </w:p>
    <w:p w14:paraId="667506E7" w14:textId="1B7E76DE" w:rsidR="007D5F56" w:rsidRDefault="007D5F56" w:rsidP="007D5F56">
      <w:pPr>
        <w:tabs>
          <w:tab w:val="left" w:pos="8181"/>
        </w:tabs>
        <w:spacing w:after="0" w:line="240" w:lineRule="auto"/>
      </w:pPr>
      <w:r>
        <w:t>Macquarie University</w:t>
      </w:r>
    </w:p>
    <w:p w14:paraId="4E029882" w14:textId="0752A11A" w:rsidR="007D5F56" w:rsidRDefault="007D5F56" w:rsidP="007D5F56">
      <w:pPr>
        <w:tabs>
          <w:tab w:val="left" w:pos="8181"/>
        </w:tabs>
        <w:spacing w:after="0" w:line="240" w:lineRule="auto"/>
      </w:pPr>
      <w:r>
        <w:t>Sydney, NSW</w:t>
      </w:r>
    </w:p>
    <w:p w14:paraId="04455206" w14:textId="77777777" w:rsidR="007D5F56" w:rsidRDefault="007D5F56" w:rsidP="007D5F56">
      <w:pPr>
        <w:tabs>
          <w:tab w:val="left" w:pos="8181"/>
        </w:tabs>
        <w:spacing w:after="0" w:line="240" w:lineRule="auto"/>
      </w:pPr>
    </w:p>
    <w:p w14:paraId="2A129E32" w14:textId="77777777" w:rsidR="007D5F56" w:rsidRPr="00907207" w:rsidRDefault="007D5F56" w:rsidP="007D5F56">
      <w:pPr>
        <w:pStyle w:val="Heading2"/>
        <w:spacing w:after="0" w:afterAutospacing="0"/>
        <w:rPr>
          <w:rFonts w:asciiTheme="minorHAnsi" w:hAnsiTheme="minorHAnsi" w:cstheme="minorHAnsi"/>
          <w:b w:val="0"/>
          <w:bCs w:val="0"/>
          <w:sz w:val="22"/>
          <w:szCs w:val="22"/>
        </w:rPr>
      </w:pPr>
      <w:r w:rsidRPr="00907207">
        <w:rPr>
          <w:rFonts w:asciiTheme="minorHAnsi" w:hAnsiTheme="minorHAnsi" w:cstheme="minorHAnsi"/>
          <w:b w:val="0"/>
          <w:bCs w:val="0"/>
          <w:sz w:val="22"/>
          <w:szCs w:val="22"/>
        </w:rPr>
        <w:t>February 16, 2023</w:t>
      </w:r>
    </w:p>
    <w:p w14:paraId="2C649771" w14:textId="77777777" w:rsidR="007D5F56" w:rsidRPr="007D5F56" w:rsidRDefault="007D5F56" w:rsidP="007D5F56">
      <w:pPr>
        <w:tabs>
          <w:tab w:val="left" w:pos="8181"/>
        </w:tabs>
        <w:spacing w:after="0" w:line="240" w:lineRule="auto"/>
      </w:pPr>
    </w:p>
    <w:sectPr w:rsidR="007D5F56" w:rsidRPr="007D5F56">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A1F85" w14:textId="77777777" w:rsidR="007B042D" w:rsidRDefault="007B042D" w:rsidP="007D5F56">
      <w:pPr>
        <w:spacing w:after="0" w:line="240" w:lineRule="auto"/>
      </w:pPr>
      <w:r>
        <w:separator/>
      </w:r>
    </w:p>
  </w:endnote>
  <w:endnote w:type="continuationSeparator" w:id="0">
    <w:p w14:paraId="6FB7A8CF" w14:textId="77777777" w:rsidR="007B042D" w:rsidRDefault="007B042D" w:rsidP="007D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137973"/>
      <w:docPartObj>
        <w:docPartGallery w:val="Page Numbers (Bottom of Page)"/>
        <w:docPartUnique/>
      </w:docPartObj>
    </w:sdtPr>
    <w:sdtEndPr>
      <w:rPr>
        <w:noProof/>
      </w:rPr>
    </w:sdtEndPr>
    <w:sdtContent>
      <w:p w14:paraId="140B7480" w14:textId="7A4E082B" w:rsidR="007D5F56" w:rsidRDefault="007D5F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063AF" w14:textId="77777777" w:rsidR="007D5F56" w:rsidRDefault="007D5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E52F9" w14:textId="77777777" w:rsidR="007B042D" w:rsidRDefault="007B042D" w:rsidP="007D5F56">
      <w:pPr>
        <w:spacing w:after="0" w:line="240" w:lineRule="auto"/>
      </w:pPr>
      <w:r>
        <w:separator/>
      </w:r>
    </w:p>
  </w:footnote>
  <w:footnote w:type="continuationSeparator" w:id="0">
    <w:p w14:paraId="0E981BAB" w14:textId="77777777" w:rsidR="007B042D" w:rsidRDefault="007B042D" w:rsidP="007D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BBB22" w14:textId="1216E6FE" w:rsidR="004437A2" w:rsidRDefault="00443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94D4F" w14:textId="234C29DD" w:rsidR="004437A2" w:rsidRDefault="00443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A478" w14:textId="12043AA2" w:rsidR="004437A2" w:rsidRDefault="00443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D6A2C"/>
    <w:multiLevelType w:val="hybridMultilevel"/>
    <w:tmpl w:val="E18443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3E6C9D"/>
    <w:multiLevelType w:val="multilevel"/>
    <w:tmpl w:val="FF8069A4"/>
    <w:numStyleLink w:val="Bullets"/>
  </w:abstractNum>
  <w:abstractNum w:abstractNumId="3" w15:restartNumberingAfterBreak="0">
    <w:nsid w:val="115A51BB"/>
    <w:multiLevelType w:val="hybridMultilevel"/>
    <w:tmpl w:val="35B827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E71A54"/>
    <w:multiLevelType w:val="multilevel"/>
    <w:tmpl w:val="21983982"/>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FE29AF"/>
    <w:multiLevelType w:val="multilevel"/>
    <w:tmpl w:val="72768BCE"/>
    <w:numStyleLink w:val="AppendixHeadingList"/>
  </w:abstractNum>
  <w:abstractNum w:abstractNumId="6" w15:restartNumberingAfterBreak="0">
    <w:nsid w:val="42377CF2"/>
    <w:multiLevelType w:val="hybridMultilevel"/>
    <w:tmpl w:val="9A4274B4"/>
    <w:lvl w:ilvl="0" w:tplc="03EA893E">
      <w:start w:val="1"/>
      <w:numFmt w:val="decimal"/>
      <w:lvlText w:val="%1."/>
      <w:lvlJc w:val="left"/>
      <w:pPr>
        <w:tabs>
          <w:tab w:val="num" w:pos="450"/>
        </w:tabs>
        <w:ind w:left="45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E1502C"/>
    <w:multiLevelType w:val="multilevel"/>
    <w:tmpl w:val="FF8069A4"/>
    <w:styleLink w:val="Bullets"/>
    <w:lvl w:ilvl="0">
      <w:start w:val="1"/>
      <w:numFmt w:val="decimal"/>
      <w:pStyle w:val="ListBullet"/>
      <w:lvlText w:val="%1."/>
      <w:lvlJc w:val="left"/>
      <w:pPr>
        <w:ind w:left="227" w:hanging="227"/>
      </w:pPr>
      <w:rPr>
        <w:rFonts w:asciiTheme="minorHAnsi" w:eastAsiaTheme="minorHAnsi" w:hAnsiTheme="minorHAnsi" w:cstheme="minorBidi"/>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8" w15:restartNumberingAfterBreak="0">
    <w:nsid w:val="696A563C"/>
    <w:multiLevelType w:val="hybridMultilevel"/>
    <w:tmpl w:val="04BE4ACA"/>
    <w:lvl w:ilvl="0" w:tplc="7206E482">
      <w:start w:val="1"/>
      <w:numFmt w:val="decimal"/>
      <w:lvlText w:val="%1."/>
      <w:lvlJc w:val="left"/>
      <w:pPr>
        <w:tabs>
          <w:tab w:val="num" w:pos="450"/>
        </w:tabs>
        <w:ind w:left="45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00BE0"/>
    <w:multiLevelType w:val="hybridMultilevel"/>
    <w:tmpl w:val="2A5458A4"/>
    <w:lvl w:ilvl="0" w:tplc="3C2E1AB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CC16BAA"/>
    <w:multiLevelType w:val="hybridMultilevel"/>
    <w:tmpl w:val="760AD454"/>
    <w:lvl w:ilvl="0" w:tplc="D4D0C15C">
      <w:start w:val="1"/>
      <w:numFmt w:val="bullet"/>
      <w:lvlText w:val="-"/>
      <w:lvlJc w:val="left"/>
      <w:pPr>
        <w:ind w:left="587" w:hanging="360"/>
      </w:pPr>
      <w:rPr>
        <w:rFonts w:ascii="Arial (Body)" w:eastAsia="Arial" w:hAnsi="Arial (Body)"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1" w15:restartNumberingAfterBreak="0">
    <w:nsid w:val="72085BAD"/>
    <w:multiLevelType w:val="hybridMultilevel"/>
    <w:tmpl w:val="710C76F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31711"/>
    <w:multiLevelType w:val="hybridMultilevel"/>
    <w:tmpl w:val="29AAB70E"/>
    <w:lvl w:ilvl="0" w:tplc="2D989B06">
      <w:start w:val="1"/>
      <w:numFmt w:val="lowerRoman"/>
      <w:lvlText w:val="(%1)"/>
      <w:lvlJc w:val="left"/>
      <w:pPr>
        <w:ind w:left="769" w:hanging="360"/>
      </w:pPr>
      <w:rPr>
        <w:rFonts w:hint="default"/>
      </w:rPr>
    </w:lvl>
    <w:lvl w:ilvl="1" w:tplc="0C090019" w:tentative="1">
      <w:start w:val="1"/>
      <w:numFmt w:val="lowerLetter"/>
      <w:lvlText w:val="%2."/>
      <w:lvlJc w:val="left"/>
      <w:pPr>
        <w:ind w:left="1489" w:hanging="360"/>
      </w:pPr>
    </w:lvl>
    <w:lvl w:ilvl="2" w:tplc="0C09001B" w:tentative="1">
      <w:start w:val="1"/>
      <w:numFmt w:val="lowerRoman"/>
      <w:lvlText w:val="%3."/>
      <w:lvlJc w:val="right"/>
      <w:pPr>
        <w:ind w:left="2209" w:hanging="180"/>
      </w:pPr>
    </w:lvl>
    <w:lvl w:ilvl="3" w:tplc="0C09000F" w:tentative="1">
      <w:start w:val="1"/>
      <w:numFmt w:val="decimal"/>
      <w:lvlText w:val="%4."/>
      <w:lvlJc w:val="left"/>
      <w:pPr>
        <w:ind w:left="2929" w:hanging="360"/>
      </w:pPr>
    </w:lvl>
    <w:lvl w:ilvl="4" w:tplc="0C090019" w:tentative="1">
      <w:start w:val="1"/>
      <w:numFmt w:val="lowerLetter"/>
      <w:lvlText w:val="%5."/>
      <w:lvlJc w:val="left"/>
      <w:pPr>
        <w:ind w:left="3649" w:hanging="360"/>
      </w:pPr>
    </w:lvl>
    <w:lvl w:ilvl="5" w:tplc="0C09001B" w:tentative="1">
      <w:start w:val="1"/>
      <w:numFmt w:val="lowerRoman"/>
      <w:lvlText w:val="%6."/>
      <w:lvlJc w:val="right"/>
      <w:pPr>
        <w:ind w:left="4369" w:hanging="180"/>
      </w:pPr>
    </w:lvl>
    <w:lvl w:ilvl="6" w:tplc="0C09000F" w:tentative="1">
      <w:start w:val="1"/>
      <w:numFmt w:val="decimal"/>
      <w:lvlText w:val="%7."/>
      <w:lvlJc w:val="left"/>
      <w:pPr>
        <w:ind w:left="5089" w:hanging="360"/>
      </w:pPr>
    </w:lvl>
    <w:lvl w:ilvl="7" w:tplc="0C090019" w:tentative="1">
      <w:start w:val="1"/>
      <w:numFmt w:val="lowerLetter"/>
      <w:lvlText w:val="%8."/>
      <w:lvlJc w:val="left"/>
      <w:pPr>
        <w:ind w:left="5809" w:hanging="360"/>
      </w:pPr>
    </w:lvl>
    <w:lvl w:ilvl="8" w:tplc="0C09001B" w:tentative="1">
      <w:start w:val="1"/>
      <w:numFmt w:val="lowerRoman"/>
      <w:lvlText w:val="%9."/>
      <w:lvlJc w:val="right"/>
      <w:pPr>
        <w:ind w:left="6529" w:hanging="180"/>
      </w:pPr>
    </w:lvl>
  </w:abstractNum>
  <w:abstractNum w:abstractNumId="13" w15:restartNumberingAfterBreak="0">
    <w:nsid w:val="77C2322C"/>
    <w:multiLevelType w:val="hybridMultilevel"/>
    <w:tmpl w:val="A6488E06"/>
    <w:lvl w:ilvl="0" w:tplc="2D989B0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7164343">
    <w:abstractNumId w:val="7"/>
  </w:num>
  <w:num w:numId="2" w16cid:durableId="1322002692">
    <w:abstractNumId w:val="2"/>
  </w:num>
  <w:num w:numId="3" w16cid:durableId="1832986389">
    <w:abstractNumId w:val="3"/>
  </w:num>
  <w:num w:numId="4" w16cid:durableId="9335037">
    <w:abstractNumId w:val="1"/>
  </w:num>
  <w:num w:numId="5" w16cid:durableId="956329250">
    <w:abstractNumId w:val="5"/>
  </w:num>
  <w:num w:numId="6" w16cid:durableId="353000086">
    <w:abstractNumId w:val="10"/>
  </w:num>
  <w:num w:numId="7" w16cid:durableId="103691053">
    <w:abstractNumId w:val="0"/>
  </w:num>
  <w:num w:numId="8" w16cid:durableId="813713945">
    <w:abstractNumId w:val="8"/>
  </w:num>
  <w:num w:numId="9" w16cid:durableId="389769206">
    <w:abstractNumId w:val="9"/>
  </w:num>
  <w:num w:numId="10" w16cid:durableId="1712074154">
    <w:abstractNumId w:val="11"/>
  </w:num>
  <w:num w:numId="11" w16cid:durableId="150949781">
    <w:abstractNumId w:val="13"/>
  </w:num>
  <w:num w:numId="12" w16cid:durableId="1155299854">
    <w:abstractNumId w:val="4"/>
  </w:num>
  <w:num w:numId="13" w16cid:durableId="756290242">
    <w:abstractNumId w:val="6"/>
  </w:num>
  <w:num w:numId="14" w16cid:durableId="161045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FA"/>
    <w:rsid w:val="00000BBB"/>
    <w:rsid w:val="00001397"/>
    <w:rsid w:val="000042D0"/>
    <w:rsid w:val="00007EA3"/>
    <w:rsid w:val="0001201E"/>
    <w:rsid w:val="000159A6"/>
    <w:rsid w:val="00030EA4"/>
    <w:rsid w:val="00040F8C"/>
    <w:rsid w:val="000472EF"/>
    <w:rsid w:val="00047B36"/>
    <w:rsid w:val="00053714"/>
    <w:rsid w:val="00054344"/>
    <w:rsid w:val="00054EE7"/>
    <w:rsid w:val="00054F9D"/>
    <w:rsid w:val="00062E76"/>
    <w:rsid w:val="00081F5C"/>
    <w:rsid w:val="0008265D"/>
    <w:rsid w:val="00085CF1"/>
    <w:rsid w:val="0009314B"/>
    <w:rsid w:val="00094DDC"/>
    <w:rsid w:val="000A73BD"/>
    <w:rsid w:val="000B0027"/>
    <w:rsid w:val="000B2597"/>
    <w:rsid w:val="000C0081"/>
    <w:rsid w:val="000C06E4"/>
    <w:rsid w:val="000C2581"/>
    <w:rsid w:val="000D2C64"/>
    <w:rsid w:val="000E6242"/>
    <w:rsid w:val="001027E7"/>
    <w:rsid w:val="00111790"/>
    <w:rsid w:val="00121CE0"/>
    <w:rsid w:val="00123472"/>
    <w:rsid w:val="00135D0F"/>
    <w:rsid w:val="00136AE1"/>
    <w:rsid w:val="00147D13"/>
    <w:rsid w:val="00170B51"/>
    <w:rsid w:val="0018068A"/>
    <w:rsid w:val="00195D76"/>
    <w:rsid w:val="001A23F7"/>
    <w:rsid w:val="001B71E8"/>
    <w:rsid w:val="001C0079"/>
    <w:rsid w:val="001C6DF7"/>
    <w:rsid w:val="001C77DC"/>
    <w:rsid w:val="001D12ED"/>
    <w:rsid w:val="001E0302"/>
    <w:rsid w:val="001E3CE3"/>
    <w:rsid w:val="001F0EE6"/>
    <w:rsid w:val="001F4D98"/>
    <w:rsid w:val="00203B3B"/>
    <w:rsid w:val="00206C03"/>
    <w:rsid w:val="00206EBF"/>
    <w:rsid w:val="002125CB"/>
    <w:rsid w:val="002142A4"/>
    <w:rsid w:val="00227496"/>
    <w:rsid w:val="00227787"/>
    <w:rsid w:val="00230637"/>
    <w:rsid w:val="00231E7F"/>
    <w:rsid w:val="002520CC"/>
    <w:rsid w:val="00262D79"/>
    <w:rsid w:val="00270C31"/>
    <w:rsid w:val="00273E73"/>
    <w:rsid w:val="00283471"/>
    <w:rsid w:val="0029042B"/>
    <w:rsid w:val="002B5EFB"/>
    <w:rsid w:val="002D3EC9"/>
    <w:rsid w:val="002D5EF6"/>
    <w:rsid w:val="002D7264"/>
    <w:rsid w:val="002D7B51"/>
    <w:rsid w:val="002E132E"/>
    <w:rsid w:val="002E2E83"/>
    <w:rsid w:val="002F0651"/>
    <w:rsid w:val="0034115F"/>
    <w:rsid w:val="003455BB"/>
    <w:rsid w:val="00363898"/>
    <w:rsid w:val="00371B35"/>
    <w:rsid w:val="0037690C"/>
    <w:rsid w:val="00381460"/>
    <w:rsid w:val="003967F8"/>
    <w:rsid w:val="003B1518"/>
    <w:rsid w:val="003D2E76"/>
    <w:rsid w:val="003D4429"/>
    <w:rsid w:val="003E61E2"/>
    <w:rsid w:val="003F2FA8"/>
    <w:rsid w:val="003F744D"/>
    <w:rsid w:val="003F74E8"/>
    <w:rsid w:val="003F77DA"/>
    <w:rsid w:val="00403E83"/>
    <w:rsid w:val="00417110"/>
    <w:rsid w:val="00417A83"/>
    <w:rsid w:val="0042018B"/>
    <w:rsid w:val="004208E4"/>
    <w:rsid w:val="004221CC"/>
    <w:rsid w:val="00422360"/>
    <w:rsid w:val="00433C61"/>
    <w:rsid w:val="00440FF7"/>
    <w:rsid w:val="004437A2"/>
    <w:rsid w:val="004443D5"/>
    <w:rsid w:val="00466E0B"/>
    <w:rsid w:val="004712A1"/>
    <w:rsid w:val="00477E84"/>
    <w:rsid w:val="00487E89"/>
    <w:rsid w:val="004978E9"/>
    <w:rsid w:val="004A2D0F"/>
    <w:rsid w:val="004C628E"/>
    <w:rsid w:val="004C6CEF"/>
    <w:rsid w:val="004D1EF5"/>
    <w:rsid w:val="004D2AA8"/>
    <w:rsid w:val="004D4D28"/>
    <w:rsid w:val="004D5792"/>
    <w:rsid w:val="004E785B"/>
    <w:rsid w:val="004F084F"/>
    <w:rsid w:val="00504592"/>
    <w:rsid w:val="00507B6A"/>
    <w:rsid w:val="00511E17"/>
    <w:rsid w:val="00513B1E"/>
    <w:rsid w:val="00517C90"/>
    <w:rsid w:val="00523298"/>
    <w:rsid w:val="00525486"/>
    <w:rsid w:val="00525ED3"/>
    <w:rsid w:val="00525F9E"/>
    <w:rsid w:val="00527F82"/>
    <w:rsid w:val="0054307E"/>
    <w:rsid w:val="00563D1A"/>
    <w:rsid w:val="005652AA"/>
    <w:rsid w:val="00575385"/>
    <w:rsid w:val="00586D5A"/>
    <w:rsid w:val="00590D12"/>
    <w:rsid w:val="00591D27"/>
    <w:rsid w:val="005A3963"/>
    <w:rsid w:val="005C3B38"/>
    <w:rsid w:val="005E317B"/>
    <w:rsid w:val="005E3DAC"/>
    <w:rsid w:val="005E730B"/>
    <w:rsid w:val="006048A1"/>
    <w:rsid w:val="006134C9"/>
    <w:rsid w:val="00617B9B"/>
    <w:rsid w:val="006276E1"/>
    <w:rsid w:val="00627DA4"/>
    <w:rsid w:val="00630BE2"/>
    <w:rsid w:val="00645AE2"/>
    <w:rsid w:val="0064779E"/>
    <w:rsid w:val="00654282"/>
    <w:rsid w:val="006543FC"/>
    <w:rsid w:val="00672519"/>
    <w:rsid w:val="00673E0C"/>
    <w:rsid w:val="006830C0"/>
    <w:rsid w:val="00690D58"/>
    <w:rsid w:val="0069718F"/>
    <w:rsid w:val="006A5D25"/>
    <w:rsid w:val="006B2238"/>
    <w:rsid w:val="006C2255"/>
    <w:rsid w:val="006E1FF4"/>
    <w:rsid w:val="006F40D1"/>
    <w:rsid w:val="00700BD2"/>
    <w:rsid w:val="00702FAB"/>
    <w:rsid w:val="00703D0F"/>
    <w:rsid w:val="0072586D"/>
    <w:rsid w:val="00725985"/>
    <w:rsid w:val="00725D75"/>
    <w:rsid w:val="00730101"/>
    <w:rsid w:val="00736DA5"/>
    <w:rsid w:val="00743942"/>
    <w:rsid w:val="00743F5A"/>
    <w:rsid w:val="007808A8"/>
    <w:rsid w:val="007970CB"/>
    <w:rsid w:val="007A0DC5"/>
    <w:rsid w:val="007A56FE"/>
    <w:rsid w:val="007A74E3"/>
    <w:rsid w:val="007B042D"/>
    <w:rsid w:val="007C0F1E"/>
    <w:rsid w:val="007C31F2"/>
    <w:rsid w:val="007C4EC7"/>
    <w:rsid w:val="007D1FCE"/>
    <w:rsid w:val="007D2A75"/>
    <w:rsid w:val="007D5F56"/>
    <w:rsid w:val="007E5F2E"/>
    <w:rsid w:val="007F4EAA"/>
    <w:rsid w:val="007F5F75"/>
    <w:rsid w:val="00800846"/>
    <w:rsid w:val="00802B9F"/>
    <w:rsid w:val="008136A6"/>
    <w:rsid w:val="00816395"/>
    <w:rsid w:val="008214B7"/>
    <w:rsid w:val="008410E3"/>
    <w:rsid w:val="008457E4"/>
    <w:rsid w:val="0084760F"/>
    <w:rsid w:val="00853551"/>
    <w:rsid w:val="00854A71"/>
    <w:rsid w:val="00857136"/>
    <w:rsid w:val="00871E32"/>
    <w:rsid w:val="00873C37"/>
    <w:rsid w:val="008807F2"/>
    <w:rsid w:val="00883628"/>
    <w:rsid w:val="00886797"/>
    <w:rsid w:val="00891989"/>
    <w:rsid w:val="008A211A"/>
    <w:rsid w:val="008B4369"/>
    <w:rsid w:val="008B5214"/>
    <w:rsid w:val="008B64B5"/>
    <w:rsid w:val="008C18D2"/>
    <w:rsid w:val="008C5EBC"/>
    <w:rsid w:val="008D2864"/>
    <w:rsid w:val="008D3AAF"/>
    <w:rsid w:val="008D60FF"/>
    <w:rsid w:val="008D6AAA"/>
    <w:rsid w:val="008E7AA5"/>
    <w:rsid w:val="008E7AC0"/>
    <w:rsid w:val="008F11B3"/>
    <w:rsid w:val="008F6290"/>
    <w:rsid w:val="00904EF5"/>
    <w:rsid w:val="00907207"/>
    <w:rsid w:val="00910347"/>
    <w:rsid w:val="00920C8E"/>
    <w:rsid w:val="00923F1F"/>
    <w:rsid w:val="009259F4"/>
    <w:rsid w:val="00930CFB"/>
    <w:rsid w:val="00936E14"/>
    <w:rsid w:val="00940E6E"/>
    <w:rsid w:val="009420FA"/>
    <w:rsid w:val="009449A1"/>
    <w:rsid w:val="00951E21"/>
    <w:rsid w:val="00955714"/>
    <w:rsid w:val="00962EEB"/>
    <w:rsid w:val="0096303B"/>
    <w:rsid w:val="00966FFB"/>
    <w:rsid w:val="0097049E"/>
    <w:rsid w:val="00981CBF"/>
    <w:rsid w:val="00993CC4"/>
    <w:rsid w:val="009A6F61"/>
    <w:rsid w:val="009B7C38"/>
    <w:rsid w:val="009C26F5"/>
    <w:rsid w:val="009C3481"/>
    <w:rsid w:val="009E17E4"/>
    <w:rsid w:val="009F100A"/>
    <w:rsid w:val="00A02832"/>
    <w:rsid w:val="00A145E4"/>
    <w:rsid w:val="00A3181F"/>
    <w:rsid w:val="00A41152"/>
    <w:rsid w:val="00A52D3C"/>
    <w:rsid w:val="00A57567"/>
    <w:rsid w:val="00A60940"/>
    <w:rsid w:val="00A61826"/>
    <w:rsid w:val="00A656BC"/>
    <w:rsid w:val="00A66C94"/>
    <w:rsid w:val="00A82B91"/>
    <w:rsid w:val="00A83C76"/>
    <w:rsid w:val="00A91930"/>
    <w:rsid w:val="00AA4613"/>
    <w:rsid w:val="00AB300B"/>
    <w:rsid w:val="00AB54B2"/>
    <w:rsid w:val="00AE09E6"/>
    <w:rsid w:val="00AE39E1"/>
    <w:rsid w:val="00AF3BCE"/>
    <w:rsid w:val="00AF4453"/>
    <w:rsid w:val="00B0239C"/>
    <w:rsid w:val="00B064E1"/>
    <w:rsid w:val="00B103DC"/>
    <w:rsid w:val="00B1501E"/>
    <w:rsid w:val="00B21B65"/>
    <w:rsid w:val="00B22A0B"/>
    <w:rsid w:val="00B4037F"/>
    <w:rsid w:val="00B42363"/>
    <w:rsid w:val="00B47705"/>
    <w:rsid w:val="00B500DE"/>
    <w:rsid w:val="00B511B0"/>
    <w:rsid w:val="00B544C4"/>
    <w:rsid w:val="00B55C54"/>
    <w:rsid w:val="00B612E4"/>
    <w:rsid w:val="00B629DA"/>
    <w:rsid w:val="00B738B8"/>
    <w:rsid w:val="00B7709D"/>
    <w:rsid w:val="00B97C5C"/>
    <w:rsid w:val="00BA3FEF"/>
    <w:rsid w:val="00BB6DB6"/>
    <w:rsid w:val="00BC54FA"/>
    <w:rsid w:val="00BC7BC7"/>
    <w:rsid w:val="00BD0971"/>
    <w:rsid w:val="00BD2F2D"/>
    <w:rsid w:val="00BE5FE1"/>
    <w:rsid w:val="00BE6978"/>
    <w:rsid w:val="00BF075C"/>
    <w:rsid w:val="00C1273C"/>
    <w:rsid w:val="00C172E6"/>
    <w:rsid w:val="00C30268"/>
    <w:rsid w:val="00C36B1F"/>
    <w:rsid w:val="00C5432B"/>
    <w:rsid w:val="00C5711F"/>
    <w:rsid w:val="00C91765"/>
    <w:rsid w:val="00C94610"/>
    <w:rsid w:val="00CA0266"/>
    <w:rsid w:val="00CA36E2"/>
    <w:rsid w:val="00CA7DE1"/>
    <w:rsid w:val="00CB0EAB"/>
    <w:rsid w:val="00CB0F93"/>
    <w:rsid w:val="00CB1141"/>
    <w:rsid w:val="00CD0C2A"/>
    <w:rsid w:val="00CD131F"/>
    <w:rsid w:val="00CD2EF8"/>
    <w:rsid w:val="00CD41DB"/>
    <w:rsid w:val="00CD5B70"/>
    <w:rsid w:val="00CD616A"/>
    <w:rsid w:val="00CD6B61"/>
    <w:rsid w:val="00CF6677"/>
    <w:rsid w:val="00D0642F"/>
    <w:rsid w:val="00D0792E"/>
    <w:rsid w:val="00D15119"/>
    <w:rsid w:val="00D20963"/>
    <w:rsid w:val="00D33519"/>
    <w:rsid w:val="00D34210"/>
    <w:rsid w:val="00D46AEA"/>
    <w:rsid w:val="00D4741C"/>
    <w:rsid w:val="00D576FF"/>
    <w:rsid w:val="00D57EEF"/>
    <w:rsid w:val="00D630F2"/>
    <w:rsid w:val="00D66F7B"/>
    <w:rsid w:val="00D7415C"/>
    <w:rsid w:val="00D836A2"/>
    <w:rsid w:val="00D91235"/>
    <w:rsid w:val="00D93DD4"/>
    <w:rsid w:val="00DA3E54"/>
    <w:rsid w:val="00DA6381"/>
    <w:rsid w:val="00DB129F"/>
    <w:rsid w:val="00DB38EC"/>
    <w:rsid w:val="00DB43AB"/>
    <w:rsid w:val="00DC00E4"/>
    <w:rsid w:val="00DC20F7"/>
    <w:rsid w:val="00DD0B00"/>
    <w:rsid w:val="00DD3422"/>
    <w:rsid w:val="00DF24E9"/>
    <w:rsid w:val="00DF4020"/>
    <w:rsid w:val="00DF4F2F"/>
    <w:rsid w:val="00E11755"/>
    <w:rsid w:val="00E204AD"/>
    <w:rsid w:val="00E21A4F"/>
    <w:rsid w:val="00E22EBD"/>
    <w:rsid w:val="00E25AF2"/>
    <w:rsid w:val="00E35B25"/>
    <w:rsid w:val="00E6196E"/>
    <w:rsid w:val="00E71375"/>
    <w:rsid w:val="00E9044F"/>
    <w:rsid w:val="00E94476"/>
    <w:rsid w:val="00EB3B6F"/>
    <w:rsid w:val="00EC1543"/>
    <w:rsid w:val="00EC62A7"/>
    <w:rsid w:val="00EC6FDA"/>
    <w:rsid w:val="00ED28E3"/>
    <w:rsid w:val="00ED424D"/>
    <w:rsid w:val="00ED5F91"/>
    <w:rsid w:val="00EF3BF6"/>
    <w:rsid w:val="00F01A63"/>
    <w:rsid w:val="00F0698D"/>
    <w:rsid w:val="00F12099"/>
    <w:rsid w:val="00F138E1"/>
    <w:rsid w:val="00F33761"/>
    <w:rsid w:val="00F41925"/>
    <w:rsid w:val="00F43183"/>
    <w:rsid w:val="00F561C2"/>
    <w:rsid w:val="00F56613"/>
    <w:rsid w:val="00F73CA2"/>
    <w:rsid w:val="00F7679E"/>
    <w:rsid w:val="00F927DB"/>
    <w:rsid w:val="00F96E8C"/>
    <w:rsid w:val="00FA7B25"/>
    <w:rsid w:val="00FB22A2"/>
    <w:rsid w:val="00FC4171"/>
    <w:rsid w:val="00FD5F00"/>
    <w:rsid w:val="00FE2E65"/>
    <w:rsid w:val="00FE7363"/>
    <w:rsid w:val="00FF3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5191"/>
  <w15:chartTrackingRefBased/>
  <w15:docId w15:val="{246586ED-C875-4673-8E00-35176803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0720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5E730B"/>
  </w:style>
  <w:style w:type="paragraph" w:styleId="BodyText">
    <w:name w:val="Body Text"/>
    <w:basedOn w:val="Normal"/>
    <w:link w:val="BodyTextChar"/>
    <w:qFormat/>
    <w:rsid w:val="005E730B"/>
    <w:pPr>
      <w:spacing w:before="120" w:after="120" w:line="280" w:lineRule="atLeast"/>
    </w:pPr>
    <w:rPr>
      <w:kern w:val="0"/>
      <w:sz w:val="20"/>
      <w:szCs w:val="20"/>
      <w14:ligatures w14:val="none"/>
    </w:rPr>
  </w:style>
  <w:style w:type="character" w:customStyle="1" w:styleId="BodyTextChar">
    <w:name w:val="Body Text Char"/>
    <w:basedOn w:val="DefaultParagraphFont"/>
    <w:link w:val="BodyText"/>
    <w:rsid w:val="005E730B"/>
    <w:rPr>
      <w:kern w:val="0"/>
      <w:sz w:val="20"/>
      <w:szCs w:val="20"/>
      <w14:ligatures w14:val="none"/>
    </w:rPr>
  </w:style>
  <w:style w:type="paragraph" w:styleId="ListBullet">
    <w:name w:val="List Bullet"/>
    <w:basedOn w:val="Normal"/>
    <w:uiPriority w:val="1"/>
    <w:qFormat/>
    <w:rsid w:val="0042018B"/>
    <w:pPr>
      <w:numPr>
        <w:numId w:val="2"/>
      </w:numPr>
      <w:spacing w:before="120" w:after="120" w:line="280" w:lineRule="atLeast"/>
      <w:contextualSpacing/>
    </w:pPr>
    <w:rPr>
      <w:kern w:val="0"/>
      <w:sz w:val="20"/>
      <w:szCs w:val="20"/>
      <w14:ligatures w14:val="none"/>
    </w:rPr>
  </w:style>
  <w:style w:type="paragraph" w:styleId="ListBullet2">
    <w:name w:val="List Bullet 2"/>
    <w:basedOn w:val="Normal"/>
    <w:uiPriority w:val="1"/>
    <w:qFormat/>
    <w:rsid w:val="0042018B"/>
    <w:pPr>
      <w:numPr>
        <w:ilvl w:val="1"/>
        <w:numId w:val="2"/>
      </w:numPr>
      <w:spacing w:before="120" w:after="120" w:line="280" w:lineRule="atLeast"/>
      <w:contextualSpacing/>
    </w:pPr>
    <w:rPr>
      <w:kern w:val="0"/>
      <w:sz w:val="20"/>
      <w:szCs w:val="20"/>
      <w14:ligatures w14:val="none"/>
    </w:rPr>
  </w:style>
  <w:style w:type="numbering" w:customStyle="1" w:styleId="Bullets">
    <w:name w:val="Bullets"/>
    <w:uiPriority w:val="99"/>
    <w:rsid w:val="0042018B"/>
    <w:pPr>
      <w:numPr>
        <w:numId w:val="1"/>
      </w:numPr>
    </w:pPr>
  </w:style>
  <w:style w:type="paragraph" w:styleId="ListBullet3">
    <w:name w:val="List Bullet 3"/>
    <w:basedOn w:val="Normal"/>
    <w:uiPriority w:val="1"/>
    <w:qFormat/>
    <w:rsid w:val="0042018B"/>
    <w:pPr>
      <w:numPr>
        <w:ilvl w:val="2"/>
        <w:numId w:val="2"/>
      </w:numPr>
      <w:spacing w:before="120" w:after="120" w:line="280" w:lineRule="atLeast"/>
      <w:contextualSpacing/>
    </w:pPr>
    <w:rPr>
      <w:kern w:val="0"/>
      <w:sz w:val="20"/>
      <w:szCs w:val="20"/>
      <w14:ligatures w14:val="none"/>
    </w:rPr>
  </w:style>
  <w:style w:type="paragraph" w:customStyle="1" w:styleId="TableListBullet">
    <w:name w:val="Table List Bullet"/>
    <w:basedOn w:val="ListBullet"/>
    <w:uiPriority w:val="10"/>
    <w:qFormat/>
    <w:rsid w:val="0042018B"/>
    <w:pPr>
      <w:spacing w:before="0" w:after="20"/>
      <w:ind w:left="170" w:hanging="113"/>
    </w:pPr>
  </w:style>
  <w:style w:type="paragraph" w:styleId="ListParagraph">
    <w:name w:val="List Paragraph"/>
    <w:basedOn w:val="Normal"/>
    <w:uiPriority w:val="34"/>
    <w:qFormat/>
    <w:rsid w:val="008E7AA5"/>
    <w:pPr>
      <w:ind w:left="720"/>
      <w:contextualSpacing/>
    </w:pPr>
  </w:style>
  <w:style w:type="paragraph" w:customStyle="1" w:styleId="Heading-Appendix">
    <w:name w:val="Heading-Appendix"/>
    <w:basedOn w:val="Normal"/>
    <w:next w:val="BodyText"/>
    <w:uiPriority w:val="9"/>
    <w:qFormat/>
    <w:rsid w:val="00910347"/>
    <w:pPr>
      <w:numPr>
        <w:numId w:val="5"/>
      </w:numPr>
      <w:pBdr>
        <w:top w:val="single" w:sz="4" w:space="31" w:color="E7E6E6" w:themeColor="background2"/>
        <w:left w:val="single" w:sz="4" w:space="26" w:color="E7E6E6" w:themeColor="background2"/>
        <w:bottom w:val="single" w:sz="4" w:space="26" w:color="E7E6E6" w:themeColor="background2"/>
        <w:right w:val="single" w:sz="4" w:space="26" w:color="E7E6E6" w:themeColor="background2"/>
      </w:pBdr>
      <w:shd w:val="clear" w:color="auto" w:fill="E7E6E6" w:themeFill="background2"/>
      <w:spacing w:before="240" w:after="480" w:line="504" w:lineRule="atLeast"/>
      <w:ind w:right="567"/>
      <w:outlineLvl w:val="0"/>
    </w:pPr>
    <w:rPr>
      <w:rFonts w:asciiTheme="majorHAnsi" w:hAnsiTheme="majorHAnsi"/>
      <w:color w:val="FFFFFF" w:themeColor="background1"/>
      <w:kern w:val="0"/>
      <w:sz w:val="42"/>
      <w:szCs w:val="20"/>
      <w14:ligatures w14:val="none"/>
    </w:rPr>
  </w:style>
  <w:style w:type="paragraph" w:customStyle="1" w:styleId="Heading2-Appendix">
    <w:name w:val="Heading 2-Appendix"/>
    <w:basedOn w:val="Normal"/>
    <w:next w:val="Normal"/>
    <w:uiPriority w:val="10"/>
    <w:qFormat/>
    <w:rsid w:val="00910347"/>
    <w:pPr>
      <w:keepNext/>
      <w:keepLines/>
      <w:numPr>
        <w:ilvl w:val="1"/>
        <w:numId w:val="5"/>
      </w:numPr>
      <w:spacing w:before="480" w:after="120" w:line="340" w:lineRule="atLeast"/>
      <w:outlineLvl w:val="1"/>
    </w:pPr>
    <w:rPr>
      <w:rFonts w:asciiTheme="majorHAnsi" w:eastAsiaTheme="majorEastAsia" w:hAnsiTheme="majorHAnsi" w:cstheme="majorBidi"/>
      <w:kern w:val="0"/>
      <w:sz w:val="30"/>
      <w:szCs w:val="60"/>
      <w14:ligatures w14:val="none"/>
    </w:rPr>
  </w:style>
  <w:style w:type="numbering" w:customStyle="1" w:styleId="AppendixHeadingList">
    <w:name w:val="Appendix Heading List"/>
    <w:uiPriority w:val="99"/>
    <w:rsid w:val="00910347"/>
    <w:pPr>
      <w:numPr>
        <w:numId w:val="4"/>
      </w:numPr>
    </w:pPr>
  </w:style>
  <w:style w:type="character" w:styleId="Hyperlink">
    <w:name w:val="Hyperlink"/>
    <w:basedOn w:val="DefaultParagraphFont"/>
    <w:rsid w:val="00DC20F7"/>
    <w:rPr>
      <w:color w:val="0033CC"/>
      <w:u w:val="single"/>
    </w:rPr>
  </w:style>
  <w:style w:type="character" w:customStyle="1" w:styleId="anchor-text">
    <w:name w:val="anchor-text"/>
    <w:basedOn w:val="DefaultParagraphFont"/>
    <w:rsid w:val="00B738B8"/>
  </w:style>
  <w:style w:type="paragraph" w:customStyle="1" w:styleId="AbstractBookBaseParagraph">
    <w:name w:val="Abstract Book Base Paragraph"/>
    <w:basedOn w:val="Normal"/>
    <w:rsid w:val="009C3481"/>
    <w:pPr>
      <w:spacing w:after="0" w:line="240" w:lineRule="auto"/>
    </w:pPr>
    <w:rPr>
      <w:rFonts w:eastAsiaTheme="minorEastAsia"/>
      <w:kern w:val="0"/>
      <w:lang w:eastAsia="en-AU"/>
      <w14:ligatures w14:val="none"/>
    </w:rPr>
  </w:style>
  <w:style w:type="character" w:customStyle="1" w:styleId="volumeinfo">
    <w:name w:val="volumeinfo"/>
    <w:basedOn w:val="DefaultParagraphFont"/>
    <w:rsid w:val="003455BB"/>
  </w:style>
  <w:style w:type="character" w:styleId="Emphasis">
    <w:name w:val="Emphasis"/>
    <w:basedOn w:val="DefaultParagraphFont"/>
    <w:uiPriority w:val="20"/>
    <w:qFormat/>
    <w:rsid w:val="00ED28E3"/>
    <w:rPr>
      <w:i/>
      <w:iCs/>
    </w:rPr>
  </w:style>
  <w:style w:type="character" w:customStyle="1" w:styleId="personname">
    <w:name w:val="person_name"/>
    <w:basedOn w:val="DefaultParagraphFont"/>
    <w:rsid w:val="00ED28E3"/>
  </w:style>
  <w:style w:type="character" w:customStyle="1" w:styleId="normaltextrun">
    <w:name w:val="normaltextrun"/>
    <w:basedOn w:val="DefaultParagraphFont"/>
    <w:rsid w:val="00417A83"/>
  </w:style>
  <w:style w:type="table" w:styleId="TableGrid">
    <w:name w:val="Table Grid"/>
    <w:basedOn w:val="TableNormal"/>
    <w:uiPriority w:val="39"/>
    <w:rsid w:val="008008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0C8E"/>
    <w:rPr>
      <w:color w:val="605E5C"/>
      <w:shd w:val="clear" w:color="auto" w:fill="E1DFDD"/>
    </w:rPr>
  </w:style>
  <w:style w:type="character" w:customStyle="1" w:styleId="Heading2Char">
    <w:name w:val="Heading 2 Char"/>
    <w:basedOn w:val="DefaultParagraphFont"/>
    <w:link w:val="Heading2"/>
    <w:uiPriority w:val="9"/>
    <w:rsid w:val="00907207"/>
    <w:rPr>
      <w:rFonts w:ascii="Times New Roman" w:eastAsia="Times New Roman" w:hAnsi="Times New Roman" w:cs="Times New Roman"/>
      <w:b/>
      <w:bCs/>
      <w:kern w:val="0"/>
      <w:sz w:val="36"/>
      <w:szCs w:val="36"/>
      <w:lang w:eastAsia="en-AU"/>
      <w14:ligatures w14:val="none"/>
    </w:rPr>
  </w:style>
  <w:style w:type="paragraph" w:styleId="Header">
    <w:name w:val="header"/>
    <w:basedOn w:val="Normal"/>
    <w:link w:val="HeaderChar"/>
    <w:uiPriority w:val="99"/>
    <w:unhideWhenUsed/>
    <w:rsid w:val="007D5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F56"/>
  </w:style>
  <w:style w:type="paragraph" w:styleId="Footer">
    <w:name w:val="footer"/>
    <w:basedOn w:val="Normal"/>
    <w:link w:val="FooterChar"/>
    <w:uiPriority w:val="99"/>
    <w:unhideWhenUsed/>
    <w:rsid w:val="007D5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708560">
      <w:bodyDiv w:val="1"/>
      <w:marLeft w:val="0"/>
      <w:marRight w:val="0"/>
      <w:marTop w:val="0"/>
      <w:marBottom w:val="0"/>
      <w:divBdr>
        <w:top w:val="none" w:sz="0" w:space="0" w:color="auto"/>
        <w:left w:val="none" w:sz="0" w:space="0" w:color="auto"/>
        <w:bottom w:val="none" w:sz="0" w:space="0" w:color="auto"/>
        <w:right w:val="none" w:sz="0" w:space="0" w:color="auto"/>
      </w:divBdr>
    </w:div>
    <w:div w:id="141789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89/fpubh.2023.1114256" TargetMode="External"/><Relationship Id="rId18" Type="http://schemas.openxmlformats.org/officeDocument/2006/relationships/hyperlink" Target="https://doi.org/10.1007/s13384-022-00602-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ecqa.gov.au/sites/default/files/2023-08/NQF%20Snapshot%20Q2%202023%20FINAL.PDF" TargetMode="External"/><Relationship Id="rId17" Type="http://schemas.openxmlformats.org/officeDocument/2006/relationships/hyperlink" Target="https://doi.org.10.1177/1836939123121982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childyouth.2023.107278" TargetMode="External"/><Relationship Id="rId20" Type="http://schemas.openxmlformats.org/officeDocument/2006/relationships/hyperlink" Target="https://research-management.mq.edu.au/ws/portalfiles/portal/278063150/27741202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napshots.acecqa.gov.au/workforcedata/wfglance.html"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prints.qut.edu.au/24151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rotect-au.mimecast.com/s/eJPsCANpnDCzxvp1fG0MJV?domain=doi.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rints.qut.edu.au/view/person/Crisp,_Kim.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d1e8935c1380a6b6f7bb9c6f12c3112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6bab9633db19764728fbcc99e3a6bc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67D21C84-51E9-4FA0-8524-B669F8248371}">
  <ds:schemaRefs>
    <ds:schemaRef ds:uri="http://schemas.microsoft.com/sharepoint/v3/contenttype/forms"/>
  </ds:schemaRefs>
</ds:datastoreItem>
</file>

<file path=customXml/itemProps2.xml><?xml version="1.0" encoding="utf-8"?>
<ds:datastoreItem xmlns:ds="http://schemas.openxmlformats.org/officeDocument/2006/customXml" ds:itemID="{E2452FA2-E57D-4062-BF2C-D18F90891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FC427-A818-4E0E-A145-C0C8CAE35E16}">
  <ds:schemaRefs>
    <ds:schemaRef ds:uri="http://schemas.microsoft.com/sharepoint/events"/>
  </ds:schemaRefs>
</ds:datastoreItem>
</file>

<file path=customXml/itemProps4.xml><?xml version="1.0" encoding="utf-8"?>
<ds:datastoreItem xmlns:ds="http://schemas.openxmlformats.org/officeDocument/2006/customXml" ds:itemID="{7CDA29A1-E3D5-4052-995B-C2A8AE30581B}">
  <ds:schemaRefs>
    <ds:schemaRef ds:uri="http://purl.org/dc/terms/"/>
    <ds:schemaRef ds:uri="http://schemas.microsoft.com/office/infopath/2007/PartnerControls"/>
    <ds:schemaRef ds:uri="20393cdf-440a-4521-8f19-00ba43423d00"/>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3d385984-9344-419b-a80b-49c06a2bdab8"/>
    <ds:schemaRef ds:uri="http://www.w3.org/XML/1998/namespace"/>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5</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Submission 325 - Linda Harrison - Early Childhood Education and Care - Public inquiry</vt:lpstr>
    </vt:vector>
  </TitlesOfParts>
  <Company>Linda Harrison</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325 - Linda Harrison - Early Childhood Education and Care - Public inquiry</dc:title>
  <dc:subject/>
  <dc:creator>Linda Harrison</dc:creator>
  <cp:keywords/>
  <dc:description/>
  <cp:lastModifiedBy>Chris Alston</cp:lastModifiedBy>
  <cp:revision>5</cp:revision>
  <dcterms:created xsi:type="dcterms:W3CDTF">2024-05-02T01:50:00Z</dcterms:created>
  <dcterms:modified xsi:type="dcterms:W3CDTF">2024-05-02T02:41:00Z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SIP_Label_c1f2b1ce-4212-46db-a901-dd8453f57141_Enabled">
    <vt:lpwstr>true</vt:lpwstr>
  </property>
  <property fmtid="{D5CDD505-2E9C-101B-9397-08002B2CF9AE}" pid="4" name="MSIP_Label_c1f2b1ce-4212-46db-a901-dd8453f57141_SetDate">
    <vt:lpwstr>2024-05-02T01:51:15Z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d819086a-5ba7-46ac-89da-8165c15511d9</vt:lpwstr>
  </property>
  <property fmtid="{D5CDD505-2E9C-101B-9397-08002B2CF9AE}" pid="9" name="MSIP_Label_c1f2b1ce-4212-46db-a901-dd8453f57141_ContentBits">
    <vt:lpwstr>0</vt:lpwstr>
  </property>
  <property fmtid="{D5CDD505-2E9C-101B-9397-08002B2CF9AE}" pid="10" name="MediaServiceImageTags">
    <vt:lpwstr/>
  </property>
  <property fmtid="{D5CDD505-2E9C-101B-9397-08002B2CF9AE}" pid="11" name="RevIMBCS">
    <vt:lpwstr>1;#Unclassified|3955eeb1-2d18-4582-aeb2-00144ec3aaf5</vt:lpwstr>
  </property>
</Properties>
</file>