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5BBF4" w14:textId="13FC976F" w:rsidR="00774C3C" w:rsidRDefault="00774C3C" w:rsidP="00D07890">
      <w:pPr>
        <w:spacing w:after="0"/>
        <w:rPr>
          <w:rFonts w:ascii="Arial" w:hAnsi="Arial" w:cs="Arial"/>
          <w:b/>
          <w:sz w:val="32"/>
          <w:szCs w:val="32"/>
          <w:lang w:val="en-US"/>
        </w:rPr>
      </w:pPr>
      <w:bookmarkStart w:id="0" w:name="_GoBack"/>
      <w:bookmarkEnd w:id="0"/>
      <w:r w:rsidRPr="00895528">
        <w:rPr>
          <w:rFonts w:ascii="Arial" w:hAnsi="Arial" w:cs="Arial"/>
          <w:noProof/>
          <w:sz w:val="24"/>
          <w:szCs w:val="24"/>
          <w:lang w:eastAsia="en-AU"/>
        </w:rPr>
        <w:drawing>
          <wp:anchor distT="0" distB="0" distL="114300" distR="114300" simplePos="0" relativeHeight="251659264" behindDoc="1" locked="0" layoutInCell="1" allowOverlap="1" wp14:anchorId="5C283051" wp14:editId="5C4A403C">
            <wp:simplePos x="0" y="0"/>
            <wp:positionH relativeFrom="column">
              <wp:posOffset>-685800</wp:posOffset>
            </wp:positionH>
            <wp:positionV relativeFrom="paragraph">
              <wp:posOffset>-571500</wp:posOffset>
            </wp:positionV>
            <wp:extent cx="6867525" cy="1790700"/>
            <wp:effectExtent l="0" t="0" r="0" b="12700"/>
            <wp:wrapThrough wrapText="bothSides">
              <wp:wrapPolygon edited="0">
                <wp:start x="0" y="0"/>
                <wp:lineTo x="0" y="21447"/>
                <wp:lineTo x="21490" y="21447"/>
                <wp:lineTo x="214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lth-wcomp-PMS-2014.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6867525" cy="1790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A11A784" w14:textId="0F6E4292" w:rsidR="004E3E79" w:rsidRDefault="004E3E79" w:rsidP="00D07890">
      <w:pPr>
        <w:spacing w:after="0"/>
        <w:rPr>
          <w:rFonts w:ascii="Arial" w:hAnsi="Arial" w:cs="Arial"/>
          <w:b/>
          <w:sz w:val="32"/>
          <w:szCs w:val="32"/>
          <w:lang w:val="en-US"/>
        </w:rPr>
      </w:pPr>
    </w:p>
    <w:p w14:paraId="12547841" w14:textId="77777777" w:rsidR="004E3E79" w:rsidRDefault="004E3E79" w:rsidP="00D07890">
      <w:pPr>
        <w:spacing w:after="0"/>
        <w:rPr>
          <w:rFonts w:ascii="Arial" w:hAnsi="Arial" w:cs="Arial"/>
          <w:b/>
          <w:sz w:val="32"/>
          <w:szCs w:val="32"/>
          <w:lang w:val="en-US"/>
        </w:rPr>
      </w:pPr>
    </w:p>
    <w:p w14:paraId="6F14C488" w14:textId="2F281E14" w:rsidR="004E3E79" w:rsidRDefault="004E3E79" w:rsidP="004E3E79">
      <w:pPr>
        <w:spacing w:after="0"/>
        <w:rPr>
          <w:rFonts w:ascii="Arial" w:hAnsi="Arial" w:cs="Arial"/>
          <w:b/>
          <w:sz w:val="32"/>
          <w:szCs w:val="32"/>
          <w:lang w:val="en-US"/>
        </w:rPr>
      </w:pPr>
      <w:r>
        <w:rPr>
          <w:rFonts w:ascii="Arial" w:hAnsi="Arial" w:cs="Arial"/>
          <w:b/>
          <w:sz w:val="32"/>
          <w:szCs w:val="32"/>
          <w:lang w:val="en-US"/>
        </w:rPr>
        <w:t xml:space="preserve">  </w:t>
      </w:r>
      <w:r>
        <w:rPr>
          <w:rFonts w:ascii="Arial" w:hAnsi="Arial" w:cs="Arial"/>
          <w:b/>
          <w:sz w:val="32"/>
          <w:szCs w:val="32"/>
          <w:lang w:val="en-US"/>
        </w:rPr>
        <w:tab/>
      </w:r>
      <w:r>
        <w:rPr>
          <w:rFonts w:ascii="Arial" w:hAnsi="Arial" w:cs="Arial"/>
          <w:b/>
          <w:sz w:val="32"/>
          <w:szCs w:val="32"/>
          <w:lang w:val="en-US"/>
        </w:rPr>
        <w:tab/>
        <w:t xml:space="preserve">   THE </w:t>
      </w:r>
      <w:r w:rsidRPr="008077B4">
        <w:rPr>
          <w:rFonts w:ascii="Arial" w:hAnsi="Arial" w:cs="Arial"/>
          <w:b/>
          <w:sz w:val="32"/>
          <w:szCs w:val="32"/>
          <w:lang w:val="en-US"/>
        </w:rPr>
        <w:t>A</w:t>
      </w:r>
      <w:r>
        <w:rPr>
          <w:rFonts w:ascii="Arial" w:hAnsi="Arial" w:cs="Arial"/>
          <w:b/>
          <w:sz w:val="32"/>
          <w:szCs w:val="32"/>
          <w:lang w:val="en-US"/>
        </w:rPr>
        <w:t xml:space="preserve">USTRALIAN </w:t>
      </w:r>
      <w:r w:rsidRPr="008077B4">
        <w:rPr>
          <w:rFonts w:ascii="Arial" w:hAnsi="Arial" w:cs="Arial"/>
          <w:b/>
          <w:sz w:val="32"/>
          <w:szCs w:val="32"/>
          <w:lang w:val="en-US"/>
        </w:rPr>
        <w:t>W</w:t>
      </w:r>
      <w:r>
        <w:rPr>
          <w:rFonts w:ascii="Arial" w:hAnsi="Arial" w:cs="Arial"/>
          <w:b/>
          <w:sz w:val="32"/>
          <w:szCs w:val="32"/>
          <w:lang w:val="en-US"/>
        </w:rPr>
        <w:t>ORKERS’ UNION</w:t>
      </w:r>
    </w:p>
    <w:p w14:paraId="77867E55" w14:textId="0AC49B15" w:rsidR="004E3E79" w:rsidRDefault="00D07890" w:rsidP="004E3E79">
      <w:pPr>
        <w:spacing w:after="0"/>
        <w:ind w:firstLine="720"/>
        <w:rPr>
          <w:rFonts w:ascii="Arial" w:hAnsi="Arial" w:cs="Arial"/>
          <w:b/>
          <w:sz w:val="32"/>
          <w:szCs w:val="32"/>
          <w:lang w:val="en-US"/>
        </w:rPr>
      </w:pPr>
      <w:r w:rsidRPr="008077B4">
        <w:rPr>
          <w:rFonts w:ascii="Arial" w:hAnsi="Arial" w:cs="Arial"/>
          <w:b/>
          <w:sz w:val="32"/>
          <w:szCs w:val="32"/>
          <w:lang w:val="en-US"/>
        </w:rPr>
        <w:t xml:space="preserve"> REPLY TO PRODUCTIVITY COMMISSION DRAFT </w:t>
      </w:r>
      <w:r w:rsidR="004E3E79">
        <w:rPr>
          <w:rFonts w:ascii="Arial" w:hAnsi="Arial" w:cs="Arial"/>
          <w:b/>
          <w:sz w:val="32"/>
          <w:szCs w:val="32"/>
          <w:lang w:val="en-US"/>
        </w:rPr>
        <w:t xml:space="preserve"> </w:t>
      </w:r>
    </w:p>
    <w:p w14:paraId="5A827F13" w14:textId="7DA97238" w:rsidR="00944304" w:rsidRDefault="00D07890" w:rsidP="004E3E79">
      <w:pPr>
        <w:spacing w:after="0"/>
        <w:ind w:left="2160" w:firstLine="720"/>
        <w:rPr>
          <w:rFonts w:ascii="Arial" w:hAnsi="Arial" w:cs="Arial"/>
          <w:b/>
          <w:sz w:val="32"/>
          <w:szCs w:val="32"/>
          <w:lang w:val="en-US"/>
        </w:rPr>
      </w:pPr>
      <w:r w:rsidRPr="008077B4">
        <w:rPr>
          <w:rFonts w:ascii="Arial" w:hAnsi="Arial" w:cs="Arial"/>
          <w:b/>
          <w:sz w:val="32"/>
          <w:szCs w:val="32"/>
          <w:lang w:val="en-US"/>
        </w:rPr>
        <w:t>REPORT OVERVIEW</w:t>
      </w:r>
    </w:p>
    <w:p w14:paraId="4362AF07" w14:textId="77777777" w:rsidR="004E3E79" w:rsidRDefault="004E3E79" w:rsidP="00D07890">
      <w:pPr>
        <w:spacing w:after="0"/>
        <w:rPr>
          <w:rFonts w:ascii="Arial" w:hAnsi="Arial" w:cs="Arial"/>
          <w:b/>
          <w:sz w:val="32"/>
          <w:szCs w:val="32"/>
          <w:lang w:val="en-US"/>
        </w:rPr>
      </w:pPr>
    </w:p>
    <w:p w14:paraId="7B80B873" w14:textId="77777777" w:rsidR="004E3E79" w:rsidRDefault="004E3E79" w:rsidP="00D07890">
      <w:pPr>
        <w:spacing w:after="0"/>
        <w:rPr>
          <w:rFonts w:ascii="Arial" w:hAnsi="Arial" w:cs="Arial"/>
          <w:b/>
          <w:sz w:val="32"/>
          <w:szCs w:val="32"/>
          <w:lang w:val="en-US"/>
        </w:rPr>
      </w:pPr>
    </w:p>
    <w:p w14:paraId="061534E1" w14:textId="77777777" w:rsidR="004E3E79" w:rsidRDefault="004E3E79" w:rsidP="00D07890">
      <w:pPr>
        <w:spacing w:after="0"/>
        <w:rPr>
          <w:rFonts w:ascii="Arial" w:hAnsi="Arial" w:cs="Arial"/>
          <w:b/>
          <w:sz w:val="32"/>
          <w:szCs w:val="32"/>
          <w:lang w:val="en-US"/>
        </w:rPr>
      </w:pPr>
    </w:p>
    <w:p w14:paraId="769A3DE7" w14:textId="781421A8" w:rsidR="004E3E79" w:rsidRDefault="004E3E79" w:rsidP="004E3E79">
      <w:pPr>
        <w:spacing w:after="0"/>
        <w:ind w:left="1440" w:firstLine="720"/>
        <w:rPr>
          <w:rFonts w:ascii="Arial" w:hAnsi="Arial" w:cs="Arial"/>
          <w:b/>
          <w:sz w:val="32"/>
          <w:szCs w:val="32"/>
          <w:lang w:val="en-US"/>
        </w:rPr>
      </w:pPr>
      <w:r>
        <w:rPr>
          <w:rFonts w:ascii="Arial" w:hAnsi="Arial" w:cs="Arial"/>
          <w:b/>
          <w:sz w:val="32"/>
          <w:szCs w:val="32"/>
          <w:lang w:val="en-US"/>
        </w:rPr>
        <w:t xml:space="preserve">   Productivity Commission</w:t>
      </w:r>
    </w:p>
    <w:p w14:paraId="0158CC13" w14:textId="77777777" w:rsidR="004E3E79" w:rsidRDefault="004E3E79" w:rsidP="004E3E79">
      <w:pPr>
        <w:spacing w:after="0"/>
        <w:ind w:left="1440" w:firstLine="720"/>
        <w:rPr>
          <w:rFonts w:ascii="Arial" w:hAnsi="Arial" w:cs="Arial"/>
          <w:b/>
          <w:sz w:val="32"/>
          <w:szCs w:val="32"/>
          <w:lang w:val="en-US"/>
        </w:rPr>
      </w:pPr>
    </w:p>
    <w:p w14:paraId="14311DA6" w14:textId="77777777" w:rsidR="004E3E79" w:rsidRDefault="004E3E79" w:rsidP="004E3E79">
      <w:pPr>
        <w:spacing w:after="0"/>
        <w:ind w:left="1440" w:firstLine="720"/>
        <w:rPr>
          <w:rFonts w:ascii="Arial" w:hAnsi="Arial" w:cs="Arial"/>
          <w:sz w:val="32"/>
          <w:szCs w:val="32"/>
          <w:lang w:val="en-US"/>
        </w:rPr>
      </w:pPr>
      <w:r w:rsidRPr="004E3E79">
        <w:rPr>
          <w:rFonts w:ascii="Arial" w:hAnsi="Arial" w:cs="Arial"/>
          <w:sz w:val="32"/>
          <w:szCs w:val="32"/>
          <w:lang w:val="en-US"/>
        </w:rPr>
        <w:t xml:space="preserve">    </w:t>
      </w:r>
    </w:p>
    <w:p w14:paraId="46999C17" w14:textId="64997F4E" w:rsidR="004E3E79" w:rsidRPr="004E3E79" w:rsidRDefault="004E3E79" w:rsidP="004E3E79">
      <w:pPr>
        <w:spacing w:after="0"/>
        <w:ind w:left="2160"/>
        <w:rPr>
          <w:rFonts w:ascii="Arial" w:hAnsi="Arial" w:cs="Arial"/>
          <w:sz w:val="32"/>
          <w:szCs w:val="32"/>
          <w:lang w:val="en-US"/>
        </w:rPr>
      </w:pPr>
      <w:r>
        <w:rPr>
          <w:rFonts w:ascii="Arial" w:hAnsi="Arial" w:cs="Arial"/>
          <w:sz w:val="32"/>
          <w:szCs w:val="32"/>
          <w:lang w:val="en-US"/>
        </w:rPr>
        <w:t xml:space="preserve">        </w:t>
      </w:r>
      <w:r w:rsidRPr="004E3E79">
        <w:rPr>
          <w:rFonts w:ascii="Arial" w:hAnsi="Arial" w:cs="Arial"/>
          <w:sz w:val="32"/>
          <w:szCs w:val="32"/>
          <w:lang w:val="en-US"/>
        </w:rPr>
        <w:t>18 September 2015</w:t>
      </w:r>
    </w:p>
    <w:p w14:paraId="1645C088" w14:textId="77777777" w:rsidR="004E3E79" w:rsidRDefault="004E3E79" w:rsidP="00D07890">
      <w:pPr>
        <w:spacing w:after="0"/>
        <w:rPr>
          <w:rFonts w:ascii="Arial" w:hAnsi="Arial" w:cs="Arial"/>
          <w:b/>
          <w:sz w:val="32"/>
          <w:szCs w:val="32"/>
          <w:lang w:val="en-US"/>
        </w:rPr>
      </w:pPr>
    </w:p>
    <w:p w14:paraId="27B22F41" w14:textId="77777777" w:rsidR="004E3E79" w:rsidRDefault="004E3E79" w:rsidP="00D07890">
      <w:pPr>
        <w:spacing w:after="0"/>
        <w:rPr>
          <w:rFonts w:ascii="Arial" w:hAnsi="Arial" w:cs="Arial"/>
          <w:b/>
          <w:sz w:val="32"/>
          <w:szCs w:val="32"/>
          <w:lang w:val="en-US"/>
        </w:rPr>
      </w:pPr>
    </w:p>
    <w:p w14:paraId="79CB9FBC" w14:textId="77777777" w:rsidR="004E3E79" w:rsidRDefault="004E3E79" w:rsidP="00D07890">
      <w:pPr>
        <w:spacing w:after="0"/>
        <w:rPr>
          <w:rFonts w:ascii="Arial" w:hAnsi="Arial" w:cs="Arial"/>
          <w:b/>
          <w:sz w:val="32"/>
          <w:szCs w:val="32"/>
          <w:lang w:val="en-US"/>
        </w:rPr>
      </w:pPr>
    </w:p>
    <w:p w14:paraId="13BBE84F" w14:textId="77777777" w:rsidR="004E3E79" w:rsidRDefault="004E3E79" w:rsidP="00D07890">
      <w:pPr>
        <w:spacing w:after="0"/>
        <w:rPr>
          <w:rFonts w:ascii="Arial" w:hAnsi="Arial" w:cs="Arial"/>
          <w:b/>
          <w:sz w:val="32"/>
          <w:szCs w:val="32"/>
          <w:lang w:val="en-US"/>
        </w:rPr>
      </w:pPr>
    </w:p>
    <w:p w14:paraId="2ACBDFAA" w14:textId="77777777" w:rsidR="004E3E79" w:rsidRDefault="004E3E79" w:rsidP="00D07890">
      <w:pPr>
        <w:spacing w:after="0"/>
        <w:rPr>
          <w:rFonts w:ascii="Arial" w:hAnsi="Arial" w:cs="Arial"/>
          <w:b/>
          <w:sz w:val="32"/>
          <w:szCs w:val="32"/>
          <w:lang w:val="en-US"/>
        </w:rPr>
      </w:pPr>
    </w:p>
    <w:p w14:paraId="6A5042BD" w14:textId="77777777" w:rsidR="004E3E79" w:rsidRDefault="004E3E79" w:rsidP="00D07890">
      <w:pPr>
        <w:spacing w:after="0"/>
        <w:rPr>
          <w:rFonts w:ascii="Arial" w:hAnsi="Arial" w:cs="Arial"/>
          <w:b/>
          <w:sz w:val="32"/>
          <w:szCs w:val="32"/>
          <w:lang w:val="en-US"/>
        </w:rPr>
      </w:pPr>
    </w:p>
    <w:p w14:paraId="241D3F87" w14:textId="77777777" w:rsidR="004E3E79" w:rsidRDefault="004E3E79" w:rsidP="00D07890">
      <w:pPr>
        <w:spacing w:after="0"/>
        <w:rPr>
          <w:rFonts w:ascii="Arial" w:hAnsi="Arial" w:cs="Arial"/>
          <w:b/>
          <w:sz w:val="32"/>
          <w:szCs w:val="32"/>
          <w:lang w:val="en-US"/>
        </w:rPr>
      </w:pPr>
    </w:p>
    <w:p w14:paraId="111AE2FB" w14:textId="77777777" w:rsidR="004E3E79" w:rsidRDefault="004E3E79" w:rsidP="00D07890">
      <w:pPr>
        <w:spacing w:after="0"/>
        <w:rPr>
          <w:rFonts w:ascii="Arial" w:hAnsi="Arial" w:cs="Arial"/>
          <w:b/>
          <w:sz w:val="32"/>
          <w:szCs w:val="32"/>
          <w:lang w:val="en-US"/>
        </w:rPr>
      </w:pPr>
    </w:p>
    <w:p w14:paraId="4F826EDB" w14:textId="77777777" w:rsidR="004E3E79" w:rsidRDefault="004E3E79" w:rsidP="00D07890">
      <w:pPr>
        <w:spacing w:after="0"/>
        <w:rPr>
          <w:rFonts w:ascii="Arial" w:hAnsi="Arial" w:cs="Arial"/>
          <w:b/>
          <w:sz w:val="32"/>
          <w:szCs w:val="32"/>
          <w:lang w:val="en-US"/>
        </w:rPr>
      </w:pPr>
    </w:p>
    <w:p w14:paraId="278F1F81" w14:textId="77777777" w:rsidR="00774C3C" w:rsidRDefault="00774C3C" w:rsidP="00D07890">
      <w:pPr>
        <w:spacing w:after="0"/>
        <w:rPr>
          <w:rFonts w:ascii="Arial" w:hAnsi="Arial" w:cs="Arial"/>
          <w:b/>
          <w:sz w:val="32"/>
          <w:szCs w:val="32"/>
          <w:lang w:val="en-US"/>
        </w:rPr>
      </w:pPr>
    </w:p>
    <w:p w14:paraId="59E39FD3" w14:textId="77777777" w:rsidR="004E3E79" w:rsidRDefault="004E3E79" w:rsidP="00D07890">
      <w:pPr>
        <w:spacing w:after="0"/>
        <w:rPr>
          <w:rFonts w:ascii="Arial" w:hAnsi="Arial" w:cs="Arial"/>
          <w:b/>
          <w:sz w:val="32"/>
          <w:szCs w:val="32"/>
          <w:lang w:val="en-US"/>
        </w:rPr>
      </w:pPr>
    </w:p>
    <w:p w14:paraId="198F40B5" w14:textId="77777777" w:rsidR="004E3E79" w:rsidRDefault="004E3E79" w:rsidP="00D07890">
      <w:pPr>
        <w:spacing w:after="0"/>
        <w:rPr>
          <w:rFonts w:ascii="Arial" w:hAnsi="Arial" w:cs="Arial"/>
          <w:b/>
          <w:sz w:val="32"/>
          <w:szCs w:val="32"/>
          <w:lang w:val="en-US"/>
        </w:rPr>
      </w:pPr>
    </w:p>
    <w:p w14:paraId="3116B0B8" w14:textId="77777777" w:rsidR="004E3E79" w:rsidRPr="008077B4" w:rsidRDefault="004E3E79" w:rsidP="00D07890">
      <w:pPr>
        <w:spacing w:after="0"/>
        <w:rPr>
          <w:rFonts w:ascii="Arial" w:hAnsi="Arial" w:cs="Arial"/>
          <w:b/>
          <w:sz w:val="32"/>
          <w:szCs w:val="32"/>
          <w:lang w:val="en-US"/>
        </w:rPr>
      </w:pPr>
    </w:p>
    <w:p w14:paraId="5B51D0CB" w14:textId="77777777" w:rsidR="00D07890" w:rsidRDefault="00D07890" w:rsidP="00D07890">
      <w:pPr>
        <w:spacing w:after="0"/>
        <w:rPr>
          <w:rFonts w:ascii="Arial" w:hAnsi="Arial" w:cs="Arial"/>
          <w:b/>
          <w:sz w:val="24"/>
          <w:szCs w:val="24"/>
          <w:lang w:val="en-US"/>
        </w:rPr>
      </w:pPr>
    </w:p>
    <w:p w14:paraId="6CC3F43A" w14:textId="77777777" w:rsidR="00D07890" w:rsidRPr="00D07890" w:rsidRDefault="00D07890" w:rsidP="006A7F54">
      <w:pPr>
        <w:pStyle w:val="ListParagraph"/>
        <w:numPr>
          <w:ilvl w:val="0"/>
          <w:numId w:val="1"/>
        </w:numPr>
        <w:spacing w:after="0"/>
        <w:ind w:left="709" w:hanging="709"/>
        <w:rPr>
          <w:rFonts w:ascii="Arial" w:hAnsi="Arial" w:cs="Arial"/>
          <w:b/>
          <w:sz w:val="28"/>
          <w:szCs w:val="28"/>
          <w:u w:val="single"/>
          <w:lang w:val="en-US"/>
        </w:rPr>
      </w:pPr>
      <w:r w:rsidRPr="00D07890">
        <w:rPr>
          <w:rFonts w:ascii="Arial" w:hAnsi="Arial" w:cs="Arial"/>
          <w:b/>
          <w:sz w:val="28"/>
          <w:szCs w:val="28"/>
          <w:u w:val="single"/>
          <w:lang w:val="en-US"/>
        </w:rPr>
        <w:lastRenderedPageBreak/>
        <w:t xml:space="preserve">Australia’s recent </w:t>
      </w:r>
      <w:proofErr w:type="spellStart"/>
      <w:r w:rsidRPr="00D07890">
        <w:rPr>
          <w:rFonts w:ascii="Arial" w:hAnsi="Arial" w:cs="Arial"/>
          <w:b/>
          <w:sz w:val="28"/>
          <w:szCs w:val="28"/>
          <w:u w:val="single"/>
          <w:lang w:val="en-US"/>
        </w:rPr>
        <w:t>labour</w:t>
      </w:r>
      <w:proofErr w:type="spellEnd"/>
      <w:r w:rsidRPr="00D07890">
        <w:rPr>
          <w:rFonts w:ascii="Arial" w:hAnsi="Arial" w:cs="Arial"/>
          <w:b/>
          <w:sz w:val="28"/>
          <w:szCs w:val="28"/>
          <w:u w:val="single"/>
          <w:lang w:val="en-US"/>
        </w:rPr>
        <w:t xml:space="preserve"> market performance does not suggest a dysfunctional system</w:t>
      </w:r>
    </w:p>
    <w:p w14:paraId="347D5845" w14:textId="77777777" w:rsidR="00D07890" w:rsidRDefault="00D07890" w:rsidP="00D07890">
      <w:pPr>
        <w:spacing w:after="0"/>
        <w:rPr>
          <w:rFonts w:ascii="Arial" w:hAnsi="Arial" w:cs="Arial"/>
          <w:b/>
          <w:sz w:val="24"/>
          <w:szCs w:val="24"/>
          <w:lang w:val="en-US"/>
        </w:rPr>
      </w:pPr>
    </w:p>
    <w:p w14:paraId="47B02B01" w14:textId="77777777" w:rsidR="006A7F54" w:rsidRDefault="006A7F54" w:rsidP="00D07890">
      <w:pPr>
        <w:spacing w:after="0"/>
        <w:rPr>
          <w:rFonts w:ascii="Arial" w:hAnsi="Arial" w:cs="Arial"/>
          <w:b/>
          <w:sz w:val="24"/>
          <w:szCs w:val="24"/>
          <w:lang w:val="en-US"/>
        </w:rPr>
      </w:pPr>
      <w:r>
        <w:rPr>
          <w:rFonts w:ascii="Arial" w:hAnsi="Arial" w:cs="Arial"/>
          <w:b/>
          <w:sz w:val="24"/>
          <w:szCs w:val="24"/>
          <w:lang w:val="en-US"/>
        </w:rPr>
        <w:t>General point on industrial regulation</w:t>
      </w:r>
    </w:p>
    <w:p w14:paraId="4C6E9A55" w14:textId="77777777" w:rsidR="006A7F54" w:rsidRDefault="006A7F54" w:rsidP="00D07890">
      <w:pPr>
        <w:spacing w:after="0"/>
        <w:rPr>
          <w:rFonts w:ascii="Arial" w:hAnsi="Arial" w:cs="Arial"/>
          <w:b/>
          <w:sz w:val="24"/>
          <w:szCs w:val="24"/>
          <w:lang w:val="en-US"/>
        </w:rPr>
      </w:pPr>
    </w:p>
    <w:p w14:paraId="4A2387F8" w14:textId="77777777" w:rsidR="008A4873" w:rsidRPr="008A4873" w:rsidRDefault="008A487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Draft Report contains some important general insights about recurring issues within Australian industrial relations. </w:t>
      </w:r>
    </w:p>
    <w:p w14:paraId="50240DCF" w14:textId="77777777" w:rsidR="008A4873" w:rsidRDefault="008A4873" w:rsidP="003073B7">
      <w:pPr>
        <w:pStyle w:val="ListParagraph"/>
        <w:spacing w:after="0"/>
        <w:jc w:val="both"/>
        <w:rPr>
          <w:rFonts w:ascii="Arial" w:hAnsi="Arial" w:cs="Arial"/>
          <w:sz w:val="24"/>
          <w:szCs w:val="24"/>
          <w:lang w:val="en-US"/>
        </w:rPr>
      </w:pPr>
    </w:p>
    <w:p w14:paraId="12329A70" w14:textId="77777777" w:rsidR="00D07890" w:rsidRDefault="008A487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In relation to productivity, t</w:t>
      </w:r>
      <w:r w:rsidR="00240152">
        <w:rPr>
          <w:rFonts w:ascii="Arial" w:hAnsi="Arial" w:cs="Arial"/>
          <w:sz w:val="24"/>
          <w:szCs w:val="24"/>
          <w:lang w:val="en-US"/>
        </w:rPr>
        <w:t xml:space="preserve">he Draft Report states: “there is little robust evidence that the different variants of </w:t>
      </w:r>
      <w:proofErr w:type="spellStart"/>
      <w:r w:rsidR="00240152">
        <w:rPr>
          <w:rFonts w:ascii="Arial" w:hAnsi="Arial" w:cs="Arial"/>
          <w:sz w:val="24"/>
          <w:szCs w:val="24"/>
          <w:lang w:val="en-US"/>
        </w:rPr>
        <w:t>WR</w:t>
      </w:r>
      <w:proofErr w:type="spellEnd"/>
      <w:r w:rsidR="00240152">
        <w:rPr>
          <w:rFonts w:ascii="Arial" w:hAnsi="Arial" w:cs="Arial"/>
          <w:sz w:val="24"/>
          <w:szCs w:val="24"/>
          <w:lang w:val="en-US"/>
        </w:rPr>
        <w:t xml:space="preserve"> systems over the last 20 years have had detectable effects on measured economy</w:t>
      </w:r>
      <w:r w:rsidR="003073B7">
        <w:rPr>
          <w:rFonts w:ascii="Arial" w:hAnsi="Arial" w:cs="Arial"/>
          <w:sz w:val="24"/>
          <w:szCs w:val="24"/>
          <w:lang w:val="en-US"/>
        </w:rPr>
        <w:t xml:space="preserve"> </w:t>
      </w:r>
      <w:r w:rsidR="00240152">
        <w:rPr>
          <w:rFonts w:ascii="Arial" w:hAnsi="Arial" w:cs="Arial"/>
          <w:sz w:val="24"/>
          <w:szCs w:val="24"/>
          <w:lang w:val="en-US"/>
        </w:rPr>
        <w:t>wide productivity”.</w:t>
      </w:r>
      <w:r w:rsidR="00240152">
        <w:rPr>
          <w:rStyle w:val="FootnoteReference"/>
          <w:rFonts w:ascii="Arial" w:hAnsi="Arial" w:cs="Arial"/>
          <w:sz w:val="24"/>
          <w:szCs w:val="24"/>
          <w:lang w:val="en-US"/>
        </w:rPr>
        <w:footnoteReference w:id="1"/>
      </w:r>
      <w:r w:rsidR="00240152">
        <w:rPr>
          <w:rFonts w:ascii="Arial" w:hAnsi="Arial" w:cs="Arial"/>
          <w:sz w:val="24"/>
          <w:szCs w:val="24"/>
          <w:lang w:val="en-US"/>
        </w:rPr>
        <w:t xml:space="preserve"> </w:t>
      </w:r>
    </w:p>
    <w:p w14:paraId="3A5B852B" w14:textId="77777777" w:rsidR="00240152" w:rsidRDefault="00240152" w:rsidP="003073B7">
      <w:pPr>
        <w:pStyle w:val="ListParagraph"/>
        <w:spacing w:after="0"/>
        <w:jc w:val="both"/>
        <w:rPr>
          <w:rFonts w:ascii="Arial" w:hAnsi="Arial" w:cs="Arial"/>
          <w:sz w:val="24"/>
          <w:szCs w:val="24"/>
          <w:lang w:val="en-US"/>
        </w:rPr>
      </w:pPr>
    </w:p>
    <w:p w14:paraId="64108B3A" w14:textId="77777777" w:rsidR="00240152" w:rsidRDefault="00852680"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 Draft R</w:t>
      </w:r>
      <w:r w:rsidR="008077B4">
        <w:rPr>
          <w:rFonts w:ascii="Arial" w:hAnsi="Arial" w:cs="Arial"/>
          <w:sz w:val="24"/>
          <w:szCs w:val="24"/>
          <w:lang w:val="en-US"/>
        </w:rPr>
        <w:t xml:space="preserve">eport </w:t>
      </w:r>
      <w:r>
        <w:rPr>
          <w:rFonts w:ascii="Arial" w:hAnsi="Arial" w:cs="Arial"/>
          <w:sz w:val="24"/>
          <w:szCs w:val="24"/>
          <w:lang w:val="en-US"/>
        </w:rPr>
        <w:t xml:space="preserve">also </w:t>
      </w:r>
      <w:r w:rsidR="008077B4">
        <w:rPr>
          <w:rFonts w:ascii="Arial" w:hAnsi="Arial" w:cs="Arial"/>
          <w:sz w:val="24"/>
          <w:szCs w:val="24"/>
          <w:lang w:val="en-US"/>
        </w:rPr>
        <w:t>later states:</w:t>
      </w:r>
    </w:p>
    <w:p w14:paraId="69BA0A48" w14:textId="77777777" w:rsidR="008077B4" w:rsidRPr="008077B4" w:rsidRDefault="008077B4" w:rsidP="003073B7">
      <w:pPr>
        <w:pStyle w:val="ListParagraph"/>
        <w:jc w:val="both"/>
        <w:rPr>
          <w:rFonts w:ascii="Arial" w:hAnsi="Arial" w:cs="Arial"/>
          <w:sz w:val="24"/>
          <w:szCs w:val="24"/>
          <w:lang w:val="en-US"/>
        </w:rPr>
      </w:pPr>
    </w:p>
    <w:p w14:paraId="212960AC" w14:textId="77777777" w:rsidR="00852680" w:rsidRDefault="008077B4" w:rsidP="003073B7">
      <w:pPr>
        <w:pStyle w:val="ListParagraph"/>
        <w:spacing w:after="0"/>
        <w:ind w:left="1440"/>
        <w:jc w:val="both"/>
        <w:rPr>
          <w:rFonts w:ascii="Arial" w:hAnsi="Arial" w:cs="Arial"/>
          <w:i/>
          <w:sz w:val="24"/>
          <w:szCs w:val="24"/>
          <w:lang w:val="en-US"/>
        </w:rPr>
      </w:pPr>
      <w:r>
        <w:rPr>
          <w:rFonts w:ascii="Arial" w:hAnsi="Arial" w:cs="Arial"/>
          <w:i/>
          <w:sz w:val="24"/>
          <w:szCs w:val="24"/>
          <w:lang w:val="en-US"/>
        </w:rPr>
        <w:t>Most employers constantly look for ways to improve productivity in ways that do not require any quid pro quo in terms of increased wages and conditions (for example, if the business invests in more productive equipment or innovates). Where t</w:t>
      </w:r>
      <w:r w:rsidR="00852680">
        <w:rPr>
          <w:rFonts w:ascii="Arial" w:hAnsi="Arial" w:cs="Arial"/>
          <w:i/>
          <w:sz w:val="24"/>
          <w:szCs w:val="24"/>
          <w:lang w:val="en-US"/>
        </w:rPr>
        <w:t>here are gains from cooperation, employers, employees and their representatives already have strong incentives to commit to productivity improvements and, where possible, to specify ways in which this might be achieved through enterprise agreements without resorting to new regulation.</w:t>
      </w:r>
      <w:r w:rsidR="00EF6A93">
        <w:rPr>
          <w:rStyle w:val="FootnoteReference"/>
          <w:rFonts w:ascii="Arial" w:hAnsi="Arial" w:cs="Arial"/>
          <w:i/>
          <w:sz w:val="24"/>
          <w:szCs w:val="24"/>
          <w:lang w:val="en-US"/>
        </w:rPr>
        <w:footnoteReference w:id="2"/>
      </w:r>
    </w:p>
    <w:p w14:paraId="4B6E6B45" w14:textId="77777777" w:rsidR="00852680" w:rsidRDefault="00852680" w:rsidP="003073B7">
      <w:pPr>
        <w:spacing w:after="0"/>
        <w:jc w:val="both"/>
        <w:rPr>
          <w:rFonts w:ascii="Arial" w:hAnsi="Arial" w:cs="Arial"/>
          <w:i/>
          <w:sz w:val="24"/>
          <w:szCs w:val="24"/>
          <w:lang w:val="en-US"/>
        </w:rPr>
      </w:pPr>
    </w:p>
    <w:p w14:paraId="6616062A" w14:textId="77777777" w:rsidR="008A4873" w:rsidRPr="00650067" w:rsidRDefault="00650067"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w:t>
      </w:r>
      <w:r w:rsidR="008A4873">
        <w:rPr>
          <w:rFonts w:ascii="Arial" w:hAnsi="Arial" w:cs="Arial"/>
          <w:sz w:val="24"/>
          <w:szCs w:val="24"/>
          <w:lang w:val="en-US"/>
        </w:rPr>
        <w:t xml:space="preserve">he conservative side of </w:t>
      </w:r>
      <w:r>
        <w:rPr>
          <w:rFonts w:ascii="Arial" w:hAnsi="Arial" w:cs="Arial"/>
          <w:sz w:val="24"/>
          <w:szCs w:val="24"/>
          <w:lang w:val="en-US"/>
        </w:rPr>
        <w:t>politics in Australia needs to grasp this important point</w:t>
      </w:r>
      <w:r w:rsidR="0092681B">
        <w:rPr>
          <w:rFonts w:ascii="Arial" w:hAnsi="Arial" w:cs="Arial"/>
          <w:sz w:val="24"/>
          <w:szCs w:val="24"/>
          <w:lang w:val="en-US"/>
        </w:rPr>
        <w:t>: t</w:t>
      </w:r>
      <w:r>
        <w:rPr>
          <w:rFonts w:ascii="Arial" w:hAnsi="Arial" w:cs="Arial"/>
          <w:sz w:val="24"/>
          <w:szCs w:val="24"/>
          <w:lang w:val="en-US"/>
        </w:rPr>
        <w:t>he seemingly endless time and resources that are poured into proposed legislative amendments would be better spent focusing on ways to improve productivity at the enterprise level.</w:t>
      </w:r>
    </w:p>
    <w:p w14:paraId="75F759C3" w14:textId="77777777" w:rsidR="008A4873" w:rsidRDefault="008A4873" w:rsidP="003073B7">
      <w:pPr>
        <w:pStyle w:val="ListParagraph"/>
        <w:spacing w:after="0"/>
        <w:jc w:val="both"/>
        <w:rPr>
          <w:rFonts w:ascii="Arial" w:hAnsi="Arial" w:cs="Arial"/>
          <w:sz w:val="24"/>
          <w:szCs w:val="24"/>
          <w:lang w:val="en-US"/>
        </w:rPr>
      </w:pPr>
    </w:p>
    <w:p w14:paraId="2D3B8C3F" w14:textId="77777777" w:rsidR="008077B4" w:rsidRDefault="00650067"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w:t>
      </w:r>
      <w:r w:rsidR="00852680">
        <w:rPr>
          <w:rFonts w:ascii="Arial" w:hAnsi="Arial" w:cs="Arial"/>
          <w:sz w:val="24"/>
          <w:szCs w:val="24"/>
          <w:lang w:val="en-US"/>
        </w:rPr>
        <w:t>h</w:t>
      </w:r>
      <w:r w:rsidR="000B65AA">
        <w:rPr>
          <w:rFonts w:ascii="Arial" w:hAnsi="Arial" w:cs="Arial"/>
          <w:sz w:val="24"/>
          <w:szCs w:val="24"/>
          <w:lang w:val="en-US"/>
        </w:rPr>
        <w:t xml:space="preserve">e Draft Report expands upon this point by identifying the need </w:t>
      </w:r>
      <w:r w:rsidR="00B3177E">
        <w:rPr>
          <w:rFonts w:ascii="Arial" w:hAnsi="Arial" w:cs="Arial"/>
          <w:sz w:val="24"/>
          <w:szCs w:val="24"/>
          <w:lang w:val="en-US"/>
        </w:rPr>
        <w:t>to improve relationship management at the enterprise level:</w:t>
      </w:r>
    </w:p>
    <w:p w14:paraId="608010D8" w14:textId="77777777" w:rsidR="00852680" w:rsidRDefault="00852680" w:rsidP="003073B7">
      <w:pPr>
        <w:pStyle w:val="ListParagraph"/>
        <w:spacing w:after="0"/>
        <w:jc w:val="both"/>
        <w:rPr>
          <w:rFonts w:ascii="Arial" w:hAnsi="Arial" w:cs="Arial"/>
          <w:sz w:val="24"/>
          <w:szCs w:val="24"/>
          <w:lang w:val="en-US"/>
        </w:rPr>
      </w:pPr>
    </w:p>
    <w:p w14:paraId="2C132502" w14:textId="77777777" w:rsidR="00852680" w:rsidRPr="00852680" w:rsidRDefault="00852680" w:rsidP="003073B7">
      <w:pPr>
        <w:pStyle w:val="ListParagraph"/>
        <w:spacing w:after="0"/>
        <w:ind w:left="1440"/>
        <w:jc w:val="both"/>
        <w:rPr>
          <w:rFonts w:ascii="Arial" w:hAnsi="Arial" w:cs="Arial"/>
          <w:i/>
          <w:sz w:val="24"/>
          <w:szCs w:val="24"/>
          <w:lang w:val="en-US"/>
        </w:rPr>
      </w:pPr>
      <w:r>
        <w:rPr>
          <w:rFonts w:ascii="Arial" w:hAnsi="Arial" w:cs="Arial"/>
          <w:i/>
          <w:sz w:val="24"/>
          <w:szCs w:val="24"/>
          <w:lang w:val="en-US"/>
        </w:rPr>
        <w:t xml:space="preserve">In fact, a missing story is that the toxic relationships that can surface between employers and employees are sometimes the result of poor relationship management – a key skill for both employers and employee representatives – not a fault of the </w:t>
      </w:r>
      <w:proofErr w:type="spellStart"/>
      <w:r>
        <w:rPr>
          <w:rFonts w:ascii="Arial" w:hAnsi="Arial" w:cs="Arial"/>
          <w:i/>
          <w:sz w:val="24"/>
          <w:szCs w:val="24"/>
          <w:lang w:val="en-US"/>
        </w:rPr>
        <w:t>WR</w:t>
      </w:r>
      <w:proofErr w:type="spellEnd"/>
      <w:r>
        <w:rPr>
          <w:rFonts w:ascii="Arial" w:hAnsi="Arial" w:cs="Arial"/>
          <w:i/>
          <w:sz w:val="24"/>
          <w:szCs w:val="24"/>
          <w:lang w:val="en-US"/>
        </w:rPr>
        <w:t xml:space="preserve"> system.</w:t>
      </w:r>
      <w:r w:rsidR="00F44539">
        <w:rPr>
          <w:rStyle w:val="FootnoteReference"/>
          <w:rFonts w:ascii="Arial" w:hAnsi="Arial" w:cs="Arial"/>
          <w:i/>
          <w:sz w:val="24"/>
          <w:szCs w:val="24"/>
          <w:lang w:val="en-US"/>
        </w:rPr>
        <w:footnoteReference w:id="3"/>
      </w:r>
      <w:r>
        <w:rPr>
          <w:rFonts w:ascii="Arial" w:hAnsi="Arial" w:cs="Arial"/>
          <w:i/>
          <w:sz w:val="24"/>
          <w:szCs w:val="24"/>
          <w:lang w:val="en-US"/>
        </w:rPr>
        <w:t xml:space="preserve">  </w:t>
      </w:r>
    </w:p>
    <w:p w14:paraId="757F7ED6" w14:textId="77777777" w:rsidR="00852680" w:rsidRPr="008A4873" w:rsidRDefault="00852680" w:rsidP="003073B7">
      <w:pPr>
        <w:spacing w:after="0"/>
        <w:jc w:val="both"/>
        <w:rPr>
          <w:rFonts w:ascii="Arial" w:hAnsi="Arial" w:cs="Arial"/>
          <w:sz w:val="24"/>
          <w:szCs w:val="24"/>
          <w:lang w:val="en-US"/>
        </w:rPr>
      </w:pPr>
    </w:p>
    <w:p w14:paraId="3731D207" w14:textId="77777777" w:rsidR="00EF6A93" w:rsidRDefault="0092681B"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amendments proposed in other parts of the Draft Report need to be considered in the context </w:t>
      </w:r>
      <w:r w:rsidR="000910A1">
        <w:rPr>
          <w:rFonts w:ascii="Arial" w:hAnsi="Arial" w:cs="Arial"/>
          <w:sz w:val="24"/>
          <w:szCs w:val="24"/>
          <w:lang w:val="en-US"/>
        </w:rPr>
        <w:t>of the</w:t>
      </w:r>
      <w:r>
        <w:rPr>
          <w:rFonts w:ascii="Arial" w:hAnsi="Arial" w:cs="Arial"/>
          <w:sz w:val="24"/>
          <w:szCs w:val="24"/>
          <w:lang w:val="en-US"/>
        </w:rPr>
        <w:t xml:space="preserve"> fundamental point that the current system is generally satisfactory and industrial parties would be better placed focusing on</w:t>
      </w:r>
      <w:r w:rsidR="00526E32">
        <w:rPr>
          <w:rFonts w:ascii="Arial" w:hAnsi="Arial" w:cs="Arial"/>
          <w:sz w:val="24"/>
          <w:szCs w:val="24"/>
          <w:lang w:val="en-US"/>
        </w:rPr>
        <w:t xml:space="preserve"> </w:t>
      </w:r>
      <w:r>
        <w:rPr>
          <w:rFonts w:ascii="Arial" w:hAnsi="Arial" w:cs="Arial"/>
          <w:sz w:val="24"/>
          <w:szCs w:val="24"/>
          <w:lang w:val="en-US"/>
        </w:rPr>
        <w:t>improving industrial relations in Australia</w:t>
      </w:r>
      <w:r w:rsidR="00526E32">
        <w:rPr>
          <w:rFonts w:ascii="Arial" w:hAnsi="Arial" w:cs="Arial"/>
          <w:sz w:val="24"/>
          <w:szCs w:val="24"/>
          <w:lang w:val="en-US"/>
        </w:rPr>
        <w:t xml:space="preserve"> at the enterprise level</w:t>
      </w:r>
      <w:r>
        <w:rPr>
          <w:rFonts w:ascii="Arial" w:hAnsi="Arial" w:cs="Arial"/>
          <w:sz w:val="24"/>
          <w:szCs w:val="24"/>
          <w:lang w:val="en-US"/>
        </w:rPr>
        <w:t xml:space="preserve">.   </w:t>
      </w:r>
    </w:p>
    <w:p w14:paraId="0D531ACE" w14:textId="77777777" w:rsidR="00EF6A93" w:rsidRPr="0092681B" w:rsidRDefault="00EF6A93" w:rsidP="003073B7">
      <w:pPr>
        <w:spacing w:after="0"/>
        <w:jc w:val="both"/>
        <w:rPr>
          <w:rFonts w:ascii="Arial" w:hAnsi="Arial" w:cs="Arial"/>
          <w:sz w:val="24"/>
          <w:szCs w:val="24"/>
          <w:lang w:val="en-US"/>
        </w:rPr>
      </w:pPr>
    </w:p>
    <w:p w14:paraId="48381685" w14:textId="77777777" w:rsidR="00D07890" w:rsidRDefault="00D07890" w:rsidP="003073B7">
      <w:pPr>
        <w:pStyle w:val="ListParagraph"/>
        <w:numPr>
          <w:ilvl w:val="0"/>
          <w:numId w:val="1"/>
        </w:numPr>
        <w:spacing w:after="0"/>
        <w:ind w:hanging="720"/>
        <w:jc w:val="both"/>
        <w:rPr>
          <w:rFonts w:ascii="Arial" w:hAnsi="Arial" w:cs="Arial"/>
          <w:b/>
          <w:sz w:val="28"/>
          <w:szCs w:val="28"/>
          <w:u w:val="single"/>
          <w:lang w:val="en-US"/>
        </w:rPr>
      </w:pPr>
      <w:r w:rsidRPr="00E7039A">
        <w:rPr>
          <w:rFonts w:ascii="Arial" w:hAnsi="Arial" w:cs="Arial"/>
          <w:b/>
          <w:sz w:val="28"/>
          <w:szCs w:val="28"/>
          <w:u w:val="single"/>
          <w:lang w:val="en-US"/>
        </w:rPr>
        <w:lastRenderedPageBreak/>
        <w:t>Institutional reform</w:t>
      </w:r>
    </w:p>
    <w:p w14:paraId="2AC4C34F" w14:textId="77777777" w:rsidR="00E7039A" w:rsidRDefault="00E7039A" w:rsidP="003073B7">
      <w:pPr>
        <w:spacing w:after="0"/>
        <w:jc w:val="both"/>
        <w:rPr>
          <w:rFonts w:ascii="Arial" w:hAnsi="Arial" w:cs="Arial"/>
          <w:b/>
          <w:sz w:val="28"/>
          <w:szCs w:val="28"/>
          <w:u w:val="single"/>
          <w:lang w:val="en-US"/>
        </w:rPr>
      </w:pPr>
    </w:p>
    <w:p w14:paraId="5985831E" w14:textId="77777777" w:rsidR="006A7F54" w:rsidRPr="006A7F54" w:rsidRDefault="006A7F54" w:rsidP="003073B7">
      <w:pPr>
        <w:spacing w:after="0"/>
        <w:jc w:val="both"/>
        <w:rPr>
          <w:rFonts w:ascii="Arial" w:hAnsi="Arial" w:cs="Arial"/>
          <w:b/>
          <w:sz w:val="24"/>
          <w:szCs w:val="24"/>
          <w:lang w:val="en-US"/>
        </w:rPr>
      </w:pPr>
      <w:r>
        <w:rPr>
          <w:rFonts w:ascii="Arial" w:hAnsi="Arial" w:cs="Arial"/>
          <w:b/>
          <w:sz w:val="24"/>
          <w:szCs w:val="24"/>
          <w:lang w:val="en-US"/>
        </w:rPr>
        <w:t>Performance of the Fair Work Commission</w:t>
      </w:r>
    </w:p>
    <w:p w14:paraId="7203F26F" w14:textId="77777777" w:rsidR="006A7F54" w:rsidRDefault="006A7F54" w:rsidP="003073B7">
      <w:pPr>
        <w:spacing w:after="0"/>
        <w:jc w:val="both"/>
        <w:rPr>
          <w:rFonts w:ascii="Arial" w:hAnsi="Arial" w:cs="Arial"/>
          <w:b/>
          <w:sz w:val="28"/>
          <w:szCs w:val="28"/>
          <w:u w:val="single"/>
          <w:lang w:val="en-US"/>
        </w:rPr>
      </w:pPr>
    </w:p>
    <w:p w14:paraId="1C7872AE" w14:textId="77777777" w:rsidR="00E7039A" w:rsidRDefault="00E7039A"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Draft Report does not appear to appropriately </w:t>
      </w:r>
      <w:proofErr w:type="spellStart"/>
      <w:r>
        <w:rPr>
          <w:rFonts w:ascii="Arial" w:hAnsi="Arial" w:cs="Arial"/>
          <w:sz w:val="24"/>
          <w:szCs w:val="24"/>
          <w:lang w:val="en-US"/>
        </w:rPr>
        <w:t>recognise</w:t>
      </w:r>
      <w:proofErr w:type="spellEnd"/>
      <w:r>
        <w:rPr>
          <w:rFonts w:ascii="Arial" w:hAnsi="Arial" w:cs="Arial"/>
          <w:sz w:val="24"/>
          <w:szCs w:val="24"/>
          <w:lang w:val="en-US"/>
        </w:rPr>
        <w:t xml:space="preserve"> the </w:t>
      </w:r>
      <w:r w:rsidR="007B384E">
        <w:rPr>
          <w:rFonts w:ascii="Arial" w:hAnsi="Arial" w:cs="Arial"/>
          <w:sz w:val="24"/>
          <w:szCs w:val="24"/>
          <w:lang w:val="en-US"/>
        </w:rPr>
        <w:t xml:space="preserve">role of the Fair Work Commission and its recent predecessors in dramatically simplifying the award system in Australia. </w:t>
      </w:r>
    </w:p>
    <w:p w14:paraId="53D4357B" w14:textId="77777777" w:rsidR="007B384E" w:rsidRDefault="007B384E" w:rsidP="003073B7">
      <w:pPr>
        <w:pStyle w:val="ListParagraph"/>
        <w:spacing w:after="0"/>
        <w:jc w:val="both"/>
        <w:rPr>
          <w:rFonts w:ascii="Arial" w:hAnsi="Arial" w:cs="Arial"/>
          <w:sz w:val="24"/>
          <w:szCs w:val="24"/>
          <w:lang w:val="en-US"/>
        </w:rPr>
      </w:pPr>
    </w:p>
    <w:p w14:paraId="0F149956" w14:textId="77777777" w:rsidR="007B384E" w:rsidRDefault="007B38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Draft Report states in relation to the </w:t>
      </w:r>
      <w:r w:rsidR="00DE3AF0">
        <w:rPr>
          <w:rFonts w:ascii="Arial" w:hAnsi="Arial" w:cs="Arial"/>
          <w:sz w:val="24"/>
          <w:szCs w:val="24"/>
          <w:lang w:val="en-US"/>
        </w:rPr>
        <w:t xml:space="preserve">Fair Work </w:t>
      </w:r>
      <w:r>
        <w:rPr>
          <w:rFonts w:ascii="Arial" w:hAnsi="Arial" w:cs="Arial"/>
          <w:sz w:val="24"/>
          <w:szCs w:val="24"/>
          <w:lang w:val="en-US"/>
        </w:rPr>
        <w:t>Commission: “Its approach to the current Modern Award Review acknowledges some of the glaring problems that still beset awards (but do not go far enough)”.</w:t>
      </w:r>
      <w:r>
        <w:rPr>
          <w:rStyle w:val="FootnoteReference"/>
          <w:rFonts w:ascii="Arial" w:hAnsi="Arial" w:cs="Arial"/>
          <w:sz w:val="24"/>
          <w:szCs w:val="24"/>
          <w:lang w:val="en-US"/>
        </w:rPr>
        <w:footnoteReference w:id="4"/>
      </w:r>
    </w:p>
    <w:p w14:paraId="244B3011" w14:textId="77777777" w:rsidR="007B384E" w:rsidRPr="007B384E" w:rsidRDefault="007B384E" w:rsidP="003073B7">
      <w:pPr>
        <w:pStyle w:val="ListParagraph"/>
        <w:jc w:val="both"/>
        <w:rPr>
          <w:rFonts w:ascii="Arial" w:hAnsi="Arial" w:cs="Arial"/>
          <w:sz w:val="24"/>
          <w:szCs w:val="24"/>
          <w:lang w:val="en-US"/>
        </w:rPr>
      </w:pPr>
    </w:p>
    <w:p w14:paraId="737FBC03" w14:textId="27D6E947" w:rsidR="007B384E" w:rsidRDefault="007B38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However, the current situation must be viewed in context of the award </w:t>
      </w:r>
      <w:r w:rsidR="004E3E79">
        <w:rPr>
          <w:rFonts w:ascii="Arial" w:hAnsi="Arial" w:cs="Arial"/>
          <w:sz w:val="24"/>
          <w:szCs w:val="24"/>
          <w:lang w:val="en-US"/>
        </w:rPr>
        <w:t>system, which</w:t>
      </w:r>
      <w:r>
        <w:rPr>
          <w:rFonts w:ascii="Arial" w:hAnsi="Arial" w:cs="Arial"/>
          <w:sz w:val="24"/>
          <w:szCs w:val="24"/>
          <w:lang w:val="en-US"/>
        </w:rPr>
        <w:t xml:space="preserve"> operated in Australia before 2010. As the Draft Report notes: “Through the award </w:t>
      </w:r>
      <w:proofErr w:type="spellStart"/>
      <w:r>
        <w:rPr>
          <w:rFonts w:ascii="Arial" w:hAnsi="Arial" w:cs="Arial"/>
          <w:sz w:val="24"/>
          <w:szCs w:val="24"/>
          <w:lang w:val="en-US"/>
        </w:rPr>
        <w:t>modernisation</w:t>
      </w:r>
      <w:proofErr w:type="spellEnd"/>
      <w:r>
        <w:rPr>
          <w:rFonts w:ascii="Arial" w:hAnsi="Arial" w:cs="Arial"/>
          <w:sz w:val="24"/>
          <w:szCs w:val="24"/>
          <w:lang w:val="en-US"/>
        </w:rPr>
        <w:t xml:space="preserve"> process, thousands of awards were collapsed to just 122, so the system is simpler than earlier”.</w:t>
      </w:r>
      <w:r>
        <w:rPr>
          <w:rStyle w:val="FootnoteReference"/>
          <w:rFonts w:ascii="Arial" w:hAnsi="Arial" w:cs="Arial"/>
          <w:sz w:val="24"/>
          <w:szCs w:val="24"/>
          <w:lang w:val="en-US"/>
        </w:rPr>
        <w:footnoteReference w:id="5"/>
      </w:r>
    </w:p>
    <w:p w14:paraId="065CB601" w14:textId="77777777" w:rsidR="007B384E" w:rsidRPr="007B384E" w:rsidRDefault="007B384E" w:rsidP="003073B7">
      <w:pPr>
        <w:pStyle w:val="ListParagraph"/>
        <w:jc w:val="both"/>
        <w:rPr>
          <w:rFonts w:ascii="Arial" w:hAnsi="Arial" w:cs="Arial"/>
          <w:sz w:val="24"/>
          <w:szCs w:val="24"/>
          <w:lang w:val="en-US"/>
        </w:rPr>
      </w:pPr>
    </w:p>
    <w:p w14:paraId="2DBF0208" w14:textId="334731D6" w:rsidR="007B384E" w:rsidRPr="00DE3AF0" w:rsidRDefault="007B38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Although the content of the current awards is certainly not perfect, it is unrealistic to expect anything differ</w:t>
      </w:r>
      <w:r w:rsidR="00DE3AF0">
        <w:rPr>
          <w:rFonts w:ascii="Arial" w:hAnsi="Arial" w:cs="Arial"/>
          <w:sz w:val="24"/>
          <w:szCs w:val="24"/>
          <w:lang w:val="en-US"/>
        </w:rPr>
        <w:t xml:space="preserve">ent when the </w:t>
      </w:r>
      <w:r w:rsidR="004E3E79">
        <w:rPr>
          <w:rFonts w:ascii="Arial" w:hAnsi="Arial" w:cs="Arial"/>
          <w:sz w:val="24"/>
          <w:szCs w:val="24"/>
          <w:lang w:val="en-US"/>
        </w:rPr>
        <w:t>process, which led to their creation,</w:t>
      </w:r>
      <w:r w:rsidR="00DE3AF0">
        <w:rPr>
          <w:rFonts w:ascii="Arial" w:hAnsi="Arial" w:cs="Arial"/>
          <w:sz w:val="24"/>
          <w:szCs w:val="24"/>
          <w:lang w:val="en-US"/>
        </w:rPr>
        <w:t xml:space="preserve"> is properly taken into account</w:t>
      </w:r>
      <w:r>
        <w:rPr>
          <w:rFonts w:ascii="Arial" w:hAnsi="Arial" w:cs="Arial"/>
          <w:sz w:val="24"/>
          <w:szCs w:val="24"/>
          <w:lang w:val="en-US"/>
        </w:rPr>
        <w:t>.</w:t>
      </w:r>
      <w:r w:rsidRPr="00DE3AF0">
        <w:rPr>
          <w:rFonts w:ascii="Arial" w:hAnsi="Arial" w:cs="Arial"/>
          <w:sz w:val="24"/>
          <w:szCs w:val="24"/>
          <w:lang w:val="en-US"/>
        </w:rPr>
        <w:t xml:space="preserve"> </w:t>
      </w:r>
    </w:p>
    <w:p w14:paraId="13BDB331" w14:textId="77777777" w:rsidR="007B384E" w:rsidRPr="007B384E" w:rsidRDefault="007B384E" w:rsidP="003073B7">
      <w:pPr>
        <w:pStyle w:val="ListParagraph"/>
        <w:jc w:val="both"/>
        <w:rPr>
          <w:rFonts w:ascii="Arial" w:hAnsi="Arial" w:cs="Arial"/>
          <w:sz w:val="24"/>
          <w:szCs w:val="24"/>
          <w:lang w:val="en-US"/>
        </w:rPr>
      </w:pPr>
    </w:p>
    <w:p w14:paraId="6F9020CF" w14:textId="77777777" w:rsidR="009B4A53" w:rsidRPr="009B4A53" w:rsidRDefault="00DE3AF0"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w:t>
      </w:r>
      <w:r w:rsidR="007B384E">
        <w:rPr>
          <w:rFonts w:ascii="Arial" w:hAnsi="Arial" w:cs="Arial"/>
          <w:sz w:val="24"/>
          <w:szCs w:val="24"/>
          <w:lang w:val="en-US"/>
        </w:rPr>
        <w:t>he Draft Re</w:t>
      </w:r>
      <w:r>
        <w:rPr>
          <w:rFonts w:ascii="Arial" w:hAnsi="Arial" w:cs="Arial"/>
          <w:sz w:val="24"/>
          <w:szCs w:val="24"/>
          <w:lang w:val="en-US"/>
        </w:rPr>
        <w:t>port acknowledges that t</w:t>
      </w:r>
      <w:r w:rsidR="007B384E">
        <w:rPr>
          <w:rFonts w:ascii="Arial" w:hAnsi="Arial" w:cs="Arial"/>
          <w:sz w:val="24"/>
          <w:szCs w:val="24"/>
          <w:lang w:val="en-US"/>
        </w:rPr>
        <w:t>he process of further simplifying awards is “already partly underway”</w:t>
      </w:r>
      <w:r w:rsidR="007B384E">
        <w:rPr>
          <w:rStyle w:val="FootnoteReference"/>
          <w:rFonts w:ascii="Arial" w:hAnsi="Arial" w:cs="Arial"/>
          <w:sz w:val="24"/>
          <w:szCs w:val="24"/>
          <w:lang w:val="en-US"/>
        </w:rPr>
        <w:footnoteReference w:id="6"/>
      </w:r>
      <w:r w:rsidR="007B384E">
        <w:rPr>
          <w:rFonts w:ascii="Arial" w:hAnsi="Arial" w:cs="Arial"/>
          <w:sz w:val="24"/>
          <w:szCs w:val="24"/>
          <w:lang w:val="en-US"/>
        </w:rPr>
        <w:t>.</w:t>
      </w:r>
    </w:p>
    <w:p w14:paraId="0747A661" w14:textId="77777777" w:rsidR="00DE3AF0" w:rsidRPr="00DE3AF0" w:rsidRDefault="00DE3AF0" w:rsidP="003073B7">
      <w:pPr>
        <w:pStyle w:val="ListParagraph"/>
        <w:jc w:val="both"/>
        <w:rPr>
          <w:rFonts w:ascii="Arial" w:hAnsi="Arial" w:cs="Arial"/>
          <w:sz w:val="24"/>
          <w:szCs w:val="24"/>
          <w:lang w:val="en-US"/>
        </w:rPr>
      </w:pPr>
    </w:p>
    <w:p w14:paraId="62C69068" w14:textId="77777777" w:rsidR="009B4A53" w:rsidRDefault="00DE3AF0"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This is correct and the Fair Work Commission is certainly devoting consider</w:t>
      </w:r>
      <w:r w:rsidR="0092681B">
        <w:rPr>
          <w:rFonts w:ascii="Arial" w:hAnsi="Arial" w:cs="Arial"/>
          <w:sz w:val="24"/>
          <w:szCs w:val="24"/>
          <w:lang w:val="en-US"/>
        </w:rPr>
        <w:t>able resources (as are major</w:t>
      </w:r>
      <w:r>
        <w:rPr>
          <w:rFonts w:ascii="Arial" w:hAnsi="Arial" w:cs="Arial"/>
          <w:sz w:val="24"/>
          <w:szCs w:val="24"/>
          <w:lang w:val="en-US"/>
        </w:rPr>
        <w:t xml:space="preserve"> industrial parties) towards trying to make awards easier to understand.</w:t>
      </w:r>
    </w:p>
    <w:p w14:paraId="769ED652" w14:textId="77777777" w:rsidR="009B4A53" w:rsidRPr="009B4A53" w:rsidRDefault="009B4A53" w:rsidP="003073B7">
      <w:pPr>
        <w:pStyle w:val="ListParagraph"/>
        <w:jc w:val="both"/>
        <w:rPr>
          <w:rFonts w:ascii="Arial" w:hAnsi="Arial" w:cs="Arial"/>
          <w:sz w:val="24"/>
          <w:szCs w:val="24"/>
          <w:lang w:val="en-US"/>
        </w:rPr>
      </w:pPr>
    </w:p>
    <w:p w14:paraId="4691013F" w14:textId="77777777" w:rsidR="009B4A53" w:rsidRDefault="009B4A5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During the 4 yearly review process the Fair Work Commission has undertaken to redraft all existing modern awards to try and achieve gr</w:t>
      </w:r>
      <w:r w:rsidR="0062206B">
        <w:rPr>
          <w:rFonts w:ascii="Arial" w:hAnsi="Arial" w:cs="Arial"/>
          <w:sz w:val="24"/>
          <w:szCs w:val="24"/>
          <w:lang w:val="en-US"/>
        </w:rPr>
        <w:t xml:space="preserve">eater levels of </w:t>
      </w:r>
      <w:r>
        <w:rPr>
          <w:rFonts w:ascii="Arial" w:hAnsi="Arial" w:cs="Arial"/>
          <w:sz w:val="24"/>
          <w:szCs w:val="24"/>
          <w:lang w:val="en-US"/>
        </w:rPr>
        <w:t>simplicity</w:t>
      </w:r>
      <w:r w:rsidR="0062206B">
        <w:rPr>
          <w:rFonts w:ascii="Arial" w:hAnsi="Arial" w:cs="Arial"/>
          <w:sz w:val="24"/>
          <w:szCs w:val="24"/>
          <w:lang w:val="en-US"/>
        </w:rPr>
        <w:t xml:space="preserve"> and consistency in some areas</w:t>
      </w:r>
      <w:r>
        <w:rPr>
          <w:rFonts w:ascii="Arial" w:hAnsi="Arial" w:cs="Arial"/>
          <w:sz w:val="24"/>
          <w:szCs w:val="24"/>
          <w:lang w:val="en-US"/>
        </w:rPr>
        <w:t xml:space="preserve">. </w:t>
      </w:r>
    </w:p>
    <w:p w14:paraId="43E9B8A9" w14:textId="77777777" w:rsidR="009B4A53" w:rsidRPr="009B4A53" w:rsidRDefault="009B4A53" w:rsidP="003073B7">
      <w:pPr>
        <w:pStyle w:val="ListParagraph"/>
        <w:jc w:val="both"/>
        <w:rPr>
          <w:rFonts w:ascii="Arial" w:hAnsi="Arial" w:cs="Arial"/>
          <w:sz w:val="24"/>
          <w:szCs w:val="24"/>
          <w:lang w:val="en-US"/>
        </w:rPr>
      </w:pPr>
    </w:p>
    <w:p w14:paraId="785DFF03" w14:textId="77777777" w:rsidR="009B4A53" w:rsidRDefault="0062206B"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Therefore, i</w:t>
      </w:r>
      <w:r w:rsidR="009B4A53">
        <w:rPr>
          <w:rFonts w:ascii="Arial" w:hAnsi="Arial" w:cs="Arial"/>
          <w:sz w:val="24"/>
          <w:szCs w:val="24"/>
          <w:lang w:val="en-US"/>
        </w:rPr>
        <w:t>t appears reasonable to assume that when the current 4 yearly review of modern awards process eventually concludes, Australia will be left with only around 120 modern awards which have been carefully drafted with more attention to detail than has ever been the case before.</w:t>
      </w:r>
    </w:p>
    <w:p w14:paraId="490D0B34" w14:textId="77777777" w:rsidR="009B4A53" w:rsidRPr="009B4A53" w:rsidRDefault="009B4A53" w:rsidP="003073B7">
      <w:pPr>
        <w:pStyle w:val="ListParagraph"/>
        <w:jc w:val="both"/>
        <w:rPr>
          <w:rFonts w:ascii="Arial" w:hAnsi="Arial" w:cs="Arial"/>
          <w:sz w:val="24"/>
          <w:szCs w:val="24"/>
          <w:lang w:val="en-US"/>
        </w:rPr>
      </w:pPr>
    </w:p>
    <w:p w14:paraId="1473A023" w14:textId="77777777" w:rsidR="009B4A53" w:rsidRDefault="009B4A5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say this because many historical awards (and even the current modern awards)</w:t>
      </w:r>
      <w:r w:rsidR="003073B7">
        <w:rPr>
          <w:rFonts w:ascii="Arial" w:hAnsi="Arial" w:cs="Arial"/>
          <w:sz w:val="24"/>
          <w:szCs w:val="24"/>
          <w:lang w:val="en-US"/>
        </w:rPr>
        <w:t>,</w:t>
      </w:r>
      <w:r>
        <w:rPr>
          <w:rFonts w:ascii="Arial" w:hAnsi="Arial" w:cs="Arial"/>
          <w:sz w:val="24"/>
          <w:szCs w:val="24"/>
          <w:lang w:val="en-US"/>
        </w:rPr>
        <w:t xml:space="preserve"> have been drafted by industrial parties with the re</w:t>
      </w:r>
      <w:r w:rsidR="0062206B">
        <w:rPr>
          <w:rFonts w:ascii="Arial" w:hAnsi="Arial" w:cs="Arial"/>
          <w:sz w:val="24"/>
          <w:szCs w:val="24"/>
          <w:lang w:val="en-US"/>
        </w:rPr>
        <w:t xml:space="preserve">levant industrial tribunal </w:t>
      </w:r>
      <w:r>
        <w:rPr>
          <w:rFonts w:ascii="Arial" w:hAnsi="Arial" w:cs="Arial"/>
          <w:sz w:val="24"/>
          <w:szCs w:val="24"/>
          <w:lang w:val="en-US"/>
        </w:rPr>
        <w:t>merely approving the consent terms.</w:t>
      </w:r>
    </w:p>
    <w:p w14:paraId="32D314D0" w14:textId="77777777" w:rsidR="009B4A53" w:rsidRPr="009B4A53" w:rsidRDefault="009B4A53" w:rsidP="003073B7">
      <w:pPr>
        <w:pStyle w:val="ListParagraph"/>
        <w:jc w:val="both"/>
        <w:rPr>
          <w:rFonts w:ascii="Arial" w:hAnsi="Arial" w:cs="Arial"/>
          <w:sz w:val="24"/>
          <w:szCs w:val="24"/>
          <w:lang w:val="en-US"/>
        </w:rPr>
      </w:pPr>
    </w:p>
    <w:p w14:paraId="66D24EF2" w14:textId="77777777" w:rsidR="007B384E" w:rsidRDefault="009B4A5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Further, the transitional arrangements </w:t>
      </w:r>
      <w:r w:rsidR="003073B7">
        <w:rPr>
          <w:rFonts w:ascii="Arial" w:hAnsi="Arial" w:cs="Arial"/>
          <w:sz w:val="24"/>
          <w:szCs w:val="24"/>
          <w:lang w:val="en-US"/>
        </w:rPr>
        <w:t>that have</w:t>
      </w:r>
      <w:r>
        <w:rPr>
          <w:rFonts w:ascii="Arial" w:hAnsi="Arial" w:cs="Arial"/>
          <w:sz w:val="24"/>
          <w:szCs w:val="24"/>
          <w:lang w:val="en-US"/>
        </w:rPr>
        <w:t xml:space="preserve"> a</w:t>
      </w:r>
      <w:r w:rsidR="0062206B">
        <w:rPr>
          <w:rFonts w:ascii="Arial" w:hAnsi="Arial" w:cs="Arial"/>
          <w:sz w:val="24"/>
          <w:szCs w:val="24"/>
          <w:lang w:val="en-US"/>
        </w:rPr>
        <w:t>llow</w:t>
      </w:r>
      <w:r w:rsidR="003073B7">
        <w:rPr>
          <w:rFonts w:ascii="Arial" w:hAnsi="Arial" w:cs="Arial"/>
          <w:sz w:val="24"/>
          <w:szCs w:val="24"/>
          <w:lang w:val="en-US"/>
        </w:rPr>
        <w:t>ed for a relatively economic</w:t>
      </w:r>
      <w:r w:rsidR="0062206B">
        <w:rPr>
          <w:rFonts w:ascii="Arial" w:hAnsi="Arial" w:cs="Arial"/>
          <w:sz w:val="24"/>
          <w:szCs w:val="24"/>
          <w:lang w:val="en-US"/>
        </w:rPr>
        <w:t xml:space="preserve"> neutral</w:t>
      </w:r>
      <w:r>
        <w:rPr>
          <w:rFonts w:ascii="Arial" w:hAnsi="Arial" w:cs="Arial"/>
          <w:sz w:val="24"/>
          <w:szCs w:val="24"/>
          <w:lang w:val="en-US"/>
        </w:rPr>
        <w:t xml:space="preserve"> transition into the modern award system have now largely disappeared. This in itself makes the system far less cumbersome than has been the case since 2010.  </w:t>
      </w:r>
      <w:r w:rsidR="00DE3AF0">
        <w:rPr>
          <w:rFonts w:ascii="Arial" w:hAnsi="Arial" w:cs="Arial"/>
          <w:sz w:val="24"/>
          <w:szCs w:val="24"/>
          <w:lang w:val="en-US"/>
        </w:rPr>
        <w:t xml:space="preserve"> </w:t>
      </w:r>
    </w:p>
    <w:p w14:paraId="2D2B7C85" w14:textId="77777777" w:rsidR="00DE3AF0" w:rsidRPr="00DE3AF0" w:rsidRDefault="00DE3AF0" w:rsidP="003073B7">
      <w:pPr>
        <w:pStyle w:val="ListParagraph"/>
        <w:jc w:val="both"/>
        <w:rPr>
          <w:rFonts w:ascii="Arial" w:hAnsi="Arial" w:cs="Arial"/>
          <w:sz w:val="24"/>
          <w:szCs w:val="24"/>
          <w:lang w:val="en-US"/>
        </w:rPr>
      </w:pPr>
    </w:p>
    <w:p w14:paraId="7854D5A7" w14:textId="77777777" w:rsidR="00DE3AF0" w:rsidRDefault="009B4A5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These are </w:t>
      </w:r>
      <w:r w:rsidR="0062206B">
        <w:rPr>
          <w:rFonts w:ascii="Arial" w:hAnsi="Arial" w:cs="Arial"/>
          <w:sz w:val="24"/>
          <w:szCs w:val="24"/>
          <w:lang w:val="en-US"/>
        </w:rPr>
        <w:t xml:space="preserve">all </w:t>
      </w:r>
      <w:r>
        <w:rPr>
          <w:rFonts w:ascii="Arial" w:hAnsi="Arial" w:cs="Arial"/>
          <w:sz w:val="24"/>
          <w:szCs w:val="24"/>
          <w:lang w:val="en-US"/>
        </w:rPr>
        <w:t xml:space="preserve">extremely positive developments for industrial relations in Australia that should be properly </w:t>
      </w:r>
      <w:proofErr w:type="spellStart"/>
      <w:r>
        <w:rPr>
          <w:rFonts w:ascii="Arial" w:hAnsi="Arial" w:cs="Arial"/>
          <w:sz w:val="24"/>
          <w:szCs w:val="24"/>
          <w:lang w:val="en-US"/>
        </w:rPr>
        <w:t>recognised</w:t>
      </w:r>
      <w:proofErr w:type="spellEnd"/>
      <w:r>
        <w:rPr>
          <w:rFonts w:ascii="Arial" w:hAnsi="Arial" w:cs="Arial"/>
          <w:sz w:val="24"/>
          <w:szCs w:val="24"/>
          <w:lang w:val="en-US"/>
        </w:rPr>
        <w:t xml:space="preserve"> by the Productivity Commission. </w:t>
      </w:r>
    </w:p>
    <w:p w14:paraId="6995519D" w14:textId="77777777" w:rsidR="009B4A53" w:rsidRPr="009B4A53" w:rsidRDefault="009B4A53" w:rsidP="003073B7">
      <w:pPr>
        <w:pStyle w:val="ListParagraph"/>
        <w:jc w:val="both"/>
        <w:rPr>
          <w:rFonts w:ascii="Arial" w:hAnsi="Arial" w:cs="Arial"/>
          <w:sz w:val="24"/>
          <w:szCs w:val="24"/>
          <w:lang w:val="en-US"/>
        </w:rPr>
      </w:pPr>
    </w:p>
    <w:p w14:paraId="2068EE3F" w14:textId="77777777" w:rsidR="006A7F54" w:rsidRDefault="009B4A53"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respectfully doubt that an array of economists</w:t>
      </w:r>
      <w:r w:rsidR="00023DEF">
        <w:rPr>
          <w:rFonts w:ascii="Arial" w:hAnsi="Arial" w:cs="Arial"/>
          <w:sz w:val="24"/>
          <w:szCs w:val="24"/>
          <w:lang w:val="en-US"/>
        </w:rPr>
        <w:t xml:space="preserve"> and social scientists would </w:t>
      </w:r>
      <w:r w:rsidR="006A7F54">
        <w:rPr>
          <w:rFonts w:ascii="Arial" w:hAnsi="Arial" w:cs="Arial"/>
          <w:sz w:val="24"/>
          <w:szCs w:val="24"/>
          <w:lang w:val="en-US"/>
        </w:rPr>
        <w:t xml:space="preserve">have </w:t>
      </w:r>
      <w:r w:rsidR="00023DEF">
        <w:rPr>
          <w:rFonts w:ascii="Arial" w:hAnsi="Arial" w:cs="Arial"/>
          <w:sz w:val="24"/>
          <w:szCs w:val="24"/>
          <w:lang w:val="en-US"/>
        </w:rPr>
        <w:t>been able to manage this difficult process with the same degree of success as the Fair Work Commission and its predecessors.</w:t>
      </w:r>
    </w:p>
    <w:p w14:paraId="7488A42D" w14:textId="77777777" w:rsidR="006A7F54" w:rsidRPr="006A7F54" w:rsidRDefault="006A7F54" w:rsidP="003073B7">
      <w:pPr>
        <w:pStyle w:val="ListParagraph"/>
        <w:jc w:val="both"/>
        <w:rPr>
          <w:rFonts w:ascii="Arial" w:hAnsi="Arial" w:cs="Arial"/>
          <w:sz w:val="24"/>
          <w:szCs w:val="24"/>
          <w:lang w:val="en-US"/>
        </w:rPr>
      </w:pPr>
    </w:p>
    <w:p w14:paraId="390F4284" w14:textId="77777777" w:rsidR="00023DEF" w:rsidRDefault="006A7F54"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Further, our </w:t>
      </w:r>
      <w:r w:rsidR="002B3F56">
        <w:rPr>
          <w:rFonts w:ascii="Arial" w:hAnsi="Arial" w:cs="Arial"/>
          <w:sz w:val="24"/>
          <w:szCs w:val="24"/>
          <w:lang w:val="en-US"/>
        </w:rPr>
        <w:t xml:space="preserve">recent </w:t>
      </w:r>
      <w:r>
        <w:rPr>
          <w:rFonts w:ascii="Arial" w:hAnsi="Arial" w:cs="Arial"/>
          <w:sz w:val="24"/>
          <w:szCs w:val="24"/>
          <w:lang w:val="en-US"/>
        </w:rPr>
        <w:t xml:space="preserve">experience </w:t>
      </w:r>
      <w:r w:rsidR="002B3F56">
        <w:rPr>
          <w:rFonts w:ascii="Arial" w:hAnsi="Arial" w:cs="Arial"/>
          <w:sz w:val="24"/>
          <w:szCs w:val="24"/>
          <w:lang w:val="en-US"/>
        </w:rPr>
        <w:t xml:space="preserve">with the compliance arm of the Fair Work Commission has suggested they are taking a very diligent and comprehensive approach to regulating trade unions and employer associations. </w:t>
      </w:r>
    </w:p>
    <w:p w14:paraId="197798A6" w14:textId="77777777" w:rsidR="002B3F56" w:rsidRPr="002B3F56" w:rsidRDefault="002B3F56" w:rsidP="003073B7">
      <w:pPr>
        <w:pStyle w:val="ListParagraph"/>
        <w:jc w:val="both"/>
        <w:rPr>
          <w:rFonts w:ascii="Arial" w:hAnsi="Arial" w:cs="Arial"/>
          <w:sz w:val="24"/>
          <w:szCs w:val="24"/>
          <w:lang w:val="en-US"/>
        </w:rPr>
      </w:pPr>
    </w:p>
    <w:p w14:paraId="1C27D1DA" w14:textId="77777777" w:rsidR="002B3F56" w:rsidRDefault="002B3F56"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Whilst t</w:t>
      </w:r>
      <w:r w:rsidR="0062206B">
        <w:rPr>
          <w:rFonts w:ascii="Arial" w:hAnsi="Arial" w:cs="Arial"/>
          <w:sz w:val="24"/>
          <w:szCs w:val="24"/>
          <w:lang w:val="en-US"/>
        </w:rPr>
        <w:t xml:space="preserve">hey obviously operate on a </w:t>
      </w:r>
      <w:r>
        <w:rPr>
          <w:rFonts w:ascii="Arial" w:hAnsi="Arial" w:cs="Arial"/>
          <w:sz w:val="24"/>
          <w:szCs w:val="24"/>
          <w:lang w:val="en-US"/>
        </w:rPr>
        <w:t xml:space="preserve">smaller scale, the compliance arm of the Fair Work Commission appears to be having greater success in creating a transparent and proper operating environment </w:t>
      </w:r>
      <w:r w:rsidR="0062206B">
        <w:rPr>
          <w:rFonts w:ascii="Arial" w:hAnsi="Arial" w:cs="Arial"/>
          <w:sz w:val="24"/>
          <w:szCs w:val="24"/>
          <w:lang w:val="en-US"/>
        </w:rPr>
        <w:t xml:space="preserve">for unions and employer associations </w:t>
      </w:r>
      <w:r>
        <w:rPr>
          <w:rFonts w:ascii="Arial" w:hAnsi="Arial" w:cs="Arial"/>
          <w:sz w:val="24"/>
          <w:szCs w:val="24"/>
          <w:lang w:val="en-US"/>
        </w:rPr>
        <w:t>than the Australian Securities and Investments Commission (</w:t>
      </w:r>
      <w:proofErr w:type="spellStart"/>
      <w:r>
        <w:rPr>
          <w:rFonts w:ascii="Arial" w:hAnsi="Arial" w:cs="Arial"/>
          <w:sz w:val="24"/>
          <w:szCs w:val="24"/>
          <w:lang w:val="en-US"/>
        </w:rPr>
        <w:t>ASIC</w:t>
      </w:r>
      <w:proofErr w:type="spellEnd"/>
      <w:r>
        <w:rPr>
          <w:rFonts w:ascii="Arial" w:hAnsi="Arial" w:cs="Arial"/>
          <w:sz w:val="24"/>
          <w:szCs w:val="24"/>
          <w:lang w:val="en-US"/>
        </w:rPr>
        <w:t>)</w:t>
      </w:r>
      <w:r w:rsidR="0062206B">
        <w:rPr>
          <w:rFonts w:ascii="Arial" w:hAnsi="Arial" w:cs="Arial"/>
          <w:sz w:val="24"/>
          <w:szCs w:val="24"/>
          <w:lang w:val="en-US"/>
        </w:rPr>
        <w:t xml:space="preserve"> is achieving for corporations</w:t>
      </w:r>
      <w:r>
        <w:rPr>
          <w:rFonts w:ascii="Arial" w:hAnsi="Arial" w:cs="Arial"/>
          <w:sz w:val="24"/>
          <w:szCs w:val="24"/>
          <w:lang w:val="en-US"/>
        </w:rPr>
        <w:t xml:space="preserve">. </w:t>
      </w:r>
    </w:p>
    <w:p w14:paraId="3EAA5EDA" w14:textId="77777777" w:rsidR="002B3F56" w:rsidRPr="002B3F56" w:rsidRDefault="002B3F56" w:rsidP="003073B7">
      <w:pPr>
        <w:pStyle w:val="ListParagraph"/>
        <w:jc w:val="both"/>
        <w:rPr>
          <w:rFonts w:ascii="Arial" w:hAnsi="Arial" w:cs="Arial"/>
          <w:sz w:val="24"/>
          <w:szCs w:val="24"/>
          <w:lang w:val="en-US"/>
        </w:rPr>
      </w:pPr>
    </w:p>
    <w:p w14:paraId="2905B60D" w14:textId="77777777" w:rsidR="002B3F56" w:rsidRDefault="002B3F56"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say this because it still seems remarkably easy for individuals to establish new companies despite having a clear history </w:t>
      </w:r>
      <w:r w:rsidR="0062206B">
        <w:rPr>
          <w:rFonts w:ascii="Arial" w:hAnsi="Arial" w:cs="Arial"/>
          <w:sz w:val="24"/>
          <w:szCs w:val="24"/>
          <w:lang w:val="en-US"/>
        </w:rPr>
        <w:t xml:space="preserve">of abusing the corporate system. </w:t>
      </w:r>
      <w:r>
        <w:rPr>
          <w:rFonts w:ascii="Arial" w:hAnsi="Arial" w:cs="Arial"/>
          <w:sz w:val="24"/>
          <w:szCs w:val="24"/>
          <w:lang w:val="en-US"/>
        </w:rPr>
        <w:t xml:space="preserve"> </w:t>
      </w:r>
    </w:p>
    <w:p w14:paraId="5B25D6EE" w14:textId="77777777" w:rsidR="002B3F56" w:rsidRPr="002B3F56" w:rsidRDefault="002B3F56" w:rsidP="003073B7">
      <w:pPr>
        <w:pStyle w:val="ListParagraph"/>
        <w:jc w:val="both"/>
        <w:rPr>
          <w:rFonts w:ascii="Arial" w:hAnsi="Arial" w:cs="Arial"/>
          <w:sz w:val="24"/>
          <w:szCs w:val="24"/>
          <w:lang w:val="en-US"/>
        </w:rPr>
      </w:pPr>
    </w:p>
    <w:p w14:paraId="1D0C5396" w14:textId="6FC88439" w:rsidR="003073B7" w:rsidRPr="004E3E79" w:rsidRDefault="002B3F56"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This is increasingly leaving the taxpayer to fund employee entitlements</w:t>
      </w:r>
      <w:r>
        <w:rPr>
          <w:rStyle w:val="FootnoteReference"/>
          <w:rFonts w:ascii="Arial" w:hAnsi="Arial" w:cs="Arial"/>
          <w:sz w:val="24"/>
          <w:szCs w:val="24"/>
          <w:lang w:val="en-US"/>
        </w:rPr>
        <w:footnoteReference w:id="7"/>
      </w:r>
      <w:r>
        <w:rPr>
          <w:rFonts w:ascii="Arial" w:hAnsi="Arial" w:cs="Arial"/>
          <w:sz w:val="24"/>
          <w:szCs w:val="24"/>
          <w:lang w:val="en-US"/>
        </w:rPr>
        <w:t xml:space="preserve"> th</w:t>
      </w:r>
      <w:r w:rsidR="0062206B">
        <w:rPr>
          <w:rFonts w:ascii="Arial" w:hAnsi="Arial" w:cs="Arial"/>
          <w:sz w:val="24"/>
          <w:szCs w:val="24"/>
          <w:lang w:val="en-US"/>
        </w:rPr>
        <w:t xml:space="preserve">at should have been paid by </w:t>
      </w:r>
      <w:r>
        <w:rPr>
          <w:rFonts w:ascii="Arial" w:hAnsi="Arial" w:cs="Arial"/>
          <w:sz w:val="24"/>
          <w:szCs w:val="24"/>
          <w:lang w:val="en-US"/>
        </w:rPr>
        <w:t xml:space="preserve">individuals who simply transition from company to company when financial difficulties arise. </w:t>
      </w:r>
    </w:p>
    <w:p w14:paraId="7CEF62E7" w14:textId="77777777" w:rsidR="003073B7" w:rsidRDefault="003073B7" w:rsidP="003073B7">
      <w:pPr>
        <w:spacing w:after="0"/>
        <w:jc w:val="both"/>
        <w:rPr>
          <w:rFonts w:ascii="Arial" w:hAnsi="Arial" w:cs="Arial"/>
          <w:b/>
          <w:sz w:val="24"/>
          <w:szCs w:val="24"/>
          <w:lang w:val="en-US"/>
        </w:rPr>
      </w:pPr>
    </w:p>
    <w:p w14:paraId="06B227B7" w14:textId="77777777" w:rsidR="006A7F54" w:rsidRPr="006A7F54" w:rsidRDefault="006A7F54" w:rsidP="003073B7">
      <w:pPr>
        <w:spacing w:after="0"/>
        <w:jc w:val="both"/>
        <w:rPr>
          <w:rFonts w:ascii="Arial" w:hAnsi="Arial" w:cs="Arial"/>
          <w:b/>
          <w:sz w:val="24"/>
          <w:szCs w:val="24"/>
          <w:lang w:val="en-US"/>
        </w:rPr>
      </w:pPr>
      <w:r>
        <w:rPr>
          <w:rFonts w:ascii="Arial" w:hAnsi="Arial" w:cs="Arial"/>
          <w:b/>
          <w:sz w:val="24"/>
          <w:szCs w:val="24"/>
          <w:lang w:val="en-US"/>
        </w:rPr>
        <w:t>Composition of the Fair Work Commission</w:t>
      </w:r>
    </w:p>
    <w:p w14:paraId="7BAA4B41" w14:textId="77777777" w:rsidR="006A7F54" w:rsidRPr="006A7F54" w:rsidRDefault="006A7F54" w:rsidP="003073B7">
      <w:pPr>
        <w:spacing w:after="0"/>
        <w:jc w:val="both"/>
        <w:rPr>
          <w:rFonts w:ascii="Arial" w:hAnsi="Arial" w:cs="Arial"/>
          <w:sz w:val="24"/>
          <w:szCs w:val="24"/>
          <w:lang w:val="en-US"/>
        </w:rPr>
      </w:pPr>
    </w:p>
    <w:p w14:paraId="16C4EFF4" w14:textId="5A47CCA3" w:rsidR="006A7F54" w:rsidRDefault="006A7F54" w:rsidP="004E3E79">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Draft Report is </w:t>
      </w:r>
      <w:r w:rsidR="002F5459">
        <w:rPr>
          <w:rFonts w:ascii="Arial" w:hAnsi="Arial" w:cs="Arial"/>
          <w:sz w:val="24"/>
          <w:szCs w:val="24"/>
          <w:lang w:val="en-US"/>
        </w:rPr>
        <w:t xml:space="preserve">broadly </w:t>
      </w:r>
      <w:r>
        <w:rPr>
          <w:rFonts w:ascii="Arial" w:hAnsi="Arial" w:cs="Arial"/>
          <w:sz w:val="24"/>
          <w:szCs w:val="24"/>
          <w:lang w:val="en-US"/>
        </w:rPr>
        <w:t xml:space="preserve">critical about the </w:t>
      </w:r>
      <w:r w:rsidR="002F5459">
        <w:rPr>
          <w:rFonts w:ascii="Arial" w:hAnsi="Arial" w:cs="Arial"/>
          <w:sz w:val="24"/>
          <w:szCs w:val="24"/>
          <w:lang w:val="en-US"/>
        </w:rPr>
        <w:t>back</w:t>
      </w:r>
      <w:r>
        <w:rPr>
          <w:rFonts w:ascii="Arial" w:hAnsi="Arial" w:cs="Arial"/>
          <w:sz w:val="24"/>
          <w:szCs w:val="24"/>
          <w:lang w:val="en-US"/>
        </w:rPr>
        <w:t>ground of Fair Work Commission members and states:</w:t>
      </w:r>
    </w:p>
    <w:p w14:paraId="0F826947" w14:textId="77777777" w:rsidR="004E3E79" w:rsidRPr="004E3E79" w:rsidRDefault="004E3E79" w:rsidP="004E3E79">
      <w:pPr>
        <w:pStyle w:val="ListParagraph"/>
        <w:spacing w:after="0"/>
        <w:jc w:val="both"/>
        <w:rPr>
          <w:rFonts w:ascii="Arial" w:hAnsi="Arial" w:cs="Arial"/>
          <w:sz w:val="24"/>
          <w:szCs w:val="24"/>
          <w:lang w:val="en-US"/>
        </w:rPr>
      </w:pPr>
    </w:p>
    <w:p w14:paraId="1C361AF1" w14:textId="77777777" w:rsidR="006A7F54" w:rsidRPr="006A7F54" w:rsidRDefault="006A7F54" w:rsidP="003073B7">
      <w:pPr>
        <w:pStyle w:val="ListParagraph"/>
        <w:spacing w:after="0"/>
        <w:ind w:left="1440"/>
        <w:jc w:val="both"/>
        <w:rPr>
          <w:rFonts w:ascii="Arial" w:hAnsi="Arial" w:cs="Arial"/>
          <w:i/>
          <w:sz w:val="24"/>
          <w:szCs w:val="24"/>
          <w:lang w:val="en-US"/>
        </w:rPr>
      </w:pPr>
      <w:r>
        <w:rPr>
          <w:rFonts w:ascii="Arial" w:hAnsi="Arial" w:cs="Arial"/>
          <w:i/>
          <w:sz w:val="24"/>
          <w:szCs w:val="24"/>
          <w:lang w:val="en-US"/>
        </w:rPr>
        <w:t>The governance of the FWC needs reform. Some of the primary causes</w:t>
      </w:r>
      <w:r w:rsidR="002F5459">
        <w:rPr>
          <w:rFonts w:ascii="Arial" w:hAnsi="Arial" w:cs="Arial"/>
          <w:i/>
          <w:sz w:val="24"/>
          <w:szCs w:val="24"/>
          <w:lang w:val="en-US"/>
        </w:rPr>
        <w:t xml:space="preserve"> of inconsistencies in its determinations reflect the choices made by successive governments, particularly the emphasis on </w:t>
      </w:r>
      <w:r w:rsidR="002F5459">
        <w:rPr>
          <w:rFonts w:ascii="Arial" w:hAnsi="Arial" w:cs="Arial"/>
          <w:i/>
          <w:sz w:val="24"/>
          <w:szCs w:val="24"/>
          <w:lang w:val="en-US"/>
        </w:rPr>
        <w:lastRenderedPageBreak/>
        <w:t>appointing persons with perspectives oriented more to one side or the other of industrial relations debates.</w:t>
      </w:r>
      <w:r w:rsidR="002F5459">
        <w:rPr>
          <w:rStyle w:val="FootnoteReference"/>
          <w:rFonts w:ascii="Arial" w:hAnsi="Arial" w:cs="Arial"/>
          <w:i/>
          <w:sz w:val="24"/>
          <w:szCs w:val="24"/>
          <w:lang w:val="en-US"/>
        </w:rPr>
        <w:footnoteReference w:id="8"/>
      </w:r>
    </w:p>
    <w:p w14:paraId="62B444F9" w14:textId="77777777" w:rsidR="00D07890" w:rsidRDefault="00D07890" w:rsidP="003073B7">
      <w:pPr>
        <w:spacing w:after="0"/>
        <w:jc w:val="both"/>
        <w:rPr>
          <w:rFonts w:ascii="Arial" w:hAnsi="Arial" w:cs="Arial"/>
          <w:b/>
          <w:sz w:val="24"/>
          <w:szCs w:val="24"/>
          <w:lang w:val="en-US"/>
        </w:rPr>
      </w:pPr>
    </w:p>
    <w:p w14:paraId="38C6F1DA" w14:textId="77777777" w:rsidR="002F5459" w:rsidRDefault="002F5459"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 apparent solution is to have minimum wage and award matters determined by those who have expertise in “economic, social science and commerce, not the law”.</w:t>
      </w:r>
      <w:r>
        <w:rPr>
          <w:rStyle w:val="FootnoteReference"/>
          <w:rFonts w:ascii="Arial" w:hAnsi="Arial" w:cs="Arial"/>
          <w:sz w:val="24"/>
          <w:szCs w:val="24"/>
          <w:lang w:val="en-US"/>
        </w:rPr>
        <w:footnoteReference w:id="9"/>
      </w:r>
    </w:p>
    <w:p w14:paraId="43391987" w14:textId="77777777" w:rsidR="002F5459" w:rsidRDefault="002F5459" w:rsidP="003073B7">
      <w:pPr>
        <w:pStyle w:val="ListParagraph"/>
        <w:spacing w:after="0"/>
        <w:jc w:val="both"/>
        <w:rPr>
          <w:rFonts w:ascii="Arial" w:hAnsi="Arial" w:cs="Arial"/>
          <w:sz w:val="24"/>
          <w:szCs w:val="24"/>
          <w:lang w:val="en-US"/>
        </w:rPr>
      </w:pPr>
    </w:p>
    <w:p w14:paraId="00952803" w14:textId="77777777" w:rsidR="002F5459" w:rsidRDefault="002F5459"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submit it is </w:t>
      </w:r>
      <w:r w:rsidR="009C2D59">
        <w:rPr>
          <w:rFonts w:ascii="Arial" w:hAnsi="Arial" w:cs="Arial"/>
          <w:sz w:val="24"/>
          <w:szCs w:val="24"/>
          <w:lang w:val="en-US"/>
        </w:rPr>
        <w:t xml:space="preserve">somewhat </w:t>
      </w:r>
      <w:r>
        <w:rPr>
          <w:rFonts w:ascii="Arial" w:hAnsi="Arial" w:cs="Arial"/>
          <w:sz w:val="24"/>
          <w:szCs w:val="24"/>
          <w:lang w:val="en-US"/>
        </w:rPr>
        <w:t xml:space="preserve">naïve to suggest that economists and social scientists do not have political views which impact upon their work. </w:t>
      </w:r>
    </w:p>
    <w:p w14:paraId="752CB801" w14:textId="77777777" w:rsidR="002F5459" w:rsidRPr="002F5459" w:rsidRDefault="002F5459" w:rsidP="003073B7">
      <w:pPr>
        <w:pStyle w:val="ListParagraph"/>
        <w:jc w:val="both"/>
        <w:rPr>
          <w:rFonts w:ascii="Arial" w:hAnsi="Arial" w:cs="Arial"/>
          <w:sz w:val="24"/>
          <w:szCs w:val="24"/>
          <w:lang w:val="en-US"/>
        </w:rPr>
      </w:pPr>
    </w:p>
    <w:p w14:paraId="4F9BF20E" w14:textId="77777777" w:rsidR="00DB3FFB" w:rsidRDefault="002F5459"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Many economists and social scientists are renowned for their left</w:t>
      </w:r>
      <w:r>
        <w:rPr>
          <w:rStyle w:val="FootnoteReference"/>
          <w:rFonts w:ascii="Arial" w:hAnsi="Arial" w:cs="Arial"/>
          <w:sz w:val="24"/>
          <w:szCs w:val="24"/>
          <w:lang w:val="en-US"/>
        </w:rPr>
        <w:footnoteReference w:id="10"/>
      </w:r>
      <w:r>
        <w:rPr>
          <w:rFonts w:ascii="Arial" w:hAnsi="Arial" w:cs="Arial"/>
          <w:sz w:val="24"/>
          <w:szCs w:val="24"/>
          <w:lang w:val="en-US"/>
        </w:rPr>
        <w:t xml:space="preserve"> or right</w:t>
      </w:r>
      <w:r w:rsidR="008C672C">
        <w:rPr>
          <w:rStyle w:val="FootnoteReference"/>
          <w:rFonts w:ascii="Arial" w:hAnsi="Arial" w:cs="Arial"/>
          <w:sz w:val="24"/>
          <w:szCs w:val="24"/>
          <w:lang w:val="en-US"/>
        </w:rPr>
        <w:footnoteReference w:id="11"/>
      </w:r>
      <w:r>
        <w:rPr>
          <w:rFonts w:ascii="Arial" w:hAnsi="Arial" w:cs="Arial"/>
          <w:sz w:val="24"/>
          <w:szCs w:val="24"/>
          <w:lang w:val="en-US"/>
        </w:rPr>
        <w:t xml:space="preserve"> wing perspectives.</w:t>
      </w:r>
    </w:p>
    <w:p w14:paraId="2CA1D37C" w14:textId="77777777" w:rsidR="00DB3FFB" w:rsidRPr="00DB3FFB" w:rsidRDefault="00DB3FFB" w:rsidP="003073B7">
      <w:pPr>
        <w:pStyle w:val="ListParagraph"/>
        <w:jc w:val="both"/>
        <w:rPr>
          <w:rFonts w:ascii="Arial" w:hAnsi="Arial" w:cs="Arial"/>
          <w:sz w:val="24"/>
          <w:szCs w:val="24"/>
          <w:lang w:val="en-US"/>
        </w:rPr>
      </w:pPr>
    </w:p>
    <w:p w14:paraId="573B1210" w14:textId="77777777" w:rsidR="00DB3FFB" w:rsidRDefault="00DB3FFB"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A cursory glance of the various academic materials filed in relation to penalty rates proceedings in the Fair Work Commission highlights that equally qualified academics can have completely divergent views on a particular issue largely because of their political persuasion.</w:t>
      </w:r>
      <w:r>
        <w:rPr>
          <w:rStyle w:val="FootnoteReference"/>
          <w:rFonts w:ascii="Arial" w:hAnsi="Arial" w:cs="Arial"/>
          <w:sz w:val="24"/>
          <w:szCs w:val="24"/>
          <w:lang w:val="en-US"/>
        </w:rPr>
        <w:footnoteReference w:id="12"/>
      </w:r>
      <w:r>
        <w:rPr>
          <w:rFonts w:ascii="Arial" w:hAnsi="Arial" w:cs="Arial"/>
          <w:sz w:val="24"/>
          <w:szCs w:val="24"/>
          <w:lang w:val="en-US"/>
        </w:rPr>
        <w:t xml:space="preserve"> </w:t>
      </w:r>
    </w:p>
    <w:p w14:paraId="1030DDBC" w14:textId="77777777" w:rsidR="00DB3FFB" w:rsidRPr="00DB3FFB" w:rsidRDefault="00DB3FFB" w:rsidP="003073B7">
      <w:pPr>
        <w:pStyle w:val="ListParagraph"/>
        <w:jc w:val="both"/>
        <w:rPr>
          <w:rFonts w:ascii="Arial" w:hAnsi="Arial" w:cs="Arial"/>
          <w:sz w:val="24"/>
          <w:szCs w:val="24"/>
          <w:lang w:val="en-US"/>
        </w:rPr>
      </w:pPr>
    </w:p>
    <w:p w14:paraId="3DB73AAE" w14:textId="33706521" w:rsidR="000D5686" w:rsidRDefault="00DB3FFB"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also note that even High Court judges ar</w:t>
      </w:r>
      <w:r w:rsidR="000D5686">
        <w:rPr>
          <w:rFonts w:ascii="Arial" w:hAnsi="Arial" w:cs="Arial"/>
          <w:sz w:val="24"/>
          <w:szCs w:val="24"/>
          <w:lang w:val="en-US"/>
        </w:rPr>
        <w:t>e often considered to have</w:t>
      </w:r>
      <w:r>
        <w:rPr>
          <w:rFonts w:ascii="Arial" w:hAnsi="Arial" w:cs="Arial"/>
          <w:sz w:val="24"/>
          <w:szCs w:val="24"/>
          <w:lang w:val="en-US"/>
        </w:rPr>
        <w:t xml:space="preserve"> political </w:t>
      </w:r>
      <w:r w:rsidR="00774C3C">
        <w:rPr>
          <w:rFonts w:ascii="Arial" w:hAnsi="Arial" w:cs="Arial"/>
          <w:sz w:val="24"/>
          <w:szCs w:val="24"/>
          <w:lang w:val="en-US"/>
        </w:rPr>
        <w:t>persuasions, which</w:t>
      </w:r>
      <w:r>
        <w:rPr>
          <w:rFonts w:ascii="Arial" w:hAnsi="Arial" w:cs="Arial"/>
          <w:sz w:val="24"/>
          <w:szCs w:val="24"/>
          <w:lang w:val="en-US"/>
        </w:rPr>
        <w:t xml:space="preserve"> can be identified through an assessment of their judgments.</w:t>
      </w:r>
      <w:r>
        <w:rPr>
          <w:rStyle w:val="FootnoteReference"/>
          <w:rFonts w:ascii="Arial" w:hAnsi="Arial" w:cs="Arial"/>
          <w:sz w:val="24"/>
          <w:szCs w:val="24"/>
          <w:lang w:val="en-US"/>
        </w:rPr>
        <w:footnoteReference w:id="13"/>
      </w:r>
    </w:p>
    <w:p w14:paraId="395306B2" w14:textId="77777777" w:rsidR="000D5686" w:rsidRPr="000D5686" w:rsidRDefault="000D5686" w:rsidP="003073B7">
      <w:pPr>
        <w:pStyle w:val="ListParagraph"/>
        <w:jc w:val="both"/>
        <w:rPr>
          <w:rFonts w:ascii="Arial" w:hAnsi="Arial" w:cs="Arial"/>
          <w:sz w:val="24"/>
          <w:szCs w:val="24"/>
          <w:lang w:val="en-US"/>
        </w:rPr>
      </w:pPr>
    </w:p>
    <w:p w14:paraId="41349A34" w14:textId="77777777" w:rsidR="000D5686" w:rsidRDefault="000D5686"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interact with the Fair Work Commission on a daily basis and do not accept a case has been made out for the significant reforms identified in the Draft Report. </w:t>
      </w:r>
    </w:p>
    <w:p w14:paraId="1A0C97EE" w14:textId="77777777" w:rsidR="000D5686" w:rsidRPr="000D5686" w:rsidRDefault="000D5686" w:rsidP="003073B7">
      <w:pPr>
        <w:pStyle w:val="ListParagraph"/>
        <w:jc w:val="both"/>
        <w:rPr>
          <w:rFonts w:ascii="Arial" w:hAnsi="Arial" w:cs="Arial"/>
          <w:sz w:val="24"/>
          <w:szCs w:val="24"/>
          <w:lang w:val="en-US"/>
        </w:rPr>
      </w:pPr>
    </w:p>
    <w:p w14:paraId="702D5389" w14:textId="77777777" w:rsidR="004C3C1C" w:rsidRDefault="004C3C1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Our view is the critical factors in determining appointment to the Fair Work Commission should be demonstrated expertise in industrial relations and the capacity to bring an independent mind to the resolution of issues. </w:t>
      </w:r>
    </w:p>
    <w:p w14:paraId="15EA92F4" w14:textId="77777777" w:rsidR="004C3C1C" w:rsidRPr="004C3C1C" w:rsidRDefault="004C3C1C" w:rsidP="003073B7">
      <w:pPr>
        <w:pStyle w:val="ListParagraph"/>
        <w:jc w:val="both"/>
        <w:rPr>
          <w:rFonts w:ascii="Arial" w:hAnsi="Arial" w:cs="Arial"/>
          <w:sz w:val="24"/>
          <w:szCs w:val="24"/>
          <w:lang w:val="en-US"/>
        </w:rPr>
      </w:pPr>
    </w:p>
    <w:p w14:paraId="63144892" w14:textId="77777777" w:rsidR="004C3C1C" w:rsidRDefault="004C3C1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consider the current selection process has produced Commission members that meet this criterion in the overwhelming majority of cases.</w:t>
      </w:r>
    </w:p>
    <w:p w14:paraId="1C30F025" w14:textId="77777777" w:rsidR="004C3C1C" w:rsidRDefault="004C3C1C" w:rsidP="003073B7">
      <w:pPr>
        <w:spacing w:after="0"/>
        <w:jc w:val="both"/>
        <w:rPr>
          <w:rFonts w:ascii="Arial" w:hAnsi="Arial" w:cs="Arial"/>
          <w:sz w:val="24"/>
          <w:szCs w:val="24"/>
          <w:lang w:val="en-US"/>
        </w:rPr>
      </w:pPr>
    </w:p>
    <w:p w14:paraId="1C796C86" w14:textId="77777777" w:rsidR="004C3C1C" w:rsidRDefault="004C3C1C" w:rsidP="003073B7">
      <w:pPr>
        <w:pStyle w:val="ListParagraph"/>
        <w:numPr>
          <w:ilvl w:val="0"/>
          <w:numId w:val="1"/>
        </w:numPr>
        <w:spacing w:after="0"/>
        <w:ind w:hanging="720"/>
        <w:jc w:val="both"/>
        <w:rPr>
          <w:rFonts w:ascii="Arial" w:hAnsi="Arial" w:cs="Arial"/>
          <w:b/>
          <w:sz w:val="28"/>
          <w:szCs w:val="28"/>
          <w:u w:val="single"/>
          <w:lang w:val="en-US"/>
        </w:rPr>
      </w:pPr>
      <w:r>
        <w:rPr>
          <w:rFonts w:ascii="Arial" w:hAnsi="Arial" w:cs="Arial"/>
          <w:b/>
          <w:sz w:val="28"/>
          <w:szCs w:val="28"/>
          <w:u w:val="single"/>
          <w:lang w:val="en-US"/>
        </w:rPr>
        <w:t>The safety net</w:t>
      </w:r>
    </w:p>
    <w:p w14:paraId="7945032E" w14:textId="77777777" w:rsidR="009C2D59" w:rsidRPr="004C3C1C" w:rsidRDefault="009C2D59" w:rsidP="003073B7">
      <w:pPr>
        <w:pStyle w:val="ListParagraph"/>
        <w:spacing w:after="0"/>
        <w:jc w:val="both"/>
        <w:rPr>
          <w:rFonts w:ascii="Arial" w:hAnsi="Arial" w:cs="Arial"/>
          <w:b/>
          <w:sz w:val="28"/>
          <w:szCs w:val="28"/>
          <w:u w:val="single"/>
          <w:lang w:val="en-US"/>
        </w:rPr>
      </w:pPr>
    </w:p>
    <w:p w14:paraId="6797E5E2" w14:textId="77777777" w:rsidR="004C3C1C" w:rsidRDefault="004C3C1C" w:rsidP="003073B7">
      <w:pPr>
        <w:spacing w:after="0"/>
        <w:jc w:val="both"/>
        <w:rPr>
          <w:rFonts w:ascii="Arial" w:hAnsi="Arial" w:cs="Arial"/>
          <w:b/>
          <w:sz w:val="24"/>
          <w:szCs w:val="24"/>
          <w:lang w:val="en-US"/>
        </w:rPr>
      </w:pPr>
      <w:r>
        <w:rPr>
          <w:rFonts w:ascii="Arial" w:hAnsi="Arial" w:cs="Arial"/>
          <w:b/>
          <w:sz w:val="24"/>
          <w:szCs w:val="24"/>
          <w:lang w:val="en-US"/>
        </w:rPr>
        <w:lastRenderedPageBreak/>
        <w:t>Penalty rates</w:t>
      </w:r>
    </w:p>
    <w:p w14:paraId="495AF7C7" w14:textId="77777777" w:rsidR="004C3C1C" w:rsidRDefault="004C3C1C" w:rsidP="003073B7">
      <w:pPr>
        <w:spacing w:after="0"/>
        <w:jc w:val="both"/>
        <w:rPr>
          <w:rFonts w:ascii="Arial" w:hAnsi="Arial" w:cs="Arial"/>
          <w:b/>
          <w:sz w:val="24"/>
          <w:szCs w:val="24"/>
          <w:lang w:val="en-US"/>
        </w:rPr>
      </w:pPr>
    </w:p>
    <w:p w14:paraId="41E05D9E" w14:textId="77777777" w:rsidR="00A73598" w:rsidRDefault="00A73598"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strongly disagree with the Draft Report’s recommendation that penalty rates in the hospitality, entertainment, retailing, restaurants and café industries be brought into line with Saturday rates. </w:t>
      </w:r>
    </w:p>
    <w:p w14:paraId="57744572" w14:textId="77777777" w:rsidR="00A73598" w:rsidRDefault="00A73598" w:rsidP="003073B7">
      <w:pPr>
        <w:pStyle w:val="ListParagraph"/>
        <w:spacing w:after="0"/>
        <w:jc w:val="both"/>
        <w:rPr>
          <w:rFonts w:ascii="Arial" w:hAnsi="Arial" w:cs="Arial"/>
          <w:sz w:val="24"/>
          <w:szCs w:val="24"/>
          <w:lang w:val="en-US"/>
        </w:rPr>
      </w:pPr>
    </w:p>
    <w:p w14:paraId="22991875" w14:textId="77777777" w:rsidR="009A6E08" w:rsidRDefault="009A6E08"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A Full Bench of the Fair Work Commission in 2014 specifically rejected the general proposition that the level of disability for working on Sundays is no higher than that for Saturdays.</w:t>
      </w:r>
      <w:r>
        <w:rPr>
          <w:rStyle w:val="FootnoteReference"/>
          <w:rFonts w:ascii="Arial" w:hAnsi="Arial" w:cs="Arial"/>
          <w:sz w:val="24"/>
          <w:szCs w:val="24"/>
          <w:lang w:val="en-US"/>
        </w:rPr>
        <w:footnoteReference w:id="14"/>
      </w:r>
    </w:p>
    <w:p w14:paraId="664C0583" w14:textId="77777777" w:rsidR="009A6E08" w:rsidRPr="009A6E08" w:rsidRDefault="009A6E08" w:rsidP="003073B7">
      <w:pPr>
        <w:pStyle w:val="ListParagraph"/>
        <w:jc w:val="both"/>
        <w:rPr>
          <w:rFonts w:ascii="Arial" w:hAnsi="Arial" w:cs="Arial"/>
          <w:sz w:val="24"/>
          <w:szCs w:val="24"/>
          <w:lang w:val="en-US"/>
        </w:rPr>
      </w:pPr>
    </w:p>
    <w:p w14:paraId="0D7C5799" w14:textId="77777777" w:rsidR="009A6E08" w:rsidRDefault="009A6E08"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Even the diss</w:t>
      </w:r>
      <w:r w:rsidR="009C2D59">
        <w:rPr>
          <w:rFonts w:ascii="Arial" w:hAnsi="Arial" w:cs="Arial"/>
          <w:sz w:val="24"/>
          <w:szCs w:val="24"/>
          <w:lang w:val="en-US"/>
        </w:rPr>
        <w:t>enting minority decision in that</w:t>
      </w:r>
      <w:r>
        <w:rPr>
          <w:rFonts w:ascii="Arial" w:hAnsi="Arial" w:cs="Arial"/>
          <w:sz w:val="24"/>
          <w:szCs w:val="24"/>
          <w:lang w:val="en-US"/>
        </w:rPr>
        <w:t xml:space="preserve"> case did not determine that penalty rates should be exactly the same for Saturdays and Sundays.</w:t>
      </w:r>
      <w:r>
        <w:rPr>
          <w:rStyle w:val="FootnoteReference"/>
          <w:rFonts w:ascii="Arial" w:hAnsi="Arial" w:cs="Arial"/>
          <w:sz w:val="24"/>
          <w:szCs w:val="24"/>
          <w:lang w:val="en-US"/>
        </w:rPr>
        <w:footnoteReference w:id="15"/>
      </w:r>
      <w:r>
        <w:rPr>
          <w:rFonts w:ascii="Arial" w:hAnsi="Arial" w:cs="Arial"/>
          <w:sz w:val="24"/>
          <w:szCs w:val="24"/>
          <w:lang w:val="en-US"/>
        </w:rPr>
        <w:t xml:space="preserve"> </w:t>
      </w:r>
    </w:p>
    <w:p w14:paraId="7639365C" w14:textId="77777777" w:rsidR="009A6E08" w:rsidRDefault="009A6E08" w:rsidP="003073B7">
      <w:pPr>
        <w:spacing w:after="0"/>
        <w:jc w:val="both"/>
        <w:rPr>
          <w:rFonts w:ascii="Arial" w:hAnsi="Arial" w:cs="Arial"/>
          <w:sz w:val="24"/>
          <w:szCs w:val="24"/>
          <w:lang w:val="en-US"/>
        </w:rPr>
      </w:pPr>
    </w:p>
    <w:p w14:paraId="0BE766F4" w14:textId="77777777" w:rsidR="009A6E08" w:rsidRPr="009A6E08" w:rsidRDefault="009A6E08" w:rsidP="003073B7">
      <w:pPr>
        <w:pStyle w:val="ListParagraph"/>
        <w:numPr>
          <w:ilvl w:val="0"/>
          <w:numId w:val="1"/>
        </w:numPr>
        <w:spacing w:after="0"/>
        <w:ind w:hanging="720"/>
        <w:jc w:val="both"/>
        <w:rPr>
          <w:rFonts w:ascii="Arial" w:hAnsi="Arial" w:cs="Arial"/>
          <w:b/>
          <w:sz w:val="28"/>
          <w:szCs w:val="28"/>
          <w:u w:val="single"/>
          <w:lang w:val="en-US"/>
        </w:rPr>
      </w:pPr>
      <w:r>
        <w:rPr>
          <w:rFonts w:ascii="Arial" w:hAnsi="Arial" w:cs="Arial"/>
          <w:b/>
          <w:sz w:val="28"/>
          <w:szCs w:val="28"/>
          <w:u w:val="single"/>
          <w:lang w:val="en-US"/>
        </w:rPr>
        <w:t>Protecting employees</w:t>
      </w:r>
    </w:p>
    <w:p w14:paraId="4765581C" w14:textId="77777777" w:rsidR="009A6E08" w:rsidRDefault="009A6E08" w:rsidP="003073B7">
      <w:pPr>
        <w:pStyle w:val="ListParagraph"/>
        <w:spacing w:after="0"/>
        <w:jc w:val="both"/>
        <w:rPr>
          <w:rFonts w:ascii="Arial" w:hAnsi="Arial" w:cs="Arial"/>
          <w:sz w:val="24"/>
          <w:szCs w:val="24"/>
          <w:lang w:val="en-US"/>
        </w:rPr>
      </w:pPr>
    </w:p>
    <w:p w14:paraId="15F2103A" w14:textId="77777777" w:rsidR="006C257F" w:rsidRPr="006C257F" w:rsidRDefault="006C257F" w:rsidP="003073B7">
      <w:pPr>
        <w:spacing w:after="0"/>
        <w:jc w:val="both"/>
        <w:rPr>
          <w:rFonts w:ascii="Arial" w:hAnsi="Arial" w:cs="Arial"/>
          <w:b/>
          <w:sz w:val="24"/>
          <w:szCs w:val="24"/>
          <w:lang w:val="en-US"/>
        </w:rPr>
      </w:pPr>
      <w:r>
        <w:rPr>
          <w:rFonts w:ascii="Arial" w:hAnsi="Arial" w:cs="Arial"/>
          <w:b/>
          <w:sz w:val="24"/>
          <w:szCs w:val="24"/>
          <w:lang w:val="en-US"/>
        </w:rPr>
        <w:t>Unfair dismissal</w:t>
      </w:r>
    </w:p>
    <w:p w14:paraId="026543B0" w14:textId="77777777" w:rsidR="006C257F" w:rsidRPr="009A6E08" w:rsidRDefault="006C257F" w:rsidP="003073B7">
      <w:pPr>
        <w:pStyle w:val="ListParagraph"/>
        <w:spacing w:after="0"/>
        <w:jc w:val="both"/>
        <w:rPr>
          <w:rFonts w:ascii="Arial" w:hAnsi="Arial" w:cs="Arial"/>
          <w:sz w:val="24"/>
          <w:szCs w:val="24"/>
          <w:lang w:val="en-US"/>
        </w:rPr>
      </w:pPr>
    </w:p>
    <w:p w14:paraId="01E25669" w14:textId="77777777" w:rsidR="006C257F" w:rsidRDefault="006C257F"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submit the Draft Report</w:t>
      </w:r>
      <w:r w:rsidR="009C2D59">
        <w:rPr>
          <w:rFonts w:ascii="Arial" w:hAnsi="Arial" w:cs="Arial"/>
          <w:sz w:val="24"/>
          <w:szCs w:val="24"/>
          <w:lang w:val="en-US"/>
        </w:rPr>
        <w:t xml:space="preserve"> affords unwarranted attention</w:t>
      </w:r>
      <w:r>
        <w:rPr>
          <w:rFonts w:ascii="Arial" w:hAnsi="Arial" w:cs="Arial"/>
          <w:sz w:val="24"/>
          <w:szCs w:val="24"/>
          <w:lang w:val="en-US"/>
        </w:rPr>
        <w:t xml:space="preserve"> to the issue of employees being unfairly dismissed because of procedural shortcomings. </w:t>
      </w:r>
    </w:p>
    <w:p w14:paraId="6319B8B6" w14:textId="77777777" w:rsidR="006C257F" w:rsidRDefault="006C257F" w:rsidP="003073B7">
      <w:pPr>
        <w:pStyle w:val="ListParagraph"/>
        <w:spacing w:after="0"/>
        <w:jc w:val="both"/>
        <w:rPr>
          <w:rFonts w:ascii="Arial" w:hAnsi="Arial" w:cs="Arial"/>
          <w:sz w:val="24"/>
          <w:szCs w:val="24"/>
          <w:lang w:val="en-US"/>
        </w:rPr>
      </w:pPr>
    </w:p>
    <w:p w14:paraId="6CD0024A" w14:textId="77777777" w:rsidR="00A525C2" w:rsidRDefault="006C257F"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There is one example identified in the Draft Report</w:t>
      </w:r>
      <w:r w:rsidR="00526E32">
        <w:rPr>
          <w:rFonts w:ascii="Arial" w:hAnsi="Arial" w:cs="Arial"/>
          <w:sz w:val="24"/>
          <w:szCs w:val="24"/>
          <w:lang w:val="en-US"/>
        </w:rPr>
        <w:t xml:space="preserve"> whereby an employee was found</w:t>
      </w:r>
      <w:r w:rsidR="00A525C2">
        <w:rPr>
          <w:rFonts w:ascii="Arial" w:hAnsi="Arial" w:cs="Arial"/>
          <w:sz w:val="24"/>
          <w:szCs w:val="24"/>
          <w:lang w:val="en-US"/>
        </w:rPr>
        <w:t xml:space="preserve"> to have been unfairly dismissed despite having assaulted a superviso</w:t>
      </w:r>
      <w:r w:rsidR="009C2D59">
        <w:rPr>
          <w:rFonts w:ascii="Arial" w:hAnsi="Arial" w:cs="Arial"/>
          <w:sz w:val="24"/>
          <w:szCs w:val="24"/>
          <w:lang w:val="en-US"/>
        </w:rPr>
        <w:t>r</w:t>
      </w:r>
      <w:r w:rsidR="00A525C2">
        <w:rPr>
          <w:rFonts w:ascii="Arial" w:hAnsi="Arial" w:cs="Arial"/>
          <w:sz w:val="24"/>
          <w:szCs w:val="24"/>
          <w:lang w:val="en-US"/>
        </w:rPr>
        <w:t>.</w:t>
      </w:r>
    </w:p>
    <w:p w14:paraId="02F4C3D4" w14:textId="77777777" w:rsidR="00A525C2" w:rsidRPr="00A525C2" w:rsidRDefault="00A525C2" w:rsidP="003073B7">
      <w:pPr>
        <w:pStyle w:val="ListParagraph"/>
        <w:jc w:val="both"/>
        <w:rPr>
          <w:rFonts w:ascii="Arial" w:hAnsi="Arial" w:cs="Arial"/>
          <w:sz w:val="24"/>
          <w:szCs w:val="24"/>
          <w:lang w:val="en-US"/>
        </w:rPr>
      </w:pPr>
    </w:p>
    <w:p w14:paraId="030941B5" w14:textId="77777777" w:rsidR="00A525C2" w:rsidRDefault="00A525C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 Fair Work Commission’s own data for the 2013/2014 financial year</w:t>
      </w:r>
      <w:r>
        <w:rPr>
          <w:rStyle w:val="FootnoteReference"/>
          <w:rFonts w:ascii="Arial" w:hAnsi="Arial" w:cs="Arial"/>
          <w:sz w:val="24"/>
          <w:szCs w:val="24"/>
          <w:lang w:val="en-US"/>
        </w:rPr>
        <w:footnoteReference w:id="16"/>
      </w:r>
      <w:r>
        <w:rPr>
          <w:rFonts w:ascii="Arial" w:hAnsi="Arial" w:cs="Arial"/>
          <w:sz w:val="24"/>
          <w:szCs w:val="24"/>
          <w:lang w:val="en-US"/>
        </w:rPr>
        <w:t xml:space="preserve"> suggests there is not a widespread phenomenon of employees successfully prosecuting unfair dismissal cases when they have “clearly breached the normal expectations of appropriate work </w:t>
      </w:r>
      <w:proofErr w:type="spellStart"/>
      <w:r>
        <w:rPr>
          <w:rFonts w:ascii="Arial" w:hAnsi="Arial" w:cs="Arial"/>
          <w:sz w:val="24"/>
          <w:szCs w:val="24"/>
          <w:lang w:val="en-US"/>
        </w:rPr>
        <w:t>behaviour</w:t>
      </w:r>
      <w:proofErr w:type="spellEnd"/>
      <w:r>
        <w:rPr>
          <w:rFonts w:ascii="Arial" w:hAnsi="Arial" w:cs="Arial"/>
          <w:sz w:val="24"/>
          <w:szCs w:val="24"/>
          <w:lang w:val="en-US"/>
        </w:rPr>
        <w:t>”.</w:t>
      </w:r>
      <w:r>
        <w:rPr>
          <w:rStyle w:val="FootnoteReference"/>
          <w:rFonts w:ascii="Arial" w:hAnsi="Arial" w:cs="Arial"/>
          <w:sz w:val="24"/>
          <w:szCs w:val="24"/>
          <w:lang w:val="en-US"/>
        </w:rPr>
        <w:footnoteReference w:id="17"/>
      </w:r>
    </w:p>
    <w:p w14:paraId="152A7E3F" w14:textId="77777777" w:rsidR="00A525C2" w:rsidRPr="00A525C2" w:rsidRDefault="00A525C2" w:rsidP="003073B7">
      <w:pPr>
        <w:pStyle w:val="ListParagraph"/>
        <w:jc w:val="both"/>
        <w:rPr>
          <w:rFonts w:ascii="Arial" w:hAnsi="Arial" w:cs="Arial"/>
          <w:sz w:val="24"/>
          <w:szCs w:val="24"/>
          <w:lang w:val="en-US"/>
        </w:rPr>
      </w:pPr>
    </w:p>
    <w:p w14:paraId="1A39F7EC" w14:textId="5B18695E" w:rsidR="00A525C2" w:rsidRDefault="00A525C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data shows 84% of the unfair dismissal </w:t>
      </w:r>
      <w:r w:rsidR="004E3E79">
        <w:rPr>
          <w:rFonts w:ascii="Arial" w:hAnsi="Arial" w:cs="Arial"/>
          <w:sz w:val="24"/>
          <w:szCs w:val="24"/>
          <w:lang w:val="en-US"/>
        </w:rPr>
        <w:t>cases, which proceeded to arbitration,</w:t>
      </w:r>
      <w:r>
        <w:rPr>
          <w:rFonts w:ascii="Arial" w:hAnsi="Arial" w:cs="Arial"/>
          <w:sz w:val="24"/>
          <w:szCs w:val="24"/>
          <w:lang w:val="en-US"/>
        </w:rPr>
        <w:t xml:space="preserve"> were dismissed.</w:t>
      </w:r>
    </w:p>
    <w:p w14:paraId="3CE8DE10" w14:textId="77777777" w:rsidR="00A525C2" w:rsidRPr="00A525C2" w:rsidRDefault="00A525C2" w:rsidP="003073B7">
      <w:pPr>
        <w:pStyle w:val="ListParagraph"/>
        <w:jc w:val="both"/>
        <w:rPr>
          <w:rFonts w:ascii="Arial" w:hAnsi="Arial" w:cs="Arial"/>
          <w:sz w:val="24"/>
          <w:szCs w:val="24"/>
          <w:lang w:val="en-US"/>
        </w:rPr>
      </w:pPr>
    </w:p>
    <w:p w14:paraId="4C9BDE7A" w14:textId="59389C25" w:rsidR="00A525C2" w:rsidRDefault="00A525C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This is consistent with our anecdotal </w:t>
      </w:r>
      <w:r w:rsidR="004E3E79">
        <w:rPr>
          <w:rFonts w:ascii="Arial" w:hAnsi="Arial" w:cs="Arial"/>
          <w:sz w:val="24"/>
          <w:szCs w:val="24"/>
          <w:lang w:val="en-US"/>
        </w:rPr>
        <w:t>experience that</w:t>
      </w:r>
      <w:r>
        <w:rPr>
          <w:rFonts w:ascii="Arial" w:hAnsi="Arial" w:cs="Arial"/>
          <w:sz w:val="24"/>
          <w:szCs w:val="24"/>
          <w:lang w:val="en-US"/>
        </w:rPr>
        <w:t xml:space="preserve"> is that procedural shortcomings alone will seldom lead to an unfair dismissal finding when a valid reason for dismissal is established. </w:t>
      </w:r>
    </w:p>
    <w:p w14:paraId="12B2CDB5" w14:textId="77777777" w:rsidR="00A525C2" w:rsidRPr="00A525C2" w:rsidRDefault="00A525C2" w:rsidP="003073B7">
      <w:pPr>
        <w:pStyle w:val="ListParagraph"/>
        <w:jc w:val="both"/>
        <w:rPr>
          <w:rFonts w:ascii="Arial" w:hAnsi="Arial" w:cs="Arial"/>
          <w:sz w:val="24"/>
          <w:szCs w:val="24"/>
          <w:lang w:val="en-US"/>
        </w:rPr>
      </w:pPr>
    </w:p>
    <w:p w14:paraId="708A54FE" w14:textId="77777777" w:rsidR="001E3639" w:rsidRDefault="00A525C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believe the current test which is whether the dismissal was “harsh, unjust or unreasonable”</w:t>
      </w:r>
      <w:r w:rsidR="001E3639">
        <w:rPr>
          <w:rStyle w:val="FootnoteReference"/>
          <w:rFonts w:ascii="Arial" w:hAnsi="Arial" w:cs="Arial"/>
          <w:sz w:val="24"/>
          <w:szCs w:val="24"/>
          <w:lang w:val="en-US"/>
        </w:rPr>
        <w:footnoteReference w:id="18"/>
      </w:r>
      <w:r w:rsidR="001E3639">
        <w:rPr>
          <w:rFonts w:ascii="Arial" w:hAnsi="Arial" w:cs="Arial"/>
          <w:sz w:val="24"/>
          <w:szCs w:val="24"/>
          <w:lang w:val="en-US"/>
        </w:rPr>
        <w:t xml:space="preserve"> is appropriate and gives Commission members the discretion which is needed to take all the relevant circumstances into account. </w:t>
      </w:r>
    </w:p>
    <w:p w14:paraId="05EB95FA" w14:textId="77777777" w:rsidR="001E3639" w:rsidRPr="001E3639" w:rsidRDefault="001E3639" w:rsidP="003073B7">
      <w:pPr>
        <w:pStyle w:val="ListParagraph"/>
        <w:jc w:val="both"/>
        <w:rPr>
          <w:rFonts w:ascii="Arial" w:hAnsi="Arial" w:cs="Arial"/>
          <w:sz w:val="24"/>
          <w:szCs w:val="24"/>
          <w:lang w:val="en-US"/>
        </w:rPr>
      </w:pPr>
    </w:p>
    <w:p w14:paraId="39E55B7B" w14:textId="77777777" w:rsidR="001E3639" w:rsidRPr="001E3639" w:rsidRDefault="001E3639"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Further, explicitly undermining the significance of procedural fairness in the unfair dismissal decision-making process as proposed by the Draft Report</w:t>
      </w:r>
      <w:r>
        <w:rPr>
          <w:rStyle w:val="FootnoteReference"/>
          <w:rFonts w:ascii="Arial" w:hAnsi="Arial" w:cs="Arial"/>
          <w:sz w:val="24"/>
          <w:szCs w:val="24"/>
          <w:lang w:val="en-US"/>
        </w:rPr>
        <w:footnoteReference w:id="19"/>
      </w:r>
      <w:r>
        <w:rPr>
          <w:rFonts w:ascii="Arial" w:hAnsi="Arial" w:cs="Arial"/>
          <w:sz w:val="24"/>
          <w:szCs w:val="24"/>
          <w:lang w:val="en-US"/>
        </w:rPr>
        <w:t xml:space="preserve"> would be a retrograde step in Australian industrial relations as it would damage an important principle as cited by a Full Bench of the Australian Industrial Relations Commission in </w:t>
      </w:r>
      <w:r>
        <w:rPr>
          <w:rFonts w:ascii="Arial" w:hAnsi="Arial" w:cs="Arial"/>
          <w:i/>
          <w:sz w:val="24"/>
          <w:szCs w:val="24"/>
          <w:lang w:val="en-US"/>
        </w:rPr>
        <w:t>Crozier:</w:t>
      </w:r>
    </w:p>
    <w:p w14:paraId="2EF35859" w14:textId="77777777" w:rsidR="001E3639" w:rsidRPr="001E3639" w:rsidRDefault="001E3639" w:rsidP="003073B7">
      <w:pPr>
        <w:pStyle w:val="ListParagraph"/>
        <w:jc w:val="both"/>
        <w:rPr>
          <w:rFonts w:ascii="Arial" w:hAnsi="Arial" w:cs="Arial"/>
          <w:sz w:val="24"/>
          <w:szCs w:val="24"/>
          <w:lang w:val="en-US"/>
        </w:rPr>
      </w:pPr>
    </w:p>
    <w:p w14:paraId="48911FEE" w14:textId="77777777" w:rsidR="00A525C2" w:rsidRDefault="001E3639" w:rsidP="003073B7">
      <w:pPr>
        <w:pStyle w:val="ListParagraph"/>
        <w:spacing w:after="0"/>
        <w:ind w:left="1440"/>
        <w:jc w:val="both"/>
        <w:rPr>
          <w:rFonts w:ascii="Arial" w:hAnsi="Arial" w:cs="Arial"/>
          <w:sz w:val="24"/>
          <w:szCs w:val="24"/>
          <w:lang w:val="en-US"/>
        </w:rPr>
      </w:pPr>
      <w:r>
        <w:rPr>
          <w:rFonts w:ascii="Arial" w:hAnsi="Arial" w:cs="Arial"/>
          <w:i/>
          <w:sz w:val="24"/>
          <w:szCs w:val="24"/>
          <w:lang w:val="en-US"/>
        </w:rPr>
        <w:t>The relevant principle is that a person should not exercise legal power over another, to that person’s disadvantage and for a reason personal to him or her, without first affording the affected person an opportunity to present a case.</w:t>
      </w:r>
      <w:r>
        <w:rPr>
          <w:rStyle w:val="FootnoteReference"/>
          <w:rFonts w:ascii="Arial" w:hAnsi="Arial" w:cs="Arial"/>
          <w:i/>
          <w:sz w:val="24"/>
          <w:szCs w:val="24"/>
          <w:lang w:val="en-US"/>
        </w:rPr>
        <w:footnoteReference w:id="20"/>
      </w:r>
      <w:r>
        <w:rPr>
          <w:rFonts w:ascii="Arial" w:hAnsi="Arial" w:cs="Arial"/>
          <w:i/>
          <w:sz w:val="24"/>
          <w:szCs w:val="24"/>
          <w:lang w:val="en-US"/>
        </w:rPr>
        <w:t xml:space="preserve"> </w:t>
      </w:r>
      <w:r>
        <w:rPr>
          <w:rFonts w:ascii="Arial" w:hAnsi="Arial" w:cs="Arial"/>
          <w:sz w:val="24"/>
          <w:szCs w:val="24"/>
          <w:lang w:val="en-US"/>
        </w:rPr>
        <w:t xml:space="preserve"> </w:t>
      </w:r>
      <w:r w:rsidR="00A525C2">
        <w:rPr>
          <w:rFonts w:ascii="Arial" w:hAnsi="Arial" w:cs="Arial"/>
          <w:sz w:val="24"/>
          <w:szCs w:val="24"/>
          <w:lang w:val="en-US"/>
        </w:rPr>
        <w:t xml:space="preserve">  </w:t>
      </w:r>
    </w:p>
    <w:p w14:paraId="0282BFE3" w14:textId="77777777" w:rsidR="00A525C2" w:rsidRDefault="00A525C2" w:rsidP="003073B7">
      <w:pPr>
        <w:pStyle w:val="ListParagraph"/>
        <w:jc w:val="both"/>
        <w:rPr>
          <w:rFonts w:ascii="Arial" w:hAnsi="Arial" w:cs="Arial"/>
          <w:sz w:val="24"/>
          <w:szCs w:val="24"/>
          <w:lang w:val="en-US"/>
        </w:rPr>
      </w:pPr>
    </w:p>
    <w:p w14:paraId="6D081372" w14:textId="77777777" w:rsidR="009D281C" w:rsidRDefault="009D281C" w:rsidP="003073B7">
      <w:pPr>
        <w:pStyle w:val="ListParagraph"/>
        <w:numPr>
          <w:ilvl w:val="0"/>
          <w:numId w:val="2"/>
        </w:numPr>
        <w:jc w:val="both"/>
        <w:rPr>
          <w:rFonts w:ascii="Arial" w:hAnsi="Arial" w:cs="Arial"/>
          <w:sz w:val="24"/>
          <w:szCs w:val="24"/>
          <w:lang w:val="en-US"/>
        </w:rPr>
      </w:pPr>
      <w:r>
        <w:rPr>
          <w:rFonts w:ascii="Arial" w:hAnsi="Arial" w:cs="Arial"/>
          <w:sz w:val="24"/>
          <w:szCs w:val="24"/>
          <w:lang w:val="en-US"/>
        </w:rPr>
        <w:t>We also disagree with the Draft Report’s recommendation that reinstatemen</w:t>
      </w:r>
      <w:r w:rsidR="009C2D59">
        <w:rPr>
          <w:rFonts w:ascii="Arial" w:hAnsi="Arial" w:cs="Arial"/>
          <w:sz w:val="24"/>
          <w:szCs w:val="24"/>
          <w:lang w:val="en-US"/>
        </w:rPr>
        <w:t>t should not be the primary remedy for unfair dismissal applications</w:t>
      </w:r>
      <w:r>
        <w:rPr>
          <w:rFonts w:ascii="Arial" w:hAnsi="Arial" w:cs="Arial"/>
          <w:sz w:val="24"/>
          <w:szCs w:val="24"/>
          <w:lang w:val="en-US"/>
        </w:rPr>
        <w:t xml:space="preserve">. </w:t>
      </w:r>
    </w:p>
    <w:p w14:paraId="69DEEE28" w14:textId="77777777" w:rsidR="009D281C" w:rsidRDefault="009D281C" w:rsidP="003073B7">
      <w:pPr>
        <w:pStyle w:val="ListParagraph"/>
        <w:jc w:val="both"/>
        <w:rPr>
          <w:rFonts w:ascii="Arial" w:hAnsi="Arial" w:cs="Arial"/>
          <w:sz w:val="24"/>
          <w:szCs w:val="24"/>
          <w:lang w:val="en-US"/>
        </w:rPr>
      </w:pPr>
    </w:p>
    <w:p w14:paraId="28635B1C" w14:textId="77777777" w:rsidR="009D281C" w:rsidRDefault="009D281C" w:rsidP="003073B7">
      <w:pPr>
        <w:pStyle w:val="ListParagraph"/>
        <w:numPr>
          <w:ilvl w:val="0"/>
          <w:numId w:val="2"/>
        </w:numPr>
        <w:jc w:val="both"/>
        <w:rPr>
          <w:rFonts w:ascii="Arial" w:hAnsi="Arial" w:cs="Arial"/>
          <w:sz w:val="24"/>
          <w:szCs w:val="24"/>
          <w:lang w:val="en-US"/>
        </w:rPr>
      </w:pPr>
      <w:r>
        <w:rPr>
          <w:rFonts w:ascii="Arial" w:hAnsi="Arial" w:cs="Arial"/>
          <w:sz w:val="24"/>
          <w:szCs w:val="24"/>
          <w:lang w:val="en-US"/>
        </w:rPr>
        <w:t xml:space="preserve">Given reinstatement </w:t>
      </w:r>
      <w:r w:rsidR="009C2D59" w:rsidRPr="009C2D59">
        <w:rPr>
          <w:rFonts w:ascii="Arial" w:hAnsi="Arial" w:cs="Arial"/>
          <w:sz w:val="24"/>
          <w:szCs w:val="24"/>
          <w:u w:val="single"/>
          <w:lang w:val="en-US"/>
        </w:rPr>
        <w:t>is</w:t>
      </w:r>
      <w:r w:rsidR="009C2D59">
        <w:rPr>
          <w:rFonts w:ascii="Arial" w:hAnsi="Arial" w:cs="Arial"/>
          <w:sz w:val="24"/>
          <w:szCs w:val="24"/>
          <w:lang w:val="en-US"/>
        </w:rPr>
        <w:t xml:space="preserve"> </w:t>
      </w:r>
      <w:r w:rsidRPr="009C2D59">
        <w:rPr>
          <w:rFonts w:ascii="Arial" w:hAnsi="Arial" w:cs="Arial"/>
          <w:sz w:val="24"/>
          <w:szCs w:val="24"/>
          <w:lang w:val="en-US"/>
        </w:rPr>
        <w:t>currently</w:t>
      </w:r>
      <w:r>
        <w:rPr>
          <w:rFonts w:ascii="Arial" w:hAnsi="Arial" w:cs="Arial"/>
          <w:sz w:val="24"/>
          <w:szCs w:val="24"/>
          <w:lang w:val="en-US"/>
        </w:rPr>
        <w:t xml:space="preserve"> the prima</w:t>
      </w:r>
      <w:r w:rsidR="009C2D59">
        <w:rPr>
          <w:rFonts w:ascii="Arial" w:hAnsi="Arial" w:cs="Arial"/>
          <w:sz w:val="24"/>
          <w:szCs w:val="24"/>
          <w:lang w:val="en-US"/>
        </w:rPr>
        <w:t>ry remedy and yet was only order</w:t>
      </w:r>
      <w:r>
        <w:rPr>
          <w:rFonts w:ascii="Arial" w:hAnsi="Arial" w:cs="Arial"/>
          <w:sz w:val="24"/>
          <w:szCs w:val="24"/>
          <w:lang w:val="en-US"/>
        </w:rPr>
        <w:t xml:space="preserve">ed in 1% of the arbitrated cases in the 2013/2014 financial year, we would be extremely concerned that removing the emphasis on reinstatement would lead to this remedy never actually being granted. </w:t>
      </w:r>
    </w:p>
    <w:p w14:paraId="06AB0E34" w14:textId="77777777" w:rsidR="009D281C" w:rsidRPr="009D281C" w:rsidRDefault="009D281C" w:rsidP="003073B7">
      <w:pPr>
        <w:pStyle w:val="ListParagraph"/>
        <w:jc w:val="both"/>
        <w:rPr>
          <w:rFonts w:ascii="Arial" w:hAnsi="Arial" w:cs="Arial"/>
          <w:sz w:val="24"/>
          <w:szCs w:val="24"/>
          <w:lang w:val="en-US"/>
        </w:rPr>
      </w:pPr>
    </w:p>
    <w:p w14:paraId="6B4C89E0" w14:textId="77777777" w:rsidR="002F5459" w:rsidRDefault="009D281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This would be a shame because we have been involved in a number of cases whereby unfairly dismissed employees have been reinstated and then been able to provide loyal and dedicated service to their employer </w:t>
      </w:r>
      <w:r w:rsidR="009C2D59">
        <w:rPr>
          <w:rFonts w:ascii="Arial" w:hAnsi="Arial" w:cs="Arial"/>
          <w:sz w:val="24"/>
          <w:szCs w:val="24"/>
          <w:lang w:val="en-US"/>
        </w:rPr>
        <w:t xml:space="preserve">without issue </w:t>
      </w:r>
      <w:r>
        <w:rPr>
          <w:rFonts w:ascii="Arial" w:hAnsi="Arial" w:cs="Arial"/>
          <w:sz w:val="24"/>
          <w:szCs w:val="24"/>
          <w:lang w:val="en-US"/>
        </w:rPr>
        <w:t>for many years.</w:t>
      </w:r>
      <w:r w:rsidR="009C2D59">
        <w:rPr>
          <w:rStyle w:val="FootnoteReference"/>
          <w:rFonts w:ascii="Arial" w:hAnsi="Arial" w:cs="Arial"/>
          <w:sz w:val="24"/>
          <w:szCs w:val="24"/>
          <w:lang w:val="en-US"/>
        </w:rPr>
        <w:footnoteReference w:id="21"/>
      </w:r>
      <w:r>
        <w:rPr>
          <w:rFonts w:ascii="Arial" w:hAnsi="Arial" w:cs="Arial"/>
          <w:sz w:val="24"/>
          <w:szCs w:val="24"/>
          <w:lang w:val="en-US"/>
        </w:rPr>
        <w:t xml:space="preserve"> </w:t>
      </w:r>
    </w:p>
    <w:p w14:paraId="72523DEC" w14:textId="77777777" w:rsidR="009D281C" w:rsidRDefault="009D281C" w:rsidP="003073B7">
      <w:pPr>
        <w:spacing w:after="0"/>
        <w:jc w:val="both"/>
        <w:rPr>
          <w:rFonts w:ascii="Arial" w:hAnsi="Arial" w:cs="Arial"/>
          <w:sz w:val="24"/>
          <w:szCs w:val="24"/>
          <w:lang w:val="en-US"/>
        </w:rPr>
      </w:pPr>
    </w:p>
    <w:p w14:paraId="581E8822" w14:textId="77777777" w:rsidR="009D281C" w:rsidRDefault="009D281C" w:rsidP="003073B7">
      <w:pPr>
        <w:pStyle w:val="ListParagraph"/>
        <w:numPr>
          <w:ilvl w:val="0"/>
          <w:numId w:val="1"/>
        </w:numPr>
        <w:spacing w:after="0"/>
        <w:ind w:hanging="720"/>
        <w:jc w:val="both"/>
        <w:rPr>
          <w:rFonts w:ascii="Arial" w:hAnsi="Arial" w:cs="Arial"/>
          <w:b/>
          <w:sz w:val="28"/>
          <w:szCs w:val="28"/>
          <w:u w:val="single"/>
          <w:lang w:val="en-US"/>
        </w:rPr>
      </w:pPr>
      <w:r>
        <w:rPr>
          <w:rFonts w:ascii="Arial" w:hAnsi="Arial" w:cs="Arial"/>
          <w:b/>
          <w:sz w:val="28"/>
          <w:szCs w:val="28"/>
          <w:u w:val="single"/>
          <w:lang w:val="en-US"/>
        </w:rPr>
        <w:t>Enterprise bargaining</w:t>
      </w:r>
    </w:p>
    <w:p w14:paraId="265974DE" w14:textId="77777777" w:rsidR="009D281C" w:rsidRDefault="009D281C" w:rsidP="003073B7">
      <w:pPr>
        <w:spacing w:after="0"/>
        <w:jc w:val="both"/>
        <w:rPr>
          <w:rFonts w:ascii="Arial" w:hAnsi="Arial" w:cs="Arial"/>
          <w:b/>
          <w:sz w:val="28"/>
          <w:szCs w:val="28"/>
          <w:u w:val="single"/>
          <w:lang w:val="en-US"/>
        </w:rPr>
      </w:pPr>
    </w:p>
    <w:p w14:paraId="030CCB6D" w14:textId="64BF03A7" w:rsidR="002E634C" w:rsidRDefault="002E634C" w:rsidP="003073B7">
      <w:pPr>
        <w:spacing w:after="0"/>
        <w:jc w:val="both"/>
        <w:rPr>
          <w:rFonts w:ascii="Arial" w:hAnsi="Arial" w:cs="Arial"/>
          <w:b/>
          <w:sz w:val="24"/>
          <w:szCs w:val="24"/>
          <w:lang w:val="en-US"/>
        </w:rPr>
      </w:pPr>
      <w:r>
        <w:rPr>
          <w:rFonts w:ascii="Arial" w:hAnsi="Arial" w:cs="Arial"/>
          <w:b/>
          <w:sz w:val="24"/>
          <w:szCs w:val="24"/>
          <w:lang w:val="en-US"/>
        </w:rPr>
        <w:t>Procedural defects</w:t>
      </w:r>
    </w:p>
    <w:p w14:paraId="357CD2C8" w14:textId="77777777" w:rsidR="004E3E79" w:rsidRPr="004E3E79" w:rsidRDefault="004E3E79" w:rsidP="003073B7">
      <w:pPr>
        <w:spacing w:after="0"/>
        <w:jc w:val="both"/>
        <w:rPr>
          <w:rFonts w:ascii="Arial" w:hAnsi="Arial" w:cs="Arial"/>
          <w:b/>
          <w:sz w:val="24"/>
          <w:szCs w:val="24"/>
          <w:lang w:val="en-US"/>
        </w:rPr>
      </w:pPr>
    </w:p>
    <w:p w14:paraId="1CE4CEBF" w14:textId="06DCBF82" w:rsidR="009D281C" w:rsidRDefault="009D281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Draft Report </w:t>
      </w:r>
      <w:r w:rsidR="001A4B4E">
        <w:rPr>
          <w:rFonts w:ascii="Arial" w:hAnsi="Arial" w:cs="Arial"/>
          <w:sz w:val="24"/>
          <w:szCs w:val="24"/>
          <w:lang w:val="en-US"/>
        </w:rPr>
        <w:t xml:space="preserve">recommends that the Fair Work Commission should have discretion to approve enterprise agreements if there are procedural </w:t>
      </w:r>
      <w:r w:rsidR="004E3E79">
        <w:rPr>
          <w:rFonts w:ascii="Arial" w:hAnsi="Arial" w:cs="Arial"/>
          <w:sz w:val="24"/>
          <w:szCs w:val="24"/>
          <w:lang w:val="en-US"/>
        </w:rPr>
        <w:t>defects, which</w:t>
      </w:r>
      <w:r w:rsidR="001A4B4E">
        <w:rPr>
          <w:rFonts w:ascii="Arial" w:hAnsi="Arial" w:cs="Arial"/>
          <w:sz w:val="24"/>
          <w:szCs w:val="24"/>
          <w:lang w:val="en-US"/>
        </w:rPr>
        <w:t xml:space="preserve"> pose no risk to employees. </w:t>
      </w:r>
    </w:p>
    <w:p w14:paraId="10DC2712" w14:textId="77777777" w:rsidR="001A4B4E" w:rsidRDefault="001A4B4E" w:rsidP="003073B7">
      <w:pPr>
        <w:pStyle w:val="ListParagraph"/>
        <w:spacing w:after="0"/>
        <w:jc w:val="both"/>
        <w:rPr>
          <w:rFonts w:ascii="Arial" w:hAnsi="Arial" w:cs="Arial"/>
          <w:sz w:val="24"/>
          <w:szCs w:val="24"/>
          <w:lang w:val="en-US"/>
        </w:rPr>
      </w:pPr>
    </w:p>
    <w:p w14:paraId="17975651" w14:textId="606E8D91" w:rsidR="001A4B4E" w:rsidRPr="004E3E79" w:rsidRDefault="001A4B4E" w:rsidP="004E3E79">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This recommendation is not without merit. However, compliance with the procedure</w:t>
      </w:r>
      <w:r w:rsidR="00526E32">
        <w:rPr>
          <w:rFonts w:ascii="Arial" w:hAnsi="Arial" w:cs="Arial"/>
          <w:sz w:val="24"/>
          <w:szCs w:val="24"/>
          <w:lang w:val="en-US"/>
        </w:rPr>
        <w:t>s</w:t>
      </w:r>
      <w:r>
        <w:rPr>
          <w:rFonts w:ascii="Arial" w:hAnsi="Arial" w:cs="Arial"/>
          <w:sz w:val="24"/>
          <w:szCs w:val="24"/>
          <w:lang w:val="en-US"/>
        </w:rPr>
        <w:t xml:space="preserve"> specified in the legislation must be strongly encouraged so any discretion should be confined to exceptional circumstances.</w:t>
      </w:r>
    </w:p>
    <w:p w14:paraId="5005C224" w14:textId="77777777" w:rsidR="004E3E79" w:rsidRDefault="004E3E79" w:rsidP="004E3E79">
      <w:pPr>
        <w:pStyle w:val="ListParagraph"/>
        <w:spacing w:after="0"/>
        <w:jc w:val="both"/>
        <w:rPr>
          <w:rFonts w:ascii="Arial" w:hAnsi="Arial" w:cs="Arial"/>
          <w:sz w:val="24"/>
          <w:szCs w:val="24"/>
          <w:lang w:val="en-US"/>
        </w:rPr>
      </w:pPr>
    </w:p>
    <w:p w14:paraId="0B7E5DEA" w14:textId="7115A87B" w:rsidR="004E3E79" w:rsidRPr="004E3E79" w:rsidRDefault="001A4B4E" w:rsidP="004E3E79">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lastRenderedPageBreak/>
        <w:t>We also note that discretion inevitably leads to more subjective decision-</w:t>
      </w:r>
      <w:r w:rsidR="004E3E79">
        <w:rPr>
          <w:rFonts w:ascii="Arial" w:hAnsi="Arial" w:cs="Arial"/>
          <w:sz w:val="24"/>
          <w:szCs w:val="24"/>
          <w:lang w:val="en-US"/>
        </w:rPr>
        <w:t xml:space="preserve">making, </w:t>
      </w:r>
      <w:r w:rsidR="004E3E79" w:rsidRPr="004E3E79">
        <w:rPr>
          <w:rFonts w:ascii="Arial" w:hAnsi="Arial" w:cs="Arial"/>
          <w:sz w:val="24"/>
          <w:szCs w:val="24"/>
          <w:lang w:val="en-US"/>
        </w:rPr>
        <w:t>which</w:t>
      </w:r>
      <w:r w:rsidR="00A556F0" w:rsidRPr="004E3E79">
        <w:rPr>
          <w:rFonts w:ascii="Arial" w:hAnsi="Arial" w:cs="Arial"/>
          <w:sz w:val="24"/>
          <w:szCs w:val="24"/>
          <w:lang w:val="en-US"/>
        </w:rPr>
        <w:t xml:space="preserve"> is something </w:t>
      </w:r>
      <w:r w:rsidRPr="004E3E79">
        <w:rPr>
          <w:rFonts w:ascii="Arial" w:hAnsi="Arial" w:cs="Arial"/>
          <w:sz w:val="24"/>
          <w:szCs w:val="24"/>
          <w:lang w:val="en-US"/>
        </w:rPr>
        <w:t xml:space="preserve">the Fair Work Commission is </w:t>
      </w:r>
      <w:proofErr w:type="spellStart"/>
      <w:r w:rsidRPr="004E3E79">
        <w:rPr>
          <w:rFonts w:ascii="Arial" w:hAnsi="Arial" w:cs="Arial"/>
          <w:sz w:val="24"/>
          <w:szCs w:val="24"/>
          <w:lang w:val="en-US"/>
        </w:rPr>
        <w:t>criticised</w:t>
      </w:r>
      <w:proofErr w:type="spellEnd"/>
      <w:r w:rsidRPr="004E3E79">
        <w:rPr>
          <w:rFonts w:ascii="Arial" w:hAnsi="Arial" w:cs="Arial"/>
          <w:sz w:val="24"/>
          <w:szCs w:val="24"/>
          <w:lang w:val="en-US"/>
        </w:rPr>
        <w:t xml:space="preserve"> for </w:t>
      </w:r>
      <w:r w:rsidR="00526E32" w:rsidRPr="004E3E79">
        <w:rPr>
          <w:rFonts w:ascii="Arial" w:hAnsi="Arial" w:cs="Arial"/>
          <w:sz w:val="24"/>
          <w:szCs w:val="24"/>
          <w:lang w:val="en-US"/>
        </w:rPr>
        <w:t xml:space="preserve">earlier </w:t>
      </w:r>
      <w:r w:rsidRPr="004E3E79">
        <w:rPr>
          <w:rFonts w:ascii="Arial" w:hAnsi="Arial" w:cs="Arial"/>
          <w:sz w:val="24"/>
          <w:szCs w:val="24"/>
          <w:lang w:val="en-US"/>
        </w:rPr>
        <w:t>in the Draft Report.</w:t>
      </w:r>
      <w:r>
        <w:rPr>
          <w:rStyle w:val="FootnoteReference"/>
          <w:rFonts w:ascii="Arial" w:hAnsi="Arial" w:cs="Arial"/>
          <w:sz w:val="24"/>
          <w:szCs w:val="24"/>
          <w:lang w:val="en-US"/>
        </w:rPr>
        <w:footnoteReference w:id="22"/>
      </w:r>
      <w:r w:rsidR="004E3E79" w:rsidRPr="004E3E79">
        <w:rPr>
          <w:rFonts w:ascii="Arial" w:hAnsi="Arial" w:cs="Arial"/>
          <w:sz w:val="24"/>
          <w:szCs w:val="24"/>
          <w:lang w:val="en-US"/>
        </w:rPr>
        <w:t xml:space="preserve">   </w:t>
      </w:r>
    </w:p>
    <w:p w14:paraId="48A20A9F" w14:textId="77777777" w:rsidR="004E3E79" w:rsidRPr="004E3E79" w:rsidRDefault="004E3E79" w:rsidP="004E3E79">
      <w:pPr>
        <w:pStyle w:val="ListParagraph"/>
        <w:spacing w:after="0"/>
        <w:jc w:val="both"/>
        <w:rPr>
          <w:rFonts w:ascii="Arial" w:hAnsi="Arial" w:cs="Arial"/>
          <w:sz w:val="24"/>
          <w:szCs w:val="24"/>
          <w:lang w:val="en-US"/>
        </w:rPr>
      </w:pPr>
    </w:p>
    <w:p w14:paraId="33B21621" w14:textId="77777777" w:rsidR="002E634C" w:rsidRPr="002E634C" w:rsidRDefault="002E634C" w:rsidP="002E634C">
      <w:pPr>
        <w:spacing w:after="0"/>
        <w:rPr>
          <w:rFonts w:ascii="Arial" w:hAnsi="Arial" w:cs="Arial"/>
          <w:b/>
          <w:sz w:val="24"/>
          <w:szCs w:val="24"/>
          <w:lang w:val="en-US"/>
        </w:rPr>
      </w:pPr>
      <w:r>
        <w:rPr>
          <w:rFonts w:ascii="Arial" w:hAnsi="Arial" w:cs="Arial"/>
          <w:b/>
          <w:sz w:val="24"/>
          <w:szCs w:val="24"/>
          <w:lang w:val="en-US"/>
        </w:rPr>
        <w:t xml:space="preserve">Further procedural issue – undertakings </w:t>
      </w:r>
    </w:p>
    <w:p w14:paraId="5207CE66" w14:textId="77777777" w:rsidR="002E634C" w:rsidRPr="002E634C" w:rsidRDefault="002E634C" w:rsidP="002E634C">
      <w:pPr>
        <w:spacing w:after="0"/>
        <w:rPr>
          <w:rFonts w:ascii="Arial" w:hAnsi="Arial" w:cs="Arial"/>
          <w:sz w:val="24"/>
          <w:szCs w:val="24"/>
          <w:lang w:val="en-US"/>
        </w:rPr>
      </w:pPr>
    </w:p>
    <w:p w14:paraId="1085F3CD" w14:textId="77777777" w:rsidR="001A4B4E"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Another procedural issue that should be considered is amending the way undertakings are applied for an enterprise agreement.</w:t>
      </w:r>
    </w:p>
    <w:p w14:paraId="7DE6C3A7" w14:textId="77777777" w:rsidR="001A4B4E" w:rsidRPr="001A4B4E" w:rsidRDefault="001A4B4E" w:rsidP="003073B7">
      <w:pPr>
        <w:pStyle w:val="ListParagraph"/>
        <w:spacing w:after="0"/>
        <w:jc w:val="both"/>
        <w:rPr>
          <w:rFonts w:ascii="Arial" w:hAnsi="Arial" w:cs="Arial"/>
          <w:sz w:val="24"/>
          <w:szCs w:val="24"/>
          <w:lang w:val="en-US"/>
        </w:rPr>
      </w:pPr>
    </w:p>
    <w:p w14:paraId="18ECE91D" w14:textId="77777777" w:rsidR="001A4B4E"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practical outcome of the current arrangements is that an enterprise agreement is approved in the terms filed but often with undertakings appearing at the beginning of the document. </w:t>
      </w:r>
    </w:p>
    <w:p w14:paraId="53B7B25C" w14:textId="77777777" w:rsidR="001A4B4E" w:rsidRPr="001A4B4E" w:rsidRDefault="001A4B4E" w:rsidP="003073B7">
      <w:pPr>
        <w:pStyle w:val="ListParagraph"/>
        <w:jc w:val="both"/>
        <w:rPr>
          <w:rFonts w:ascii="Arial" w:hAnsi="Arial" w:cs="Arial"/>
          <w:sz w:val="24"/>
          <w:szCs w:val="24"/>
          <w:lang w:val="en-US"/>
        </w:rPr>
      </w:pPr>
    </w:p>
    <w:p w14:paraId="49424F6F" w14:textId="77777777" w:rsidR="001A4B4E"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This means defective clauses still appear in the agr</w:t>
      </w:r>
      <w:r w:rsidR="00A556F0">
        <w:rPr>
          <w:rFonts w:ascii="Arial" w:hAnsi="Arial" w:cs="Arial"/>
          <w:sz w:val="24"/>
          <w:szCs w:val="24"/>
          <w:lang w:val="en-US"/>
        </w:rPr>
        <w:t>eement but are read with regard</w:t>
      </w:r>
      <w:r>
        <w:rPr>
          <w:rFonts w:ascii="Arial" w:hAnsi="Arial" w:cs="Arial"/>
          <w:sz w:val="24"/>
          <w:szCs w:val="24"/>
          <w:lang w:val="en-US"/>
        </w:rPr>
        <w:t xml:space="preserve"> to the approved undertakings. </w:t>
      </w:r>
    </w:p>
    <w:p w14:paraId="0FEE3144" w14:textId="77777777" w:rsidR="001A4B4E" w:rsidRPr="001A4B4E" w:rsidRDefault="001A4B4E" w:rsidP="003073B7">
      <w:pPr>
        <w:pStyle w:val="ListParagraph"/>
        <w:jc w:val="both"/>
        <w:rPr>
          <w:rFonts w:ascii="Arial" w:hAnsi="Arial" w:cs="Arial"/>
          <w:sz w:val="24"/>
          <w:szCs w:val="24"/>
          <w:lang w:val="en-US"/>
        </w:rPr>
      </w:pPr>
    </w:p>
    <w:p w14:paraId="3FE4AC4F" w14:textId="77777777" w:rsidR="001A4B4E"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It would be simpler and easier if the Fair Work Commission was empowered to approve a “final” version of the agreement which has the defective clauses modified in accordance with the approved undertakings. This would merely reflect the intended legal effect in simpler terms.</w:t>
      </w:r>
    </w:p>
    <w:p w14:paraId="42B32BCA" w14:textId="77777777" w:rsidR="002E634C" w:rsidRDefault="002E634C" w:rsidP="003073B7">
      <w:pPr>
        <w:spacing w:after="0"/>
        <w:jc w:val="both"/>
        <w:rPr>
          <w:rFonts w:ascii="Arial" w:hAnsi="Arial" w:cs="Arial"/>
          <w:sz w:val="24"/>
          <w:szCs w:val="24"/>
          <w:lang w:val="en-US"/>
        </w:rPr>
      </w:pPr>
    </w:p>
    <w:p w14:paraId="6EA3BD18" w14:textId="77777777" w:rsidR="002E634C" w:rsidRPr="002E634C" w:rsidRDefault="002E634C" w:rsidP="003073B7">
      <w:pPr>
        <w:spacing w:after="0"/>
        <w:jc w:val="both"/>
        <w:rPr>
          <w:rFonts w:ascii="Arial" w:hAnsi="Arial" w:cs="Arial"/>
          <w:b/>
          <w:sz w:val="24"/>
          <w:szCs w:val="24"/>
          <w:lang w:val="en-US"/>
        </w:rPr>
      </w:pPr>
      <w:r>
        <w:rPr>
          <w:rFonts w:ascii="Arial" w:hAnsi="Arial" w:cs="Arial"/>
          <w:b/>
          <w:sz w:val="24"/>
          <w:szCs w:val="24"/>
          <w:lang w:val="en-US"/>
        </w:rPr>
        <w:t>BOOT</w:t>
      </w:r>
    </w:p>
    <w:p w14:paraId="1A9A4452" w14:textId="77777777" w:rsidR="002E634C" w:rsidRPr="002E634C" w:rsidRDefault="002E634C" w:rsidP="003073B7">
      <w:pPr>
        <w:spacing w:after="0"/>
        <w:jc w:val="both"/>
        <w:rPr>
          <w:rFonts w:ascii="Arial" w:hAnsi="Arial" w:cs="Arial"/>
          <w:sz w:val="24"/>
          <w:szCs w:val="24"/>
          <w:lang w:val="en-US"/>
        </w:rPr>
      </w:pPr>
    </w:p>
    <w:p w14:paraId="2B3BC858" w14:textId="77777777" w:rsidR="002E634C"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do not support any modification of the current Better Off Overall Test (BOOT). </w:t>
      </w:r>
    </w:p>
    <w:p w14:paraId="2F81A78B" w14:textId="77777777" w:rsidR="002E634C" w:rsidRDefault="002E634C" w:rsidP="003073B7">
      <w:pPr>
        <w:pStyle w:val="ListParagraph"/>
        <w:spacing w:after="0"/>
        <w:jc w:val="both"/>
        <w:rPr>
          <w:rFonts w:ascii="Arial" w:hAnsi="Arial" w:cs="Arial"/>
          <w:sz w:val="24"/>
          <w:szCs w:val="24"/>
          <w:lang w:val="en-US"/>
        </w:rPr>
      </w:pPr>
    </w:p>
    <w:p w14:paraId="13B15062" w14:textId="29781728" w:rsidR="002E634C" w:rsidRPr="004E3E79" w:rsidRDefault="001A4B4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Whilst we acknowledge a ‘line by line’ approach to assessing an enterprise agreement did initially occur to some ex</w:t>
      </w:r>
      <w:r w:rsidR="00A556F0">
        <w:rPr>
          <w:rFonts w:ascii="Arial" w:hAnsi="Arial" w:cs="Arial"/>
          <w:sz w:val="24"/>
          <w:szCs w:val="24"/>
          <w:lang w:val="en-US"/>
        </w:rPr>
        <w:t>tent</w:t>
      </w:r>
      <w:r>
        <w:rPr>
          <w:rFonts w:ascii="Arial" w:hAnsi="Arial" w:cs="Arial"/>
          <w:sz w:val="24"/>
          <w:szCs w:val="24"/>
          <w:lang w:val="en-US"/>
        </w:rPr>
        <w:t xml:space="preserve"> following the commencement of the </w:t>
      </w:r>
      <w:r>
        <w:rPr>
          <w:rFonts w:ascii="Arial" w:hAnsi="Arial" w:cs="Arial"/>
          <w:i/>
          <w:sz w:val="24"/>
          <w:szCs w:val="24"/>
          <w:lang w:val="en-US"/>
        </w:rPr>
        <w:t>Fair Work Act 2009</w:t>
      </w:r>
      <w:r>
        <w:rPr>
          <w:rFonts w:ascii="Arial" w:hAnsi="Arial" w:cs="Arial"/>
          <w:sz w:val="24"/>
          <w:szCs w:val="24"/>
          <w:lang w:val="en-US"/>
        </w:rPr>
        <w:t xml:space="preserve">, our experience is that this practice has </w:t>
      </w:r>
      <w:r w:rsidR="00526E32">
        <w:rPr>
          <w:rFonts w:ascii="Arial" w:hAnsi="Arial" w:cs="Arial"/>
          <w:sz w:val="24"/>
          <w:szCs w:val="24"/>
          <w:lang w:val="en-US"/>
        </w:rPr>
        <w:t xml:space="preserve">now </w:t>
      </w:r>
      <w:r>
        <w:rPr>
          <w:rFonts w:ascii="Arial" w:hAnsi="Arial" w:cs="Arial"/>
          <w:sz w:val="24"/>
          <w:szCs w:val="24"/>
          <w:lang w:val="en-US"/>
        </w:rPr>
        <w:t xml:space="preserve">been extinguished by Full Bench decisions which have confirmed the correct approach. </w:t>
      </w:r>
    </w:p>
    <w:p w14:paraId="146580DE" w14:textId="77777777" w:rsidR="003073B7" w:rsidRDefault="003073B7" w:rsidP="003073B7">
      <w:pPr>
        <w:spacing w:after="0"/>
        <w:jc w:val="both"/>
        <w:rPr>
          <w:rFonts w:ascii="Arial" w:hAnsi="Arial" w:cs="Arial"/>
          <w:b/>
          <w:sz w:val="24"/>
          <w:szCs w:val="24"/>
          <w:lang w:val="en-US"/>
        </w:rPr>
      </w:pPr>
    </w:p>
    <w:p w14:paraId="150D8025" w14:textId="77777777" w:rsidR="002E634C" w:rsidRPr="002E634C" w:rsidRDefault="002E634C" w:rsidP="003073B7">
      <w:pPr>
        <w:spacing w:after="0"/>
        <w:jc w:val="both"/>
        <w:rPr>
          <w:rFonts w:ascii="Arial" w:hAnsi="Arial" w:cs="Arial"/>
          <w:b/>
          <w:sz w:val="24"/>
          <w:szCs w:val="24"/>
          <w:lang w:val="en-US"/>
        </w:rPr>
      </w:pPr>
      <w:r>
        <w:rPr>
          <w:rFonts w:ascii="Arial" w:hAnsi="Arial" w:cs="Arial"/>
          <w:b/>
          <w:sz w:val="24"/>
          <w:szCs w:val="24"/>
          <w:lang w:val="en-US"/>
        </w:rPr>
        <w:t>Greenfields agreements</w:t>
      </w:r>
    </w:p>
    <w:p w14:paraId="41F9C776" w14:textId="77777777" w:rsidR="002E634C" w:rsidRPr="001A4B4E" w:rsidRDefault="002E634C" w:rsidP="003073B7">
      <w:pPr>
        <w:pStyle w:val="ListParagraph"/>
        <w:spacing w:after="0"/>
        <w:jc w:val="both"/>
        <w:rPr>
          <w:rFonts w:ascii="Arial" w:hAnsi="Arial" w:cs="Arial"/>
          <w:sz w:val="24"/>
          <w:szCs w:val="24"/>
          <w:lang w:val="en-US"/>
        </w:rPr>
      </w:pPr>
    </w:p>
    <w:p w14:paraId="2665C04D" w14:textId="77777777" w:rsidR="002E634C" w:rsidRDefault="002E634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 Draft Report notes the use of greenfields agreements has expanded from comprising 6.4% of enterprise agreements in September 2011 to the current figure of 10%.</w:t>
      </w:r>
      <w:r>
        <w:rPr>
          <w:rStyle w:val="FootnoteReference"/>
          <w:rFonts w:ascii="Arial" w:hAnsi="Arial" w:cs="Arial"/>
          <w:sz w:val="24"/>
          <w:szCs w:val="24"/>
          <w:lang w:val="en-US"/>
        </w:rPr>
        <w:footnoteReference w:id="23"/>
      </w:r>
    </w:p>
    <w:p w14:paraId="288F19EC" w14:textId="77777777" w:rsidR="002E634C" w:rsidRDefault="002E634C" w:rsidP="003073B7">
      <w:pPr>
        <w:pStyle w:val="ListParagraph"/>
        <w:spacing w:after="0"/>
        <w:jc w:val="both"/>
        <w:rPr>
          <w:rFonts w:ascii="Arial" w:hAnsi="Arial" w:cs="Arial"/>
          <w:sz w:val="24"/>
          <w:szCs w:val="24"/>
          <w:lang w:val="en-US"/>
        </w:rPr>
      </w:pPr>
    </w:p>
    <w:p w14:paraId="14E2454F" w14:textId="77777777" w:rsidR="00A556F0" w:rsidRDefault="002E634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The higher </w:t>
      </w:r>
      <w:proofErr w:type="spellStart"/>
      <w:r>
        <w:rPr>
          <w:rFonts w:ascii="Arial" w:hAnsi="Arial" w:cs="Arial"/>
          <w:sz w:val="24"/>
          <w:szCs w:val="24"/>
          <w:lang w:val="en-US"/>
        </w:rPr>
        <w:t>utilisation</w:t>
      </w:r>
      <w:proofErr w:type="spellEnd"/>
      <w:r>
        <w:rPr>
          <w:rFonts w:ascii="Arial" w:hAnsi="Arial" w:cs="Arial"/>
          <w:sz w:val="24"/>
          <w:szCs w:val="24"/>
          <w:lang w:val="en-US"/>
        </w:rPr>
        <w:t xml:space="preserve"> of </w:t>
      </w:r>
      <w:proofErr w:type="spellStart"/>
      <w:r>
        <w:rPr>
          <w:rFonts w:ascii="Arial" w:hAnsi="Arial" w:cs="Arial"/>
          <w:sz w:val="24"/>
          <w:szCs w:val="24"/>
          <w:lang w:val="en-US"/>
        </w:rPr>
        <w:t>greenfields</w:t>
      </w:r>
      <w:proofErr w:type="spellEnd"/>
      <w:r>
        <w:rPr>
          <w:rFonts w:ascii="Arial" w:hAnsi="Arial" w:cs="Arial"/>
          <w:sz w:val="24"/>
          <w:szCs w:val="24"/>
          <w:lang w:val="en-US"/>
        </w:rPr>
        <w:t xml:space="preserve"> agreements is seemingly an indication that the current system is acceptable for industrial parties and that changes are not necessary.</w:t>
      </w:r>
    </w:p>
    <w:p w14:paraId="75FD34B7" w14:textId="138A38BC" w:rsidR="004E3E79" w:rsidRPr="00A556F0" w:rsidRDefault="002E634C" w:rsidP="003073B7">
      <w:pPr>
        <w:spacing w:after="0"/>
        <w:jc w:val="both"/>
        <w:rPr>
          <w:rFonts w:ascii="Arial" w:hAnsi="Arial" w:cs="Arial"/>
          <w:sz w:val="24"/>
          <w:szCs w:val="24"/>
          <w:lang w:val="en-US"/>
        </w:rPr>
      </w:pPr>
      <w:r w:rsidRPr="00A556F0">
        <w:rPr>
          <w:rFonts w:ascii="Arial" w:hAnsi="Arial" w:cs="Arial"/>
          <w:sz w:val="24"/>
          <w:szCs w:val="24"/>
          <w:lang w:val="en-US"/>
        </w:rPr>
        <w:t xml:space="preserve"> </w:t>
      </w:r>
    </w:p>
    <w:p w14:paraId="060A13E7" w14:textId="77777777" w:rsidR="002E634C" w:rsidRPr="002E634C" w:rsidRDefault="002E634C" w:rsidP="003073B7">
      <w:pPr>
        <w:jc w:val="both"/>
        <w:rPr>
          <w:rFonts w:ascii="Arial" w:hAnsi="Arial" w:cs="Arial"/>
          <w:b/>
          <w:sz w:val="24"/>
          <w:szCs w:val="24"/>
          <w:lang w:val="en-US"/>
        </w:rPr>
      </w:pPr>
      <w:r>
        <w:rPr>
          <w:rFonts w:ascii="Arial" w:hAnsi="Arial" w:cs="Arial"/>
          <w:b/>
          <w:sz w:val="24"/>
          <w:szCs w:val="24"/>
          <w:lang w:val="en-US"/>
        </w:rPr>
        <w:lastRenderedPageBreak/>
        <w:t>Content of enterprise agreements</w:t>
      </w:r>
    </w:p>
    <w:p w14:paraId="4BAA2ECD" w14:textId="77777777" w:rsidR="002E634C" w:rsidRDefault="002E634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are strongly opposed to the Draft Report’s recommendation that</w:t>
      </w:r>
      <w:r w:rsidR="00B16F34">
        <w:rPr>
          <w:rFonts w:ascii="Arial" w:hAnsi="Arial" w:cs="Arial"/>
          <w:sz w:val="24"/>
          <w:szCs w:val="24"/>
          <w:lang w:val="en-US"/>
        </w:rPr>
        <w:t xml:space="preserve"> agreement </w:t>
      </w:r>
      <w:r>
        <w:rPr>
          <w:rFonts w:ascii="Arial" w:hAnsi="Arial" w:cs="Arial"/>
          <w:sz w:val="24"/>
          <w:szCs w:val="24"/>
          <w:lang w:val="en-US"/>
        </w:rPr>
        <w:t>terms</w:t>
      </w:r>
      <w:r w:rsidR="00155643">
        <w:rPr>
          <w:rFonts w:ascii="Arial" w:hAnsi="Arial" w:cs="Arial"/>
          <w:sz w:val="24"/>
          <w:szCs w:val="24"/>
          <w:lang w:val="en-US"/>
        </w:rPr>
        <w:t>,</w:t>
      </w:r>
      <w:r>
        <w:rPr>
          <w:rFonts w:ascii="Arial" w:hAnsi="Arial" w:cs="Arial"/>
          <w:sz w:val="24"/>
          <w:szCs w:val="24"/>
          <w:lang w:val="en-US"/>
        </w:rPr>
        <w:t xml:space="preserve"> which limi</w:t>
      </w:r>
      <w:r w:rsidR="00B16F34">
        <w:rPr>
          <w:rFonts w:ascii="Arial" w:hAnsi="Arial" w:cs="Arial"/>
          <w:sz w:val="24"/>
          <w:szCs w:val="24"/>
          <w:lang w:val="en-US"/>
        </w:rPr>
        <w:t xml:space="preserve">t or </w:t>
      </w:r>
      <w:r>
        <w:rPr>
          <w:rFonts w:ascii="Arial" w:hAnsi="Arial" w:cs="Arial"/>
          <w:sz w:val="24"/>
          <w:szCs w:val="24"/>
          <w:lang w:val="en-US"/>
        </w:rPr>
        <w:t xml:space="preserve">regulate the use of contractors and </w:t>
      </w:r>
      <w:proofErr w:type="spellStart"/>
      <w:r>
        <w:rPr>
          <w:rFonts w:ascii="Arial" w:hAnsi="Arial" w:cs="Arial"/>
          <w:sz w:val="24"/>
          <w:szCs w:val="24"/>
          <w:lang w:val="en-US"/>
        </w:rPr>
        <w:t>labour</w:t>
      </w:r>
      <w:proofErr w:type="spellEnd"/>
      <w:r>
        <w:rPr>
          <w:rFonts w:ascii="Arial" w:hAnsi="Arial" w:cs="Arial"/>
          <w:sz w:val="24"/>
          <w:szCs w:val="24"/>
          <w:lang w:val="en-US"/>
        </w:rPr>
        <w:t xml:space="preserve"> hire</w:t>
      </w:r>
      <w:r w:rsidR="00B16F34">
        <w:rPr>
          <w:rFonts w:ascii="Arial" w:hAnsi="Arial" w:cs="Arial"/>
          <w:sz w:val="24"/>
          <w:szCs w:val="24"/>
          <w:lang w:val="en-US"/>
        </w:rPr>
        <w:t xml:space="preserve"> should not be permitted</w:t>
      </w:r>
      <w:r>
        <w:rPr>
          <w:rFonts w:ascii="Arial" w:hAnsi="Arial" w:cs="Arial"/>
          <w:sz w:val="24"/>
          <w:szCs w:val="24"/>
          <w:lang w:val="en-US"/>
        </w:rPr>
        <w:t>.</w:t>
      </w:r>
      <w:r>
        <w:rPr>
          <w:rStyle w:val="FootnoteReference"/>
          <w:rFonts w:ascii="Arial" w:hAnsi="Arial" w:cs="Arial"/>
          <w:sz w:val="24"/>
          <w:szCs w:val="24"/>
          <w:lang w:val="en-US"/>
        </w:rPr>
        <w:footnoteReference w:id="24"/>
      </w:r>
    </w:p>
    <w:p w14:paraId="5AD25CEA" w14:textId="77777777" w:rsidR="002E634C" w:rsidRDefault="002E634C" w:rsidP="003073B7">
      <w:pPr>
        <w:pStyle w:val="ListParagraph"/>
        <w:spacing w:after="0"/>
        <w:jc w:val="both"/>
        <w:rPr>
          <w:rFonts w:ascii="Arial" w:hAnsi="Arial" w:cs="Arial"/>
          <w:sz w:val="24"/>
          <w:szCs w:val="24"/>
          <w:lang w:val="en-US"/>
        </w:rPr>
      </w:pPr>
    </w:p>
    <w:p w14:paraId="5343732B" w14:textId="77777777" w:rsidR="002E634C" w:rsidRDefault="002E634C"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These types of terms have a direct connection with job security for employees covered by the relevant agreement.</w:t>
      </w:r>
      <w:r w:rsidR="00A556F0">
        <w:rPr>
          <w:rFonts w:ascii="Arial" w:hAnsi="Arial" w:cs="Arial"/>
          <w:sz w:val="24"/>
          <w:szCs w:val="24"/>
          <w:lang w:val="en-US"/>
        </w:rPr>
        <w:t xml:space="preserve"> This has been confirmed in a number of decisions including by a Full Court of the Federal Court in 2012.</w:t>
      </w:r>
      <w:r w:rsidR="00A556F0">
        <w:rPr>
          <w:rStyle w:val="FootnoteReference"/>
          <w:rFonts w:ascii="Arial" w:hAnsi="Arial" w:cs="Arial"/>
          <w:sz w:val="24"/>
          <w:szCs w:val="24"/>
          <w:lang w:val="en-US"/>
        </w:rPr>
        <w:footnoteReference w:id="25"/>
      </w:r>
      <w:r w:rsidR="00A556F0">
        <w:rPr>
          <w:rFonts w:ascii="Arial" w:hAnsi="Arial" w:cs="Arial"/>
          <w:sz w:val="24"/>
          <w:szCs w:val="24"/>
          <w:lang w:val="en-US"/>
        </w:rPr>
        <w:t xml:space="preserve"> </w:t>
      </w:r>
    </w:p>
    <w:p w14:paraId="5DA6239E" w14:textId="77777777" w:rsidR="00AE63B2" w:rsidRPr="00AE63B2" w:rsidRDefault="00AE63B2" w:rsidP="003073B7">
      <w:pPr>
        <w:spacing w:after="0"/>
        <w:jc w:val="both"/>
        <w:rPr>
          <w:rFonts w:ascii="Arial" w:hAnsi="Arial" w:cs="Arial"/>
          <w:sz w:val="24"/>
          <w:szCs w:val="24"/>
          <w:lang w:val="en-US"/>
        </w:rPr>
      </w:pPr>
    </w:p>
    <w:p w14:paraId="49B14CEC" w14:textId="77777777" w:rsidR="00915F3E" w:rsidRDefault="00AE63B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Further</w:t>
      </w:r>
      <w:r w:rsidR="002E634C">
        <w:rPr>
          <w:rFonts w:ascii="Arial" w:hAnsi="Arial" w:cs="Arial"/>
          <w:sz w:val="24"/>
          <w:szCs w:val="24"/>
          <w:lang w:val="en-US"/>
        </w:rPr>
        <w:t xml:space="preserve">, </w:t>
      </w:r>
      <w:r w:rsidR="00915F3E">
        <w:rPr>
          <w:rFonts w:ascii="Arial" w:hAnsi="Arial" w:cs="Arial"/>
          <w:sz w:val="24"/>
          <w:szCs w:val="24"/>
          <w:lang w:val="en-US"/>
        </w:rPr>
        <w:t xml:space="preserve">a key object of the </w:t>
      </w:r>
      <w:r w:rsidR="00915F3E">
        <w:rPr>
          <w:rFonts w:ascii="Arial" w:hAnsi="Arial" w:cs="Arial"/>
          <w:i/>
          <w:sz w:val="24"/>
          <w:szCs w:val="24"/>
          <w:lang w:val="en-US"/>
        </w:rPr>
        <w:t xml:space="preserve">Fair Work Act 2009 </w:t>
      </w:r>
      <w:r w:rsidR="00915F3E">
        <w:rPr>
          <w:rFonts w:ascii="Arial" w:hAnsi="Arial" w:cs="Arial"/>
          <w:sz w:val="24"/>
          <w:szCs w:val="24"/>
          <w:lang w:val="en-US"/>
        </w:rPr>
        <w:t>is:</w:t>
      </w:r>
    </w:p>
    <w:p w14:paraId="31E0E27C" w14:textId="77777777" w:rsidR="00915F3E" w:rsidRPr="00915F3E" w:rsidRDefault="00915F3E" w:rsidP="003073B7">
      <w:pPr>
        <w:pStyle w:val="ListParagraph"/>
        <w:jc w:val="both"/>
        <w:rPr>
          <w:rFonts w:ascii="Arial" w:hAnsi="Arial" w:cs="Arial"/>
          <w:sz w:val="24"/>
          <w:szCs w:val="24"/>
          <w:lang w:val="en-US"/>
        </w:rPr>
      </w:pPr>
    </w:p>
    <w:p w14:paraId="1B5D8657" w14:textId="77777777" w:rsidR="001A4B4E" w:rsidRPr="00915F3E" w:rsidRDefault="002E634C" w:rsidP="003073B7">
      <w:pPr>
        <w:pStyle w:val="ListParagraph"/>
        <w:spacing w:after="0"/>
        <w:ind w:left="1440"/>
        <w:jc w:val="both"/>
        <w:rPr>
          <w:rFonts w:ascii="Arial" w:hAnsi="Arial" w:cs="Arial"/>
          <w:i/>
          <w:sz w:val="24"/>
          <w:szCs w:val="24"/>
          <w:lang w:val="en-US"/>
        </w:rPr>
      </w:pPr>
      <w:r>
        <w:rPr>
          <w:rFonts w:ascii="Arial" w:hAnsi="Arial" w:cs="Arial"/>
          <w:sz w:val="24"/>
          <w:szCs w:val="24"/>
          <w:lang w:val="en-US"/>
        </w:rPr>
        <w:t xml:space="preserve"> </w:t>
      </w:r>
      <w:r w:rsidR="00915F3E">
        <w:rPr>
          <w:rFonts w:ascii="Arial" w:hAnsi="Arial" w:cs="Arial"/>
          <w:i/>
          <w:sz w:val="24"/>
          <w:szCs w:val="24"/>
          <w:lang w:val="en-US"/>
        </w:rPr>
        <w:t>Achieving productivity and fairness through an emphasis on enterprise-level collective bargaining underpinned by simple good faith bargaining obligations and clear rules governing industrial action.</w:t>
      </w:r>
      <w:r w:rsidR="00915F3E">
        <w:rPr>
          <w:rStyle w:val="FootnoteReference"/>
          <w:rFonts w:ascii="Arial" w:hAnsi="Arial" w:cs="Arial"/>
          <w:i/>
          <w:sz w:val="24"/>
          <w:szCs w:val="24"/>
          <w:lang w:val="en-US"/>
        </w:rPr>
        <w:footnoteReference w:id="26"/>
      </w:r>
    </w:p>
    <w:p w14:paraId="6DF78288" w14:textId="77777777" w:rsidR="009D281C" w:rsidRDefault="009D281C" w:rsidP="003073B7">
      <w:pPr>
        <w:spacing w:after="0"/>
        <w:jc w:val="both"/>
        <w:rPr>
          <w:rFonts w:ascii="Arial" w:hAnsi="Arial" w:cs="Arial"/>
          <w:sz w:val="24"/>
          <w:szCs w:val="24"/>
          <w:lang w:val="en-US"/>
        </w:rPr>
      </w:pPr>
    </w:p>
    <w:p w14:paraId="4B578DD2" w14:textId="77777777" w:rsidR="00915F3E" w:rsidRDefault="00915F3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In this context, it is not appropriate for the legislation to interfere with the right of employees and their unions to pursue terms at the enterprise level which will genuinely assist in securing their employment future.</w:t>
      </w:r>
    </w:p>
    <w:p w14:paraId="78E89936" w14:textId="77777777" w:rsidR="00AE63B2" w:rsidRDefault="00AE63B2" w:rsidP="003073B7">
      <w:pPr>
        <w:pStyle w:val="ListParagraph"/>
        <w:spacing w:after="0"/>
        <w:jc w:val="both"/>
        <w:rPr>
          <w:rFonts w:ascii="Arial" w:hAnsi="Arial" w:cs="Arial"/>
          <w:sz w:val="24"/>
          <w:szCs w:val="24"/>
          <w:lang w:val="en-US"/>
        </w:rPr>
      </w:pPr>
    </w:p>
    <w:p w14:paraId="0E4AAA5A" w14:textId="77777777" w:rsidR="00AE63B2" w:rsidRPr="00AE63B2" w:rsidRDefault="00AE63B2"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note a Full Court of the Federal Court in </w:t>
      </w:r>
      <w:r>
        <w:rPr>
          <w:rFonts w:ascii="Arial" w:hAnsi="Arial" w:cs="Arial"/>
          <w:i/>
          <w:sz w:val="24"/>
          <w:szCs w:val="24"/>
          <w:lang w:val="en-US"/>
        </w:rPr>
        <w:t>AIG</w:t>
      </w:r>
      <w:r>
        <w:rPr>
          <w:rStyle w:val="FootnoteReference"/>
          <w:rFonts w:ascii="Arial" w:hAnsi="Arial" w:cs="Arial"/>
          <w:i/>
          <w:sz w:val="24"/>
          <w:szCs w:val="24"/>
          <w:lang w:val="en-US"/>
        </w:rPr>
        <w:footnoteReference w:id="27"/>
      </w:r>
      <w:r>
        <w:rPr>
          <w:rFonts w:ascii="Arial" w:hAnsi="Arial" w:cs="Arial"/>
          <w:i/>
          <w:sz w:val="24"/>
          <w:szCs w:val="24"/>
          <w:lang w:val="en-US"/>
        </w:rPr>
        <w:t xml:space="preserve"> </w:t>
      </w:r>
      <w:r>
        <w:rPr>
          <w:rFonts w:ascii="Arial" w:hAnsi="Arial" w:cs="Arial"/>
          <w:sz w:val="24"/>
          <w:szCs w:val="24"/>
          <w:lang w:val="en-US"/>
        </w:rPr>
        <w:t xml:space="preserve">also rejected an argument that a clause effectively requiring contractors to pay the rates specified in an enterprise agreement conflicted with the </w:t>
      </w:r>
      <w:r>
        <w:rPr>
          <w:rFonts w:ascii="Arial" w:hAnsi="Arial" w:cs="Arial"/>
          <w:i/>
          <w:sz w:val="24"/>
          <w:szCs w:val="24"/>
          <w:lang w:val="en-US"/>
        </w:rPr>
        <w:t>Competition and Consumer Act 2010</w:t>
      </w:r>
      <w:r>
        <w:rPr>
          <w:rFonts w:ascii="Arial" w:hAnsi="Arial" w:cs="Arial"/>
          <w:sz w:val="24"/>
          <w:szCs w:val="24"/>
          <w:lang w:val="en-US"/>
        </w:rPr>
        <w:t xml:space="preserve">.   </w:t>
      </w:r>
    </w:p>
    <w:p w14:paraId="6175EA60" w14:textId="77777777" w:rsidR="00915F3E" w:rsidRDefault="00915F3E" w:rsidP="003073B7">
      <w:pPr>
        <w:pStyle w:val="ListParagraph"/>
        <w:spacing w:after="0"/>
        <w:jc w:val="both"/>
        <w:rPr>
          <w:rFonts w:ascii="Arial" w:hAnsi="Arial" w:cs="Arial"/>
          <w:sz w:val="24"/>
          <w:szCs w:val="24"/>
          <w:lang w:val="en-US"/>
        </w:rPr>
      </w:pPr>
    </w:p>
    <w:p w14:paraId="03AD611C" w14:textId="77777777" w:rsidR="00E66299" w:rsidRDefault="00915F3E"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welcome the Draft Report’s finding that the mandatory inclusion of productivity clauses in enterprise agreements may ultimately be counterproductive.</w:t>
      </w:r>
    </w:p>
    <w:p w14:paraId="2D7328CB" w14:textId="77777777" w:rsidR="00E66299" w:rsidRPr="00E66299" w:rsidRDefault="00E66299" w:rsidP="003073B7">
      <w:pPr>
        <w:pStyle w:val="ListParagraph"/>
        <w:jc w:val="both"/>
        <w:rPr>
          <w:rFonts w:ascii="Arial" w:hAnsi="Arial" w:cs="Arial"/>
          <w:sz w:val="24"/>
          <w:szCs w:val="24"/>
          <w:lang w:val="en-US"/>
        </w:rPr>
      </w:pPr>
    </w:p>
    <w:p w14:paraId="70373A3E" w14:textId="3CB64205" w:rsidR="002E634C" w:rsidRDefault="00E66299"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also support limitations on non-union bargaining representatives who represent only a small number of employees and have witnessed first-hand the inefficiency that can be created by their involvement</w:t>
      </w:r>
      <w:r w:rsidR="00AE63B2">
        <w:rPr>
          <w:rFonts w:ascii="Arial" w:hAnsi="Arial" w:cs="Arial"/>
          <w:sz w:val="24"/>
          <w:szCs w:val="24"/>
          <w:lang w:val="en-US"/>
        </w:rPr>
        <w:t xml:space="preserve"> in bargaining</w:t>
      </w:r>
      <w:r>
        <w:rPr>
          <w:rFonts w:ascii="Arial" w:hAnsi="Arial" w:cs="Arial"/>
          <w:sz w:val="24"/>
          <w:szCs w:val="24"/>
          <w:lang w:val="en-US"/>
        </w:rPr>
        <w:t xml:space="preserve">. </w:t>
      </w:r>
      <w:r w:rsidR="00915F3E">
        <w:rPr>
          <w:rFonts w:ascii="Arial" w:hAnsi="Arial" w:cs="Arial"/>
          <w:sz w:val="24"/>
          <w:szCs w:val="24"/>
          <w:lang w:val="en-US"/>
        </w:rPr>
        <w:t xml:space="preserve">  </w:t>
      </w:r>
    </w:p>
    <w:p w14:paraId="370F8319" w14:textId="77777777" w:rsidR="004E3E79" w:rsidRPr="004E3E79" w:rsidRDefault="004E3E79" w:rsidP="004E3E79">
      <w:pPr>
        <w:spacing w:after="0"/>
        <w:jc w:val="both"/>
        <w:rPr>
          <w:rFonts w:ascii="Arial" w:hAnsi="Arial" w:cs="Arial"/>
          <w:sz w:val="24"/>
          <w:szCs w:val="24"/>
          <w:lang w:val="en-US"/>
        </w:rPr>
      </w:pPr>
    </w:p>
    <w:p w14:paraId="65895EA0" w14:textId="309B3FA4" w:rsidR="00E66299" w:rsidRPr="004E3E79" w:rsidRDefault="00E66299" w:rsidP="004E3E79">
      <w:pPr>
        <w:pStyle w:val="ListParagraph"/>
        <w:numPr>
          <w:ilvl w:val="0"/>
          <w:numId w:val="1"/>
        </w:numPr>
        <w:spacing w:after="0"/>
        <w:ind w:hanging="862"/>
        <w:jc w:val="both"/>
        <w:rPr>
          <w:rFonts w:ascii="Arial" w:hAnsi="Arial" w:cs="Arial"/>
          <w:b/>
          <w:sz w:val="28"/>
          <w:szCs w:val="28"/>
          <w:lang w:val="en-US"/>
        </w:rPr>
      </w:pPr>
      <w:r>
        <w:rPr>
          <w:rFonts w:ascii="Arial" w:hAnsi="Arial" w:cs="Arial"/>
          <w:b/>
          <w:sz w:val="28"/>
          <w:szCs w:val="28"/>
          <w:u w:val="single"/>
          <w:lang w:val="en-US"/>
        </w:rPr>
        <w:t>Individual arrangements</w:t>
      </w:r>
    </w:p>
    <w:p w14:paraId="38AF3B25" w14:textId="77777777" w:rsidR="004E3E79" w:rsidRPr="004E3E79" w:rsidRDefault="004E3E79" w:rsidP="004E3E79">
      <w:pPr>
        <w:pStyle w:val="ListParagraph"/>
        <w:spacing w:after="0"/>
        <w:jc w:val="both"/>
        <w:rPr>
          <w:rFonts w:ascii="Arial" w:hAnsi="Arial" w:cs="Arial"/>
          <w:b/>
          <w:sz w:val="28"/>
          <w:szCs w:val="28"/>
          <w:lang w:val="en-US"/>
        </w:rPr>
      </w:pPr>
    </w:p>
    <w:p w14:paraId="62001EC1" w14:textId="77777777" w:rsidR="00E66299" w:rsidRPr="00E66299"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We are strongly opposed to the Draft Report’s concept of an “enterprise contract”.</w:t>
      </w:r>
      <w:r>
        <w:rPr>
          <w:rStyle w:val="FootnoteReference"/>
          <w:rFonts w:ascii="Arial" w:hAnsi="Arial" w:cs="Arial"/>
          <w:sz w:val="24"/>
          <w:szCs w:val="24"/>
          <w:lang w:val="en-US"/>
        </w:rPr>
        <w:footnoteReference w:id="28"/>
      </w:r>
    </w:p>
    <w:p w14:paraId="39A8AAE7" w14:textId="77777777" w:rsidR="00E66299" w:rsidRPr="00E66299" w:rsidRDefault="00E66299" w:rsidP="003073B7">
      <w:pPr>
        <w:pStyle w:val="ListParagraph"/>
        <w:spacing w:after="0"/>
        <w:jc w:val="both"/>
        <w:rPr>
          <w:rFonts w:ascii="Arial" w:hAnsi="Arial" w:cs="Arial"/>
          <w:b/>
          <w:sz w:val="28"/>
          <w:szCs w:val="28"/>
          <w:lang w:val="en-US"/>
        </w:rPr>
      </w:pPr>
    </w:p>
    <w:p w14:paraId="16B14320" w14:textId="77777777" w:rsidR="00E66299" w:rsidRPr="00E66299"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lastRenderedPageBreak/>
        <w:t xml:space="preserve">An immediate problem with the idea is that it necessarily involves conflating statute law and common law. </w:t>
      </w:r>
    </w:p>
    <w:p w14:paraId="2968E8FC" w14:textId="77777777" w:rsidR="00E66299" w:rsidRPr="00E66299" w:rsidRDefault="00E66299" w:rsidP="003073B7">
      <w:pPr>
        <w:pStyle w:val="ListParagraph"/>
        <w:jc w:val="both"/>
        <w:rPr>
          <w:rFonts w:ascii="Arial" w:hAnsi="Arial" w:cs="Arial"/>
          <w:sz w:val="24"/>
          <w:szCs w:val="24"/>
          <w:lang w:val="en-US"/>
        </w:rPr>
      </w:pPr>
    </w:p>
    <w:p w14:paraId="38BED487" w14:textId="77777777" w:rsidR="00E66299" w:rsidRPr="00E66299"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 xml:space="preserve">Statutory rights and responsibilities have been deliberately kept separate from common law rights and responsibilities in Australian industrial relations for over a century. In this historical context, any departure from the established system would need to be very carefully considered. </w:t>
      </w:r>
    </w:p>
    <w:p w14:paraId="0BEC15BD" w14:textId="77777777" w:rsidR="00E66299" w:rsidRPr="00E66299" w:rsidRDefault="00E66299" w:rsidP="003073B7">
      <w:pPr>
        <w:pStyle w:val="ListParagraph"/>
        <w:jc w:val="both"/>
        <w:rPr>
          <w:rFonts w:ascii="Arial" w:hAnsi="Arial" w:cs="Arial"/>
          <w:sz w:val="24"/>
          <w:szCs w:val="24"/>
          <w:lang w:val="en-US"/>
        </w:rPr>
      </w:pPr>
    </w:p>
    <w:p w14:paraId="7B0AAD34" w14:textId="77777777" w:rsidR="00E66299" w:rsidRPr="00E66299"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 xml:space="preserve">A further terminology issue arises in that the elements of a “contract” are reasonably well known in Australia society. </w:t>
      </w:r>
    </w:p>
    <w:p w14:paraId="63A390E9" w14:textId="77777777" w:rsidR="00E66299" w:rsidRPr="00E66299" w:rsidRDefault="00E66299" w:rsidP="003073B7">
      <w:pPr>
        <w:pStyle w:val="ListParagraph"/>
        <w:jc w:val="both"/>
        <w:rPr>
          <w:rFonts w:ascii="Arial" w:hAnsi="Arial" w:cs="Arial"/>
          <w:sz w:val="24"/>
          <w:szCs w:val="24"/>
          <w:lang w:val="en-US"/>
        </w:rPr>
      </w:pPr>
    </w:p>
    <w:p w14:paraId="14FB1F93" w14:textId="77777777" w:rsidR="00E66299" w:rsidRPr="00E66299"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The “enterprise contract” would involve a dramatic departure from established contractual principles because it does not require the agreement of both parties.</w:t>
      </w:r>
      <w:r>
        <w:rPr>
          <w:rStyle w:val="FootnoteReference"/>
          <w:rFonts w:ascii="Arial" w:hAnsi="Arial" w:cs="Arial"/>
          <w:sz w:val="24"/>
          <w:szCs w:val="24"/>
          <w:lang w:val="en-US"/>
        </w:rPr>
        <w:footnoteReference w:id="29"/>
      </w:r>
    </w:p>
    <w:p w14:paraId="00F71795" w14:textId="77777777" w:rsidR="00E66299" w:rsidRPr="00E66299" w:rsidRDefault="00E66299" w:rsidP="003073B7">
      <w:pPr>
        <w:pStyle w:val="ListParagraph"/>
        <w:jc w:val="both"/>
        <w:rPr>
          <w:rFonts w:ascii="Arial" w:hAnsi="Arial" w:cs="Arial"/>
          <w:sz w:val="24"/>
          <w:szCs w:val="24"/>
          <w:lang w:val="en-US"/>
        </w:rPr>
      </w:pPr>
    </w:p>
    <w:p w14:paraId="2250660E" w14:textId="77777777" w:rsidR="00D93A81" w:rsidRPr="00D93A81" w:rsidRDefault="00E66299"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 xml:space="preserve">The proposal for retrospective testing by an external regulator </w:t>
      </w:r>
      <w:r w:rsidR="00D93A81">
        <w:rPr>
          <w:rFonts w:ascii="Arial" w:hAnsi="Arial" w:cs="Arial"/>
          <w:sz w:val="24"/>
          <w:szCs w:val="24"/>
          <w:lang w:val="en-US"/>
        </w:rPr>
        <w:t xml:space="preserve">following a complaint from an employee </w:t>
      </w:r>
      <w:r>
        <w:rPr>
          <w:rFonts w:ascii="Arial" w:hAnsi="Arial" w:cs="Arial"/>
          <w:sz w:val="24"/>
          <w:szCs w:val="24"/>
          <w:lang w:val="en-US"/>
        </w:rPr>
        <w:t xml:space="preserve">is also problematic on many levels. This has the potential to leave employers exposed to significant lump sum underpayment claims </w:t>
      </w:r>
      <w:r w:rsidR="00D93A81">
        <w:rPr>
          <w:rFonts w:ascii="Arial" w:hAnsi="Arial" w:cs="Arial"/>
          <w:sz w:val="24"/>
          <w:szCs w:val="24"/>
          <w:lang w:val="en-US"/>
        </w:rPr>
        <w:t xml:space="preserve">if terms of the “enterprise contract” are </w:t>
      </w:r>
      <w:r w:rsidR="00AE63B2">
        <w:rPr>
          <w:rFonts w:ascii="Arial" w:hAnsi="Arial" w:cs="Arial"/>
          <w:sz w:val="24"/>
          <w:szCs w:val="24"/>
          <w:lang w:val="en-US"/>
        </w:rPr>
        <w:t xml:space="preserve">later </w:t>
      </w:r>
      <w:r w:rsidR="00D93A81">
        <w:rPr>
          <w:rFonts w:ascii="Arial" w:hAnsi="Arial" w:cs="Arial"/>
          <w:sz w:val="24"/>
          <w:szCs w:val="24"/>
          <w:lang w:val="en-US"/>
        </w:rPr>
        <w:t>found to be invalid.</w:t>
      </w:r>
    </w:p>
    <w:p w14:paraId="0167E009" w14:textId="77777777" w:rsidR="00D93A81" w:rsidRPr="00D93A81" w:rsidRDefault="00D93A81" w:rsidP="003073B7">
      <w:pPr>
        <w:pStyle w:val="ListParagraph"/>
        <w:jc w:val="both"/>
        <w:rPr>
          <w:rFonts w:ascii="Arial" w:hAnsi="Arial" w:cs="Arial"/>
          <w:sz w:val="24"/>
          <w:szCs w:val="24"/>
          <w:lang w:val="en-US"/>
        </w:rPr>
      </w:pPr>
    </w:p>
    <w:p w14:paraId="090A7A0C" w14:textId="77777777" w:rsidR="00AE63B2" w:rsidRPr="00AE63B2" w:rsidRDefault="00AE63B2"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Finally, t</w:t>
      </w:r>
      <w:r w:rsidR="00D93A81">
        <w:rPr>
          <w:rFonts w:ascii="Arial" w:hAnsi="Arial" w:cs="Arial"/>
          <w:sz w:val="24"/>
          <w:szCs w:val="24"/>
          <w:lang w:val="en-US"/>
        </w:rPr>
        <w:t xml:space="preserve">he requirement for an employee to complain before any </w:t>
      </w:r>
      <w:r w:rsidR="00B16F34">
        <w:rPr>
          <w:rFonts w:ascii="Arial" w:hAnsi="Arial" w:cs="Arial"/>
          <w:sz w:val="24"/>
          <w:szCs w:val="24"/>
          <w:lang w:val="en-US"/>
        </w:rPr>
        <w:t xml:space="preserve">independent </w:t>
      </w:r>
      <w:r w:rsidR="00D93A81">
        <w:rPr>
          <w:rFonts w:ascii="Arial" w:hAnsi="Arial" w:cs="Arial"/>
          <w:sz w:val="24"/>
          <w:szCs w:val="24"/>
          <w:lang w:val="en-US"/>
        </w:rPr>
        <w:t xml:space="preserve">examination of the “enterprise contract” </w:t>
      </w:r>
      <w:r>
        <w:rPr>
          <w:rFonts w:ascii="Arial" w:hAnsi="Arial" w:cs="Arial"/>
          <w:sz w:val="24"/>
          <w:szCs w:val="24"/>
          <w:lang w:val="en-US"/>
        </w:rPr>
        <w:t xml:space="preserve">occurs </w:t>
      </w:r>
      <w:r w:rsidR="00D93A81">
        <w:rPr>
          <w:rFonts w:ascii="Arial" w:hAnsi="Arial" w:cs="Arial"/>
          <w:sz w:val="24"/>
          <w:szCs w:val="24"/>
          <w:lang w:val="en-US"/>
        </w:rPr>
        <w:t xml:space="preserve">is not a sufficient safeguard. </w:t>
      </w:r>
    </w:p>
    <w:p w14:paraId="71F8E61A" w14:textId="77777777" w:rsidR="00AE63B2" w:rsidRPr="00AE63B2" w:rsidRDefault="00AE63B2" w:rsidP="003073B7">
      <w:pPr>
        <w:pStyle w:val="ListParagraph"/>
        <w:jc w:val="both"/>
        <w:rPr>
          <w:rFonts w:ascii="Arial" w:hAnsi="Arial" w:cs="Arial"/>
          <w:sz w:val="24"/>
          <w:szCs w:val="24"/>
          <w:lang w:val="en-US"/>
        </w:rPr>
      </w:pPr>
    </w:p>
    <w:p w14:paraId="74A068EE" w14:textId="77777777" w:rsidR="00E66299" w:rsidRPr="00E66299" w:rsidRDefault="00D93A81" w:rsidP="003073B7">
      <w:pPr>
        <w:pStyle w:val="ListParagraph"/>
        <w:numPr>
          <w:ilvl w:val="0"/>
          <w:numId w:val="2"/>
        </w:numPr>
        <w:spacing w:after="0"/>
        <w:jc w:val="both"/>
        <w:rPr>
          <w:rFonts w:ascii="Arial" w:hAnsi="Arial" w:cs="Arial"/>
          <w:b/>
          <w:sz w:val="28"/>
          <w:szCs w:val="28"/>
          <w:lang w:val="en-US"/>
        </w:rPr>
      </w:pPr>
      <w:r>
        <w:rPr>
          <w:rFonts w:ascii="Arial" w:hAnsi="Arial" w:cs="Arial"/>
          <w:sz w:val="24"/>
          <w:szCs w:val="24"/>
          <w:lang w:val="en-US"/>
        </w:rPr>
        <w:t xml:space="preserve">Many employees will have no idea that they have grounds to complain and others may be too concerned about ramifications if they make a complaint.   </w:t>
      </w:r>
      <w:r w:rsidR="00E66299">
        <w:rPr>
          <w:rFonts w:ascii="Arial" w:hAnsi="Arial" w:cs="Arial"/>
          <w:sz w:val="24"/>
          <w:szCs w:val="24"/>
          <w:lang w:val="en-US"/>
        </w:rPr>
        <w:t xml:space="preserve">  </w:t>
      </w:r>
    </w:p>
    <w:p w14:paraId="48E66B78" w14:textId="77777777" w:rsidR="00E66299" w:rsidRDefault="00E66299" w:rsidP="003073B7">
      <w:pPr>
        <w:spacing w:after="0"/>
        <w:jc w:val="both"/>
        <w:rPr>
          <w:rFonts w:ascii="Arial" w:hAnsi="Arial" w:cs="Arial"/>
          <w:b/>
          <w:sz w:val="28"/>
          <w:szCs w:val="28"/>
          <w:lang w:val="en-US"/>
        </w:rPr>
      </w:pPr>
    </w:p>
    <w:p w14:paraId="4AB5C1EB" w14:textId="77777777" w:rsidR="00D93A81" w:rsidRDefault="00D93A81" w:rsidP="003073B7">
      <w:pPr>
        <w:pStyle w:val="ListParagraph"/>
        <w:numPr>
          <w:ilvl w:val="0"/>
          <w:numId w:val="1"/>
        </w:numPr>
        <w:spacing w:after="0"/>
        <w:ind w:hanging="862"/>
        <w:jc w:val="both"/>
        <w:rPr>
          <w:rFonts w:ascii="Arial" w:hAnsi="Arial" w:cs="Arial"/>
          <w:b/>
          <w:sz w:val="28"/>
          <w:szCs w:val="28"/>
          <w:u w:val="single"/>
          <w:lang w:val="en-US"/>
        </w:rPr>
      </w:pPr>
      <w:r>
        <w:rPr>
          <w:rFonts w:ascii="Arial" w:hAnsi="Arial" w:cs="Arial"/>
          <w:b/>
          <w:sz w:val="28"/>
          <w:szCs w:val="28"/>
          <w:u w:val="single"/>
          <w:lang w:val="en-US"/>
        </w:rPr>
        <w:t>Industrial disputes and right of entry</w:t>
      </w:r>
    </w:p>
    <w:p w14:paraId="39DD40B8" w14:textId="77777777" w:rsidR="00D93A81" w:rsidRDefault="00D93A81" w:rsidP="003073B7">
      <w:pPr>
        <w:pStyle w:val="ListParagraph"/>
        <w:spacing w:after="0"/>
        <w:jc w:val="both"/>
        <w:rPr>
          <w:rFonts w:ascii="Arial" w:hAnsi="Arial" w:cs="Arial"/>
          <w:b/>
          <w:sz w:val="28"/>
          <w:szCs w:val="28"/>
          <w:u w:val="single"/>
          <w:lang w:val="en-US"/>
        </w:rPr>
      </w:pPr>
    </w:p>
    <w:p w14:paraId="78089F58" w14:textId="77777777" w:rsidR="00D93A81" w:rsidRDefault="00D93A81"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agree with the Draft Report’s general finding that “industrial disputes do not appear to be a major problem in Australia’s </w:t>
      </w:r>
      <w:proofErr w:type="spellStart"/>
      <w:r>
        <w:rPr>
          <w:rFonts w:ascii="Arial" w:hAnsi="Arial" w:cs="Arial"/>
          <w:sz w:val="24"/>
          <w:szCs w:val="24"/>
          <w:lang w:val="en-US"/>
        </w:rPr>
        <w:t>WR</w:t>
      </w:r>
      <w:proofErr w:type="spellEnd"/>
      <w:r>
        <w:rPr>
          <w:rFonts w:ascii="Arial" w:hAnsi="Arial" w:cs="Arial"/>
          <w:sz w:val="24"/>
          <w:szCs w:val="24"/>
          <w:lang w:val="en-US"/>
        </w:rPr>
        <w:t xml:space="preserve"> framework”.</w:t>
      </w:r>
      <w:r>
        <w:rPr>
          <w:rStyle w:val="FootnoteReference"/>
          <w:rFonts w:ascii="Arial" w:hAnsi="Arial" w:cs="Arial"/>
          <w:sz w:val="24"/>
          <w:szCs w:val="24"/>
          <w:lang w:val="en-US"/>
        </w:rPr>
        <w:footnoteReference w:id="30"/>
      </w:r>
    </w:p>
    <w:p w14:paraId="7DD5DE43" w14:textId="77777777" w:rsidR="00D93A81" w:rsidRDefault="00D93A81" w:rsidP="00D93A81">
      <w:pPr>
        <w:pStyle w:val="ListParagraph"/>
        <w:spacing w:after="0"/>
        <w:rPr>
          <w:rFonts w:ascii="Arial" w:hAnsi="Arial" w:cs="Arial"/>
          <w:sz w:val="24"/>
          <w:szCs w:val="24"/>
          <w:lang w:val="en-US"/>
        </w:rPr>
      </w:pPr>
    </w:p>
    <w:p w14:paraId="10BCB4BE" w14:textId="77777777" w:rsidR="005E0157" w:rsidRDefault="00D93A81"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This being the case, we don’t believe any of the proposed tinkering suggested in the Draft Report</w:t>
      </w:r>
      <w:r>
        <w:rPr>
          <w:rStyle w:val="FootnoteReference"/>
          <w:rFonts w:ascii="Arial" w:hAnsi="Arial" w:cs="Arial"/>
          <w:sz w:val="24"/>
          <w:szCs w:val="24"/>
          <w:lang w:val="en-US"/>
        </w:rPr>
        <w:footnoteReference w:id="31"/>
      </w:r>
      <w:r>
        <w:rPr>
          <w:rFonts w:ascii="Arial" w:hAnsi="Arial" w:cs="Arial"/>
          <w:sz w:val="24"/>
          <w:szCs w:val="24"/>
          <w:lang w:val="en-US"/>
        </w:rPr>
        <w:t xml:space="preserve"> is necessary and that the system would be better served by simply maintaining the status quo.</w:t>
      </w:r>
    </w:p>
    <w:p w14:paraId="326E8F00" w14:textId="77777777" w:rsidR="005E0157" w:rsidRPr="005E0157" w:rsidRDefault="005E0157" w:rsidP="003073B7">
      <w:pPr>
        <w:pStyle w:val="ListParagraph"/>
        <w:jc w:val="both"/>
        <w:rPr>
          <w:rFonts w:ascii="Arial" w:hAnsi="Arial" w:cs="Arial"/>
          <w:sz w:val="24"/>
          <w:szCs w:val="24"/>
          <w:lang w:val="en-US"/>
        </w:rPr>
      </w:pPr>
    </w:p>
    <w:p w14:paraId="5670D2C2" w14:textId="77777777" w:rsidR="005E0157" w:rsidRDefault="005E0157"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For example, varying the </w:t>
      </w:r>
      <w:r>
        <w:rPr>
          <w:rFonts w:ascii="Arial" w:hAnsi="Arial" w:cs="Arial"/>
          <w:i/>
          <w:sz w:val="24"/>
          <w:szCs w:val="24"/>
          <w:lang w:val="en-US"/>
        </w:rPr>
        <w:t xml:space="preserve">Fair Work Act 2009 </w:t>
      </w:r>
      <w:r>
        <w:rPr>
          <w:rFonts w:ascii="Arial" w:hAnsi="Arial" w:cs="Arial"/>
          <w:sz w:val="24"/>
          <w:szCs w:val="24"/>
          <w:lang w:val="en-US"/>
        </w:rPr>
        <w:t>to allow employers to stand down employees if notified industrial action is cancelled may have the perverse effect of meaning more industrial action is taken in Australia.</w:t>
      </w:r>
    </w:p>
    <w:p w14:paraId="41523B90" w14:textId="77777777" w:rsidR="005E0157" w:rsidRPr="005E0157" w:rsidRDefault="005E0157" w:rsidP="003073B7">
      <w:pPr>
        <w:pStyle w:val="ListParagraph"/>
        <w:jc w:val="both"/>
        <w:rPr>
          <w:rFonts w:ascii="Arial" w:hAnsi="Arial" w:cs="Arial"/>
          <w:sz w:val="24"/>
          <w:szCs w:val="24"/>
          <w:lang w:val="en-US"/>
        </w:rPr>
      </w:pPr>
    </w:p>
    <w:p w14:paraId="0AC3CA0C" w14:textId="77777777" w:rsidR="005E0157" w:rsidRDefault="005E0157"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lastRenderedPageBreak/>
        <w:t xml:space="preserve">Every action has a reaction and unnecessary changes that could have unforeseen consequences should not be recommended lightly. </w:t>
      </w:r>
    </w:p>
    <w:p w14:paraId="142AF3D2" w14:textId="77777777" w:rsidR="005E0157" w:rsidRPr="005E0157" w:rsidRDefault="005E0157" w:rsidP="003073B7">
      <w:pPr>
        <w:pStyle w:val="ListParagraph"/>
        <w:jc w:val="both"/>
        <w:rPr>
          <w:rFonts w:ascii="Arial" w:hAnsi="Arial" w:cs="Arial"/>
          <w:sz w:val="24"/>
          <w:szCs w:val="24"/>
          <w:lang w:val="en-US"/>
        </w:rPr>
      </w:pPr>
    </w:p>
    <w:p w14:paraId="4ED88160" w14:textId="77777777" w:rsidR="00AE63B2" w:rsidRDefault="00B16F34"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w:t>
      </w:r>
      <w:r w:rsidR="00AE63B2">
        <w:rPr>
          <w:rFonts w:ascii="Arial" w:hAnsi="Arial" w:cs="Arial"/>
          <w:sz w:val="24"/>
          <w:szCs w:val="24"/>
          <w:lang w:val="en-US"/>
        </w:rPr>
        <w:t xml:space="preserve">e see no grounds </w:t>
      </w:r>
      <w:r w:rsidR="005E0157">
        <w:rPr>
          <w:rFonts w:ascii="Arial" w:hAnsi="Arial" w:cs="Arial"/>
          <w:sz w:val="24"/>
          <w:szCs w:val="24"/>
          <w:lang w:val="en-US"/>
        </w:rPr>
        <w:t>to justify increased penalties for unprotected industrial action.</w:t>
      </w:r>
    </w:p>
    <w:p w14:paraId="62E821A8" w14:textId="77777777" w:rsidR="005E0157" w:rsidRPr="00AE63B2" w:rsidRDefault="005E0157" w:rsidP="00AE63B2">
      <w:pPr>
        <w:spacing w:after="0"/>
        <w:rPr>
          <w:rFonts w:ascii="Arial" w:hAnsi="Arial" w:cs="Arial"/>
          <w:sz w:val="24"/>
          <w:szCs w:val="24"/>
          <w:lang w:val="en-US"/>
        </w:rPr>
      </w:pPr>
      <w:r w:rsidRPr="00AE63B2">
        <w:rPr>
          <w:rFonts w:ascii="Arial" w:hAnsi="Arial" w:cs="Arial"/>
          <w:sz w:val="24"/>
          <w:szCs w:val="24"/>
          <w:lang w:val="en-US"/>
        </w:rPr>
        <w:t xml:space="preserve"> </w:t>
      </w:r>
    </w:p>
    <w:p w14:paraId="7E600571" w14:textId="77777777" w:rsidR="005E0157" w:rsidRDefault="005E0157" w:rsidP="005E0157">
      <w:pPr>
        <w:pStyle w:val="ListParagraph"/>
        <w:numPr>
          <w:ilvl w:val="0"/>
          <w:numId w:val="1"/>
        </w:numPr>
        <w:ind w:hanging="720"/>
        <w:rPr>
          <w:rFonts w:ascii="Arial" w:hAnsi="Arial" w:cs="Arial"/>
          <w:b/>
          <w:sz w:val="28"/>
          <w:szCs w:val="28"/>
          <w:u w:val="single"/>
          <w:lang w:val="en-US"/>
        </w:rPr>
      </w:pPr>
      <w:r>
        <w:rPr>
          <w:rFonts w:ascii="Arial" w:hAnsi="Arial" w:cs="Arial"/>
          <w:b/>
          <w:sz w:val="28"/>
          <w:szCs w:val="28"/>
          <w:u w:val="single"/>
          <w:lang w:val="en-US"/>
        </w:rPr>
        <w:t>Sham contracting</w:t>
      </w:r>
    </w:p>
    <w:p w14:paraId="44BDB0F8" w14:textId="77777777" w:rsidR="005E0157" w:rsidRPr="005E0157" w:rsidRDefault="005E0157" w:rsidP="005E0157">
      <w:pPr>
        <w:pStyle w:val="ListParagraph"/>
        <w:rPr>
          <w:rFonts w:ascii="Arial" w:hAnsi="Arial" w:cs="Arial"/>
          <w:b/>
          <w:sz w:val="28"/>
          <w:szCs w:val="28"/>
          <w:u w:val="single"/>
          <w:lang w:val="en-US"/>
        </w:rPr>
      </w:pPr>
    </w:p>
    <w:p w14:paraId="3C3AE9BE" w14:textId="77777777" w:rsidR="008110FA" w:rsidRDefault="005E0157"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agree with Draft Report’s finding that the current sham arrangement provisions in the </w:t>
      </w:r>
      <w:r>
        <w:rPr>
          <w:rFonts w:ascii="Arial" w:hAnsi="Arial" w:cs="Arial"/>
          <w:i/>
          <w:sz w:val="24"/>
          <w:szCs w:val="24"/>
          <w:lang w:val="en-US"/>
        </w:rPr>
        <w:t xml:space="preserve">Fair Work Act 2009 </w:t>
      </w:r>
      <w:r>
        <w:rPr>
          <w:rFonts w:ascii="Arial" w:hAnsi="Arial" w:cs="Arial"/>
          <w:sz w:val="24"/>
          <w:szCs w:val="24"/>
          <w:lang w:val="en-US"/>
        </w:rPr>
        <w:t xml:space="preserve">place too high </w:t>
      </w:r>
      <w:r w:rsidR="008110FA">
        <w:rPr>
          <w:rFonts w:ascii="Arial" w:hAnsi="Arial" w:cs="Arial"/>
          <w:sz w:val="24"/>
          <w:szCs w:val="24"/>
          <w:lang w:val="en-US"/>
        </w:rPr>
        <w:t>a hurdle for legal action.</w:t>
      </w:r>
    </w:p>
    <w:p w14:paraId="3B25FB16" w14:textId="77777777" w:rsidR="008110FA" w:rsidRDefault="008110FA" w:rsidP="003073B7">
      <w:pPr>
        <w:pStyle w:val="ListParagraph"/>
        <w:spacing w:after="0"/>
        <w:jc w:val="both"/>
        <w:rPr>
          <w:rFonts w:ascii="Arial" w:hAnsi="Arial" w:cs="Arial"/>
          <w:sz w:val="24"/>
          <w:szCs w:val="24"/>
          <w:lang w:val="en-US"/>
        </w:rPr>
      </w:pPr>
    </w:p>
    <w:p w14:paraId="3B1E4566" w14:textId="77777777" w:rsidR="008110FA" w:rsidRDefault="008110FA"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We reiterate our earlier submissions dated 13 March 2015 which contain proposed amendments to rectify these issues from [159] to [195]. </w:t>
      </w:r>
    </w:p>
    <w:p w14:paraId="13591BB2" w14:textId="77777777" w:rsidR="008110FA" w:rsidRDefault="008110FA" w:rsidP="003073B7">
      <w:pPr>
        <w:spacing w:after="0"/>
        <w:jc w:val="both"/>
        <w:rPr>
          <w:rFonts w:ascii="Arial" w:hAnsi="Arial" w:cs="Arial"/>
          <w:sz w:val="24"/>
          <w:szCs w:val="24"/>
          <w:lang w:val="en-US"/>
        </w:rPr>
      </w:pPr>
    </w:p>
    <w:p w14:paraId="5C8833A2" w14:textId="1B3F6C02" w:rsidR="008110FA" w:rsidRPr="008110FA" w:rsidRDefault="004E3E79" w:rsidP="003073B7">
      <w:pPr>
        <w:spacing w:after="0"/>
        <w:jc w:val="both"/>
        <w:rPr>
          <w:rFonts w:ascii="Arial" w:hAnsi="Arial" w:cs="Arial"/>
          <w:b/>
          <w:sz w:val="28"/>
          <w:szCs w:val="28"/>
          <w:u w:val="single"/>
          <w:lang w:val="en-US"/>
        </w:rPr>
      </w:pPr>
      <w:r>
        <w:rPr>
          <w:rFonts w:ascii="Arial" w:hAnsi="Arial" w:cs="Arial"/>
          <w:b/>
          <w:sz w:val="28"/>
          <w:szCs w:val="28"/>
          <w:lang w:val="en-US"/>
        </w:rPr>
        <w:t>9.</w:t>
      </w:r>
      <w:r w:rsidR="008110FA">
        <w:rPr>
          <w:rFonts w:ascii="Arial" w:hAnsi="Arial" w:cs="Arial"/>
          <w:b/>
          <w:sz w:val="28"/>
          <w:szCs w:val="28"/>
          <w:lang w:val="en-US"/>
        </w:rPr>
        <w:tab/>
      </w:r>
      <w:r w:rsidR="008110FA">
        <w:rPr>
          <w:rFonts w:ascii="Arial" w:hAnsi="Arial" w:cs="Arial"/>
          <w:b/>
          <w:sz w:val="28"/>
          <w:szCs w:val="28"/>
          <w:u w:val="single"/>
          <w:lang w:val="en-US"/>
        </w:rPr>
        <w:t>Migrant workers in Australia</w:t>
      </w:r>
    </w:p>
    <w:p w14:paraId="7031C1FD" w14:textId="77777777" w:rsidR="008110FA" w:rsidRPr="008110FA" w:rsidRDefault="008110FA" w:rsidP="003073B7">
      <w:pPr>
        <w:pStyle w:val="ListParagraph"/>
        <w:spacing w:after="0"/>
        <w:jc w:val="both"/>
        <w:rPr>
          <w:rFonts w:ascii="Arial" w:hAnsi="Arial" w:cs="Arial"/>
          <w:sz w:val="24"/>
          <w:szCs w:val="24"/>
          <w:lang w:val="en-US"/>
        </w:rPr>
      </w:pPr>
    </w:p>
    <w:p w14:paraId="3FEBF594" w14:textId="77777777" w:rsidR="00B16F34" w:rsidRDefault="008110FA"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We agree with the Draft Report’s concerns about migrant workers in Australia and support the introduction of a fine commensurate to the amount that migrant workers have been underpaid</w:t>
      </w:r>
      <w:r w:rsidR="00B16F34">
        <w:rPr>
          <w:rFonts w:ascii="Arial" w:hAnsi="Arial" w:cs="Arial"/>
          <w:sz w:val="24"/>
          <w:szCs w:val="24"/>
          <w:lang w:val="en-US"/>
        </w:rPr>
        <w:t>.</w:t>
      </w:r>
    </w:p>
    <w:p w14:paraId="5A39138B" w14:textId="77777777" w:rsidR="00B16F34" w:rsidRDefault="00B16F34" w:rsidP="003073B7">
      <w:pPr>
        <w:pStyle w:val="ListParagraph"/>
        <w:spacing w:after="0"/>
        <w:jc w:val="both"/>
        <w:rPr>
          <w:rFonts w:ascii="Arial" w:hAnsi="Arial" w:cs="Arial"/>
          <w:sz w:val="24"/>
          <w:szCs w:val="24"/>
          <w:lang w:val="en-US"/>
        </w:rPr>
      </w:pPr>
    </w:p>
    <w:p w14:paraId="5AAFA119" w14:textId="77777777" w:rsidR="00B16F34" w:rsidRDefault="00B16F34" w:rsidP="003073B7">
      <w:pPr>
        <w:pStyle w:val="ListParagraph"/>
        <w:numPr>
          <w:ilvl w:val="0"/>
          <w:numId w:val="2"/>
        </w:numPr>
        <w:spacing w:after="0"/>
        <w:jc w:val="both"/>
        <w:rPr>
          <w:rFonts w:ascii="Arial" w:hAnsi="Arial" w:cs="Arial"/>
          <w:sz w:val="24"/>
          <w:szCs w:val="24"/>
          <w:lang w:val="en-US"/>
        </w:rPr>
      </w:pPr>
      <w:r>
        <w:rPr>
          <w:rFonts w:ascii="Arial" w:hAnsi="Arial" w:cs="Arial"/>
          <w:sz w:val="24"/>
          <w:szCs w:val="24"/>
          <w:lang w:val="en-US"/>
        </w:rPr>
        <w:t xml:space="preserve">Fines arising from successful prosecutions should then be paid to the affected migrant worker. </w:t>
      </w:r>
    </w:p>
    <w:p w14:paraId="1EC4219D" w14:textId="77777777" w:rsidR="00B16F34" w:rsidRDefault="00B16F34" w:rsidP="003073B7">
      <w:pPr>
        <w:pStyle w:val="ListParagraph"/>
        <w:spacing w:after="0"/>
        <w:jc w:val="both"/>
        <w:rPr>
          <w:rFonts w:ascii="Arial" w:hAnsi="Arial" w:cs="Arial"/>
          <w:sz w:val="24"/>
          <w:szCs w:val="24"/>
          <w:lang w:val="en-US"/>
        </w:rPr>
      </w:pPr>
    </w:p>
    <w:p w14:paraId="0216D636" w14:textId="138E8ACD" w:rsidR="004E3E79" w:rsidRPr="00155643" w:rsidRDefault="004E3E79" w:rsidP="004E3E79">
      <w:pPr>
        <w:ind w:left="709" w:hanging="709"/>
        <w:rPr>
          <w:rFonts w:ascii="Arial" w:hAnsi="Arial" w:cs="Arial"/>
          <w:b/>
          <w:color w:val="000000" w:themeColor="text1"/>
          <w:sz w:val="28"/>
          <w:szCs w:val="28"/>
          <w:u w:val="single"/>
          <w:lang w:val="en-US"/>
        </w:rPr>
      </w:pPr>
      <w:r>
        <w:rPr>
          <w:rFonts w:ascii="Arial" w:hAnsi="Arial" w:cs="Arial"/>
          <w:b/>
          <w:color w:val="000000" w:themeColor="text1"/>
          <w:sz w:val="28"/>
          <w:szCs w:val="28"/>
          <w:lang w:val="en-US"/>
        </w:rPr>
        <w:t xml:space="preserve">10.    </w:t>
      </w:r>
      <w:r w:rsidR="00155643" w:rsidRPr="00155643">
        <w:rPr>
          <w:rFonts w:ascii="Arial" w:hAnsi="Arial" w:cs="Arial"/>
          <w:b/>
          <w:color w:val="000000" w:themeColor="text1"/>
          <w:sz w:val="28"/>
          <w:szCs w:val="28"/>
          <w:u w:val="single"/>
          <w:lang w:val="en-US"/>
        </w:rPr>
        <w:t>Terms of Reference and the exclusion of Workplace Health and Safety (</w:t>
      </w:r>
      <w:proofErr w:type="spellStart"/>
      <w:r w:rsidR="00155643" w:rsidRPr="00155643">
        <w:rPr>
          <w:rFonts w:ascii="Arial" w:hAnsi="Arial" w:cs="Arial"/>
          <w:b/>
          <w:color w:val="000000" w:themeColor="text1"/>
          <w:sz w:val="28"/>
          <w:szCs w:val="28"/>
          <w:u w:val="single"/>
          <w:lang w:val="en-US"/>
        </w:rPr>
        <w:t>WHS</w:t>
      </w:r>
      <w:proofErr w:type="spellEnd"/>
      <w:r w:rsidR="00155643" w:rsidRPr="00155643">
        <w:rPr>
          <w:rFonts w:ascii="Arial" w:hAnsi="Arial" w:cs="Arial"/>
          <w:b/>
          <w:color w:val="000000" w:themeColor="text1"/>
          <w:sz w:val="28"/>
          <w:szCs w:val="28"/>
          <w:u w:val="single"/>
          <w:lang w:val="en-US"/>
        </w:rPr>
        <w:t>) and Employees’ Compensation considerations.</w:t>
      </w:r>
    </w:p>
    <w:p w14:paraId="5E6F8ED9" w14:textId="77777777" w:rsidR="004E3E79" w:rsidRDefault="004E3E79" w:rsidP="004E3E79">
      <w:pPr>
        <w:pStyle w:val="ListParagraph"/>
        <w:spacing w:after="0"/>
        <w:jc w:val="both"/>
        <w:rPr>
          <w:rFonts w:ascii="Arial" w:hAnsi="Arial" w:cs="Arial"/>
          <w:color w:val="000000" w:themeColor="text1"/>
          <w:sz w:val="24"/>
          <w:szCs w:val="24"/>
          <w:lang w:val="en-US"/>
        </w:rPr>
      </w:pPr>
    </w:p>
    <w:p w14:paraId="6BF5861D" w14:textId="77777777" w:rsidR="00155643" w:rsidRPr="00C90373" w:rsidRDefault="00155643" w:rsidP="00155643">
      <w:pPr>
        <w:pStyle w:val="ListParagraph"/>
        <w:numPr>
          <w:ilvl w:val="0"/>
          <w:numId w:val="2"/>
        </w:numPr>
        <w:spacing w:after="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The potential impact of a number of recommendations within the draft report on employees’ health and safety as well as compensation in the event of work-related illness has not been considered.</w:t>
      </w:r>
    </w:p>
    <w:p w14:paraId="4526E8D7" w14:textId="77777777" w:rsidR="00155643" w:rsidRPr="00C90373" w:rsidRDefault="00155643" w:rsidP="00155643">
      <w:pPr>
        <w:pStyle w:val="ListParagraph"/>
        <w:spacing w:after="0"/>
        <w:jc w:val="both"/>
        <w:rPr>
          <w:rFonts w:ascii="Arial" w:hAnsi="Arial" w:cs="Arial"/>
          <w:color w:val="000000" w:themeColor="text1"/>
          <w:sz w:val="24"/>
          <w:szCs w:val="24"/>
          <w:lang w:val="en-US"/>
        </w:rPr>
      </w:pPr>
    </w:p>
    <w:p w14:paraId="00BF65F0" w14:textId="77777777" w:rsidR="00155643" w:rsidRPr="00C90373" w:rsidRDefault="00155643" w:rsidP="00155643">
      <w:pPr>
        <w:pStyle w:val="ListParagraph"/>
        <w:numPr>
          <w:ilvl w:val="0"/>
          <w:numId w:val="2"/>
        </w:numPr>
        <w:spacing w:after="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We believe that any analysis of the efficacy of the Workplace Relations System that excludes the </w:t>
      </w:r>
      <w:proofErr w:type="spellStart"/>
      <w:r w:rsidRPr="00C90373">
        <w:rPr>
          <w:rFonts w:ascii="Arial" w:hAnsi="Arial" w:cs="Arial"/>
          <w:color w:val="000000" w:themeColor="text1"/>
          <w:sz w:val="24"/>
          <w:szCs w:val="24"/>
          <w:lang w:val="en-US"/>
        </w:rPr>
        <w:t>WHS</w:t>
      </w:r>
      <w:proofErr w:type="spellEnd"/>
      <w:r w:rsidRPr="00C90373">
        <w:rPr>
          <w:rFonts w:ascii="Arial" w:hAnsi="Arial" w:cs="Arial"/>
          <w:color w:val="000000" w:themeColor="text1"/>
          <w:sz w:val="24"/>
          <w:szCs w:val="24"/>
          <w:lang w:val="en-US"/>
        </w:rPr>
        <w:t xml:space="preserve"> and Employees’ Compensation implications is fundamentally flawed.</w:t>
      </w:r>
    </w:p>
    <w:p w14:paraId="49B655E5" w14:textId="77777777" w:rsidR="00155643" w:rsidRPr="00C90373" w:rsidRDefault="00155643" w:rsidP="00155643">
      <w:pPr>
        <w:pStyle w:val="ListParagraph"/>
        <w:spacing w:after="0"/>
        <w:jc w:val="both"/>
        <w:rPr>
          <w:rFonts w:ascii="Arial" w:hAnsi="Arial" w:cs="Arial"/>
          <w:color w:val="000000" w:themeColor="text1"/>
          <w:sz w:val="24"/>
          <w:szCs w:val="24"/>
          <w:lang w:val="en-US"/>
        </w:rPr>
      </w:pPr>
    </w:p>
    <w:p w14:paraId="730A0463" w14:textId="77777777" w:rsidR="00155643" w:rsidRPr="00155643" w:rsidRDefault="00155643" w:rsidP="004E3E79">
      <w:pPr>
        <w:widowControl w:val="0"/>
        <w:autoSpaceDE w:val="0"/>
        <w:autoSpaceDN w:val="0"/>
        <w:adjustRightInd w:val="0"/>
        <w:rPr>
          <w:rFonts w:ascii="Arial" w:hAnsi="Arial" w:cs="Arial"/>
          <w:b/>
          <w:bCs/>
          <w:color w:val="000000" w:themeColor="text1"/>
          <w:sz w:val="24"/>
          <w:szCs w:val="24"/>
          <w:lang w:val="en-US"/>
        </w:rPr>
      </w:pPr>
      <w:r w:rsidRPr="00155643">
        <w:rPr>
          <w:rFonts w:ascii="Arial" w:hAnsi="Arial" w:cs="Arial"/>
          <w:b/>
          <w:bCs/>
          <w:color w:val="000000" w:themeColor="text1"/>
          <w:sz w:val="24"/>
          <w:szCs w:val="24"/>
          <w:lang w:val="en-US"/>
        </w:rPr>
        <w:t>Employees’ Compensation</w:t>
      </w:r>
    </w:p>
    <w:p w14:paraId="335635BD" w14:textId="77777777" w:rsidR="004E3E79" w:rsidRDefault="00155643" w:rsidP="004E3E79">
      <w:pPr>
        <w:pStyle w:val="ListParagraph"/>
        <w:widowControl w:val="0"/>
        <w:numPr>
          <w:ilvl w:val="0"/>
          <w:numId w:val="2"/>
        </w:numPr>
        <w:autoSpaceDE w:val="0"/>
        <w:autoSpaceDN w:val="0"/>
        <w:adjustRightInd w:val="0"/>
        <w:jc w:val="both"/>
        <w:rPr>
          <w:rFonts w:ascii="Arial" w:hAnsi="Arial" w:cs="Arial"/>
          <w:bCs/>
          <w:color w:val="000000" w:themeColor="text1"/>
          <w:sz w:val="24"/>
          <w:szCs w:val="24"/>
          <w:lang w:val="en-US"/>
        </w:rPr>
      </w:pPr>
      <w:r w:rsidRPr="004E3E79">
        <w:rPr>
          <w:rFonts w:ascii="Arial" w:hAnsi="Arial" w:cs="Arial"/>
          <w:bCs/>
          <w:color w:val="000000" w:themeColor="text1"/>
          <w:sz w:val="24"/>
          <w:szCs w:val="24"/>
          <w:lang w:val="en-US"/>
        </w:rPr>
        <w:t>The recommendations in the report to remove certain public holiday pay entitlements, review apprenticeship and trainee pay progression and amend weekend penalty rates, fails to take into account the effect it would have on the compensable payments of injured and ill employees as well as the community.</w:t>
      </w:r>
    </w:p>
    <w:p w14:paraId="10A4E4C2" w14:textId="77777777" w:rsidR="004E3E79" w:rsidRDefault="004E3E79" w:rsidP="004E3E79">
      <w:pPr>
        <w:pStyle w:val="ListParagraph"/>
        <w:widowControl w:val="0"/>
        <w:autoSpaceDE w:val="0"/>
        <w:autoSpaceDN w:val="0"/>
        <w:adjustRightInd w:val="0"/>
        <w:jc w:val="both"/>
        <w:rPr>
          <w:rFonts w:ascii="Arial" w:hAnsi="Arial" w:cs="Arial"/>
          <w:bCs/>
          <w:color w:val="000000" w:themeColor="text1"/>
          <w:sz w:val="24"/>
          <w:szCs w:val="24"/>
          <w:lang w:val="en-US"/>
        </w:rPr>
      </w:pPr>
    </w:p>
    <w:p w14:paraId="510DEC37" w14:textId="0D585440" w:rsidR="00155643" w:rsidRPr="004E3E79" w:rsidRDefault="00155643" w:rsidP="004E3E79">
      <w:pPr>
        <w:pStyle w:val="ListParagraph"/>
        <w:widowControl w:val="0"/>
        <w:numPr>
          <w:ilvl w:val="0"/>
          <w:numId w:val="2"/>
        </w:numPr>
        <w:autoSpaceDE w:val="0"/>
        <w:autoSpaceDN w:val="0"/>
        <w:adjustRightInd w:val="0"/>
        <w:jc w:val="both"/>
        <w:rPr>
          <w:rFonts w:ascii="Arial" w:hAnsi="Arial" w:cs="Arial"/>
          <w:bCs/>
          <w:color w:val="000000" w:themeColor="text1"/>
          <w:sz w:val="24"/>
          <w:szCs w:val="24"/>
          <w:lang w:val="en-US"/>
        </w:rPr>
      </w:pPr>
      <w:r w:rsidRPr="004E3E79">
        <w:rPr>
          <w:rFonts w:ascii="Arial" w:hAnsi="Arial" w:cs="Arial"/>
          <w:bCs/>
          <w:color w:val="000000" w:themeColor="text1"/>
          <w:sz w:val="24"/>
          <w:szCs w:val="24"/>
          <w:lang w:val="en-US"/>
        </w:rPr>
        <w:lastRenderedPageBreak/>
        <w:t xml:space="preserve">Depending on the jurisdiction, ill or injured employees are compensated on pre-injury earnings including penalty rates. </w:t>
      </w:r>
    </w:p>
    <w:p w14:paraId="1E2BE282" w14:textId="77777777" w:rsidR="00155643" w:rsidRPr="00155643" w:rsidRDefault="00155643" w:rsidP="00155643">
      <w:pPr>
        <w:widowControl w:val="0"/>
        <w:autoSpaceDE w:val="0"/>
        <w:autoSpaceDN w:val="0"/>
        <w:adjustRightInd w:val="0"/>
        <w:spacing w:after="0"/>
        <w:jc w:val="both"/>
        <w:rPr>
          <w:rFonts w:ascii="Arial" w:hAnsi="Arial" w:cs="Arial"/>
          <w:color w:val="000000" w:themeColor="text1"/>
          <w:sz w:val="24"/>
          <w:szCs w:val="24"/>
          <w:lang w:val="en-US"/>
        </w:rPr>
      </w:pPr>
    </w:p>
    <w:p w14:paraId="149D579E" w14:textId="77777777" w:rsidR="00155643" w:rsidRPr="00155643" w:rsidRDefault="00155643" w:rsidP="00155643">
      <w:pPr>
        <w:pStyle w:val="ListParagraph"/>
        <w:widowControl w:val="0"/>
        <w:autoSpaceDE w:val="0"/>
        <w:autoSpaceDN w:val="0"/>
        <w:adjustRightInd w:val="0"/>
        <w:spacing w:after="0"/>
        <w:jc w:val="both"/>
        <w:rPr>
          <w:rFonts w:ascii="Arial" w:hAnsi="Arial" w:cs="Arial"/>
          <w:bCs/>
          <w:color w:val="000000" w:themeColor="text1"/>
          <w:sz w:val="24"/>
          <w:szCs w:val="24"/>
          <w:lang w:val="en-US"/>
        </w:rPr>
      </w:pPr>
      <w:r w:rsidRPr="00155643">
        <w:rPr>
          <w:rFonts w:ascii="Arial" w:hAnsi="Arial" w:cs="Arial"/>
          <w:color w:val="000000" w:themeColor="text1"/>
          <w:sz w:val="24"/>
          <w:szCs w:val="24"/>
          <w:lang w:val="en-US"/>
        </w:rPr>
        <w:t xml:space="preserve">For example, in Victoria, an injured employee unable to work is entitled to the following, which are inclusive of penalty rates and allowances: </w:t>
      </w:r>
    </w:p>
    <w:p w14:paraId="7336F953" w14:textId="77777777" w:rsidR="00155643" w:rsidRPr="00C90373" w:rsidRDefault="00155643" w:rsidP="00155643">
      <w:pPr>
        <w:widowControl w:val="0"/>
        <w:autoSpaceDE w:val="0"/>
        <w:autoSpaceDN w:val="0"/>
        <w:adjustRightInd w:val="0"/>
        <w:ind w:left="720"/>
        <w:jc w:val="both"/>
        <w:rPr>
          <w:rFonts w:ascii="Arial" w:hAnsi="Arial" w:cs="Arial"/>
          <w:color w:val="000000" w:themeColor="text1"/>
          <w:lang w:val="en-US"/>
        </w:rPr>
      </w:pPr>
    </w:p>
    <w:p w14:paraId="1F07D672" w14:textId="77777777" w:rsidR="00155643" w:rsidRPr="00C90373" w:rsidRDefault="00155643" w:rsidP="00155643">
      <w:pPr>
        <w:pStyle w:val="ListParagraph"/>
        <w:widowControl w:val="0"/>
        <w:numPr>
          <w:ilvl w:val="1"/>
          <w:numId w:val="3"/>
        </w:numPr>
        <w:autoSpaceDE w:val="0"/>
        <w:autoSpaceDN w:val="0"/>
        <w:adjustRightInd w:val="0"/>
        <w:spacing w:after="0" w:line="240" w:lineRule="auto"/>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for at least 13 weeks  95% of their pre-injury earnings; </w:t>
      </w:r>
    </w:p>
    <w:p w14:paraId="0ABA9F78" w14:textId="77777777" w:rsidR="00155643" w:rsidRPr="00C90373" w:rsidRDefault="00155643" w:rsidP="00155643">
      <w:pPr>
        <w:pStyle w:val="ListParagraph"/>
        <w:widowControl w:val="0"/>
        <w:autoSpaceDE w:val="0"/>
        <w:autoSpaceDN w:val="0"/>
        <w:adjustRightInd w:val="0"/>
        <w:spacing w:after="0" w:line="240" w:lineRule="auto"/>
        <w:ind w:left="1440"/>
        <w:jc w:val="both"/>
        <w:rPr>
          <w:rFonts w:ascii="Arial" w:hAnsi="Arial" w:cs="Arial"/>
          <w:color w:val="000000" w:themeColor="text1"/>
          <w:sz w:val="24"/>
          <w:szCs w:val="24"/>
          <w:lang w:val="en-US"/>
        </w:rPr>
      </w:pPr>
    </w:p>
    <w:p w14:paraId="34848015" w14:textId="77777777" w:rsidR="00155643" w:rsidRDefault="00155643" w:rsidP="00155643">
      <w:pPr>
        <w:pStyle w:val="ListParagraph"/>
        <w:widowControl w:val="0"/>
        <w:numPr>
          <w:ilvl w:val="1"/>
          <w:numId w:val="3"/>
        </w:numPr>
        <w:autoSpaceDE w:val="0"/>
        <w:autoSpaceDN w:val="0"/>
        <w:adjustRightInd w:val="0"/>
        <w:spacing w:after="0" w:line="240" w:lineRule="auto"/>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afterwards 80% of  their pre-injury earnings for up to 52 weeks; and </w:t>
      </w:r>
    </w:p>
    <w:p w14:paraId="5A327607" w14:textId="77777777" w:rsidR="004C7EDD" w:rsidRPr="004C7EDD" w:rsidRDefault="004C7EDD" w:rsidP="004C7EDD">
      <w:pPr>
        <w:widowControl w:val="0"/>
        <w:autoSpaceDE w:val="0"/>
        <w:autoSpaceDN w:val="0"/>
        <w:adjustRightInd w:val="0"/>
        <w:spacing w:after="0" w:line="240" w:lineRule="auto"/>
        <w:jc w:val="both"/>
        <w:rPr>
          <w:rFonts w:ascii="Arial" w:hAnsi="Arial" w:cs="Arial"/>
          <w:color w:val="000000" w:themeColor="text1"/>
          <w:sz w:val="24"/>
          <w:szCs w:val="24"/>
          <w:lang w:val="en-US"/>
        </w:rPr>
      </w:pPr>
    </w:p>
    <w:p w14:paraId="5CE6C08F" w14:textId="77777777" w:rsidR="00155643" w:rsidRPr="00C90373" w:rsidRDefault="00155643" w:rsidP="00155643">
      <w:pPr>
        <w:pStyle w:val="ListParagraph"/>
        <w:widowControl w:val="0"/>
        <w:numPr>
          <w:ilvl w:val="1"/>
          <w:numId w:val="3"/>
        </w:numPr>
        <w:autoSpaceDE w:val="0"/>
        <w:autoSpaceDN w:val="0"/>
        <w:adjustRightInd w:val="0"/>
        <w:spacing w:after="0" w:line="240" w:lineRule="auto"/>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beyond 52 weeks and up to 130 weeks, 80% of their pre-injury </w:t>
      </w:r>
      <w:r w:rsidRPr="00C90373">
        <w:rPr>
          <w:rFonts w:ascii="Arial" w:hAnsi="Arial" w:cs="Arial"/>
          <w:iCs/>
          <w:color w:val="000000" w:themeColor="text1"/>
          <w:sz w:val="24"/>
          <w:szCs w:val="24"/>
          <w:lang w:val="en-US"/>
        </w:rPr>
        <w:t>base</w:t>
      </w:r>
      <w:r w:rsidRPr="00C90373">
        <w:rPr>
          <w:rFonts w:ascii="Arial" w:hAnsi="Arial" w:cs="Arial"/>
          <w:color w:val="000000" w:themeColor="text1"/>
          <w:sz w:val="24"/>
          <w:szCs w:val="24"/>
          <w:lang w:val="en-US"/>
        </w:rPr>
        <w:t xml:space="preserve"> rate. </w:t>
      </w:r>
    </w:p>
    <w:p w14:paraId="1B761BDF" w14:textId="77777777" w:rsidR="00155643" w:rsidRPr="00C90373" w:rsidRDefault="00155643" w:rsidP="00155643">
      <w:pPr>
        <w:widowControl w:val="0"/>
        <w:autoSpaceDE w:val="0"/>
        <w:autoSpaceDN w:val="0"/>
        <w:adjustRightInd w:val="0"/>
        <w:ind w:left="720"/>
        <w:jc w:val="both"/>
        <w:rPr>
          <w:rFonts w:ascii="Arial" w:hAnsi="Arial" w:cs="Arial"/>
          <w:bCs/>
          <w:color w:val="000000" w:themeColor="text1"/>
          <w:lang w:val="en-US"/>
        </w:rPr>
      </w:pPr>
    </w:p>
    <w:p w14:paraId="170FDB14" w14:textId="77777777" w:rsidR="004E3E79" w:rsidRDefault="00155643" w:rsidP="004E3E79">
      <w:pPr>
        <w:pStyle w:val="ListParagraph"/>
        <w:widowControl w:val="0"/>
        <w:numPr>
          <w:ilvl w:val="0"/>
          <w:numId w:val="2"/>
        </w:numPr>
        <w:autoSpaceDE w:val="0"/>
        <w:autoSpaceDN w:val="0"/>
        <w:adjustRightInd w:val="0"/>
        <w:spacing w:after="0" w:line="240" w:lineRule="auto"/>
        <w:jc w:val="both"/>
        <w:rPr>
          <w:rFonts w:ascii="Arial" w:hAnsi="Arial" w:cs="Arial"/>
          <w:bCs/>
          <w:color w:val="000000" w:themeColor="text1"/>
          <w:sz w:val="24"/>
          <w:szCs w:val="24"/>
          <w:lang w:val="en-US"/>
        </w:rPr>
      </w:pPr>
      <w:r w:rsidRPr="004E3E79">
        <w:rPr>
          <w:rFonts w:ascii="Arial" w:hAnsi="Arial" w:cs="Arial"/>
          <w:bCs/>
          <w:color w:val="000000" w:themeColor="text1"/>
          <w:sz w:val="24"/>
          <w:szCs w:val="24"/>
          <w:lang w:val="en-US"/>
        </w:rPr>
        <w:t xml:space="preserve">Any reduction in penalty rates or paid entitlements would have a flow on effect on injured employees as well as the community.  Due to the reduction of paid entitlements and penalty rates the amount of compensation that an injured employee receives will be reduced dramatically. A reduction in the amount of compensation will flow on to the community, most probably through family support, </w:t>
      </w:r>
      <w:proofErr w:type="spellStart"/>
      <w:r w:rsidRPr="004E3E79">
        <w:rPr>
          <w:rFonts w:ascii="Arial" w:hAnsi="Arial" w:cs="Arial"/>
          <w:bCs/>
          <w:color w:val="000000" w:themeColor="text1"/>
          <w:sz w:val="24"/>
          <w:szCs w:val="24"/>
          <w:lang w:val="en-US"/>
        </w:rPr>
        <w:t>Centrelink</w:t>
      </w:r>
      <w:proofErr w:type="spellEnd"/>
      <w:r w:rsidRPr="004E3E79">
        <w:rPr>
          <w:rFonts w:ascii="Arial" w:hAnsi="Arial" w:cs="Arial"/>
          <w:bCs/>
          <w:color w:val="000000" w:themeColor="text1"/>
          <w:sz w:val="24"/>
          <w:szCs w:val="24"/>
          <w:lang w:val="en-US"/>
        </w:rPr>
        <w:t xml:space="preserve"> or Medicare welfare payments.</w:t>
      </w:r>
    </w:p>
    <w:p w14:paraId="7D9557B6" w14:textId="77777777" w:rsidR="004E3E79" w:rsidRDefault="004E3E79" w:rsidP="004E3E79">
      <w:pPr>
        <w:pStyle w:val="ListParagraph"/>
        <w:widowControl w:val="0"/>
        <w:autoSpaceDE w:val="0"/>
        <w:autoSpaceDN w:val="0"/>
        <w:adjustRightInd w:val="0"/>
        <w:spacing w:after="0" w:line="240" w:lineRule="auto"/>
        <w:jc w:val="both"/>
        <w:rPr>
          <w:rFonts w:ascii="Arial" w:hAnsi="Arial" w:cs="Arial"/>
          <w:bCs/>
          <w:color w:val="000000" w:themeColor="text1"/>
          <w:sz w:val="24"/>
          <w:szCs w:val="24"/>
          <w:lang w:val="en-US"/>
        </w:rPr>
      </w:pPr>
    </w:p>
    <w:p w14:paraId="0234C7D6" w14:textId="77777777" w:rsidR="004E3E79" w:rsidRPr="004E3E79" w:rsidRDefault="00155643" w:rsidP="004E3E79">
      <w:pPr>
        <w:pStyle w:val="ListParagraph"/>
        <w:widowControl w:val="0"/>
        <w:numPr>
          <w:ilvl w:val="0"/>
          <w:numId w:val="2"/>
        </w:numPr>
        <w:autoSpaceDE w:val="0"/>
        <w:autoSpaceDN w:val="0"/>
        <w:adjustRightInd w:val="0"/>
        <w:spacing w:after="0" w:line="240" w:lineRule="auto"/>
        <w:jc w:val="both"/>
        <w:rPr>
          <w:rFonts w:ascii="Arial" w:hAnsi="Arial" w:cs="Arial"/>
          <w:bCs/>
          <w:color w:val="000000" w:themeColor="text1"/>
          <w:sz w:val="24"/>
          <w:szCs w:val="24"/>
          <w:lang w:val="en-US"/>
        </w:rPr>
      </w:pPr>
      <w:r w:rsidRPr="004E3E79">
        <w:rPr>
          <w:rFonts w:ascii="Arial" w:hAnsi="Arial" w:cs="Arial"/>
          <w:color w:val="000000" w:themeColor="text1"/>
          <w:sz w:val="24"/>
          <w:szCs w:val="24"/>
          <w:lang w:val="en-US"/>
        </w:rPr>
        <w:t>Reduction of penalty rates or paid entitlements would have a devastating effect on injured employees and their families’ capacity to maintain their existing living standards.</w:t>
      </w:r>
    </w:p>
    <w:p w14:paraId="4AFD8580" w14:textId="77777777" w:rsidR="004E3E79" w:rsidRPr="004E3E79" w:rsidRDefault="004E3E79" w:rsidP="004E3E79">
      <w:pPr>
        <w:widowControl w:val="0"/>
        <w:autoSpaceDE w:val="0"/>
        <w:autoSpaceDN w:val="0"/>
        <w:adjustRightInd w:val="0"/>
        <w:spacing w:after="0" w:line="240" w:lineRule="auto"/>
        <w:jc w:val="both"/>
        <w:rPr>
          <w:rFonts w:ascii="Arial" w:hAnsi="Arial" w:cs="Arial"/>
          <w:bCs/>
          <w:color w:val="000000" w:themeColor="text1"/>
          <w:sz w:val="24"/>
          <w:szCs w:val="24"/>
          <w:lang w:val="en-US"/>
        </w:rPr>
      </w:pPr>
    </w:p>
    <w:p w14:paraId="47746781" w14:textId="3DE31085" w:rsidR="00155643" w:rsidRPr="004E3E79" w:rsidRDefault="00155643" w:rsidP="004E3E79">
      <w:pPr>
        <w:pStyle w:val="ListParagraph"/>
        <w:widowControl w:val="0"/>
        <w:numPr>
          <w:ilvl w:val="0"/>
          <w:numId w:val="2"/>
        </w:numPr>
        <w:autoSpaceDE w:val="0"/>
        <w:autoSpaceDN w:val="0"/>
        <w:adjustRightInd w:val="0"/>
        <w:spacing w:after="0" w:line="240" w:lineRule="auto"/>
        <w:jc w:val="both"/>
        <w:rPr>
          <w:rFonts w:ascii="Arial" w:hAnsi="Arial" w:cs="Arial"/>
          <w:bCs/>
          <w:color w:val="000000" w:themeColor="text1"/>
          <w:sz w:val="24"/>
          <w:szCs w:val="24"/>
          <w:lang w:val="en-US"/>
        </w:rPr>
      </w:pPr>
      <w:r w:rsidRPr="004E3E79">
        <w:rPr>
          <w:rFonts w:ascii="Arial" w:hAnsi="Arial" w:cs="Arial"/>
          <w:bCs/>
          <w:color w:val="000000" w:themeColor="text1"/>
          <w:sz w:val="24"/>
          <w:szCs w:val="24"/>
          <w:lang w:val="en-US"/>
        </w:rPr>
        <w:t>Furthermore, in 2012 Safe Work Australia</w:t>
      </w:r>
      <w:r w:rsidRPr="00C90373">
        <w:rPr>
          <w:rStyle w:val="FootnoteReference"/>
          <w:rFonts w:ascii="Arial" w:hAnsi="Arial" w:cs="Arial"/>
          <w:bCs/>
          <w:color w:val="000000" w:themeColor="text1"/>
          <w:sz w:val="24"/>
          <w:szCs w:val="24"/>
          <w:lang w:val="en-US"/>
        </w:rPr>
        <w:footnoteReference w:id="32"/>
      </w:r>
      <w:r w:rsidRPr="004E3E79">
        <w:rPr>
          <w:rFonts w:ascii="Arial" w:hAnsi="Arial" w:cs="Arial"/>
          <w:bCs/>
          <w:color w:val="000000" w:themeColor="text1"/>
          <w:sz w:val="24"/>
          <w:szCs w:val="24"/>
          <w:lang w:val="en-US"/>
        </w:rPr>
        <w:t xml:space="preserve"> ascribed the $60 billion (4.8% of GDP) economic cost of work-related incidents in the following way:</w:t>
      </w:r>
    </w:p>
    <w:p w14:paraId="57B38E03" w14:textId="77777777" w:rsidR="00155643" w:rsidRPr="00C90373" w:rsidRDefault="00155643" w:rsidP="00155643">
      <w:pPr>
        <w:pStyle w:val="ListParagraph"/>
        <w:widowControl w:val="0"/>
        <w:autoSpaceDE w:val="0"/>
        <w:autoSpaceDN w:val="0"/>
        <w:adjustRightInd w:val="0"/>
        <w:jc w:val="both"/>
        <w:rPr>
          <w:rFonts w:ascii="Arial" w:hAnsi="Arial" w:cs="Arial"/>
          <w:bCs/>
          <w:color w:val="000000" w:themeColor="text1"/>
          <w:sz w:val="24"/>
          <w:szCs w:val="24"/>
          <w:lang w:val="en-US"/>
        </w:rPr>
      </w:pPr>
    </w:p>
    <w:p w14:paraId="1E5BF43D" w14:textId="77777777" w:rsidR="00155643" w:rsidRPr="00774C3C" w:rsidRDefault="00155643" w:rsidP="00774C3C">
      <w:pPr>
        <w:pStyle w:val="NoSpacing"/>
        <w:numPr>
          <w:ilvl w:val="0"/>
          <w:numId w:val="11"/>
        </w:numPr>
        <w:ind w:left="1440"/>
        <w:rPr>
          <w:rFonts w:ascii="Arial" w:hAnsi="Arial" w:cs="Arial"/>
          <w:sz w:val="24"/>
          <w:szCs w:val="24"/>
          <w:lang w:val="en-US"/>
        </w:rPr>
      </w:pPr>
      <w:r w:rsidRPr="00774C3C">
        <w:rPr>
          <w:rFonts w:ascii="Arial" w:hAnsi="Arial" w:cs="Arial"/>
          <w:sz w:val="24"/>
          <w:szCs w:val="24"/>
          <w:lang w:val="en-US"/>
        </w:rPr>
        <w:t>Employer – 5%</w:t>
      </w:r>
    </w:p>
    <w:p w14:paraId="38B86C4F" w14:textId="77777777" w:rsidR="00774C3C" w:rsidRPr="00774C3C" w:rsidRDefault="00774C3C" w:rsidP="00774C3C">
      <w:pPr>
        <w:pStyle w:val="NoSpacing"/>
        <w:ind w:left="720"/>
        <w:rPr>
          <w:rFonts w:ascii="Arial" w:hAnsi="Arial" w:cs="Arial"/>
          <w:sz w:val="24"/>
          <w:szCs w:val="24"/>
          <w:lang w:val="en-US"/>
        </w:rPr>
      </w:pPr>
    </w:p>
    <w:p w14:paraId="48B59842" w14:textId="77777777" w:rsidR="00155643" w:rsidRPr="00774C3C" w:rsidRDefault="00155643" w:rsidP="00774C3C">
      <w:pPr>
        <w:pStyle w:val="NoSpacing"/>
        <w:numPr>
          <w:ilvl w:val="0"/>
          <w:numId w:val="11"/>
        </w:numPr>
        <w:ind w:left="1440"/>
        <w:rPr>
          <w:rFonts w:ascii="Arial" w:hAnsi="Arial" w:cs="Arial"/>
          <w:sz w:val="24"/>
          <w:szCs w:val="24"/>
          <w:lang w:val="en-US"/>
        </w:rPr>
      </w:pPr>
      <w:r w:rsidRPr="00774C3C">
        <w:rPr>
          <w:rFonts w:ascii="Arial" w:hAnsi="Arial" w:cs="Arial"/>
          <w:sz w:val="24"/>
          <w:szCs w:val="24"/>
          <w:lang w:val="en-US"/>
        </w:rPr>
        <w:t>Workers – 74%</w:t>
      </w:r>
    </w:p>
    <w:p w14:paraId="161FE160" w14:textId="77777777" w:rsidR="00774C3C" w:rsidRPr="00774C3C" w:rsidRDefault="00774C3C" w:rsidP="00774C3C">
      <w:pPr>
        <w:pStyle w:val="NoSpacing"/>
        <w:ind w:left="720"/>
        <w:rPr>
          <w:rFonts w:ascii="Arial" w:hAnsi="Arial" w:cs="Arial"/>
          <w:sz w:val="24"/>
          <w:szCs w:val="24"/>
          <w:lang w:val="en-US"/>
        </w:rPr>
      </w:pPr>
    </w:p>
    <w:p w14:paraId="799EFC7B" w14:textId="77777777" w:rsidR="00155643" w:rsidRPr="00774C3C" w:rsidRDefault="00155643" w:rsidP="00774C3C">
      <w:pPr>
        <w:pStyle w:val="NoSpacing"/>
        <w:numPr>
          <w:ilvl w:val="0"/>
          <w:numId w:val="11"/>
        </w:numPr>
        <w:ind w:left="1440"/>
        <w:rPr>
          <w:rFonts w:ascii="Arial" w:hAnsi="Arial" w:cs="Arial"/>
          <w:sz w:val="24"/>
          <w:szCs w:val="24"/>
          <w:lang w:val="en-US"/>
        </w:rPr>
      </w:pPr>
      <w:r w:rsidRPr="00774C3C">
        <w:rPr>
          <w:rFonts w:ascii="Arial" w:hAnsi="Arial" w:cs="Arial"/>
          <w:sz w:val="24"/>
          <w:szCs w:val="24"/>
          <w:lang w:val="en-US"/>
        </w:rPr>
        <w:t>Community – 21%</w:t>
      </w:r>
    </w:p>
    <w:p w14:paraId="6348F916" w14:textId="77777777" w:rsidR="00155643" w:rsidRPr="00C90373" w:rsidRDefault="00155643" w:rsidP="00155643">
      <w:pPr>
        <w:pStyle w:val="ListParagraph"/>
        <w:widowControl w:val="0"/>
        <w:autoSpaceDE w:val="0"/>
        <w:autoSpaceDN w:val="0"/>
        <w:adjustRightInd w:val="0"/>
        <w:jc w:val="both"/>
        <w:rPr>
          <w:rFonts w:ascii="Arial" w:hAnsi="Arial" w:cs="Arial"/>
          <w:bCs/>
          <w:color w:val="000000" w:themeColor="text1"/>
          <w:sz w:val="24"/>
          <w:szCs w:val="24"/>
          <w:lang w:val="en-US"/>
        </w:rPr>
      </w:pPr>
    </w:p>
    <w:p w14:paraId="0188AB52" w14:textId="41DB1CE6" w:rsidR="00155643" w:rsidRDefault="00155643" w:rsidP="004E3E79">
      <w:pPr>
        <w:pStyle w:val="ListParagraph"/>
        <w:widowControl w:val="0"/>
        <w:numPr>
          <w:ilvl w:val="0"/>
          <w:numId w:val="2"/>
        </w:numPr>
        <w:autoSpaceDE w:val="0"/>
        <w:autoSpaceDN w:val="0"/>
        <w:adjustRightInd w:val="0"/>
        <w:spacing w:after="0" w:line="240" w:lineRule="auto"/>
        <w:jc w:val="both"/>
        <w:rPr>
          <w:rFonts w:ascii="Arial" w:hAnsi="Arial" w:cs="Arial"/>
          <w:bCs/>
          <w:color w:val="000000" w:themeColor="text1"/>
          <w:sz w:val="24"/>
          <w:szCs w:val="24"/>
          <w:lang w:val="en-US"/>
        </w:rPr>
      </w:pPr>
      <w:r w:rsidRPr="00C90373">
        <w:rPr>
          <w:rFonts w:ascii="Arial" w:hAnsi="Arial" w:cs="Arial"/>
          <w:bCs/>
          <w:color w:val="000000" w:themeColor="text1"/>
          <w:sz w:val="24"/>
          <w:szCs w:val="24"/>
          <w:lang w:val="en-US"/>
        </w:rPr>
        <w:t>The economic cost of work-related incidents has doubled in the decade prior to 2009. Whilst the cost to employers has increased by 2% over that period the community burden has been reduced by 32%. Meanwhile, workers have endured a 168% increase in costs.</w:t>
      </w:r>
    </w:p>
    <w:p w14:paraId="73211299" w14:textId="77777777" w:rsidR="004C7EDD" w:rsidRPr="004C7EDD" w:rsidRDefault="004C7EDD" w:rsidP="004C7EDD">
      <w:pPr>
        <w:pStyle w:val="ListParagraph"/>
        <w:widowControl w:val="0"/>
        <w:autoSpaceDE w:val="0"/>
        <w:autoSpaceDN w:val="0"/>
        <w:adjustRightInd w:val="0"/>
        <w:spacing w:after="0" w:line="240" w:lineRule="auto"/>
        <w:jc w:val="both"/>
        <w:rPr>
          <w:rFonts w:ascii="Arial" w:hAnsi="Arial" w:cs="Arial"/>
          <w:bCs/>
          <w:color w:val="000000" w:themeColor="text1"/>
          <w:sz w:val="24"/>
          <w:szCs w:val="24"/>
          <w:lang w:val="en-US"/>
        </w:rPr>
      </w:pPr>
    </w:p>
    <w:p w14:paraId="56D35F0F" w14:textId="77777777" w:rsidR="00155643" w:rsidRPr="00155643" w:rsidRDefault="00155643" w:rsidP="00155643">
      <w:pPr>
        <w:widowControl w:val="0"/>
        <w:autoSpaceDE w:val="0"/>
        <w:autoSpaceDN w:val="0"/>
        <w:adjustRightInd w:val="0"/>
        <w:jc w:val="both"/>
        <w:rPr>
          <w:rFonts w:ascii="Arial" w:hAnsi="Arial" w:cs="Arial"/>
          <w:b/>
          <w:bCs/>
          <w:color w:val="000000" w:themeColor="text1"/>
          <w:sz w:val="24"/>
          <w:szCs w:val="24"/>
          <w:lang w:val="en-US"/>
        </w:rPr>
      </w:pPr>
      <w:r w:rsidRPr="00155643">
        <w:rPr>
          <w:rFonts w:ascii="Arial" w:hAnsi="Arial" w:cs="Arial"/>
          <w:b/>
          <w:bCs/>
          <w:color w:val="000000" w:themeColor="text1"/>
          <w:sz w:val="24"/>
          <w:szCs w:val="24"/>
          <w:lang w:val="en-US"/>
        </w:rPr>
        <w:t>Work Health and Safety</w:t>
      </w:r>
    </w:p>
    <w:p w14:paraId="05F2A1FD" w14:textId="5CD0EB54" w:rsidR="00155643" w:rsidRDefault="00155643" w:rsidP="004E3E79">
      <w:pPr>
        <w:pStyle w:val="ListParagraph"/>
        <w:widowControl w:val="0"/>
        <w:numPr>
          <w:ilvl w:val="0"/>
          <w:numId w:val="2"/>
        </w:numPr>
        <w:autoSpaceDE w:val="0"/>
        <w:autoSpaceDN w:val="0"/>
        <w:adjustRightInd w:val="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Any assessment of productivity enhancements and the recommendations that flow from such an assessment must include the effects on work health and safety.</w:t>
      </w:r>
    </w:p>
    <w:p w14:paraId="483D0ABA" w14:textId="77777777" w:rsidR="00155643" w:rsidRPr="00155643" w:rsidRDefault="00155643" w:rsidP="00155643">
      <w:pPr>
        <w:pStyle w:val="ListParagraph"/>
        <w:widowControl w:val="0"/>
        <w:autoSpaceDE w:val="0"/>
        <w:autoSpaceDN w:val="0"/>
        <w:adjustRightInd w:val="0"/>
        <w:jc w:val="both"/>
        <w:rPr>
          <w:rFonts w:ascii="Arial" w:hAnsi="Arial" w:cs="Arial"/>
          <w:color w:val="000000" w:themeColor="text1"/>
          <w:sz w:val="24"/>
          <w:szCs w:val="24"/>
          <w:lang w:val="en-US"/>
        </w:rPr>
      </w:pPr>
    </w:p>
    <w:p w14:paraId="68D154AA" w14:textId="77777777" w:rsidR="004C7EDD" w:rsidRDefault="00155643" w:rsidP="004E3E79">
      <w:pPr>
        <w:pStyle w:val="ListParagraph"/>
        <w:widowControl w:val="0"/>
        <w:numPr>
          <w:ilvl w:val="0"/>
          <w:numId w:val="2"/>
        </w:numPr>
        <w:autoSpaceDE w:val="0"/>
        <w:autoSpaceDN w:val="0"/>
        <w:adjustRightInd w:val="0"/>
        <w:spacing w:after="0"/>
        <w:ind w:left="714" w:hanging="357"/>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A number of recommendations contained within the Productivity Commission’s draft report have the capa</w:t>
      </w:r>
      <w:r>
        <w:rPr>
          <w:rFonts w:ascii="Arial" w:hAnsi="Arial" w:cs="Arial"/>
          <w:color w:val="000000" w:themeColor="text1"/>
          <w:sz w:val="24"/>
          <w:szCs w:val="24"/>
          <w:lang w:val="en-US"/>
        </w:rPr>
        <w:t xml:space="preserve">city to </w:t>
      </w:r>
      <w:proofErr w:type="spellStart"/>
      <w:r>
        <w:rPr>
          <w:rFonts w:ascii="Arial" w:hAnsi="Arial" w:cs="Arial"/>
          <w:color w:val="000000" w:themeColor="text1"/>
          <w:sz w:val="24"/>
          <w:szCs w:val="24"/>
          <w:lang w:val="en-US"/>
        </w:rPr>
        <w:t>incentivis</w:t>
      </w:r>
      <w:r w:rsidRPr="00C90373">
        <w:rPr>
          <w:rFonts w:ascii="Arial" w:hAnsi="Arial" w:cs="Arial"/>
          <w:color w:val="000000" w:themeColor="text1"/>
          <w:sz w:val="24"/>
          <w:szCs w:val="24"/>
          <w:lang w:val="en-US"/>
        </w:rPr>
        <w:t>e</w:t>
      </w:r>
      <w:proofErr w:type="spellEnd"/>
      <w:r w:rsidRPr="00C90373">
        <w:rPr>
          <w:rFonts w:ascii="Arial" w:hAnsi="Arial" w:cs="Arial"/>
          <w:color w:val="000000" w:themeColor="text1"/>
          <w:sz w:val="24"/>
          <w:szCs w:val="24"/>
          <w:lang w:val="en-US"/>
        </w:rPr>
        <w:t xml:space="preserve"> individual </w:t>
      </w:r>
      <w:proofErr w:type="spellStart"/>
      <w:r w:rsidRPr="00C90373">
        <w:rPr>
          <w:rFonts w:ascii="Arial" w:hAnsi="Arial" w:cs="Arial"/>
          <w:color w:val="000000" w:themeColor="text1"/>
          <w:sz w:val="24"/>
          <w:szCs w:val="24"/>
          <w:lang w:val="en-US"/>
        </w:rPr>
        <w:t>labour</w:t>
      </w:r>
      <w:proofErr w:type="spellEnd"/>
      <w:r w:rsidRPr="00C90373">
        <w:rPr>
          <w:rFonts w:ascii="Arial" w:hAnsi="Arial" w:cs="Arial"/>
          <w:color w:val="000000" w:themeColor="text1"/>
          <w:sz w:val="24"/>
          <w:szCs w:val="24"/>
          <w:lang w:val="en-US"/>
        </w:rPr>
        <w:t xml:space="preserve"> arrangements and precarious employment. </w:t>
      </w:r>
    </w:p>
    <w:p w14:paraId="41A9E875" w14:textId="77777777" w:rsidR="004C7EDD" w:rsidRPr="004C7EDD" w:rsidRDefault="004C7EDD" w:rsidP="004C7EDD">
      <w:pPr>
        <w:widowControl w:val="0"/>
        <w:autoSpaceDE w:val="0"/>
        <w:autoSpaceDN w:val="0"/>
        <w:adjustRightInd w:val="0"/>
        <w:spacing w:after="0"/>
        <w:jc w:val="both"/>
        <w:rPr>
          <w:rFonts w:ascii="Arial" w:hAnsi="Arial" w:cs="Arial"/>
          <w:color w:val="000000" w:themeColor="text1"/>
          <w:sz w:val="24"/>
          <w:szCs w:val="24"/>
          <w:lang w:val="en-US"/>
        </w:rPr>
      </w:pPr>
    </w:p>
    <w:p w14:paraId="2E479D28" w14:textId="6AF87B47" w:rsidR="00155643" w:rsidRPr="00C90373" w:rsidRDefault="00155643" w:rsidP="004E3E79">
      <w:pPr>
        <w:pStyle w:val="ListParagraph"/>
        <w:widowControl w:val="0"/>
        <w:numPr>
          <w:ilvl w:val="0"/>
          <w:numId w:val="2"/>
        </w:numPr>
        <w:autoSpaceDE w:val="0"/>
        <w:autoSpaceDN w:val="0"/>
        <w:adjustRightInd w:val="0"/>
        <w:spacing w:after="0"/>
        <w:ind w:left="714" w:hanging="357"/>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There is a strong link between precarious work and deterioration in occupational health and safety outcomes.</w:t>
      </w:r>
      <w:r w:rsidRPr="00C90373">
        <w:rPr>
          <w:rStyle w:val="FootnoteReference"/>
          <w:rFonts w:ascii="Arial" w:hAnsi="Arial" w:cs="Arial"/>
          <w:color w:val="000000" w:themeColor="text1"/>
          <w:sz w:val="24"/>
          <w:szCs w:val="24"/>
          <w:lang w:val="en-US"/>
        </w:rPr>
        <w:footnoteReference w:id="33"/>
      </w:r>
      <w:r w:rsidRPr="00C90373">
        <w:rPr>
          <w:rFonts w:ascii="Arial" w:hAnsi="Arial" w:cs="Arial"/>
          <w:color w:val="000000" w:themeColor="text1"/>
          <w:sz w:val="24"/>
          <w:szCs w:val="24"/>
          <w:lang w:val="en-US"/>
        </w:rPr>
        <w:t xml:space="preserve"> Precarious workers are less likely to</w:t>
      </w:r>
      <w:r>
        <w:rPr>
          <w:rFonts w:ascii="Arial" w:hAnsi="Arial" w:cs="Arial"/>
          <w:color w:val="000000" w:themeColor="text1"/>
          <w:sz w:val="24"/>
          <w:szCs w:val="24"/>
          <w:lang w:val="en-US"/>
        </w:rPr>
        <w:t xml:space="preserve"> </w:t>
      </w:r>
      <w:r w:rsidRPr="00C90373">
        <w:rPr>
          <w:rFonts w:ascii="Arial" w:hAnsi="Arial" w:cs="Arial"/>
          <w:color w:val="000000" w:themeColor="text1"/>
          <w:sz w:val="24"/>
          <w:szCs w:val="24"/>
          <w:lang w:val="en-US"/>
        </w:rPr>
        <w:t>be</w:t>
      </w:r>
      <w:r>
        <w:rPr>
          <w:rFonts w:ascii="Arial" w:hAnsi="Arial" w:cs="Arial"/>
          <w:color w:val="000000" w:themeColor="text1"/>
          <w:sz w:val="24"/>
          <w:szCs w:val="24"/>
          <w:lang w:val="en-US"/>
        </w:rPr>
        <w:t xml:space="preserve"> </w:t>
      </w:r>
      <w:r w:rsidR="004C7EDD">
        <w:rPr>
          <w:rFonts w:ascii="Arial" w:hAnsi="Arial" w:cs="Arial"/>
          <w:color w:val="000000" w:themeColor="text1"/>
          <w:sz w:val="24"/>
          <w:szCs w:val="24"/>
          <w:lang w:val="en-US"/>
        </w:rPr>
        <w:t>on</w:t>
      </w:r>
      <w:r w:rsidRPr="00C90373">
        <w:rPr>
          <w:rFonts w:ascii="Arial" w:hAnsi="Arial" w:cs="Arial"/>
          <w:color w:val="000000" w:themeColor="text1"/>
          <w:sz w:val="24"/>
          <w:szCs w:val="24"/>
          <w:lang w:val="en-US"/>
        </w:rPr>
        <w:t xml:space="preserve"> </w:t>
      </w:r>
      <w:r w:rsidR="00FB5C73" w:rsidRPr="00C90373">
        <w:rPr>
          <w:rFonts w:ascii="Arial" w:hAnsi="Arial" w:cs="Arial"/>
          <w:color w:val="000000" w:themeColor="text1"/>
          <w:sz w:val="24"/>
          <w:szCs w:val="24"/>
          <w:lang w:val="en-US"/>
        </w:rPr>
        <w:t>company health</w:t>
      </w:r>
      <w:r w:rsidRPr="00C90373">
        <w:rPr>
          <w:rFonts w:ascii="Arial" w:hAnsi="Arial" w:cs="Arial"/>
          <w:color w:val="000000" w:themeColor="text1"/>
          <w:sz w:val="24"/>
          <w:szCs w:val="24"/>
          <w:lang w:val="en-US"/>
        </w:rPr>
        <w:t xml:space="preserve"> and safety committees.</w:t>
      </w:r>
      <w:r w:rsidRPr="00C90373">
        <w:rPr>
          <w:rStyle w:val="FootnoteReference"/>
          <w:rFonts w:ascii="Arial" w:hAnsi="Arial" w:cs="Arial"/>
          <w:color w:val="000000" w:themeColor="text1"/>
          <w:sz w:val="24"/>
          <w:szCs w:val="24"/>
          <w:lang w:val="en-US"/>
        </w:rPr>
        <w:footnoteReference w:id="34"/>
      </w:r>
      <w:r w:rsidRPr="00C90373">
        <w:rPr>
          <w:rFonts w:ascii="Arial" w:hAnsi="Arial" w:cs="Arial"/>
          <w:color w:val="000000" w:themeColor="text1"/>
          <w:sz w:val="24"/>
          <w:szCs w:val="24"/>
          <w:lang w:val="en-US"/>
        </w:rPr>
        <w:t xml:space="preserve"> Consequently this reduces awareness of occupational health and safety risks, thereby increasing the isolation of the precariously employed worker; and the ability of employers to identify and deal</w:t>
      </w:r>
      <w:r>
        <w:rPr>
          <w:rFonts w:ascii="Arial" w:hAnsi="Arial" w:cs="Arial"/>
          <w:color w:val="000000" w:themeColor="text1"/>
          <w:sz w:val="24"/>
          <w:szCs w:val="24"/>
          <w:lang w:val="en-US"/>
        </w:rPr>
        <w:t xml:space="preserve"> with </w:t>
      </w:r>
      <w:r w:rsidRPr="00C90373">
        <w:rPr>
          <w:rFonts w:ascii="Arial" w:hAnsi="Arial" w:cs="Arial"/>
          <w:color w:val="000000" w:themeColor="text1"/>
          <w:sz w:val="24"/>
          <w:szCs w:val="24"/>
          <w:lang w:val="en-US"/>
        </w:rPr>
        <w:t>occupa</w:t>
      </w:r>
      <w:r>
        <w:rPr>
          <w:rFonts w:ascii="Arial" w:hAnsi="Arial" w:cs="Arial"/>
          <w:color w:val="000000" w:themeColor="text1"/>
          <w:sz w:val="24"/>
          <w:szCs w:val="24"/>
          <w:lang w:val="en-US"/>
        </w:rPr>
        <w:t xml:space="preserve">tional health </w:t>
      </w:r>
      <w:r w:rsidR="00FB5C73" w:rsidRPr="00C90373">
        <w:rPr>
          <w:rFonts w:ascii="Arial" w:hAnsi="Arial" w:cs="Arial"/>
          <w:color w:val="000000" w:themeColor="text1"/>
          <w:sz w:val="24"/>
          <w:szCs w:val="24"/>
          <w:lang w:val="en-US"/>
        </w:rPr>
        <w:t>and safety risks that</w:t>
      </w:r>
      <w:r w:rsidRPr="00C90373">
        <w:rPr>
          <w:rFonts w:ascii="Arial" w:hAnsi="Arial" w:cs="Arial"/>
          <w:color w:val="000000" w:themeColor="text1"/>
          <w:sz w:val="24"/>
          <w:szCs w:val="24"/>
          <w:lang w:val="en-US"/>
        </w:rPr>
        <w:t xml:space="preserve">  arise  in  the  areas  where  only  workers  in  precarious  employment  operate. </w:t>
      </w:r>
    </w:p>
    <w:p w14:paraId="0C64DA68" w14:textId="77777777" w:rsidR="00155643" w:rsidRPr="00C90373" w:rsidRDefault="00155643" w:rsidP="004C7EDD">
      <w:pPr>
        <w:widowControl w:val="0"/>
        <w:autoSpaceDE w:val="0"/>
        <w:autoSpaceDN w:val="0"/>
        <w:adjustRightInd w:val="0"/>
        <w:spacing w:after="0"/>
        <w:rPr>
          <w:rFonts w:ascii="Arial" w:hAnsi="Arial" w:cs="Arial"/>
          <w:color w:val="000000" w:themeColor="text1"/>
          <w:lang w:val="en-US"/>
        </w:rPr>
      </w:pPr>
    </w:p>
    <w:p w14:paraId="141B7737" w14:textId="3CE7A3A7" w:rsidR="00155643" w:rsidRPr="00C90373" w:rsidRDefault="00FB5C73" w:rsidP="004E3E79">
      <w:pPr>
        <w:pStyle w:val="ListParagraph"/>
        <w:widowControl w:val="0"/>
        <w:numPr>
          <w:ilvl w:val="0"/>
          <w:numId w:val="2"/>
        </w:numPr>
        <w:autoSpaceDE w:val="0"/>
        <w:autoSpaceDN w:val="0"/>
        <w:adjustRightInd w:val="0"/>
        <w:spacing w:after="0"/>
        <w:jc w:val="both"/>
        <w:rPr>
          <w:rFonts w:ascii="Arial" w:hAnsi="Arial" w:cs="Arial"/>
          <w:color w:val="000000" w:themeColor="text1"/>
          <w:sz w:val="24"/>
          <w:szCs w:val="24"/>
          <w:lang w:val="en-US"/>
        </w:rPr>
      </w:pPr>
      <w:r>
        <w:rPr>
          <w:rFonts w:ascii="Arial" w:hAnsi="Arial" w:cs="Arial"/>
          <w:color w:val="000000" w:themeColor="text1"/>
          <w:sz w:val="24"/>
          <w:szCs w:val="24"/>
          <w:lang w:val="en-US"/>
        </w:rPr>
        <w:t>Additionally, o</w:t>
      </w:r>
      <w:r w:rsidR="00155643" w:rsidRPr="00C90373">
        <w:rPr>
          <w:rFonts w:ascii="Arial" w:hAnsi="Arial" w:cs="Arial"/>
          <w:color w:val="000000" w:themeColor="text1"/>
          <w:sz w:val="24"/>
          <w:szCs w:val="24"/>
          <w:lang w:val="en-US"/>
        </w:rPr>
        <w:t>ur members report that</w:t>
      </w:r>
      <w:r w:rsidR="00155643" w:rsidRPr="00C90373">
        <w:rPr>
          <w:rFonts w:ascii="Arial" w:hAnsi="Arial" w:cs="Arial"/>
          <w:bCs/>
          <w:color w:val="000000" w:themeColor="text1"/>
          <w:sz w:val="24"/>
          <w:szCs w:val="24"/>
          <w:lang w:val="en-US"/>
        </w:rPr>
        <w:t xml:space="preserve"> </w:t>
      </w:r>
      <w:r w:rsidR="00155643" w:rsidRPr="00C90373">
        <w:rPr>
          <w:rFonts w:ascii="Arial" w:hAnsi="Arial" w:cs="Arial"/>
          <w:color w:val="000000" w:themeColor="text1"/>
          <w:sz w:val="24"/>
          <w:szCs w:val="24"/>
          <w:lang w:val="en-US"/>
        </w:rPr>
        <w:t>precariously employed workers within the workplace are less likely to raise health and safety concerns; consequently their workplaces are subject to elevated risk environments.</w:t>
      </w:r>
    </w:p>
    <w:p w14:paraId="7CB92BA1" w14:textId="77777777" w:rsidR="00155643" w:rsidRPr="00C90373" w:rsidRDefault="00155643" w:rsidP="004C7EDD">
      <w:pPr>
        <w:widowControl w:val="0"/>
        <w:autoSpaceDE w:val="0"/>
        <w:autoSpaceDN w:val="0"/>
        <w:adjustRightInd w:val="0"/>
        <w:spacing w:after="0"/>
        <w:jc w:val="both"/>
        <w:rPr>
          <w:rFonts w:ascii="Arial" w:hAnsi="Arial" w:cs="Arial"/>
          <w:color w:val="000000" w:themeColor="text1"/>
          <w:lang w:val="en-US"/>
        </w:rPr>
      </w:pPr>
    </w:p>
    <w:p w14:paraId="66CBB799" w14:textId="096FA6DE" w:rsidR="00155643" w:rsidRPr="00C90373" w:rsidRDefault="00155643" w:rsidP="004E3E79">
      <w:pPr>
        <w:pStyle w:val="ListParagraph"/>
        <w:widowControl w:val="0"/>
        <w:numPr>
          <w:ilvl w:val="0"/>
          <w:numId w:val="2"/>
        </w:numPr>
        <w:autoSpaceDE w:val="0"/>
        <w:autoSpaceDN w:val="0"/>
        <w:adjustRightInd w:val="0"/>
        <w:spacing w:after="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Precarious employees who do raise </w:t>
      </w:r>
      <w:proofErr w:type="spellStart"/>
      <w:r w:rsidRPr="00C90373">
        <w:rPr>
          <w:rFonts w:ascii="Arial" w:hAnsi="Arial" w:cs="Arial"/>
          <w:color w:val="000000" w:themeColor="text1"/>
          <w:sz w:val="24"/>
          <w:szCs w:val="24"/>
          <w:lang w:val="en-US"/>
        </w:rPr>
        <w:t>WHS</w:t>
      </w:r>
      <w:proofErr w:type="spellEnd"/>
      <w:r w:rsidRPr="00C90373">
        <w:rPr>
          <w:rFonts w:ascii="Arial" w:hAnsi="Arial" w:cs="Arial"/>
          <w:color w:val="000000" w:themeColor="text1"/>
          <w:sz w:val="24"/>
          <w:szCs w:val="24"/>
          <w:lang w:val="en-US"/>
        </w:rPr>
        <w:t xml:space="preserve"> concerns are often threatened, derided or harassed whereby they eventually succumb to the employer’s intimidation, not offered further work or leave that employment. This has a significant impact on productivity as it results in lowe</w:t>
      </w:r>
      <w:r w:rsidR="004C7EDD">
        <w:rPr>
          <w:rFonts w:ascii="Arial" w:hAnsi="Arial" w:cs="Arial"/>
          <w:color w:val="000000" w:themeColor="text1"/>
          <w:sz w:val="24"/>
          <w:szCs w:val="24"/>
          <w:lang w:val="en-US"/>
        </w:rPr>
        <w:t xml:space="preserve">r morale, absenteeism and high </w:t>
      </w:r>
      <w:r w:rsidR="00FB5C73" w:rsidRPr="00C90373">
        <w:rPr>
          <w:rFonts w:ascii="Arial" w:hAnsi="Arial" w:cs="Arial"/>
          <w:color w:val="000000" w:themeColor="text1"/>
          <w:sz w:val="24"/>
          <w:szCs w:val="24"/>
          <w:lang w:val="en-US"/>
        </w:rPr>
        <w:t>turnover rates</w:t>
      </w:r>
      <w:r w:rsidRPr="00C90373">
        <w:rPr>
          <w:rFonts w:ascii="Arial" w:hAnsi="Arial" w:cs="Arial"/>
          <w:color w:val="000000" w:themeColor="text1"/>
          <w:sz w:val="24"/>
          <w:szCs w:val="24"/>
          <w:lang w:val="en-US"/>
        </w:rPr>
        <w:t xml:space="preserve"> in the workplace. </w:t>
      </w:r>
    </w:p>
    <w:p w14:paraId="304F4904" w14:textId="77777777" w:rsidR="00155643" w:rsidRPr="00C90373" w:rsidRDefault="00155643" w:rsidP="00155643">
      <w:pPr>
        <w:pStyle w:val="ListParagraph"/>
        <w:widowControl w:val="0"/>
        <w:autoSpaceDE w:val="0"/>
        <w:autoSpaceDN w:val="0"/>
        <w:adjustRightInd w:val="0"/>
        <w:jc w:val="both"/>
        <w:rPr>
          <w:rFonts w:ascii="Arial" w:hAnsi="Arial" w:cs="Arial"/>
          <w:color w:val="000000" w:themeColor="text1"/>
          <w:sz w:val="24"/>
          <w:szCs w:val="24"/>
          <w:lang w:val="en-US"/>
        </w:rPr>
      </w:pPr>
    </w:p>
    <w:p w14:paraId="6CB0EF86" w14:textId="77777777" w:rsidR="00155643" w:rsidRPr="00C90373" w:rsidRDefault="00155643" w:rsidP="004E3E79">
      <w:pPr>
        <w:pStyle w:val="ListParagraph"/>
        <w:widowControl w:val="0"/>
        <w:numPr>
          <w:ilvl w:val="0"/>
          <w:numId w:val="2"/>
        </w:numPr>
        <w:autoSpaceDE w:val="0"/>
        <w:autoSpaceDN w:val="0"/>
        <w:adjustRightInd w:val="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 xml:space="preserve">However, the net impact on employees’ health and safety is a cost and productivity burden yet to be accurately </w:t>
      </w:r>
      <w:proofErr w:type="spellStart"/>
      <w:r w:rsidRPr="00C90373">
        <w:rPr>
          <w:rFonts w:ascii="Arial" w:hAnsi="Arial" w:cs="Arial"/>
          <w:color w:val="000000" w:themeColor="text1"/>
          <w:sz w:val="24"/>
          <w:szCs w:val="24"/>
          <w:lang w:val="en-US"/>
        </w:rPr>
        <w:t>realised</w:t>
      </w:r>
      <w:proofErr w:type="spellEnd"/>
      <w:r w:rsidRPr="00C90373">
        <w:rPr>
          <w:rFonts w:ascii="Arial" w:hAnsi="Arial" w:cs="Arial"/>
          <w:color w:val="000000" w:themeColor="text1"/>
          <w:sz w:val="24"/>
          <w:szCs w:val="24"/>
          <w:lang w:val="en-US"/>
        </w:rPr>
        <w:t>.</w:t>
      </w:r>
    </w:p>
    <w:p w14:paraId="5AE1D60C" w14:textId="77777777" w:rsidR="00155643" w:rsidRPr="00C90373" w:rsidRDefault="00155643" w:rsidP="00155643">
      <w:pPr>
        <w:pStyle w:val="ListParagraph"/>
        <w:widowControl w:val="0"/>
        <w:autoSpaceDE w:val="0"/>
        <w:autoSpaceDN w:val="0"/>
        <w:adjustRightInd w:val="0"/>
        <w:rPr>
          <w:rFonts w:ascii="Arial" w:hAnsi="Arial" w:cs="Arial"/>
          <w:color w:val="000000" w:themeColor="text1"/>
          <w:sz w:val="24"/>
          <w:szCs w:val="24"/>
          <w:lang w:val="en-US"/>
        </w:rPr>
      </w:pPr>
    </w:p>
    <w:p w14:paraId="5F8FE536" w14:textId="084D0A59" w:rsidR="00155643" w:rsidRPr="00FB5C73" w:rsidRDefault="00155643" w:rsidP="004E3E79">
      <w:pPr>
        <w:pStyle w:val="ListParagraph"/>
        <w:widowControl w:val="0"/>
        <w:numPr>
          <w:ilvl w:val="0"/>
          <w:numId w:val="2"/>
        </w:numPr>
        <w:autoSpaceDE w:val="0"/>
        <w:autoSpaceDN w:val="0"/>
        <w:adjustRightInd w:val="0"/>
        <w:jc w:val="both"/>
        <w:rPr>
          <w:rFonts w:ascii="Arial" w:hAnsi="Arial" w:cs="Arial"/>
          <w:bCs/>
          <w:color w:val="000000" w:themeColor="text1"/>
          <w:sz w:val="24"/>
          <w:szCs w:val="24"/>
          <w:lang w:val="en-US"/>
        </w:rPr>
      </w:pPr>
      <w:r w:rsidRPr="00C90373">
        <w:rPr>
          <w:rFonts w:ascii="Arial" w:hAnsi="Arial" w:cs="Arial"/>
          <w:bCs/>
          <w:color w:val="000000" w:themeColor="text1"/>
          <w:sz w:val="24"/>
          <w:szCs w:val="24"/>
          <w:lang w:val="en-US"/>
        </w:rPr>
        <w:t xml:space="preserve">Casual and contract employees are overrepresented in </w:t>
      </w:r>
      <w:r w:rsidRPr="00C90373">
        <w:rPr>
          <w:rFonts w:ascii="Arial" w:hAnsi="Arial" w:cs="Arial"/>
          <w:color w:val="000000" w:themeColor="text1"/>
          <w:sz w:val="24"/>
          <w:szCs w:val="24"/>
          <w:lang w:val="en-US"/>
        </w:rPr>
        <w:t>the transport, postal and warehousing; agriculture, forestry and fishing; Construction and the Mining sectors. According to Safe Work Australia these sectors account for 84 of the 108 Australian employees killed while at work as at 8 September 2015.</w:t>
      </w:r>
    </w:p>
    <w:p w14:paraId="0E92BBC5" w14:textId="77777777" w:rsidR="00FB5C73" w:rsidRDefault="00FB5C73" w:rsidP="00FB5C73">
      <w:pPr>
        <w:pStyle w:val="ListParagraph"/>
        <w:widowControl w:val="0"/>
        <w:autoSpaceDE w:val="0"/>
        <w:autoSpaceDN w:val="0"/>
        <w:adjustRightInd w:val="0"/>
        <w:jc w:val="both"/>
        <w:rPr>
          <w:rFonts w:ascii="Arial" w:hAnsi="Arial" w:cs="Arial"/>
          <w:color w:val="000000" w:themeColor="text1"/>
          <w:sz w:val="24"/>
          <w:szCs w:val="24"/>
          <w:lang w:val="en-US"/>
        </w:rPr>
      </w:pPr>
    </w:p>
    <w:p w14:paraId="2E592CA6" w14:textId="2E3A3A53" w:rsidR="00155643" w:rsidRPr="00C90373" w:rsidRDefault="00155643" w:rsidP="004E3E79">
      <w:pPr>
        <w:pStyle w:val="ListParagraph"/>
        <w:widowControl w:val="0"/>
        <w:numPr>
          <w:ilvl w:val="0"/>
          <w:numId w:val="2"/>
        </w:numPr>
        <w:autoSpaceDE w:val="0"/>
        <w:autoSpaceDN w:val="0"/>
        <w:adjustRightInd w:val="0"/>
        <w:jc w:val="both"/>
        <w:rPr>
          <w:rFonts w:ascii="Arial" w:hAnsi="Arial" w:cs="Arial"/>
          <w:color w:val="000000" w:themeColor="text1"/>
          <w:sz w:val="24"/>
          <w:szCs w:val="24"/>
          <w:lang w:val="en-US"/>
        </w:rPr>
      </w:pPr>
      <w:r w:rsidRPr="00C90373">
        <w:rPr>
          <w:rFonts w:ascii="Arial" w:hAnsi="Arial" w:cs="Arial"/>
          <w:color w:val="000000" w:themeColor="text1"/>
          <w:sz w:val="24"/>
          <w:szCs w:val="24"/>
          <w:lang w:val="en-US"/>
        </w:rPr>
        <w:t>We submit that no comprehensive assessment of productivity in the context of the Australian Workplace Relations system could be considered in the absence of any consideration of the cost of diminished standards of WHS.</w:t>
      </w:r>
    </w:p>
    <w:p w14:paraId="2E12A297" w14:textId="77777777" w:rsidR="00155643" w:rsidRPr="0065310E" w:rsidRDefault="00155643" w:rsidP="00155643">
      <w:pPr>
        <w:jc w:val="both"/>
        <w:rPr>
          <w:rFonts w:ascii="Arial" w:hAnsi="Arial" w:cs="Arial"/>
        </w:rPr>
      </w:pPr>
    </w:p>
    <w:p w14:paraId="1BF43CDF" w14:textId="77777777" w:rsidR="00D93A81" w:rsidRPr="00B16F34" w:rsidRDefault="00D93A81" w:rsidP="003073B7">
      <w:pPr>
        <w:spacing w:after="0"/>
        <w:jc w:val="both"/>
        <w:rPr>
          <w:rFonts w:ascii="Arial" w:hAnsi="Arial" w:cs="Arial"/>
          <w:sz w:val="24"/>
          <w:szCs w:val="24"/>
          <w:lang w:val="en-US"/>
        </w:rPr>
      </w:pPr>
    </w:p>
    <w:p w14:paraId="03CFEB77" w14:textId="77777777" w:rsidR="00D93A81" w:rsidRPr="00D93A81" w:rsidRDefault="00D93A81" w:rsidP="003073B7">
      <w:pPr>
        <w:spacing w:after="0"/>
        <w:ind w:left="360"/>
        <w:jc w:val="both"/>
        <w:rPr>
          <w:rFonts w:ascii="Arial" w:hAnsi="Arial" w:cs="Arial"/>
          <w:b/>
          <w:sz w:val="28"/>
          <w:szCs w:val="28"/>
          <w:u w:val="single"/>
          <w:lang w:val="en-US"/>
        </w:rPr>
      </w:pPr>
    </w:p>
    <w:sectPr w:rsidR="00D93A81" w:rsidRPr="00D93A81" w:rsidSect="004E3E79">
      <w:footerReference w:type="default" r:id="rId1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33C82" w14:textId="77777777" w:rsidR="00ED2ED0" w:rsidRDefault="00ED2ED0" w:rsidP="00240152">
      <w:pPr>
        <w:spacing w:after="0" w:line="240" w:lineRule="auto"/>
      </w:pPr>
      <w:r>
        <w:separator/>
      </w:r>
    </w:p>
  </w:endnote>
  <w:endnote w:type="continuationSeparator" w:id="0">
    <w:p w14:paraId="66A6D01F" w14:textId="77777777" w:rsidR="00ED2ED0" w:rsidRDefault="00ED2ED0" w:rsidP="0024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OlSt BT">
    <w:altName w:val="Georgia"/>
    <w:charset w:val="00"/>
    <w:family w:val="roman"/>
    <w:pitch w:val="variable"/>
    <w:sig w:usb0="00000001" w:usb1="00000000" w:usb2="00000000" w:usb3="00000000" w:csb0="0000001B"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82383"/>
      <w:docPartObj>
        <w:docPartGallery w:val="Page Numbers (Bottom of Page)"/>
        <w:docPartUnique/>
      </w:docPartObj>
    </w:sdtPr>
    <w:sdtEndPr>
      <w:rPr>
        <w:noProof/>
      </w:rPr>
    </w:sdtEndPr>
    <w:sdtContent>
      <w:p w14:paraId="7E3BB729" w14:textId="77777777" w:rsidR="00ED2ED0" w:rsidRDefault="00ED2ED0">
        <w:pPr>
          <w:pStyle w:val="Footer"/>
          <w:jc w:val="right"/>
        </w:pPr>
        <w:r>
          <w:fldChar w:fldCharType="begin"/>
        </w:r>
        <w:r>
          <w:instrText xml:space="preserve"> PAGE   \* MERGEFORMAT </w:instrText>
        </w:r>
        <w:r>
          <w:fldChar w:fldCharType="separate"/>
        </w:r>
        <w:r w:rsidR="003065B1">
          <w:rPr>
            <w:noProof/>
          </w:rPr>
          <w:t>1</w:t>
        </w:r>
        <w:r>
          <w:rPr>
            <w:noProof/>
          </w:rPr>
          <w:fldChar w:fldCharType="end"/>
        </w:r>
      </w:p>
    </w:sdtContent>
  </w:sdt>
  <w:p w14:paraId="53EE9335" w14:textId="77777777" w:rsidR="00ED2ED0" w:rsidRDefault="00ED2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8ED66" w14:textId="77777777" w:rsidR="00ED2ED0" w:rsidRDefault="00ED2ED0" w:rsidP="00240152">
      <w:pPr>
        <w:spacing w:after="0" w:line="240" w:lineRule="auto"/>
      </w:pPr>
      <w:r>
        <w:separator/>
      </w:r>
    </w:p>
  </w:footnote>
  <w:footnote w:type="continuationSeparator" w:id="0">
    <w:p w14:paraId="24558AAE" w14:textId="77777777" w:rsidR="00ED2ED0" w:rsidRDefault="00ED2ED0" w:rsidP="00240152">
      <w:pPr>
        <w:spacing w:after="0" w:line="240" w:lineRule="auto"/>
      </w:pPr>
      <w:r>
        <w:continuationSeparator/>
      </w:r>
    </w:p>
  </w:footnote>
  <w:footnote w:id="1">
    <w:p w14:paraId="3E856B1B" w14:textId="77777777" w:rsidR="00ED2ED0" w:rsidRPr="00240152"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page 9</w:t>
      </w:r>
    </w:p>
  </w:footnote>
  <w:footnote w:id="2">
    <w:p w14:paraId="1F6AC5D9" w14:textId="77777777" w:rsidR="00ED2ED0" w:rsidRPr="00EF6A93" w:rsidRDefault="00ED2ED0">
      <w:pPr>
        <w:pStyle w:val="FootnoteText"/>
        <w:rPr>
          <w:lang w:val="en-US"/>
        </w:rPr>
      </w:pPr>
      <w:r>
        <w:rPr>
          <w:rStyle w:val="FootnoteReference"/>
        </w:rPr>
        <w:footnoteRef/>
      </w:r>
      <w:r>
        <w:t xml:space="preserve"> </w:t>
      </w:r>
      <w:r>
        <w:rPr>
          <w:lang w:val="en-US"/>
        </w:rPr>
        <w:t>Ibid at page 34</w:t>
      </w:r>
    </w:p>
  </w:footnote>
  <w:footnote w:id="3">
    <w:p w14:paraId="5E34E3E8" w14:textId="77777777" w:rsidR="00ED2ED0" w:rsidRPr="00F44539" w:rsidRDefault="00ED2ED0">
      <w:pPr>
        <w:pStyle w:val="FootnoteText"/>
        <w:rPr>
          <w:lang w:val="en-US"/>
        </w:rPr>
      </w:pPr>
      <w:r>
        <w:rPr>
          <w:rStyle w:val="FootnoteReference"/>
        </w:rPr>
        <w:footnoteRef/>
      </w:r>
      <w:r>
        <w:t xml:space="preserve"> </w:t>
      </w:r>
      <w:r>
        <w:rPr>
          <w:lang w:val="en-US"/>
        </w:rPr>
        <w:t>Ibid at page 41</w:t>
      </w:r>
    </w:p>
  </w:footnote>
  <w:footnote w:id="4">
    <w:p w14:paraId="2E181F76" w14:textId="77777777" w:rsidR="00ED2ED0" w:rsidRPr="007B384E"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page 10</w:t>
      </w:r>
      <w:r>
        <w:t xml:space="preserve"> </w:t>
      </w:r>
    </w:p>
  </w:footnote>
  <w:footnote w:id="5">
    <w:p w14:paraId="6E7BC616" w14:textId="77777777" w:rsidR="00ED2ED0" w:rsidRPr="007B384E" w:rsidRDefault="00ED2ED0">
      <w:pPr>
        <w:pStyle w:val="FootnoteText"/>
        <w:rPr>
          <w:lang w:val="en-US"/>
        </w:rPr>
      </w:pPr>
      <w:r>
        <w:rPr>
          <w:rStyle w:val="FootnoteReference"/>
        </w:rPr>
        <w:footnoteRef/>
      </w:r>
      <w:r>
        <w:t xml:space="preserve"> </w:t>
      </w:r>
      <w:r>
        <w:rPr>
          <w:lang w:val="en-US"/>
        </w:rPr>
        <w:t>Ibid at page 21</w:t>
      </w:r>
    </w:p>
  </w:footnote>
  <w:footnote w:id="6">
    <w:p w14:paraId="1D6B1A21" w14:textId="77777777" w:rsidR="00ED2ED0" w:rsidRPr="007B384E" w:rsidRDefault="00ED2ED0">
      <w:pPr>
        <w:pStyle w:val="FootnoteText"/>
        <w:rPr>
          <w:lang w:val="en-US"/>
        </w:rPr>
      </w:pPr>
      <w:r>
        <w:rPr>
          <w:rStyle w:val="FootnoteReference"/>
        </w:rPr>
        <w:footnoteRef/>
      </w:r>
      <w:r>
        <w:t xml:space="preserve"> </w:t>
      </w:r>
      <w:r>
        <w:rPr>
          <w:lang w:val="en-US"/>
        </w:rPr>
        <w:t>Ibid at page 21</w:t>
      </w:r>
    </w:p>
  </w:footnote>
  <w:footnote w:id="7">
    <w:p w14:paraId="30D61943" w14:textId="77777777" w:rsidR="00ED2ED0" w:rsidRPr="002B3F56" w:rsidRDefault="00ED2ED0">
      <w:pPr>
        <w:pStyle w:val="FootnoteText"/>
        <w:rPr>
          <w:lang w:val="en-US"/>
        </w:rPr>
      </w:pPr>
      <w:r>
        <w:rPr>
          <w:rStyle w:val="FootnoteReference"/>
        </w:rPr>
        <w:footnoteRef/>
      </w:r>
      <w:r>
        <w:t xml:space="preserve"> This occurs </w:t>
      </w:r>
      <w:r>
        <w:rPr>
          <w:lang w:val="en-US"/>
        </w:rPr>
        <w:t>through the Fair Entitlements Guarantee scheme. We note the Coalition Government’s response was to try and reduce employee entitlements under the scheme rather than targeting the corporations who are actually benefitting the most.</w:t>
      </w:r>
    </w:p>
  </w:footnote>
  <w:footnote w:id="8">
    <w:p w14:paraId="2093FECD" w14:textId="77777777" w:rsidR="00ED2ED0" w:rsidRPr="002F5459"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12</w:t>
      </w:r>
      <w:r>
        <w:t xml:space="preserve"> </w:t>
      </w:r>
    </w:p>
  </w:footnote>
  <w:footnote w:id="9">
    <w:p w14:paraId="68A2C1AE" w14:textId="77777777" w:rsidR="00ED2ED0" w:rsidRPr="002F5459" w:rsidRDefault="00ED2ED0">
      <w:pPr>
        <w:pStyle w:val="FootnoteText"/>
        <w:rPr>
          <w:lang w:val="en-US"/>
        </w:rPr>
      </w:pPr>
      <w:r>
        <w:rPr>
          <w:rStyle w:val="FootnoteReference"/>
        </w:rPr>
        <w:footnoteRef/>
      </w:r>
      <w:r>
        <w:t xml:space="preserve"> </w:t>
      </w:r>
      <w:r>
        <w:rPr>
          <w:lang w:val="en-US"/>
        </w:rPr>
        <w:t>Ibid at page 12</w:t>
      </w:r>
    </w:p>
  </w:footnote>
  <w:footnote w:id="10">
    <w:p w14:paraId="46ED2DCA" w14:textId="77777777" w:rsidR="00ED2ED0" w:rsidRPr="002F5459" w:rsidRDefault="00ED2ED0">
      <w:pPr>
        <w:pStyle w:val="FootnoteText"/>
        <w:rPr>
          <w:lang w:val="en-US"/>
        </w:rPr>
      </w:pPr>
      <w:r>
        <w:rPr>
          <w:rStyle w:val="FootnoteReference"/>
        </w:rPr>
        <w:footnoteRef/>
      </w:r>
      <w:r>
        <w:t xml:space="preserve"> </w:t>
      </w:r>
      <w:r>
        <w:rPr>
          <w:lang w:val="en-US"/>
        </w:rPr>
        <w:t>For example - Karl Marx, Andrew Glyn and Noam Chomsky</w:t>
      </w:r>
    </w:p>
  </w:footnote>
  <w:footnote w:id="11">
    <w:p w14:paraId="140288B6" w14:textId="77777777" w:rsidR="00ED2ED0" w:rsidRPr="008C672C" w:rsidRDefault="00ED2ED0">
      <w:pPr>
        <w:pStyle w:val="FootnoteText"/>
        <w:rPr>
          <w:lang w:val="en-US"/>
        </w:rPr>
      </w:pPr>
      <w:r>
        <w:rPr>
          <w:rStyle w:val="FootnoteReference"/>
        </w:rPr>
        <w:footnoteRef/>
      </w:r>
      <w:r>
        <w:t xml:space="preserve"> </w:t>
      </w:r>
      <w:r>
        <w:rPr>
          <w:lang w:val="en-US"/>
        </w:rPr>
        <w:t xml:space="preserve">For example - Milton Friedman, Karl Popper and Friedrich Hayek </w:t>
      </w:r>
    </w:p>
  </w:footnote>
  <w:footnote w:id="12">
    <w:p w14:paraId="404357ED" w14:textId="77777777" w:rsidR="00ED2ED0" w:rsidRPr="00DB3FFB" w:rsidRDefault="00ED2ED0">
      <w:pPr>
        <w:pStyle w:val="FootnoteText"/>
        <w:rPr>
          <w:lang w:val="en-US"/>
        </w:rPr>
      </w:pPr>
      <w:r>
        <w:rPr>
          <w:rStyle w:val="FootnoteReference"/>
        </w:rPr>
        <w:footnoteRef/>
      </w:r>
      <w:r>
        <w:t xml:space="preserve"> </w:t>
      </w:r>
      <w:r>
        <w:rPr>
          <w:lang w:val="en-US"/>
        </w:rPr>
        <w:t xml:space="preserve">See </w:t>
      </w:r>
      <w:hyperlink r:id="rId1" w:history="1">
        <w:r w:rsidRPr="00E92A75">
          <w:rPr>
            <w:rStyle w:val="Hyperlink"/>
            <w:lang w:val="en-US"/>
          </w:rPr>
          <w:t>https://www.fwc.gov.au/awards-and-agreements/modern-award-reviews/am2014305-penalty-rates-case</w:t>
        </w:r>
      </w:hyperlink>
      <w:r>
        <w:rPr>
          <w:lang w:val="en-US"/>
        </w:rPr>
        <w:t xml:space="preserve"> </w:t>
      </w:r>
    </w:p>
  </w:footnote>
  <w:footnote w:id="13">
    <w:p w14:paraId="72910692" w14:textId="77777777" w:rsidR="00ED2ED0" w:rsidRPr="00DB3FFB" w:rsidRDefault="00ED2ED0">
      <w:pPr>
        <w:pStyle w:val="FootnoteText"/>
        <w:rPr>
          <w:lang w:val="en-US"/>
        </w:rPr>
      </w:pPr>
      <w:r>
        <w:rPr>
          <w:rStyle w:val="FootnoteReference"/>
        </w:rPr>
        <w:footnoteRef/>
      </w:r>
      <w:r>
        <w:t xml:space="preserve"> </w:t>
      </w:r>
      <w:r>
        <w:rPr>
          <w:lang w:val="en-US"/>
        </w:rPr>
        <w:t xml:space="preserve">For a recent example, many identify </w:t>
      </w:r>
      <w:proofErr w:type="spellStart"/>
      <w:r>
        <w:rPr>
          <w:lang w:val="en-US"/>
        </w:rPr>
        <w:t>Deyson</w:t>
      </w:r>
      <w:proofErr w:type="spellEnd"/>
      <w:r>
        <w:rPr>
          <w:lang w:val="en-US"/>
        </w:rPr>
        <w:t xml:space="preserve"> </w:t>
      </w:r>
      <w:proofErr w:type="spellStart"/>
      <w:r>
        <w:rPr>
          <w:lang w:val="en-US"/>
        </w:rPr>
        <w:t>Heydon</w:t>
      </w:r>
      <w:proofErr w:type="spellEnd"/>
      <w:r>
        <w:rPr>
          <w:lang w:val="en-US"/>
        </w:rPr>
        <w:t xml:space="preserve"> as being a conservative judge: see</w:t>
      </w:r>
      <w:r w:rsidRPr="000D5686">
        <w:t xml:space="preserve"> </w:t>
      </w:r>
      <w:hyperlink r:id="rId2" w:history="1">
        <w:r w:rsidRPr="00E92A75">
          <w:rPr>
            <w:rStyle w:val="Hyperlink"/>
            <w:lang w:val="en-US"/>
          </w:rPr>
          <w:t>http://</w:t>
        </w:r>
        <w:proofErr w:type="spellStart"/>
        <w:r w:rsidRPr="00E92A75">
          <w:rPr>
            <w:rStyle w:val="Hyperlink"/>
            <w:lang w:val="en-US"/>
          </w:rPr>
          <w:t>www.abc.net.au</w:t>
        </w:r>
        <w:proofErr w:type="spellEnd"/>
        <w:r w:rsidRPr="00E92A75">
          <w:rPr>
            <w:rStyle w:val="Hyperlink"/>
            <w:lang w:val="en-US"/>
          </w:rPr>
          <w:t>/</w:t>
        </w:r>
        <w:proofErr w:type="spellStart"/>
        <w:r w:rsidRPr="00E92A75">
          <w:rPr>
            <w:rStyle w:val="Hyperlink"/>
            <w:lang w:val="en-US"/>
          </w:rPr>
          <w:t>worldtoday</w:t>
        </w:r>
        <w:proofErr w:type="spellEnd"/>
        <w:r w:rsidRPr="00E92A75">
          <w:rPr>
            <w:rStyle w:val="Hyperlink"/>
            <w:lang w:val="en-US"/>
          </w:rPr>
          <w:t>/stories/</w:t>
        </w:r>
        <w:proofErr w:type="spellStart"/>
        <w:r w:rsidRPr="00E92A75">
          <w:rPr>
            <w:rStyle w:val="Hyperlink"/>
            <w:lang w:val="en-US"/>
          </w:rPr>
          <w:t>s749981.htm</w:t>
        </w:r>
        <w:proofErr w:type="spellEnd"/>
      </w:hyperlink>
      <w:r>
        <w:rPr>
          <w:lang w:val="en-US"/>
        </w:rPr>
        <w:t xml:space="preserve"> and Michael Kirby as being left-wing: see </w:t>
      </w:r>
      <w:hyperlink r:id="rId3" w:history="1">
        <w:r w:rsidRPr="00E92A75">
          <w:rPr>
            <w:rStyle w:val="Hyperlink"/>
            <w:lang w:val="en-US"/>
          </w:rPr>
          <w:t>http://www.theaustralian.com.au/arts/review/flaws-serve-to-make-michael-kirby-the-man/story-fn9n8gph-1226544038983</w:t>
        </w:r>
      </w:hyperlink>
      <w:r>
        <w:rPr>
          <w:lang w:val="en-US"/>
        </w:rPr>
        <w:t xml:space="preserve"> </w:t>
      </w:r>
    </w:p>
  </w:footnote>
  <w:footnote w:id="14">
    <w:p w14:paraId="40B60953" w14:textId="77777777" w:rsidR="00ED2ED0" w:rsidRPr="009A6E08" w:rsidRDefault="00ED2ED0">
      <w:pPr>
        <w:pStyle w:val="FootnoteText"/>
        <w:rPr>
          <w:lang w:val="en-US"/>
        </w:rPr>
      </w:pPr>
      <w:r>
        <w:rPr>
          <w:rStyle w:val="FootnoteReference"/>
        </w:rPr>
        <w:footnoteRef/>
      </w:r>
      <w:r>
        <w:t xml:space="preserve"> </w:t>
      </w:r>
      <w:r>
        <w:rPr>
          <w:lang w:val="en-US"/>
        </w:rPr>
        <w:t xml:space="preserve">See </w:t>
      </w:r>
      <w:r>
        <w:rPr>
          <w:i/>
          <w:lang w:val="en-US"/>
        </w:rPr>
        <w:t xml:space="preserve">Restaurant and Catering Association of Victoria </w:t>
      </w:r>
      <w:r>
        <w:rPr>
          <w:lang w:val="en-US"/>
        </w:rPr>
        <w:t xml:space="preserve">[2014] </w:t>
      </w:r>
      <w:proofErr w:type="spellStart"/>
      <w:r>
        <w:rPr>
          <w:lang w:val="en-US"/>
        </w:rPr>
        <w:t>FWCFB</w:t>
      </w:r>
      <w:proofErr w:type="spellEnd"/>
      <w:r>
        <w:rPr>
          <w:lang w:val="en-US"/>
        </w:rPr>
        <w:t xml:space="preserve"> 1996 at [154]</w:t>
      </w:r>
    </w:p>
  </w:footnote>
  <w:footnote w:id="15">
    <w:p w14:paraId="2290796A" w14:textId="77777777" w:rsidR="00ED2ED0" w:rsidRPr="009A6E08" w:rsidRDefault="00ED2ED0">
      <w:pPr>
        <w:pStyle w:val="FootnoteText"/>
        <w:rPr>
          <w:lang w:val="en-US"/>
        </w:rPr>
      </w:pPr>
      <w:r>
        <w:rPr>
          <w:rStyle w:val="FootnoteReference"/>
        </w:rPr>
        <w:footnoteRef/>
      </w:r>
      <w:r>
        <w:t xml:space="preserve"> </w:t>
      </w:r>
      <w:r>
        <w:rPr>
          <w:lang w:val="en-US"/>
        </w:rPr>
        <w:t>Ibid at [312]</w:t>
      </w:r>
    </w:p>
  </w:footnote>
  <w:footnote w:id="16">
    <w:p w14:paraId="1B8E9D32" w14:textId="77777777" w:rsidR="00ED2ED0" w:rsidRPr="00A525C2" w:rsidRDefault="00ED2ED0">
      <w:pPr>
        <w:pStyle w:val="FootnoteText"/>
        <w:rPr>
          <w:lang w:val="en-US"/>
        </w:rPr>
      </w:pPr>
      <w:r>
        <w:rPr>
          <w:rStyle w:val="FootnoteReference"/>
        </w:rPr>
        <w:footnoteRef/>
      </w:r>
      <w:r>
        <w:t xml:space="preserve"> </w:t>
      </w:r>
      <w:r>
        <w:rPr>
          <w:lang w:val="en-US"/>
        </w:rPr>
        <w:t xml:space="preserve">See </w:t>
      </w:r>
      <w:hyperlink r:id="rId4" w:history="1">
        <w:r w:rsidRPr="00E92A75">
          <w:rPr>
            <w:rStyle w:val="Hyperlink"/>
            <w:lang w:val="en-US"/>
          </w:rPr>
          <w:t>https://www.fwc.gov.au/resolving-issues-disputes-and-dismissals/dismissal-termination-redundancy/results-outcomes</w:t>
        </w:r>
      </w:hyperlink>
      <w:r>
        <w:rPr>
          <w:lang w:val="en-US"/>
        </w:rPr>
        <w:t xml:space="preserve"> </w:t>
      </w:r>
    </w:p>
  </w:footnote>
  <w:footnote w:id="17">
    <w:p w14:paraId="493137CB" w14:textId="77777777" w:rsidR="00ED2ED0" w:rsidRPr="002F5459" w:rsidRDefault="00ED2ED0" w:rsidP="00A525C2">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27</w:t>
      </w:r>
    </w:p>
    <w:p w14:paraId="00363C2B" w14:textId="77777777" w:rsidR="00ED2ED0" w:rsidRPr="00A525C2" w:rsidRDefault="00ED2ED0">
      <w:pPr>
        <w:pStyle w:val="FootnoteText"/>
        <w:rPr>
          <w:lang w:val="en-US"/>
        </w:rPr>
      </w:pPr>
      <w:r>
        <w:t xml:space="preserve"> </w:t>
      </w:r>
    </w:p>
  </w:footnote>
  <w:footnote w:id="18">
    <w:p w14:paraId="3BAEF3CB" w14:textId="77777777" w:rsidR="00ED2ED0" w:rsidRPr="001E3639" w:rsidRDefault="00ED2ED0">
      <w:pPr>
        <w:pStyle w:val="FootnoteText"/>
        <w:rPr>
          <w:i/>
          <w:lang w:val="en-US"/>
        </w:rPr>
      </w:pPr>
      <w:r>
        <w:rPr>
          <w:rStyle w:val="FootnoteReference"/>
        </w:rPr>
        <w:footnoteRef/>
      </w:r>
      <w:r>
        <w:t xml:space="preserve"> </w:t>
      </w:r>
      <w:r>
        <w:rPr>
          <w:lang w:val="en-US"/>
        </w:rPr>
        <w:t xml:space="preserve">See s 385 of the </w:t>
      </w:r>
      <w:r>
        <w:rPr>
          <w:i/>
          <w:lang w:val="en-US"/>
        </w:rPr>
        <w:t>Fair Work Act 2009</w:t>
      </w:r>
    </w:p>
  </w:footnote>
  <w:footnote w:id="19">
    <w:p w14:paraId="41CB991A" w14:textId="77777777" w:rsidR="00ED2ED0" w:rsidRPr="001E3639"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28</w:t>
      </w:r>
    </w:p>
  </w:footnote>
  <w:footnote w:id="20">
    <w:p w14:paraId="3ABD40F4" w14:textId="77777777" w:rsidR="00ED2ED0" w:rsidRPr="001E3639" w:rsidRDefault="00ED2ED0">
      <w:pPr>
        <w:pStyle w:val="FootnoteText"/>
        <w:rPr>
          <w:lang w:val="en-US"/>
        </w:rPr>
      </w:pPr>
      <w:r>
        <w:rPr>
          <w:rStyle w:val="FootnoteReference"/>
        </w:rPr>
        <w:footnoteRef/>
      </w:r>
      <w:r>
        <w:t xml:space="preserve"> </w:t>
      </w:r>
      <w:r>
        <w:rPr>
          <w:i/>
        </w:rPr>
        <w:t xml:space="preserve">P. Crozier v Palazzo Corporation Pty Limited t/as Noble Park Storage and Transport </w:t>
      </w:r>
      <w:r>
        <w:t xml:space="preserve">Dec 524/00 M Print </w:t>
      </w:r>
      <w:proofErr w:type="spellStart"/>
      <w:r>
        <w:t>S5897</w:t>
      </w:r>
      <w:proofErr w:type="spellEnd"/>
    </w:p>
  </w:footnote>
  <w:footnote w:id="21">
    <w:p w14:paraId="0971A790" w14:textId="77777777" w:rsidR="00ED2ED0" w:rsidRPr="009C2D59" w:rsidRDefault="00ED2ED0">
      <w:pPr>
        <w:pStyle w:val="FootnoteText"/>
        <w:rPr>
          <w:lang w:val="en-US"/>
        </w:rPr>
      </w:pPr>
      <w:r>
        <w:rPr>
          <w:rStyle w:val="FootnoteReference"/>
        </w:rPr>
        <w:footnoteRef/>
      </w:r>
      <w:r>
        <w:t xml:space="preserve"> </w:t>
      </w:r>
      <w:r>
        <w:rPr>
          <w:lang w:val="en-US"/>
        </w:rPr>
        <w:t xml:space="preserve">For example, see </w:t>
      </w:r>
      <w:r>
        <w:rPr>
          <w:i/>
          <w:lang w:val="en-US"/>
        </w:rPr>
        <w:t xml:space="preserve">Flanagan and others v Thales Australia Limited T/A Thales Australia </w:t>
      </w:r>
      <w:r>
        <w:rPr>
          <w:lang w:val="en-US"/>
        </w:rPr>
        <w:t xml:space="preserve">[2012] </w:t>
      </w:r>
      <w:proofErr w:type="spellStart"/>
      <w:r>
        <w:rPr>
          <w:lang w:val="en-US"/>
        </w:rPr>
        <w:t>FWA</w:t>
      </w:r>
      <w:proofErr w:type="spellEnd"/>
      <w:r>
        <w:rPr>
          <w:lang w:val="en-US"/>
        </w:rPr>
        <w:t xml:space="preserve"> 6291</w:t>
      </w:r>
    </w:p>
  </w:footnote>
  <w:footnote w:id="22">
    <w:p w14:paraId="6835E766" w14:textId="77777777" w:rsidR="00ED2ED0" w:rsidRPr="001A4B4E"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12</w:t>
      </w:r>
    </w:p>
  </w:footnote>
  <w:footnote w:id="23">
    <w:p w14:paraId="76FB14B6" w14:textId="77777777" w:rsidR="00ED2ED0" w:rsidRPr="002E634C" w:rsidRDefault="00ED2ED0">
      <w:pPr>
        <w:pStyle w:val="FootnoteText"/>
        <w:rPr>
          <w:lang w:val="en-US"/>
        </w:rPr>
      </w:pPr>
      <w:r>
        <w:rPr>
          <w:rStyle w:val="FootnoteReference"/>
        </w:rPr>
        <w:footnoteRef/>
      </w:r>
      <w:r>
        <w:t xml:space="preserve"> Ibid at page 32]</w:t>
      </w:r>
    </w:p>
  </w:footnote>
  <w:footnote w:id="24">
    <w:p w14:paraId="19567019" w14:textId="77777777" w:rsidR="00ED2ED0" w:rsidRPr="002E634C"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34</w:t>
      </w:r>
    </w:p>
  </w:footnote>
  <w:footnote w:id="25">
    <w:p w14:paraId="24172ACD" w14:textId="77777777" w:rsidR="00ED2ED0" w:rsidRPr="00A556F0" w:rsidRDefault="00ED2ED0">
      <w:pPr>
        <w:pStyle w:val="FootnoteText"/>
        <w:rPr>
          <w:lang w:val="en-US"/>
        </w:rPr>
      </w:pPr>
      <w:r>
        <w:rPr>
          <w:rStyle w:val="FootnoteReference"/>
        </w:rPr>
        <w:footnoteRef/>
      </w:r>
      <w:r>
        <w:t xml:space="preserve"> </w:t>
      </w:r>
      <w:r>
        <w:rPr>
          <w:i/>
        </w:rPr>
        <w:t xml:space="preserve">Australian Industry Group v Fair Work Australia </w:t>
      </w:r>
      <w:r>
        <w:t xml:space="preserve">[2012] </w:t>
      </w:r>
      <w:proofErr w:type="spellStart"/>
      <w:r>
        <w:t>FCAFC</w:t>
      </w:r>
      <w:proofErr w:type="spellEnd"/>
      <w:r>
        <w:t xml:space="preserve"> 108 </w:t>
      </w:r>
    </w:p>
  </w:footnote>
  <w:footnote w:id="26">
    <w:p w14:paraId="27D1CB66" w14:textId="77777777" w:rsidR="00ED2ED0" w:rsidRPr="00915F3E" w:rsidRDefault="00ED2ED0">
      <w:pPr>
        <w:pStyle w:val="FootnoteText"/>
        <w:rPr>
          <w:lang w:val="en-US"/>
        </w:rPr>
      </w:pPr>
      <w:r>
        <w:rPr>
          <w:rStyle w:val="FootnoteReference"/>
        </w:rPr>
        <w:footnoteRef/>
      </w:r>
      <w:r>
        <w:t xml:space="preserve"> s 3 (f) </w:t>
      </w:r>
      <w:r>
        <w:rPr>
          <w:i/>
        </w:rPr>
        <w:t xml:space="preserve">Fair Work Act 2009 </w:t>
      </w:r>
    </w:p>
  </w:footnote>
  <w:footnote w:id="27">
    <w:p w14:paraId="3674C220" w14:textId="77777777" w:rsidR="00ED2ED0" w:rsidRPr="00AE63B2" w:rsidRDefault="00ED2ED0">
      <w:pPr>
        <w:pStyle w:val="FootnoteText"/>
        <w:rPr>
          <w:lang w:val="en-US"/>
        </w:rPr>
      </w:pPr>
      <w:r>
        <w:rPr>
          <w:rStyle w:val="FootnoteReference"/>
        </w:rPr>
        <w:footnoteRef/>
      </w:r>
      <w:r>
        <w:t xml:space="preserve"> </w:t>
      </w:r>
      <w:r>
        <w:rPr>
          <w:i/>
        </w:rPr>
        <w:t xml:space="preserve">Australian Industry Group v Fair Work Australia </w:t>
      </w:r>
      <w:r>
        <w:t xml:space="preserve">[2012] </w:t>
      </w:r>
      <w:proofErr w:type="spellStart"/>
      <w:r>
        <w:t>FCAFC</w:t>
      </w:r>
      <w:proofErr w:type="spellEnd"/>
      <w:r>
        <w:t xml:space="preserve"> 108  </w:t>
      </w:r>
    </w:p>
  </w:footnote>
  <w:footnote w:id="28">
    <w:p w14:paraId="384816B3" w14:textId="77777777" w:rsidR="00ED2ED0" w:rsidRPr="00E66299"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at page 37</w:t>
      </w:r>
    </w:p>
  </w:footnote>
  <w:footnote w:id="29">
    <w:p w14:paraId="409B9909" w14:textId="77777777" w:rsidR="00ED2ED0" w:rsidRPr="00E66299" w:rsidRDefault="00ED2ED0">
      <w:pPr>
        <w:pStyle w:val="FootnoteText"/>
        <w:rPr>
          <w:lang w:val="en-US"/>
        </w:rPr>
      </w:pPr>
      <w:r>
        <w:rPr>
          <w:rStyle w:val="FootnoteReference"/>
        </w:rPr>
        <w:footnoteRef/>
      </w:r>
      <w:r>
        <w:t xml:space="preserve"> Ibid</w:t>
      </w:r>
      <w:r>
        <w:rPr>
          <w:lang w:val="en-US"/>
        </w:rPr>
        <w:t xml:space="preserve"> at page 37</w:t>
      </w:r>
    </w:p>
  </w:footnote>
  <w:footnote w:id="30">
    <w:p w14:paraId="2C4AB71A" w14:textId="77777777" w:rsidR="00ED2ED0" w:rsidRPr="00D93A81" w:rsidRDefault="00ED2ED0">
      <w:pPr>
        <w:pStyle w:val="FootnoteText"/>
        <w:rPr>
          <w:lang w:val="en-US"/>
        </w:rPr>
      </w:pPr>
      <w:r>
        <w:rPr>
          <w:rStyle w:val="FootnoteReference"/>
        </w:rPr>
        <w:footnoteRef/>
      </w:r>
      <w:r>
        <w:t xml:space="preserve"> Ibid</w:t>
      </w:r>
      <w:r>
        <w:rPr>
          <w:lang w:val="en-US"/>
        </w:rPr>
        <w:t xml:space="preserve"> at page 40</w:t>
      </w:r>
    </w:p>
  </w:footnote>
  <w:footnote w:id="31">
    <w:p w14:paraId="495F2933" w14:textId="77777777" w:rsidR="00ED2ED0" w:rsidRPr="00D93A81" w:rsidRDefault="00ED2ED0">
      <w:pPr>
        <w:pStyle w:val="FootnoteText"/>
        <w:rPr>
          <w:lang w:val="en-US"/>
        </w:rPr>
      </w:pPr>
      <w:r>
        <w:rPr>
          <w:rStyle w:val="FootnoteReference"/>
        </w:rPr>
        <w:footnoteRef/>
      </w:r>
      <w:r>
        <w:t xml:space="preserve"> Productivity Commission Draft Report </w:t>
      </w:r>
      <w:r w:rsidRPr="00F44539">
        <w:rPr>
          <w:i/>
          <w:lang w:val="en-US"/>
        </w:rPr>
        <w:t>Overview</w:t>
      </w:r>
      <w:r>
        <w:rPr>
          <w:lang w:val="en-US"/>
        </w:rPr>
        <w:t xml:space="preserve"> ‘Workplace Relations Framework’ </w:t>
      </w:r>
      <w:r>
        <w:t>at page 40</w:t>
      </w:r>
    </w:p>
  </w:footnote>
  <w:footnote w:id="32">
    <w:p w14:paraId="62BC71AD" w14:textId="77777777" w:rsidR="00ED2ED0" w:rsidRPr="0065310E" w:rsidRDefault="00ED2ED0" w:rsidP="00155643">
      <w:pPr>
        <w:pStyle w:val="NormalWeb"/>
        <w:spacing w:before="0" w:beforeAutospacing="0" w:after="0" w:afterAutospacing="0"/>
        <w:jc w:val="both"/>
        <w:rPr>
          <w:rFonts w:ascii="Arial" w:hAnsi="Arial"/>
        </w:rPr>
      </w:pPr>
      <w:r w:rsidRPr="0065310E">
        <w:rPr>
          <w:rStyle w:val="FootnoteReference"/>
          <w:rFonts w:ascii="Arial" w:hAnsi="Arial"/>
        </w:rPr>
        <w:footnoteRef/>
      </w:r>
      <w:r w:rsidRPr="0065310E">
        <w:rPr>
          <w:rFonts w:ascii="Arial" w:hAnsi="Arial"/>
        </w:rPr>
        <w:t xml:space="preserve"> The cost of work-related injury and illness for Australian employers, workers and the community: 2008-09, Safe Work Australia [2012] at page 5.</w:t>
      </w:r>
    </w:p>
    <w:p w14:paraId="7261E61E" w14:textId="77777777" w:rsidR="00ED2ED0" w:rsidRPr="0065310E" w:rsidRDefault="00ED2ED0" w:rsidP="00155643">
      <w:pPr>
        <w:pStyle w:val="FootnoteText"/>
        <w:jc w:val="both"/>
        <w:rPr>
          <w:lang w:val="en-US"/>
        </w:rPr>
      </w:pPr>
    </w:p>
  </w:footnote>
  <w:footnote w:id="33">
    <w:p w14:paraId="30C5F8CC" w14:textId="77777777" w:rsidR="00ED2ED0" w:rsidRPr="0065310E" w:rsidRDefault="00ED2ED0" w:rsidP="00155643">
      <w:pPr>
        <w:widowControl w:val="0"/>
        <w:autoSpaceDE w:val="0"/>
        <w:autoSpaceDN w:val="0"/>
        <w:adjustRightInd w:val="0"/>
        <w:spacing w:after="240"/>
        <w:rPr>
          <w:rFonts w:ascii="Arial" w:hAnsi="Arial" w:cs="Arial"/>
          <w:sz w:val="20"/>
          <w:szCs w:val="20"/>
          <w:lang w:val="en-US"/>
        </w:rPr>
      </w:pPr>
      <w:r w:rsidRPr="0065310E">
        <w:rPr>
          <w:rStyle w:val="FootnoteReference"/>
          <w:rFonts w:ascii="Arial" w:hAnsi="Arial" w:cs="Arial"/>
          <w:sz w:val="20"/>
          <w:szCs w:val="20"/>
        </w:rPr>
        <w:footnoteRef/>
      </w:r>
      <w:r w:rsidRPr="0065310E">
        <w:rPr>
          <w:rFonts w:ascii="Arial" w:hAnsi="Arial" w:cs="Arial"/>
          <w:sz w:val="20"/>
          <w:szCs w:val="20"/>
        </w:rPr>
        <w:t xml:space="preserve"> </w:t>
      </w:r>
      <w:r w:rsidRPr="0065310E">
        <w:rPr>
          <w:rFonts w:ascii="Arial" w:hAnsi="Arial" w:cs="Arial"/>
          <w:sz w:val="20"/>
          <w:szCs w:val="20"/>
          <w:lang w:val="en-US"/>
        </w:rPr>
        <w:t xml:space="preserve">Quinlan M, 2012, The ‘Pre-Invention’ of Precarious Employment: The Changing World of Work in Context, The Economic and </w:t>
      </w:r>
      <w:proofErr w:type="spellStart"/>
      <w:r w:rsidRPr="0065310E">
        <w:rPr>
          <w:rFonts w:ascii="Arial" w:hAnsi="Arial" w:cs="Arial"/>
          <w:sz w:val="20"/>
          <w:szCs w:val="20"/>
          <w:lang w:val="en-US"/>
        </w:rPr>
        <w:t>Labour</w:t>
      </w:r>
      <w:proofErr w:type="spellEnd"/>
      <w:r w:rsidRPr="0065310E">
        <w:rPr>
          <w:rFonts w:ascii="Arial" w:hAnsi="Arial" w:cs="Arial"/>
          <w:sz w:val="20"/>
          <w:szCs w:val="20"/>
          <w:lang w:val="en-US"/>
        </w:rPr>
        <w:t xml:space="preserve"> Relations Review Vol. 23 No. 4, pp. 3–24 </w:t>
      </w:r>
    </w:p>
    <w:p w14:paraId="35E6732A" w14:textId="77777777" w:rsidR="00ED2ED0" w:rsidRPr="00D14644" w:rsidRDefault="00ED2ED0" w:rsidP="00155643">
      <w:pPr>
        <w:pStyle w:val="FootnoteText"/>
        <w:rPr>
          <w:lang w:val="en-US"/>
        </w:rPr>
      </w:pPr>
    </w:p>
  </w:footnote>
  <w:footnote w:id="34">
    <w:p w14:paraId="64DCEFEB" w14:textId="77777777" w:rsidR="00ED2ED0" w:rsidRPr="000B6927" w:rsidRDefault="00ED2ED0" w:rsidP="0015564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49BF"/>
    <w:multiLevelType w:val="multilevel"/>
    <w:tmpl w:val="420412A6"/>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067C4B"/>
    <w:multiLevelType w:val="hybridMultilevel"/>
    <w:tmpl w:val="420412A6"/>
    <w:lvl w:ilvl="0" w:tplc="74FEB00C">
      <w:start w:val="1"/>
      <w:numFmt w:val="decimal"/>
      <w:lvlText w:val="%1."/>
      <w:lvlJc w:val="left"/>
      <w:pPr>
        <w:ind w:left="720" w:hanging="360"/>
      </w:pPr>
      <w:rPr>
        <w:rFonts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586E40"/>
    <w:multiLevelType w:val="hybridMultilevel"/>
    <w:tmpl w:val="A6EC5E80"/>
    <w:lvl w:ilvl="0" w:tplc="74FEB00C">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9175C3"/>
    <w:multiLevelType w:val="hybridMultilevel"/>
    <w:tmpl w:val="26F4BC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6054B8"/>
    <w:multiLevelType w:val="hybridMultilevel"/>
    <w:tmpl w:val="BF802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4007E5"/>
    <w:multiLevelType w:val="hybridMultilevel"/>
    <w:tmpl w:val="9D5A3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54480"/>
    <w:multiLevelType w:val="hybridMultilevel"/>
    <w:tmpl w:val="6FD6E662"/>
    <w:lvl w:ilvl="0" w:tplc="0212EA5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6E14F9"/>
    <w:multiLevelType w:val="multilevel"/>
    <w:tmpl w:val="420412A6"/>
    <w:lvl w:ilvl="0">
      <w:start w:val="1"/>
      <w:numFmt w:val="decimal"/>
      <w:lvlText w:val="%1."/>
      <w:lvlJc w:val="left"/>
      <w:pPr>
        <w:ind w:left="720" w:hanging="360"/>
      </w:pPr>
      <w:rPr>
        <w:rFonts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CFC4A2A"/>
    <w:multiLevelType w:val="hybridMultilevel"/>
    <w:tmpl w:val="E346ABAC"/>
    <w:lvl w:ilvl="0" w:tplc="0212EA5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6C49B1"/>
    <w:multiLevelType w:val="hybridMultilevel"/>
    <w:tmpl w:val="B98A7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5"/>
  </w:num>
  <w:num w:numId="4">
    <w:abstractNumId w:val="4"/>
  </w:num>
  <w:num w:numId="5">
    <w:abstractNumId w:val="3"/>
  </w:num>
  <w:num w:numId="6">
    <w:abstractNumId w:val="2"/>
  </w:num>
  <w:num w:numId="7">
    <w:abstractNumId w:val="8"/>
  </w:num>
  <w:num w:numId="8">
    <w:abstractNumId w:val="7"/>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D5"/>
    <w:rsid w:val="00023DEF"/>
    <w:rsid w:val="000910A1"/>
    <w:rsid w:val="000932B0"/>
    <w:rsid w:val="000B65AA"/>
    <w:rsid w:val="000D5686"/>
    <w:rsid w:val="00155643"/>
    <w:rsid w:val="001A4B4E"/>
    <w:rsid w:val="001E3639"/>
    <w:rsid w:val="002020FB"/>
    <w:rsid w:val="00240152"/>
    <w:rsid w:val="002B3F56"/>
    <w:rsid w:val="002E634C"/>
    <w:rsid w:val="002F5459"/>
    <w:rsid w:val="003065B1"/>
    <w:rsid w:val="003073B7"/>
    <w:rsid w:val="004336A1"/>
    <w:rsid w:val="004C3C1C"/>
    <w:rsid w:val="004C7EDD"/>
    <w:rsid w:val="004E3E79"/>
    <w:rsid w:val="00526E32"/>
    <w:rsid w:val="005E0157"/>
    <w:rsid w:val="00607AC4"/>
    <w:rsid w:val="0062206B"/>
    <w:rsid w:val="00650067"/>
    <w:rsid w:val="006A7F54"/>
    <w:rsid w:val="006C257F"/>
    <w:rsid w:val="007435D5"/>
    <w:rsid w:val="00774C3C"/>
    <w:rsid w:val="007B384E"/>
    <w:rsid w:val="008077B4"/>
    <w:rsid w:val="008110FA"/>
    <w:rsid w:val="00852680"/>
    <w:rsid w:val="0086520A"/>
    <w:rsid w:val="008A4873"/>
    <w:rsid w:val="008C672C"/>
    <w:rsid w:val="00915F3E"/>
    <w:rsid w:val="0092681B"/>
    <w:rsid w:val="00944304"/>
    <w:rsid w:val="009A6E08"/>
    <w:rsid w:val="009B4A53"/>
    <w:rsid w:val="009C2D59"/>
    <w:rsid w:val="009D281C"/>
    <w:rsid w:val="00A525C2"/>
    <w:rsid w:val="00A556F0"/>
    <w:rsid w:val="00A73598"/>
    <w:rsid w:val="00AE63B2"/>
    <w:rsid w:val="00B16F34"/>
    <w:rsid w:val="00B17F36"/>
    <w:rsid w:val="00B3177E"/>
    <w:rsid w:val="00BC70FB"/>
    <w:rsid w:val="00D07890"/>
    <w:rsid w:val="00D93A81"/>
    <w:rsid w:val="00DB3FFB"/>
    <w:rsid w:val="00DE148C"/>
    <w:rsid w:val="00DE3AF0"/>
    <w:rsid w:val="00E66299"/>
    <w:rsid w:val="00E7039A"/>
    <w:rsid w:val="00ED2ED0"/>
    <w:rsid w:val="00EF6A93"/>
    <w:rsid w:val="00F44539"/>
    <w:rsid w:val="00FB5C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90"/>
    <w:pPr>
      <w:ind w:left="720"/>
      <w:contextualSpacing/>
    </w:pPr>
  </w:style>
  <w:style w:type="paragraph" w:styleId="FootnoteText">
    <w:name w:val="footnote text"/>
    <w:basedOn w:val="Normal"/>
    <w:link w:val="FootnoteTextChar"/>
    <w:uiPriority w:val="99"/>
    <w:unhideWhenUsed/>
    <w:rsid w:val="00240152"/>
    <w:pPr>
      <w:spacing w:after="0" w:line="240" w:lineRule="auto"/>
    </w:pPr>
    <w:rPr>
      <w:sz w:val="20"/>
      <w:szCs w:val="20"/>
    </w:rPr>
  </w:style>
  <w:style w:type="character" w:customStyle="1" w:styleId="FootnoteTextChar">
    <w:name w:val="Footnote Text Char"/>
    <w:basedOn w:val="DefaultParagraphFont"/>
    <w:link w:val="FootnoteText"/>
    <w:uiPriority w:val="99"/>
    <w:rsid w:val="00240152"/>
    <w:rPr>
      <w:sz w:val="20"/>
      <w:szCs w:val="20"/>
    </w:rPr>
  </w:style>
  <w:style w:type="character" w:styleId="FootnoteReference">
    <w:name w:val="footnote reference"/>
    <w:basedOn w:val="DefaultParagraphFont"/>
    <w:uiPriority w:val="99"/>
    <w:unhideWhenUsed/>
    <w:rsid w:val="00240152"/>
    <w:rPr>
      <w:vertAlign w:val="superscript"/>
    </w:rPr>
  </w:style>
  <w:style w:type="character" w:styleId="Hyperlink">
    <w:name w:val="Hyperlink"/>
    <w:basedOn w:val="DefaultParagraphFont"/>
    <w:uiPriority w:val="99"/>
    <w:unhideWhenUsed/>
    <w:rsid w:val="00DB3FFB"/>
    <w:rPr>
      <w:color w:val="0000FF" w:themeColor="hyperlink"/>
      <w:u w:val="single"/>
    </w:rPr>
  </w:style>
  <w:style w:type="paragraph" w:styleId="Header">
    <w:name w:val="header"/>
    <w:basedOn w:val="Normal"/>
    <w:link w:val="HeaderChar"/>
    <w:uiPriority w:val="99"/>
    <w:unhideWhenUsed/>
    <w:rsid w:val="0081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0FA"/>
  </w:style>
  <w:style w:type="paragraph" w:styleId="Footer">
    <w:name w:val="footer"/>
    <w:basedOn w:val="Normal"/>
    <w:link w:val="FooterChar"/>
    <w:uiPriority w:val="99"/>
    <w:unhideWhenUsed/>
    <w:rsid w:val="0081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0FA"/>
  </w:style>
  <w:style w:type="paragraph" w:styleId="NormalWeb">
    <w:name w:val="Normal (Web)"/>
    <w:basedOn w:val="Normal"/>
    <w:uiPriority w:val="99"/>
    <w:semiHidden/>
    <w:unhideWhenUsed/>
    <w:rsid w:val="00155643"/>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4E3E79"/>
    <w:pPr>
      <w:spacing w:after="0" w:line="240" w:lineRule="auto"/>
    </w:pPr>
  </w:style>
  <w:style w:type="table" w:styleId="TableGrid">
    <w:name w:val="Table Grid"/>
    <w:basedOn w:val="TableNormal"/>
    <w:rsid w:val="00774C3C"/>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form">
    <w:name w:val="Bullet form"/>
    <w:basedOn w:val="Normal"/>
    <w:rsid w:val="00774C3C"/>
    <w:pPr>
      <w:numPr>
        <w:numId w:val="10"/>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774C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C3C"/>
    <w:rPr>
      <w:rFonts w:ascii="Lucida Grande" w:hAnsi="Lucida Grande" w:cs="Lucida Grande"/>
      <w:sz w:val="18"/>
      <w:szCs w:val="18"/>
    </w:rPr>
  </w:style>
  <w:style w:type="character" w:styleId="FollowedHyperlink">
    <w:name w:val="FollowedHyperlink"/>
    <w:basedOn w:val="DefaultParagraphFont"/>
    <w:uiPriority w:val="99"/>
    <w:semiHidden/>
    <w:unhideWhenUsed/>
    <w:rsid w:val="00774C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90"/>
    <w:pPr>
      <w:ind w:left="720"/>
      <w:contextualSpacing/>
    </w:pPr>
  </w:style>
  <w:style w:type="paragraph" w:styleId="FootnoteText">
    <w:name w:val="footnote text"/>
    <w:basedOn w:val="Normal"/>
    <w:link w:val="FootnoteTextChar"/>
    <w:uiPriority w:val="99"/>
    <w:unhideWhenUsed/>
    <w:rsid w:val="00240152"/>
    <w:pPr>
      <w:spacing w:after="0" w:line="240" w:lineRule="auto"/>
    </w:pPr>
    <w:rPr>
      <w:sz w:val="20"/>
      <w:szCs w:val="20"/>
    </w:rPr>
  </w:style>
  <w:style w:type="character" w:customStyle="1" w:styleId="FootnoteTextChar">
    <w:name w:val="Footnote Text Char"/>
    <w:basedOn w:val="DefaultParagraphFont"/>
    <w:link w:val="FootnoteText"/>
    <w:uiPriority w:val="99"/>
    <w:rsid w:val="00240152"/>
    <w:rPr>
      <w:sz w:val="20"/>
      <w:szCs w:val="20"/>
    </w:rPr>
  </w:style>
  <w:style w:type="character" w:styleId="FootnoteReference">
    <w:name w:val="footnote reference"/>
    <w:basedOn w:val="DefaultParagraphFont"/>
    <w:uiPriority w:val="99"/>
    <w:unhideWhenUsed/>
    <w:rsid w:val="00240152"/>
    <w:rPr>
      <w:vertAlign w:val="superscript"/>
    </w:rPr>
  </w:style>
  <w:style w:type="character" w:styleId="Hyperlink">
    <w:name w:val="Hyperlink"/>
    <w:basedOn w:val="DefaultParagraphFont"/>
    <w:uiPriority w:val="99"/>
    <w:unhideWhenUsed/>
    <w:rsid w:val="00DB3FFB"/>
    <w:rPr>
      <w:color w:val="0000FF" w:themeColor="hyperlink"/>
      <w:u w:val="single"/>
    </w:rPr>
  </w:style>
  <w:style w:type="paragraph" w:styleId="Header">
    <w:name w:val="header"/>
    <w:basedOn w:val="Normal"/>
    <w:link w:val="HeaderChar"/>
    <w:uiPriority w:val="99"/>
    <w:unhideWhenUsed/>
    <w:rsid w:val="0081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0FA"/>
  </w:style>
  <w:style w:type="paragraph" w:styleId="Footer">
    <w:name w:val="footer"/>
    <w:basedOn w:val="Normal"/>
    <w:link w:val="FooterChar"/>
    <w:uiPriority w:val="99"/>
    <w:unhideWhenUsed/>
    <w:rsid w:val="0081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0FA"/>
  </w:style>
  <w:style w:type="paragraph" w:styleId="NormalWeb">
    <w:name w:val="Normal (Web)"/>
    <w:basedOn w:val="Normal"/>
    <w:uiPriority w:val="99"/>
    <w:semiHidden/>
    <w:unhideWhenUsed/>
    <w:rsid w:val="00155643"/>
    <w:pPr>
      <w:spacing w:before="100" w:beforeAutospacing="1" w:after="100" w:afterAutospacing="1" w:line="240" w:lineRule="auto"/>
    </w:pPr>
    <w:rPr>
      <w:rFonts w:ascii="Times" w:eastAsiaTheme="minorEastAsia" w:hAnsi="Times" w:cs="Times New Roman"/>
      <w:sz w:val="20"/>
      <w:szCs w:val="20"/>
    </w:rPr>
  </w:style>
  <w:style w:type="paragraph" w:styleId="NoSpacing">
    <w:name w:val="No Spacing"/>
    <w:uiPriority w:val="1"/>
    <w:qFormat/>
    <w:rsid w:val="004E3E79"/>
    <w:pPr>
      <w:spacing w:after="0" w:line="240" w:lineRule="auto"/>
    </w:pPr>
  </w:style>
  <w:style w:type="table" w:styleId="TableGrid">
    <w:name w:val="Table Grid"/>
    <w:basedOn w:val="TableNormal"/>
    <w:rsid w:val="00774C3C"/>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form">
    <w:name w:val="Bullet form"/>
    <w:basedOn w:val="Normal"/>
    <w:rsid w:val="00774C3C"/>
    <w:pPr>
      <w:numPr>
        <w:numId w:val="10"/>
      </w:numPr>
      <w:spacing w:before="120" w:after="0" w:line="240" w:lineRule="auto"/>
      <w:ind w:left="714" w:hanging="357"/>
      <w:jc w:val="both"/>
    </w:pPr>
    <w:rPr>
      <w:rFonts w:ascii="GoudyOlSt BT" w:eastAsia="Times New Roman" w:hAnsi="GoudyOlSt BT" w:cs="Times New Roman"/>
      <w:sz w:val="24"/>
      <w:szCs w:val="20"/>
      <w:lang w:eastAsia="en-AU"/>
    </w:rPr>
  </w:style>
  <w:style w:type="paragraph" w:styleId="BalloonText">
    <w:name w:val="Balloon Text"/>
    <w:basedOn w:val="Normal"/>
    <w:link w:val="BalloonTextChar"/>
    <w:uiPriority w:val="99"/>
    <w:semiHidden/>
    <w:unhideWhenUsed/>
    <w:rsid w:val="00774C3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4C3C"/>
    <w:rPr>
      <w:rFonts w:ascii="Lucida Grande" w:hAnsi="Lucida Grande" w:cs="Lucida Grande"/>
      <w:sz w:val="18"/>
      <w:szCs w:val="18"/>
    </w:rPr>
  </w:style>
  <w:style w:type="character" w:styleId="FollowedHyperlink">
    <w:name w:val="FollowedHyperlink"/>
    <w:basedOn w:val="DefaultParagraphFont"/>
    <w:uiPriority w:val="99"/>
    <w:semiHidden/>
    <w:unhideWhenUsed/>
    <w:rsid w:val="00774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theaustralian.com.au/arts/review/flaws-serve-to-make-michael-kirby-the-man/story-fn9n8gph-1226544038983" TargetMode="External"/><Relationship Id="rId2" Type="http://schemas.openxmlformats.org/officeDocument/2006/relationships/hyperlink" Target="http://www.abc.net.au/worldtoday/stories/s749981.htm" TargetMode="External"/><Relationship Id="rId1" Type="http://schemas.openxmlformats.org/officeDocument/2006/relationships/hyperlink" Target="https://www.fwc.gov.au/awards-and-agreements/modern-award-reviews/am2014305-penalty-rates-case" TargetMode="External"/><Relationship Id="rId4" Type="http://schemas.openxmlformats.org/officeDocument/2006/relationships/hyperlink" Target="https://www.fwc.gov.au/resolving-issues-disputes-and-dismissals/dismissal-termination-redundancy/results-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00488-E37B-4BA6-85C7-9EB94A54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3167</Words>
  <Characters>18053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DR315 - Australian Workers' Union - Workplace Relations Framework - Public inquiry</vt:lpstr>
    </vt:vector>
  </TitlesOfParts>
  <Company>Australian Workers' Union</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DR315 - Australian Workers' Union - Workplace Relations Framework - Public inquiry</dc:title>
  <dc:creator>Australian Workers' Union</dc:creator>
  <cp:lastModifiedBy>Productivity Commission</cp:lastModifiedBy>
  <cp:revision>5</cp:revision>
  <cp:lastPrinted>2015-09-18T05:43:00Z</cp:lastPrinted>
  <dcterms:created xsi:type="dcterms:W3CDTF">2015-09-18T05:43:00Z</dcterms:created>
  <dcterms:modified xsi:type="dcterms:W3CDTF">2015-09-24T00:57:00Z</dcterms:modified>
</cp:coreProperties>
</file>