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A345CC" w14:textId="551A7929" w:rsidR="002540AA" w:rsidRPr="00EC20BD" w:rsidRDefault="00271215">
      <w:pPr>
        <w:pStyle w:val="Body"/>
        <w:spacing w:after="200" w:line="276" w:lineRule="auto"/>
        <w:rPr>
          <w:rFonts w:asciiTheme="minorHAnsi" w:hAnsiTheme="minorHAnsi"/>
          <w:color w:val="000080"/>
          <w:u w:color="000080"/>
        </w:rPr>
      </w:pPr>
      <w:bookmarkStart w:id="0" w:name="_GoBack"/>
      <w:bookmarkEnd w:id="0"/>
      <w:r w:rsidRPr="00EC20BD">
        <w:rPr>
          <w:rFonts w:asciiTheme="minorHAnsi" w:hAnsiTheme="minorHAnsi"/>
          <w:noProof/>
          <w:lang w:val="en-AU"/>
        </w:rPr>
        <w:drawing>
          <wp:anchor distT="0" distB="0" distL="114300" distR="114300" simplePos="0" relativeHeight="251664384" behindDoc="1" locked="0" layoutInCell="1" allowOverlap="1" wp14:anchorId="7E69BC6E" wp14:editId="5CD24BFD">
            <wp:simplePos x="0" y="0"/>
            <wp:positionH relativeFrom="column">
              <wp:align>center</wp:align>
            </wp:positionH>
            <wp:positionV relativeFrom="page">
              <wp:align>top</wp:align>
            </wp:positionV>
            <wp:extent cx="7556500" cy="106934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468_ai_group_corporate_cover.pdf"/>
                    <pic:cNvPicPr/>
                  </pic:nvPicPr>
                  <pic:blipFill>
                    <a:blip r:embed="rId9">
                      <a:extLst>
                        <a:ext uri="{28A0092B-C50C-407E-A947-70E740481C1C}">
                          <a14:useLocalDpi xmlns:a14="http://schemas.microsoft.com/office/drawing/2010/main" val="0"/>
                        </a:ext>
                      </a:extLst>
                    </a:blip>
                    <a:stretch>
                      <a:fillRect/>
                    </a:stretch>
                  </pic:blipFill>
                  <pic:spPr>
                    <a:xfrm>
                      <a:off x="0" y="0"/>
                      <a:ext cx="7556500" cy="106934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2BB99082" w14:textId="73A6F60E" w:rsidR="002540AA" w:rsidRPr="00EC20BD" w:rsidRDefault="00EA2C8F">
      <w:pPr>
        <w:pStyle w:val="Body"/>
        <w:spacing w:after="200" w:line="276" w:lineRule="auto"/>
        <w:rPr>
          <w:rFonts w:asciiTheme="minorHAnsi" w:hAnsiTheme="minorHAnsi"/>
          <w:color w:val="000080"/>
          <w:u w:color="000080"/>
        </w:rPr>
      </w:pPr>
      <w:r w:rsidRPr="00EC20BD">
        <w:rPr>
          <w:rFonts w:asciiTheme="minorHAnsi" w:hAnsiTheme="minorHAnsi"/>
          <w:noProof/>
          <w:lang w:val="en-AU"/>
        </w:rPr>
        <mc:AlternateContent>
          <mc:Choice Requires="wps">
            <w:drawing>
              <wp:anchor distT="0" distB="0" distL="114300" distR="114300" simplePos="0" relativeHeight="251667456" behindDoc="0" locked="0" layoutInCell="1" allowOverlap="1" wp14:anchorId="22E0D36A" wp14:editId="45A68A2B">
                <wp:simplePos x="0" y="0"/>
                <wp:positionH relativeFrom="column">
                  <wp:posOffset>1274445</wp:posOffset>
                </wp:positionH>
                <wp:positionV relativeFrom="paragraph">
                  <wp:posOffset>22860</wp:posOffset>
                </wp:positionV>
                <wp:extent cx="5029200" cy="11430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029200" cy="1143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EBD5BBA" w14:textId="0C1C6723" w:rsidR="008F793F" w:rsidRDefault="008F793F" w:rsidP="00271215">
                            <w:pPr>
                              <w:spacing w:line="860" w:lineRule="exact"/>
                              <w:jc w:val="right"/>
                              <w:rPr>
                                <w:rFonts w:ascii="Century Gothic" w:hAnsi="Century Gothic"/>
                                <w:color w:val="441E51"/>
                                <w:spacing w:val="-24"/>
                                <w:sz w:val="90"/>
                                <w:szCs w:val="90"/>
                              </w:rPr>
                            </w:pPr>
                            <w:r>
                              <w:rPr>
                                <w:rFonts w:ascii="Century Gothic" w:hAnsi="Century Gothic"/>
                                <w:color w:val="441E51"/>
                                <w:spacing w:val="-24"/>
                                <w:sz w:val="90"/>
                                <w:szCs w:val="90"/>
                              </w:rPr>
                              <w:t>Ai GROUP</w:t>
                            </w:r>
                          </w:p>
                          <w:p w14:paraId="31998232" w14:textId="7174D179" w:rsidR="008F793F" w:rsidRPr="00EE378D" w:rsidRDefault="008F793F" w:rsidP="00271215">
                            <w:pPr>
                              <w:spacing w:line="860" w:lineRule="exact"/>
                              <w:jc w:val="right"/>
                              <w:rPr>
                                <w:rFonts w:ascii="Century Gothic" w:hAnsi="Century Gothic"/>
                                <w:color w:val="441E51"/>
                                <w:spacing w:val="-24"/>
                                <w:sz w:val="90"/>
                                <w:szCs w:val="90"/>
                              </w:rPr>
                            </w:pPr>
                            <w:r>
                              <w:rPr>
                                <w:rFonts w:ascii="Century Gothic" w:hAnsi="Century Gothic"/>
                                <w:color w:val="441E51"/>
                                <w:spacing w:val="-24"/>
                                <w:sz w:val="90"/>
                                <w:szCs w:val="90"/>
                              </w:rPr>
                              <w:t>SUBMISSION</w:t>
                            </w:r>
                          </w:p>
                          <w:p w14:paraId="69247DC5" w14:textId="77777777" w:rsidR="008F793F" w:rsidRPr="00EE378D" w:rsidRDefault="008F793F" w:rsidP="00271215">
                            <w:pPr>
                              <w:spacing w:line="860" w:lineRule="exact"/>
                              <w:jc w:val="right"/>
                              <w:rPr>
                                <w:rFonts w:ascii="Century Gothic" w:hAnsi="Century Gothic"/>
                                <w:color w:val="441E51"/>
                                <w:spacing w:val="-24"/>
                                <w:sz w:val="90"/>
                                <w:szCs w:val="90"/>
                              </w:rPr>
                            </w:pPr>
                          </w:p>
                          <w:p w14:paraId="37F9E4F4" w14:textId="77777777" w:rsidR="008F793F" w:rsidRPr="00EE378D" w:rsidRDefault="008F793F" w:rsidP="00271215">
                            <w:pPr>
                              <w:spacing w:line="860" w:lineRule="exact"/>
                              <w:jc w:val="right"/>
                              <w:rPr>
                                <w:rFonts w:ascii="Avant Garde" w:hAnsi="Avant Garde"/>
                                <w:bCs/>
                                <w:color w:val="441E51"/>
                                <w:spacing w:val="-24"/>
                                <w:sz w:val="90"/>
                                <w:szCs w:val="9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00.35pt;margin-top:1.8pt;width:396pt;height:9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" filled="f" stroked="f">
                <v:textbox inset="0,0,0,0">
                  <w:txbxContent>
                    <w:p w14:paraId="6EBD5BBA" w14:textId="0C1C6723" w:rsidR="008F793F" w:rsidRDefault="008F793F" w:rsidP="00271215">
                      <w:pPr>
                        <w:spacing w:line="860" w:lineRule="exact"/>
                        <w:jc w:val="right"/>
                        <w:rPr>
                          <w:rFonts w:ascii="Century Gothic" w:hAnsi="Century Gothic"/>
                          <w:color w:val="441E51"/>
                          <w:spacing w:val="-24"/>
                          <w:sz w:val="90"/>
                          <w:szCs w:val="90"/>
                        </w:rPr>
                      </w:pPr>
                      <w:r>
                        <w:rPr>
                          <w:rFonts w:ascii="Century Gothic" w:hAnsi="Century Gothic"/>
                          <w:color w:val="441E51"/>
                          <w:spacing w:val="-24"/>
                          <w:sz w:val="90"/>
                          <w:szCs w:val="90"/>
                        </w:rPr>
                        <w:t>Ai GROUP</w:t>
                      </w:r>
                    </w:p>
                    <w:p w14:paraId="31998232" w14:textId="7174D179" w:rsidR="008F793F" w:rsidRPr="00EE378D" w:rsidRDefault="008F793F" w:rsidP="00271215">
                      <w:pPr>
                        <w:spacing w:line="860" w:lineRule="exact"/>
                        <w:jc w:val="right"/>
                        <w:rPr>
                          <w:rFonts w:ascii="Century Gothic" w:hAnsi="Century Gothic"/>
                          <w:color w:val="441E51"/>
                          <w:spacing w:val="-24"/>
                          <w:sz w:val="90"/>
                          <w:szCs w:val="90"/>
                        </w:rPr>
                      </w:pPr>
                      <w:r>
                        <w:rPr>
                          <w:rFonts w:ascii="Century Gothic" w:hAnsi="Century Gothic"/>
                          <w:color w:val="441E51"/>
                          <w:spacing w:val="-24"/>
                          <w:sz w:val="90"/>
                          <w:szCs w:val="90"/>
                        </w:rPr>
                        <w:t>SUBMISSION</w:t>
                      </w:r>
                    </w:p>
                    <w:p w14:paraId="69247DC5" w14:textId="77777777" w:rsidR="008F793F" w:rsidRPr="00EE378D" w:rsidRDefault="008F793F" w:rsidP="00271215">
                      <w:pPr>
                        <w:spacing w:line="860" w:lineRule="exact"/>
                        <w:jc w:val="right"/>
                        <w:rPr>
                          <w:rFonts w:ascii="Century Gothic" w:hAnsi="Century Gothic"/>
                          <w:color w:val="441E51"/>
                          <w:spacing w:val="-24"/>
                          <w:sz w:val="90"/>
                          <w:szCs w:val="90"/>
                        </w:rPr>
                      </w:pPr>
                    </w:p>
                    <w:p w14:paraId="37F9E4F4" w14:textId="77777777" w:rsidR="008F793F" w:rsidRPr="00EE378D" w:rsidRDefault="008F793F" w:rsidP="00271215">
                      <w:pPr>
                        <w:spacing w:line="860" w:lineRule="exact"/>
                        <w:jc w:val="right"/>
                        <w:rPr>
                          <w:rFonts w:ascii="Avant Garde" w:hAnsi="Avant Garde"/>
                          <w:bCs/>
                          <w:color w:val="441E51"/>
                          <w:spacing w:val="-24"/>
                          <w:sz w:val="90"/>
                          <w:szCs w:val="90"/>
                        </w:rPr>
                      </w:pPr>
                    </w:p>
                  </w:txbxContent>
                </v:textbox>
                <w10:wrap type="square"/>
              </v:shape>
            </w:pict>
          </mc:Fallback>
        </mc:AlternateContent>
      </w:r>
    </w:p>
    <w:p w14:paraId="08E98633" w14:textId="77777777" w:rsidR="002540AA" w:rsidRPr="00EC20BD" w:rsidRDefault="002540AA">
      <w:pPr>
        <w:pStyle w:val="Body"/>
        <w:spacing w:after="200" w:line="276" w:lineRule="auto"/>
        <w:rPr>
          <w:rFonts w:asciiTheme="minorHAnsi" w:hAnsiTheme="minorHAnsi"/>
          <w:color w:val="000080"/>
          <w:u w:color="000080"/>
        </w:rPr>
      </w:pPr>
    </w:p>
    <w:p w14:paraId="01CE0422" w14:textId="77777777" w:rsidR="002540AA" w:rsidRPr="00EC20BD" w:rsidRDefault="002540AA">
      <w:pPr>
        <w:pStyle w:val="Body"/>
        <w:spacing w:after="200" w:line="276" w:lineRule="auto"/>
        <w:rPr>
          <w:rFonts w:asciiTheme="minorHAnsi" w:hAnsiTheme="minorHAnsi"/>
          <w:color w:val="000080"/>
          <w:u w:color="000080"/>
        </w:rPr>
      </w:pPr>
    </w:p>
    <w:p w14:paraId="57814944" w14:textId="23F75023" w:rsidR="002540AA" w:rsidRPr="00EC20BD" w:rsidRDefault="002540AA">
      <w:pPr>
        <w:pStyle w:val="Body"/>
        <w:spacing w:after="200" w:line="276" w:lineRule="auto"/>
        <w:rPr>
          <w:rFonts w:asciiTheme="minorHAnsi" w:hAnsiTheme="minorHAnsi"/>
          <w:color w:val="000080"/>
          <w:u w:color="000080"/>
        </w:rPr>
      </w:pPr>
    </w:p>
    <w:p w14:paraId="15E4A966" w14:textId="61CA0663" w:rsidR="002540AA" w:rsidRPr="00EC20BD" w:rsidRDefault="00DE3730">
      <w:pPr>
        <w:pStyle w:val="Body"/>
        <w:spacing w:after="200" w:line="276" w:lineRule="auto"/>
        <w:rPr>
          <w:rFonts w:asciiTheme="minorHAnsi" w:hAnsiTheme="minorHAnsi"/>
          <w:color w:val="000080"/>
          <w:u w:color="000080"/>
        </w:rPr>
      </w:pPr>
      <w:r w:rsidRPr="00EC20BD">
        <w:rPr>
          <w:rFonts w:asciiTheme="minorHAnsi" w:hAnsiTheme="minorHAnsi"/>
          <w:noProof/>
          <w:lang w:val="en-AU"/>
        </w:rPr>
        <mc:AlternateContent>
          <mc:Choice Requires="wps">
            <w:drawing>
              <wp:anchor distT="0" distB="0" distL="114300" distR="114300" simplePos="0" relativeHeight="251668480" behindDoc="0" locked="0" layoutInCell="1" allowOverlap="1" wp14:anchorId="6A15E42C" wp14:editId="78049C38">
                <wp:simplePos x="0" y="0"/>
                <wp:positionH relativeFrom="column">
                  <wp:posOffset>1845945</wp:posOffset>
                </wp:positionH>
                <wp:positionV relativeFrom="paragraph">
                  <wp:posOffset>27940</wp:posOffset>
                </wp:positionV>
                <wp:extent cx="4457700" cy="11430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4457700" cy="1143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8EAC2E4" w14:textId="62956BB1" w:rsidR="008F793F" w:rsidRPr="00AD3669" w:rsidRDefault="008F793F" w:rsidP="00AD3669">
                            <w:pPr>
                              <w:spacing w:line="560" w:lineRule="exact"/>
                              <w:jc w:val="right"/>
                              <w:rPr>
                                <w:rFonts w:ascii="Century Gothic" w:hAnsi="Century Gothic"/>
                                <w:bCs/>
                                <w:color w:val="272E38"/>
                                <w:sz w:val="42"/>
                                <w:szCs w:val="42"/>
                              </w:rPr>
                            </w:pPr>
                            <w:r w:rsidRPr="00EB2F5F">
                              <w:rPr>
                                <w:rFonts w:ascii="Century Gothic" w:hAnsi="Century Gothic"/>
                                <w:bCs/>
                                <w:color w:val="272E38"/>
                                <w:sz w:val="42"/>
                                <w:szCs w:val="42"/>
                              </w:rPr>
                              <w:t xml:space="preserve">Productivity Commission </w:t>
                            </w:r>
                            <w:r>
                              <w:rPr>
                                <w:rFonts w:ascii="Century Gothic" w:hAnsi="Century Gothic"/>
                                <w:bCs/>
                                <w:color w:val="272E38"/>
                                <w:sz w:val="42"/>
                                <w:szCs w:val="42"/>
                              </w:rPr>
                              <w:t>Inquiry into the Workplace Relations Framework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145.35pt;margin-top:2.2pt;width:351pt;height:9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" filled="f" stroked="f">
                <v:textbox inset="0,0,0,0">
                  <w:txbxContent>
                    <w:p w14:paraId="08EAC2E4" w14:textId="62956BB1" w:rsidR="008F793F" w:rsidRPr="00AD3669" w:rsidRDefault="008F793F" w:rsidP="00AD3669">
                      <w:pPr>
                        <w:spacing w:line="560" w:lineRule="exact"/>
                        <w:jc w:val="right"/>
                        <w:rPr>
                          <w:rFonts w:ascii="Century Gothic" w:hAnsi="Century Gothic"/>
                          <w:bCs/>
                          <w:color w:val="272E38"/>
                          <w:sz w:val="42"/>
                          <w:szCs w:val="42"/>
                        </w:rPr>
                      </w:pPr>
                      <w:r w:rsidRPr="00EB2F5F">
                        <w:rPr>
                          <w:rFonts w:ascii="Century Gothic" w:hAnsi="Century Gothic"/>
                          <w:bCs/>
                          <w:color w:val="272E38"/>
                          <w:sz w:val="42"/>
                          <w:szCs w:val="42"/>
                        </w:rPr>
                        <w:t xml:space="preserve">Productivity Commission </w:t>
                      </w:r>
                      <w:r>
                        <w:rPr>
                          <w:rFonts w:ascii="Century Gothic" w:hAnsi="Century Gothic"/>
                          <w:bCs/>
                          <w:color w:val="272E38"/>
                          <w:sz w:val="42"/>
                          <w:szCs w:val="42"/>
                        </w:rPr>
                        <w:t>Inquiry into the Workplace Relations Framework</w:t>
                      </w:r>
                    </w:p>
                  </w:txbxContent>
                </v:textbox>
                <w10:wrap type="square"/>
              </v:shape>
            </w:pict>
          </mc:Fallback>
        </mc:AlternateContent>
      </w:r>
    </w:p>
    <w:p w14:paraId="0043638F" w14:textId="77777777" w:rsidR="002540AA" w:rsidRPr="00EC20BD" w:rsidRDefault="002540AA">
      <w:pPr>
        <w:pStyle w:val="Body"/>
        <w:spacing w:after="200" w:line="276" w:lineRule="auto"/>
        <w:rPr>
          <w:rFonts w:asciiTheme="minorHAnsi" w:hAnsiTheme="minorHAnsi"/>
          <w:color w:val="000080"/>
          <w:u w:color="000080"/>
        </w:rPr>
      </w:pPr>
    </w:p>
    <w:p w14:paraId="344F0C96" w14:textId="60E442A1" w:rsidR="002540AA" w:rsidRPr="00EC20BD" w:rsidRDefault="002540AA">
      <w:pPr>
        <w:pStyle w:val="Body"/>
        <w:spacing w:after="200" w:line="276" w:lineRule="auto"/>
        <w:rPr>
          <w:rFonts w:asciiTheme="minorHAnsi" w:hAnsiTheme="minorHAnsi"/>
          <w:color w:val="000080"/>
          <w:u w:color="000080"/>
        </w:rPr>
      </w:pPr>
    </w:p>
    <w:p w14:paraId="57A2B3B4" w14:textId="172B08F4" w:rsidR="002540AA" w:rsidRPr="00EC20BD" w:rsidRDefault="002540AA">
      <w:pPr>
        <w:pStyle w:val="Body"/>
        <w:spacing w:after="200" w:line="276" w:lineRule="auto"/>
        <w:rPr>
          <w:rFonts w:asciiTheme="minorHAnsi" w:hAnsiTheme="minorHAnsi"/>
          <w:color w:val="000080"/>
          <w:u w:color="000080"/>
        </w:rPr>
      </w:pPr>
    </w:p>
    <w:p w14:paraId="17D4E71F" w14:textId="7146D7C1" w:rsidR="002540AA" w:rsidRPr="00EC20BD" w:rsidRDefault="00F175AB">
      <w:pPr>
        <w:pStyle w:val="Body"/>
        <w:spacing w:after="200" w:line="276" w:lineRule="auto"/>
        <w:rPr>
          <w:rFonts w:asciiTheme="minorHAnsi" w:hAnsiTheme="minorHAnsi"/>
          <w:color w:val="000080"/>
          <w:u w:color="000080"/>
        </w:rPr>
      </w:pPr>
      <w:r w:rsidRPr="00EC20BD">
        <w:rPr>
          <w:rFonts w:asciiTheme="minorHAnsi" w:hAnsiTheme="minorHAnsi"/>
          <w:noProof/>
          <w:lang w:val="en-AU"/>
        </w:rPr>
        <mc:AlternateContent>
          <mc:Choice Requires="wps">
            <w:drawing>
              <wp:anchor distT="0" distB="0" distL="114300" distR="114300" simplePos="0" relativeHeight="251671552" behindDoc="0" locked="0" layoutInCell="1" allowOverlap="1" wp14:anchorId="45CFEE37" wp14:editId="26F0EC5E">
                <wp:simplePos x="0" y="0"/>
                <wp:positionH relativeFrom="column">
                  <wp:posOffset>1845945</wp:posOffset>
                </wp:positionH>
                <wp:positionV relativeFrom="paragraph">
                  <wp:posOffset>162560</wp:posOffset>
                </wp:positionV>
                <wp:extent cx="4457700" cy="11430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4457700" cy="1143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90245AE" w14:textId="70795CF7" w:rsidR="008F793F" w:rsidRPr="00F175AB" w:rsidRDefault="008F793F" w:rsidP="00F175AB">
                            <w:pPr>
                              <w:spacing w:line="560" w:lineRule="exact"/>
                              <w:jc w:val="right"/>
                              <w:rPr>
                                <w:rFonts w:ascii="Century Gothic" w:hAnsi="Century Gothic"/>
                                <w:b/>
                                <w:bCs/>
                                <w:color w:val="272E38"/>
                                <w:sz w:val="42"/>
                                <w:szCs w:val="42"/>
                              </w:rPr>
                            </w:pPr>
                            <w:r>
                              <w:rPr>
                                <w:rFonts w:ascii="Century Gothic" w:hAnsi="Century Gothic"/>
                                <w:b/>
                                <w:bCs/>
                                <w:color w:val="272E38"/>
                                <w:sz w:val="42"/>
                                <w:szCs w:val="42"/>
                              </w:rPr>
                              <w:t>Response to draft report</w:t>
                            </w:r>
                            <w:r w:rsidRPr="00F175AB">
                              <w:rPr>
                                <w:rFonts w:ascii="Century Gothic" w:hAnsi="Century Gothic"/>
                                <w:b/>
                                <w:bCs/>
                                <w:color w:val="272E38"/>
                                <w:sz w:val="42"/>
                                <w:szCs w:val="42"/>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145.35pt;margin-top:12.8pt;width:351pt;height:9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" filled="f" stroked="f">
                <v:textbox inset="0,0,0,0">
                  <w:txbxContent>
                    <w:p w14:paraId="790245AE" w14:textId="70795CF7" w:rsidR="008F793F" w:rsidRPr="00F175AB" w:rsidRDefault="008F793F" w:rsidP="00F175AB">
                      <w:pPr>
                        <w:spacing w:line="560" w:lineRule="exact"/>
                        <w:jc w:val="right"/>
                        <w:rPr>
                          <w:rFonts w:ascii="Century Gothic" w:hAnsi="Century Gothic"/>
                          <w:b/>
                          <w:bCs/>
                          <w:color w:val="272E38"/>
                          <w:sz w:val="42"/>
                          <w:szCs w:val="42"/>
                        </w:rPr>
                      </w:pPr>
                      <w:r>
                        <w:rPr>
                          <w:rFonts w:ascii="Century Gothic" w:hAnsi="Century Gothic"/>
                          <w:b/>
                          <w:bCs/>
                          <w:color w:val="272E38"/>
                          <w:sz w:val="42"/>
                          <w:szCs w:val="42"/>
                        </w:rPr>
                        <w:t>Response to draft report</w:t>
                      </w:r>
                      <w:r w:rsidRPr="00F175AB">
                        <w:rPr>
                          <w:rFonts w:ascii="Century Gothic" w:hAnsi="Century Gothic"/>
                          <w:b/>
                          <w:bCs/>
                          <w:color w:val="272E38"/>
                          <w:sz w:val="42"/>
                          <w:szCs w:val="42"/>
                        </w:rPr>
                        <w:t xml:space="preserve"> </w:t>
                      </w:r>
                    </w:p>
                  </w:txbxContent>
                </v:textbox>
                <w10:wrap type="square"/>
              </v:shape>
            </w:pict>
          </mc:Fallback>
        </mc:AlternateContent>
      </w:r>
    </w:p>
    <w:p w14:paraId="5DB344DC" w14:textId="77777777" w:rsidR="002540AA" w:rsidRPr="00EC20BD" w:rsidRDefault="002540AA">
      <w:pPr>
        <w:pStyle w:val="Body"/>
        <w:spacing w:after="200" w:line="276" w:lineRule="auto"/>
        <w:rPr>
          <w:rFonts w:asciiTheme="minorHAnsi" w:hAnsiTheme="minorHAnsi"/>
          <w:color w:val="000080"/>
          <w:u w:color="000080"/>
        </w:rPr>
      </w:pPr>
    </w:p>
    <w:p w14:paraId="41659964" w14:textId="77777777" w:rsidR="002540AA" w:rsidRPr="00EC20BD" w:rsidRDefault="002540AA">
      <w:pPr>
        <w:pStyle w:val="Body"/>
        <w:spacing w:after="200" w:line="276" w:lineRule="auto"/>
        <w:rPr>
          <w:rFonts w:asciiTheme="minorHAnsi" w:hAnsiTheme="minorHAnsi"/>
          <w:color w:val="000080"/>
          <w:u w:color="000080"/>
        </w:rPr>
      </w:pPr>
    </w:p>
    <w:p w14:paraId="71BA79A0" w14:textId="77777777" w:rsidR="002540AA" w:rsidRPr="00EC20BD" w:rsidRDefault="002540AA">
      <w:pPr>
        <w:pStyle w:val="Body"/>
        <w:spacing w:after="200" w:line="276" w:lineRule="auto"/>
        <w:rPr>
          <w:rFonts w:asciiTheme="minorHAnsi" w:hAnsiTheme="minorHAnsi"/>
          <w:color w:val="000080"/>
          <w:u w:color="000080"/>
        </w:rPr>
      </w:pPr>
    </w:p>
    <w:p w14:paraId="19D8E956" w14:textId="108B6E08" w:rsidR="002540AA" w:rsidRPr="00EC20BD" w:rsidRDefault="00DE3730">
      <w:pPr>
        <w:pStyle w:val="Body"/>
        <w:spacing w:after="200" w:line="276" w:lineRule="auto"/>
        <w:rPr>
          <w:rFonts w:asciiTheme="minorHAnsi" w:hAnsiTheme="minorHAnsi"/>
          <w:color w:val="000080"/>
          <w:u w:color="000080"/>
        </w:rPr>
      </w:pPr>
      <w:r w:rsidRPr="00EC20BD">
        <w:rPr>
          <w:rFonts w:asciiTheme="minorHAnsi" w:hAnsiTheme="minorHAnsi"/>
          <w:noProof/>
          <w:lang w:val="en-AU"/>
        </w:rPr>
        <mc:AlternateContent>
          <mc:Choice Requires="wps">
            <w:drawing>
              <wp:anchor distT="0" distB="0" distL="114300" distR="114300" simplePos="0" relativeHeight="251669504" behindDoc="0" locked="0" layoutInCell="1" allowOverlap="1" wp14:anchorId="67F8F99E" wp14:editId="5008D03E">
                <wp:simplePos x="0" y="0"/>
                <wp:positionH relativeFrom="column">
                  <wp:posOffset>3674745</wp:posOffset>
                </wp:positionH>
                <wp:positionV relativeFrom="paragraph">
                  <wp:posOffset>53975</wp:posOffset>
                </wp:positionV>
                <wp:extent cx="2628900" cy="22860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2628900" cy="228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DA870A3" w14:textId="1EF97453" w:rsidR="008F793F" w:rsidRPr="00BF60F6" w:rsidRDefault="008F793F" w:rsidP="00271215">
                            <w:pPr>
                              <w:jc w:val="right"/>
                              <w:rPr>
                                <w:rFonts w:ascii="Century Gothic" w:hAnsi="Century Gothic"/>
                                <w:b/>
                                <w:bCs/>
                                <w:color w:val="441E51"/>
                                <w:spacing w:val="-6"/>
                                <w:sz w:val="25"/>
                                <w:szCs w:val="25"/>
                              </w:rPr>
                            </w:pPr>
                            <w:r w:rsidRPr="00BF60F6">
                              <w:rPr>
                                <w:rFonts w:ascii="Century Gothic" w:hAnsi="Century Gothic"/>
                                <w:b/>
                                <w:bCs/>
                                <w:color w:val="441E51"/>
                                <w:spacing w:val="-6"/>
                                <w:sz w:val="25"/>
                                <w:szCs w:val="25"/>
                              </w:rPr>
                              <w:t>September 2015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9" type="#_x0000_t202" style="position:absolute;margin-left:289.35pt;margin-top:4.25pt;width:207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" filled="f" stroked="f">
                <v:textbox inset="0,0,0,0">
                  <w:txbxContent>
                    <w:p w14:paraId="7DA870A3" w14:textId="1EF97453" w:rsidR="008F793F" w:rsidRPr="00BF60F6" w:rsidRDefault="008F793F" w:rsidP="00271215">
                      <w:pPr>
                        <w:jc w:val="right"/>
                        <w:rPr>
                          <w:rFonts w:ascii="Century Gothic" w:hAnsi="Century Gothic"/>
                          <w:b/>
                          <w:bCs/>
                          <w:color w:val="441E51"/>
                          <w:spacing w:val="-6"/>
                          <w:sz w:val="25"/>
                          <w:szCs w:val="25"/>
                        </w:rPr>
                      </w:pPr>
                      <w:r w:rsidRPr="00BF60F6">
                        <w:rPr>
                          <w:rFonts w:ascii="Century Gothic" w:hAnsi="Century Gothic"/>
                          <w:b/>
                          <w:bCs/>
                          <w:color w:val="441E51"/>
                          <w:spacing w:val="-6"/>
                          <w:sz w:val="25"/>
                          <w:szCs w:val="25"/>
                        </w:rPr>
                        <w:t>September 2015</w:t>
                      </w:r>
                    </w:p>
                  </w:txbxContent>
                </v:textbox>
                <w10:wrap type="square"/>
              </v:shape>
            </w:pict>
          </mc:Fallback>
        </mc:AlternateContent>
      </w:r>
    </w:p>
    <w:p w14:paraId="317C459C" w14:textId="66D4E4FF" w:rsidR="002540AA" w:rsidRPr="00EC20BD" w:rsidRDefault="002540AA">
      <w:pPr>
        <w:pStyle w:val="Body"/>
        <w:spacing w:after="200" w:line="276" w:lineRule="auto"/>
        <w:rPr>
          <w:rFonts w:asciiTheme="minorHAnsi" w:hAnsiTheme="minorHAnsi"/>
          <w:color w:val="000080"/>
          <w:u w:color="000080"/>
        </w:rPr>
      </w:pPr>
    </w:p>
    <w:p w14:paraId="07874273" w14:textId="77777777" w:rsidR="002540AA" w:rsidRPr="00EC20BD" w:rsidRDefault="002540AA">
      <w:pPr>
        <w:pStyle w:val="Body"/>
        <w:spacing w:after="200" w:line="276" w:lineRule="auto"/>
        <w:rPr>
          <w:rFonts w:asciiTheme="minorHAnsi" w:hAnsiTheme="minorHAnsi"/>
          <w:color w:val="000080"/>
          <w:u w:color="000080"/>
        </w:rPr>
      </w:pPr>
    </w:p>
    <w:p w14:paraId="6B0CE1E8" w14:textId="77777777" w:rsidR="002540AA" w:rsidRPr="00EC20BD" w:rsidRDefault="002540AA">
      <w:pPr>
        <w:pStyle w:val="Body"/>
        <w:spacing w:after="200" w:line="276" w:lineRule="auto"/>
        <w:rPr>
          <w:rFonts w:asciiTheme="minorHAnsi" w:hAnsiTheme="minorHAnsi"/>
          <w:color w:val="000080"/>
          <w:u w:color="000080"/>
        </w:rPr>
      </w:pPr>
    </w:p>
    <w:p w14:paraId="684380F5" w14:textId="77777777" w:rsidR="002540AA" w:rsidRPr="00EC20BD" w:rsidRDefault="002540AA">
      <w:pPr>
        <w:pStyle w:val="Body"/>
        <w:spacing w:after="200" w:line="276" w:lineRule="auto"/>
        <w:rPr>
          <w:rFonts w:asciiTheme="minorHAnsi" w:hAnsiTheme="minorHAnsi"/>
          <w:color w:val="000080"/>
          <w:u w:color="000080"/>
        </w:rPr>
      </w:pPr>
    </w:p>
    <w:p w14:paraId="00B724A1" w14:textId="77777777" w:rsidR="002540AA" w:rsidRPr="00EC20BD" w:rsidRDefault="002540AA">
      <w:pPr>
        <w:pStyle w:val="Body"/>
        <w:spacing w:after="200" w:line="276" w:lineRule="auto"/>
        <w:rPr>
          <w:rFonts w:asciiTheme="minorHAnsi" w:hAnsiTheme="minorHAnsi"/>
          <w:color w:val="000080"/>
          <w:u w:color="000080"/>
        </w:rPr>
      </w:pPr>
    </w:p>
    <w:p w14:paraId="0D04DE01" w14:textId="77777777" w:rsidR="002540AA" w:rsidRPr="00EC20BD" w:rsidRDefault="002540AA">
      <w:pPr>
        <w:pStyle w:val="Body"/>
        <w:spacing w:after="200" w:line="276" w:lineRule="auto"/>
        <w:rPr>
          <w:rFonts w:asciiTheme="minorHAnsi" w:hAnsiTheme="minorHAnsi"/>
          <w:color w:val="000080"/>
          <w:u w:color="000080"/>
        </w:rPr>
      </w:pPr>
    </w:p>
    <w:p w14:paraId="0EC5719B" w14:textId="77777777" w:rsidR="002540AA" w:rsidRPr="00EC20BD" w:rsidRDefault="002540AA">
      <w:pPr>
        <w:pStyle w:val="Body"/>
        <w:spacing w:after="200" w:line="276" w:lineRule="auto"/>
        <w:rPr>
          <w:rFonts w:asciiTheme="minorHAnsi" w:hAnsiTheme="minorHAnsi"/>
          <w:color w:val="000080"/>
          <w:u w:color="000080"/>
        </w:rPr>
      </w:pPr>
    </w:p>
    <w:p w14:paraId="47A410DA" w14:textId="77777777" w:rsidR="002540AA" w:rsidRPr="00EC20BD" w:rsidRDefault="002540AA">
      <w:pPr>
        <w:pStyle w:val="Body"/>
        <w:spacing w:after="200" w:line="276" w:lineRule="auto"/>
        <w:rPr>
          <w:rFonts w:asciiTheme="minorHAnsi" w:hAnsiTheme="minorHAnsi"/>
          <w:color w:val="000080"/>
          <w:u w:color="000080"/>
        </w:rPr>
      </w:pPr>
    </w:p>
    <w:p w14:paraId="7C274C9A" w14:textId="77777777" w:rsidR="002540AA" w:rsidRPr="00EC20BD" w:rsidRDefault="002540AA">
      <w:pPr>
        <w:pStyle w:val="Body"/>
        <w:spacing w:after="200" w:line="276" w:lineRule="auto"/>
        <w:rPr>
          <w:rFonts w:asciiTheme="minorHAnsi" w:eastAsia="Arial" w:hAnsiTheme="minorHAnsi" w:cs="Arial"/>
          <w:color w:val="000080"/>
          <w:sz w:val="56"/>
          <w:szCs w:val="56"/>
          <w:u w:color="000080"/>
        </w:rPr>
      </w:pPr>
    </w:p>
    <w:p w14:paraId="0AB2AA88" w14:textId="77777777" w:rsidR="002540AA" w:rsidRPr="00EC20BD" w:rsidRDefault="002540AA">
      <w:pPr>
        <w:pStyle w:val="Body"/>
        <w:spacing w:after="200" w:line="276" w:lineRule="auto"/>
        <w:rPr>
          <w:rFonts w:asciiTheme="minorHAnsi" w:eastAsia="Arial" w:hAnsiTheme="minorHAnsi" w:cs="Arial"/>
          <w:color w:val="000080"/>
          <w:sz w:val="56"/>
          <w:szCs w:val="56"/>
          <w:u w:color="000080"/>
        </w:rPr>
      </w:pPr>
    </w:p>
    <w:p w14:paraId="0344DD2E" w14:textId="77777777" w:rsidR="00271215" w:rsidRPr="00EC20BD" w:rsidRDefault="00271215">
      <w:pPr>
        <w:rPr>
          <w:rFonts w:asciiTheme="minorHAnsi" w:eastAsia="Calibri" w:hAnsiTheme="minorHAnsi" w:cs="Calibri"/>
          <w:b/>
          <w:bCs/>
          <w:color w:val="0070C0"/>
          <w:sz w:val="22"/>
          <w:szCs w:val="22"/>
          <w:u w:color="0070C0"/>
          <w:lang w:eastAsia="en-AU"/>
        </w:rPr>
      </w:pPr>
      <w:r w:rsidRPr="00EC20BD">
        <w:rPr>
          <w:rFonts w:asciiTheme="minorHAnsi" w:eastAsia="Calibri" w:hAnsiTheme="minorHAnsi" w:cs="Calibri"/>
          <w:b/>
          <w:bCs/>
          <w:color w:val="0070C0"/>
          <w:u w:color="0070C0"/>
        </w:rPr>
        <w:br w:type="page"/>
      </w:r>
    </w:p>
    <w:p w14:paraId="32648D1C" w14:textId="77777777" w:rsidR="00E30D6F" w:rsidRPr="00D23AFA" w:rsidRDefault="00E30D6F" w:rsidP="00E30D6F">
      <w:pPr>
        <w:pStyle w:val="Body"/>
        <w:spacing w:after="120" w:line="276" w:lineRule="auto"/>
        <w:jc w:val="both"/>
        <w:rPr>
          <w:rFonts w:asciiTheme="minorHAnsi" w:hAnsiTheme="minorHAnsi"/>
          <w:b/>
          <w:color w:val="451E51"/>
          <w:sz w:val="36"/>
          <w:szCs w:val="36"/>
        </w:rPr>
      </w:pPr>
      <w:r w:rsidRPr="00D23AFA">
        <w:rPr>
          <w:rFonts w:asciiTheme="minorHAnsi" w:hAnsiTheme="minorHAnsi"/>
          <w:b/>
          <w:color w:val="451E51"/>
          <w:sz w:val="36"/>
          <w:szCs w:val="36"/>
        </w:rPr>
        <w:lastRenderedPageBreak/>
        <w:t>Contents</w:t>
      </w:r>
    </w:p>
    <w:tbl>
      <w:tblPr>
        <w:tblStyle w:val="TableGrid"/>
        <w:tblW w:w="0" w:type="auto"/>
        <w:tblLook w:val="04A0" w:firstRow="1" w:lastRow="0" w:firstColumn="1" w:lastColumn="0" w:noHBand="0" w:noVBand="1"/>
      </w:tblPr>
      <w:tblGrid>
        <w:gridCol w:w="764"/>
        <w:gridCol w:w="8387"/>
        <w:gridCol w:w="697"/>
      </w:tblGrid>
      <w:tr w:rsidR="00E30D6F" w:rsidRPr="001D1CD5" w14:paraId="1536EF14" w14:textId="77777777" w:rsidTr="004611A3">
        <w:trPr>
          <w:tblHeader/>
        </w:trPr>
        <w:tc>
          <w:tcPr>
            <w:tcW w:w="764" w:type="dxa"/>
          </w:tcPr>
          <w:p w14:paraId="56863FFD" w14:textId="77777777" w:rsidR="00E30D6F" w:rsidRPr="001D1CD5" w:rsidRDefault="00E30D6F" w:rsidP="00E30D6F">
            <w:pPr>
              <w:pStyle w:val="Body"/>
              <w:spacing w:after="120" w:line="276" w:lineRule="auto"/>
              <w:jc w:val="both"/>
              <w:rPr>
                <w:rFonts w:asciiTheme="minorHAnsi" w:eastAsia="Calibri" w:hAnsiTheme="minorHAnsi" w:cs="Calibri"/>
                <w:b/>
                <w:bCs/>
                <w:color w:val="451E51"/>
                <w:sz w:val="24"/>
                <w:szCs w:val="24"/>
                <w:u w:color="0070C0"/>
              </w:rPr>
            </w:pPr>
            <w:r w:rsidRPr="001D1CD5">
              <w:rPr>
                <w:rFonts w:asciiTheme="minorHAnsi" w:eastAsia="Calibri" w:hAnsiTheme="minorHAnsi" w:cs="Calibri"/>
                <w:b/>
                <w:bCs/>
                <w:color w:val="451E51"/>
                <w:sz w:val="24"/>
                <w:szCs w:val="24"/>
                <w:u w:color="0070C0"/>
              </w:rPr>
              <w:t>No.</w:t>
            </w:r>
          </w:p>
        </w:tc>
        <w:tc>
          <w:tcPr>
            <w:tcW w:w="8387" w:type="dxa"/>
          </w:tcPr>
          <w:p w14:paraId="7751BE6C" w14:textId="77777777" w:rsidR="00E30D6F" w:rsidRPr="001D1CD5" w:rsidRDefault="00E30D6F" w:rsidP="00E30D6F">
            <w:pPr>
              <w:pStyle w:val="Body"/>
              <w:spacing w:after="120" w:line="276" w:lineRule="auto"/>
              <w:jc w:val="both"/>
              <w:rPr>
                <w:rFonts w:asciiTheme="minorHAnsi" w:eastAsia="Calibri" w:hAnsiTheme="minorHAnsi" w:cs="Calibri"/>
                <w:b/>
                <w:bCs/>
                <w:color w:val="451E51"/>
                <w:sz w:val="24"/>
                <w:szCs w:val="24"/>
                <w:u w:color="0070C0"/>
              </w:rPr>
            </w:pPr>
            <w:r w:rsidRPr="001D1CD5">
              <w:rPr>
                <w:rFonts w:asciiTheme="minorHAnsi" w:eastAsia="Calibri" w:hAnsiTheme="minorHAnsi" w:cs="Calibri"/>
                <w:b/>
                <w:bCs/>
                <w:color w:val="451E51"/>
                <w:sz w:val="24"/>
                <w:szCs w:val="24"/>
                <w:u w:color="0070C0"/>
              </w:rPr>
              <w:t>Topic</w:t>
            </w:r>
          </w:p>
        </w:tc>
        <w:tc>
          <w:tcPr>
            <w:tcW w:w="697" w:type="dxa"/>
          </w:tcPr>
          <w:p w14:paraId="16033C8F" w14:textId="77777777" w:rsidR="00E30D6F" w:rsidRPr="001D1CD5" w:rsidRDefault="00E30D6F" w:rsidP="00E30D6F">
            <w:pPr>
              <w:pStyle w:val="Body"/>
              <w:spacing w:after="120" w:line="276" w:lineRule="auto"/>
              <w:jc w:val="both"/>
              <w:rPr>
                <w:rFonts w:asciiTheme="minorHAnsi" w:eastAsia="Calibri" w:hAnsiTheme="minorHAnsi" w:cs="Calibri"/>
                <w:b/>
                <w:bCs/>
                <w:color w:val="451E51"/>
                <w:sz w:val="24"/>
                <w:szCs w:val="24"/>
                <w:u w:color="0070C0"/>
              </w:rPr>
            </w:pPr>
            <w:r w:rsidRPr="001D1CD5">
              <w:rPr>
                <w:rFonts w:asciiTheme="minorHAnsi" w:eastAsia="Calibri" w:hAnsiTheme="minorHAnsi" w:cs="Calibri"/>
                <w:b/>
                <w:bCs/>
                <w:color w:val="451E51"/>
                <w:sz w:val="24"/>
                <w:szCs w:val="24"/>
                <w:u w:color="0070C0"/>
              </w:rPr>
              <w:t>Page</w:t>
            </w:r>
          </w:p>
        </w:tc>
      </w:tr>
      <w:tr w:rsidR="00E30D6F" w:rsidRPr="001D1CD5" w14:paraId="3C31106F" w14:textId="77777777" w:rsidTr="004611A3">
        <w:tc>
          <w:tcPr>
            <w:tcW w:w="764" w:type="dxa"/>
          </w:tcPr>
          <w:p w14:paraId="0BB7F8C0" w14:textId="197C7692" w:rsidR="00E30D6F" w:rsidRPr="001D1CD5" w:rsidRDefault="00E30D6F" w:rsidP="00174105">
            <w:pPr>
              <w:pStyle w:val="Body"/>
              <w:numPr>
                <w:ilvl w:val="0"/>
                <w:numId w:val="32"/>
              </w:numPr>
              <w:spacing w:after="120" w:line="276" w:lineRule="auto"/>
              <w:rPr>
                <w:rFonts w:asciiTheme="minorHAnsi" w:eastAsia="Calibri" w:hAnsiTheme="minorHAnsi" w:cs="Calibri"/>
                <w:b/>
                <w:bCs/>
                <w:color w:val="auto"/>
                <w:sz w:val="28"/>
                <w:szCs w:val="28"/>
                <w:u w:color="0070C0"/>
              </w:rPr>
            </w:pPr>
          </w:p>
        </w:tc>
        <w:tc>
          <w:tcPr>
            <w:tcW w:w="8387" w:type="dxa"/>
          </w:tcPr>
          <w:p w14:paraId="2BCE9B7E" w14:textId="743C2672" w:rsidR="00E30D6F" w:rsidRPr="001D1CD5" w:rsidRDefault="00B12300" w:rsidP="00E30D6F">
            <w:pPr>
              <w:pStyle w:val="Body"/>
              <w:spacing w:after="120" w:line="276" w:lineRule="auto"/>
              <w:rPr>
                <w:rFonts w:asciiTheme="minorHAnsi" w:eastAsia="Calibri" w:hAnsiTheme="minorHAnsi" w:cs="Calibri"/>
                <w:b/>
                <w:bCs/>
                <w:color w:val="auto"/>
                <w:sz w:val="28"/>
                <w:szCs w:val="28"/>
                <w:u w:color="0070C0"/>
              </w:rPr>
            </w:pPr>
            <w:r w:rsidRPr="001D1CD5">
              <w:rPr>
                <w:rFonts w:asciiTheme="minorHAnsi" w:eastAsia="Calibri" w:hAnsiTheme="minorHAnsi" w:cs="Calibri"/>
                <w:b/>
                <w:bCs/>
                <w:color w:val="auto"/>
                <w:sz w:val="28"/>
                <w:szCs w:val="28"/>
                <w:u w:color="0070C0"/>
              </w:rPr>
              <w:t>Executive summary</w:t>
            </w:r>
          </w:p>
        </w:tc>
        <w:tc>
          <w:tcPr>
            <w:tcW w:w="697" w:type="dxa"/>
          </w:tcPr>
          <w:p w14:paraId="302FFE07" w14:textId="217B82FD" w:rsidR="00E30D6F" w:rsidRPr="001D1CD5" w:rsidRDefault="008C3A95"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7</w:t>
            </w:r>
          </w:p>
        </w:tc>
      </w:tr>
      <w:tr w:rsidR="00E30D6F" w:rsidRPr="001D1CD5" w14:paraId="523B2C12" w14:textId="77777777" w:rsidTr="004611A3">
        <w:tc>
          <w:tcPr>
            <w:tcW w:w="764" w:type="dxa"/>
          </w:tcPr>
          <w:p w14:paraId="41504D83" w14:textId="4825E5C7" w:rsidR="00E30D6F" w:rsidRPr="001D1CD5" w:rsidRDefault="00E30D6F" w:rsidP="00174105">
            <w:pPr>
              <w:pStyle w:val="Body"/>
              <w:numPr>
                <w:ilvl w:val="0"/>
                <w:numId w:val="32"/>
              </w:numPr>
              <w:spacing w:after="120" w:line="276" w:lineRule="auto"/>
              <w:rPr>
                <w:rFonts w:asciiTheme="minorHAnsi" w:eastAsia="Calibri" w:hAnsiTheme="minorHAnsi" w:cs="Calibri"/>
                <w:b/>
                <w:bCs/>
                <w:color w:val="auto"/>
                <w:sz w:val="28"/>
                <w:szCs w:val="28"/>
                <w:u w:color="0070C0"/>
              </w:rPr>
            </w:pPr>
          </w:p>
        </w:tc>
        <w:tc>
          <w:tcPr>
            <w:tcW w:w="8387" w:type="dxa"/>
          </w:tcPr>
          <w:p w14:paraId="40BA769A" w14:textId="408DF90A" w:rsidR="00E30D6F" w:rsidRPr="001D1CD5" w:rsidRDefault="00532427" w:rsidP="00E30D6F">
            <w:pPr>
              <w:pStyle w:val="Body"/>
              <w:spacing w:after="120" w:line="276" w:lineRule="auto"/>
              <w:rPr>
                <w:rFonts w:asciiTheme="minorHAnsi" w:eastAsia="Calibri" w:hAnsiTheme="minorHAnsi" w:cs="Calibri"/>
                <w:b/>
                <w:bCs/>
                <w:color w:val="auto"/>
                <w:sz w:val="28"/>
                <w:szCs w:val="28"/>
                <w:u w:color="0070C0"/>
              </w:rPr>
            </w:pPr>
            <w:r w:rsidRPr="001D1CD5">
              <w:rPr>
                <w:rFonts w:asciiTheme="minorHAnsi" w:eastAsia="Calibri" w:hAnsiTheme="minorHAnsi" w:cs="Calibri"/>
                <w:b/>
                <w:bCs/>
                <w:color w:val="auto"/>
                <w:sz w:val="28"/>
                <w:szCs w:val="28"/>
                <w:u w:color="0070C0"/>
              </w:rPr>
              <w:t xml:space="preserve">Developments in Australia’s </w:t>
            </w:r>
            <w:proofErr w:type="spellStart"/>
            <w:r w:rsidRPr="001D1CD5">
              <w:rPr>
                <w:rFonts w:asciiTheme="minorHAnsi" w:eastAsia="Calibri" w:hAnsiTheme="minorHAnsi" w:cs="Calibri"/>
                <w:b/>
                <w:bCs/>
                <w:color w:val="auto"/>
                <w:sz w:val="28"/>
                <w:szCs w:val="28"/>
                <w:u w:color="0070C0"/>
              </w:rPr>
              <w:t>labour</w:t>
            </w:r>
            <w:proofErr w:type="spellEnd"/>
            <w:r w:rsidRPr="001D1CD5">
              <w:rPr>
                <w:rFonts w:asciiTheme="minorHAnsi" w:eastAsia="Calibri" w:hAnsiTheme="minorHAnsi" w:cs="Calibri"/>
                <w:b/>
                <w:bCs/>
                <w:color w:val="auto"/>
                <w:sz w:val="28"/>
                <w:szCs w:val="28"/>
                <w:u w:color="0070C0"/>
              </w:rPr>
              <w:t xml:space="preserve"> market</w:t>
            </w:r>
          </w:p>
        </w:tc>
        <w:tc>
          <w:tcPr>
            <w:tcW w:w="697" w:type="dxa"/>
          </w:tcPr>
          <w:p w14:paraId="4C64CDE2" w14:textId="1A5CE181" w:rsidR="00E30D6F" w:rsidRPr="001D1CD5" w:rsidRDefault="008C3A95"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8</w:t>
            </w:r>
          </w:p>
        </w:tc>
      </w:tr>
      <w:tr w:rsidR="00E30D6F" w:rsidRPr="001D1CD5" w14:paraId="13218B78" w14:textId="77777777" w:rsidTr="004611A3">
        <w:tc>
          <w:tcPr>
            <w:tcW w:w="764" w:type="dxa"/>
          </w:tcPr>
          <w:p w14:paraId="431687A1" w14:textId="4867B9D9" w:rsidR="00E30D6F" w:rsidRPr="001D1CD5" w:rsidRDefault="00E30D6F" w:rsidP="00174105">
            <w:pPr>
              <w:pStyle w:val="Body"/>
              <w:numPr>
                <w:ilvl w:val="0"/>
                <w:numId w:val="32"/>
              </w:numPr>
              <w:spacing w:after="120" w:line="276" w:lineRule="auto"/>
              <w:rPr>
                <w:rFonts w:asciiTheme="minorHAnsi" w:eastAsia="Calibri" w:hAnsiTheme="minorHAnsi" w:cs="Calibri"/>
                <w:bCs/>
                <w:color w:val="auto"/>
                <w:sz w:val="28"/>
                <w:szCs w:val="28"/>
                <w:u w:color="0070C0"/>
              </w:rPr>
            </w:pPr>
          </w:p>
        </w:tc>
        <w:tc>
          <w:tcPr>
            <w:tcW w:w="8387" w:type="dxa"/>
          </w:tcPr>
          <w:p w14:paraId="525E0434" w14:textId="3103E132" w:rsidR="00E30D6F" w:rsidRPr="001D1CD5" w:rsidRDefault="006426A0" w:rsidP="00E30D6F">
            <w:pPr>
              <w:pStyle w:val="Body"/>
              <w:spacing w:after="120" w:line="276" w:lineRule="auto"/>
              <w:rPr>
                <w:rFonts w:asciiTheme="minorHAnsi" w:eastAsia="Calibri" w:hAnsiTheme="minorHAnsi" w:cs="Calibri"/>
                <w:b/>
                <w:bCs/>
                <w:color w:val="auto"/>
                <w:sz w:val="28"/>
                <w:szCs w:val="28"/>
                <w:u w:color="0070C0"/>
              </w:rPr>
            </w:pPr>
            <w:r w:rsidRPr="001D1CD5">
              <w:rPr>
                <w:rFonts w:asciiTheme="minorHAnsi" w:eastAsia="Calibri" w:hAnsiTheme="minorHAnsi" w:cs="Calibri"/>
                <w:b/>
                <w:bCs/>
                <w:color w:val="auto"/>
                <w:sz w:val="28"/>
                <w:szCs w:val="28"/>
                <w:u w:color="0070C0"/>
              </w:rPr>
              <w:t>Institutions</w:t>
            </w:r>
          </w:p>
        </w:tc>
        <w:tc>
          <w:tcPr>
            <w:tcW w:w="697" w:type="dxa"/>
          </w:tcPr>
          <w:p w14:paraId="7BD41B20" w14:textId="6C8345CC" w:rsidR="00E30D6F" w:rsidRPr="001D1CD5" w:rsidRDefault="00A3724D"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10</w:t>
            </w:r>
          </w:p>
        </w:tc>
      </w:tr>
      <w:tr w:rsidR="008C3A95" w:rsidRPr="001D1CD5" w14:paraId="0F91F065" w14:textId="77777777" w:rsidTr="004611A3">
        <w:tc>
          <w:tcPr>
            <w:tcW w:w="764" w:type="dxa"/>
          </w:tcPr>
          <w:p w14:paraId="29B35807" w14:textId="63320102" w:rsidR="008C3A95" w:rsidRPr="008C3A95" w:rsidRDefault="008C3A95" w:rsidP="008C3A95">
            <w:pPr>
              <w:pStyle w:val="Body"/>
              <w:spacing w:after="120" w:line="276" w:lineRule="auto"/>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3.1</w:t>
            </w:r>
          </w:p>
        </w:tc>
        <w:tc>
          <w:tcPr>
            <w:tcW w:w="8387" w:type="dxa"/>
          </w:tcPr>
          <w:p w14:paraId="6044D5C3" w14:textId="55122C89" w:rsidR="008C3A95" w:rsidRPr="008C3A95" w:rsidRDefault="008C3A95" w:rsidP="00E30D6F">
            <w:pPr>
              <w:pStyle w:val="Body"/>
              <w:spacing w:after="120" w:line="276" w:lineRule="auto"/>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 xml:space="preserve">Structure of the </w:t>
            </w:r>
            <w:proofErr w:type="spellStart"/>
            <w:r>
              <w:rPr>
                <w:rFonts w:asciiTheme="minorHAnsi" w:eastAsia="Calibri" w:hAnsiTheme="minorHAnsi" w:cs="Calibri"/>
                <w:bCs/>
                <w:color w:val="auto"/>
                <w:sz w:val="24"/>
                <w:szCs w:val="24"/>
                <w:u w:color="0070C0"/>
              </w:rPr>
              <w:t>FWC</w:t>
            </w:r>
            <w:proofErr w:type="spellEnd"/>
          </w:p>
        </w:tc>
        <w:tc>
          <w:tcPr>
            <w:tcW w:w="697" w:type="dxa"/>
          </w:tcPr>
          <w:p w14:paraId="4BC99625" w14:textId="0978875D" w:rsidR="008C3A95" w:rsidRPr="008C3A95" w:rsidRDefault="00A3724D"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10</w:t>
            </w:r>
          </w:p>
        </w:tc>
      </w:tr>
      <w:tr w:rsidR="008C3A95" w:rsidRPr="001D1CD5" w14:paraId="30DD73C4" w14:textId="77777777" w:rsidTr="004611A3">
        <w:tc>
          <w:tcPr>
            <w:tcW w:w="764" w:type="dxa"/>
          </w:tcPr>
          <w:p w14:paraId="28C0DB48" w14:textId="105D8511" w:rsidR="008C3A95" w:rsidRPr="008C3A95" w:rsidRDefault="008C3A95" w:rsidP="008C3A95">
            <w:pPr>
              <w:pStyle w:val="Body"/>
              <w:spacing w:after="120" w:line="276" w:lineRule="auto"/>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3.2</w:t>
            </w:r>
          </w:p>
        </w:tc>
        <w:tc>
          <w:tcPr>
            <w:tcW w:w="8387" w:type="dxa"/>
          </w:tcPr>
          <w:p w14:paraId="09A91BEC" w14:textId="73CFC253" w:rsidR="008C3A95" w:rsidRPr="008C3A95" w:rsidRDefault="008C3A95" w:rsidP="00E30D6F">
            <w:pPr>
              <w:pStyle w:val="Body"/>
              <w:spacing w:after="120" w:line="276" w:lineRule="auto"/>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 xml:space="preserve">Five year terms and the appointment process for </w:t>
            </w:r>
            <w:proofErr w:type="spellStart"/>
            <w:r>
              <w:rPr>
                <w:rFonts w:asciiTheme="minorHAnsi" w:eastAsia="Calibri" w:hAnsiTheme="minorHAnsi" w:cs="Calibri"/>
                <w:bCs/>
                <w:color w:val="auto"/>
                <w:sz w:val="24"/>
                <w:szCs w:val="24"/>
                <w:u w:color="0070C0"/>
              </w:rPr>
              <w:t>FWC</w:t>
            </w:r>
            <w:proofErr w:type="spellEnd"/>
            <w:r>
              <w:rPr>
                <w:rFonts w:asciiTheme="minorHAnsi" w:eastAsia="Calibri" w:hAnsiTheme="minorHAnsi" w:cs="Calibri"/>
                <w:bCs/>
                <w:color w:val="auto"/>
                <w:sz w:val="24"/>
                <w:szCs w:val="24"/>
                <w:u w:color="0070C0"/>
              </w:rPr>
              <w:t xml:space="preserve"> Members</w:t>
            </w:r>
          </w:p>
        </w:tc>
        <w:tc>
          <w:tcPr>
            <w:tcW w:w="697" w:type="dxa"/>
          </w:tcPr>
          <w:p w14:paraId="37A0DA24" w14:textId="045EE244" w:rsidR="008C3A95" w:rsidRPr="008C3A95" w:rsidRDefault="008C3A95"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11</w:t>
            </w:r>
          </w:p>
        </w:tc>
      </w:tr>
      <w:tr w:rsidR="008C3A95" w:rsidRPr="001D1CD5" w14:paraId="21C23FDB" w14:textId="77777777" w:rsidTr="004611A3">
        <w:tc>
          <w:tcPr>
            <w:tcW w:w="764" w:type="dxa"/>
          </w:tcPr>
          <w:p w14:paraId="5DD40E0D" w14:textId="6EC6A0C2" w:rsidR="008C3A95" w:rsidRPr="008C3A95" w:rsidRDefault="008C3A95" w:rsidP="008C3A95">
            <w:pPr>
              <w:pStyle w:val="Body"/>
              <w:spacing w:after="120" w:line="276" w:lineRule="auto"/>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3.3</w:t>
            </w:r>
          </w:p>
        </w:tc>
        <w:tc>
          <w:tcPr>
            <w:tcW w:w="8387" w:type="dxa"/>
          </w:tcPr>
          <w:p w14:paraId="2B2BFB4A" w14:textId="1A6DB46B" w:rsidR="008C3A95" w:rsidRPr="008C3A95" w:rsidRDefault="008C3A95" w:rsidP="00E30D6F">
            <w:pPr>
              <w:pStyle w:val="Body"/>
              <w:spacing w:after="120" w:line="276" w:lineRule="auto"/>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Improving conciliation processes and transparency</w:t>
            </w:r>
          </w:p>
        </w:tc>
        <w:tc>
          <w:tcPr>
            <w:tcW w:w="697" w:type="dxa"/>
          </w:tcPr>
          <w:p w14:paraId="5154154E" w14:textId="7DAF3C97" w:rsidR="008C3A95" w:rsidRPr="008C3A95" w:rsidRDefault="008C3A95"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12</w:t>
            </w:r>
          </w:p>
        </w:tc>
      </w:tr>
      <w:tr w:rsidR="00E30D6F" w:rsidRPr="001D1CD5" w14:paraId="19C28B22" w14:textId="77777777" w:rsidTr="004611A3">
        <w:tc>
          <w:tcPr>
            <w:tcW w:w="764" w:type="dxa"/>
          </w:tcPr>
          <w:p w14:paraId="08F04334" w14:textId="310D15B7" w:rsidR="00E30D6F" w:rsidRPr="001D1CD5" w:rsidRDefault="00E30D6F" w:rsidP="00174105">
            <w:pPr>
              <w:pStyle w:val="Body"/>
              <w:numPr>
                <w:ilvl w:val="0"/>
                <w:numId w:val="32"/>
              </w:numPr>
              <w:spacing w:after="120" w:line="276" w:lineRule="auto"/>
              <w:rPr>
                <w:rFonts w:asciiTheme="minorHAnsi" w:eastAsia="Calibri" w:hAnsiTheme="minorHAnsi" w:cs="Calibri"/>
                <w:b/>
                <w:bCs/>
                <w:color w:val="auto"/>
                <w:sz w:val="28"/>
                <w:szCs w:val="28"/>
                <w:u w:color="0070C0"/>
              </w:rPr>
            </w:pPr>
          </w:p>
        </w:tc>
        <w:tc>
          <w:tcPr>
            <w:tcW w:w="8387" w:type="dxa"/>
          </w:tcPr>
          <w:p w14:paraId="044ED5BF" w14:textId="22502745" w:rsidR="00E30D6F" w:rsidRPr="001D1CD5" w:rsidRDefault="00C943B8" w:rsidP="00E30D6F">
            <w:pPr>
              <w:pStyle w:val="Body"/>
              <w:spacing w:after="120" w:line="276" w:lineRule="auto"/>
              <w:rPr>
                <w:rFonts w:asciiTheme="minorHAnsi" w:eastAsia="Calibri" w:hAnsiTheme="minorHAnsi" w:cs="Calibri"/>
                <w:b/>
                <w:bCs/>
                <w:color w:val="auto"/>
                <w:sz w:val="28"/>
                <w:szCs w:val="28"/>
                <w:u w:color="0070C0"/>
              </w:rPr>
            </w:pPr>
            <w:r w:rsidRPr="001D1CD5">
              <w:rPr>
                <w:rFonts w:asciiTheme="minorHAnsi" w:eastAsia="Calibri" w:hAnsiTheme="minorHAnsi" w:cs="Calibri"/>
                <w:b/>
                <w:bCs/>
                <w:color w:val="auto"/>
                <w:sz w:val="28"/>
                <w:szCs w:val="28"/>
                <w:u w:color="0070C0"/>
              </w:rPr>
              <w:t>National Employment Standards</w:t>
            </w:r>
          </w:p>
        </w:tc>
        <w:tc>
          <w:tcPr>
            <w:tcW w:w="697" w:type="dxa"/>
          </w:tcPr>
          <w:p w14:paraId="5F6AA82C" w14:textId="46B4773F" w:rsidR="00E30D6F" w:rsidRPr="001D1CD5" w:rsidRDefault="008C3A95"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13</w:t>
            </w:r>
          </w:p>
        </w:tc>
      </w:tr>
      <w:tr w:rsidR="00C943B8" w:rsidRPr="001D1CD5" w14:paraId="435ECAF5" w14:textId="77777777" w:rsidTr="004611A3">
        <w:tc>
          <w:tcPr>
            <w:tcW w:w="764" w:type="dxa"/>
          </w:tcPr>
          <w:p w14:paraId="74107A5F" w14:textId="7F6B4770" w:rsidR="00C943B8" w:rsidRPr="001D1CD5" w:rsidRDefault="00DF4FAE" w:rsidP="00C943B8">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4.1</w:t>
            </w:r>
          </w:p>
        </w:tc>
        <w:tc>
          <w:tcPr>
            <w:tcW w:w="8387" w:type="dxa"/>
          </w:tcPr>
          <w:p w14:paraId="37338DAA" w14:textId="241DB3E5" w:rsidR="00C943B8" w:rsidRPr="001D1CD5" w:rsidRDefault="00DF4FAE" w:rsidP="00E30D6F">
            <w:pPr>
              <w:pStyle w:val="Body"/>
              <w:spacing w:after="120" w:line="276" w:lineRule="auto"/>
              <w:rPr>
                <w:rFonts w:asciiTheme="minorHAnsi" w:eastAsia="Calibri" w:hAnsiTheme="minorHAnsi" w:cs="Calibri"/>
                <w:b/>
                <w:bCs/>
                <w:color w:val="auto"/>
                <w:sz w:val="24"/>
                <w:szCs w:val="24"/>
                <w:u w:color="0070C0"/>
              </w:rPr>
            </w:pPr>
            <w:r w:rsidRPr="001D1CD5">
              <w:rPr>
                <w:rFonts w:asciiTheme="minorHAnsi" w:eastAsia="Calibri" w:hAnsiTheme="minorHAnsi" w:cs="Calibri"/>
                <w:color w:val="auto"/>
                <w:sz w:val="24"/>
                <w:szCs w:val="24"/>
              </w:rPr>
              <w:t>Portability of long service leave entitlements</w:t>
            </w:r>
          </w:p>
        </w:tc>
        <w:tc>
          <w:tcPr>
            <w:tcW w:w="697" w:type="dxa"/>
          </w:tcPr>
          <w:p w14:paraId="4FCE960A" w14:textId="144F989C" w:rsidR="00C943B8" w:rsidRPr="001D1CD5" w:rsidRDefault="008C3A95"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13</w:t>
            </w:r>
          </w:p>
        </w:tc>
      </w:tr>
      <w:tr w:rsidR="00C943B8" w:rsidRPr="001D1CD5" w14:paraId="4EC8B360" w14:textId="77777777" w:rsidTr="004611A3">
        <w:tc>
          <w:tcPr>
            <w:tcW w:w="764" w:type="dxa"/>
          </w:tcPr>
          <w:p w14:paraId="7A2768EF" w14:textId="51A09B02" w:rsidR="00C943B8" w:rsidRPr="001D1CD5" w:rsidRDefault="00DF4FAE" w:rsidP="00C943B8">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4.2</w:t>
            </w:r>
          </w:p>
        </w:tc>
        <w:tc>
          <w:tcPr>
            <w:tcW w:w="8387" w:type="dxa"/>
          </w:tcPr>
          <w:p w14:paraId="54F18685" w14:textId="5AC2D4D1" w:rsidR="00C943B8" w:rsidRPr="001D1CD5" w:rsidRDefault="00DF4FAE" w:rsidP="00E30D6F">
            <w:pPr>
              <w:pStyle w:val="Body"/>
              <w:spacing w:after="120" w:line="276" w:lineRule="auto"/>
              <w:rPr>
                <w:rFonts w:asciiTheme="minorHAnsi" w:eastAsia="Calibri" w:hAnsiTheme="minorHAnsi" w:cs="Calibri"/>
                <w:b/>
                <w:bCs/>
                <w:color w:val="auto"/>
                <w:sz w:val="24"/>
                <w:szCs w:val="24"/>
                <w:u w:color="0070C0"/>
              </w:rPr>
            </w:pPr>
            <w:r w:rsidRPr="001D1CD5">
              <w:rPr>
                <w:rFonts w:asciiTheme="minorHAnsi" w:eastAsia="Calibri" w:hAnsiTheme="minorHAnsi" w:cs="Calibri"/>
                <w:color w:val="auto"/>
                <w:sz w:val="24"/>
                <w:szCs w:val="24"/>
              </w:rPr>
              <w:t>Towards a national uniform long service leave standard</w:t>
            </w:r>
          </w:p>
        </w:tc>
        <w:tc>
          <w:tcPr>
            <w:tcW w:w="697" w:type="dxa"/>
          </w:tcPr>
          <w:p w14:paraId="50C27328" w14:textId="21BFFD8D" w:rsidR="00C943B8" w:rsidRPr="001D1CD5" w:rsidRDefault="00A3724D"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15</w:t>
            </w:r>
          </w:p>
        </w:tc>
      </w:tr>
      <w:tr w:rsidR="00C943B8" w:rsidRPr="001D1CD5" w14:paraId="696CEBAA" w14:textId="77777777" w:rsidTr="004611A3">
        <w:tc>
          <w:tcPr>
            <w:tcW w:w="764" w:type="dxa"/>
          </w:tcPr>
          <w:p w14:paraId="175E43C8" w14:textId="19677737" w:rsidR="00C943B8" w:rsidRPr="001D1CD5" w:rsidRDefault="00DF4FAE" w:rsidP="00C943B8">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4.3</w:t>
            </w:r>
          </w:p>
        </w:tc>
        <w:tc>
          <w:tcPr>
            <w:tcW w:w="8387" w:type="dxa"/>
          </w:tcPr>
          <w:p w14:paraId="165B0BFA" w14:textId="172E0001" w:rsidR="00C943B8" w:rsidRPr="001D1CD5" w:rsidRDefault="00DF4FAE" w:rsidP="00E30D6F">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Public holidays</w:t>
            </w:r>
          </w:p>
        </w:tc>
        <w:tc>
          <w:tcPr>
            <w:tcW w:w="697" w:type="dxa"/>
          </w:tcPr>
          <w:p w14:paraId="3DE731C3" w14:textId="74736123" w:rsidR="00C943B8" w:rsidRPr="001D1CD5" w:rsidRDefault="00A3724D"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16</w:t>
            </w:r>
          </w:p>
        </w:tc>
      </w:tr>
      <w:tr w:rsidR="00C943B8" w:rsidRPr="001D1CD5" w14:paraId="417C88CB" w14:textId="77777777" w:rsidTr="004611A3">
        <w:tc>
          <w:tcPr>
            <w:tcW w:w="764" w:type="dxa"/>
          </w:tcPr>
          <w:p w14:paraId="1299D332" w14:textId="04E71074" w:rsidR="00C943B8" w:rsidRPr="001D1CD5" w:rsidRDefault="00DF4FAE" w:rsidP="00C943B8">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4.4</w:t>
            </w:r>
          </w:p>
        </w:tc>
        <w:tc>
          <w:tcPr>
            <w:tcW w:w="8387" w:type="dxa"/>
          </w:tcPr>
          <w:p w14:paraId="3247D100" w14:textId="5CAA1B52" w:rsidR="00C943B8" w:rsidRPr="001D1CD5" w:rsidRDefault="00DF4FAE" w:rsidP="00E30D6F">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Do workers get enough leave?</w:t>
            </w:r>
          </w:p>
        </w:tc>
        <w:tc>
          <w:tcPr>
            <w:tcW w:w="697" w:type="dxa"/>
          </w:tcPr>
          <w:p w14:paraId="0829AA72" w14:textId="0BA11B55" w:rsidR="00C943B8" w:rsidRPr="001D1CD5" w:rsidRDefault="008C3A95"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16</w:t>
            </w:r>
          </w:p>
        </w:tc>
      </w:tr>
      <w:tr w:rsidR="00C943B8" w:rsidRPr="001D1CD5" w14:paraId="0DB994A2" w14:textId="77777777" w:rsidTr="004611A3">
        <w:tc>
          <w:tcPr>
            <w:tcW w:w="764" w:type="dxa"/>
          </w:tcPr>
          <w:p w14:paraId="1A6AD822" w14:textId="2F6EE8B1" w:rsidR="00C943B8" w:rsidRPr="001D1CD5" w:rsidRDefault="00DF4FAE" w:rsidP="00C943B8">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4.5</w:t>
            </w:r>
          </w:p>
        </w:tc>
        <w:tc>
          <w:tcPr>
            <w:tcW w:w="8387" w:type="dxa"/>
          </w:tcPr>
          <w:p w14:paraId="0FF24BD9" w14:textId="1F320302" w:rsidR="00C943B8" w:rsidRPr="001D1CD5" w:rsidRDefault="00DF4FAE" w:rsidP="00E30D6F">
            <w:pPr>
              <w:pStyle w:val="Body"/>
              <w:spacing w:after="120" w:line="276" w:lineRule="auto"/>
              <w:rPr>
                <w:rFonts w:asciiTheme="minorHAnsi" w:eastAsia="Calibri" w:hAnsiTheme="minorHAnsi" w:cs="Calibri"/>
                <w:b/>
                <w:bCs/>
                <w:color w:val="auto"/>
                <w:sz w:val="24"/>
                <w:szCs w:val="24"/>
                <w:u w:color="0070C0"/>
              </w:rPr>
            </w:pPr>
            <w:r w:rsidRPr="001D1CD5">
              <w:rPr>
                <w:rFonts w:asciiTheme="minorHAnsi" w:eastAsia="Calibri" w:hAnsiTheme="minorHAnsi" w:cs="Calibri"/>
                <w:color w:val="auto"/>
                <w:sz w:val="24"/>
                <w:szCs w:val="24"/>
              </w:rPr>
              <w:t>Sick and annual leave for casual workers</w:t>
            </w:r>
          </w:p>
        </w:tc>
        <w:tc>
          <w:tcPr>
            <w:tcW w:w="697" w:type="dxa"/>
          </w:tcPr>
          <w:p w14:paraId="5D547FD9" w14:textId="3EA25289" w:rsidR="00C943B8" w:rsidRPr="001D1CD5" w:rsidRDefault="008C3A95"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16</w:t>
            </w:r>
          </w:p>
        </w:tc>
      </w:tr>
      <w:tr w:rsidR="00C943B8" w:rsidRPr="001D1CD5" w14:paraId="3068387A" w14:textId="77777777" w:rsidTr="004611A3">
        <w:tc>
          <w:tcPr>
            <w:tcW w:w="764" w:type="dxa"/>
          </w:tcPr>
          <w:p w14:paraId="2387B470" w14:textId="4E2A591F" w:rsidR="00C943B8" w:rsidRPr="001D1CD5" w:rsidRDefault="00C943B8" w:rsidP="00C943B8">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4.6</w:t>
            </w:r>
          </w:p>
        </w:tc>
        <w:tc>
          <w:tcPr>
            <w:tcW w:w="8387" w:type="dxa"/>
          </w:tcPr>
          <w:p w14:paraId="2821FF43" w14:textId="294B7092" w:rsidR="00C943B8" w:rsidRPr="001D1CD5" w:rsidRDefault="00C943B8" w:rsidP="00E30D6F">
            <w:pPr>
              <w:pStyle w:val="Body"/>
              <w:spacing w:after="120" w:line="276" w:lineRule="auto"/>
              <w:rPr>
                <w:rFonts w:asciiTheme="minorHAnsi" w:eastAsia="Calibri" w:hAnsiTheme="minorHAnsi" w:cs="Calibri"/>
                <w:b/>
                <w:bCs/>
                <w:color w:val="auto"/>
                <w:sz w:val="24"/>
                <w:szCs w:val="24"/>
                <w:u w:color="0070C0"/>
              </w:rPr>
            </w:pPr>
            <w:r w:rsidRPr="001D1CD5">
              <w:rPr>
                <w:rFonts w:asciiTheme="minorHAnsi" w:eastAsia="Calibri" w:hAnsiTheme="minorHAnsi" w:cs="Calibri"/>
                <w:color w:val="auto"/>
                <w:sz w:val="24"/>
                <w:szCs w:val="24"/>
              </w:rPr>
              <w:t xml:space="preserve">Major drafting problems with the leave provisions of the </w:t>
            </w:r>
            <w:proofErr w:type="spellStart"/>
            <w:r w:rsidRPr="001D1CD5">
              <w:rPr>
                <w:rFonts w:asciiTheme="minorHAnsi" w:eastAsia="Calibri" w:hAnsiTheme="minorHAnsi" w:cs="Calibri"/>
                <w:color w:val="auto"/>
                <w:sz w:val="24"/>
                <w:szCs w:val="24"/>
              </w:rPr>
              <w:t>NES</w:t>
            </w:r>
            <w:proofErr w:type="spellEnd"/>
            <w:r w:rsidRPr="001D1CD5">
              <w:rPr>
                <w:rFonts w:asciiTheme="minorHAnsi" w:eastAsia="Calibri" w:hAnsiTheme="minorHAnsi" w:cs="Calibri"/>
                <w:color w:val="auto"/>
                <w:sz w:val="24"/>
                <w:szCs w:val="24"/>
              </w:rPr>
              <w:t xml:space="preserve"> which are creating huge problems for employers</w:t>
            </w:r>
          </w:p>
        </w:tc>
        <w:tc>
          <w:tcPr>
            <w:tcW w:w="697" w:type="dxa"/>
          </w:tcPr>
          <w:p w14:paraId="3B4A6743" w14:textId="51600142" w:rsidR="00C943B8" w:rsidRPr="001D1CD5" w:rsidRDefault="00A3724D"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17</w:t>
            </w:r>
          </w:p>
        </w:tc>
      </w:tr>
      <w:tr w:rsidR="00E30D6F" w:rsidRPr="001D1CD5" w14:paraId="4E1FFF32" w14:textId="77777777" w:rsidTr="004611A3">
        <w:tc>
          <w:tcPr>
            <w:tcW w:w="764" w:type="dxa"/>
          </w:tcPr>
          <w:p w14:paraId="57606773" w14:textId="3B7F6730" w:rsidR="00E30D6F" w:rsidRPr="001D1CD5" w:rsidRDefault="00E30D6F" w:rsidP="00174105">
            <w:pPr>
              <w:pStyle w:val="Body"/>
              <w:numPr>
                <w:ilvl w:val="0"/>
                <w:numId w:val="32"/>
              </w:numPr>
              <w:spacing w:after="120" w:line="276" w:lineRule="auto"/>
              <w:rPr>
                <w:rFonts w:asciiTheme="minorHAnsi" w:eastAsia="Calibri" w:hAnsiTheme="minorHAnsi" w:cs="Calibri"/>
                <w:bCs/>
                <w:color w:val="auto"/>
                <w:sz w:val="24"/>
                <w:szCs w:val="24"/>
                <w:u w:color="0070C0"/>
              </w:rPr>
            </w:pPr>
          </w:p>
        </w:tc>
        <w:tc>
          <w:tcPr>
            <w:tcW w:w="8387" w:type="dxa"/>
          </w:tcPr>
          <w:p w14:paraId="286D8749" w14:textId="26B46022" w:rsidR="00E30D6F" w:rsidRPr="001D1CD5" w:rsidRDefault="002D0AC7" w:rsidP="00E30D6F">
            <w:pPr>
              <w:pStyle w:val="Body"/>
              <w:spacing w:after="120" w:line="276" w:lineRule="auto"/>
              <w:rPr>
                <w:rFonts w:asciiTheme="minorHAnsi" w:eastAsia="Calibri" w:hAnsiTheme="minorHAnsi" w:cs="Calibri"/>
                <w:b/>
                <w:bCs/>
                <w:color w:val="auto"/>
                <w:sz w:val="28"/>
                <w:szCs w:val="28"/>
                <w:u w:color="0070C0"/>
              </w:rPr>
            </w:pPr>
            <w:r w:rsidRPr="001D1CD5">
              <w:rPr>
                <w:rFonts w:asciiTheme="minorHAnsi" w:eastAsia="Calibri" w:hAnsiTheme="minorHAnsi" w:cs="Calibri"/>
                <w:b/>
                <w:bCs/>
                <w:color w:val="auto"/>
                <w:sz w:val="28"/>
                <w:szCs w:val="28"/>
                <w:u w:color="0070C0"/>
              </w:rPr>
              <w:t>Unfair dismissal</w:t>
            </w:r>
          </w:p>
        </w:tc>
        <w:tc>
          <w:tcPr>
            <w:tcW w:w="697" w:type="dxa"/>
          </w:tcPr>
          <w:p w14:paraId="0CEBD390" w14:textId="01A9AA6A" w:rsidR="00E30D6F" w:rsidRPr="001D1CD5" w:rsidRDefault="009C01C3"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20</w:t>
            </w:r>
          </w:p>
        </w:tc>
      </w:tr>
      <w:tr w:rsidR="002D0AC7" w:rsidRPr="001D1CD5" w14:paraId="12985B14" w14:textId="77777777" w:rsidTr="004611A3">
        <w:tc>
          <w:tcPr>
            <w:tcW w:w="764" w:type="dxa"/>
          </w:tcPr>
          <w:p w14:paraId="539C4E79" w14:textId="3CEE8006" w:rsidR="002D0AC7" w:rsidRPr="001D1CD5" w:rsidRDefault="002D0AC7" w:rsidP="002D0AC7">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5.1</w:t>
            </w:r>
          </w:p>
        </w:tc>
        <w:tc>
          <w:tcPr>
            <w:tcW w:w="8387" w:type="dxa"/>
          </w:tcPr>
          <w:p w14:paraId="2E7B4E5A" w14:textId="22AABA27" w:rsidR="002D0AC7" w:rsidRPr="001D1CD5" w:rsidRDefault="002D0AC7" w:rsidP="00E30D6F">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color w:val="auto"/>
                <w:sz w:val="24"/>
                <w:szCs w:val="24"/>
              </w:rPr>
              <w:t>Lodgment fees</w:t>
            </w:r>
          </w:p>
        </w:tc>
        <w:tc>
          <w:tcPr>
            <w:tcW w:w="697" w:type="dxa"/>
          </w:tcPr>
          <w:p w14:paraId="4B7996BB" w14:textId="2B3E0AA6" w:rsidR="002D0AC7" w:rsidRPr="001D1CD5" w:rsidRDefault="009C01C3"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20</w:t>
            </w:r>
          </w:p>
        </w:tc>
      </w:tr>
      <w:tr w:rsidR="002D0AC7" w:rsidRPr="001D1CD5" w14:paraId="76CC7EC8" w14:textId="77777777" w:rsidTr="004611A3">
        <w:tc>
          <w:tcPr>
            <w:tcW w:w="764" w:type="dxa"/>
          </w:tcPr>
          <w:p w14:paraId="59981DEF" w14:textId="24B240C5" w:rsidR="002D0AC7" w:rsidRPr="001D1CD5" w:rsidRDefault="002D0AC7" w:rsidP="002D0AC7">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5.2</w:t>
            </w:r>
          </w:p>
        </w:tc>
        <w:tc>
          <w:tcPr>
            <w:tcW w:w="8387" w:type="dxa"/>
          </w:tcPr>
          <w:p w14:paraId="3BC12E92" w14:textId="470519ED" w:rsidR="002D0AC7" w:rsidRPr="001D1CD5" w:rsidRDefault="002D0AC7" w:rsidP="00E30D6F">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color w:val="auto"/>
                <w:sz w:val="24"/>
                <w:szCs w:val="24"/>
              </w:rPr>
              <w:t>Consideration of applications “on the pa</w:t>
            </w:r>
            <w:r w:rsidR="009C01C3">
              <w:rPr>
                <w:rFonts w:asciiTheme="minorHAnsi" w:eastAsia="Calibri" w:hAnsiTheme="minorHAnsi" w:cs="Calibri"/>
                <w:color w:val="auto"/>
                <w:sz w:val="24"/>
                <w:szCs w:val="24"/>
              </w:rPr>
              <w:t>pers” or via a more merit focus</w:t>
            </w:r>
            <w:r w:rsidRPr="001D1CD5">
              <w:rPr>
                <w:rFonts w:asciiTheme="minorHAnsi" w:eastAsia="Calibri" w:hAnsiTheme="minorHAnsi" w:cs="Calibri"/>
                <w:color w:val="auto"/>
                <w:sz w:val="24"/>
                <w:szCs w:val="24"/>
              </w:rPr>
              <w:t>ed conciliation process</w:t>
            </w:r>
          </w:p>
        </w:tc>
        <w:tc>
          <w:tcPr>
            <w:tcW w:w="697" w:type="dxa"/>
          </w:tcPr>
          <w:p w14:paraId="7D245B38" w14:textId="4C01E353" w:rsidR="002D0AC7" w:rsidRPr="001D1CD5" w:rsidRDefault="008C3A95"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20</w:t>
            </w:r>
          </w:p>
        </w:tc>
      </w:tr>
      <w:tr w:rsidR="002D0AC7" w:rsidRPr="001D1CD5" w14:paraId="7D696952" w14:textId="77777777" w:rsidTr="004611A3">
        <w:tc>
          <w:tcPr>
            <w:tcW w:w="764" w:type="dxa"/>
          </w:tcPr>
          <w:p w14:paraId="6FBE2B2D" w14:textId="656B9031" w:rsidR="002D0AC7" w:rsidRPr="001D1CD5" w:rsidRDefault="002D0AC7" w:rsidP="002D0AC7">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5.3</w:t>
            </w:r>
          </w:p>
        </w:tc>
        <w:tc>
          <w:tcPr>
            <w:tcW w:w="8387" w:type="dxa"/>
          </w:tcPr>
          <w:p w14:paraId="6D8B4246" w14:textId="200147D7" w:rsidR="002D0AC7" w:rsidRPr="001D1CD5" w:rsidRDefault="002D0AC7" w:rsidP="00E30D6F">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color w:val="auto"/>
                <w:sz w:val="24"/>
                <w:szCs w:val="24"/>
              </w:rPr>
              <w:t>The balance between procedural and substantive issues</w:t>
            </w:r>
          </w:p>
        </w:tc>
        <w:tc>
          <w:tcPr>
            <w:tcW w:w="697" w:type="dxa"/>
          </w:tcPr>
          <w:p w14:paraId="127A6B0C" w14:textId="7F7AC230" w:rsidR="002D0AC7" w:rsidRPr="001D1CD5" w:rsidRDefault="008C3A95"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20</w:t>
            </w:r>
          </w:p>
        </w:tc>
      </w:tr>
      <w:tr w:rsidR="002D0AC7" w:rsidRPr="001D1CD5" w14:paraId="5E389D11" w14:textId="77777777" w:rsidTr="004611A3">
        <w:tc>
          <w:tcPr>
            <w:tcW w:w="764" w:type="dxa"/>
          </w:tcPr>
          <w:p w14:paraId="4FFA774F" w14:textId="6A87A4B4" w:rsidR="002D0AC7" w:rsidRPr="001D1CD5" w:rsidRDefault="002D0AC7" w:rsidP="002D0AC7">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5.4</w:t>
            </w:r>
          </w:p>
        </w:tc>
        <w:tc>
          <w:tcPr>
            <w:tcW w:w="8387" w:type="dxa"/>
          </w:tcPr>
          <w:p w14:paraId="56BFE997" w14:textId="05EE79B6" w:rsidR="002D0AC7" w:rsidRPr="001D1CD5" w:rsidRDefault="002D0AC7" w:rsidP="00E30D6F">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color w:val="auto"/>
                <w:sz w:val="24"/>
                <w:szCs w:val="24"/>
              </w:rPr>
              <w:t>The removal of reinstatement as the primary remedy</w:t>
            </w:r>
          </w:p>
        </w:tc>
        <w:tc>
          <w:tcPr>
            <w:tcW w:w="697" w:type="dxa"/>
          </w:tcPr>
          <w:p w14:paraId="1B71222B" w14:textId="23789FE1" w:rsidR="002D0AC7" w:rsidRPr="001D1CD5" w:rsidRDefault="008C3A95"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21</w:t>
            </w:r>
          </w:p>
        </w:tc>
      </w:tr>
      <w:tr w:rsidR="002D0AC7" w:rsidRPr="001D1CD5" w14:paraId="2108316B" w14:textId="77777777" w:rsidTr="004611A3">
        <w:tc>
          <w:tcPr>
            <w:tcW w:w="764" w:type="dxa"/>
          </w:tcPr>
          <w:p w14:paraId="0B0CE371" w14:textId="70C685B9" w:rsidR="002D0AC7" w:rsidRPr="001D1CD5" w:rsidRDefault="002D0AC7" w:rsidP="002D0AC7">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5.5</w:t>
            </w:r>
          </w:p>
        </w:tc>
        <w:tc>
          <w:tcPr>
            <w:tcW w:w="8387" w:type="dxa"/>
          </w:tcPr>
          <w:p w14:paraId="087E1928" w14:textId="62090C4F" w:rsidR="002D0AC7" w:rsidRPr="001D1CD5" w:rsidRDefault="002D0AC7" w:rsidP="00E30D6F">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color w:val="auto"/>
                <w:sz w:val="24"/>
                <w:szCs w:val="24"/>
              </w:rPr>
              <w:t>Small Business Fair Dismissal Code</w:t>
            </w:r>
          </w:p>
        </w:tc>
        <w:tc>
          <w:tcPr>
            <w:tcW w:w="697" w:type="dxa"/>
          </w:tcPr>
          <w:p w14:paraId="6897C25C" w14:textId="5B9C83C7" w:rsidR="002D0AC7" w:rsidRPr="001D1CD5" w:rsidRDefault="009C01C3"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22</w:t>
            </w:r>
          </w:p>
        </w:tc>
      </w:tr>
      <w:tr w:rsidR="002D0AC7" w:rsidRPr="001D1CD5" w14:paraId="649C75A8" w14:textId="77777777" w:rsidTr="004611A3">
        <w:tc>
          <w:tcPr>
            <w:tcW w:w="764" w:type="dxa"/>
          </w:tcPr>
          <w:p w14:paraId="525CA239" w14:textId="0B04FF79" w:rsidR="002D0AC7" w:rsidRPr="001D1CD5" w:rsidRDefault="002D0AC7" w:rsidP="002D0AC7">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5.6</w:t>
            </w:r>
          </w:p>
        </w:tc>
        <w:tc>
          <w:tcPr>
            <w:tcW w:w="8387" w:type="dxa"/>
          </w:tcPr>
          <w:p w14:paraId="46C84211" w14:textId="08500CCE" w:rsidR="002D0AC7" w:rsidRPr="001D1CD5" w:rsidRDefault="002D0AC7" w:rsidP="00E30D6F">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color w:val="auto"/>
                <w:sz w:val="24"/>
                <w:szCs w:val="24"/>
              </w:rPr>
              <w:t>Civil penalty for lawyers and paid agents who encourage speculative applications</w:t>
            </w:r>
          </w:p>
        </w:tc>
        <w:tc>
          <w:tcPr>
            <w:tcW w:w="697" w:type="dxa"/>
          </w:tcPr>
          <w:p w14:paraId="0B9B6C75" w14:textId="08B974F1" w:rsidR="002D0AC7" w:rsidRPr="001D1CD5" w:rsidRDefault="009C01C3"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22</w:t>
            </w:r>
          </w:p>
        </w:tc>
      </w:tr>
      <w:tr w:rsidR="00E30D6F" w:rsidRPr="001D1CD5" w14:paraId="1B51C56D" w14:textId="77777777" w:rsidTr="004611A3">
        <w:tc>
          <w:tcPr>
            <w:tcW w:w="764" w:type="dxa"/>
          </w:tcPr>
          <w:p w14:paraId="3C8E10BC" w14:textId="0C48BD41" w:rsidR="00E30D6F" w:rsidRPr="001D1CD5" w:rsidRDefault="00E30D6F" w:rsidP="00174105">
            <w:pPr>
              <w:pStyle w:val="Body"/>
              <w:numPr>
                <w:ilvl w:val="0"/>
                <w:numId w:val="32"/>
              </w:numPr>
              <w:spacing w:after="120" w:line="276" w:lineRule="auto"/>
              <w:rPr>
                <w:rFonts w:asciiTheme="minorHAnsi" w:eastAsia="Calibri" w:hAnsiTheme="minorHAnsi" w:cs="Calibri"/>
                <w:b/>
                <w:bCs/>
                <w:color w:val="auto"/>
                <w:sz w:val="28"/>
                <w:szCs w:val="28"/>
                <w:u w:color="0070C0"/>
              </w:rPr>
            </w:pPr>
          </w:p>
        </w:tc>
        <w:tc>
          <w:tcPr>
            <w:tcW w:w="8387" w:type="dxa"/>
          </w:tcPr>
          <w:p w14:paraId="3124C188" w14:textId="67D66FEC" w:rsidR="00E30D6F" w:rsidRPr="001D1CD5" w:rsidRDefault="00F97B01" w:rsidP="00E30D6F">
            <w:pPr>
              <w:pStyle w:val="Body"/>
              <w:spacing w:after="120" w:line="276" w:lineRule="auto"/>
              <w:rPr>
                <w:rFonts w:asciiTheme="minorHAnsi" w:eastAsia="Calibri" w:hAnsiTheme="minorHAnsi" w:cs="Calibri"/>
                <w:b/>
                <w:bCs/>
                <w:color w:val="auto"/>
                <w:sz w:val="28"/>
                <w:szCs w:val="28"/>
                <w:u w:color="0070C0"/>
              </w:rPr>
            </w:pPr>
            <w:r w:rsidRPr="001D1CD5">
              <w:rPr>
                <w:rFonts w:asciiTheme="minorHAnsi" w:eastAsia="Calibri" w:hAnsiTheme="minorHAnsi" w:cs="Calibri"/>
                <w:b/>
                <w:bCs/>
                <w:color w:val="auto"/>
                <w:sz w:val="28"/>
                <w:szCs w:val="28"/>
                <w:u w:color="0070C0"/>
              </w:rPr>
              <w:t>General protections</w:t>
            </w:r>
          </w:p>
        </w:tc>
        <w:tc>
          <w:tcPr>
            <w:tcW w:w="697" w:type="dxa"/>
          </w:tcPr>
          <w:p w14:paraId="6A2151F3" w14:textId="18FC7C16" w:rsidR="00E30D6F" w:rsidRPr="001D1CD5" w:rsidRDefault="008C3A95"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22</w:t>
            </w:r>
          </w:p>
        </w:tc>
      </w:tr>
      <w:tr w:rsidR="009B0976" w:rsidRPr="001D1CD5" w14:paraId="40D9C47A" w14:textId="77777777" w:rsidTr="008C3A95">
        <w:trPr>
          <w:trHeight w:val="427"/>
        </w:trPr>
        <w:tc>
          <w:tcPr>
            <w:tcW w:w="764" w:type="dxa"/>
          </w:tcPr>
          <w:p w14:paraId="32E03A2B" w14:textId="6FED8A2E" w:rsidR="009B0976" w:rsidRPr="001D1CD5" w:rsidRDefault="009B0976" w:rsidP="009B0976">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6.1</w:t>
            </w:r>
          </w:p>
        </w:tc>
        <w:tc>
          <w:tcPr>
            <w:tcW w:w="8387" w:type="dxa"/>
          </w:tcPr>
          <w:p w14:paraId="5F243F56" w14:textId="7B9BEDCD" w:rsidR="009B0976" w:rsidRPr="001D1CD5" w:rsidRDefault="009B0976" w:rsidP="009B0976">
            <w:pPr>
              <w:widowControl w:val="0"/>
              <w:spacing w:after="240" w:line="276" w:lineRule="auto"/>
              <w:rPr>
                <w:rFonts w:asciiTheme="minorHAnsi" w:hAnsiTheme="minorHAnsi" w:cs="Calibri"/>
              </w:rPr>
            </w:pPr>
            <w:r w:rsidRPr="001D1CD5">
              <w:rPr>
                <w:rFonts w:asciiTheme="minorHAnsi" w:eastAsia="Calibri" w:hAnsiTheme="minorHAnsi" w:cs="Calibri"/>
                <w:lang w:eastAsia="en-AU"/>
              </w:rPr>
              <w:t>General protections claims involving dismissal</w:t>
            </w:r>
          </w:p>
        </w:tc>
        <w:tc>
          <w:tcPr>
            <w:tcW w:w="697" w:type="dxa"/>
          </w:tcPr>
          <w:p w14:paraId="0C9EBD88" w14:textId="29311450" w:rsidR="009B0976" w:rsidRPr="001D1CD5" w:rsidRDefault="008C3A95"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23</w:t>
            </w:r>
          </w:p>
        </w:tc>
      </w:tr>
      <w:tr w:rsidR="009B0976" w:rsidRPr="001D1CD5" w14:paraId="45FC81A4" w14:textId="77777777" w:rsidTr="004611A3">
        <w:tc>
          <w:tcPr>
            <w:tcW w:w="764" w:type="dxa"/>
          </w:tcPr>
          <w:p w14:paraId="520B2A9F" w14:textId="0F67D872" w:rsidR="009B0976" w:rsidRPr="001D1CD5" w:rsidRDefault="009B0976" w:rsidP="009B0976">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6.2</w:t>
            </w:r>
          </w:p>
        </w:tc>
        <w:tc>
          <w:tcPr>
            <w:tcW w:w="8387" w:type="dxa"/>
          </w:tcPr>
          <w:p w14:paraId="116F00D6" w14:textId="27FEBB7F" w:rsidR="009B0976" w:rsidRPr="001D1CD5" w:rsidRDefault="009B0976" w:rsidP="00E30D6F">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Reverse onus of proof</w:t>
            </w:r>
          </w:p>
        </w:tc>
        <w:tc>
          <w:tcPr>
            <w:tcW w:w="697" w:type="dxa"/>
          </w:tcPr>
          <w:p w14:paraId="6A7FDADF" w14:textId="5AE4FD01" w:rsidR="009B0976" w:rsidRPr="001D1CD5" w:rsidRDefault="008C3A95"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24</w:t>
            </w:r>
          </w:p>
        </w:tc>
      </w:tr>
      <w:tr w:rsidR="009B0976" w:rsidRPr="001D1CD5" w14:paraId="04A8A678" w14:textId="77777777" w:rsidTr="004611A3">
        <w:tc>
          <w:tcPr>
            <w:tcW w:w="764" w:type="dxa"/>
          </w:tcPr>
          <w:p w14:paraId="49FC48D0" w14:textId="1DE7484F" w:rsidR="009B0976" w:rsidRPr="001D1CD5" w:rsidRDefault="009B0976" w:rsidP="009B0976">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6.3</w:t>
            </w:r>
          </w:p>
        </w:tc>
        <w:tc>
          <w:tcPr>
            <w:tcW w:w="8387" w:type="dxa"/>
          </w:tcPr>
          <w:p w14:paraId="6E822FA6" w14:textId="2D5F56F1" w:rsidR="009B0976" w:rsidRPr="001D1CD5" w:rsidRDefault="009B0976" w:rsidP="00E30D6F">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Discovery processes</w:t>
            </w:r>
          </w:p>
        </w:tc>
        <w:tc>
          <w:tcPr>
            <w:tcW w:w="697" w:type="dxa"/>
          </w:tcPr>
          <w:p w14:paraId="136AD637" w14:textId="1DCAF531" w:rsidR="009B0976" w:rsidRPr="001D1CD5" w:rsidRDefault="008C3A95"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24</w:t>
            </w:r>
          </w:p>
        </w:tc>
      </w:tr>
      <w:tr w:rsidR="009B0976" w:rsidRPr="001D1CD5" w14:paraId="525EABF0" w14:textId="77777777" w:rsidTr="004611A3">
        <w:tc>
          <w:tcPr>
            <w:tcW w:w="764" w:type="dxa"/>
          </w:tcPr>
          <w:p w14:paraId="5506FCB2" w14:textId="4CCDCFB2" w:rsidR="009B0976" w:rsidRPr="001D1CD5" w:rsidRDefault="009B0976" w:rsidP="009B0976">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6.4</w:t>
            </w:r>
          </w:p>
        </w:tc>
        <w:tc>
          <w:tcPr>
            <w:tcW w:w="8387" w:type="dxa"/>
          </w:tcPr>
          <w:p w14:paraId="08190DDC" w14:textId="6B2D62EA" w:rsidR="009B0976" w:rsidRPr="001D1CD5" w:rsidRDefault="009B0976" w:rsidP="009B0976">
            <w:pPr>
              <w:pStyle w:val="ListParagraph"/>
              <w:widowControl w:val="0"/>
              <w:spacing w:after="240" w:line="276" w:lineRule="auto"/>
              <w:ind w:left="0"/>
              <w:jc w:val="both"/>
              <w:rPr>
                <w:rFonts w:asciiTheme="minorHAnsi" w:eastAsia="Calibri" w:hAnsiTheme="minorHAnsi" w:cs="Calibri"/>
                <w:color w:val="auto"/>
              </w:rPr>
            </w:pPr>
            <w:r w:rsidRPr="001D1CD5">
              <w:rPr>
                <w:rFonts w:asciiTheme="minorHAnsi" w:eastAsia="Calibri" w:hAnsiTheme="minorHAnsi" w:cs="Calibri"/>
                <w:color w:val="auto"/>
              </w:rPr>
              <w:t>Tightening the meaning and application of “workplace right”</w:t>
            </w:r>
          </w:p>
        </w:tc>
        <w:tc>
          <w:tcPr>
            <w:tcW w:w="697" w:type="dxa"/>
          </w:tcPr>
          <w:p w14:paraId="4435788E" w14:textId="4B5BE720" w:rsidR="009B0976" w:rsidRPr="001D1CD5" w:rsidRDefault="009C01C3"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25</w:t>
            </w:r>
          </w:p>
        </w:tc>
      </w:tr>
      <w:tr w:rsidR="009B0976" w:rsidRPr="001D1CD5" w14:paraId="3B687044" w14:textId="77777777" w:rsidTr="004611A3">
        <w:tc>
          <w:tcPr>
            <w:tcW w:w="764" w:type="dxa"/>
          </w:tcPr>
          <w:p w14:paraId="6F4D1D44" w14:textId="0EA5C712" w:rsidR="009B0976" w:rsidRPr="001D1CD5" w:rsidRDefault="009B0976" w:rsidP="009B0976">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6.5</w:t>
            </w:r>
          </w:p>
        </w:tc>
        <w:tc>
          <w:tcPr>
            <w:tcW w:w="8387" w:type="dxa"/>
          </w:tcPr>
          <w:p w14:paraId="7C689FC1" w14:textId="615B2767" w:rsidR="009B0976" w:rsidRPr="001D1CD5" w:rsidRDefault="009B0976" w:rsidP="00E30D6F">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color w:val="auto"/>
                <w:sz w:val="24"/>
                <w:szCs w:val="24"/>
              </w:rPr>
              <w:t>Frivolous and vexatious complaints</w:t>
            </w:r>
          </w:p>
        </w:tc>
        <w:tc>
          <w:tcPr>
            <w:tcW w:w="697" w:type="dxa"/>
          </w:tcPr>
          <w:p w14:paraId="54C59816" w14:textId="4F7AF005" w:rsidR="009B0976" w:rsidRPr="001D1CD5" w:rsidRDefault="009C01C3"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25</w:t>
            </w:r>
          </w:p>
        </w:tc>
      </w:tr>
      <w:tr w:rsidR="009B0976" w:rsidRPr="001D1CD5" w14:paraId="19F8915E" w14:textId="77777777" w:rsidTr="004611A3">
        <w:tc>
          <w:tcPr>
            <w:tcW w:w="764" w:type="dxa"/>
          </w:tcPr>
          <w:p w14:paraId="30A7A63D" w14:textId="08D2A421" w:rsidR="009B0976" w:rsidRPr="001D1CD5" w:rsidRDefault="009B0976" w:rsidP="009B0976">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lastRenderedPageBreak/>
              <w:t>6.6</w:t>
            </w:r>
          </w:p>
        </w:tc>
        <w:tc>
          <w:tcPr>
            <w:tcW w:w="8387" w:type="dxa"/>
          </w:tcPr>
          <w:p w14:paraId="2AA13B38" w14:textId="01037263" w:rsidR="009B0976" w:rsidRPr="001D1CD5" w:rsidRDefault="009B0976" w:rsidP="00E30D6F">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Improvements to reporting arrangements</w:t>
            </w:r>
          </w:p>
        </w:tc>
        <w:tc>
          <w:tcPr>
            <w:tcW w:w="697" w:type="dxa"/>
          </w:tcPr>
          <w:p w14:paraId="06698AA5" w14:textId="26E28A0F" w:rsidR="009B0976" w:rsidRPr="001D1CD5" w:rsidRDefault="008C3A95"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25</w:t>
            </w:r>
          </w:p>
        </w:tc>
      </w:tr>
      <w:tr w:rsidR="00E30D6F" w:rsidRPr="001D1CD5" w14:paraId="534CF730" w14:textId="77777777" w:rsidTr="004611A3">
        <w:tc>
          <w:tcPr>
            <w:tcW w:w="764" w:type="dxa"/>
          </w:tcPr>
          <w:p w14:paraId="2B0F9A86" w14:textId="0A54C518" w:rsidR="00E30D6F" w:rsidRPr="001D1CD5" w:rsidRDefault="00E30D6F" w:rsidP="00174105">
            <w:pPr>
              <w:pStyle w:val="Body"/>
              <w:numPr>
                <w:ilvl w:val="0"/>
                <w:numId w:val="32"/>
              </w:numPr>
              <w:spacing w:after="120" w:line="276" w:lineRule="auto"/>
              <w:rPr>
                <w:rFonts w:asciiTheme="minorHAnsi" w:eastAsia="Calibri" w:hAnsiTheme="minorHAnsi" w:cs="Calibri"/>
                <w:b/>
                <w:bCs/>
                <w:color w:val="auto"/>
                <w:sz w:val="28"/>
                <w:szCs w:val="28"/>
                <w:u w:color="0070C0"/>
              </w:rPr>
            </w:pPr>
          </w:p>
        </w:tc>
        <w:tc>
          <w:tcPr>
            <w:tcW w:w="8387" w:type="dxa"/>
          </w:tcPr>
          <w:p w14:paraId="10A7DBCD" w14:textId="423EFD5B" w:rsidR="00E30D6F" w:rsidRPr="001D1CD5" w:rsidRDefault="00B12300" w:rsidP="00E30D6F">
            <w:pPr>
              <w:pStyle w:val="Body"/>
              <w:spacing w:after="120" w:line="276" w:lineRule="auto"/>
              <w:rPr>
                <w:rFonts w:asciiTheme="minorHAnsi" w:eastAsia="Calibri" w:hAnsiTheme="minorHAnsi" w:cs="Calibri"/>
                <w:b/>
                <w:bCs/>
                <w:color w:val="auto"/>
                <w:sz w:val="28"/>
                <w:szCs w:val="28"/>
                <w:u w:color="0070C0"/>
              </w:rPr>
            </w:pPr>
            <w:r w:rsidRPr="001D1CD5">
              <w:rPr>
                <w:rFonts w:asciiTheme="minorHAnsi" w:eastAsia="Calibri" w:hAnsiTheme="minorHAnsi" w:cs="Calibri"/>
                <w:b/>
                <w:bCs/>
                <w:color w:val="auto"/>
                <w:sz w:val="28"/>
                <w:szCs w:val="28"/>
                <w:u w:color="0070C0"/>
              </w:rPr>
              <w:t>Anti-bullying</w:t>
            </w:r>
          </w:p>
        </w:tc>
        <w:tc>
          <w:tcPr>
            <w:tcW w:w="697" w:type="dxa"/>
          </w:tcPr>
          <w:p w14:paraId="12A80824" w14:textId="5BD73930" w:rsidR="00E30D6F" w:rsidRPr="001D1CD5" w:rsidRDefault="008C3A95"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25</w:t>
            </w:r>
          </w:p>
        </w:tc>
      </w:tr>
      <w:tr w:rsidR="00E30D6F" w:rsidRPr="001D1CD5" w14:paraId="09A1BB95" w14:textId="77777777" w:rsidTr="004611A3">
        <w:tc>
          <w:tcPr>
            <w:tcW w:w="764" w:type="dxa"/>
          </w:tcPr>
          <w:p w14:paraId="4AB3C96C" w14:textId="78DECBF0" w:rsidR="00E30D6F" w:rsidRPr="001D1CD5" w:rsidRDefault="00E30D6F" w:rsidP="00174105">
            <w:pPr>
              <w:pStyle w:val="Body"/>
              <w:numPr>
                <w:ilvl w:val="0"/>
                <w:numId w:val="32"/>
              </w:numPr>
              <w:spacing w:after="120" w:line="276" w:lineRule="auto"/>
              <w:rPr>
                <w:rFonts w:asciiTheme="minorHAnsi" w:eastAsia="Calibri" w:hAnsiTheme="minorHAnsi" w:cs="Calibri"/>
                <w:bCs/>
                <w:color w:val="auto"/>
                <w:sz w:val="24"/>
                <w:szCs w:val="24"/>
                <w:u w:color="0070C0"/>
              </w:rPr>
            </w:pPr>
          </w:p>
        </w:tc>
        <w:tc>
          <w:tcPr>
            <w:tcW w:w="8387" w:type="dxa"/>
          </w:tcPr>
          <w:p w14:paraId="6E431E08" w14:textId="0026E30B" w:rsidR="00E30D6F" w:rsidRPr="001D1CD5" w:rsidRDefault="00206E00" w:rsidP="00E30D6F">
            <w:pPr>
              <w:pStyle w:val="Body"/>
              <w:spacing w:after="120" w:line="276" w:lineRule="auto"/>
              <w:rPr>
                <w:rFonts w:asciiTheme="minorHAnsi" w:eastAsia="Calibri" w:hAnsiTheme="minorHAnsi" w:cs="Calibri"/>
                <w:b/>
                <w:bCs/>
                <w:color w:val="auto"/>
                <w:sz w:val="28"/>
                <w:szCs w:val="28"/>
                <w:u w:color="0070C0"/>
              </w:rPr>
            </w:pPr>
            <w:r w:rsidRPr="001D1CD5">
              <w:rPr>
                <w:rFonts w:asciiTheme="minorHAnsi" w:eastAsia="Calibri" w:hAnsiTheme="minorHAnsi" w:cs="Calibri"/>
                <w:b/>
                <w:bCs/>
                <w:color w:val="auto"/>
                <w:sz w:val="28"/>
                <w:szCs w:val="28"/>
                <w:u w:color="0070C0"/>
              </w:rPr>
              <w:t>Minimum wages</w:t>
            </w:r>
          </w:p>
        </w:tc>
        <w:tc>
          <w:tcPr>
            <w:tcW w:w="697" w:type="dxa"/>
          </w:tcPr>
          <w:p w14:paraId="1FE40508" w14:textId="57D6C23E" w:rsidR="00E30D6F" w:rsidRPr="001D1CD5" w:rsidRDefault="009C01C3"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26</w:t>
            </w:r>
          </w:p>
        </w:tc>
      </w:tr>
      <w:tr w:rsidR="00E30D6F" w:rsidRPr="001D1CD5" w14:paraId="4E92905E" w14:textId="77777777" w:rsidTr="004611A3">
        <w:tc>
          <w:tcPr>
            <w:tcW w:w="764" w:type="dxa"/>
          </w:tcPr>
          <w:p w14:paraId="1CA5F509" w14:textId="0C0A3BD7" w:rsidR="00E30D6F" w:rsidRPr="001D1CD5" w:rsidRDefault="00E30D6F" w:rsidP="00174105">
            <w:pPr>
              <w:pStyle w:val="Body"/>
              <w:numPr>
                <w:ilvl w:val="0"/>
                <w:numId w:val="32"/>
              </w:numPr>
              <w:spacing w:after="120" w:line="276" w:lineRule="auto"/>
              <w:rPr>
                <w:rFonts w:asciiTheme="minorHAnsi" w:eastAsia="Calibri" w:hAnsiTheme="minorHAnsi" w:cs="Calibri"/>
                <w:b/>
                <w:bCs/>
                <w:color w:val="auto"/>
                <w:sz w:val="28"/>
                <w:szCs w:val="28"/>
                <w:u w:color="0070C0"/>
              </w:rPr>
            </w:pPr>
          </w:p>
        </w:tc>
        <w:tc>
          <w:tcPr>
            <w:tcW w:w="8387" w:type="dxa"/>
          </w:tcPr>
          <w:p w14:paraId="25B60CB3" w14:textId="259A1FBD" w:rsidR="00E30D6F" w:rsidRPr="001D1CD5" w:rsidRDefault="00872F0E" w:rsidP="00E30D6F">
            <w:pPr>
              <w:pStyle w:val="Body"/>
              <w:spacing w:after="120" w:line="276" w:lineRule="auto"/>
              <w:rPr>
                <w:rFonts w:asciiTheme="minorHAnsi" w:eastAsia="Calibri" w:hAnsiTheme="minorHAnsi" w:cs="Calibri"/>
                <w:b/>
                <w:bCs/>
                <w:color w:val="auto"/>
                <w:sz w:val="28"/>
                <w:szCs w:val="28"/>
                <w:u w:color="0070C0"/>
              </w:rPr>
            </w:pPr>
            <w:r w:rsidRPr="001D1CD5">
              <w:rPr>
                <w:rFonts w:asciiTheme="minorHAnsi" w:eastAsia="Calibri" w:hAnsiTheme="minorHAnsi" w:cs="Calibri"/>
                <w:b/>
                <w:color w:val="auto"/>
                <w:sz w:val="28"/>
                <w:szCs w:val="28"/>
                <w:u w:color="0070C0"/>
              </w:rPr>
              <w:t>Variations from uniform minimum wages</w:t>
            </w:r>
          </w:p>
        </w:tc>
        <w:tc>
          <w:tcPr>
            <w:tcW w:w="697" w:type="dxa"/>
          </w:tcPr>
          <w:p w14:paraId="5411EBDE" w14:textId="771A2709" w:rsidR="00E30D6F" w:rsidRPr="001D1CD5" w:rsidRDefault="008C3A95"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26</w:t>
            </w:r>
          </w:p>
        </w:tc>
      </w:tr>
      <w:tr w:rsidR="00872F0E" w:rsidRPr="001D1CD5" w14:paraId="4DD15DB8" w14:textId="77777777" w:rsidTr="004611A3">
        <w:tc>
          <w:tcPr>
            <w:tcW w:w="764" w:type="dxa"/>
          </w:tcPr>
          <w:p w14:paraId="5962F008" w14:textId="2BD8E9E8" w:rsidR="00872F0E" w:rsidRPr="001D1CD5" w:rsidRDefault="00872F0E" w:rsidP="00872F0E">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9.1</w:t>
            </w:r>
          </w:p>
        </w:tc>
        <w:tc>
          <w:tcPr>
            <w:tcW w:w="8387" w:type="dxa"/>
          </w:tcPr>
          <w:p w14:paraId="439F4A88" w14:textId="4688E799" w:rsidR="00872F0E" w:rsidRPr="001D1CD5" w:rsidRDefault="00872F0E" w:rsidP="00E30D6F">
            <w:pPr>
              <w:pStyle w:val="Body"/>
              <w:spacing w:after="120" w:line="276" w:lineRule="auto"/>
              <w:rPr>
                <w:rFonts w:asciiTheme="minorHAnsi" w:eastAsia="Calibri" w:hAnsiTheme="minorHAnsi" w:cs="Calibri"/>
                <w:color w:val="auto"/>
                <w:sz w:val="24"/>
                <w:szCs w:val="24"/>
                <w:u w:color="0070C0"/>
              </w:rPr>
            </w:pPr>
            <w:r w:rsidRPr="001D1CD5">
              <w:rPr>
                <w:rFonts w:asciiTheme="minorHAnsi" w:eastAsia="Calibri" w:hAnsiTheme="minorHAnsi" w:cs="Calibri"/>
                <w:color w:val="auto"/>
                <w:sz w:val="24"/>
                <w:szCs w:val="24"/>
                <w:u w:color="0070C0"/>
              </w:rPr>
              <w:t>Temporary relief</w:t>
            </w:r>
          </w:p>
        </w:tc>
        <w:tc>
          <w:tcPr>
            <w:tcW w:w="697" w:type="dxa"/>
          </w:tcPr>
          <w:p w14:paraId="50FB2543" w14:textId="41586E5E" w:rsidR="00872F0E" w:rsidRPr="001D1CD5" w:rsidRDefault="008C3A95"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26</w:t>
            </w:r>
          </w:p>
        </w:tc>
      </w:tr>
      <w:tr w:rsidR="00872F0E" w:rsidRPr="001D1CD5" w14:paraId="28825A8F" w14:textId="77777777" w:rsidTr="004611A3">
        <w:tc>
          <w:tcPr>
            <w:tcW w:w="764" w:type="dxa"/>
          </w:tcPr>
          <w:p w14:paraId="33BF48F7" w14:textId="3B922779" w:rsidR="00872F0E" w:rsidRPr="001D1CD5" w:rsidRDefault="00872F0E" w:rsidP="00872F0E">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9.2</w:t>
            </w:r>
          </w:p>
        </w:tc>
        <w:tc>
          <w:tcPr>
            <w:tcW w:w="8387" w:type="dxa"/>
          </w:tcPr>
          <w:p w14:paraId="4C5F0C63" w14:textId="0D29A743" w:rsidR="00872F0E" w:rsidRPr="001D1CD5" w:rsidRDefault="00872F0E" w:rsidP="00E30D6F">
            <w:pPr>
              <w:pStyle w:val="Body"/>
              <w:spacing w:after="120" w:line="276" w:lineRule="auto"/>
              <w:rPr>
                <w:rFonts w:asciiTheme="minorHAnsi" w:eastAsia="Calibri" w:hAnsiTheme="minorHAnsi" w:cs="Calibri"/>
                <w:color w:val="auto"/>
                <w:sz w:val="24"/>
                <w:szCs w:val="24"/>
                <w:u w:color="0070C0"/>
              </w:rPr>
            </w:pPr>
            <w:r w:rsidRPr="001D1CD5">
              <w:rPr>
                <w:rFonts w:asciiTheme="minorHAnsi" w:eastAsia="Calibri" w:hAnsiTheme="minorHAnsi" w:cs="Calibri"/>
                <w:color w:val="auto"/>
                <w:sz w:val="24"/>
                <w:szCs w:val="24"/>
                <w:u w:color="0070C0"/>
              </w:rPr>
              <w:t>Junior wage rates</w:t>
            </w:r>
          </w:p>
        </w:tc>
        <w:tc>
          <w:tcPr>
            <w:tcW w:w="697" w:type="dxa"/>
          </w:tcPr>
          <w:p w14:paraId="756B17F0" w14:textId="16723A34" w:rsidR="00872F0E" w:rsidRPr="001D1CD5" w:rsidRDefault="009C01C3"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27</w:t>
            </w:r>
          </w:p>
        </w:tc>
      </w:tr>
      <w:tr w:rsidR="00872F0E" w:rsidRPr="001D1CD5" w14:paraId="3E0134C8" w14:textId="77777777" w:rsidTr="004611A3">
        <w:tc>
          <w:tcPr>
            <w:tcW w:w="764" w:type="dxa"/>
          </w:tcPr>
          <w:p w14:paraId="61E32330" w14:textId="71011DA7" w:rsidR="00872F0E" w:rsidRPr="001D1CD5" w:rsidRDefault="00872F0E" w:rsidP="00872F0E">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9.3</w:t>
            </w:r>
          </w:p>
        </w:tc>
        <w:tc>
          <w:tcPr>
            <w:tcW w:w="8387" w:type="dxa"/>
          </w:tcPr>
          <w:p w14:paraId="61C9CDD0" w14:textId="12025E2E" w:rsidR="00872F0E" w:rsidRPr="001D1CD5" w:rsidRDefault="00872F0E" w:rsidP="00E30D6F">
            <w:pPr>
              <w:pStyle w:val="Body"/>
              <w:spacing w:after="120" w:line="276" w:lineRule="auto"/>
              <w:rPr>
                <w:rFonts w:asciiTheme="minorHAnsi" w:eastAsia="Calibri" w:hAnsiTheme="minorHAnsi" w:cs="Calibri"/>
                <w:color w:val="auto"/>
                <w:sz w:val="24"/>
                <w:szCs w:val="24"/>
                <w:u w:color="0070C0"/>
              </w:rPr>
            </w:pPr>
            <w:r w:rsidRPr="001D1CD5">
              <w:rPr>
                <w:rFonts w:asciiTheme="minorHAnsi" w:eastAsia="Calibri" w:hAnsiTheme="minorHAnsi" w:cs="Calibri"/>
                <w:color w:val="auto"/>
                <w:sz w:val="24"/>
                <w:szCs w:val="24"/>
                <w:u w:color="0070C0"/>
              </w:rPr>
              <w:t>Arrangements for apprentices and trainees</w:t>
            </w:r>
          </w:p>
        </w:tc>
        <w:tc>
          <w:tcPr>
            <w:tcW w:w="697" w:type="dxa"/>
          </w:tcPr>
          <w:p w14:paraId="15E99B8D" w14:textId="76417A6C" w:rsidR="00872F0E" w:rsidRPr="001D1CD5" w:rsidRDefault="009C01C3"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28</w:t>
            </w:r>
          </w:p>
        </w:tc>
      </w:tr>
      <w:tr w:rsidR="00E30D6F" w:rsidRPr="001D1CD5" w14:paraId="62DE0DBC" w14:textId="77777777" w:rsidTr="004611A3">
        <w:tc>
          <w:tcPr>
            <w:tcW w:w="764" w:type="dxa"/>
          </w:tcPr>
          <w:p w14:paraId="67B9557D" w14:textId="70556013" w:rsidR="00E30D6F" w:rsidRPr="001D1CD5" w:rsidRDefault="00E30D6F" w:rsidP="00174105">
            <w:pPr>
              <w:pStyle w:val="Body"/>
              <w:numPr>
                <w:ilvl w:val="0"/>
                <w:numId w:val="32"/>
              </w:numPr>
              <w:spacing w:after="120" w:line="276" w:lineRule="auto"/>
              <w:rPr>
                <w:rFonts w:asciiTheme="minorHAnsi" w:eastAsia="Calibri" w:hAnsiTheme="minorHAnsi" w:cs="Calibri"/>
                <w:bCs/>
                <w:color w:val="auto"/>
                <w:sz w:val="28"/>
                <w:szCs w:val="28"/>
                <w:u w:color="0070C0"/>
              </w:rPr>
            </w:pPr>
          </w:p>
        </w:tc>
        <w:tc>
          <w:tcPr>
            <w:tcW w:w="8387" w:type="dxa"/>
          </w:tcPr>
          <w:p w14:paraId="4C119977" w14:textId="4891EA07" w:rsidR="00E30D6F" w:rsidRPr="001D1CD5" w:rsidRDefault="005713BC" w:rsidP="00E30D6F">
            <w:pPr>
              <w:pStyle w:val="Body"/>
              <w:spacing w:after="120" w:line="276" w:lineRule="auto"/>
              <w:rPr>
                <w:rFonts w:asciiTheme="minorHAnsi" w:eastAsia="Calibri" w:hAnsiTheme="minorHAnsi" w:cs="Calibri"/>
                <w:b/>
                <w:bCs/>
                <w:color w:val="auto"/>
                <w:sz w:val="28"/>
                <w:szCs w:val="28"/>
                <w:u w:color="0070C0"/>
              </w:rPr>
            </w:pPr>
            <w:r w:rsidRPr="001D1CD5">
              <w:rPr>
                <w:rFonts w:asciiTheme="minorHAnsi" w:eastAsia="Calibri" w:hAnsiTheme="minorHAnsi" w:cs="Calibri"/>
                <w:b/>
                <w:bCs/>
                <w:color w:val="auto"/>
                <w:sz w:val="28"/>
                <w:szCs w:val="28"/>
                <w:u w:color="0070C0"/>
              </w:rPr>
              <w:t>Measures to compliment minimum wages</w:t>
            </w:r>
          </w:p>
        </w:tc>
        <w:tc>
          <w:tcPr>
            <w:tcW w:w="697" w:type="dxa"/>
          </w:tcPr>
          <w:p w14:paraId="5A394A23" w14:textId="5330EE25" w:rsidR="00E30D6F" w:rsidRPr="001D1CD5" w:rsidRDefault="008C3A95"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28</w:t>
            </w:r>
          </w:p>
        </w:tc>
      </w:tr>
      <w:tr w:rsidR="00E30D6F" w:rsidRPr="001D1CD5" w14:paraId="30F73CF6" w14:textId="77777777" w:rsidTr="004611A3">
        <w:tc>
          <w:tcPr>
            <w:tcW w:w="764" w:type="dxa"/>
          </w:tcPr>
          <w:p w14:paraId="7BC1CA26" w14:textId="70CBFD1E" w:rsidR="00E30D6F" w:rsidRPr="001D1CD5" w:rsidRDefault="00E30D6F" w:rsidP="00174105">
            <w:pPr>
              <w:pStyle w:val="Body"/>
              <w:numPr>
                <w:ilvl w:val="0"/>
                <w:numId w:val="32"/>
              </w:numPr>
              <w:spacing w:after="120" w:line="276" w:lineRule="auto"/>
              <w:rPr>
                <w:rFonts w:asciiTheme="minorHAnsi" w:eastAsia="Calibri" w:hAnsiTheme="minorHAnsi" w:cs="Calibri"/>
                <w:b/>
                <w:bCs/>
                <w:color w:val="auto"/>
                <w:sz w:val="28"/>
                <w:szCs w:val="28"/>
                <w:u w:color="0070C0"/>
              </w:rPr>
            </w:pPr>
          </w:p>
        </w:tc>
        <w:tc>
          <w:tcPr>
            <w:tcW w:w="8387" w:type="dxa"/>
          </w:tcPr>
          <w:p w14:paraId="54750060" w14:textId="0767241B" w:rsidR="00E30D6F" w:rsidRPr="001D1CD5" w:rsidRDefault="00E65E96" w:rsidP="00E30D6F">
            <w:pPr>
              <w:pStyle w:val="Body"/>
              <w:spacing w:after="120" w:line="276" w:lineRule="auto"/>
              <w:rPr>
                <w:rFonts w:asciiTheme="minorHAnsi" w:eastAsia="Calibri" w:hAnsiTheme="minorHAnsi" w:cs="Calibri"/>
                <w:b/>
                <w:bCs/>
                <w:color w:val="auto"/>
                <w:sz w:val="28"/>
                <w:szCs w:val="28"/>
                <w:u w:color="0070C0"/>
              </w:rPr>
            </w:pPr>
            <w:r w:rsidRPr="001D1CD5">
              <w:rPr>
                <w:rFonts w:asciiTheme="minorHAnsi" w:eastAsia="Calibri" w:hAnsiTheme="minorHAnsi" w:cs="Calibri"/>
                <w:b/>
                <w:bCs/>
                <w:color w:val="auto"/>
                <w:sz w:val="28"/>
                <w:szCs w:val="28"/>
                <w:u w:color="0070C0"/>
              </w:rPr>
              <w:t>Role of awards</w:t>
            </w:r>
          </w:p>
        </w:tc>
        <w:tc>
          <w:tcPr>
            <w:tcW w:w="697" w:type="dxa"/>
          </w:tcPr>
          <w:p w14:paraId="279C445C" w14:textId="4C205867" w:rsidR="00E30D6F" w:rsidRPr="001D1CD5" w:rsidRDefault="009C01C3"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30</w:t>
            </w:r>
          </w:p>
        </w:tc>
      </w:tr>
      <w:tr w:rsidR="00E30D6F" w:rsidRPr="001D1CD5" w14:paraId="59B736E1" w14:textId="77777777" w:rsidTr="004611A3">
        <w:tc>
          <w:tcPr>
            <w:tcW w:w="764" w:type="dxa"/>
          </w:tcPr>
          <w:p w14:paraId="17EA8468" w14:textId="52F41558" w:rsidR="00E30D6F" w:rsidRPr="001D1CD5" w:rsidRDefault="00E30D6F" w:rsidP="00174105">
            <w:pPr>
              <w:pStyle w:val="Body"/>
              <w:numPr>
                <w:ilvl w:val="0"/>
                <w:numId w:val="32"/>
              </w:numPr>
              <w:spacing w:after="120" w:line="276" w:lineRule="auto"/>
              <w:rPr>
                <w:rFonts w:asciiTheme="minorHAnsi" w:eastAsia="Calibri" w:hAnsiTheme="minorHAnsi" w:cs="Calibri"/>
                <w:b/>
                <w:bCs/>
                <w:color w:val="auto"/>
                <w:sz w:val="28"/>
                <w:szCs w:val="28"/>
                <w:u w:color="0070C0"/>
              </w:rPr>
            </w:pPr>
          </w:p>
        </w:tc>
        <w:tc>
          <w:tcPr>
            <w:tcW w:w="8387" w:type="dxa"/>
          </w:tcPr>
          <w:p w14:paraId="1AE657DC" w14:textId="5094B2FF" w:rsidR="00E30D6F" w:rsidRPr="001D1CD5" w:rsidRDefault="00A64467" w:rsidP="00E30D6F">
            <w:pPr>
              <w:pStyle w:val="Body"/>
              <w:spacing w:after="120" w:line="276" w:lineRule="auto"/>
              <w:rPr>
                <w:rFonts w:asciiTheme="minorHAnsi" w:eastAsia="Calibri" w:hAnsiTheme="minorHAnsi" w:cs="Calibri"/>
                <w:b/>
                <w:bCs/>
                <w:color w:val="auto"/>
                <w:sz w:val="28"/>
                <w:szCs w:val="28"/>
                <w:u w:color="0070C0"/>
              </w:rPr>
            </w:pPr>
            <w:r w:rsidRPr="001D1CD5">
              <w:rPr>
                <w:rFonts w:asciiTheme="minorHAnsi" w:eastAsia="Calibri" w:hAnsiTheme="minorHAnsi" w:cs="Calibri"/>
                <w:b/>
                <w:bCs/>
                <w:color w:val="auto"/>
                <w:sz w:val="28"/>
                <w:szCs w:val="28"/>
                <w:u w:color="0070C0"/>
              </w:rPr>
              <w:t>Repairing awards</w:t>
            </w:r>
          </w:p>
        </w:tc>
        <w:tc>
          <w:tcPr>
            <w:tcW w:w="697" w:type="dxa"/>
          </w:tcPr>
          <w:p w14:paraId="11C550BE" w14:textId="09B7DFA6" w:rsidR="00E30D6F" w:rsidRPr="001D1CD5" w:rsidRDefault="009C01C3"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31</w:t>
            </w:r>
          </w:p>
        </w:tc>
      </w:tr>
      <w:tr w:rsidR="00A64467" w:rsidRPr="001D1CD5" w14:paraId="485C4889" w14:textId="77777777" w:rsidTr="004611A3">
        <w:tc>
          <w:tcPr>
            <w:tcW w:w="764" w:type="dxa"/>
          </w:tcPr>
          <w:p w14:paraId="1EE15399" w14:textId="2E774475" w:rsidR="00A64467" w:rsidRPr="001D1CD5" w:rsidRDefault="00A64467" w:rsidP="00A64467">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12.1</w:t>
            </w:r>
          </w:p>
        </w:tc>
        <w:tc>
          <w:tcPr>
            <w:tcW w:w="8387" w:type="dxa"/>
          </w:tcPr>
          <w:p w14:paraId="4550DAA4" w14:textId="4EE02C90" w:rsidR="00A64467" w:rsidRPr="001D1CD5" w:rsidRDefault="00A64467" w:rsidP="00E30D6F">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color w:val="auto"/>
                <w:sz w:val="24"/>
                <w:szCs w:val="24"/>
                <w:u w:color="0070C0"/>
              </w:rPr>
              <w:t>Award assessments</w:t>
            </w:r>
          </w:p>
        </w:tc>
        <w:tc>
          <w:tcPr>
            <w:tcW w:w="697" w:type="dxa"/>
          </w:tcPr>
          <w:p w14:paraId="49E0990C" w14:textId="4C8A9500" w:rsidR="00A64467" w:rsidRPr="001D1CD5" w:rsidRDefault="009C01C3"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31</w:t>
            </w:r>
          </w:p>
        </w:tc>
      </w:tr>
      <w:tr w:rsidR="00A64467" w:rsidRPr="001D1CD5" w14:paraId="352C01E7" w14:textId="77777777" w:rsidTr="004611A3">
        <w:tc>
          <w:tcPr>
            <w:tcW w:w="764" w:type="dxa"/>
          </w:tcPr>
          <w:p w14:paraId="3327E804" w14:textId="3089FC0B" w:rsidR="00A64467" w:rsidRPr="001D1CD5" w:rsidRDefault="00A64467" w:rsidP="00A64467">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12.2</w:t>
            </w:r>
          </w:p>
        </w:tc>
        <w:tc>
          <w:tcPr>
            <w:tcW w:w="8387" w:type="dxa"/>
          </w:tcPr>
          <w:p w14:paraId="1CFCBC92" w14:textId="091A7804" w:rsidR="00A64467" w:rsidRPr="001D1CD5" w:rsidRDefault="00A64467" w:rsidP="00E30D6F">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color w:val="auto"/>
                <w:sz w:val="24"/>
                <w:szCs w:val="24"/>
                <w:u w:color="0070C0"/>
              </w:rPr>
              <w:t>Making awards easier to use</w:t>
            </w:r>
          </w:p>
        </w:tc>
        <w:tc>
          <w:tcPr>
            <w:tcW w:w="697" w:type="dxa"/>
          </w:tcPr>
          <w:p w14:paraId="26DADBB9" w14:textId="14E26DD2" w:rsidR="00A64467" w:rsidRPr="001D1CD5" w:rsidRDefault="009C01C3"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34</w:t>
            </w:r>
          </w:p>
        </w:tc>
      </w:tr>
      <w:tr w:rsidR="00A64467" w:rsidRPr="001D1CD5" w14:paraId="5427978A" w14:textId="77777777" w:rsidTr="004611A3">
        <w:tc>
          <w:tcPr>
            <w:tcW w:w="764" w:type="dxa"/>
          </w:tcPr>
          <w:p w14:paraId="17060533" w14:textId="38970D09" w:rsidR="00A64467" w:rsidRPr="001D1CD5" w:rsidRDefault="00A64467" w:rsidP="00A64467">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12.3</w:t>
            </w:r>
          </w:p>
        </w:tc>
        <w:tc>
          <w:tcPr>
            <w:tcW w:w="8387" w:type="dxa"/>
          </w:tcPr>
          <w:p w14:paraId="5D0236CA" w14:textId="102D38CE" w:rsidR="00A64467" w:rsidRPr="001D1CD5" w:rsidRDefault="00A64467" w:rsidP="00E30D6F">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color w:val="auto"/>
                <w:sz w:val="24"/>
                <w:szCs w:val="24"/>
                <w:u w:color="0070C0"/>
              </w:rPr>
              <w:t>Assessment of minimum wage rates and classifications in awards, including the complex and critical issues</w:t>
            </w:r>
          </w:p>
        </w:tc>
        <w:tc>
          <w:tcPr>
            <w:tcW w:w="697" w:type="dxa"/>
          </w:tcPr>
          <w:p w14:paraId="38FCC53D" w14:textId="12B17B3E" w:rsidR="00A64467" w:rsidRPr="001D1CD5" w:rsidRDefault="009C01C3"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34</w:t>
            </w:r>
          </w:p>
        </w:tc>
      </w:tr>
      <w:tr w:rsidR="00A64467" w:rsidRPr="001D1CD5" w14:paraId="12C8F5C4" w14:textId="77777777" w:rsidTr="004611A3">
        <w:tc>
          <w:tcPr>
            <w:tcW w:w="764" w:type="dxa"/>
          </w:tcPr>
          <w:p w14:paraId="0DED75EF" w14:textId="15DBE059" w:rsidR="00A64467" w:rsidRPr="001D1CD5" w:rsidRDefault="00A64467" w:rsidP="00A64467">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12.4</w:t>
            </w:r>
          </w:p>
        </w:tc>
        <w:tc>
          <w:tcPr>
            <w:tcW w:w="8387" w:type="dxa"/>
          </w:tcPr>
          <w:p w14:paraId="69D1FB68" w14:textId="31E8F2B4" w:rsidR="00A64467" w:rsidRPr="001D1CD5" w:rsidRDefault="00A64467" w:rsidP="00E30D6F">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Assessments of conditions and entitlements in awards</w:t>
            </w:r>
          </w:p>
        </w:tc>
        <w:tc>
          <w:tcPr>
            <w:tcW w:w="697" w:type="dxa"/>
          </w:tcPr>
          <w:p w14:paraId="37A6BDB7" w14:textId="33489510" w:rsidR="00A64467" w:rsidRPr="001D1CD5" w:rsidRDefault="009C01C3"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37</w:t>
            </w:r>
          </w:p>
        </w:tc>
      </w:tr>
      <w:tr w:rsidR="00E30D6F" w:rsidRPr="001D1CD5" w14:paraId="77251A85" w14:textId="77777777" w:rsidTr="004611A3">
        <w:tc>
          <w:tcPr>
            <w:tcW w:w="764" w:type="dxa"/>
          </w:tcPr>
          <w:p w14:paraId="64C135DF" w14:textId="54B10A50" w:rsidR="00E30D6F" w:rsidRPr="001D1CD5" w:rsidRDefault="00E30D6F" w:rsidP="00174105">
            <w:pPr>
              <w:pStyle w:val="Body"/>
              <w:numPr>
                <w:ilvl w:val="0"/>
                <w:numId w:val="32"/>
              </w:numPr>
              <w:spacing w:after="120" w:line="276" w:lineRule="auto"/>
              <w:rPr>
                <w:rFonts w:asciiTheme="minorHAnsi" w:eastAsia="Calibri" w:hAnsiTheme="minorHAnsi" w:cs="Calibri"/>
                <w:b/>
                <w:bCs/>
                <w:color w:val="auto"/>
                <w:sz w:val="28"/>
                <w:szCs w:val="28"/>
                <w:u w:color="0070C0"/>
              </w:rPr>
            </w:pPr>
          </w:p>
        </w:tc>
        <w:tc>
          <w:tcPr>
            <w:tcW w:w="8387" w:type="dxa"/>
          </w:tcPr>
          <w:p w14:paraId="633C8793" w14:textId="5BB520FA" w:rsidR="00E30D6F" w:rsidRPr="001D1CD5" w:rsidRDefault="00B26342" w:rsidP="00E30D6F">
            <w:pPr>
              <w:pStyle w:val="Body"/>
              <w:spacing w:after="120" w:line="276" w:lineRule="auto"/>
              <w:rPr>
                <w:rFonts w:asciiTheme="minorHAnsi" w:eastAsia="Calibri" w:hAnsiTheme="minorHAnsi" w:cs="Calibri"/>
                <w:b/>
                <w:bCs/>
                <w:color w:val="auto"/>
                <w:sz w:val="28"/>
                <w:szCs w:val="28"/>
                <w:u w:color="0070C0"/>
              </w:rPr>
            </w:pPr>
            <w:r w:rsidRPr="001D1CD5">
              <w:rPr>
                <w:rFonts w:asciiTheme="minorHAnsi" w:eastAsia="Calibri" w:hAnsiTheme="minorHAnsi" w:cs="Calibri"/>
                <w:b/>
                <w:bCs/>
                <w:color w:val="auto"/>
                <w:sz w:val="28"/>
                <w:szCs w:val="28"/>
                <w:u w:color="0070C0"/>
              </w:rPr>
              <w:t>Penalty rates for long hours and night work</w:t>
            </w:r>
          </w:p>
        </w:tc>
        <w:tc>
          <w:tcPr>
            <w:tcW w:w="697" w:type="dxa"/>
          </w:tcPr>
          <w:p w14:paraId="2429EAE5" w14:textId="1B189DE5" w:rsidR="00E30D6F" w:rsidRPr="001D1CD5" w:rsidRDefault="009C01C3"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37</w:t>
            </w:r>
          </w:p>
        </w:tc>
      </w:tr>
      <w:tr w:rsidR="00B26342" w:rsidRPr="001D1CD5" w14:paraId="60EA84F1" w14:textId="77777777" w:rsidTr="004611A3">
        <w:tc>
          <w:tcPr>
            <w:tcW w:w="764" w:type="dxa"/>
          </w:tcPr>
          <w:p w14:paraId="13BA39DD" w14:textId="1FFB00D2" w:rsidR="00B26342" w:rsidRPr="001D1CD5" w:rsidRDefault="00B26342" w:rsidP="00B26342">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13.1</w:t>
            </w:r>
          </w:p>
        </w:tc>
        <w:tc>
          <w:tcPr>
            <w:tcW w:w="8387" w:type="dxa"/>
          </w:tcPr>
          <w:p w14:paraId="6A4A9CB6" w14:textId="171732D2" w:rsidR="00B26342" w:rsidRPr="001D1CD5" w:rsidRDefault="00B26342" w:rsidP="00E30D6F">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Reasonable additional hours</w:t>
            </w:r>
          </w:p>
        </w:tc>
        <w:tc>
          <w:tcPr>
            <w:tcW w:w="697" w:type="dxa"/>
          </w:tcPr>
          <w:p w14:paraId="4B6AF29E" w14:textId="49A2EF3F" w:rsidR="00B26342" w:rsidRPr="001D1CD5" w:rsidRDefault="008C3A95"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38</w:t>
            </w:r>
          </w:p>
        </w:tc>
      </w:tr>
      <w:tr w:rsidR="00E30D6F" w:rsidRPr="001D1CD5" w14:paraId="48E2E7FA" w14:textId="77777777" w:rsidTr="004611A3">
        <w:tc>
          <w:tcPr>
            <w:tcW w:w="764" w:type="dxa"/>
          </w:tcPr>
          <w:p w14:paraId="65775D85" w14:textId="41F3E5BE" w:rsidR="00E30D6F" w:rsidRPr="001D1CD5" w:rsidRDefault="00E30D6F" w:rsidP="00174105">
            <w:pPr>
              <w:pStyle w:val="Body"/>
              <w:numPr>
                <w:ilvl w:val="0"/>
                <w:numId w:val="32"/>
              </w:numPr>
              <w:spacing w:after="120" w:line="276" w:lineRule="auto"/>
              <w:rPr>
                <w:rFonts w:asciiTheme="minorHAnsi" w:eastAsia="Calibri" w:hAnsiTheme="minorHAnsi" w:cs="Calibri"/>
                <w:bCs/>
                <w:color w:val="auto"/>
                <w:sz w:val="24"/>
                <w:szCs w:val="24"/>
                <w:u w:color="0070C0"/>
              </w:rPr>
            </w:pPr>
          </w:p>
        </w:tc>
        <w:tc>
          <w:tcPr>
            <w:tcW w:w="8387" w:type="dxa"/>
          </w:tcPr>
          <w:p w14:paraId="2F4BA53D" w14:textId="00892DD6" w:rsidR="00E30D6F" w:rsidRPr="001D1CD5" w:rsidRDefault="004611A3" w:rsidP="00E30D6F">
            <w:pPr>
              <w:pStyle w:val="Body"/>
              <w:spacing w:after="120" w:line="276" w:lineRule="auto"/>
              <w:rPr>
                <w:rFonts w:asciiTheme="minorHAnsi" w:eastAsia="Calibri" w:hAnsiTheme="minorHAnsi" w:cs="Calibri"/>
                <w:b/>
                <w:bCs/>
                <w:color w:val="auto"/>
                <w:sz w:val="28"/>
                <w:szCs w:val="28"/>
                <w:u w:color="0070C0"/>
              </w:rPr>
            </w:pPr>
            <w:r w:rsidRPr="001D1CD5">
              <w:rPr>
                <w:rFonts w:asciiTheme="minorHAnsi" w:eastAsia="Times New Roman" w:hAnsiTheme="minorHAnsi"/>
                <w:b/>
                <w:color w:val="auto"/>
                <w:sz w:val="28"/>
                <w:szCs w:val="28"/>
              </w:rPr>
              <w:t>Regulated weekend penalty rates for selected consumer services</w:t>
            </w:r>
          </w:p>
        </w:tc>
        <w:tc>
          <w:tcPr>
            <w:tcW w:w="697" w:type="dxa"/>
          </w:tcPr>
          <w:p w14:paraId="040EDA8C" w14:textId="4C490CF6" w:rsidR="00E30D6F" w:rsidRPr="001D1CD5" w:rsidRDefault="009C01C3"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39</w:t>
            </w:r>
          </w:p>
        </w:tc>
      </w:tr>
      <w:tr w:rsidR="004611A3" w:rsidRPr="001D1CD5" w14:paraId="266C6B09" w14:textId="77777777" w:rsidTr="004611A3">
        <w:tc>
          <w:tcPr>
            <w:tcW w:w="764" w:type="dxa"/>
          </w:tcPr>
          <w:p w14:paraId="00FF5482" w14:textId="0D01F478" w:rsidR="004611A3" w:rsidRPr="001D1CD5" w:rsidRDefault="004611A3" w:rsidP="004611A3">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14.1</w:t>
            </w:r>
          </w:p>
        </w:tc>
        <w:tc>
          <w:tcPr>
            <w:tcW w:w="8387" w:type="dxa"/>
          </w:tcPr>
          <w:p w14:paraId="5E59C236" w14:textId="04FC033E" w:rsidR="004611A3" w:rsidRPr="001D1CD5" w:rsidRDefault="004611A3" w:rsidP="00E30D6F">
            <w:pPr>
              <w:pStyle w:val="Body"/>
              <w:spacing w:after="120" w:line="276" w:lineRule="auto"/>
              <w:rPr>
                <w:rFonts w:asciiTheme="minorHAnsi" w:eastAsia="Times New Roman" w:hAnsiTheme="minorHAnsi"/>
                <w:color w:val="auto"/>
                <w:sz w:val="24"/>
                <w:szCs w:val="24"/>
              </w:rPr>
            </w:pPr>
            <w:r w:rsidRPr="001D1CD5">
              <w:rPr>
                <w:rFonts w:asciiTheme="minorHAnsi" w:eastAsia="Times New Roman" w:hAnsiTheme="minorHAnsi"/>
                <w:color w:val="auto"/>
                <w:sz w:val="24"/>
                <w:szCs w:val="24"/>
              </w:rPr>
              <w:t>Weekend penalty rates</w:t>
            </w:r>
          </w:p>
        </w:tc>
        <w:tc>
          <w:tcPr>
            <w:tcW w:w="697" w:type="dxa"/>
          </w:tcPr>
          <w:p w14:paraId="347C7A4B" w14:textId="76870A96" w:rsidR="004611A3" w:rsidRPr="001D1CD5" w:rsidRDefault="009C01C3"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39</w:t>
            </w:r>
          </w:p>
        </w:tc>
      </w:tr>
      <w:tr w:rsidR="004611A3" w:rsidRPr="001D1CD5" w14:paraId="48374FEC" w14:textId="77777777" w:rsidTr="004611A3">
        <w:tc>
          <w:tcPr>
            <w:tcW w:w="764" w:type="dxa"/>
          </w:tcPr>
          <w:p w14:paraId="162E07C8" w14:textId="1F0C4A01" w:rsidR="004611A3" w:rsidRPr="001D1CD5" w:rsidRDefault="004611A3" w:rsidP="004611A3">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14.2</w:t>
            </w:r>
          </w:p>
        </w:tc>
        <w:tc>
          <w:tcPr>
            <w:tcW w:w="8387" w:type="dxa"/>
          </w:tcPr>
          <w:p w14:paraId="7EED4AC2" w14:textId="5315026B" w:rsidR="004611A3" w:rsidRPr="001D1CD5" w:rsidRDefault="004611A3" w:rsidP="00E30D6F">
            <w:pPr>
              <w:pStyle w:val="Body"/>
              <w:spacing w:after="120" w:line="276" w:lineRule="auto"/>
              <w:rPr>
                <w:rFonts w:asciiTheme="minorHAnsi" w:eastAsia="Times New Roman" w:hAnsiTheme="minorHAnsi"/>
                <w:color w:val="auto"/>
                <w:sz w:val="24"/>
                <w:szCs w:val="24"/>
              </w:rPr>
            </w:pPr>
            <w:r w:rsidRPr="001D1CD5">
              <w:rPr>
                <w:rFonts w:asciiTheme="minorHAnsi" w:eastAsia="Times New Roman" w:hAnsiTheme="minorHAnsi"/>
                <w:color w:val="auto"/>
                <w:sz w:val="24"/>
                <w:szCs w:val="24"/>
              </w:rPr>
              <w:t>Preferred hours clauses</w:t>
            </w:r>
          </w:p>
        </w:tc>
        <w:tc>
          <w:tcPr>
            <w:tcW w:w="697" w:type="dxa"/>
          </w:tcPr>
          <w:p w14:paraId="705A0323" w14:textId="1D0F3B26" w:rsidR="004611A3" w:rsidRPr="001D1CD5" w:rsidRDefault="00813A2E"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40</w:t>
            </w:r>
          </w:p>
        </w:tc>
      </w:tr>
      <w:tr w:rsidR="00E30D6F" w:rsidRPr="001D1CD5" w14:paraId="53A5DE8C" w14:textId="77777777" w:rsidTr="004611A3">
        <w:tc>
          <w:tcPr>
            <w:tcW w:w="764" w:type="dxa"/>
          </w:tcPr>
          <w:p w14:paraId="43EA47B9" w14:textId="399C2BC5" w:rsidR="00E30D6F" w:rsidRPr="001D1CD5" w:rsidRDefault="00E30D6F" w:rsidP="00174105">
            <w:pPr>
              <w:pStyle w:val="Body"/>
              <w:numPr>
                <w:ilvl w:val="0"/>
                <w:numId w:val="32"/>
              </w:numPr>
              <w:spacing w:after="120" w:line="276" w:lineRule="auto"/>
              <w:rPr>
                <w:rFonts w:asciiTheme="minorHAnsi" w:eastAsia="Calibri" w:hAnsiTheme="minorHAnsi" w:cs="Calibri"/>
                <w:bCs/>
                <w:color w:val="auto"/>
                <w:sz w:val="24"/>
                <w:szCs w:val="24"/>
                <w:u w:color="0070C0"/>
              </w:rPr>
            </w:pPr>
          </w:p>
        </w:tc>
        <w:tc>
          <w:tcPr>
            <w:tcW w:w="8387" w:type="dxa"/>
          </w:tcPr>
          <w:p w14:paraId="0DCE5F40" w14:textId="726D5382" w:rsidR="00E30D6F" w:rsidRPr="001D1CD5" w:rsidRDefault="00AD2E78" w:rsidP="00E30D6F">
            <w:pPr>
              <w:pStyle w:val="Body"/>
              <w:spacing w:after="120" w:line="276" w:lineRule="auto"/>
              <w:rPr>
                <w:rFonts w:asciiTheme="minorHAnsi" w:eastAsia="Calibri" w:hAnsiTheme="minorHAnsi" w:cs="Calibri"/>
                <w:b/>
                <w:bCs/>
                <w:color w:val="auto"/>
                <w:sz w:val="28"/>
                <w:szCs w:val="28"/>
                <w:u w:color="0070C0"/>
              </w:rPr>
            </w:pPr>
            <w:r w:rsidRPr="001D1CD5">
              <w:rPr>
                <w:rFonts w:asciiTheme="minorHAnsi" w:eastAsia="Calibri" w:hAnsiTheme="minorHAnsi" w:cs="Calibri"/>
                <w:b/>
                <w:bCs/>
                <w:color w:val="auto"/>
                <w:sz w:val="28"/>
                <w:szCs w:val="28"/>
                <w:u w:color="0070C0"/>
              </w:rPr>
              <w:t>Enterprise bargaining</w:t>
            </w:r>
          </w:p>
        </w:tc>
        <w:tc>
          <w:tcPr>
            <w:tcW w:w="697" w:type="dxa"/>
          </w:tcPr>
          <w:p w14:paraId="4128C1F6" w14:textId="09893A0C" w:rsidR="00E30D6F" w:rsidRPr="001D1CD5" w:rsidRDefault="009C01C3"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41</w:t>
            </w:r>
          </w:p>
        </w:tc>
      </w:tr>
      <w:tr w:rsidR="00E30D6F" w:rsidRPr="001D1CD5" w14:paraId="4EEBF9E3" w14:textId="77777777" w:rsidTr="004611A3">
        <w:tc>
          <w:tcPr>
            <w:tcW w:w="764" w:type="dxa"/>
          </w:tcPr>
          <w:p w14:paraId="1D577515" w14:textId="7E209153" w:rsidR="00E30D6F" w:rsidRPr="001D1CD5" w:rsidRDefault="00AD2E78" w:rsidP="00AD2E78">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15.1</w:t>
            </w:r>
          </w:p>
        </w:tc>
        <w:tc>
          <w:tcPr>
            <w:tcW w:w="8387" w:type="dxa"/>
          </w:tcPr>
          <w:p w14:paraId="3F336066" w14:textId="2967E486" w:rsidR="00E30D6F" w:rsidRPr="001D1CD5" w:rsidRDefault="00581E95" w:rsidP="00E30D6F">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Undue emphasis on procedural requirements during the approval stage</w:t>
            </w:r>
          </w:p>
        </w:tc>
        <w:tc>
          <w:tcPr>
            <w:tcW w:w="697" w:type="dxa"/>
          </w:tcPr>
          <w:p w14:paraId="3106049E" w14:textId="0C26EFF7" w:rsidR="00E30D6F" w:rsidRPr="001D1CD5" w:rsidRDefault="009C01C3"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41</w:t>
            </w:r>
          </w:p>
        </w:tc>
      </w:tr>
      <w:tr w:rsidR="00AD2E78" w:rsidRPr="001D1CD5" w14:paraId="3AC17F59" w14:textId="77777777" w:rsidTr="004611A3">
        <w:tc>
          <w:tcPr>
            <w:tcW w:w="764" w:type="dxa"/>
          </w:tcPr>
          <w:p w14:paraId="647884C2" w14:textId="42741E8E" w:rsidR="00AD2E78" w:rsidRPr="001D1CD5" w:rsidRDefault="00AD2E78" w:rsidP="00AD2E78">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15.2</w:t>
            </w:r>
          </w:p>
        </w:tc>
        <w:tc>
          <w:tcPr>
            <w:tcW w:w="8387" w:type="dxa"/>
          </w:tcPr>
          <w:p w14:paraId="7E89E5EF" w14:textId="3657A52C" w:rsidR="00AD2E78" w:rsidRPr="001D1CD5" w:rsidRDefault="00581E95" w:rsidP="00E30D6F">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Pattern agreements and pattern bargaining</w:t>
            </w:r>
          </w:p>
        </w:tc>
        <w:tc>
          <w:tcPr>
            <w:tcW w:w="697" w:type="dxa"/>
          </w:tcPr>
          <w:p w14:paraId="0B46EB67" w14:textId="070588C2" w:rsidR="00AD2E78" w:rsidRPr="001D1CD5" w:rsidRDefault="009C01C3"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41</w:t>
            </w:r>
          </w:p>
        </w:tc>
      </w:tr>
      <w:tr w:rsidR="00AD2E78" w:rsidRPr="001D1CD5" w14:paraId="3955E31C" w14:textId="77777777" w:rsidTr="004611A3">
        <w:tc>
          <w:tcPr>
            <w:tcW w:w="764" w:type="dxa"/>
          </w:tcPr>
          <w:p w14:paraId="2C3F4443" w14:textId="6E269CAA" w:rsidR="00AD2E78" w:rsidRPr="001D1CD5" w:rsidRDefault="00581E95" w:rsidP="00AD2E78">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15.3</w:t>
            </w:r>
          </w:p>
        </w:tc>
        <w:tc>
          <w:tcPr>
            <w:tcW w:w="8387" w:type="dxa"/>
          </w:tcPr>
          <w:p w14:paraId="122A8A65" w14:textId="7E915B48" w:rsidR="00AD2E78" w:rsidRPr="001D1CD5" w:rsidRDefault="00581E95" w:rsidP="00E30D6F">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 xml:space="preserve">Non-permitted matters </w:t>
            </w:r>
          </w:p>
        </w:tc>
        <w:tc>
          <w:tcPr>
            <w:tcW w:w="697" w:type="dxa"/>
          </w:tcPr>
          <w:p w14:paraId="050C062F" w14:textId="16ED5CBC" w:rsidR="00AD2E78" w:rsidRPr="001D1CD5" w:rsidRDefault="009C01C3"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43</w:t>
            </w:r>
          </w:p>
        </w:tc>
      </w:tr>
      <w:tr w:rsidR="00581E95" w:rsidRPr="001D1CD5" w14:paraId="2BF9B1E9" w14:textId="77777777" w:rsidTr="004611A3">
        <w:tc>
          <w:tcPr>
            <w:tcW w:w="764" w:type="dxa"/>
          </w:tcPr>
          <w:p w14:paraId="28E671DD" w14:textId="5A551DB7" w:rsidR="00581E95" w:rsidRPr="001D1CD5" w:rsidRDefault="00581E95" w:rsidP="00AD2E78">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15.4</w:t>
            </w:r>
          </w:p>
        </w:tc>
        <w:tc>
          <w:tcPr>
            <w:tcW w:w="8387" w:type="dxa"/>
          </w:tcPr>
          <w:p w14:paraId="2BAAEE93" w14:textId="36461A03" w:rsidR="00581E95" w:rsidRPr="001D1CD5" w:rsidRDefault="00581E95" w:rsidP="00E30D6F">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Mandatory terms</w:t>
            </w:r>
          </w:p>
        </w:tc>
        <w:tc>
          <w:tcPr>
            <w:tcW w:w="697" w:type="dxa"/>
          </w:tcPr>
          <w:p w14:paraId="578F3539" w14:textId="0A4DD8B5" w:rsidR="00581E95" w:rsidRPr="001D1CD5" w:rsidRDefault="009C01C3"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44</w:t>
            </w:r>
          </w:p>
        </w:tc>
      </w:tr>
      <w:tr w:rsidR="00581E95" w:rsidRPr="001D1CD5" w14:paraId="55EA99F4" w14:textId="77777777" w:rsidTr="004611A3">
        <w:tc>
          <w:tcPr>
            <w:tcW w:w="764" w:type="dxa"/>
          </w:tcPr>
          <w:p w14:paraId="252B0832" w14:textId="0E61EE58" w:rsidR="00581E95" w:rsidRPr="001D1CD5" w:rsidRDefault="00581E95" w:rsidP="00AD2E78">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15.5</w:t>
            </w:r>
          </w:p>
        </w:tc>
        <w:tc>
          <w:tcPr>
            <w:tcW w:w="8387" w:type="dxa"/>
          </w:tcPr>
          <w:p w14:paraId="7EE623C0" w14:textId="6C73EC88" w:rsidR="00581E95" w:rsidRPr="001D1CD5" w:rsidRDefault="00581E95" w:rsidP="00E30D6F">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Duration of enterprise agreements</w:t>
            </w:r>
          </w:p>
        </w:tc>
        <w:tc>
          <w:tcPr>
            <w:tcW w:w="697" w:type="dxa"/>
          </w:tcPr>
          <w:p w14:paraId="5DF688CA" w14:textId="28EC51BB" w:rsidR="00581E95" w:rsidRPr="001D1CD5" w:rsidRDefault="009C01C3"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44</w:t>
            </w:r>
          </w:p>
        </w:tc>
      </w:tr>
      <w:tr w:rsidR="00581E95" w:rsidRPr="001D1CD5" w14:paraId="75E6F57B" w14:textId="77777777" w:rsidTr="004611A3">
        <w:tc>
          <w:tcPr>
            <w:tcW w:w="764" w:type="dxa"/>
          </w:tcPr>
          <w:p w14:paraId="2421070D" w14:textId="5E0158EB" w:rsidR="00581E95" w:rsidRPr="001D1CD5" w:rsidRDefault="00581E95" w:rsidP="00AD2E78">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15.6</w:t>
            </w:r>
          </w:p>
        </w:tc>
        <w:tc>
          <w:tcPr>
            <w:tcW w:w="8387" w:type="dxa"/>
          </w:tcPr>
          <w:p w14:paraId="2218364C" w14:textId="6838F74B" w:rsidR="00581E95" w:rsidRPr="001D1CD5" w:rsidRDefault="00581E95" w:rsidP="00E30D6F">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Promotion of productivity improvements through enterprise bargaining</w:t>
            </w:r>
          </w:p>
        </w:tc>
        <w:tc>
          <w:tcPr>
            <w:tcW w:w="697" w:type="dxa"/>
          </w:tcPr>
          <w:p w14:paraId="15E7BA68" w14:textId="77474951" w:rsidR="00581E95" w:rsidRPr="001D1CD5" w:rsidRDefault="009C01C3"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45</w:t>
            </w:r>
          </w:p>
        </w:tc>
      </w:tr>
      <w:tr w:rsidR="00581E95" w:rsidRPr="001D1CD5" w14:paraId="15F7F2E9" w14:textId="77777777" w:rsidTr="004611A3">
        <w:tc>
          <w:tcPr>
            <w:tcW w:w="764" w:type="dxa"/>
          </w:tcPr>
          <w:p w14:paraId="0D2B50BC" w14:textId="74BD1CFD" w:rsidR="00581E95" w:rsidRPr="001D1CD5" w:rsidRDefault="00581E95" w:rsidP="00AD2E78">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15.7</w:t>
            </w:r>
          </w:p>
        </w:tc>
        <w:tc>
          <w:tcPr>
            <w:tcW w:w="8387" w:type="dxa"/>
          </w:tcPr>
          <w:p w14:paraId="51C4E25C" w14:textId="654A234C" w:rsidR="00581E95" w:rsidRPr="001D1CD5" w:rsidRDefault="00581E95" w:rsidP="00E30D6F">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Better Off Overall Test / No Disadvantage Test</w:t>
            </w:r>
          </w:p>
        </w:tc>
        <w:tc>
          <w:tcPr>
            <w:tcW w:w="697" w:type="dxa"/>
          </w:tcPr>
          <w:p w14:paraId="092CC7C1" w14:textId="38307FD6" w:rsidR="00581E95" w:rsidRPr="001D1CD5" w:rsidRDefault="00813A2E"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45</w:t>
            </w:r>
          </w:p>
        </w:tc>
      </w:tr>
      <w:tr w:rsidR="00581E95" w:rsidRPr="001D1CD5" w14:paraId="753AF6EE" w14:textId="77777777" w:rsidTr="004611A3">
        <w:tc>
          <w:tcPr>
            <w:tcW w:w="764" w:type="dxa"/>
          </w:tcPr>
          <w:p w14:paraId="642E862C" w14:textId="160E0C26" w:rsidR="00581E95" w:rsidRPr="001D1CD5" w:rsidRDefault="00581E95" w:rsidP="00AD2E78">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15.8</w:t>
            </w:r>
          </w:p>
        </w:tc>
        <w:tc>
          <w:tcPr>
            <w:tcW w:w="8387" w:type="dxa"/>
          </w:tcPr>
          <w:p w14:paraId="67DE224B" w14:textId="24FBA733" w:rsidR="00581E95" w:rsidRPr="001D1CD5" w:rsidRDefault="00581E95" w:rsidP="00E30D6F">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Bargaining representatives</w:t>
            </w:r>
          </w:p>
        </w:tc>
        <w:tc>
          <w:tcPr>
            <w:tcW w:w="697" w:type="dxa"/>
          </w:tcPr>
          <w:p w14:paraId="4FD68F0E" w14:textId="6F6AF605" w:rsidR="00581E95" w:rsidRPr="001D1CD5" w:rsidRDefault="009C01C3"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46</w:t>
            </w:r>
          </w:p>
        </w:tc>
      </w:tr>
      <w:tr w:rsidR="00581E95" w:rsidRPr="001D1CD5" w14:paraId="42F4A2B6" w14:textId="77777777" w:rsidTr="004611A3">
        <w:tc>
          <w:tcPr>
            <w:tcW w:w="764" w:type="dxa"/>
          </w:tcPr>
          <w:p w14:paraId="72200969" w14:textId="33F4D969" w:rsidR="00581E95" w:rsidRPr="001D1CD5" w:rsidRDefault="00581E95" w:rsidP="00AD2E78">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lastRenderedPageBreak/>
              <w:t>15.9</w:t>
            </w:r>
          </w:p>
        </w:tc>
        <w:tc>
          <w:tcPr>
            <w:tcW w:w="8387" w:type="dxa"/>
          </w:tcPr>
          <w:p w14:paraId="5215F236" w14:textId="53454F2F" w:rsidR="00581E95" w:rsidRPr="001D1CD5" w:rsidRDefault="00581E95" w:rsidP="00E30D6F">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Greenfields agreements</w:t>
            </w:r>
          </w:p>
        </w:tc>
        <w:tc>
          <w:tcPr>
            <w:tcW w:w="697" w:type="dxa"/>
          </w:tcPr>
          <w:p w14:paraId="2EF9DF34" w14:textId="773FC014" w:rsidR="00581E95" w:rsidRPr="001D1CD5" w:rsidRDefault="009C01C3"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47</w:t>
            </w:r>
          </w:p>
        </w:tc>
      </w:tr>
      <w:tr w:rsidR="00FE0A2F" w:rsidRPr="001D1CD5" w14:paraId="6D9CBAB4" w14:textId="77777777" w:rsidTr="004611A3">
        <w:tc>
          <w:tcPr>
            <w:tcW w:w="764" w:type="dxa"/>
          </w:tcPr>
          <w:p w14:paraId="1D324A92" w14:textId="30B38214" w:rsidR="00FE0A2F" w:rsidRPr="001D1CD5" w:rsidRDefault="00FE0A2F" w:rsidP="00AD2E78">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15.10</w:t>
            </w:r>
          </w:p>
        </w:tc>
        <w:tc>
          <w:tcPr>
            <w:tcW w:w="8387" w:type="dxa"/>
          </w:tcPr>
          <w:p w14:paraId="2D637E9C" w14:textId="71920850" w:rsidR="00FE0A2F" w:rsidRPr="001D1CD5" w:rsidRDefault="00FE0A2F" w:rsidP="00E30D6F">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Termination of enterprise agreements</w:t>
            </w:r>
          </w:p>
        </w:tc>
        <w:tc>
          <w:tcPr>
            <w:tcW w:w="697" w:type="dxa"/>
          </w:tcPr>
          <w:p w14:paraId="5CFCE9A8" w14:textId="3FBC405E" w:rsidR="00FE0A2F" w:rsidRPr="001D1CD5" w:rsidRDefault="009C01C3"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48</w:t>
            </w:r>
          </w:p>
        </w:tc>
      </w:tr>
      <w:tr w:rsidR="00AD2E78" w:rsidRPr="001D1CD5" w14:paraId="4E9D2851" w14:textId="77777777" w:rsidTr="004611A3">
        <w:tc>
          <w:tcPr>
            <w:tcW w:w="764" w:type="dxa"/>
          </w:tcPr>
          <w:p w14:paraId="2EF67F31" w14:textId="77777777" w:rsidR="00AD2E78" w:rsidRPr="001D1CD5" w:rsidRDefault="00AD2E78" w:rsidP="00174105">
            <w:pPr>
              <w:pStyle w:val="Body"/>
              <w:numPr>
                <w:ilvl w:val="0"/>
                <w:numId w:val="32"/>
              </w:numPr>
              <w:spacing w:after="120" w:line="276" w:lineRule="auto"/>
              <w:rPr>
                <w:rFonts w:asciiTheme="minorHAnsi" w:eastAsia="Calibri" w:hAnsiTheme="minorHAnsi" w:cs="Calibri"/>
                <w:b/>
                <w:bCs/>
                <w:color w:val="auto"/>
                <w:sz w:val="28"/>
                <w:szCs w:val="28"/>
                <w:u w:color="0070C0"/>
              </w:rPr>
            </w:pPr>
          </w:p>
        </w:tc>
        <w:tc>
          <w:tcPr>
            <w:tcW w:w="8387" w:type="dxa"/>
          </w:tcPr>
          <w:p w14:paraId="417A425C" w14:textId="743EB775" w:rsidR="00AD2E78" w:rsidRPr="001D1CD5" w:rsidRDefault="009D6F47" w:rsidP="00E30D6F">
            <w:pPr>
              <w:pStyle w:val="Body"/>
              <w:spacing w:after="120" w:line="276" w:lineRule="auto"/>
              <w:rPr>
                <w:rFonts w:asciiTheme="minorHAnsi" w:eastAsia="Calibri" w:hAnsiTheme="minorHAnsi" w:cs="Calibri"/>
                <w:b/>
                <w:bCs/>
                <w:color w:val="auto"/>
                <w:sz w:val="28"/>
                <w:szCs w:val="28"/>
                <w:u w:color="0070C0"/>
              </w:rPr>
            </w:pPr>
            <w:r w:rsidRPr="001D1CD5">
              <w:rPr>
                <w:rFonts w:asciiTheme="minorHAnsi" w:eastAsia="Calibri" w:hAnsiTheme="minorHAnsi" w:cs="Calibri"/>
                <w:b/>
                <w:bCs/>
                <w:color w:val="auto"/>
                <w:sz w:val="28"/>
                <w:szCs w:val="28"/>
                <w:u w:color="0070C0"/>
              </w:rPr>
              <w:t>Individual arrangements</w:t>
            </w:r>
          </w:p>
        </w:tc>
        <w:tc>
          <w:tcPr>
            <w:tcW w:w="697" w:type="dxa"/>
          </w:tcPr>
          <w:p w14:paraId="0A5088CF" w14:textId="5EB944C9" w:rsidR="00AD2E78" w:rsidRPr="001D1CD5" w:rsidRDefault="00813A2E"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48</w:t>
            </w:r>
          </w:p>
        </w:tc>
      </w:tr>
      <w:tr w:rsidR="009D6F47" w:rsidRPr="001D1CD5" w14:paraId="6C6B765D" w14:textId="77777777" w:rsidTr="004611A3">
        <w:tc>
          <w:tcPr>
            <w:tcW w:w="764" w:type="dxa"/>
          </w:tcPr>
          <w:p w14:paraId="64A1C3C5" w14:textId="11C88F5D" w:rsidR="009D6F47" w:rsidRPr="001D1CD5" w:rsidRDefault="009D6F47" w:rsidP="009D6F47">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16.1</w:t>
            </w:r>
          </w:p>
        </w:tc>
        <w:tc>
          <w:tcPr>
            <w:tcW w:w="8387" w:type="dxa"/>
          </w:tcPr>
          <w:p w14:paraId="2CE046F7" w14:textId="135BE3BA" w:rsidR="009D6F47" w:rsidRPr="001D1CD5" w:rsidRDefault="009D6F47" w:rsidP="00E30D6F">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Statutory individual agreements</w:t>
            </w:r>
          </w:p>
        </w:tc>
        <w:tc>
          <w:tcPr>
            <w:tcW w:w="697" w:type="dxa"/>
          </w:tcPr>
          <w:p w14:paraId="330F48E0" w14:textId="0490BB2C" w:rsidR="009D6F47" w:rsidRPr="001D1CD5" w:rsidRDefault="00813A2E"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48</w:t>
            </w:r>
          </w:p>
        </w:tc>
      </w:tr>
      <w:tr w:rsidR="009D6F47" w:rsidRPr="001D1CD5" w14:paraId="39B7FEE4" w14:textId="77777777" w:rsidTr="004611A3">
        <w:tc>
          <w:tcPr>
            <w:tcW w:w="764" w:type="dxa"/>
          </w:tcPr>
          <w:p w14:paraId="0D280460" w14:textId="59581D43" w:rsidR="009D6F47" w:rsidRPr="001D1CD5" w:rsidRDefault="009D6F47" w:rsidP="009D6F47">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16.2</w:t>
            </w:r>
          </w:p>
        </w:tc>
        <w:tc>
          <w:tcPr>
            <w:tcW w:w="8387" w:type="dxa"/>
          </w:tcPr>
          <w:p w14:paraId="533C9DFB" w14:textId="079A7896" w:rsidR="009D6F47" w:rsidRPr="001D1CD5" w:rsidRDefault="009D6F47" w:rsidP="00E30D6F">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Individual Flexibility Arrangements</w:t>
            </w:r>
          </w:p>
        </w:tc>
        <w:tc>
          <w:tcPr>
            <w:tcW w:w="697" w:type="dxa"/>
          </w:tcPr>
          <w:p w14:paraId="57858E7C" w14:textId="3F694CE5" w:rsidR="009D6F47" w:rsidRPr="001D1CD5" w:rsidRDefault="00813A2E"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49</w:t>
            </w:r>
          </w:p>
        </w:tc>
      </w:tr>
      <w:tr w:rsidR="009D6F47" w:rsidRPr="001D1CD5" w14:paraId="3724972E" w14:textId="77777777" w:rsidTr="004611A3">
        <w:tc>
          <w:tcPr>
            <w:tcW w:w="764" w:type="dxa"/>
          </w:tcPr>
          <w:p w14:paraId="0D245381" w14:textId="24678203" w:rsidR="009D6F47" w:rsidRPr="001D1CD5" w:rsidRDefault="009D6F47" w:rsidP="009D6F47">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16.3</w:t>
            </w:r>
          </w:p>
        </w:tc>
        <w:tc>
          <w:tcPr>
            <w:tcW w:w="8387" w:type="dxa"/>
          </w:tcPr>
          <w:p w14:paraId="45A446A4" w14:textId="31F36B6E" w:rsidR="009D6F47" w:rsidRPr="001D1CD5" w:rsidRDefault="009D6F47" w:rsidP="00E30D6F">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Objects of the Act</w:t>
            </w:r>
          </w:p>
        </w:tc>
        <w:tc>
          <w:tcPr>
            <w:tcW w:w="697" w:type="dxa"/>
          </w:tcPr>
          <w:p w14:paraId="4A36E60F" w14:textId="45B7B2BA" w:rsidR="009D6F47" w:rsidRPr="001D1CD5" w:rsidRDefault="00813A2E"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50</w:t>
            </w:r>
          </w:p>
        </w:tc>
      </w:tr>
      <w:tr w:rsidR="00E30D6F" w:rsidRPr="001D1CD5" w14:paraId="47E2D1DB" w14:textId="77777777" w:rsidTr="004611A3">
        <w:tc>
          <w:tcPr>
            <w:tcW w:w="764" w:type="dxa"/>
          </w:tcPr>
          <w:p w14:paraId="4DDE6729" w14:textId="568BB58F" w:rsidR="00E30D6F" w:rsidRPr="001D1CD5" w:rsidRDefault="00E30D6F" w:rsidP="00174105">
            <w:pPr>
              <w:pStyle w:val="Body"/>
              <w:numPr>
                <w:ilvl w:val="0"/>
                <w:numId w:val="32"/>
              </w:numPr>
              <w:spacing w:after="120" w:line="276" w:lineRule="auto"/>
              <w:rPr>
                <w:rFonts w:asciiTheme="minorHAnsi" w:eastAsia="Calibri" w:hAnsiTheme="minorHAnsi" w:cs="Calibri"/>
                <w:b/>
                <w:bCs/>
                <w:color w:val="auto"/>
                <w:sz w:val="28"/>
                <w:szCs w:val="28"/>
                <w:u w:color="0070C0"/>
              </w:rPr>
            </w:pPr>
          </w:p>
        </w:tc>
        <w:tc>
          <w:tcPr>
            <w:tcW w:w="8387" w:type="dxa"/>
          </w:tcPr>
          <w:p w14:paraId="682866BC" w14:textId="6B3090C4" w:rsidR="00E30D6F" w:rsidRPr="001D1CD5" w:rsidRDefault="004567C2" w:rsidP="007E5F00">
            <w:pPr>
              <w:pStyle w:val="Body"/>
              <w:spacing w:after="120" w:line="276" w:lineRule="auto"/>
              <w:rPr>
                <w:rFonts w:asciiTheme="minorHAnsi" w:eastAsia="Calibri" w:hAnsiTheme="minorHAnsi" w:cs="Calibri"/>
                <w:b/>
                <w:bCs/>
                <w:color w:val="auto"/>
                <w:sz w:val="28"/>
                <w:szCs w:val="28"/>
                <w:u w:color="0070C0"/>
              </w:rPr>
            </w:pPr>
            <w:r w:rsidRPr="001D1CD5">
              <w:rPr>
                <w:rFonts w:asciiTheme="minorHAnsi" w:eastAsia="Calibri" w:hAnsiTheme="minorHAnsi" w:cs="Calibri"/>
                <w:b/>
                <w:bCs/>
                <w:color w:val="auto"/>
                <w:sz w:val="28"/>
                <w:szCs w:val="28"/>
                <w:u w:color="0070C0"/>
              </w:rPr>
              <w:t>The Enterprise Contract</w:t>
            </w:r>
          </w:p>
        </w:tc>
        <w:tc>
          <w:tcPr>
            <w:tcW w:w="697" w:type="dxa"/>
          </w:tcPr>
          <w:p w14:paraId="70FA2824" w14:textId="45686E87" w:rsidR="00E30D6F" w:rsidRPr="001D1CD5" w:rsidRDefault="009C01C3"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51</w:t>
            </w:r>
          </w:p>
        </w:tc>
      </w:tr>
      <w:tr w:rsidR="00E30D6F" w:rsidRPr="001D1CD5" w14:paraId="346865A1" w14:textId="77777777" w:rsidTr="004611A3">
        <w:tc>
          <w:tcPr>
            <w:tcW w:w="764" w:type="dxa"/>
          </w:tcPr>
          <w:p w14:paraId="6399A43C" w14:textId="266E18E9" w:rsidR="00E30D6F" w:rsidRPr="001D1CD5" w:rsidRDefault="00E30D6F" w:rsidP="00174105">
            <w:pPr>
              <w:pStyle w:val="Body"/>
              <w:numPr>
                <w:ilvl w:val="0"/>
                <w:numId w:val="32"/>
              </w:numPr>
              <w:spacing w:after="120" w:line="276" w:lineRule="auto"/>
              <w:rPr>
                <w:rFonts w:asciiTheme="minorHAnsi" w:eastAsia="Calibri" w:hAnsiTheme="minorHAnsi" w:cs="Calibri"/>
                <w:b/>
                <w:bCs/>
                <w:color w:val="auto"/>
                <w:sz w:val="28"/>
                <w:szCs w:val="28"/>
                <w:u w:color="0070C0"/>
              </w:rPr>
            </w:pPr>
          </w:p>
        </w:tc>
        <w:tc>
          <w:tcPr>
            <w:tcW w:w="8387" w:type="dxa"/>
          </w:tcPr>
          <w:p w14:paraId="183E7E4C" w14:textId="45D0FDA6" w:rsidR="00E30D6F" w:rsidRPr="001D1CD5" w:rsidRDefault="00174105" w:rsidP="00E30D6F">
            <w:pPr>
              <w:pStyle w:val="Body"/>
              <w:spacing w:after="120" w:line="276" w:lineRule="auto"/>
              <w:rPr>
                <w:rFonts w:asciiTheme="minorHAnsi" w:eastAsia="Calibri" w:hAnsiTheme="minorHAnsi" w:cs="Calibri"/>
                <w:b/>
                <w:bCs/>
                <w:color w:val="auto"/>
                <w:sz w:val="28"/>
                <w:szCs w:val="28"/>
                <w:u w:color="0070C0"/>
              </w:rPr>
            </w:pPr>
            <w:r w:rsidRPr="001D1CD5">
              <w:rPr>
                <w:rFonts w:asciiTheme="minorHAnsi" w:eastAsia="Calibri" w:hAnsiTheme="minorHAnsi" w:cs="Calibri"/>
                <w:b/>
                <w:bCs/>
                <w:color w:val="auto"/>
                <w:sz w:val="28"/>
                <w:szCs w:val="28"/>
                <w:u w:color="0070C0"/>
              </w:rPr>
              <w:t>Public sector bargaining</w:t>
            </w:r>
          </w:p>
        </w:tc>
        <w:tc>
          <w:tcPr>
            <w:tcW w:w="697" w:type="dxa"/>
          </w:tcPr>
          <w:p w14:paraId="307FDDB0" w14:textId="2B7EA1C9" w:rsidR="00E30D6F" w:rsidRPr="001D1CD5" w:rsidRDefault="00813A2E"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53</w:t>
            </w:r>
          </w:p>
        </w:tc>
      </w:tr>
      <w:tr w:rsidR="00E30D6F" w:rsidRPr="001D1CD5" w14:paraId="483DE1A0" w14:textId="77777777" w:rsidTr="004611A3">
        <w:tc>
          <w:tcPr>
            <w:tcW w:w="764" w:type="dxa"/>
          </w:tcPr>
          <w:p w14:paraId="240FB046" w14:textId="76E2F246" w:rsidR="00E30D6F" w:rsidRPr="001D1CD5" w:rsidRDefault="00E30D6F" w:rsidP="00174105">
            <w:pPr>
              <w:pStyle w:val="Body"/>
              <w:numPr>
                <w:ilvl w:val="0"/>
                <w:numId w:val="32"/>
              </w:numPr>
              <w:spacing w:after="120" w:line="276" w:lineRule="auto"/>
              <w:rPr>
                <w:rFonts w:asciiTheme="minorHAnsi" w:eastAsia="Calibri" w:hAnsiTheme="minorHAnsi" w:cs="Calibri"/>
                <w:b/>
                <w:bCs/>
                <w:color w:val="auto"/>
                <w:sz w:val="28"/>
                <w:szCs w:val="28"/>
                <w:u w:color="0070C0"/>
              </w:rPr>
            </w:pPr>
          </w:p>
        </w:tc>
        <w:tc>
          <w:tcPr>
            <w:tcW w:w="8387" w:type="dxa"/>
          </w:tcPr>
          <w:p w14:paraId="08EA3EA8" w14:textId="1ECDC459" w:rsidR="00E30D6F" w:rsidRPr="001D1CD5" w:rsidRDefault="00D854A5" w:rsidP="00E30D6F">
            <w:pPr>
              <w:pStyle w:val="Body"/>
              <w:spacing w:after="120" w:line="276" w:lineRule="auto"/>
              <w:rPr>
                <w:rFonts w:asciiTheme="minorHAnsi" w:eastAsia="Calibri" w:hAnsiTheme="minorHAnsi" w:cs="Calibri"/>
                <w:b/>
                <w:bCs/>
                <w:color w:val="auto"/>
                <w:sz w:val="28"/>
                <w:szCs w:val="28"/>
                <w:u w:color="0070C0"/>
              </w:rPr>
            </w:pPr>
            <w:r w:rsidRPr="001D1CD5">
              <w:rPr>
                <w:rFonts w:asciiTheme="minorHAnsi" w:eastAsia="Calibri" w:hAnsiTheme="minorHAnsi" w:cs="Calibri"/>
                <w:b/>
                <w:bCs/>
                <w:color w:val="auto"/>
                <w:sz w:val="28"/>
                <w:szCs w:val="28"/>
                <w:u w:color="0070C0"/>
              </w:rPr>
              <w:t>Industrial disputes and right of entry</w:t>
            </w:r>
          </w:p>
        </w:tc>
        <w:tc>
          <w:tcPr>
            <w:tcW w:w="697" w:type="dxa"/>
          </w:tcPr>
          <w:p w14:paraId="1D72629D" w14:textId="52945C43" w:rsidR="00E30D6F" w:rsidRPr="001D1CD5" w:rsidRDefault="009C01C3"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54</w:t>
            </w:r>
          </w:p>
        </w:tc>
      </w:tr>
      <w:tr w:rsidR="00D854A5" w:rsidRPr="001D1CD5" w14:paraId="2D2D0B11" w14:textId="77777777" w:rsidTr="004611A3">
        <w:tc>
          <w:tcPr>
            <w:tcW w:w="764" w:type="dxa"/>
          </w:tcPr>
          <w:p w14:paraId="08C65BE5" w14:textId="58229509" w:rsidR="00D854A5" w:rsidRPr="001D1CD5" w:rsidRDefault="00D854A5" w:rsidP="00D854A5">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19.1</w:t>
            </w:r>
          </w:p>
        </w:tc>
        <w:tc>
          <w:tcPr>
            <w:tcW w:w="8387" w:type="dxa"/>
          </w:tcPr>
          <w:p w14:paraId="3CC01EAF" w14:textId="66F4BAE3" w:rsidR="00D854A5" w:rsidRPr="001D1CD5" w:rsidRDefault="00D854A5" w:rsidP="00E30D6F">
            <w:pPr>
              <w:pStyle w:val="Body"/>
              <w:spacing w:after="120" w:line="276" w:lineRule="auto"/>
              <w:rPr>
                <w:rFonts w:asciiTheme="minorHAnsi" w:eastAsia="Calibri" w:hAnsiTheme="minorHAnsi" w:cs="Calibri"/>
                <w:bCs/>
                <w:color w:val="auto"/>
                <w:sz w:val="24"/>
                <w:szCs w:val="24"/>
                <w:u w:color="0070C0"/>
              </w:rPr>
            </w:pPr>
            <w:r w:rsidRPr="001D1CD5">
              <w:rPr>
                <w:rFonts w:asciiTheme="minorHAnsi" w:hAnsiTheme="minorHAnsi" w:cs="Arial"/>
                <w:color w:val="451E51"/>
                <w:sz w:val="24"/>
                <w:szCs w:val="24"/>
              </w:rPr>
              <w:t xml:space="preserve">Requiring bargaining to commence before </w:t>
            </w:r>
            <w:proofErr w:type="spellStart"/>
            <w:r w:rsidRPr="001D1CD5">
              <w:rPr>
                <w:rFonts w:asciiTheme="minorHAnsi" w:hAnsiTheme="minorHAnsi" w:cs="Arial"/>
                <w:color w:val="451E51"/>
                <w:sz w:val="24"/>
                <w:szCs w:val="24"/>
              </w:rPr>
              <w:t>authorising</w:t>
            </w:r>
            <w:proofErr w:type="spellEnd"/>
            <w:r w:rsidRPr="001D1CD5">
              <w:rPr>
                <w:rFonts w:asciiTheme="minorHAnsi" w:hAnsiTheme="minorHAnsi" w:cs="Arial"/>
                <w:color w:val="451E51"/>
                <w:sz w:val="24"/>
                <w:szCs w:val="24"/>
              </w:rPr>
              <w:t xml:space="preserve"> protected industrial action</w:t>
            </w:r>
          </w:p>
        </w:tc>
        <w:tc>
          <w:tcPr>
            <w:tcW w:w="697" w:type="dxa"/>
          </w:tcPr>
          <w:p w14:paraId="3165E5C9" w14:textId="3105C3B9" w:rsidR="00D854A5" w:rsidRPr="001D1CD5" w:rsidRDefault="009C01C3"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54</w:t>
            </w:r>
          </w:p>
        </w:tc>
      </w:tr>
      <w:tr w:rsidR="00D854A5" w:rsidRPr="001D1CD5" w14:paraId="2664E10F" w14:textId="77777777" w:rsidTr="004611A3">
        <w:tc>
          <w:tcPr>
            <w:tcW w:w="764" w:type="dxa"/>
          </w:tcPr>
          <w:p w14:paraId="53513AA6" w14:textId="41BC4DE4" w:rsidR="00D854A5" w:rsidRPr="001D1CD5" w:rsidRDefault="00D854A5" w:rsidP="00D854A5">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19.2</w:t>
            </w:r>
          </w:p>
        </w:tc>
        <w:tc>
          <w:tcPr>
            <w:tcW w:w="8387" w:type="dxa"/>
          </w:tcPr>
          <w:p w14:paraId="6E43DB20" w14:textId="55B282CF" w:rsidR="00D854A5" w:rsidRPr="001D1CD5" w:rsidRDefault="00D854A5" w:rsidP="00E30D6F">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Simplifying protected action ballot order procedures</w:t>
            </w:r>
          </w:p>
        </w:tc>
        <w:tc>
          <w:tcPr>
            <w:tcW w:w="697" w:type="dxa"/>
          </w:tcPr>
          <w:p w14:paraId="3C3A5F40" w14:textId="4FDEB6D5" w:rsidR="00D854A5" w:rsidRPr="001D1CD5" w:rsidRDefault="009C01C3"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54</w:t>
            </w:r>
          </w:p>
        </w:tc>
      </w:tr>
      <w:tr w:rsidR="00D854A5" w:rsidRPr="001D1CD5" w14:paraId="5E4C13A7" w14:textId="77777777" w:rsidTr="004611A3">
        <w:tc>
          <w:tcPr>
            <w:tcW w:w="764" w:type="dxa"/>
          </w:tcPr>
          <w:p w14:paraId="1DFDDC7E" w14:textId="7004F293" w:rsidR="00D854A5" w:rsidRPr="001D1CD5" w:rsidRDefault="00D854A5" w:rsidP="00D854A5">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19.3</w:t>
            </w:r>
          </w:p>
        </w:tc>
        <w:tc>
          <w:tcPr>
            <w:tcW w:w="8387" w:type="dxa"/>
          </w:tcPr>
          <w:p w14:paraId="2F00A118" w14:textId="3BB5C31B" w:rsidR="00D854A5" w:rsidRPr="001D1CD5" w:rsidRDefault="00D854A5" w:rsidP="00E30D6F">
            <w:pPr>
              <w:pStyle w:val="Body"/>
              <w:spacing w:after="120" w:line="276" w:lineRule="auto"/>
              <w:rPr>
                <w:rFonts w:asciiTheme="minorHAnsi" w:eastAsia="Calibri" w:hAnsiTheme="minorHAnsi" w:cs="Calibri"/>
                <w:bCs/>
                <w:color w:val="auto"/>
                <w:sz w:val="24"/>
                <w:szCs w:val="24"/>
                <w:u w:color="0070C0"/>
              </w:rPr>
            </w:pPr>
            <w:r w:rsidRPr="001D1CD5">
              <w:rPr>
                <w:rFonts w:asciiTheme="minorHAnsi" w:hAnsiTheme="minorHAnsi" w:cs="Arial"/>
                <w:color w:val="auto"/>
                <w:sz w:val="24"/>
                <w:szCs w:val="24"/>
              </w:rPr>
              <w:t>Determining whether a party is “genuinely trying to reach an agreement”</w:t>
            </w:r>
          </w:p>
        </w:tc>
        <w:tc>
          <w:tcPr>
            <w:tcW w:w="697" w:type="dxa"/>
          </w:tcPr>
          <w:p w14:paraId="4630EEF5" w14:textId="42CEBB88" w:rsidR="00D854A5" w:rsidRPr="001D1CD5" w:rsidRDefault="009C01C3"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55</w:t>
            </w:r>
          </w:p>
        </w:tc>
      </w:tr>
      <w:tr w:rsidR="00D854A5" w:rsidRPr="001D1CD5" w14:paraId="2796A937" w14:textId="77777777" w:rsidTr="004611A3">
        <w:tc>
          <w:tcPr>
            <w:tcW w:w="764" w:type="dxa"/>
          </w:tcPr>
          <w:p w14:paraId="279AE807" w14:textId="08DAEDF0" w:rsidR="00D854A5" w:rsidRPr="001D1CD5" w:rsidRDefault="00D854A5" w:rsidP="00D854A5">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19.4</w:t>
            </w:r>
          </w:p>
        </w:tc>
        <w:tc>
          <w:tcPr>
            <w:tcW w:w="8387" w:type="dxa"/>
          </w:tcPr>
          <w:p w14:paraId="7CC41FC5" w14:textId="4E53D928" w:rsidR="00D854A5" w:rsidRPr="001D1CD5" w:rsidRDefault="00D854A5" w:rsidP="00E30D6F">
            <w:pPr>
              <w:pStyle w:val="Body"/>
              <w:spacing w:after="120" w:line="276" w:lineRule="auto"/>
              <w:rPr>
                <w:rFonts w:asciiTheme="minorHAnsi" w:eastAsia="Calibri" w:hAnsiTheme="minorHAnsi" w:cs="Calibri"/>
                <w:bCs/>
                <w:color w:val="auto"/>
                <w:sz w:val="24"/>
                <w:szCs w:val="24"/>
                <w:u w:color="0070C0"/>
              </w:rPr>
            </w:pPr>
            <w:r w:rsidRPr="001D1CD5">
              <w:rPr>
                <w:rFonts w:asciiTheme="minorHAnsi" w:hAnsiTheme="minorHAnsi" w:cs="Arial"/>
                <w:color w:val="auto"/>
                <w:sz w:val="24"/>
                <w:szCs w:val="24"/>
              </w:rPr>
              <w:t>It is illogical to allow ballots to be conducted in support of industrial action which would be unlawful</w:t>
            </w:r>
          </w:p>
        </w:tc>
        <w:tc>
          <w:tcPr>
            <w:tcW w:w="697" w:type="dxa"/>
          </w:tcPr>
          <w:p w14:paraId="0B03B07F" w14:textId="1ED6EAE7" w:rsidR="00D854A5" w:rsidRPr="001D1CD5" w:rsidRDefault="00813A2E"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55</w:t>
            </w:r>
          </w:p>
        </w:tc>
      </w:tr>
      <w:tr w:rsidR="00D854A5" w:rsidRPr="001D1CD5" w14:paraId="3767A911" w14:textId="77777777" w:rsidTr="004611A3">
        <w:tc>
          <w:tcPr>
            <w:tcW w:w="764" w:type="dxa"/>
          </w:tcPr>
          <w:p w14:paraId="59E67BD8" w14:textId="51E6BF51" w:rsidR="00D854A5" w:rsidRPr="001D1CD5" w:rsidRDefault="00D854A5" w:rsidP="00D854A5">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19.5</w:t>
            </w:r>
          </w:p>
        </w:tc>
        <w:tc>
          <w:tcPr>
            <w:tcW w:w="8387" w:type="dxa"/>
          </w:tcPr>
          <w:p w14:paraId="7A29F7A4" w14:textId="4009AD8D" w:rsidR="00D854A5" w:rsidRPr="001D1CD5" w:rsidRDefault="00D854A5" w:rsidP="00E30D6F">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Grounds for termination and arbitration of industrial disputes</w:t>
            </w:r>
          </w:p>
        </w:tc>
        <w:tc>
          <w:tcPr>
            <w:tcW w:w="697" w:type="dxa"/>
          </w:tcPr>
          <w:p w14:paraId="370E372E" w14:textId="77AF4CBC" w:rsidR="00D854A5" w:rsidRPr="001D1CD5" w:rsidRDefault="009C01C3"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56</w:t>
            </w:r>
          </w:p>
        </w:tc>
      </w:tr>
      <w:tr w:rsidR="00D854A5" w:rsidRPr="001D1CD5" w14:paraId="39BF26C0" w14:textId="77777777" w:rsidTr="004611A3">
        <w:tc>
          <w:tcPr>
            <w:tcW w:w="764" w:type="dxa"/>
          </w:tcPr>
          <w:p w14:paraId="071AC8E1" w14:textId="1C4669EF" w:rsidR="00D854A5" w:rsidRPr="001D1CD5" w:rsidRDefault="00D854A5" w:rsidP="00D854A5">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19.6</w:t>
            </w:r>
          </w:p>
        </w:tc>
        <w:tc>
          <w:tcPr>
            <w:tcW w:w="8387" w:type="dxa"/>
          </w:tcPr>
          <w:p w14:paraId="29991DB5" w14:textId="622EE9BD" w:rsidR="00D854A5" w:rsidRPr="001D1CD5" w:rsidRDefault="00D854A5" w:rsidP="00E30D6F">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Aborted strikes</w:t>
            </w:r>
          </w:p>
        </w:tc>
        <w:tc>
          <w:tcPr>
            <w:tcW w:w="697" w:type="dxa"/>
          </w:tcPr>
          <w:p w14:paraId="7215648B" w14:textId="6F2CEF7D" w:rsidR="00D854A5" w:rsidRPr="001D1CD5" w:rsidRDefault="009C01C3"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58</w:t>
            </w:r>
          </w:p>
        </w:tc>
      </w:tr>
      <w:tr w:rsidR="00D854A5" w:rsidRPr="001D1CD5" w14:paraId="77774185" w14:textId="77777777" w:rsidTr="004611A3">
        <w:tc>
          <w:tcPr>
            <w:tcW w:w="764" w:type="dxa"/>
          </w:tcPr>
          <w:p w14:paraId="3D9AFE85" w14:textId="545AB1B1" w:rsidR="00D854A5" w:rsidRPr="001D1CD5" w:rsidRDefault="00D854A5" w:rsidP="00D854A5">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19.7</w:t>
            </w:r>
          </w:p>
        </w:tc>
        <w:tc>
          <w:tcPr>
            <w:tcW w:w="8387" w:type="dxa"/>
          </w:tcPr>
          <w:p w14:paraId="7E230263" w14:textId="3CC9E38F" w:rsidR="00D854A5" w:rsidRPr="001D1CD5" w:rsidRDefault="00D854A5" w:rsidP="00E30D6F">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Strike pay arrangements</w:t>
            </w:r>
          </w:p>
        </w:tc>
        <w:tc>
          <w:tcPr>
            <w:tcW w:w="697" w:type="dxa"/>
          </w:tcPr>
          <w:p w14:paraId="201F9A82" w14:textId="48980DE2" w:rsidR="00D854A5" w:rsidRPr="001D1CD5" w:rsidRDefault="009C01C3"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58</w:t>
            </w:r>
          </w:p>
        </w:tc>
      </w:tr>
      <w:tr w:rsidR="00D854A5" w:rsidRPr="001D1CD5" w14:paraId="3E6EE945" w14:textId="77777777" w:rsidTr="004611A3">
        <w:tc>
          <w:tcPr>
            <w:tcW w:w="764" w:type="dxa"/>
          </w:tcPr>
          <w:p w14:paraId="3519726B" w14:textId="365FB229" w:rsidR="00D854A5" w:rsidRPr="001D1CD5" w:rsidRDefault="00D854A5" w:rsidP="00D854A5">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19.8</w:t>
            </w:r>
          </w:p>
        </w:tc>
        <w:tc>
          <w:tcPr>
            <w:tcW w:w="8387" w:type="dxa"/>
          </w:tcPr>
          <w:p w14:paraId="2C474A50" w14:textId="36AFDB34" w:rsidR="00D854A5" w:rsidRPr="001D1CD5" w:rsidRDefault="00D854A5" w:rsidP="00E30D6F">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Employer responses</w:t>
            </w:r>
          </w:p>
        </w:tc>
        <w:tc>
          <w:tcPr>
            <w:tcW w:w="697" w:type="dxa"/>
          </w:tcPr>
          <w:p w14:paraId="45FAB7ED" w14:textId="7F62DA86" w:rsidR="00D854A5" w:rsidRPr="001D1CD5" w:rsidRDefault="00813A2E"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58</w:t>
            </w:r>
          </w:p>
        </w:tc>
      </w:tr>
      <w:tr w:rsidR="00D854A5" w:rsidRPr="001D1CD5" w14:paraId="6D136113" w14:textId="77777777" w:rsidTr="004611A3">
        <w:tc>
          <w:tcPr>
            <w:tcW w:w="764" w:type="dxa"/>
          </w:tcPr>
          <w:p w14:paraId="3FF7E4AB" w14:textId="1042A717" w:rsidR="00D854A5" w:rsidRPr="001D1CD5" w:rsidRDefault="00D854A5" w:rsidP="00D854A5">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19.9</w:t>
            </w:r>
          </w:p>
        </w:tc>
        <w:tc>
          <w:tcPr>
            <w:tcW w:w="8387" w:type="dxa"/>
          </w:tcPr>
          <w:p w14:paraId="240C3D7A" w14:textId="13791EC1" w:rsidR="00D854A5" w:rsidRPr="001D1CD5" w:rsidRDefault="00D854A5" w:rsidP="00E30D6F">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Remedies for unlawful industrial action</w:t>
            </w:r>
          </w:p>
        </w:tc>
        <w:tc>
          <w:tcPr>
            <w:tcW w:w="697" w:type="dxa"/>
          </w:tcPr>
          <w:p w14:paraId="049F447F" w14:textId="0E664576" w:rsidR="00D854A5" w:rsidRPr="001D1CD5" w:rsidRDefault="00813A2E"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59</w:t>
            </w:r>
          </w:p>
        </w:tc>
      </w:tr>
      <w:tr w:rsidR="00D854A5" w:rsidRPr="001D1CD5" w14:paraId="73576349" w14:textId="77777777" w:rsidTr="004611A3">
        <w:tc>
          <w:tcPr>
            <w:tcW w:w="764" w:type="dxa"/>
          </w:tcPr>
          <w:p w14:paraId="1B8004CC" w14:textId="282BAE02" w:rsidR="00D854A5" w:rsidRPr="001D1CD5" w:rsidRDefault="00D854A5" w:rsidP="00D854A5">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19.10</w:t>
            </w:r>
          </w:p>
        </w:tc>
        <w:tc>
          <w:tcPr>
            <w:tcW w:w="8387" w:type="dxa"/>
          </w:tcPr>
          <w:p w14:paraId="1944D95B" w14:textId="289D82D2" w:rsidR="00D854A5" w:rsidRPr="001D1CD5" w:rsidRDefault="00D854A5" w:rsidP="00E30D6F">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Right of entry</w:t>
            </w:r>
          </w:p>
        </w:tc>
        <w:tc>
          <w:tcPr>
            <w:tcW w:w="697" w:type="dxa"/>
          </w:tcPr>
          <w:p w14:paraId="01534A56" w14:textId="0483803C" w:rsidR="00D854A5" w:rsidRPr="001D1CD5" w:rsidRDefault="00813A2E"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59</w:t>
            </w:r>
          </w:p>
        </w:tc>
      </w:tr>
      <w:tr w:rsidR="00E30D6F" w:rsidRPr="001D1CD5" w14:paraId="1D22BC39" w14:textId="77777777" w:rsidTr="004611A3">
        <w:tc>
          <w:tcPr>
            <w:tcW w:w="764" w:type="dxa"/>
          </w:tcPr>
          <w:p w14:paraId="090580A2" w14:textId="3343DC69" w:rsidR="00E30D6F" w:rsidRPr="001D1CD5" w:rsidRDefault="00E30D6F" w:rsidP="00174105">
            <w:pPr>
              <w:pStyle w:val="Body"/>
              <w:numPr>
                <w:ilvl w:val="0"/>
                <w:numId w:val="32"/>
              </w:numPr>
              <w:spacing w:after="120" w:line="276" w:lineRule="auto"/>
              <w:rPr>
                <w:rFonts w:asciiTheme="minorHAnsi" w:eastAsia="Calibri" w:hAnsiTheme="minorHAnsi" w:cs="Calibri"/>
                <w:b/>
                <w:bCs/>
                <w:color w:val="auto"/>
                <w:sz w:val="28"/>
                <w:szCs w:val="28"/>
                <w:u w:color="0070C0"/>
              </w:rPr>
            </w:pPr>
          </w:p>
        </w:tc>
        <w:tc>
          <w:tcPr>
            <w:tcW w:w="8387" w:type="dxa"/>
          </w:tcPr>
          <w:p w14:paraId="33248199" w14:textId="17BB5864" w:rsidR="00E30D6F" w:rsidRPr="001D1CD5" w:rsidRDefault="00542671" w:rsidP="00E30D6F">
            <w:pPr>
              <w:pStyle w:val="Body"/>
              <w:spacing w:after="120" w:line="276" w:lineRule="auto"/>
              <w:rPr>
                <w:rFonts w:asciiTheme="minorHAnsi" w:eastAsia="Calibri" w:hAnsiTheme="minorHAnsi" w:cs="Calibri"/>
                <w:b/>
                <w:bCs/>
                <w:color w:val="auto"/>
                <w:sz w:val="28"/>
                <w:szCs w:val="28"/>
                <w:u w:color="0070C0"/>
              </w:rPr>
            </w:pPr>
            <w:r w:rsidRPr="001D1CD5">
              <w:rPr>
                <w:rFonts w:asciiTheme="minorHAnsi" w:eastAsia="Calibri" w:hAnsiTheme="minorHAnsi" w:cs="Calibri"/>
                <w:b/>
                <w:bCs/>
                <w:color w:val="auto"/>
                <w:sz w:val="28"/>
                <w:szCs w:val="28"/>
                <w:u w:color="0070C0"/>
              </w:rPr>
              <w:t>Alternative forms of employment</w:t>
            </w:r>
          </w:p>
        </w:tc>
        <w:tc>
          <w:tcPr>
            <w:tcW w:w="697" w:type="dxa"/>
          </w:tcPr>
          <w:p w14:paraId="1A8C8DA5" w14:textId="10BDB37B" w:rsidR="00E30D6F" w:rsidRPr="001D1CD5" w:rsidRDefault="009C01C3"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60</w:t>
            </w:r>
          </w:p>
        </w:tc>
      </w:tr>
      <w:tr w:rsidR="00E30D6F" w:rsidRPr="001D1CD5" w14:paraId="6E48096E" w14:textId="77777777" w:rsidTr="004611A3">
        <w:tc>
          <w:tcPr>
            <w:tcW w:w="764" w:type="dxa"/>
          </w:tcPr>
          <w:p w14:paraId="589BA2E8" w14:textId="74286AA2" w:rsidR="00E30D6F" w:rsidRPr="001D1CD5" w:rsidRDefault="00AD2E78" w:rsidP="00AD2E78">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20.1</w:t>
            </w:r>
          </w:p>
        </w:tc>
        <w:tc>
          <w:tcPr>
            <w:tcW w:w="8387" w:type="dxa"/>
          </w:tcPr>
          <w:p w14:paraId="65C59411" w14:textId="3886264E" w:rsidR="00E30D6F" w:rsidRPr="001D1CD5" w:rsidRDefault="00AD2E78" w:rsidP="00E30D6F">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Independent contracting and the sham contracting laws</w:t>
            </w:r>
          </w:p>
        </w:tc>
        <w:tc>
          <w:tcPr>
            <w:tcW w:w="697" w:type="dxa"/>
          </w:tcPr>
          <w:p w14:paraId="67CE3EB1" w14:textId="52D553DF" w:rsidR="00E30D6F" w:rsidRPr="001D1CD5" w:rsidRDefault="009C01C3"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60</w:t>
            </w:r>
          </w:p>
        </w:tc>
      </w:tr>
      <w:tr w:rsidR="00E30D6F" w:rsidRPr="001D1CD5" w14:paraId="6D5256C6" w14:textId="77777777" w:rsidTr="004611A3">
        <w:tc>
          <w:tcPr>
            <w:tcW w:w="764" w:type="dxa"/>
          </w:tcPr>
          <w:p w14:paraId="5C9EA7D6" w14:textId="4D8FC229" w:rsidR="00E30D6F" w:rsidRPr="001D1CD5" w:rsidRDefault="00AD2E78" w:rsidP="00AD2E78">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20.2</w:t>
            </w:r>
          </w:p>
        </w:tc>
        <w:tc>
          <w:tcPr>
            <w:tcW w:w="8387" w:type="dxa"/>
          </w:tcPr>
          <w:p w14:paraId="4D99A5B7" w14:textId="3BB11B89" w:rsidR="00E30D6F" w:rsidRPr="001D1CD5" w:rsidRDefault="00AD2E78" w:rsidP="00E30D6F">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 xml:space="preserve">Limitations on the use of subcontractors and </w:t>
            </w:r>
            <w:proofErr w:type="spellStart"/>
            <w:r w:rsidRPr="001D1CD5">
              <w:rPr>
                <w:rFonts w:asciiTheme="minorHAnsi" w:eastAsia="Calibri" w:hAnsiTheme="minorHAnsi" w:cs="Calibri"/>
                <w:bCs/>
                <w:color w:val="auto"/>
                <w:sz w:val="24"/>
                <w:szCs w:val="24"/>
                <w:u w:color="0070C0"/>
              </w:rPr>
              <w:t>labour</w:t>
            </w:r>
            <w:proofErr w:type="spellEnd"/>
            <w:r w:rsidRPr="001D1CD5">
              <w:rPr>
                <w:rFonts w:asciiTheme="minorHAnsi" w:eastAsia="Calibri" w:hAnsiTheme="minorHAnsi" w:cs="Calibri"/>
                <w:bCs/>
                <w:color w:val="auto"/>
                <w:sz w:val="24"/>
                <w:szCs w:val="24"/>
                <w:u w:color="0070C0"/>
              </w:rPr>
              <w:t xml:space="preserve"> hire</w:t>
            </w:r>
          </w:p>
        </w:tc>
        <w:tc>
          <w:tcPr>
            <w:tcW w:w="697" w:type="dxa"/>
          </w:tcPr>
          <w:p w14:paraId="1A7749AE" w14:textId="07A91F33" w:rsidR="00E30D6F" w:rsidRPr="001D1CD5" w:rsidRDefault="00813A2E"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60</w:t>
            </w:r>
          </w:p>
        </w:tc>
      </w:tr>
      <w:tr w:rsidR="00E30D6F" w:rsidRPr="001D1CD5" w14:paraId="1FF46C00" w14:textId="77777777" w:rsidTr="004611A3">
        <w:tc>
          <w:tcPr>
            <w:tcW w:w="764" w:type="dxa"/>
          </w:tcPr>
          <w:p w14:paraId="0AD7DD79" w14:textId="1F187BBC" w:rsidR="00E30D6F" w:rsidRPr="001D1CD5" w:rsidRDefault="00AD2E78" w:rsidP="00AD2E78">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20.3</w:t>
            </w:r>
          </w:p>
        </w:tc>
        <w:tc>
          <w:tcPr>
            <w:tcW w:w="8387" w:type="dxa"/>
          </w:tcPr>
          <w:p w14:paraId="165821E2" w14:textId="774B6DB9" w:rsidR="00E30D6F" w:rsidRPr="001D1CD5" w:rsidRDefault="00AD2E78" w:rsidP="00E30D6F">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Casual employment</w:t>
            </w:r>
          </w:p>
        </w:tc>
        <w:tc>
          <w:tcPr>
            <w:tcW w:w="697" w:type="dxa"/>
          </w:tcPr>
          <w:p w14:paraId="4E18940C" w14:textId="2E7FF782" w:rsidR="00E30D6F" w:rsidRPr="001D1CD5" w:rsidRDefault="009C01C3"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61</w:t>
            </w:r>
          </w:p>
        </w:tc>
      </w:tr>
      <w:tr w:rsidR="00E30D6F" w:rsidRPr="001D1CD5" w14:paraId="54909823" w14:textId="77777777" w:rsidTr="004611A3">
        <w:tc>
          <w:tcPr>
            <w:tcW w:w="764" w:type="dxa"/>
          </w:tcPr>
          <w:p w14:paraId="7EDFF518" w14:textId="094F90CD" w:rsidR="00E30D6F" w:rsidRPr="001D1CD5" w:rsidRDefault="00AD2E78" w:rsidP="00AD2E78">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20.4</w:t>
            </w:r>
          </w:p>
        </w:tc>
        <w:tc>
          <w:tcPr>
            <w:tcW w:w="8387" w:type="dxa"/>
          </w:tcPr>
          <w:p w14:paraId="70CA834A" w14:textId="66DAFF61" w:rsidR="00E30D6F" w:rsidRPr="001D1CD5" w:rsidRDefault="00AD2E78" w:rsidP="00E30D6F">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Outworkers</w:t>
            </w:r>
          </w:p>
        </w:tc>
        <w:tc>
          <w:tcPr>
            <w:tcW w:w="697" w:type="dxa"/>
          </w:tcPr>
          <w:p w14:paraId="241BAB8A" w14:textId="76475161" w:rsidR="00E30D6F" w:rsidRPr="001D1CD5" w:rsidRDefault="00813A2E"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61</w:t>
            </w:r>
          </w:p>
        </w:tc>
      </w:tr>
      <w:tr w:rsidR="00AD2E78" w:rsidRPr="001D1CD5" w14:paraId="78E07A7B" w14:textId="77777777" w:rsidTr="004611A3">
        <w:tc>
          <w:tcPr>
            <w:tcW w:w="764" w:type="dxa"/>
          </w:tcPr>
          <w:p w14:paraId="2693492B" w14:textId="4C72B01C" w:rsidR="00AD2E78" w:rsidRPr="001D1CD5" w:rsidRDefault="00AD2E78" w:rsidP="00AD2E78">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20.5</w:t>
            </w:r>
          </w:p>
        </w:tc>
        <w:tc>
          <w:tcPr>
            <w:tcW w:w="8387" w:type="dxa"/>
          </w:tcPr>
          <w:p w14:paraId="7B6AC0B9" w14:textId="7A842AF0" w:rsidR="00AD2E78" w:rsidRPr="001D1CD5" w:rsidRDefault="00AD2E78" w:rsidP="00E30D6F">
            <w:pPr>
              <w:pStyle w:val="Body"/>
              <w:spacing w:after="120" w:line="276" w:lineRule="auto"/>
              <w:rPr>
                <w:rFonts w:asciiTheme="minorHAnsi" w:eastAsia="Calibri" w:hAnsiTheme="minorHAnsi" w:cs="Calibri"/>
                <w:color w:val="auto"/>
                <w:sz w:val="24"/>
                <w:szCs w:val="24"/>
                <w:u w:color="0070C0"/>
              </w:rPr>
            </w:pPr>
            <w:r w:rsidRPr="001D1CD5">
              <w:rPr>
                <w:rFonts w:asciiTheme="minorHAnsi" w:eastAsia="Calibri" w:hAnsiTheme="minorHAnsi" w:cs="Calibri"/>
                <w:color w:val="auto"/>
                <w:sz w:val="24"/>
                <w:szCs w:val="24"/>
                <w:u w:color="0070C0"/>
              </w:rPr>
              <w:t>Internships and work experience</w:t>
            </w:r>
          </w:p>
        </w:tc>
        <w:tc>
          <w:tcPr>
            <w:tcW w:w="697" w:type="dxa"/>
          </w:tcPr>
          <w:p w14:paraId="49706BB2" w14:textId="26CA8E98" w:rsidR="00AD2E78" w:rsidRPr="001D1CD5" w:rsidRDefault="009C01C3"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62</w:t>
            </w:r>
          </w:p>
        </w:tc>
      </w:tr>
      <w:tr w:rsidR="004540AF" w:rsidRPr="001D1CD5" w14:paraId="22361FFD" w14:textId="77777777" w:rsidTr="004611A3">
        <w:tc>
          <w:tcPr>
            <w:tcW w:w="764" w:type="dxa"/>
          </w:tcPr>
          <w:p w14:paraId="5D444956" w14:textId="1175E52F" w:rsidR="004540AF" w:rsidRPr="001D1CD5" w:rsidRDefault="004540AF" w:rsidP="00AD2E78">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20.6</w:t>
            </w:r>
          </w:p>
        </w:tc>
        <w:tc>
          <w:tcPr>
            <w:tcW w:w="8387" w:type="dxa"/>
          </w:tcPr>
          <w:p w14:paraId="1FBE5C62" w14:textId="152891A3" w:rsidR="004540AF" w:rsidRPr="001D1CD5" w:rsidRDefault="003F60B4" w:rsidP="00E30D6F">
            <w:pPr>
              <w:pStyle w:val="Body"/>
              <w:spacing w:after="120" w:line="276" w:lineRule="auto"/>
              <w:rPr>
                <w:rFonts w:asciiTheme="minorHAnsi" w:eastAsia="Calibri" w:hAnsiTheme="minorHAnsi" w:cs="Calibri"/>
                <w:color w:val="auto"/>
                <w:sz w:val="24"/>
                <w:szCs w:val="24"/>
                <w:u w:color="0070C0"/>
              </w:rPr>
            </w:pPr>
            <w:r w:rsidRPr="001D1CD5">
              <w:rPr>
                <w:rFonts w:asciiTheme="minorHAnsi" w:eastAsia="Calibri" w:hAnsiTheme="minorHAnsi" w:cs="Calibri"/>
                <w:color w:val="auto"/>
                <w:sz w:val="24"/>
                <w:szCs w:val="24"/>
                <w:u w:color="0070C0"/>
              </w:rPr>
              <w:t>Contractor road transport drivers and the Road Transport Remuneration Tribunal</w:t>
            </w:r>
          </w:p>
        </w:tc>
        <w:tc>
          <w:tcPr>
            <w:tcW w:w="697" w:type="dxa"/>
          </w:tcPr>
          <w:p w14:paraId="64EAE3E8" w14:textId="2AD869E6" w:rsidR="004540AF" w:rsidRPr="001D1CD5" w:rsidRDefault="009C01C3"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62</w:t>
            </w:r>
          </w:p>
        </w:tc>
      </w:tr>
      <w:tr w:rsidR="00AD2E78" w:rsidRPr="001D1CD5" w14:paraId="60E9A355" w14:textId="77777777" w:rsidTr="004611A3">
        <w:tc>
          <w:tcPr>
            <w:tcW w:w="764" w:type="dxa"/>
          </w:tcPr>
          <w:p w14:paraId="56C7B353" w14:textId="77777777" w:rsidR="00AD2E78" w:rsidRPr="001D1CD5" w:rsidRDefault="00AD2E78" w:rsidP="00174105">
            <w:pPr>
              <w:pStyle w:val="Body"/>
              <w:numPr>
                <w:ilvl w:val="0"/>
                <w:numId w:val="32"/>
              </w:numPr>
              <w:spacing w:after="120" w:line="276" w:lineRule="auto"/>
              <w:rPr>
                <w:rFonts w:asciiTheme="minorHAnsi" w:eastAsia="Calibri" w:hAnsiTheme="minorHAnsi" w:cs="Calibri"/>
                <w:b/>
                <w:bCs/>
                <w:color w:val="auto"/>
                <w:sz w:val="28"/>
                <w:szCs w:val="28"/>
                <w:u w:color="0070C0"/>
              </w:rPr>
            </w:pPr>
          </w:p>
        </w:tc>
        <w:tc>
          <w:tcPr>
            <w:tcW w:w="8387" w:type="dxa"/>
          </w:tcPr>
          <w:p w14:paraId="46374D8B" w14:textId="4B401A95" w:rsidR="00AD2E78" w:rsidRPr="001D1CD5" w:rsidRDefault="00AD2E78" w:rsidP="00E30D6F">
            <w:pPr>
              <w:pStyle w:val="Body"/>
              <w:spacing w:after="120" w:line="276" w:lineRule="auto"/>
              <w:rPr>
                <w:rFonts w:asciiTheme="minorHAnsi" w:eastAsia="Calibri" w:hAnsiTheme="minorHAnsi" w:cs="Calibri"/>
                <w:b/>
                <w:color w:val="auto"/>
                <w:sz w:val="28"/>
                <w:szCs w:val="28"/>
                <w:u w:color="0070C0"/>
              </w:rPr>
            </w:pPr>
            <w:r w:rsidRPr="001D1CD5">
              <w:rPr>
                <w:rFonts w:asciiTheme="minorHAnsi" w:eastAsia="Calibri" w:hAnsiTheme="minorHAnsi" w:cs="Calibri"/>
                <w:b/>
                <w:bCs/>
                <w:color w:val="auto"/>
                <w:sz w:val="28"/>
                <w:szCs w:val="28"/>
                <w:u w:color="0070C0"/>
              </w:rPr>
              <w:t>Migrant workers</w:t>
            </w:r>
          </w:p>
        </w:tc>
        <w:tc>
          <w:tcPr>
            <w:tcW w:w="697" w:type="dxa"/>
          </w:tcPr>
          <w:p w14:paraId="52A6B7E5" w14:textId="576FAA74" w:rsidR="00AD2E78" w:rsidRPr="001D1CD5" w:rsidRDefault="009C01C3"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63</w:t>
            </w:r>
          </w:p>
        </w:tc>
      </w:tr>
      <w:tr w:rsidR="00AD2E78" w:rsidRPr="001D1CD5" w14:paraId="5746A9E4" w14:textId="77777777" w:rsidTr="004611A3">
        <w:tc>
          <w:tcPr>
            <w:tcW w:w="764" w:type="dxa"/>
          </w:tcPr>
          <w:p w14:paraId="7E2BD73B" w14:textId="77777777" w:rsidR="00AD2E78" w:rsidRPr="001D1CD5" w:rsidRDefault="00AD2E78" w:rsidP="00174105">
            <w:pPr>
              <w:pStyle w:val="Body"/>
              <w:numPr>
                <w:ilvl w:val="0"/>
                <w:numId w:val="32"/>
              </w:numPr>
              <w:spacing w:after="120" w:line="276" w:lineRule="auto"/>
              <w:rPr>
                <w:rFonts w:asciiTheme="minorHAnsi" w:eastAsia="Calibri" w:hAnsiTheme="minorHAnsi" w:cs="Calibri"/>
                <w:bCs/>
                <w:color w:val="auto"/>
                <w:sz w:val="24"/>
                <w:szCs w:val="24"/>
                <w:u w:color="0070C0"/>
              </w:rPr>
            </w:pPr>
          </w:p>
        </w:tc>
        <w:tc>
          <w:tcPr>
            <w:tcW w:w="8387" w:type="dxa"/>
          </w:tcPr>
          <w:p w14:paraId="72ECED17" w14:textId="054D996C" w:rsidR="00AD2E78" w:rsidRPr="001D1CD5" w:rsidRDefault="00391721" w:rsidP="00E30D6F">
            <w:pPr>
              <w:pStyle w:val="Body"/>
              <w:spacing w:after="120" w:line="276" w:lineRule="auto"/>
              <w:rPr>
                <w:rFonts w:asciiTheme="minorHAnsi" w:eastAsia="Calibri" w:hAnsiTheme="minorHAnsi" w:cs="Calibri"/>
                <w:b/>
                <w:color w:val="auto"/>
                <w:sz w:val="28"/>
                <w:szCs w:val="28"/>
                <w:u w:color="0070C0"/>
              </w:rPr>
            </w:pPr>
            <w:r w:rsidRPr="001D1CD5">
              <w:rPr>
                <w:rFonts w:asciiTheme="minorHAnsi" w:eastAsia="Calibri" w:hAnsiTheme="minorHAnsi" w:cs="Calibri"/>
                <w:b/>
                <w:color w:val="auto"/>
                <w:sz w:val="28"/>
                <w:szCs w:val="28"/>
                <w:u w:color="0070C0"/>
              </w:rPr>
              <w:t>Transfer of business</w:t>
            </w:r>
          </w:p>
        </w:tc>
        <w:tc>
          <w:tcPr>
            <w:tcW w:w="697" w:type="dxa"/>
          </w:tcPr>
          <w:p w14:paraId="06507289" w14:textId="0385B24F" w:rsidR="00AD2E78" w:rsidRPr="001D1CD5" w:rsidRDefault="00813A2E"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63</w:t>
            </w:r>
          </w:p>
        </w:tc>
      </w:tr>
      <w:tr w:rsidR="00391721" w:rsidRPr="001D1CD5" w14:paraId="139C341B" w14:textId="77777777" w:rsidTr="004611A3">
        <w:tc>
          <w:tcPr>
            <w:tcW w:w="764" w:type="dxa"/>
          </w:tcPr>
          <w:p w14:paraId="6B87E1B1" w14:textId="10873E99" w:rsidR="00391721" w:rsidRPr="001D1CD5" w:rsidRDefault="00391721" w:rsidP="00391721">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lastRenderedPageBreak/>
              <w:t>22.1</w:t>
            </w:r>
          </w:p>
        </w:tc>
        <w:tc>
          <w:tcPr>
            <w:tcW w:w="8387" w:type="dxa"/>
          </w:tcPr>
          <w:p w14:paraId="56EA3318" w14:textId="5E08A02F" w:rsidR="00391721" w:rsidRPr="001D1CD5" w:rsidRDefault="00391721" w:rsidP="00E30D6F">
            <w:pPr>
              <w:pStyle w:val="Body"/>
              <w:spacing w:after="120" w:line="276" w:lineRule="auto"/>
              <w:rPr>
                <w:rFonts w:asciiTheme="minorHAnsi" w:eastAsia="Calibri" w:hAnsiTheme="minorHAnsi" w:cs="Calibri"/>
                <w:color w:val="auto"/>
                <w:sz w:val="24"/>
                <w:szCs w:val="24"/>
                <w:u w:color="0070C0"/>
              </w:rPr>
            </w:pPr>
            <w:r w:rsidRPr="001D1CD5">
              <w:rPr>
                <w:rFonts w:asciiTheme="minorHAnsi" w:hAnsiTheme="minorHAnsi" w:cs="Calibri"/>
                <w:bCs/>
                <w:color w:val="auto"/>
                <w:sz w:val="24"/>
                <w:szCs w:val="24"/>
              </w:rPr>
              <w:t xml:space="preserve">Ease of obtaining </w:t>
            </w:r>
            <w:proofErr w:type="spellStart"/>
            <w:r w:rsidRPr="001D1CD5">
              <w:rPr>
                <w:rFonts w:asciiTheme="minorHAnsi" w:hAnsiTheme="minorHAnsi" w:cs="Calibri"/>
                <w:bCs/>
                <w:color w:val="auto"/>
                <w:sz w:val="24"/>
                <w:szCs w:val="24"/>
              </w:rPr>
              <w:t>FWC</w:t>
            </w:r>
            <w:proofErr w:type="spellEnd"/>
            <w:r w:rsidRPr="001D1CD5">
              <w:rPr>
                <w:rFonts w:asciiTheme="minorHAnsi" w:hAnsiTheme="minorHAnsi" w:cs="Calibri"/>
                <w:bCs/>
                <w:color w:val="auto"/>
                <w:sz w:val="24"/>
                <w:szCs w:val="24"/>
              </w:rPr>
              <w:t xml:space="preserve"> orders</w:t>
            </w:r>
          </w:p>
        </w:tc>
        <w:tc>
          <w:tcPr>
            <w:tcW w:w="697" w:type="dxa"/>
          </w:tcPr>
          <w:p w14:paraId="71B6F9DB" w14:textId="550CE564" w:rsidR="00391721" w:rsidRPr="001D1CD5" w:rsidRDefault="009C01C3"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65</w:t>
            </w:r>
          </w:p>
        </w:tc>
      </w:tr>
      <w:tr w:rsidR="00391721" w:rsidRPr="001D1CD5" w14:paraId="118EA09D" w14:textId="77777777" w:rsidTr="004611A3">
        <w:tc>
          <w:tcPr>
            <w:tcW w:w="764" w:type="dxa"/>
          </w:tcPr>
          <w:p w14:paraId="10F5D308" w14:textId="2F791EAB" w:rsidR="00391721" w:rsidRPr="001D1CD5" w:rsidRDefault="00391721" w:rsidP="00391721">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22.2</w:t>
            </w:r>
          </w:p>
        </w:tc>
        <w:tc>
          <w:tcPr>
            <w:tcW w:w="8387" w:type="dxa"/>
          </w:tcPr>
          <w:p w14:paraId="41ADA0B7" w14:textId="65143302" w:rsidR="00391721" w:rsidRPr="001D1CD5" w:rsidRDefault="00391721" w:rsidP="00E30D6F">
            <w:pPr>
              <w:pStyle w:val="Body"/>
              <w:spacing w:after="120" w:line="276" w:lineRule="auto"/>
              <w:rPr>
                <w:rFonts w:asciiTheme="minorHAnsi" w:eastAsia="Calibri" w:hAnsiTheme="minorHAnsi" w:cs="Calibri"/>
                <w:color w:val="auto"/>
                <w:sz w:val="24"/>
                <w:szCs w:val="24"/>
                <w:u w:color="0070C0"/>
              </w:rPr>
            </w:pPr>
            <w:r w:rsidRPr="001D1CD5">
              <w:rPr>
                <w:rFonts w:asciiTheme="minorHAnsi" w:hAnsiTheme="minorHAnsi" w:cs="Calibri"/>
                <w:bCs/>
                <w:color w:val="auto"/>
                <w:sz w:val="24"/>
                <w:szCs w:val="24"/>
              </w:rPr>
              <w:t>Transfer of business between State and national system employers</w:t>
            </w:r>
          </w:p>
        </w:tc>
        <w:tc>
          <w:tcPr>
            <w:tcW w:w="697" w:type="dxa"/>
          </w:tcPr>
          <w:p w14:paraId="3CFB58E8" w14:textId="1BF5D8E4" w:rsidR="00391721" w:rsidRPr="001D1CD5" w:rsidRDefault="00064E03"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66</w:t>
            </w:r>
          </w:p>
        </w:tc>
      </w:tr>
      <w:tr w:rsidR="00391721" w:rsidRPr="001D1CD5" w14:paraId="4D2546D4" w14:textId="77777777" w:rsidTr="004611A3">
        <w:tc>
          <w:tcPr>
            <w:tcW w:w="764" w:type="dxa"/>
          </w:tcPr>
          <w:p w14:paraId="12D10E18" w14:textId="549A4A9B" w:rsidR="00391721" w:rsidRPr="001D1CD5" w:rsidRDefault="00391721" w:rsidP="00391721">
            <w:pPr>
              <w:pStyle w:val="Body"/>
              <w:spacing w:after="120" w:line="276" w:lineRule="auto"/>
              <w:rPr>
                <w:rFonts w:asciiTheme="minorHAnsi" w:eastAsia="Calibri" w:hAnsiTheme="minorHAnsi" w:cs="Calibri"/>
                <w:bCs/>
                <w:color w:val="auto"/>
                <w:sz w:val="24"/>
                <w:szCs w:val="24"/>
                <w:u w:color="0070C0"/>
              </w:rPr>
            </w:pPr>
            <w:r w:rsidRPr="001D1CD5">
              <w:rPr>
                <w:rFonts w:asciiTheme="minorHAnsi" w:eastAsia="Calibri" w:hAnsiTheme="minorHAnsi" w:cs="Calibri"/>
                <w:bCs/>
                <w:color w:val="auto"/>
                <w:sz w:val="24"/>
                <w:szCs w:val="24"/>
                <w:u w:color="0070C0"/>
              </w:rPr>
              <w:t>22.3</w:t>
            </w:r>
          </w:p>
        </w:tc>
        <w:tc>
          <w:tcPr>
            <w:tcW w:w="8387" w:type="dxa"/>
          </w:tcPr>
          <w:p w14:paraId="791677B2" w14:textId="0BF6019F" w:rsidR="00391721" w:rsidRPr="001D1CD5" w:rsidRDefault="00391721" w:rsidP="00E30D6F">
            <w:pPr>
              <w:pStyle w:val="Body"/>
              <w:spacing w:after="120" w:line="276" w:lineRule="auto"/>
              <w:rPr>
                <w:rFonts w:asciiTheme="minorHAnsi" w:eastAsia="Calibri" w:hAnsiTheme="minorHAnsi" w:cs="Calibri"/>
                <w:color w:val="auto"/>
                <w:sz w:val="24"/>
                <w:szCs w:val="24"/>
                <w:u w:color="0070C0"/>
              </w:rPr>
            </w:pPr>
            <w:r w:rsidRPr="001D1CD5">
              <w:rPr>
                <w:rFonts w:asciiTheme="minorHAnsi" w:eastAsia="Calibri" w:hAnsiTheme="minorHAnsi" w:cs="Calibri"/>
                <w:color w:val="auto"/>
                <w:sz w:val="24"/>
                <w:szCs w:val="24"/>
                <w:u w:color="0070C0"/>
              </w:rPr>
              <w:t>Workers who transfer voluntarily</w:t>
            </w:r>
          </w:p>
        </w:tc>
        <w:tc>
          <w:tcPr>
            <w:tcW w:w="697" w:type="dxa"/>
          </w:tcPr>
          <w:p w14:paraId="6DFAE4B8" w14:textId="5472CC85" w:rsidR="00391721" w:rsidRPr="001D1CD5" w:rsidRDefault="00064E03"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66</w:t>
            </w:r>
          </w:p>
        </w:tc>
      </w:tr>
      <w:tr w:rsidR="00AD2E78" w:rsidRPr="001D1CD5" w14:paraId="17D1B903" w14:textId="77777777" w:rsidTr="004611A3">
        <w:tc>
          <w:tcPr>
            <w:tcW w:w="764" w:type="dxa"/>
          </w:tcPr>
          <w:p w14:paraId="4CF06B8A" w14:textId="77777777" w:rsidR="00AD2E78" w:rsidRPr="001D1CD5" w:rsidRDefault="00AD2E78" w:rsidP="00174105">
            <w:pPr>
              <w:pStyle w:val="Body"/>
              <w:numPr>
                <w:ilvl w:val="0"/>
                <w:numId w:val="32"/>
              </w:numPr>
              <w:spacing w:after="120" w:line="276" w:lineRule="auto"/>
              <w:rPr>
                <w:rFonts w:asciiTheme="minorHAnsi" w:eastAsia="Calibri" w:hAnsiTheme="minorHAnsi" w:cs="Calibri"/>
                <w:bCs/>
                <w:color w:val="auto"/>
                <w:sz w:val="24"/>
                <w:szCs w:val="24"/>
                <w:u w:color="0070C0"/>
              </w:rPr>
            </w:pPr>
          </w:p>
        </w:tc>
        <w:tc>
          <w:tcPr>
            <w:tcW w:w="8387" w:type="dxa"/>
          </w:tcPr>
          <w:p w14:paraId="3E5A738F" w14:textId="7548AA88" w:rsidR="00AD2E78" w:rsidRPr="001D1CD5" w:rsidRDefault="00AD2E78" w:rsidP="00E30D6F">
            <w:pPr>
              <w:pStyle w:val="Body"/>
              <w:spacing w:after="120" w:line="276" w:lineRule="auto"/>
              <w:rPr>
                <w:rFonts w:asciiTheme="minorHAnsi" w:eastAsia="Calibri" w:hAnsiTheme="minorHAnsi" w:cs="Calibri"/>
                <w:b/>
                <w:color w:val="auto"/>
                <w:sz w:val="28"/>
                <w:szCs w:val="28"/>
                <w:u w:color="0070C0"/>
              </w:rPr>
            </w:pPr>
            <w:r w:rsidRPr="001D1CD5">
              <w:rPr>
                <w:rFonts w:asciiTheme="minorHAnsi" w:eastAsia="Calibri" w:hAnsiTheme="minorHAnsi" w:cs="Calibri"/>
                <w:b/>
                <w:bCs/>
                <w:color w:val="auto"/>
                <w:sz w:val="28"/>
                <w:szCs w:val="28"/>
                <w:u w:color="0070C0"/>
              </w:rPr>
              <w:t>International obligations</w:t>
            </w:r>
          </w:p>
        </w:tc>
        <w:tc>
          <w:tcPr>
            <w:tcW w:w="697" w:type="dxa"/>
          </w:tcPr>
          <w:p w14:paraId="2F101A67" w14:textId="58487649" w:rsidR="00AD2E78" w:rsidRPr="001D1CD5" w:rsidRDefault="00813A2E"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66</w:t>
            </w:r>
          </w:p>
        </w:tc>
      </w:tr>
      <w:tr w:rsidR="00AD2E78" w:rsidRPr="001D1CD5" w14:paraId="674C8082" w14:textId="77777777" w:rsidTr="004611A3">
        <w:tc>
          <w:tcPr>
            <w:tcW w:w="764" w:type="dxa"/>
          </w:tcPr>
          <w:p w14:paraId="63B36887" w14:textId="77777777" w:rsidR="00AD2E78" w:rsidRPr="001D1CD5" w:rsidRDefault="00AD2E78" w:rsidP="00174105">
            <w:pPr>
              <w:pStyle w:val="Body"/>
              <w:numPr>
                <w:ilvl w:val="0"/>
                <w:numId w:val="32"/>
              </w:numPr>
              <w:spacing w:after="120" w:line="276" w:lineRule="auto"/>
              <w:rPr>
                <w:rFonts w:asciiTheme="minorHAnsi" w:eastAsia="Calibri" w:hAnsiTheme="minorHAnsi" w:cs="Calibri"/>
                <w:bCs/>
                <w:color w:val="auto"/>
                <w:sz w:val="24"/>
                <w:szCs w:val="24"/>
                <w:u w:color="0070C0"/>
              </w:rPr>
            </w:pPr>
          </w:p>
        </w:tc>
        <w:tc>
          <w:tcPr>
            <w:tcW w:w="8387" w:type="dxa"/>
          </w:tcPr>
          <w:p w14:paraId="74BDE4F9" w14:textId="7FC30C87" w:rsidR="00AD2E78" w:rsidRPr="001D1CD5" w:rsidRDefault="00AD2E78" w:rsidP="00E30D6F">
            <w:pPr>
              <w:pStyle w:val="Body"/>
              <w:spacing w:after="120" w:line="276" w:lineRule="auto"/>
              <w:rPr>
                <w:rFonts w:asciiTheme="minorHAnsi" w:eastAsia="Calibri" w:hAnsiTheme="minorHAnsi" w:cs="Calibri"/>
                <w:b/>
                <w:color w:val="auto"/>
                <w:sz w:val="28"/>
                <w:szCs w:val="28"/>
                <w:u w:color="0070C0"/>
              </w:rPr>
            </w:pPr>
            <w:r w:rsidRPr="001D1CD5">
              <w:rPr>
                <w:rFonts w:asciiTheme="minorHAnsi" w:eastAsia="Calibri" w:hAnsiTheme="minorHAnsi" w:cs="Calibri"/>
                <w:b/>
                <w:color w:val="auto"/>
                <w:sz w:val="28"/>
                <w:szCs w:val="28"/>
                <w:u w:color="0070C0"/>
              </w:rPr>
              <w:t>Interactions between competition policy and the workplace relations framework</w:t>
            </w:r>
          </w:p>
        </w:tc>
        <w:tc>
          <w:tcPr>
            <w:tcW w:w="697" w:type="dxa"/>
          </w:tcPr>
          <w:p w14:paraId="34060DCF" w14:textId="53BD6346" w:rsidR="00AD2E78" w:rsidRPr="001D1CD5" w:rsidRDefault="00064E03"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67</w:t>
            </w:r>
          </w:p>
        </w:tc>
      </w:tr>
      <w:tr w:rsidR="00AD2E78" w:rsidRPr="001D1CD5" w14:paraId="70D43BEB" w14:textId="77777777" w:rsidTr="004611A3">
        <w:tc>
          <w:tcPr>
            <w:tcW w:w="764" w:type="dxa"/>
          </w:tcPr>
          <w:p w14:paraId="4A2949BC" w14:textId="1D5E0C89" w:rsidR="00AD2E78" w:rsidRPr="001D1CD5" w:rsidRDefault="00AD2E78" w:rsidP="00174105">
            <w:pPr>
              <w:pStyle w:val="Body"/>
              <w:numPr>
                <w:ilvl w:val="0"/>
                <w:numId w:val="32"/>
              </w:numPr>
              <w:spacing w:after="120" w:line="276" w:lineRule="auto"/>
              <w:rPr>
                <w:rFonts w:asciiTheme="minorHAnsi" w:eastAsia="Calibri" w:hAnsiTheme="minorHAnsi" w:cs="Calibri"/>
                <w:bCs/>
                <w:color w:val="auto"/>
                <w:sz w:val="24"/>
                <w:szCs w:val="24"/>
                <w:u w:color="0070C0"/>
              </w:rPr>
            </w:pPr>
          </w:p>
        </w:tc>
        <w:tc>
          <w:tcPr>
            <w:tcW w:w="8387" w:type="dxa"/>
          </w:tcPr>
          <w:p w14:paraId="2CFE9507" w14:textId="01FC3928" w:rsidR="00AD2E78" w:rsidRPr="001D1CD5" w:rsidRDefault="00AD2E78" w:rsidP="00E30D6F">
            <w:pPr>
              <w:pStyle w:val="Body"/>
              <w:spacing w:after="120" w:line="276" w:lineRule="auto"/>
              <w:rPr>
                <w:rFonts w:asciiTheme="minorHAnsi" w:eastAsia="Calibri" w:hAnsiTheme="minorHAnsi" w:cs="Calibri"/>
                <w:b/>
                <w:bCs/>
                <w:color w:val="auto"/>
                <w:sz w:val="28"/>
                <w:szCs w:val="28"/>
                <w:u w:color="0070C0"/>
              </w:rPr>
            </w:pPr>
            <w:r w:rsidRPr="001D1CD5">
              <w:rPr>
                <w:rFonts w:asciiTheme="minorHAnsi" w:eastAsia="Calibri" w:hAnsiTheme="minorHAnsi" w:cs="Calibri"/>
                <w:b/>
                <w:bCs/>
                <w:color w:val="auto"/>
                <w:sz w:val="28"/>
                <w:szCs w:val="28"/>
                <w:u w:color="0070C0"/>
              </w:rPr>
              <w:t>Compliance costs</w:t>
            </w:r>
          </w:p>
        </w:tc>
        <w:tc>
          <w:tcPr>
            <w:tcW w:w="697" w:type="dxa"/>
          </w:tcPr>
          <w:p w14:paraId="3DA7FE51" w14:textId="5589B9E9" w:rsidR="00AD2E78" w:rsidRPr="001D1CD5" w:rsidRDefault="00813A2E"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69</w:t>
            </w:r>
          </w:p>
        </w:tc>
      </w:tr>
      <w:tr w:rsidR="00AD2E78" w:rsidRPr="001D1CD5" w14:paraId="61923F55" w14:textId="77777777" w:rsidTr="004611A3">
        <w:tc>
          <w:tcPr>
            <w:tcW w:w="764" w:type="dxa"/>
          </w:tcPr>
          <w:p w14:paraId="11AA5099" w14:textId="77777777" w:rsidR="00AD2E78" w:rsidRPr="001D1CD5" w:rsidRDefault="00AD2E78" w:rsidP="00174105">
            <w:pPr>
              <w:pStyle w:val="Body"/>
              <w:numPr>
                <w:ilvl w:val="0"/>
                <w:numId w:val="32"/>
              </w:numPr>
              <w:spacing w:after="120" w:line="276" w:lineRule="auto"/>
              <w:rPr>
                <w:rFonts w:asciiTheme="minorHAnsi" w:eastAsia="Calibri" w:hAnsiTheme="minorHAnsi" w:cs="Calibri"/>
                <w:bCs/>
                <w:color w:val="auto"/>
                <w:sz w:val="24"/>
                <w:szCs w:val="24"/>
                <w:u w:color="0070C0"/>
              </w:rPr>
            </w:pPr>
          </w:p>
        </w:tc>
        <w:tc>
          <w:tcPr>
            <w:tcW w:w="8387" w:type="dxa"/>
          </w:tcPr>
          <w:p w14:paraId="4DE2C942" w14:textId="4E6CE9BD" w:rsidR="00AD2E78" w:rsidRPr="001D1CD5" w:rsidRDefault="00AD2E78" w:rsidP="00E30D6F">
            <w:pPr>
              <w:pStyle w:val="Body"/>
              <w:spacing w:after="120" w:line="276" w:lineRule="auto"/>
              <w:rPr>
                <w:rFonts w:asciiTheme="minorHAnsi" w:eastAsia="Calibri" w:hAnsiTheme="minorHAnsi" w:cs="Calibri"/>
                <w:b/>
                <w:bCs/>
                <w:color w:val="auto"/>
                <w:sz w:val="28"/>
                <w:szCs w:val="28"/>
                <w:u w:color="0070C0"/>
              </w:rPr>
            </w:pPr>
            <w:r w:rsidRPr="001D1CD5">
              <w:rPr>
                <w:rFonts w:asciiTheme="minorHAnsi" w:eastAsia="Calibri" w:hAnsiTheme="minorHAnsi" w:cs="Calibri"/>
                <w:b/>
                <w:bCs/>
                <w:color w:val="auto"/>
                <w:sz w:val="28"/>
                <w:szCs w:val="28"/>
                <w:u w:color="0070C0"/>
              </w:rPr>
              <w:t>Impacts</w:t>
            </w:r>
            <w:r w:rsidR="00152A8B" w:rsidRPr="001D1CD5">
              <w:rPr>
                <w:rFonts w:asciiTheme="minorHAnsi" w:eastAsia="Calibri" w:hAnsiTheme="minorHAnsi" w:cs="Calibri"/>
                <w:b/>
                <w:bCs/>
                <w:color w:val="auto"/>
                <w:sz w:val="28"/>
                <w:szCs w:val="28"/>
                <w:u w:color="0070C0"/>
              </w:rPr>
              <w:t xml:space="preserve"> and international data comparisons</w:t>
            </w:r>
          </w:p>
        </w:tc>
        <w:tc>
          <w:tcPr>
            <w:tcW w:w="697" w:type="dxa"/>
          </w:tcPr>
          <w:p w14:paraId="104FD45A" w14:textId="1FAE076C" w:rsidR="00AD2E78" w:rsidRPr="001D1CD5" w:rsidRDefault="00813A2E" w:rsidP="00E30D6F">
            <w:pPr>
              <w:pStyle w:val="Body"/>
              <w:spacing w:after="120" w:line="276" w:lineRule="auto"/>
              <w:jc w:val="both"/>
              <w:rPr>
                <w:rFonts w:asciiTheme="minorHAnsi" w:eastAsia="Calibri" w:hAnsiTheme="minorHAnsi" w:cs="Calibri"/>
                <w:bCs/>
                <w:color w:val="auto"/>
                <w:sz w:val="24"/>
                <w:szCs w:val="24"/>
                <w:u w:color="0070C0"/>
              </w:rPr>
            </w:pPr>
            <w:r>
              <w:rPr>
                <w:rFonts w:asciiTheme="minorHAnsi" w:eastAsia="Calibri" w:hAnsiTheme="minorHAnsi" w:cs="Calibri"/>
                <w:bCs/>
                <w:color w:val="auto"/>
                <w:sz w:val="24"/>
                <w:szCs w:val="24"/>
                <w:u w:color="0070C0"/>
              </w:rPr>
              <w:t>71</w:t>
            </w:r>
          </w:p>
        </w:tc>
      </w:tr>
    </w:tbl>
    <w:p w14:paraId="03E5E2EA" w14:textId="77777777" w:rsidR="002540AA" w:rsidRPr="001D1CD5" w:rsidRDefault="006536A4">
      <w:pPr>
        <w:pStyle w:val="Body"/>
        <w:spacing w:after="120" w:line="276" w:lineRule="auto"/>
        <w:jc w:val="both"/>
        <w:rPr>
          <w:rFonts w:asciiTheme="minorHAnsi" w:hAnsiTheme="minorHAnsi"/>
        </w:rPr>
      </w:pPr>
      <w:r w:rsidRPr="001D1CD5">
        <w:rPr>
          <w:rFonts w:asciiTheme="minorHAnsi" w:eastAsia="Calibri" w:hAnsiTheme="minorHAnsi" w:cs="Calibri"/>
          <w:b/>
          <w:bCs/>
          <w:color w:val="0070C0"/>
          <w:u w:color="0070C0"/>
        </w:rPr>
        <w:fldChar w:fldCharType="begin"/>
      </w:r>
      <w:r w:rsidRPr="001D1CD5">
        <w:rPr>
          <w:rFonts w:asciiTheme="minorHAnsi" w:eastAsia="Calibri" w:hAnsiTheme="minorHAnsi" w:cs="Calibri"/>
          <w:b/>
          <w:bCs/>
          <w:color w:val="0070C0"/>
          <w:u w:color="0070C0"/>
        </w:rPr>
        <w:instrText xml:space="preserve"> TOC \o 2-2 </w:instrText>
      </w:r>
      <w:r w:rsidRPr="001D1CD5">
        <w:rPr>
          <w:rFonts w:asciiTheme="minorHAnsi" w:eastAsia="Calibri" w:hAnsiTheme="minorHAnsi" w:cs="Calibri"/>
          <w:b/>
          <w:bCs/>
          <w:color w:val="0070C0"/>
          <w:u w:color="0070C0"/>
        </w:rPr>
        <w:fldChar w:fldCharType="separate"/>
      </w:r>
    </w:p>
    <w:p w14:paraId="2E3E974F" w14:textId="77777777" w:rsidR="00393DA9" w:rsidRPr="001D1CD5" w:rsidRDefault="006536A4" w:rsidP="00393DA9">
      <w:pPr>
        <w:pStyle w:val="Body"/>
        <w:spacing w:after="120" w:line="276" w:lineRule="auto"/>
        <w:jc w:val="both"/>
        <w:rPr>
          <w:rFonts w:asciiTheme="minorHAnsi" w:hAnsiTheme="minorHAnsi"/>
          <w:b/>
          <w:color w:val="451E51"/>
          <w:sz w:val="40"/>
          <w:szCs w:val="40"/>
        </w:rPr>
      </w:pPr>
      <w:r w:rsidRPr="001D1CD5">
        <w:rPr>
          <w:rFonts w:asciiTheme="minorHAnsi" w:eastAsia="Calibri" w:hAnsiTheme="minorHAnsi" w:cs="Calibri"/>
          <w:b/>
          <w:bCs/>
          <w:color w:val="0070C0"/>
          <w:u w:color="0070C0"/>
        </w:rPr>
        <w:fldChar w:fldCharType="end"/>
      </w:r>
      <w:r w:rsidR="008246A9" w:rsidRPr="001D1CD5">
        <w:rPr>
          <w:rFonts w:asciiTheme="minorHAnsi" w:hAnsiTheme="minorHAnsi"/>
          <w:b/>
          <w:color w:val="451E51"/>
          <w:sz w:val="40"/>
          <w:szCs w:val="40"/>
        </w:rPr>
        <w:t xml:space="preserve"> </w:t>
      </w:r>
    </w:p>
    <w:p w14:paraId="1435462B" w14:textId="77777777" w:rsidR="00662A19" w:rsidRPr="001D1CD5" w:rsidRDefault="00662A19">
      <w:pPr>
        <w:rPr>
          <w:rFonts w:asciiTheme="minorHAnsi" w:eastAsia="Calibri" w:hAnsiTheme="minorHAnsi" w:cs="Calibri"/>
          <w:b/>
          <w:bCs/>
          <w:color w:val="451E51"/>
          <w:sz w:val="28"/>
          <w:szCs w:val="28"/>
          <w:u w:color="0070C0"/>
          <w:lang w:eastAsia="en-AU"/>
        </w:rPr>
      </w:pPr>
      <w:r w:rsidRPr="001D1CD5">
        <w:rPr>
          <w:rFonts w:asciiTheme="minorHAnsi" w:hAnsiTheme="minorHAnsi"/>
          <w:b/>
          <w:bCs/>
          <w:color w:val="451E51"/>
          <w:sz w:val="28"/>
          <w:szCs w:val="28"/>
          <w:u w:color="0070C0"/>
        </w:rPr>
        <w:br w:type="page"/>
      </w:r>
    </w:p>
    <w:p w14:paraId="394CF9A3" w14:textId="2F48BADC" w:rsidR="002540AA" w:rsidRPr="001D1CD5" w:rsidRDefault="006536A4" w:rsidP="00C16AB0">
      <w:pPr>
        <w:pStyle w:val="Default"/>
        <w:spacing w:after="240" w:line="276" w:lineRule="auto"/>
        <w:ind w:right="113"/>
        <w:rPr>
          <w:rFonts w:asciiTheme="minorHAnsi" w:hAnsiTheme="minorHAnsi"/>
          <w:b/>
          <w:bCs/>
          <w:color w:val="451E51"/>
          <w:sz w:val="28"/>
          <w:szCs w:val="28"/>
          <w:u w:color="0070C0"/>
        </w:rPr>
      </w:pPr>
      <w:r w:rsidRPr="001D1CD5">
        <w:rPr>
          <w:rFonts w:asciiTheme="minorHAnsi" w:hAnsiTheme="minorHAnsi"/>
          <w:b/>
          <w:bCs/>
          <w:color w:val="451E51"/>
          <w:sz w:val="28"/>
          <w:szCs w:val="28"/>
          <w:u w:color="0070C0"/>
        </w:rPr>
        <w:lastRenderedPageBreak/>
        <w:t>About Australian Industry Group</w:t>
      </w:r>
    </w:p>
    <w:p w14:paraId="15626668" w14:textId="022A65D9" w:rsidR="00371ABA" w:rsidRPr="001D1CD5" w:rsidRDefault="006536A4" w:rsidP="00C16AB0">
      <w:pPr>
        <w:pStyle w:val="Body"/>
        <w:spacing w:after="240" w:line="269" w:lineRule="auto"/>
        <w:jc w:val="both"/>
        <w:rPr>
          <w:rFonts w:asciiTheme="minorHAnsi" w:eastAsia="Calibri" w:hAnsiTheme="minorHAnsi" w:cs="Calibri"/>
          <w:sz w:val="24"/>
          <w:szCs w:val="24"/>
        </w:rPr>
      </w:pPr>
      <w:r w:rsidRPr="001D1CD5">
        <w:rPr>
          <w:rFonts w:asciiTheme="minorHAnsi" w:eastAsia="Calibri" w:hAnsiTheme="minorHAnsi" w:cs="Calibri"/>
          <w:sz w:val="24"/>
          <w:szCs w:val="24"/>
        </w:rPr>
        <w:t>The Australian Industry Group (Ai Group) is a peak industry association in Australia which along with its affiliates represents the interests of more than 60,000 businesses in an expanding range of s</w:t>
      </w:r>
      <w:r w:rsidR="00F175AB" w:rsidRPr="001D1CD5">
        <w:rPr>
          <w:rFonts w:asciiTheme="minorHAnsi" w:eastAsia="Calibri" w:hAnsiTheme="minorHAnsi" w:cs="Calibri"/>
          <w:sz w:val="24"/>
          <w:szCs w:val="24"/>
        </w:rPr>
        <w:t>ectors including: manufacturing,</w:t>
      </w:r>
      <w:r w:rsidRPr="001D1CD5">
        <w:rPr>
          <w:rFonts w:asciiTheme="minorHAnsi" w:eastAsia="Calibri" w:hAnsiTheme="minorHAnsi" w:cs="Calibri"/>
          <w:sz w:val="24"/>
          <w:szCs w:val="24"/>
        </w:rPr>
        <w:t xml:space="preserve"> engineeri</w:t>
      </w:r>
      <w:r w:rsidR="00F175AB" w:rsidRPr="001D1CD5">
        <w:rPr>
          <w:rFonts w:asciiTheme="minorHAnsi" w:eastAsia="Calibri" w:hAnsiTheme="minorHAnsi" w:cs="Calibri"/>
          <w:sz w:val="24"/>
          <w:szCs w:val="24"/>
        </w:rPr>
        <w:t>ng, construction, automotive, food,</w:t>
      </w:r>
      <w:r w:rsidRPr="001D1CD5">
        <w:rPr>
          <w:rFonts w:asciiTheme="minorHAnsi" w:eastAsia="Calibri" w:hAnsiTheme="minorHAnsi" w:cs="Calibri"/>
          <w:sz w:val="24"/>
          <w:szCs w:val="24"/>
        </w:rPr>
        <w:t xml:space="preserve"> transport</w:t>
      </w:r>
      <w:r w:rsidR="00F175AB" w:rsidRPr="001D1CD5">
        <w:rPr>
          <w:rFonts w:asciiTheme="minorHAnsi" w:eastAsia="Calibri" w:hAnsiTheme="minorHAnsi" w:cs="Calibri"/>
          <w:sz w:val="24"/>
          <w:szCs w:val="24"/>
        </w:rPr>
        <w:t xml:space="preserve">, information technology, telecommunications, call </w:t>
      </w:r>
      <w:proofErr w:type="spellStart"/>
      <w:r w:rsidR="00F175AB" w:rsidRPr="001D1CD5">
        <w:rPr>
          <w:rFonts w:asciiTheme="minorHAnsi" w:eastAsia="Calibri" w:hAnsiTheme="minorHAnsi" w:cs="Calibri"/>
          <w:sz w:val="24"/>
          <w:szCs w:val="24"/>
        </w:rPr>
        <w:t>centres</w:t>
      </w:r>
      <w:proofErr w:type="spellEnd"/>
      <w:r w:rsidR="00F175AB" w:rsidRPr="001D1CD5">
        <w:rPr>
          <w:rFonts w:asciiTheme="minorHAnsi" w:eastAsia="Calibri" w:hAnsiTheme="minorHAnsi" w:cs="Calibri"/>
          <w:sz w:val="24"/>
          <w:szCs w:val="24"/>
        </w:rPr>
        <w:t xml:space="preserve">, </w:t>
      </w:r>
      <w:proofErr w:type="spellStart"/>
      <w:r w:rsidR="00F175AB" w:rsidRPr="001D1CD5">
        <w:rPr>
          <w:rFonts w:asciiTheme="minorHAnsi" w:eastAsia="Calibri" w:hAnsiTheme="minorHAnsi" w:cs="Calibri"/>
          <w:sz w:val="24"/>
          <w:szCs w:val="24"/>
        </w:rPr>
        <w:t>labour</w:t>
      </w:r>
      <w:proofErr w:type="spellEnd"/>
      <w:r w:rsidR="00F175AB" w:rsidRPr="001D1CD5">
        <w:rPr>
          <w:rFonts w:asciiTheme="minorHAnsi" w:eastAsia="Calibri" w:hAnsiTheme="minorHAnsi" w:cs="Calibri"/>
          <w:sz w:val="24"/>
          <w:szCs w:val="24"/>
        </w:rPr>
        <w:t xml:space="preserve"> hire, printing, </w:t>
      </w:r>
      <w:proofErr w:type="spellStart"/>
      <w:r w:rsidR="00F175AB" w:rsidRPr="001D1CD5">
        <w:rPr>
          <w:rFonts w:asciiTheme="minorHAnsi" w:eastAsia="Calibri" w:hAnsiTheme="minorHAnsi" w:cs="Calibri"/>
          <w:sz w:val="24"/>
          <w:szCs w:val="24"/>
        </w:rPr>
        <w:t>defence</w:t>
      </w:r>
      <w:proofErr w:type="spellEnd"/>
      <w:r w:rsidR="00F175AB" w:rsidRPr="001D1CD5">
        <w:rPr>
          <w:rFonts w:asciiTheme="minorHAnsi" w:eastAsia="Calibri" w:hAnsiTheme="minorHAnsi" w:cs="Calibri"/>
          <w:sz w:val="24"/>
          <w:szCs w:val="24"/>
        </w:rPr>
        <w:t>, mining equipment and supplies, airlines, health</w:t>
      </w:r>
      <w:r w:rsidRPr="001D1CD5">
        <w:rPr>
          <w:rFonts w:asciiTheme="minorHAnsi" w:eastAsia="Calibri" w:hAnsiTheme="minorHAnsi" w:cs="Calibri"/>
          <w:sz w:val="24"/>
          <w:szCs w:val="24"/>
        </w:rPr>
        <w:t xml:space="preserve"> and other industries. The businesses which we represent employ more than </w:t>
      </w:r>
      <w:r w:rsidR="00B33B3B" w:rsidRPr="001D1CD5">
        <w:rPr>
          <w:rFonts w:asciiTheme="minorHAnsi" w:eastAsia="Calibri" w:hAnsiTheme="minorHAnsi" w:cs="Calibri"/>
          <w:sz w:val="24"/>
          <w:szCs w:val="24"/>
        </w:rPr>
        <w:t xml:space="preserve">one </w:t>
      </w:r>
      <w:r w:rsidRPr="001D1CD5">
        <w:rPr>
          <w:rFonts w:asciiTheme="minorHAnsi" w:eastAsia="Calibri" w:hAnsiTheme="minorHAnsi" w:cs="Calibri"/>
          <w:sz w:val="24"/>
          <w:szCs w:val="24"/>
        </w:rPr>
        <w:t xml:space="preserve">million people. Ai Group members operate small, medium and large businesses across a range of industries. Ai Group is closely affiliated with </w:t>
      </w:r>
      <w:r w:rsidR="00F175AB" w:rsidRPr="001D1CD5">
        <w:rPr>
          <w:rFonts w:asciiTheme="minorHAnsi" w:eastAsia="Calibri" w:hAnsiTheme="minorHAnsi" w:cs="Calibri"/>
          <w:sz w:val="24"/>
          <w:szCs w:val="24"/>
        </w:rPr>
        <w:t>many</w:t>
      </w:r>
      <w:r w:rsidRPr="001D1CD5">
        <w:rPr>
          <w:rFonts w:asciiTheme="minorHAnsi" w:eastAsia="Calibri" w:hAnsiTheme="minorHAnsi" w:cs="Calibri"/>
          <w:sz w:val="24"/>
          <w:szCs w:val="24"/>
        </w:rPr>
        <w:t xml:space="preserve"> other employer groups and directly manages a number of those </w:t>
      </w:r>
      <w:proofErr w:type="spellStart"/>
      <w:r w:rsidRPr="001D1CD5">
        <w:rPr>
          <w:rFonts w:asciiTheme="minorHAnsi" w:eastAsia="Calibri" w:hAnsiTheme="minorHAnsi" w:cs="Calibri"/>
          <w:sz w:val="24"/>
          <w:szCs w:val="24"/>
        </w:rPr>
        <w:t>organisations</w:t>
      </w:r>
      <w:proofErr w:type="spellEnd"/>
      <w:r w:rsidRPr="001D1CD5">
        <w:rPr>
          <w:rFonts w:asciiTheme="minorHAnsi" w:eastAsia="Calibri" w:hAnsiTheme="minorHAnsi" w:cs="Calibri"/>
          <w:sz w:val="24"/>
          <w:szCs w:val="24"/>
        </w:rPr>
        <w:t xml:space="preserve">. </w:t>
      </w:r>
    </w:p>
    <w:p w14:paraId="30A670BF" w14:textId="77777777" w:rsidR="00C16AB0" w:rsidRPr="001D1CD5" w:rsidRDefault="006536A4" w:rsidP="00C16AB0">
      <w:pPr>
        <w:pStyle w:val="Default"/>
        <w:spacing w:after="240" w:line="276" w:lineRule="auto"/>
        <w:ind w:right="113"/>
        <w:rPr>
          <w:rFonts w:asciiTheme="minorHAnsi" w:hAnsiTheme="minorHAnsi"/>
          <w:b/>
          <w:bCs/>
          <w:color w:val="451E51"/>
          <w:sz w:val="28"/>
          <w:szCs w:val="28"/>
          <w:u w:color="0070C0"/>
        </w:rPr>
      </w:pPr>
      <w:r w:rsidRPr="001D1CD5">
        <w:rPr>
          <w:rFonts w:asciiTheme="minorHAnsi" w:hAnsiTheme="minorHAnsi"/>
          <w:b/>
          <w:bCs/>
          <w:color w:val="451E51"/>
          <w:sz w:val="28"/>
          <w:szCs w:val="28"/>
          <w:u w:color="0070C0"/>
        </w:rPr>
        <w:t>Australian Industry Group contact for this submission</w:t>
      </w:r>
    </w:p>
    <w:p w14:paraId="7AFF6DE2" w14:textId="13091546" w:rsidR="00371ABA" w:rsidRPr="001D1CD5" w:rsidRDefault="00F175AB" w:rsidP="00C16AB0">
      <w:pPr>
        <w:pStyle w:val="Default"/>
        <w:spacing w:line="276" w:lineRule="auto"/>
        <w:ind w:right="113"/>
        <w:rPr>
          <w:rFonts w:asciiTheme="minorHAnsi" w:hAnsiTheme="minorHAnsi"/>
          <w:b/>
          <w:bCs/>
          <w:color w:val="660066"/>
          <w:sz w:val="28"/>
          <w:szCs w:val="28"/>
          <w:u w:color="0070C0"/>
        </w:rPr>
      </w:pPr>
      <w:r w:rsidRPr="001D1CD5">
        <w:rPr>
          <w:rFonts w:asciiTheme="minorHAnsi" w:hAnsiTheme="minorHAnsi"/>
        </w:rPr>
        <w:t xml:space="preserve">Stephen Smith, </w:t>
      </w:r>
      <w:r w:rsidR="00A11ECE" w:rsidRPr="001D1CD5">
        <w:rPr>
          <w:rFonts w:asciiTheme="minorHAnsi" w:hAnsiTheme="minorHAnsi"/>
        </w:rPr>
        <w:t>Head of National Workplace Relations Policy</w:t>
      </w:r>
      <w:r w:rsidR="006536A4" w:rsidRPr="001D1CD5">
        <w:rPr>
          <w:rFonts w:asciiTheme="minorHAnsi" w:hAnsiTheme="minorHAnsi"/>
        </w:rPr>
        <w:tab/>
      </w:r>
      <w:r w:rsidR="006536A4" w:rsidRPr="001D1CD5">
        <w:rPr>
          <w:rFonts w:asciiTheme="minorHAnsi" w:hAnsiTheme="minorHAnsi"/>
        </w:rPr>
        <w:tab/>
      </w:r>
      <w:r w:rsidR="006536A4" w:rsidRPr="001D1CD5">
        <w:rPr>
          <w:rFonts w:asciiTheme="minorHAnsi" w:hAnsiTheme="minorHAnsi"/>
        </w:rPr>
        <w:tab/>
        <w:t xml:space="preserve">    </w:t>
      </w:r>
      <w:r w:rsidR="006536A4" w:rsidRPr="001D1CD5">
        <w:rPr>
          <w:rFonts w:asciiTheme="minorHAnsi" w:hAnsiTheme="minorHAnsi"/>
        </w:rPr>
        <w:tab/>
      </w:r>
      <w:r w:rsidR="006536A4" w:rsidRPr="001D1CD5">
        <w:rPr>
          <w:rFonts w:asciiTheme="minorHAnsi" w:hAnsiTheme="minorHAnsi"/>
        </w:rPr>
        <w:tab/>
        <w:t xml:space="preserve">                 </w:t>
      </w:r>
    </w:p>
    <w:p w14:paraId="73718FB0" w14:textId="77777777" w:rsidR="00F175AB" w:rsidRPr="001D1CD5" w:rsidRDefault="00F175AB">
      <w:pPr>
        <w:pStyle w:val="Default"/>
        <w:ind w:left="4320" w:right="113" w:hanging="4320"/>
        <w:rPr>
          <w:rFonts w:asciiTheme="minorHAnsi" w:hAnsiTheme="minorHAnsi"/>
        </w:rPr>
      </w:pPr>
    </w:p>
    <w:p w14:paraId="5B788815" w14:textId="72AB9DFE" w:rsidR="002540AA" w:rsidRPr="001D1CD5" w:rsidRDefault="00A82E1B" w:rsidP="00EA5C53">
      <w:pPr>
        <w:pStyle w:val="Heading1"/>
        <w:spacing w:before="0" w:after="240" w:line="276" w:lineRule="auto"/>
        <w:rPr>
          <w:rFonts w:asciiTheme="minorHAnsi" w:eastAsia="Calibri" w:hAnsiTheme="minorHAnsi" w:cs="Calibri"/>
          <w:color w:val="451E51"/>
          <w:sz w:val="36"/>
          <w:szCs w:val="36"/>
          <w:u w:color="0070C0"/>
          <w:lang w:eastAsia="en-AU"/>
        </w:rPr>
      </w:pPr>
      <w:r w:rsidRPr="001D1CD5">
        <w:rPr>
          <w:rFonts w:asciiTheme="minorHAnsi" w:eastAsia="Calibri" w:hAnsiTheme="minorHAnsi"/>
          <w:u w:color="0070C0"/>
        </w:rPr>
        <w:br w:type="page"/>
      </w:r>
      <w:bookmarkStart w:id="1" w:name="_Toc413853141"/>
      <w:r w:rsidR="00DE3730" w:rsidRPr="001D1CD5">
        <w:rPr>
          <w:rFonts w:asciiTheme="minorHAnsi" w:eastAsia="Calibri" w:hAnsiTheme="minorHAnsi" w:cs="Calibri"/>
          <w:color w:val="451E51"/>
          <w:sz w:val="36"/>
          <w:szCs w:val="36"/>
          <w:u w:color="0070C0"/>
          <w:lang w:eastAsia="en-AU"/>
        </w:rPr>
        <w:lastRenderedPageBreak/>
        <w:t>1.</w:t>
      </w:r>
      <w:r w:rsidR="00DE3730" w:rsidRPr="001D1CD5">
        <w:rPr>
          <w:rFonts w:asciiTheme="minorHAnsi" w:eastAsia="Calibri" w:hAnsiTheme="minorHAnsi" w:cs="Calibri"/>
          <w:color w:val="451E51"/>
          <w:sz w:val="36"/>
          <w:szCs w:val="36"/>
          <w:u w:color="0070C0"/>
          <w:lang w:eastAsia="en-AU"/>
        </w:rPr>
        <w:tab/>
        <w:t>E</w:t>
      </w:r>
      <w:r w:rsidR="006536A4" w:rsidRPr="001D1CD5">
        <w:rPr>
          <w:rFonts w:asciiTheme="minorHAnsi" w:eastAsia="Calibri" w:hAnsiTheme="minorHAnsi" w:cs="Calibri"/>
          <w:color w:val="451E51"/>
          <w:sz w:val="36"/>
          <w:szCs w:val="36"/>
          <w:u w:color="0070C0"/>
          <w:lang w:eastAsia="en-AU"/>
        </w:rPr>
        <w:t>xecutive summary</w:t>
      </w:r>
      <w:bookmarkEnd w:id="1"/>
    </w:p>
    <w:p w14:paraId="5BBC71BB" w14:textId="5F75F253" w:rsidR="002F403A" w:rsidRPr="001D1CD5" w:rsidRDefault="002F403A" w:rsidP="002F403A">
      <w:pPr>
        <w:widowControl w:val="0"/>
        <w:spacing w:after="240" w:line="276" w:lineRule="auto"/>
        <w:jc w:val="both"/>
        <w:rPr>
          <w:rFonts w:asciiTheme="minorHAnsi" w:hAnsiTheme="minorHAnsi" w:cs="Arial"/>
          <w:snapToGrid w:val="0"/>
        </w:rPr>
      </w:pPr>
      <w:r w:rsidRPr="001D1CD5">
        <w:rPr>
          <w:rFonts w:asciiTheme="minorHAnsi" w:hAnsiTheme="minorHAnsi" w:cs="Arial"/>
          <w:color w:val="000000"/>
        </w:rPr>
        <w:t>This submission responds to the Productivity Commission</w:t>
      </w:r>
      <w:r w:rsidR="00E61BC4">
        <w:rPr>
          <w:rFonts w:asciiTheme="minorHAnsi" w:hAnsiTheme="minorHAnsi" w:cs="Arial"/>
          <w:color w:val="000000"/>
        </w:rPr>
        <w:t>’s Draft Report on Australia’s W</w:t>
      </w:r>
      <w:r w:rsidRPr="001D1CD5">
        <w:rPr>
          <w:rFonts w:asciiTheme="minorHAnsi" w:hAnsiTheme="minorHAnsi" w:cs="Arial"/>
          <w:color w:val="000000"/>
        </w:rPr>
        <w:t>orkplace Relations Framework (</w:t>
      </w:r>
      <w:r w:rsidRPr="001D1CD5">
        <w:rPr>
          <w:rFonts w:asciiTheme="minorHAnsi" w:hAnsiTheme="minorHAnsi" w:cs="Arial"/>
          <w:b/>
          <w:color w:val="000000"/>
        </w:rPr>
        <w:t>Draft Report</w:t>
      </w:r>
      <w:r w:rsidRPr="001D1CD5">
        <w:rPr>
          <w:rFonts w:asciiTheme="minorHAnsi" w:hAnsiTheme="minorHAnsi" w:cs="Arial"/>
          <w:color w:val="000000"/>
        </w:rPr>
        <w:t xml:space="preserve">) released in August 2015. The Draft Report has facilitated an important community debate about the shape of Australia’s workplace relations system. </w:t>
      </w:r>
      <w:r w:rsidRPr="001D1CD5">
        <w:rPr>
          <w:rFonts w:asciiTheme="minorHAnsi" w:hAnsiTheme="minorHAnsi" w:cs="Arial"/>
          <w:snapToGrid w:val="0"/>
        </w:rPr>
        <w:t>The Commission’s Final Report</w:t>
      </w:r>
      <w:r w:rsidRPr="001D1CD5">
        <w:rPr>
          <w:rFonts w:asciiTheme="minorHAnsi" w:hAnsiTheme="minorHAnsi" w:cs="Arial"/>
          <w:color w:val="000000"/>
        </w:rPr>
        <w:t xml:space="preserve"> will be extremely important in identifying the changes that are needed to the workplace relations framework to remove barriers to </w:t>
      </w:r>
      <w:r w:rsidRPr="001D1CD5">
        <w:rPr>
          <w:rFonts w:asciiTheme="minorHAnsi" w:hAnsiTheme="minorHAnsi" w:cs="Arial"/>
          <w:snapToGrid w:val="0"/>
        </w:rPr>
        <w:t xml:space="preserve">productivity improvement, competitiveness and investment.  </w:t>
      </w:r>
    </w:p>
    <w:p w14:paraId="6763F0F7" w14:textId="0E1A062C" w:rsidR="002F403A" w:rsidRPr="001D1CD5" w:rsidRDefault="002F403A" w:rsidP="002F403A">
      <w:pPr>
        <w:widowControl w:val="0"/>
        <w:spacing w:after="240" w:line="276" w:lineRule="auto"/>
        <w:jc w:val="both"/>
        <w:rPr>
          <w:rFonts w:asciiTheme="minorHAnsi" w:hAnsiTheme="minorHAnsi" w:cs="Arial"/>
          <w:snapToGrid w:val="0"/>
        </w:rPr>
      </w:pPr>
      <w:r w:rsidRPr="001D1CD5">
        <w:rPr>
          <w:rFonts w:asciiTheme="minorHAnsi" w:hAnsiTheme="minorHAnsi" w:cs="Arial"/>
          <w:snapToGrid w:val="0"/>
        </w:rPr>
        <w:t xml:space="preserve">While Ai Group is not proposing that the </w:t>
      </w:r>
      <w:r w:rsidRPr="001D1CD5">
        <w:rPr>
          <w:rFonts w:asciiTheme="minorHAnsi" w:hAnsiTheme="minorHAnsi" w:cs="Arial"/>
          <w:i/>
          <w:snapToGrid w:val="0"/>
        </w:rPr>
        <w:t xml:space="preserve">Fair Work Act 2009 </w:t>
      </w:r>
      <w:r w:rsidRPr="001D1CD5">
        <w:rPr>
          <w:rFonts w:asciiTheme="minorHAnsi" w:hAnsiTheme="minorHAnsi" w:cs="Arial"/>
          <w:snapToGrid w:val="0"/>
        </w:rPr>
        <w:t>(</w:t>
      </w:r>
      <w:r w:rsidRPr="001D1CD5">
        <w:rPr>
          <w:rFonts w:asciiTheme="minorHAnsi" w:hAnsiTheme="minorHAnsi" w:cs="Arial"/>
          <w:b/>
          <w:snapToGrid w:val="0"/>
        </w:rPr>
        <w:t>FW Act</w:t>
      </w:r>
      <w:r w:rsidRPr="001D1CD5">
        <w:rPr>
          <w:rFonts w:asciiTheme="minorHAnsi" w:hAnsiTheme="minorHAnsi" w:cs="Arial"/>
          <w:snapToGrid w:val="0"/>
        </w:rPr>
        <w:t>) and the modern award system be scrapped, some major changes are needed. Australia’s current workplace relations system is not delivering the adaptability that employers and employees need.</w:t>
      </w:r>
    </w:p>
    <w:p w14:paraId="0020325D" w14:textId="650F5D51" w:rsidR="002F403A" w:rsidRPr="00962E89" w:rsidRDefault="002F403A" w:rsidP="002F403A">
      <w:pPr>
        <w:widowControl w:val="0"/>
        <w:spacing w:after="240" w:line="276" w:lineRule="auto"/>
        <w:jc w:val="both"/>
        <w:rPr>
          <w:rFonts w:asciiTheme="minorHAnsi" w:hAnsiTheme="minorHAnsi" w:cs="Arial"/>
          <w:strike/>
        </w:rPr>
      </w:pPr>
      <w:r w:rsidRPr="001D1CD5">
        <w:rPr>
          <w:rFonts w:asciiTheme="minorHAnsi" w:hAnsiTheme="minorHAnsi" w:cs="Arial"/>
        </w:rPr>
        <w:t xml:space="preserve">Ai Group maintains that more flexible workplace relations arrangements are fundamental to the improved productivity that is so important to our national competitiveness and our capacity to further improve Australian living standards.  </w:t>
      </w:r>
    </w:p>
    <w:p w14:paraId="6E38CC36" w14:textId="61A961FA" w:rsidR="002F403A" w:rsidRPr="001D1CD5" w:rsidRDefault="002F403A" w:rsidP="002F403A">
      <w:pPr>
        <w:widowControl w:val="0"/>
        <w:spacing w:after="240" w:line="276" w:lineRule="auto"/>
        <w:jc w:val="both"/>
        <w:rPr>
          <w:rFonts w:asciiTheme="minorHAnsi" w:hAnsiTheme="minorHAnsi" w:cs="Arial"/>
          <w:bCs/>
        </w:rPr>
      </w:pPr>
      <w:r w:rsidRPr="001D1CD5">
        <w:rPr>
          <w:rFonts w:asciiTheme="minorHAnsi" w:hAnsiTheme="minorHAnsi" w:cs="Arial"/>
        </w:rPr>
        <w:t>While the C</w:t>
      </w:r>
      <w:r w:rsidR="00962E89">
        <w:rPr>
          <w:rFonts w:asciiTheme="minorHAnsi" w:hAnsiTheme="minorHAnsi" w:cs="Arial"/>
        </w:rPr>
        <w:t>ommission has pointed out that</w:t>
      </w:r>
      <w:r w:rsidR="00C30D28">
        <w:rPr>
          <w:rFonts w:asciiTheme="minorHAnsi" w:hAnsiTheme="minorHAnsi" w:cs="Arial"/>
        </w:rPr>
        <w:t xml:space="preserve">, </w:t>
      </w:r>
      <w:r w:rsidRPr="001D1CD5">
        <w:rPr>
          <w:rFonts w:asciiTheme="minorHAnsi" w:hAnsiTheme="minorHAnsi" w:cs="Arial"/>
        </w:rPr>
        <w:t>Australia’s workplace relations arrangements are far from dysfunctional, there are substantial improvements that can and should be made to enable more productive perform</w:t>
      </w:r>
      <w:r w:rsidR="00E61BC4">
        <w:rPr>
          <w:rFonts w:asciiTheme="minorHAnsi" w:hAnsiTheme="minorHAnsi" w:cs="Arial"/>
        </w:rPr>
        <w:t xml:space="preserve">ance in individual businesses. </w:t>
      </w:r>
      <w:r w:rsidRPr="001D1CD5">
        <w:rPr>
          <w:rFonts w:asciiTheme="minorHAnsi" w:hAnsiTheme="minorHAnsi" w:cs="Arial"/>
        </w:rPr>
        <w:t>This is certainly the view from the coal-face where, a</w:t>
      </w:r>
      <w:r w:rsidR="00962E89">
        <w:rPr>
          <w:rFonts w:asciiTheme="minorHAnsi" w:hAnsiTheme="minorHAnsi" w:cs="Arial"/>
        </w:rPr>
        <w:t xml:space="preserve">s we pointed out in our March 2015 </w:t>
      </w:r>
      <w:r w:rsidRPr="001D1CD5">
        <w:rPr>
          <w:rFonts w:asciiTheme="minorHAnsi" w:hAnsiTheme="minorHAnsi" w:cs="Arial"/>
        </w:rPr>
        <w:t xml:space="preserve">submission, business owners and managers participating in the </w:t>
      </w:r>
      <w:proofErr w:type="spellStart"/>
      <w:r w:rsidRPr="001D1CD5">
        <w:rPr>
          <w:rFonts w:asciiTheme="minorHAnsi" w:hAnsiTheme="minorHAnsi" w:cs="Arial"/>
          <w:bCs/>
        </w:rPr>
        <w:t>WEF</w:t>
      </w:r>
      <w:proofErr w:type="spellEnd"/>
      <w:r w:rsidRPr="001D1CD5">
        <w:rPr>
          <w:rFonts w:asciiTheme="minorHAnsi" w:hAnsiTheme="minorHAnsi" w:cs="Arial"/>
          <w:bCs/>
        </w:rPr>
        <w:t xml:space="preserve"> Global Competitiveness surveys consistently rank restrictive </w:t>
      </w:r>
      <w:proofErr w:type="spellStart"/>
      <w:r w:rsidRPr="001D1CD5">
        <w:rPr>
          <w:rFonts w:asciiTheme="minorHAnsi" w:hAnsiTheme="minorHAnsi" w:cs="Arial"/>
          <w:bCs/>
        </w:rPr>
        <w:t>labour</w:t>
      </w:r>
      <w:proofErr w:type="spellEnd"/>
      <w:r w:rsidRPr="001D1CD5">
        <w:rPr>
          <w:rFonts w:asciiTheme="minorHAnsi" w:hAnsiTheme="minorHAnsi" w:cs="Arial"/>
          <w:bCs/>
        </w:rPr>
        <w:t xml:space="preserve"> regulations as leading the list of most problematic factors for doing business in Australia. </w:t>
      </w:r>
    </w:p>
    <w:p w14:paraId="7A476A03" w14:textId="77777777" w:rsidR="002F403A" w:rsidRPr="001D1CD5" w:rsidRDefault="002F403A" w:rsidP="002F403A">
      <w:pPr>
        <w:widowControl w:val="0"/>
        <w:spacing w:after="240" w:line="276" w:lineRule="auto"/>
        <w:jc w:val="both"/>
        <w:rPr>
          <w:rFonts w:asciiTheme="minorHAnsi" w:hAnsiTheme="minorHAnsi" w:cs="Arial"/>
        </w:rPr>
      </w:pPr>
      <w:r w:rsidRPr="001D1CD5">
        <w:rPr>
          <w:rFonts w:asciiTheme="minorHAnsi" w:hAnsiTheme="minorHAnsi" w:cs="Arial"/>
        </w:rPr>
        <w:t>There are some very good proposed reforms in the Draft Report, including:</w:t>
      </w:r>
    </w:p>
    <w:p w14:paraId="3B503ECC" w14:textId="669F5B0A" w:rsidR="002F403A" w:rsidRPr="001D1CD5" w:rsidRDefault="002F403A" w:rsidP="00D12FF9">
      <w:pPr>
        <w:pStyle w:val="ListParagraph"/>
        <w:widowControl w:val="0"/>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ind w:left="714" w:hanging="357"/>
        <w:jc w:val="both"/>
        <w:rPr>
          <w:rFonts w:asciiTheme="minorHAnsi" w:hAnsiTheme="minorHAnsi" w:cs="Arial"/>
        </w:rPr>
      </w:pPr>
      <w:r w:rsidRPr="001D1CD5">
        <w:rPr>
          <w:rFonts w:asciiTheme="minorHAnsi" w:hAnsiTheme="minorHAnsi" w:cs="Arial"/>
        </w:rPr>
        <w:t xml:space="preserve">Outlawing clauses in enterprise agreements that impose restrictions on the engagement of contractors, </w:t>
      </w:r>
      <w:proofErr w:type="spellStart"/>
      <w:r w:rsidRPr="001D1CD5">
        <w:rPr>
          <w:rFonts w:asciiTheme="minorHAnsi" w:hAnsiTheme="minorHAnsi" w:cs="Arial"/>
        </w:rPr>
        <w:t>labour</w:t>
      </w:r>
      <w:proofErr w:type="spellEnd"/>
      <w:r w:rsidRPr="001D1CD5">
        <w:rPr>
          <w:rFonts w:asciiTheme="minorHAnsi" w:hAnsiTheme="minorHAnsi" w:cs="Arial"/>
        </w:rPr>
        <w:t xml:space="preserve"> hire and casuals;</w:t>
      </w:r>
    </w:p>
    <w:p w14:paraId="00CC9BDF" w14:textId="77777777" w:rsidR="00792E50" w:rsidRPr="001D1CD5" w:rsidRDefault="002F403A" w:rsidP="00D12FF9">
      <w:pPr>
        <w:pStyle w:val="ListParagraph"/>
        <w:widowControl w:val="0"/>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ind w:left="714" w:hanging="357"/>
        <w:jc w:val="both"/>
        <w:rPr>
          <w:rFonts w:asciiTheme="minorHAnsi" w:hAnsiTheme="minorHAnsi" w:cs="Arial"/>
        </w:rPr>
      </w:pPr>
      <w:r w:rsidRPr="001D1CD5">
        <w:rPr>
          <w:rFonts w:asciiTheme="minorHAnsi" w:hAnsiTheme="minorHAnsi" w:cs="Arial"/>
        </w:rPr>
        <w:t>Introducing a new form of enterprise agreement called the Enterprise Contract;</w:t>
      </w:r>
    </w:p>
    <w:p w14:paraId="1085D973" w14:textId="2FC614A0" w:rsidR="002F403A" w:rsidRPr="001D1CD5" w:rsidRDefault="00792E50" w:rsidP="00D12FF9">
      <w:pPr>
        <w:pStyle w:val="ListParagraph"/>
        <w:widowControl w:val="0"/>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ind w:left="714" w:hanging="357"/>
        <w:jc w:val="both"/>
        <w:rPr>
          <w:rFonts w:asciiTheme="minorHAnsi" w:hAnsiTheme="minorHAnsi" w:cs="Arial"/>
        </w:rPr>
      </w:pPr>
      <w:r w:rsidRPr="001D1CD5">
        <w:rPr>
          <w:rFonts w:asciiTheme="minorHAnsi" w:hAnsiTheme="minorHAnsi" w:cs="Arial"/>
        </w:rPr>
        <w:t>Implementing measures to expand the use of Individual Flexibility Arrangements;</w:t>
      </w:r>
      <w:r w:rsidR="002F403A" w:rsidRPr="001D1CD5">
        <w:rPr>
          <w:rFonts w:asciiTheme="minorHAnsi" w:hAnsiTheme="minorHAnsi" w:cs="Arial"/>
        </w:rPr>
        <w:t xml:space="preserve"> </w:t>
      </w:r>
    </w:p>
    <w:p w14:paraId="2A2FC683" w14:textId="009E1D71" w:rsidR="002F403A" w:rsidRPr="001D1CD5" w:rsidRDefault="002F403A" w:rsidP="00D12FF9">
      <w:pPr>
        <w:pStyle w:val="ListParagraph"/>
        <w:widowControl w:val="0"/>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ind w:left="714" w:hanging="357"/>
        <w:jc w:val="both"/>
        <w:rPr>
          <w:rFonts w:asciiTheme="minorHAnsi" w:hAnsiTheme="minorHAnsi" w:cs="Arial"/>
        </w:rPr>
      </w:pPr>
      <w:r w:rsidRPr="001D1CD5">
        <w:rPr>
          <w:rFonts w:asciiTheme="minorHAnsi" w:hAnsiTheme="minorHAnsi" w:cs="Arial"/>
        </w:rPr>
        <w:t xml:space="preserve">Reducing the emphasis on procedural issues in enterprise agreement making and unfair dismissal matters; </w:t>
      </w:r>
    </w:p>
    <w:p w14:paraId="54E607E0" w14:textId="479C69E4" w:rsidR="002F403A" w:rsidRPr="001D1CD5" w:rsidRDefault="002F403A" w:rsidP="00D12FF9">
      <w:pPr>
        <w:pStyle w:val="ListParagraph"/>
        <w:widowControl w:val="0"/>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ind w:left="714" w:hanging="357"/>
        <w:jc w:val="both"/>
        <w:rPr>
          <w:rFonts w:asciiTheme="minorHAnsi" w:hAnsiTheme="minorHAnsi" w:cs="Arial"/>
        </w:rPr>
      </w:pPr>
      <w:r w:rsidRPr="001D1CD5">
        <w:rPr>
          <w:rFonts w:asciiTheme="minorHAnsi" w:hAnsiTheme="minorHAnsi" w:cs="Arial"/>
        </w:rPr>
        <w:t>Imposing a six month compensation cap on general protection matters;</w:t>
      </w:r>
    </w:p>
    <w:p w14:paraId="20BAF00D" w14:textId="2830B613" w:rsidR="002F403A" w:rsidRPr="001D1CD5" w:rsidRDefault="002F403A" w:rsidP="00D12FF9">
      <w:pPr>
        <w:pStyle w:val="ListParagraph"/>
        <w:widowControl w:val="0"/>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ind w:left="714" w:hanging="357"/>
        <w:jc w:val="both"/>
        <w:rPr>
          <w:rFonts w:asciiTheme="minorHAnsi" w:hAnsiTheme="minorHAnsi" w:cs="Arial"/>
        </w:rPr>
      </w:pPr>
      <w:r w:rsidRPr="001D1CD5">
        <w:rPr>
          <w:rFonts w:asciiTheme="minorHAnsi" w:hAnsiTheme="minorHAnsi" w:cs="Arial"/>
        </w:rPr>
        <w:t>Reducing Sunday penalty rates in the retail, hospitality, restaurant</w:t>
      </w:r>
      <w:r w:rsidR="00962E89">
        <w:rPr>
          <w:rFonts w:asciiTheme="minorHAnsi" w:hAnsiTheme="minorHAnsi" w:cs="Arial"/>
        </w:rPr>
        <w:t>s</w:t>
      </w:r>
      <w:r w:rsidRPr="001D1CD5">
        <w:rPr>
          <w:rFonts w:asciiTheme="minorHAnsi" w:hAnsiTheme="minorHAnsi" w:cs="Arial"/>
        </w:rPr>
        <w:t>, café</w:t>
      </w:r>
      <w:r w:rsidR="00962E89">
        <w:rPr>
          <w:rFonts w:asciiTheme="minorHAnsi" w:hAnsiTheme="minorHAnsi" w:cs="Arial"/>
        </w:rPr>
        <w:t>s</w:t>
      </w:r>
      <w:r w:rsidRPr="001D1CD5">
        <w:rPr>
          <w:rFonts w:asciiTheme="minorHAnsi" w:hAnsiTheme="minorHAnsi" w:cs="Arial"/>
        </w:rPr>
        <w:t xml:space="preserve"> and entertainment industries (including in the fast food section of the retail industry);</w:t>
      </w:r>
    </w:p>
    <w:p w14:paraId="3E97D90C" w14:textId="56973282" w:rsidR="002F403A" w:rsidRPr="001D1CD5" w:rsidRDefault="002F403A" w:rsidP="00D12FF9">
      <w:pPr>
        <w:pStyle w:val="ListParagraph"/>
        <w:widowControl w:val="0"/>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ind w:left="714" w:hanging="357"/>
        <w:jc w:val="both"/>
        <w:rPr>
          <w:rFonts w:asciiTheme="minorHAnsi" w:hAnsiTheme="minorHAnsi" w:cs="Arial"/>
        </w:rPr>
      </w:pPr>
      <w:r w:rsidRPr="001D1CD5">
        <w:rPr>
          <w:rFonts w:asciiTheme="minorHAnsi" w:hAnsiTheme="minorHAnsi" w:cs="Arial"/>
        </w:rPr>
        <w:t>Discontinuing the 4 Yearly Reviews of Awards; and</w:t>
      </w:r>
    </w:p>
    <w:p w14:paraId="626E6F48" w14:textId="7EAB2AB1" w:rsidR="002F403A" w:rsidRPr="001D1CD5" w:rsidRDefault="002F403A" w:rsidP="00D12FF9">
      <w:pPr>
        <w:pStyle w:val="ListParagraph"/>
        <w:widowControl w:val="0"/>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ind w:left="714" w:hanging="357"/>
        <w:jc w:val="both"/>
        <w:rPr>
          <w:rFonts w:asciiTheme="minorHAnsi" w:hAnsiTheme="minorHAnsi" w:cs="Arial"/>
        </w:rPr>
      </w:pPr>
      <w:r w:rsidRPr="001D1CD5">
        <w:rPr>
          <w:rFonts w:asciiTheme="minorHAnsi" w:hAnsiTheme="minorHAnsi" w:cs="Arial"/>
        </w:rPr>
        <w:t>Protecting employers from increased costs where State Governments decide to proc</w:t>
      </w:r>
      <w:r w:rsidR="001D1CD5">
        <w:rPr>
          <w:rFonts w:asciiTheme="minorHAnsi" w:hAnsiTheme="minorHAnsi" w:cs="Arial"/>
        </w:rPr>
        <w:t>laim additional public holidays.</w:t>
      </w:r>
    </w:p>
    <w:p w14:paraId="15198EFD" w14:textId="102E48CA" w:rsidR="00792E50" w:rsidRPr="001D1CD5" w:rsidRDefault="00792E50" w:rsidP="002F403A">
      <w:pPr>
        <w:widowControl w:val="0"/>
        <w:spacing w:after="240" w:line="276" w:lineRule="auto"/>
        <w:jc w:val="both"/>
        <w:rPr>
          <w:rFonts w:asciiTheme="minorHAnsi" w:hAnsiTheme="minorHAnsi" w:cs="Arial"/>
        </w:rPr>
      </w:pPr>
      <w:r w:rsidRPr="001D1CD5">
        <w:rPr>
          <w:rFonts w:asciiTheme="minorHAnsi" w:hAnsiTheme="minorHAnsi" w:cs="Arial"/>
        </w:rPr>
        <w:lastRenderedPageBreak/>
        <w:t>However, we have concerns about a minority of the recommendations, as currently drafted. In these areas, we have put forward different or amended proposals to address the issues of concern identified by the Productivity Commission. The following subject areas fall within this category:</w:t>
      </w:r>
    </w:p>
    <w:p w14:paraId="7DA690DF" w14:textId="3166E961" w:rsidR="00792E50" w:rsidRPr="001D1CD5" w:rsidRDefault="00792E50" w:rsidP="00D12FF9">
      <w:pPr>
        <w:pStyle w:val="ListParagraph"/>
        <w:widowControl w:val="0"/>
        <w:numPr>
          <w:ilvl w:val="0"/>
          <w:numId w:val="76"/>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cs="Arial"/>
        </w:rPr>
      </w:pPr>
      <w:r w:rsidRPr="001D1CD5">
        <w:rPr>
          <w:rFonts w:asciiTheme="minorHAnsi" w:hAnsiTheme="minorHAnsi" w:cs="Arial"/>
        </w:rPr>
        <w:t xml:space="preserve">The proposed restructuring of the Fair Work Commission </w:t>
      </w:r>
      <w:r w:rsidR="00371EDD">
        <w:rPr>
          <w:rFonts w:asciiTheme="minorHAnsi" w:hAnsiTheme="minorHAnsi" w:cs="Arial"/>
        </w:rPr>
        <w:t>(</w:t>
      </w:r>
      <w:proofErr w:type="spellStart"/>
      <w:r w:rsidR="00371EDD" w:rsidRPr="00371EDD">
        <w:rPr>
          <w:rFonts w:asciiTheme="minorHAnsi" w:hAnsiTheme="minorHAnsi" w:cs="Arial"/>
          <w:b/>
        </w:rPr>
        <w:t>FWC</w:t>
      </w:r>
      <w:proofErr w:type="spellEnd"/>
      <w:r w:rsidR="00371EDD">
        <w:rPr>
          <w:rFonts w:asciiTheme="minorHAnsi" w:hAnsiTheme="minorHAnsi" w:cs="Arial"/>
        </w:rPr>
        <w:t xml:space="preserve">) </w:t>
      </w:r>
      <w:r w:rsidRPr="001D1CD5">
        <w:rPr>
          <w:rFonts w:asciiTheme="minorHAnsi" w:hAnsiTheme="minorHAnsi" w:cs="Arial"/>
        </w:rPr>
        <w:t xml:space="preserve">into two Divisions;  </w:t>
      </w:r>
    </w:p>
    <w:p w14:paraId="2AC89ED1" w14:textId="138C0134" w:rsidR="002F403A" w:rsidRPr="001D1CD5" w:rsidRDefault="00792E50" w:rsidP="00D12FF9">
      <w:pPr>
        <w:pStyle w:val="ListParagraph"/>
        <w:widowControl w:val="0"/>
        <w:numPr>
          <w:ilvl w:val="0"/>
          <w:numId w:val="76"/>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cs="Arial"/>
        </w:rPr>
      </w:pPr>
      <w:r w:rsidRPr="001D1CD5">
        <w:rPr>
          <w:rFonts w:asciiTheme="minorHAnsi" w:hAnsiTheme="minorHAnsi" w:cs="Arial"/>
        </w:rPr>
        <w:t xml:space="preserve">Long service leave; </w:t>
      </w:r>
    </w:p>
    <w:p w14:paraId="14B8C8CB" w14:textId="7D16E93A" w:rsidR="00792E50" w:rsidRPr="001D1CD5" w:rsidRDefault="002F403A" w:rsidP="00D12FF9">
      <w:pPr>
        <w:pStyle w:val="ListParagraph"/>
        <w:widowControl w:val="0"/>
        <w:numPr>
          <w:ilvl w:val="0"/>
          <w:numId w:val="75"/>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cs="Arial"/>
        </w:rPr>
      </w:pPr>
      <w:r w:rsidRPr="001D1CD5">
        <w:rPr>
          <w:rFonts w:asciiTheme="minorHAnsi" w:hAnsiTheme="minorHAnsi" w:cs="Arial"/>
        </w:rPr>
        <w:t>Greenfields agreements</w:t>
      </w:r>
      <w:r w:rsidR="00792E50" w:rsidRPr="001D1CD5">
        <w:rPr>
          <w:rFonts w:asciiTheme="minorHAnsi" w:hAnsiTheme="minorHAnsi" w:cs="Arial"/>
        </w:rPr>
        <w:t>; and</w:t>
      </w:r>
    </w:p>
    <w:p w14:paraId="458EA62D" w14:textId="6975E6CF" w:rsidR="00792E50" w:rsidRPr="001D1CD5" w:rsidRDefault="00792E50" w:rsidP="00D12FF9">
      <w:pPr>
        <w:pStyle w:val="ListParagraph"/>
        <w:widowControl w:val="0"/>
        <w:numPr>
          <w:ilvl w:val="0"/>
          <w:numId w:val="75"/>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cs="Arial"/>
        </w:rPr>
      </w:pPr>
      <w:r w:rsidRPr="001D1CD5">
        <w:rPr>
          <w:rFonts w:asciiTheme="minorHAnsi" w:hAnsiTheme="minorHAnsi" w:cs="Arial"/>
        </w:rPr>
        <w:t xml:space="preserve">The changes to </w:t>
      </w:r>
      <w:proofErr w:type="spellStart"/>
      <w:r w:rsidRPr="001D1CD5">
        <w:rPr>
          <w:rFonts w:asciiTheme="minorHAnsi" w:hAnsiTheme="minorHAnsi" w:cs="Arial"/>
        </w:rPr>
        <w:t>s.423</w:t>
      </w:r>
      <w:proofErr w:type="spellEnd"/>
      <w:r w:rsidRPr="001D1CD5">
        <w:rPr>
          <w:rFonts w:asciiTheme="minorHAnsi" w:hAnsiTheme="minorHAnsi" w:cs="Arial"/>
        </w:rPr>
        <w:t xml:space="preserve"> of the FW Act regarding industrial action which threatens to significant harm the bargaining parties.</w:t>
      </w:r>
    </w:p>
    <w:p w14:paraId="47C831F7" w14:textId="44DB51E8" w:rsidR="002F403A" w:rsidRPr="001D1CD5" w:rsidRDefault="002F403A" w:rsidP="002F403A">
      <w:pPr>
        <w:pStyle w:val="ListParagraph"/>
        <w:widowControl w:val="0"/>
        <w:spacing w:after="240" w:line="276" w:lineRule="auto"/>
        <w:ind w:left="0"/>
        <w:jc w:val="both"/>
        <w:rPr>
          <w:rFonts w:asciiTheme="minorHAnsi" w:hAnsiTheme="minorHAnsi" w:cs="Arial"/>
        </w:rPr>
      </w:pPr>
      <w:r w:rsidRPr="001D1CD5">
        <w:rPr>
          <w:rFonts w:asciiTheme="minorHAnsi" w:hAnsiTheme="minorHAnsi" w:cs="Arial"/>
        </w:rPr>
        <w:t xml:space="preserve">Finally, there are a number of areas </w:t>
      </w:r>
      <w:r w:rsidR="00792E50" w:rsidRPr="001D1CD5">
        <w:rPr>
          <w:rFonts w:asciiTheme="minorHAnsi" w:hAnsiTheme="minorHAnsi" w:cs="Arial"/>
        </w:rPr>
        <w:t xml:space="preserve">where we </w:t>
      </w:r>
      <w:r w:rsidRPr="001D1CD5">
        <w:rPr>
          <w:rFonts w:asciiTheme="minorHAnsi" w:hAnsiTheme="minorHAnsi" w:cs="Arial"/>
        </w:rPr>
        <w:t>urge the Productivity Commission to recommend more substantial changes than those proposed in the Draft Report. These include:</w:t>
      </w:r>
    </w:p>
    <w:p w14:paraId="6631A027" w14:textId="77777777" w:rsidR="002F403A" w:rsidRPr="001D1CD5" w:rsidRDefault="002F403A" w:rsidP="00D12FF9">
      <w:pPr>
        <w:pStyle w:val="ListParagraph"/>
        <w:widowControl w:val="0"/>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cs="Arial"/>
        </w:rPr>
      </w:pPr>
      <w:r w:rsidRPr="001D1CD5">
        <w:rPr>
          <w:rFonts w:asciiTheme="minorHAnsi" w:hAnsiTheme="minorHAnsi" w:cs="Arial"/>
        </w:rPr>
        <w:t>Tightening the general protections and implementing additional measures to discourage speculative claims;</w:t>
      </w:r>
    </w:p>
    <w:p w14:paraId="18D9E6B1" w14:textId="3E5EEF0A" w:rsidR="002F403A" w:rsidRPr="001D1CD5" w:rsidRDefault="002F403A" w:rsidP="00D12FF9">
      <w:pPr>
        <w:pStyle w:val="ListParagraph"/>
        <w:widowControl w:val="0"/>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cs="Arial"/>
        </w:rPr>
      </w:pPr>
      <w:r w:rsidRPr="001D1CD5">
        <w:rPr>
          <w:rFonts w:asciiTheme="minorHAnsi" w:hAnsiTheme="minorHAnsi" w:cs="Arial"/>
        </w:rPr>
        <w:t>Fixing the transfer of business</w:t>
      </w:r>
      <w:r w:rsidR="00371EDD">
        <w:rPr>
          <w:rFonts w:asciiTheme="minorHAnsi" w:hAnsiTheme="minorHAnsi" w:cs="Arial"/>
        </w:rPr>
        <w:t xml:space="preserve"> laws which are operating as a </w:t>
      </w:r>
      <w:r w:rsidRPr="001D1CD5">
        <w:rPr>
          <w:rFonts w:asciiTheme="minorHAnsi" w:hAnsiTheme="minorHAnsi" w:cs="Arial"/>
        </w:rPr>
        <w:t>major barrier to business restructuring and outsourcing;</w:t>
      </w:r>
    </w:p>
    <w:p w14:paraId="7A73C4B4" w14:textId="77777777" w:rsidR="002F403A" w:rsidRPr="001D1CD5" w:rsidRDefault="002F403A" w:rsidP="00D12FF9">
      <w:pPr>
        <w:pStyle w:val="ListParagraph"/>
        <w:widowControl w:val="0"/>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cs="Arial"/>
        </w:rPr>
      </w:pPr>
      <w:r w:rsidRPr="001D1CD5">
        <w:rPr>
          <w:rFonts w:asciiTheme="minorHAnsi" w:hAnsiTheme="minorHAnsi" w:cs="Arial"/>
        </w:rPr>
        <w:t xml:space="preserve">Tightening industrial action rights so that industrial action becomes more of a last resort during bargaining; </w:t>
      </w:r>
    </w:p>
    <w:p w14:paraId="464E1444" w14:textId="77777777" w:rsidR="002F403A" w:rsidRPr="001D1CD5" w:rsidRDefault="002F403A" w:rsidP="00D12FF9">
      <w:pPr>
        <w:pStyle w:val="ListParagraph"/>
        <w:widowControl w:val="0"/>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cs="Arial"/>
        </w:rPr>
      </w:pPr>
      <w:r w:rsidRPr="001D1CD5">
        <w:rPr>
          <w:rFonts w:asciiTheme="minorHAnsi" w:hAnsiTheme="minorHAnsi" w:cs="Arial"/>
        </w:rPr>
        <w:t>Outlawing industry-wide pattern bargaining; and</w:t>
      </w:r>
    </w:p>
    <w:p w14:paraId="3C6C5DAE" w14:textId="5B0516BE" w:rsidR="002F403A" w:rsidRPr="001D1CD5" w:rsidRDefault="002F403A" w:rsidP="00D12FF9">
      <w:pPr>
        <w:pStyle w:val="ListParagraph"/>
        <w:widowControl w:val="0"/>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cs="Arial"/>
        </w:rPr>
      </w:pPr>
      <w:r w:rsidRPr="001D1CD5">
        <w:rPr>
          <w:rFonts w:asciiTheme="minorHAnsi" w:hAnsiTheme="minorHAnsi" w:cs="Arial"/>
        </w:rPr>
        <w:t>Tightening union right</w:t>
      </w:r>
      <w:r w:rsidR="00371EDD">
        <w:rPr>
          <w:rFonts w:asciiTheme="minorHAnsi" w:hAnsiTheme="minorHAnsi" w:cs="Arial"/>
        </w:rPr>
        <w:t>s</w:t>
      </w:r>
      <w:r w:rsidRPr="001D1CD5">
        <w:rPr>
          <w:rFonts w:asciiTheme="minorHAnsi" w:hAnsiTheme="minorHAnsi" w:cs="Arial"/>
        </w:rPr>
        <w:t xml:space="preserve"> of entry by reversing the changes that the former Labor Government implemented from 1 January 2014.</w:t>
      </w:r>
    </w:p>
    <w:p w14:paraId="605F6DEC" w14:textId="3F4DC73D" w:rsidR="00195BC4" w:rsidRPr="001D1CD5" w:rsidRDefault="00792E50" w:rsidP="00575157">
      <w:pPr>
        <w:pStyle w:val="ListParagraph"/>
        <w:spacing w:after="240" w:line="276" w:lineRule="auto"/>
        <w:ind w:left="0"/>
        <w:jc w:val="both"/>
        <w:rPr>
          <w:rFonts w:asciiTheme="minorHAnsi" w:hAnsiTheme="minorHAnsi"/>
        </w:rPr>
      </w:pPr>
      <w:r w:rsidRPr="001D1CD5">
        <w:rPr>
          <w:rFonts w:asciiTheme="minorHAnsi" w:hAnsiTheme="minorHAnsi"/>
        </w:rPr>
        <w:t>Since the Draft Report was published, Ai Group has been through an extensive consultation process with</w:t>
      </w:r>
      <w:r w:rsidR="00371EDD">
        <w:rPr>
          <w:rFonts w:asciiTheme="minorHAnsi" w:hAnsiTheme="minorHAnsi"/>
        </w:rPr>
        <w:t xml:space="preserve"> Ai Group m</w:t>
      </w:r>
      <w:r w:rsidRPr="001D1CD5">
        <w:rPr>
          <w:rFonts w:asciiTheme="minorHAnsi" w:hAnsiTheme="minorHAnsi"/>
        </w:rPr>
        <w:t>ember companies around the country to discuss the Productivity Commission’s draft findings and recommendations.  These consultations have bee</w:t>
      </w:r>
      <w:r w:rsidR="00575157" w:rsidRPr="001D1CD5">
        <w:rPr>
          <w:rFonts w:asciiTheme="minorHAnsi" w:hAnsiTheme="minorHAnsi"/>
        </w:rPr>
        <w:t>n very valuable in informing the content of this submission.</w:t>
      </w:r>
    </w:p>
    <w:p w14:paraId="18E353A0" w14:textId="383DA335" w:rsidR="00BF60F6" w:rsidRPr="001D1CD5" w:rsidRDefault="00DE3730" w:rsidP="00682B31">
      <w:pPr>
        <w:pStyle w:val="Heading1"/>
        <w:spacing w:before="0" w:after="240" w:line="276" w:lineRule="auto"/>
        <w:ind w:left="709" w:hanging="709"/>
        <w:jc w:val="both"/>
        <w:rPr>
          <w:rFonts w:asciiTheme="minorHAnsi" w:eastAsia="Calibri" w:hAnsiTheme="minorHAnsi" w:cs="Calibri"/>
          <w:color w:val="451E51"/>
          <w:sz w:val="36"/>
          <w:szCs w:val="36"/>
          <w:u w:color="0070C0"/>
          <w:lang w:eastAsia="en-AU"/>
        </w:rPr>
      </w:pPr>
      <w:bookmarkStart w:id="2" w:name="_Toc413853142"/>
      <w:r w:rsidRPr="001D1CD5">
        <w:rPr>
          <w:rFonts w:asciiTheme="minorHAnsi" w:eastAsia="Calibri" w:hAnsiTheme="minorHAnsi" w:cs="Calibri"/>
          <w:color w:val="451E51"/>
          <w:sz w:val="36"/>
          <w:szCs w:val="36"/>
          <w:u w:color="0070C0"/>
          <w:lang w:eastAsia="en-AU"/>
        </w:rPr>
        <w:t>2.</w:t>
      </w:r>
      <w:r w:rsidRPr="001D1CD5">
        <w:rPr>
          <w:rFonts w:asciiTheme="minorHAnsi" w:eastAsia="Calibri" w:hAnsiTheme="minorHAnsi" w:cs="Calibri"/>
          <w:color w:val="451E51"/>
          <w:sz w:val="36"/>
          <w:szCs w:val="36"/>
          <w:u w:color="0070C0"/>
          <w:lang w:eastAsia="en-AU"/>
        </w:rPr>
        <w:tab/>
      </w:r>
      <w:bookmarkEnd w:id="2"/>
      <w:r w:rsidR="00D979F2" w:rsidRPr="001D1CD5">
        <w:rPr>
          <w:rFonts w:asciiTheme="minorHAnsi" w:eastAsia="Calibri" w:hAnsiTheme="minorHAnsi" w:cs="Calibri"/>
          <w:color w:val="451E51"/>
          <w:sz w:val="36"/>
          <w:szCs w:val="36"/>
          <w:u w:color="0070C0"/>
          <w:lang w:eastAsia="en-AU"/>
        </w:rPr>
        <w:t xml:space="preserve">Developments in Australia’s </w:t>
      </w:r>
      <w:proofErr w:type="spellStart"/>
      <w:r w:rsidR="00D979F2" w:rsidRPr="001D1CD5">
        <w:rPr>
          <w:rFonts w:asciiTheme="minorHAnsi" w:eastAsia="Calibri" w:hAnsiTheme="minorHAnsi" w:cs="Calibri"/>
          <w:color w:val="451E51"/>
          <w:sz w:val="36"/>
          <w:szCs w:val="36"/>
          <w:u w:color="0070C0"/>
          <w:lang w:eastAsia="en-AU"/>
        </w:rPr>
        <w:t>labour</w:t>
      </w:r>
      <w:proofErr w:type="spellEnd"/>
      <w:r w:rsidR="00D979F2" w:rsidRPr="001D1CD5">
        <w:rPr>
          <w:rFonts w:asciiTheme="minorHAnsi" w:eastAsia="Calibri" w:hAnsiTheme="minorHAnsi" w:cs="Calibri"/>
          <w:color w:val="451E51"/>
          <w:sz w:val="36"/>
          <w:szCs w:val="36"/>
          <w:u w:color="0070C0"/>
          <w:lang w:eastAsia="en-AU"/>
        </w:rPr>
        <w:t xml:space="preserve"> market</w:t>
      </w:r>
    </w:p>
    <w:p w14:paraId="35CA742F" w14:textId="2CF056B2" w:rsidR="00FC033C" w:rsidRPr="001D1CD5" w:rsidRDefault="00FC033C" w:rsidP="00682B31">
      <w:pPr>
        <w:pStyle w:val="Body1"/>
        <w:spacing w:after="240" w:line="276" w:lineRule="auto"/>
        <w:jc w:val="both"/>
        <w:rPr>
          <w:rFonts w:asciiTheme="minorHAnsi" w:hAnsiTheme="minorHAnsi" w:cs="Arial"/>
        </w:rPr>
      </w:pPr>
      <w:bookmarkStart w:id="3" w:name="_Toc413853143"/>
      <w:r w:rsidRPr="001D1CD5">
        <w:rPr>
          <w:rFonts w:asciiTheme="minorHAnsi" w:hAnsiTheme="minorHAnsi" w:cs="Arial"/>
        </w:rPr>
        <w:t>With regard to forms of work, Ai Group agrees with the following important findings in Chapter 2 of the Draft Report:</w:t>
      </w:r>
    </w:p>
    <w:p w14:paraId="4CA78154" w14:textId="2B00F03C" w:rsidR="00FC033C" w:rsidRPr="001D1CD5" w:rsidRDefault="00FC033C" w:rsidP="00174105">
      <w:pPr>
        <w:pStyle w:val="Body1"/>
        <w:numPr>
          <w:ilvl w:val="0"/>
          <w:numId w:val="30"/>
        </w:numPr>
        <w:spacing w:after="240" w:line="276" w:lineRule="auto"/>
        <w:jc w:val="both"/>
        <w:rPr>
          <w:rFonts w:asciiTheme="minorHAnsi" w:hAnsiTheme="minorHAnsi" w:cs="Arial"/>
        </w:rPr>
      </w:pPr>
      <w:r w:rsidRPr="001D1CD5">
        <w:rPr>
          <w:rFonts w:asciiTheme="minorHAnsi" w:hAnsiTheme="minorHAnsi" w:cs="Arial"/>
        </w:rPr>
        <w:t>The unions’ view</w:t>
      </w:r>
      <w:r w:rsidR="00EB5198" w:rsidRPr="001D1CD5">
        <w:rPr>
          <w:rFonts w:asciiTheme="minorHAnsi" w:hAnsiTheme="minorHAnsi" w:cs="Arial"/>
        </w:rPr>
        <w:t>s on non-standard work are</w:t>
      </w:r>
      <w:r w:rsidRPr="001D1CD5">
        <w:rPr>
          <w:rFonts w:asciiTheme="minorHAnsi" w:hAnsiTheme="minorHAnsi" w:cs="Arial"/>
        </w:rPr>
        <w:t xml:space="preserve"> overly negative;</w:t>
      </w:r>
    </w:p>
    <w:p w14:paraId="57266CA9" w14:textId="78236C27" w:rsidR="00FC033C" w:rsidRPr="001D1CD5" w:rsidRDefault="00FC033C" w:rsidP="00174105">
      <w:pPr>
        <w:pStyle w:val="Body1"/>
        <w:numPr>
          <w:ilvl w:val="0"/>
          <w:numId w:val="30"/>
        </w:numPr>
        <w:spacing w:after="240" w:line="276" w:lineRule="auto"/>
        <w:jc w:val="both"/>
        <w:rPr>
          <w:rFonts w:asciiTheme="minorHAnsi" w:hAnsiTheme="minorHAnsi" w:cs="Arial"/>
        </w:rPr>
      </w:pPr>
      <w:r w:rsidRPr="001D1CD5">
        <w:rPr>
          <w:rFonts w:asciiTheme="minorHAnsi" w:hAnsiTheme="minorHAnsi" w:cs="Arial"/>
        </w:rPr>
        <w:t>Many people like casual work because it suits their personal circumstances and/or can act as a stepping stone to more secure employment;</w:t>
      </w:r>
    </w:p>
    <w:p w14:paraId="524F1284" w14:textId="31245CB7" w:rsidR="00FC033C" w:rsidRPr="001D1CD5" w:rsidRDefault="00FC033C" w:rsidP="00174105">
      <w:pPr>
        <w:pStyle w:val="Body1"/>
        <w:numPr>
          <w:ilvl w:val="0"/>
          <w:numId w:val="30"/>
        </w:numPr>
        <w:spacing w:after="240" w:line="276" w:lineRule="auto"/>
        <w:jc w:val="both"/>
        <w:rPr>
          <w:rFonts w:asciiTheme="minorHAnsi" w:hAnsiTheme="minorHAnsi" w:cs="Arial"/>
        </w:rPr>
      </w:pPr>
      <w:r w:rsidRPr="001D1CD5">
        <w:rPr>
          <w:rFonts w:asciiTheme="minorHAnsi" w:hAnsiTheme="minorHAnsi" w:cs="Arial"/>
        </w:rPr>
        <w:t xml:space="preserve">Casual work is now a critical part of the </w:t>
      </w:r>
      <w:proofErr w:type="spellStart"/>
      <w:r w:rsidRPr="001D1CD5">
        <w:rPr>
          <w:rFonts w:asciiTheme="minorHAnsi" w:hAnsiTheme="minorHAnsi" w:cs="Arial"/>
        </w:rPr>
        <w:t>labour</w:t>
      </w:r>
      <w:proofErr w:type="spellEnd"/>
      <w:r w:rsidRPr="001D1CD5">
        <w:rPr>
          <w:rFonts w:asciiTheme="minorHAnsi" w:hAnsiTheme="minorHAnsi" w:cs="Arial"/>
        </w:rPr>
        <w:t xml:space="preserve"> market;</w:t>
      </w:r>
      <w:r w:rsidR="00B12300" w:rsidRPr="001D1CD5">
        <w:rPr>
          <w:rFonts w:asciiTheme="minorHAnsi" w:hAnsiTheme="minorHAnsi" w:cs="Arial"/>
        </w:rPr>
        <w:t xml:space="preserve"> and</w:t>
      </w:r>
    </w:p>
    <w:p w14:paraId="393849DD" w14:textId="44B04FC6" w:rsidR="00FC033C" w:rsidRPr="001D1CD5" w:rsidRDefault="00FC033C" w:rsidP="00174105">
      <w:pPr>
        <w:pStyle w:val="Body1"/>
        <w:numPr>
          <w:ilvl w:val="0"/>
          <w:numId w:val="30"/>
        </w:numPr>
        <w:spacing w:after="240" w:line="276" w:lineRule="auto"/>
        <w:jc w:val="both"/>
        <w:rPr>
          <w:rFonts w:asciiTheme="minorHAnsi" w:hAnsiTheme="minorHAnsi" w:cs="Arial"/>
        </w:rPr>
      </w:pPr>
      <w:r w:rsidRPr="001D1CD5">
        <w:rPr>
          <w:rFonts w:asciiTheme="minorHAnsi" w:hAnsiTheme="minorHAnsi" w:cs="Arial"/>
        </w:rPr>
        <w:lastRenderedPageBreak/>
        <w:t>The increase in employment share of non-standard forms of employment has abated, and to some extent even reversed.</w:t>
      </w:r>
    </w:p>
    <w:p w14:paraId="336F0219" w14:textId="0ED0DCC9" w:rsidR="00FC033C" w:rsidRPr="001D1CD5" w:rsidRDefault="00EB5198" w:rsidP="00682B31">
      <w:pPr>
        <w:pStyle w:val="Body1"/>
        <w:spacing w:after="240" w:line="276" w:lineRule="auto"/>
        <w:jc w:val="both"/>
        <w:rPr>
          <w:rFonts w:asciiTheme="minorHAnsi" w:hAnsiTheme="minorHAnsi" w:cs="Arial"/>
        </w:rPr>
      </w:pPr>
      <w:r w:rsidRPr="001D1CD5">
        <w:rPr>
          <w:rFonts w:asciiTheme="minorHAnsi" w:hAnsiTheme="minorHAnsi" w:cs="Arial"/>
        </w:rPr>
        <w:t>Ai Group agrees with the following important conclusions in Chapter 2 regarding Australia’s workplace relations system:</w:t>
      </w:r>
    </w:p>
    <w:p w14:paraId="44BF8FFE" w14:textId="599CEE91" w:rsidR="00EB5198" w:rsidRPr="001D1CD5" w:rsidRDefault="00EB5198" w:rsidP="00174105">
      <w:pPr>
        <w:pStyle w:val="Body1"/>
        <w:numPr>
          <w:ilvl w:val="0"/>
          <w:numId w:val="31"/>
        </w:numPr>
        <w:spacing w:after="240" w:line="276" w:lineRule="auto"/>
        <w:jc w:val="both"/>
        <w:rPr>
          <w:rFonts w:asciiTheme="minorHAnsi" w:hAnsiTheme="minorHAnsi" w:cs="Arial"/>
        </w:rPr>
      </w:pPr>
      <w:r w:rsidRPr="001D1CD5">
        <w:rPr>
          <w:rFonts w:asciiTheme="minorHAnsi" w:hAnsiTheme="minorHAnsi" w:cs="Arial"/>
        </w:rPr>
        <w:t>There is a need to increase the adaptability of Australia’s workplace relations system;</w:t>
      </w:r>
    </w:p>
    <w:p w14:paraId="538A6DCA" w14:textId="5B059D30" w:rsidR="00EB5198" w:rsidRPr="001D1CD5" w:rsidRDefault="00EB5198" w:rsidP="00174105">
      <w:pPr>
        <w:pStyle w:val="Body1"/>
        <w:numPr>
          <w:ilvl w:val="0"/>
          <w:numId w:val="31"/>
        </w:numPr>
        <w:spacing w:after="240" w:line="276" w:lineRule="auto"/>
        <w:jc w:val="both"/>
        <w:rPr>
          <w:rFonts w:asciiTheme="minorHAnsi" w:hAnsiTheme="minorHAnsi" w:cs="Arial"/>
        </w:rPr>
      </w:pPr>
      <w:r w:rsidRPr="001D1CD5">
        <w:rPr>
          <w:rFonts w:asciiTheme="minorHAnsi" w:hAnsiTheme="minorHAnsi" w:cs="Arial"/>
        </w:rPr>
        <w:t>The system needs to be made simpler and more flexible;</w:t>
      </w:r>
      <w:r w:rsidR="00B12300" w:rsidRPr="001D1CD5">
        <w:rPr>
          <w:rFonts w:asciiTheme="minorHAnsi" w:hAnsiTheme="minorHAnsi" w:cs="Arial"/>
        </w:rPr>
        <w:t xml:space="preserve"> and</w:t>
      </w:r>
    </w:p>
    <w:p w14:paraId="7EF223D2" w14:textId="120B6487" w:rsidR="00EB5198" w:rsidRPr="001D1CD5" w:rsidRDefault="00EB5198" w:rsidP="00174105">
      <w:pPr>
        <w:pStyle w:val="Body1"/>
        <w:numPr>
          <w:ilvl w:val="0"/>
          <w:numId w:val="31"/>
        </w:numPr>
        <w:spacing w:after="240" w:line="276" w:lineRule="auto"/>
        <w:jc w:val="both"/>
        <w:rPr>
          <w:rFonts w:asciiTheme="minorHAnsi" w:hAnsiTheme="minorHAnsi" w:cs="Arial"/>
        </w:rPr>
      </w:pPr>
      <w:r w:rsidRPr="001D1CD5">
        <w:rPr>
          <w:rFonts w:asciiTheme="minorHAnsi" w:hAnsiTheme="minorHAnsi" w:cs="Arial"/>
        </w:rPr>
        <w:t>There needs to be range of work arrangements available to emp</w:t>
      </w:r>
      <w:r w:rsidR="00962E89">
        <w:rPr>
          <w:rFonts w:asciiTheme="minorHAnsi" w:hAnsiTheme="minorHAnsi" w:cs="Arial"/>
        </w:rPr>
        <w:t>loyers and employees that allow</w:t>
      </w:r>
      <w:r w:rsidRPr="001D1CD5">
        <w:rPr>
          <w:rFonts w:asciiTheme="minorHAnsi" w:hAnsiTheme="minorHAnsi" w:cs="Arial"/>
        </w:rPr>
        <w:t xml:space="preserve"> them to develop arrangements that suit their circumstances.</w:t>
      </w:r>
    </w:p>
    <w:p w14:paraId="75FEAB13" w14:textId="77777777" w:rsidR="006426A0" w:rsidRPr="00E21BD1" w:rsidRDefault="006426A0" w:rsidP="006426A0">
      <w:pPr>
        <w:spacing w:after="240" w:line="276" w:lineRule="auto"/>
        <w:jc w:val="both"/>
        <w:rPr>
          <w:rFonts w:asciiTheme="minorHAnsi" w:hAnsiTheme="minorHAnsi" w:cs="Arial"/>
          <w:snapToGrid w:val="0"/>
        </w:rPr>
      </w:pPr>
      <w:r w:rsidRPr="00E21BD1">
        <w:rPr>
          <w:rFonts w:asciiTheme="minorHAnsi" w:hAnsiTheme="minorHAnsi" w:cs="Arial"/>
          <w:snapToGrid w:val="0"/>
        </w:rPr>
        <w:t>While Ai Group is not proposing that the FW Act and the modern award system be scrapped, some major changes are needed. Australia’s current workplace relations system is not delivering the adaptability that employers and employees need.</w:t>
      </w:r>
    </w:p>
    <w:p w14:paraId="795D0984" w14:textId="77777777" w:rsidR="00E21BD1" w:rsidRDefault="00E21BD1" w:rsidP="00E21BD1">
      <w:pPr>
        <w:spacing w:after="240" w:line="276" w:lineRule="auto"/>
        <w:jc w:val="both"/>
        <w:rPr>
          <w:rFonts w:asciiTheme="minorHAnsi" w:hAnsiTheme="minorHAnsi" w:cs="Arial"/>
        </w:rPr>
      </w:pPr>
      <w:r>
        <w:rPr>
          <w:rFonts w:asciiTheme="minorHAnsi" w:hAnsiTheme="minorHAnsi" w:cs="Arial"/>
        </w:rPr>
        <w:t xml:space="preserve">The </w:t>
      </w:r>
      <w:r w:rsidRPr="00E21BD1">
        <w:rPr>
          <w:rFonts w:asciiTheme="minorHAnsi" w:hAnsiTheme="minorHAnsi" w:cs="Arial"/>
        </w:rPr>
        <w:t>reality is that Australia needs a workplace relations system that is consistent with the needs of 21</w:t>
      </w:r>
      <w:r w:rsidRPr="00E21BD1">
        <w:rPr>
          <w:rFonts w:asciiTheme="minorHAnsi" w:hAnsiTheme="minorHAnsi" w:cs="Arial"/>
          <w:vertAlign w:val="superscript"/>
        </w:rPr>
        <w:t>st</w:t>
      </w:r>
      <w:r w:rsidRPr="00E21BD1">
        <w:rPr>
          <w:rFonts w:asciiTheme="minorHAnsi" w:hAnsiTheme="minorHAnsi" w:cs="Arial"/>
        </w:rPr>
        <w:t xml:space="preserve"> century workplaces. Many of the trends that will reshape the workplace of th</w:t>
      </w:r>
      <w:r>
        <w:rPr>
          <w:rFonts w:asciiTheme="minorHAnsi" w:hAnsiTheme="minorHAnsi" w:cs="Arial"/>
        </w:rPr>
        <w:t>e future are already apparent, including the following:</w:t>
      </w:r>
    </w:p>
    <w:p w14:paraId="4428FFF6" w14:textId="1C645F51" w:rsidR="00E21BD1" w:rsidRDefault="00E21BD1" w:rsidP="00E21BD1">
      <w:pPr>
        <w:pStyle w:val="ListParagraph"/>
        <w:numPr>
          <w:ilvl w:val="0"/>
          <w:numId w:val="87"/>
        </w:numPr>
        <w:spacing w:after="240" w:line="276" w:lineRule="auto"/>
        <w:jc w:val="both"/>
        <w:rPr>
          <w:rFonts w:asciiTheme="minorHAnsi" w:hAnsiTheme="minorHAnsi" w:cs="Arial"/>
        </w:rPr>
      </w:pPr>
      <w:r>
        <w:rPr>
          <w:rFonts w:asciiTheme="minorHAnsi" w:hAnsiTheme="minorHAnsi" w:cs="Arial"/>
        </w:rPr>
        <w:t>T</w:t>
      </w:r>
      <w:r w:rsidRPr="00E21BD1">
        <w:rPr>
          <w:rFonts w:asciiTheme="minorHAnsi" w:hAnsiTheme="minorHAnsi" w:cs="Arial"/>
        </w:rPr>
        <w:t xml:space="preserve">he ‘sharing economy’ is a new way of </w:t>
      </w:r>
      <w:proofErr w:type="spellStart"/>
      <w:r w:rsidRPr="00E21BD1">
        <w:rPr>
          <w:rFonts w:asciiTheme="minorHAnsi" w:hAnsiTheme="minorHAnsi" w:cs="Arial"/>
        </w:rPr>
        <w:t>organising</w:t>
      </w:r>
      <w:proofErr w:type="spellEnd"/>
      <w:r w:rsidRPr="00E21BD1">
        <w:rPr>
          <w:rFonts w:asciiTheme="minorHAnsi" w:hAnsiTheme="minorHAnsi" w:cs="Arial"/>
        </w:rPr>
        <w:t xml:space="preserve"> production, consumption and the use of assets, enabled by cheap computing </w:t>
      </w:r>
      <w:r w:rsidR="00E61BC4">
        <w:rPr>
          <w:rFonts w:asciiTheme="minorHAnsi" w:hAnsiTheme="minorHAnsi" w:cs="Arial"/>
        </w:rPr>
        <w:t xml:space="preserve">and ubiquitous communications. </w:t>
      </w:r>
      <w:r w:rsidRPr="00E21BD1">
        <w:rPr>
          <w:rFonts w:asciiTheme="minorHAnsi" w:hAnsiTheme="minorHAnsi" w:cs="Arial"/>
        </w:rPr>
        <w:t xml:space="preserve">Services like </w:t>
      </w:r>
      <w:proofErr w:type="spellStart"/>
      <w:r w:rsidRPr="00E21BD1">
        <w:rPr>
          <w:rFonts w:asciiTheme="minorHAnsi" w:hAnsiTheme="minorHAnsi" w:cs="Arial"/>
        </w:rPr>
        <w:t>Uber</w:t>
      </w:r>
      <w:proofErr w:type="spellEnd"/>
      <w:r w:rsidRPr="00E21BD1">
        <w:rPr>
          <w:rFonts w:asciiTheme="minorHAnsi" w:hAnsiTheme="minorHAnsi" w:cs="Arial"/>
        </w:rPr>
        <w:t xml:space="preserve"> and </w:t>
      </w:r>
      <w:proofErr w:type="spellStart"/>
      <w:r w:rsidRPr="00E21BD1">
        <w:rPr>
          <w:rFonts w:asciiTheme="minorHAnsi" w:hAnsiTheme="minorHAnsi" w:cs="Arial"/>
        </w:rPr>
        <w:t>Airbnb</w:t>
      </w:r>
      <w:proofErr w:type="spellEnd"/>
      <w:r w:rsidRPr="00E21BD1">
        <w:rPr>
          <w:rFonts w:asciiTheme="minorHAnsi" w:hAnsiTheme="minorHAnsi" w:cs="Arial"/>
        </w:rPr>
        <w:t xml:space="preserve"> create huge effi</w:t>
      </w:r>
      <w:r w:rsidR="00E61BC4">
        <w:rPr>
          <w:rFonts w:asciiTheme="minorHAnsi" w:hAnsiTheme="minorHAnsi" w:cs="Arial"/>
        </w:rPr>
        <w:t xml:space="preserve">ciencies and new possibilities. </w:t>
      </w:r>
      <w:r w:rsidRPr="00E21BD1">
        <w:rPr>
          <w:rFonts w:asciiTheme="minorHAnsi" w:hAnsiTheme="minorHAnsi" w:cs="Arial"/>
        </w:rPr>
        <w:t xml:space="preserve">They also create </w:t>
      </w:r>
      <w:r>
        <w:rPr>
          <w:rFonts w:asciiTheme="minorHAnsi" w:hAnsiTheme="minorHAnsi" w:cs="Arial"/>
        </w:rPr>
        <w:t xml:space="preserve">working arrangements that do not </w:t>
      </w:r>
      <w:r w:rsidRPr="00E21BD1">
        <w:rPr>
          <w:rFonts w:asciiTheme="minorHAnsi" w:hAnsiTheme="minorHAnsi" w:cs="Arial"/>
        </w:rPr>
        <w:t xml:space="preserve">necessarily fit into old categories of employment.  The </w:t>
      </w:r>
      <w:r>
        <w:rPr>
          <w:rFonts w:asciiTheme="minorHAnsi" w:hAnsiTheme="minorHAnsi" w:cs="Arial"/>
        </w:rPr>
        <w:t xml:space="preserve">workplace relations framework needs </w:t>
      </w:r>
      <w:r w:rsidRPr="00E21BD1">
        <w:rPr>
          <w:rFonts w:asciiTheme="minorHAnsi" w:hAnsiTheme="minorHAnsi" w:cs="Arial"/>
        </w:rPr>
        <w:t>to catch up and meet the needs of service providers and customers.</w:t>
      </w:r>
    </w:p>
    <w:p w14:paraId="2C375A22" w14:textId="50A0F140" w:rsidR="00E21BD1" w:rsidRDefault="00E21BD1" w:rsidP="00E21BD1">
      <w:pPr>
        <w:pStyle w:val="ListParagraph"/>
        <w:numPr>
          <w:ilvl w:val="0"/>
          <w:numId w:val="87"/>
        </w:numPr>
        <w:spacing w:after="240" w:line="276" w:lineRule="auto"/>
        <w:jc w:val="both"/>
        <w:rPr>
          <w:rFonts w:asciiTheme="minorHAnsi" w:hAnsiTheme="minorHAnsi" w:cs="Arial"/>
        </w:rPr>
      </w:pPr>
      <w:r>
        <w:rPr>
          <w:rFonts w:asciiTheme="minorHAnsi" w:hAnsiTheme="minorHAnsi" w:cs="Arial"/>
        </w:rPr>
        <w:t>A</w:t>
      </w:r>
      <w:r w:rsidRPr="00E21BD1">
        <w:rPr>
          <w:rFonts w:asciiTheme="minorHAnsi" w:hAnsiTheme="minorHAnsi" w:cs="Arial"/>
        </w:rPr>
        <w:t xml:space="preserve">utomation is </w:t>
      </w:r>
      <w:r>
        <w:rPr>
          <w:rFonts w:asciiTheme="minorHAnsi" w:hAnsiTheme="minorHAnsi" w:cs="Arial"/>
        </w:rPr>
        <w:t>moving</w:t>
      </w:r>
      <w:r w:rsidRPr="00E21BD1">
        <w:rPr>
          <w:rFonts w:asciiTheme="minorHAnsi" w:hAnsiTheme="minorHAnsi" w:cs="Arial"/>
        </w:rPr>
        <w:t xml:space="preserve"> well beyond the factory floor to shake up an ever wider set of activities, including many personal and professional services.  Some kinds of jobs will disappear, but many more will transform as workers shift focus to managing machines and programs to augment and increase their tota</w:t>
      </w:r>
      <w:r w:rsidR="00E61BC4">
        <w:rPr>
          <w:rFonts w:asciiTheme="minorHAnsi" w:hAnsiTheme="minorHAnsi" w:cs="Arial"/>
        </w:rPr>
        <w:t xml:space="preserve">l productivity. </w:t>
      </w:r>
      <w:r w:rsidRPr="00E21BD1">
        <w:rPr>
          <w:rFonts w:asciiTheme="minorHAnsi" w:hAnsiTheme="minorHAnsi" w:cs="Arial"/>
        </w:rPr>
        <w:t xml:space="preserve">The </w:t>
      </w:r>
      <w:r>
        <w:rPr>
          <w:rFonts w:asciiTheme="minorHAnsi" w:hAnsiTheme="minorHAnsi" w:cs="Arial"/>
        </w:rPr>
        <w:t xml:space="preserve">workplace relations framework must </w:t>
      </w:r>
      <w:r w:rsidRPr="00E21BD1">
        <w:rPr>
          <w:rFonts w:asciiTheme="minorHAnsi" w:hAnsiTheme="minorHAnsi" w:cs="Arial"/>
        </w:rPr>
        <w:t>support constant evolution in the nature of jobs and the reskilling and redeployment of workers necessitated by automation.</w:t>
      </w:r>
    </w:p>
    <w:p w14:paraId="7734BA10" w14:textId="78A8C367" w:rsidR="00E21BD1" w:rsidRPr="00E21BD1" w:rsidRDefault="00E21BD1" w:rsidP="00E21BD1">
      <w:pPr>
        <w:pStyle w:val="ListParagraph"/>
        <w:numPr>
          <w:ilvl w:val="0"/>
          <w:numId w:val="87"/>
        </w:numPr>
        <w:spacing w:after="240" w:line="276" w:lineRule="auto"/>
        <w:jc w:val="both"/>
        <w:rPr>
          <w:rFonts w:asciiTheme="minorHAnsi" w:hAnsiTheme="minorHAnsi" w:cs="Arial"/>
        </w:rPr>
      </w:pPr>
      <w:r>
        <w:rPr>
          <w:rFonts w:asciiTheme="minorHAnsi" w:hAnsiTheme="minorHAnsi" w:cs="Arial"/>
        </w:rPr>
        <w:t>T</w:t>
      </w:r>
      <w:r w:rsidRPr="00E21BD1">
        <w:rPr>
          <w:rFonts w:asciiTheme="minorHAnsi" w:hAnsiTheme="minorHAnsi" w:cs="Arial"/>
        </w:rPr>
        <w:t>he ageing of our population will put a pre</w:t>
      </w:r>
      <w:r w:rsidR="00E61BC4">
        <w:rPr>
          <w:rFonts w:asciiTheme="minorHAnsi" w:hAnsiTheme="minorHAnsi" w:cs="Arial"/>
        </w:rPr>
        <w:t xml:space="preserve">mium on workplace flexibility. </w:t>
      </w:r>
      <w:r w:rsidRPr="00E21BD1">
        <w:rPr>
          <w:rFonts w:asciiTheme="minorHAnsi" w:hAnsiTheme="minorHAnsi" w:cs="Arial"/>
        </w:rPr>
        <w:t xml:space="preserve">An increase in the ratio of dependents to workers will require increased productivity to maintain prosperity; retaining older Australians in the workforce for longer, with arrangements that suit their changing capabilities and needs, will be essential.  </w:t>
      </w:r>
    </w:p>
    <w:p w14:paraId="0231244D" w14:textId="77777777" w:rsidR="00E21BD1" w:rsidRPr="00E21BD1" w:rsidRDefault="00E21BD1" w:rsidP="00E21BD1">
      <w:pPr>
        <w:spacing w:after="240" w:line="276" w:lineRule="auto"/>
        <w:jc w:val="both"/>
        <w:rPr>
          <w:rFonts w:asciiTheme="minorHAnsi" w:hAnsiTheme="minorHAnsi" w:cs="Arial"/>
        </w:rPr>
      </w:pPr>
      <w:r w:rsidRPr="00E21BD1">
        <w:rPr>
          <w:rFonts w:asciiTheme="minorHAnsi" w:hAnsiTheme="minorHAnsi" w:cs="Arial"/>
        </w:rPr>
        <w:t xml:space="preserve">In short, we need an agile workplace relations system that can rapidly respond to changes in markets, the economy, technology and demographics. </w:t>
      </w:r>
    </w:p>
    <w:p w14:paraId="62A43A80" w14:textId="6C829B34" w:rsidR="00E21BD1" w:rsidRDefault="006426A0" w:rsidP="00E21BD1">
      <w:pPr>
        <w:spacing w:after="240" w:line="276" w:lineRule="auto"/>
        <w:jc w:val="both"/>
        <w:rPr>
          <w:rFonts w:asciiTheme="minorHAnsi" w:hAnsiTheme="minorHAnsi" w:cs="Arial"/>
        </w:rPr>
      </w:pPr>
      <w:r w:rsidRPr="00E21BD1">
        <w:rPr>
          <w:rFonts w:asciiTheme="minorHAnsi" w:hAnsiTheme="minorHAnsi" w:cs="Arial"/>
        </w:rPr>
        <w:t xml:space="preserve"> </w:t>
      </w:r>
      <w:r w:rsidR="00E21BD1">
        <w:rPr>
          <w:rFonts w:asciiTheme="minorHAnsi" w:hAnsiTheme="minorHAnsi" w:cs="Arial"/>
        </w:rPr>
        <w:t>W</w:t>
      </w:r>
      <w:r w:rsidR="00E21BD1" w:rsidRPr="00E21BD1">
        <w:rPr>
          <w:rFonts w:asciiTheme="minorHAnsi" w:hAnsiTheme="minorHAnsi" w:cs="Arial"/>
        </w:rPr>
        <w:t>orkplace relations arrangements are fundamental to the improved productivity that is so important to our national competitiveness and our capacity to further improv</w:t>
      </w:r>
      <w:r w:rsidR="00E61BC4">
        <w:rPr>
          <w:rFonts w:asciiTheme="minorHAnsi" w:hAnsiTheme="minorHAnsi" w:cs="Arial"/>
        </w:rPr>
        <w:t xml:space="preserve">e Australian living standards. </w:t>
      </w:r>
      <w:r w:rsidR="00E21BD1" w:rsidRPr="00E21BD1">
        <w:rPr>
          <w:rFonts w:asciiTheme="minorHAnsi" w:hAnsiTheme="minorHAnsi" w:cs="Arial"/>
        </w:rPr>
        <w:t xml:space="preserve">In recent years, the emphasis on improving productivity performance has lifted as </w:t>
      </w:r>
      <w:r w:rsidR="00E21BD1" w:rsidRPr="00E21BD1">
        <w:rPr>
          <w:rFonts w:asciiTheme="minorHAnsi" w:hAnsiTheme="minorHAnsi" w:cs="Arial"/>
        </w:rPr>
        <w:lastRenderedPageBreak/>
        <w:t xml:space="preserve">productivity outcomes across a wide range of industries have trended down and, particularly in the face of demographic factors, the relative importance of improved productivity as a source of growth has risen. </w:t>
      </w:r>
    </w:p>
    <w:p w14:paraId="15D0FE81" w14:textId="366019A3" w:rsidR="006426A0" w:rsidRPr="001D1CD5" w:rsidRDefault="006426A0" w:rsidP="006426A0">
      <w:pPr>
        <w:spacing w:after="240" w:line="276" w:lineRule="auto"/>
        <w:jc w:val="both"/>
        <w:rPr>
          <w:rFonts w:asciiTheme="minorHAnsi" w:hAnsiTheme="minorHAnsi" w:cs="Arial"/>
          <w:bCs/>
        </w:rPr>
      </w:pPr>
      <w:r w:rsidRPr="001D1CD5">
        <w:rPr>
          <w:rFonts w:asciiTheme="minorHAnsi" w:hAnsiTheme="minorHAnsi" w:cs="Arial"/>
        </w:rPr>
        <w:t xml:space="preserve">While the Commission has pointed out that, both from an historical perspective and in terms of aggregate measures – including of working time lost, and economy-wide and </w:t>
      </w:r>
      <w:proofErr w:type="spellStart"/>
      <w:r w:rsidRPr="001D1CD5">
        <w:rPr>
          <w:rFonts w:asciiTheme="minorHAnsi" w:hAnsiTheme="minorHAnsi" w:cs="Arial"/>
        </w:rPr>
        <w:t>sectoral</w:t>
      </w:r>
      <w:proofErr w:type="spellEnd"/>
      <w:r w:rsidRPr="001D1CD5">
        <w:rPr>
          <w:rFonts w:asciiTheme="minorHAnsi" w:hAnsiTheme="minorHAnsi" w:cs="Arial"/>
        </w:rPr>
        <w:t xml:space="preserve"> wage outcomes, Australia’s workplace relations arrangements are far from dysfunctional, there are substantial improvements that can and should be made to enable more productive performance in individual businesses.  </w:t>
      </w:r>
      <w:r w:rsidR="00962E89">
        <w:rPr>
          <w:rFonts w:asciiTheme="minorHAnsi" w:hAnsiTheme="minorHAnsi" w:cs="Arial"/>
        </w:rPr>
        <w:t xml:space="preserve">As highlighted </w:t>
      </w:r>
      <w:r w:rsidRPr="001D1CD5">
        <w:rPr>
          <w:rFonts w:asciiTheme="minorHAnsi" w:hAnsiTheme="minorHAnsi" w:cs="Arial"/>
        </w:rPr>
        <w:t xml:space="preserve">in our March 2015 submission, business owners and managers participating in the </w:t>
      </w:r>
      <w:proofErr w:type="spellStart"/>
      <w:r w:rsidRPr="001D1CD5">
        <w:rPr>
          <w:rFonts w:asciiTheme="minorHAnsi" w:hAnsiTheme="minorHAnsi" w:cs="Arial"/>
          <w:bCs/>
        </w:rPr>
        <w:t>WEF</w:t>
      </w:r>
      <w:proofErr w:type="spellEnd"/>
      <w:r w:rsidRPr="001D1CD5">
        <w:rPr>
          <w:rFonts w:asciiTheme="minorHAnsi" w:hAnsiTheme="minorHAnsi" w:cs="Arial"/>
          <w:bCs/>
        </w:rPr>
        <w:t xml:space="preserve"> Global Competitiveness surveys consistently rank restrictive </w:t>
      </w:r>
      <w:proofErr w:type="spellStart"/>
      <w:r w:rsidRPr="001D1CD5">
        <w:rPr>
          <w:rFonts w:asciiTheme="minorHAnsi" w:hAnsiTheme="minorHAnsi" w:cs="Arial"/>
          <w:bCs/>
        </w:rPr>
        <w:t>labour</w:t>
      </w:r>
      <w:proofErr w:type="spellEnd"/>
      <w:r w:rsidRPr="001D1CD5">
        <w:rPr>
          <w:rFonts w:asciiTheme="minorHAnsi" w:hAnsiTheme="minorHAnsi" w:cs="Arial"/>
          <w:bCs/>
        </w:rPr>
        <w:t xml:space="preserve"> regulations as leading the list of most problematic factors for doing business in Australia. </w:t>
      </w:r>
    </w:p>
    <w:bookmarkEnd w:id="3"/>
    <w:p w14:paraId="26E100E5" w14:textId="77777777" w:rsidR="006426A0" w:rsidRPr="001D1CD5" w:rsidRDefault="006426A0" w:rsidP="006426A0">
      <w:pPr>
        <w:pStyle w:val="Heading1"/>
        <w:spacing w:before="0" w:after="240" w:line="276" w:lineRule="auto"/>
        <w:ind w:left="709" w:hanging="709"/>
        <w:rPr>
          <w:rFonts w:asciiTheme="minorHAnsi" w:eastAsia="Calibri" w:hAnsiTheme="minorHAnsi" w:cs="Calibri"/>
          <w:color w:val="451E51"/>
          <w:sz w:val="36"/>
          <w:szCs w:val="36"/>
          <w:lang w:eastAsia="en-AU"/>
        </w:rPr>
      </w:pPr>
      <w:r w:rsidRPr="001D1CD5">
        <w:rPr>
          <w:rFonts w:asciiTheme="minorHAnsi" w:eastAsia="Calibri" w:hAnsiTheme="minorHAnsi" w:cs="Calibri"/>
          <w:color w:val="451E51"/>
          <w:sz w:val="36"/>
          <w:szCs w:val="36"/>
          <w:lang w:eastAsia="en-AU"/>
        </w:rPr>
        <w:t>3.</w:t>
      </w:r>
      <w:r w:rsidRPr="001D1CD5">
        <w:rPr>
          <w:rFonts w:asciiTheme="minorHAnsi" w:eastAsia="Calibri" w:hAnsiTheme="minorHAnsi" w:cs="Calibri"/>
          <w:color w:val="451E51"/>
          <w:sz w:val="36"/>
          <w:szCs w:val="36"/>
          <w:lang w:eastAsia="en-AU"/>
        </w:rPr>
        <w:tab/>
        <w:t>Institutions</w:t>
      </w:r>
    </w:p>
    <w:p w14:paraId="20EC10E2" w14:textId="77777777" w:rsidR="006426A0" w:rsidRPr="001D1CD5" w:rsidRDefault="006426A0" w:rsidP="006426A0">
      <w:pPr>
        <w:spacing w:after="240"/>
        <w:rPr>
          <w:rFonts w:asciiTheme="minorHAnsi" w:hAnsiTheme="minorHAnsi"/>
          <w:b/>
          <w:color w:val="451E51"/>
          <w:sz w:val="28"/>
          <w:szCs w:val="28"/>
          <w:lang w:eastAsia="en-AU"/>
        </w:rPr>
      </w:pPr>
      <w:r w:rsidRPr="001D1CD5">
        <w:rPr>
          <w:rFonts w:asciiTheme="minorHAnsi" w:hAnsiTheme="minorHAnsi"/>
          <w:b/>
          <w:color w:val="451E51"/>
          <w:sz w:val="28"/>
          <w:szCs w:val="28"/>
          <w:lang w:eastAsia="en-AU"/>
        </w:rPr>
        <w:t>3.1</w:t>
      </w:r>
      <w:r w:rsidRPr="001D1CD5">
        <w:rPr>
          <w:rFonts w:asciiTheme="minorHAnsi" w:hAnsiTheme="minorHAnsi"/>
          <w:b/>
          <w:color w:val="451E51"/>
          <w:sz w:val="28"/>
          <w:szCs w:val="28"/>
          <w:lang w:eastAsia="en-AU"/>
        </w:rPr>
        <w:tab/>
        <w:t xml:space="preserve">Structure of the </w:t>
      </w:r>
      <w:proofErr w:type="spellStart"/>
      <w:r w:rsidRPr="001D1CD5">
        <w:rPr>
          <w:rFonts w:asciiTheme="minorHAnsi" w:hAnsiTheme="minorHAnsi"/>
          <w:b/>
          <w:color w:val="451E51"/>
          <w:sz w:val="28"/>
          <w:szCs w:val="28"/>
          <w:lang w:eastAsia="en-AU"/>
        </w:rPr>
        <w:t>FWC</w:t>
      </w:r>
      <w:proofErr w:type="spellEnd"/>
    </w:p>
    <w:p w14:paraId="1B5070B7" w14:textId="77777777" w:rsidR="006426A0" w:rsidRPr="001D1CD5" w:rsidRDefault="006426A0" w:rsidP="00371EDD">
      <w:pPr>
        <w:spacing w:after="240" w:line="276" w:lineRule="auto"/>
        <w:jc w:val="both"/>
        <w:rPr>
          <w:rFonts w:asciiTheme="minorHAnsi" w:eastAsiaTheme="minorHAnsi" w:hAnsiTheme="minorHAnsi" w:cstheme="minorBidi"/>
          <w:lang w:eastAsia="en-AU"/>
        </w:rPr>
      </w:pPr>
      <w:r w:rsidRPr="001D1CD5">
        <w:rPr>
          <w:rFonts w:asciiTheme="minorHAnsi" w:hAnsiTheme="minorHAnsi"/>
          <w:lang w:eastAsia="en-AU"/>
        </w:rPr>
        <w:t xml:space="preserve">As a peak council under the FW Act and as registered </w:t>
      </w:r>
      <w:proofErr w:type="spellStart"/>
      <w:r w:rsidRPr="001D1CD5">
        <w:rPr>
          <w:rFonts w:asciiTheme="minorHAnsi" w:hAnsiTheme="minorHAnsi"/>
          <w:lang w:eastAsia="en-AU"/>
        </w:rPr>
        <w:t>organisation</w:t>
      </w:r>
      <w:proofErr w:type="spellEnd"/>
      <w:r w:rsidRPr="001D1CD5">
        <w:rPr>
          <w:rFonts w:asciiTheme="minorHAnsi" w:hAnsiTheme="minorHAnsi"/>
          <w:lang w:eastAsia="en-AU"/>
        </w:rPr>
        <w:t xml:space="preserve"> under the </w:t>
      </w:r>
      <w:r w:rsidRPr="001D1CD5">
        <w:rPr>
          <w:rFonts w:asciiTheme="minorHAnsi" w:hAnsiTheme="minorHAnsi"/>
          <w:i/>
          <w:lang w:eastAsia="en-AU"/>
        </w:rPr>
        <w:t xml:space="preserve">Fair Work (Registered </w:t>
      </w:r>
      <w:proofErr w:type="spellStart"/>
      <w:r w:rsidRPr="001D1CD5">
        <w:rPr>
          <w:rFonts w:asciiTheme="minorHAnsi" w:hAnsiTheme="minorHAnsi"/>
          <w:i/>
          <w:lang w:eastAsia="en-AU"/>
        </w:rPr>
        <w:t>Organisations</w:t>
      </w:r>
      <w:proofErr w:type="spellEnd"/>
      <w:r w:rsidRPr="001D1CD5">
        <w:rPr>
          <w:rFonts w:asciiTheme="minorHAnsi" w:hAnsiTheme="minorHAnsi"/>
          <w:i/>
          <w:lang w:eastAsia="en-AU"/>
        </w:rPr>
        <w:t>) Act 2009</w:t>
      </w:r>
      <w:r w:rsidRPr="001D1CD5">
        <w:rPr>
          <w:rFonts w:asciiTheme="minorHAnsi" w:hAnsiTheme="minorHAnsi"/>
          <w:lang w:eastAsia="en-AU"/>
        </w:rPr>
        <w:t xml:space="preserve">, Ai Group has a great deal of experience in the </w:t>
      </w:r>
      <w:proofErr w:type="spellStart"/>
      <w:r w:rsidRPr="001D1CD5">
        <w:rPr>
          <w:rFonts w:asciiTheme="minorHAnsi" w:hAnsiTheme="minorHAnsi"/>
          <w:lang w:eastAsia="en-AU"/>
        </w:rPr>
        <w:t>FWC</w:t>
      </w:r>
      <w:proofErr w:type="spellEnd"/>
      <w:r w:rsidRPr="001D1CD5">
        <w:rPr>
          <w:rFonts w:asciiTheme="minorHAnsi" w:hAnsiTheme="minorHAnsi"/>
          <w:lang w:eastAsia="en-AU"/>
        </w:rPr>
        <w:t xml:space="preserve">, both in representing Ai Group members and other employers collectively, and in representing individual employers. Ai Group’s workplace relations staff are involved in hearings and conferences before the </w:t>
      </w:r>
      <w:proofErr w:type="spellStart"/>
      <w:r w:rsidRPr="001D1CD5">
        <w:rPr>
          <w:rFonts w:asciiTheme="minorHAnsi" w:hAnsiTheme="minorHAnsi"/>
          <w:lang w:eastAsia="en-AU"/>
        </w:rPr>
        <w:t>FWC</w:t>
      </w:r>
      <w:proofErr w:type="spellEnd"/>
      <w:r w:rsidRPr="001D1CD5">
        <w:rPr>
          <w:rFonts w:asciiTheme="minorHAnsi" w:hAnsiTheme="minorHAnsi"/>
          <w:lang w:eastAsia="en-AU"/>
        </w:rPr>
        <w:t xml:space="preserve"> virtually every day. Invariably Ai Group is involved in numerous different </w:t>
      </w:r>
      <w:proofErr w:type="spellStart"/>
      <w:r w:rsidRPr="001D1CD5">
        <w:rPr>
          <w:rFonts w:asciiTheme="minorHAnsi" w:hAnsiTheme="minorHAnsi"/>
          <w:lang w:eastAsia="en-AU"/>
        </w:rPr>
        <w:t>FWC</w:t>
      </w:r>
      <w:proofErr w:type="spellEnd"/>
      <w:r w:rsidRPr="001D1CD5">
        <w:rPr>
          <w:rFonts w:asciiTheme="minorHAnsi" w:hAnsiTheme="minorHAnsi"/>
          <w:lang w:eastAsia="en-AU"/>
        </w:rPr>
        <w:t xml:space="preserve"> cases at any one time.</w:t>
      </w:r>
    </w:p>
    <w:p w14:paraId="7800E24F" w14:textId="77777777" w:rsidR="006426A0" w:rsidRPr="001D1CD5" w:rsidRDefault="006426A0" w:rsidP="00371EDD">
      <w:pPr>
        <w:spacing w:after="240" w:line="276" w:lineRule="auto"/>
        <w:jc w:val="both"/>
        <w:rPr>
          <w:rFonts w:asciiTheme="minorHAnsi" w:hAnsiTheme="minorHAnsi"/>
          <w:lang w:eastAsia="en-AU"/>
        </w:rPr>
      </w:pPr>
      <w:r w:rsidRPr="001D1CD5">
        <w:rPr>
          <w:rFonts w:asciiTheme="minorHAnsi" w:hAnsiTheme="minorHAnsi"/>
          <w:lang w:eastAsia="en-AU"/>
        </w:rPr>
        <w:t xml:space="preserve">The types of </w:t>
      </w:r>
      <w:proofErr w:type="spellStart"/>
      <w:r w:rsidRPr="001D1CD5">
        <w:rPr>
          <w:rFonts w:asciiTheme="minorHAnsi" w:hAnsiTheme="minorHAnsi"/>
          <w:lang w:eastAsia="en-AU"/>
        </w:rPr>
        <w:t>FWC</w:t>
      </w:r>
      <w:proofErr w:type="spellEnd"/>
      <w:r w:rsidRPr="001D1CD5">
        <w:rPr>
          <w:rFonts w:asciiTheme="minorHAnsi" w:hAnsiTheme="minorHAnsi"/>
          <w:lang w:eastAsia="en-AU"/>
        </w:rPr>
        <w:t xml:space="preserve"> matters that Ai Group is often involved in include:</w:t>
      </w:r>
    </w:p>
    <w:p w14:paraId="54F6FBFD" w14:textId="77777777" w:rsidR="006426A0" w:rsidRPr="001D1CD5" w:rsidRDefault="006426A0" w:rsidP="00371EDD">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Theme="minorHAnsi" w:hAnsiTheme="minorHAnsi"/>
        </w:rPr>
      </w:pPr>
      <w:r w:rsidRPr="001D1CD5">
        <w:rPr>
          <w:rFonts w:asciiTheme="minorHAnsi" w:hAnsiTheme="minorHAnsi"/>
        </w:rPr>
        <w:t>Annual Wage Reviews;</w:t>
      </w:r>
    </w:p>
    <w:p w14:paraId="222E0C87" w14:textId="77777777" w:rsidR="006426A0" w:rsidRPr="001D1CD5" w:rsidRDefault="006426A0" w:rsidP="00371EDD">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Theme="minorHAnsi" w:hAnsiTheme="minorHAnsi"/>
          <w:lang w:eastAsia="en-US"/>
        </w:rPr>
      </w:pPr>
      <w:r w:rsidRPr="001D1CD5">
        <w:rPr>
          <w:rFonts w:asciiTheme="minorHAnsi" w:hAnsiTheme="minorHAnsi"/>
        </w:rPr>
        <w:t>Appeals and other major cases;</w:t>
      </w:r>
    </w:p>
    <w:p w14:paraId="5BA354EF" w14:textId="05A5D353" w:rsidR="006426A0" w:rsidRPr="001D1CD5" w:rsidRDefault="00962E89" w:rsidP="00371EDD">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Theme="minorHAnsi" w:hAnsiTheme="minorHAnsi"/>
        </w:rPr>
      </w:pPr>
      <w:r>
        <w:rPr>
          <w:rFonts w:asciiTheme="minorHAnsi" w:hAnsiTheme="minorHAnsi"/>
        </w:rPr>
        <w:t>Reviews of a</w:t>
      </w:r>
      <w:r w:rsidR="006426A0" w:rsidRPr="001D1CD5">
        <w:rPr>
          <w:rFonts w:asciiTheme="minorHAnsi" w:hAnsiTheme="minorHAnsi"/>
        </w:rPr>
        <w:t>wards;</w:t>
      </w:r>
    </w:p>
    <w:p w14:paraId="23FE3004" w14:textId="77777777" w:rsidR="006426A0" w:rsidRPr="001D1CD5" w:rsidRDefault="006426A0" w:rsidP="00371EDD">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Theme="minorHAnsi" w:hAnsiTheme="minorHAnsi"/>
        </w:rPr>
      </w:pPr>
      <w:r w:rsidRPr="001D1CD5">
        <w:rPr>
          <w:rFonts w:asciiTheme="minorHAnsi" w:hAnsiTheme="minorHAnsi"/>
        </w:rPr>
        <w:t>Applications to vary awards;</w:t>
      </w:r>
    </w:p>
    <w:p w14:paraId="6984BF19" w14:textId="77777777" w:rsidR="006426A0" w:rsidRPr="001D1CD5" w:rsidRDefault="006426A0" w:rsidP="00371EDD">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Theme="minorHAnsi" w:hAnsiTheme="minorHAnsi"/>
        </w:rPr>
      </w:pPr>
      <w:r w:rsidRPr="001D1CD5">
        <w:rPr>
          <w:rFonts w:asciiTheme="minorHAnsi" w:hAnsiTheme="minorHAnsi"/>
        </w:rPr>
        <w:t>Unfair dismissal matters;</w:t>
      </w:r>
    </w:p>
    <w:p w14:paraId="24A42462" w14:textId="77777777" w:rsidR="006426A0" w:rsidRPr="001D1CD5" w:rsidRDefault="006426A0" w:rsidP="00371EDD">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Theme="minorHAnsi" w:hAnsiTheme="minorHAnsi"/>
        </w:rPr>
      </w:pPr>
      <w:r w:rsidRPr="001D1CD5">
        <w:rPr>
          <w:rFonts w:asciiTheme="minorHAnsi" w:hAnsiTheme="minorHAnsi"/>
        </w:rPr>
        <w:t xml:space="preserve">General protections matters; </w:t>
      </w:r>
    </w:p>
    <w:p w14:paraId="48149892" w14:textId="77777777" w:rsidR="006426A0" w:rsidRPr="001D1CD5" w:rsidRDefault="006426A0" w:rsidP="00371EDD">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Theme="minorHAnsi" w:hAnsiTheme="minorHAnsi"/>
        </w:rPr>
      </w:pPr>
      <w:r w:rsidRPr="001D1CD5">
        <w:rPr>
          <w:rFonts w:asciiTheme="minorHAnsi" w:hAnsiTheme="minorHAnsi"/>
        </w:rPr>
        <w:t>Applications for the approval of enterprise agreements;</w:t>
      </w:r>
    </w:p>
    <w:p w14:paraId="592DF221" w14:textId="77777777" w:rsidR="006426A0" w:rsidRPr="001D1CD5" w:rsidRDefault="006426A0" w:rsidP="00371EDD">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Theme="minorHAnsi" w:hAnsiTheme="minorHAnsi"/>
        </w:rPr>
      </w:pPr>
      <w:r w:rsidRPr="001D1CD5">
        <w:rPr>
          <w:rFonts w:asciiTheme="minorHAnsi" w:hAnsiTheme="minorHAnsi"/>
        </w:rPr>
        <w:t xml:space="preserve">Applications for the </w:t>
      </w:r>
      <w:proofErr w:type="spellStart"/>
      <w:r w:rsidRPr="001D1CD5">
        <w:rPr>
          <w:rFonts w:asciiTheme="minorHAnsi" w:hAnsiTheme="minorHAnsi"/>
        </w:rPr>
        <w:t>FWC</w:t>
      </w:r>
      <w:proofErr w:type="spellEnd"/>
      <w:r w:rsidRPr="001D1CD5">
        <w:rPr>
          <w:rFonts w:asciiTheme="minorHAnsi" w:hAnsiTheme="minorHAnsi"/>
        </w:rPr>
        <w:t xml:space="preserve"> to assist during bargaining negotiations;</w:t>
      </w:r>
    </w:p>
    <w:p w14:paraId="52AEB4B4" w14:textId="77777777" w:rsidR="006426A0" w:rsidRPr="001D1CD5" w:rsidRDefault="006426A0" w:rsidP="00371EDD">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Theme="minorHAnsi" w:hAnsiTheme="minorHAnsi"/>
        </w:rPr>
      </w:pPr>
      <w:r w:rsidRPr="001D1CD5">
        <w:rPr>
          <w:rFonts w:asciiTheme="minorHAnsi" w:hAnsiTheme="minorHAnsi"/>
        </w:rPr>
        <w:t>Applications for scope orders, majority support determinations and bargaining orders;</w:t>
      </w:r>
    </w:p>
    <w:p w14:paraId="135739A1" w14:textId="77777777" w:rsidR="006426A0" w:rsidRPr="001D1CD5" w:rsidRDefault="006426A0" w:rsidP="00371EDD">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Theme="minorHAnsi" w:hAnsiTheme="minorHAnsi"/>
        </w:rPr>
      </w:pPr>
      <w:r w:rsidRPr="001D1CD5">
        <w:rPr>
          <w:rFonts w:asciiTheme="minorHAnsi" w:hAnsiTheme="minorHAnsi"/>
        </w:rPr>
        <w:t>Enterprise bargaining and other disputes;</w:t>
      </w:r>
    </w:p>
    <w:p w14:paraId="144A9FF8" w14:textId="77777777" w:rsidR="006426A0" w:rsidRPr="001D1CD5" w:rsidRDefault="006426A0" w:rsidP="00371EDD">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Theme="minorHAnsi" w:hAnsiTheme="minorHAnsi"/>
        </w:rPr>
      </w:pPr>
      <w:r w:rsidRPr="001D1CD5">
        <w:rPr>
          <w:rFonts w:asciiTheme="minorHAnsi" w:hAnsiTheme="minorHAnsi"/>
        </w:rPr>
        <w:t xml:space="preserve">Applications for protected action ballots; </w:t>
      </w:r>
    </w:p>
    <w:p w14:paraId="0DE7B5B4" w14:textId="77777777" w:rsidR="006426A0" w:rsidRPr="001D1CD5" w:rsidRDefault="006426A0" w:rsidP="00371EDD">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Theme="minorHAnsi" w:hAnsiTheme="minorHAnsi"/>
        </w:rPr>
      </w:pPr>
      <w:r w:rsidRPr="001D1CD5">
        <w:rPr>
          <w:rFonts w:asciiTheme="minorHAnsi" w:hAnsiTheme="minorHAnsi"/>
        </w:rPr>
        <w:t>Applications for stop orders when unlawful industrial action is taken;</w:t>
      </w:r>
    </w:p>
    <w:p w14:paraId="0D326E3F" w14:textId="77777777" w:rsidR="006426A0" w:rsidRPr="001D1CD5" w:rsidRDefault="006426A0" w:rsidP="00371EDD">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Theme="minorHAnsi" w:hAnsiTheme="minorHAnsi"/>
        </w:rPr>
      </w:pPr>
      <w:r w:rsidRPr="001D1CD5">
        <w:rPr>
          <w:rFonts w:asciiTheme="minorHAnsi" w:hAnsiTheme="minorHAnsi"/>
        </w:rPr>
        <w:t>Applications to suspend or terminate protected industrial action; and</w:t>
      </w:r>
    </w:p>
    <w:p w14:paraId="62BC0EAC" w14:textId="77777777" w:rsidR="006426A0" w:rsidRPr="001D1CD5" w:rsidRDefault="006426A0" w:rsidP="00371EDD">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rPr>
      </w:pPr>
      <w:r w:rsidRPr="001D1CD5">
        <w:rPr>
          <w:rFonts w:asciiTheme="minorHAnsi" w:hAnsiTheme="minorHAnsi"/>
        </w:rPr>
        <w:t xml:space="preserve">Applications by registered </w:t>
      </w:r>
      <w:proofErr w:type="spellStart"/>
      <w:r w:rsidRPr="001D1CD5">
        <w:rPr>
          <w:rFonts w:asciiTheme="minorHAnsi" w:hAnsiTheme="minorHAnsi"/>
        </w:rPr>
        <w:t>organisations</w:t>
      </w:r>
      <w:proofErr w:type="spellEnd"/>
      <w:r w:rsidRPr="001D1CD5">
        <w:rPr>
          <w:rFonts w:asciiTheme="minorHAnsi" w:hAnsiTheme="minorHAnsi"/>
        </w:rPr>
        <w:t xml:space="preserve"> to change their rules.</w:t>
      </w:r>
    </w:p>
    <w:p w14:paraId="638BC7A1" w14:textId="77777777" w:rsidR="006426A0" w:rsidRPr="001D1CD5" w:rsidRDefault="006426A0" w:rsidP="00371EDD">
      <w:pPr>
        <w:spacing w:after="240" w:line="276" w:lineRule="auto"/>
        <w:jc w:val="both"/>
        <w:rPr>
          <w:rFonts w:asciiTheme="minorHAnsi" w:hAnsiTheme="minorHAnsi"/>
        </w:rPr>
      </w:pPr>
      <w:r w:rsidRPr="001D1CD5">
        <w:rPr>
          <w:rFonts w:asciiTheme="minorHAnsi" w:hAnsiTheme="minorHAnsi"/>
        </w:rPr>
        <w:lastRenderedPageBreak/>
        <w:t xml:space="preserve">Draft Recommendation 3.1 would divide the </w:t>
      </w:r>
      <w:proofErr w:type="spellStart"/>
      <w:r w:rsidRPr="001D1CD5">
        <w:rPr>
          <w:rFonts w:asciiTheme="minorHAnsi" w:hAnsiTheme="minorHAnsi"/>
        </w:rPr>
        <w:t>FWC</w:t>
      </w:r>
      <w:proofErr w:type="spellEnd"/>
      <w:r w:rsidRPr="001D1CD5">
        <w:rPr>
          <w:rFonts w:asciiTheme="minorHAnsi" w:hAnsiTheme="minorHAnsi"/>
        </w:rPr>
        <w:t xml:space="preserve"> into two divisions. A Minimum Standards Division would be responsible for minimum wages and modern awards, with all other functions remaining with a Tribunal Division.  Ai Group is not convinced that this Recommendation is appropriate for the following reasons:</w:t>
      </w:r>
    </w:p>
    <w:p w14:paraId="047661F4" w14:textId="2B787DA8" w:rsidR="006426A0" w:rsidRPr="001D1CD5" w:rsidRDefault="006426A0" w:rsidP="00371EDD">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rPr>
      </w:pPr>
      <w:r w:rsidRPr="001D1CD5">
        <w:rPr>
          <w:rFonts w:asciiTheme="minorHAnsi" w:hAnsiTheme="minorHAnsi"/>
        </w:rPr>
        <w:t xml:space="preserve">The Annual Wage Review is already carried out by an Expert Panel that includes part-time </w:t>
      </w:r>
      <w:proofErr w:type="spellStart"/>
      <w:r w:rsidRPr="001D1CD5">
        <w:rPr>
          <w:rFonts w:asciiTheme="minorHAnsi" w:hAnsiTheme="minorHAnsi"/>
        </w:rPr>
        <w:t>FWC</w:t>
      </w:r>
      <w:proofErr w:type="spellEnd"/>
      <w:r w:rsidRPr="001D1CD5">
        <w:rPr>
          <w:rFonts w:asciiTheme="minorHAnsi" w:hAnsiTheme="minorHAnsi"/>
        </w:rPr>
        <w:t xml:space="preserve"> Members with an economic and research background, as well as full-time </w:t>
      </w:r>
      <w:proofErr w:type="spellStart"/>
      <w:r w:rsidRPr="001D1CD5">
        <w:rPr>
          <w:rFonts w:asciiTheme="minorHAnsi" w:hAnsiTheme="minorHAnsi"/>
        </w:rPr>
        <w:t>FWC</w:t>
      </w:r>
      <w:proofErr w:type="spellEnd"/>
      <w:r w:rsidRPr="001D1CD5">
        <w:rPr>
          <w:rFonts w:asciiTheme="minorHAnsi" w:hAnsiTheme="minorHAnsi"/>
        </w:rPr>
        <w:t xml:space="preserve"> Members with industrial relations backgrounds.  Ai Group has not identified any deficiencies with the skill sets of the Members on the Expert Panel. Having diversity of backgrounds amongst the Members of the Expert Pa</w:t>
      </w:r>
      <w:r w:rsidR="00962E89">
        <w:rPr>
          <w:rFonts w:asciiTheme="minorHAnsi" w:hAnsiTheme="minorHAnsi"/>
        </w:rPr>
        <w:t>nel is important. For example, i</w:t>
      </w:r>
      <w:r w:rsidRPr="001D1CD5">
        <w:rPr>
          <w:rFonts w:asciiTheme="minorHAnsi" w:hAnsiTheme="minorHAnsi"/>
        </w:rPr>
        <w:t>n the most recent Annual Wage Review, the issues canvassed at the final consultations included economic matters as well as legal arguments about the correct construction of relevant provisions of the FW Act.</w:t>
      </w:r>
    </w:p>
    <w:p w14:paraId="4C9887C9" w14:textId="156AE6DE" w:rsidR="006426A0" w:rsidRPr="001D1CD5" w:rsidRDefault="006426A0" w:rsidP="00371EDD">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rPr>
      </w:pPr>
      <w:r w:rsidRPr="001D1CD5">
        <w:rPr>
          <w:rFonts w:asciiTheme="minorHAnsi" w:hAnsiTheme="minorHAnsi"/>
        </w:rPr>
        <w:t>Award matters often involve complex jurisdictional arguments</w:t>
      </w:r>
      <w:r w:rsidR="00771D7F">
        <w:rPr>
          <w:rFonts w:asciiTheme="minorHAnsi" w:hAnsiTheme="minorHAnsi"/>
        </w:rPr>
        <w:t>, which are in effect legal arguments</w:t>
      </w:r>
      <w:r w:rsidRPr="001D1CD5">
        <w:rPr>
          <w:rFonts w:asciiTheme="minorHAnsi" w:hAnsiTheme="minorHAnsi"/>
        </w:rPr>
        <w:t xml:space="preserve">. </w:t>
      </w:r>
      <w:r w:rsidR="00771D7F">
        <w:rPr>
          <w:rFonts w:asciiTheme="minorHAnsi" w:hAnsiTheme="minorHAnsi"/>
        </w:rPr>
        <w:t xml:space="preserve">The proposed skill sets of Members of the Minimum Standards Division could create </w:t>
      </w:r>
      <w:r w:rsidRPr="001D1CD5">
        <w:rPr>
          <w:rFonts w:asciiTheme="minorHAnsi" w:hAnsiTheme="minorHAnsi"/>
        </w:rPr>
        <w:t xml:space="preserve">risks for employers and employees of the </w:t>
      </w:r>
      <w:proofErr w:type="spellStart"/>
      <w:r w:rsidRPr="001D1CD5">
        <w:rPr>
          <w:rFonts w:asciiTheme="minorHAnsi" w:hAnsiTheme="minorHAnsi"/>
        </w:rPr>
        <w:t>FWC</w:t>
      </w:r>
      <w:proofErr w:type="spellEnd"/>
      <w:r w:rsidRPr="001D1CD5">
        <w:rPr>
          <w:rFonts w:asciiTheme="minorHAnsi" w:hAnsiTheme="minorHAnsi"/>
        </w:rPr>
        <w:t xml:space="preserve"> exceeding its jurisdiction when determining what changes should be made to awards. </w:t>
      </w:r>
    </w:p>
    <w:p w14:paraId="129E0210" w14:textId="77777777" w:rsidR="006426A0" w:rsidRPr="001D1CD5" w:rsidRDefault="006426A0" w:rsidP="00371EDD">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rPr>
      </w:pPr>
      <w:r w:rsidRPr="001D1CD5">
        <w:rPr>
          <w:rFonts w:asciiTheme="minorHAnsi" w:hAnsiTheme="minorHAnsi"/>
        </w:rPr>
        <w:t xml:space="preserve">Given the costly nature of many of the entitlements in awards, it is essential that award clauses are very carefully drafted to avoid risks for employers and employees.  Drafting problems could easily occur if the </w:t>
      </w:r>
      <w:proofErr w:type="spellStart"/>
      <w:r w:rsidRPr="001D1CD5">
        <w:rPr>
          <w:rFonts w:asciiTheme="minorHAnsi" w:hAnsiTheme="minorHAnsi"/>
        </w:rPr>
        <w:t>FWC</w:t>
      </w:r>
      <w:proofErr w:type="spellEnd"/>
      <w:r w:rsidRPr="001D1CD5">
        <w:rPr>
          <w:rFonts w:asciiTheme="minorHAnsi" w:hAnsiTheme="minorHAnsi"/>
        </w:rPr>
        <w:t xml:space="preserve"> Members responsible for determining award matters do not have appropriate qualifications and experience in drafting award clauses.</w:t>
      </w:r>
    </w:p>
    <w:p w14:paraId="52C1E3B2" w14:textId="77777777" w:rsidR="006426A0" w:rsidRPr="001D1CD5" w:rsidRDefault="006426A0" w:rsidP="00371EDD">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rPr>
      </w:pPr>
      <w:r w:rsidRPr="001D1CD5">
        <w:rPr>
          <w:rFonts w:asciiTheme="minorHAnsi" w:hAnsiTheme="minorHAnsi"/>
        </w:rPr>
        <w:t>The appeal processes would become a lot more complicated.</w:t>
      </w:r>
    </w:p>
    <w:p w14:paraId="7349133B" w14:textId="5E109523" w:rsidR="006426A0" w:rsidRPr="001D1CD5" w:rsidRDefault="006426A0" w:rsidP="00371EDD">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rPr>
      </w:pPr>
      <w:r w:rsidRPr="001D1CD5">
        <w:rPr>
          <w:rFonts w:asciiTheme="minorHAnsi" w:hAnsiTheme="minorHAnsi"/>
        </w:rPr>
        <w:t xml:space="preserve">Currently, </w:t>
      </w:r>
      <w:proofErr w:type="spellStart"/>
      <w:r w:rsidRPr="001D1CD5">
        <w:rPr>
          <w:rFonts w:asciiTheme="minorHAnsi" w:hAnsiTheme="minorHAnsi"/>
        </w:rPr>
        <w:t>FWC</w:t>
      </w:r>
      <w:proofErr w:type="spellEnd"/>
      <w:r w:rsidRPr="001D1CD5">
        <w:rPr>
          <w:rFonts w:asciiTheme="minorHAnsi" w:hAnsiTheme="minorHAnsi"/>
        </w:rPr>
        <w:t xml:space="preserve"> Members are typically allocated to Panels which enable them to gain detailed knowledge and experience in particular industries. This knowledge and experience is relevant to the full range of </w:t>
      </w:r>
      <w:proofErr w:type="spellStart"/>
      <w:r w:rsidRPr="001D1CD5">
        <w:rPr>
          <w:rFonts w:asciiTheme="minorHAnsi" w:hAnsiTheme="minorHAnsi"/>
        </w:rPr>
        <w:t>FWC</w:t>
      </w:r>
      <w:proofErr w:type="spellEnd"/>
      <w:r w:rsidRPr="001D1CD5">
        <w:rPr>
          <w:rFonts w:asciiTheme="minorHAnsi" w:hAnsiTheme="minorHAnsi"/>
        </w:rPr>
        <w:t xml:space="preserve"> matters that arise for parties in </w:t>
      </w:r>
      <w:r w:rsidR="00771D7F">
        <w:rPr>
          <w:rFonts w:asciiTheme="minorHAnsi" w:hAnsiTheme="minorHAnsi"/>
        </w:rPr>
        <w:t>an</w:t>
      </w:r>
      <w:r w:rsidRPr="001D1CD5">
        <w:rPr>
          <w:rFonts w:asciiTheme="minorHAnsi" w:hAnsiTheme="minorHAnsi"/>
        </w:rPr>
        <w:t xml:space="preserve"> </w:t>
      </w:r>
      <w:r w:rsidR="00771D7F">
        <w:rPr>
          <w:rFonts w:asciiTheme="minorHAnsi" w:hAnsiTheme="minorHAnsi"/>
        </w:rPr>
        <w:t>industry</w:t>
      </w:r>
      <w:r w:rsidRPr="001D1CD5">
        <w:rPr>
          <w:rFonts w:asciiTheme="minorHAnsi" w:hAnsiTheme="minorHAnsi"/>
        </w:rPr>
        <w:t xml:space="preserve"> including award matters, industrial disputes, enterprise agreements, etc.</w:t>
      </w:r>
    </w:p>
    <w:p w14:paraId="5573AA08" w14:textId="3D363B5A" w:rsidR="006426A0" w:rsidRPr="001D1CD5" w:rsidRDefault="006426A0" w:rsidP="00371EDD">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rPr>
      </w:pPr>
      <w:r w:rsidRPr="001D1CD5">
        <w:rPr>
          <w:rFonts w:asciiTheme="minorHAnsi" w:hAnsiTheme="minorHAnsi"/>
        </w:rPr>
        <w:t xml:space="preserve">The history associated with particular award provisions, including relevant cases, is often very important for employers and employees when the </w:t>
      </w:r>
      <w:proofErr w:type="spellStart"/>
      <w:r w:rsidRPr="001D1CD5">
        <w:rPr>
          <w:rFonts w:asciiTheme="minorHAnsi" w:hAnsiTheme="minorHAnsi"/>
        </w:rPr>
        <w:t>FWC</w:t>
      </w:r>
      <w:proofErr w:type="spellEnd"/>
      <w:r w:rsidRPr="001D1CD5">
        <w:rPr>
          <w:rFonts w:asciiTheme="minorHAnsi" w:hAnsiTheme="minorHAnsi"/>
        </w:rPr>
        <w:t xml:space="preserve"> is determining the merit</w:t>
      </w:r>
      <w:r w:rsidR="00771D7F">
        <w:rPr>
          <w:rFonts w:asciiTheme="minorHAnsi" w:hAnsiTheme="minorHAnsi"/>
        </w:rPr>
        <w:t>s</w:t>
      </w:r>
      <w:r w:rsidRPr="001D1CD5">
        <w:rPr>
          <w:rFonts w:asciiTheme="minorHAnsi" w:hAnsiTheme="minorHAnsi"/>
        </w:rPr>
        <w:t xml:space="preserve"> of proposed changes to the provisions. The establishment of a new Minimum Standards Division with new </w:t>
      </w:r>
      <w:proofErr w:type="spellStart"/>
      <w:r w:rsidRPr="001D1CD5">
        <w:rPr>
          <w:rFonts w:asciiTheme="minorHAnsi" w:hAnsiTheme="minorHAnsi"/>
        </w:rPr>
        <w:t>FWC</w:t>
      </w:r>
      <w:proofErr w:type="spellEnd"/>
      <w:r w:rsidRPr="001D1CD5">
        <w:rPr>
          <w:rFonts w:asciiTheme="minorHAnsi" w:hAnsiTheme="minorHAnsi"/>
        </w:rPr>
        <w:t xml:space="preserve"> Members could result in insufficient regard being given to why existing award provisions exist and why they are drafted in the current manner.</w:t>
      </w:r>
    </w:p>
    <w:p w14:paraId="514EC873" w14:textId="77777777" w:rsidR="006426A0" w:rsidRPr="001D1CD5" w:rsidRDefault="006426A0" w:rsidP="006426A0">
      <w:pPr>
        <w:pStyle w:val="ListParagraph"/>
        <w:spacing w:after="240"/>
        <w:ind w:left="0"/>
        <w:rPr>
          <w:rFonts w:asciiTheme="minorHAnsi" w:hAnsiTheme="minorHAnsi"/>
          <w:b/>
          <w:color w:val="451E51"/>
          <w:sz w:val="28"/>
          <w:szCs w:val="28"/>
        </w:rPr>
      </w:pPr>
      <w:r w:rsidRPr="001D1CD5">
        <w:rPr>
          <w:rFonts w:asciiTheme="minorHAnsi" w:hAnsiTheme="minorHAnsi"/>
          <w:b/>
          <w:color w:val="451E51"/>
          <w:sz w:val="28"/>
          <w:szCs w:val="28"/>
        </w:rPr>
        <w:t>3.2</w:t>
      </w:r>
      <w:r w:rsidRPr="001D1CD5">
        <w:rPr>
          <w:rFonts w:asciiTheme="minorHAnsi" w:hAnsiTheme="minorHAnsi"/>
          <w:b/>
          <w:color w:val="451E51"/>
          <w:sz w:val="28"/>
          <w:szCs w:val="28"/>
        </w:rPr>
        <w:tab/>
        <w:t xml:space="preserve">Five year terms and the appointment process for </w:t>
      </w:r>
      <w:proofErr w:type="spellStart"/>
      <w:r w:rsidRPr="001D1CD5">
        <w:rPr>
          <w:rFonts w:asciiTheme="minorHAnsi" w:hAnsiTheme="minorHAnsi"/>
          <w:b/>
          <w:color w:val="451E51"/>
          <w:sz w:val="28"/>
          <w:szCs w:val="28"/>
        </w:rPr>
        <w:t>FWC</w:t>
      </w:r>
      <w:proofErr w:type="spellEnd"/>
      <w:r w:rsidRPr="001D1CD5">
        <w:rPr>
          <w:rFonts w:asciiTheme="minorHAnsi" w:hAnsiTheme="minorHAnsi"/>
          <w:b/>
          <w:color w:val="451E51"/>
          <w:sz w:val="28"/>
          <w:szCs w:val="28"/>
        </w:rPr>
        <w:t xml:space="preserve"> Members</w:t>
      </w:r>
    </w:p>
    <w:p w14:paraId="566CD1EC" w14:textId="648FCB27" w:rsidR="006426A0" w:rsidRPr="001D1CD5" w:rsidRDefault="006426A0" w:rsidP="00371EDD">
      <w:pPr>
        <w:pStyle w:val="ListParagraph"/>
        <w:spacing w:after="240" w:line="276" w:lineRule="auto"/>
        <w:ind w:left="0"/>
        <w:jc w:val="both"/>
        <w:rPr>
          <w:rFonts w:asciiTheme="minorHAnsi" w:hAnsiTheme="minorHAnsi"/>
        </w:rPr>
      </w:pPr>
      <w:r w:rsidRPr="001D1CD5">
        <w:rPr>
          <w:rFonts w:asciiTheme="minorHAnsi" w:hAnsiTheme="minorHAnsi"/>
        </w:rPr>
        <w:t xml:space="preserve">Draft Recommendation 3.2 would implement five year terms for new </w:t>
      </w:r>
      <w:proofErr w:type="spellStart"/>
      <w:r w:rsidRPr="001D1CD5">
        <w:rPr>
          <w:rFonts w:asciiTheme="minorHAnsi" w:hAnsiTheme="minorHAnsi"/>
        </w:rPr>
        <w:t>FWC</w:t>
      </w:r>
      <w:proofErr w:type="spellEnd"/>
      <w:r w:rsidRPr="001D1CD5">
        <w:rPr>
          <w:rFonts w:asciiTheme="minorHAnsi" w:hAnsiTheme="minorHAnsi"/>
        </w:rPr>
        <w:t xml:space="preserve"> Members, with the possibility of re-appointment based on a merit-based performance review carried out by an appointment panel.  Under Draft Recommendation 3.3, the appointment panel would prepare a short-list of candidates for appointment as an </w:t>
      </w:r>
      <w:proofErr w:type="spellStart"/>
      <w:r w:rsidRPr="001D1CD5">
        <w:rPr>
          <w:rFonts w:asciiTheme="minorHAnsi" w:hAnsiTheme="minorHAnsi"/>
        </w:rPr>
        <w:t>FW</w:t>
      </w:r>
      <w:r w:rsidR="00771D7F">
        <w:rPr>
          <w:rFonts w:asciiTheme="minorHAnsi" w:hAnsiTheme="minorHAnsi"/>
        </w:rPr>
        <w:t>C</w:t>
      </w:r>
      <w:proofErr w:type="spellEnd"/>
      <w:r w:rsidRPr="001D1CD5">
        <w:rPr>
          <w:rFonts w:asciiTheme="minorHAnsi" w:hAnsiTheme="minorHAnsi"/>
        </w:rPr>
        <w:t xml:space="preserve"> Member and the Minister would be required to select from the short-list. </w:t>
      </w:r>
    </w:p>
    <w:p w14:paraId="27BE2506" w14:textId="4D30AC4F" w:rsidR="006426A0" w:rsidRPr="001D1CD5" w:rsidRDefault="006426A0" w:rsidP="00371EDD">
      <w:pPr>
        <w:pStyle w:val="ListParagraph"/>
        <w:spacing w:after="240" w:line="276" w:lineRule="auto"/>
        <w:ind w:left="0"/>
        <w:jc w:val="both"/>
        <w:rPr>
          <w:rFonts w:asciiTheme="minorHAnsi" w:hAnsiTheme="minorHAnsi"/>
        </w:rPr>
      </w:pPr>
      <w:r w:rsidRPr="001D1CD5">
        <w:rPr>
          <w:rFonts w:asciiTheme="minorHAnsi" w:hAnsiTheme="minorHAnsi"/>
        </w:rPr>
        <w:lastRenderedPageBreak/>
        <w:t>The independe</w:t>
      </w:r>
      <w:r w:rsidR="00771D7F">
        <w:rPr>
          <w:rFonts w:asciiTheme="minorHAnsi" w:hAnsiTheme="minorHAnsi"/>
        </w:rPr>
        <w:t xml:space="preserve">nce of the </w:t>
      </w:r>
      <w:proofErr w:type="spellStart"/>
      <w:r w:rsidR="00771D7F">
        <w:rPr>
          <w:rFonts w:asciiTheme="minorHAnsi" w:hAnsiTheme="minorHAnsi"/>
        </w:rPr>
        <w:t>FWC</w:t>
      </w:r>
      <w:proofErr w:type="spellEnd"/>
      <w:r w:rsidR="00771D7F">
        <w:rPr>
          <w:rFonts w:asciiTheme="minorHAnsi" w:hAnsiTheme="minorHAnsi"/>
        </w:rPr>
        <w:t xml:space="preserve"> is vital and, for this reason, </w:t>
      </w:r>
      <w:r w:rsidRPr="001D1CD5">
        <w:rPr>
          <w:rFonts w:asciiTheme="minorHAnsi" w:hAnsiTheme="minorHAnsi"/>
        </w:rPr>
        <w:t>Ai Group does not support Recommendations 3.2 and 3.2. The following risks would arise:</w:t>
      </w:r>
    </w:p>
    <w:p w14:paraId="449F2C4C" w14:textId="5F4F2305" w:rsidR="006426A0" w:rsidRPr="001D1CD5" w:rsidRDefault="006426A0" w:rsidP="00371EDD">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rPr>
      </w:pPr>
      <w:r w:rsidRPr="001D1CD5">
        <w:rPr>
          <w:rFonts w:asciiTheme="minorHAnsi" w:hAnsiTheme="minorHAnsi"/>
        </w:rPr>
        <w:t xml:space="preserve">The risk of decisions of </w:t>
      </w:r>
      <w:proofErr w:type="spellStart"/>
      <w:r w:rsidRPr="001D1CD5">
        <w:rPr>
          <w:rFonts w:asciiTheme="minorHAnsi" w:hAnsiTheme="minorHAnsi"/>
        </w:rPr>
        <w:t>FWC</w:t>
      </w:r>
      <w:proofErr w:type="spellEnd"/>
      <w:r w:rsidRPr="001D1CD5">
        <w:rPr>
          <w:rFonts w:asciiTheme="minorHAnsi" w:hAnsiTheme="minorHAnsi"/>
        </w:rPr>
        <w:t xml:space="preserve"> Members being influenced by political factors given that they could be removed at the end of the</w:t>
      </w:r>
      <w:r w:rsidR="00771D7F">
        <w:rPr>
          <w:rFonts w:asciiTheme="minorHAnsi" w:hAnsiTheme="minorHAnsi"/>
        </w:rPr>
        <w:t>ir</w:t>
      </w:r>
      <w:r w:rsidRPr="001D1CD5">
        <w:rPr>
          <w:rFonts w:asciiTheme="minorHAnsi" w:hAnsiTheme="minorHAnsi"/>
        </w:rPr>
        <w:t xml:space="preserve"> five year term;</w:t>
      </w:r>
    </w:p>
    <w:p w14:paraId="297346A3" w14:textId="3C66A17E" w:rsidR="006426A0" w:rsidRPr="001D1CD5" w:rsidRDefault="006426A0" w:rsidP="00371EDD">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rPr>
      </w:pPr>
      <w:r w:rsidRPr="001D1CD5">
        <w:rPr>
          <w:rFonts w:asciiTheme="minorHAnsi" w:hAnsiTheme="minorHAnsi"/>
        </w:rPr>
        <w:t>The risk of the Government of the day “stacking” the appointment panel</w:t>
      </w:r>
      <w:r w:rsidR="00771D7F">
        <w:rPr>
          <w:rFonts w:asciiTheme="minorHAnsi" w:hAnsiTheme="minorHAnsi"/>
        </w:rPr>
        <w:t xml:space="preserve">, with consequent “stacking” of the </w:t>
      </w:r>
      <w:proofErr w:type="spellStart"/>
      <w:r w:rsidR="00771D7F">
        <w:rPr>
          <w:rFonts w:asciiTheme="minorHAnsi" w:hAnsiTheme="minorHAnsi"/>
        </w:rPr>
        <w:t>FWC</w:t>
      </w:r>
      <w:proofErr w:type="spellEnd"/>
      <w:r w:rsidRPr="001D1CD5">
        <w:rPr>
          <w:rFonts w:asciiTheme="minorHAnsi" w:hAnsiTheme="minorHAnsi"/>
        </w:rPr>
        <w:t>;</w:t>
      </w:r>
    </w:p>
    <w:p w14:paraId="4669ABB0" w14:textId="77777777" w:rsidR="006426A0" w:rsidRPr="001D1CD5" w:rsidRDefault="006426A0" w:rsidP="00371EDD">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rPr>
      </w:pPr>
      <w:r w:rsidRPr="001D1CD5">
        <w:rPr>
          <w:rFonts w:asciiTheme="minorHAnsi" w:hAnsiTheme="minorHAnsi"/>
        </w:rPr>
        <w:t xml:space="preserve">The risk of </w:t>
      </w:r>
      <w:proofErr w:type="spellStart"/>
      <w:r w:rsidRPr="001D1CD5">
        <w:rPr>
          <w:rFonts w:asciiTheme="minorHAnsi" w:hAnsiTheme="minorHAnsi"/>
        </w:rPr>
        <w:t>FWC</w:t>
      </w:r>
      <w:proofErr w:type="spellEnd"/>
      <w:r w:rsidRPr="001D1CD5">
        <w:rPr>
          <w:rFonts w:asciiTheme="minorHAnsi" w:hAnsiTheme="minorHAnsi"/>
        </w:rPr>
        <w:t xml:space="preserve"> Members being removed at the end of the five year term as a result of political factors, even if they have performed well;</w:t>
      </w:r>
    </w:p>
    <w:p w14:paraId="5EEC5BEC" w14:textId="77777777" w:rsidR="006426A0" w:rsidRPr="001D1CD5" w:rsidRDefault="006426A0" w:rsidP="00371EDD">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rPr>
      </w:pPr>
      <w:r w:rsidRPr="001D1CD5">
        <w:rPr>
          <w:rFonts w:asciiTheme="minorHAnsi" w:hAnsiTheme="minorHAnsi"/>
        </w:rPr>
        <w:t xml:space="preserve">The risk that many high quality candidates may not accept appointment as an </w:t>
      </w:r>
      <w:proofErr w:type="spellStart"/>
      <w:r w:rsidRPr="001D1CD5">
        <w:rPr>
          <w:rFonts w:asciiTheme="minorHAnsi" w:hAnsiTheme="minorHAnsi"/>
        </w:rPr>
        <w:t>FWC</w:t>
      </w:r>
      <w:proofErr w:type="spellEnd"/>
      <w:r w:rsidRPr="001D1CD5">
        <w:rPr>
          <w:rFonts w:asciiTheme="minorHAnsi" w:hAnsiTheme="minorHAnsi"/>
        </w:rPr>
        <w:t xml:space="preserve"> Member if five year terms were implemented; and</w:t>
      </w:r>
    </w:p>
    <w:p w14:paraId="2C8F5689" w14:textId="77777777" w:rsidR="006426A0" w:rsidRPr="001D1CD5" w:rsidRDefault="006426A0" w:rsidP="00371EDD">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rPr>
      </w:pPr>
      <w:r w:rsidRPr="001D1CD5">
        <w:rPr>
          <w:rFonts w:asciiTheme="minorHAnsi" w:hAnsiTheme="minorHAnsi"/>
        </w:rPr>
        <w:t xml:space="preserve">The risk that a great deal of valuable experience would be lost if there was a frequent turnover of </w:t>
      </w:r>
      <w:proofErr w:type="spellStart"/>
      <w:r w:rsidRPr="001D1CD5">
        <w:rPr>
          <w:rFonts w:asciiTheme="minorHAnsi" w:hAnsiTheme="minorHAnsi"/>
        </w:rPr>
        <w:t>FWC</w:t>
      </w:r>
      <w:proofErr w:type="spellEnd"/>
      <w:r w:rsidRPr="001D1CD5">
        <w:rPr>
          <w:rFonts w:asciiTheme="minorHAnsi" w:hAnsiTheme="minorHAnsi"/>
        </w:rPr>
        <w:t xml:space="preserve"> Members.</w:t>
      </w:r>
    </w:p>
    <w:p w14:paraId="11F78B88" w14:textId="77777777" w:rsidR="006426A0" w:rsidRPr="001D1CD5" w:rsidRDefault="006426A0" w:rsidP="00371EDD">
      <w:pPr>
        <w:spacing w:after="240" w:line="276" w:lineRule="auto"/>
        <w:jc w:val="both"/>
        <w:rPr>
          <w:rFonts w:asciiTheme="minorHAnsi" w:hAnsiTheme="minorHAnsi"/>
        </w:rPr>
      </w:pPr>
      <w:r w:rsidRPr="001D1CD5">
        <w:rPr>
          <w:rFonts w:asciiTheme="minorHAnsi" w:hAnsiTheme="minorHAnsi"/>
        </w:rPr>
        <w:t xml:space="preserve">In Ai Group’s March 2015 submission, Ai Group proposed the following appointment process for </w:t>
      </w:r>
      <w:proofErr w:type="spellStart"/>
      <w:r w:rsidRPr="001D1CD5">
        <w:rPr>
          <w:rFonts w:asciiTheme="minorHAnsi" w:hAnsiTheme="minorHAnsi"/>
        </w:rPr>
        <w:t>FWC</w:t>
      </w:r>
      <w:proofErr w:type="spellEnd"/>
      <w:r w:rsidRPr="001D1CD5">
        <w:rPr>
          <w:rFonts w:asciiTheme="minorHAnsi" w:hAnsiTheme="minorHAnsi"/>
        </w:rPr>
        <w:t xml:space="preserve"> Members which we continue to support:</w:t>
      </w:r>
    </w:p>
    <w:p w14:paraId="60B09800" w14:textId="484E36E4" w:rsidR="006426A0" w:rsidRPr="001D1CD5" w:rsidRDefault="006426A0" w:rsidP="00371EDD">
      <w:pPr>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cs="Calibri"/>
        </w:rPr>
      </w:pPr>
      <w:r w:rsidRPr="001D1CD5">
        <w:rPr>
          <w:rFonts w:asciiTheme="minorHAnsi" w:hAnsiTheme="minorHAnsi" w:cs="Calibri"/>
        </w:rPr>
        <w:t xml:space="preserve">In addition to the existing practice of placing advertisements in newspapers, the Government should approach candidates with the right experience and qualities and canvass their interest in being appointed as a Member of </w:t>
      </w:r>
      <w:r w:rsidR="00771D7F">
        <w:rPr>
          <w:rFonts w:asciiTheme="minorHAnsi" w:hAnsiTheme="minorHAnsi" w:cs="Calibri"/>
        </w:rPr>
        <w:t xml:space="preserve">the </w:t>
      </w:r>
      <w:proofErr w:type="spellStart"/>
      <w:r w:rsidRPr="001D1CD5">
        <w:rPr>
          <w:rFonts w:asciiTheme="minorHAnsi" w:hAnsiTheme="minorHAnsi" w:cs="Calibri"/>
        </w:rPr>
        <w:t>FWC</w:t>
      </w:r>
      <w:proofErr w:type="spellEnd"/>
      <w:r w:rsidRPr="001D1CD5">
        <w:rPr>
          <w:rFonts w:asciiTheme="minorHAnsi" w:hAnsiTheme="minorHAnsi" w:cs="Calibri"/>
        </w:rPr>
        <w:t>. The workplace relations system is very complicated and appointees need to have an excellent knowledge of industrial laws and practices, as well as demonstrating fairness, wisdom and practicality during their careers.</w:t>
      </w:r>
    </w:p>
    <w:p w14:paraId="71C42FA8" w14:textId="77777777" w:rsidR="006426A0" w:rsidRPr="001D1CD5" w:rsidRDefault="006426A0" w:rsidP="00371EDD">
      <w:pPr>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cs="Calibri"/>
        </w:rPr>
      </w:pPr>
      <w:r w:rsidRPr="001D1CD5">
        <w:rPr>
          <w:rFonts w:asciiTheme="minorHAnsi" w:hAnsiTheme="minorHAnsi" w:cs="Calibri"/>
        </w:rPr>
        <w:t xml:space="preserve">Together with the existing practice of consulting State Governments and the Shadow Workplace Relations Minister, the Government should confidentially consult the peak councils (Ai Group, </w:t>
      </w:r>
      <w:proofErr w:type="spellStart"/>
      <w:r w:rsidRPr="001D1CD5">
        <w:rPr>
          <w:rFonts w:asciiTheme="minorHAnsi" w:hAnsiTheme="minorHAnsi" w:cs="Calibri"/>
        </w:rPr>
        <w:t>ACCI</w:t>
      </w:r>
      <w:proofErr w:type="spellEnd"/>
      <w:r w:rsidRPr="001D1CD5">
        <w:rPr>
          <w:rFonts w:asciiTheme="minorHAnsi" w:hAnsiTheme="minorHAnsi" w:cs="Calibri"/>
        </w:rPr>
        <w:t xml:space="preserve"> and the </w:t>
      </w:r>
      <w:proofErr w:type="spellStart"/>
      <w:r w:rsidRPr="001D1CD5">
        <w:rPr>
          <w:rFonts w:asciiTheme="minorHAnsi" w:hAnsiTheme="minorHAnsi" w:cs="Calibri"/>
        </w:rPr>
        <w:t>ACTU</w:t>
      </w:r>
      <w:proofErr w:type="spellEnd"/>
      <w:r w:rsidRPr="001D1CD5">
        <w:rPr>
          <w:rFonts w:asciiTheme="minorHAnsi" w:hAnsiTheme="minorHAnsi" w:cs="Calibri"/>
        </w:rPr>
        <w:t xml:space="preserve">) on candidates that the Government is proposing to appoint.  The peak councils have a deep involvement in the workplace relations system and daily contact with the </w:t>
      </w:r>
      <w:proofErr w:type="spellStart"/>
      <w:r w:rsidRPr="001D1CD5">
        <w:rPr>
          <w:rFonts w:asciiTheme="minorHAnsi" w:hAnsiTheme="minorHAnsi" w:cs="Calibri"/>
        </w:rPr>
        <w:t>FWC</w:t>
      </w:r>
      <w:proofErr w:type="spellEnd"/>
      <w:r w:rsidRPr="001D1CD5">
        <w:rPr>
          <w:rFonts w:asciiTheme="minorHAnsi" w:hAnsiTheme="minorHAnsi" w:cs="Calibri"/>
        </w:rPr>
        <w:t>. They are particularly well-placed to identify any problems with any particular candidate that the Government is proposing to appoint, and their views should be considered before the Government makes a final decision.</w:t>
      </w:r>
    </w:p>
    <w:p w14:paraId="0E65434F" w14:textId="77777777" w:rsidR="006426A0" w:rsidRPr="001D1CD5" w:rsidRDefault="006426A0" w:rsidP="00371EDD">
      <w:pPr>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cs="Calibri"/>
        </w:rPr>
      </w:pPr>
      <w:r w:rsidRPr="001D1CD5">
        <w:rPr>
          <w:rFonts w:asciiTheme="minorHAnsi" w:hAnsiTheme="minorHAnsi" w:cs="Calibri"/>
        </w:rPr>
        <w:t xml:space="preserve">The Government should ensure that over time a roughly equal number of </w:t>
      </w:r>
      <w:proofErr w:type="spellStart"/>
      <w:r w:rsidRPr="001D1CD5">
        <w:rPr>
          <w:rFonts w:asciiTheme="minorHAnsi" w:hAnsiTheme="minorHAnsi" w:cs="Calibri"/>
        </w:rPr>
        <w:t>FWC</w:t>
      </w:r>
      <w:proofErr w:type="spellEnd"/>
      <w:r w:rsidRPr="001D1CD5">
        <w:rPr>
          <w:rFonts w:asciiTheme="minorHAnsi" w:hAnsiTheme="minorHAnsi" w:cs="Calibri"/>
        </w:rPr>
        <w:t xml:space="preserve"> Members with an employer and union background are appointed.</w:t>
      </w:r>
    </w:p>
    <w:p w14:paraId="5DD3EA2A" w14:textId="77777777" w:rsidR="006426A0" w:rsidRPr="001D1CD5" w:rsidRDefault="006426A0" w:rsidP="00371EDD">
      <w:pPr>
        <w:spacing w:after="240" w:line="276" w:lineRule="auto"/>
        <w:jc w:val="both"/>
        <w:rPr>
          <w:rFonts w:asciiTheme="minorHAnsi" w:hAnsiTheme="minorHAnsi" w:cs="Calibri"/>
        </w:rPr>
      </w:pPr>
      <w:r w:rsidRPr="001D1CD5">
        <w:rPr>
          <w:rFonts w:asciiTheme="minorHAnsi" w:hAnsiTheme="minorHAnsi" w:cs="Calibri"/>
        </w:rPr>
        <w:t xml:space="preserve">With regard to the Productivity Commission’s recommendation that a performance review process should be implemented for </w:t>
      </w:r>
      <w:proofErr w:type="spellStart"/>
      <w:r w:rsidRPr="001D1CD5">
        <w:rPr>
          <w:rFonts w:asciiTheme="minorHAnsi" w:hAnsiTheme="minorHAnsi" w:cs="Calibri"/>
        </w:rPr>
        <w:t>FWC</w:t>
      </w:r>
      <w:proofErr w:type="spellEnd"/>
      <w:r w:rsidRPr="001D1CD5">
        <w:rPr>
          <w:rFonts w:asciiTheme="minorHAnsi" w:hAnsiTheme="minorHAnsi" w:cs="Calibri"/>
        </w:rPr>
        <w:t xml:space="preserve"> Members, Ai Group does not oppose the establishment of highly objective criteria against which the performance of </w:t>
      </w:r>
      <w:proofErr w:type="spellStart"/>
      <w:r w:rsidRPr="001D1CD5">
        <w:rPr>
          <w:rFonts w:asciiTheme="minorHAnsi" w:hAnsiTheme="minorHAnsi" w:cs="Calibri"/>
        </w:rPr>
        <w:t>FWC</w:t>
      </w:r>
      <w:proofErr w:type="spellEnd"/>
      <w:r w:rsidRPr="001D1CD5">
        <w:rPr>
          <w:rFonts w:asciiTheme="minorHAnsi" w:hAnsiTheme="minorHAnsi" w:cs="Calibri"/>
        </w:rPr>
        <w:t xml:space="preserve"> Members could be validly assessed, and the publication of annual performance results for each Member, such as:</w:t>
      </w:r>
    </w:p>
    <w:p w14:paraId="25CB3D81" w14:textId="77777777" w:rsidR="006426A0" w:rsidRPr="001D1CD5" w:rsidRDefault="006426A0" w:rsidP="00371EDD">
      <w:pPr>
        <w:pStyle w:val="ListParagraph"/>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cs="Calibri"/>
        </w:rPr>
      </w:pPr>
      <w:r w:rsidRPr="001D1CD5">
        <w:rPr>
          <w:rFonts w:asciiTheme="minorHAnsi" w:hAnsiTheme="minorHAnsi" w:cs="Calibri"/>
        </w:rPr>
        <w:t>The number of times each Member’s decisions have been overturned on appeal in the 12 month period;</w:t>
      </w:r>
    </w:p>
    <w:p w14:paraId="01033517" w14:textId="77777777" w:rsidR="006426A0" w:rsidRPr="001D1CD5" w:rsidRDefault="006426A0" w:rsidP="00371EDD">
      <w:pPr>
        <w:pStyle w:val="ListParagraph"/>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cs="Calibri"/>
        </w:rPr>
      </w:pPr>
      <w:r w:rsidRPr="001D1CD5">
        <w:rPr>
          <w:rFonts w:asciiTheme="minorHAnsi" w:hAnsiTheme="minorHAnsi" w:cs="Calibri"/>
        </w:rPr>
        <w:lastRenderedPageBreak/>
        <w:t xml:space="preserve">Whether or not each Member met the benchmark that the </w:t>
      </w:r>
      <w:proofErr w:type="spellStart"/>
      <w:r w:rsidRPr="001D1CD5">
        <w:rPr>
          <w:rFonts w:asciiTheme="minorHAnsi" w:hAnsiTheme="minorHAnsi" w:cs="Calibri"/>
        </w:rPr>
        <w:t>FWC</w:t>
      </w:r>
      <w:proofErr w:type="spellEnd"/>
      <w:r w:rsidRPr="001D1CD5">
        <w:rPr>
          <w:rFonts w:asciiTheme="minorHAnsi" w:hAnsiTheme="minorHAnsi" w:cs="Calibri"/>
        </w:rPr>
        <w:t xml:space="preserve"> set regarding the handing down of decisions in a timely manner in the 12 month period.</w:t>
      </w:r>
    </w:p>
    <w:p w14:paraId="731861CF" w14:textId="72E08353" w:rsidR="006426A0" w:rsidRPr="001D1CD5" w:rsidRDefault="006426A0" w:rsidP="00371EDD">
      <w:pPr>
        <w:spacing w:after="240" w:line="276" w:lineRule="auto"/>
        <w:jc w:val="both"/>
        <w:rPr>
          <w:rFonts w:asciiTheme="minorHAnsi" w:hAnsiTheme="minorHAnsi" w:cs="Calibri"/>
        </w:rPr>
      </w:pPr>
      <w:r w:rsidRPr="001D1CD5">
        <w:rPr>
          <w:rFonts w:asciiTheme="minorHAnsi" w:hAnsiTheme="minorHAnsi" w:cs="Calibri"/>
        </w:rPr>
        <w:t xml:space="preserve">If the above information was made publicly available, </w:t>
      </w:r>
      <w:proofErr w:type="spellStart"/>
      <w:r w:rsidRPr="001D1CD5">
        <w:rPr>
          <w:rFonts w:asciiTheme="minorHAnsi" w:hAnsiTheme="minorHAnsi" w:cs="Calibri"/>
        </w:rPr>
        <w:t>FWC</w:t>
      </w:r>
      <w:proofErr w:type="spellEnd"/>
      <w:r w:rsidRPr="001D1CD5">
        <w:rPr>
          <w:rFonts w:asciiTheme="minorHAnsi" w:hAnsiTheme="minorHAnsi" w:cs="Calibri"/>
        </w:rPr>
        <w:t xml:space="preserve"> Members that are clearly not performing to an acceptable standard could be more easily identified and appropriate action taken by the President of the </w:t>
      </w:r>
      <w:proofErr w:type="spellStart"/>
      <w:r w:rsidRPr="001D1CD5">
        <w:rPr>
          <w:rFonts w:asciiTheme="minorHAnsi" w:hAnsiTheme="minorHAnsi" w:cs="Calibri"/>
        </w:rPr>
        <w:t>FWC</w:t>
      </w:r>
      <w:proofErr w:type="spellEnd"/>
      <w:r w:rsidRPr="001D1CD5">
        <w:rPr>
          <w:rFonts w:asciiTheme="minorHAnsi" w:hAnsiTheme="minorHAnsi" w:cs="Calibri"/>
        </w:rPr>
        <w:t xml:space="preserve"> </w:t>
      </w:r>
      <w:r w:rsidR="001A7B64">
        <w:rPr>
          <w:rFonts w:asciiTheme="minorHAnsi" w:hAnsiTheme="minorHAnsi" w:cs="Calibri"/>
        </w:rPr>
        <w:t xml:space="preserve">under </w:t>
      </w:r>
      <w:proofErr w:type="spellStart"/>
      <w:r w:rsidR="001A7B64">
        <w:rPr>
          <w:rFonts w:asciiTheme="minorHAnsi" w:hAnsiTheme="minorHAnsi" w:cs="Calibri"/>
        </w:rPr>
        <w:t>s.581A</w:t>
      </w:r>
      <w:proofErr w:type="spellEnd"/>
      <w:r w:rsidR="001A7B64">
        <w:rPr>
          <w:rFonts w:asciiTheme="minorHAnsi" w:hAnsiTheme="minorHAnsi" w:cs="Calibri"/>
        </w:rPr>
        <w:t xml:space="preserve">, the Minister under </w:t>
      </w:r>
      <w:proofErr w:type="spellStart"/>
      <w:r w:rsidR="001A7B64">
        <w:rPr>
          <w:rFonts w:asciiTheme="minorHAnsi" w:hAnsiTheme="minorHAnsi" w:cs="Calibri"/>
        </w:rPr>
        <w:t>s.641A</w:t>
      </w:r>
      <w:proofErr w:type="spellEnd"/>
      <w:r w:rsidR="001A7B64">
        <w:rPr>
          <w:rFonts w:asciiTheme="minorHAnsi" w:hAnsiTheme="minorHAnsi" w:cs="Calibri"/>
        </w:rPr>
        <w:t xml:space="preserve">, </w:t>
      </w:r>
      <w:r w:rsidRPr="001D1CD5">
        <w:rPr>
          <w:rFonts w:asciiTheme="minorHAnsi" w:hAnsiTheme="minorHAnsi" w:cs="Calibri"/>
        </w:rPr>
        <w:t xml:space="preserve">or the Commonwealth Parliament </w:t>
      </w:r>
      <w:r w:rsidR="001A7B64">
        <w:rPr>
          <w:rFonts w:asciiTheme="minorHAnsi" w:hAnsiTheme="minorHAnsi" w:cs="Calibri"/>
        </w:rPr>
        <w:t xml:space="preserve">under </w:t>
      </w:r>
      <w:proofErr w:type="spellStart"/>
      <w:r w:rsidR="001A7B64">
        <w:rPr>
          <w:rFonts w:asciiTheme="minorHAnsi" w:hAnsiTheme="minorHAnsi" w:cs="Calibri"/>
        </w:rPr>
        <w:t>ss.641</w:t>
      </w:r>
      <w:proofErr w:type="spellEnd"/>
      <w:r w:rsidR="001A7B64">
        <w:rPr>
          <w:rFonts w:asciiTheme="minorHAnsi" w:hAnsiTheme="minorHAnsi" w:cs="Calibri"/>
        </w:rPr>
        <w:t xml:space="preserve"> or 642</w:t>
      </w:r>
      <w:r w:rsidRPr="001D1CD5">
        <w:rPr>
          <w:rFonts w:asciiTheme="minorHAnsi" w:hAnsiTheme="minorHAnsi" w:cs="Calibri"/>
        </w:rPr>
        <w:t>.</w:t>
      </w:r>
    </w:p>
    <w:p w14:paraId="096D33B8" w14:textId="77777777" w:rsidR="006426A0" w:rsidRPr="001D1CD5" w:rsidRDefault="006426A0" w:rsidP="00371EDD">
      <w:pPr>
        <w:spacing w:after="240" w:line="276" w:lineRule="auto"/>
        <w:jc w:val="both"/>
        <w:rPr>
          <w:rFonts w:asciiTheme="minorHAnsi" w:hAnsiTheme="minorHAnsi" w:cs="Calibri"/>
        </w:rPr>
      </w:pPr>
      <w:r w:rsidRPr="001D1CD5">
        <w:rPr>
          <w:rFonts w:asciiTheme="minorHAnsi" w:hAnsiTheme="minorHAnsi" w:cs="Calibri"/>
        </w:rPr>
        <w:t xml:space="preserve">For the reasons outlined in section 3.1 above, Ai Group does not support Draft Recommendation 3.4. While greater diversity amongst </w:t>
      </w:r>
      <w:proofErr w:type="spellStart"/>
      <w:r w:rsidRPr="001D1CD5">
        <w:rPr>
          <w:rFonts w:asciiTheme="minorHAnsi" w:hAnsiTheme="minorHAnsi" w:cs="Calibri"/>
        </w:rPr>
        <w:t>FWC</w:t>
      </w:r>
      <w:proofErr w:type="spellEnd"/>
      <w:r w:rsidRPr="001D1CD5">
        <w:rPr>
          <w:rFonts w:asciiTheme="minorHAnsi" w:hAnsiTheme="minorHAnsi" w:cs="Calibri"/>
        </w:rPr>
        <w:t xml:space="preserve"> Members would be worthwhile, all persons who are appointed need to have an excellent knowledge of industrial laws and practices. They also need to have demonstrated fairness, wisdom and practicality during their careers. These skills are necessary for award matters, as well as other matters handled by the </w:t>
      </w:r>
      <w:proofErr w:type="spellStart"/>
      <w:r w:rsidRPr="001D1CD5">
        <w:rPr>
          <w:rFonts w:asciiTheme="minorHAnsi" w:hAnsiTheme="minorHAnsi" w:cs="Calibri"/>
        </w:rPr>
        <w:t>FWC</w:t>
      </w:r>
      <w:proofErr w:type="spellEnd"/>
      <w:r w:rsidRPr="001D1CD5">
        <w:rPr>
          <w:rFonts w:asciiTheme="minorHAnsi" w:hAnsiTheme="minorHAnsi" w:cs="Calibri"/>
        </w:rPr>
        <w:t xml:space="preserve">.  </w:t>
      </w:r>
    </w:p>
    <w:p w14:paraId="3D65DFE7" w14:textId="77777777" w:rsidR="006426A0" w:rsidRPr="001D1CD5" w:rsidRDefault="006426A0" w:rsidP="006426A0">
      <w:pPr>
        <w:pStyle w:val="ListParagraph"/>
        <w:spacing w:after="240"/>
        <w:ind w:left="0"/>
        <w:rPr>
          <w:rFonts w:asciiTheme="minorHAnsi" w:hAnsiTheme="minorHAnsi"/>
          <w:b/>
          <w:color w:val="451E51"/>
          <w:sz w:val="28"/>
          <w:szCs w:val="28"/>
        </w:rPr>
      </w:pPr>
      <w:r w:rsidRPr="001D1CD5">
        <w:rPr>
          <w:rFonts w:asciiTheme="minorHAnsi" w:hAnsiTheme="minorHAnsi"/>
          <w:b/>
          <w:color w:val="451E51"/>
          <w:sz w:val="28"/>
          <w:szCs w:val="28"/>
        </w:rPr>
        <w:t>3.3</w:t>
      </w:r>
      <w:r w:rsidRPr="001D1CD5">
        <w:rPr>
          <w:rFonts w:asciiTheme="minorHAnsi" w:hAnsiTheme="minorHAnsi"/>
          <w:b/>
          <w:color w:val="451E51"/>
          <w:sz w:val="28"/>
          <w:szCs w:val="28"/>
        </w:rPr>
        <w:tab/>
        <w:t>Improving conciliation processes and transparency</w:t>
      </w:r>
    </w:p>
    <w:p w14:paraId="65FFC2F3" w14:textId="51BCE124" w:rsidR="00395AA1" w:rsidRPr="001D1CD5" w:rsidRDefault="006426A0" w:rsidP="006426A0">
      <w:pPr>
        <w:spacing w:after="240" w:line="276" w:lineRule="auto"/>
        <w:jc w:val="both"/>
        <w:rPr>
          <w:rFonts w:ascii="Calibri" w:hAnsi="Calibri" w:cs="Calibri"/>
        </w:rPr>
      </w:pPr>
      <w:r w:rsidRPr="001D1CD5">
        <w:rPr>
          <w:rFonts w:ascii="Calibri" w:hAnsi="Calibri" w:cs="Calibri"/>
        </w:rPr>
        <w:t xml:space="preserve">Ai Group supports Draft Recommendation 3.5 which would require the </w:t>
      </w:r>
      <w:proofErr w:type="spellStart"/>
      <w:r w:rsidRPr="001D1CD5">
        <w:rPr>
          <w:rFonts w:ascii="Calibri" w:hAnsi="Calibri" w:cs="Calibri"/>
        </w:rPr>
        <w:t>FWC</w:t>
      </w:r>
      <w:proofErr w:type="spellEnd"/>
      <w:r w:rsidRPr="001D1CD5">
        <w:rPr>
          <w:rFonts w:ascii="Calibri" w:hAnsi="Calibri" w:cs="Calibri"/>
        </w:rPr>
        <w:t xml:space="preserve"> to publish more detailed information about conciliation outcomes and processes, and to commission an independent review of these matters.</w:t>
      </w:r>
    </w:p>
    <w:p w14:paraId="6C4DEED3" w14:textId="77777777" w:rsidR="00BF60F6" w:rsidRPr="001D1CD5" w:rsidRDefault="001E3422" w:rsidP="00BF60F6">
      <w:pPr>
        <w:pStyle w:val="Heading1"/>
        <w:spacing w:before="0" w:after="240" w:line="276" w:lineRule="auto"/>
        <w:ind w:left="709" w:hanging="709"/>
        <w:rPr>
          <w:rFonts w:asciiTheme="minorHAnsi" w:eastAsia="Calibri" w:hAnsiTheme="minorHAnsi" w:cs="Calibri"/>
          <w:color w:val="451E51"/>
          <w:sz w:val="36"/>
          <w:szCs w:val="36"/>
          <w:u w:color="0070C0"/>
          <w:lang w:eastAsia="en-AU"/>
        </w:rPr>
      </w:pPr>
      <w:bookmarkStart w:id="4" w:name="_Toc413853144"/>
      <w:r w:rsidRPr="001D1CD5">
        <w:rPr>
          <w:rFonts w:asciiTheme="minorHAnsi" w:eastAsia="Calibri" w:hAnsiTheme="minorHAnsi" w:cs="Calibri"/>
          <w:color w:val="451E51"/>
          <w:sz w:val="36"/>
          <w:szCs w:val="36"/>
          <w:u w:color="0070C0"/>
          <w:lang w:eastAsia="en-AU"/>
        </w:rPr>
        <w:t>4.</w:t>
      </w:r>
      <w:r w:rsidRPr="001D1CD5">
        <w:rPr>
          <w:rFonts w:asciiTheme="minorHAnsi" w:eastAsia="Calibri" w:hAnsiTheme="minorHAnsi" w:cs="Calibri"/>
          <w:color w:val="451E51"/>
          <w:sz w:val="36"/>
          <w:szCs w:val="36"/>
          <w:u w:color="0070C0"/>
          <w:lang w:eastAsia="en-AU"/>
        </w:rPr>
        <w:tab/>
      </w:r>
      <w:bookmarkEnd w:id="4"/>
      <w:r w:rsidR="00D979F2" w:rsidRPr="001D1CD5">
        <w:rPr>
          <w:rFonts w:asciiTheme="minorHAnsi" w:eastAsia="Calibri" w:hAnsiTheme="minorHAnsi" w:cs="Calibri"/>
          <w:color w:val="451E51"/>
          <w:sz w:val="36"/>
          <w:szCs w:val="36"/>
          <w:u w:color="0070C0"/>
          <w:lang w:eastAsia="en-AU"/>
        </w:rPr>
        <w:t>National Employment Standards</w:t>
      </w:r>
    </w:p>
    <w:p w14:paraId="1027B2E7" w14:textId="379058F4" w:rsidR="00902ED7" w:rsidRPr="001D1CD5" w:rsidRDefault="00C943B8" w:rsidP="00902ED7">
      <w:pPr>
        <w:pStyle w:val="Heading1"/>
        <w:spacing w:before="0" w:after="240" w:line="276" w:lineRule="auto"/>
        <w:ind w:left="709" w:hanging="709"/>
        <w:jc w:val="both"/>
        <w:rPr>
          <w:rFonts w:asciiTheme="minorHAnsi" w:eastAsia="Calibri" w:hAnsiTheme="minorHAnsi" w:cs="Calibri"/>
          <w:color w:val="451E51"/>
          <w:lang w:eastAsia="en-AU"/>
        </w:rPr>
      </w:pPr>
      <w:bookmarkStart w:id="5" w:name="_Toc413853145"/>
      <w:bookmarkStart w:id="6" w:name="_Toc413853146"/>
      <w:r w:rsidRPr="001D1CD5">
        <w:rPr>
          <w:rFonts w:asciiTheme="minorHAnsi" w:eastAsia="Calibri" w:hAnsiTheme="minorHAnsi" w:cs="Calibri"/>
          <w:color w:val="451E51"/>
          <w:lang w:eastAsia="en-AU"/>
        </w:rPr>
        <w:t>4</w:t>
      </w:r>
      <w:r w:rsidR="00902ED7" w:rsidRPr="001D1CD5">
        <w:rPr>
          <w:rFonts w:asciiTheme="minorHAnsi" w:eastAsia="Calibri" w:hAnsiTheme="minorHAnsi" w:cs="Calibri"/>
          <w:color w:val="451E51"/>
          <w:lang w:eastAsia="en-AU"/>
        </w:rPr>
        <w:t xml:space="preserve">.1 </w:t>
      </w:r>
      <w:r w:rsidR="00902ED7" w:rsidRPr="001D1CD5">
        <w:rPr>
          <w:rFonts w:asciiTheme="minorHAnsi" w:eastAsia="Calibri" w:hAnsiTheme="minorHAnsi" w:cs="Calibri"/>
          <w:color w:val="451E51"/>
          <w:lang w:eastAsia="en-AU"/>
        </w:rPr>
        <w:tab/>
        <w:t>Portability of long service leave entitlement</w:t>
      </w:r>
      <w:r w:rsidR="00B0697A" w:rsidRPr="001D1CD5">
        <w:rPr>
          <w:rFonts w:asciiTheme="minorHAnsi" w:eastAsia="Calibri" w:hAnsiTheme="minorHAnsi" w:cs="Calibri"/>
          <w:color w:val="451E51"/>
          <w:lang w:eastAsia="en-AU"/>
        </w:rPr>
        <w:t>s</w:t>
      </w:r>
    </w:p>
    <w:p w14:paraId="5E06FEC4" w14:textId="0DDD53EE" w:rsidR="00902ED7" w:rsidRPr="001D1CD5" w:rsidRDefault="00902ED7" w:rsidP="00902ED7">
      <w:pPr>
        <w:spacing w:after="240" w:line="276" w:lineRule="auto"/>
        <w:jc w:val="both"/>
        <w:rPr>
          <w:rFonts w:asciiTheme="minorHAnsi" w:hAnsiTheme="minorHAnsi"/>
          <w:lang w:eastAsia="en-AU"/>
        </w:rPr>
      </w:pPr>
      <w:r w:rsidRPr="001D1CD5">
        <w:rPr>
          <w:rFonts w:asciiTheme="minorHAnsi" w:hAnsiTheme="minorHAnsi"/>
          <w:lang w:eastAsia="en-AU"/>
        </w:rPr>
        <w:t>Ai Group welcomes the fact that the Draft Report does not recommend the extension of portable long service leave entitlements beyond the existing schemes which operate in the construction and coal mining industries.</w:t>
      </w:r>
    </w:p>
    <w:p w14:paraId="1BF533C7" w14:textId="3B46EBE3" w:rsidR="00902ED7" w:rsidRPr="001D1CD5" w:rsidRDefault="00902ED7" w:rsidP="00902ED7">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cs="Arial"/>
          <w:lang w:val="en-AU"/>
        </w:rPr>
      </w:pPr>
      <w:r w:rsidRPr="001D1CD5">
        <w:rPr>
          <w:rFonts w:asciiTheme="minorHAnsi" w:hAnsiTheme="minorHAnsi" w:cs="Arial"/>
          <w:lang w:val="en-AU"/>
        </w:rPr>
        <w:t xml:space="preserve">Ai Group very strongly opposes any extension of portable long service leave entitlements. </w:t>
      </w:r>
      <w:r w:rsidRPr="001D1CD5">
        <w:rPr>
          <w:rFonts w:asciiTheme="minorHAnsi" w:hAnsiTheme="minorHAnsi" w:cs="Arial"/>
        </w:rPr>
        <w:t xml:space="preserve">Portable long service leave schemes conflict with the fundamental purpose </w:t>
      </w:r>
      <w:r w:rsidRPr="001D1CD5">
        <w:rPr>
          <w:rFonts w:asciiTheme="minorHAnsi" w:hAnsiTheme="minorHAnsi" w:cs="Arial"/>
          <w:lang w:val="en-AU"/>
        </w:rPr>
        <w:t xml:space="preserve">of long service leave which is to reward an employee with a period of rest after a long period of loyal service with one employer. The focus of portable long service leave schemes is on an employee’s entitlement to a lump-sum payment, not on an entitlement to a period of rest.  </w:t>
      </w:r>
    </w:p>
    <w:p w14:paraId="2BED2340" w14:textId="202148B0" w:rsidR="00902ED7" w:rsidRPr="001D1CD5" w:rsidRDefault="00902ED7" w:rsidP="00902ED7">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cs="Arial"/>
          <w:lang w:val="en-AU"/>
        </w:rPr>
      </w:pPr>
      <w:r w:rsidRPr="001D1CD5">
        <w:rPr>
          <w:rFonts w:asciiTheme="minorHAnsi" w:hAnsiTheme="minorHAnsi" w:cs="Arial"/>
          <w:lang w:val="en-AU"/>
        </w:rPr>
        <w:t xml:space="preserve">Extending portable long service leave entitlements to other industries would be very damaging for industry. </w:t>
      </w:r>
    </w:p>
    <w:p w14:paraId="4981B612" w14:textId="64A8016E" w:rsidR="00E61BC4" w:rsidRDefault="00902ED7" w:rsidP="00E61BC4">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cs="Arial"/>
          <w:lang w:val="en-AU"/>
        </w:rPr>
      </w:pPr>
      <w:r w:rsidRPr="001D1CD5">
        <w:rPr>
          <w:rFonts w:asciiTheme="minorHAnsi" w:hAnsiTheme="minorHAnsi" w:cs="Arial"/>
          <w:lang w:val="en-AU"/>
        </w:rPr>
        <w:t xml:space="preserve">In a recent </w:t>
      </w:r>
      <w:hyperlink r:id="rId10" w:history="1">
        <w:r w:rsidRPr="00876A6F">
          <w:rPr>
            <w:rStyle w:val="Hyperlink"/>
            <w:rFonts w:asciiTheme="minorHAnsi" w:hAnsiTheme="minorHAnsi" w:cs="Arial"/>
            <w:color w:val="0070C0"/>
            <w:lang w:val="en-AU"/>
          </w:rPr>
          <w:t>submission</w:t>
        </w:r>
      </w:hyperlink>
      <w:r w:rsidRPr="001D1CD5">
        <w:rPr>
          <w:rFonts w:asciiTheme="minorHAnsi" w:hAnsiTheme="minorHAnsi" w:cs="Arial"/>
          <w:lang w:val="en-AU"/>
        </w:rPr>
        <w:t xml:space="preserve"> to the Victorian Parliamentary Inquiry into the Portability of Long Service Leave Entitlements, an analysis of the costs of portable long service leave schemes is set out. The analysis highlights that portable long service leave schemes are four times as costly as traditional long service leave schemes and the imposition of a levy across the Victorian workforce of the same magnitude as the existing levy in the Victorian Construction Industry Portable Long Service Leave Scheme would cost Victorian employ</w:t>
      </w:r>
      <w:r w:rsidR="00E61BC4">
        <w:rPr>
          <w:rFonts w:asciiTheme="minorHAnsi" w:hAnsiTheme="minorHAnsi" w:cs="Arial"/>
          <w:lang w:val="en-AU"/>
        </w:rPr>
        <w:t xml:space="preserve">ers over $4 billion per annum. </w:t>
      </w:r>
    </w:p>
    <w:p w14:paraId="243BB8EA" w14:textId="77777777" w:rsidR="00E61BC4" w:rsidRDefault="00E61BC4">
      <w:pPr>
        <w:rPr>
          <w:rFonts w:asciiTheme="minorHAnsi" w:hAnsiTheme="minorHAnsi" w:cs="Arial"/>
          <w:lang w:val="en-AU"/>
        </w:rPr>
      </w:pPr>
      <w:r>
        <w:rPr>
          <w:rFonts w:asciiTheme="minorHAnsi" w:hAnsiTheme="minorHAnsi" w:cs="Arial"/>
          <w:lang w:val="en-AU"/>
        </w:rPr>
        <w:br w:type="page"/>
      </w:r>
    </w:p>
    <w:p w14:paraId="6A2B7C61" w14:textId="1C4BD51F" w:rsidR="00902ED7" w:rsidRPr="001D1CD5" w:rsidRDefault="00902ED7" w:rsidP="00902ED7">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cs="Arial"/>
          <w:lang w:val="en-AU"/>
        </w:rPr>
      </w:pPr>
      <w:r w:rsidRPr="001D1CD5">
        <w:rPr>
          <w:rFonts w:asciiTheme="minorHAnsi" w:hAnsiTheme="minorHAnsi" w:cs="Arial"/>
          <w:lang w:val="en-AU"/>
        </w:rPr>
        <w:lastRenderedPageBreak/>
        <w:t>Regular long service leave in Victoria costs less than a quarter (approximately $927 million) of this $4 billion annual cost. Long service leave currently costs Victorian employers in the manufacturing industry around $115 million per year, which is about a quarter of the $458 million per year cost of a portable long service leave scheme</w:t>
      </w:r>
      <w:r w:rsidR="00876A6F">
        <w:rPr>
          <w:rFonts w:asciiTheme="minorHAnsi" w:hAnsiTheme="minorHAnsi" w:cs="Arial"/>
          <w:lang w:val="en-AU"/>
        </w:rPr>
        <w:t xml:space="preserve"> in the industry</w:t>
      </w:r>
      <w:r w:rsidRPr="001D1CD5">
        <w:rPr>
          <w:rFonts w:asciiTheme="minorHAnsi" w:hAnsiTheme="minorHAnsi" w:cs="Arial"/>
          <w:lang w:val="en-AU"/>
        </w:rPr>
        <w:t>. For employers in the health care and social assistance industry, the current long service leave cost is $82 million per year which is less than a quarter of the $358 million per year cost of portable long service leave</w:t>
      </w:r>
      <w:r w:rsidR="00876A6F">
        <w:rPr>
          <w:rFonts w:asciiTheme="minorHAnsi" w:hAnsiTheme="minorHAnsi" w:cs="Arial"/>
          <w:lang w:val="en-AU"/>
        </w:rPr>
        <w:t xml:space="preserve"> in the industry</w:t>
      </w:r>
      <w:r w:rsidRPr="001D1CD5">
        <w:rPr>
          <w:rFonts w:asciiTheme="minorHAnsi" w:hAnsiTheme="minorHAnsi" w:cs="Arial"/>
          <w:lang w:val="en-AU"/>
        </w:rPr>
        <w:t>.</w:t>
      </w:r>
    </w:p>
    <w:p w14:paraId="02E03BDA" w14:textId="7EFDDC25" w:rsidR="00902ED7" w:rsidRPr="001D1CD5" w:rsidRDefault="00902ED7" w:rsidP="00902ED7">
      <w:pPr>
        <w:pStyle w:val="BodyText"/>
        <w:widowControl w:val="0"/>
        <w:spacing w:after="240" w:line="276" w:lineRule="auto"/>
        <w:jc w:val="both"/>
        <w:rPr>
          <w:rFonts w:asciiTheme="minorHAnsi" w:hAnsiTheme="minorHAnsi" w:cs="Arial"/>
        </w:rPr>
      </w:pPr>
      <w:r w:rsidRPr="001D1CD5">
        <w:rPr>
          <w:rFonts w:asciiTheme="minorHAnsi" w:hAnsiTheme="minorHAnsi" w:cs="Arial"/>
        </w:rPr>
        <w:t xml:space="preserve">The </w:t>
      </w:r>
      <w:r w:rsidR="00876A6F">
        <w:rPr>
          <w:rFonts w:asciiTheme="minorHAnsi" w:hAnsiTheme="minorHAnsi" w:cs="Arial"/>
        </w:rPr>
        <w:t>regular</w:t>
      </w:r>
      <w:r w:rsidRPr="001D1CD5">
        <w:rPr>
          <w:rFonts w:asciiTheme="minorHAnsi" w:hAnsiTheme="minorHAnsi" w:cs="Arial"/>
        </w:rPr>
        <w:t xml:space="preserve"> long service leave laws already impose a significant cost burden on Australian employers and reduce international competitiveness, without the imposition of the major cost burden of portable long service leave entitlements.  When long service leave was widely introduced in Australia in the </w:t>
      </w:r>
      <w:proofErr w:type="spellStart"/>
      <w:r w:rsidRPr="001D1CD5">
        <w:rPr>
          <w:rFonts w:asciiTheme="minorHAnsi" w:hAnsiTheme="minorHAnsi" w:cs="Arial"/>
        </w:rPr>
        <w:t>1950s</w:t>
      </w:r>
      <w:proofErr w:type="spellEnd"/>
      <w:r w:rsidRPr="001D1CD5">
        <w:rPr>
          <w:rFonts w:asciiTheme="minorHAnsi" w:hAnsiTheme="minorHAnsi" w:cs="Arial"/>
        </w:rPr>
        <w:t xml:space="preserve">, Australia’s economy operated behind high tariff barriers. Today, Australia has one of the most open economies in the world and international competitive pressures are intense. </w:t>
      </w:r>
    </w:p>
    <w:p w14:paraId="4C5517F1" w14:textId="20FA4DD1" w:rsidR="00902ED7" w:rsidRPr="001D1CD5" w:rsidRDefault="00902ED7" w:rsidP="00B0697A">
      <w:pPr>
        <w:pStyle w:val="BodyText"/>
        <w:widowControl w:val="0"/>
        <w:spacing w:after="240" w:line="276" w:lineRule="auto"/>
        <w:jc w:val="both"/>
        <w:rPr>
          <w:rFonts w:asciiTheme="minorHAnsi" w:hAnsiTheme="minorHAnsi" w:cs="Arial"/>
        </w:rPr>
      </w:pPr>
      <w:r w:rsidRPr="001D1CD5">
        <w:rPr>
          <w:rFonts w:asciiTheme="minorHAnsi" w:hAnsiTheme="minorHAnsi" w:cs="Arial"/>
        </w:rPr>
        <w:t>The implementation of a portable long service leave scheme would, in effect, impose a massive new tax on employment through the imposition of a portable long service leave levy.</w:t>
      </w:r>
      <w:r w:rsidR="00B0697A" w:rsidRPr="001D1CD5">
        <w:rPr>
          <w:rFonts w:asciiTheme="minorHAnsi" w:hAnsiTheme="minorHAnsi" w:cs="Arial"/>
        </w:rPr>
        <w:t xml:space="preserve"> </w:t>
      </w:r>
      <w:r w:rsidRPr="001D1CD5">
        <w:rPr>
          <w:rFonts w:asciiTheme="minorHAnsi" w:hAnsiTheme="minorHAnsi" w:cs="Arial"/>
        </w:rPr>
        <w:t>The adverse impacts on firms would be felt through lower employment, downsizing and plant closures.</w:t>
      </w:r>
    </w:p>
    <w:p w14:paraId="7784639F" w14:textId="18C465BA" w:rsidR="00902ED7" w:rsidRPr="001D1CD5" w:rsidRDefault="00902ED7" w:rsidP="00902ED7">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35"/>
        </w:tabs>
        <w:spacing w:after="240" w:line="276" w:lineRule="auto"/>
        <w:ind w:left="0"/>
        <w:jc w:val="both"/>
        <w:rPr>
          <w:rFonts w:asciiTheme="minorHAnsi" w:hAnsiTheme="minorHAnsi" w:cs="Arial"/>
          <w:lang w:val="en-AU"/>
        </w:rPr>
      </w:pPr>
      <w:r w:rsidRPr="001D1CD5">
        <w:rPr>
          <w:rFonts w:asciiTheme="minorHAnsi" w:hAnsiTheme="minorHAnsi" w:cs="Arial"/>
          <w:lang w:val="en-AU"/>
        </w:rPr>
        <w:t>Long service leave which accrues in the</w:t>
      </w:r>
      <w:r w:rsidR="00876A6F">
        <w:rPr>
          <w:rFonts w:asciiTheme="minorHAnsi" w:hAnsiTheme="minorHAnsi" w:cs="Arial"/>
          <w:lang w:val="en-AU"/>
        </w:rPr>
        <w:t xml:space="preserve"> regular</w:t>
      </w:r>
      <w:r w:rsidRPr="001D1CD5">
        <w:rPr>
          <w:rFonts w:asciiTheme="minorHAnsi" w:hAnsiTheme="minorHAnsi" w:cs="Arial"/>
          <w:lang w:val="en-AU"/>
        </w:rPr>
        <w:t xml:space="preserve"> way provides a significant benefit to employees and may provide some benefit to employers. There is an incentive for employees to remain with their existing employer and hence the employer may benefit from lower turnover. In contrast, portable long service leave does not provide a benefit to employers; it simply imposes a substantial cost burden. Portable long service leave schemes provide no incentive to employees to remain with their current employers. An employer may spend several years providing professional support and development to a worker only to lose them to another employer. </w:t>
      </w:r>
    </w:p>
    <w:p w14:paraId="62016AD0" w14:textId="232DEAB8" w:rsidR="00902ED7" w:rsidRPr="001D1CD5" w:rsidRDefault="00B0697A" w:rsidP="00902ED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35"/>
        </w:tabs>
        <w:spacing w:after="240" w:line="276" w:lineRule="auto"/>
        <w:jc w:val="both"/>
        <w:rPr>
          <w:rFonts w:asciiTheme="minorHAnsi" w:hAnsiTheme="minorHAnsi" w:cs="Arial"/>
          <w:lang w:val="en-AU"/>
        </w:rPr>
      </w:pPr>
      <w:r w:rsidRPr="001D1CD5">
        <w:rPr>
          <w:rFonts w:asciiTheme="minorHAnsi" w:hAnsiTheme="minorHAnsi" w:cs="Arial"/>
          <w:lang w:val="en-AU"/>
        </w:rPr>
        <w:t xml:space="preserve">The </w:t>
      </w:r>
      <w:r w:rsidR="00902ED7" w:rsidRPr="001D1CD5">
        <w:rPr>
          <w:rFonts w:asciiTheme="minorHAnsi" w:hAnsiTheme="minorHAnsi" w:cs="Arial"/>
          <w:lang w:val="en-AU"/>
        </w:rPr>
        <w:t xml:space="preserve">ABS statistics </w:t>
      </w:r>
      <w:r w:rsidRPr="001D1CD5">
        <w:rPr>
          <w:rFonts w:asciiTheme="minorHAnsi" w:hAnsiTheme="minorHAnsi" w:cs="Arial"/>
          <w:lang w:val="en-AU"/>
        </w:rPr>
        <w:t xml:space="preserve">cited in Ai Group’s submission to the Victorian inquiry </w:t>
      </w:r>
      <w:r w:rsidR="00902ED7" w:rsidRPr="001D1CD5">
        <w:rPr>
          <w:rFonts w:asciiTheme="minorHAnsi" w:hAnsiTheme="minorHAnsi" w:cs="Arial"/>
          <w:lang w:val="en-AU"/>
        </w:rPr>
        <w:t xml:space="preserve">show that 25 per cent of employees have remained with the one employer for at least 10 years and a further 19 per cent have remained with one employer between five to 10 years. Workers are less likely to move between jobs as they age and the median age of workers is increasing in Australia. The ABS statistics demonstrate that there is no justification to extend portable long service leave entitlements into other industries. </w:t>
      </w:r>
    </w:p>
    <w:p w14:paraId="632A76D9" w14:textId="447A4BC9" w:rsidR="00902ED7" w:rsidRPr="001D1CD5" w:rsidRDefault="00902ED7" w:rsidP="00902ED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35"/>
        </w:tabs>
        <w:spacing w:after="240" w:line="276" w:lineRule="auto"/>
        <w:jc w:val="both"/>
        <w:rPr>
          <w:rFonts w:asciiTheme="minorHAnsi" w:hAnsiTheme="minorHAnsi" w:cs="Arial"/>
          <w:lang w:val="en-AU"/>
        </w:rPr>
      </w:pPr>
      <w:r w:rsidRPr="001D1CD5">
        <w:rPr>
          <w:rFonts w:asciiTheme="minorHAnsi" w:hAnsiTheme="minorHAnsi" w:cs="Arial"/>
          <w:lang w:val="en-AU"/>
        </w:rPr>
        <w:t xml:space="preserve">Also, arguments by unions that portability of long service leave is warranted because of the alleged casualization of the workforce are false and misleading. The proportion of persons who are working on a casual basis has been reasonably stable for the past 17 years at 19-20 per cent of workers. </w:t>
      </w:r>
      <w:r w:rsidR="00B0697A" w:rsidRPr="001D1CD5">
        <w:rPr>
          <w:rFonts w:asciiTheme="minorHAnsi" w:hAnsiTheme="minorHAnsi" w:cs="Arial"/>
          <w:lang w:val="en-AU"/>
        </w:rPr>
        <w:t xml:space="preserve"> In any event, </w:t>
      </w:r>
      <w:r w:rsidRPr="001D1CD5">
        <w:rPr>
          <w:rFonts w:asciiTheme="minorHAnsi" w:hAnsiTheme="minorHAnsi" w:cs="Arial"/>
          <w:lang w:val="en-AU"/>
        </w:rPr>
        <w:t xml:space="preserve">long-term casuals </w:t>
      </w:r>
      <w:r w:rsidR="00B0697A" w:rsidRPr="001D1CD5">
        <w:rPr>
          <w:rFonts w:asciiTheme="minorHAnsi" w:hAnsiTheme="minorHAnsi" w:cs="Arial"/>
          <w:lang w:val="en-AU"/>
        </w:rPr>
        <w:t>are typically</w:t>
      </w:r>
      <w:r w:rsidRPr="001D1CD5">
        <w:rPr>
          <w:rFonts w:asciiTheme="minorHAnsi" w:hAnsiTheme="minorHAnsi" w:cs="Arial"/>
          <w:lang w:val="en-AU"/>
        </w:rPr>
        <w:t xml:space="preserve"> entitled to long service leave in the </w:t>
      </w:r>
      <w:r w:rsidR="00876A6F">
        <w:rPr>
          <w:rFonts w:asciiTheme="minorHAnsi" w:hAnsiTheme="minorHAnsi" w:cs="Arial"/>
          <w:lang w:val="en-AU"/>
        </w:rPr>
        <w:t xml:space="preserve">regular </w:t>
      </w:r>
      <w:r w:rsidRPr="001D1CD5">
        <w:rPr>
          <w:rFonts w:asciiTheme="minorHAnsi" w:hAnsiTheme="minorHAnsi" w:cs="Arial"/>
          <w:lang w:val="en-AU"/>
        </w:rPr>
        <w:t xml:space="preserve">way. Also, workers employed on a casual basis are entitled to a 25 per cent loading to compensate for the inability of some casuals to not accrue long service. </w:t>
      </w:r>
    </w:p>
    <w:p w14:paraId="1FDD5612" w14:textId="47884461" w:rsidR="0061373E" w:rsidRPr="001D1CD5" w:rsidRDefault="0061373E" w:rsidP="0061373E">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cs="Arial"/>
          <w:lang w:val="en-AU"/>
        </w:rPr>
      </w:pPr>
      <w:r w:rsidRPr="001D1CD5">
        <w:rPr>
          <w:rFonts w:asciiTheme="minorHAnsi" w:hAnsiTheme="minorHAnsi"/>
        </w:rPr>
        <w:t>With regard to the idea of adding an extra two days to th</w:t>
      </w:r>
      <w:r w:rsidR="0091383E" w:rsidRPr="001D1CD5">
        <w:rPr>
          <w:rFonts w:asciiTheme="minorHAnsi" w:hAnsiTheme="minorHAnsi"/>
        </w:rPr>
        <w:t xml:space="preserve">e </w:t>
      </w:r>
      <w:r w:rsidR="00876A6F" w:rsidRPr="001D1CD5">
        <w:rPr>
          <w:rFonts w:asciiTheme="minorHAnsi" w:hAnsiTheme="minorHAnsi"/>
        </w:rPr>
        <w:t xml:space="preserve">National Employment Standards </w:t>
      </w:r>
      <w:r w:rsidR="00876A6F">
        <w:rPr>
          <w:rFonts w:asciiTheme="minorHAnsi" w:hAnsiTheme="minorHAnsi"/>
        </w:rPr>
        <w:t>(</w:t>
      </w:r>
      <w:proofErr w:type="spellStart"/>
      <w:r w:rsidR="0091383E" w:rsidRPr="00876A6F">
        <w:rPr>
          <w:rFonts w:asciiTheme="minorHAnsi" w:hAnsiTheme="minorHAnsi"/>
          <w:b/>
        </w:rPr>
        <w:t>NES</w:t>
      </w:r>
      <w:proofErr w:type="spellEnd"/>
      <w:r w:rsidR="00876A6F">
        <w:rPr>
          <w:rFonts w:asciiTheme="minorHAnsi" w:hAnsiTheme="minorHAnsi"/>
        </w:rPr>
        <w:t>)</w:t>
      </w:r>
      <w:r w:rsidR="0091383E" w:rsidRPr="001D1CD5">
        <w:rPr>
          <w:rFonts w:asciiTheme="minorHAnsi" w:hAnsiTheme="minorHAnsi"/>
        </w:rPr>
        <w:t xml:space="preserve"> annual leave entitlement </w:t>
      </w:r>
      <w:r w:rsidRPr="001D1CD5">
        <w:rPr>
          <w:rFonts w:asciiTheme="minorHAnsi" w:hAnsiTheme="minorHAnsi"/>
        </w:rPr>
        <w:t xml:space="preserve">in lieu of portable long service leave, as mentioned on page 178 of the Draft Report, Ai Group Members have widely expressed the view that this would not be practicable. Despite employers incurring the substantial cost of the additional </w:t>
      </w:r>
      <w:proofErr w:type="spellStart"/>
      <w:r w:rsidRPr="001D1CD5">
        <w:rPr>
          <w:rFonts w:asciiTheme="minorHAnsi" w:hAnsiTheme="minorHAnsi"/>
        </w:rPr>
        <w:t>NES</w:t>
      </w:r>
      <w:proofErr w:type="spellEnd"/>
      <w:r w:rsidRPr="001D1CD5">
        <w:rPr>
          <w:rFonts w:asciiTheme="minorHAnsi" w:hAnsiTheme="minorHAnsi"/>
        </w:rPr>
        <w:t xml:space="preserve"> annual leave entitlement, the unions would no doubt seek the retention of long service leave entitlements </w:t>
      </w:r>
      <w:r w:rsidRPr="001D1CD5">
        <w:rPr>
          <w:rFonts w:asciiTheme="minorHAnsi" w:hAnsiTheme="minorHAnsi"/>
        </w:rPr>
        <w:lastRenderedPageBreak/>
        <w:t>through enterprise agreements and State and Territory laws.</w:t>
      </w:r>
      <w:r w:rsidRPr="001D1CD5">
        <w:rPr>
          <w:rFonts w:asciiTheme="minorHAnsi" w:hAnsiTheme="minorHAnsi" w:cs="Arial"/>
          <w:lang w:val="en-AU"/>
        </w:rPr>
        <w:t xml:space="preserve"> </w:t>
      </w:r>
    </w:p>
    <w:p w14:paraId="3BD16C38" w14:textId="1166078D" w:rsidR="0061373E" w:rsidRPr="001D1CD5" w:rsidRDefault="0061373E" w:rsidP="00902ED7">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cs="Arial"/>
          <w:lang w:val="en-AU"/>
        </w:rPr>
      </w:pPr>
      <w:r w:rsidRPr="001D1CD5">
        <w:rPr>
          <w:rFonts w:asciiTheme="minorHAnsi" w:hAnsiTheme="minorHAnsi" w:cs="Arial"/>
          <w:lang w:val="en-AU"/>
        </w:rPr>
        <w:t xml:space="preserve">Ai Group urges the Productivity Committee to emphatically reject any extension of portable long service leave entitlements in its Final Report. </w:t>
      </w:r>
    </w:p>
    <w:p w14:paraId="3350CDE8" w14:textId="27CBE082" w:rsidR="00B0697A" w:rsidRPr="001D1CD5" w:rsidRDefault="00C943B8" w:rsidP="00B0697A">
      <w:pPr>
        <w:pStyle w:val="Heading1"/>
        <w:spacing w:before="0" w:after="240" w:line="276" w:lineRule="auto"/>
        <w:ind w:left="709" w:hanging="709"/>
        <w:jc w:val="both"/>
        <w:rPr>
          <w:rFonts w:asciiTheme="minorHAnsi" w:eastAsia="Calibri" w:hAnsiTheme="minorHAnsi" w:cs="Calibri"/>
          <w:color w:val="451E51"/>
          <w:lang w:eastAsia="en-AU"/>
        </w:rPr>
      </w:pPr>
      <w:r w:rsidRPr="001D1CD5">
        <w:rPr>
          <w:rFonts w:asciiTheme="minorHAnsi" w:eastAsia="Calibri" w:hAnsiTheme="minorHAnsi" w:cs="Calibri"/>
          <w:color w:val="451E51"/>
          <w:lang w:eastAsia="en-AU"/>
        </w:rPr>
        <w:t>4</w:t>
      </w:r>
      <w:r w:rsidR="00B0697A" w:rsidRPr="001D1CD5">
        <w:rPr>
          <w:rFonts w:asciiTheme="minorHAnsi" w:eastAsia="Calibri" w:hAnsiTheme="minorHAnsi" w:cs="Calibri"/>
          <w:color w:val="451E51"/>
          <w:lang w:eastAsia="en-AU"/>
        </w:rPr>
        <w:t xml:space="preserve">.2 </w:t>
      </w:r>
      <w:r w:rsidR="00B0697A" w:rsidRPr="001D1CD5">
        <w:rPr>
          <w:rFonts w:asciiTheme="minorHAnsi" w:eastAsia="Calibri" w:hAnsiTheme="minorHAnsi" w:cs="Calibri"/>
          <w:color w:val="451E51"/>
          <w:lang w:eastAsia="en-AU"/>
        </w:rPr>
        <w:tab/>
        <w:t xml:space="preserve">Towards a national uniform </w:t>
      </w:r>
      <w:r w:rsidR="0061373E" w:rsidRPr="001D1CD5">
        <w:rPr>
          <w:rFonts w:asciiTheme="minorHAnsi" w:eastAsia="Calibri" w:hAnsiTheme="minorHAnsi" w:cs="Calibri"/>
          <w:color w:val="451E51"/>
          <w:lang w:eastAsia="en-AU"/>
        </w:rPr>
        <w:t xml:space="preserve">long service leave </w:t>
      </w:r>
      <w:r w:rsidR="00B0697A" w:rsidRPr="001D1CD5">
        <w:rPr>
          <w:rFonts w:asciiTheme="minorHAnsi" w:eastAsia="Calibri" w:hAnsiTheme="minorHAnsi" w:cs="Calibri"/>
          <w:color w:val="451E51"/>
          <w:lang w:eastAsia="en-AU"/>
        </w:rPr>
        <w:t>standard</w:t>
      </w:r>
    </w:p>
    <w:p w14:paraId="747D5A92" w14:textId="6F2E4638" w:rsidR="00C579D1" w:rsidRPr="001D1CD5" w:rsidRDefault="00B0697A" w:rsidP="00C943B8">
      <w:p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rPr>
      </w:pPr>
      <w:r w:rsidRPr="001D1CD5">
        <w:rPr>
          <w:rFonts w:asciiTheme="minorHAnsi" w:hAnsiTheme="minorHAnsi"/>
        </w:rPr>
        <w:t>In Ai Group’s March 2015 submission we argued in support of a national long service leave standard</w:t>
      </w:r>
      <w:r w:rsidR="00C579D1" w:rsidRPr="001D1CD5">
        <w:rPr>
          <w:rFonts w:asciiTheme="minorHAnsi" w:hAnsiTheme="minorHAnsi"/>
        </w:rPr>
        <w:t xml:space="preserve"> implemented through the</w:t>
      </w:r>
      <w:r w:rsidR="00C943B8" w:rsidRPr="001D1CD5">
        <w:rPr>
          <w:rFonts w:asciiTheme="minorHAnsi" w:hAnsiTheme="minorHAnsi"/>
        </w:rPr>
        <w:t xml:space="preserve"> </w:t>
      </w:r>
      <w:proofErr w:type="spellStart"/>
      <w:r w:rsidR="00C943B8" w:rsidRPr="001D1CD5">
        <w:rPr>
          <w:rFonts w:asciiTheme="minorHAnsi" w:hAnsiTheme="minorHAnsi"/>
        </w:rPr>
        <w:t>NES</w:t>
      </w:r>
      <w:proofErr w:type="spellEnd"/>
      <w:r w:rsidRPr="001D1CD5">
        <w:rPr>
          <w:rFonts w:asciiTheme="minorHAnsi" w:hAnsiTheme="minorHAnsi"/>
        </w:rPr>
        <w:t xml:space="preserve">. We continue to support such a standard as outlined in our submission. </w:t>
      </w:r>
    </w:p>
    <w:p w14:paraId="354861DD" w14:textId="03AC9E2B" w:rsidR="00C579D1" w:rsidRPr="001D1CD5" w:rsidRDefault="00C579D1" w:rsidP="00C943B8">
      <w:p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cs="Calibri"/>
        </w:rPr>
      </w:pPr>
      <w:r w:rsidRPr="001D1CD5">
        <w:rPr>
          <w:rFonts w:asciiTheme="minorHAnsi" w:hAnsiTheme="minorHAnsi" w:cs="Calibri"/>
        </w:rPr>
        <w:t>T</w:t>
      </w:r>
      <w:r w:rsidRPr="001D1CD5">
        <w:rPr>
          <w:rFonts w:asciiTheme="minorHAnsi" w:hAnsiTheme="minorHAnsi" w:cstheme="minorHAnsi"/>
        </w:rPr>
        <w:t>he national standard should reflect the previous federal award long service leave standard, i.e. 13 weeks long service after 15 years of service, with pro-rata entitlements after 10 years. The standard should include the ability to cash out long service leave by agreement in writing between the employer and an individual employee, and the ability to take long service leave in any number of periods which are agreed. Only service in Australia should be counted for the purpose</w:t>
      </w:r>
      <w:r w:rsidR="00876A6F">
        <w:rPr>
          <w:rFonts w:asciiTheme="minorHAnsi" w:hAnsiTheme="minorHAnsi" w:cstheme="minorHAnsi"/>
        </w:rPr>
        <w:t xml:space="preserve"> of the national standard. This is </w:t>
      </w:r>
      <w:r w:rsidRPr="001D1CD5">
        <w:rPr>
          <w:rFonts w:asciiTheme="minorHAnsi" w:hAnsiTheme="minorHAnsi" w:cstheme="minorHAnsi"/>
        </w:rPr>
        <w:t xml:space="preserve">important given Australia’s increasingly mobile workforce. </w:t>
      </w:r>
    </w:p>
    <w:p w14:paraId="464B8FCA" w14:textId="533F399E" w:rsidR="00C579D1" w:rsidRPr="001D1CD5" w:rsidRDefault="00C579D1" w:rsidP="00C943B8">
      <w:p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cstheme="minorHAnsi"/>
        </w:rPr>
      </w:pPr>
      <w:r w:rsidRPr="001D1CD5">
        <w:rPr>
          <w:rFonts w:asciiTheme="minorHAnsi" w:hAnsiTheme="minorHAnsi" w:cstheme="minorHAnsi"/>
        </w:rPr>
        <w:t>In implementing the proposed national standard, employees should retain any long service leave accrued up to the date of implementation. For example, if an employee in South Australia had accrued 13 weeks of long service leave as a result of 10 years of service</w:t>
      </w:r>
      <w:r w:rsidR="00876A6F">
        <w:rPr>
          <w:rFonts w:asciiTheme="minorHAnsi" w:hAnsiTheme="minorHAnsi" w:cstheme="minorHAnsi"/>
        </w:rPr>
        <w:t>,</w:t>
      </w:r>
      <w:r w:rsidRPr="001D1CD5">
        <w:rPr>
          <w:rFonts w:asciiTheme="minorHAnsi" w:hAnsiTheme="minorHAnsi" w:cstheme="minorHAnsi"/>
        </w:rPr>
        <w:t xml:space="preserve"> this entitlement should not be lost but future long service leave would accrue on the basis of 13 weeks for 15 years of service</w:t>
      </w:r>
      <w:r w:rsidR="00876A6F">
        <w:rPr>
          <w:rFonts w:asciiTheme="minorHAnsi" w:hAnsiTheme="minorHAnsi" w:cstheme="minorHAnsi"/>
        </w:rPr>
        <w:t>.</w:t>
      </w:r>
    </w:p>
    <w:p w14:paraId="45028CB8" w14:textId="5A2F68D6" w:rsidR="00902ED7" w:rsidRPr="001D1CD5" w:rsidRDefault="00B0697A" w:rsidP="00C943B8">
      <w:p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cs="Calibri"/>
        </w:rPr>
      </w:pPr>
      <w:r w:rsidRPr="001D1CD5">
        <w:rPr>
          <w:rFonts w:asciiTheme="minorHAnsi" w:hAnsiTheme="minorHAnsi"/>
          <w:lang w:eastAsia="en-AU"/>
        </w:rPr>
        <w:t xml:space="preserve">If </w:t>
      </w:r>
      <w:r w:rsidR="00C579D1" w:rsidRPr="001D1CD5">
        <w:rPr>
          <w:rFonts w:asciiTheme="minorHAnsi" w:hAnsiTheme="minorHAnsi"/>
          <w:lang w:eastAsia="en-AU"/>
        </w:rPr>
        <w:t>a national standard</w:t>
      </w:r>
      <w:r w:rsidRPr="001D1CD5">
        <w:rPr>
          <w:rFonts w:asciiTheme="minorHAnsi" w:hAnsiTheme="minorHAnsi"/>
          <w:lang w:eastAsia="en-AU"/>
        </w:rPr>
        <w:t xml:space="preserve"> is not achievable in the short term then the following </w:t>
      </w:r>
      <w:r w:rsidR="00C579D1" w:rsidRPr="001D1CD5">
        <w:rPr>
          <w:rFonts w:asciiTheme="minorHAnsi" w:hAnsiTheme="minorHAnsi"/>
          <w:lang w:eastAsia="en-AU"/>
        </w:rPr>
        <w:t>arrangements should apply in the meantime:</w:t>
      </w:r>
    </w:p>
    <w:p w14:paraId="6A34EC5E" w14:textId="726A040E" w:rsidR="00B0697A" w:rsidRPr="001D1CD5" w:rsidRDefault="00B0697A" w:rsidP="00D12FF9">
      <w:pPr>
        <w:pStyle w:val="ListParagraph"/>
        <w:numPr>
          <w:ilvl w:val="0"/>
          <w:numId w:val="72"/>
        </w:numPr>
        <w:spacing w:after="240" w:line="276" w:lineRule="auto"/>
        <w:jc w:val="both"/>
        <w:rPr>
          <w:rFonts w:asciiTheme="minorHAnsi" w:eastAsia="Calibri" w:hAnsiTheme="minorHAnsi"/>
        </w:rPr>
      </w:pPr>
      <w:r w:rsidRPr="001D1CD5">
        <w:rPr>
          <w:rFonts w:asciiTheme="minorHAnsi" w:eastAsia="Calibri" w:hAnsiTheme="minorHAnsi"/>
        </w:rPr>
        <w:t xml:space="preserve">It is very important that the existing </w:t>
      </w:r>
      <w:r w:rsidR="007F749C" w:rsidRPr="001D1CD5">
        <w:rPr>
          <w:rFonts w:asciiTheme="minorHAnsi" w:eastAsia="Calibri" w:hAnsiTheme="minorHAnsi"/>
        </w:rPr>
        <w:t xml:space="preserve">long service leave </w:t>
      </w:r>
      <w:r w:rsidRPr="001D1CD5">
        <w:rPr>
          <w:rFonts w:asciiTheme="minorHAnsi" w:eastAsia="Calibri" w:hAnsiTheme="minorHAnsi"/>
        </w:rPr>
        <w:t xml:space="preserve">provisions in the </w:t>
      </w:r>
      <w:proofErr w:type="spellStart"/>
      <w:r w:rsidRPr="001D1CD5">
        <w:rPr>
          <w:rFonts w:asciiTheme="minorHAnsi" w:eastAsia="Calibri" w:hAnsiTheme="minorHAnsi"/>
        </w:rPr>
        <w:t>NES</w:t>
      </w:r>
      <w:proofErr w:type="spellEnd"/>
      <w:r w:rsidRPr="001D1CD5">
        <w:rPr>
          <w:rFonts w:asciiTheme="minorHAnsi" w:eastAsia="Calibri" w:hAnsiTheme="minorHAnsi"/>
        </w:rPr>
        <w:t xml:space="preserve"> are not removed. Contrary to the view expressed </w:t>
      </w:r>
      <w:r w:rsidR="007F749C" w:rsidRPr="001D1CD5">
        <w:rPr>
          <w:rFonts w:asciiTheme="minorHAnsi" w:eastAsia="Calibri" w:hAnsiTheme="minorHAnsi"/>
        </w:rPr>
        <w:t xml:space="preserve">by the Productivity Commission </w:t>
      </w:r>
      <w:r w:rsidRPr="001D1CD5">
        <w:rPr>
          <w:rFonts w:asciiTheme="minorHAnsi" w:eastAsia="Calibri" w:hAnsiTheme="minorHAnsi"/>
        </w:rPr>
        <w:t xml:space="preserve">on page 181 of </w:t>
      </w:r>
      <w:r w:rsidR="00DD5EFB">
        <w:rPr>
          <w:rFonts w:asciiTheme="minorHAnsi" w:eastAsia="Calibri" w:hAnsiTheme="minorHAnsi"/>
        </w:rPr>
        <w:t xml:space="preserve">its </w:t>
      </w:r>
      <w:r w:rsidRPr="001D1CD5">
        <w:rPr>
          <w:rFonts w:asciiTheme="minorHAnsi" w:eastAsia="Calibri" w:hAnsiTheme="minorHAnsi"/>
        </w:rPr>
        <w:t>Draft Report, the removal of these provisions would not reduce complexity for businesses. The removal of these provisions would</w:t>
      </w:r>
      <w:r w:rsidR="007F749C" w:rsidRPr="001D1CD5">
        <w:rPr>
          <w:rFonts w:asciiTheme="minorHAnsi" w:hAnsiTheme="minorHAnsi"/>
        </w:rPr>
        <w:t xml:space="preserve"> significantly increase costs for employers in the metal, graphic arts, vehicle, food and other industries where the major pre-modern awards contained long service leave entitlements</w:t>
      </w:r>
      <w:r w:rsidR="00C579D1" w:rsidRPr="001D1CD5">
        <w:rPr>
          <w:rFonts w:asciiTheme="minorHAnsi" w:hAnsiTheme="minorHAnsi"/>
        </w:rPr>
        <w:t xml:space="preserve">, and these provisions now operate as terms of the </w:t>
      </w:r>
      <w:proofErr w:type="spellStart"/>
      <w:r w:rsidR="00C579D1" w:rsidRPr="001D1CD5">
        <w:rPr>
          <w:rFonts w:asciiTheme="minorHAnsi" w:hAnsiTheme="minorHAnsi"/>
        </w:rPr>
        <w:t>NES</w:t>
      </w:r>
      <w:proofErr w:type="spellEnd"/>
      <w:r w:rsidR="007F749C" w:rsidRPr="001D1CD5">
        <w:rPr>
          <w:rFonts w:asciiTheme="minorHAnsi" w:hAnsiTheme="minorHAnsi"/>
        </w:rPr>
        <w:t xml:space="preserve">. If the </w:t>
      </w:r>
      <w:proofErr w:type="spellStart"/>
      <w:r w:rsidR="00C579D1" w:rsidRPr="001D1CD5">
        <w:rPr>
          <w:rFonts w:asciiTheme="minorHAnsi" w:hAnsiTheme="minorHAnsi"/>
        </w:rPr>
        <w:t>NES</w:t>
      </w:r>
      <w:proofErr w:type="spellEnd"/>
      <w:r w:rsidR="00C579D1" w:rsidRPr="001D1CD5">
        <w:rPr>
          <w:rFonts w:asciiTheme="minorHAnsi" w:hAnsiTheme="minorHAnsi"/>
        </w:rPr>
        <w:t xml:space="preserve"> p</w:t>
      </w:r>
      <w:r w:rsidR="007F749C" w:rsidRPr="001D1CD5">
        <w:rPr>
          <w:rFonts w:asciiTheme="minorHAnsi" w:hAnsiTheme="minorHAnsi"/>
        </w:rPr>
        <w:t xml:space="preserve">rovisions are removed, thousands of employers will lose the nationally consistent long service leave provisions which they are currently applying and be forced to apply inconsistent State and Territory laws. This would significantly increase </w:t>
      </w:r>
      <w:r w:rsidR="00C579D1" w:rsidRPr="001D1CD5">
        <w:rPr>
          <w:rFonts w:asciiTheme="minorHAnsi" w:hAnsiTheme="minorHAnsi"/>
        </w:rPr>
        <w:t xml:space="preserve">their </w:t>
      </w:r>
      <w:r w:rsidR="007F749C" w:rsidRPr="001D1CD5">
        <w:rPr>
          <w:rFonts w:asciiTheme="minorHAnsi" w:hAnsiTheme="minorHAnsi"/>
        </w:rPr>
        <w:t>costs</w:t>
      </w:r>
      <w:r w:rsidR="00C579D1" w:rsidRPr="001D1CD5">
        <w:rPr>
          <w:rFonts w:asciiTheme="minorHAnsi" w:hAnsiTheme="minorHAnsi"/>
        </w:rPr>
        <w:t>,</w:t>
      </w:r>
      <w:r w:rsidR="007F749C" w:rsidRPr="001D1CD5">
        <w:rPr>
          <w:rFonts w:asciiTheme="minorHAnsi" w:hAnsiTheme="minorHAnsi"/>
        </w:rPr>
        <w:t xml:space="preserve"> </w:t>
      </w:r>
      <w:r w:rsidR="00C579D1" w:rsidRPr="001D1CD5">
        <w:rPr>
          <w:rFonts w:asciiTheme="minorHAnsi" w:hAnsiTheme="minorHAnsi"/>
        </w:rPr>
        <w:t>particularly</w:t>
      </w:r>
      <w:r w:rsidR="007F749C" w:rsidRPr="001D1CD5">
        <w:rPr>
          <w:rFonts w:asciiTheme="minorHAnsi" w:hAnsiTheme="minorHAnsi"/>
        </w:rPr>
        <w:t xml:space="preserve"> in respect of their employees in States and Territories where more generous long service leave laws apply (e.g. South Australia and Northern Territory).</w:t>
      </w:r>
    </w:p>
    <w:p w14:paraId="2CD4999D" w14:textId="792D58D2" w:rsidR="007F749C" w:rsidRPr="001D1CD5" w:rsidRDefault="00C579D1" w:rsidP="00D12FF9">
      <w:pPr>
        <w:pStyle w:val="ListParagraph"/>
        <w:numPr>
          <w:ilvl w:val="0"/>
          <w:numId w:val="72"/>
        </w:numPr>
        <w:spacing w:after="240" w:line="276" w:lineRule="auto"/>
        <w:jc w:val="both"/>
        <w:rPr>
          <w:rFonts w:asciiTheme="minorHAnsi" w:hAnsiTheme="minorHAnsi"/>
        </w:rPr>
      </w:pPr>
      <w:r w:rsidRPr="001D1CD5">
        <w:rPr>
          <w:rFonts w:asciiTheme="minorHAnsi" w:hAnsiTheme="minorHAnsi"/>
        </w:rPr>
        <w:t xml:space="preserve">State and Territory long service leave laws should be </w:t>
      </w:r>
      <w:proofErr w:type="spellStart"/>
      <w:r w:rsidRPr="001D1CD5">
        <w:rPr>
          <w:rFonts w:asciiTheme="minorHAnsi" w:hAnsiTheme="minorHAnsi"/>
        </w:rPr>
        <w:t>harmonised</w:t>
      </w:r>
      <w:proofErr w:type="spellEnd"/>
      <w:r w:rsidRPr="001D1CD5">
        <w:rPr>
          <w:rFonts w:asciiTheme="minorHAnsi" w:hAnsiTheme="minorHAnsi"/>
        </w:rPr>
        <w:t xml:space="preserve"> in key areas</w:t>
      </w:r>
      <w:r w:rsidR="007F749C" w:rsidRPr="001D1CD5">
        <w:rPr>
          <w:rFonts w:asciiTheme="minorHAnsi" w:hAnsiTheme="minorHAnsi"/>
        </w:rPr>
        <w:t>, including:</w:t>
      </w:r>
    </w:p>
    <w:p w14:paraId="11A0A3F7" w14:textId="76B5289B" w:rsidR="007F749C" w:rsidRPr="001D1CD5" w:rsidRDefault="007F749C" w:rsidP="00D12FF9">
      <w:pPr>
        <w:pStyle w:val="ListParagraph"/>
        <w:numPr>
          <w:ilvl w:val="1"/>
          <w:numId w:val="72"/>
        </w:numPr>
        <w:spacing w:after="240" w:line="276" w:lineRule="auto"/>
        <w:ind w:left="1434" w:hanging="357"/>
        <w:jc w:val="both"/>
        <w:rPr>
          <w:rFonts w:asciiTheme="minorHAnsi" w:hAnsiTheme="minorHAnsi"/>
        </w:rPr>
      </w:pPr>
      <w:r w:rsidRPr="001D1CD5">
        <w:rPr>
          <w:rFonts w:asciiTheme="minorHAnsi" w:hAnsiTheme="minorHAnsi"/>
        </w:rPr>
        <w:t>Allowing leave to be cashed out by agreement with the employer;</w:t>
      </w:r>
    </w:p>
    <w:p w14:paraId="2014CB15" w14:textId="77777777" w:rsidR="007F749C" w:rsidRPr="001D1CD5" w:rsidRDefault="007F749C" w:rsidP="00D12FF9">
      <w:pPr>
        <w:pStyle w:val="ListParagraph"/>
        <w:numPr>
          <w:ilvl w:val="1"/>
          <w:numId w:val="72"/>
        </w:numPr>
        <w:spacing w:after="240" w:line="276" w:lineRule="auto"/>
        <w:ind w:left="1434" w:hanging="357"/>
        <w:jc w:val="both"/>
        <w:rPr>
          <w:rFonts w:asciiTheme="minorHAnsi" w:hAnsiTheme="minorHAnsi"/>
        </w:rPr>
      </w:pPr>
      <w:r w:rsidRPr="001D1CD5">
        <w:rPr>
          <w:rFonts w:asciiTheme="minorHAnsi" w:hAnsiTheme="minorHAnsi"/>
        </w:rPr>
        <w:t>Allowing leave to be taken, by agreement with the employer, in any number of periods including single days;</w:t>
      </w:r>
    </w:p>
    <w:p w14:paraId="7AA24FE8" w14:textId="346723CC" w:rsidR="007F749C" w:rsidRPr="001D1CD5" w:rsidRDefault="007F749C" w:rsidP="00D12FF9">
      <w:pPr>
        <w:pStyle w:val="ListParagraph"/>
        <w:numPr>
          <w:ilvl w:val="1"/>
          <w:numId w:val="72"/>
        </w:numPr>
        <w:spacing w:after="240" w:line="276" w:lineRule="auto"/>
        <w:ind w:left="1434" w:hanging="357"/>
        <w:jc w:val="both"/>
        <w:rPr>
          <w:rFonts w:asciiTheme="minorHAnsi" w:hAnsiTheme="minorHAnsi"/>
        </w:rPr>
      </w:pPr>
      <w:r w:rsidRPr="001D1CD5">
        <w:rPr>
          <w:rFonts w:asciiTheme="minorHAnsi" w:hAnsiTheme="minorHAnsi"/>
        </w:rPr>
        <w:lastRenderedPageBreak/>
        <w:t>Implementing a consistent definition of “ordinary pay” for the payment of long service leave entitlements; and</w:t>
      </w:r>
    </w:p>
    <w:p w14:paraId="6717E648" w14:textId="7F1D487B" w:rsidR="007F749C" w:rsidRPr="001D1CD5" w:rsidRDefault="007F749C" w:rsidP="00D12FF9">
      <w:pPr>
        <w:pStyle w:val="ListParagraph"/>
        <w:numPr>
          <w:ilvl w:val="1"/>
          <w:numId w:val="72"/>
        </w:numPr>
        <w:spacing w:after="240" w:line="276" w:lineRule="auto"/>
        <w:ind w:left="1434" w:hanging="357"/>
        <w:jc w:val="both"/>
        <w:rPr>
          <w:rFonts w:asciiTheme="minorHAnsi" w:hAnsiTheme="minorHAnsi"/>
        </w:rPr>
      </w:pPr>
      <w:r w:rsidRPr="001D1CD5">
        <w:rPr>
          <w:rFonts w:asciiTheme="minorHAnsi" w:hAnsiTheme="minorHAnsi"/>
        </w:rPr>
        <w:t>Clarifying that overseas service is not counted.</w:t>
      </w:r>
    </w:p>
    <w:p w14:paraId="75F7B794" w14:textId="4B02BA2E" w:rsidR="00B0697A" w:rsidRPr="001D1CD5" w:rsidRDefault="00B0697A" w:rsidP="00D12FF9">
      <w:pPr>
        <w:pStyle w:val="ListParagraph"/>
        <w:numPr>
          <w:ilvl w:val="0"/>
          <w:numId w:val="72"/>
        </w:numPr>
        <w:spacing w:after="240" w:line="276" w:lineRule="auto"/>
        <w:jc w:val="both"/>
        <w:rPr>
          <w:rFonts w:asciiTheme="minorHAnsi" w:hAnsiTheme="minorHAnsi"/>
        </w:rPr>
      </w:pPr>
      <w:r w:rsidRPr="001D1CD5">
        <w:rPr>
          <w:rFonts w:asciiTheme="minorHAnsi" w:hAnsiTheme="minorHAnsi"/>
        </w:rPr>
        <w:t xml:space="preserve">Enterprise agreements need to be able to override State </w:t>
      </w:r>
      <w:r w:rsidR="007F749C" w:rsidRPr="001D1CD5">
        <w:rPr>
          <w:rFonts w:asciiTheme="minorHAnsi" w:hAnsiTheme="minorHAnsi"/>
        </w:rPr>
        <w:t xml:space="preserve">and Territory </w:t>
      </w:r>
      <w:r w:rsidRPr="001D1CD5">
        <w:rPr>
          <w:rFonts w:asciiTheme="minorHAnsi" w:hAnsiTheme="minorHAnsi"/>
        </w:rPr>
        <w:t xml:space="preserve">long service leave laws, subject to a no disadvantage test, as this is an effective mechanism for an enterprise to achieve nationally consistent provisions. </w:t>
      </w:r>
    </w:p>
    <w:p w14:paraId="0C2657D9" w14:textId="2404D430" w:rsidR="0061373E" w:rsidRPr="001D1CD5" w:rsidRDefault="00C943B8" w:rsidP="0061373E">
      <w:pPr>
        <w:pStyle w:val="Heading1"/>
        <w:spacing w:before="0" w:after="240" w:line="276" w:lineRule="auto"/>
        <w:ind w:left="709" w:hanging="709"/>
        <w:jc w:val="both"/>
        <w:rPr>
          <w:rFonts w:asciiTheme="minorHAnsi" w:eastAsia="Calibri" w:hAnsiTheme="minorHAnsi" w:cs="Calibri"/>
          <w:color w:val="451E51"/>
          <w:lang w:eastAsia="en-AU"/>
        </w:rPr>
      </w:pPr>
      <w:r w:rsidRPr="001D1CD5">
        <w:rPr>
          <w:rFonts w:asciiTheme="minorHAnsi" w:eastAsia="Calibri" w:hAnsiTheme="minorHAnsi" w:cs="Calibri"/>
          <w:color w:val="451E51"/>
          <w:lang w:eastAsia="en-AU"/>
        </w:rPr>
        <w:t>4</w:t>
      </w:r>
      <w:r w:rsidR="0061373E" w:rsidRPr="001D1CD5">
        <w:rPr>
          <w:rFonts w:asciiTheme="minorHAnsi" w:eastAsia="Calibri" w:hAnsiTheme="minorHAnsi" w:cs="Calibri"/>
          <w:color w:val="451E51"/>
          <w:lang w:eastAsia="en-AU"/>
        </w:rPr>
        <w:t xml:space="preserve">.3 </w:t>
      </w:r>
      <w:r w:rsidR="0061373E" w:rsidRPr="001D1CD5">
        <w:rPr>
          <w:rFonts w:asciiTheme="minorHAnsi" w:eastAsia="Calibri" w:hAnsiTheme="minorHAnsi" w:cs="Calibri"/>
          <w:color w:val="451E51"/>
          <w:lang w:eastAsia="en-AU"/>
        </w:rPr>
        <w:tab/>
        <w:t>Public holidays</w:t>
      </w:r>
    </w:p>
    <w:p w14:paraId="42AD4469" w14:textId="47E725B0" w:rsidR="0061373E" w:rsidRPr="001D1CD5" w:rsidRDefault="0061373E" w:rsidP="0061373E">
      <w:pPr>
        <w:pStyle w:val="ListParagraph"/>
        <w:spacing w:after="240" w:line="276" w:lineRule="auto"/>
        <w:ind w:left="0"/>
        <w:jc w:val="both"/>
        <w:rPr>
          <w:rFonts w:asciiTheme="minorHAnsi" w:hAnsiTheme="minorHAnsi"/>
        </w:rPr>
      </w:pPr>
      <w:r w:rsidRPr="001D1CD5">
        <w:rPr>
          <w:rFonts w:asciiTheme="minorHAnsi" w:hAnsiTheme="minorHAnsi"/>
        </w:rPr>
        <w:t>Ai Group supports Draft Recommendation 4.1 which would ensure that all award-covered employees are able to reach agreement with their employer to substitute a day proclaimed as a public holiday for an alternative day.</w:t>
      </w:r>
    </w:p>
    <w:p w14:paraId="37EADB2D" w14:textId="1EE83B7C" w:rsidR="0061373E" w:rsidRPr="001D1CD5" w:rsidRDefault="0061373E" w:rsidP="0061373E">
      <w:pPr>
        <w:pStyle w:val="ListParagraph"/>
        <w:spacing w:after="240" w:line="276" w:lineRule="auto"/>
        <w:ind w:left="0"/>
        <w:jc w:val="both"/>
        <w:rPr>
          <w:rFonts w:asciiTheme="minorHAnsi" w:hAnsiTheme="minorHAnsi"/>
        </w:rPr>
      </w:pPr>
      <w:r w:rsidRPr="001D1CD5">
        <w:rPr>
          <w:rFonts w:asciiTheme="minorHAnsi" w:hAnsiTheme="minorHAnsi"/>
        </w:rPr>
        <w:t xml:space="preserve">Ai Group also supports Draft Recommendation 4.2 which would amend the </w:t>
      </w:r>
      <w:proofErr w:type="spellStart"/>
      <w:r w:rsidRPr="001D1CD5">
        <w:rPr>
          <w:rFonts w:asciiTheme="minorHAnsi" w:hAnsiTheme="minorHAnsi"/>
        </w:rPr>
        <w:t>NES</w:t>
      </w:r>
      <w:proofErr w:type="spellEnd"/>
      <w:r w:rsidRPr="001D1CD5">
        <w:rPr>
          <w:rFonts w:asciiTheme="minorHAnsi" w:hAnsiTheme="minorHAnsi"/>
        </w:rPr>
        <w:t xml:space="preserve"> to ensure that employers are not required to pay for leave or additional penalty rates for any newly designated State and Territory public holidays.</w:t>
      </w:r>
    </w:p>
    <w:p w14:paraId="74472963" w14:textId="6DA95B79" w:rsidR="0061373E" w:rsidRPr="001D1CD5" w:rsidRDefault="00C943B8" w:rsidP="0061373E">
      <w:pPr>
        <w:pStyle w:val="Heading1"/>
        <w:spacing w:before="0" w:after="240" w:line="276" w:lineRule="auto"/>
        <w:ind w:left="709" w:hanging="709"/>
        <w:jc w:val="both"/>
        <w:rPr>
          <w:rFonts w:asciiTheme="minorHAnsi" w:eastAsia="Calibri" w:hAnsiTheme="minorHAnsi" w:cs="Calibri"/>
          <w:color w:val="451E51"/>
          <w:lang w:eastAsia="en-AU"/>
        </w:rPr>
      </w:pPr>
      <w:r w:rsidRPr="001D1CD5">
        <w:rPr>
          <w:rFonts w:asciiTheme="minorHAnsi" w:eastAsia="Calibri" w:hAnsiTheme="minorHAnsi" w:cs="Calibri"/>
          <w:color w:val="451E51"/>
          <w:lang w:eastAsia="en-AU"/>
        </w:rPr>
        <w:t>4</w:t>
      </w:r>
      <w:r w:rsidR="0061373E" w:rsidRPr="001D1CD5">
        <w:rPr>
          <w:rFonts w:asciiTheme="minorHAnsi" w:eastAsia="Calibri" w:hAnsiTheme="minorHAnsi" w:cs="Calibri"/>
          <w:color w:val="451E51"/>
          <w:lang w:eastAsia="en-AU"/>
        </w:rPr>
        <w:t xml:space="preserve">.4 </w:t>
      </w:r>
      <w:r w:rsidR="0061373E" w:rsidRPr="001D1CD5">
        <w:rPr>
          <w:rFonts w:asciiTheme="minorHAnsi" w:eastAsia="Calibri" w:hAnsiTheme="minorHAnsi" w:cs="Calibri"/>
          <w:color w:val="451E51"/>
          <w:lang w:eastAsia="en-AU"/>
        </w:rPr>
        <w:tab/>
        <w:t>Do workers get enough leave?</w:t>
      </w:r>
    </w:p>
    <w:p w14:paraId="690BB805" w14:textId="70CBA32C" w:rsidR="0061373E" w:rsidRPr="001D1CD5" w:rsidRDefault="0061373E" w:rsidP="0061373E">
      <w:pPr>
        <w:pStyle w:val="ListParagraph"/>
        <w:spacing w:after="240" w:line="276" w:lineRule="auto"/>
        <w:ind w:left="0"/>
        <w:jc w:val="both"/>
        <w:rPr>
          <w:rFonts w:asciiTheme="minorHAnsi" w:hAnsiTheme="minorHAnsi"/>
        </w:rPr>
      </w:pPr>
      <w:r w:rsidRPr="001D1CD5">
        <w:rPr>
          <w:rFonts w:asciiTheme="minorHAnsi" w:hAnsiTheme="minorHAnsi"/>
        </w:rPr>
        <w:t xml:space="preserve">In Ai Group’s view, the answer to this question is clearly </w:t>
      </w:r>
      <w:r w:rsidR="00DD5EFB">
        <w:rPr>
          <w:rFonts w:asciiTheme="minorHAnsi" w:hAnsiTheme="minorHAnsi"/>
        </w:rPr>
        <w:t>“</w:t>
      </w:r>
      <w:r w:rsidRPr="001D1CD5">
        <w:rPr>
          <w:rFonts w:asciiTheme="minorHAnsi" w:hAnsiTheme="minorHAnsi"/>
        </w:rPr>
        <w:t>Yes</w:t>
      </w:r>
      <w:r w:rsidR="00DD5EFB">
        <w:rPr>
          <w:rFonts w:asciiTheme="minorHAnsi" w:hAnsiTheme="minorHAnsi"/>
        </w:rPr>
        <w:t>”</w:t>
      </w:r>
      <w:r w:rsidRPr="001D1CD5">
        <w:rPr>
          <w:rFonts w:asciiTheme="minorHAnsi" w:hAnsiTheme="minorHAnsi"/>
        </w:rPr>
        <w:t xml:space="preserve">.  Accordingly, Ai Group opposes Draft Recommendation 4.3 which proposes that the Federal, State and Territory Governments periodically consider whether to extend the existing 20 day annual leave entitlement in the </w:t>
      </w:r>
      <w:proofErr w:type="spellStart"/>
      <w:r w:rsidRPr="001D1CD5">
        <w:rPr>
          <w:rFonts w:asciiTheme="minorHAnsi" w:hAnsiTheme="minorHAnsi"/>
        </w:rPr>
        <w:t>NES</w:t>
      </w:r>
      <w:proofErr w:type="spellEnd"/>
      <w:r w:rsidRPr="001D1CD5">
        <w:rPr>
          <w:rFonts w:asciiTheme="minorHAnsi" w:hAnsiTheme="minorHAnsi"/>
        </w:rPr>
        <w:t>. There are no grounds for such an extension. The entitlement is already very generous, and many shift workers receive an additional week of annual leave.</w:t>
      </w:r>
    </w:p>
    <w:p w14:paraId="019F77CE" w14:textId="1A50F22F" w:rsidR="0061373E" w:rsidRPr="001D1CD5" w:rsidRDefault="00C943B8" w:rsidP="0061373E">
      <w:pPr>
        <w:pStyle w:val="Heading1"/>
        <w:spacing w:before="0" w:after="240" w:line="276" w:lineRule="auto"/>
        <w:ind w:left="709" w:hanging="709"/>
        <w:jc w:val="both"/>
        <w:rPr>
          <w:rFonts w:asciiTheme="minorHAnsi" w:eastAsia="Calibri" w:hAnsiTheme="minorHAnsi" w:cs="Calibri"/>
          <w:color w:val="451E51"/>
          <w:lang w:eastAsia="en-AU"/>
        </w:rPr>
      </w:pPr>
      <w:r w:rsidRPr="001D1CD5">
        <w:rPr>
          <w:rFonts w:asciiTheme="minorHAnsi" w:eastAsia="Calibri" w:hAnsiTheme="minorHAnsi" w:cs="Calibri"/>
          <w:color w:val="451E51"/>
          <w:lang w:eastAsia="en-AU"/>
        </w:rPr>
        <w:t>4</w:t>
      </w:r>
      <w:r w:rsidR="0061373E" w:rsidRPr="001D1CD5">
        <w:rPr>
          <w:rFonts w:asciiTheme="minorHAnsi" w:eastAsia="Calibri" w:hAnsiTheme="minorHAnsi" w:cs="Calibri"/>
          <w:color w:val="451E51"/>
          <w:lang w:eastAsia="en-AU"/>
        </w:rPr>
        <w:t xml:space="preserve">.5 </w:t>
      </w:r>
      <w:r w:rsidR="0061373E" w:rsidRPr="001D1CD5">
        <w:rPr>
          <w:rFonts w:asciiTheme="minorHAnsi" w:eastAsia="Calibri" w:hAnsiTheme="minorHAnsi" w:cs="Calibri"/>
          <w:color w:val="451E51"/>
          <w:lang w:eastAsia="en-AU"/>
        </w:rPr>
        <w:tab/>
      </w:r>
      <w:r w:rsidR="005C60EB" w:rsidRPr="001D1CD5">
        <w:rPr>
          <w:rFonts w:asciiTheme="minorHAnsi" w:eastAsia="Calibri" w:hAnsiTheme="minorHAnsi" w:cs="Calibri"/>
          <w:color w:val="451E51"/>
          <w:lang w:eastAsia="en-AU"/>
        </w:rPr>
        <w:t>Sick and annual leave for casual workers</w:t>
      </w:r>
    </w:p>
    <w:p w14:paraId="646D53E2" w14:textId="019C54D4" w:rsidR="005C60EB" w:rsidRPr="001D1CD5" w:rsidRDefault="00DD5EFB" w:rsidP="0061373E">
      <w:pPr>
        <w:pStyle w:val="ListParagraph"/>
        <w:spacing w:after="240" w:line="276" w:lineRule="auto"/>
        <w:ind w:left="0"/>
        <w:jc w:val="both"/>
        <w:rPr>
          <w:rFonts w:asciiTheme="minorHAnsi" w:hAnsiTheme="minorHAnsi"/>
        </w:rPr>
      </w:pPr>
      <w:r>
        <w:rPr>
          <w:rFonts w:asciiTheme="minorHAnsi" w:hAnsiTheme="minorHAnsi"/>
        </w:rPr>
        <w:t>On page 197 of the Draft Report</w:t>
      </w:r>
      <w:r w:rsidR="005C60EB" w:rsidRPr="001D1CD5">
        <w:rPr>
          <w:rFonts w:asciiTheme="minorHAnsi" w:hAnsiTheme="minorHAnsi"/>
        </w:rPr>
        <w:t>, the Productivity Commission has requested information on whether it would be practical for casual workers to be able to exchange part of their loading for additio</w:t>
      </w:r>
      <w:r w:rsidR="00C943B8" w:rsidRPr="001D1CD5">
        <w:rPr>
          <w:rFonts w:asciiTheme="minorHAnsi" w:hAnsiTheme="minorHAnsi"/>
        </w:rPr>
        <w:t>nal entitlements (e.g. personal/</w:t>
      </w:r>
      <w:proofErr w:type="spellStart"/>
      <w:r w:rsidR="005C60EB" w:rsidRPr="001D1CD5">
        <w:rPr>
          <w:rFonts w:asciiTheme="minorHAnsi" w:hAnsiTheme="minorHAnsi"/>
        </w:rPr>
        <w:t>carer’s</w:t>
      </w:r>
      <w:proofErr w:type="spellEnd"/>
      <w:r w:rsidR="005C60EB" w:rsidRPr="001D1CD5">
        <w:rPr>
          <w:rFonts w:asciiTheme="minorHAnsi" w:hAnsiTheme="minorHAnsi"/>
        </w:rPr>
        <w:t xml:space="preserve"> leave).  If any arrangement like this was to be implemented, it should only operate by agreement between the employee and the employers as there would be a significant administrative burden for the employer. </w:t>
      </w:r>
    </w:p>
    <w:p w14:paraId="5DC3C119" w14:textId="69829D40" w:rsidR="0061373E" w:rsidRPr="001D1CD5" w:rsidRDefault="005C60EB" w:rsidP="00E61BC4">
      <w:pPr>
        <w:pStyle w:val="ListParagraph"/>
        <w:spacing w:after="240" w:line="276" w:lineRule="auto"/>
        <w:ind w:left="0"/>
        <w:jc w:val="both"/>
        <w:rPr>
          <w:rFonts w:asciiTheme="minorHAnsi" w:hAnsiTheme="minorHAnsi"/>
        </w:rPr>
      </w:pPr>
      <w:r w:rsidRPr="001D1CD5">
        <w:rPr>
          <w:rFonts w:asciiTheme="minorHAnsi" w:hAnsiTheme="minorHAnsi"/>
        </w:rPr>
        <w:t>Issues like this are perhaps best addressed through Individual Flexibility Arrangements (</w:t>
      </w:r>
      <w:proofErr w:type="spellStart"/>
      <w:r w:rsidRPr="00DD5EFB">
        <w:rPr>
          <w:rFonts w:asciiTheme="minorHAnsi" w:hAnsiTheme="minorHAnsi"/>
          <w:b/>
        </w:rPr>
        <w:t>IFAs</w:t>
      </w:r>
      <w:proofErr w:type="spellEnd"/>
      <w:r w:rsidRPr="001D1CD5">
        <w:rPr>
          <w:rFonts w:asciiTheme="minorHAnsi" w:hAnsiTheme="minorHAnsi"/>
        </w:rPr>
        <w:t xml:space="preserve">) where the parties can ensure that the interests of </w:t>
      </w:r>
      <w:r w:rsidR="003E711F" w:rsidRPr="001D1CD5">
        <w:rPr>
          <w:rFonts w:asciiTheme="minorHAnsi" w:hAnsiTheme="minorHAnsi"/>
        </w:rPr>
        <w:t>both parties</w:t>
      </w:r>
      <w:r w:rsidRPr="001D1CD5">
        <w:rPr>
          <w:rFonts w:asciiTheme="minorHAnsi" w:hAnsiTheme="minorHAnsi"/>
        </w:rPr>
        <w:t xml:space="preserve"> are protected.  To ensure that </w:t>
      </w:r>
      <w:proofErr w:type="spellStart"/>
      <w:r w:rsidRPr="001D1CD5">
        <w:rPr>
          <w:rFonts w:asciiTheme="minorHAnsi" w:hAnsiTheme="minorHAnsi"/>
        </w:rPr>
        <w:t>IFAs</w:t>
      </w:r>
      <w:proofErr w:type="spellEnd"/>
      <w:r w:rsidRPr="001D1CD5">
        <w:rPr>
          <w:rFonts w:asciiTheme="minorHAnsi" w:hAnsiTheme="minorHAnsi"/>
        </w:rPr>
        <w:t xml:space="preserve"> are able to legitimately deal with this issue, there would be merit in adding “casual loadings” to the list of items in the model award flexibility clause in awards and the model </w:t>
      </w:r>
      <w:r w:rsidR="003E711F" w:rsidRPr="001D1CD5">
        <w:rPr>
          <w:rFonts w:asciiTheme="minorHAnsi" w:hAnsiTheme="minorHAnsi"/>
        </w:rPr>
        <w:t>flexibility t</w:t>
      </w:r>
      <w:r w:rsidRPr="001D1CD5">
        <w:rPr>
          <w:rFonts w:asciiTheme="minorHAnsi" w:hAnsiTheme="minorHAnsi"/>
        </w:rPr>
        <w:t xml:space="preserve">erm in the </w:t>
      </w:r>
      <w:r w:rsidRPr="001D1CD5">
        <w:rPr>
          <w:rFonts w:asciiTheme="minorHAnsi" w:hAnsiTheme="minorHAnsi"/>
          <w:i/>
        </w:rPr>
        <w:t>Fair Work Regulations</w:t>
      </w:r>
      <w:r w:rsidR="003E711F" w:rsidRPr="001D1CD5">
        <w:rPr>
          <w:rFonts w:asciiTheme="minorHAnsi" w:hAnsiTheme="minorHAnsi"/>
          <w:i/>
        </w:rPr>
        <w:t xml:space="preserve"> 2009</w:t>
      </w:r>
      <w:r w:rsidR="003E711F" w:rsidRPr="001D1CD5">
        <w:rPr>
          <w:rFonts w:asciiTheme="minorHAnsi" w:hAnsiTheme="minorHAnsi"/>
        </w:rPr>
        <w:t>.</w:t>
      </w:r>
    </w:p>
    <w:p w14:paraId="0DDE9103" w14:textId="77777777" w:rsidR="00E61BC4" w:rsidRDefault="00E61BC4">
      <w:pPr>
        <w:rPr>
          <w:rFonts w:asciiTheme="minorHAnsi" w:eastAsia="Calibri" w:hAnsiTheme="minorHAnsi" w:cs="Calibri"/>
          <w:b/>
          <w:bCs/>
          <w:color w:val="451E51"/>
          <w:sz w:val="28"/>
          <w:szCs w:val="28"/>
          <w:lang w:eastAsia="en-AU"/>
        </w:rPr>
      </w:pPr>
      <w:r>
        <w:rPr>
          <w:rFonts w:asciiTheme="minorHAnsi" w:eastAsia="Calibri" w:hAnsiTheme="minorHAnsi" w:cs="Calibri"/>
          <w:color w:val="451E51"/>
          <w:lang w:eastAsia="en-AU"/>
        </w:rPr>
        <w:br w:type="page"/>
      </w:r>
    </w:p>
    <w:p w14:paraId="39D3BCD1" w14:textId="641ED502" w:rsidR="0061373E" w:rsidRPr="001D1CD5" w:rsidRDefault="00C943B8" w:rsidP="00E61BC4">
      <w:pPr>
        <w:pStyle w:val="Heading1"/>
        <w:keepNext w:val="0"/>
        <w:keepLines w:val="0"/>
        <w:spacing w:before="0" w:after="240" w:line="276" w:lineRule="auto"/>
        <w:ind w:left="709" w:hanging="709"/>
        <w:jc w:val="both"/>
        <w:rPr>
          <w:rFonts w:asciiTheme="minorHAnsi" w:eastAsia="Calibri" w:hAnsiTheme="minorHAnsi" w:cs="Calibri"/>
          <w:color w:val="451E51"/>
          <w:lang w:eastAsia="en-AU"/>
        </w:rPr>
      </w:pPr>
      <w:r w:rsidRPr="001D1CD5">
        <w:rPr>
          <w:rFonts w:asciiTheme="minorHAnsi" w:eastAsia="Calibri" w:hAnsiTheme="minorHAnsi" w:cs="Calibri"/>
          <w:color w:val="451E51"/>
          <w:lang w:eastAsia="en-AU"/>
        </w:rPr>
        <w:lastRenderedPageBreak/>
        <w:t>4</w:t>
      </w:r>
      <w:r w:rsidR="0061373E" w:rsidRPr="001D1CD5">
        <w:rPr>
          <w:rFonts w:asciiTheme="minorHAnsi" w:eastAsia="Calibri" w:hAnsiTheme="minorHAnsi" w:cs="Calibri"/>
          <w:color w:val="451E51"/>
          <w:lang w:eastAsia="en-AU"/>
        </w:rPr>
        <w:t>.</w:t>
      </w:r>
      <w:r w:rsidR="003E711F" w:rsidRPr="001D1CD5">
        <w:rPr>
          <w:rFonts w:asciiTheme="minorHAnsi" w:eastAsia="Calibri" w:hAnsiTheme="minorHAnsi" w:cs="Calibri"/>
          <w:color w:val="451E51"/>
          <w:lang w:eastAsia="en-AU"/>
        </w:rPr>
        <w:t>6</w:t>
      </w:r>
      <w:r w:rsidR="0061373E" w:rsidRPr="001D1CD5">
        <w:rPr>
          <w:rFonts w:asciiTheme="minorHAnsi" w:eastAsia="Calibri" w:hAnsiTheme="minorHAnsi" w:cs="Calibri"/>
          <w:color w:val="451E51"/>
          <w:lang w:eastAsia="en-AU"/>
        </w:rPr>
        <w:t xml:space="preserve"> </w:t>
      </w:r>
      <w:r w:rsidR="0061373E" w:rsidRPr="001D1CD5">
        <w:rPr>
          <w:rFonts w:asciiTheme="minorHAnsi" w:eastAsia="Calibri" w:hAnsiTheme="minorHAnsi" w:cs="Calibri"/>
          <w:color w:val="451E51"/>
          <w:lang w:eastAsia="en-AU"/>
        </w:rPr>
        <w:tab/>
      </w:r>
      <w:r w:rsidR="005C60EB" w:rsidRPr="001D1CD5">
        <w:rPr>
          <w:rFonts w:asciiTheme="minorHAnsi" w:eastAsia="Calibri" w:hAnsiTheme="minorHAnsi" w:cs="Calibri"/>
          <w:color w:val="451E51"/>
          <w:lang w:eastAsia="en-AU"/>
        </w:rPr>
        <w:t xml:space="preserve">Major drafting problems with the leave provisions of the </w:t>
      </w:r>
      <w:proofErr w:type="spellStart"/>
      <w:r w:rsidR="005C60EB" w:rsidRPr="001D1CD5">
        <w:rPr>
          <w:rFonts w:asciiTheme="minorHAnsi" w:eastAsia="Calibri" w:hAnsiTheme="minorHAnsi" w:cs="Calibri"/>
          <w:color w:val="451E51"/>
          <w:lang w:eastAsia="en-AU"/>
        </w:rPr>
        <w:t>NES</w:t>
      </w:r>
      <w:proofErr w:type="spellEnd"/>
      <w:r w:rsidR="005C60EB" w:rsidRPr="001D1CD5">
        <w:rPr>
          <w:rFonts w:asciiTheme="minorHAnsi" w:eastAsia="Calibri" w:hAnsiTheme="minorHAnsi" w:cs="Calibri"/>
          <w:color w:val="451E51"/>
          <w:lang w:eastAsia="en-AU"/>
        </w:rPr>
        <w:t xml:space="preserve"> which are creating huge problems for employers</w:t>
      </w:r>
    </w:p>
    <w:p w14:paraId="0AFF6FFA" w14:textId="324F95E6" w:rsidR="0061373E" w:rsidRPr="001D1CD5" w:rsidRDefault="00306B11" w:rsidP="00E61BC4">
      <w:pPr>
        <w:pStyle w:val="ListParagraph"/>
        <w:spacing w:after="240" w:line="276" w:lineRule="auto"/>
        <w:ind w:left="0"/>
        <w:jc w:val="both"/>
        <w:rPr>
          <w:rFonts w:asciiTheme="minorHAnsi" w:hAnsiTheme="minorHAnsi"/>
        </w:rPr>
      </w:pPr>
      <w:r w:rsidRPr="001D1CD5">
        <w:rPr>
          <w:rFonts w:asciiTheme="minorHAnsi" w:hAnsiTheme="minorHAnsi"/>
        </w:rPr>
        <w:t>There are some major draf</w:t>
      </w:r>
      <w:r w:rsidR="0091383E" w:rsidRPr="001D1CD5">
        <w:rPr>
          <w:rFonts w:asciiTheme="minorHAnsi" w:hAnsiTheme="minorHAnsi"/>
        </w:rPr>
        <w:t>ting problems with the personal/</w:t>
      </w:r>
      <w:proofErr w:type="spellStart"/>
      <w:r w:rsidRPr="001D1CD5">
        <w:rPr>
          <w:rFonts w:asciiTheme="minorHAnsi" w:hAnsiTheme="minorHAnsi"/>
        </w:rPr>
        <w:t>carer’s</w:t>
      </w:r>
      <w:proofErr w:type="spellEnd"/>
      <w:r w:rsidRPr="001D1CD5">
        <w:rPr>
          <w:rFonts w:asciiTheme="minorHAnsi" w:hAnsiTheme="minorHAnsi"/>
        </w:rPr>
        <w:t xml:space="preserve"> leave and annual leave provisions of the FW Act. These issues have huge cost implications for employers and we urge the Productivity Commission to recommend the necessary changes as outlined below.</w:t>
      </w:r>
    </w:p>
    <w:p w14:paraId="157C98A3" w14:textId="6D79223E" w:rsidR="00AB34F1" w:rsidRPr="001D1CD5" w:rsidRDefault="0091383E" w:rsidP="00E61BC4">
      <w:pPr>
        <w:pStyle w:val="ListParagraph"/>
        <w:numPr>
          <w:ilvl w:val="0"/>
          <w:numId w:val="73"/>
        </w:numPr>
        <w:spacing w:after="240" w:line="276" w:lineRule="auto"/>
        <w:jc w:val="both"/>
        <w:rPr>
          <w:rFonts w:asciiTheme="minorHAnsi" w:hAnsiTheme="minorHAnsi"/>
          <w:b/>
        </w:rPr>
      </w:pPr>
      <w:r w:rsidRPr="001D1CD5">
        <w:rPr>
          <w:rFonts w:asciiTheme="minorHAnsi" w:hAnsiTheme="minorHAnsi"/>
          <w:b/>
        </w:rPr>
        <w:t>Accrual of personal /</w:t>
      </w:r>
      <w:proofErr w:type="spellStart"/>
      <w:r w:rsidR="00AB34F1" w:rsidRPr="001D1CD5">
        <w:rPr>
          <w:rFonts w:asciiTheme="minorHAnsi" w:hAnsiTheme="minorHAnsi"/>
          <w:b/>
        </w:rPr>
        <w:t>carer’s</w:t>
      </w:r>
      <w:proofErr w:type="spellEnd"/>
      <w:r w:rsidR="00AB34F1" w:rsidRPr="001D1CD5">
        <w:rPr>
          <w:rFonts w:asciiTheme="minorHAnsi" w:hAnsiTheme="minorHAnsi"/>
          <w:b/>
        </w:rPr>
        <w:t xml:space="preserve"> leave</w:t>
      </w:r>
    </w:p>
    <w:p w14:paraId="18131EA8" w14:textId="52024F49" w:rsidR="00AB34F1" w:rsidRPr="001D1CD5" w:rsidRDefault="00AB34F1" w:rsidP="00E61BC4">
      <w:pPr>
        <w:pStyle w:val="thomson-article"/>
        <w:tabs>
          <w:tab w:val="left" w:pos="851"/>
        </w:tabs>
        <w:spacing w:before="0" w:beforeAutospacing="0" w:after="240" w:afterAutospacing="0" w:line="276" w:lineRule="auto"/>
        <w:jc w:val="both"/>
        <w:rPr>
          <w:rFonts w:asciiTheme="minorHAnsi" w:hAnsiTheme="minorHAnsi"/>
          <w:color w:val="auto"/>
          <w:sz w:val="24"/>
          <w:szCs w:val="24"/>
        </w:rPr>
      </w:pPr>
      <w:r w:rsidRPr="001D1CD5">
        <w:rPr>
          <w:rFonts w:asciiTheme="minorHAnsi" w:hAnsiTheme="minorHAnsi"/>
          <w:color w:val="auto"/>
          <w:sz w:val="24"/>
          <w:szCs w:val="24"/>
        </w:rPr>
        <w:t xml:space="preserve">The 11 May 2015 decision of a Full Bench of the </w:t>
      </w:r>
      <w:proofErr w:type="spellStart"/>
      <w:r w:rsidRPr="001D1CD5">
        <w:rPr>
          <w:rFonts w:asciiTheme="minorHAnsi" w:hAnsiTheme="minorHAnsi"/>
          <w:color w:val="auto"/>
          <w:sz w:val="24"/>
          <w:szCs w:val="24"/>
        </w:rPr>
        <w:t>FWC</w:t>
      </w:r>
      <w:proofErr w:type="spellEnd"/>
      <w:r w:rsidRPr="001D1CD5">
        <w:rPr>
          <w:rFonts w:asciiTheme="minorHAnsi" w:hAnsiTheme="minorHAnsi"/>
          <w:color w:val="auto"/>
          <w:sz w:val="24"/>
          <w:szCs w:val="24"/>
        </w:rPr>
        <w:t xml:space="preserve"> in </w:t>
      </w:r>
      <w:hyperlink r:id="rId11" w:history="1">
        <w:proofErr w:type="spellStart"/>
        <w:r w:rsidRPr="00DD5EFB">
          <w:rPr>
            <w:rStyle w:val="Hyperlink"/>
            <w:rFonts w:asciiTheme="minorHAnsi" w:hAnsiTheme="minorHAnsi"/>
            <w:bCs/>
            <w:i/>
            <w:color w:val="0070C0"/>
            <w:sz w:val="24"/>
            <w:szCs w:val="24"/>
          </w:rPr>
          <w:t>RACV</w:t>
        </w:r>
        <w:proofErr w:type="spellEnd"/>
        <w:r w:rsidRPr="00DD5EFB">
          <w:rPr>
            <w:rStyle w:val="Hyperlink"/>
            <w:rFonts w:asciiTheme="minorHAnsi" w:hAnsiTheme="minorHAnsi"/>
            <w:bCs/>
            <w:i/>
            <w:color w:val="0070C0"/>
            <w:sz w:val="24"/>
            <w:szCs w:val="24"/>
          </w:rPr>
          <w:t xml:space="preserve"> v ASU</w:t>
        </w:r>
      </w:hyperlink>
      <w:r w:rsidRPr="001D1CD5">
        <w:rPr>
          <w:rFonts w:asciiTheme="minorHAnsi" w:hAnsiTheme="minorHAnsi"/>
          <w:bCs/>
          <w:color w:val="auto"/>
          <w:sz w:val="24"/>
          <w:szCs w:val="24"/>
        </w:rPr>
        <w:t xml:space="preserve"> </w:t>
      </w:r>
      <w:r w:rsidRPr="001D1CD5">
        <w:rPr>
          <w:rFonts w:asciiTheme="minorHAnsi" w:hAnsiTheme="minorHAnsi"/>
          <w:color w:val="auto"/>
          <w:sz w:val="24"/>
          <w:szCs w:val="24"/>
        </w:rPr>
        <w:t xml:space="preserve">[2015] </w:t>
      </w:r>
      <w:proofErr w:type="spellStart"/>
      <w:r w:rsidRPr="001D1CD5">
        <w:rPr>
          <w:rFonts w:asciiTheme="minorHAnsi" w:hAnsiTheme="minorHAnsi"/>
          <w:color w:val="auto"/>
          <w:sz w:val="24"/>
          <w:szCs w:val="24"/>
        </w:rPr>
        <w:t>FWCFB</w:t>
      </w:r>
      <w:proofErr w:type="spellEnd"/>
      <w:r w:rsidRPr="001D1CD5">
        <w:rPr>
          <w:rFonts w:asciiTheme="minorHAnsi" w:hAnsiTheme="minorHAnsi"/>
          <w:color w:val="auto"/>
          <w:sz w:val="24"/>
          <w:szCs w:val="24"/>
        </w:rPr>
        <w:t xml:space="preserve"> 2881</w:t>
      </w:r>
      <w:r w:rsidR="00566C4F" w:rsidRPr="001D1CD5">
        <w:rPr>
          <w:rFonts w:asciiTheme="minorHAnsi" w:hAnsiTheme="minorHAnsi"/>
          <w:color w:val="auto"/>
          <w:sz w:val="24"/>
          <w:szCs w:val="24"/>
        </w:rPr>
        <w:t xml:space="preserve"> </w:t>
      </w:r>
      <w:r w:rsidRPr="001D1CD5">
        <w:rPr>
          <w:rFonts w:asciiTheme="minorHAnsi" w:hAnsiTheme="minorHAnsi"/>
          <w:color w:val="auto"/>
          <w:sz w:val="24"/>
          <w:szCs w:val="24"/>
        </w:rPr>
        <w:t xml:space="preserve">is causing considerable concern and uncertainty for employers </w:t>
      </w:r>
      <w:r w:rsidR="00566C4F" w:rsidRPr="001D1CD5">
        <w:rPr>
          <w:rFonts w:asciiTheme="minorHAnsi" w:hAnsiTheme="minorHAnsi"/>
          <w:color w:val="auto"/>
          <w:sz w:val="24"/>
          <w:szCs w:val="24"/>
        </w:rPr>
        <w:t xml:space="preserve">of </w:t>
      </w:r>
      <w:r w:rsidRPr="001D1CD5">
        <w:rPr>
          <w:rFonts w:asciiTheme="minorHAnsi" w:hAnsiTheme="minorHAnsi"/>
          <w:color w:val="auto"/>
          <w:sz w:val="24"/>
          <w:szCs w:val="24"/>
        </w:rPr>
        <w:t xml:space="preserve">employees </w:t>
      </w:r>
      <w:r w:rsidR="00566C4F" w:rsidRPr="001D1CD5">
        <w:rPr>
          <w:rFonts w:asciiTheme="minorHAnsi" w:hAnsiTheme="minorHAnsi"/>
          <w:color w:val="auto"/>
          <w:sz w:val="24"/>
          <w:szCs w:val="24"/>
        </w:rPr>
        <w:t>who</w:t>
      </w:r>
      <w:r w:rsidR="000A491F" w:rsidRPr="001D1CD5">
        <w:rPr>
          <w:rFonts w:asciiTheme="minorHAnsi" w:hAnsiTheme="minorHAnsi"/>
          <w:color w:val="auto"/>
          <w:sz w:val="24"/>
          <w:szCs w:val="24"/>
        </w:rPr>
        <w:t>se</w:t>
      </w:r>
      <w:r w:rsidR="00566C4F" w:rsidRPr="001D1CD5">
        <w:rPr>
          <w:rFonts w:asciiTheme="minorHAnsi" w:hAnsiTheme="minorHAnsi"/>
          <w:color w:val="auto"/>
          <w:sz w:val="24"/>
          <w:szCs w:val="24"/>
        </w:rPr>
        <w:t xml:space="preserve"> 38 ordinary hours </w:t>
      </w:r>
      <w:r w:rsidR="000A491F" w:rsidRPr="001D1CD5">
        <w:rPr>
          <w:rFonts w:asciiTheme="minorHAnsi" w:hAnsiTheme="minorHAnsi"/>
          <w:color w:val="auto"/>
          <w:sz w:val="24"/>
          <w:szCs w:val="24"/>
        </w:rPr>
        <w:t xml:space="preserve">are </w:t>
      </w:r>
      <w:r w:rsidR="00566C4F" w:rsidRPr="001D1CD5">
        <w:rPr>
          <w:rFonts w:asciiTheme="minorHAnsi" w:hAnsiTheme="minorHAnsi"/>
          <w:color w:val="auto"/>
          <w:sz w:val="24"/>
          <w:szCs w:val="24"/>
        </w:rPr>
        <w:t>structured on the basis of 8,</w:t>
      </w:r>
      <w:r w:rsidRPr="001D1CD5">
        <w:rPr>
          <w:rFonts w:asciiTheme="minorHAnsi" w:hAnsiTheme="minorHAnsi"/>
          <w:color w:val="auto"/>
          <w:sz w:val="24"/>
          <w:szCs w:val="24"/>
        </w:rPr>
        <w:t xml:space="preserve"> </w:t>
      </w:r>
      <w:r w:rsidR="00566C4F" w:rsidRPr="001D1CD5">
        <w:rPr>
          <w:rFonts w:asciiTheme="minorHAnsi" w:hAnsiTheme="minorHAnsi"/>
          <w:color w:val="auto"/>
          <w:sz w:val="24"/>
          <w:szCs w:val="24"/>
        </w:rPr>
        <w:t xml:space="preserve">10 </w:t>
      </w:r>
      <w:r w:rsidRPr="001D1CD5">
        <w:rPr>
          <w:rFonts w:asciiTheme="minorHAnsi" w:hAnsiTheme="minorHAnsi"/>
          <w:color w:val="auto"/>
          <w:sz w:val="24"/>
          <w:szCs w:val="24"/>
        </w:rPr>
        <w:t>or 12 hour</w:t>
      </w:r>
      <w:r w:rsidR="00566C4F" w:rsidRPr="001D1CD5">
        <w:rPr>
          <w:rFonts w:asciiTheme="minorHAnsi" w:hAnsiTheme="minorHAnsi"/>
          <w:color w:val="auto"/>
          <w:sz w:val="24"/>
          <w:szCs w:val="24"/>
        </w:rPr>
        <w:t xml:space="preserve"> days or shifts.</w:t>
      </w:r>
    </w:p>
    <w:p w14:paraId="0147ACFE" w14:textId="59F72EF2" w:rsidR="00AB34F1" w:rsidRPr="001D1CD5" w:rsidRDefault="00AB34F1" w:rsidP="000A491F">
      <w:pPr>
        <w:pStyle w:val="thomson-article"/>
        <w:tabs>
          <w:tab w:val="left" w:pos="851"/>
        </w:tabs>
        <w:spacing w:before="0" w:beforeAutospacing="0" w:after="240" w:afterAutospacing="0" w:line="276" w:lineRule="auto"/>
        <w:jc w:val="both"/>
        <w:rPr>
          <w:rFonts w:asciiTheme="minorHAnsi" w:hAnsiTheme="minorHAnsi"/>
          <w:color w:val="auto"/>
          <w:sz w:val="24"/>
          <w:szCs w:val="24"/>
        </w:rPr>
      </w:pPr>
      <w:r w:rsidRPr="001D1CD5">
        <w:rPr>
          <w:rFonts w:asciiTheme="minorHAnsi" w:hAnsiTheme="minorHAnsi"/>
          <w:color w:val="auto"/>
          <w:sz w:val="24"/>
          <w:szCs w:val="24"/>
        </w:rPr>
        <w:t xml:space="preserve">The interpretation </w:t>
      </w:r>
      <w:r w:rsidR="000A491F" w:rsidRPr="001D1CD5">
        <w:rPr>
          <w:rFonts w:asciiTheme="minorHAnsi" w:hAnsiTheme="minorHAnsi"/>
          <w:color w:val="auto"/>
          <w:sz w:val="24"/>
          <w:szCs w:val="24"/>
        </w:rPr>
        <w:t xml:space="preserve">of </w:t>
      </w:r>
      <w:proofErr w:type="spellStart"/>
      <w:r w:rsidR="000A491F" w:rsidRPr="001D1CD5">
        <w:rPr>
          <w:rFonts w:asciiTheme="minorHAnsi" w:hAnsiTheme="minorHAnsi"/>
          <w:color w:val="auto"/>
          <w:sz w:val="24"/>
          <w:szCs w:val="24"/>
        </w:rPr>
        <w:t>s.</w:t>
      </w:r>
      <w:r w:rsidRPr="001D1CD5">
        <w:rPr>
          <w:rFonts w:asciiTheme="minorHAnsi" w:hAnsiTheme="minorHAnsi"/>
          <w:color w:val="auto"/>
          <w:sz w:val="24"/>
          <w:szCs w:val="24"/>
        </w:rPr>
        <w:t>96</w:t>
      </w:r>
      <w:proofErr w:type="spellEnd"/>
      <w:r w:rsidRPr="001D1CD5">
        <w:rPr>
          <w:rFonts w:asciiTheme="minorHAnsi" w:hAnsiTheme="minorHAnsi"/>
          <w:color w:val="auto"/>
          <w:sz w:val="24"/>
          <w:szCs w:val="24"/>
        </w:rPr>
        <w:t xml:space="preserve"> of the </w:t>
      </w:r>
      <w:r w:rsidR="000A491F" w:rsidRPr="001D1CD5">
        <w:rPr>
          <w:rFonts w:asciiTheme="minorHAnsi" w:hAnsiTheme="minorHAnsi"/>
          <w:color w:val="auto"/>
          <w:sz w:val="24"/>
          <w:szCs w:val="24"/>
        </w:rPr>
        <w:t>FW Act</w:t>
      </w:r>
      <w:r w:rsidRPr="001D1CD5">
        <w:rPr>
          <w:rFonts w:asciiTheme="minorHAnsi" w:hAnsiTheme="minorHAnsi"/>
          <w:color w:val="auto"/>
          <w:sz w:val="24"/>
          <w:szCs w:val="24"/>
        </w:rPr>
        <w:t xml:space="preserve"> adopted by the Full Bench in the decision conflicts with the interpretation widely adopted by employers regarding personal/carer’s leave accruals. </w:t>
      </w:r>
      <w:r w:rsidR="00566C4F" w:rsidRPr="001D1CD5">
        <w:rPr>
          <w:rFonts w:asciiTheme="minorHAnsi" w:hAnsiTheme="minorHAnsi"/>
          <w:color w:val="auto"/>
          <w:sz w:val="24"/>
          <w:szCs w:val="24"/>
        </w:rPr>
        <w:t>The</w:t>
      </w:r>
      <w:r w:rsidRPr="001D1CD5">
        <w:rPr>
          <w:rFonts w:asciiTheme="minorHAnsi" w:hAnsiTheme="minorHAnsi"/>
          <w:color w:val="auto"/>
          <w:sz w:val="24"/>
          <w:szCs w:val="24"/>
        </w:rPr>
        <w:t xml:space="preserve"> interpretation </w:t>
      </w:r>
      <w:r w:rsidR="000A491F" w:rsidRPr="001D1CD5">
        <w:rPr>
          <w:rFonts w:asciiTheme="minorHAnsi" w:hAnsiTheme="minorHAnsi"/>
          <w:color w:val="auto"/>
          <w:sz w:val="24"/>
          <w:szCs w:val="24"/>
        </w:rPr>
        <w:t xml:space="preserve">also </w:t>
      </w:r>
      <w:r w:rsidRPr="001D1CD5">
        <w:rPr>
          <w:rFonts w:asciiTheme="minorHAnsi" w:hAnsiTheme="minorHAnsi"/>
          <w:color w:val="auto"/>
          <w:sz w:val="24"/>
          <w:szCs w:val="24"/>
        </w:rPr>
        <w:t xml:space="preserve">conflicts with a number of previous </w:t>
      </w:r>
      <w:proofErr w:type="spellStart"/>
      <w:r w:rsidRPr="001D1CD5">
        <w:rPr>
          <w:rFonts w:asciiTheme="minorHAnsi" w:hAnsiTheme="minorHAnsi"/>
          <w:color w:val="auto"/>
          <w:sz w:val="24"/>
          <w:szCs w:val="24"/>
        </w:rPr>
        <w:t>FWC</w:t>
      </w:r>
      <w:proofErr w:type="spellEnd"/>
      <w:r w:rsidRPr="001D1CD5">
        <w:rPr>
          <w:rFonts w:asciiTheme="minorHAnsi" w:hAnsiTheme="minorHAnsi"/>
          <w:color w:val="auto"/>
          <w:sz w:val="24"/>
          <w:szCs w:val="24"/>
        </w:rPr>
        <w:t xml:space="preserve"> decisions. </w:t>
      </w:r>
    </w:p>
    <w:p w14:paraId="43F6E41F" w14:textId="0EE8BEFA" w:rsidR="00AB34F1" w:rsidRPr="001D1CD5" w:rsidRDefault="00AB34F1" w:rsidP="00566C4F">
      <w:pPr>
        <w:pStyle w:val="thomson-article"/>
        <w:spacing w:before="0" w:beforeAutospacing="0" w:after="240" w:afterAutospacing="0" w:line="276" w:lineRule="auto"/>
        <w:jc w:val="both"/>
        <w:rPr>
          <w:rFonts w:asciiTheme="minorHAnsi" w:hAnsiTheme="minorHAnsi"/>
          <w:color w:val="auto"/>
          <w:sz w:val="24"/>
          <w:szCs w:val="24"/>
        </w:rPr>
      </w:pPr>
      <w:r w:rsidRPr="001D1CD5">
        <w:rPr>
          <w:rFonts w:asciiTheme="minorHAnsi" w:hAnsiTheme="minorHAnsi"/>
          <w:color w:val="auto"/>
          <w:sz w:val="24"/>
          <w:szCs w:val="24"/>
        </w:rPr>
        <w:t>Section 96 states:</w:t>
      </w:r>
    </w:p>
    <w:p w14:paraId="719A6049" w14:textId="77777777" w:rsidR="00AB34F1" w:rsidRPr="001D1CD5" w:rsidRDefault="00AB34F1" w:rsidP="00566C4F">
      <w:pPr>
        <w:tabs>
          <w:tab w:val="left" w:pos="284"/>
        </w:tabs>
        <w:spacing w:after="120" w:line="276" w:lineRule="auto"/>
        <w:ind w:left="284"/>
        <w:jc w:val="both"/>
        <w:rPr>
          <w:rFonts w:asciiTheme="minorHAnsi" w:hAnsiTheme="minorHAnsi" w:cs="Arial"/>
          <w:i/>
        </w:rPr>
      </w:pPr>
      <w:r w:rsidRPr="001D1CD5">
        <w:rPr>
          <w:rFonts w:asciiTheme="minorHAnsi" w:hAnsiTheme="minorHAnsi" w:cs="Arial"/>
          <w:b/>
          <w:bCs/>
          <w:i/>
        </w:rPr>
        <w:t>Entitlement to paid personal/</w:t>
      </w:r>
      <w:proofErr w:type="spellStart"/>
      <w:r w:rsidRPr="001D1CD5">
        <w:rPr>
          <w:rFonts w:asciiTheme="minorHAnsi" w:hAnsiTheme="minorHAnsi" w:cs="Arial"/>
          <w:b/>
          <w:bCs/>
          <w:i/>
        </w:rPr>
        <w:t>carer's</w:t>
      </w:r>
      <w:proofErr w:type="spellEnd"/>
      <w:r w:rsidRPr="001D1CD5">
        <w:rPr>
          <w:rFonts w:asciiTheme="minorHAnsi" w:hAnsiTheme="minorHAnsi" w:cs="Arial"/>
          <w:b/>
          <w:bCs/>
          <w:i/>
        </w:rPr>
        <w:t xml:space="preserve"> leave</w:t>
      </w:r>
      <w:r w:rsidRPr="001D1CD5">
        <w:rPr>
          <w:rFonts w:asciiTheme="minorHAnsi" w:hAnsiTheme="minorHAnsi" w:cs="Arial"/>
          <w:i/>
        </w:rPr>
        <w:t xml:space="preserve"> </w:t>
      </w:r>
    </w:p>
    <w:p w14:paraId="4A6CC75B" w14:textId="77777777" w:rsidR="00AB34F1" w:rsidRPr="001D1CD5" w:rsidRDefault="00AB34F1" w:rsidP="00566C4F">
      <w:pPr>
        <w:pStyle w:val="subsectionhead0"/>
        <w:spacing w:before="0" w:beforeAutospacing="0" w:after="120" w:afterAutospacing="0" w:line="276" w:lineRule="auto"/>
        <w:ind w:left="284"/>
        <w:jc w:val="both"/>
        <w:rPr>
          <w:rFonts w:asciiTheme="minorHAnsi" w:hAnsiTheme="minorHAnsi" w:cs="Arial"/>
          <w:i/>
        </w:rPr>
      </w:pPr>
      <w:r w:rsidRPr="001D1CD5">
        <w:rPr>
          <w:rFonts w:asciiTheme="minorHAnsi" w:hAnsiTheme="minorHAnsi" w:cs="Arial"/>
          <w:i/>
        </w:rPr>
        <w:t xml:space="preserve">Amount of leave </w:t>
      </w:r>
    </w:p>
    <w:p w14:paraId="4A28CB0B" w14:textId="77777777" w:rsidR="00AB34F1" w:rsidRPr="001D1CD5" w:rsidRDefault="00AB34F1" w:rsidP="00566C4F">
      <w:pPr>
        <w:pStyle w:val="subsection"/>
        <w:spacing w:before="0" w:after="120" w:line="276" w:lineRule="auto"/>
        <w:ind w:left="284" w:firstLine="0"/>
        <w:jc w:val="both"/>
        <w:rPr>
          <w:rFonts w:asciiTheme="minorHAnsi" w:hAnsiTheme="minorHAnsi" w:cs="Arial"/>
          <w:i/>
          <w:sz w:val="24"/>
          <w:szCs w:val="24"/>
        </w:rPr>
      </w:pPr>
      <w:r w:rsidRPr="001D1CD5">
        <w:rPr>
          <w:rFonts w:asciiTheme="minorHAnsi" w:hAnsiTheme="minorHAnsi" w:cs="Arial"/>
          <w:i/>
          <w:sz w:val="24"/>
          <w:szCs w:val="24"/>
        </w:rPr>
        <w:t xml:space="preserve">(1) </w:t>
      </w:r>
      <w:r w:rsidRPr="001D1CD5">
        <w:rPr>
          <w:rFonts w:asciiTheme="minorHAnsi" w:hAnsiTheme="minorHAnsi" w:cs="Arial"/>
          <w:i/>
          <w:sz w:val="24"/>
          <w:szCs w:val="24"/>
        </w:rPr>
        <w:tab/>
        <w:t xml:space="preserve">For each year of service with his or her employer, an employee is entitled to 10 days of paid personal/carer's leave. </w:t>
      </w:r>
    </w:p>
    <w:p w14:paraId="1A024ECC" w14:textId="77777777" w:rsidR="00AB34F1" w:rsidRPr="001D1CD5" w:rsidRDefault="00AB34F1" w:rsidP="00566C4F">
      <w:pPr>
        <w:pStyle w:val="subsectionhead0"/>
        <w:spacing w:before="0" w:beforeAutospacing="0" w:after="120" w:afterAutospacing="0" w:line="276" w:lineRule="auto"/>
        <w:ind w:left="284"/>
        <w:jc w:val="both"/>
        <w:rPr>
          <w:rFonts w:asciiTheme="minorHAnsi" w:hAnsiTheme="minorHAnsi" w:cs="Arial"/>
          <w:i/>
        </w:rPr>
      </w:pPr>
      <w:r w:rsidRPr="001D1CD5">
        <w:rPr>
          <w:rFonts w:asciiTheme="minorHAnsi" w:hAnsiTheme="minorHAnsi" w:cs="Arial"/>
          <w:i/>
        </w:rPr>
        <w:t xml:space="preserve">Accrual of leave </w:t>
      </w:r>
    </w:p>
    <w:p w14:paraId="6595ADDE" w14:textId="77777777" w:rsidR="00AB34F1" w:rsidRPr="001D1CD5" w:rsidRDefault="00AB34F1" w:rsidP="00566C4F">
      <w:pPr>
        <w:pStyle w:val="subsection"/>
        <w:spacing w:before="0" w:after="240" w:line="276" w:lineRule="auto"/>
        <w:ind w:left="284" w:firstLine="0"/>
        <w:jc w:val="both"/>
        <w:rPr>
          <w:rFonts w:asciiTheme="minorHAnsi" w:hAnsiTheme="minorHAnsi" w:cs="Arial"/>
          <w:i/>
          <w:sz w:val="24"/>
          <w:szCs w:val="24"/>
        </w:rPr>
      </w:pPr>
      <w:r w:rsidRPr="001D1CD5">
        <w:rPr>
          <w:rFonts w:asciiTheme="minorHAnsi" w:hAnsiTheme="minorHAnsi" w:cs="Arial"/>
          <w:i/>
          <w:sz w:val="24"/>
          <w:szCs w:val="24"/>
        </w:rPr>
        <w:t xml:space="preserve">(2) </w:t>
      </w:r>
      <w:r w:rsidRPr="001D1CD5">
        <w:rPr>
          <w:rFonts w:asciiTheme="minorHAnsi" w:hAnsiTheme="minorHAnsi" w:cs="Arial"/>
          <w:i/>
          <w:sz w:val="24"/>
          <w:szCs w:val="24"/>
        </w:rPr>
        <w:tab/>
        <w:t xml:space="preserve">An employee's entitlement to paid personal/carer's leave accrues progressively during a year of service according to the employee's ordinary hours of work, and accumulates from year to year. </w:t>
      </w:r>
    </w:p>
    <w:p w14:paraId="3A3BFB9C" w14:textId="7944B772" w:rsidR="00AB34F1" w:rsidRPr="001D1CD5" w:rsidRDefault="00AB34F1" w:rsidP="00AB34F1">
      <w:pPr>
        <w:pStyle w:val="thomson-article"/>
        <w:spacing w:before="0" w:beforeAutospacing="0" w:after="240" w:afterAutospacing="0" w:line="276" w:lineRule="auto"/>
        <w:jc w:val="both"/>
        <w:rPr>
          <w:rFonts w:asciiTheme="minorHAnsi" w:hAnsiTheme="minorHAnsi"/>
          <w:color w:val="auto"/>
          <w:sz w:val="24"/>
          <w:szCs w:val="24"/>
        </w:rPr>
      </w:pPr>
      <w:r w:rsidRPr="001D1CD5">
        <w:rPr>
          <w:rFonts w:asciiTheme="minorHAnsi" w:hAnsiTheme="minorHAnsi"/>
          <w:color w:val="auto"/>
          <w:sz w:val="24"/>
          <w:szCs w:val="24"/>
        </w:rPr>
        <w:t xml:space="preserve">Ai Group’s understanding of </w:t>
      </w:r>
      <w:proofErr w:type="spellStart"/>
      <w:r w:rsidRPr="001D1CD5">
        <w:rPr>
          <w:rFonts w:asciiTheme="minorHAnsi" w:hAnsiTheme="minorHAnsi"/>
          <w:color w:val="auto"/>
          <w:sz w:val="24"/>
          <w:szCs w:val="24"/>
        </w:rPr>
        <w:t>s</w:t>
      </w:r>
      <w:r w:rsidR="000A491F" w:rsidRPr="001D1CD5">
        <w:rPr>
          <w:rFonts w:asciiTheme="minorHAnsi" w:hAnsiTheme="minorHAnsi"/>
          <w:color w:val="auto"/>
          <w:sz w:val="24"/>
          <w:szCs w:val="24"/>
        </w:rPr>
        <w:t>.</w:t>
      </w:r>
      <w:r w:rsidRPr="001D1CD5">
        <w:rPr>
          <w:rFonts w:asciiTheme="minorHAnsi" w:hAnsiTheme="minorHAnsi"/>
          <w:color w:val="auto"/>
          <w:sz w:val="24"/>
          <w:szCs w:val="24"/>
        </w:rPr>
        <w:t>96</w:t>
      </w:r>
      <w:proofErr w:type="spellEnd"/>
      <w:r w:rsidRPr="001D1CD5">
        <w:rPr>
          <w:rFonts w:asciiTheme="minorHAnsi" w:hAnsiTheme="minorHAnsi"/>
          <w:color w:val="auto"/>
          <w:sz w:val="24"/>
          <w:szCs w:val="24"/>
        </w:rPr>
        <w:t xml:space="preserve"> is that, for example, an employee working an average of 38 ordinary hours per week on the basis of 12 hour shifts would be entitled to 76 hours of personal/carer’s leave per year, not 120 hours of leave. The 1</w:t>
      </w:r>
      <w:r w:rsidR="000A491F" w:rsidRPr="001D1CD5">
        <w:rPr>
          <w:rFonts w:asciiTheme="minorHAnsi" w:hAnsiTheme="minorHAnsi"/>
          <w:color w:val="auto"/>
          <w:sz w:val="24"/>
          <w:szCs w:val="24"/>
        </w:rPr>
        <w:t xml:space="preserve">0 day entitlement in </w:t>
      </w:r>
      <w:proofErr w:type="spellStart"/>
      <w:r w:rsidR="000A491F" w:rsidRPr="001D1CD5">
        <w:rPr>
          <w:rFonts w:asciiTheme="minorHAnsi" w:hAnsiTheme="minorHAnsi"/>
          <w:color w:val="auto"/>
          <w:sz w:val="24"/>
          <w:szCs w:val="24"/>
        </w:rPr>
        <w:t>s.</w:t>
      </w:r>
      <w:r w:rsidRPr="001D1CD5">
        <w:rPr>
          <w:rFonts w:asciiTheme="minorHAnsi" w:hAnsiTheme="minorHAnsi"/>
          <w:color w:val="auto"/>
          <w:sz w:val="24"/>
          <w:szCs w:val="24"/>
        </w:rPr>
        <w:t>96</w:t>
      </w:r>
      <w:proofErr w:type="spellEnd"/>
      <w:r w:rsidRPr="001D1CD5">
        <w:rPr>
          <w:rFonts w:asciiTheme="minorHAnsi" w:hAnsiTheme="minorHAnsi"/>
          <w:color w:val="auto"/>
          <w:sz w:val="24"/>
          <w:szCs w:val="24"/>
        </w:rPr>
        <w:t>(1) of the Act needs to be read in conjunction with the a</w:t>
      </w:r>
      <w:r w:rsidR="000A491F" w:rsidRPr="001D1CD5">
        <w:rPr>
          <w:rFonts w:asciiTheme="minorHAnsi" w:hAnsiTheme="minorHAnsi"/>
          <w:color w:val="auto"/>
          <w:sz w:val="24"/>
          <w:szCs w:val="24"/>
        </w:rPr>
        <w:t xml:space="preserve">ccrual provisions in </w:t>
      </w:r>
      <w:proofErr w:type="spellStart"/>
      <w:r w:rsidR="000A491F" w:rsidRPr="001D1CD5">
        <w:rPr>
          <w:rFonts w:asciiTheme="minorHAnsi" w:hAnsiTheme="minorHAnsi"/>
          <w:color w:val="auto"/>
          <w:sz w:val="24"/>
          <w:szCs w:val="24"/>
        </w:rPr>
        <w:t>s.</w:t>
      </w:r>
      <w:r w:rsidRPr="001D1CD5">
        <w:rPr>
          <w:rFonts w:asciiTheme="minorHAnsi" w:hAnsiTheme="minorHAnsi"/>
          <w:color w:val="auto"/>
          <w:sz w:val="24"/>
          <w:szCs w:val="24"/>
        </w:rPr>
        <w:t>96</w:t>
      </w:r>
      <w:proofErr w:type="spellEnd"/>
      <w:r w:rsidRPr="001D1CD5">
        <w:rPr>
          <w:rFonts w:asciiTheme="minorHAnsi" w:hAnsiTheme="minorHAnsi"/>
          <w:color w:val="auto"/>
          <w:sz w:val="24"/>
          <w:szCs w:val="24"/>
        </w:rPr>
        <w:t xml:space="preserve">(2). The Explanatory Memorandum for the </w:t>
      </w:r>
      <w:r w:rsidR="0091383E" w:rsidRPr="001D1CD5">
        <w:rPr>
          <w:rFonts w:asciiTheme="minorHAnsi" w:hAnsiTheme="minorHAnsi"/>
          <w:i/>
          <w:color w:val="auto"/>
          <w:sz w:val="24"/>
          <w:szCs w:val="24"/>
        </w:rPr>
        <w:t>Fair Work Bill</w:t>
      </w:r>
      <w:r w:rsidR="0091383E" w:rsidRPr="001D1CD5">
        <w:rPr>
          <w:rFonts w:asciiTheme="minorHAnsi" w:hAnsiTheme="minorHAnsi"/>
          <w:color w:val="auto"/>
          <w:sz w:val="24"/>
          <w:szCs w:val="24"/>
        </w:rPr>
        <w:t xml:space="preserve"> </w:t>
      </w:r>
      <w:r w:rsidRPr="001D1CD5">
        <w:rPr>
          <w:rFonts w:asciiTheme="minorHAnsi" w:hAnsiTheme="minorHAnsi"/>
          <w:color w:val="auto"/>
          <w:sz w:val="24"/>
          <w:szCs w:val="24"/>
        </w:rPr>
        <w:t>suppo</w:t>
      </w:r>
      <w:r w:rsidR="0091383E" w:rsidRPr="001D1CD5">
        <w:rPr>
          <w:rFonts w:asciiTheme="minorHAnsi" w:hAnsiTheme="minorHAnsi"/>
          <w:color w:val="auto"/>
          <w:sz w:val="24"/>
          <w:szCs w:val="24"/>
        </w:rPr>
        <w:t xml:space="preserve">rts this interpretation. It </w:t>
      </w:r>
      <w:r w:rsidRPr="001D1CD5">
        <w:rPr>
          <w:rFonts w:asciiTheme="minorHAnsi" w:hAnsiTheme="minorHAnsi"/>
          <w:color w:val="auto"/>
          <w:sz w:val="24"/>
          <w:szCs w:val="24"/>
        </w:rPr>
        <w:t>states:</w:t>
      </w:r>
    </w:p>
    <w:p w14:paraId="2A3060F9" w14:textId="77777777" w:rsidR="00AB34F1" w:rsidRPr="001D1CD5" w:rsidRDefault="00AB34F1" w:rsidP="00566C4F">
      <w:pPr>
        <w:pStyle w:val="thomson-article"/>
        <w:spacing w:before="0" w:beforeAutospacing="0" w:after="120" w:afterAutospacing="0" w:line="276" w:lineRule="auto"/>
        <w:ind w:left="720"/>
        <w:jc w:val="both"/>
        <w:rPr>
          <w:rFonts w:asciiTheme="minorHAnsi" w:hAnsiTheme="minorHAnsi"/>
          <w:i/>
          <w:color w:val="auto"/>
          <w:sz w:val="24"/>
          <w:szCs w:val="24"/>
        </w:rPr>
      </w:pPr>
      <w:r w:rsidRPr="001D1CD5">
        <w:rPr>
          <w:rFonts w:asciiTheme="minorHAnsi" w:hAnsiTheme="minorHAnsi"/>
          <w:i/>
          <w:color w:val="auto"/>
          <w:sz w:val="24"/>
          <w:szCs w:val="24"/>
        </w:rPr>
        <w:t>“The concept of an employee’s ordinary hours of work is central to the paid personal/carer’s leave entitlement as it determines the rate at which the entitlement accrues and also the entitlement to payment when leave is due.</w:t>
      </w:r>
    </w:p>
    <w:p w14:paraId="1D04E702" w14:textId="77777777" w:rsidR="00AB34F1" w:rsidRPr="001D1CD5" w:rsidRDefault="00AB34F1" w:rsidP="00566C4F">
      <w:pPr>
        <w:pStyle w:val="thomson-article"/>
        <w:spacing w:before="0" w:beforeAutospacing="0" w:after="120" w:afterAutospacing="0" w:line="276" w:lineRule="auto"/>
        <w:ind w:left="720"/>
        <w:jc w:val="both"/>
        <w:rPr>
          <w:rFonts w:asciiTheme="minorHAnsi" w:hAnsiTheme="minorHAnsi"/>
          <w:i/>
          <w:color w:val="auto"/>
          <w:sz w:val="24"/>
          <w:szCs w:val="24"/>
        </w:rPr>
      </w:pPr>
      <w:r w:rsidRPr="001D1CD5">
        <w:rPr>
          <w:rFonts w:asciiTheme="minorHAnsi" w:hAnsiTheme="minorHAnsi"/>
          <w:i/>
          <w:color w:val="auto"/>
          <w:sz w:val="24"/>
          <w:szCs w:val="24"/>
        </w:rPr>
        <w:t>- - -</w:t>
      </w:r>
    </w:p>
    <w:p w14:paraId="601EF431" w14:textId="77777777" w:rsidR="00AB34F1" w:rsidRPr="001D1CD5" w:rsidRDefault="00AB34F1" w:rsidP="00566C4F">
      <w:pPr>
        <w:pStyle w:val="thomson-article"/>
        <w:spacing w:before="0" w:beforeAutospacing="0" w:after="240" w:afterAutospacing="0" w:line="276" w:lineRule="auto"/>
        <w:ind w:left="720"/>
        <w:jc w:val="both"/>
        <w:rPr>
          <w:rFonts w:asciiTheme="minorHAnsi" w:hAnsiTheme="minorHAnsi"/>
          <w:i/>
          <w:color w:val="auto"/>
          <w:sz w:val="24"/>
          <w:szCs w:val="24"/>
        </w:rPr>
      </w:pPr>
      <w:r w:rsidRPr="001D1CD5">
        <w:rPr>
          <w:rFonts w:asciiTheme="minorHAnsi" w:hAnsiTheme="minorHAnsi"/>
          <w:i/>
          <w:color w:val="auto"/>
          <w:sz w:val="24"/>
          <w:szCs w:val="24"/>
        </w:rPr>
        <w:t xml:space="preserve">Therefore, a full-time employee who works 38 hours a week over five days (Monday to Friday) will accrue the same amount of leave as a full-time employee who works 38 ordinary hours over four days per week. </w:t>
      </w:r>
      <w:r w:rsidRPr="001D1CD5">
        <w:rPr>
          <w:rFonts w:asciiTheme="minorHAnsi" w:hAnsiTheme="minorHAnsi"/>
          <w:i/>
          <w:color w:val="auto"/>
          <w:sz w:val="24"/>
          <w:szCs w:val="24"/>
          <w:u w:val="single"/>
        </w:rPr>
        <w:t>Over a year of service both employees would accrue 76 hours of paid personal/carer’s leave</w:t>
      </w:r>
      <w:r w:rsidRPr="001D1CD5">
        <w:rPr>
          <w:rFonts w:asciiTheme="minorHAnsi" w:hAnsiTheme="minorHAnsi"/>
          <w:i/>
          <w:color w:val="auto"/>
          <w:sz w:val="24"/>
          <w:szCs w:val="24"/>
        </w:rPr>
        <w:t>.”</w:t>
      </w:r>
    </w:p>
    <w:p w14:paraId="1E8AEC0C" w14:textId="3B440335" w:rsidR="00AB34F1" w:rsidRPr="001D1CD5" w:rsidRDefault="00AB34F1" w:rsidP="00AB34F1">
      <w:pPr>
        <w:pStyle w:val="thomson-article"/>
        <w:spacing w:before="0" w:beforeAutospacing="0" w:after="240" w:afterAutospacing="0" w:line="276" w:lineRule="auto"/>
        <w:jc w:val="both"/>
        <w:rPr>
          <w:rFonts w:asciiTheme="minorHAnsi" w:hAnsiTheme="minorHAnsi"/>
          <w:color w:val="auto"/>
          <w:sz w:val="24"/>
          <w:szCs w:val="24"/>
        </w:rPr>
      </w:pPr>
      <w:r w:rsidRPr="001D1CD5">
        <w:rPr>
          <w:rFonts w:asciiTheme="minorHAnsi" w:hAnsiTheme="minorHAnsi"/>
          <w:color w:val="auto"/>
          <w:sz w:val="24"/>
          <w:szCs w:val="24"/>
        </w:rPr>
        <w:lastRenderedPageBreak/>
        <w:t xml:space="preserve">Contrary to the above explanation and the understandings when the FW Act was being developed, in the </w:t>
      </w:r>
      <w:proofErr w:type="spellStart"/>
      <w:r w:rsidRPr="001D1CD5">
        <w:rPr>
          <w:rFonts w:asciiTheme="minorHAnsi" w:hAnsiTheme="minorHAnsi"/>
          <w:i/>
          <w:color w:val="auto"/>
          <w:sz w:val="24"/>
          <w:szCs w:val="24"/>
        </w:rPr>
        <w:t>RACV</w:t>
      </w:r>
      <w:proofErr w:type="spellEnd"/>
      <w:r w:rsidRPr="001D1CD5">
        <w:rPr>
          <w:rFonts w:asciiTheme="minorHAnsi" w:hAnsiTheme="minorHAnsi"/>
          <w:color w:val="auto"/>
          <w:sz w:val="24"/>
          <w:szCs w:val="24"/>
        </w:rPr>
        <w:t xml:space="preserve"> case the Full Bench decided that the re</w:t>
      </w:r>
      <w:r w:rsidR="000A491F" w:rsidRPr="001D1CD5">
        <w:rPr>
          <w:rFonts w:asciiTheme="minorHAnsi" w:hAnsiTheme="minorHAnsi"/>
          <w:color w:val="auto"/>
          <w:sz w:val="24"/>
          <w:szCs w:val="24"/>
        </w:rPr>
        <w:t xml:space="preserve">ference to “10 days” in </w:t>
      </w:r>
      <w:proofErr w:type="spellStart"/>
      <w:r w:rsidR="000A491F" w:rsidRPr="001D1CD5">
        <w:rPr>
          <w:rFonts w:asciiTheme="minorHAnsi" w:hAnsiTheme="minorHAnsi"/>
          <w:color w:val="auto"/>
          <w:sz w:val="24"/>
          <w:szCs w:val="24"/>
        </w:rPr>
        <w:t>s.</w:t>
      </w:r>
      <w:r w:rsidRPr="001D1CD5">
        <w:rPr>
          <w:rFonts w:asciiTheme="minorHAnsi" w:hAnsiTheme="minorHAnsi"/>
          <w:color w:val="auto"/>
          <w:sz w:val="24"/>
          <w:szCs w:val="24"/>
        </w:rPr>
        <w:t>96</w:t>
      </w:r>
      <w:proofErr w:type="spellEnd"/>
      <w:r w:rsidRPr="001D1CD5">
        <w:rPr>
          <w:rFonts w:asciiTheme="minorHAnsi" w:hAnsiTheme="minorHAnsi"/>
          <w:color w:val="auto"/>
          <w:sz w:val="24"/>
          <w:szCs w:val="24"/>
        </w:rPr>
        <w:t xml:space="preserve"> should be given its “ordinary meaning” consistent with the union’s submissions.</w:t>
      </w:r>
    </w:p>
    <w:p w14:paraId="6861D783" w14:textId="1A880E53" w:rsidR="000A491F" w:rsidRPr="001D1CD5" w:rsidRDefault="00AB34F1" w:rsidP="000A491F">
      <w:pPr>
        <w:pStyle w:val="NormalWeb"/>
        <w:spacing w:before="0" w:after="240"/>
        <w:jc w:val="both"/>
        <w:rPr>
          <w:color w:val="auto"/>
          <w:bdr w:val="none" w:sz="0" w:space="0" w:color="auto"/>
          <w:lang w:val="en-AU"/>
        </w:rPr>
      </w:pPr>
      <w:r w:rsidRPr="001D1CD5">
        <w:rPr>
          <w:rFonts w:asciiTheme="minorHAnsi" w:hAnsiTheme="minorHAnsi"/>
          <w:color w:val="auto"/>
        </w:rPr>
        <w:t xml:space="preserve">The issue came up in the earlier case of </w:t>
      </w:r>
      <w:hyperlink r:id="rId12" w:history="1">
        <w:proofErr w:type="spellStart"/>
        <w:r w:rsidRPr="00DD5EFB">
          <w:rPr>
            <w:rStyle w:val="Hyperlink"/>
            <w:rFonts w:asciiTheme="minorHAnsi" w:eastAsia="Trebuchet MS" w:hAnsiTheme="minorHAnsi" w:cs="Arial"/>
            <w:i/>
            <w:color w:val="0070C0"/>
          </w:rPr>
          <w:t>AWU</w:t>
        </w:r>
        <w:proofErr w:type="spellEnd"/>
        <w:r w:rsidRPr="00DD5EFB">
          <w:rPr>
            <w:rStyle w:val="Hyperlink"/>
            <w:rFonts w:asciiTheme="minorHAnsi" w:eastAsia="Trebuchet MS" w:hAnsiTheme="minorHAnsi" w:cs="Arial"/>
            <w:i/>
            <w:color w:val="0070C0"/>
          </w:rPr>
          <w:t xml:space="preserve"> v BP Refinery</w:t>
        </w:r>
      </w:hyperlink>
      <w:r w:rsidRPr="001D1CD5">
        <w:rPr>
          <w:rFonts w:asciiTheme="minorHAnsi" w:hAnsiTheme="minorHAnsi"/>
          <w:color w:val="auto"/>
        </w:rPr>
        <w:t xml:space="preserve"> </w:t>
      </w:r>
      <w:r w:rsidR="00566C4F" w:rsidRPr="001D1CD5">
        <w:rPr>
          <w:rFonts w:asciiTheme="minorHAnsi" w:hAnsiTheme="minorHAnsi"/>
          <w:color w:val="auto"/>
          <w:bdr w:val="none" w:sz="0" w:space="0" w:color="auto"/>
          <w:lang w:val="en-AU"/>
        </w:rPr>
        <w:t xml:space="preserve">[2012] </w:t>
      </w:r>
      <w:proofErr w:type="spellStart"/>
      <w:r w:rsidR="00566C4F" w:rsidRPr="001D1CD5">
        <w:rPr>
          <w:rFonts w:asciiTheme="minorHAnsi" w:hAnsiTheme="minorHAnsi"/>
          <w:color w:val="auto"/>
          <w:bdr w:val="none" w:sz="0" w:space="0" w:color="auto"/>
          <w:lang w:val="en-AU"/>
        </w:rPr>
        <w:t>FWA</w:t>
      </w:r>
      <w:proofErr w:type="spellEnd"/>
      <w:r w:rsidR="00566C4F" w:rsidRPr="001D1CD5">
        <w:rPr>
          <w:rFonts w:asciiTheme="minorHAnsi" w:hAnsiTheme="minorHAnsi"/>
          <w:color w:val="auto"/>
          <w:bdr w:val="none" w:sz="0" w:space="0" w:color="auto"/>
          <w:lang w:val="en-AU"/>
        </w:rPr>
        <w:t xml:space="preserve"> 3730 </w:t>
      </w:r>
      <w:r w:rsidRPr="001D1CD5">
        <w:rPr>
          <w:rFonts w:asciiTheme="minorHAnsi" w:hAnsiTheme="minorHAnsi"/>
          <w:color w:val="auto"/>
        </w:rPr>
        <w:t xml:space="preserve">and, in that matter, Deputy President Asbury of the </w:t>
      </w:r>
      <w:proofErr w:type="spellStart"/>
      <w:r w:rsidRPr="001D1CD5">
        <w:rPr>
          <w:rFonts w:asciiTheme="minorHAnsi" w:hAnsiTheme="minorHAnsi"/>
          <w:color w:val="auto"/>
        </w:rPr>
        <w:t>FWC</w:t>
      </w:r>
      <w:proofErr w:type="spellEnd"/>
      <w:r w:rsidR="000A491F" w:rsidRPr="001D1CD5">
        <w:rPr>
          <w:rFonts w:asciiTheme="minorHAnsi" w:hAnsiTheme="minorHAnsi"/>
          <w:color w:val="auto"/>
        </w:rPr>
        <w:t xml:space="preserve"> decided that </w:t>
      </w:r>
      <w:proofErr w:type="spellStart"/>
      <w:r w:rsidR="000A491F" w:rsidRPr="001D1CD5">
        <w:rPr>
          <w:rFonts w:asciiTheme="minorHAnsi" w:hAnsiTheme="minorHAnsi"/>
          <w:color w:val="auto"/>
        </w:rPr>
        <w:t>s.</w:t>
      </w:r>
      <w:r w:rsidRPr="001D1CD5">
        <w:rPr>
          <w:rFonts w:asciiTheme="minorHAnsi" w:hAnsiTheme="minorHAnsi"/>
          <w:color w:val="auto"/>
        </w:rPr>
        <w:t>96</w:t>
      </w:r>
      <w:proofErr w:type="spellEnd"/>
      <w:r w:rsidRPr="001D1CD5">
        <w:rPr>
          <w:rFonts w:asciiTheme="minorHAnsi" w:hAnsiTheme="minorHAnsi"/>
          <w:color w:val="auto"/>
        </w:rPr>
        <w:t xml:space="preserve"> is to be interpreted in the manner contended by Ai Group rather than the interpretation pursued by the union. </w:t>
      </w:r>
    </w:p>
    <w:p w14:paraId="362A0BF3" w14:textId="1FC137F0" w:rsidR="00AB34F1" w:rsidRPr="001D1CD5" w:rsidRDefault="00AB34F1" w:rsidP="000A491F">
      <w:pPr>
        <w:pStyle w:val="NormalWeb"/>
        <w:spacing w:before="0" w:after="240"/>
        <w:jc w:val="both"/>
        <w:rPr>
          <w:color w:val="auto"/>
          <w:bdr w:val="none" w:sz="0" w:space="0" w:color="auto"/>
          <w:lang w:val="en-AU"/>
        </w:rPr>
      </w:pPr>
      <w:r w:rsidRPr="001D1CD5">
        <w:rPr>
          <w:rFonts w:asciiTheme="minorHAnsi" w:hAnsiTheme="minorHAnsi"/>
          <w:color w:val="auto"/>
        </w:rPr>
        <w:t xml:space="preserve">The issue came up again in </w:t>
      </w:r>
      <w:hyperlink r:id="rId13" w:history="1">
        <w:r w:rsidRPr="00DD5EFB">
          <w:rPr>
            <w:rStyle w:val="Hyperlink"/>
            <w:rFonts w:asciiTheme="minorHAnsi" w:eastAsia="Trebuchet MS" w:hAnsiTheme="minorHAnsi"/>
            <w:i/>
            <w:color w:val="0070C0"/>
          </w:rPr>
          <w:t>ASU v Hobson Bay City Council</w:t>
        </w:r>
      </w:hyperlink>
      <w:r w:rsidR="00566C4F" w:rsidRPr="001D1CD5">
        <w:rPr>
          <w:rFonts w:asciiTheme="minorHAnsi" w:hAnsiTheme="minorHAnsi"/>
          <w:color w:val="auto"/>
        </w:rPr>
        <w:t xml:space="preserve"> [2013] </w:t>
      </w:r>
      <w:proofErr w:type="spellStart"/>
      <w:r w:rsidR="00566C4F" w:rsidRPr="001D1CD5">
        <w:rPr>
          <w:rFonts w:asciiTheme="minorHAnsi" w:hAnsiTheme="minorHAnsi"/>
          <w:color w:val="auto"/>
        </w:rPr>
        <w:t>FWC</w:t>
      </w:r>
      <w:proofErr w:type="spellEnd"/>
      <w:r w:rsidR="00566C4F" w:rsidRPr="001D1CD5">
        <w:rPr>
          <w:rFonts w:asciiTheme="minorHAnsi" w:hAnsiTheme="minorHAnsi"/>
          <w:color w:val="auto"/>
        </w:rPr>
        <w:t xml:space="preserve"> 10161.</w:t>
      </w:r>
      <w:r w:rsidRPr="001D1CD5">
        <w:rPr>
          <w:rFonts w:asciiTheme="minorHAnsi" w:hAnsiTheme="minorHAnsi"/>
          <w:color w:val="auto"/>
        </w:rPr>
        <w:t xml:space="preserve"> In this case, Commissioner Wilson cited the decision of Deputy President Asbury in </w:t>
      </w:r>
      <w:proofErr w:type="spellStart"/>
      <w:r w:rsidRPr="001D1CD5">
        <w:rPr>
          <w:rFonts w:asciiTheme="minorHAnsi" w:hAnsiTheme="minorHAnsi"/>
          <w:i/>
          <w:color w:val="auto"/>
        </w:rPr>
        <w:t>AWU</w:t>
      </w:r>
      <w:proofErr w:type="spellEnd"/>
      <w:r w:rsidRPr="001D1CD5">
        <w:rPr>
          <w:rFonts w:asciiTheme="minorHAnsi" w:hAnsiTheme="minorHAnsi"/>
          <w:i/>
          <w:color w:val="auto"/>
        </w:rPr>
        <w:t xml:space="preserve"> v BP Refinery</w:t>
      </w:r>
      <w:r w:rsidRPr="001D1CD5">
        <w:rPr>
          <w:rFonts w:asciiTheme="minorHAnsi" w:hAnsiTheme="minorHAnsi"/>
          <w:color w:val="auto"/>
        </w:rPr>
        <w:t xml:space="preserve"> and adopted the same principles. The decision of Commissioner Wilson was upheld on </w:t>
      </w:r>
      <w:r w:rsidRPr="001D1CD5">
        <w:rPr>
          <w:rFonts w:asciiTheme="minorHAnsi" w:eastAsia="Trebuchet MS" w:hAnsiTheme="minorHAnsi" w:cs="Arial"/>
        </w:rPr>
        <w:t>appeal</w:t>
      </w:r>
      <w:r w:rsidRPr="001D1CD5">
        <w:rPr>
          <w:rFonts w:asciiTheme="minorHAnsi" w:hAnsiTheme="minorHAnsi"/>
          <w:color w:val="auto"/>
        </w:rPr>
        <w:t xml:space="preserve"> by a Full Bench of the Commission</w:t>
      </w:r>
      <w:r w:rsidR="00DD5EFB">
        <w:rPr>
          <w:rFonts w:asciiTheme="minorHAnsi" w:hAnsiTheme="minorHAnsi"/>
          <w:color w:val="auto"/>
        </w:rPr>
        <w:t xml:space="preserve"> (</w:t>
      </w:r>
      <w:hyperlink r:id="rId14" w:anchor="P352_32656" w:history="1">
        <w:r w:rsidR="00566C4F" w:rsidRPr="00DD5EFB">
          <w:rPr>
            <w:rStyle w:val="Hyperlink"/>
            <w:rFonts w:asciiTheme="minorHAnsi" w:hAnsiTheme="minorHAnsi"/>
            <w:color w:val="0070C0"/>
            <w:bdr w:val="none" w:sz="0" w:space="0" w:color="auto"/>
            <w:lang w:val="en-AU"/>
          </w:rPr>
          <w:t xml:space="preserve">[2014] </w:t>
        </w:r>
        <w:proofErr w:type="spellStart"/>
        <w:r w:rsidR="00566C4F" w:rsidRPr="00DD5EFB">
          <w:rPr>
            <w:rStyle w:val="Hyperlink"/>
            <w:rFonts w:asciiTheme="minorHAnsi" w:hAnsiTheme="minorHAnsi"/>
            <w:color w:val="0070C0"/>
            <w:bdr w:val="none" w:sz="0" w:space="0" w:color="auto"/>
            <w:lang w:val="en-AU"/>
          </w:rPr>
          <w:t>FWCFB</w:t>
        </w:r>
        <w:proofErr w:type="spellEnd"/>
        <w:r w:rsidR="00566C4F" w:rsidRPr="00DD5EFB">
          <w:rPr>
            <w:rStyle w:val="Hyperlink"/>
            <w:rFonts w:asciiTheme="minorHAnsi" w:hAnsiTheme="minorHAnsi"/>
            <w:color w:val="0070C0"/>
            <w:bdr w:val="none" w:sz="0" w:space="0" w:color="auto"/>
            <w:lang w:val="en-AU"/>
          </w:rPr>
          <w:t xml:space="preserve"> 2823</w:t>
        </w:r>
      </w:hyperlink>
      <w:r w:rsidR="00DD5EFB">
        <w:rPr>
          <w:rFonts w:asciiTheme="minorHAnsi" w:hAnsiTheme="minorHAnsi"/>
          <w:color w:val="auto"/>
          <w:bdr w:val="none" w:sz="0" w:space="0" w:color="auto"/>
          <w:lang w:val="en-AU"/>
        </w:rPr>
        <w:t>).</w:t>
      </w:r>
    </w:p>
    <w:p w14:paraId="0619346F" w14:textId="1CE577C2" w:rsidR="00AB34F1" w:rsidRPr="001D1CD5" w:rsidRDefault="00AB34F1" w:rsidP="00AB34F1">
      <w:pPr>
        <w:pStyle w:val="thomson-article"/>
        <w:spacing w:before="0" w:beforeAutospacing="0" w:after="240" w:afterAutospacing="0" w:line="276" w:lineRule="auto"/>
        <w:jc w:val="both"/>
        <w:rPr>
          <w:rFonts w:asciiTheme="minorHAnsi" w:hAnsiTheme="minorHAnsi"/>
          <w:color w:val="auto"/>
          <w:sz w:val="24"/>
          <w:szCs w:val="24"/>
        </w:rPr>
      </w:pPr>
      <w:r w:rsidRPr="001D1CD5">
        <w:rPr>
          <w:rFonts w:asciiTheme="minorHAnsi" w:hAnsiTheme="minorHAnsi"/>
          <w:color w:val="auto"/>
          <w:sz w:val="24"/>
          <w:szCs w:val="24"/>
        </w:rPr>
        <w:t xml:space="preserve">When the FW Act was being developed there was considerable discussion about how the personal/carer’s leave entitlements in the </w:t>
      </w:r>
      <w:proofErr w:type="spellStart"/>
      <w:r w:rsidR="00566C4F" w:rsidRPr="001D1CD5">
        <w:rPr>
          <w:rFonts w:asciiTheme="minorHAnsi" w:hAnsiTheme="minorHAnsi"/>
          <w:color w:val="auto"/>
          <w:sz w:val="24"/>
          <w:szCs w:val="24"/>
        </w:rPr>
        <w:t>NES</w:t>
      </w:r>
      <w:proofErr w:type="spellEnd"/>
      <w:r w:rsidR="00566C4F" w:rsidRPr="001D1CD5">
        <w:rPr>
          <w:rFonts w:asciiTheme="minorHAnsi" w:hAnsiTheme="minorHAnsi"/>
          <w:color w:val="auto"/>
          <w:sz w:val="24"/>
          <w:szCs w:val="24"/>
        </w:rPr>
        <w:t xml:space="preserve"> </w:t>
      </w:r>
      <w:r w:rsidRPr="001D1CD5">
        <w:rPr>
          <w:rFonts w:asciiTheme="minorHAnsi" w:hAnsiTheme="minorHAnsi"/>
          <w:color w:val="auto"/>
          <w:sz w:val="24"/>
          <w:szCs w:val="24"/>
        </w:rPr>
        <w:t xml:space="preserve">should be expressed in the Act. In its submissions at the time, Ai Group urged the previous </w:t>
      </w:r>
      <w:proofErr w:type="spellStart"/>
      <w:r w:rsidRPr="001D1CD5">
        <w:rPr>
          <w:rFonts w:asciiTheme="minorHAnsi" w:hAnsiTheme="minorHAnsi"/>
          <w:color w:val="auto"/>
          <w:sz w:val="24"/>
          <w:szCs w:val="24"/>
        </w:rPr>
        <w:t>Labor</w:t>
      </w:r>
      <w:proofErr w:type="spellEnd"/>
      <w:r w:rsidRPr="001D1CD5">
        <w:rPr>
          <w:rFonts w:asciiTheme="minorHAnsi" w:hAnsiTheme="minorHAnsi"/>
          <w:color w:val="auto"/>
          <w:sz w:val="24"/>
          <w:szCs w:val="24"/>
        </w:rPr>
        <w:t xml:space="preserve"> Government to express personal/carer’s leave entitlements in the </w:t>
      </w:r>
      <w:proofErr w:type="spellStart"/>
      <w:r w:rsidRPr="001D1CD5">
        <w:rPr>
          <w:rFonts w:asciiTheme="minorHAnsi" w:hAnsiTheme="minorHAnsi"/>
          <w:color w:val="auto"/>
          <w:sz w:val="24"/>
          <w:szCs w:val="24"/>
        </w:rPr>
        <w:t>NES</w:t>
      </w:r>
      <w:proofErr w:type="spellEnd"/>
      <w:r w:rsidRPr="001D1CD5">
        <w:rPr>
          <w:rFonts w:asciiTheme="minorHAnsi" w:hAnsiTheme="minorHAnsi"/>
          <w:color w:val="auto"/>
          <w:sz w:val="24"/>
          <w:szCs w:val="24"/>
        </w:rPr>
        <w:t xml:space="preserve"> in terms of hours rather than days. The Government chose to continue to express the entitlement in terms of days but responded to Ai Group’s concerns by inserting wording into the E</w:t>
      </w:r>
      <w:r w:rsidR="0091383E" w:rsidRPr="001D1CD5">
        <w:rPr>
          <w:rFonts w:asciiTheme="minorHAnsi" w:hAnsiTheme="minorHAnsi"/>
          <w:color w:val="auto"/>
          <w:sz w:val="24"/>
          <w:szCs w:val="24"/>
        </w:rPr>
        <w:t>xplanatory Memora</w:t>
      </w:r>
      <w:r w:rsidR="00022948">
        <w:rPr>
          <w:rFonts w:asciiTheme="minorHAnsi" w:hAnsiTheme="minorHAnsi"/>
          <w:color w:val="auto"/>
          <w:sz w:val="24"/>
          <w:szCs w:val="24"/>
        </w:rPr>
        <w:t>n</w:t>
      </w:r>
      <w:r w:rsidR="0091383E" w:rsidRPr="001D1CD5">
        <w:rPr>
          <w:rFonts w:asciiTheme="minorHAnsi" w:hAnsiTheme="minorHAnsi"/>
          <w:color w:val="auto"/>
          <w:sz w:val="24"/>
          <w:szCs w:val="24"/>
        </w:rPr>
        <w:t>dum</w:t>
      </w:r>
      <w:r w:rsidRPr="001D1CD5">
        <w:rPr>
          <w:rFonts w:asciiTheme="minorHAnsi" w:hAnsiTheme="minorHAnsi"/>
          <w:color w:val="auto"/>
          <w:sz w:val="24"/>
          <w:szCs w:val="24"/>
        </w:rPr>
        <w:t xml:space="preserve"> (see above) to clarify that the entitlement for an employee working 38 ordinary hours per week is 76 hours per year regardless of the pattern of hours over which a 38 hour week is arranged. </w:t>
      </w:r>
    </w:p>
    <w:p w14:paraId="0FFD40EC" w14:textId="77777777" w:rsidR="00AB34F1" w:rsidRPr="001D1CD5" w:rsidRDefault="00AB34F1" w:rsidP="00AB34F1">
      <w:pPr>
        <w:pStyle w:val="thomson-article"/>
        <w:spacing w:before="0" w:beforeAutospacing="0" w:after="240" w:afterAutospacing="0" w:line="276" w:lineRule="auto"/>
        <w:jc w:val="both"/>
        <w:rPr>
          <w:rFonts w:asciiTheme="minorHAnsi" w:hAnsiTheme="minorHAnsi"/>
          <w:color w:val="auto"/>
          <w:sz w:val="24"/>
          <w:szCs w:val="24"/>
        </w:rPr>
      </w:pPr>
      <w:r w:rsidRPr="001D1CD5">
        <w:rPr>
          <w:rFonts w:asciiTheme="minorHAnsi" w:hAnsiTheme="minorHAnsi"/>
          <w:color w:val="auto"/>
          <w:sz w:val="24"/>
          <w:szCs w:val="24"/>
        </w:rPr>
        <w:t xml:space="preserve">As the situation now stands there are two inconsistent Full Bench decisions of the </w:t>
      </w:r>
      <w:proofErr w:type="spellStart"/>
      <w:r w:rsidRPr="001D1CD5">
        <w:rPr>
          <w:rFonts w:asciiTheme="minorHAnsi" w:hAnsiTheme="minorHAnsi"/>
          <w:color w:val="auto"/>
          <w:sz w:val="24"/>
          <w:szCs w:val="24"/>
        </w:rPr>
        <w:t>FWC</w:t>
      </w:r>
      <w:proofErr w:type="spellEnd"/>
      <w:r w:rsidRPr="001D1CD5">
        <w:rPr>
          <w:rFonts w:asciiTheme="minorHAnsi" w:hAnsiTheme="minorHAnsi"/>
          <w:color w:val="auto"/>
          <w:sz w:val="24"/>
          <w:szCs w:val="24"/>
        </w:rPr>
        <w:t xml:space="preserve"> on this issue. Neither of those decisions take priority over the other and both were made in the context of settling disputes that arose about specific provisions in each organisation’s enterprise agreement. </w:t>
      </w:r>
    </w:p>
    <w:p w14:paraId="64679371" w14:textId="6493B8CB" w:rsidR="00AB34F1" w:rsidRPr="001D1CD5" w:rsidRDefault="00AB34F1" w:rsidP="00566C4F">
      <w:pPr>
        <w:pStyle w:val="thomson-article"/>
        <w:spacing w:before="0" w:beforeAutospacing="0" w:after="240" w:afterAutospacing="0" w:line="276" w:lineRule="auto"/>
        <w:jc w:val="both"/>
        <w:rPr>
          <w:rFonts w:asciiTheme="minorHAnsi" w:hAnsiTheme="minorHAnsi"/>
          <w:color w:val="auto"/>
          <w:sz w:val="24"/>
          <w:szCs w:val="24"/>
        </w:rPr>
      </w:pPr>
      <w:r w:rsidRPr="001D1CD5">
        <w:rPr>
          <w:rFonts w:asciiTheme="minorHAnsi" w:hAnsiTheme="minorHAnsi"/>
          <w:color w:val="auto"/>
          <w:sz w:val="24"/>
          <w:szCs w:val="24"/>
        </w:rPr>
        <w:t xml:space="preserve">Ai Group disagrees with the interpretation adopted by the Full Bench in the </w:t>
      </w:r>
      <w:proofErr w:type="spellStart"/>
      <w:r w:rsidRPr="001D1CD5">
        <w:rPr>
          <w:rFonts w:asciiTheme="minorHAnsi" w:hAnsiTheme="minorHAnsi"/>
          <w:i/>
          <w:color w:val="auto"/>
          <w:sz w:val="24"/>
          <w:szCs w:val="24"/>
        </w:rPr>
        <w:t>RACV</w:t>
      </w:r>
      <w:proofErr w:type="spellEnd"/>
      <w:r w:rsidRPr="001D1CD5">
        <w:rPr>
          <w:rFonts w:asciiTheme="minorHAnsi" w:hAnsiTheme="minorHAnsi"/>
          <w:i/>
          <w:color w:val="auto"/>
          <w:sz w:val="24"/>
          <w:szCs w:val="24"/>
        </w:rPr>
        <w:t xml:space="preserve"> </w:t>
      </w:r>
      <w:r w:rsidRPr="001D1CD5">
        <w:rPr>
          <w:rFonts w:asciiTheme="minorHAnsi" w:hAnsiTheme="minorHAnsi"/>
          <w:color w:val="auto"/>
          <w:sz w:val="24"/>
          <w:szCs w:val="24"/>
        </w:rPr>
        <w:t xml:space="preserve">case. The interpretation conflicts with the decisions of the </w:t>
      </w:r>
      <w:proofErr w:type="spellStart"/>
      <w:r w:rsidRPr="001D1CD5">
        <w:rPr>
          <w:rFonts w:asciiTheme="minorHAnsi" w:hAnsiTheme="minorHAnsi"/>
          <w:color w:val="auto"/>
          <w:sz w:val="24"/>
          <w:szCs w:val="24"/>
        </w:rPr>
        <w:t>FWC</w:t>
      </w:r>
      <w:proofErr w:type="spellEnd"/>
      <w:r w:rsidRPr="001D1CD5">
        <w:rPr>
          <w:rFonts w:asciiTheme="minorHAnsi" w:hAnsiTheme="minorHAnsi"/>
          <w:color w:val="auto"/>
          <w:sz w:val="24"/>
          <w:szCs w:val="24"/>
        </w:rPr>
        <w:t xml:space="preserve"> in the other cases referred to above and it conflicts with the understandings when the FW Act was being developed. </w:t>
      </w:r>
    </w:p>
    <w:p w14:paraId="22FF0F39" w14:textId="169698BC" w:rsidR="00566C4F" w:rsidRPr="001D1CD5" w:rsidRDefault="00566C4F" w:rsidP="00566C4F">
      <w:pPr>
        <w:pStyle w:val="thomson-article"/>
        <w:spacing w:before="0" w:beforeAutospacing="0" w:after="240" w:afterAutospacing="0" w:line="276" w:lineRule="auto"/>
        <w:jc w:val="both"/>
        <w:rPr>
          <w:rFonts w:asciiTheme="minorHAnsi" w:hAnsiTheme="minorHAnsi"/>
          <w:color w:val="auto"/>
          <w:sz w:val="24"/>
          <w:szCs w:val="24"/>
        </w:rPr>
      </w:pPr>
      <w:r w:rsidRPr="001D1CD5">
        <w:rPr>
          <w:rFonts w:asciiTheme="minorHAnsi" w:hAnsiTheme="minorHAnsi"/>
          <w:color w:val="auto"/>
          <w:sz w:val="24"/>
          <w:szCs w:val="24"/>
        </w:rPr>
        <w:t xml:space="preserve">Section 96 of the FW Act needs to be amended to clarify the correct interpretation and to overcome the decision of the </w:t>
      </w:r>
      <w:proofErr w:type="spellStart"/>
      <w:r w:rsidRPr="001D1CD5">
        <w:rPr>
          <w:rFonts w:asciiTheme="minorHAnsi" w:hAnsiTheme="minorHAnsi"/>
          <w:color w:val="auto"/>
          <w:sz w:val="24"/>
          <w:szCs w:val="24"/>
        </w:rPr>
        <w:t>FWC</w:t>
      </w:r>
      <w:proofErr w:type="spellEnd"/>
      <w:r w:rsidRPr="001D1CD5">
        <w:rPr>
          <w:rFonts w:asciiTheme="minorHAnsi" w:hAnsiTheme="minorHAnsi"/>
          <w:color w:val="auto"/>
          <w:sz w:val="24"/>
          <w:szCs w:val="24"/>
        </w:rPr>
        <w:t xml:space="preserve"> in the </w:t>
      </w:r>
      <w:proofErr w:type="spellStart"/>
      <w:r w:rsidRPr="001D1CD5">
        <w:rPr>
          <w:rFonts w:asciiTheme="minorHAnsi" w:hAnsiTheme="minorHAnsi"/>
          <w:i/>
          <w:color w:val="auto"/>
          <w:sz w:val="24"/>
          <w:szCs w:val="24"/>
        </w:rPr>
        <w:t>RACV</w:t>
      </w:r>
      <w:proofErr w:type="spellEnd"/>
      <w:r w:rsidRPr="001D1CD5">
        <w:rPr>
          <w:rFonts w:asciiTheme="minorHAnsi" w:hAnsiTheme="minorHAnsi"/>
          <w:i/>
          <w:color w:val="auto"/>
          <w:sz w:val="24"/>
          <w:szCs w:val="24"/>
        </w:rPr>
        <w:t xml:space="preserve"> </w:t>
      </w:r>
      <w:r w:rsidRPr="001D1CD5">
        <w:rPr>
          <w:rFonts w:asciiTheme="minorHAnsi" w:hAnsiTheme="minorHAnsi"/>
          <w:color w:val="auto"/>
          <w:sz w:val="24"/>
          <w:szCs w:val="24"/>
        </w:rPr>
        <w:t xml:space="preserve">case. </w:t>
      </w:r>
    </w:p>
    <w:p w14:paraId="5E21FD1E" w14:textId="570CF199" w:rsidR="00AB34F1" w:rsidRPr="001D1CD5" w:rsidRDefault="00AB34F1" w:rsidP="00D12FF9">
      <w:pPr>
        <w:pStyle w:val="ListParagraph"/>
        <w:numPr>
          <w:ilvl w:val="0"/>
          <w:numId w:val="73"/>
        </w:numPr>
        <w:spacing w:after="240" w:line="276" w:lineRule="auto"/>
        <w:jc w:val="both"/>
        <w:rPr>
          <w:rFonts w:asciiTheme="minorHAnsi" w:hAnsiTheme="minorHAnsi"/>
          <w:b/>
          <w:color w:val="auto"/>
        </w:rPr>
      </w:pPr>
      <w:r w:rsidRPr="001D1CD5">
        <w:rPr>
          <w:rFonts w:asciiTheme="minorHAnsi" w:hAnsiTheme="minorHAnsi" w:cs="Arial"/>
          <w:b/>
          <w:bCs/>
          <w:color w:val="auto"/>
          <w:spacing w:val="-1"/>
        </w:rPr>
        <w:t>Leave accruals during workers’ compensation absences</w:t>
      </w:r>
    </w:p>
    <w:p w14:paraId="492C683E" w14:textId="68F1C4A5" w:rsidR="00AB34F1" w:rsidRPr="001D1CD5" w:rsidRDefault="00566C4F" w:rsidP="00AB34F1">
      <w:pPr>
        <w:spacing w:after="240" w:line="276" w:lineRule="auto"/>
        <w:jc w:val="both"/>
        <w:rPr>
          <w:rFonts w:asciiTheme="minorHAnsi" w:hAnsiTheme="minorHAnsi" w:cs="Arial"/>
        </w:rPr>
      </w:pPr>
      <w:r w:rsidRPr="001D1CD5">
        <w:rPr>
          <w:rFonts w:asciiTheme="minorHAnsi" w:hAnsiTheme="minorHAnsi" w:cs="Arial"/>
        </w:rPr>
        <w:t>Se</w:t>
      </w:r>
      <w:r w:rsidR="00AB34F1" w:rsidRPr="001D1CD5">
        <w:rPr>
          <w:rFonts w:asciiTheme="minorHAnsi" w:hAnsiTheme="minorHAnsi" w:cs="Arial"/>
        </w:rPr>
        <w:t xml:space="preserve">ction 130 </w:t>
      </w:r>
      <w:r w:rsidRPr="001D1CD5">
        <w:rPr>
          <w:rFonts w:asciiTheme="minorHAnsi" w:hAnsiTheme="minorHAnsi" w:cs="Arial"/>
        </w:rPr>
        <w:t xml:space="preserve">of the FW Act </w:t>
      </w:r>
      <w:r w:rsidR="00AB34F1" w:rsidRPr="001D1CD5">
        <w:rPr>
          <w:rFonts w:asciiTheme="minorHAnsi" w:hAnsiTheme="minorHAnsi" w:cs="Arial"/>
        </w:rPr>
        <w:t>deals with whether or not an employee is entitled to accrue annual leave and personal/</w:t>
      </w:r>
      <w:proofErr w:type="spellStart"/>
      <w:r w:rsidR="00AB34F1" w:rsidRPr="001D1CD5">
        <w:rPr>
          <w:rFonts w:asciiTheme="minorHAnsi" w:hAnsiTheme="minorHAnsi" w:cs="Arial"/>
        </w:rPr>
        <w:t>carer’s</w:t>
      </w:r>
      <w:proofErr w:type="spellEnd"/>
      <w:r w:rsidR="00AB34F1" w:rsidRPr="001D1CD5">
        <w:rPr>
          <w:rFonts w:asciiTheme="minorHAnsi" w:hAnsiTheme="minorHAnsi" w:cs="Arial"/>
        </w:rPr>
        <w:t xml:space="preserve"> leave during a workers’ compensation absence.</w:t>
      </w:r>
      <w:r w:rsidRPr="001D1CD5">
        <w:rPr>
          <w:rFonts w:asciiTheme="minorHAnsi" w:hAnsiTheme="minorHAnsi" w:cs="Arial"/>
        </w:rPr>
        <w:t xml:space="preserve"> </w:t>
      </w:r>
      <w:r w:rsidR="00AB34F1" w:rsidRPr="001D1CD5">
        <w:rPr>
          <w:rFonts w:asciiTheme="minorHAnsi" w:hAnsiTheme="minorHAnsi" w:cs="Arial"/>
        </w:rPr>
        <w:t xml:space="preserve">The recent decision of the Full Federal Court in </w:t>
      </w:r>
      <w:hyperlink r:id="rId15" w:history="1">
        <w:r w:rsidR="00AB34F1" w:rsidRPr="00DD5EFB">
          <w:rPr>
            <w:rStyle w:val="Hyperlink"/>
            <w:rFonts w:asciiTheme="minorHAnsi" w:hAnsiTheme="minorHAnsi" w:cs="Arial"/>
            <w:i/>
            <w:color w:val="0070C0"/>
          </w:rPr>
          <w:t>Anglican Care v NSW Nurses and Midwives' Association</w:t>
        </w:r>
      </w:hyperlink>
      <w:r w:rsidR="00AB34F1" w:rsidRPr="001D1CD5">
        <w:rPr>
          <w:rFonts w:asciiTheme="minorHAnsi" w:hAnsiTheme="minorHAnsi" w:cs="Arial"/>
        </w:rPr>
        <w:t xml:space="preserve"> </w:t>
      </w:r>
      <w:r w:rsidRPr="001D1CD5">
        <w:rPr>
          <w:rFonts w:asciiTheme="minorHAnsi" w:hAnsiTheme="minorHAnsi"/>
        </w:rPr>
        <w:t xml:space="preserve">[2015] </w:t>
      </w:r>
      <w:proofErr w:type="spellStart"/>
      <w:r w:rsidRPr="001D1CD5">
        <w:rPr>
          <w:rFonts w:asciiTheme="minorHAnsi" w:hAnsiTheme="minorHAnsi"/>
        </w:rPr>
        <w:t>FCAFC</w:t>
      </w:r>
      <w:proofErr w:type="spellEnd"/>
      <w:r w:rsidRPr="001D1CD5">
        <w:rPr>
          <w:rFonts w:asciiTheme="minorHAnsi" w:hAnsiTheme="minorHAnsi"/>
        </w:rPr>
        <w:t xml:space="preserve"> 81</w:t>
      </w:r>
      <w:r w:rsidR="0091383E" w:rsidRPr="001D1CD5">
        <w:rPr>
          <w:rFonts w:asciiTheme="minorHAnsi" w:hAnsiTheme="minorHAnsi"/>
        </w:rPr>
        <w:t xml:space="preserve"> </w:t>
      </w:r>
      <w:r w:rsidR="00AB34F1" w:rsidRPr="001D1CD5">
        <w:rPr>
          <w:rFonts w:asciiTheme="minorHAnsi" w:hAnsiTheme="minorHAnsi" w:cs="Arial"/>
        </w:rPr>
        <w:t>has interprete</w:t>
      </w:r>
      <w:r w:rsidR="0091383E" w:rsidRPr="001D1CD5">
        <w:rPr>
          <w:rFonts w:asciiTheme="minorHAnsi" w:hAnsiTheme="minorHAnsi" w:cs="Arial"/>
        </w:rPr>
        <w:t xml:space="preserve">d </w:t>
      </w:r>
      <w:proofErr w:type="spellStart"/>
      <w:r w:rsidR="0091383E" w:rsidRPr="001D1CD5">
        <w:rPr>
          <w:rFonts w:asciiTheme="minorHAnsi" w:hAnsiTheme="minorHAnsi" w:cs="Arial"/>
        </w:rPr>
        <w:t>s.</w:t>
      </w:r>
      <w:r w:rsidR="00AB34F1" w:rsidRPr="001D1CD5">
        <w:rPr>
          <w:rFonts w:asciiTheme="minorHAnsi" w:hAnsiTheme="minorHAnsi" w:cs="Arial"/>
        </w:rPr>
        <w:t>130</w:t>
      </w:r>
      <w:proofErr w:type="spellEnd"/>
      <w:r w:rsidR="00AB34F1" w:rsidRPr="001D1CD5">
        <w:rPr>
          <w:rFonts w:asciiTheme="minorHAnsi" w:hAnsiTheme="minorHAnsi" w:cs="Arial"/>
        </w:rPr>
        <w:t xml:space="preserve"> of the FW Act in a problematic manner for employers. </w:t>
      </w:r>
    </w:p>
    <w:p w14:paraId="47A7F20F" w14:textId="49B9F6B6" w:rsidR="00AB34F1" w:rsidRPr="001D1CD5" w:rsidRDefault="00AB34F1" w:rsidP="00AB34F1">
      <w:pPr>
        <w:spacing w:after="240" w:line="276" w:lineRule="auto"/>
        <w:jc w:val="both"/>
        <w:rPr>
          <w:rFonts w:asciiTheme="minorHAnsi" w:hAnsiTheme="minorHAnsi" w:cs="Arial"/>
        </w:rPr>
      </w:pPr>
      <w:r w:rsidRPr="001D1CD5">
        <w:rPr>
          <w:rFonts w:asciiTheme="minorHAnsi" w:hAnsiTheme="minorHAnsi" w:cs="Arial"/>
        </w:rPr>
        <w:t xml:space="preserve">Subsection 130(1) of the Act provides that generally employees are not entitled to take or accrue leave under the </w:t>
      </w:r>
      <w:proofErr w:type="spellStart"/>
      <w:r w:rsidRPr="001D1CD5">
        <w:rPr>
          <w:rFonts w:asciiTheme="minorHAnsi" w:hAnsiTheme="minorHAnsi" w:cs="Arial"/>
        </w:rPr>
        <w:t>NES</w:t>
      </w:r>
      <w:proofErr w:type="spellEnd"/>
      <w:r w:rsidRPr="001D1CD5">
        <w:rPr>
          <w:rFonts w:asciiTheme="minorHAnsi" w:hAnsiTheme="minorHAnsi" w:cs="Arial"/>
        </w:rPr>
        <w:t xml:space="preserve"> during a workers’ comp</w:t>
      </w:r>
      <w:r w:rsidR="00566C4F" w:rsidRPr="001D1CD5">
        <w:rPr>
          <w:rFonts w:asciiTheme="minorHAnsi" w:hAnsiTheme="minorHAnsi" w:cs="Arial"/>
        </w:rPr>
        <w:t xml:space="preserve">ensation absence but </w:t>
      </w:r>
      <w:proofErr w:type="spellStart"/>
      <w:r w:rsidR="00566C4F" w:rsidRPr="001D1CD5">
        <w:rPr>
          <w:rFonts w:asciiTheme="minorHAnsi" w:hAnsiTheme="minorHAnsi" w:cs="Arial"/>
        </w:rPr>
        <w:t>s.</w:t>
      </w:r>
      <w:r w:rsidRPr="001D1CD5">
        <w:rPr>
          <w:rFonts w:asciiTheme="minorHAnsi" w:hAnsiTheme="minorHAnsi" w:cs="Arial"/>
        </w:rPr>
        <w:t>130</w:t>
      </w:r>
      <w:proofErr w:type="spellEnd"/>
      <w:r w:rsidRPr="001D1CD5">
        <w:rPr>
          <w:rFonts w:asciiTheme="minorHAnsi" w:hAnsiTheme="minorHAnsi" w:cs="Arial"/>
        </w:rPr>
        <w:t xml:space="preserve">(2) goes on to state that an employee is not prevented from taking or accruing leave under the </w:t>
      </w:r>
      <w:proofErr w:type="spellStart"/>
      <w:r w:rsidRPr="001D1CD5">
        <w:rPr>
          <w:rFonts w:asciiTheme="minorHAnsi" w:hAnsiTheme="minorHAnsi" w:cs="Arial"/>
        </w:rPr>
        <w:t>NES</w:t>
      </w:r>
      <w:proofErr w:type="spellEnd"/>
      <w:r w:rsidRPr="001D1CD5">
        <w:rPr>
          <w:rFonts w:asciiTheme="minorHAnsi" w:hAnsiTheme="minorHAnsi" w:cs="Arial"/>
        </w:rPr>
        <w:t xml:space="preserve">, </w:t>
      </w:r>
      <w:r w:rsidRPr="001D1CD5">
        <w:rPr>
          <w:rFonts w:asciiTheme="minorHAnsi" w:hAnsiTheme="minorHAnsi" w:cs="Arial"/>
          <w:i/>
        </w:rPr>
        <w:t>“if the taking or accruing of the leave is permitted by a compensation law”.</w:t>
      </w:r>
      <w:r w:rsidRPr="001D1CD5">
        <w:rPr>
          <w:rFonts w:asciiTheme="minorHAnsi" w:hAnsiTheme="minorHAnsi" w:cs="Arial"/>
        </w:rPr>
        <w:t xml:space="preserve"> </w:t>
      </w:r>
    </w:p>
    <w:p w14:paraId="10FDF3A2" w14:textId="1E11E60E" w:rsidR="00AB34F1" w:rsidRPr="001D1CD5" w:rsidRDefault="00AB34F1" w:rsidP="00AB34F1">
      <w:pPr>
        <w:spacing w:after="240" w:line="276" w:lineRule="auto"/>
        <w:jc w:val="both"/>
        <w:rPr>
          <w:rFonts w:asciiTheme="minorHAnsi" w:hAnsiTheme="minorHAnsi" w:cs="Arial"/>
        </w:rPr>
      </w:pPr>
      <w:r w:rsidRPr="001D1CD5">
        <w:rPr>
          <w:rFonts w:asciiTheme="minorHAnsi" w:hAnsiTheme="minorHAnsi" w:cs="Arial"/>
        </w:rPr>
        <w:lastRenderedPageBreak/>
        <w:t xml:space="preserve">The arguments in the case revolved around the meaning of the word </w:t>
      </w:r>
      <w:r w:rsidRPr="001D1CD5">
        <w:rPr>
          <w:rFonts w:asciiTheme="minorHAnsi" w:hAnsiTheme="minorHAnsi" w:cs="Arial"/>
          <w:i/>
        </w:rPr>
        <w:t>“permitted”</w:t>
      </w:r>
      <w:r w:rsidRPr="001D1CD5">
        <w:rPr>
          <w:rFonts w:asciiTheme="minorHAnsi" w:hAnsiTheme="minorHAnsi" w:cs="Arial"/>
        </w:rPr>
        <w:t xml:space="preserve"> in </w:t>
      </w:r>
      <w:proofErr w:type="spellStart"/>
      <w:r w:rsidRPr="001D1CD5">
        <w:rPr>
          <w:rFonts w:asciiTheme="minorHAnsi" w:hAnsiTheme="minorHAnsi" w:cs="Arial"/>
        </w:rPr>
        <w:t>s</w:t>
      </w:r>
      <w:r w:rsidR="0091383E" w:rsidRPr="001D1CD5">
        <w:rPr>
          <w:rFonts w:asciiTheme="minorHAnsi" w:hAnsiTheme="minorHAnsi" w:cs="Arial"/>
        </w:rPr>
        <w:t>.1</w:t>
      </w:r>
      <w:r w:rsidRPr="001D1CD5">
        <w:rPr>
          <w:rFonts w:asciiTheme="minorHAnsi" w:hAnsiTheme="minorHAnsi" w:cs="Arial"/>
        </w:rPr>
        <w:t>30</w:t>
      </w:r>
      <w:proofErr w:type="spellEnd"/>
      <w:r w:rsidRPr="001D1CD5">
        <w:rPr>
          <w:rFonts w:asciiTheme="minorHAnsi" w:hAnsiTheme="minorHAnsi" w:cs="Arial"/>
        </w:rPr>
        <w:t xml:space="preserve">(2). Prior to this Full Federal Court decision, Ai Group, the Fair Work Ombudsman </w:t>
      </w:r>
      <w:r w:rsidR="00DD5EFB">
        <w:rPr>
          <w:rFonts w:asciiTheme="minorHAnsi" w:hAnsiTheme="minorHAnsi" w:cs="Arial"/>
        </w:rPr>
        <w:t>(</w:t>
      </w:r>
      <w:proofErr w:type="spellStart"/>
      <w:r w:rsidR="00DD5EFB" w:rsidRPr="00DD5EFB">
        <w:rPr>
          <w:rFonts w:asciiTheme="minorHAnsi" w:hAnsiTheme="minorHAnsi" w:cs="Arial"/>
          <w:b/>
        </w:rPr>
        <w:t>FWO</w:t>
      </w:r>
      <w:proofErr w:type="spellEnd"/>
      <w:r w:rsidR="00DD5EFB">
        <w:rPr>
          <w:rFonts w:asciiTheme="minorHAnsi" w:hAnsiTheme="minorHAnsi" w:cs="Arial"/>
        </w:rPr>
        <w:t xml:space="preserve">) </w:t>
      </w:r>
      <w:r w:rsidRPr="001D1CD5">
        <w:rPr>
          <w:rFonts w:asciiTheme="minorHAnsi" w:hAnsiTheme="minorHAnsi" w:cs="Arial"/>
        </w:rPr>
        <w:t>and most other</w:t>
      </w:r>
      <w:r w:rsidR="00566C4F" w:rsidRPr="001D1CD5">
        <w:rPr>
          <w:rFonts w:asciiTheme="minorHAnsi" w:hAnsiTheme="minorHAnsi" w:cs="Arial"/>
        </w:rPr>
        <w:t xml:space="preserve"> parties interpreted </w:t>
      </w:r>
      <w:proofErr w:type="spellStart"/>
      <w:r w:rsidR="00566C4F" w:rsidRPr="001D1CD5">
        <w:rPr>
          <w:rFonts w:asciiTheme="minorHAnsi" w:hAnsiTheme="minorHAnsi" w:cs="Arial"/>
        </w:rPr>
        <w:t>s.</w:t>
      </w:r>
      <w:r w:rsidRPr="001D1CD5">
        <w:rPr>
          <w:rFonts w:asciiTheme="minorHAnsi" w:hAnsiTheme="minorHAnsi" w:cs="Arial"/>
        </w:rPr>
        <w:t>130</w:t>
      </w:r>
      <w:proofErr w:type="spellEnd"/>
      <w:r w:rsidRPr="001D1CD5">
        <w:rPr>
          <w:rFonts w:asciiTheme="minorHAnsi" w:hAnsiTheme="minorHAnsi" w:cs="Arial"/>
        </w:rPr>
        <w:t xml:space="preserve">(2) to mean that where the relevant workers’ compensation legislation is silent on leave accruals, then leave does not accrue. The basis for this interpretation was a series of Court and Commission decisions interpreting the word </w:t>
      </w:r>
      <w:r w:rsidRPr="001D1CD5">
        <w:rPr>
          <w:rFonts w:asciiTheme="minorHAnsi" w:hAnsiTheme="minorHAnsi" w:cs="Arial"/>
          <w:i/>
        </w:rPr>
        <w:t xml:space="preserve">“permits” </w:t>
      </w:r>
      <w:r w:rsidRPr="001D1CD5">
        <w:rPr>
          <w:rFonts w:asciiTheme="minorHAnsi" w:hAnsiTheme="minorHAnsi" w:cs="Arial"/>
        </w:rPr>
        <w:t xml:space="preserve">in other legislative provisions to mean expressly permitting or </w:t>
      </w:r>
      <w:proofErr w:type="spellStart"/>
      <w:r w:rsidRPr="001D1CD5">
        <w:rPr>
          <w:rFonts w:asciiTheme="minorHAnsi" w:hAnsiTheme="minorHAnsi" w:cs="Arial"/>
        </w:rPr>
        <w:t>authorising</w:t>
      </w:r>
      <w:proofErr w:type="spellEnd"/>
      <w:r w:rsidRPr="001D1CD5">
        <w:rPr>
          <w:rFonts w:asciiTheme="minorHAnsi" w:hAnsiTheme="minorHAnsi" w:cs="Arial"/>
        </w:rPr>
        <w:t xml:space="preserve">, not simply being silent on the relevant issue. </w:t>
      </w:r>
    </w:p>
    <w:p w14:paraId="79783A95" w14:textId="670DC20D" w:rsidR="00AB34F1" w:rsidRPr="001D1CD5" w:rsidRDefault="00DD5EFB" w:rsidP="00AB34F1">
      <w:pPr>
        <w:spacing w:after="240" w:line="276" w:lineRule="auto"/>
        <w:jc w:val="both"/>
        <w:rPr>
          <w:rFonts w:asciiTheme="minorHAnsi" w:hAnsiTheme="minorHAnsi" w:cs="Arial"/>
        </w:rPr>
      </w:pPr>
      <w:r>
        <w:rPr>
          <w:rFonts w:asciiTheme="minorHAnsi" w:hAnsiTheme="minorHAnsi" w:cs="Arial"/>
        </w:rPr>
        <w:t xml:space="preserve">In the </w:t>
      </w:r>
      <w:r w:rsidRPr="00DD5EFB">
        <w:rPr>
          <w:rFonts w:asciiTheme="minorHAnsi" w:hAnsiTheme="minorHAnsi" w:cs="Arial"/>
          <w:i/>
        </w:rPr>
        <w:t>Anglican Care</w:t>
      </w:r>
      <w:r>
        <w:rPr>
          <w:rFonts w:asciiTheme="minorHAnsi" w:hAnsiTheme="minorHAnsi" w:cs="Arial"/>
        </w:rPr>
        <w:t xml:space="preserve"> case, t</w:t>
      </w:r>
      <w:r w:rsidR="00AB34F1" w:rsidRPr="001D1CD5">
        <w:rPr>
          <w:rFonts w:asciiTheme="minorHAnsi" w:hAnsiTheme="minorHAnsi" w:cs="Arial"/>
        </w:rPr>
        <w:t>h</w:t>
      </w:r>
      <w:r w:rsidR="00566C4F" w:rsidRPr="001D1CD5">
        <w:rPr>
          <w:rFonts w:asciiTheme="minorHAnsi" w:hAnsiTheme="minorHAnsi" w:cs="Arial"/>
        </w:rPr>
        <w:t xml:space="preserve">e Court has interpreted </w:t>
      </w:r>
      <w:proofErr w:type="spellStart"/>
      <w:r w:rsidR="00566C4F" w:rsidRPr="001D1CD5">
        <w:rPr>
          <w:rFonts w:asciiTheme="minorHAnsi" w:hAnsiTheme="minorHAnsi" w:cs="Arial"/>
        </w:rPr>
        <w:t>s.</w:t>
      </w:r>
      <w:r w:rsidR="00AB34F1" w:rsidRPr="001D1CD5">
        <w:rPr>
          <w:rFonts w:asciiTheme="minorHAnsi" w:hAnsiTheme="minorHAnsi" w:cs="Arial"/>
        </w:rPr>
        <w:t>130</w:t>
      </w:r>
      <w:proofErr w:type="spellEnd"/>
      <w:r w:rsidR="00AB34F1" w:rsidRPr="001D1CD5">
        <w:rPr>
          <w:rFonts w:asciiTheme="minorHAnsi" w:hAnsiTheme="minorHAnsi" w:cs="Arial"/>
        </w:rPr>
        <w:t xml:space="preserve"> of the Act to mean that an employee is entitled to accrue annual leave or personal/</w:t>
      </w:r>
      <w:proofErr w:type="spellStart"/>
      <w:r w:rsidR="00AB34F1" w:rsidRPr="001D1CD5">
        <w:rPr>
          <w:rFonts w:asciiTheme="minorHAnsi" w:hAnsiTheme="minorHAnsi" w:cs="Arial"/>
        </w:rPr>
        <w:t>carer’s</w:t>
      </w:r>
      <w:proofErr w:type="spellEnd"/>
      <w:r w:rsidR="00AB34F1" w:rsidRPr="001D1CD5">
        <w:rPr>
          <w:rFonts w:asciiTheme="minorHAnsi" w:hAnsiTheme="minorHAnsi" w:cs="Arial"/>
        </w:rPr>
        <w:t xml:space="preserve"> leave under the </w:t>
      </w:r>
      <w:proofErr w:type="spellStart"/>
      <w:r w:rsidR="00AB34F1" w:rsidRPr="001D1CD5">
        <w:rPr>
          <w:rFonts w:asciiTheme="minorHAnsi" w:hAnsiTheme="minorHAnsi" w:cs="Arial"/>
        </w:rPr>
        <w:t>NES</w:t>
      </w:r>
      <w:proofErr w:type="spellEnd"/>
      <w:r w:rsidR="00AB34F1" w:rsidRPr="001D1CD5">
        <w:rPr>
          <w:rFonts w:asciiTheme="minorHAnsi" w:hAnsiTheme="minorHAnsi" w:cs="Arial"/>
        </w:rPr>
        <w:t xml:space="preserve"> unless the relevant State, Territory or Commonwealth workers’ compensation law expressly states that such leave does not accrue. None of the workers’ compensation laws expressly state that leave does not accrue during a workers’ compensation absence and therefore the Court has decided that leave accrues.</w:t>
      </w:r>
    </w:p>
    <w:p w14:paraId="0BD32120" w14:textId="26E50114" w:rsidR="000A491F" w:rsidRPr="001D1CD5" w:rsidRDefault="00566C4F" w:rsidP="000A491F">
      <w:pPr>
        <w:pStyle w:val="00395b24"/>
        <w:spacing w:after="240" w:line="276" w:lineRule="auto"/>
        <w:jc w:val="both"/>
        <w:rPr>
          <w:rFonts w:asciiTheme="minorHAnsi" w:hAnsiTheme="minorHAnsi"/>
        </w:rPr>
      </w:pPr>
      <w:r w:rsidRPr="001D1CD5">
        <w:rPr>
          <w:rFonts w:asciiTheme="minorHAnsi" w:hAnsiTheme="minorHAnsi"/>
        </w:rPr>
        <w:t xml:space="preserve">The </w:t>
      </w:r>
      <w:r w:rsidR="000A491F" w:rsidRPr="001D1CD5">
        <w:rPr>
          <w:rFonts w:asciiTheme="minorHAnsi" w:hAnsiTheme="minorHAnsi"/>
        </w:rPr>
        <w:t xml:space="preserve">Federal </w:t>
      </w:r>
      <w:r w:rsidRPr="001D1CD5">
        <w:rPr>
          <w:rFonts w:asciiTheme="minorHAnsi" w:hAnsiTheme="minorHAnsi"/>
        </w:rPr>
        <w:t>Court’s decision conflict</w:t>
      </w:r>
      <w:r w:rsidR="000A491F" w:rsidRPr="001D1CD5">
        <w:rPr>
          <w:rFonts w:asciiTheme="minorHAnsi" w:hAnsiTheme="minorHAnsi"/>
        </w:rPr>
        <w:t>s</w:t>
      </w:r>
      <w:r w:rsidRPr="001D1CD5">
        <w:rPr>
          <w:rFonts w:asciiTheme="minorHAnsi" w:hAnsiTheme="minorHAnsi"/>
        </w:rPr>
        <w:t xml:space="preserve"> </w:t>
      </w:r>
      <w:r w:rsidR="000A491F" w:rsidRPr="001D1CD5">
        <w:rPr>
          <w:rFonts w:asciiTheme="minorHAnsi" w:hAnsiTheme="minorHAnsi"/>
        </w:rPr>
        <w:t xml:space="preserve">with the apparent intention of the </w:t>
      </w:r>
      <w:r w:rsidR="00D900BB">
        <w:rPr>
          <w:rFonts w:asciiTheme="minorHAnsi" w:hAnsiTheme="minorHAnsi"/>
        </w:rPr>
        <w:t xml:space="preserve">FW </w:t>
      </w:r>
      <w:r w:rsidR="000A491F" w:rsidRPr="001D1CD5">
        <w:rPr>
          <w:rFonts w:asciiTheme="minorHAnsi" w:hAnsiTheme="minorHAnsi"/>
        </w:rPr>
        <w:t>Act, and conflicts with a key recommendation (Rec. 2) of the 2012 Fair Work Act Review.</w:t>
      </w:r>
    </w:p>
    <w:p w14:paraId="4317020B" w14:textId="447A28F2" w:rsidR="00371EDD" w:rsidRPr="00E61BC4" w:rsidRDefault="00566C4F" w:rsidP="00E61BC4">
      <w:pPr>
        <w:spacing w:after="240" w:line="276" w:lineRule="auto"/>
        <w:jc w:val="both"/>
        <w:rPr>
          <w:rFonts w:asciiTheme="minorHAnsi" w:hAnsiTheme="minorHAnsi" w:cs="Arial"/>
        </w:rPr>
      </w:pPr>
      <w:r w:rsidRPr="001D1CD5">
        <w:rPr>
          <w:rFonts w:asciiTheme="minorHAnsi" w:hAnsiTheme="minorHAnsi" w:cs="Arial"/>
        </w:rPr>
        <w:t>The</w:t>
      </w:r>
      <w:r w:rsidR="00AB34F1" w:rsidRPr="001D1CD5">
        <w:rPr>
          <w:rFonts w:asciiTheme="minorHAnsi" w:hAnsiTheme="minorHAnsi" w:cs="Arial"/>
        </w:rPr>
        <w:t xml:space="preserve"> </w:t>
      </w:r>
      <w:r w:rsidR="00AB34F1" w:rsidRPr="001D1CD5">
        <w:rPr>
          <w:rFonts w:asciiTheme="minorHAnsi" w:hAnsiTheme="minorHAnsi" w:cs="Arial"/>
          <w:i/>
        </w:rPr>
        <w:t>Fair Work Amendment Bill 2014</w:t>
      </w:r>
      <w:r w:rsidR="00AB34F1" w:rsidRPr="001D1CD5">
        <w:rPr>
          <w:rFonts w:asciiTheme="minorHAnsi" w:hAnsiTheme="minorHAnsi" w:cs="Arial"/>
        </w:rPr>
        <w:t xml:space="preserve">, which is currently before the Senate, would repeal </w:t>
      </w:r>
      <w:proofErr w:type="spellStart"/>
      <w:r w:rsidR="00AB34F1" w:rsidRPr="001D1CD5">
        <w:rPr>
          <w:rFonts w:asciiTheme="minorHAnsi" w:hAnsiTheme="minorHAnsi" w:cs="Arial"/>
        </w:rPr>
        <w:t>s</w:t>
      </w:r>
      <w:r w:rsidRPr="001D1CD5">
        <w:rPr>
          <w:rFonts w:asciiTheme="minorHAnsi" w:hAnsiTheme="minorHAnsi" w:cs="Arial"/>
        </w:rPr>
        <w:t>.</w:t>
      </w:r>
      <w:r w:rsidR="00AB34F1" w:rsidRPr="001D1CD5">
        <w:rPr>
          <w:rFonts w:asciiTheme="minorHAnsi" w:hAnsiTheme="minorHAnsi" w:cs="Arial"/>
        </w:rPr>
        <w:t>130</w:t>
      </w:r>
      <w:proofErr w:type="spellEnd"/>
      <w:r w:rsidR="00AB34F1" w:rsidRPr="001D1CD5">
        <w:rPr>
          <w:rFonts w:asciiTheme="minorHAnsi" w:hAnsiTheme="minorHAnsi" w:cs="Arial"/>
        </w:rPr>
        <w:t>(2) of the FW Act. If the Bill is passed, annual leave and personal/</w:t>
      </w:r>
      <w:proofErr w:type="spellStart"/>
      <w:r w:rsidR="00AB34F1" w:rsidRPr="001D1CD5">
        <w:rPr>
          <w:rFonts w:asciiTheme="minorHAnsi" w:hAnsiTheme="minorHAnsi" w:cs="Arial"/>
        </w:rPr>
        <w:t>carer’s</w:t>
      </w:r>
      <w:proofErr w:type="spellEnd"/>
      <w:r w:rsidR="00AB34F1" w:rsidRPr="001D1CD5">
        <w:rPr>
          <w:rFonts w:asciiTheme="minorHAnsi" w:hAnsiTheme="minorHAnsi" w:cs="Arial"/>
        </w:rPr>
        <w:t xml:space="preserve"> leave would not accrue during future workers’ compensation absences. </w:t>
      </w:r>
      <w:r w:rsidR="000A491F" w:rsidRPr="001D1CD5">
        <w:rPr>
          <w:rFonts w:asciiTheme="minorHAnsi" w:hAnsiTheme="minorHAnsi" w:cstheme="minorHAnsi"/>
        </w:rPr>
        <w:t>We urge the Productivity Commission to support this legislative amendment in its Final Report.</w:t>
      </w:r>
    </w:p>
    <w:p w14:paraId="0B209480" w14:textId="560CC60F" w:rsidR="00AB34F1" w:rsidRPr="001D1CD5" w:rsidRDefault="00AB34F1" w:rsidP="00D12FF9">
      <w:pPr>
        <w:pStyle w:val="ListParagraph"/>
        <w:numPr>
          <w:ilvl w:val="0"/>
          <w:numId w:val="73"/>
        </w:numPr>
        <w:spacing w:after="240" w:line="276" w:lineRule="auto"/>
        <w:jc w:val="both"/>
        <w:rPr>
          <w:rFonts w:asciiTheme="minorHAnsi" w:hAnsiTheme="minorHAnsi"/>
          <w:b/>
          <w:color w:val="auto"/>
        </w:rPr>
      </w:pPr>
      <w:r w:rsidRPr="001D1CD5">
        <w:rPr>
          <w:rFonts w:asciiTheme="minorHAnsi" w:hAnsiTheme="minorHAnsi"/>
          <w:b/>
        </w:rPr>
        <w:t>The taking of annual leave</w:t>
      </w:r>
    </w:p>
    <w:p w14:paraId="1A105170" w14:textId="1AA9967E" w:rsidR="00AB34F1" w:rsidRPr="001D1CD5" w:rsidRDefault="00AB34F1" w:rsidP="00AB34F1">
      <w:pPr>
        <w:pStyle w:val="00395b24"/>
        <w:spacing w:after="240" w:line="276" w:lineRule="auto"/>
        <w:jc w:val="both"/>
        <w:rPr>
          <w:rFonts w:asciiTheme="minorHAnsi" w:hAnsiTheme="minorHAnsi"/>
        </w:rPr>
      </w:pPr>
      <w:r w:rsidRPr="001D1CD5">
        <w:rPr>
          <w:rFonts w:asciiTheme="minorHAnsi" w:hAnsiTheme="minorHAnsi"/>
        </w:rPr>
        <w:t xml:space="preserve">The decision of the Full Federal Court in </w:t>
      </w:r>
      <w:hyperlink r:id="rId16" w:history="1">
        <w:r w:rsidRPr="00D900BB">
          <w:rPr>
            <w:rStyle w:val="Hyperlink"/>
            <w:rFonts w:asciiTheme="minorHAnsi" w:hAnsiTheme="minorHAnsi"/>
            <w:i/>
            <w:color w:val="0070C0"/>
          </w:rPr>
          <w:t>Centennial Northern Mining Services Pty Ltd v Construction, Forestry, Mining and Energy Union</w:t>
        </w:r>
      </w:hyperlink>
      <w:r w:rsidRPr="00D900BB">
        <w:rPr>
          <w:rFonts w:asciiTheme="minorHAnsi" w:hAnsiTheme="minorHAnsi"/>
          <w:color w:val="0070C0"/>
        </w:rPr>
        <w:t xml:space="preserve"> </w:t>
      </w:r>
      <w:r w:rsidRPr="001D1CD5">
        <w:rPr>
          <w:rFonts w:asciiTheme="minorHAnsi" w:hAnsiTheme="minorHAnsi"/>
        </w:rPr>
        <w:t xml:space="preserve">[2015] </w:t>
      </w:r>
      <w:proofErr w:type="spellStart"/>
      <w:r w:rsidRPr="001D1CD5">
        <w:rPr>
          <w:rFonts w:asciiTheme="minorHAnsi" w:hAnsiTheme="minorHAnsi"/>
        </w:rPr>
        <w:t>FCAFC</w:t>
      </w:r>
      <w:proofErr w:type="spellEnd"/>
      <w:r w:rsidRPr="001D1CD5">
        <w:rPr>
          <w:rFonts w:asciiTheme="minorHAnsi" w:hAnsiTheme="minorHAnsi"/>
        </w:rPr>
        <w:t xml:space="preserve"> 100 has interpreted </w:t>
      </w:r>
      <w:proofErr w:type="spellStart"/>
      <w:r w:rsidRPr="001D1CD5">
        <w:rPr>
          <w:rFonts w:asciiTheme="minorHAnsi" w:hAnsiTheme="minorHAnsi"/>
        </w:rPr>
        <w:t>s.90</w:t>
      </w:r>
      <w:proofErr w:type="spellEnd"/>
      <w:r w:rsidRPr="001D1CD5">
        <w:rPr>
          <w:rFonts w:asciiTheme="minorHAnsi" w:hAnsiTheme="minorHAnsi"/>
        </w:rPr>
        <w:t xml:space="preserve">(2) of the FW Act </w:t>
      </w:r>
      <w:r w:rsidR="00D900BB">
        <w:rPr>
          <w:rFonts w:asciiTheme="minorHAnsi" w:hAnsiTheme="minorHAnsi"/>
        </w:rPr>
        <w:t xml:space="preserve">in a manner </w:t>
      </w:r>
      <w:r w:rsidRPr="001D1CD5">
        <w:rPr>
          <w:rFonts w:asciiTheme="minorHAnsi" w:hAnsiTheme="minorHAnsi"/>
        </w:rPr>
        <w:t>which conflicts with the apparent intention of the Act, and conflicts with a key recommendation (Rec. 6) of the 2012 Fair Work Act Review.</w:t>
      </w:r>
    </w:p>
    <w:p w14:paraId="278D0AA4" w14:textId="0BBEE28B" w:rsidR="00AB34F1" w:rsidRPr="001D1CD5" w:rsidRDefault="00AB34F1" w:rsidP="00AB34F1">
      <w:pPr>
        <w:spacing w:after="240" w:line="276" w:lineRule="auto"/>
        <w:jc w:val="both"/>
        <w:rPr>
          <w:rFonts w:asciiTheme="minorHAnsi" w:hAnsiTheme="minorHAnsi"/>
        </w:rPr>
      </w:pPr>
      <w:r w:rsidRPr="001D1CD5">
        <w:rPr>
          <w:rFonts w:asciiTheme="minorHAnsi" w:hAnsiTheme="minorHAnsi"/>
        </w:rPr>
        <w:t xml:space="preserve">The Court decided that </w:t>
      </w:r>
      <w:proofErr w:type="spellStart"/>
      <w:r w:rsidRPr="001D1CD5">
        <w:rPr>
          <w:rFonts w:asciiTheme="minorHAnsi" w:hAnsiTheme="minorHAnsi"/>
        </w:rPr>
        <w:t>s.90</w:t>
      </w:r>
      <w:proofErr w:type="spellEnd"/>
      <w:r w:rsidRPr="001D1CD5">
        <w:rPr>
          <w:rFonts w:asciiTheme="minorHAnsi" w:hAnsiTheme="minorHAnsi"/>
        </w:rPr>
        <w:t xml:space="preserve">(2) of the </w:t>
      </w:r>
      <w:r w:rsidRPr="001D1CD5">
        <w:rPr>
          <w:rFonts w:asciiTheme="minorHAnsi" w:hAnsiTheme="minorHAnsi"/>
          <w:i/>
          <w:iCs/>
        </w:rPr>
        <w:t>Fair Work Act</w:t>
      </w:r>
      <w:r w:rsidRPr="001D1CD5">
        <w:rPr>
          <w:rFonts w:asciiTheme="minorHAnsi" w:hAnsiTheme="minorHAnsi"/>
        </w:rPr>
        <w:t xml:space="preserve"> is to be interpreted to mean that annual leave on termination of employment is to be paid at a rate which reflects the amount that would have been payable to the employee if the annual leave had been taken. In many cases this will be a higher rate than the base rate of pay, e.g. if the employee is entitled to leave loading or a car allowance during a period of annual leave that is taken.</w:t>
      </w:r>
    </w:p>
    <w:p w14:paraId="68DE0B72" w14:textId="437A8CD3" w:rsidR="00AB34F1" w:rsidRPr="001D1CD5" w:rsidRDefault="00AB34F1" w:rsidP="00AB34F1">
      <w:pPr>
        <w:spacing w:after="240" w:line="276" w:lineRule="auto"/>
        <w:jc w:val="both"/>
        <w:rPr>
          <w:rFonts w:asciiTheme="minorHAnsi" w:hAnsiTheme="minorHAnsi"/>
        </w:rPr>
      </w:pPr>
      <w:r w:rsidRPr="001D1CD5">
        <w:rPr>
          <w:rFonts w:asciiTheme="minorHAnsi" w:hAnsiTheme="minorHAnsi"/>
        </w:rPr>
        <w:t>The Federal Court’s decision means that the provisions in many awards and enterprise agreements which specify that leave loading is not payable on termination of employment will generally be invalid and inoperative (although the specific terms of any provision would need to be considered).</w:t>
      </w:r>
    </w:p>
    <w:p w14:paraId="1161E97D" w14:textId="72046CE6" w:rsidR="0061373E" w:rsidRPr="001D1CD5" w:rsidRDefault="00AB34F1" w:rsidP="000A491F">
      <w:pPr>
        <w:spacing w:after="240" w:line="276" w:lineRule="auto"/>
        <w:jc w:val="both"/>
        <w:rPr>
          <w:rFonts w:asciiTheme="minorHAnsi" w:hAnsiTheme="minorHAnsi" w:cstheme="minorHAnsi"/>
        </w:rPr>
      </w:pPr>
      <w:r w:rsidRPr="001D1CD5">
        <w:rPr>
          <w:rFonts w:asciiTheme="minorHAnsi" w:hAnsiTheme="minorHAnsi"/>
        </w:rPr>
        <w:t xml:space="preserve">The </w:t>
      </w:r>
      <w:r w:rsidRPr="001D1CD5">
        <w:rPr>
          <w:rFonts w:asciiTheme="minorHAnsi" w:hAnsiTheme="minorHAnsi"/>
          <w:i/>
        </w:rPr>
        <w:t>Fair Work Amendment Bill 2014</w:t>
      </w:r>
      <w:r w:rsidRPr="001D1CD5">
        <w:rPr>
          <w:rFonts w:asciiTheme="minorHAnsi" w:hAnsiTheme="minorHAnsi"/>
        </w:rPr>
        <w:t xml:space="preserve">, which is currently before the Senate, </w:t>
      </w:r>
      <w:r w:rsidR="0091383E" w:rsidRPr="001D1CD5">
        <w:rPr>
          <w:rFonts w:asciiTheme="minorHAnsi" w:hAnsiTheme="minorHAnsi"/>
        </w:rPr>
        <w:t xml:space="preserve">would amend </w:t>
      </w:r>
      <w:proofErr w:type="spellStart"/>
      <w:r w:rsidR="0091383E" w:rsidRPr="001D1CD5">
        <w:rPr>
          <w:rFonts w:asciiTheme="minorHAnsi" w:hAnsiTheme="minorHAnsi"/>
        </w:rPr>
        <w:t>s.</w:t>
      </w:r>
      <w:r w:rsidRPr="001D1CD5">
        <w:rPr>
          <w:rFonts w:asciiTheme="minorHAnsi" w:hAnsiTheme="minorHAnsi"/>
        </w:rPr>
        <w:t>90</w:t>
      </w:r>
      <w:proofErr w:type="spellEnd"/>
      <w:r w:rsidRPr="001D1CD5">
        <w:rPr>
          <w:rFonts w:asciiTheme="minorHAnsi" w:hAnsiTheme="minorHAnsi"/>
        </w:rPr>
        <w:t xml:space="preserve"> of the </w:t>
      </w:r>
      <w:r w:rsidRPr="001D1CD5">
        <w:rPr>
          <w:rFonts w:asciiTheme="minorHAnsi" w:hAnsiTheme="minorHAnsi"/>
          <w:i/>
        </w:rPr>
        <w:t>Fair Work Act</w:t>
      </w:r>
      <w:r w:rsidRPr="001D1CD5">
        <w:rPr>
          <w:rFonts w:asciiTheme="minorHAnsi" w:hAnsiTheme="minorHAnsi"/>
        </w:rPr>
        <w:t xml:space="preserve"> to provide that </w:t>
      </w:r>
      <w:r w:rsidRPr="001D1CD5">
        <w:rPr>
          <w:rFonts w:asciiTheme="minorHAnsi" w:hAnsiTheme="minorHAnsi" w:cstheme="minorHAnsi"/>
        </w:rPr>
        <w:t xml:space="preserve">an employer must pay an employee on termination not less than the base rate of pay for the employee’s untaken annual leave. </w:t>
      </w:r>
      <w:r w:rsidR="000A491F" w:rsidRPr="001D1CD5">
        <w:rPr>
          <w:rFonts w:asciiTheme="minorHAnsi" w:hAnsiTheme="minorHAnsi" w:cstheme="minorHAnsi"/>
        </w:rPr>
        <w:t xml:space="preserve"> We urge the Productivity Commission to support this legislative amendment in its Final Report.</w:t>
      </w:r>
    </w:p>
    <w:p w14:paraId="3965D63D" w14:textId="77777777" w:rsidR="002D0AC7" w:rsidRPr="001D1CD5" w:rsidRDefault="002D0AC7" w:rsidP="002D0AC7">
      <w:pPr>
        <w:pStyle w:val="Heading1"/>
        <w:spacing w:before="0" w:after="240" w:line="276" w:lineRule="auto"/>
        <w:ind w:left="709" w:hanging="709"/>
        <w:rPr>
          <w:rFonts w:asciiTheme="minorHAnsi" w:eastAsia="Calibri" w:hAnsiTheme="minorHAnsi" w:cs="Calibri"/>
          <w:color w:val="451E51"/>
          <w:sz w:val="36"/>
          <w:szCs w:val="36"/>
          <w:lang w:eastAsia="en-AU"/>
        </w:rPr>
      </w:pPr>
      <w:r w:rsidRPr="001D1CD5">
        <w:rPr>
          <w:rFonts w:asciiTheme="minorHAnsi" w:eastAsia="Calibri" w:hAnsiTheme="minorHAnsi" w:cs="Calibri"/>
          <w:color w:val="451E51"/>
          <w:sz w:val="36"/>
          <w:szCs w:val="36"/>
          <w:lang w:eastAsia="en-AU"/>
        </w:rPr>
        <w:lastRenderedPageBreak/>
        <w:t>5.</w:t>
      </w:r>
      <w:r w:rsidRPr="001D1CD5">
        <w:rPr>
          <w:rFonts w:asciiTheme="minorHAnsi" w:eastAsia="Calibri" w:hAnsiTheme="minorHAnsi" w:cs="Calibri"/>
          <w:color w:val="451E51"/>
          <w:sz w:val="36"/>
          <w:szCs w:val="36"/>
          <w:lang w:eastAsia="en-AU"/>
        </w:rPr>
        <w:tab/>
      </w:r>
      <w:bookmarkEnd w:id="5"/>
      <w:r w:rsidRPr="001D1CD5">
        <w:rPr>
          <w:rFonts w:asciiTheme="minorHAnsi" w:eastAsia="Calibri" w:hAnsiTheme="minorHAnsi" w:cs="Calibri"/>
          <w:color w:val="451E51"/>
          <w:sz w:val="36"/>
          <w:szCs w:val="36"/>
          <w:lang w:eastAsia="en-AU"/>
        </w:rPr>
        <w:t>Unfair dismissal</w:t>
      </w:r>
    </w:p>
    <w:p w14:paraId="12D8AFDD" w14:textId="77777777" w:rsidR="002D0AC7" w:rsidRPr="001D1CD5" w:rsidRDefault="002D0AC7" w:rsidP="002D0AC7">
      <w:pPr>
        <w:widowControl w:val="0"/>
        <w:spacing w:after="240" w:line="276" w:lineRule="auto"/>
        <w:jc w:val="both"/>
        <w:rPr>
          <w:rFonts w:asciiTheme="minorHAnsi" w:hAnsiTheme="minorHAnsi"/>
          <w:lang w:eastAsia="en-AU"/>
        </w:rPr>
      </w:pPr>
      <w:r w:rsidRPr="001D1CD5">
        <w:rPr>
          <w:rFonts w:asciiTheme="minorHAnsi" w:hAnsiTheme="minorHAnsi"/>
          <w:lang w:eastAsia="en-AU"/>
        </w:rPr>
        <w:t>Ai Group concurs with the Productivity Commission’s findings that further changes to the unfair dismissal laws are needed to:</w:t>
      </w:r>
    </w:p>
    <w:p w14:paraId="1DDF72A0" w14:textId="77777777" w:rsidR="002D0AC7" w:rsidRPr="001D1CD5" w:rsidRDefault="002D0AC7" w:rsidP="002D0AC7">
      <w:pPr>
        <w:pStyle w:val="ListParagraph"/>
        <w:widowControl w:val="0"/>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rPr>
      </w:pPr>
      <w:r w:rsidRPr="001D1CD5">
        <w:rPr>
          <w:rFonts w:asciiTheme="minorHAnsi" w:hAnsiTheme="minorHAnsi"/>
        </w:rPr>
        <w:t xml:space="preserve">Prevent spurious claims resulting in financial settlements by introducing more effective upfront filters that focus on the merits of claims; and </w:t>
      </w:r>
    </w:p>
    <w:p w14:paraId="203D2697" w14:textId="77777777" w:rsidR="002D0AC7" w:rsidRPr="001D1CD5" w:rsidRDefault="002D0AC7" w:rsidP="002D0AC7">
      <w:pPr>
        <w:pStyle w:val="ListParagraph"/>
        <w:widowControl w:val="0"/>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lang w:eastAsia="en-US"/>
        </w:rPr>
      </w:pPr>
      <w:r w:rsidRPr="001D1CD5">
        <w:rPr>
          <w:rFonts w:asciiTheme="minorHAnsi" w:hAnsiTheme="minorHAnsi"/>
        </w:rPr>
        <w:t xml:space="preserve">Prevent the </w:t>
      </w:r>
      <w:proofErr w:type="spellStart"/>
      <w:r w:rsidRPr="001D1CD5">
        <w:rPr>
          <w:rFonts w:asciiTheme="minorHAnsi" w:hAnsiTheme="minorHAnsi"/>
        </w:rPr>
        <w:t>FWC</w:t>
      </w:r>
      <w:proofErr w:type="spellEnd"/>
      <w:r w:rsidRPr="001D1CD5">
        <w:rPr>
          <w:rFonts w:asciiTheme="minorHAnsi" w:hAnsiTheme="minorHAnsi"/>
        </w:rPr>
        <w:t xml:space="preserve"> </w:t>
      </w:r>
      <w:proofErr w:type="spellStart"/>
      <w:r w:rsidRPr="001D1CD5">
        <w:rPr>
          <w:rFonts w:asciiTheme="minorHAnsi" w:hAnsiTheme="minorHAnsi"/>
        </w:rPr>
        <w:t>favouring</w:t>
      </w:r>
      <w:proofErr w:type="spellEnd"/>
      <w:r w:rsidRPr="001D1CD5">
        <w:rPr>
          <w:rFonts w:asciiTheme="minorHAnsi" w:hAnsiTheme="minorHAnsi"/>
        </w:rPr>
        <w:t xml:space="preserve"> form over substance when determining unfair dismissal claims.</w:t>
      </w:r>
    </w:p>
    <w:p w14:paraId="64FE26C0" w14:textId="02E408DC" w:rsidR="002D0AC7" w:rsidRPr="001D1CD5" w:rsidRDefault="002D0AC7" w:rsidP="002D0AC7">
      <w:pPr>
        <w:pStyle w:val="Heading1"/>
        <w:spacing w:before="0" w:after="240" w:line="276" w:lineRule="auto"/>
        <w:ind w:left="709" w:hanging="709"/>
        <w:jc w:val="both"/>
        <w:rPr>
          <w:rFonts w:asciiTheme="minorHAnsi" w:eastAsia="Calibri" w:hAnsiTheme="minorHAnsi" w:cs="Calibri"/>
          <w:color w:val="451E51"/>
          <w:lang w:eastAsia="en-AU"/>
        </w:rPr>
      </w:pPr>
      <w:r w:rsidRPr="001D1CD5">
        <w:rPr>
          <w:rFonts w:asciiTheme="minorHAnsi" w:eastAsia="Calibri" w:hAnsiTheme="minorHAnsi" w:cs="Calibri"/>
          <w:color w:val="451E51"/>
          <w:lang w:eastAsia="en-AU"/>
        </w:rPr>
        <w:t xml:space="preserve">5.1 </w:t>
      </w:r>
      <w:r w:rsidRPr="001D1CD5">
        <w:rPr>
          <w:rFonts w:asciiTheme="minorHAnsi" w:eastAsia="Calibri" w:hAnsiTheme="minorHAnsi" w:cs="Calibri"/>
          <w:color w:val="451E51"/>
          <w:lang w:eastAsia="en-AU"/>
        </w:rPr>
        <w:tab/>
        <w:t>Lodgment fees</w:t>
      </w:r>
    </w:p>
    <w:p w14:paraId="052180ED" w14:textId="77777777" w:rsidR="002D0AC7" w:rsidRPr="001D1CD5" w:rsidRDefault="002D0AC7" w:rsidP="002D0AC7">
      <w:pPr>
        <w:spacing w:after="240" w:line="276" w:lineRule="auto"/>
        <w:jc w:val="both"/>
        <w:rPr>
          <w:rFonts w:asciiTheme="minorHAnsi" w:hAnsiTheme="minorHAnsi"/>
          <w:lang w:eastAsia="en-AU"/>
        </w:rPr>
      </w:pPr>
      <w:r w:rsidRPr="001D1CD5">
        <w:rPr>
          <w:rFonts w:asciiTheme="minorHAnsi" w:hAnsiTheme="minorHAnsi"/>
          <w:lang w:eastAsia="en-AU"/>
        </w:rPr>
        <w:t>The Productivity Commission has sought further views on possible changes to lodgment fees for unfair dismissal matters.</w:t>
      </w:r>
    </w:p>
    <w:p w14:paraId="715BAA29" w14:textId="77777777" w:rsidR="002D0AC7" w:rsidRPr="001D1CD5" w:rsidRDefault="002D0AC7" w:rsidP="002D0AC7">
      <w:pPr>
        <w:spacing w:after="240" w:line="276" w:lineRule="auto"/>
        <w:jc w:val="both"/>
        <w:rPr>
          <w:rFonts w:asciiTheme="minorHAnsi" w:eastAsiaTheme="minorHAnsi" w:hAnsiTheme="minorHAnsi" w:cstheme="minorHAnsi"/>
        </w:rPr>
      </w:pPr>
      <w:r w:rsidRPr="001D1CD5">
        <w:rPr>
          <w:rFonts w:asciiTheme="minorHAnsi" w:hAnsiTheme="minorHAnsi" w:cs="Calibri"/>
        </w:rPr>
        <w:t>The</w:t>
      </w:r>
      <w:r w:rsidRPr="001D1CD5">
        <w:rPr>
          <w:rFonts w:asciiTheme="minorHAnsi" w:hAnsiTheme="minorHAnsi" w:cstheme="minorHAnsi"/>
        </w:rPr>
        <w:t xml:space="preserve"> application fee for an unfair dismissal matter is very low and should be increased to at least $150 to discourage speculative and spurious claims. The </w:t>
      </w:r>
      <w:proofErr w:type="spellStart"/>
      <w:r w:rsidRPr="001D1CD5">
        <w:rPr>
          <w:rFonts w:asciiTheme="minorHAnsi" w:hAnsiTheme="minorHAnsi" w:cstheme="minorHAnsi"/>
        </w:rPr>
        <w:t>FWC</w:t>
      </w:r>
      <w:proofErr w:type="spellEnd"/>
      <w:r w:rsidRPr="001D1CD5">
        <w:rPr>
          <w:rFonts w:asciiTheme="minorHAnsi" w:hAnsiTheme="minorHAnsi" w:cstheme="minorHAnsi"/>
        </w:rPr>
        <w:t xml:space="preserve"> should have the ability to waive the fee in exceptional circumstances where the fee would impose hardship on an applicant.</w:t>
      </w:r>
    </w:p>
    <w:p w14:paraId="649BCB39" w14:textId="77777777" w:rsidR="002D0AC7" w:rsidRPr="001D1CD5" w:rsidRDefault="002D0AC7" w:rsidP="002D0AC7">
      <w:pPr>
        <w:spacing w:after="240" w:line="276" w:lineRule="auto"/>
        <w:jc w:val="both"/>
        <w:rPr>
          <w:rFonts w:asciiTheme="minorHAnsi" w:hAnsiTheme="minorHAnsi" w:cstheme="minorHAnsi"/>
        </w:rPr>
      </w:pPr>
      <w:r w:rsidRPr="001D1CD5">
        <w:rPr>
          <w:rFonts w:asciiTheme="minorHAnsi" w:hAnsiTheme="minorHAnsi" w:cstheme="minorHAnsi"/>
        </w:rPr>
        <w:t>The Productivity Commission has suggested that an additional fee could apply if the matter proceeds to arbitration. Ai Group supports this approach provided that the additional fee is paid by the applicant.</w:t>
      </w:r>
    </w:p>
    <w:p w14:paraId="47D02BF0" w14:textId="56C135F6" w:rsidR="002D0AC7" w:rsidRPr="001D1CD5" w:rsidRDefault="002D0AC7" w:rsidP="002D0AC7">
      <w:pPr>
        <w:pStyle w:val="Heading1"/>
        <w:spacing w:before="0" w:after="240" w:line="276" w:lineRule="auto"/>
        <w:ind w:left="709" w:hanging="709"/>
        <w:jc w:val="both"/>
        <w:rPr>
          <w:rFonts w:asciiTheme="minorHAnsi" w:eastAsia="Calibri" w:hAnsiTheme="minorHAnsi" w:cs="Calibri"/>
          <w:color w:val="451E51"/>
          <w:lang w:eastAsia="en-AU"/>
        </w:rPr>
      </w:pPr>
      <w:r w:rsidRPr="001D1CD5">
        <w:rPr>
          <w:rFonts w:asciiTheme="minorHAnsi" w:eastAsia="Calibri" w:hAnsiTheme="minorHAnsi" w:cs="Calibri"/>
          <w:color w:val="451E51"/>
          <w:lang w:eastAsia="en-AU"/>
        </w:rPr>
        <w:t xml:space="preserve">5.2 </w:t>
      </w:r>
      <w:r w:rsidRPr="001D1CD5">
        <w:rPr>
          <w:rFonts w:asciiTheme="minorHAnsi" w:eastAsia="Calibri" w:hAnsiTheme="minorHAnsi" w:cs="Calibri"/>
          <w:color w:val="451E51"/>
          <w:lang w:eastAsia="en-AU"/>
        </w:rPr>
        <w:tab/>
        <w:t>Consideration of applications “on the pa</w:t>
      </w:r>
      <w:r w:rsidR="009C01C3">
        <w:rPr>
          <w:rFonts w:asciiTheme="minorHAnsi" w:eastAsia="Calibri" w:hAnsiTheme="minorHAnsi" w:cs="Calibri"/>
          <w:color w:val="451E51"/>
          <w:lang w:eastAsia="en-AU"/>
        </w:rPr>
        <w:t>pers” or via a more merit focus</w:t>
      </w:r>
      <w:r w:rsidRPr="001D1CD5">
        <w:rPr>
          <w:rFonts w:asciiTheme="minorHAnsi" w:eastAsia="Calibri" w:hAnsiTheme="minorHAnsi" w:cs="Calibri"/>
          <w:color w:val="451E51"/>
          <w:lang w:eastAsia="en-AU"/>
        </w:rPr>
        <w:t>ed conciliation process</w:t>
      </w:r>
    </w:p>
    <w:p w14:paraId="1832750D" w14:textId="0FB27608" w:rsidR="002D0AC7" w:rsidRPr="001D1CD5" w:rsidRDefault="002D0AC7" w:rsidP="002D0AC7">
      <w:pPr>
        <w:widowControl w:val="0"/>
        <w:spacing w:after="240" w:line="276" w:lineRule="auto"/>
        <w:jc w:val="both"/>
        <w:rPr>
          <w:rFonts w:asciiTheme="minorHAnsi" w:hAnsiTheme="minorHAnsi"/>
        </w:rPr>
      </w:pPr>
      <w:r w:rsidRPr="001D1CD5">
        <w:rPr>
          <w:rFonts w:asciiTheme="minorHAnsi" w:hAnsiTheme="minorHAnsi"/>
        </w:rPr>
        <w:t xml:space="preserve">Draft Recommendation 5.1 in the Draft Report would provide the </w:t>
      </w:r>
      <w:proofErr w:type="spellStart"/>
      <w:r w:rsidRPr="001D1CD5">
        <w:rPr>
          <w:rFonts w:asciiTheme="minorHAnsi" w:hAnsiTheme="minorHAnsi"/>
        </w:rPr>
        <w:t>FWC</w:t>
      </w:r>
      <w:proofErr w:type="spellEnd"/>
      <w:r w:rsidRPr="001D1CD5">
        <w:rPr>
          <w:rFonts w:asciiTheme="minorHAnsi" w:hAnsiTheme="minorHAnsi"/>
        </w:rPr>
        <w:t xml:space="preserve"> with greater discretion to consider unfair dismissal applications “on the papers” prior to conciliation, or alternatively wou</w:t>
      </w:r>
      <w:r w:rsidR="00022948">
        <w:rPr>
          <w:rFonts w:asciiTheme="minorHAnsi" w:hAnsiTheme="minorHAnsi"/>
        </w:rPr>
        <w:t>ld introduce a more merit focus</w:t>
      </w:r>
      <w:r w:rsidRPr="001D1CD5">
        <w:rPr>
          <w:rFonts w:asciiTheme="minorHAnsi" w:hAnsiTheme="minorHAnsi"/>
        </w:rPr>
        <w:t>ed conciliation process. These two proposals are not mutually exclusive and both have merit.</w:t>
      </w:r>
    </w:p>
    <w:p w14:paraId="62C1258C" w14:textId="48364836" w:rsidR="002D0AC7" w:rsidRPr="001D1CD5" w:rsidRDefault="002D0AC7" w:rsidP="002D0AC7">
      <w:pPr>
        <w:widowControl w:val="0"/>
        <w:spacing w:after="240" w:line="276" w:lineRule="auto"/>
        <w:jc w:val="both"/>
        <w:rPr>
          <w:rFonts w:asciiTheme="minorHAnsi" w:eastAsiaTheme="minorHAnsi" w:hAnsiTheme="minorHAnsi" w:cstheme="minorBidi"/>
        </w:rPr>
      </w:pPr>
      <w:r w:rsidRPr="001D1CD5">
        <w:rPr>
          <w:rFonts w:asciiTheme="minorHAnsi" w:hAnsiTheme="minorHAnsi"/>
        </w:rPr>
        <w:t xml:space="preserve">The proposal to give the </w:t>
      </w:r>
      <w:proofErr w:type="spellStart"/>
      <w:r w:rsidRPr="001D1CD5">
        <w:rPr>
          <w:rFonts w:asciiTheme="minorHAnsi" w:hAnsiTheme="minorHAnsi"/>
        </w:rPr>
        <w:t>FWC</w:t>
      </w:r>
      <w:proofErr w:type="spellEnd"/>
      <w:r w:rsidRPr="001D1CD5">
        <w:rPr>
          <w:rFonts w:asciiTheme="minorHAnsi" w:hAnsiTheme="minorHAnsi"/>
        </w:rPr>
        <w:t xml:space="preserve"> greater discretion to determine matters “on the papers” has some similarity to Ai Group’s propo</w:t>
      </w:r>
      <w:r w:rsidR="008F793F">
        <w:rPr>
          <w:rFonts w:asciiTheme="minorHAnsi" w:hAnsiTheme="minorHAnsi"/>
        </w:rPr>
        <w:t>sal, set out in our March 2015 s</w:t>
      </w:r>
      <w:r w:rsidRPr="001D1CD5">
        <w:rPr>
          <w:rFonts w:asciiTheme="minorHAnsi" w:hAnsiTheme="minorHAnsi"/>
        </w:rPr>
        <w:t xml:space="preserve">ubmission, for jurisdictional issues relating to unfair dismissal matters to be dealt with separately and prior to the substantive issues. Such an approach would improve the cost effectiveness and efficiency of the unfair dismissal system. </w:t>
      </w:r>
    </w:p>
    <w:p w14:paraId="26CA640C" w14:textId="589486E7" w:rsidR="002D0AC7" w:rsidRPr="001D1CD5" w:rsidRDefault="002D0AC7" w:rsidP="002D0AC7">
      <w:pPr>
        <w:widowControl w:val="0"/>
        <w:spacing w:after="240" w:line="276" w:lineRule="auto"/>
        <w:jc w:val="both"/>
        <w:rPr>
          <w:rFonts w:asciiTheme="minorHAnsi" w:hAnsiTheme="minorHAnsi"/>
          <w:b/>
          <w:bCs/>
          <w:sz w:val="22"/>
          <w:szCs w:val="22"/>
        </w:rPr>
      </w:pPr>
      <w:r w:rsidRPr="001D1CD5">
        <w:rPr>
          <w:rFonts w:asciiTheme="minorHAnsi" w:eastAsia="Calibri" w:hAnsiTheme="minorHAnsi" w:cs="Calibri"/>
          <w:b/>
          <w:color w:val="451E51"/>
          <w:sz w:val="28"/>
          <w:szCs w:val="28"/>
          <w:lang w:eastAsia="en-AU"/>
        </w:rPr>
        <w:t xml:space="preserve">5.3 </w:t>
      </w:r>
      <w:r w:rsidRPr="001D1CD5">
        <w:rPr>
          <w:rFonts w:asciiTheme="minorHAnsi" w:eastAsia="Calibri" w:hAnsiTheme="minorHAnsi" w:cs="Calibri"/>
          <w:b/>
          <w:color w:val="451E51"/>
          <w:sz w:val="28"/>
          <w:szCs w:val="28"/>
          <w:lang w:eastAsia="en-AU"/>
        </w:rPr>
        <w:tab/>
        <w:t>The balance between procedural and substantive issues</w:t>
      </w:r>
      <w:r w:rsidRPr="001D1CD5">
        <w:rPr>
          <w:rFonts w:asciiTheme="minorHAnsi" w:hAnsiTheme="minorHAnsi"/>
          <w:b/>
          <w:bCs/>
        </w:rPr>
        <w:t xml:space="preserve"> </w:t>
      </w:r>
    </w:p>
    <w:p w14:paraId="3D6CE153" w14:textId="77777777" w:rsidR="002D0AC7" w:rsidRPr="001D1CD5" w:rsidRDefault="002D0AC7" w:rsidP="002D0AC7">
      <w:pPr>
        <w:widowControl w:val="0"/>
        <w:spacing w:after="240" w:line="276" w:lineRule="auto"/>
        <w:jc w:val="both"/>
        <w:rPr>
          <w:rFonts w:asciiTheme="minorHAnsi" w:hAnsiTheme="minorHAnsi"/>
        </w:rPr>
      </w:pPr>
      <w:r w:rsidRPr="001D1CD5">
        <w:rPr>
          <w:rFonts w:asciiTheme="minorHAnsi" w:hAnsiTheme="minorHAnsi"/>
        </w:rPr>
        <w:t xml:space="preserve">Ai Group supports the apparent intent of Draft Recommendation 5.2 which would ensure that an employee could only receive compensation if they have been dismissed without reasonable evidence of persistent underperformance or serious misconduct. Procedural errors by an employer would not result in reinstatement or compensation but could, at the discretion of the </w:t>
      </w:r>
      <w:proofErr w:type="spellStart"/>
      <w:r w:rsidRPr="001D1CD5">
        <w:rPr>
          <w:rFonts w:asciiTheme="minorHAnsi" w:hAnsiTheme="minorHAnsi"/>
        </w:rPr>
        <w:t>FWC</w:t>
      </w:r>
      <w:proofErr w:type="spellEnd"/>
      <w:r w:rsidRPr="001D1CD5">
        <w:rPr>
          <w:rFonts w:asciiTheme="minorHAnsi" w:hAnsiTheme="minorHAnsi"/>
        </w:rPr>
        <w:t xml:space="preserve">, lead to either counselling or education of the employer, or financial penalties. </w:t>
      </w:r>
    </w:p>
    <w:p w14:paraId="150CF323" w14:textId="657D13FC" w:rsidR="002D0AC7" w:rsidRPr="001D1CD5" w:rsidRDefault="002D0AC7" w:rsidP="002D0AC7">
      <w:pPr>
        <w:widowControl w:val="0"/>
        <w:spacing w:after="240" w:line="276" w:lineRule="auto"/>
        <w:jc w:val="both"/>
        <w:rPr>
          <w:rFonts w:asciiTheme="minorHAnsi" w:hAnsiTheme="minorHAnsi"/>
        </w:rPr>
      </w:pPr>
      <w:r w:rsidRPr="001D1CD5">
        <w:rPr>
          <w:rFonts w:asciiTheme="minorHAnsi" w:hAnsiTheme="minorHAnsi"/>
        </w:rPr>
        <w:lastRenderedPageBreak/>
        <w:t xml:space="preserve">It is not clear from the Draft Recommendation who would do the counselling or education. This is a role </w:t>
      </w:r>
      <w:r w:rsidR="008F793F">
        <w:rPr>
          <w:rFonts w:asciiTheme="minorHAnsi" w:hAnsiTheme="minorHAnsi"/>
        </w:rPr>
        <w:t xml:space="preserve">perhaps </w:t>
      </w:r>
      <w:r w:rsidRPr="001D1CD5">
        <w:rPr>
          <w:rFonts w:asciiTheme="minorHAnsi" w:hAnsiTheme="minorHAnsi"/>
        </w:rPr>
        <w:t xml:space="preserve">more aligned with the </w:t>
      </w:r>
      <w:proofErr w:type="spellStart"/>
      <w:r w:rsidRPr="001D1CD5">
        <w:rPr>
          <w:rFonts w:asciiTheme="minorHAnsi" w:hAnsiTheme="minorHAnsi"/>
        </w:rPr>
        <w:t>FWO’s</w:t>
      </w:r>
      <w:proofErr w:type="spellEnd"/>
      <w:r w:rsidRPr="001D1CD5">
        <w:rPr>
          <w:rFonts w:asciiTheme="minorHAnsi" w:hAnsiTheme="minorHAnsi"/>
        </w:rPr>
        <w:t xml:space="preserve"> functions than the </w:t>
      </w:r>
      <w:proofErr w:type="spellStart"/>
      <w:r w:rsidRPr="001D1CD5">
        <w:rPr>
          <w:rFonts w:asciiTheme="minorHAnsi" w:hAnsiTheme="minorHAnsi"/>
        </w:rPr>
        <w:t>FWC’s</w:t>
      </w:r>
      <w:proofErr w:type="spellEnd"/>
      <w:r w:rsidRPr="001D1CD5">
        <w:rPr>
          <w:rFonts w:asciiTheme="minorHAnsi" w:hAnsiTheme="minorHAnsi"/>
        </w:rPr>
        <w:t xml:space="preserve">. Also, the maximum penalty would need to be imposed by a court as the </w:t>
      </w:r>
      <w:proofErr w:type="spellStart"/>
      <w:r w:rsidRPr="001D1CD5">
        <w:rPr>
          <w:rFonts w:asciiTheme="minorHAnsi" w:hAnsiTheme="minorHAnsi"/>
        </w:rPr>
        <w:t>FWC</w:t>
      </w:r>
      <w:proofErr w:type="spellEnd"/>
      <w:r w:rsidRPr="001D1CD5">
        <w:rPr>
          <w:rFonts w:asciiTheme="minorHAnsi" w:hAnsiTheme="minorHAnsi"/>
        </w:rPr>
        <w:t xml:space="preserve"> cannot exercise judicial powers. The maximum penalty should be set at a reasonable level (e.g. $5,000). An excessive penalty would discourage small businesses from taking on new staff.</w:t>
      </w:r>
    </w:p>
    <w:p w14:paraId="2CD85238" w14:textId="0A74989F" w:rsidR="002D0AC7" w:rsidRPr="001D1CD5" w:rsidRDefault="002D0AC7" w:rsidP="002D0AC7">
      <w:pPr>
        <w:widowControl w:val="0"/>
        <w:spacing w:after="240" w:line="276" w:lineRule="auto"/>
        <w:jc w:val="both"/>
        <w:rPr>
          <w:rFonts w:asciiTheme="minorHAnsi" w:hAnsiTheme="minorHAnsi"/>
        </w:rPr>
      </w:pPr>
      <w:r w:rsidRPr="001D1CD5">
        <w:rPr>
          <w:rFonts w:asciiTheme="minorHAnsi" w:hAnsiTheme="minorHAnsi"/>
        </w:rPr>
        <w:t xml:space="preserve">Consideration should be given to how this recommendation would operate in respect of redundancy matters. It is not unusual for an unfair dismissal application to be pursued when an employee is made redundant. If the termination of employment constitutes a “genuine redundancy” (as defined in </w:t>
      </w:r>
      <w:proofErr w:type="spellStart"/>
      <w:r w:rsidRPr="001D1CD5">
        <w:rPr>
          <w:rFonts w:asciiTheme="minorHAnsi" w:hAnsiTheme="minorHAnsi"/>
        </w:rPr>
        <w:t>s.389</w:t>
      </w:r>
      <w:proofErr w:type="spellEnd"/>
      <w:r w:rsidRPr="001D1CD5">
        <w:rPr>
          <w:rFonts w:asciiTheme="minorHAnsi" w:hAnsiTheme="minorHAnsi"/>
        </w:rPr>
        <w:t xml:space="preserve"> of the FW Act)</w:t>
      </w:r>
      <w:r w:rsidR="008F793F">
        <w:rPr>
          <w:rFonts w:asciiTheme="minorHAnsi" w:hAnsiTheme="minorHAnsi"/>
        </w:rPr>
        <w:t>,</w:t>
      </w:r>
      <w:r w:rsidRPr="001D1CD5">
        <w:rPr>
          <w:rFonts w:asciiTheme="minorHAnsi" w:hAnsiTheme="minorHAnsi"/>
        </w:rPr>
        <w:t xml:space="preserve"> the termination is excluded from the unfair dismissal laws (see </w:t>
      </w:r>
      <w:proofErr w:type="spellStart"/>
      <w:r w:rsidRPr="001D1CD5">
        <w:rPr>
          <w:rFonts w:asciiTheme="minorHAnsi" w:hAnsiTheme="minorHAnsi"/>
        </w:rPr>
        <w:t>s.385</w:t>
      </w:r>
      <w:proofErr w:type="spellEnd"/>
      <w:r w:rsidRPr="001D1CD5">
        <w:rPr>
          <w:rFonts w:asciiTheme="minorHAnsi" w:hAnsiTheme="minorHAnsi"/>
        </w:rPr>
        <w:t xml:space="preserve">(d)). However, if the termination is not a “genuine redundancy”, for example because the employer did not redeploy the employee in circumstances where it would have been reasonable to do so, the employee can currently pursue an unfair dismissal claim. </w:t>
      </w:r>
    </w:p>
    <w:p w14:paraId="01D6F348" w14:textId="066AEC1B" w:rsidR="002D0AC7" w:rsidRPr="001D1CD5" w:rsidRDefault="002D0AC7" w:rsidP="002D0AC7">
      <w:pPr>
        <w:widowControl w:val="0"/>
        <w:spacing w:after="240" w:line="276" w:lineRule="auto"/>
        <w:jc w:val="both"/>
        <w:rPr>
          <w:rFonts w:asciiTheme="minorHAnsi" w:hAnsiTheme="minorHAnsi"/>
        </w:rPr>
      </w:pPr>
      <w:r w:rsidRPr="001D1CD5">
        <w:rPr>
          <w:rFonts w:asciiTheme="minorHAnsi" w:hAnsiTheme="minorHAnsi"/>
        </w:rPr>
        <w:t xml:space="preserve">As argued in Ai Group’s March 2015 submission, the definition of “genuine redundancy” in </w:t>
      </w:r>
      <w:proofErr w:type="spellStart"/>
      <w:r w:rsidRPr="001D1CD5">
        <w:rPr>
          <w:rFonts w:asciiTheme="minorHAnsi" w:hAnsiTheme="minorHAnsi"/>
        </w:rPr>
        <w:t>s.389</w:t>
      </w:r>
      <w:proofErr w:type="spellEnd"/>
      <w:r w:rsidRPr="001D1CD5">
        <w:rPr>
          <w:rFonts w:asciiTheme="minorHAnsi" w:hAnsiTheme="minorHAnsi"/>
        </w:rPr>
        <w:t xml:space="preserve"> of the FW Act needs to be amended. Section 389(2) of the FW Act imposes an excessively onerous obligation upon an employer to search for redeployment opportunities, both within the employer’s business and within “associated entities”.  </w:t>
      </w:r>
      <w:r w:rsidRPr="001D1CD5">
        <w:rPr>
          <w:rFonts w:asciiTheme="minorHAnsi" w:hAnsiTheme="minorHAnsi" w:cstheme="minorHAnsi"/>
        </w:rPr>
        <w:t xml:space="preserve">The practical operation of </w:t>
      </w:r>
      <w:proofErr w:type="spellStart"/>
      <w:r w:rsidRPr="001D1CD5">
        <w:rPr>
          <w:rFonts w:asciiTheme="minorHAnsi" w:hAnsiTheme="minorHAnsi" w:cstheme="minorHAnsi"/>
        </w:rPr>
        <w:t>s.389</w:t>
      </w:r>
      <w:proofErr w:type="spellEnd"/>
      <w:r w:rsidRPr="001D1CD5">
        <w:rPr>
          <w:rFonts w:asciiTheme="minorHAnsi" w:hAnsiTheme="minorHAnsi" w:cstheme="minorHAnsi"/>
        </w:rPr>
        <w:t>(2) was c</w:t>
      </w:r>
      <w:r w:rsidR="008F793F">
        <w:rPr>
          <w:rFonts w:asciiTheme="minorHAnsi" w:hAnsiTheme="minorHAnsi" w:cstheme="minorHAnsi"/>
        </w:rPr>
        <w:t>onsidered by a Full Bench of Fair Work Australia</w:t>
      </w:r>
      <w:r w:rsidRPr="001D1CD5">
        <w:rPr>
          <w:rFonts w:asciiTheme="minorHAnsi" w:hAnsiTheme="minorHAnsi" w:cstheme="minorHAnsi"/>
        </w:rPr>
        <w:t xml:space="preserve"> in </w:t>
      </w:r>
      <w:r w:rsidRPr="001D1CD5">
        <w:rPr>
          <w:rFonts w:asciiTheme="minorHAnsi" w:hAnsiTheme="minorHAnsi" w:cstheme="minorHAnsi"/>
          <w:i/>
        </w:rPr>
        <w:t xml:space="preserve">Ulan Coal Mines Limited v </w:t>
      </w:r>
      <w:proofErr w:type="spellStart"/>
      <w:r w:rsidRPr="001D1CD5">
        <w:rPr>
          <w:rFonts w:asciiTheme="minorHAnsi" w:hAnsiTheme="minorHAnsi" w:cstheme="minorHAnsi"/>
          <w:i/>
        </w:rPr>
        <w:t>Honeysett</w:t>
      </w:r>
      <w:proofErr w:type="spellEnd"/>
      <w:r w:rsidRPr="001D1CD5">
        <w:rPr>
          <w:rFonts w:asciiTheme="minorHAnsi" w:hAnsiTheme="minorHAnsi" w:cstheme="minorHAnsi"/>
          <w:i/>
        </w:rPr>
        <w:t xml:space="preserve"> &amp; </w:t>
      </w:r>
      <w:proofErr w:type="spellStart"/>
      <w:r w:rsidRPr="001D1CD5">
        <w:rPr>
          <w:rFonts w:asciiTheme="minorHAnsi" w:hAnsiTheme="minorHAnsi" w:cstheme="minorHAnsi"/>
          <w:i/>
        </w:rPr>
        <w:t>Ors</w:t>
      </w:r>
      <w:proofErr w:type="spellEnd"/>
      <w:r w:rsidRPr="001D1CD5">
        <w:rPr>
          <w:rFonts w:asciiTheme="minorHAnsi" w:hAnsiTheme="minorHAnsi" w:cstheme="minorHAnsi"/>
          <w:i/>
        </w:rPr>
        <w:t xml:space="preserve"> </w:t>
      </w:r>
      <w:r w:rsidRPr="001D1CD5">
        <w:rPr>
          <w:rFonts w:asciiTheme="minorHAnsi" w:hAnsiTheme="minorHAnsi" w:cstheme="minorHAnsi"/>
        </w:rPr>
        <w:t xml:space="preserve">[2010] </w:t>
      </w:r>
      <w:proofErr w:type="spellStart"/>
      <w:r w:rsidRPr="001D1CD5">
        <w:rPr>
          <w:rFonts w:asciiTheme="minorHAnsi" w:hAnsiTheme="minorHAnsi" w:cstheme="minorHAnsi"/>
        </w:rPr>
        <w:t>FWAFB</w:t>
      </w:r>
      <w:proofErr w:type="spellEnd"/>
      <w:r w:rsidRPr="001D1CD5">
        <w:rPr>
          <w:rFonts w:asciiTheme="minorHAnsi" w:hAnsiTheme="minorHAnsi" w:cstheme="minorHAnsi"/>
        </w:rPr>
        <w:t xml:space="preserve"> 7578.  Here the Full Bench agreed with the decision made at first instance that the employees’ dismissal was not a genuine redundancy because they could have reasonably been deployed to an associated entity of the employer, being Xstrata Coal Pty Ltd. The employer was one </w:t>
      </w:r>
      <w:r w:rsidR="008F793F">
        <w:rPr>
          <w:rFonts w:asciiTheme="minorHAnsi" w:hAnsiTheme="minorHAnsi" w:cstheme="minorHAnsi"/>
        </w:rPr>
        <w:t xml:space="preserve">of </w:t>
      </w:r>
      <w:r w:rsidRPr="001D1CD5">
        <w:rPr>
          <w:rFonts w:asciiTheme="minorHAnsi" w:hAnsiTheme="minorHAnsi" w:cstheme="minorHAnsi"/>
        </w:rPr>
        <w:t xml:space="preserve">many companies within the Xstrata group and each of these companies operated at different mines across NSW. </w:t>
      </w:r>
    </w:p>
    <w:p w14:paraId="2E3FC8D4" w14:textId="77777777" w:rsidR="002D0AC7" w:rsidRPr="001D1CD5" w:rsidRDefault="002D0AC7" w:rsidP="002D0AC7">
      <w:pPr>
        <w:spacing w:after="240" w:line="276" w:lineRule="auto"/>
        <w:jc w:val="both"/>
        <w:rPr>
          <w:rFonts w:asciiTheme="minorHAnsi" w:hAnsiTheme="minorHAnsi" w:cstheme="minorHAnsi"/>
        </w:rPr>
      </w:pPr>
      <w:r w:rsidRPr="001D1CD5">
        <w:rPr>
          <w:rFonts w:asciiTheme="minorHAnsi" w:hAnsiTheme="minorHAnsi" w:cstheme="minorHAnsi"/>
        </w:rPr>
        <w:t xml:space="preserve">Many large employers, through their parent company, have a link to other companies. These employers find it extremely difficult to prove that a dismissal is a “genuine redundancy” and that they have met the requirements of </w:t>
      </w:r>
      <w:proofErr w:type="spellStart"/>
      <w:r w:rsidRPr="001D1CD5">
        <w:rPr>
          <w:rFonts w:asciiTheme="minorHAnsi" w:hAnsiTheme="minorHAnsi" w:cstheme="minorHAnsi"/>
        </w:rPr>
        <w:t>s.389</w:t>
      </w:r>
      <w:proofErr w:type="spellEnd"/>
      <w:r w:rsidRPr="001D1CD5">
        <w:rPr>
          <w:rFonts w:asciiTheme="minorHAnsi" w:hAnsiTheme="minorHAnsi" w:cstheme="minorHAnsi"/>
        </w:rPr>
        <w:t>(2).</w:t>
      </w:r>
    </w:p>
    <w:p w14:paraId="60084548" w14:textId="77777777" w:rsidR="002D0AC7" w:rsidRPr="001D1CD5" w:rsidRDefault="002D0AC7" w:rsidP="002D0AC7">
      <w:pPr>
        <w:spacing w:after="240" w:line="276" w:lineRule="auto"/>
        <w:jc w:val="both"/>
        <w:rPr>
          <w:rFonts w:asciiTheme="minorHAnsi" w:hAnsiTheme="minorHAnsi" w:cstheme="minorHAnsi"/>
        </w:rPr>
      </w:pPr>
      <w:r w:rsidRPr="001D1CD5">
        <w:rPr>
          <w:rFonts w:asciiTheme="minorHAnsi" w:hAnsiTheme="minorHAnsi" w:cstheme="minorHAnsi"/>
        </w:rPr>
        <w:t>The requirement to redeploy, wherever reasonable in the circumstances, should be limited to redeployment only within the employer’s enterprise; not associated entities.</w:t>
      </w:r>
    </w:p>
    <w:p w14:paraId="3856CAF3" w14:textId="6C2DCA49" w:rsidR="002D0AC7" w:rsidRPr="001D1CD5" w:rsidRDefault="002D0AC7" w:rsidP="002D0AC7">
      <w:pPr>
        <w:widowControl w:val="0"/>
        <w:spacing w:after="240" w:line="276" w:lineRule="auto"/>
        <w:jc w:val="both"/>
        <w:rPr>
          <w:rFonts w:asciiTheme="minorHAnsi" w:hAnsiTheme="minorHAnsi"/>
          <w:sz w:val="22"/>
          <w:szCs w:val="22"/>
        </w:rPr>
      </w:pPr>
      <w:r w:rsidRPr="001D1CD5">
        <w:rPr>
          <w:rFonts w:asciiTheme="minorHAnsi" w:eastAsia="Calibri" w:hAnsiTheme="minorHAnsi" w:cs="Calibri"/>
          <w:b/>
          <w:color w:val="451E51"/>
          <w:sz w:val="28"/>
          <w:szCs w:val="28"/>
          <w:lang w:eastAsia="en-AU"/>
        </w:rPr>
        <w:t xml:space="preserve">5.4 </w:t>
      </w:r>
      <w:r w:rsidRPr="001D1CD5">
        <w:rPr>
          <w:rFonts w:asciiTheme="minorHAnsi" w:eastAsia="Calibri" w:hAnsiTheme="minorHAnsi" w:cs="Calibri"/>
          <w:b/>
          <w:color w:val="451E51"/>
          <w:sz w:val="28"/>
          <w:szCs w:val="28"/>
          <w:lang w:eastAsia="en-AU"/>
        </w:rPr>
        <w:tab/>
        <w:t>The removal of reinstatement as the primary remedy</w:t>
      </w:r>
    </w:p>
    <w:p w14:paraId="74B4A66A" w14:textId="77777777" w:rsidR="002D0AC7" w:rsidRPr="001D1CD5" w:rsidRDefault="002D0AC7" w:rsidP="002D0AC7">
      <w:pPr>
        <w:widowControl w:val="0"/>
        <w:spacing w:after="240" w:line="276" w:lineRule="auto"/>
        <w:jc w:val="both"/>
        <w:rPr>
          <w:rFonts w:asciiTheme="minorHAnsi" w:hAnsiTheme="minorHAnsi" w:cstheme="minorBidi"/>
        </w:rPr>
      </w:pPr>
      <w:r w:rsidRPr="001D1CD5">
        <w:rPr>
          <w:rFonts w:asciiTheme="minorHAnsi" w:hAnsiTheme="minorHAnsi"/>
        </w:rPr>
        <w:t xml:space="preserve">Ai Group supports Draft Recommendation 5.3 that the emphasis on reinstatement as the primary remedy under the unfair dismissal laws should be removed.  </w:t>
      </w:r>
    </w:p>
    <w:p w14:paraId="51611E0D" w14:textId="50646252" w:rsidR="002D0AC7" w:rsidRPr="001D1CD5" w:rsidRDefault="002D0AC7" w:rsidP="002D0AC7">
      <w:pPr>
        <w:widowControl w:val="0"/>
        <w:spacing w:after="240" w:line="276" w:lineRule="auto"/>
        <w:jc w:val="both"/>
        <w:rPr>
          <w:rFonts w:asciiTheme="minorHAnsi" w:hAnsiTheme="minorHAnsi"/>
        </w:rPr>
      </w:pPr>
      <w:r w:rsidRPr="001D1CD5">
        <w:rPr>
          <w:rFonts w:asciiTheme="minorHAnsi" w:hAnsiTheme="minorHAnsi"/>
        </w:rPr>
        <w:t xml:space="preserve">As has been identified by the Productivity Commission in </w:t>
      </w:r>
      <w:r w:rsidR="008F793F">
        <w:rPr>
          <w:rFonts w:asciiTheme="minorHAnsi" w:hAnsiTheme="minorHAnsi"/>
        </w:rPr>
        <w:t>its</w:t>
      </w:r>
      <w:r w:rsidRPr="001D1CD5">
        <w:rPr>
          <w:rFonts w:asciiTheme="minorHAnsi" w:hAnsiTheme="minorHAnsi"/>
        </w:rPr>
        <w:t xml:space="preserve"> Draft Report, compensation is more commonly awarded as a remedy, as opposed to reinstatement. In many instances reinstatement is not practicable because the dismissal has caused the employment relationship to break down. </w:t>
      </w:r>
    </w:p>
    <w:p w14:paraId="15CAC7FE" w14:textId="77777777" w:rsidR="002D0AC7" w:rsidRPr="001D1CD5" w:rsidRDefault="002D0AC7" w:rsidP="002D0AC7">
      <w:pPr>
        <w:widowControl w:val="0"/>
        <w:spacing w:after="240" w:line="276" w:lineRule="auto"/>
        <w:jc w:val="both"/>
        <w:rPr>
          <w:rFonts w:asciiTheme="minorHAnsi" w:hAnsiTheme="minorHAnsi"/>
        </w:rPr>
      </w:pPr>
      <w:r w:rsidRPr="001D1CD5">
        <w:rPr>
          <w:rFonts w:asciiTheme="minorHAnsi" w:hAnsiTheme="minorHAnsi"/>
        </w:rPr>
        <w:t xml:space="preserve">The FW Act ought to be amended to remove the emphasis on reinstatement to enable the </w:t>
      </w:r>
      <w:proofErr w:type="spellStart"/>
      <w:r w:rsidRPr="001D1CD5">
        <w:rPr>
          <w:rFonts w:asciiTheme="minorHAnsi" w:hAnsiTheme="minorHAnsi"/>
        </w:rPr>
        <w:t>FWC</w:t>
      </w:r>
      <w:proofErr w:type="spellEnd"/>
      <w:r w:rsidRPr="001D1CD5">
        <w:rPr>
          <w:rFonts w:asciiTheme="minorHAnsi" w:hAnsiTheme="minorHAnsi"/>
        </w:rPr>
        <w:t xml:space="preserve"> to freely determine whether reinstatement or compensation is more appropriate in circumstances where a dismissal is unfair.</w:t>
      </w:r>
    </w:p>
    <w:p w14:paraId="1F672B00" w14:textId="28BFFD48" w:rsidR="002D0AC7" w:rsidRPr="001D1CD5" w:rsidRDefault="002D0AC7" w:rsidP="002D0AC7">
      <w:pPr>
        <w:widowControl w:val="0"/>
        <w:spacing w:after="240" w:line="276" w:lineRule="auto"/>
        <w:jc w:val="both"/>
        <w:rPr>
          <w:rFonts w:asciiTheme="minorHAnsi" w:hAnsiTheme="minorHAnsi"/>
          <w:b/>
          <w:bCs/>
          <w:sz w:val="22"/>
          <w:szCs w:val="22"/>
        </w:rPr>
      </w:pPr>
      <w:r w:rsidRPr="001D1CD5">
        <w:rPr>
          <w:rFonts w:asciiTheme="minorHAnsi" w:eastAsia="Calibri" w:hAnsiTheme="minorHAnsi" w:cs="Calibri"/>
          <w:b/>
          <w:color w:val="451E51"/>
          <w:sz w:val="28"/>
          <w:szCs w:val="28"/>
          <w:lang w:eastAsia="en-AU"/>
        </w:rPr>
        <w:lastRenderedPageBreak/>
        <w:t xml:space="preserve">5.5 </w:t>
      </w:r>
      <w:r w:rsidRPr="001D1CD5">
        <w:rPr>
          <w:rFonts w:asciiTheme="minorHAnsi" w:eastAsia="Calibri" w:hAnsiTheme="minorHAnsi" w:cs="Calibri"/>
          <w:b/>
          <w:color w:val="451E51"/>
          <w:sz w:val="28"/>
          <w:szCs w:val="28"/>
          <w:lang w:eastAsia="en-AU"/>
        </w:rPr>
        <w:tab/>
        <w:t>Small Business Fair Dismissal Code</w:t>
      </w:r>
    </w:p>
    <w:p w14:paraId="53E95CAA" w14:textId="77777777" w:rsidR="002D0AC7" w:rsidRPr="001D1CD5" w:rsidRDefault="002D0AC7" w:rsidP="002D0AC7">
      <w:pPr>
        <w:widowControl w:val="0"/>
        <w:spacing w:after="240" w:line="276" w:lineRule="auto"/>
        <w:jc w:val="both"/>
        <w:rPr>
          <w:rFonts w:asciiTheme="minorHAnsi" w:hAnsiTheme="minorHAnsi"/>
        </w:rPr>
      </w:pPr>
      <w:r w:rsidRPr="001D1CD5">
        <w:rPr>
          <w:rFonts w:asciiTheme="minorHAnsi" w:hAnsiTheme="minorHAnsi"/>
        </w:rPr>
        <w:t>Ai Group does not support Draft Recommendation 5.4 which would remove the Small Business Fair Dismissal Code, conditional on the other recommended changes to the unfair dismissal laws being implemented.</w:t>
      </w:r>
    </w:p>
    <w:p w14:paraId="3A94D268" w14:textId="77777777" w:rsidR="002D0AC7" w:rsidRPr="001D1CD5" w:rsidRDefault="002D0AC7" w:rsidP="002D0AC7">
      <w:pPr>
        <w:widowControl w:val="0"/>
        <w:spacing w:after="240" w:line="276" w:lineRule="auto"/>
        <w:jc w:val="both"/>
        <w:rPr>
          <w:rFonts w:asciiTheme="minorHAnsi" w:hAnsiTheme="minorHAnsi"/>
        </w:rPr>
      </w:pPr>
      <w:r w:rsidRPr="001D1CD5">
        <w:rPr>
          <w:rFonts w:asciiTheme="minorHAnsi" w:hAnsiTheme="minorHAnsi"/>
        </w:rPr>
        <w:t>In Ai Group’s experience most unfair dismissal claims pursued against small employers do not succeed and the Fair Dismissal Code has had an important role to play in this regard. While it is easy to point to a small number of cases where a dismissal by a small employer has been held to not be consistent with the Code, in the vast majority of cases the Code has not been problematic.</w:t>
      </w:r>
    </w:p>
    <w:p w14:paraId="3543C38F" w14:textId="039FE039" w:rsidR="002D0AC7" w:rsidRPr="001D1CD5" w:rsidRDefault="002D0AC7" w:rsidP="002D0AC7">
      <w:pPr>
        <w:widowControl w:val="0"/>
        <w:spacing w:after="240" w:line="276" w:lineRule="auto"/>
        <w:jc w:val="both"/>
        <w:rPr>
          <w:rFonts w:asciiTheme="minorHAnsi" w:hAnsiTheme="minorHAnsi"/>
        </w:rPr>
      </w:pPr>
      <w:r w:rsidRPr="001D1CD5">
        <w:rPr>
          <w:rFonts w:asciiTheme="minorHAnsi" w:hAnsiTheme="minorHAnsi"/>
        </w:rPr>
        <w:t xml:space="preserve">The Code lowers the procedural hurdles for a small business to overcome when dismissing an employee. This is appropriate </w:t>
      </w:r>
      <w:r w:rsidR="008F793F">
        <w:rPr>
          <w:rFonts w:asciiTheme="minorHAnsi" w:hAnsiTheme="minorHAnsi"/>
        </w:rPr>
        <w:t>because</w:t>
      </w:r>
      <w:r w:rsidRPr="001D1CD5">
        <w:rPr>
          <w:rFonts w:asciiTheme="minorHAnsi" w:hAnsiTheme="minorHAnsi"/>
        </w:rPr>
        <w:t xml:space="preserve"> small businesses do not </w:t>
      </w:r>
      <w:r w:rsidR="008F793F">
        <w:rPr>
          <w:rFonts w:asciiTheme="minorHAnsi" w:hAnsiTheme="minorHAnsi"/>
        </w:rPr>
        <w:t xml:space="preserve">typically </w:t>
      </w:r>
      <w:r w:rsidRPr="001D1CD5">
        <w:rPr>
          <w:rFonts w:asciiTheme="minorHAnsi" w:hAnsiTheme="minorHAnsi"/>
        </w:rPr>
        <w:t>have access to de</w:t>
      </w:r>
      <w:r w:rsidR="008F793F">
        <w:rPr>
          <w:rFonts w:asciiTheme="minorHAnsi" w:hAnsiTheme="minorHAnsi"/>
        </w:rPr>
        <w:t xml:space="preserve">dicated human resources staff.  </w:t>
      </w:r>
      <w:r w:rsidRPr="001D1CD5">
        <w:rPr>
          <w:rFonts w:asciiTheme="minorHAnsi" w:hAnsiTheme="minorHAnsi"/>
        </w:rPr>
        <w:t>To the extent that there are any deficiencies in the Code, these should be addressed through amending the Code, not abolishing it.</w:t>
      </w:r>
    </w:p>
    <w:p w14:paraId="03B2247D" w14:textId="102A251E" w:rsidR="002D0AC7" w:rsidRPr="001D1CD5" w:rsidRDefault="002D0AC7" w:rsidP="002D0AC7">
      <w:pPr>
        <w:widowControl w:val="0"/>
        <w:spacing w:after="240" w:line="276" w:lineRule="auto"/>
        <w:ind w:left="709" w:hanging="709"/>
        <w:jc w:val="both"/>
        <w:rPr>
          <w:rFonts w:asciiTheme="minorHAnsi" w:eastAsia="Calibri" w:hAnsiTheme="minorHAnsi" w:cs="Calibri"/>
          <w:b/>
          <w:color w:val="451E51"/>
          <w:sz w:val="28"/>
          <w:szCs w:val="28"/>
          <w:lang w:eastAsia="en-AU"/>
        </w:rPr>
      </w:pPr>
      <w:r w:rsidRPr="001D1CD5">
        <w:rPr>
          <w:rFonts w:asciiTheme="minorHAnsi" w:eastAsia="Calibri" w:hAnsiTheme="minorHAnsi" w:cs="Calibri"/>
          <w:b/>
          <w:color w:val="451E51"/>
          <w:sz w:val="28"/>
          <w:szCs w:val="28"/>
          <w:lang w:eastAsia="en-AU"/>
        </w:rPr>
        <w:t xml:space="preserve">5.6 </w:t>
      </w:r>
      <w:r w:rsidRPr="001D1CD5">
        <w:rPr>
          <w:rFonts w:asciiTheme="minorHAnsi" w:eastAsia="Calibri" w:hAnsiTheme="minorHAnsi" w:cs="Calibri"/>
          <w:b/>
          <w:color w:val="451E51"/>
          <w:sz w:val="28"/>
          <w:szCs w:val="28"/>
          <w:lang w:eastAsia="en-AU"/>
        </w:rPr>
        <w:tab/>
        <w:t>Civil penalty for lawyers and paid agents who encourage speculative applications</w:t>
      </w:r>
    </w:p>
    <w:p w14:paraId="642E7339" w14:textId="6B318EC4" w:rsidR="002D0AC7" w:rsidRPr="001D1CD5" w:rsidRDefault="002D0AC7" w:rsidP="002D0AC7">
      <w:pPr>
        <w:widowControl w:val="0"/>
        <w:spacing w:after="240" w:line="276" w:lineRule="auto"/>
        <w:jc w:val="both"/>
        <w:rPr>
          <w:rFonts w:asciiTheme="minorHAnsi" w:hAnsiTheme="minorHAnsi"/>
        </w:rPr>
      </w:pPr>
      <w:r w:rsidRPr="001D1CD5">
        <w:rPr>
          <w:rFonts w:asciiTheme="minorHAnsi" w:eastAsia="Calibri" w:hAnsiTheme="minorHAnsi" w:cs="Calibri"/>
          <w:lang w:eastAsia="en-AU"/>
        </w:rPr>
        <w:t xml:space="preserve">A civil penalty should apply in circumstances where a lawyer or paid agent encourages a person to pursue a </w:t>
      </w:r>
      <w:r w:rsidRPr="001D1CD5">
        <w:rPr>
          <w:rFonts w:asciiTheme="minorHAnsi" w:hAnsiTheme="minorHAnsi"/>
          <w:iCs/>
        </w:rPr>
        <w:t xml:space="preserve">speculative application or one </w:t>
      </w:r>
      <w:r w:rsidR="008F793F">
        <w:rPr>
          <w:rFonts w:asciiTheme="minorHAnsi" w:hAnsiTheme="minorHAnsi"/>
          <w:iCs/>
        </w:rPr>
        <w:t>with</w:t>
      </w:r>
      <w:r w:rsidRPr="001D1CD5">
        <w:rPr>
          <w:rFonts w:asciiTheme="minorHAnsi" w:hAnsiTheme="minorHAnsi"/>
          <w:iCs/>
        </w:rPr>
        <w:t xml:space="preserve"> no reasonable prospects of success. Given the high incidence of payment of “go away” money, lawyers and paid agents have a significant financial incentive to encourage the pursuit of speculative applications, and this needs to be addressed.</w:t>
      </w:r>
    </w:p>
    <w:p w14:paraId="65074B2A" w14:textId="2762FB9C" w:rsidR="002D0AC7" w:rsidRPr="001D1CD5" w:rsidRDefault="002D0AC7" w:rsidP="002D0AC7">
      <w:pPr>
        <w:widowControl w:val="0"/>
        <w:spacing w:after="240" w:line="276" w:lineRule="auto"/>
        <w:jc w:val="both"/>
        <w:rPr>
          <w:rFonts w:asciiTheme="minorHAnsi" w:eastAsiaTheme="minorHAnsi" w:hAnsiTheme="minorHAnsi" w:cstheme="minorBidi"/>
          <w:iCs/>
        </w:rPr>
      </w:pPr>
      <w:r w:rsidRPr="001D1CD5">
        <w:rPr>
          <w:rFonts w:asciiTheme="minorHAnsi" w:hAnsiTheme="minorHAnsi"/>
          <w:iCs/>
        </w:rPr>
        <w:t xml:space="preserve">The former </w:t>
      </w:r>
      <w:r w:rsidRPr="001D1CD5">
        <w:rPr>
          <w:rFonts w:asciiTheme="minorHAnsi" w:hAnsiTheme="minorHAnsi"/>
          <w:i/>
          <w:iCs/>
        </w:rPr>
        <w:t>Workplace Relations Act 1996,</w:t>
      </w:r>
      <w:r w:rsidRPr="001D1CD5">
        <w:rPr>
          <w:rFonts w:asciiTheme="minorHAnsi" w:hAnsiTheme="minorHAnsi"/>
          <w:iCs/>
        </w:rPr>
        <w:t xml:space="preserve"> at </w:t>
      </w:r>
      <w:proofErr w:type="spellStart"/>
      <w:r w:rsidRPr="001D1CD5">
        <w:rPr>
          <w:rFonts w:asciiTheme="minorHAnsi" w:hAnsiTheme="minorHAnsi"/>
          <w:iCs/>
        </w:rPr>
        <w:t>s.680</w:t>
      </w:r>
      <w:proofErr w:type="spellEnd"/>
      <w:r w:rsidRPr="001D1CD5">
        <w:rPr>
          <w:rFonts w:asciiTheme="minorHAnsi" w:hAnsiTheme="minorHAnsi"/>
          <w:iCs/>
        </w:rPr>
        <w:t xml:space="preserve">, provided for a civil penalty to be imposed on a lawyer or paid agent who encouraged </w:t>
      </w:r>
      <w:r w:rsidR="008F793F">
        <w:rPr>
          <w:rFonts w:asciiTheme="minorHAnsi" w:hAnsiTheme="minorHAnsi"/>
          <w:iCs/>
        </w:rPr>
        <w:t>a speculative application</w:t>
      </w:r>
      <w:r w:rsidRPr="001D1CD5">
        <w:rPr>
          <w:rFonts w:asciiTheme="minorHAnsi" w:hAnsiTheme="minorHAnsi"/>
          <w:iCs/>
        </w:rPr>
        <w:t xml:space="preserve"> or </w:t>
      </w:r>
      <w:r w:rsidR="008F793F">
        <w:rPr>
          <w:rFonts w:asciiTheme="minorHAnsi" w:hAnsiTheme="minorHAnsi"/>
          <w:iCs/>
        </w:rPr>
        <w:t>an application</w:t>
      </w:r>
      <w:r w:rsidRPr="001D1CD5">
        <w:rPr>
          <w:rFonts w:asciiTheme="minorHAnsi" w:hAnsiTheme="minorHAnsi"/>
          <w:iCs/>
        </w:rPr>
        <w:t xml:space="preserve"> with no reasonable prospects of success in relation to unlawful termination claims. The maximum penalty was $10,000 if the adviser was a body corporate and $2,000 if the adviser was not a body corporate. A similar civil penalty should apply under the FW Act for unfair dismissal claims. </w:t>
      </w:r>
    </w:p>
    <w:p w14:paraId="1C9BD093" w14:textId="77777777" w:rsidR="00F97B01" w:rsidRPr="001D1CD5" w:rsidRDefault="00F97B01" w:rsidP="00F97B01">
      <w:pPr>
        <w:pStyle w:val="Heading1"/>
        <w:spacing w:before="0" w:after="240" w:line="276" w:lineRule="auto"/>
        <w:ind w:left="709" w:hanging="709"/>
        <w:rPr>
          <w:rFonts w:asciiTheme="minorHAnsi" w:eastAsia="Calibri" w:hAnsiTheme="minorHAnsi" w:cs="Calibri"/>
          <w:color w:val="451E51"/>
          <w:sz w:val="36"/>
          <w:szCs w:val="36"/>
          <w:lang w:eastAsia="en-AU"/>
        </w:rPr>
      </w:pPr>
      <w:bookmarkStart w:id="7" w:name="_Toc413853147"/>
      <w:bookmarkEnd w:id="6"/>
      <w:r w:rsidRPr="001D1CD5">
        <w:rPr>
          <w:rFonts w:asciiTheme="minorHAnsi" w:eastAsia="Calibri" w:hAnsiTheme="minorHAnsi" w:cs="Calibri"/>
          <w:color w:val="451E51"/>
          <w:sz w:val="36"/>
          <w:szCs w:val="36"/>
          <w:lang w:eastAsia="en-AU"/>
        </w:rPr>
        <w:t>6.</w:t>
      </w:r>
      <w:r w:rsidRPr="001D1CD5">
        <w:rPr>
          <w:rFonts w:asciiTheme="minorHAnsi" w:eastAsia="Calibri" w:hAnsiTheme="minorHAnsi" w:cs="Calibri"/>
          <w:color w:val="451E51"/>
          <w:sz w:val="36"/>
          <w:szCs w:val="36"/>
          <w:lang w:eastAsia="en-AU"/>
        </w:rPr>
        <w:tab/>
        <w:t>The general protections</w:t>
      </w:r>
    </w:p>
    <w:p w14:paraId="209D4EC7" w14:textId="77777777" w:rsidR="00F97B01" w:rsidRPr="001D1CD5" w:rsidRDefault="00F97B01" w:rsidP="00F97B01">
      <w:pPr>
        <w:widowControl w:val="0"/>
        <w:autoSpaceDE w:val="0"/>
        <w:autoSpaceDN w:val="0"/>
        <w:adjustRightInd w:val="0"/>
        <w:spacing w:after="240" w:line="276" w:lineRule="auto"/>
        <w:jc w:val="both"/>
        <w:rPr>
          <w:rFonts w:asciiTheme="minorHAnsi" w:hAnsiTheme="minorHAnsi" w:cs="Calibri"/>
        </w:rPr>
      </w:pPr>
      <w:r w:rsidRPr="001D1CD5">
        <w:rPr>
          <w:rFonts w:asciiTheme="minorHAnsi" w:hAnsiTheme="minorHAnsi" w:cs="Calibri"/>
        </w:rPr>
        <w:t>The general protections in the FW Act are becoming an ever increasing burden on employers. The extremely wide scope and uncertain nature of the provisions has created substantial risks for employers and a major barrier to effectively managing their businesses.  It is vital that changes are made to implement a more balanced regime of protections.</w:t>
      </w:r>
    </w:p>
    <w:p w14:paraId="4DE3F030" w14:textId="37D0E075" w:rsidR="00F97B01" w:rsidRPr="001D1CD5" w:rsidRDefault="00F97B01" w:rsidP="00F97B01">
      <w:pPr>
        <w:widowControl w:val="0"/>
        <w:autoSpaceDE w:val="0"/>
        <w:autoSpaceDN w:val="0"/>
        <w:adjustRightInd w:val="0"/>
        <w:spacing w:after="240" w:line="276" w:lineRule="auto"/>
        <w:jc w:val="both"/>
        <w:rPr>
          <w:rFonts w:asciiTheme="minorHAnsi" w:eastAsiaTheme="minorHAnsi" w:hAnsiTheme="minorHAnsi" w:cs="Calibri"/>
        </w:rPr>
      </w:pPr>
      <w:r w:rsidRPr="001D1CD5">
        <w:rPr>
          <w:rFonts w:asciiTheme="minorHAnsi" w:hAnsiTheme="minorHAnsi" w:cs="Calibri"/>
        </w:rPr>
        <w:t>In order to determine what changes should be made to the laws, it is important to understand some basic facts about how the laws have developed. The FW Act cobbled together a number of previously separate laws and called the combined set of new laws the “General Protections”. This was not a sound approach to take when drafting the FW Act because the previous law</w:t>
      </w:r>
      <w:r w:rsidR="00E61BC4">
        <w:rPr>
          <w:rFonts w:asciiTheme="minorHAnsi" w:hAnsiTheme="minorHAnsi" w:cs="Calibri"/>
        </w:rPr>
        <w:t>s were quite different; they had</w:t>
      </w:r>
      <w:r w:rsidRPr="001D1CD5">
        <w:rPr>
          <w:rFonts w:asciiTheme="minorHAnsi" w:hAnsiTheme="minorHAnsi" w:cs="Calibri"/>
        </w:rPr>
        <w:t xml:space="preserve"> different inclusions, exclusions and qualifications; some had a reverse onus of proof and others did not; some had a “sole and dominant reason test” and others did not; some had a cap on compensation and others did not.</w:t>
      </w:r>
    </w:p>
    <w:p w14:paraId="3C8232FF" w14:textId="633FA8DE" w:rsidR="00F97B01" w:rsidRPr="001D1CD5" w:rsidRDefault="00F97B01" w:rsidP="00F97B01">
      <w:pPr>
        <w:widowControl w:val="0"/>
        <w:autoSpaceDE w:val="0"/>
        <w:autoSpaceDN w:val="0"/>
        <w:adjustRightInd w:val="0"/>
        <w:spacing w:after="240" w:line="276" w:lineRule="auto"/>
        <w:jc w:val="both"/>
        <w:rPr>
          <w:rFonts w:asciiTheme="minorHAnsi" w:hAnsiTheme="minorHAnsi" w:cs="Calibri"/>
        </w:rPr>
      </w:pPr>
      <w:r w:rsidRPr="001D1CD5">
        <w:rPr>
          <w:rFonts w:asciiTheme="minorHAnsi" w:hAnsiTheme="minorHAnsi" w:cs="Calibri"/>
        </w:rPr>
        <w:lastRenderedPageBreak/>
        <w:t xml:space="preserve">The previously separate laws under the </w:t>
      </w:r>
      <w:r w:rsidRPr="001D1CD5">
        <w:rPr>
          <w:rFonts w:asciiTheme="minorHAnsi" w:hAnsiTheme="minorHAnsi" w:cs="Calibri"/>
          <w:i/>
        </w:rPr>
        <w:t>Workplace Relations Act 1996</w:t>
      </w:r>
      <w:r w:rsidRPr="001D1CD5">
        <w:rPr>
          <w:rFonts w:asciiTheme="minorHAnsi" w:hAnsiTheme="minorHAnsi" w:cs="Calibri"/>
        </w:rPr>
        <w:t xml:space="preserve"> which were cobbled together as the general protections in the FW Act included:</w:t>
      </w:r>
    </w:p>
    <w:p w14:paraId="69EB42CA" w14:textId="77777777" w:rsidR="00F97B01" w:rsidRPr="001D1CD5" w:rsidRDefault="00F97B01" w:rsidP="00074410">
      <w:pPr>
        <w:pStyle w:val="ListParagraph"/>
        <w:widowControl w:val="0"/>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76" w:lineRule="auto"/>
        <w:jc w:val="both"/>
        <w:rPr>
          <w:rFonts w:asciiTheme="minorHAnsi" w:hAnsiTheme="minorHAnsi" w:cs="Calibri"/>
        </w:rPr>
      </w:pPr>
      <w:r w:rsidRPr="001D1CD5">
        <w:rPr>
          <w:rFonts w:asciiTheme="minorHAnsi" w:hAnsiTheme="minorHAnsi" w:cs="Calibri"/>
        </w:rPr>
        <w:t xml:space="preserve">The unlawful termination provisions in Part 12, Division 4, Subdivision C of the </w:t>
      </w:r>
      <w:r w:rsidRPr="001D1CD5">
        <w:rPr>
          <w:rFonts w:asciiTheme="minorHAnsi" w:hAnsiTheme="minorHAnsi" w:cs="Calibri"/>
          <w:i/>
        </w:rPr>
        <w:t>Workplace Relations Act 1996;</w:t>
      </w:r>
      <w:r w:rsidRPr="001D1CD5">
        <w:rPr>
          <w:rFonts w:asciiTheme="minorHAnsi" w:hAnsiTheme="minorHAnsi" w:cs="Calibri"/>
        </w:rPr>
        <w:t xml:space="preserve"> </w:t>
      </w:r>
    </w:p>
    <w:p w14:paraId="016E3DA4" w14:textId="77777777" w:rsidR="00F97B01" w:rsidRPr="001D1CD5" w:rsidRDefault="00F97B01" w:rsidP="00074410">
      <w:pPr>
        <w:pStyle w:val="ListParagraph"/>
        <w:widowControl w:val="0"/>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76" w:lineRule="auto"/>
        <w:jc w:val="both"/>
        <w:rPr>
          <w:rFonts w:asciiTheme="minorHAnsi" w:hAnsiTheme="minorHAnsi" w:cs="Calibri"/>
        </w:rPr>
      </w:pPr>
      <w:r w:rsidRPr="001D1CD5">
        <w:rPr>
          <w:rFonts w:asciiTheme="minorHAnsi" w:hAnsiTheme="minorHAnsi" w:cs="Calibri"/>
        </w:rPr>
        <w:t xml:space="preserve">The freedom of association provisions in Part 16 of the </w:t>
      </w:r>
      <w:r w:rsidRPr="001D1CD5">
        <w:rPr>
          <w:rFonts w:asciiTheme="minorHAnsi" w:hAnsiTheme="minorHAnsi" w:cs="Calibri"/>
          <w:i/>
        </w:rPr>
        <w:t>Workplace Relations Act 1996;</w:t>
      </w:r>
      <w:r w:rsidRPr="001D1CD5">
        <w:rPr>
          <w:rFonts w:asciiTheme="minorHAnsi" w:hAnsiTheme="minorHAnsi" w:cs="Calibri"/>
        </w:rPr>
        <w:t xml:space="preserve"> and</w:t>
      </w:r>
    </w:p>
    <w:p w14:paraId="7D3F7286" w14:textId="1C3E279D" w:rsidR="00F97B01" w:rsidRPr="001D1CD5" w:rsidRDefault="00F97B01" w:rsidP="00074410">
      <w:pPr>
        <w:pStyle w:val="ListParagraph"/>
        <w:widowControl w:val="0"/>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76" w:lineRule="auto"/>
        <w:jc w:val="both"/>
        <w:rPr>
          <w:rFonts w:asciiTheme="minorHAnsi" w:hAnsiTheme="minorHAnsi" w:cs="Calibri"/>
        </w:rPr>
      </w:pPr>
      <w:r w:rsidRPr="001D1CD5">
        <w:rPr>
          <w:rFonts w:asciiTheme="minorHAnsi" w:hAnsiTheme="minorHAnsi" w:cs="Calibri"/>
        </w:rPr>
        <w:t xml:space="preserve">The sham </w:t>
      </w:r>
      <w:r w:rsidR="00E61BC4">
        <w:rPr>
          <w:rFonts w:asciiTheme="minorHAnsi" w:hAnsiTheme="minorHAnsi" w:cs="Calibri"/>
        </w:rPr>
        <w:t xml:space="preserve">contracting </w:t>
      </w:r>
      <w:r w:rsidRPr="001D1CD5">
        <w:rPr>
          <w:rFonts w:asciiTheme="minorHAnsi" w:hAnsiTheme="minorHAnsi" w:cs="Calibri"/>
        </w:rPr>
        <w:t xml:space="preserve">arrangements provisions in Part 22 of the </w:t>
      </w:r>
      <w:r w:rsidRPr="001D1CD5">
        <w:rPr>
          <w:rFonts w:asciiTheme="minorHAnsi" w:hAnsiTheme="minorHAnsi" w:cs="Calibri"/>
          <w:i/>
        </w:rPr>
        <w:t>Workplace Relations Act 1996.</w:t>
      </w:r>
    </w:p>
    <w:p w14:paraId="0619767F" w14:textId="77777777" w:rsidR="00F97B01" w:rsidRPr="001D1CD5" w:rsidRDefault="00F97B01" w:rsidP="008F793F">
      <w:pPr>
        <w:widowControl w:val="0"/>
        <w:autoSpaceDE w:val="0"/>
        <w:autoSpaceDN w:val="0"/>
        <w:adjustRightInd w:val="0"/>
        <w:spacing w:after="240" w:line="276" w:lineRule="auto"/>
        <w:jc w:val="both"/>
        <w:rPr>
          <w:rFonts w:asciiTheme="minorHAnsi" w:hAnsiTheme="minorHAnsi" w:cs="Calibri"/>
        </w:rPr>
      </w:pPr>
      <w:r w:rsidRPr="001D1CD5">
        <w:rPr>
          <w:rFonts w:asciiTheme="minorHAnsi" w:hAnsiTheme="minorHAnsi" w:cs="Calibri"/>
        </w:rPr>
        <w:t>The former unlawful termination laws have been incorporated into Division 5 (</w:t>
      </w:r>
      <w:proofErr w:type="spellStart"/>
      <w:r w:rsidRPr="001D1CD5">
        <w:rPr>
          <w:rFonts w:asciiTheme="minorHAnsi" w:hAnsiTheme="minorHAnsi" w:cs="Calibri"/>
        </w:rPr>
        <w:t>ss.351</w:t>
      </w:r>
      <w:proofErr w:type="spellEnd"/>
      <w:r w:rsidRPr="001D1CD5">
        <w:rPr>
          <w:rFonts w:asciiTheme="minorHAnsi" w:hAnsiTheme="minorHAnsi" w:cs="Calibri"/>
        </w:rPr>
        <w:t xml:space="preserve"> and 352) and Division 8 (</w:t>
      </w:r>
      <w:proofErr w:type="spellStart"/>
      <w:r w:rsidRPr="001D1CD5">
        <w:rPr>
          <w:rFonts w:asciiTheme="minorHAnsi" w:hAnsiTheme="minorHAnsi" w:cs="Calibri"/>
        </w:rPr>
        <w:t>ss.365</w:t>
      </w:r>
      <w:proofErr w:type="spellEnd"/>
      <w:r w:rsidRPr="001D1CD5">
        <w:rPr>
          <w:rFonts w:asciiTheme="minorHAnsi" w:hAnsiTheme="minorHAnsi" w:cs="Calibri"/>
        </w:rPr>
        <w:t>-378) of Part 3-1 (General Protections) of the FW Act.</w:t>
      </w:r>
    </w:p>
    <w:p w14:paraId="19E38FB9" w14:textId="77777777" w:rsidR="00F97B01" w:rsidRPr="001D1CD5" w:rsidRDefault="00F97B01" w:rsidP="008F793F">
      <w:pPr>
        <w:widowControl w:val="0"/>
        <w:autoSpaceDE w:val="0"/>
        <w:autoSpaceDN w:val="0"/>
        <w:adjustRightInd w:val="0"/>
        <w:spacing w:after="240" w:line="276" w:lineRule="auto"/>
        <w:jc w:val="both"/>
        <w:rPr>
          <w:rFonts w:asciiTheme="minorHAnsi" w:hAnsiTheme="minorHAnsi" w:cs="Calibri"/>
        </w:rPr>
      </w:pPr>
      <w:r w:rsidRPr="001D1CD5">
        <w:rPr>
          <w:rFonts w:asciiTheme="minorHAnsi" w:hAnsiTheme="minorHAnsi" w:cs="Calibri"/>
        </w:rPr>
        <w:t>The former freedom of association laws have been incorporated into Division 3 (</w:t>
      </w:r>
      <w:proofErr w:type="spellStart"/>
      <w:r w:rsidRPr="001D1CD5">
        <w:rPr>
          <w:rFonts w:asciiTheme="minorHAnsi" w:hAnsiTheme="minorHAnsi" w:cs="Calibri"/>
        </w:rPr>
        <w:t>ss.340</w:t>
      </w:r>
      <w:proofErr w:type="spellEnd"/>
      <w:r w:rsidRPr="001D1CD5">
        <w:rPr>
          <w:rFonts w:asciiTheme="minorHAnsi" w:hAnsiTheme="minorHAnsi" w:cs="Calibri"/>
        </w:rPr>
        <w:t>-345), Division 4 (</w:t>
      </w:r>
      <w:proofErr w:type="spellStart"/>
      <w:r w:rsidRPr="001D1CD5">
        <w:rPr>
          <w:rFonts w:asciiTheme="minorHAnsi" w:hAnsiTheme="minorHAnsi" w:cs="Calibri"/>
        </w:rPr>
        <w:t>ss.346</w:t>
      </w:r>
      <w:proofErr w:type="spellEnd"/>
      <w:r w:rsidRPr="001D1CD5">
        <w:rPr>
          <w:rFonts w:asciiTheme="minorHAnsi" w:hAnsiTheme="minorHAnsi" w:cs="Calibri"/>
        </w:rPr>
        <w:t>-350), Division 5 (</w:t>
      </w:r>
      <w:proofErr w:type="spellStart"/>
      <w:r w:rsidRPr="001D1CD5">
        <w:rPr>
          <w:rFonts w:asciiTheme="minorHAnsi" w:hAnsiTheme="minorHAnsi" w:cs="Calibri"/>
        </w:rPr>
        <w:t>ss.353</w:t>
      </w:r>
      <w:proofErr w:type="spellEnd"/>
      <w:r w:rsidRPr="001D1CD5">
        <w:rPr>
          <w:rFonts w:asciiTheme="minorHAnsi" w:hAnsiTheme="minorHAnsi" w:cs="Calibri"/>
        </w:rPr>
        <w:t>-356) and Division 7 (</w:t>
      </w:r>
      <w:proofErr w:type="spellStart"/>
      <w:r w:rsidRPr="001D1CD5">
        <w:rPr>
          <w:rFonts w:asciiTheme="minorHAnsi" w:hAnsiTheme="minorHAnsi" w:cs="Calibri"/>
        </w:rPr>
        <w:t>ss.360</w:t>
      </w:r>
      <w:proofErr w:type="spellEnd"/>
      <w:r w:rsidRPr="001D1CD5">
        <w:rPr>
          <w:rFonts w:asciiTheme="minorHAnsi" w:hAnsiTheme="minorHAnsi" w:cs="Calibri"/>
        </w:rPr>
        <w:t>-364) of Part 3-1 (General Protections) of the FW Act.</w:t>
      </w:r>
    </w:p>
    <w:p w14:paraId="3E3FF3A1" w14:textId="4E56C34B" w:rsidR="00371EDD" w:rsidRDefault="00F97B01" w:rsidP="008F793F">
      <w:pPr>
        <w:widowControl w:val="0"/>
        <w:autoSpaceDE w:val="0"/>
        <w:autoSpaceDN w:val="0"/>
        <w:adjustRightInd w:val="0"/>
        <w:spacing w:after="240" w:line="276" w:lineRule="auto"/>
        <w:jc w:val="both"/>
        <w:rPr>
          <w:rFonts w:asciiTheme="minorHAnsi" w:hAnsiTheme="minorHAnsi" w:cs="Calibri"/>
        </w:rPr>
      </w:pPr>
      <w:r w:rsidRPr="001D1CD5">
        <w:rPr>
          <w:rFonts w:asciiTheme="minorHAnsi" w:hAnsiTheme="minorHAnsi" w:cs="Calibri"/>
        </w:rPr>
        <w:t>The former sham contracting laws have been incorporated into Division 6 (</w:t>
      </w:r>
      <w:proofErr w:type="spellStart"/>
      <w:r w:rsidRPr="001D1CD5">
        <w:rPr>
          <w:rFonts w:asciiTheme="minorHAnsi" w:hAnsiTheme="minorHAnsi" w:cs="Calibri"/>
        </w:rPr>
        <w:t>ss.357</w:t>
      </w:r>
      <w:proofErr w:type="spellEnd"/>
      <w:r w:rsidRPr="001D1CD5">
        <w:rPr>
          <w:rFonts w:asciiTheme="minorHAnsi" w:hAnsiTheme="minorHAnsi" w:cs="Calibri"/>
        </w:rPr>
        <w:t>-359) of Part 3-1 (Gene</w:t>
      </w:r>
      <w:r w:rsidR="008F793F">
        <w:rPr>
          <w:rFonts w:asciiTheme="minorHAnsi" w:hAnsiTheme="minorHAnsi" w:cs="Calibri"/>
        </w:rPr>
        <w:t>ral Protections) of the FW Act.</w:t>
      </w:r>
    </w:p>
    <w:p w14:paraId="25045FBD" w14:textId="5A1AA448" w:rsidR="008F793F" w:rsidRPr="00E61BC4" w:rsidRDefault="00F97B01" w:rsidP="00E61BC4">
      <w:pPr>
        <w:widowControl w:val="0"/>
        <w:autoSpaceDE w:val="0"/>
        <w:autoSpaceDN w:val="0"/>
        <w:adjustRightInd w:val="0"/>
        <w:spacing w:after="240" w:line="276" w:lineRule="auto"/>
        <w:jc w:val="both"/>
        <w:rPr>
          <w:rFonts w:asciiTheme="minorHAnsi" w:hAnsiTheme="minorHAnsi" w:cs="Calibri"/>
        </w:rPr>
      </w:pPr>
      <w:r w:rsidRPr="001D1CD5">
        <w:rPr>
          <w:rFonts w:asciiTheme="minorHAnsi" w:hAnsiTheme="minorHAnsi" w:cs="Calibri"/>
        </w:rPr>
        <w:t xml:space="preserve">When </w:t>
      </w:r>
      <w:proofErr w:type="spellStart"/>
      <w:r w:rsidR="008F793F">
        <w:rPr>
          <w:rFonts w:asciiTheme="minorHAnsi" w:hAnsiTheme="minorHAnsi" w:cs="Calibri"/>
        </w:rPr>
        <w:t>analysed</w:t>
      </w:r>
      <w:proofErr w:type="spellEnd"/>
      <w:r w:rsidR="008F793F">
        <w:rPr>
          <w:rFonts w:asciiTheme="minorHAnsi" w:hAnsiTheme="minorHAnsi" w:cs="Calibri"/>
        </w:rPr>
        <w:t xml:space="preserve"> </w:t>
      </w:r>
      <w:r w:rsidRPr="001D1CD5">
        <w:rPr>
          <w:rFonts w:asciiTheme="minorHAnsi" w:hAnsiTheme="minorHAnsi" w:cs="Calibri"/>
        </w:rPr>
        <w:t>in the above light, the deficiencies in the general protections laws, including the illogical approach to drafting that was taken, can be readily seen.</w:t>
      </w:r>
      <w:r w:rsidR="00E61BC4">
        <w:rPr>
          <w:rFonts w:asciiTheme="minorHAnsi" w:hAnsiTheme="minorHAnsi" w:cs="Calibri"/>
        </w:rPr>
        <w:t xml:space="preserve"> This is discussed </w:t>
      </w:r>
      <w:r w:rsidR="008F793F">
        <w:rPr>
          <w:rFonts w:asciiTheme="minorHAnsi" w:hAnsiTheme="minorHAnsi" w:cs="Calibri"/>
        </w:rPr>
        <w:t>in more detail in the subsections below.</w:t>
      </w:r>
    </w:p>
    <w:p w14:paraId="6CAF88E6" w14:textId="3EDFA687" w:rsidR="00F97B01" w:rsidRPr="001D1CD5" w:rsidRDefault="00F97B01" w:rsidP="00F97B01">
      <w:pPr>
        <w:widowControl w:val="0"/>
        <w:spacing w:after="240" w:line="276" w:lineRule="auto"/>
        <w:rPr>
          <w:rFonts w:asciiTheme="minorHAnsi" w:hAnsiTheme="minorHAnsi" w:cs="Calibri"/>
          <w:sz w:val="22"/>
          <w:szCs w:val="22"/>
        </w:rPr>
      </w:pPr>
      <w:r w:rsidRPr="001D1CD5">
        <w:rPr>
          <w:rFonts w:asciiTheme="minorHAnsi" w:eastAsia="Calibri" w:hAnsiTheme="minorHAnsi" w:cs="Calibri"/>
          <w:b/>
          <w:color w:val="451E51"/>
          <w:sz w:val="28"/>
          <w:szCs w:val="28"/>
          <w:lang w:eastAsia="en-AU"/>
        </w:rPr>
        <w:t xml:space="preserve">6.1 </w:t>
      </w:r>
      <w:r w:rsidRPr="001D1CD5">
        <w:rPr>
          <w:rFonts w:asciiTheme="minorHAnsi" w:eastAsia="Calibri" w:hAnsiTheme="minorHAnsi" w:cs="Calibri"/>
          <w:b/>
          <w:color w:val="451E51"/>
          <w:sz w:val="28"/>
          <w:szCs w:val="28"/>
          <w:lang w:eastAsia="en-AU"/>
        </w:rPr>
        <w:tab/>
        <w:t>General protections claims involving dismissal</w:t>
      </w:r>
    </w:p>
    <w:p w14:paraId="2523D62C" w14:textId="3E529CC5" w:rsidR="00F97B01" w:rsidRPr="001D1CD5" w:rsidRDefault="00F97B01" w:rsidP="00F97B01">
      <w:pPr>
        <w:widowControl w:val="0"/>
        <w:spacing w:after="240" w:line="276" w:lineRule="auto"/>
        <w:jc w:val="both"/>
        <w:rPr>
          <w:rFonts w:asciiTheme="minorHAnsi" w:hAnsiTheme="minorHAnsi" w:cs="Calibri"/>
        </w:rPr>
      </w:pPr>
      <w:r w:rsidRPr="001D1CD5">
        <w:rPr>
          <w:rFonts w:asciiTheme="minorHAnsi" w:hAnsiTheme="minorHAnsi"/>
        </w:rPr>
        <w:t>As explained above, the provisions of the general protections relating to dismissals (</w:t>
      </w:r>
      <w:r w:rsidRPr="001D1CD5">
        <w:rPr>
          <w:rFonts w:asciiTheme="minorHAnsi" w:hAnsiTheme="minorHAnsi" w:cs="Calibri"/>
        </w:rPr>
        <w:t>Division 5 (</w:t>
      </w:r>
      <w:proofErr w:type="spellStart"/>
      <w:r w:rsidRPr="001D1CD5">
        <w:rPr>
          <w:rFonts w:asciiTheme="minorHAnsi" w:hAnsiTheme="minorHAnsi" w:cs="Calibri"/>
        </w:rPr>
        <w:t>ss.351</w:t>
      </w:r>
      <w:proofErr w:type="spellEnd"/>
      <w:r w:rsidRPr="001D1CD5">
        <w:rPr>
          <w:rFonts w:asciiTheme="minorHAnsi" w:hAnsiTheme="minorHAnsi" w:cs="Calibri"/>
        </w:rPr>
        <w:t xml:space="preserve"> and </w:t>
      </w:r>
      <w:r w:rsidR="00E61BC4">
        <w:rPr>
          <w:rFonts w:asciiTheme="minorHAnsi" w:hAnsiTheme="minorHAnsi" w:cs="Calibri"/>
        </w:rPr>
        <w:t>352) and Division 8 (</w:t>
      </w:r>
      <w:proofErr w:type="spellStart"/>
      <w:r w:rsidR="00E61BC4">
        <w:rPr>
          <w:rFonts w:asciiTheme="minorHAnsi" w:hAnsiTheme="minorHAnsi" w:cs="Calibri"/>
        </w:rPr>
        <w:t>ss.365</w:t>
      </w:r>
      <w:proofErr w:type="spellEnd"/>
      <w:r w:rsidR="00E61BC4">
        <w:rPr>
          <w:rFonts w:asciiTheme="minorHAnsi" w:hAnsiTheme="minorHAnsi" w:cs="Calibri"/>
        </w:rPr>
        <w:t>-378</w:t>
      </w:r>
      <w:r w:rsidRPr="001D1CD5">
        <w:rPr>
          <w:rFonts w:asciiTheme="minorHAnsi" w:hAnsiTheme="minorHAnsi" w:cs="Calibri"/>
        </w:rPr>
        <w:t xml:space="preserve"> of the FW Act) </w:t>
      </w:r>
      <w:r w:rsidRPr="001D1CD5">
        <w:rPr>
          <w:rFonts w:asciiTheme="minorHAnsi" w:hAnsiTheme="minorHAnsi"/>
        </w:rPr>
        <w:t>were derived from the former unlawful termination laws (</w:t>
      </w:r>
      <w:r w:rsidRPr="001D1CD5">
        <w:rPr>
          <w:rFonts w:asciiTheme="minorHAnsi" w:hAnsiTheme="minorHAnsi" w:cs="Calibri"/>
        </w:rPr>
        <w:t xml:space="preserve">Part 12, Division 4, Subdivision C of the </w:t>
      </w:r>
      <w:r w:rsidRPr="001D1CD5">
        <w:rPr>
          <w:rFonts w:asciiTheme="minorHAnsi" w:hAnsiTheme="minorHAnsi" w:cs="Calibri"/>
          <w:i/>
        </w:rPr>
        <w:t>Workplace Relations Act 1996</w:t>
      </w:r>
      <w:r w:rsidRPr="001D1CD5">
        <w:rPr>
          <w:rFonts w:asciiTheme="minorHAnsi" w:hAnsiTheme="minorHAnsi" w:cs="Calibri"/>
        </w:rPr>
        <w:t>).</w:t>
      </w:r>
    </w:p>
    <w:p w14:paraId="6ADC0EB4" w14:textId="77777777" w:rsidR="00F97B01" w:rsidRPr="001D1CD5" w:rsidRDefault="00F97B01" w:rsidP="00F97B01">
      <w:pPr>
        <w:widowControl w:val="0"/>
        <w:spacing w:after="240" w:line="276" w:lineRule="auto"/>
        <w:jc w:val="both"/>
        <w:rPr>
          <w:rFonts w:asciiTheme="minorHAnsi" w:hAnsiTheme="minorHAnsi"/>
        </w:rPr>
      </w:pPr>
      <w:r w:rsidRPr="001D1CD5">
        <w:rPr>
          <w:rFonts w:asciiTheme="minorHAnsi" w:hAnsiTheme="minorHAnsi"/>
        </w:rPr>
        <w:t xml:space="preserve">The unlawful termination provision were introduced in 1993 at the same time as the unfair dismissal provisions via the </w:t>
      </w:r>
      <w:r w:rsidRPr="001D1CD5">
        <w:rPr>
          <w:rFonts w:asciiTheme="minorHAnsi" w:hAnsiTheme="minorHAnsi"/>
          <w:i/>
        </w:rPr>
        <w:t>Industrial Relations Reform Act 1993</w:t>
      </w:r>
      <w:r w:rsidRPr="001D1CD5">
        <w:rPr>
          <w:rFonts w:asciiTheme="minorHAnsi" w:hAnsiTheme="minorHAnsi"/>
        </w:rPr>
        <w:t xml:space="preserve">, and both sets of provisions were located in the same part (Part VIA) of the </w:t>
      </w:r>
      <w:r w:rsidRPr="001D1CD5">
        <w:rPr>
          <w:rFonts w:asciiTheme="minorHAnsi" w:hAnsiTheme="minorHAnsi"/>
          <w:i/>
        </w:rPr>
        <w:t>Industrial Relations Act 1988</w:t>
      </w:r>
      <w:r w:rsidRPr="001D1CD5">
        <w:rPr>
          <w:rFonts w:asciiTheme="minorHAnsi" w:hAnsiTheme="minorHAnsi"/>
        </w:rPr>
        <w:t xml:space="preserve">. </w:t>
      </w:r>
    </w:p>
    <w:p w14:paraId="172CFC7D" w14:textId="351F4110" w:rsidR="00F97B01" w:rsidRPr="001D1CD5" w:rsidRDefault="00F97B01" w:rsidP="00F97B01">
      <w:pPr>
        <w:widowControl w:val="0"/>
        <w:spacing w:after="240" w:line="276" w:lineRule="auto"/>
        <w:jc w:val="both"/>
        <w:rPr>
          <w:rFonts w:asciiTheme="minorHAnsi" w:hAnsiTheme="minorHAnsi" w:cstheme="minorBidi"/>
        </w:rPr>
      </w:pPr>
      <w:r w:rsidRPr="001D1CD5">
        <w:rPr>
          <w:rFonts w:asciiTheme="minorHAnsi" w:hAnsiTheme="minorHAnsi"/>
        </w:rPr>
        <w:t xml:space="preserve">Between 1993 and 2009, the unfair dismissal provisions and the unlawful termination provisions contained the same exclusions (e.g. for short-term casuals, fixed term employees, fixed task employees, high-income award-free employees, </w:t>
      </w:r>
      <w:proofErr w:type="spellStart"/>
      <w:r w:rsidRPr="001D1CD5">
        <w:rPr>
          <w:rFonts w:asciiTheme="minorHAnsi" w:hAnsiTheme="minorHAnsi"/>
        </w:rPr>
        <w:t>etc</w:t>
      </w:r>
      <w:proofErr w:type="spellEnd"/>
      <w:r w:rsidRPr="001D1CD5">
        <w:rPr>
          <w:rFonts w:asciiTheme="minorHAnsi" w:hAnsiTheme="minorHAnsi"/>
        </w:rPr>
        <w:t xml:space="preserve">) and </w:t>
      </w:r>
      <w:r w:rsidR="008F793F">
        <w:rPr>
          <w:rFonts w:asciiTheme="minorHAnsi" w:hAnsiTheme="minorHAnsi"/>
        </w:rPr>
        <w:t xml:space="preserve">had </w:t>
      </w:r>
      <w:r w:rsidRPr="001D1CD5">
        <w:rPr>
          <w:rFonts w:asciiTheme="minorHAnsi" w:hAnsiTheme="minorHAnsi"/>
        </w:rPr>
        <w:t xml:space="preserve">the same cap on compensation of six months’ pay. </w:t>
      </w:r>
    </w:p>
    <w:p w14:paraId="33DF0CDF" w14:textId="77777777" w:rsidR="00F97B01" w:rsidRPr="001D1CD5" w:rsidRDefault="00F97B01" w:rsidP="00F97B01">
      <w:pPr>
        <w:widowControl w:val="0"/>
        <w:spacing w:after="240" w:line="276" w:lineRule="auto"/>
        <w:jc w:val="both"/>
        <w:rPr>
          <w:rFonts w:asciiTheme="minorHAnsi" w:hAnsiTheme="minorHAnsi" w:cs="Calibri"/>
        </w:rPr>
      </w:pPr>
      <w:r w:rsidRPr="001D1CD5">
        <w:rPr>
          <w:rFonts w:asciiTheme="minorHAnsi" w:hAnsiTheme="minorHAnsi"/>
        </w:rPr>
        <w:t>There is no rational reason why the exclusions and the compensation cap under the unfair dismissal laws should not apply to general protections matters involving dismissal. The absence of such provisions is causing many of the current problems because persons who wish to challenge their dismissal are encouraged to pursue a general protections claim rather than an unfair dismissals claim. The general protections are very obviously u</w:t>
      </w:r>
      <w:r w:rsidRPr="001D1CD5">
        <w:rPr>
          <w:rFonts w:asciiTheme="minorHAnsi" w:hAnsiTheme="minorHAnsi" w:cs="Calibri"/>
        </w:rPr>
        <w:t>ndermining the unfair dismissal regime.  This needs to be addressed without delay.</w:t>
      </w:r>
    </w:p>
    <w:p w14:paraId="0EFD891A" w14:textId="634A8762" w:rsidR="00F97B01" w:rsidRPr="001D1CD5" w:rsidRDefault="00F97B01" w:rsidP="00F97B01">
      <w:pPr>
        <w:widowControl w:val="0"/>
        <w:spacing w:after="240" w:line="276" w:lineRule="auto"/>
        <w:jc w:val="both"/>
        <w:rPr>
          <w:rFonts w:asciiTheme="minorHAnsi" w:hAnsiTheme="minorHAnsi" w:cs="Calibri"/>
        </w:rPr>
      </w:pPr>
      <w:r w:rsidRPr="001D1CD5">
        <w:rPr>
          <w:rFonts w:asciiTheme="minorHAnsi" w:hAnsiTheme="minorHAnsi"/>
          <w:lang w:eastAsia="en-AU"/>
        </w:rPr>
        <w:lastRenderedPageBreak/>
        <w:t xml:space="preserve">A largely similar list of exclusions to those under the unfair dismissal provisions and the unlawful termination provisions of the </w:t>
      </w:r>
      <w:r w:rsidRPr="001D1CD5">
        <w:rPr>
          <w:rFonts w:asciiTheme="minorHAnsi" w:hAnsiTheme="minorHAnsi" w:cs="Calibri"/>
          <w:i/>
        </w:rPr>
        <w:t>Workplace Relations Act 1996</w:t>
      </w:r>
      <w:r w:rsidRPr="001D1CD5">
        <w:rPr>
          <w:rFonts w:asciiTheme="minorHAnsi" w:hAnsiTheme="minorHAnsi" w:cs="Calibri"/>
        </w:rPr>
        <w:t xml:space="preserve"> </w:t>
      </w:r>
      <w:r w:rsidRPr="001D1CD5">
        <w:rPr>
          <w:rFonts w:asciiTheme="minorHAnsi" w:hAnsiTheme="minorHAnsi"/>
          <w:lang w:eastAsia="en-AU"/>
        </w:rPr>
        <w:t xml:space="preserve">is included in </w:t>
      </w:r>
      <w:proofErr w:type="spellStart"/>
      <w:r w:rsidRPr="001D1CD5">
        <w:rPr>
          <w:rFonts w:asciiTheme="minorHAnsi" w:hAnsiTheme="minorHAnsi"/>
          <w:lang w:eastAsia="en-AU"/>
        </w:rPr>
        <w:t>s.789</w:t>
      </w:r>
      <w:proofErr w:type="spellEnd"/>
      <w:r w:rsidRPr="001D1CD5">
        <w:rPr>
          <w:rFonts w:asciiTheme="minorHAnsi" w:hAnsiTheme="minorHAnsi"/>
          <w:lang w:eastAsia="en-AU"/>
        </w:rPr>
        <w:t xml:space="preserve"> of the FW Act, but these provisions have very limited application; they apply only to unlawful termination claims </w:t>
      </w:r>
      <w:r w:rsidR="000F770E">
        <w:rPr>
          <w:rFonts w:asciiTheme="minorHAnsi" w:hAnsiTheme="minorHAnsi"/>
          <w:lang w:eastAsia="en-AU"/>
        </w:rPr>
        <w:t>pursued by employees of</w:t>
      </w:r>
      <w:r w:rsidRPr="001D1CD5">
        <w:rPr>
          <w:rFonts w:asciiTheme="minorHAnsi" w:hAnsiTheme="minorHAnsi"/>
          <w:lang w:eastAsia="en-AU"/>
        </w:rPr>
        <w:t xml:space="preserve"> non-Constitutional corporations.</w:t>
      </w:r>
    </w:p>
    <w:p w14:paraId="2F8165DD" w14:textId="77777777" w:rsidR="00F97B01" w:rsidRPr="001D1CD5" w:rsidRDefault="00F97B01" w:rsidP="00F97B01">
      <w:pPr>
        <w:widowControl w:val="0"/>
        <w:spacing w:after="240" w:line="276" w:lineRule="auto"/>
        <w:jc w:val="both"/>
        <w:rPr>
          <w:rFonts w:asciiTheme="minorHAnsi" w:hAnsiTheme="minorHAnsi" w:cs="Calibri"/>
        </w:rPr>
      </w:pPr>
      <w:r w:rsidRPr="001D1CD5">
        <w:rPr>
          <w:rFonts w:asciiTheme="minorHAnsi" w:hAnsiTheme="minorHAnsi" w:cs="Calibri"/>
        </w:rPr>
        <w:t>The following changes to the FW Act are essential:</w:t>
      </w:r>
    </w:p>
    <w:p w14:paraId="122DAAB3" w14:textId="77777777" w:rsidR="00F97B01" w:rsidRPr="001D1CD5" w:rsidRDefault="00F97B01" w:rsidP="00074410">
      <w:pPr>
        <w:pStyle w:val="ListParagraph"/>
        <w:widowControl w:val="0"/>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cs="Calibri"/>
        </w:rPr>
      </w:pPr>
      <w:r w:rsidRPr="001D1CD5">
        <w:rPr>
          <w:rFonts w:asciiTheme="minorHAnsi" w:hAnsiTheme="minorHAnsi" w:cs="Calibri"/>
        </w:rPr>
        <w:t xml:space="preserve">The same exclusions in </w:t>
      </w:r>
      <w:proofErr w:type="spellStart"/>
      <w:r w:rsidRPr="001D1CD5">
        <w:rPr>
          <w:rFonts w:asciiTheme="minorHAnsi" w:hAnsiTheme="minorHAnsi" w:cs="Calibri"/>
        </w:rPr>
        <w:t>ss.382</w:t>
      </w:r>
      <w:proofErr w:type="spellEnd"/>
      <w:r w:rsidRPr="001D1CD5">
        <w:rPr>
          <w:rFonts w:asciiTheme="minorHAnsi" w:hAnsiTheme="minorHAnsi" w:cs="Calibri"/>
        </w:rPr>
        <w:t>, 383 and 384 of the unfair dismissal laws should apply to general protections matters involving dismissal; and</w:t>
      </w:r>
    </w:p>
    <w:p w14:paraId="7CFA5F94" w14:textId="77777777" w:rsidR="00F97B01" w:rsidRPr="001D1CD5" w:rsidRDefault="00F97B01" w:rsidP="00074410">
      <w:pPr>
        <w:pStyle w:val="ListParagraph"/>
        <w:widowControl w:val="0"/>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cs="Calibri"/>
        </w:rPr>
      </w:pPr>
      <w:r w:rsidRPr="001D1CD5">
        <w:rPr>
          <w:rFonts w:asciiTheme="minorHAnsi" w:hAnsiTheme="minorHAnsi" w:cs="Calibri"/>
        </w:rPr>
        <w:t xml:space="preserve">Consistent with Draft Recommendation 6.4 in the Draft Report, the six month cap on compensation in </w:t>
      </w:r>
      <w:proofErr w:type="spellStart"/>
      <w:r w:rsidRPr="001D1CD5">
        <w:rPr>
          <w:rFonts w:asciiTheme="minorHAnsi" w:hAnsiTheme="minorHAnsi" w:cs="Calibri"/>
        </w:rPr>
        <w:t>s.392</w:t>
      </w:r>
      <w:proofErr w:type="spellEnd"/>
      <w:r w:rsidRPr="001D1CD5">
        <w:rPr>
          <w:rFonts w:asciiTheme="minorHAnsi" w:hAnsiTheme="minorHAnsi" w:cs="Calibri"/>
        </w:rPr>
        <w:t xml:space="preserve"> of the FW Act for unfair dismissal claims should apply equally to general protections claims involving dismissal. </w:t>
      </w:r>
    </w:p>
    <w:p w14:paraId="07D51D7D" w14:textId="313196E9" w:rsidR="00F97B01" w:rsidRPr="000F770E" w:rsidRDefault="00F97B01" w:rsidP="000F770E">
      <w:pPr>
        <w:pStyle w:val="ListParagraph"/>
        <w:widowControl w:val="0"/>
        <w:spacing w:after="240" w:line="276" w:lineRule="auto"/>
        <w:ind w:left="0"/>
        <w:jc w:val="both"/>
        <w:rPr>
          <w:rFonts w:asciiTheme="minorHAnsi" w:hAnsiTheme="minorHAnsi" w:cs="Calibri"/>
        </w:rPr>
      </w:pPr>
      <w:r w:rsidRPr="001D1CD5">
        <w:rPr>
          <w:rFonts w:asciiTheme="minorHAnsi" w:hAnsiTheme="minorHAnsi" w:cs="Calibri"/>
        </w:rPr>
        <w:t xml:space="preserve">Further, a </w:t>
      </w:r>
      <w:r w:rsidRPr="001D1CD5">
        <w:rPr>
          <w:rFonts w:asciiTheme="minorHAnsi" w:eastAsia="Calibri" w:hAnsiTheme="minorHAnsi" w:cs="Calibri"/>
        </w:rPr>
        <w:t xml:space="preserve">civil penalty should apply in circumstances where a lawyer or paid agent encourages a person to pursue a </w:t>
      </w:r>
      <w:r w:rsidRPr="001D1CD5">
        <w:rPr>
          <w:rFonts w:asciiTheme="minorHAnsi" w:hAnsiTheme="minorHAnsi"/>
          <w:iCs/>
        </w:rPr>
        <w:t>speculative application or one that has no reasonable prospects of success. Given the high incidence of payment of “go away” money, lawyers and paid agents have a significant financial incentive to encourage the pursuit of speculative applications, and this needs to be addressed.</w:t>
      </w:r>
      <w:r w:rsidR="000F770E">
        <w:rPr>
          <w:rFonts w:asciiTheme="minorHAnsi" w:hAnsiTheme="minorHAnsi"/>
          <w:iCs/>
        </w:rPr>
        <w:t xml:space="preserve"> </w:t>
      </w:r>
      <w:r w:rsidRPr="001D1CD5">
        <w:rPr>
          <w:rFonts w:asciiTheme="minorHAnsi" w:hAnsiTheme="minorHAnsi"/>
          <w:iCs/>
        </w:rPr>
        <w:t xml:space="preserve">The former </w:t>
      </w:r>
      <w:r w:rsidRPr="001D1CD5">
        <w:rPr>
          <w:rFonts w:asciiTheme="minorHAnsi" w:hAnsiTheme="minorHAnsi"/>
          <w:i/>
          <w:iCs/>
        </w:rPr>
        <w:t>Workplace Relations Act 1996,</w:t>
      </w:r>
      <w:r w:rsidRPr="001D1CD5">
        <w:rPr>
          <w:rFonts w:asciiTheme="minorHAnsi" w:hAnsiTheme="minorHAnsi"/>
          <w:iCs/>
        </w:rPr>
        <w:t xml:space="preserve"> at </w:t>
      </w:r>
      <w:proofErr w:type="spellStart"/>
      <w:r w:rsidRPr="001D1CD5">
        <w:rPr>
          <w:rFonts w:asciiTheme="minorHAnsi" w:hAnsiTheme="minorHAnsi"/>
          <w:iCs/>
        </w:rPr>
        <w:t>s.680</w:t>
      </w:r>
      <w:proofErr w:type="spellEnd"/>
      <w:r w:rsidRPr="001D1CD5">
        <w:rPr>
          <w:rFonts w:asciiTheme="minorHAnsi" w:hAnsiTheme="minorHAnsi"/>
          <w:iCs/>
        </w:rPr>
        <w:t xml:space="preserve">, provided for a civil penalty to be imposed on a lawyer or paid agent who encouraged </w:t>
      </w:r>
      <w:r w:rsidR="000F770E">
        <w:rPr>
          <w:rFonts w:asciiTheme="minorHAnsi" w:hAnsiTheme="minorHAnsi"/>
          <w:iCs/>
        </w:rPr>
        <w:t>a speculative application</w:t>
      </w:r>
      <w:r w:rsidRPr="001D1CD5">
        <w:rPr>
          <w:rFonts w:asciiTheme="minorHAnsi" w:hAnsiTheme="minorHAnsi"/>
          <w:iCs/>
        </w:rPr>
        <w:t xml:space="preserve"> or </w:t>
      </w:r>
      <w:r w:rsidR="000F770E">
        <w:rPr>
          <w:rFonts w:asciiTheme="minorHAnsi" w:hAnsiTheme="minorHAnsi"/>
          <w:iCs/>
        </w:rPr>
        <w:t>an application</w:t>
      </w:r>
      <w:r w:rsidRPr="001D1CD5">
        <w:rPr>
          <w:rFonts w:asciiTheme="minorHAnsi" w:hAnsiTheme="minorHAnsi"/>
          <w:iCs/>
        </w:rPr>
        <w:t xml:space="preserve"> with no reasonable prospects of success in relation to unlawful termination claims. The maximum penalty was $10,000 if the adviser was a body corporate and $2,000 if the adviser was not a body corporate. A similar civil penalty should apply under the FW Act for </w:t>
      </w:r>
      <w:r w:rsidR="000F770E">
        <w:rPr>
          <w:rFonts w:asciiTheme="minorHAnsi" w:hAnsiTheme="minorHAnsi"/>
          <w:iCs/>
        </w:rPr>
        <w:t>general protections</w:t>
      </w:r>
      <w:r w:rsidRPr="001D1CD5">
        <w:rPr>
          <w:rFonts w:asciiTheme="minorHAnsi" w:hAnsiTheme="minorHAnsi"/>
          <w:iCs/>
        </w:rPr>
        <w:t xml:space="preserve"> claims. </w:t>
      </w:r>
    </w:p>
    <w:p w14:paraId="15D8EC93" w14:textId="77777777" w:rsidR="00F97B01" w:rsidRPr="001D1CD5" w:rsidRDefault="00F97B01" w:rsidP="00F97B01">
      <w:pPr>
        <w:pStyle w:val="ListParagraph"/>
        <w:widowControl w:val="0"/>
        <w:spacing w:after="240" w:line="276" w:lineRule="auto"/>
        <w:ind w:left="0"/>
        <w:jc w:val="both"/>
        <w:rPr>
          <w:rFonts w:asciiTheme="minorHAnsi" w:hAnsiTheme="minorHAnsi" w:cs="Calibri"/>
          <w:sz w:val="28"/>
          <w:szCs w:val="28"/>
        </w:rPr>
      </w:pPr>
      <w:r w:rsidRPr="001D1CD5">
        <w:rPr>
          <w:rFonts w:asciiTheme="minorHAnsi" w:eastAsia="Calibri" w:hAnsiTheme="minorHAnsi" w:cs="Calibri"/>
          <w:b/>
          <w:color w:val="451E51"/>
          <w:sz w:val="28"/>
          <w:szCs w:val="28"/>
        </w:rPr>
        <w:t xml:space="preserve">6.2 </w:t>
      </w:r>
      <w:r w:rsidRPr="001D1CD5">
        <w:rPr>
          <w:rFonts w:asciiTheme="minorHAnsi" w:eastAsia="Calibri" w:hAnsiTheme="minorHAnsi" w:cs="Calibri"/>
          <w:b/>
          <w:color w:val="451E51"/>
          <w:sz w:val="28"/>
          <w:szCs w:val="28"/>
        </w:rPr>
        <w:tab/>
        <w:t xml:space="preserve">Reverse onus of proof </w:t>
      </w:r>
    </w:p>
    <w:p w14:paraId="7745A527" w14:textId="25CD7B0D" w:rsidR="00DD08E1" w:rsidRPr="001D1CD5" w:rsidRDefault="000F770E" w:rsidP="00DD08E1">
      <w:pPr>
        <w:spacing w:after="240" w:line="276" w:lineRule="auto"/>
        <w:jc w:val="both"/>
        <w:rPr>
          <w:rFonts w:asciiTheme="minorHAnsi" w:hAnsiTheme="minorHAnsi" w:cs="Calibri"/>
        </w:rPr>
      </w:pPr>
      <w:r>
        <w:rPr>
          <w:rFonts w:asciiTheme="minorHAnsi" w:hAnsiTheme="minorHAnsi" w:cs="Calibri"/>
        </w:rPr>
        <w:t>The “reverse onus of proof”</w:t>
      </w:r>
      <w:r w:rsidR="00DD08E1" w:rsidRPr="001D1CD5">
        <w:rPr>
          <w:rFonts w:asciiTheme="minorHAnsi" w:hAnsiTheme="minorHAnsi" w:cs="Calibri"/>
        </w:rPr>
        <w:t xml:space="preserve"> in </w:t>
      </w:r>
      <w:proofErr w:type="spellStart"/>
      <w:r w:rsidR="00DD08E1" w:rsidRPr="001D1CD5">
        <w:rPr>
          <w:rFonts w:asciiTheme="minorHAnsi" w:hAnsiTheme="minorHAnsi" w:cs="Calibri"/>
        </w:rPr>
        <w:t>s.361</w:t>
      </w:r>
      <w:proofErr w:type="spellEnd"/>
      <w:r w:rsidR="00DD08E1" w:rsidRPr="001D1CD5">
        <w:rPr>
          <w:rFonts w:asciiTheme="minorHAnsi" w:hAnsiTheme="minorHAnsi" w:cs="Calibri"/>
        </w:rPr>
        <w:t xml:space="preserve"> of the FW Act makes it very easy for persons to pursue general protections applications regardless of the validity, reasonableness or prospects of success of their claim.  </w:t>
      </w:r>
    </w:p>
    <w:p w14:paraId="02064F9E" w14:textId="1BF2B674" w:rsidR="00F97B01" w:rsidRPr="001D1CD5" w:rsidRDefault="000F770E" w:rsidP="00F97B01">
      <w:pPr>
        <w:pStyle w:val="ListParagraph"/>
        <w:widowControl w:val="0"/>
        <w:spacing w:after="240" w:line="276" w:lineRule="auto"/>
        <w:ind w:left="0"/>
        <w:jc w:val="both"/>
        <w:rPr>
          <w:rFonts w:asciiTheme="minorHAnsi" w:hAnsiTheme="minorHAnsi" w:cs="Calibri"/>
        </w:rPr>
      </w:pPr>
      <w:r>
        <w:rPr>
          <w:rFonts w:asciiTheme="minorHAnsi" w:hAnsiTheme="minorHAnsi" w:cs="Calibri"/>
        </w:rPr>
        <w:t xml:space="preserve">We note what the Productivity Commission has said about the reverse onus of proof in its Draft Report. </w:t>
      </w:r>
      <w:r w:rsidR="00F97B01" w:rsidRPr="001D1CD5">
        <w:rPr>
          <w:rFonts w:asciiTheme="minorHAnsi" w:hAnsiTheme="minorHAnsi" w:cs="Calibri"/>
        </w:rPr>
        <w:t>If the Commission is not prepared to recommend the abolition of the reverse onus of proof for all general protections matters, we urge the Commission to recommend its abolition for general protections matters involving dismissal. Similar to the list of exclusions and the compensation cap, the reverse onus of proof is operating to encourage persons to pursue general protections claims rather than unfair dismissal claims, and undermining the operation of the unfair dismissal laws.</w:t>
      </w:r>
    </w:p>
    <w:p w14:paraId="47291C6A" w14:textId="77777777" w:rsidR="00F97B01" w:rsidRPr="001D1CD5" w:rsidRDefault="00F97B01" w:rsidP="00F97B01">
      <w:pPr>
        <w:pStyle w:val="ListParagraph"/>
        <w:widowControl w:val="0"/>
        <w:spacing w:after="240" w:line="276" w:lineRule="auto"/>
        <w:ind w:left="0"/>
        <w:jc w:val="both"/>
        <w:rPr>
          <w:rFonts w:asciiTheme="minorHAnsi" w:hAnsiTheme="minorHAnsi" w:cs="Calibri"/>
        </w:rPr>
      </w:pPr>
      <w:r w:rsidRPr="001D1CD5">
        <w:rPr>
          <w:rFonts w:asciiTheme="minorHAnsi" w:eastAsia="Calibri" w:hAnsiTheme="minorHAnsi" w:cs="Calibri"/>
          <w:b/>
          <w:color w:val="451E51"/>
          <w:sz w:val="28"/>
          <w:szCs w:val="28"/>
        </w:rPr>
        <w:t xml:space="preserve">6.3 </w:t>
      </w:r>
      <w:r w:rsidRPr="001D1CD5">
        <w:rPr>
          <w:rFonts w:asciiTheme="minorHAnsi" w:eastAsia="Calibri" w:hAnsiTheme="minorHAnsi" w:cs="Calibri"/>
          <w:b/>
          <w:color w:val="451E51"/>
          <w:sz w:val="28"/>
          <w:szCs w:val="28"/>
        </w:rPr>
        <w:tab/>
        <w:t>Discovery processes</w:t>
      </w:r>
    </w:p>
    <w:p w14:paraId="0F33FB4F" w14:textId="77777777" w:rsidR="00F97B01" w:rsidRPr="001D1CD5" w:rsidRDefault="00F97B01" w:rsidP="00F97B01">
      <w:pPr>
        <w:pStyle w:val="ListParagraph"/>
        <w:widowControl w:val="0"/>
        <w:spacing w:after="240" w:line="276" w:lineRule="auto"/>
        <w:ind w:left="0"/>
        <w:jc w:val="both"/>
        <w:rPr>
          <w:rFonts w:asciiTheme="minorHAnsi" w:hAnsiTheme="minorHAnsi" w:cs="Calibri"/>
        </w:rPr>
      </w:pPr>
      <w:r w:rsidRPr="001D1CD5">
        <w:rPr>
          <w:rFonts w:asciiTheme="minorHAnsi" w:hAnsiTheme="minorHAnsi" w:cs="Calibri"/>
        </w:rPr>
        <w:t>Ai Group supports Draft Recommendation 6.1 which would align the discovery processes used in general protections cases with those provided in the Federal Court’s Rules and Practice Note 5.</w:t>
      </w:r>
    </w:p>
    <w:p w14:paraId="1380E802" w14:textId="77777777" w:rsidR="00E61BC4" w:rsidRDefault="00E61BC4">
      <w:pPr>
        <w:rPr>
          <w:rFonts w:asciiTheme="minorHAnsi" w:eastAsia="Calibri" w:hAnsiTheme="minorHAnsi" w:cs="Calibri"/>
          <w:b/>
          <w:color w:val="451E51"/>
          <w:sz w:val="28"/>
          <w:szCs w:val="28"/>
          <w:u w:color="000000"/>
          <w:lang w:eastAsia="en-AU"/>
        </w:rPr>
      </w:pPr>
      <w:r>
        <w:rPr>
          <w:rFonts w:asciiTheme="minorHAnsi" w:eastAsia="Calibri" w:hAnsiTheme="minorHAnsi" w:cs="Calibri"/>
          <w:b/>
          <w:color w:val="451E51"/>
          <w:sz w:val="28"/>
          <w:szCs w:val="28"/>
        </w:rPr>
        <w:br w:type="page"/>
      </w:r>
    </w:p>
    <w:p w14:paraId="583CC649" w14:textId="02550A83" w:rsidR="00F97B01" w:rsidRPr="001D1CD5" w:rsidRDefault="00F97B01" w:rsidP="00F97B01">
      <w:pPr>
        <w:pStyle w:val="ListParagraph"/>
        <w:widowControl w:val="0"/>
        <w:spacing w:after="240" w:line="276" w:lineRule="auto"/>
        <w:ind w:left="0"/>
        <w:jc w:val="both"/>
        <w:rPr>
          <w:rFonts w:asciiTheme="minorHAnsi" w:eastAsia="Calibri" w:hAnsiTheme="minorHAnsi" w:cs="Calibri"/>
          <w:b/>
          <w:color w:val="451E51"/>
          <w:sz w:val="28"/>
          <w:szCs w:val="28"/>
        </w:rPr>
      </w:pPr>
      <w:r w:rsidRPr="001D1CD5">
        <w:rPr>
          <w:rFonts w:asciiTheme="minorHAnsi" w:eastAsia="Calibri" w:hAnsiTheme="minorHAnsi" w:cs="Calibri"/>
          <w:b/>
          <w:color w:val="451E51"/>
          <w:sz w:val="28"/>
          <w:szCs w:val="28"/>
        </w:rPr>
        <w:lastRenderedPageBreak/>
        <w:t>6.4</w:t>
      </w:r>
      <w:r w:rsidRPr="001D1CD5">
        <w:rPr>
          <w:rFonts w:asciiTheme="minorHAnsi" w:eastAsia="Calibri" w:hAnsiTheme="minorHAnsi" w:cs="Calibri"/>
          <w:b/>
          <w:color w:val="451E51"/>
          <w:sz w:val="28"/>
          <w:szCs w:val="28"/>
        </w:rPr>
        <w:tab/>
        <w:t>Tightening the meaning and application of “workplace right”</w:t>
      </w:r>
    </w:p>
    <w:p w14:paraId="2E8FCE64" w14:textId="77777777" w:rsidR="00F97B01" w:rsidRPr="001D1CD5" w:rsidRDefault="00F97B01" w:rsidP="00F97B01">
      <w:pPr>
        <w:pStyle w:val="ListParagraph"/>
        <w:widowControl w:val="0"/>
        <w:spacing w:after="240" w:line="276" w:lineRule="auto"/>
        <w:ind w:left="0"/>
        <w:jc w:val="both"/>
        <w:rPr>
          <w:rFonts w:asciiTheme="minorHAnsi" w:hAnsiTheme="minorHAnsi" w:cs="Calibri"/>
        </w:rPr>
      </w:pPr>
      <w:r w:rsidRPr="001D1CD5">
        <w:rPr>
          <w:rFonts w:asciiTheme="minorHAnsi" w:hAnsiTheme="minorHAnsi" w:cs="Calibri"/>
        </w:rPr>
        <w:t xml:space="preserve">Ai Group supports Draft Recommendation 6.2 which would modify </w:t>
      </w:r>
      <w:proofErr w:type="spellStart"/>
      <w:r w:rsidRPr="001D1CD5">
        <w:rPr>
          <w:rFonts w:asciiTheme="minorHAnsi" w:hAnsiTheme="minorHAnsi" w:cs="Calibri"/>
        </w:rPr>
        <w:t>s.341</w:t>
      </w:r>
      <w:proofErr w:type="spellEnd"/>
      <w:r w:rsidRPr="001D1CD5">
        <w:rPr>
          <w:rFonts w:asciiTheme="minorHAnsi" w:hAnsiTheme="minorHAnsi" w:cs="Calibri"/>
        </w:rPr>
        <w:t xml:space="preserve"> of the FW Act to tighten the meaning and application of a “workplace right”, including:</w:t>
      </w:r>
    </w:p>
    <w:p w14:paraId="5DED8D12" w14:textId="77777777" w:rsidR="00F97B01" w:rsidRPr="001D1CD5" w:rsidRDefault="00F97B01" w:rsidP="00074410">
      <w:pPr>
        <w:pStyle w:val="ListParagraph"/>
        <w:widowControl w:val="0"/>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cs="Calibri"/>
        </w:rPr>
      </w:pPr>
      <w:r w:rsidRPr="001D1CD5">
        <w:rPr>
          <w:rFonts w:asciiTheme="minorHAnsi" w:hAnsiTheme="minorHAnsi" w:cs="Calibri"/>
        </w:rPr>
        <w:t>More clearly defining how the exercise of a workplace right applies in instances where the complaint or inquiry is indirectly related to the person’s employment; and</w:t>
      </w:r>
    </w:p>
    <w:p w14:paraId="7D49D4F6" w14:textId="77777777" w:rsidR="00F97B01" w:rsidRPr="001D1CD5" w:rsidRDefault="00F97B01" w:rsidP="00074410">
      <w:pPr>
        <w:pStyle w:val="ListParagraph"/>
        <w:widowControl w:val="0"/>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cs="Calibri"/>
        </w:rPr>
      </w:pPr>
      <w:r w:rsidRPr="001D1CD5">
        <w:rPr>
          <w:rFonts w:asciiTheme="minorHAnsi" w:hAnsiTheme="minorHAnsi" w:cs="Calibri"/>
        </w:rPr>
        <w:t xml:space="preserve">Requiring that complaints be made in good faith, and that the </w:t>
      </w:r>
      <w:proofErr w:type="spellStart"/>
      <w:r w:rsidRPr="001D1CD5">
        <w:rPr>
          <w:rFonts w:asciiTheme="minorHAnsi" w:hAnsiTheme="minorHAnsi" w:cs="Calibri"/>
        </w:rPr>
        <w:t>FWC</w:t>
      </w:r>
      <w:proofErr w:type="spellEnd"/>
      <w:r w:rsidRPr="001D1CD5">
        <w:rPr>
          <w:rFonts w:asciiTheme="minorHAnsi" w:hAnsiTheme="minorHAnsi" w:cs="Calibri"/>
        </w:rPr>
        <w:t xml:space="preserve"> decide this via a preliminary interview with the complainant prior to any conference being convened.</w:t>
      </w:r>
    </w:p>
    <w:p w14:paraId="147BD103" w14:textId="77777777" w:rsidR="00F97B01" w:rsidRPr="001D1CD5" w:rsidRDefault="00F97B01" w:rsidP="00F97B01">
      <w:pPr>
        <w:pStyle w:val="ListParagraph"/>
        <w:widowControl w:val="0"/>
        <w:spacing w:after="240" w:line="276" w:lineRule="auto"/>
        <w:ind w:left="0"/>
        <w:jc w:val="both"/>
        <w:rPr>
          <w:rFonts w:asciiTheme="minorHAnsi" w:eastAsia="Calibri" w:hAnsiTheme="minorHAnsi" w:cs="Calibri"/>
          <w:b/>
          <w:color w:val="451E51"/>
          <w:sz w:val="28"/>
          <w:szCs w:val="28"/>
        </w:rPr>
      </w:pPr>
      <w:r w:rsidRPr="001D1CD5">
        <w:rPr>
          <w:rFonts w:asciiTheme="minorHAnsi" w:eastAsia="Calibri" w:hAnsiTheme="minorHAnsi" w:cs="Calibri"/>
          <w:b/>
          <w:color w:val="451E51"/>
          <w:sz w:val="28"/>
          <w:szCs w:val="28"/>
        </w:rPr>
        <w:t>6.5</w:t>
      </w:r>
      <w:r w:rsidRPr="001D1CD5">
        <w:rPr>
          <w:rFonts w:asciiTheme="minorHAnsi" w:eastAsia="Calibri" w:hAnsiTheme="minorHAnsi" w:cs="Calibri"/>
          <w:b/>
          <w:color w:val="451E51"/>
          <w:sz w:val="28"/>
          <w:szCs w:val="28"/>
        </w:rPr>
        <w:tab/>
        <w:t>Frivolous and vexatious complaints</w:t>
      </w:r>
    </w:p>
    <w:p w14:paraId="6D0E2C4A" w14:textId="77777777" w:rsidR="00F97B01" w:rsidRPr="001D1CD5" w:rsidRDefault="00F97B01" w:rsidP="00F97B01">
      <w:pPr>
        <w:pStyle w:val="ListParagraph"/>
        <w:widowControl w:val="0"/>
        <w:spacing w:after="240" w:line="276" w:lineRule="auto"/>
        <w:ind w:left="0"/>
        <w:jc w:val="both"/>
        <w:rPr>
          <w:rFonts w:asciiTheme="minorHAnsi" w:eastAsiaTheme="minorHAnsi" w:hAnsiTheme="minorHAnsi" w:cstheme="minorHAnsi"/>
          <w:lang w:bidi="en-US"/>
        </w:rPr>
      </w:pPr>
      <w:r w:rsidRPr="001D1CD5">
        <w:rPr>
          <w:rFonts w:asciiTheme="minorHAnsi" w:hAnsiTheme="minorHAnsi" w:cs="Calibri"/>
        </w:rPr>
        <w:t xml:space="preserve">Ai Group supports the apparent intent of Draft Recommendation 6.3 which would introduce exclusions for complaints which are frivolous or vexatious. Subsection 611(2) allows costs orders to be made where an application to the </w:t>
      </w:r>
      <w:proofErr w:type="spellStart"/>
      <w:r w:rsidRPr="001D1CD5">
        <w:rPr>
          <w:rFonts w:asciiTheme="minorHAnsi" w:hAnsiTheme="minorHAnsi" w:cs="Calibri"/>
        </w:rPr>
        <w:t>FWC</w:t>
      </w:r>
      <w:proofErr w:type="spellEnd"/>
      <w:r w:rsidRPr="001D1CD5">
        <w:rPr>
          <w:rFonts w:asciiTheme="minorHAnsi" w:hAnsiTheme="minorHAnsi" w:cs="Calibri"/>
        </w:rPr>
        <w:t xml:space="preserve"> (including a general protections application) is made </w:t>
      </w:r>
      <w:proofErr w:type="spellStart"/>
      <w:r w:rsidRPr="001D1CD5">
        <w:rPr>
          <w:rFonts w:asciiTheme="minorHAnsi" w:eastAsiaTheme="minorHAnsi" w:hAnsiTheme="minorHAnsi" w:cstheme="minorHAnsi"/>
          <w:lang w:bidi="en-US"/>
        </w:rPr>
        <w:t>vexatiously</w:t>
      </w:r>
      <w:proofErr w:type="spellEnd"/>
      <w:r w:rsidRPr="001D1CD5">
        <w:rPr>
          <w:rFonts w:asciiTheme="minorHAnsi" w:eastAsiaTheme="minorHAnsi" w:hAnsiTheme="minorHAnsi" w:cstheme="minorHAnsi"/>
          <w:lang w:bidi="en-US"/>
        </w:rPr>
        <w:t xml:space="preserve"> or without reasonable cause, or has no reasonable prospects of success. </w:t>
      </w:r>
    </w:p>
    <w:p w14:paraId="53C608AB" w14:textId="00C64833" w:rsidR="00F97B01" w:rsidRPr="001D1CD5" w:rsidRDefault="00E61BC4" w:rsidP="00F97B01">
      <w:pPr>
        <w:pStyle w:val="ListParagraph"/>
        <w:widowControl w:val="0"/>
        <w:spacing w:after="240" w:line="276" w:lineRule="auto"/>
        <w:ind w:left="0"/>
        <w:jc w:val="both"/>
        <w:rPr>
          <w:rFonts w:asciiTheme="minorHAnsi" w:eastAsiaTheme="minorHAnsi" w:hAnsiTheme="minorHAnsi" w:cstheme="minorHAnsi"/>
          <w:lang w:bidi="en-US"/>
        </w:rPr>
      </w:pPr>
      <w:r>
        <w:rPr>
          <w:rFonts w:asciiTheme="minorHAnsi" w:eastAsiaTheme="minorHAnsi" w:hAnsiTheme="minorHAnsi" w:cstheme="minorHAnsi"/>
          <w:lang w:bidi="en-US"/>
        </w:rPr>
        <w:t>T</w:t>
      </w:r>
      <w:r w:rsidR="00F97B01" w:rsidRPr="001D1CD5">
        <w:rPr>
          <w:rFonts w:asciiTheme="minorHAnsi" w:eastAsiaTheme="minorHAnsi" w:hAnsiTheme="minorHAnsi" w:cstheme="minorHAnsi"/>
          <w:lang w:bidi="en-US"/>
        </w:rPr>
        <w:t xml:space="preserve">he concepts of “frivolous” and “vexatious” have been interpreted by the </w:t>
      </w:r>
      <w:proofErr w:type="spellStart"/>
      <w:r w:rsidR="00F97B01" w:rsidRPr="001D1CD5">
        <w:rPr>
          <w:rFonts w:asciiTheme="minorHAnsi" w:eastAsiaTheme="minorHAnsi" w:hAnsiTheme="minorHAnsi" w:cstheme="minorHAnsi"/>
          <w:lang w:bidi="en-US"/>
        </w:rPr>
        <w:t>FWC</w:t>
      </w:r>
      <w:proofErr w:type="spellEnd"/>
      <w:r w:rsidR="00F97B01" w:rsidRPr="001D1CD5">
        <w:rPr>
          <w:rFonts w:asciiTheme="minorHAnsi" w:eastAsiaTheme="minorHAnsi" w:hAnsiTheme="minorHAnsi" w:cstheme="minorHAnsi"/>
          <w:lang w:bidi="en-US"/>
        </w:rPr>
        <w:t xml:space="preserve"> and its predecessors as imposing a very high bar</w:t>
      </w:r>
      <w:r>
        <w:rPr>
          <w:rFonts w:asciiTheme="minorHAnsi" w:eastAsiaTheme="minorHAnsi" w:hAnsiTheme="minorHAnsi" w:cstheme="minorHAnsi"/>
          <w:lang w:bidi="en-US"/>
        </w:rPr>
        <w:t>. Therefore</w:t>
      </w:r>
      <w:r w:rsidR="00F97B01" w:rsidRPr="001D1CD5">
        <w:rPr>
          <w:rFonts w:asciiTheme="minorHAnsi" w:eastAsiaTheme="minorHAnsi" w:hAnsiTheme="minorHAnsi" w:cstheme="minorHAnsi"/>
          <w:lang w:bidi="en-US"/>
        </w:rPr>
        <w:t xml:space="preserve">, </w:t>
      </w:r>
      <w:r w:rsidR="000F770E">
        <w:rPr>
          <w:rFonts w:asciiTheme="minorHAnsi" w:eastAsiaTheme="minorHAnsi" w:hAnsiTheme="minorHAnsi" w:cstheme="minorHAnsi"/>
          <w:lang w:bidi="en-US"/>
        </w:rPr>
        <w:t xml:space="preserve">in addition to retaining </w:t>
      </w:r>
      <w:proofErr w:type="spellStart"/>
      <w:r w:rsidR="000F770E">
        <w:rPr>
          <w:rFonts w:asciiTheme="minorHAnsi" w:eastAsiaTheme="minorHAnsi" w:hAnsiTheme="minorHAnsi" w:cstheme="minorHAnsi"/>
          <w:lang w:bidi="en-US"/>
        </w:rPr>
        <w:t>s.611</w:t>
      </w:r>
      <w:proofErr w:type="spellEnd"/>
      <w:r>
        <w:rPr>
          <w:rFonts w:asciiTheme="minorHAnsi" w:eastAsiaTheme="minorHAnsi" w:hAnsiTheme="minorHAnsi" w:cstheme="minorHAnsi"/>
          <w:lang w:bidi="en-US"/>
        </w:rPr>
        <w:t>,</w:t>
      </w:r>
      <w:r w:rsidR="000F770E">
        <w:rPr>
          <w:rFonts w:asciiTheme="minorHAnsi" w:eastAsiaTheme="minorHAnsi" w:hAnsiTheme="minorHAnsi" w:cstheme="minorHAnsi"/>
          <w:lang w:bidi="en-US"/>
        </w:rPr>
        <w:t xml:space="preserve"> </w:t>
      </w:r>
      <w:r w:rsidR="00F97B01" w:rsidRPr="001D1CD5">
        <w:rPr>
          <w:rFonts w:asciiTheme="minorHAnsi" w:eastAsiaTheme="minorHAnsi" w:hAnsiTheme="minorHAnsi" w:cstheme="minorHAnsi"/>
          <w:lang w:bidi="en-US"/>
        </w:rPr>
        <w:t xml:space="preserve">the former Labor Government inserted </w:t>
      </w:r>
      <w:proofErr w:type="spellStart"/>
      <w:r w:rsidR="00F97B01" w:rsidRPr="001D1CD5">
        <w:rPr>
          <w:rFonts w:asciiTheme="minorHAnsi" w:eastAsiaTheme="minorHAnsi" w:hAnsiTheme="minorHAnsi" w:cstheme="minorHAnsi"/>
          <w:lang w:bidi="en-US"/>
        </w:rPr>
        <w:t>s.400A</w:t>
      </w:r>
      <w:proofErr w:type="spellEnd"/>
      <w:r w:rsidR="00F97B01" w:rsidRPr="001D1CD5">
        <w:rPr>
          <w:rFonts w:asciiTheme="minorHAnsi" w:eastAsiaTheme="minorHAnsi" w:hAnsiTheme="minorHAnsi" w:cstheme="minorHAnsi"/>
          <w:lang w:bidi="en-US"/>
        </w:rPr>
        <w:t xml:space="preserve"> into the unfair dismissal laws from 1 January 2013</w:t>
      </w:r>
      <w:r>
        <w:rPr>
          <w:rFonts w:asciiTheme="minorHAnsi" w:eastAsiaTheme="minorHAnsi" w:hAnsiTheme="minorHAnsi" w:cstheme="minorHAnsi"/>
          <w:lang w:bidi="en-US"/>
        </w:rPr>
        <w:t xml:space="preserve"> </w:t>
      </w:r>
      <w:r w:rsidR="00F97B01" w:rsidRPr="001D1CD5">
        <w:rPr>
          <w:rFonts w:asciiTheme="minorHAnsi" w:eastAsiaTheme="minorHAnsi" w:hAnsiTheme="minorHAnsi" w:cstheme="minorHAnsi"/>
          <w:lang w:bidi="en-US"/>
        </w:rPr>
        <w:t xml:space="preserve">consistent with a recommendation of the 2012 Fair Work Act Review. Section </w:t>
      </w:r>
      <w:proofErr w:type="spellStart"/>
      <w:r w:rsidR="00F97B01" w:rsidRPr="001D1CD5">
        <w:rPr>
          <w:rFonts w:asciiTheme="minorHAnsi" w:eastAsiaTheme="minorHAnsi" w:hAnsiTheme="minorHAnsi" w:cstheme="minorHAnsi"/>
          <w:lang w:bidi="en-US"/>
        </w:rPr>
        <w:t>400A</w:t>
      </w:r>
      <w:proofErr w:type="spellEnd"/>
      <w:r w:rsidR="00F97B01" w:rsidRPr="001D1CD5">
        <w:rPr>
          <w:rFonts w:asciiTheme="minorHAnsi" w:eastAsiaTheme="minorHAnsi" w:hAnsiTheme="minorHAnsi" w:cstheme="minorHAnsi"/>
          <w:lang w:bidi="en-US"/>
        </w:rPr>
        <w:t xml:space="preserve"> gives the </w:t>
      </w:r>
      <w:proofErr w:type="spellStart"/>
      <w:r w:rsidR="00F97B01" w:rsidRPr="001D1CD5">
        <w:rPr>
          <w:rFonts w:asciiTheme="minorHAnsi" w:eastAsiaTheme="minorHAnsi" w:hAnsiTheme="minorHAnsi" w:cstheme="minorHAnsi"/>
          <w:lang w:bidi="en-US"/>
        </w:rPr>
        <w:t>FWC</w:t>
      </w:r>
      <w:proofErr w:type="spellEnd"/>
      <w:r w:rsidR="00F97B01" w:rsidRPr="001D1CD5">
        <w:rPr>
          <w:rFonts w:asciiTheme="minorHAnsi" w:eastAsiaTheme="minorHAnsi" w:hAnsiTheme="minorHAnsi" w:cstheme="minorHAnsi"/>
          <w:lang w:bidi="en-US"/>
        </w:rPr>
        <w:t xml:space="preserve"> wider powers to award costs against parties who act unreasonably in unfair dismissal matters. A similar provision should be inserted into the general protections.</w:t>
      </w:r>
    </w:p>
    <w:p w14:paraId="6F4776A3" w14:textId="0A780E62" w:rsidR="00F97B01" w:rsidRPr="001D1CD5" w:rsidRDefault="00F97B01" w:rsidP="00F97B01">
      <w:pPr>
        <w:pStyle w:val="ListParagraph"/>
        <w:widowControl w:val="0"/>
        <w:spacing w:after="240" w:line="276" w:lineRule="auto"/>
        <w:ind w:left="0"/>
        <w:jc w:val="both"/>
        <w:rPr>
          <w:rFonts w:asciiTheme="minorHAnsi" w:eastAsiaTheme="minorHAnsi" w:hAnsiTheme="minorHAnsi" w:cstheme="minorHAnsi"/>
          <w:lang w:bidi="en-US"/>
        </w:rPr>
      </w:pPr>
      <w:r w:rsidRPr="001D1CD5">
        <w:rPr>
          <w:rFonts w:asciiTheme="minorHAnsi" w:eastAsiaTheme="minorHAnsi" w:hAnsiTheme="minorHAnsi" w:cstheme="minorHAnsi"/>
          <w:lang w:bidi="en-US"/>
        </w:rPr>
        <w:t>Also, the changes proposed in section 6.1 above would a</w:t>
      </w:r>
      <w:r w:rsidR="000F770E">
        <w:rPr>
          <w:rFonts w:asciiTheme="minorHAnsi" w:eastAsiaTheme="minorHAnsi" w:hAnsiTheme="minorHAnsi" w:cstheme="minorHAnsi"/>
          <w:lang w:bidi="en-US"/>
        </w:rPr>
        <w:t xml:space="preserve">ssist in discouraging frivolous, </w:t>
      </w:r>
      <w:r w:rsidRPr="001D1CD5">
        <w:rPr>
          <w:rFonts w:asciiTheme="minorHAnsi" w:eastAsiaTheme="minorHAnsi" w:hAnsiTheme="minorHAnsi" w:cstheme="minorHAnsi"/>
          <w:lang w:bidi="en-US"/>
        </w:rPr>
        <w:t xml:space="preserve">vexatious </w:t>
      </w:r>
      <w:r w:rsidR="000F770E">
        <w:rPr>
          <w:rFonts w:asciiTheme="minorHAnsi" w:eastAsiaTheme="minorHAnsi" w:hAnsiTheme="minorHAnsi" w:cstheme="minorHAnsi"/>
          <w:lang w:bidi="en-US"/>
        </w:rPr>
        <w:t xml:space="preserve">and unmeritorious </w:t>
      </w:r>
      <w:r w:rsidRPr="001D1CD5">
        <w:rPr>
          <w:rFonts w:asciiTheme="minorHAnsi" w:eastAsiaTheme="minorHAnsi" w:hAnsiTheme="minorHAnsi" w:cstheme="minorHAnsi"/>
          <w:lang w:bidi="en-US"/>
        </w:rPr>
        <w:t>complaints.</w:t>
      </w:r>
    </w:p>
    <w:p w14:paraId="239F4859" w14:textId="77777777" w:rsidR="00F97B01" w:rsidRPr="001D1CD5" w:rsidRDefault="00F97B01" w:rsidP="00F97B01">
      <w:pPr>
        <w:pStyle w:val="ListParagraph"/>
        <w:widowControl w:val="0"/>
        <w:spacing w:after="240" w:line="276" w:lineRule="auto"/>
        <w:ind w:left="0"/>
        <w:jc w:val="both"/>
        <w:rPr>
          <w:rFonts w:asciiTheme="minorHAnsi" w:eastAsia="Calibri" w:hAnsiTheme="minorHAnsi" w:cs="Calibri"/>
          <w:b/>
          <w:color w:val="451E51"/>
          <w:sz w:val="28"/>
          <w:szCs w:val="28"/>
        </w:rPr>
      </w:pPr>
      <w:r w:rsidRPr="001D1CD5">
        <w:rPr>
          <w:rFonts w:asciiTheme="minorHAnsi" w:eastAsia="Calibri" w:hAnsiTheme="minorHAnsi" w:cs="Calibri"/>
          <w:b/>
          <w:color w:val="451E51"/>
          <w:sz w:val="28"/>
          <w:szCs w:val="28"/>
        </w:rPr>
        <w:t>6.6</w:t>
      </w:r>
      <w:r w:rsidRPr="001D1CD5">
        <w:rPr>
          <w:rFonts w:asciiTheme="minorHAnsi" w:eastAsia="Calibri" w:hAnsiTheme="minorHAnsi" w:cs="Calibri"/>
          <w:b/>
          <w:color w:val="451E51"/>
          <w:sz w:val="28"/>
          <w:szCs w:val="28"/>
        </w:rPr>
        <w:tab/>
        <w:t>Improvements to reporting arrangements</w:t>
      </w:r>
    </w:p>
    <w:p w14:paraId="30A73ED9" w14:textId="77777777" w:rsidR="00F97B01" w:rsidRPr="001D1CD5" w:rsidRDefault="00F97B01" w:rsidP="00F97B01">
      <w:pPr>
        <w:pStyle w:val="ListParagraph"/>
        <w:widowControl w:val="0"/>
        <w:spacing w:after="240" w:line="276" w:lineRule="auto"/>
        <w:ind w:left="0"/>
        <w:jc w:val="both"/>
        <w:rPr>
          <w:rFonts w:asciiTheme="minorHAnsi" w:hAnsiTheme="minorHAnsi" w:cs="Calibri"/>
        </w:rPr>
      </w:pPr>
      <w:r w:rsidRPr="001D1CD5">
        <w:rPr>
          <w:rFonts w:asciiTheme="minorHAnsi" w:hAnsiTheme="minorHAnsi" w:cs="Calibri"/>
        </w:rPr>
        <w:t xml:space="preserve">Ai Group supports Draft Recommendation 6.5 which would require the </w:t>
      </w:r>
      <w:proofErr w:type="spellStart"/>
      <w:r w:rsidRPr="001D1CD5">
        <w:rPr>
          <w:rFonts w:asciiTheme="minorHAnsi" w:hAnsiTheme="minorHAnsi" w:cs="Calibri"/>
        </w:rPr>
        <w:t>FWC</w:t>
      </w:r>
      <w:proofErr w:type="spellEnd"/>
      <w:r w:rsidRPr="001D1CD5">
        <w:rPr>
          <w:rFonts w:asciiTheme="minorHAnsi" w:hAnsiTheme="minorHAnsi" w:cs="Calibri"/>
        </w:rPr>
        <w:t xml:space="preserve"> to report more information on general protections matters.</w:t>
      </w:r>
    </w:p>
    <w:p w14:paraId="11304310" w14:textId="77777777" w:rsidR="00BF60F6" w:rsidRPr="001D1CD5" w:rsidRDefault="00191CFB" w:rsidP="00BF60F6">
      <w:pPr>
        <w:pStyle w:val="Heading1"/>
        <w:spacing w:before="0" w:after="240" w:line="276" w:lineRule="auto"/>
        <w:ind w:left="709" w:hanging="709"/>
        <w:rPr>
          <w:rFonts w:asciiTheme="minorHAnsi" w:eastAsia="Calibri" w:hAnsiTheme="minorHAnsi" w:cs="Calibri"/>
          <w:color w:val="451E51"/>
          <w:sz w:val="36"/>
          <w:szCs w:val="36"/>
          <w:u w:color="0070C0"/>
          <w:lang w:eastAsia="en-AU"/>
        </w:rPr>
      </w:pPr>
      <w:r w:rsidRPr="001D1CD5">
        <w:rPr>
          <w:rFonts w:asciiTheme="minorHAnsi" w:eastAsia="Calibri" w:hAnsiTheme="minorHAnsi" w:cs="Calibri"/>
          <w:color w:val="451E51"/>
          <w:sz w:val="36"/>
          <w:szCs w:val="36"/>
          <w:u w:color="0070C0"/>
          <w:lang w:eastAsia="en-AU"/>
        </w:rPr>
        <w:t>7</w:t>
      </w:r>
      <w:r w:rsidR="00DE3730" w:rsidRPr="001D1CD5">
        <w:rPr>
          <w:rFonts w:asciiTheme="minorHAnsi" w:eastAsia="Calibri" w:hAnsiTheme="minorHAnsi" w:cs="Calibri"/>
          <w:color w:val="451E51"/>
          <w:sz w:val="36"/>
          <w:szCs w:val="36"/>
          <w:u w:color="0070C0"/>
          <w:lang w:eastAsia="en-AU"/>
        </w:rPr>
        <w:t>.</w:t>
      </w:r>
      <w:r w:rsidR="00DE3730" w:rsidRPr="001D1CD5">
        <w:rPr>
          <w:rFonts w:asciiTheme="minorHAnsi" w:eastAsia="Calibri" w:hAnsiTheme="minorHAnsi" w:cs="Calibri"/>
          <w:color w:val="451E51"/>
          <w:sz w:val="36"/>
          <w:szCs w:val="36"/>
          <w:u w:color="0070C0"/>
          <w:lang w:eastAsia="en-AU"/>
        </w:rPr>
        <w:tab/>
      </w:r>
      <w:bookmarkEnd w:id="7"/>
      <w:r w:rsidR="00D979F2" w:rsidRPr="001D1CD5">
        <w:rPr>
          <w:rFonts w:asciiTheme="minorHAnsi" w:eastAsia="Calibri" w:hAnsiTheme="minorHAnsi" w:cs="Calibri"/>
          <w:color w:val="451E51"/>
          <w:sz w:val="36"/>
          <w:szCs w:val="36"/>
          <w:u w:color="0070C0"/>
          <w:lang w:eastAsia="en-AU"/>
        </w:rPr>
        <w:t>Anti-bullying</w:t>
      </w:r>
    </w:p>
    <w:p w14:paraId="663004E9" w14:textId="3ACC8A76" w:rsidR="00E81B76" w:rsidRPr="001D1CD5" w:rsidRDefault="00E81B76" w:rsidP="00682B31">
      <w:pPr>
        <w:spacing w:after="240" w:line="276" w:lineRule="auto"/>
        <w:jc w:val="both"/>
        <w:rPr>
          <w:rFonts w:asciiTheme="minorHAnsi" w:hAnsiTheme="minorHAnsi" w:cs="Calibri"/>
        </w:rPr>
      </w:pPr>
      <w:r w:rsidRPr="001D1CD5">
        <w:rPr>
          <w:rFonts w:asciiTheme="minorHAnsi" w:hAnsiTheme="minorHAnsi"/>
          <w:lang w:eastAsia="en-AU"/>
        </w:rPr>
        <w:t xml:space="preserve">Ai Group’s views on the anti-bullying provisions of the FW Act are set out in </w:t>
      </w:r>
      <w:r w:rsidR="000F770E">
        <w:rPr>
          <w:rFonts w:asciiTheme="minorHAnsi" w:hAnsiTheme="minorHAnsi"/>
          <w:lang w:eastAsia="en-AU"/>
        </w:rPr>
        <w:t>sub</w:t>
      </w:r>
      <w:r w:rsidRPr="001D1CD5">
        <w:rPr>
          <w:rFonts w:asciiTheme="minorHAnsi" w:hAnsiTheme="minorHAnsi"/>
          <w:lang w:eastAsia="en-AU"/>
        </w:rPr>
        <w:t>section 13.6 of our March 2015 submission.  Essentially, our views are that, t</w:t>
      </w:r>
      <w:r w:rsidRPr="001D1CD5">
        <w:rPr>
          <w:rFonts w:asciiTheme="minorHAnsi" w:hAnsiTheme="minorHAnsi" w:cs="Calibri"/>
        </w:rPr>
        <w:t>o date, the anti-bullying laws have not had an adverse impact on most businesses.</w:t>
      </w:r>
    </w:p>
    <w:p w14:paraId="64B960F2" w14:textId="77777777" w:rsidR="00E61BC4" w:rsidRDefault="00E81B76" w:rsidP="00682B31">
      <w:pPr>
        <w:spacing w:after="240" w:line="276" w:lineRule="auto"/>
        <w:jc w:val="both"/>
        <w:rPr>
          <w:rFonts w:asciiTheme="minorHAnsi" w:hAnsiTheme="minorHAnsi" w:cs="Calibri"/>
        </w:rPr>
      </w:pPr>
      <w:r w:rsidRPr="001D1CD5">
        <w:rPr>
          <w:rFonts w:asciiTheme="minorHAnsi" w:hAnsiTheme="minorHAnsi" w:cs="Calibri"/>
        </w:rPr>
        <w:t xml:space="preserve">The Draft Report does not recommend any changes to the anti-bullying laws. </w:t>
      </w:r>
    </w:p>
    <w:p w14:paraId="6CFEAC73" w14:textId="58488072" w:rsidR="00E81B76" w:rsidRPr="001D1CD5" w:rsidRDefault="00E61BC4" w:rsidP="00682B31">
      <w:pPr>
        <w:spacing w:after="240" w:line="276" w:lineRule="auto"/>
        <w:jc w:val="both"/>
        <w:rPr>
          <w:rFonts w:asciiTheme="minorHAnsi" w:hAnsiTheme="minorHAnsi" w:cs="Calibri"/>
        </w:rPr>
      </w:pPr>
      <w:r>
        <w:rPr>
          <w:rFonts w:asciiTheme="minorHAnsi" w:hAnsiTheme="minorHAnsi" w:cs="Calibri"/>
        </w:rPr>
        <w:t>A post-implementation review of the laws is currently being conducted, with submissions due on 14 October 2015.</w:t>
      </w:r>
      <w:r w:rsidR="00E81B76" w:rsidRPr="001D1CD5">
        <w:rPr>
          <w:rFonts w:asciiTheme="minorHAnsi" w:hAnsiTheme="minorHAnsi" w:cs="Calibri"/>
        </w:rPr>
        <w:t xml:space="preserve"> </w:t>
      </w:r>
    </w:p>
    <w:p w14:paraId="4A93C38B" w14:textId="77777777" w:rsidR="00BF60F6" w:rsidRPr="001D1CD5" w:rsidRDefault="00191CFB" w:rsidP="00BF60F6">
      <w:pPr>
        <w:pStyle w:val="Heading1"/>
        <w:spacing w:before="0" w:after="240" w:line="276" w:lineRule="auto"/>
        <w:ind w:left="709" w:hanging="709"/>
        <w:rPr>
          <w:rFonts w:asciiTheme="minorHAnsi" w:eastAsia="Calibri" w:hAnsiTheme="minorHAnsi" w:cs="Calibri"/>
          <w:color w:val="451E51"/>
          <w:sz w:val="36"/>
          <w:szCs w:val="36"/>
          <w:u w:color="0070C0"/>
          <w:lang w:eastAsia="en-AU"/>
        </w:rPr>
      </w:pPr>
      <w:bookmarkStart w:id="8" w:name="_Toc413853148"/>
      <w:r w:rsidRPr="001D1CD5">
        <w:rPr>
          <w:rFonts w:asciiTheme="minorHAnsi" w:eastAsia="Calibri" w:hAnsiTheme="minorHAnsi" w:cs="Calibri"/>
          <w:color w:val="451E51"/>
          <w:sz w:val="36"/>
          <w:szCs w:val="36"/>
          <w:u w:color="0070C0"/>
          <w:lang w:eastAsia="en-AU"/>
        </w:rPr>
        <w:lastRenderedPageBreak/>
        <w:t>8</w:t>
      </w:r>
      <w:r w:rsidR="00DE3730" w:rsidRPr="001D1CD5">
        <w:rPr>
          <w:rFonts w:asciiTheme="minorHAnsi" w:eastAsia="Calibri" w:hAnsiTheme="minorHAnsi" w:cs="Calibri"/>
          <w:color w:val="451E51"/>
          <w:sz w:val="36"/>
          <w:szCs w:val="36"/>
          <w:u w:color="0070C0"/>
          <w:lang w:eastAsia="en-AU"/>
        </w:rPr>
        <w:t>.</w:t>
      </w:r>
      <w:r w:rsidR="00DE3730" w:rsidRPr="001D1CD5">
        <w:rPr>
          <w:rFonts w:asciiTheme="minorHAnsi" w:eastAsia="Calibri" w:hAnsiTheme="minorHAnsi" w:cs="Calibri"/>
          <w:color w:val="451E51"/>
          <w:sz w:val="36"/>
          <w:szCs w:val="36"/>
          <w:u w:color="0070C0"/>
          <w:lang w:eastAsia="en-AU"/>
        </w:rPr>
        <w:tab/>
      </w:r>
      <w:bookmarkEnd w:id="8"/>
      <w:r w:rsidR="00D979F2" w:rsidRPr="001D1CD5">
        <w:rPr>
          <w:rFonts w:asciiTheme="minorHAnsi" w:eastAsia="Calibri" w:hAnsiTheme="minorHAnsi" w:cs="Calibri"/>
          <w:color w:val="451E51"/>
          <w:sz w:val="36"/>
          <w:szCs w:val="36"/>
          <w:u w:color="0070C0"/>
          <w:lang w:eastAsia="en-AU"/>
        </w:rPr>
        <w:t>Minimum wages</w:t>
      </w:r>
      <w:bookmarkStart w:id="9" w:name="_Toc413853149"/>
    </w:p>
    <w:p w14:paraId="72A448AF" w14:textId="77777777" w:rsidR="00206E00" w:rsidRPr="001D1CD5" w:rsidRDefault="00206E00" w:rsidP="00206E00">
      <w:pPr>
        <w:pStyle w:val="Heading1"/>
        <w:keepNext w:val="0"/>
        <w:keepLines w:val="0"/>
        <w:widowControl w:val="0"/>
        <w:spacing w:before="0" w:after="240" w:line="276" w:lineRule="auto"/>
        <w:jc w:val="both"/>
        <w:rPr>
          <w:rFonts w:asciiTheme="minorHAnsi" w:eastAsia="Times New Roman" w:hAnsiTheme="minorHAnsi"/>
          <w:b w:val="0"/>
          <w:color w:val="auto"/>
          <w:sz w:val="24"/>
          <w:szCs w:val="24"/>
          <w:lang w:eastAsia="en-AU"/>
        </w:rPr>
      </w:pPr>
      <w:r w:rsidRPr="001D1CD5">
        <w:rPr>
          <w:rFonts w:asciiTheme="minorHAnsi" w:eastAsia="Times New Roman" w:hAnsiTheme="minorHAnsi"/>
          <w:b w:val="0"/>
          <w:color w:val="auto"/>
          <w:sz w:val="24"/>
          <w:szCs w:val="24"/>
          <w:lang w:eastAsia="en-AU"/>
        </w:rPr>
        <w:t xml:space="preserve">Ai Group welcomes the important discussion of minimum wages in the Draft Report.  In particular we support the focus on the risks of </w:t>
      </w:r>
      <w:proofErr w:type="spellStart"/>
      <w:r w:rsidRPr="001D1CD5">
        <w:rPr>
          <w:rFonts w:asciiTheme="minorHAnsi" w:eastAsia="Times New Roman" w:hAnsiTheme="minorHAnsi"/>
          <w:b w:val="0"/>
          <w:color w:val="auto"/>
          <w:sz w:val="24"/>
          <w:szCs w:val="24"/>
          <w:lang w:eastAsia="en-AU"/>
        </w:rPr>
        <w:t>disemployment</w:t>
      </w:r>
      <w:proofErr w:type="spellEnd"/>
      <w:r w:rsidRPr="001D1CD5">
        <w:rPr>
          <w:rFonts w:asciiTheme="minorHAnsi" w:eastAsia="Times New Roman" w:hAnsiTheme="minorHAnsi"/>
          <w:b w:val="0"/>
          <w:color w:val="auto"/>
          <w:sz w:val="24"/>
          <w:szCs w:val="24"/>
          <w:lang w:eastAsia="en-AU"/>
        </w:rPr>
        <w:t xml:space="preserve"> that can be associated with minimum wage increases.  </w:t>
      </w:r>
    </w:p>
    <w:p w14:paraId="23856886" w14:textId="743D61A1" w:rsidR="00206E00" w:rsidRPr="001D1CD5" w:rsidRDefault="00206E00" w:rsidP="00206E00">
      <w:pPr>
        <w:pStyle w:val="Heading1"/>
        <w:keepNext w:val="0"/>
        <w:keepLines w:val="0"/>
        <w:widowControl w:val="0"/>
        <w:spacing w:before="0" w:after="240" w:line="276" w:lineRule="auto"/>
        <w:jc w:val="both"/>
        <w:rPr>
          <w:rFonts w:asciiTheme="minorHAnsi" w:eastAsia="Times New Roman" w:hAnsiTheme="minorHAnsi"/>
          <w:b w:val="0"/>
          <w:color w:val="auto"/>
          <w:sz w:val="24"/>
          <w:szCs w:val="24"/>
          <w:lang w:eastAsia="en-AU"/>
        </w:rPr>
      </w:pPr>
      <w:r w:rsidRPr="001D1CD5">
        <w:rPr>
          <w:rFonts w:asciiTheme="minorHAnsi" w:eastAsia="Times New Roman" w:hAnsiTheme="minorHAnsi"/>
          <w:b w:val="0"/>
          <w:color w:val="auto"/>
          <w:sz w:val="24"/>
          <w:szCs w:val="24"/>
          <w:lang w:eastAsia="en-AU"/>
        </w:rPr>
        <w:t xml:space="preserve">These risks, which are likely to be borne disproportionately by underemployed employees; the unemployed; and those with marginal attachment to the workforce, have not been given sufficient weight in minimum wage deliberations to date.  </w:t>
      </w:r>
      <w:r w:rsidR="000F770E">
        <w:rPr>
          <w:rFonts w:asciiTheme="minorHAnsi" w:eastAsia="Times New Roman" w:hAnsiTheme="minorHAnsi"/>
          <w:b w:val="0"/>
          <w:color w:val="auto"/>
          <w:sz w:val="24"/>
          <w:szCs w:val="24"/>
          <w:lang w:eastAsia="en-AU"/>
        </w:rPr>
        <w:t xml:space="preserve">The </w:t>
      </w:r>
      <w:r w:rsidRPr="001D1CD5">
        <w:rPr>
          <w:rFonts w:asciiTheme="minorHAnsi" w:eastAsia="Times New Roman" w:hAnsiTheme="minorHAnsi"/>
          <w:b w:val="0"/>
          <w:color w:val="auto"/>
          <w:sz w:val="24"/>
          <w:szCs w:val="24"/>
          <w:lang w:eastAsia="en-AU"/>
        </w:rPr>
        <w:t xml:space="preserve">deliberations have instead </w:t>
      </w:r>
      <w:proofErr w:type="spellStart"/>
      <w:r w:rsidRPr="001D1CD5">
        <w:rPr>
          <w:rFonts w:asciiTheme="minorHAnsi" w:eastAsia="Times New Roman" w:hAnsiTheme="minorHAnsi"/>
          <w:b w:val="0"/>
          <w:color w:val="auto"/>
          <w:sz w:val="24"/>
          <w:szCs w:val="24"/>
          <w:lang w:eastAsia="en-AU"/>
        </w:rPr>
        <w:t>focussed</w:t>
      </w:r>
      <w:proofErr w:type="spellEnd"/>
      <w:r w:rsidRPr="001D1CD5">
        <w:rPr>
          <w:rFonts w:asciiTheme="minorHAnsi" w:eastAsia="Times New Roman" w:hAnsiTheme="minorHAnsi"/>
          <w:b w:val="0"/>
          <w:color w:val="auto"/>
          <w:sz w:val="24"/>
          <w:szCs w:val="24"/>
          <w:lang w:eastAsia="en-AU"/>
        </w:rPr>
        <w:t xml:space="preserve"> upon the living standards of people in paid employment and have given too little emphasis to the risks that the quantity of </w:t>
      </w:r>
      <w:proofErr w:type="spellStart"/>
      <w:r w:rsidRPr="001D1CD5">
        <w:rPr>
          <w:rFonts w:asciiTheme="minorHAnsi" w:eastAsia="Times New Roman" w:hAnsiTheme="minorHAnsi"/>
          <w:b w:val="0"/>
          <w:color w:val="auto"/>
          <w:sz w:val="24"/>
          <w:szCs w:val="24"/>
          <w:lang w:eastAsia="en-AU"/>
        </w:rPr>
        <w:t>labour</w:t>
      </w:r>
      <w:proofErr w:type="spellEnd"/>
      <w:r w:rsidRPr="001D1CD5">
        <w:rPr>
          <w:rFonts w:asciiTheme="minorHAnsi" w:eastAsia="Times New Roman" w:hAnsiTheme="minorHAnsi"/>
          <w:b w:val="0"/>
          <w:color w:val="auto"/>
          <w:sz w:val="24"/>
          <w:szCs w:val="24"/>
          <w:lang w:eastAsia="en-AU"/>
        </w:rPr>
        <w:t xml:space="preserve"> available in the economy may be lower than otherwise when minimum wages rise. </w:t>
      </w:r>
    </w:p>
    <w:p w14:paraId="50079566" w14:textId="14A5E2C8" w:rsidR="00206E00" w:rsidRPr="001D1CD5" w:rsidRDefault="00206E00" w:rsidP="00206E00">
      <w:pPr>
        <w:pStyle w:val="Heading1"/>
        <w:keepNext w:val="0"/>
        <w:keepLines w:val="0"/>
        <w:widowControl w:val="0"/>
        <w:spacing w:before="0" w:after="240" w:line="276" w:lineRule="auto"/>
        <w:jc w:val="both"/>
        <w:rPr>
          <w:rFonts w:asciiTheme="minorHAnsi" w:eastAsia="Times New Roman" w:hAnsiTheme="minorHAnsi"/>
          <w:b w:val="0"/>
          <w:color w:val="auto"/>
          <w:sz w:val="24"/>
          <w:szCs w:val="24"/>
          <w:lang w:eastAsia="en-AU"/>
        </w:rPr>
      </w:pPr>
      <w:r w:rsidRPr="001D1CD5">
        <w:rPr>
          <w:rFonts w:asciiTheme="minorHAnsi" w:eastAsia="Times New Roman" w:hAnsiTheme="minorHAnsi"/>
          <w:b w:val="0"/>
          <w:color w:val="auto"/>
          <w:sz w:val="24"/>
          <w:szCs w:val="24"/>
          <w:lang w:eastAsia="en-AU"/>
        </w:rPr>
        <w:t xml:space="preserve">These risks are transmitted to the underemployed, the unemployed, and those with marginal attachment to the workforce through the stifling impacts of higher wages and on-costs on those employers who would otherwise offer more hours of work.  </w:t>
      </w:r>
    </w:p>
    <w:p w14:paraId="4DFB5726" w14:textId="77777777" w:rsidR="00206E00" w:rsidRPr="001D1CD5" w:rsidRDefault="00206E00" w:rsidP="00206E00">
      <w:pPr>
        <w:pStyle w:val="Heading1"/>
        <w:keepNext w:val="0"/>
        <w:keepLines w:val="0"/>
        <w:widowControl w:val="0"/>
        <w:spacing w:before="0" w:after="240" w:line="276" w:lineRule="auto"/>
        <w:jc w:val="both"/>
        <w:rPr>
          <w:rFonts w:asciiTheme="minorHAnsi" w:eastAsia="Times New Roman" w:hAnsiTheme="minorHAnsi"/>
          <w:b w:val="0"/>
          <w:color w:val="auto"/>
          <w:sz w:val="24"/>
          <w:szCs w:val="24"/>
          <w:lang w:eastAsia="en-AU"/>
        </w:rPr>
      </w:pPr>
      <w:r w:rsidRPr="001D1CD5">
        <w:rPr>
          <w:rFonts w:asciiTheme="minorHAnsi" w:eastAsia="Times New Roman" w:hAnsiTheme="minorHAnsi"/>
          <w:b w:val="0"/>
          <w:color w:val="auto"/>
          <w:sz w:val="24"/>
          <w:szCs w:val="24"/>
          <w:lang w:eastAsia="en-AU"/>
        </w:rPr>
        <w:t xml:space="preserve">An area that might have been considered in the Commission’s discussion of minimum wages is the range of impacts on small businesses and their owners when the business is unable to pass on cost rises in the market.  For example, increases in minimum wages may adversely impact more or less immediately on low-margin businesses in industries exposed to international competition.  In many cases, the business owner may absorb short and medium-term impacts of wages rises with a loss of business income.  </w:t>
      </w:r>
    </w:p>
    <w:p w14:paraId="0E142D7A" w14:textId="4207524E" w:rsidR="004E6731" w:rsidRPr="00E61BC4" w:rsidRDefault="00206E00" w:rsidP="00E61BC4">
      <w:pPr>
        <w:pStyle w:val="Heading1"/>
        <w:keepNext w:val="0"/>
        <w:keepLines w:val="0"/>
        <w:widowControl w:val="0"/>
        <w:spacing w:before="0" w:after="240" w:line="276" w:lineRule="auto"/>
        <w:jc w:val="both"/>
        <w:rPr>
          <w:rFonts w:asciiTheme="minorHAnsi" w:hAnsiTheme="minorHAnsi" w:cs="Arial"/>
          <w:b w:val="0"/>
          <w:color w:val="000000"/>
          <w:sz w:val="24"/>
          <w:szCs w:val="24"/>
        </w:rPr>
      </w:pPr>
      <w:r w:rsidRPr="001D1CD5">
        <w:rPr>
          <w:rFonts w:asciiTheme="minorHAnsi" w:eastAsia="Times New Roman" w:hAnsiTheme="minorHAnsi"/>
          <w:b w:val="0"/>
          <w:color w:val="auto"/>
          <w:sz w:val="24"/>
          <w:szCs w:val="24"/>
          <w:lang w:eastAsia="en-AU"/>
        </w:rPr>
        <w:t xml:space="preserve">Ai Group supports Draft Recommendation 8.1 </w:t>
      </w:r>
      <w:r w:rsidR="004E6731">
        <w:rPr>
          <w:rFonts w:asciiTheme="minorHAnsi" w:eastAsia="Times New Roman" w:hAnsiTheme="minorHAnsi"/>
          <w:b w:val="0"/>
          <w:color w:val="auto"/>
          <w:sz w:val="24"/>
          <w:szCs w:val="24"/>
          <w:lang w:eastAsia="en-AU"/>
        </w:rPr>
        <w:t xml:space="preserve">which proposes </w:t>
      </w:r>
      <w:r w:rsidRPr="001D1CD5">
        <w:rPr>
          <w:rFonts w:asciiTheme="minorHAnsi" w:eastAsia="Times New Roman" w:hAnsiTheme="minorHAnsi"/>
          <w:b w:val="0"/>
          <w:color w:val="auto"/>
          <w:sz w:val="24"/>
          <w:szCs w:val="24"/>
          <w:lang w:eastAsia="en-AU"/>
        </w:rPr>
        <w:t xml:space="preserve">that in </w:t>
      </w:r>
      <w:r w:rsidRPr="001D1CD5">
        <w:rPr>
          <w:rFonts w:asciiTheme="minorHAnsi" w:hAnsiTheme="minorHAnsi" w:cs="Arial"/>
          <w:b w:val="0"/>
          <w:color w:val="000000"/>
          <w:sz w:val="24"/>
          <w:szCs w:val="24"/>
        </w:rPr>
        <w:t xml:space="preserve">making its annual wage review decision, the </w:t>
      </w:r>
      <w:proofErr w:type="spellStart"/>
      <w:r w:rsidRPr="001D1CD5">
        <w:rPr>
          <w:rFonts w:asciiTheme="minorHAnsi" w:hAnsiTheme="minorHAnsi" w:cs="Arial"/>
          <w:b w:val="0"/>
          <w:color w:val="000000"/>
          <w:sz w:val="24"/>
          <w:szCs w:val="24"/>
        </w:rPr>
        <w:t>FWC</w:t>
      </w:r>
      <w:proofErr w:type="spellEnd"/>
      <w:r w:rsidRPr="001D1CD5">
        <w:rPr>
          <w:rFonts w:asciiTheme="minorHAnsi" w:hAnsiTheme="minorHAnsi" w:cs="Arial"/>
          <w:b w:val="0"/>
          <w:color w:val="000000"/>
          <w:sz w:val="24"/>
          <w:szCs w:val="24"/>
        </w:rPr>
        <w:t xml:space="preserve"> should broaden its analytical framework to systematically consider the risks of unexpected variations in economic circumstances on employment and the living standards of the low paid. </w:t>
      </w:r>
    </w:p>
    <w:p w14:paraId="66C83A93" w14:textId="7A52489D" w:rsidR="00206E00" w:rsidRPr="001D1CD5" w:rsidRDefault="00206E00" w:rsidP="00206E00">
      <w:pPr>
        <w:pStyle w:val="Heading1"/>
        <w:keepNext w:val="0"/>
        <w:keepLines w:val="0"/>
        <w:widowControl w:val="0"/>
        <w:spacing w:before="0" w:after="240" w:line="276" w:lineRule="auto"/>
        <w:jc w:val="both"/>
        <w:rPr>
          <w:rFonts w:asciiTheme="minorHAnsi" w:hAnsiTheme="minorHAnsi" w:cs="Arial"/>
          <w:b w:val="0"/>
          <w:color w:val="000000"/>
          <w:sz w:val="24"/>
          <w:szCs w:val="24"/>
        </w:rPr>
      </w:pPr>
      <w:r w:rsidRPr="001D1CD5">
        <w:rPr>
          <w:rFonts w:asciiTheme="minorHAnsi" w:hAnsiTheme="minorHAnsi" w:cs="Arial"/>
          <w:b w:val="0"/>
          <w:color w:val="000000"/>
          <w:sz w:val="24"/>
          <w:szCs w:val="24"/>
        </w:rPr>
        <w:t>We propose that in refining this recommendation the Productivity Commission reinforces its argument that employment risks can manifest themselves not just in employment and unem</w:t>
      </w:r>
      <w:r w:rsidR="004E6731">
        <w:rPr>
          <w:rFonts w:asciiTheme="minorHAnsi" w:hAnsiTheme="minorHAnsi" w:cs="Arial"/>
          <w:b w:val="0"/>
          <w:color w:val="000000"/>
          <w:sz w:val="24"/>
          <w:szCs w:val="24"/>
        </w:rPr>
        <w:t>ployment but also in the quantit</w:t>
      </w:r>
      <w:r w:rsidRPr="001D1CD5">
        <w:rPr>
          <w:rFonts w:asciiTheme="minorHAnsi" w:hAnsiTheme="minorHAnsi" w:cs="Arial"/>
          <w:b w:val="0"/>
          <w:color w:val="000000"/>
          <w:sz w:val="24"/>
          <w:szCs w:val="24"/>
        </w:rPr>
        <w:t xml:space="preserve">y of </w:t>
      </w:r>
      <w:proofErr w:type="spellStart"/>
      <w:r w:rsidRPr="001D1CD5">
        <w:rPr>
          <w:rFonts w:asciiTheme="minorHAnsi" w:hAnsiTheme="minorHAnsi" w:cs="Arial"/>
          <w:b w:val="0"/>
          <w:color w:val="000000"/>
          <w:sz w:val="24"/>
          <w:szCs w:val="24"/>
        </w:rPr>
        <w:t>labour</w:t>
      </w:r>
      <w:proofErr w:type="spellEnd"/>
      <w:r w:rsidRPr="001D1CD5">
        <w:rPr>
          <w:rFonts w:asciiTheme="minorHAnsi" w:hAnsiTheme="minorHAnsi" w:cs="Arial"/>
          <w:b w:val="0"/>
          <w:color w:val="000000"/>
          <w:sz w:val="24"/>
          <w:szCs w:val="24"/>
        </w:rPr>
        <w:t xml:space="preserve"> available to underemployed workers.  </w:t>
      </w:r>
    </w:p>
    <w:p w14:paraId="43BFE34D" w14:textId="4728B7FB" w:rsidR="00206E00" w:rsidRPr="001D1CD5" w:rsidRDefault="00206E00" w:rsidP="00206E00">
      <w:pPr>
        <w:pStyle w:val="Heading1"/>
        <w:keepNext w:val="0"/>
        <w:keepLines w:val="0"/>
        <w:widowControl w:val="0"/>
        <w:spacing w:before="0" w:after="240" w:line="276" w:lineRule="auto"/>
        <w:jc w:val="both"/>
        <w:rPr>
          <w:rFonts w:ascii="Calibri" w:eastAsia="Times New Roman" w:hAnsi="Calibri" w:cs="Times New Roman"/>
          <w:b w:val="0"/>
          <w:bCs w:val="0"/>
          <w:color w:val="451E51"/>
          <w:kern w:val="36"/>
          <w:sz w:val="24"/>
          <w:szCs w:val="24"/>
          <w:lang w:eastAsia="en-AU"/>
        </w:rPr>
      </w:pPr>
      <w:r w:rsidRPr="001D1CD5">
        <w:rPr>
          <w:rFonts w:asciiTheme="minorHAnsi" w:hAnsiTheme="minorHAnsi" w:cs="Arial"/>
          <w:b w:val="0"/>
          <w:color w:val="000000"/>
          <w:sz w:val="24"/>
          <w:szCs w:val="24"/>
        </w:rPr>
        <w:t xml:space="preserve">Further we propose that the Commission also recommend that the analytical framework for the </w:t>
      </w:r>
      <w:proofErr w:type="spellStart"/>
      <w:r w:rsidRPr="001D1CD5">
        <w:rPr>
          <w:rFonts w:asciiTheme="minorHAnsi" w:hAnsiTheme="minorHAnsi" w:cs="Arial"/>
          <w:b w:val="0"/>
          <w:color w:val="000000"/>
          <w:sz w:val="24"/>
          <w:szCs w:val="24"/>
        </w:rPr>
        <w:t>FWC’s</w:t>
      </w:r>
      <w:proofErr w:type="spellEnd"/>
      <w:r w:rsidRPr="001D1CD5">
        <w:rPr>
          <w:rFonts w:asciiTheme="minorHAnsi" w:hAnsiTheme="minorHAnsi" w:cs="Arial"/>
          <w:b w:val="0"/>
          <w:color w:val="000000"/>
          <w:sz w:val="24"/>
          <w:szCs w:val="24"/>
        </w:rPr>
        <w:t xml:space="preserve"> annual wage review decisions be broadened so that impacts of wage rises on the business income of small business owners is systematically considered. </w:t>
      </w:r>
    </w:p>
    <w:p w14:paraId="162A8924" w14:textId="26BDF787" w:rsidR="00BF60F6" w:rsidRPr="001D1CD5" w:rsidRDefault="000E53B7" w:rsidP="00BF60F6">
      <w:pPr>
        <w:pStyle w:val="Heading1"/>
        <w:spacing w:before="0" w:after="240" w:line="276" w:lineRule="auto"/>
        <w:ind w:left="709" w:hanging="709"/>
        <w:rPr>
          <w:rFonts w:asciiTheme="minorHAnsi" w:eastAsia="Calibri" w:hAnsiTheme="minorHAnsi" w:cs="Calibri"/>
          <w:color w:val="451E51"/>
          <w:sz w:val="36"/>
          <w:szCs w:val="36"/>
          <w:u w:color="0070C0"/>
          <w:lang w:eastAsia="en-AU"/>
        </w:rPr>
      </w:pPr>
      <w:r w:rsidRPr="001D1CD5">
        <w:rPr>
          <w:rFonts w:asciiTheme="minorHAnsi" w:eastAsia="Calibri" w:hAnsiTheme="minorHAnsi" w:cs="Calibri"/>
          <w:color w:val="451E51"/>
          <w:sz w:val="36"/>
          <w:szCs w:val="36"/>
          <w:u w:color="0070C0"/>
          <w:lang w:eastAsia="en-AU"/>
        </w:rPr>
        <w:t>9.</w:t>
      </w:r>
      <w:r w:rsidRPr="001D1CD5">
        <w:rPr>
          <w:rFonts w:asciiTheme="minorHAnsi" w:eastAsia="Calibri" w:hAnsiTheme="minorHAnsi" w:cs="Calibri"/>
          <w:color w:val="451E51"/>
          <w:sz w:val="36"/>
          <w:szCs w:val="36"/>
          <w:u w:color="0070C0"/>
          <w:lang w:eastAsia="en-AU"/>
        </w:rPr>
        <w:tab/>
      </w:r>
      <w:bookmarkEnd w:id="9"/>
      <w:r w:rsidR="00D979F2" w:rsidRPr="001D1CD5">
        <w:rPr>
          <w:rFonts w:asciiTheme="minorHAnsi" w:eastAsia="Calibri" w:hAnsiTheme="minorHAnsi" w:cs="Calibri"/>
          <w:color w:val="451E51"/>
          <w:sz w:val="36"/>
          <w:szCs w:val="36"/>
          <w:u w:color="0070C0"/>
          <w:lang w:eastAsia="en-AU"/>
        </w:rPr>
        <w:t>Variations from uniform minimum wages</w:t>
      </w:r>
    </w:p>
    <w:p w14:paraId="0D926BB1" w14:textId="0B97E3A4" w:rsidR="00701439" w:rsidRPr="001D1CD5" w:rsidRDefault="00701439" w:rsidP="00701439">
      <w:pPr>
        <w:pStyle w:val="Heading1"/>
        <w:spacing w:before="0" w:after="240" w:line="276" w:lineRule="auto"/>
        <w:ind w:left="709" w:hanging="709"/>
        <w:rPr>
          <w:rFonts w:asciiTheme="minorHAnsi" w:eastAsia="Calibri" w:hAnsiTheme="minorHAnsi" w:cs="Calibri"/>
          <w:color w:val="451E51"/>
          <w:u w:color="0070C0"/>
          <w:lang w:eastAsia="en-AU"/>
        </w:rPr>
      </w:pPr>
      <w:bookmarkStart w:id="10" w:name="_Toc413853150"/>
      <w:r w:rsidRPr="001D1CD5">
        <w:rPr>
          <w:rFonts w:asciiTheme="minorHAnsi" w:eastAsia="Calibri" w:hAnsiTheme="minorHAnsi" w:cs="Calibri"/>
          <w:color w:val="451E51"/>
          <w:u w:color="0070C0"/>
          <w:lang w:eastAsia="en-AU"/>
        </w:rPr>
        <w:t>9.1</w:t>
      </w:r>
      <w:r w:rsidRPr="001D1CD5">
        <w:rPr>
          <w:rFonts w:asciiTheme="minorHAnsi" w:eastAsia="Calibri" w:hAnsiTheme="minorHAnsi" w:cs="Calibri"/>
          <w:color w:val="451E51"/>
          <w:u w:color="0070C0"/>
          <w:lang w:eastAsia="en-AU"/>
        </w:rPr>
        <w:tab/>
      </w:r>
      <w:r w:rsidR="00AC38F4" w:rsidRPr="001D1CD5">
        <w:rPr>
          <w:rFonts w:asciiTheme="minorHAnsi" w:eastAsia="Calibri" w:hAnsiTheme="minorHAnsi" w:cs="Calibri"/>
          <w:color w:val="451E51"/>
          <w:u w:color="0070C0"/>
          <w:lang w:eastAsia="en-AU"/>
        </w:rPr>
        <w:t>Temporary relief</w:t>
      </w:r>
    </w:p>
    <w:p w14:paraId="13C5CBD2" w14:textId="58707937" w:rsidR="00701439" w:rsidRPr="001D1CD5" w:rsidRDefault="00701439" w:rsidP="00701439">
      <w:pPr>
        <w:pStyle w:val="Body1"/>
        <w:spacing w:after="240" w:line="276" w:lineRule="auto"/>
        <w:jc w:val="both"/>
        <w:rPr>
          <w:rFonts w:asciiTheme="minorHAnsi" w:hAnsiTheme="minorHAnsi"/>
        </w:rPr>
      </w:pPr>
      <w:r w:rsidRPr="001D1CD5">
        <w:rPr>
          <w:rFonts w:asciiTheme="minorHAnsi" w:hAnsiTheme="minorHAnsi"/>
        </w:rPr>
        <w:t xml:space="preserve">Ai Group </w:t>
      </w:r>
      <w:r w:rsidR="00AC38F4" w:rsidRPr="001D1CD5">
        <w:rPr>
          <w:rFonts w:asciiTheme="minorHAnsi" w:hAnsiTheme="minorHAnsi"/>
        </w:rPr>
        <w:t>supports</w:t>
      </w:r>
      <w:r w:rsidRPr="001D1CD5">
        <w:rPr>
          <w:rFonts w:asciiTheme="minorHAnsi" w:hAnsiTheme="minorHAnsi"/>
        </w:rPr>
        <w:t xml:space="preserve"> Draft Recommendation 9.1</w:t>
      </w:r>
      <w:r w:rsidR="00AC38F4" w:rsidRPr="001D1CD5">
        <w:rPr>
          <w:rFonts w:asciiTheme="minorHAnsi" w:hAnsiTheme="minorHAnsi"/>
        </w:rPr>
        <w:t xml:space="preserve"> which would enable the </w:t>
      </w:r>
      <w:proofErr w:type="spellStart"/>
      <w:r w:rsidR="00AC38F4" w:rsidRPr="001D1CD5">
        <w:rPr>
          <w:rFonts w:asciiTheme="minorHAnsi" w:hAnsiTheme="minorHAnsi"/>
        </w:rPr>
        <w:t>FWC</w:t>
      </w:r>
      <w:proofErr w:type="spellEnd"/>
      <w:r w:rsidR="00AC38F4" w:rsidRPr="001D1CD5">
        <w:rPr>
          <w:rFonts w:asciiTheme="minorHAnsi" w:hAnsiTheme="minorHAnsi"/>
        </w:rPr>
        <w:t xml:space="preserve"> to </w:t>
      </w:r>
      <w:r w:rsidRPr="001D1CD5">
        <w:rPr>
          <w:rFonts w:asciiTheme="minorHAnsi" w:hAnsiTheme="minorHAnsi"/>
        </w:rPr>
        <w:t xml:space="preserve">make temporary variations in award wages </w:t>
      </w:r>
      <w:r w:rsidR="00AC38F4" w:rsidRPr="001D1CD5">
        <w:rPr>
          <w:rFonts w:asciiTheme="minorHAnsi" w:hAnsiTheme="minorHAnsi"/>
        </w:rPr>
        <w:t>in “exceptional circumstances”</w:t>
      </w:r>
      <w:r w:rsidRPr="001D1CD5">
        <w:rPr>
          <w:rFonts w:asciiTheme="minorHAnsi" w:hAnsiTheme="minorHAnsi"/>
        </w:rPr>
        <w:t xml:space="preserve"> </w:t>
      </w:r>
      <w:r w:rsidR="004E6731">
        <w:rPr>
          <w:rFonts w:asciiTheme="minorHAnsi" w:hAnsiTheme="minorHAnsi"/>
        </w:rPr>
        <w:t>after an annual wage r</w:t>
      </w:r>
      <w:r w:rsidR="00AC38F4" w:rsidRPr="001D1CD5">
        <w:rPr>
          <w:rFonts w:asciiTheme="minorHAnsi" w:hAnsiTheme="minorHAnsi"/>
        </w:rPr>
        <w:t>eview has been completed.</w:t>
      </w:r>
      <w:r w:rsidRPr="001D1CD5">
        <w:rPr>
          <w:rFonts w:asciiTheme="minorHAnsi" w:hAnsiTheme="minorHAnsi"/>
        </w:rPr>
        <w:t xml:space="preserve"> </w:t>
      </w:r>
    </w:p>
    <w:p w14:paraId="4E700296" w14:textId="776661AA" w:rsidR="00AC38F4" w:rsidRPr="001D1CD5" w:rsidRDefault="00AC38F4" w:rsidP="00701439">
      <w:pPr>
        <w:pStyle w:val="Body1"/>
        <w:spacing w:after="240" w:line="276" w:lineRule="auto"/>
        <w:jc w:val="both"/>
        <w:rPr>
          <w:rFonts w:asciiTheme="minorHAnsi" w:hAnsiTheme="minorHAnsi"/>
        </w:rPr>
      </w:pPr>
      <w:r w:rsidRPr="001D1CD5">
        <w:rPr>
          <w:rFonts w:asciiTheme="minorHAnsi" w:hAnsiTheme="minorHAnsi"/>
        </w:rPr>
        <w:lastRenderedPageBreak/>
        <w:t>Ai Group also proposes that the FW Act be amended</w:t>
      </w:r>
      <w:r w:rsidR="004C30C8" w:rsidRPr="001D1CD5">
        <w:rPr>
          <w:rFonts w:asciiTheme="minorHAnsi" w:hAnsiTheme="minorHAnsi"/>
        </w:rPr>
        <w:t xml:space="preserve"> to enable the </w:t>
      </w:r>
      <w:proofErr w:type="spellStart"/>
      <w:r w:rsidR="004C30C8" w:rsidRPr="001D1CD5">
        <w:rPr>
          <w:rFonts w:asciiTheme="minorHAnsi" w:hAnsiTheme="minorHAnsi"/>
        </w:rPr>
        <w:t>FWC</w:t>
      </w:r>
      <w:proofErr w:type="spellEnd"/>
      <w:r w:rsidR="004C30C8" w:rsidRPr="001D1CD5">
        <w:rPr>
          <w:rFonts w:asciiTheme="minorHAnsi" w:hAnsiTheme="minorHAnsi"/>
        </w:rPr>
        <w:t xml:space="preserve"> to grant an exemption to </w:t>
      </w:r>
      <w:r w:rsidR="0024172E" w:rsidRPr="001D1CD5">
        <w:rPr>
          <w:rFonts w:asciiTheme="minorHAnsi" w:hAnsiTheme="minorHAnsi"/>
        </w:rPr>
        <w:t xml:space="preserve">an individual employer or groups of employers, </w:t>
      </w:r>
      <w:r w:rsidR="004C30C8" w:rsidRPr="001D1CD5">
        <w:rPr>
          <w:rFonts w:asciiTheme="minorHAnsi" w:hAnsiTheme="minorHAnsi"/>
        </w:rPr>
        <w:t>on application, who do n</w:t>
      </w:r>
      <w:r w:rsidR="004E6731">
        <w:rPr>
          <w:rFonts w:asciiTheme="minorHAnsi" w:hAnsiTheme="minorHAnsi"/>
        </w:rPr>
        <w:t>ot have the capacity to pay an annual wage r</w:t>
      </w:r>
      <w:r w:rsidR="004C30C8" w:rsidRPr="001D1CD5">
        <w:rPr>
          <w:rFonts w:asciiTheme="minorHAnsi" w:hAnsiTheme="minorHAnsi"/>
        </w:rPr>
        <w:t xml:space="preserve">eview increase. This capacity was available for many years through National Wage Decisions </w:t>
      </w:r>
      <w:r w:rsidR="0024172E" w:rsidRPr="001D1CD5">
        <w:rPr>
          <w:rFonts w:asciiTheme="minorHAnsi" w:hAnsiTheme="minorHAnsi"/>
        </w:rPr>
        <w:t>of the Australian Industrial Relations Commission (</w:t>
      </w:r>
      <w:proofErr w:type="spellStart"/>
      <w:r w:rsidR="0024172E" w:rsidRPr="004E6731">
        <w:rPr>
          <w:rFonts w:asciiTheme="minorHAnsi" w:hAnsiTheme="minorHAnsi"/>
          <w:b/>
        </w:rPr>
        <w:t>AIRC</w:t>
      </w:r>
      <w:proofErr w:type="spellEnd"/>
      <w:r w:rsidR="0024172E" w:rsidRPr="001D1CD5">
        <w:rPr>
          <w:rFonts w:asciiTheme="minorHAnsi" w:hAnsiTheme="minorHAnsi"/>
        </w:rPr>
        <w:t xml:space="preserve">) </w:t>
      </w:r>
      <w:r w:rsidR="004C30C8" w:rsidRPr="001D1CD5">
        <w:rPr>
          <w:rFonts w:asciiTheme="minorHAnsi" w:hAnsiTheme="minorHAnsi"/>
        </w:rPr>
        <w:t xml:space="preserve">but is not available under the FW Act. The former Incapacity to Pay Principle </w:t>
      </w:r>
      <w:r w:rsidR="0024172E" w:rsidRPr="001D1CD5">
        <w:rPr>
          <w:rFonts w:asciiTheme="minorHAnsi" w:hAnsiTheme="minorHAnsi"/>
        </w:rPr>
        <w:t xml:space="preserve">of the Wage Fixation Principles of the </w:t>
      </w:r>
      <w:proofErr w:type="spellStart"/>
      <w:r w:rsidR="0024172E" w:rsidRPr="001D1CD5">
        <w:rPr>
          <w:rFonts w:asciiTheme="minorHAnsi" w:hAnsiTheme="minorHAnsi"/>
        </w:rPr>
        <w:t>AIRC</w:t>
      </w:r>
      <w:proofErr w:type="spellEnd"/>
      <w:r w:rsidR="0024172E" w:rsidRPr="001D1CD5">
        <w:rPr>
          <w:rFonts w:asciiTheme="minorHAnsi" w:hAnsiTheme="minorHAnsi"/>
        </w:rPr>
        <w:t xml:space="preserve"> </w:t>
      </w:r>
      <w:r w:rsidR="004C30C8" w:rsidRPr="001D1CD5">
        <w:rPr>
          <w:rFonts w:asciiTheme="minorHAnsi" w:hAnsiTheme="minorHAnsi"/>
        </w:rPr>
        <w:t>stated:</w:t>
      </w:r>
    </w:p>
    <w:p w14:paraId="02D3A04C" w14:textId="4307894F" w:rsidR="004C30C8" w:rsidRPr="001D1CD5" w:rsidRDefault="004C30C8" w:rsidP="0024172E">
      <w:pPr>
        <w:pBdr>
          <w:top w:val="none" w:sz="0" w:space="0" w:color="auto"/>
          <w:left w:val="none" w:sz="0" w:space="0" w:color="auto"/>
          <w:bottom w:val="none" w:sz="0" w:space="0" w:color="auto"/>
          <w:right w:val="none" w:sz="0" w:space="0" w:color="auto"/>
          <w:between w:val="none" w:sz="0" w:space="0" w:color="auto"/>
          <w:bar w:val="none" w:sz="0" w:color="auto"/>
        </w:pBdr>
        <w:spacing w:after="120"/>
        <w:ind w:left="720"/>
        <w:jc w:val="both"/>
        <w:rPr>
          <w:rFonts w:asciiTheme="minorHAnsi" w:eastAsia="Times New Roman" w:hAnsiTheme="minorHAnsi"/>
          <w:i/>
          <w:bdr w:val="none" w:sz="0" w:space="0" w:color="auto"/>
          <w:lang w:val="en-AU" w:eastAsia="en-AU"/>
        </w:rPr>
      </w:pPr>
      <w:r w:rsidRPr="001D1CD5">
        <w:rPr>
          <w:rFonts w:asciiTheme="minorHAnsi" w:eastAsia="Times New Roman" w:hAnsiTheme="minorHAnsi" w:cs="Courier New"/>
          <w:i/>
          <w:bdr w:val="none" w:sz="0" w:space="0" w:color="auto"/>
          <w:lang w:val="en-AU" w:eastAsia="en-AU"/>
        </w:rPr>
        <w:t>“ECONOMIC INCAPACITY</w:t>
      </w:r>
    </w:p>
    <w:p w14:paraId="25F3D68F" w14:textId="41814EC2" w:rsidR="004C30C8" w:rsidRPr="001D1CD5" w:rsidRDefault="004C30C8" w:rsidP="0024172E">
      <w:pPr>
        <w:pBdr>
          <w:top w:val="none" w:sz="0" w:space="0" w:color="auto"/>
          <w:left w:val="none" w:sz="0" w:space="0" w:color="auto"/>
          <w:bottom w:val="none" w:sz="0" w:space="0" w:color="auto"/>
          <w:right w:val="none" w:sz="0" w:space="0" w:color="auto"/>
          <w:between w:val="none" w:sz="0" w:space="0" w:color="auto"/>
          <w:bar w:val="none" w:sz="0" w:color="auto"/>
        </w:pBdr>
        <w:spacing w:after="240"/>
        <w:ind w:left="720"/>
        <w:jc w:val="both"/>
        <w:rPr>
          <w:rFonts w:asciiTheme="minorHAnsi" w:eastAsia="Times New Roman" w:hAnsiTheme="minorHAnsi"/>
          <w:i/>
          <w:bdr w:val="none" w:sz="0" w:space="0" w:color="auto"/>
          <w:lang w:val="en-AU" w:eastAsia="en-AU"/>
        </w:rPr>
      </w:pPr>
      <w:r w:rsidRPr="001D1CD5">
        <w:rPr>
          <w:rFonts w:asciiTheme="minorHAnsi" w:eastAsia="Times New Roman" w:hAnsiTheme="minorHAnsi" w:cs="Courier New"/>
          <w:i/>
          <w:bdr w:val="none" w:sz="0" w:space="0" w:color="auto"/>
          <w:lang w:val="en-AU" w:eastAsia="en-AU"/>
        </w:rPr>
        <w:t>Any respondent or group of respondents to an award may apply to reduce and/or postpone the application of any increase in labour costs determined under the principles on the ground of very serious or extreme economic adversity. The merit of such application shall be determined in the light of the particular circumstances of each case and any material relating thereto shall be rigorously tested.”</w:t>
      </w:r>
    </w:p>
    <w:p w14:paraId="2628FF5F" w14:textId="77777777" w:rsidR="00701439" w:rsidRPr="001D1CD5" w:rsidRDefault="00701439" w:rsidP="00701439">
      <w:pPr>
        <w:pStyle w:val="Heading1"/>
        <w:spacing w:before="0" w:after="240" w:line="276" w:lineRule="auto"/>
        <w:ind w:left="709" w:hanging="709"/>
        <w:rPr>
          <w:rFonts w:asciiTheme="minorHAnsi" w:eastAsia="Calibri" w:hAnsiTheme="minorHAnsi" w:cs="Calibri"/>
          <w:color w:val="451E51"/>
          <w:u w:color="0070C0"/>
          <w:lang w:eastAsia="en-AU"/>
        </w:rPr>
      </w:pPr>
      <w:r w:rsidRPr="001D1CD5">
        <w:rPr>
          <w:rFonts w:asciiTheme="minorHAnsi" w:eastAsia="Calibri" w:hAnsiTheme="minorHAnsi" w:cs="Calibri"/>
          <w:color w:val="451E51"/>
          <w:u w:color="0070C0"/>
          <w:lang w:eastAsia="en-AU"/>
        </w:rPr>
        <w:t>9.2</w:t>
      </w:r>
      <w:r w:rsidRPr="001D1CD5">
        <w:rPr>
          <w:rFonts w:asciiTheme="minorHAnsi" w:eastAsia="Calibri" w:hAnsiTheme="minorHAnsi" w:cs="Calibri"/>
          <w:color w:val="451E51"/>
          <w:u w:color="0070C0"/>
          <w:lang w:eastAsia="en-AU"/>
        </w:rPr>
        <w:tab/>
        <w:t>Junior pay rates</w:t>
      </w:r>
    </w:p>
    <w:p w14:paraId="732754B2" w14:textId="05DDDD60" w:rsidR="00701439" w:rsidRPr="001D1CD5" w:rsidRDefault="00701439" w:rsidP="00701439">
      <w:pPr>
        <w:pStyle w:val="Body1"/>
        <w:spacing w:after="240" w:line="276" w:lineRule="auto"/>
        <w:jc w:val="both"/>
        <w:rPr>
          <w:rFonts w:asciiTheme="minorHAnsi" w:hAnsiTheme="minorHAnsi"/>
        </w:rPr>
      </w:pPr>
      <w:r w:rsidRPr="001D1CD5">
        <w:rPr>
          <w:rFonts w:asciiTheme="minorHAnsi" w:hAnsiTheme="minorHAnsi"/>
        </w:rPr>
        <w:t>Ai Group agrees with the views of the Productivity Commission that there are “</w:t>
      </w:r>
      <w:r w:rsidRPr="001D1CD5">
        <w:rPr>
          <w:rFonts w:asciiTheme="minorHAnsi" w:hAnsiTheme="minorHAnsi"/>
          <w:i/>
        </w:rPr>
        <w:t>good reasons for retaining some form of discounted wages for young workers</w:t>
      </w:r>
      <w:r w:rsidRPr="001D1CD5">
        <w:rPr>
          <w:rFonts w:asciiTheme="minorHAnsi" w:hAnsiTheme="minorHAnsi"/>
        </w:rPr>
        <w:t>”.</w:t>
      </w:r>
      <w:r w:rsidRPr="001D1CD5">
        <w:rPr>
          <w:rStyle w:val="FootnoteReference"/>
        </w:rPr>
        <w:footnoteReference w:id="2"/>
      </w:r>
      <w:r w:rsidRPr="001D1CD5">
        <w:rPr>
          <w:rStyle w:val="FootnoteReference"/>
        </w:rPr>
        <w:t xml:space="preserve"> </w:t>
      </w:r>
      <w:r w:rsidRPr="001D1CD5">
        <w:rPr>
          <w:rFonts w:asciiTheme="minorHAnsi" w:hAnsiTheme="minorHAnsi"/>
        </w:rPr>
        <w:t xml:space="preserve">Ai Group also supports the conclusions </w:t>
      </w:r>
      <w:r w:rsidR="0024172E" w:rsidRPr="001D1CD5">
        <w:rPr>
          <w:rFonts w:asciiTheme="minorHAnsi" w:hAnsiTheme="minorHAnsi"/>
        </w:rPr>
        <w:t xml:space="preserve">reached </w:t>
      </w:r>
      <w:r w:rsidRPr="001D1CD5">
        <w:rPr>
          <w:rFonts w:asciiTheme="minorHAnsi" w:hAnsiTheme="minorHAnsi"/>
        </w:rPr>
        <w:t>by the Productivity Commission on pages 355 and 356 of the Draft Report that without junior rates of pay:</w:t>
      </w:r>
    </w:p>
    <w:p w14:paraId="46E91930" w14:textId="77777777" w:rsidR="00701439" w:rsidRPr="001D1CD5" w:rsidRDefault="00701439" w:rsidP="00701439">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after="240" w:line="276" w:lineRule="auto"/>
        <w:jc w:val="both"/>
        <w:rPr>
          <w:rFonts w:asciiTheme="minorHAnsi" w:hAnsiTheme="minorHAnsi"/>
        </w:rPr>
      </w:pPr>
      <w:r w:rsidRPr="001D1CD5">
        <w:rPr>
          <w:rFonts w:asciiTheme="minorHAnsi" w:hAnsiTheme="minorHAnsi"/>
        </w:rPr>
        <w:t>“In most cases employers would be likely to employ adults rather than young workers”;</w:t>
      </w:r>
    </w:p>
    <w:p w14:paraId="77782F42" w14:textId="77777777" w:rsidR="00701439" w:rsidRPr="001D1CD5" w:rsidRDefault="00701439" w:rsidP="00701439">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after="240" w:line="276" w:lineRule="auto"/>
        <w:jc w:val="both"/>
        <w:rPr>
          <w:rFonts w:asciiTheme="minorHAnsi" w:hAnsiTheme="minorHAnsi"/>
        </w:rPr>
      </w:pPr>
      <w:r w:rsidRPr="001D1CD5">
        <w:rPr>
          <w:rFonts w:asciiTheme="minorHAnsi" w:hAnsiTheme="minorHAnsi"/>
        </w:rPr>
        <w:t xml:space="preserve">“Many young workers would be priced out for the </w:t>
      </w:r>
      <w:proofErr w:type="spellStart"/>
      <w:r w:rsidRPr="001D1CD5">
        <w:rPr>
          <w:rFonts w:asciiTheme="minorHAnsi" w:hAnsiTheme="minorHAnsi"/>
        </w:rPr>
        <w:t>labour</w:t>
      </w:r>
      <w:proofErr w:type="spellEnd"/>
      <w:r w:rsidRPr="001D1CD5">
        <w:rPr>
          <w:rFonts w:asciiTheme="minorHAnsi" w:hAnsiTheme="minorHAnsi"/>
        </w:rPr>
        <w:t xml:space="preserve"> market, foregoing the benefits that some early employment, even on a part-time basis, can bring”;</w:t>
      </w:r>
    </w:p>
    <w:p w14:paraId="58B9FB99" w14:textId="77777777" w:rsidR="00701439" w:rsidRPr="001D1CD5" w:rsidRDefault="00701439" w:rsidP="00701439">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after="240" w:line="276" w:lineRule="auto"/>
        <w:jc w:val="both"/>
        <w:rPr>
          <w:rFonts w:asciiTheme="minorHAnsi" w:hAnsiTheme="minorHAnsi"/>
        </w:rPr>
      </w:pPr>
      <w:r w:rsidRPr="001D1CD5">
        <w:rPr>
          <w:rFonts w:asciiTheme="minorHAnsi" w:hAnsiTheme="minorHAnsi"/>
        </w:rPr>
        <w:t>Some young people may cease continuing education, and thereby “potentially hampering their future employment prospects”;</w:t>
      </w:r>
    </w:p>
    <w:p w14:paraId="71F609C0" w14:textId="77777777" w:rsidR="00701439" w:rsidRPr="001D1CD5" w:rsidRDefault="00701439" w:rsidP="00701439">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after="240" w:line="276" w:lineRule="auto"/>
        <w:jc w:val="both"/>
        <w:rPr>
          <w:rFonts w:asciiTheme="minorHAnsi" w:hAnsiTheme="minorHAnsi"/>
        </w:rPr>
      </w:pPr>
      <w:r w:rsidRPr="001D1CD5">
        <w:rPr>
          <w:rFonts w:asciiTheme="minorHAnsi" w:hAnsiTheme="minorHAnsi"/>
        </w:rPr>
        <w:t>“Many young people, particularly teens, are not as reliant on wages as are adults”.</w:t>
      </w:r>
    </w:p>
    <w:p w14:paraId="06E0FD8B" w14:textId="218ED02C" w:rsidR="00701439" w:rsidRPr="001D1CD5" w:rsidRDefault="00701439" w:rsidP="00701439">
      <w:pPr>
        <w:pStyle w:val="Body1"/>
        <w:spacing w:after="240" w:line="276" w:lineRule="auto"/>
        <w:jc w:val="both"/>
        <w:rPr>
          <w:rFonts w:asciiTheme="minorHAnsi" w:hAnsiTheme="minorHAnsi"/>
        </w:rPr>
      </w:pPr>
      <w:r w:rsidRPr="001D1CD5">
        <w:rPr>
          <w:rFonts w:asciiTheme="minorHAnsi" w:hAnsiTheme="minorHAnsi"/>
        </w:rPr>
        <w:t xml:space="preserve">In addition, it is generally accepted that younger workers, aged between 15 and 20, lack the maturity of older workers and have </w:t>
      </w:r>
      <w:r w:rsidR="004E6731">
        <w:rPr>
          <w:rFonts w:asciiTheme="minorHAnsi" w:hAnsiTheme="minorHAnsi"/>
        </w:rPr>
        <w:t>less</w:t>
      </w:r>
      <w:r w:rsidRPr="001D1CD5">
        <w:rPr>
          <w:rFonts w:asciiTheme="minorHAnsi" w:hAnsiTheme="minorHAnsi"/>
        </w:rPr>
        <w:t xml:space="preserve"> capacity to enter the</w:t>
      </w:r>
      <w:r w:rsidR="0024172E" w:rsidRPr="001D1CD5">
        <w:rPr>
          <w:rFonts w:asciiTheme="minorHAnsi" w:hAnsiTheme="minorHAnsi"/>
        </w:rPr>
        <w:t xml:space="preserve"> workforce with the same levels </w:t>
      </w:r>
      <w:r w:rsidRPr="001D1CD5">
        <w:rPr>
          <w:rFonts w:asciiTheme="minorHAnsi" w:hAnsiTheme="minorHAnsi"/>
        </w:rPr>
        <w:t xml:space="preserve">of work experience and training as workers aged 21 and older. This has a direct impact on productivity and efficiency of younger workers. This is acknowledged by the Productivity Commission in section 9.2 of the Draft Report. </w:t>
      </w:r>
    </w:p>
    <w:p w14:paraId="366C4006" w14:textId="07A510D6" w:rsidR="00701439" w:rsidRPr="001D1CD5" w:rsidRDefault="00701439" w:rsidP="00701439">
      <w:pPr>
        <w:pStyle w:val="Body1"/>
        <w:spacing w:after="240" w:line="276" w:lineRule="auto"/>
        <w:jc w:val="both"/>
        <w:rPr>
          <w:rFonts w:asciiTheme="minorHAnsi" w:hAnsiTheme="minorHAnsi"/>
        </w:rPr>
      </w:pPr>
      <w:r w:rsidRPr="001D1CD5">
        <w:rPr>
          <w:rFonts w:asciiTheme="minorHAnsi" w:hAnsiTheme="minorHAnsi"/>
        </w:rPr>
        <w:t>In 201</w:t>
      </w:r>
      <w:r w:rsidR="0024172E" w:rsidRPr="001D1CD5">
        <w:rPr>
          <w:rFonts w:asciiTheme="minorHAnsi" w:hAnsiTheme="minorHAnsi"/>
        </w:rPr>
        <w:t xml:space="preserve">3, Ai Group participated in a major </w:t>
      </w:r>
      <w:r w:rsidRPr="001D1CD5">
        <w:rPr>
          <w:rFonts w:asciiTheme="minorHAnsi" w:hAnsiTheme="minorHAnsi"/>
        </w:rPr>
        <w:t xml:space="preserve">Junior Rates Case before the </w:t>
      </w:r>
      <w:proofErr w:type="spellStart"/>
      <w:r w:rsidRPr="001D1CD5">
        <w:rPr>
          <w:rFonts w:asciiTheme="minorHAnsi" w:hAnsiTheme="minorHAnsi"/>
        </w:rPr>
        <w:t>FWC</w:t>
      </w:r>
      <w:proofErr w:type="spellEnd"/>
      <w:r w:rsidRPr="001D1CD5">
        <w:rPr>
          <w:rFonts w:asciiTheme="minorHAnsi" w:hAnsiTheme="minorHAnsi"/>
        </w:rPr>
        <w:t xml:space="preserve">. The case was initiated by the Shop, Distributive and </w:t>
      </w:r>
      <w:r w:rsidR="008213C2" w:rsidRPr="001D1CD5">
        <w:rPr>
          <w:rFonts w:asciiTheme="minorHAnsi" w:hAnsiTheme="minorHAnsi"/>
        </w:rPr>
        <w:t xml:space="preserve">Allied Employees Association which </w:t>
      </w:r>
      <w:r w:rsidRPr="001D1CD5">
        <w:rPr>
          <w:rFonts w:asciiTheme="minorHAnsi" w:hAnsiTheme="minorHAnsi"/>
        </w:rPr>
        <w:t>sought an increase in the rate</w:t>
      </w:r>
      <w:r w:rsidR="008213C2" w:rsidRPr="001D1CD5">
        <w:rPr>
          <w:rFonts w:asciiTheme="minorHAnsi" w:hAnsiTheme="minorHAnsi"/>
        </w:rPr>
        <w:t>s</w:t>
      </w:r>
      <w:r w:rsidRPr="001D1CD5">
        <w:rPr>
          <w:rFonts w:asciiTheme="minorHAnsi" w:hAnsiTheme="minorHAnsi"/>
        </w:rPr>
        <w:t xml:space="preserve"> of pay for 20 year olds covered by the </w:t>
      </w:r>
      <w:r w:rsidRPr="001D1CD5">
        <w:rPr>
          <w:rFonts w:asciiTheme="minorHAnsi" w:hAnsiTheme="minorHAnsi"/>
          <w:i/>
        </w:rPr>
        <w:t>General Retail Industry Award 2010</w:t>
      </w:r>
      <w:r w:rsidR="0024172E" w:rsidRPr="001D1CD5">
        <w:rPr>
          <w:rFonts w:asciiTheme="minorHAnsi" w:hAnsiTheme="minorHAnsi"/>
        </w:rPr>
        <w:t xml:space="preserve">.  </w:t>
      </w:r>
      <w:r w:rsidRPr="001D1CD5">
        <w:rPr>
          <w:rFonts w:asciiTheme="minorHAnsi" w:hAnsiTheme="minorHAnsi"/>
        </w:rPr>
        <w:t xml:space="preserve">Many of the points raised by the Productivity Commission report with respect to the appropriateness of a junior rate of pay were also raised by Ai Group in </w:t>
      </w:r>
      <w:r w:rsidR="004E6731">
        <w:rPr>
          <w:rFonts w:asciiTheme="minorHAnsi" w:hAnsiTheme="minorHAnsi"/>
        </w:rPr>
        <w:t>its</w:t>
      </w:r>
      <w:r w:rsidRPr="001D1CD5">
        <w:rPr>
          <w:rFonts w:asciiTheme="minorHAnsi" w:hAnsiTheme="minorHAnsi"/>
        </w:rPr>
        <w:t xml:space="preserve"> </w:t>
      </w:r>
      <w:hyperlink r:id="rId17" w:history="1">
        <w:r w:rsidR="0024172E" w:rsidRPr="004E6731">
          <w:rPr>
            <w:rStyle w:val="Hyperlink"/>
            <w:rFonts w:asciiTheme="minorHAnsi" w:hAnsiTheme="minorHAnsi"/>
            <w:color w:val="0070C0"/>
          </w:rPr>
          <w:t>submission</w:t>
        </w:r>
      </w:hyperlink>
      <w:r w:rsidR="004E6731">
        <w:rPr>
          <w:rFonts w:asciiTheme="minorHAnsi" w:hAnsiTheme="minorHAnsi"/>
        </w:rPr>
        <w:t xml:space="preserve"> i</w:t>
      </w:r>
      <w:r w:rsidRPr="001D1CD5">
        <w:rPr>
          <w:rFonts w:asciiTheme="minorHAnsi" w:hAnsiTheme="minorHAnsi"/>
        </w:rPr>
        <w:t xml:space="preserve">n </w:t>
      </w:r>
      <w:r w:rsidR="004E6731">
        <w:rPr>
          <w:rFonts w:asciiTheme="minorHAnsi" w:hAnsiTheme="minorHAnsi"/>
        </w:rPr>
        <w:t>the case</w:t>
      </w:r>
      <w:r w:rsidRPr="001D1CD5">
        <w:rPr>
          <w:rFonts w:asciiTheme="minorHAnsi" w:hAnsiTheme="minorHAnsi"/>
        </w:rPr>
        <w:t xml:space="preserve">. </w:t>
      </w:r>
    </w:p>
    <w:p w14:paraId="71E0FE12" w14:textId="50CE33C0" w:rsidR="008213C2" w:rsidRPr="001D1CD5" w:rsidRDefault="0024172E" w:rsidP="008213C2">
      <w:pPr>
        <w:pStyle w:val="Body1"/>
        <w:spacing w:after="240" w:line="276" w:lineRule="auto"/>
        <w:jc w:val="both"/>
        <w:rPr>
          <w:rFonts w:asciiTheme="minorHAnsi" w:hAnsiTheme="minorHAnsi"/>
        </w:rPr>
      </w:pPr>
      <w:r w:rsidRPr="001D1CD5">
        <w:rPr>
          <w:rFonts w:asciiTheme="minorHAnsi" w:hAnsiTheme="minorHAnsi"/>
        </w:rPr>
        <w:lastRenderedPageBreak/>
        <w:t xml:space="preserve">With regard to the Information Request on page 359 of the Draft Report, </w:t>
      </w:r>
      <w:r w:rsidR="00701439" w:rsidRPr="001D1CD5">
        <w:rPr>
          <w:rFonts w:asciiTheme="minorHAnsi" w:hAnsiTheme="minorHAnsi"/>
        </w:rPr>
        <w:t xml:space="preserve">Ai Group </w:t>
      </w:r>
      <w:r w:rsidRPr="001D1CD5">
        <w:rPr>
          <w:rFonts w:asciiTheme="minorHAnsi" w:hAnsiTheme="minorHAnsi"/>
        </w:rPr>
        <w:t xml:space="preserve">opposes the structure of junior rates </w:t>
      </w:r>
      <w:r w:rsidR="008213C2" w:rsidRPr="001D1CD5">
        <w:rPr>
          <w:rFonts w:asciiTheme="minorHAnsi" w:hAnsiTheme="minorHAnsi"/>
        </w:rPr>
        <w:t>being changed to a model other than age, such as experience or competency or a combination of the two. Any move away from age-based junior rates would undoubtedly disadvantage young people in the employment market.</w:t>
      </w:r>
    </w:p>
    <w:p w14:paraId="55B3CF19" w14:textId="77777777" w:rsidR="00701439" w:rsidRPr="001D1CD5" w:rsidRDefault="00701439" w:rsidP="00701439">
      <w:pPr>
        <w:pStyle w:val="Heading1"/>
        <w:spacing w:before="0" w:after="240" w:line="276" w:lineRule="auto"/>
        <w:ind w:left="709" w:hanging="709"/>
        <w:rPr>
          <w:rFonts w:asciiTheme="minorHAnsi" w:eastAsia="Calibri" w:hAnsiTheme="minorHAnsi" w:cs="Calibri"/>
          <w:color w:val="451E51"/>
          <w:u w:color="0070C0"/>
          <w:lang w:eastAsia="en-AU"/>
        </w:rPr>
      </w:pPr>
      <w:r w:rsidRPr="001D1CD5">
        <w:rPr>
          <w:rFonts w:asciiTheme="minorHAnsi" w:eastAsia="Calibri" w:hAnsiTheme="minorHAnsi" w:cs="Calibri"/>
          <w:color w:val="451E51"/>
          <w:u w:color="0070C0"/>
          <w:lang w:eastAsia="en-AU"/>
        </w:rPr>
        <w:t>9.3</w:t>
      </w:r>
      <w:r w:rsidRPr="001D1CD5">
        <w:rPr>
          <w:rFonts w:asciiTheme="minorHAnsi" w:eastAsia="Calibri" w:hAnsiTheme="minorHAnsi" w:cs="Calibri"/>
          <w:color w:val="451E51"/>
          <w:u w:color="0070C0"/>
          <w:lang w:eastAsia="en-AU"/>
        </w:rPr>
        <w:tab/>
        <w:t xml:space="preserve">Arrangements for apprentices and trainees </w:t>
      </w:r>
    </w:p>
    <w:p w14:paraId="6E1CE1B9" w14:textId="7CBE9DB0" w:rsidR="00701439" w:rsidRPr="001D1CD5" w:rsidRDefault="00701439" w:rsidP="00701439">
      <w:pPr>
        <w:pStyle w:val="Body1"/>
        <w:spacing w:after="240" w:line="276" w:lineRule="auto"/>
        <w:jc w:val="both"/>
        <w:rPr>
          <w:rFonts w:asciiTheme="minorHAnsi" w:hAnsiTheme="minorHAnsi"/>
        </w:rPr>
      </w:pPr>
      <w:r w:rsidRPr="001D1CD5">
        <w:rPr>
          <w:rFonts w:asciiTheme="minorHAnsi" w:hAnsiTheme="minorHAnsi"/>
        </w:rPr>
        <w:t xml:space="preserve">A Full Bench of the </w:t>
      </w:r>
      <w:proofErr w:type="spellStart"/>
      <w:r w:rsidRPr="001D1CD5">
        <w:rPr>
          <w:rFonts w:asciiTheme="minorHAnsi" w:hAnsiTheme="minorHAnsi"/>
        </w:rPr>
        <w:t>FWC</w:t>
      </w:r>
      <w:proofErr w:type="spellEnd"/>
      <w:r w:rsidRPr="001D1CD5">
        <w:rPr>
          <w:rFonts w:asciiTheme="minorHAnsi" w:hAnsiTheme="minorHAnsi"/>
        </w:rPr>
        <w:t xml:space="preserve"> in 2013 significantly increase</w:t>
      </w:r>
      <w:r w:rsidR="008213C2" w:rsidRPr="001D1CD5">
        <w:rPr>
          <w:rFonts w:asciiTheme="minorHAnsi" w:hAnsiTheme="minorHAnsi"/>
        </w:rPr>
        <w:t>d</w:t>
      </w:r>
      <w:r w:rsidRPr="001D1CD5">
        <w:rPr>
          <w:rFonts w:asciiTheme="minorHAnsi" w:hAnsiTheme="minorHAnsi"/>
        </w:rPr>
        <w:t xml:space="preserve"> apprentice minimum rates of pay within those modern awards which contained apprentice </w:t>
      </w:r>
      <w:r w:rsidR="004E6731">
        <w:rPr>
          <w:rFonts w:asciiTheme="minorHAnsi" w:hAnsiTheme="minorHAnsi"/>
        </w:rPr>
        <w:t>wages</w:t>
      </w:r>
      <w:r w:rsidRPr="001D1CD5">
        <w:rPr>
          <w:rFonts w:asciiTheme="minorHAnsi" w:hAnsiTheme="minorHAnsi"/>
        </w:rPr>
        <w:t xml:space="preserve">. For example in the manufacturing industry </w:t>
      </w:r>
      <w:r w:rsidR="008213C2" w:rsidRPr="001D1CD5">
        <w:rPr>
          <w:rFonts w:asciiTheme="minorHAnsi" w:hAnsiTheme="minorHAnsi"/>
        </w:rPr>
        <w:t xml:space="preserve">an </w:t>
      </w:r>
      <w:r w:rsidRPr="001D1CD5">
        <w:rPr>
          <w:rFonts w:asciiTheme="minorHAnsi" w:hAnsiTheme="minorHAnsi"/>
        </w:rPr>
        <w:t xml:space="preserve">increase of </w:t>
      </w:r>
      <w:r w:rsidR="008213C2" w:rsidRPr="001D1CD5">
        <w:rPr>
          <w:rFonts w:asciiTheme="minorHAnsi" w:hAnsiTheme="minorHAnsi"/>
        </w:rPr>
        <w:t>around $58</w:t>
      </w:r>
      <w:r w:rsidRPr="001D1CD5">
        <w:rPr>
          <w:rFonts w:asciiTheme="minorHAnsi" w:hAnsiTheme="minorHAnsi"/>
        </w:rPr>
        <w:t xml:space="preserve"> per week was awarded to some first year apprentices commencing their apprenticeship on </w:t>
      </w:r>
      <w:r w:rsidR="004E6731">
        <w:rPr>
          <w:rFonts w:asciiTheme="minorHAnsi" w:hAnsiTheme="minorHAnsi"/>
        </w:rPr>
        <w:t xml:space="preserve">or after </w:t>
      </w:r>
      <w:r w:rsidRPr="001D1CD5">
        <w:rPr>
          <w:rFonts w:asciiTheme="minorHAnsi" w:hAnsiTheme="minorHAnsi"/>
        </w:rPr>
        <w:t xml:space="preserve">1 January 2014.  In the hairdressing industry, apprentice rates of pay increased by more than $147 per week for new apprentices. </w:t>
      </w:r>
    </w:p>
    <w:p w14:paraId="281C436E" w14:textId="741CD2C0" w:rsidR="00701439" w:rsidRPr="001D1CD5" w:rsidRDefault="00701439" w:rsidP="004E6731">
      <w:pPr>
        <w:pStyle w:val="Body1"/>
        <w:widowControl w:val="0"/>
        <w:spacing w:after="240" w:line="276" w:lineRule="auto"/>
        <w:jc w:val="both"/>
        <w:rPr>
          <w:rFonts w:asciiTheme="minorHAnsi" w:hAnsiTheme="minorHAnsi"/>
        </w:rPr>
      </w:pPr>
      <w:r w:rsidRPr="001D1CD5">
        <w:rPr>
          <w:rFonts w:asciiTheme="minorHAnsi" w:hAnsiTheme="minorHAnsi"/>
        </w:rPr>
        <w:t>Ai Group, in its submissions to the Full Bench presiding over the Apprentices’ Case, warned that such significant increases in apprentice rates of pay would discourage employers from employing new apprentices, thereby resulting in falling commencements of apprenticeships.</w:t>
      </w:r>
      <w:r w:rsidRPr="001D1CD5">
        <w:rPr>
          <w:rStyle w:val="FootnoteReference"/>
          <w:rFonts w:asciiTheme="minorHAnsi" w:hAnsiTheme="minorHAnsi"/>
        </w:rPr>
        <w:footnoteReference w:id="3"/>
      </w:r>
      <w:r w:rsidR="00A17794" w:rsidRPr="001D1CD5">
        <w:rPr>
          <w:rFonts w:asciiTheme="minorHAnsi" w:hAnsiTheme="minorHAnsi"/>
        </w:rPr>
        <w:t xml:space="preserve"> </w:t>
      </w:r>
      <w:r w:rsidRPr="001D1CD5">
        <w:rPr>
          <w:rFonts w:asciiTheme="minorHAnsi" w:hAnsiTheme="minorHAnsi"/>
        </w:rPr>
        <w:t xml:space="preserve">Ai Group’s concerns </w:t>
      </w:r>
      <w:r w:rsidR="004E6731">
        <w:rPr>
          <w:rFonts w:asciiTheme="minorHAnsi" w:hAnsiTheme="minorHAnsi"/>
        </w:rPr>
        <w:t xml:space="preserve">appear to have </w:t>
      </w:r>
      <w:proofErr w:type="spellStart"/>
      <w:r w:rsidR="004E6731">
        <w:rPr>
          <w:rFonts w:asciiTheme="minorHAnsi" w:hAnsiTheme="minorHAnsi"/>
        </w:rPr>
        <w:t>materialis</w:t>
      </w:r>
      <w:r w:rsidR="00A17794" w:rsidRPr="001D1CD5">
        <w:rPr>
          <w:rFonts w:asciiTheme="minorHAnsi" w:hAnsiTheme="minorHAnsi"/>
        </w:rPr>
        <w:t>ed</w:t>
      </w:r>
      <w:proofErr w:type="spellEnd"/>
      <w:r w:rsidR="00A17794" w:rsidRPr="001D1CD5">
        <w:rPr>
          <w:rFonts w:asciiTheme="minorHAnsi" w:hAnsiTheme="minorHAnsi"/>
        </w:rPr>
        <w:t>,</w:t>
      </w:r>
      <w:r w:rsidRPr="001D1CD5">
        <w:rPr>
          <w:rFonts w:asciiTheme="minorHAnsi" w:hAnsiTheme="minorHAnsi"/>
        </w:rPr>
        <w:t xml:space="preserve"> with the National Centre for Vocational Education Research detailing in its latest annual report that apprenticeship commencements in 2014 decreased 21.9 percent to 192,000</w:t>
      </w:r>
      <w:r w:rsidR="004E6731">
        <w:rPr>
          <w:rFonts w:asciiTheme="minorHAnsi" w:hAnsiTheme="minorHAnsi"/>
        </w:rPr>
        <w:t>,</w:t>
      </w:r>
      <w:r w:rsidRPr="001D1CD5">
        <w:rPr>
          <w:rFonts w:asciiTheme="minorHAnsi" w:hAnsiTheme="minorHAnsi"/>
        </w:rPr>
        <w:t xml:space="preserve"> from 245,800 in 2013.</w:t>
      </w:r>
      <w:r w:rsidRPr="001D1CD5">
        <w:rPr>
          <w:rStyle w:val="FootnoteReference"/>
          <w:rFonts w:asciiTheme="minorHAnsi" w:hAnsiTheme="minorHAnsi"/>
        </w:rPr>
        <w:footnoteReference w:id="4"/>
      </w:r>
      <w:r w:rsidRPr="001D1CD5">
        <w:rPr>
          <w:rFonts w:asciiTheme="minorHAnsi" w:hAnsiTheme="minorHAnsi"/>
        </w:rPr>
        <w:t xml:space="preserve"> </w:t>
      </w:r>
    </w:p>
    <w:p w14:paraId="49B86C77" w14:textId="3246E622" w:rsidR="00701439" w:rsidRPr="001D1CD5" w:rsidRDefault="00A17794" w:rsidP="004E6731">
      <w:pPr>
        <w:pStyle w:val="Body1"/>
        <w:widowControl w:val="0"/>
        <w:spacing w:after="240" w:line="276" w:lineRule="auto"/>
        <w:jc w:val="both"/>
        <w:rPr>
          <w:rFonts w:asciiTheme="minorHAnsi" w:hAnsiTheme="minorHAnsi"/>
        </w:rPr>
      </w:pPr>
      <w:r w:rsidRPr="001D1CD5">
        <w:rPr>
          <w:rFonts w:asciiTheme="minorHAnsi" w:hAnsiTheme="minorHAnsi"/>
        </w:rPr>
        <w:t>A more</w:t>
      </w:r>
      <w:r w:rsidR="00701439" w:rsidRPr="001D1CD5">
        <w:rPr>
          <w:rFonts w:asciiTheme="minorHAnsi" w:hAnsiTheme="minorHAnsi"/>
        </w:rPr>
        <w:t xml:space="preserve"> coordinated policy approach with respect to payments or incentives provided to </w:t>
      </w:r>
      <w:r w:rsidRPr="001D1CD5">
        <w:rPr>
          <w:rFonts w:asciiTheme="minorHAnsi" w:hAnsiTheme="minorHAnsi"/>
        </w:rPr>
        <w:t xml:space="preserve">apprentices and their employers </w:t>
      </w:r>
      <w:r w:rsidR="00701439" w:rsidRPr="001D1CD5">
        <w:rPr>
          <w:rFonts w:asciiTheme="minorHAnsi" w:hAnsiTheme="minorHAnsi"/>
        </w:rPr>
        <w:t>by Federal and State Gover</w:t>
      </w:r>
      <w:r w:rsidRPr="001D1CD5">
        <w:rPr>
          <w:rFonts w:asciiTheme="minorHAnsi" w:hAnsiTheme="minorHAnsi"/>
        </w:rPr>
        <w:t>nments, such as Trade Support Lo</w:t>
      </w:r>
      <w:r w:rsidR="00701439" w:rsidRPr="001D1CD5">
        <w:rPr>
          <w:rFonts w:asciiTheme="minorHAnsi" w:hAnsiTheme="minorHAnsi"/>
        </w:rPr>
        <w:t>ans and Living Away From Home Allowance, is desirable.</w:t>
      </w:r>
      <w:r w:rsidR="00701439" w:rsidRPr="001D1CD5">
        <w:rPr>
          <w:rStyle w:val="FootnoteReference"/>
          <w:rFonts w:asciiTheme="minorHAnsi" w:hAnsiTheme="minorHAnsi"/>
        </w:rPr>
        <w:footnoteReference w:id="5"/>
      </w:r>
      <w:r w:rsidRPr="001D1CD5">
        <w:rPr>
          <w:rFonts w:asciiTheme="minorHAnsi" w:hAnsiTheme="minorHAnsi"/>
        </w:rPr>
        <w:t xml:space="preserve"> </w:t>
      </w:r>
      <w:r w:rsidR="004E6731">
        <w:rPr>
          <w:rFonts w:asciiTheme="minorHAnsi" w:hAnsiTheme="minorHAnsi"/>
        </w:rPr>
        <w:t xml:space="preserve"> </w:t>
      </w:r>
      <w:r w:rsidR="00701439" w:rsidRPr="001D1CD5">
        <w:rPr>
          <w:rFonts w:asciiTheme="minorHAnsi" w:hAnsiTheme="minorHAnsi"/>
        </w:rPr>
        <w:t xml:space="preserve">Government incentives, such as those detailed in Table 9.3 of the Draft Report, are </w:t>
      </w:r>
      <w:r w:rsidRPr="001D1CD5">
        <w:rPr>
          <w:rFonts w:asciiTheme="minorHAnsi" w:hAnsiTheme="minorHAnsi"/>
        </w:rPr>
        <w:t xml:space="preserve">an important </w:t>
      </w:r>
      <w:r w:rsidR="00701439" w:rsidRPr="001D1CD5">
        <w:rPr>
          <w:rFonts w:asciiTheme="minorHAnsi" w:hAnsiTheme="minorHAnsi"/>
        </w:rPr>
        <w:t xml:space="preserve">and effective mechanism for </w:t>
      </w:r>
      <w:r w:rsidRPr="001D1CD5">
        <w:rPr>
          <w:rFonts w:asciiTheme="minorHAnsi" w:hAnsiTheme="minorHAnsi"/>
        </w:rPr>
        <w:t>increasing the number of apprentices and achieving higher completion rates.</w:t>
      </w:r>
    </w:p>
    <w:p w14:paraId="4325F69C" w14:textId="0E149DF7" w:rsidR="00701439" w:rsidRPr="001D1CD5" w:rsidRDefault="00701439" w:rsidP="00701439">
      <w:pPr>
        <w:pStyle w:val="Body1"/>
        <w:spacing w:after="240" w:line="276" w:lineRule="auto"/>
        <w:jc w:val="both"/>
        <w:rPr>
          <w:rFonts w:asciiTheme="minorHAnsi" w:hAnsiTheme="minorHAnsi"/>
        </w:rPr>
      </w:pPr>
      <w:r w:rsidRPr="001D1CD5">
        <w:rPr>
          <w:rFonts w:asciiTheme="minorHAnsi" w:hAnsiTheme="minorHAnsi"/>
        </w:rPr>
        <w:t>Ai Group supports Draft Recommendation 9.2 for a comprehensive review in</w:t>
      </w:r>
      <w:r w:rsidR="000E7E42" w:rsidRPr="001D1CD5">
        <w:rPr>
          <w:rFonts w:asciiTheme="minorHAnsi" w:hAnsiTheme="minorHAnsi"/>
        </w:rPr>
        <w:t>to</w:t>
      </w:r>
      <w:r w:rsidRPr="001D1CD5">
        <w:rPr>
          <w:rFonts w:asciiTheme="minorHAnsi" w:hAnsiTheme="minorHAnsi"/>
        </w:rPr>
        <w:t xml:space="preserve"> Australia’s apprenticeship and traineeship arrangements. Ai Group has been an active participant in past reviews of the apprenticeship and traineeship systems and would have significant involvement in any subsequent reviews undertaken by the Australian Government.  </w:t>
      </w:r>
    </w:p>
    <w:p w14:paraId="0CD22C1B" w14:textId="7E71B562" w:rsidR="00BF60F6" w:rsidRPr="001D1CD5" w:rsidRDefault="000E53B7" w:rsidP="005713BC">
      <w:pPr>
        <w:pStyle w:val="Heading1"/>
        <w:spacing w:before="0" w:after="240" w:line="276" w:lineRule="auto"/>
        <w:ind w:left="709" w:hanging="709"/>
        <w:jc w:val="both"/>
        <w:rPr>
          <w:rFonts w:asciiTheme="minorHAnsi" w:eastAsia="Calibri" w:hAnsiTheme="minorHAnsi" w:cs="Calibri"/>
          <w:color w:val="451E51"/>
          <w:sz w:val="36"/>
          <w:szCs w:val="36"/>
          <w:u w:color="0070C0"/>
          <w:lang w:eastAsia="en-AU"/>
        </w:rPr>
      </w:pPr>
      <w:r w:rsidRPr="001D1CD5">
        <w:rPr>
          <w:rFonts w:asciiTheme="minorHAnsi" w:eastAsia="Calibri" w:hAnsiTheme="minorHAnsi" w:cs="Calibri"/>
          <w:color w:val="451E51"/>
          <w:sz w:val="36"/>
          <w:szCs w:val="36"/>
          <w:u w:color="0070C0"/>
          <w:lang w:eastAsia="en-AU"/>
        </w:rPr>
        <w:t>10</w:t>
      </w:r>
      <w:r w:rsidR="00DE3730" w:rsidRPr="001D1CD5">
        <w:rPr>
          <w:rFonts w:asciiTheme="minorHAnsi" w:eastAsia="Calibri" w:hAnsiTheme="minorHAnsi" w:cs="Calibri"/>
          <w:color w:val="451E51"/>
          <w:sz w:val="36"/>
          <w:szCs w:val="36"/>
          <w:u w:color="0070C0"/>
          <w:lang w:eastAsia="en-AU"/>
        </w:rPr>
        <w:t>.</w:t>
      </w:r>
      <w:r w:rsidR="00DE3730" w:rsidRPr="001D1CD5">
        <w:rPr>
          <w:rFonts w:asciiTheme="minorHAnsi" w:eastAsia="Calibri" w:hAnsiTheme="minorHAnsi" w:cs="Calibri"/>
          <w:color w:val="451E51"/>
          <w:sz w:val="36"/>
          <w:szCs w:val="36"/>
          <w:u w:color="0070C0"/>
          <w:lang w:eastAsia="en-AU"/>
        </w:rPr>
        <w:tab/>
      </w:r>
      <w:bookmarkEnd w:id="10"/>
      <w:r w:rsidR="00D979F2" w:rsidRPr="001D1CD5">
        <w:rPr>
          <w:rFonts w:asciiTheme="minorHAnsi" w:eastAsia="Calibri" w:hAnsiTheme="minorHAnsi" w:cs="Calibri"/>
          <w:color w:val="451E51"/>
          <w:sz w:val="36"/>
          <w:szCs w:val="36"/>
          <w:u w:color="0070C0"/>
          <w:lang w:eastAsia="en-AU"/>
        </w:rPr>
        <w:t>Measures to complement minimum wages</w:t>
      </w:r>
      <w:bookmarkStart w:id="11" w:name="_Toc413853151"/>
    </w:p>
    <w:p w14:paraId="0DCBB954" w14:textId="06A1E61B" w:rsidR="00206E00" w:rsidRPr="001D1CD5" w:rsidRDefault="00206E00" w:rsidP="005713BC">
      <w:pPr>
        <w:spacing w:after="240" w:line="276" w:lineRule="auto"/>
        <w:jc w:val="both"/>
        <w:rPr>
          <w:rFonts w:asciiTheme="minorHAnsi" w:hAnsiTheme="minorHAnsi" w:cs="Arial"/>
          <w:bCs/>
        </w:rPr>
      </w:pPr>
      <w:r w:rsidRPr="001D1CD5">
        <w:rPr>
          <w:rFonts w:asciiTheme="minorHAnsi" w:hAnsiTheme="minorHAnsi" w:cs="Arial"/>
          <w:bCs/>
        </w:rPr>
        <w:t xml:space="preserve">Ai Group commends the Commission for opening up the debate about the relative merits of income support arrangements (including possible earned income tax credits) and adjustments to minimum wages in achieving some of the objectives sought from Australia’s minimum wage arrangements.  </w:t>
      </w:r>
    </w:p>
    <w:p w14:paraId="7A70A908" w14:textId="058C4AF8" w:rsidR="00206E00" w:rsidRPr="001D1CD5" w:rsidRDefault="00206E00" w:rsidP="005713BC">
      <w:pPr>
        <w:spacing w:after="240" w:line="276" w:lineRule="auto"/>
        <w:jc w:val="both"/>
        <w:rPr>
          <w:rFonts w:asciiTheme="minorHAnsi" w:hAnsiTheme="minorHAnsi" w:cs="Arial"/>
          <w:bCs/>
        </w:rPr>
      </w:pPr>
      <w:r w:rsidRPr="001D1CD5">
        <w:rPr>
          <w:rFonts w:asciiTheme="minorHAnsi" w:hAnsiTheme="minorHAnsi" w:cs="Arial"/>
          <w:bCs/>
        </w:rPr>
        <w:lastRenderedPageBreak/>
        <w:t>For many years Ai Group has argued that using changes to minimum wages as a means of improving household income distribution and improving living standards for the low paid is likely to be of considerably higher social and economic cost than fine-tunin</w:t>
      </w:r>
      <w:r w:rsidR="00E61BC4">
        <w:rPr>
          <w:rFonts w:asciiTheme="minorHAnsi" w:hAnsiTheme="minorHAnsi" w:cs="Arial"/>
          <w:bCs/>
        </w:rPr>
        <w:t xml:space="preserve">g income support arrangements. </w:t>
      </w:r>
      <w:r w:rsidRPr="001D1CD5">
        <w:rPr>
          <w:rFonts w:asciiTheme="minorHAnsi" w:hAnsiTheme="minorHAnsi" w:cs="Arial"/>
          <w:bCs/>
        </w:rPr>
        <w:t>Admittedly income support arrangements have budgetary costs and their financing would require higher taxation and an associated increase in deadweight losses.  Nevertheless, the use of minimum wage increases as a means of improving household income distribution and improving living standards of the low paid also has a number of important drawbacks.  These include:</w:t>
      </w:r>
    </w:p>
    <w:p w14:paraId="4F11A42C" w14:textId="77777777" w:rsidR="00206E00" w:rsidRPr="001D1CD5" w:rsidRDefault="00206E00" w:rsidP="005713BC">
      <w:pPr>
        <w:pStyle w:val="ListParagraph"/>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ind w:left="714" w:hanging="357"/>
        <w:jc w:val="both"/>
        <w:rPr>
          <w:rFonts w:asciiTheme="minorHAnsi" w:hAnsiTheme="minorHAnsi" w:cs="Arial"/>
          <w:bCs/>
        </w:rPr>
      </w:pPr>
      <w:r w:rsidRPr="001D1CD5">
        <w:rPr>
          <w:rFonts w:asciiTheme="minorHAnsi" w:hAnsiTheme="minorHAnsi" w:cs="Arial"/>
          <w:bCs/>
        </w:rPr>
        <w:t xml:space="preserve">The risks of adverse impacts (in terms of unemployment and underemployment) on low-income people;    </w:t>
      </w:r>
    </w:p>
    <w:p w14:paraId="72D40705" w14:textId="77777777" w:rsidR="00206E00" w:rsidRPr="001D1CD5" w:rsidRDefault="00206E00" w:rsidP="005713BC">
      <w:pPr>
        <w:pStyle w:val="ListParagraph"/>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ind w:left="714" w:hanging="357"/>
        <w:jc w:val="both"/>
        <w:rPr>
          <w:rFonts w:asciiTheme="minorHAnsi" w:hAnsiTheme="minorHAnsi" w:cs="Arial"/>
          <w:bCs/>
        </w:rPr>
      </w:pPr>
      <w:r w:rsidRPr="001D1CD5">
        <w:rPr>
          <w:rFonts w:asciiTheme="minorHAnsi" w:hAnsiTheme="minorHAnsi" w:cs="Arial"/>
          <w:bCs/>
        </w:rPr>
        <w:t>The degree to which increases in minimum wages are dispersed across the household income distribution; and</w:t>
      </w:r>
    </w:p>
    <w:p w14:paraId="626D84CA" w14:textId="173537C0" w:rsidR="00206E00" w:rsidRPr="001D1CD5" w:rsidRDefault="00206E00" w:rsidP="005713BC">
      <w:pPr>
        <w:pStyle w:val="ListParagraph"/>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ind w:left="714" w:hanging="357"/>
        <w:jc w:val="both"/>
        <w:rPr>
          <w:rFonts w:asciiTheme="minorHAnsi" w:hAnsiTheme="minorHAnsi" w:cs="Arial"/>
          <w:bCs/>
        </w:rPr>
      </w:pPr>
      <w:r w:rsidRPr="001D1CD5">
        <w:rPr>
          <w:rFonts w:asciiTheme="minorHAnsi" w:hAnsiTheme="minorHAnsi" w:cs="Arial"/>
          <w:bCs/>
        </w:rPr>
        <w:t>The wedge between the additional costs imposed on employers (which are larger than the increased wage rates but also include extra costs such as payroll tax, workers</w:t>
      </w:r>
      <w:r w:rsidR="005713BC" w:rsidRPr="001D1CD5">
        <w:rPr>
          <w:rFonts w:asciiTheme="minorHAnsi" w:hAnsiTheme="minorHAnsi" w:cs="Arial"/>
          <w:bCs/>
        </w:rPr>
        <w:t>’</w:t>
      </w:r>
      <w:r w:rsidRPr="001D1CD5">
        <w:rPr>
          <w:rFonts w:asciiTheme="minorHAnsi" w:hAnsiTheme="minorHAnsi" w:cs="Arial"/>
          <w:bCs/>
        </w:rPr>
        <w:t xml:space="preserve"> compensation premiums and superannuation payments) and the actual change in disposable incomes of low income people (which are less than the increased wages paid due to additional income tax liabilities and reduced income support entitlements).  Thus for example, an employer may have to pay around $1.20 to deliver an increase in household disposable income of a minimum wage employee of $0.60 after taking into account loss of family tax benefit and additional income tax.  </w:t>
      </w:r>
    </w:p>
    <w:p w14:paraId="03B26ADE" w14:textId="53BCD5AA" w:rsidR="00206E00" w:rsidRPr="001D1CD5" w:rsidRDefault="00206E00" w:rsidP="005713BC">
      <w:pPr>
        <w:spacing w:after="240" w:line="276" w:lineRule="auto"/>
        <w:jc w:val="both"/>
        <w:rPr>
          <w:rFonts w:asciiTheme="minorHAnsi" w:hAnsiTheme="minorHAnsi" w:cs="Arial"/>
        </w:rPr>
      </w:pPr>
      <w:r w:rsidRPr="001D1CD5">
        <w:rPr>
          <w:rFonts w:asciiTheme="minorHAnsi" w:hAnsiTheme="minorHAnsi" w:cs="Arial"/>
        </w:rPr>
        <w:t>We understand that complementary measures are not without complications but urge</w:t>
      </w:r>
      <w:r w:rsidR="005713BC" w:rsidRPr="001D1CD5">
        <w:rPr>
          <w:rFonts w:asciiTheme="minorHAnsi" w:hAnsiTheme="minorHAnsi" w:cs="Arial"/>
        </w:rPr>
        <w:t xml:space="preserve"> close consideration of them.  </w:t>
      </w:r>
    </w:p>
    <w:p w14:paraId="032E0C54" w14:textId="17CBB1C3" w:rsidR="00206E00" w:rsidRPr="001D1CD5" w:rsidRDefault="00206E00" w:rsidP="005713BC">
      <w:pPr>
        <w:spacing w:after="240" w:line="276" w:lineRule="auto"/>
        <w:jc w:val="both"/>
        <w:rPr>
          <w:rFonts w:asciiTheme="minorHAnsi" w:hAnsiTheme="minorHAnsi" w:cs="Arial"/>
        </w:rPr>
      </w:pPr>
      <w:r w:rsidRPr="001D1CD5">
        <w:rPr>
          <w:rFonts w:asciiTheme="minorHAnsi" w:hAnsiTheme="minorHAnsi" w:cs="Arial"/>
        </w:rPr>
        <w:t>A particular area of concern and one that is acknowledged in the Draft Report is the impacts on work incentives of the income-tested withdrawal of complementary measures.  Already our existing income support system in combination with our income tax arrangements can impose overlapping and interacting income tests to produce very high effective marginal tax rates. These can be a disincentive to work and can also adversely impact on employ</w:t>
      </w:r>
      <w:r w:rsidR="005713BC" w:rsidRPr="001D1CD5">
        <w:rPr>
          <w:rFonts w:asciiTheme="minorHAnsi" w:hAnsiTheme="minorHAnsi" w:cs="Arial"/>
        </w:rPr>
        <w:t xml:space="preserve">ment costs and </w:t>
      </w:r>
      <w:proofErr w:type="spellStart"/>
      <w:r w:rsidR="005713BC" w:rsidRPr="001D1CD5">
        <w:rPr>
          <w:rFonts w:asciiTheme="minorHAnsi" w:hAnsiTheme="minorHAnsi" w:cs="Arial"/>
        </w:rPr>
        <w:t>labour</w:t>
      </w:r>
      <w:proofErr w:type="spellEnd"/>
      <w:r w:rsidR="005713BC" w:rsidRPr="001D1CD5">
        <w:rPr>
          <w:rFonts w:asciiTheme="minorHAnsi" w:hAnsiTheme="minorHAnsi" w:cs="Arial"/>
        </w:rPr>
        <w:t xml:space="preserve"> turnover.</w:t>
      </w:r>
    </w:p>
    <w:p w14:paraId="2378B2C4" w14:textId="3C8C6DC3" w:rsidR="00206E00" w:rsidRPr="001D1CD5" w:rsidRDefault="00206E00" w:rsidP="005713BC">
      <w:pPr>
        <w:spacing w:after="240" w:line="276" w:lineRule="auto"/>
        <w:jc w:val="both"/>
        <w:rPr>
          <w:rFonts w:asciiTheme="minorHAnsi" w:hAnsiTheme="minorHAnsi" w:cs="Arial"/>
        </w:rPr>
      </w:pPr>
      <w:r w:rsidRPr="001D1CD5">
        <w:rPr>
          <w:rFonts w:asciiTheme="minorHAnsi" w:hAnsiTheme="minorHAnsi" w:cs="Arial"/>
        </w:rPr>
        <w:t>The design of any complementary measures would need to be closely integrated with existing income support and income tax arrangements to ensure that additional complications from further income tests we</w:t>
      </w:r>
      <w:r w:rsidR="005713BC" w:rsidRPr="001D1CD5">
        <w:rPr>
          <w:rFonts w:asciiTheme="minorHAnsi" w:hAnsiTheme="minorHAnsi" w:cs="Arial"/>
        </w:rPr>
        <w:t xml:space="preserve">re kept to a minimum.  </w:t>
      </w:r>
    </w:p>
    <w:p w14:paraId="7B5D4FF9" w14:textId="427CBC62" w:rsidR="00206E00" w:rsidRPr="001D1CD5" w:rsidRDefault="00206E00" w:rsidP="005713BC">
      <w:pPr>
        <w:spacing w:after="240" w:line="276" w:lineRule="auto"/>
        <w:jc w:val="both"/>
        <w:rPr>
          <w:rFonts w:asciiTheme="minorHAnsi" w:hAnsiTheme="minorHAnsi" w:cs="Arial"/>
        </w:rPr>
      </w:pPr>
      <w:r w:rsidRPr="001D1CD5">
        <w:rPr>
          <w:rFonts w:asciiTheme="minorHAnsi" w:hAnsiTheme="minorHAnsi" w:cs="Arial"/>
        </w:rPr>
        <w:t xml:space="preserve">In this context we have reservations about the Commission’s argument that, while recipients of direct income support payments may feel </w:t>
      </w:r>
      <w:proofErr w:type="spellStart"/>
      <w:r w:rsidRPr="001D1CD5">
        <w:rPr>
          <w:rFonts w:asciiTheme="minorHAnsi" w:hAnsiTheme="minorHAnsi" w:cs="Arial"/>
        </w:rPr>
        <w:t>stigmatised</w:t>
      </w:r>
      <w:proofErr w:type="spellEnd"/>
      <w:r w:rsidRPr="001D1CD5">
        <w:rPr>
          <w:rFonts w:asciiTheme="minorHAnsi" w:hAnsiTheme="minorHAnsi" w:cs="Arial"/>
        </w:rPr>
        <w:t>, people with an entitlement to earned income tax credits (</w:t>
      </w:r>
      <w:proofErr w:type="spellStart"/>
      <w:r w:rsidRPr="00360EFC">
        <w:rPr>
          <w:rFonts w:asciiTheme="minorHAnsi" w:hAnsiTheme="minorHAnsi" w:cs="Arial"/>
          <w:b/>
        </w:rPr>
        <w:t>EITC</w:t>
      </w:r>
      <w:proofErr w:type="spellEnd"/>
      <w:r w:rsidRPr="001D1CD5">
        <w:rPr>
          <w:rFonts w:asciiTheme="minorHAnsi" w:hAnsiTheme="minorHAnsi" w:cs="Arial"/>
        </w:rPr>
        <w:t>) would not.  We doubt this would be the</w:t>
      </w:r>
      <w:r w:rsidR="005713BC" w:rsidRPr="001D1CD5">
        <w:rPr>
          <w:rFonts w:asciiTheme="minorHAnsi" w:hAnsiTheme="minorHAnsi" w:cs="Arial"/>
        </w:rPr>
        <w:t xml:space="preserve"> case for a couple of reasons. </w:t>
      </w:r>
    </w:p>
    <w:p w14:paraId="45D20CBA" w14:textId="30B05E6D" w:rsidR="00206E00" w:rsidRPr="001D1CD5" w:rsidRDefault="00206E00" w:rsidP="005713BC">
      <w:pPr>
        <w:spacing w:after="240" w:line="276" w:lineRule="auto"/>
        <w:jc w:val="both"/>
        <w:rPr>
          <w:rFonts w:asciiTheme="minorHAnsi" w:hAnsiTheme="minorHAnsi" w:cs="Arial"/>
        </w:rPr>
      </w:pPr>
      <w:r w:rsidRPr="001D1CD5">
        <w:rPr>
          <w:rFonts w:asciiTheme="minorHAnsi" w:hAnsiTheme="minorHAnsi" w:cs="Arial"/>
        </w:rPr>
        <w:t>Firstly, Australia has a relatively high tax-free threshold (currently $18,200) and in addition the Low Income Tax Offset operates to further reduce tax liabilities for low income earners.   Currently an individual with a taxable income of a little over $20,900 would have no income tax liability and</w:t>
      </w:r>
      <w:r w:rsidR="00360EFC">
        <w:rPr>
          <w:rFonts w:asciiTheme="minorHAnsi" w:hAnsiTheme="minorHAnsi" w:cs="Arial"/>
        </w:rPr>
        <w:t>,</w:t>
      </w:r>
      <w:r w:rsidRPr="001D1CD5">
        <w:rPr>
          <w:rFonts w:asciiTheme="minorHAnsi" w:hAnsiTheme="minorHAnsi" w:cs="Arial"/>
        </w:rPr>
        <w:t xml:space="preserve"> </w:t>
      </w:r>
      <w:r w:rsidRPr="001D1CD5">
        <w:rPr>
          <w:rFonts w:asciiTheme="minorHAnsi" w:hAnsiTheme="minorHAnsi" w:cs="Arial"/>
        </w:rPr>
        <w:lastRenderedPageBreak/>
        <w:t>to be effective</w:t>
      </w:r>
      <w:r w:rsidR="00360EFC">
        <w:rPr>
          <w:rFonts w:asciiTheme="minorHAnsi" w:hAnsiTheme="minorHAnsi" w:cs="Arial"/>
        </w:rPr>
        <w:t>,</w:t>
      </w:r>
      <w:r w:rsidRPr="001D1CD5">
        <w:rPr>
          <w:rFonts w:asciiTheme="minorHAnsi" w:hAnsiTheme="minorHAnsi" w:cs="Arial"/>
        </w:rPr>
        <w:t xml:space="preserve"> an </w:t>
      </w:r>
      <w:proofErr w:type="spellStart"/>
      <w:r w:rsidRPr="001D1CD5">
        <w:rPr>
          <w:rFonts w:asciiTheme="minorHAnsi" w:hAnsiTheme="minorHAnsi" w:cs="Arial"/>
        </w:rPr>
        <w:t>EITC</w:t>
      </w:r>
      <w:proofErr w:type="spellEnd"/>
      <w:r w:rsidRPr="001D1CD5">
        <w:rPr>
          <w:rFonts w:asciiTheme="minorHAnsi" w:hAnsiTheme="minorHAnsi" w:cs="Arial"/>
        </w:rPr>
        <w:t xml:space="preserve"> would have to be delivered as a direct payment.  Similarly people with incomes above this level</w:t>
      </w:r>
      <w:r w:rsidR="00360EFC">
        <w:rPr>
          <w:rFonts w:asciiTheme="minorHAnsi" w:hAnsiTheme="minorHAnsi" w:cs="Arial"/>
        </w:rPr>
        <w:t>,</w:t>
      </w:r>
      <w:r w:rsidRPr="001D1CD5">
        <w:rPr>
          <w:rFonts w:asciiTheme="minorHAnsi" w:hAnsiTheme="minorHAnsi" w:cs="Arial"/>
        </w:rPr>
        <w:t xml:space="preserve"> but with income tax liabilities less than the am</w:t>
      </w:r>
      <w:r w:rsidR="00360EFC">
        <w:rPr>
          <w:rFonts w:asciiTheme="minorHAnsi" w:hAnsiTheme="minorHAnsi" w:cs="Arial"/>
        </w:rPr>
        <w:t xml:space="preserve">ount of their </w:t>
      </w:r>
      <w:proofErr w:type="spellStart"/>
      <w:r w:rsidR="00360EFC">
        <w:rPr>
          <w:rFonts w:asciiTheme="minorHAnsi" w:hAnsiTheme="minorHAnsi" w:cs="Arial"/>
        </w:rPr>
        <w:t>EITC</w:t>
      </w:r>
      <w:proofErr w:type="spellEnd"/>
      <w:r w:rsidR="00360EFC">
        <w:rPr>
          <w:rFonts w:asciiTheme="minorHAnsi" w:hAnsiTheme="minorHAnsi" w:cs="Arial"/>
        </w:rPr>
        <w:t xml:space="preserve"> entitlement, </w:t>
      </w:r>
      <w:r w:rsidRPr="001D1CD5">
        <w:rPr>
          <w:rFonts w:asciiTheme="minorHAnsi" w:hAnsiTheme="minorHAnsi" w:cs="Arial"/>
        </w:rPr>
        <w:t xml:space="preserve">would also need to receive the residual </w:t>
      </w:r>
      <w:proofErr w:type="spellStart"/>
      <w:r w:rsidRPr="001D1CD5">
        <w:rPr>
          <w:rFonts w:asciiTheme="minorHAnsi" w:hAnsiTheme="minorHAnsi" w:cs="Arial"/>
        </w:rPr>
        <w:t>EITC</w:t>
      </w:r>
      <w:proofErr w:type="spellEnd"/>
      <w:r w:rsidRPr="001D1CD5">
        <w:rPr>
          <w:rFonts w:asciiTheme="minorHAnsi" w:hAnsiTheme="minorHAnsi" w:cs="Arial"/>
        </w:rPr>
        <w:t xml:space="preserve"> as a direct payment.  Many of the people that complementary measures would be aimed at (part-time workers for instance) would have incomes in these ranges.</w:t>
      </w:r>
    </w:p>
    <w:p w14:paraId="263F0C6B" w14:textId="77777777" w:rsidR="00206E00" w:rsidRPr="001D1CD5" w:rsidRDefault="00206E00" w:rsidP="00371EDD">
      <w:pPr>
        <w:spacing w:after="240" w:line="276" w:lineRule="auto"/>
        <w:jc w:val="both"/>
        <w:rPr>
          <w:rFonts w:asciiTheme="minorHAnsi" w:hAnsiTheme="minorHAnsi" w:cs="Arial"/>
        </w:rPr>
      </w:pPr>
      <w:r w:rsidRPr="001D1CD5">
        <w:rPr>
          <w:rFonts w:asciiTheme="minorHAnsi" w:hAnsiTheme="minorHAnsi" w:cs="Arial"/>
        </w:rPr>
        <w:t xml:space="preserve">Secondly, partly because of the extensive familiarity with direct payments of Family Tax Benefits, there is in any case little reason to think that the level of stigma would be significantly different if complementary measures were construed as tax credits or as direct payments.  </w:t>
      </w:r>
    </w:p>
    <w:p w14:paraId="5BCC3E56" w14:textId="77777777" w:rsidR="00206E00" w:rsidRPr="001D1CD5" w:rsidRDefault="00206E00" w:rsidP="00371EDD">
      <w:pPr>
        <w:pStyle w:val="Heading1"/>
        <w:keepNext w:val="0"/>
        <w:keepLines w:val="0"/>
        <w:spacing w:before="0" w:after="240" w:line="276" w:lineRule="auto"/>
        <w:jc w:val="both"/>
        <w:rPr>
          <w:rFonts w:asciiTheme="minorHAnsi" w:eastAsia="Times New Roman" w:hAnsiTheme="minorHAnsi"/>
          <w:b w:val="0"/>
          <w:color w:val="auto"/>
          <w:sz w:val="24"/>
          <w:szCs w:val="24"/>
          <w:lang w:eastAsia="en-AU"/>
        </w:rPr>
      </w:pPr>
      <w:r w:rsidRPr="001D1CD5">
        <w:rPr>
          <w:rFonts w:asciiTheme="minorHAnsi" w:eastAsia="Times New Roman" w:hAnsiTheme="minorHAnsi"/>
          <w:b w:val="0"/>
          <w:color w:val="auto"/>
          <w:sz w:val="24"/>
          <w:szCs w:val="24"/>
          <w:lang w:eastAsia="en-AU"/>
        </w:rPr>
        <w:t xml:space="preserve">For these reasons and for administrative efficiency, including in the management of effective marginal rates of withdrawal, it may be preferable for complementary measures to be in the form of direct payment. </w:t>
      </w:r>
    </w:p>
    <w:p w14:paraId="20A2B657" w14:textId="54DD8984" w:rsidR="00BF60F6" w:rsidRPr="001D1CD5" w:rsidRDefault="000E53B7" w:rsidP="00371EDD">
      <w:pPr>
        <w:pStyle w:val="Heading1"/>
        <w:keepNext w:val="0"/>
        <w:keepLines w:val="0"/>
        <w:spacing w:before="0" w:after="240" w:line="276" w:lineRule="auto"/>
        <w:ind w:left="709" w:hanging="709"/>
        <w:rPr>
          <w:rFonts w:asciiTheme="minorHAnsi" w:eastAsia="Calibri" w:hAnsiTheme="minorHAnsi" w:cs="Calibri"/>
          <w:color w:val="451E51"/>
          <w:sz w:val="36"/>
          <w:szCs w:val="36"/>
          <w:u w:color="0070C0"/>
          <w:lang w:eastAsia="en-AU"/>
        </w:rPr>
      </w:pPr>
      <w:r w:rsidRPr="001D1CD5">
        <w:rPr>
          <w:rFonts w:asciiTheme="minorHAnsi" w:eastAsia="Calibri" w:hAnsiTheme="minorHAnsi" w:cs="Calibri"/>
          <w:color w:val="451E51"/>
          <w:sz w:val="36"/>
          <w:szCs w:val="36"/>
          <w:u w:color="0070C0"/>
          <w:lang w:eastAsia="en-AU"/>
        </w:rPr>
        <w:t>11</w:t>
      </w:r>
      <w:r w:rsidR="00DE3730" w:rsidRPr="001D1CD5">
        <w:rPr>
          <w:rFonts w:asciiTheme="minorHAnsi" w:eastAsia="Calibri" w:hAnsiTheme="minorHAnsi" w:cs="Calibri"/>
          <w:color w:val="451E51"/>
          <w:sz w:val="36"/>
          <w:szCs w:val="36"/>
          <w:u w:color="0070C0"/>
          <w:lang w:eastAsia="en-AU"/>
        </w:rPr>
        <w:t>.</w:t>
      </w:r>
      <w:r w:rsidR="00DE3730" w:rsidRPr="001D1CD5">
        <w:rPr>
          <w:rFonts w:asciiTheme="minorHAnsi" w:eastAsia="Calibri" w:hAnsiTheme="minorHAnsi" w:cs="Calibri"/>
          <w:color w:val="451E51"/>
          <w:sz w:val="36"/>
          <w:szCs w:val="36"/>
          <w:u w:color="0070C0"/>
          <w:lang w:eastAsia="en-AU"/>
        </w:rPr>
        <w:tab/>
      </w:r>
      <w:bookmarkEnd w:id="11"/>
      <w:r w:rsidR="00D979F2" w:rsidRPr="001D1CD5">
        <w:rPr>
          <w:rFonts w:asciiTheme="minorHAnsi" w:eastAsia="Calibri" w:hAnsiTheme="minorHAnsi" w:cs="Calibri"/>
          <w:color w:val="451E51"/>
          <w:sz w:val="36"/>
          <w:szCs w:val="36"/>
          <w:u w:color="0070C0"/>
          <w:lang w:eastAsia="en-AU"/>
        </w:rPr>
        <w:t>Role of awards</w:t>
      </w:r>
      <w:bookmarkStart w:id="12" w:name="_Toc413853152"/>
    </w:p>
    <w:p w14:paraId="1727F39C" w14:textId="6366C1BC" w:rsidR="00575157" w:rsidRPr="001D1CD5" w:rsidRDefault="00575157" w:rsidP="00371EDD">
      <w:pPr>
        <w:pStyle w:val="Heading1"/>
        <w:keepNext w:val="0"/>
        <w:keepLines w:val="0"/>
        <w:spacing w:before="0" w:after="240" w:line="276" w:lineRule="auto"/>
        <w:jc w:val="both"/>
        <w:rPr>
          <w:rFonts w:asciiTheme="minorHAnsi" w:eastAsia="Times New Roman" w:hAnsiTheme="minorHAnsi"/>
          <w:b w:val="0"/>
          <w:color w:val="auto"/>
          <w:sz w:val="24"/>
          <w:szCs w:val="24"/>
          <w:lang w:eastAsia="en-AU"/>
        </w:rPr>
      </w:pPr>
      <w:r w:rsidRPr="001D1CD5">
        <w:rPr>
          <w:rFonts w:asciiTheme="minorHAnsi" w:eastAsia="Times New Roman" w:hAnsiTheme="minorHAnsi"/>
          <w:b w:val="0"/>
          <w:color w:val="auto"/>
          <w:sz w:val="24"/>
          <w:szCs w:val="24"/>
          <w:lang w:eastAsia="en-AU"/>
        </w:rPr>
        <w:t>Ai Group agrees with the Productivity Commission that Australia’s award system requires repair, not replacement.</w:t>
      </w:r>
    </w:p>
    <w:p w14:paraId="72B95F57" w14:textId="4E2D9695" w:rsidR="00575157" w:rsidRPr="001D1CD5" w:rsidRDefault="00575157" w:rsidP="00371EDD">
      <w:pPr>
        <w:pStyle w:val="Heading1"/>
        <w:keepNext w:val="0"/>
        <w:keepLines w:val="0"/>
        <w:spacing w:before="0" w:after="240" w:line="276" w:lineRule="auto"/>
        <w:jc w:val="both"/>
        <w:rPr>
          <w:rFonts w:asciiTheme="minorHAnsi" w:eastAsia="Times New Roman" w:hAnsiTheme="minorHAnsi"/>
          <w:b w:val="0"/>
          <w:color w:val="auto"/>
          <w:sz w:val="24"/>
          <w:szCs w:val="24"/>
          <w:lang w:eastAsia="en-AU"/>
        </w:rPr>
      </w:pPr>
      <w:r w:rsidRPr="001D1CD5">
        <w:rPr>
          <w:rFonts w:asciiTheme="minorHAnsi" w:eastAsia="Times New Roman" w:hAnsiTheme="minorHAnsi"/>
          <w:b w:val="0"/>
          <w:color w:val="auto"/>
          <w:sz w:val="24"/>
          <w:szCs w:val="24"/>
          <w:lang w:eastAsia="en-AU"/>
        </w:rPr>
        <w:t>In Ai Group’s March 2015 submission, we argued for a major simplification of award</w:t>
      </w:r>
      <w:r w:rsidR="00352531" w:rsidRPr="001D1CD5">
        <w:rPr>
          <w:rFonts w:asciiTheme="minorHAnsi" w:eastAsia="Times New Roman" w:hAnsiTheme="minorHAnsi"/>
          <w:b w:val="0"/>
          <w:color w:val="auto"/>
          <w:sz w:val="24"/>
          <w:szCs w:val="24"/>
          <w:lang w:eastAsia="en-AU"/>
        </w:rPr>
        <w:t>s</w:t>
      </w:r>
      <w:r w:rsidR="00360EFC">
        <w:rPr>
          <w:rFonts w:asciiTheme="minorHAnsi" w:eastAsia="Times New Roman" w:hAnsiTheme="minorHAnsi"/>
          <w:b w:val="0"/>
          <w:color w:val="auto"/>
          <w:sz w:val="24"/>
          <w:szCs w:val="24"/>
          <w:lang w:eastAsia="en-AU"/>
        </w:rPr>
        <w:t>. Experience shows that t</w:t>
      </w:r>
      <w:r w:rsidRPr="001D1CD5">
        <w:rPr>
          <w:rFonts w:asciiTheme="minorHAnsi" w:eastAsia="Times New Roman" w:hAnsiTheme="minorHAnsi"/>
          <w:b w:val="0"/>
          <w:color w:val="auto"/>
          <w:sz w:val="24"/>
          <w:szCs w:val="24"/>
          <w:lang w:eastAsia="en-AU"/>
        </w:rPr>
        <w:t xml:space="preserve">his will only occur with a great deal of direction from Parliament about what can and cannot be included in awards. </w:t>
      </w:r>
    </w:p>
    <w:p w14:paraId="4C8B8B3C" w14:textId="4191ACEE" w:rsidR="00575157" w:rsidRPr="001D1CD5" w:rsidRDefault="00575157" w:rsidP="00371EDD">
      <w:pPr>
        <w:spacing w:after="240" w:line="276" w:lineRule="auto"/>
        <w:jc w:val="both"/>
        <w:rPr>
          <w:rFonts w:asciiTheme="minorHAnsi" w:hAnsiTheme="minorHAnsi"/>
          <w:lang w:val="en-AU" w:eastAsia="en-AU"/>
        </w:rPr>
      </w:pPr>
      <w:r w:rsidRPr="001D1CD5">
        <w:rPr>
          <w:rFonts w:asciiTheme="minorHAnsi" w:hAnsiTheme="minorHAnsi"/>
          <w:lang w:val="en-AU" w:eastAsia="en-AU"/>
        </w:rPr>
        <w:t xml:space="preserve">The simpler the content of awards and the more that awards resemble a genuine minimum safety net, the easier it will be to reduce the number of awards from the existing 122. </w:t>
      </w:r>
    </w:p>
    <w:p w14:paraId="20695597" w14:textId="1EEDECE5" w:rsidR="00575157" w:rsidRPr="001D1CD5" w:rsidRDefault="00575157" w:rsidP="00371EDD">
      <w:pPr>
        <w:spacing w:after="240" w:line="276" w:lineRule="auto"/>
        <w:jc w:val="both"/>
        <w:rPr>
          <w:rFonts w:asciiTheme="minorHAnsi" w:hAnsiTheme="minorHAnsi"/>
          <w:lang w:val="en-AU" w:eastAsia="en-AU"/>
        </w:rPr>
      </w:pPr>
      <w:r w:rsidRPr="001D1CD5">
        <w:rPr>
          <w:rFonts w:asciiTheme="minorHAnsi" w:hAnsiTheme="minorHAnsi"/>
          <w:lang w:val="en-AU" w:eastAsia="en-AU"/>
        </w:rPr>
        <w:t>While it is true that the number of “award reliant” workers is decreasing, awards remain important to a much broader cross section of</w:t>
      </w:r>
      <w:r w:rsidR="00E65E96" w:rsidRPr="001D1CD5">
        <w:rPr>
          <w:rFonts w:asciiTheme="minorHAnsi" w:hAnsiTheme="minorHAnsi"/>
          <w:lang w:val="en-AU" w:eastAsia="en-AU"/>
        </w:rPr>
        <w:t xml:space="preserve"> the workforce. For example, </w:t>
      </w:r>
      <w:r w:rsidRPr="001D1CD5">
        <w:rPr>
          <w:rFonts w:asciiTheme="minorHAnsi" w:hAnsiTheme="minorHAnsi"/>
          <w:lang w:val="en-AU" w:eastAsia="en-AU"/>
        </w:rPr>
        <w:t>award</w:t>
      </w:r>
      <w:r w:rsidR="00E65E96" w:rsidRPr="001D1CD5">
        <w:rPr>
          <w:rFonts w:asciiTheme="minorHAnsi" w:hAnsiTheme="minorHAnsi"/>
          <w:lang w:val="en-AU" w:eastAsia="en-AU"/>
        </w:rPr>
        <w:t xml:space="preserve">s </w:t>
      </w:r>
      <w:r w:rsidRPr="001D1CD5">
        <w:rPr>
          <w:rFonts w:asciiTheme="minorHAnsi" w:hAnsiTheme="minorHAnsi"/>
          <w:lang w:val="en-AU" w:eastAsia="en-AU"/>
        </w:rPr>
        <w:t>apply to worker</w:t>
      </w:r>
      <w:r w:rsidR="00E65E96" w:rsidRPr="001D1CD5">
        <w:rPr>
          <w:rFonts w:asciiTheme="minorHAnsi" w:hAnsiTheme="minorHAnsi"/>
          <w:lang w:val="en-AU" w:eastAsia="en-AU"/>
        </w:rPr>
        <w:t xml:space="preserve">s who receive over award payments </w:t>
      </w:r>
      <w:r w:rsidRPr="001D1CD5">
        <w:rPr>
          <w:rFonts w:asciiTheme="minorHAnsi" w:hAnsiTheme="minorHAnsi"/>
          <w:lang w:val="en-AU" w:eastAsia="en-AU"/>
        </w:rPr>
        <w:t xml:space="preserve">and are not covered by an enterprise agreement. Also the Better Off Overall Test ensures that awards play an integral role in enterprise bargaining. This is acknowledged by the Productivity Commission in </w:t>
      </w:r>
      <w:r w:rsidR="00360EFC">
        <w:rPr>
          <w:rFonts w:asciiTheme="minorHAnsi" w:hAnsiTheme="minorHAnsi"/>
          <w:lang w:val="en-AU" w:eastAsia="en-AU"/>
        </w:rPr>
        <w:t xml:space="preserve">its </w:t>
      </w:r>
      <w:r w:rsidRPr="001D1CD5">
        <w:rPr>
          <w:rFonts w:asciiTheme="minorHAnsi" w:hAnsiTheme="minorHAnsi"/>
          <w:lang w:val="en-AU" w:eastAsia="en-AU"/>
        </w:rPr>
        <w:t xml:space="preserve">Draft Report. </w:t>
      </w:r>
    </w:p>
    <w:p w14:paraId="04053EB4" w14:textId="1D14699E" w:rsidR="00575157" w:rsidRPr="001D1CD5" w:rsidRDefault="00575157" w:rsidP="00575157">
      <w:pPr>
        <w:spacing w:after="240" w:line="276" w:lineRule="auto"/>
        <w:jc w:val="both"/>
        <w:rPr>
          <w:rFonts w:asciiTheme="minorHAnsi" w:hAnsiTheme="minorHAnsi" w:cstheme="minorHAnsi"/>
          <w:color w:val="000000"/>
        </w:rPr>
      </w:pPr>
      <w:r w:rsidRPr="001D1CD5">
        <w:rPr>
          <w:rFonts w:asciiTheme="minorHAnsi" w:hAnsiTheme="minorHAnsi" w:cstheme="minorHAnsi"/>
          <w:color w:val="000000"/>
        </w:rPr>
        <w:t>It is important that awa</w:t>
      </w:r>
      <w:r w:rsidR="00352531" w:rsidRPr="001D1CD5">
        <w:rPr>
          <w:rFonts w:asciiTheme="minorHAnsi" w:hAnsiTheme="minorHAnsi" w:cstheme="minorHAnsi"/>
          <w:color w:val="000000"/>
        </w:rPr>
        <w:t xml:space="preserve">rds are flexible so </w:t>
      </w:r>
      <w:r w:rsidR="00E65E96" w:rsidRPr="001D1CD5">
        <w:rPr>
          <w:rFonts w:asciiTheme="minorHAnsi" w:hAnsiTheme="minorHAnsi" w:cstheme="minorHAnsi"/>
          <w:color w:val="000000"/>
        </w:rPr>
        <w:t>they do not impose barriers to productivity</w:t>
      </w:r>
      <w:r w:rsidRPr="001D1CD5">
        <w:rPr>
          <w:rFonts w:asciiTheme="minorHAnsi" w:hAnsiTheme="minorHAnsi" w:cstheme="minorHAnsi"/>
          <w:color w:val="000000"/>
        </w:rPr>
        <w:t xml:space="preserve"> and competitive</w:t>
      </w:r>
      <w:r w:rsidR="00E65E96" w:rsidRPr="001D1CD5">
        <w:rPr>
          <w:rFonts w:asciiTheme="minorHAnsi" w:hAnsiTheme="minorHAnsi" w:cstheme="minorHAnsi"/>
          <w:color w:val="000000"/>
        </w:rPr>
        <w:t>ness</w:t>
      </w:r>
      <w:r w:rsidRPr="001D1CD5">
        <w:rPr>
          <w:rFonts w:asciiTheme="minorHAnsi" w:hAnsiTheme="minorHAnsi" w:cstheme="minorHAnsi"/>
          <w:color w:val="000000"/>
        </w:rPr>
        <w:t xml:space="preserve">, and so that employers </w:t>
      </w:r>
      <w:r w:rsidR="00E65E96" w:rsidRPr="001D1CD5">
        <w:rPr>
          <w:rFonts w:asciiTheme="minorHAnsi" w:hAnsiTheme="minorHAnsi" w:cstheme="minorHAnsi"/>
          <w:color w:val="000000"/>
        </w:rPr>
        <w:t xml:space="preserve">and employees </w:t>
      </w:r>
      <w:r w:rsidRPr="001D1CD5">
        <w:rPr>
          <w:rFonts w:asciiTheme="minorHAnsi" w:hAnsiTheme="minorHAnsi" w:cstheme="minorHAnsi"/>
          <w:color w:val="000000"/>
        </w:rPr>
        <w:t>are able to reach agreement on arrangements which suit their unique needs and preferences.</w:t>
      </w:r>
    </w:p>
    <w:p w14:paraId="58431F62" w14:textId="023A0890" w:rsidR="00575157" w:rsidRPr="001D1CD5" w:rsidRDefault="00575157" w:rsidP="00575157">
      <w:pPr>
        <w:spacing w:after="240" w:line="276" w:lineRule="auto"/>
        <w:jc w:val="both"/>
        <w:rPr>
          <w:rFonts w:asciiTheme="minorHAnsi" w:hAnsiTheme="minorHAnsi"/>
          <w:lang w:val="en-AU" w:eastAsia="en-AU"/>
        </w:rPr>
      </w:pPr>
      <w:r w:rsidRPr="001D1CD5">
        <w:rPr>
          <w:rFonts w:asciiTheme="minorHAnsi" w:hAnsiTheme="minorHAnsi"/>
          <w:lang w:val="en-AU" w:eastAsia="en-AU"/>
        </w:rPr>
        <w:t xml:space="preserve">The level of complexity in the award system adds significant complexity to the enterprise </w:t>
      </w:r>
      <w:r w:rsidR="00E65E96" w:rsidRPr="001D1CD5">
        <w:rPr>
          <w:rFonts w:asciiTheme="minorHAnsi" w:hAnsiTheme="minorHAnsi"/>
          <w:lang w:val="en-AU" w:eastAsia="en-AU"/>
        </w:rPr>
        <w:t>bargaining</w:t>
      </w:r>
      <w:r w:rsidRPr="001D1CD5">
        <w:rPr>
          <w:rFonts w:asciiTheme="minorHAnsi" w:hAnsiTheme="minorHAnsi"/>
          <w:lang w:val="en-AU" w:eastAsia="en-AU"/>
        </w:rPr>
        <w:t xml:space="preserve"> system through the application of the Better Off Overall Test. </w:t>
      </w:r>
    </w:p>
    <w:p w14:paraId="0AB33538" w14:textId="77777777" w:rsidR="00575157" w:rsidRPr="001D1CD5" w:rsidRDefault="00575157" w:rsidP="00575157">
      <w:pPr>
        <w:spacing w:after="240" w:line="276" w:lineRule="auto"/>
        <w:jc w:val="both"/>
        <w:rPr>
          <w:rFonts w:asciiTheme="minorHAnsi" w:hAnsiTheme="minorHAnsi"/>
          <w:lang w:val="en-AU" w:eastAsia="en-AU"/>
        </w:rPr>
      </w:pPr>
      <w:r w:rsidRPr="001D1CD5">
        <w:rPr>
          <w:rFonts w:asciiTheme="minorHAnsi" w:hAnsiTheme="minorHAnsi"/>
          <w:lang w:val="en-AU" w:eastAsia="en-AU"/>
        </w:rPr>
        <w:t xml:space="preserve">Even if it is a little more difficult for the </w:t>
      </w:r>
      <w:proofErr w:type="spellStart"/>
      <w:r w:rsidRPr="001D1CD5">
        <w:rPr>
          <w:rFonts w:asciiTheme="minorHAnsi" w:hAnsiTheme="minorHAnsi"/>
          <w:lang w:val="en-AU" w:eastAsia="en-AU"/>
        </w:rPr>
        <w:t>FWO</w:t>
      </w:r>
      <w:proofErr w:type="spellEnd"/>
      <w:r w:rsidRPr="001D1CD5">
        <w:rPr>
          <w:rFonts w:asciiTheme="minorHAnsi" w:hAnsiTheme="minorHAnsi"/>
          <w:lang w:val="en-AU" w:eastAsia="en-AU"/>
        </w:rPr>
        <w:t xml:space="preserve"> to enforce awards that do spell out every precise detail, it is in the community’s interest to have awards that are simple and easy to understand for employers and employees.  </w:t>
      </w:r>
    </w:p>
    <w:p w14:paraId="50921AFD" w14:textId="09A32D60" w:rsidR="00BF60F6" w:rsidRPr="001D1CD5" w:rsidRDefault="000E53B7" w:rsidP="00BF60F6">
      <w:pPr>
        <w:pStyle w:val="Heading1"/>
        <w:spacing w:before="0" w:after="240" w:line="276" w:lineRule="auto"/>
        <w:ind w:left="709" w:hanging="709"/>
        <w:rPr>
          <w:rFonts w:asciiTheme="minorHAnsi" w:eastAsia="Calibri" w:hAnsiTheme="minorHAnsi" w:cs="Calibri"/>
          <w:color w:val="451E51"/>
          <w:sz w:val="36"/>
          <w:szCs w:val="36"/>
          <w:u w:color="0070C0"/>
          <w:lang w:eastAsia="en-AU"/>
        </w:rPr>
      </w:pPr>
      <w:r w:rsidRPr="001D1CD5">
        <w:rPr>
          <w:rFonts w:asciiTheme="minorHAnsi" w:eastAsia="Calibri" w:hAnsiTheme="minorHAnsi" w:cs="Calibri"/>
          <w:color w:val="451E51"/>
          <w:sz w:val="36"/>
          <w:szCs w:val="36"/>
          <w:u w:color="0070C0"/>
          <w:lang w:eastAsia="en-AU"/>
        </w:rPr>
        <w:lastRenderedPageBreak/>
        <w:t>12</w:t>
      </w:r>
      <w:r w:rsidR="00DE3730" w:rsidRPr="001D1CD5">
        <w:rPr>
          <w:rFonts w:asciiTheme="minorHAnsi" w:eastAsia="Calibri" w:hAnsiTheme="minorHAnsi" w:cs="Calibri"/>
          <w:color w:val="451E51"/>
          <w:sz w:val="36"/>
          <w:szCs w:val="36"/>
          <w:u w:color="0070C0"/>
          <w:lang w:eastAsia="en-AU"/>
        </w:rPr>
        <w:t>.</w:t>
      </w:r>
      <w:r w:rsidR="00DE3730" w:rsidRPr="001D1CD5">
        <w:rPr>
          <w:rFonts w:asciiTheme="minorHAnsi" w:eastAsia="Calibri" w:hAnsiTheme="minorHAnsi" w:cs="Calibri"/>
          <w:color w:val="451E51"/>
          <w:sz w:val="36"/>
          <w:szCs w:val="36"/>
          <w:u w:color="0070C0"/>
          <w:lang w:eastAsia="en-AU"/>
        </w:rPr>
        <w:tab/>
      </w:r>
      <w:bookmarkEnd w:id="12"/>
      <w:r w:rsidR="00D979F2" w:rsidRPr="001D1CD5">
        <w:rPr>
          <w:rFonts w:asciiTheme="minorHAnsi" w:eastAsia="Calibri" w:hAnsiTheme="minorHAnsi" w:cs="Calibri"/>
          <w:color w:val="451E51"/>
          <w:sz w:val="36"/>
          <w:szCs w:val="36"/>
          <w:u w:color="0070C0"/>
          <w:lang w:eastAsia="en-AU"/>
        </w:rPr>
        <w:t>Repairing awards</w:t>
      </w:r>
      <w:bookmarkStart w:id="13" w:name="_Toc413853153"/>
    </w:p>
    <w:bookmarkEnd w:id="13"/>
    <w:p w14:paraId="16540FDD" w14:textId="30548A2E" w:rsidR="00575157" w:rsidRPr="001D1CD5" w:rsidRDefault="00575157" w:rsidP="007A535E">
      <w:pPr>
        <w:pStyle w:val="Body1"/>
        <w:widowControl w:val="0"/>
        <w:spacing w:after="240" w:line="276" w:lineRule="auto"/>
        <w:jc w:val="both"/>
        <w:rPr>
          <w:rFonts w:asciiTheme="minorHAnsi" w:hAnsiTheme="minorHAnsi"/>
        </w:rPr>
      </w:pPr>
      <w:r w:rsidRPr="001D1CD5">
        <w:rPr>
          <w:rFonts w:asciiTheme="minorHAnsi" w:hAnsiTheme="minorHAnsi"/>
        </w:rPr>
        <w:t xml:space="preserve">Chapter 12 </w:t>
      </w:r>
      <w:r w:rsidR="00E65E96" w:rsidRPr="001D1CD5">
        <w:rPr>
          <w:rFonts w:asciiTheme="minorHAnsi" w:hAnsiTheme="minorHAnsi"/>
        </w:rPr>
        <w:t xml:space="preserve">of </w:t>
      </w:r>
      <w:r w:rsidRPr="001D1CD5">
        <w:rPr>
          <w:rFonts w:asciiTheme="minorHAnsi" w:hAnsiTheme="minorHAnsi"/>
        </w:rPr>
        <w:t xml:space="preserve">the Draft </w:t>
      </w:r>
      <w:r w:rsidR="00E65E96" w:rsidRPr="001D1CD5">
        <w:rPr>
          <w:rFonts w:asciiTheme="minorHAnsi" w:hAnsiTheme="minorHAnsi"/>
        </w:rPr>
        <w:t>Report considers mechanisms to “repair awards”</w:t>
      </w:r>
      <w:r w:rsidRPr="001D1CD5">
        <w:rPr>
          <w:rFonts w:asciiTheme="minorHAnsi" w:hAnsiTheme="minorHAnsi"/>
        </w:rPr>
        <w:t xml:space="preserve"> </w:t>
      </w:r>
    </w:p>
    <w:p w14:paraId="37E02789" w14:textId="1ECB5DA3" w:rsidR="007A535E" w:rsidRPr="001D1CD5" w:rsidRDefault="007A535E" w:rsidP="007A535E">
      <w:pPr>
        <w:pStyle w:val="Heading1"/>
        <w:spacing w:before="0" w:after="240" w:line="276" w:lineRule="auto"/>
        <w:ind w:left="709" w:hanging="709"/>
        <w:rPr>
          <w:rFonts w:asciiTheme="minorHAnsi" w:eastAsia="Calibri" w:hAnsiTheme="minorHAnsi" w:cs="Calibri"/>
          <w:color w:val="451E51"/>
          <w:u w:color="0070C0"/>
          <w:lang w:eastAsia="en-AU"/>
        </w:rPr>
      </w:pPr>
      <w:r w:rsidRPr="001D1CD5">
        <w:rPr>
          <w:rFonts w:asciiTheme="minorHAnsi" w:eastAsia="Calibri" w:hAnsiTheme="minorHAnsi" w:cs="Calibri"/>
          <w:color w:val="451E51"/>
          <w:u w:color="0070C0"/>
          <w:lang w:eastAsia="en-AU"/>
        </w:rPr>
        <w:t>12.1</w:t>
      </w:r>
      <w:r w:rsidRPr="001D1CD5">
        <w:rPr>
          <w:rFonts w:asciiTheme="minorHAnsi" w:eastAsia="Calibri" w:hAnsiTheme="minorHAnsi" w:cs="Calibri"/>
          <w:color w:val="451E51"/>
          <w:u w:color="0070C0"/>
          <w:lang w:eastAsia="en-AU"/>
        </w:rPr>
        <w:tab/>
      </w:r>
      <w:r w:rsidR="00A64467" w:rsidRPr="001D1CD5">
        <w:rPr>
          <w:rFonts w:asciiTheme="minorHAnsi" w:eastAsia="Calibri" w:hAnsiTheme="minorHAnsi" w:cs="Calibri"/>
          <w:color w:val="451E51"/>
          <w:u w:color="0070C0"/>
          <w:lang w:eastAsia="en-AU"/>
        </w:rPr>
        <w:t xml:space="preserve">Award assessments </w:t>
      </w:r>
      <w:r w:rsidRPr="001D1CD5">
        <w:rPr>
          <w:rFonts w:asciiTheme="minorHAnsi" w:eastAsia="Calibri" w:hAnsiTheme="minorHAnsi" w:cs="Calibri"/>
          <w:color w:val="451E51"/>
          <w:u w:color="0070C0"/>
          <w:lang w:eastAsia="en-AU"/>
        </w:rPr>
        <w:t xml:space="preserve"> </w:t>
      </w:r>
    </w:p>
    <w:p w14:paraId="1A4CE113" w14:textId="5EAC9A87" w:rsidR="007A535E" w:rsidRPr="001D1CD5" w:rsidRDefault="007A535E" w:rsidP="007A535E">
      <w:pPr>
        <w:pStyle w:val="Body1"/>
        <w:widowControl w:val="0"/>
        <w:spacing w:after="240" w:line="276" w:lineRule="auto"/>
        <w:jc w:val="both"/>
        <w:rPr>
          <w:rFonts w:asciiTheme="minorHAnsi" w:hAnsiTheme="minorHAnsi"/>
        </w:rPr>
      </w:pPr>
      <w:r w:rsidRPr="001D1CD5">
        <w:rPr>
          <w:rFonts w:asciiTheme="minorHAnsi" w:hAnsiTheme="minorHAnsi"/>
        </w:rPr>
        <w:t xml:space="preserve">The Draft Report’s commentary and recommendations for repairing awards are substantially framed around the establishment of a Minimum Standards Division of the </w:t>
      </w:r>
      <w:proofErr w:type="spellStart"/>
      <w:r w:rsidRPr="001D1CD5">
        <w:rPr>
          <w:rFonts w:asciiTheme="minorHAnsi" w:hAnsiTheme="minorHAnsi"/>
        </w:rPr>
        <w:t>FWC</w:t>
      </w:r>
      <w:proofErr w:type="spellEnd"/>
      <w:r w:rsidRPr="001D1CD5">
        <w:rPr>
          <w:rFonts w:asciiTheme="minorHAnsi" w:hAnsiTheme="minorHAnsi"/>
        </w:rPr>
        <w:t>.  Ai Group’s views on this matter are set out in Chapter 3 of this submission.</w:t>
      </w:r>
    </w:p>
    <w:p w14:paraId="4522AF51" w14:textId="32D8F657" w:rsidR="007A535E" w:rsidRPr="001D1CD5" w:rsidRDefault="007A535E" w:rsidP="007A535E">
      <w:pPr>
        <w:pStyle w:val="Body1"/>
        <w:widowControl w:val="0"/>
        <w:spacing w:after="240" w:line="276" w:lineRule="auto"/>
        <w:jc w:val="both"/>
        <w:rPr>
          <w:rFonts w:asciiTheme="minorHAnsi" w:hAnsiTheme="minorHAnsi"/>
          <w:lang w:val="en"/>
        </w:rPr>
      </w:pPr>
      <w:r w:rsidRPr="001D1CD5">
        <w:rPr>
          <w:rFonts w:asciiTheme="minorHAnsi" w:hAnsiTheme="minorHAnsi"/>
        </w:rPr>
        <w:t xml:space="preserve">Ai Group supports the </w:t>
      </w:r>
      <w:proofErr w:type="spellStart"/>
      <w:r w:rsidRPr="001D1CD5">
        <w:rPr>
          <w:rFonts w:asciiTheme="minorHAnsi" w:hAnsiTheme="minorHAnsi"/>
        </w:rPr>
        <w:t>FWC</w:t>
      </w:r>
      <w:proofErr w:type="spellEnd"/>
      <w:r w:rsidRPr="001D1CD5">
        <w:rPr>
          <w:rFonts w:asciiTheme="minorHAnsi" w:hAnsiTheme="minorHAnsi"/>
        </w:rPr>
        <w:t xml:space="preserve"> commissioning more of its own res</w:t>
      </w:r>
      <w:r w:rsidR="00EF2193" w:rsidRPr="001D1CD5">
        <w:rPr>
          <w:rFonts w:asciiTheme="minorHAnsi" w:hAnsiTheme="minorHAnsi"/>
        </w:rPr>
        <w:t xml:space="preserve">earch </w:t>
      </w:r>
      <w:r w:rsidRPr="001D1CD5">
        <w:rPr>
          <w:rFonts w:asciiTheme="minorHAnsi" w:hAnsiTheme="minorHAnsi"/>
        </w:rPr>
        <w:t xml:space="preserve">but to </w:t>
      </w:r>
      <w:r w:rsidR="00352531" w:rsidRPr="001D1CD5">
        <w:rPr>
          <w:rFonts w:asciiTheme="minorHAnsi" w:hAnsiTheme="minorHAnsi"/>
        </w:rPr>
        <w:t xml:space="preserve">do </w:t>
      </w:r>
      <w:r w:rsidRPr="001D1CD5">
        <w:rPr>
          <w:rFonts w:asciiTheme="minorHAnsi" w:hAnsiTheme="minorHAnsi"/>
        </w:rPr>
        <w:t xml:space="preserve">so the Federal Government would need to increase funding to the </w:t>
      </w:r>
      <w:proofErr w:type="spellStart"/>
      <w:r w:rsidRPr="001D1CD5">
        <w:rPr>
          <w:rFonts w:asciiTheme="minorHAnsi" w:hAnsiTheme="minorHAnsi"/>
        </w:rPr>
        <w:t>FWC</w:t>
      </w:r>
      <w:proofErr w:type="spellEnd"/>
      <w:r w:rsidRPr="001D1CD5">
        <w:rPr>
          <w:rFonts w:asciiTheme="minorHAnsi" w:hAnsiTheme="minorHAnsi"/>
        </w:rPr>
        <w:t xml:space="preserve">. Ai Group, along with </w:t>
      </w:r>
      <w:proofErr w:type="spellStart"/>
      <w:r w:rsidR="00EF2193" w:rsidRPr="001D1CD5">
        <w:rPr>
          <w:rFonts w:asciiTheme="minorHAnsi" w:hAnsiTheme="minorHAnsi"/>
        </w:rPr>
        <w:t>ACCI</w:t>
      </w:r>
      <w:proofErr w:type="spellEnd"/>
      <w:r w:rsidR="00EF2193" w:rsidRPr="001D1CD5">
        <w:rPr>
          <w:rFonts w:asciiTheme="minorHAnsi" w:hAnsiTheme="minorHAnsi"/>
        </w:rPr>
        <w:t xml:space="preserve">, </w:t>
      </w:r>
      <w:r w:rsidRPr="001D1CD5">
        <w:rPr>
          <w:rFonts w:asciiTheme="minorHAnsi" w:hAnsiTheme="minorHAnsi"/>
        </w:rPr>
        <w:t xml:space="preserve">the </w:t>
      </w:r>
      <w:proofErr w:type="spellStart"/>
      <w:r w:rsidRPr="001D1CD5">
        <w:rPr>
          <w:rFonts w:asciiTheme="minorHAnsi" w:hAnsiTheme="minorHAnsi"/>
        </w:rPr>
        <w:t>ACTU</w:t>
      </w:r>
      <w:proofErr w:type="spellEnd"/>
      <w:r w:rsidRPr="001D1CD5">
        <w:rPr>
          <w:rFonts w:asciiTheme="minorHAnsi" w:hAnsiTheme="minorHAnsi"/>
        </w:rPr>
        <w:t xml:space="preserve">, </w:t>
      </w:r>
      <w:proofErr w:type="spellStart"/>
      <w:r w:rsidR="00EF2193" w:rsidRPr="001D1CD5">
        <w:rPr>
          <w:rFonts w:asciiTheme="minorHAnsi" w:hAnsiTheme="minorHAnsi"/>
        </w:rPr>
        <w:t>ACOSS</w:t>
      </w:r>
      <w:proofErr w:type="spellEnd"/>
      <w:r w:rsidR="00EF2193" w:rsidRPr="001D1CD5">
        <w:rPr>
          <w:rFonts w:asciiTheme="minorHAnsi" w:hAnsiTheme="minorHAnsi"/>
        </w:rPr>
        <w:t xml:space="preserve">, the Federal Government, and State Governments, </w:t>
      </w:r>
      <w:r w:rsidRPr="001D1CD5">
        <w:rPr>
          <w:rFonts w:asciiTheme="minorHAnsi" w:hAnsiTheme="minorHAnsi"/>
        </w:rPr>
        <w:t xml:space="preserve">are </w:t>
      </w:r>
      <w:r w:rsidR="00EF2193" w:rsidRPr="001D1CD5">
        <w:rPr>
          <w:rFonts w:asciiTheme="minorHAnsi" w:hAnsiTheme="minorHAnsi"/>
        </w:rPr>
        <w:t xml:space="preserve">represented on the </w:t>
      </w:r>
      <w:proofErr w:type="spellStart"/>
      <w:r w:rsidR="00EF2193" w:rsidRPr="001D1CD5">
        <w:rPr>
          <w:rFonts w:asciiTheme="minorHAnsi" w:hAnsiTheme="minorHAnsi"/>
        </w:rPr>
        <w:t>FWC’s</w:t>
      </w:r>
      <w:proofErr w:type="spellEnd"/>
      <w:r w:rsidRPr="001D1CD5">
        <w:rPr>
          <w:rFonts w:asciiTheme="minorHAnsi" w:hAnsiTheme="minorHAnsi"/>
        </w:rPr>
        <w:t xml:space="preserve"> </w:t>
      </w:r>
      <w:r w:rsidR="00EF2193" w:rsidRPr="001D1CD5">
        <w:rPr>
          <w:rFonts w:asciiTheme="minorHAnsi" w:hAnsiTheme="minorHAnsi"/>
          <w:lang w:val="en"/>
        </w:rPr>
        <w:t xml:space="preserve">Minimum Wage Research Group which considers research proposals and oversees research which has been commissioned by the </w:t>
      </w:r>
      <w:proofErr w:type="spellStart"/>
      <w:r w:rsidR="00EF2193" w:rsidRPr="001D1CD5">
        <w:rPr>
          <w:rFonts w:asciiTheme="minorHAnsi" w:hAnsiTheme="minorHAnsi"/>
          <w:lang w:val="en"/>
        </w:rPr>
        <w:t>FWC</w:t>
      </w:r>
      <w:proofErr w:type="spellEnd"/>
      <w:r w:rsidR="00EF2193" w:rsidRPr="001D1CD5">
        <w:rPr>
          <w:rFonts w:asciiTheme="minorHAnsi" w:hAnsiTheme="minorHAnsi"/>
          <w:lang w:val="en"/>
        </w:rPr>
        <w:t xml:space="preserve">. There is no shortage of worthwhile research proposals but over recent years funding has only been available for a relatively small number of research </w:t>
      </w:r>
      <w:r w:rsidR="00352531" w:rsidRPr="001D1CD5">
        <w:rPr>
          <w:rFonts w:asciiTheme="minorHAnsi" w:hAnsiTheme="minorHAnsi"/>
          <w:lang w:val="en"/>
        </w:rPr>
        <w:t>projects</w:t>
      </w:r>
      <w:r w:rsidR="00EF2193" w:rsidRPr="001D1CD5">
        <w:rPr>
          <w:rFonts w:asciiTheme="minorHAnsi" w:hAnsiTheme="minorHAnsi"/>
          <w:lang w:val="en"/>
        </w:rPr>
        <w:t>.</w:t>
      </w:r>
    </w:p>
    <w:p w14:paraId="55DF1B24" w14:textId="6B908A95" w:rsidR="00EF2193" w:rsidRPr="001D1CD5" w:rsidRDefault="00EF2193" w:rsidP="007A535E">
      <w:pPr>
        <w:pStyle w:val="Body1"/>
        <w:widowControl w:val="0"/>
        <w:spacing w:after="240" w:line="276" w:lineRule="auto"/>
        <w:jc w:val="both"/>
        <w:rPr>
          <w:rFonts w:asciiTheme="minorHAnsi" w:hAnsiTheme="minorHAnsi"/>
          <w:lang w:val="en"/>
        </w:rPr>
      </w:pPr>
      <w:r w:rsidRPr="001D1CD5">
        <w:rPr>
          <w:rFonts w:asciiTheme="minorHAnsi" w:hAnsiTheme="minorHAnsi"/>
          <w:lang w:val="en"/>
        </w:rPr>
        <w:t>The Draft Report proposes that a wider range of parties become involved in award matters.  Ai Gr</w:t>
      </w:r>
      <w:r w:rsidR="00CA7910">
        <w:rPr>
          <w:rFonts w:asciiTheme="minorHAnsi" w:hAnsiTheme="minorHAnsi"/>
          <w:lang w:val="en"/>
        </w:rPr>
        <w:t>oup does not oppose this idea. I</w:t>
      </w:r>
      <w:r w:rsidRPr="001D1CD5">
        <w:rPr>
          <w:rFonts w:asciiTheme="minorHAnsi" w:hAnsiTheme="minorHAnsi"/>
          <w:lang w:val="en"/>
        </w:rPr>
        <w:t>n fact parties of all types are free to participate in annual wage reviews</w:t>
      </w:r>
      <w:r w:rsidR="006F418D" w:rsidRPr="001D1CD5">
        <w:rPr>
          <w:rFonts w:asciiTheme="minorHAnsi" w:hAnsiTheme="minorHAnsi"/>
          <w:lang w:val="en"/>
        </w:rPr>
        <w:t xml:space="preserve"> and </w:t>
      </w:r>
      <w:r w:rsidR="00352531" w:rsidRPr="001D1CD5">
        <w:rPr>
          <w:rFonts w:asciiTheme="minorHAnsi" w:hAnsiTheme="minorHAnsi"/>
          <w:lang w:val="en"/>
        </w:rPr>
        <w:t>award</w:t>
      </w:r>
      <w:r w:rsidR="006F418D" w:rsidRPr="001D1CD5">
        <w:rPr>
          <w:rFonts w:asciiTheme="minorHAnsi" w:hAnsiTheme="minorHAnsi"/>
          <w:lang w:val="en"/>
        </w:rPr>
        <w:t xml:space="preserve"> reviews (e.g. see </w:t>
      </w:r>
      <w:proofErr w:type="spellStart"/>
      <w:r w:rsidR="006F418D" w:rsidRPr="001D1CD5">
        <w:rPr>
          <w:rFonts w:asciiTheme="minorHAnsi" w:hAnsiTheme="minorHAnsi"/>
          <w:lang w:val="en"/>
        </w:rPr>
        <w:t>ss.289</w:t>
      </w:r>
      <w:proofErr w:type="spellEnd"/>
      <w:r w:rsidR="006F418D" w:rsidRPr="001D1CD5">
        <w:rPr>
          <w:rFonts w:asciiTheme="minorHAnsi" w:hAnsiTheme="minorHAnsi"/>
          <w:lang w:val="en"/>
        </w:rPr>
        <w:t xml:space="preserve"> and 590 of the FW Act).</w:t>
      </w:r>
      <w:r w:rsidR="00352531" w:rsidRPr="001D1CD5">
        <w:rPr>
          <w:rFonts w:asciiTheme="minorHAnsi" w:hAnsiTheme="minorHAnsi"/>
          <w:lang w:val="en"/>
        </w:rPr>
        <w:t xml:space="preserve"> </w:t>
      </w:r>
      <w:r w:rsidRPr="001D1CD5">
        <w:rPr>
          <w:rFonts w:asciiTheme="minorHAnsi" w:hAnsiTheme="minorHAnsi"/>
          <w:lang w:val="en"/>
        </w:rPr>
        <w:t xml:space="preserve">However, the reality is that </w:t>
      </w:r>
      <w:r w:rsidR="006F418D" w:rsidRPr="001D1CD5">
        <w:rPr>
          <w:rFonts w:asciiTheme="minorHAnsi" w:hAnsiTheme="minorHAnsi"/>
          <w:lang w:val="en"/>
        </w:rPr>
        <w:t xml:space="preserve">few parties are able to devote the necessary resources to play a significant role in major </w:t>
      </w:r>
      <w:proofErr w:type="spellStart"/>
      <w:r w:rsidR="006F418D" w:rsidRPr="001D1CD5">
        <w:rPr>
          <w:rFonts w:asciiTheme="minorHAnsi" w:hAnsiTheme="minorHAnsi"/>
          <w:lang w:val="en"/>
        </w:rPr>
        <w:t>FWC</w:t>
      </w:r>
      <w:proofErr w:type="spellEnd"/>
      <w:r w:rsidR="006F418D" w:rsidRPr="001D1CD5">
        <w:rPr>
          <w:rFonts w:asciiTheme="minorHAnsi" w:hAnsiTheme="minorHAnsi"/>
          <w:lang w:val="en"/>
        </w:rPr>
        <w:t xml:space="preserve"> cases – many </w:t>
      </w:r>
      <w:r w:rsidR="00DB0E72" w:rsidRPr="001D1CD5">
        <w:rPr>
          <w:rFonts w:asciiTheme="minorHAnsi" w:hAnsiTheme="minorHAnsi"/>
          <w:lang w:val="en"/>
        </w:rPr>
        <w:t xml:space="preserve">of which continue for </w:t>
      </w:r>
      <w:r w:rsidR="006F418D" w:rsidRPr="001D1CD5">
        <w:rPr>
          <w:rFonts w:asciiTheme="minorHAnsi" w:hAnsiTheme="minorHAnsi"/>
          <w:lang w:val="en"/>
        </w:rPr>
        <w:t>months</w:t>
      </w:r>
      <w:r w:rsidR="00DB0E72" w:rsidRPr="001D1CD5">
        <w:rPr>
          <w:rFonts w:asciiTheme="minorHAnsi" w:hAnsiTheme="minorHAnsi"/>
          <w:lang w:val="en"/>
        </w:rPr>
        <w:t xml:space="preserve"> or even years</w:t>
      </w:r>
      <w:r w:rsidR="006F418D" w:rsidRPr="001D1CD5">
        <w:rPr>
          <w:rFonts w:asciiTheme="minorHAnsi" w:hAnsiTheme="minorHAnsi"/>
          <w:lang w:val="en"/>
        </w:rPr>
        <w:t xml:space="preserve">. </w:t>
      </w:r>
      <w:r w:rsidRPr="001D1CD5">
        <w:rPr>
          <w:rFonts w:asciiTheme="minorHAnsi" w:hAnsiTheme="minorHAnsi"/>
          <w:lang w:val="en"/>
        </w:rPr>
        <w:t>Ai Group</w:t>
      </w:r>
      <w:r w:rsidR="006F418D" w:rsidRPr="001D1CD5">
        <w:rPr>
          <w:rFonts w:asciiTheme="minorHAnsi" w:hAnsiTheme="minorHAnsi"/>
          <w:lang w:val="en"/>
        </w:rPr>
        <w:t>, other employer representatives</w:t>
      </w:r>
      <w:r w:rsidRPr="001D1CD5">
        <w:rPr>
          <w:rFonts w:asciiTheme="minorHAnsi" w:hAnsiTheme="minorHAnsi"/>
          <w:lang w:val="en"/>
        </w:rPr>
        <w:t xml:space="preserve"> and the unions devote</w:t>
      </w:r>
      <w:r w:rsidR="006F418D" w:rsidRPr="001D1CD5">
        <w:rPr>
          <w:rFonts w:asciiTheme="minorHAnsi" w:hAnsiTheme="minorHAnsi"/>
          <w:lang w:val="en"/>
        </w:rPr>
        <w:t xml:space="preserve"> huge resources to award cases and, if we did not, the </w:t>
      </w:r>
      <w:proofErr w:type="spellStart"/>
      <w:r w:rsidR="006F418D" w:rsidRPr="001D1CD5">
        <w:rPr>
          <w:rFonts w:asciiTheme="minorHAnsi" w:hAnsiTheme="minorHAnsi"/>
          <w:lang w:val="en"/>
        </w:rPr>
        <w:t>FWC</w:t>
      </w:r>
      <w:proofErr w:type="spellEnd"/>
      <w:r w:rsidR="006F418D" w:rsidRPr="001D1CD5">
        <w:rPr>
          <w:rFonts w:asciiTheme="minorHAnsi" w:hAnsiTheme="minorHAnsi"/>
          <w:lang w:val="en"/>
        </w:rPr>
        <w:t xml:space="preserve"> would not have before it the detailed evidence and arguments that it needs to make sound decisions. </w:t>
      </w:r>
    </w:p>
    <w:p w14:paraId="67B88046" w14:textId="77777777" w:rsidR="006F418D" w:rsidRPr="001D1CD5" w:rsidRDefault="007A535E" w:rsidP="007A535E">
      <w:pPr>
        <w:widowControl w:val="0"/>
        <w:spacing w:after="240" w:line="276" w:lineRule="auto"/>
        <w:jc w:val="both"/>
        <w:rPr>
          <w:rFonts w:asciiTheme="minorHAnsi" w:hAnsiTheme="minorHAnsi"/>
          <w:lang w:val="en-AU" w:eastAsia="en-AU"/>
        </w:rPr>
      </w:pPr>
      <w:r w:rsidRPr="001D1CD5">
        <w:rPr>
          <w:rFonts w:asciiTheme="minorHAnsi" w:hAnsiTheme="minorHAnsi"/>
          <w:lang w:val="en-AU" w:eastAsia="en-AU"/>
        </w:rPr>
        <w:t xml:space="preserve">Ai Group has </w:t>
      </w:r>
      <w:r w:rsidR="006F418D" w:rsidRPr="001D1CD5">
        <w:rPr>
          <w:rFonts w:asciiTheme="minorHAnsi" w:hAnsiTheme="minorHAnsi"/>
          <w:lang w:val="en-AU" w:eastAsia="en-AU"/>
        </w:rPr>
        <w:t xml:space="preserve">played a leading role in </w:t>
      </w:r>
      <w:r w:rsidRPr="001D1CD5">
        <w:rPr>
          <w:rFonts w:asciiTheme="minorHAnsi" w:hAnsiTheme="minorHAnsi"/>
          <w:lang w:val="en-AU" w:eastAsia="en-AU"/>
        </w:rPr>
        <w:t>the ongoing evolution of the award system in Australia</w:t>
      </w:r>
      <w:r w:rsidR="006F418D" w:rsidRPr="001D1CD5">
        <w:rPr>
          <w:rFonts w:asciiTheme="minorHAnsi" w:hAnsiTheme="minorHAnsi"/>
          <w:lang w:val="en-AU" w:eastAsia="en-AU"/>
        </w:rPr>
        <w:t>, including in:</w:t>
      </w:r>
    </w:p>
    <w:p w14:paraId="08DCC474" w14:textId="7338A8E4" w:rsidR="007A535E" w:rsidRPr="001D1CD5" w:rsidRDefault="006F418D" w:rsidP="00D12FF9">
      <w:pPr>
        <w:pStyle w:val="ListParagraph"/>
        <w:widowControl w:val="0"/>
        <w:numPr>
          <w:ilvl w:val="0"/>
          <w:numId w:val="78"/>
        </w:numPr>
        <w:spacing w:after="240" w:line="276" w:lineRule="auto"/>
        <w:jc w:val="both"/>
        <w:rPr>
          <w:rFonts w:asciiTheme="minorHAnsi" w:hAnsiTheme="minorHAnsi" w:cs="Calibri"/>
        </w:rPr>
      </w:pPr>
      <w:r w:rsidRPr="001D1CD5">
        <w:rPr>
          <w:rFonts w:asciiTheme="minorHAnsi" w:hAnsiTheme="minorHAnsi" w:cs="Calibri"/>
        </w:rPr>
        <w:t>The a</w:t>
      </w:r>
      <w:r w:rsidR="007A535E" w:rsidRPr="001D1CD5">
        <w:rPr>
          <w:rFonts w:asciiTheme="minorHAnsi" w:hAnsiTheme="minorHAnsi" w:cs="Calibri"/>
        </w:rPr>
        <w:t xml:space="preserve">ward </w:t>
      </w:r>
      <w:proofErr w:type="spellStart"/>
      <w:r w:rsidR="007A535E" w:rsidRPr="001D1CD5">
        <w:rPr>
          <w:rFonts w:asciiTheme="minorHAnsi" w:hAnsiTheme="minorHAnsi" w:cs="Calibri"/>
        </w:rPr>
        <w:t>modernisation</w:t>
      </w:r>
      <w:proofErr w:type="spellEnd"/>
      <w:r w:rsidR="007A535E" w:rsidRPr="001D1CD5">
        <w:rPr>
          <w:rFonts w:asciiTheme="minorHAnsi" w:hAnsiTheme="minorHAnsi" w:cs="Calibri"/>
        </w:rPr>
        <w:t xml:space="preserve"> process between 2008 and 2010;</w:t>
      </w:r>
    </w:p>
    <w:p w14:paraId="1869444D" w14:textId="1A1ACA2C" w:rsidR="007A535E" w:rsidRPr="001D1CD5" w:rsidRDefault="007A535E" w:rsidP="00D12FF9">
      <w:pPr>
        <w:pStyle w:val="ListParagraph"/>
        <w:widowControl w:val="0"/>
        <w:numPr>
          <w:ilvl w:val="0"/>
          <w:numId w:val="78"/>
        </w:numPr>
        <w:spacing w:after="240" w:line="276" w:lineRule="auto"/>
        <w:jc w:val="both"/>
        <w:rPr>
          <w:rFonts w:asciiTheme="minorHAnsi" w:hAnsiTheme="minorHAnsi" w:cs="Calibri"/>
        </w:rPr>
      </w:pPr>
      <w:r w:rsidRPr="001D1CD5">
        <w:rPr>
          <w:rFonts w:asciiTheme="minorHAnsi" w:hAnsiTheme="minorHAnsi" w:cs="Calibri"/>
        </w:rPr>
        <w:t>The Modern Awards Review 2012 which was con</w:t>
      </w:r>
      <w:r w:rsidR="006F418D" w:rsidRPr="001D1CD5">
        <w:rPr>
          <w:rFonts w:asciiTheme="minorHAnsi" w:hAnsiTheme="minorHAnsi" w:cs="Calibri"/>
        </w:rPr>
        <w:t>ducted throughout 2012 and 2013</w:t>
      </w:r>
      <w:r w:rsidRPr="001D1CD5">
        <w:rPr>
          <w:rFonts w:asciiTheme="minorHAnsi" w:hAnsiTheme="minorHAnsi" w:cs="Calibri"/>
        </w:rPr>
        <w:t>;</w:t>
      </w:r>
    </w:p>
    <w:p w14:paraId="196DED41" w14:textId="77777777" w:rsidR="007A535E" w:rsidRPr="001D1CD5" w:rsidRDefault="007A535E" w:rsidP="00D12FF9">
      <w:pPr>
        <w:pStyle w:val="ListParagraph"/>
        <w:widowControl w:val="0"/>
        <w:numPr>
          <w:ilvl w:val="0"/>
          <w:numId w:val="78"/>
        </w:numPr>
        <w:spacing w:after="240" w:line="276" w:lineRule="auto"/>
        <w:jc w:val="both"/>
        <w:rPr>
          <w:rFonts w:asciiTheme="minorHAnsi" w:hAnsiTheme="minorHAnsi" w:cs="Calibri"/>
        </w:rPr>
      </w:pPr>
      <w:r w:rsidRPr="001D1CD5">
        <w:rPr>
          <w:rFonts w:asciiTheme="minorHAnsi" w:hAnsiTheme="minorHAnsi" w:cs="Calibri"/>
        </w:rPr>
        <w:t>The 4 Yearly Review which commenced in early 2014 and is set to continue at least throughout 2014, 2015 and 2016.</w:t>
      </w:r>
    </w:p>
    <w:p w14:paraId="6573F912" w14:textId="538C463B" w:rsidR="00D12FF9" w:rsidRPr="001D1CD5" w:rsidRDefault="00D12FF9" w:rsidP="00AA29FE">
      <w:pPr>
        <w:pStyle w:val="ListParagraph"/>
        <w:widowControl w:val="0"/>
        <w:spacing w:after="240" w:line="276" w:lineRule="auto"/>
        <w:ind w:left="0"/>
        <w:jc w:val="both"/>
        <w:rPr>
          <w:rFonts w:asciiTheme="minorHAnsi" w:hAnsiTheme="minorHAnsi"/>
        </w:rPr>
      </w:pPr>
      <w:r w:rsidRPr="001D1CD5">
        <w:rPr>
          <w:rFonts w:asciiTheme="minorHAnsi" w:hAnsiTheme="minorHAnsi"/>
        </w:rPr>
        <w:t xml:space="preserve">The resource burden upon Ai Group of the 4 Yearly Review is highlighted by the fact that </w:t>
      </w:r>
      <w:r w:rsidR="00CA7910">
        <w:rPr>
          <w:rFonts w:asciiTheme="minorHAnsi" w:hAnsiTheme="minorHAnsi"/>
        </w:rPr>
        <w:t xml:space="preserve">in the 12 month period </w:t>
      </w:r>
      <w:r w:rsidRPr="001D1CD5">
        <w:rPr>
          <w:rFonts w:asciiTheme="minorHAnsi" w:hAnsiTheme="minorHAnsi"/>
        </w:rPr>
        <w:t xml:space="preserve">between 1 July 2014 and 30 June 2015, </w:t>
      </w:r>
      <w:r w:rsidR="00DB0E72" w:rsidRPr="001D1CD5">
        <w:rPr>
          <w:rFonts w:asciiTheme="minorHAnsi" w:hAnsiTheme="minorHAnsi"/>
        </w:rPr>
        <w:t xml:space="preserve">Ai Group </w:t>
      </w:r>
      <w:r w:rsidRPr="001D1CD5">
        <w:rPr>
          <w:rFonts w:asciiTheme="minorHAnsi" w:hAnsiTheme="minorHAnsi"/>
        </w:rPr>
        <w:t xml:space="preserve">participated in at least 125 days of </w:t>
      </w:r>
      <w:proofErr w:type="spellStart"/>
      <w:r w:rsidRPr="001D1CD5">
        <w:rPr>
          <w:rFonts w:asciiTheme="minorHAnsi" w:hAnsiTheme="minorHAnsi"/>
        </w:rPr>
        <w:t>FWC</w:t>
      </w:r>
      <w:proofErr w:type="spellEnd"/>
      <w:r w:rsidRPr="001D1CD5">
        <w:rPr>
          <w:rFonts w:asciiTheme="minorHAnsi" w:hAnsiTheme="minorHAnsi"/>
        </w:rPr>
        <w:t xml:space="preserve"> conferences and hearings </w:t>
      </w:r>
      <w:r w:rsidR="00DB0E72" w:rsidRPr="001D1CD5">
        <w:rPr>
          <w:rFonts w:asciiTheme="minorHAnsi" w:hAnsiTheme="minorHAnsi"/>
        </w:rPr>
        <w:t xml:space="preserve">and </w:t>
      </w:r>
      <w:r w:rsidRPr="001D1CD5">
        <w:rPr>
          <w:rFonts w:asciiTheme="minorHAnsi" w:hAnsiTheme="minorHAnsi"/>
        </w:rPr>
        <w:t xml:space="preserve">filed thousands of pages of submissions and evidence relating to the Review. </w:t>
      </w:r>
      <w:r w:rsidR="00CA7910">
        <w:rPr>
          <w:rFonts w:asciiTheme="minorHAnsi" w:hAnsiTheme="minorHAnsi"/>
        </w:rPr>
        <w:t xml:space="preserve"> The workload has not decreased since 1 July, and is set to continue at similar levels until at least the end of 2016.</w:t>
      </w:r>
    </w:p>
    <w:p w14:paraId="7AF7E3BA" w14:textId="3E7CB9B2" w:rsidR="00AA29FE" w:rsidRPr="001D1CD5" w:rsidRDefault="00AA29FE" w:rsidP="00AA29FE">
      <w:pPr>
        <w:pStyle w:val="BasicParagraph"/>
        <w:spacing w:after="240" w:line="240" w:lineRule="auto"/>
        <w:jc w:val="both"/>
        <w:rPr>
          <w:rFonts w:asciiTheme="minorHAnsi" w:hAnsiTheme="minorHAnsi" w:cs="Arial"/>
          <w:color w:val="auto"/>
        </w:rPr>
      </w:pPr>
      <w:r w:rsidRPr="001D1CD5">
        <w:rPr>
          <w:rFonts w:asciiTheme="minorHAnsi" w:hAnsiTheme="minorHAnsi" w:cs="Arial"/>
          <w:color w:val="auto"/>
        </w:rPr>
        <w:t>Ai Group is taking the lead role amongst employer groups</w:t>
      </w:r>
      <w:r w:rsidR="00741992">
        <w:rPr>
          <w:rFonts w:asciiTheme="minorHAnsi" w:hAnsiTheme="minorHAnsi" w:cs="Arial"/>
          <w:color w:val="auto"/>
        </w:rPr>
        <w:t xml:space="preserve"> during the 4 Yearly </w:t>
      </w:r>
      <w:r w:rsidR="00DB0E72" w:rsidRPr="001D1CD5">
        <w:rPr>
          <w:rFonts w:asciiTheme="minorHAnsi" w:hAnsiTheme="minorHAnsi" w:cs="Arial"/>
          <w:color w:val="auto"/>
        </w:rPr>
        <w:t>Review.</w:t>
      </w:r>
      <w:r w:rsidRPr="001D1CD5">
        <w:rPr>
          <w:rFonts w:asciiTheme="minorHAnsi" w:hAnsiTheme="minorHAnsi" w:cs="Arial"/>
          <w:color w:val="auto"/>
        </w:rPr>
        <w:t xml:space="preserve"> The Review involves individually reviewing each of the 122 modern awards, as well as providing the vehicle for </w:t>
      </w:r>
      <w:r w:rsidR="00DB0E72" w:rsidRPr="001D1CD5">
        <w:rPr>
          <w:rFonts w:asciiTheme="minorHAnsi" w:hAnsiTheme="minorHAnsi" w:cs="Arial"/>
          <w:color w:val="auto"/>
        </w:rPr>
        <w:t>a large number of major cases (common issues c</w:t>
      </w:r>
      <w:r w:rsidRPr="001D1CD5">
        <w:rPr>
          <w:rFonts w:asciiTheme="minorHAnsi" w:hAnsiTheme="minorHAnsi" w:cs="Arial"/>
          <w:color w:val="auto"/>
        </w:rPr>
        <w:t xml:space="preserve">ases) dealing with entitlements across the award system. The common issue cases which are underway or scheduled during the </w:t>
      </w:r>
      <w:r w:rsidR="00741992">
        <w:rPr>
          <w:rFonts w:asciiTheme="minorHAnsi" w:hAnsiTheme="minorHAnsi" w:cs="Arial"/>
          <w:color w:val="auto"/>
        </w:rPr>
        <w:t xml:space="preserve">Review </w:t>
      </w:r>
      <w:r w:rsidRPr="001D1CD5">
        <w:rPr>
          <w:rFonts w:asciiTheme="minorHAnsi" w:hAnsiTheme="minorHAnsi" w:cs="Arial"/>
          <w:color w:val="auto"/>
        </w:rPr>
        <w:t>include:</w:t>
      </w:r>
    </w:p>
    <w:p w14:paraId="12E852BB" w14:textId="77777777" w:rsidR="00AA29FE" w:rsidRPr="001D1CD5" w:rsidRDefault="00AA29FE" w:rsidP="00AA29FE">
      <w:pPr>
        <w:pStyle w:val="BasicParagraph"/>
        <w:numPr>
          <w:ilvl w:val="1"/>
          <w:numId w:val="81"/>
        </w:numPr>
        <w:spacing w:after="240" w:line="276" w:lineRule="auto"/>
        <w:jc w:val="both"/>
        <w:rPr>
          <w:rFonts w:asciiTheme="minorHAnsi" w:hAnsiTheme="minorHAnsi" w:cs="Arial"/>
          <w:color w:val="auto"/>
          <w:lang w:val="en-AU"/>
        </w:rPr>
      </w:pPr>
      <w:r w:rsidRPr="001D1CD5">
        <w:rPr>
          <w:rFonts w:asciiTheme="minorHAnsi" w:hAnsiTheme="minorHAnsi" w:cs="Arial"/>
          <w:b/>
          <w:i/>
          <w:color w:val="auto"/>
          <w:lang w:val="en-AU"/>
        </w:rPr>
        <w:lastRenderedPageBreak/>
        <w:t>Annual Leave Common Issue Case</w:t>
      </w:r>
      <w:r w:rsidRPr="001D1CD5">
        <w:rPr>
          <w:rFonts w:asciiTheme="minorHAnsi" w:hAnsiTheme="minorHAnsi" w:cs="Arial"/>
          <w:color w:val="auto"/>
          <w:lang w:val="en-AU"/>
        </w:rPr>
        <w:t xml:space="preserve"> </w:t>
      </w:r>
    </w:p>
    <w:p w14:paraId="75BA82A8" w14:textId="77777777" w:rsidR="00AA29FE" w:rsidRPr="001D1CD5" w:rsidRDefault="00AA29FE" w:rsidP="00AA29FE">
      <w:pPr>
        <w:pStyle w:val="FWANormal"/>
        <w:widowControl w:val="0"/>
        <w:spacing w:after="240" w:line="276" w:lineRule="auto"/>
        <w:ind w:left="426"/>
        <w:jc w:val="both"/>
        <w:rPr>
          <w:rFonts w:asciiTheme="minorHAnsi" w:hAnsiTheme="minorHAnsi" w:cs="Arial"/>
        </w:rPr>
      </w:pPr>
      <w:r w:rsidRPr="001D1CD5">
        <w:rPr>
          <w:rFonts w:asciiTheme="minorHAnsi" w:hAnsiTheme="minorHAnsi" w:cs="Arial"/>
          <w:lang w:val="en-AU"/>
        </w:rPr>
        <w:t xml:space="preserve">A Full Bench of the </w:t>
      </w:r>
      <w:proofErr w:type="spellStart"/>
      <w:r w:rsidRPr="001D1CD5">
        <w:rPr>
          <w:rFonts w:asciiTheme="minorHAnsi" w:hAnsiTheme="minorHAnsi" w:cs="Arial"/>
          <w:lang w:val="en-AU"/>
        </w:rPr>
        <w:t>FWC</w:t>
      </w:r>
      <w:proofErr w:type="spellEnd"/>
      <w:r w:rsidRPr="001D1CD5">
        <w:rPr>
          <w:rFonts w:asciiTheme="minorHAnsi" w:hAnsiTheme="minorHAnsi" w:cs="Arial"/>
          <w:lang w:val="en-AU"/>
        </w:rPr>
        <w:t xml:space="preserve"> handed down a decision in this case on 11 June 2015. </w:t>
      </w:r>
      <w:r w:rsidRPr="001D1CD5">
        <w:rPr>
          <w:rFonts w:asciiTheme="minorHAnsi" w:hAnsiTheme="minorHAnsi" w:cs="Arial"/>
        </w:rPr>
        <w:t xml:space="preserve">Ai Group was successful in convincing the </w:t>
      </w:r>
      <w:proofErr w:type="spellStart"/>
      <w:r w:rsidRPr="001D1CD5">
        <w:rPr>
          <w:rFonts w:asciiTheme="minorHAnsi" w:hAnsiTheme="minorHAnsi" w:cs="Arial"/>
        </w:rPr>
        <w:t>FWC</w:t>
      </w:r>
      <w:proofErr w:type="spellEnd"/>
      <w:r w:rsidRPr="001D1CD5">
        <w:rPr>
          <w:rFonts w:asciiTheme="minorHAnsi" w:hAnsiTheme="minorHAnsi" w:cs="Arial"/>
        </w:rPr>
        <w:t xml:space="preserve"> to give employers new rights to direct employees to take excessive accrued annual leave, and to allow cashing-out of annual leave for award-covered employees by agreement with their employer. The decision provides important new rights for employers and important flexibilities for employers and employees. The specific variations to each award have not yet been resolved. </w:t>
      </w:r>
    </w:p>
    <w:p w14:paraId="0F33661D" w14:textId="77777777" w:rsidR="00AA29FE" w:rsidRPr="001D1CD5" w:rsidRDefault="00AA29FE" w:rsidP="00AA29FE">
      <w:pPr>
        <w:pStyle w:val="BasicParagraph"/>
        <w:numPr>
          <w:ilvl w:val="1"/>
          <w:numId w:val="81"/>
        </w:numPr>
        <w:spacing w:after="240" w:line="276" w:lineRule="auto"/>
        <w:jc w:val="both"/>
        <w:rPr>
          <w:rFonts w:asciiTheme="minorHAnsi" w:hAnsiTheme="minorHAnsi" w:cs="Arial"/>
          <w:color w:val="auto"/>
          <w:lang w:val="en-AU"/>
        </w:rPr>
      </w:pPr>
      <w:r w:rsidRPr="001D1CD5">
        <w:rPr>
          <w:rFonts w:asciiTheme="minorHAnsi" w:hAnsiTheme="minorHAnsi" w:cs="Arial"/>
          <w:b/>
          <w:i/>
          <w:color w:val="auto"/>
          <w:lang w:val="en-AU"/>
        </w:rPr>
        <w:t>Award Flexibility Common Issues Case</w:t>
      </w:r>
    </w:p>
    <w:p w14:paraId="41E11C69" w14:textId="1B17DA2E" w:rsidR="00AA29FE" w:rsidRPr="001D1CD5" w:rsidRDefault="00AA29FE" w:rsidP="00AA29FE">
      <w:pPr>
        <w:pStyle w:val="FWANormal"/>
        <w:widowControl w:val="0"/>
        <w:spacing w:after="240" w:line="276" w:lineRule="auto"/>
        <w:ind w:left="426"/>
        <w:jc w:val="both"/>
        <w:rPr>
          <w:rFonts w:asciiTheme="minorHAnsi" w:hAnsiTheme="minorHAnsi" w:cs="Arial"/>
        </w:rPr>
      </w:pPr>
      <w:r w:rsidRPr="001D1CD5">
        <w:rPr>
          <w:rFonts w:asciiTheme="minorHAnsi" w:hAnsiTheme="minorHAnsi" w:cs="Arial"/>
        </w:rPr>
        <w:t xml:space="preserve">A </w:t>
      </w:r>
      <w:r w:rsidRPr="001D1CD5">
        <w:rPr>
          <w:rFonts w:asciiTheme="minorHAnsi" w:hAnsiTheme="minorHAnsi" w:cs="Arial"/>
          <w:lang w:val="en-AU"/>
        </w:rPr>
        <w:t xml:space="preserve">Full Bench of the </w:t>
      </w:r>
      <w:proofErr w:type="spellStart"/>
      <w:r w:rsidRPr="001D1CD5">
        <w:rPr>
          <w:rFonts w:asciiTheme="minorHAnsi" w:hAnsiTheme="minorHAnsi" w:cs="Arial"/>
          <w:lang w:val="en-AU"/>
        </w:rPr>
        <w:t>FWC</w:t>
      </w:r>
      <w:proofErr w:type="spellEnd"/>
      <w:r w:rsidRPr="001D1CD5">
        <w:rPr>
          <w:rFonts w:asciiTheme="minorHAnsi" w:hAnsiTheme="minorHAnsi" w:cs="Arial"/>
          <w:lang w:val="en-AU"/>
        </w:rPr>
        <w:t xml:space="preserve"> handed down a decision in this case on 16 July 2015. </w:t>
      </w:r>
      <w:r w:rsidRPr="001D1CD5">
        <w:rPr>
          <w:rFonts w:asciiTheme="minorHAnsi" w:hAnsiTheme="minorHAnsi" w:cs="Arial"/>
        </w:rPr>
        <w:t xml:space="preserve">Ai Group was successful in convincing the </w:t>
      </w:r>
      <w:proofErr w:type="spellStart"/>
      <w:r w:rsidRPr="001D1CD5">
        <w:rPr>
          <w:rFonts w:asciiTheme="minorHAnsi" w:hAnsiTheme="minorHAnsi" w:cs="Arial"/>
        </w:rPr>
        <w:t>FWC</w:t>
      </w:r>
      <w:proofErr w:type="spellEnd"/>
      <w:r w:rsidRPr="001D1CD5">
        <w:rPr>
          <w:rFonts w:asciiTheme="minorHAnsi" w:hAnsiTheme="minorHAnsi" w:cs="Arial"/>
        </w:rPr>
        <w:t xml:space="preserve"> to insert time</w:t>
      </w:r>
      <w:r w:rsidR="00DB0E72" w:rsidRPr="001D1CD5">
        <w:rPr>
          <w:rFonts w:asciiTheme="minorHAnsi" w:hAnsiTheme="minorHAnsi" w:cs="Arial"/>
        </w:rPr>
        <w:t xml:space="preserve">-off-in-lieu of overtime </w:t>
      </w:r>
      <w:r w:rsidRPr="001D1CD5">
        <w:rPr>
          <w:rFonts w:asciiTheme="minorHAnsi" w:hAnsiTheme="minorHAnsi" w:cs="Arial"/>
        </w:rPr>
        <w:t xml:space="preserve">provisions into nearly all modern awards that contain overtime provisions. The specific variations to each award have not yet been resolved. </w:t>
      </w:r>
    </w:p>
    <w:p w14:paraId="740BB29F" w14:textId="77777777" w:rsidR="00AA29FE" w:rsidRPr="001D1CD5" w:rsidRDefault="00AA29FE" w:rsidP="00AA29FE">
      <w:pPr>
        <w:pStyle w:val="BasicParagraph"/>
        <w:numPr>
          <w:ilvl w:val="1"/>
          <w:numId w:val="81"/>
        </w:numPr>
        <w:spacing w:after="240" w:line="276" w:lineRule="auto"/>
        <w:jc w:val="both"/>
        <w:rPr>
          <w:rFonts w:asciiTheme="minorHAnsi" w:hAnsiTheme="minorHAnsi" w:cs="Arial"/>
          <w:color w:val="auto"/>
          <w:lang w:val="en-AU"/>
        </w:rPr>
      </w:pPr>
      <w:r w:rsidRPr="001D1CD5">
        <w:rPr>
          <w:rFonts w:asciiTheme="minorHAnsi" w:hAnsiTheme="minorHAnsi" w:cs="Arial"/>
          <w:b/>
          <w:i/>
          <w:color w:val="auto"/>
          <w:lang w:val="en-AU"/>
        </w:rPr>
        <w:t>Casual Employment Common Issue Case</w:t>
      </w:r>
    </w:p>
    <w:p w14:paraId="7FD06CBA" w14:textId="476F3022" w:rsidR="00AA29FE" w:rsidRPr="001D1CD5" w:rsidRDefault="00AA29FE" w:rsidP="00AA29FE">
      <w:pPr>
        <w:pStyle w:val="BasicParagraph"/>
        <w:spacing w:after="240" w:line="276" w:lineRule="auto"/>
        <w:ind w:left="426"/>
        <w:jc w:val="both"/>
        <w:rPr>
          <w:rFonts w:asciiTheme="minorHAnsi" w:hAnsiTheme="minorHAnsi" w:cs="Arial"/>
          <w:color w:val="auto"/>
          <w:lang w:val="en-AU"/>
        </w:rPr>
      </w:pPr>
      <w:r w:rsidRPr="001D1CD5">
        <w:rPr>
          <w:rFonts w:asciiTheme="minorHAnsi" w:hAnsiTheme="minorHAnsi" w:cs="Arial"/>
          <w:color w:val="auto"/>
          <w:lang w:val="en-AU"/>
        </w:rPr>
        <w:t xml:space="preserve">This case will be heard before a five-Member Full Bench of the </w:t>
      </w:r>
      <w:proofErr w:type="spellStart"/>
      <w:r w:rsidRPr="001D1CD5">
        <w:rPr>
          <w:rFonts w:asciiTheme="minorHAnsi" w:hAnsiTheme="minorHAnsi" w:cs="Arial"/>
          <w:color w:val="auto"/>
          <w:lang w:val="en-AU"/>
        </w:rPr>
        <w:t>FWC</w:t>
      </w:r>
      <w:proofErr w:type="spellEnd"/>
      <w:r w:rsidRPr="001D1CD5">
        <w:rPr>
          <w:rFonts w:asciiTheme="minorHAnsi" w:hAnsiTheme="minorHAnsi" w:cs="Arial"/>
          <w:color w:val="auto"/>
          <w:lang w:val="en-AU"/>
        </w:rPr>
        <w:t xml:space="preserve">. The unions are pursuing numerous claims to restrict flexibility and increase employers’ costs associated with employing casuals. Ai Group is strongly opposing the unions’ claims, and is also seeking to increase flexibility for employers and reduce red tape. Submissions and evidence will be filed in October </w:t>
      </w:r>
      <w:r w:rsidR="00CA7910">
        <w:rPr>
          <w:rFonts w:asciiTheme="minorHAnsi" w:hAnsiTheme="minorHAnsi" w:cs="Arial"/>
          <w:color w:val="auto"/>
          <w:lang w:val="en-AU"/>
        </w:rPr>
        <w:t xml:space="preserve">this year </w:t>
      </w:r>
      <w:r w:rsidRPr="001D1CD5">
        <w:rPr>
          <w:rFonts w:asciiTheme="minorHAnsi" w:hAnsiTheme="minorHAnsi" w:cs="Arial"/>
          <w:color w:val="auto"/>
          <w:lang w:val="en-AU"/>
        </w:rPr>
        <w:t>before hearings commence in early 2016.</w:t>
      </w:r>
    </w:p>
    <w:p w14:paraId="79E81C38" w14:textId="77777777" w:rsidR="00AA29FE" w:rsidRPr="001D1CD5" w:rsidRDefault="00AA29FE" w:rsidP="00AA29FE">
      <w:pPr>
        <w:pStyle w:val="BasicParagraph"/>
        <w:numPr>
          <w:ilvl w:val="1"/>
          <w:numId w:val="81"/>
        </w:numPr>
        <w:spacing w:after="240" w:line="276" w:lineRule="auto"/>
        <w:jc w:val="both"/>
        <w:rPr>
          <w:rFonts w:asciiTheme="minorHAnsi" w:hAnsiTheme="minorHAnsi" w:cs="Arial"/>
          <w:color w:val="auto"/>
          <w:lang w:val="en-AU"/>
        </w:rPr>
      </w:pPr>
      <w:r w:rsidRPr="001D1CD5">
        <w:rPr>
          <w:rFonts w:asciiTheme="minorHAnsi" w:hAnsiTheme="minorHAnsi" w:cs="Arial"/>
          <w:b/>
          <w:i/>
          <w:color w:val="auto"/>
          <w:lang w:val="en-AU"/>
        </w:rPr>
        <w:t>Part-time Common Issue Case</w:t>
      </w:r>
      <w:r w:rsidRPr="001D1CD5">
        <w:rPr>
          <w:rFonts w:asciiTheme="minorHAnsi" w:hAnsiTheme="minorHAnsi" w:cs="Arial"/>
          <w:color w:val="auto"/>
          <w:lang w:val="en-AU"/>
        </w:rPr>
        <w:t xml:space="preserve"> </w:t>
      </w:r>
    </w:p>
    <w:p w14:paraId="1547DA3D" w14:textId="0656A2B3" w:rsidR="00CA7910" w:rsidRPr="00741992" w:rsidRDefault="00AA29FE" w:rsidP="00741992">
      <w:pPr>
        <w:pStyle w:val="BasicParagraph"/>
        <w:spacing w:after="240" w:line="276" w:lineRule="auto"/>
        <w:ind w:left="426"/>
        <w:jc w:val="both"/>
        <w:rPr>
          <w:rFonts w:asciiTheme="minorHAnsi" w:hAnsiTheme="minorHAnsi" w:cs="Arial"/>
          <w:color w:val="auto"/>
          <w:lang w:val="en-AU"/>
        </w:rPr>
      </w:pPr>
      <w:r w:rsidRPr="001D1CD5">
        <w:rPr>
          <w:rFonts w:asciiTheme="minorHAnsi" w:hAnsiTheme="minorHAnsi" w:cs="Arial"/>
          <w:color w:val="auto"/>
          <w:lang w:val="en-AU"/>
        </w:rPr>
        <w:t>This case will be heard in conjunction with the Casual Employment Common Issue Case. The unions are pursuing claims to give part-time employees more entitlements. Ai Group is strongly opposing the unions’ claims and is seeking to increase flexibility r</w:t>
      </w:r>
      <w:r w:rsidR="00741992">
        <w:rPr>
          <w:rFonts w:asciiTheme="minorHAnsi" w:hAnsiTheme="minorHAnsi" w:cs="Arial"/>
          <w:color w:val="auto"/>
          <w:lang w:val="en-AU"/>
        </w:rPr>
        <w:t xml:space="preserve">egarding part-time employment. </w:t>
      </w:r>
    </w:p>
    <w:p w14:paraId="15F6E4A1" w14:textId="0F965502" w:rsidR="00AA29FE" w:rsidRPr="001D1CD5" w:rsidRDefault="00AA29FE" w:rsidP="00AA29FE">
      <w:pPr>
        <w:pStyle w:val="BasicParagraph"/>
        <w:numPr>
          <w:ilvl w:val="1"/>
          <w:numId w:val="81"/>
        </w:numPr>
        <w:spacing w:after="240" w:line="276" w:lineRule="auto"/>
        <w:jc w:val="both"/>
        <w:rPr>
          <w:rFonts w:asciiTheme="minorHAnsi" w:hAnsiTheme="minorHAnsi" w:cs="Arial"/>
          <w:color w:val="auto"/>
          <w:lang w:val="en-AU"/>
        </w:rPr>
      </w:pPr>
      <w:r w:rsidRPr="001D1CD5">
        <w:rPr>
          <w:rFonts w:asciiTheme="minorHAnsi" w:hAnsiTheme="minorHAnsi" w:cs="Arial"/>
          <w:b/>
          <w:i/>
          <w:color w:val="auto"/>
          <w:lang w:val="en-AU"/>
        </w:rPr>
        <w:t>Family and Domestic Violence Clause Common Issue Case</w:t>
      </w:r>
      <w:r w:rsidRPr="001D1CD5">
        <w:rPr>
          <w:rFonts w:asciiTheme="minorHAnsi" w:hAnsiTheme="minorHAnsi" w:cs="Arial"/>
          <w:color w:val="auto"/>
          <w:lang w:val="en-AU"/>
        </w:rPr>
        <w:t xml:space="preserve"> </w:t>
      </w:r>
    </w:p>
    <w:p w14:paraId="0F176BA8" w14:textId="6A76E7A3" w:rsidR="00AA29FE" w:rsidRPr="001D1CD5" w:rsidRDefault="00AA29FE" w:rsidP="00AA29FE">
      <w:pPr>
        <w:pStyle w:val="BasicParagraph"/>
        <w:spacing w:after="240" w:line="276" w:lineRule="auto"/>
        <w:ind w:left="426"/>
        <w:jc w:val="both"/>
        <w:rPr>
          <w:rFonts w:asciiTheme="minorHAnsi" w:hAnsiTheme="minorHAnsi" w:cs="Arial"/>
          <w:color w:val="auto"/>
          <w:lang w:val="en-AU"/>
        </w:rPr>
      </w:pPr>
      <w:r w:rsidRPr="001D1CD5">
        <w:rPr>
          <w:rFonts w:asciiTheme="minorHAnsi" w:hAnsiTheme="minorHAnsi" w:cs="Arial"/>
          <w:color w:val="auto"/>
          <w:lang w:val="en-AU"/>
        </w:rPr>
        <w:t xml:space="preserve">The ACTU is seeking the inclusion in all awards of a clause that would provide, amongst other aspects, an entitlement to up to 10 days of paid leave per year to an employee who experiences family violence. Ai Group has filed initial submissions opposing the ACTU’s claim on the basis that the </w:t>
      </w:r>
      <w:proofErr w:type="spellStart"/>
      <w:r w:rsidRPr="001D1CD5">
        <w:rPr>
          <w:rFonts w:asciiTheme="minorHAnsi" w:hAnsiTheme="minorHAnsi" w:cs="Arial"/>
          <w:color w:val="auto"/>
          <w:lang w:val="en-AU"/>
        </w:rPr>
        <w:t>FWC</w:t>
      </w:r>
      <w:proofErr w:type="spellEnd"/>
      <w:r w:rsidRPr="001D1CD5">
        <w:rPr>
          <w:rFonts w:asciiTheme="minorHAnsi" w:hAnsiTheme="minorHAnsi" w:cs="Arial"/>
          <w:color w:val="auto"/>
          <w:lang w:val="en-AU"/>
        </w:rPr>
        <w:t xml:space="preserve"> does not have the jurisdiction to grant it. In response to Ai Group’s jurisdictional submissions, the ACTU dropped some elements of its claims (e.g. a requirement for every employer to appoint a domestic violence contact officer) but the unions are proceeding with their main claim for 10 days of paid leave. A hearing was held on 13 August 2015 to deal with the jurisdictional issues and the Full Bench has reserved its decision.</w:t>
      </w:r>
    </w:p>
    <w:p w14:paraId="1089CC53" w14:textId="77777777" w:rsidR="00AA29FE" w:rsidRPr="001D1CD5" w:rsidRDefault="00AA29FE" w:rsidP="00AA29FE">
      <w:pPr>
        <w:pStyle w:val="BasicParagraph"/>
        <w:numPr>
          <w:ilvl w:val="1"/>
          <w:numId w:val="81"/>
        </w:numPr>
        <w:spacing w:after="240" w:line="276" w:lineRule="auto"/>
        <w:jc w:val="both"/>
        <w:rPr>
          <w:rFonts w:asciiTheme="minorHAnsi" w:hAnsiTheme="minorHAnsi" w:cs="Arial"/>
          <w:i/>
          <w:color w:val="auto"/>
          <w:lang w:val="en-AU"/>
        </w:rPr>
      </w:pPr>
      <w:r w:rsidRPr="001D1CD5">
        <w:rPr>
          <w:rFonts w:asciiTheme="minorHAnsi" w:hAnsiTheme="minorHAnsi" w:cs="Arial"/>
          <w:b/>
          <w:i/>
          <w:color w:val="auto"/>
          <w:lang w:val="en-AU"/>
        </w:rPr>
        <w:t>Family Friendly Work Arrangements Common Issues Case</w:t>
      </w:r>
      <w:r w:rsidRPr="001D1CD5">
        <w:rPr>
          <w:rFonts w:asciiTheme="minorHAnsi" w:hAnsiTheme="minorHAnsi" w:cs="Arial"/>
          <w:i/>
          <w:color w:val="auto"/>
          <w:lang w:val="en-AU"/>
        </w:rPr>
        <w:t xml:space="preserve"> </w:t>
      </w:r>
    </w:p>
    <w:p w14:paraId="117039C9" w14:textId="77777777" w:rsidR="00AA29FE" w:rsidRPr="001D1CD5" w:rsidRDefault="00AA29FE" w:rsidP="00AA29FE">
      <w:pPr>
        <w:pStyle w:val="BasicParagraph"/>
        <w:spacing w:after="240" w:line="276" w:lineRule="auto"/>
        <w:ind w:left="426"/>
        <w:jc w:val="both"/>
        <w:rPr>
          <w:rFonts w:asciiTheme="minorHAnsi" w:hAnsiTheme="minorHAnsi" w:cs="Arial"/>
          <w:color w:val="auto"/>
          <w:lang w:val="en-AU"/>
        </w:rPr>
      </w:pPr>
      <w:r w:rsidRPr="001D1CD5">
        <w:rPr>
          <w:rFonts w:asciiTheme="minorHAnsi" w:hAnsiTheme="minorHAnsi" w:cs="Arial"/>
          <w:color w:val="auto"/>
          <w:lang w:val="en-AU"/>
        </w:rPr>
        <w:t>The ACTU is seeking an absolute right for an employee to return to work on a part-time basis after parental leave. This case also includes a claim for additional paid leave to attend pre-</w:t>
      </w:r>
      <w:r w:rsidRPr="001D1CD5">
        <w:rPr>
          <w:rFonts w:asciiTheme="minorHAnsi" w:hAnsiTheme="minorHAnsi" w:cs="Arial"/>
          <w:color w:val="auto"/>
          <w:lang w:val="en-AU"/>
        </w:rPr>
        <w:lastRenderedPageBreak/>
        <w:t xml:space="preserve">natal, pre-adoption or permanent care order appointments. Ai Group has filed initial submissions opposing the ACTU’s claim on the basis that the </w:t>
      </w:r>
      <w:proofErr w:type="spellStart"/>
      <w:r w:rsidRPr="001D1CD5">
        <w:rPr>
          <w:rFonts w:asciiTheme="minorHAnsi" w:hAnsiTheme="minorHAnsi" w:cs="Arial"/>
          <w:color w:val="auto"/>
          <w:lang w:val="en-AU"/>
        </w:rPr>
        <w:t>FWC</w:t>
      </w:r>
      <w:proofErr w:type="spellEnd"/>
      <w:r w:rsidRPr="001D1CD5">
        <w:rPr>
          <w:rFonts w:asciiTheme="minorHAnsi" w:hAnsiTheme="minorHAnsi" w:cs="Arial"/>
          <w:color w:val="auto"/>
          <w:lang w:val="en-AU"/>
        </w:rPr>
        <w:t xml:space="preserve"> does not have the jurisdiction to grant it. A hearing was held on 13 August 2015 to deal with the jurisdictional issues and the Full Bench has reserved its decision.</w:t>
      </w:r>
    </w:p>
    <w:p w14:paraId="6EA14442" w14:textId="2D424BAB" w:rsidR="00AA29FE" w:rsidRPr="001D1CD5" w:rsidRDefault="00AA29FE" w:rsidP="00AA29FE">
      <w:pPr>
        <w:pStyle w:val="FWANormal"/>
        <w:widowControl w:val="0"/>
        <w:numPr>
          <w:ilvl w:val="0"/>
          <w:numId w:val="82"/>
        </w:numPr>
        <w:spacing w:after="240" w:line="276" w:lineRule="auto"/>
        <w:ind w:left="426"/>
        <w:jc w:val="both"/>
        <w:rPr>
          <w:rFonts w:asciiTheme="minorHAnsi" w:hAnsiTheme="minorHAnsi" w:cs="Arial"/>
          <w:lang w:val="en-AU"/>
        </w:rPr>
      </w:pPr>
      <w:r w:rsidRPr="001D1CD5">
        <w:rPr>
          <w:rFonts w:asciiTheme="minorHAnsi" w:hAnsiTheme="minorHAnsi" w:cs="Arial"/>
          <w:b/>
          <w:i/>
          <w:lang w:val="en-AU"/>
        </w:rPr>
        <w:t xml:space="preserve">Accident </w:t>
      </w:r>
      <w:r w:rsidR="00DB0E72" w:rsidRPr="001D1CD5">
        <w:rPr>
          <w:rFonts w:asciiTheme="minorHAnsi" w:hAnsiTheme="minorHAnsi" w:cs="Arial"/>
          <w:b/>
          <w:i/>
          <w:lang w:val="en-AU"/>
        </w:rPr>
        <w:t xml:space="preserve">Make-up </w:t>
      </w:r>
      <w:r w:rsidRPr="001D1CD5">
        <w:rPr>
          <w:rFonts w:asciiTheme="minorHAnsi" w:hAnsiTheme="minorHAnsi" w:cs="Arial"/>
          <w:b/>
          <w:i/>
          <w:lang w:val="en-AU"/>
        </w:rPr>
        <w:t>Pay Case</w:t>
      </w:r>
    </w:p>
    <w:p w14:paraId="7FA1B35E" w14:textId="635DAE18" w:rsidR="00AA29FE" w:rsidRPr="001D1CD5" w:rsidRDefault="00AA29FE" w:rsidP="005B08E3">
      <w:pPr>
        <w:pStyle w:val="BasicParagraph"/>
        <w:spacing w:after="200" w:line="276" w:lineRule="auto"/>
        <w:ind w:left="426"/>
        <w:jc w:val="both"/>
        <w:rPr>
          <w:rFonts w:asciiTheme="minorHAnsi" w:hAnsiTheme="minorHAnsi" w:cs="Arial"/>
          <w:color w:val="auto"/>
          <w:lang w:val="en-AU"/>
        </w:rPr>
      </w:pPr>
      <w:r w:rsidRPr="001D1CD5">
        <w:rPr>
          <w:rFonts w:asciiTheme="minorHAnsi" w:hAnsiTheme="minorHAnsi" w:cs="Arial"/>
          <w:color w:val="auto"/>
          <w:lang w:val="en-AU"/>
        </w:rPr>
        <w:t>This case i</w:t>
      </w:r>
      <w:r w:rsidR="005B08E3" w:rsidRPr="001D1CD5">
        <w:rPr>
          <w:rFonts w:asciiTheme="minorHAnsi" w:hAnsiTheme="minorHAnsi" w:cs="Arial"/>
          <w:color w:val="auto"/>
          <w:lang w:val="en-AU"/>
        </w:rPr>
        <w:t xml:space="preserve">nvolved a review of the accident </w:t>
      </w:r>
      <w:proofErr w:type="spellStart"/>
      <w:r w:rsidR="00DB0E72" w:rsidRPr="001D1CD5">
        <w:rPr>
          <w:rFonts w:asciiTheme="minorHAnsi" w:hAnsiTheme="minorHAnsi" w:cs="Arial"/>
          <w:color w:val="auto"/>
          <w:lang w:val="en-AU"/>
        </w:rPr>
        <w:t>make-up</w:t>
      </w:r>
      <w:proofErr w:type="spellEnd"/>
      <w:r w:rsidR="00DB0E72" w:rsidRPr="001D1CD5">
        <w:rPr>
          <w:rFonts w:asciiTheme="minorHAnsi" w:hAnsiTheme="minorHAnsi" w:cs="Arial"/>
          <w:color w:val="auto"/>
          <w:lang w:val="en-AU"/>
        </w:rPr>
        <w:t xml:space="preserve"> </w:t>
      </w:r>
      <w:r w:rsidR="005B08E3" w:rsidRPr="001D1CD5">
        <w:rPr>
          <w:rFonts w:asciiTheme="minorHAnsi" w:hAnsiTheme="minorHAnsi" w:cs="Arial"/>
          <w:color w:val="auto"/>
          <w:lang w:val="en-AU"/>
        </w:rPr>
        <w:t xml:space="preserve">pay </w:t>
      </w:r>
      <w:r w:rsidRPr="001D1CD5">
        <w:rPr>
          <w:rFonts w:asciiTheme="minorHAnsi" w:hAnsiTheme="minorHAnsi" w:cs="Arial"/>
          <w:color w:val="auto"/>
          <w:lang w:val="en-AU"/>
        </w:rPr>
        <w:t>provisions that were included in modern awards on a transitional basis until 31 Decem</w:t>
      </w:r>
      <w:r w:rsidR="005B08E3" w:rsidRPr="001D1CD5">
        <w:rPr>
          <w:rFonts w:asciiTheme="minorHAnsi" w:hAnsiTheme="minorHAnsi" w:cs="Arial"/>
          <w:color w:val="auto"/>
          <w:lang w:val="en-AU"/>
        </w:rPr>
        <w:t>ber 2014. The case also included</w:t>
      </w:r>
      <w:r w:rsidRPr="001D1CD5">
        <w:rPr>
          <w:rFonts w:asciiTheme="minorHAnsi" w:hAnsiTheme="minorHAnsi" w:cs="Arial"/>
          <w:color w:val="auto"/>
          <w:lang w:val="en-AU"/>
        </w:rPr>
        <w:t xml:space="preserve"> union claims to insert national accident pay entitlements applicable to all employees covered by about 40 modern awards. </w:t>
      </w:r>
      <w:r w:rsidR="005B08E3" w:rsidRPr="001D1CD5">
        <w:rPr>
          <w:rFonts w:asciiTheme="minorHAnsi" w:hAnsiTheme="minorHAnsi" w:cs="Arial"/>
          <w:color w:val="auto"/>
          <w:lang w:val="en-AU"/>
        </w:rPr>
        <w:t xml:space="preserve">A number of decisions have been handed down by the Full Bench which has heard the case, the most recent one in August 2015. </w:t>
      </w:r>
    </w:p>
    <w:p w14:paraId="19659F40" w14:textId="3BC49555" w:rsidR="00AA29FE" w:rsidRPr="001D1CD5" w:rsidRDefault="00AA29FE" w:rsidP="00AA29FE">
      <w:pPr>
        <w:pStyle w:val="FWANormal"/>
        <w:widowControl w:val="0"/>
        <w:numPr>
          <w:ilvl w:val="0"/>
          <w:numId w:val="82"/>
        </w:numPr>
        <w:spacing w:after="240" w:line="276" w:lineRule="auto"/>
        <w:ind w:left="426"/>
        <w:jc w:val="both"/>
        <w:rPr>
          <w:rFonts w:asciiTheme="minorHAnsi" w:hAnsiTheme="minorHAnsi" w:cs="Arial"/>
          <w:lang w:val="en-AU"/>
        </w:rPr>
      </w:pPr>
      <w:r w:rsidRPr="001D1CD5">
        <w:rPr>
          <w:rFonts w:asciiTheme="minorHAnsi" w:hAnsiTheme="minorHAnsi" w:cs="Arial"/>
          <w:b/>
          <w:i/>
          <w:lang w:val="en-AU"/>
        </w:rPr>
        <w:t>District Allowances Case</w:t>
      </w:r>
      <w:r w:rsidRPr="001D1CD5">
        <w:rPr>
          <w:rFonts w:asciiTheme="minorHAnsi" w:hAnsiTheme="minorHAnsi" w:cs="Arial"/>
          <w:lang w:val="en-AU"/>
        </w:rPr>
        <w:t xml:space="preserve"> </w:t>
      </w:r>
    </w:p>
    <w:p w14:paraId="6A9B1BCF" w14:textId="1BECB9CB" w:rsidR="00AA29FE" w:rsidRPr="001D1CD5" w:rsidRDefault="00AA29FE" w:rsidP="00AA29FE">
      <w:pPr>
        <w:pStyle w:val="BasicParagraph"/>
        <w:spacing w:after="240" w:line="276" w:lineRule="auto"/>
        <w:ind w:left="426"/>
        <w:jc w:val="both"/>
        <w:rPr>
          <w:rFonts w:asciiTheme="minorHAnsi" w:hAnsiTheme="minorHAnsi" w:cs="Arial"/>
          <w:color w:val="auto"/>
          <w:lang w:val="en-AU"/>
        </w:rPr>
      </w:pPr>
      <w:r w:rsidRPr="001D1CD5">
        <w:rPr>
          <w:rFonts w:asciiTheme="minorHAnsi" w:hAnsiTheme="minorHAnsi" w:cs="Arial"/>
          <w:color w:val="auto"/>
          <w:lang w:val="en-AU"/>
        </w:rPr>
        <w:t xml:space="preserve">This case is related to the Accident </w:t>
      </w:r>
      <w:r w:rsidR="00DB0E72" w:rsidRPr="001D1CD5">
        <w:rPr>
          <w:rFonts w:asciiTheme="minorHAnsi" w:hAnsiTheme="minorHAnsi" w:cs="Arial"/>
          <w:color w:val="auto"/>
          <w:lang w:val="en-AU"/>
        </w:rPr>
        <w:t xml:space="preserve">Make-up </w:t>
      </w:r>
      <w:r w:rsidRPr="001D1CD5">
        <w:rPr>
          <w:rFonts w:asciiTheme="minorHAnsi" w:hAnsiTheme="minorHAnsi" w:cs="Arial"/>
          <w:color w:val="auto"/>
          <w:lang w:val="en-AU"/>
        </w:rPr>
        <w:t>Pay Case discussed above. The hearings were adjourned earlier this year to await the outcome of a relevant Federal Court case.</w:t>
      </w:r>
    </w:p>
    <w:p w14:paraId="5B86D1ED" w14:textId="77777777" w:rsidR="00AA29FE" w:rsidRPr="001D1CD5" w:rsidRDefault="00AA29FE" w:rsidP="00AA29FE">
      <w:pPr>
        <w:pStyle w:val="BasicParagraph"/>
        <w:numPr>
          <w:ilvl w:val="1"/>
          <w:numId w:val="81"/>
        </w:numPr>
        <w:spacing w:after="240" w:line="276" w:lineRule="auto"/>
        <w:jc w:val="both"/>
        <w:rPr>
          <w:rFonts w:asciiTheme="minorHAnsi" w:hAnsiTheme="minorHAnsi" w:cs="Arial"/>
          <w:i/>
          <w:color w:val="auto"/>
          <w:lang w:val="en-AU"/>
        </w:rPr>
      </w:pPr>
      <w:r w:rsidRPr="001D1CD5">
        <w:rPr>
          <w:rFonts w:asciiTheme="minorHAnsi" w:hAnsiTheme="minorHAnsi" w:cs="Arial"/>
          <w:b/>
          <w:i/>
          <w:color w:val="auto"/>
          <w:lang w:val="en-AU"/>
        </w:rPr>
        <w:t>Public Holidays Common Issues Case</w:t>
      </w:r>
    </w:p>
    <w:p w14:paraId="5E30695B" w14:textId="77777777" w:rsidR="00AA29FE" w:rsidRPr="001D1CD5" w:rsidRDefault="00AA29FE" w:rsidP="00AA29FE">
      <w:pPr>
        <w:pStyle w:val="BasicParagraph"/>
        <w:spacing w:after="240" w:line="276" w:lineRule="auto"/>
        <w:ind w:left="426"/>
        <w:jc w:val="both"/>
        <w:rPr>
          <w:rFonts w:asciiTheme="minorHAnsi" w:hAnsiTheme="minorHAnsi" w:cs="Arial"/>
          <w:color w:val="auto"/>
          <w:lang w:val="en-AU"/>
        </w:rPr>
      </w:pPr>
      <w:r w:rsidRPr="001D1CD5">
        <w:rPr>
          <w:rFonts w:asciiTheme="minorHAnsi" w:hAnsiTheme="minorHAnsi" w:cs="Arial"/>
          <w:color w:val="auto"/>
          <w:lang w:val="en-AU"/>
        </w:rPr>
        <w:t>This case involves a review of public holiday provisions in modern awards including various union claims for new entitlements. Ai Group is strongly opposing the unions’ claims. It is anticipated that these proceedings will commence in early 2016.</w:t>
      </w:r>
    </w:p>
    <w:p w14:paraId="7DDE7D0E" w14:textId="6D451760" w:rsidR="00D12FF9" w:rsidRPr="001D1CD5" w:rsidRDefault="00AA29FE" w:rsidP="005B08E3">
      <w:pPr>
        <w:pStyle w:val="BasicParagraph"/>
        <w:spacing w:after="240" w:line="276" w:lineRule="auto"/>
        <w:jc w:val="both"/>
        <w:rPr>
          <w:rFonts w:asciiTheme="minorHAnsi" w:hAnsiTheme="minorHAnsi" w:cs="Arial"/>
          <w:color w:val="auto"/>
          <w:lang w:val="en-AU"/>
        </w:rPr>
      </w:pPr>
      <w:r w:rsidRPr="001D1CD5">
        <w:rPr>
          <w:rFonts w:asciiTheme="minorHAnsi" w:hAnsiTheme="minorHAnsi" w:cs="Arial"/>
          <w:color w:val="auto"/>
          <w:lang w:val="en-AU"/>
        </w:rPr>
        <w:t xml:space="preserve">In addition to the above common issue cases, there is a major Penalty Rates Case underway involving a review of penalty rates in the fast food, retail and hospitality industries. Ai Group </w:t>
      </w:r>
      <w:r w:rsidR="005B08E3" w:rsidRPr="001D1CD5">
        <w:rPr>
          <w:rFonts w:asciiTheme="minorHAnsi" w:hAnsiTheme="minorHAnsi" w:cs="Arial"/>
          <w:color w:val="auto"/>
          <w:lang w:val="en-AU"/>
        </w:rPr>
        <w:t>is</w:t>
      </w:r>
      <w:r w:rsidRPr="001D1CD5">
        <w:rPr>
          <w:rFonts w:asciiTheme="minorHAnsi" w:hAnsiTheme="minorHAnsi" w:cs="Arial"/>
          <w:color w:val="auto"/>
          <w:lang w:val="en-AU"/>
        </w:rPr>
        <w:t xml:space="preserve"> representing fast food industry employers in this case.</w:t>
      </w:r>
    </w:p>
    <w:p w14:paraId="6E9F56D0" w14:textId="31C8EB42" w:rsidR="006F418D" w:rsidRPr="001D1CD5" w:rsidRDefault="006F418D" w:rsidP="006F418D">
      <w:pPr>
        <w:pStyle w:val="Body1"/>
        <w:widowControl w:val="0"/>
        <w:spacing w:after="240" w:line="276" w:lineRule="auto"/>
        <w:jc w:val="both"/>
        <w:rPr>
          <w:rFonts w:asciiTheme="minorHAnsi" w:hAnsiTheme="minorHAnsi"/>
          <w:lang w:val="en"/>
        </w:rPr>
      </w:pPr>
      <w:r w:rsidRPr="001D1CD5">
        <w:rPr>
          <w:rFonts w:asciiTheme="minorHAnsi" w:hAnsiTheme="minorHAnsi"/>
          <w:lang w:val="en"/>
        </w:rPr>
        <w:t>Award changes can impose major cost increases and inflexibilities on employers and there is an ongoing need to reduce the existing regulatory burden imposed by awards. Therefore, it will always be important for Ai Group to pl</w:t>
      </w:r>
      <w:r w:rsidR="00DB0E72" w:rsidRPr="001D1CD5">
        <w:rPr>
          <w:rFonts w:asciiTheme="minorHAnsi" w:hAnsiTheme="minorHAnsi"/>
          <w:lang w:val="en"/>
        </w:rPr>
        <w:t>ay a major role in award cases</w:t>
      </w:r>
      <w:r w:rsidRPr="001D1CD5">
        <w:rPr>
          <w:rFonts w:asciiTheme="minorHAnsi" w:hAnsiTheme="minorHAnsi"/>
          <w:lang w:val="en"/>
        </w:rPr>
        <w:t>.</w:t>
      </w:r>
    </w:p>
    <w:p w14:paraId="11BFA705" w14:textId="3A9E9A4D" w:rsidR="00D12FF9" w:rsidRPr="001D1CD5" w:rsidRDefault="00D12FF9" w:rsidP="006F418D">
      <w:pPr>
        <w:pStyle w:val="Body1"/>
        <w:widowControl w:val="0"/>
        <w:spacing w:after="240" w:line="276" w:lineRule="auto"/>
        <w:jc w:val="both"/>
        <w:rPr>
          <w:rFonts w:asciiTheme="minorHAnsi" w:hAnsiTheme="minorHAnsi"/>
          <w:lang w:val="en"/>
        </w:rPr>
      </w:pPr>
      <w:r w:rsidRPr="001D1CD5">
        <w:rPr>
          <w:rFonts w:asciiTheme="minorHAnsi" w:hAnsiTheme="minorHAnsi"/>
          <w:lang w:val="en"/>
        </w:rPr>
        <w:t xml:space="preserve">Ai Group </w:t>
      </w:r>
      <w:r w:rsidR="00DB0E72" w:rsidRPr="001D1CD5">
        <w:rPr>
          <w:rFonts w:asciiTheme="minorHAnsi" w:hAnsiTheme="minorHAnsi"/>
          <w:lang w:val="en"/>
        </w:rPr>
        <w:t xml:space="preserve">strongly </w:t>
      </w:r>
      <w:r w:rsidRPr="001D1CD5">
        <w:rPr>
          <w:rFonts w:asciiTheme="minorHAnsi" w:hAnsiTheme="minorHAnsi"/>
          <w:lang w:val="en"/>
        </w:rPr>
        <w:t>supports the first dot point in Draft Recommendation 12.1 which would remove the requirement</w:t>
      </w:r>
      <w:r w:rsidR="005B08E3" w:rsidRPr="001D1CD5">
        <w:rPr>
          <w:rFonts w:asciiTheme="minorHAnsi" w:hAnsiTheme="minorHAnsi"/>
          <w:lang w:val="en"/>
        </w:rPr>
        <w:t xml:space="preserve"> for the Commission to conduct 4 Yearly Reviews. This can be easily done by repealing </w:t>
      </w:r>
      <w:proofErr w:type="spellStart"/>
      <w:r w:rsidR="005B08E3" w:rsidRPr="001D1CD5">
        <w:rPr>
          <w:rFonts w:asciiTheme="minorHAnsi" w:hAnsiTheme="minorHAnsi"/>
          <w:lang w:val="en"/>
        </w:rPr>
        <w:t>s.156</w:t>
      </w:r>
      <w:proofErr w:type="spellEnd"/>
      <w:r w:rsidR="005B08E3" w:rsidRPr="001D1CD5">
        <w:rPr>
          <w:rFonts w:asciiTheme="minorHAnsi" w:hAnsiTheme="minorHAnsi"/>
          <w:lang w:val="en"/>
        </w:rPr>
        <w:t xml:space="preserve"> of the F</w:t>
      </w:r>
      <w:r w:rsidR="00741992">
        <w:rPr>
          <w:rFonts w:asciiTheme="minorHAnsi" w:hAnsiTheme="minorHAnsi"/>
          <w:lang w:val="en"/>
        </w:rPr>
        <w:t>W Act. Sections 157, 158 and 160</w:t>
      </w:r>
      <w:r w:rsidR="005B08E3" w:rsidRPr="001D1CD5">
        <w:rPr>
          <w:rFonts w:asciiTheme="minorHAnsi" w:hAnsiTheme="minorHAnsi"/>
          <w:lang w:val="en"/>
        </w:rPr>
        <w:t xml:space="preserve"> should be retained in the Act to empower the </w:t>
      </w:r>
      <w:proofErr w:type="spellStart"/>
      <w:r w:rsidR="005B08E3" w:rsidRPr="001D1CD5">
        <w:rPr>
          <w:rFonts w:asciiTheme="minorHAnsi" w:hAnsiTheme="minorHAnsi"/>
          <w:lang w:val="en"/>
        </w:rPr>
        <w:t>FWC</w:t>
      </w:r>
      <w:proofErr w:type="spellEnd"/>
      <w:r w:rsidR="005B08E3" w:rsidRPr="001D1CD5">
        <w:rPr>
          <w:rFonts w:asciiTheme="minorHAnsi" w:hAnsiTheme="minorHAnsi"/>
          <w:lang w:val="en"/>
        </w:rPr>
        <w:t xml:space="preserve"> to vary awards at any time, on its own motion or on app</w:t>
      </w:r>
      <w:r w:rsidR="00DB0E72" w:rsidRPr="001D1CD5">
        <w:rPr>
          <w:rFonts w:asciiTheme="minorHAnsi" w:hAnsiTheme="minorHAnsi"/>
          <w:lang w:val="en"/>
        </w:rPr>
        <w:t>lication by a relevant party</w:t>
      </w:r>
      <w:r w:rsidR="00CA7910">
        <w:rPr>
          <w:rFonts w:asciiTheme="minorHAnsi" w:hAnsiTheme="minorHAnsi"/>
          <w:lang w:val="en"/>
        </w:rPr>
        <w:t xml:space="preserve"> to</w:t>
      </w:r>
      <w:r w:rsidR="005B08E3" w:rsidRPr="001D1CD5">
        <w:rPr>
          <w:rFonts w:asciiTheme="minorHAnsi" w:hAnsiTheme="minorHAnsi"/>
          <w:lang w:val="en"/>
        </w:rPr>
        <w:t>:</w:t>
      </w:r>
    </w:p>
    <w:p w14:paraId="5C781A44" w14:textId="1A771076" w:rsidR="005B08E3" w:rsidRPr="001D1CD5" w:rsidRDefault="00CA7910" w:rsidP="005B08E3">
      <w:pPr>
        <w:pStyle w:val="Body1"/>
        <w:widowControl w:val="0"/>
        <w:numPr>
          <w:ilvl w:val="0"/>
          <w:numId w:val="82"/>
        </w:numPr>
        <w:spacing w:after="240" w:line="276" w:lineRule="auto"/>
        <w:jc w:val="both"/>
        <w:rPr>
          <w:rFonts w:asciiTheme="minorHAnsi" w:hAnsiTheme="minorHAnsi"/>
          <w:lang w:val="en"/>
        </w:rPr>
      </w:pPr>
      <w:r>
        <w:rPr>
          <w:rFonts w:asciiTheme="minorHAnsi" w:hAnsiTheme="minorHAnsi"/>
          <w:lang w:val="en"/>
        </w:rPr>
        <w:t>E</w:t>
      </w:r>
      <w:r w:rsidR="005B08E3" w:rsidRPr="001D1CD5">
        <w:rPr>
          <w:rFonts w:asciiTheme="minorHAnsi" w:hAnsiTheme="minorHAnsi"/>
          <w:lang w:val="en"/>
        </w:rPr>
        <w:t>nsure that awards continue to meet the modern awards objective (</w:t>
      </w:r>
      <w:proofErr w:type="spellStart"/>
      <w:r w:rsidR="005B08E3" w:rsidRPr="001D1CD5">
        <w:rPr>
          <w:rFonts w:asciiTheme="minorHAnsi" w:hAnsiTheme="minorHAnsi"/>
          <w:lang w:val="en"/>
        </w:rPr>
        <w:t>s.157</w:t>
      </w:r>
      <w:proofErr w:type="spellEnd"/>
      <w:r w:rsidR="005B08E3" w:rsidRPr="001D1CD5">
        <w:rPr>
          <w:rFonts w:asciiTheme="minorHAnsi" w:hAnsiTheme="minorHAnsi"/>
          <w:lang w:val="en"/>
        </w:rPr>
        <w:t>);</w:t>
      </w:r>
      <w:r w:rsidR="00DB0E72" w:rsidRPr="001D1CD5">
        <w:rPr>
          <w:rFonts w:asciiTheme="minorHAnsi" w:hAnsiTheme="minorHAnsi"/>
          <w:lang w:val="en"/>
        </w:rPr>
        <w:t xml:space="preserve"> and</w:t>
      </w:r>
      <w:r>
        <w:rPr>
          <w:rFonts w:asciiTheme="minorHAnsi" w:hAnsiTheme="minorHAnsi"/>
          <w:lang w:val="en"/>
        </w:rPr>
        <w:t xml:space="preserve"> </w:t>
      </w:r>
    </w:p>
    <w:p w14:paraId="68D5906E" w14:textId="0EEC4DF3" w:rsidR="005B08E3" w:rsidRPr="001D1CD5" w:rsidRDefault="00CA7910" w:rsidP="005B08E3">
      <w:pPr>
        <w:pStyle w:val="Body1"/>
        <w:widowControl w:val="0"/>
        <w:numPr>
          <w:ilvl w:val="0"/>
          <w:numId w:val="82"/>
        </w:numPr>
        <w:spacing w:after="240" w:line="276" w:lineRule="auto"/>
        <w:jc w:val="both"/>
        <w:rPr>
          <w:rFonts w:asciiTheme="minorHAnsi" w:hAnsiTheme="minorHAnsi"/>
          <w:lang w:val="en"/>
        </w:rPr>
      </w:pPr>
      <w:r>
        <w:rPr>
          <w:rFonts w:asciiTheme="minorHAnsi" w:hAnsiTheme="minorHAnsi"/>
          <w:lang w:val="en"/>
        </w:rPr>
        <w:t>R</w:t>
      </w:r>
      <w:r w:rsidR="005B08E3" w:rsidRPr="001D1CD5">
        <w:rPr>
          <w:rFonts w:asciiTheme="minorHAnsi" w:hAnsiTheme="minorHAnsi"/>
          <w:lang w:val="en"/>
        </w:rPr>
        <w:t>emove ambiguity, uncertainty or errors (</w:t>
      </w:r>
      <w:proofErr w:type="spellStart"/>
      <w:r w:rsidR="005B08E3" w:rsidRPr="001D1CD5">
        <w:rPr>
          <w:rFonts w:asciiTheme="minorHAnsi" w:hAnsiTheme="minorHAnsi"/>
          <w:lang w:val="en"/>
        </w:rPr>
        <w:t>s.160</w:t>
      </w:r>
      <w:proofErr w:type="spellEnd"/>
      <w:r w:rsidR="005B08E3" w:rsidRPr="001D1CD5">
        <w:rPr>
          <w:rFonts w:asciiTheme="minorHAnsi" w:hAnsiTheme="minorHAnsi"/>
          <w:lang w:val="en"/>
        </w:rPr>
        <w:t>).</w:t>
      </w:r>
    </w:p>
    <w:p w14:paraId="1529A74A" w14:textId="77777777" w:rsidR="00741992" w:rsidRDefault="00741992">
      <w:pPr>
        <w:rPr>
          <w:rFonts w:asciiTheme="minorHAnsi" w:hAnsiTheme="minorHAnsi"/>
          <w:lang w:val="en-AU"/>
        </w:rPr>
      </w:pPr>
      <w:r>
        <w:rPr>
          <w:rFonts w:asciiTheme="minorHAnsi" w:hAnsiTheme="minorHAnsi"/>
          <w:lang w:val="en-AU"/>
        </w:rPr>
        <w:br w:type="page"/>
      </w:r>
    </w:p>
    <w:p w14:paraId="63CC06EB" w14:textId="71925090" w:rsidR="005B08E3" w:rsidRPr="001D1CD5" w:rsidRDefault="005B08E3" w:rsidP="005B08E3">
      <w:pPr>
        <w:widowControl w:val="0"/>
        <w:spacing w:after="240" w:line="276" w:lineRule="auto"/>
        <w:jc w:val="both"/>
        <w:rPr>
          <w:rFonts w:asciiTheme="minorHAnsi" w:hAnsiTheme="minorHAnsi"/>
          <w:lang w:val="en-AU"/>
        </w:rPr>
      </w:pPr>
      <w:r w:rsidRPr="001D1CD5">
        <w:rPr>
          <w:rFonts w:asciiTheme="minorHAnsi" w:hAnsiTheme="minorHAnsi"/>
          <w:lang w:val="en-AU"/>
        </w:rPr>
        <w:lastRenderedPageBreak/>
        <w:t xml:space="preserve">The modern awards objective requires that modern awards be </w:t>
      </w:r>
      <w:r w:rsidR="00CA7910">
        <w:rPr>
          <w:rFonts w:asciiTheme="minorHAnsi" w:hAnsiTheme="minorHAnsi"/>
          <w:lang w:val="en-AU"/>
        </w:rPr>
        <w:t>“</w:t>
      </w:r>
      <w:r w:rsidRPr="001D1CD5">
        <w:rPr>
          <w:rFonts w:asciiTheme="minorHAnsi" w:hAnsiTheme="minorHAnsi"/>
          <w:lang w:val="en-AU"/>
        </w:rPr>
        <w:t>stable</w:t>
      </w:r>
      <w:r w:rsidR="00CA7910">
        <w:rPr>
          <w:rFonts w:asciiTheme="minorHAnsi" w:hAnsiTheme="minorHAnsi"/>
          <w:lang w:val="en-AU"/>
        </w:rPr>
        <w:t>”</w:t>
      </w:r>
      <w:r w:rsidRPr="001D1CD5">
        <w:rPr>
          <w:rFonts w:asciiTheme="minorHAnsi" w:hAnsiTheme="minorHAnsi"/>
          <w:lang w:val="en-AU"/>
        </w:rPr>
        <w:t>.</w:t>
      </w:r>
      <w:r w:rsidRPr="001D1CD5">
        <w:rPr>
          <w:rStyle w:val="FootnoteReference"/>
          <w:rFonts w:asciiTheme="minorHAnsi" w:hAnsiTheme="minorHAnsi"/>
          <w:lang w:val="en-AU" w:eastAsia="en-AU"/>
        </w:rPr>
        <w:footnoteReference w:id="6"/>
      </w:r>
      <w:r w:rsidRPr="001D1CD5">
        <w:rPr>
          <w:rFonts w:asciiTheme="minorHAnsi" w:hAnsiTheme="minorHAnsi"/>
          <w:lang w:val="en-AU"/>
        </w:rPr>
        <w:t xml:space="preserve">  In conflict with this objective, since 2008 the award system has been in a constant state of review with no end in sight.  The abolition of 4 Yearly Reviews will further the modern awards objective.</w:t>
      </w:r>
    </w:p>
    <w:p w14:paraId="3993485E" w14:textId="77777777" w:rsidR="005B08E3" w:rsidRPr="001D1CD5" w:rsidRDefault="005B08E3" w:rsidP="005B08E3">
      <w:pPr>
        <w:pStyle w:val="Heading1"/>
        <w:spacing w:before="0" w:after="240" w:line="276" w:lineRule="auto"/>
        <w:ind w:left="709" w:hanging="709"/>
        <w:rPr>
          <w:rFonts w:asciiTheme="minorHAnsi" w:eastAsia="Calibri" w:hAnsiTheme="minorHAnsi" w:cs="Calibri"/>
          <w:color w:val="451E51"/>
          <w:u w:color="0070C0"/>
          <w:lang w:eastAsia="en-AU"/>
        </w:rPr>
      </w:pPr>
      <w:r w:rsidRPr="001D1CD5">
        <w:rPr>
          <w:rFonts w:asciiTheme="minorHAnsi" w:eastAsia="Calibri" w:hAnsiTheme="minorHAnsi" w:cs="Calibri"/>
          <w:color w:val="451E51"/>
          <w:u w:color="0070C0"/>
          <w:lang w:eastAsia="en-AU"/>
        </w:rPr>
        <w:t>12.2</w:t>
      </w:r>
      <w:r w:rsidRPr="001D1CD5">
        <w:rPr>
          <w:rFonts w:asciiTheme="minorHAnsi" w:eastAsia="Calibri" w:hAnsiTheme="minorHAnsi" w:cs="Calibri"/>
          <w:color w:val="451E51"/>
          <w:u w:color="0070C0"/>
          <w:lang w:eastAsia="en-AU"/>
        </w:rPr>
        <w:tab/>
        <w:t xml:space="preserve">Making awards easier to use </w:t>
      </w:r>
    </w:p>
    <w:p w14:paraId="65CAC31C" w14:textId="77777777" w:rsidR="005E702D" w:rsidRPr="001D1CD5" w:rsidRDefault="005E702D" w:rsidP="005E702D">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lang w:val="en-AU"/>
        </w:rPr>
      </w:pPr>
      <w:r w:rsidRPr="001D1CD5">
        <w:rPr>
          <w:rFonts w:asciiTheme="minorHAnsi" w:hAnsiTheme="minorHAnsi"/>
          <w:lang w:val="en-AU"/>
        </w:rPr>
        <w:t>The Draft Report suggests that future reviews of awards should aim to:</w:t>
      </w:r>
    </w:p>
    <w:p w14:paraId="2EABFFA3" w14:textId="77777777" w:rsidR="005E702D" w:rsidRPr="001D1CD5" w:rsidRDefault="005E702D" w:rsidP="005E702D">
      <w:pPr>
        <w:pStyle w:val="ListParagraph"/>
        <w:widowControl w:val="0"/>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lang w:val="en-AU"/>
        </w:rPr>
      </w:pPr>
      <w:r w:rsidRPr="001D1CD5">
        <w:rPr>
          <w:rFonts w:asciiTheme="minorHAnsi" w:hAnsiTheme="minorHAnsi"/>
          <w:lang w:val="en-AU"/>
        </w:rPr>
        <w:t>Improve the accessibility and ease of use of all awards;</w:t>
      </w:r>
    </w:p>
    <w:p w14:paraId="177ACA5D" w14:textId="36FBC247" w:rsidR="005E702D" w:rsidRPr="001D1CD5" w:rsidRDefault="005E702D" w:rsidP="005E702D">
      <w:pPr>
        <w:pStyle w:val="ListParagraph"/>
        <w:widowControl w:val="0"/>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lang w:val="en-AU"/>
        </w:rPr>
      </w:pPr>
      <w:r w:rsidRPr="001D1CD5">
        <w:rPr>
          <w:rFonts w:asciiTheme="minorHAnsi" w:hAnsiTheme="minorHAnsi"/>
          <w:lang w:val="en-AU"/>
        </w:rPr>
        <w:t xml:space="preserve">Promote interactive platforms to guide award users through award content; </w:t>
      </w:r>
    </w:p>
    <w:p w14:paraId="5CB20376" w14:textId="163C7F56" w:rsidR="005E702D" w:rsidRPr="001D1CD5" w:rsidRDefault="005E702D" w:rsidP="005E702D">
      <w:pPr>
        <w:pStyle w:val="ListParagraph"/>
        <w:widowControl w:val="0"/>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lang w:val="en-AU"/>
        </w:rPr>
      </w:pPr>
      <w:r w:rsidRPr="001D1CD5">
        <w:rPr>
          <w:rFonts w:asciiTheme="minorHAnsi" w:hAnsiTheme="minorHAnsi"/>
          <w:lang w:val="en-AU"/>
        </w:rPr>
        <w:t>Consider other methods of providing support to users of awards, such as online chat functions, or award</w:t>
      </w:r>
      <w:r w:rsidR="00CA7910">
        <w:rPr>
          <w:rFonts w:asciiTheme="minorHAnsi" w:hAnsiTheme="minorHAnsi"/>
          <w:lang w:val="en-AU"/>
        </w:rPr>
        <w:t xml:space="preserve">- </w:t>
      </w:r>
      <w:r w:rsidRPr="001D1CD5">
        <w:rPr>
          <w:rFonts w:asciiTheme="minorHAnsi" w:hAnsiTheme="minorHAnsi"/>
          <w:lang w:val="en-AU"/>
        </w:rPr>
        <w:t>and classi</w:t>
      </w:r>
      <w:r w:rsidR="00CA7910">
        <w:rPr>
          <w:rFonts w:asciiTheme="minorHAnsi" w:hAnsiTheme="minorHAnsi"/>
          <w:lang w:val="en-AU"/>
        </w:rPr>
        <w:t>fication-</w:t>
      </w:r>
      <w:r w:rsidRPr="001D1CD5">
        <w:rPr>
          <w:rFonts w:asciiTheme="minorHAnsi" w:hAnsiTheme="minorHAnsi"/>
          <w:lang w:val="en-AU"/>
        </w:rPr>
        <w:t xml:space="preserve">specific pay calculators that calculate pay based on entered hours workers. </w:t>
      </w:r>
    </w:p>
    <w:p w14:paraId="343BB01E" w14:textId="35EF5BDD" w:rsidR="005E702D" w:rsidRPr="001D1CD5" w:rsidRDefault="00CA7910" w:rsidP="005E702D">
      <w:pPr>
        <w:widowControl w:val="0"/>
        <w:spacing w:after="240" w:line="276" w:lineRule="auto"/>
        <w:jc w:val="both"/>
        <w:rPr>
          <w:rFonts w:asciiTheme="minorHAnsi" w:hAnsiTheme="minorHAnsi"/>
          <w:lang w:val="en-AU" w:eastAsia="en-AU"/>
        </w:rPr>
      </w:pPr>
      <w:r>
        <w:rPr>
          <w:rFonts w:asciiTheme="minorHAnsi" w:hAnsiTheme="minorHAnsi"/>
          <w:lang w:val="en-AU" w:eastAsia="en-AU"/>
        </w:rPr>
        <w:t>The a</w:t>
      </w:r>
      <w:r w:rsidR="005E702D" w:rsidRPr="001D1CD5">
        <w:rPr>
          <w:rFonts w:asciiTheme="minorHAnsi" w:hAnsiTheme="minorHAnsi"/>
          <w:lang w:val="en-AU" w:eastAsia="en-AU"/>
        </w:rPr>
        <w:t>ccessibi</w:t>
      </w:r>
      <w:r>
        <w:rPr>
          <w:rFonts w:asciiTheme="minorHAnsi" w:hAnsiTheme="minorHAnsi"/>
          <w:lang w:val="en-AU" w:eastAsia="en-AU"/>
        </w:rPr>
        <w:t>lity and usability of awards have</w:t>
      </w:r>
      <w:r w:rsidR="005E702D" w:rsidRPr="001D1CD5">
        <w:rPr>
          <w:rFonts w:asciiTheme="minorHAnsi" w:hAnsiTheme="minorHAnsi"/>
          <w:lang w:val="en-AU" w:eastAsia="en-AU"/>
        </w:rPr>
        <w:t xml:space="preserve"> been improved significantly over recent years through the work of the </w:t>
      </w:r>
      <w:proofErr w:type="spellStart"/>
      <w:r w:rsidR="005E702D" w:rsidRPr="001D1CD5">
        <w:rPr>
          <w:rFonts w:asciiTheme="minorHAnsi" w:hAnsiTheme="minorHAnsi"/>
          <w:lang w:val="en-AU" w:eastAsia="en-AU"/>
        </w:rPr>
        <w:t>FWC</w:t>
      </w:r>
      <w:proofErr w:type="spellEnd"/>
      <w:r w:rsidR="005E702D" w:rsidRPr="001D1CD5">
        <w:rPr>
          <w:rFonts w:asciiTheme="minorHAnsi" w:hAnsiTheme="minorHAnsi"/>
          <w:lang w:val="en-AU" w:eastAsia="en-AU"/>
        </w:rPr>
        <w:t xml:space="preserve">, the </w:t>
      </w:r>
      <w:proofErr w:type="spellStart"/>
      <w:r w:rsidR="005E702D" w:rsidRPr="001D1CD5">
        <w:rPr>
          <w:rFonts w:asciiTheme="minorHAnsi" w:hAnsiTheme="minorHAnsi"/>
          <w:lang w:val="en-AU" w:eastAsia="en-AU"/>
        </w:rPr>
        <w:t>FWO</w:t>
      </w:r>
      <w:proofErr w:type="spellEnd"/>
      <w:r w:rsidR="00DB0E72" w:rsidRPr="001D1CD5">
        <w:rPr>
          <w:rFonts w:asciiTheme="minorHAnsi" w:hAnsiTheme="minorHAnsi"/>
          <w:lang w:val="en-AU" w:eastAsia="en-AU"/>
        </w:rPr>
        <w:t>, Ai Group and other employer representatives, and unions</w:t>
      </w:r>
      <w:r w:rsidR="005E702D" w:rsidRPr="001D1CD5">
        <w:rPr>
          <w:rFonts w:asciiTheme="minorHAnsi" w:hAnsiTheme="minorHAnsi"/>
          <w:lang w:val="en-AU" w:eastAsia="en-AU"/>
        </w:rPr>
        <w:t xml:space="preserve">. Nonetheless continuous improvement in this area is important, particularly as technology develops. </w:t>
      </w:r>
    </w:p>
    <w:p w14:paraId="70E0381A" w14:textId="4FF1C68E" w:rsidR="005E702D" w:rsidRPr="001D1CD5" w:rsidRDefault="005E702D" w:rsidP="005E702D">
      <w:pPr>
        <w:widowControl w:val="0"/>
        <w:spacing w:after="240" w:line="276" w:lineRule="auto"/>
        <w:jc w:val="both"/>
        <w:rPr>
          <w:rFonts w:asciiTheme="minorHAnsi" w:hAnsiTheme="minorHAnsi"/>
          <w:lang w:val="en-AU" w:eastAsia="en-AU"/>
        </w:rPr>
      </w:pPr>
      <w:r w:rsidRPr="001D1CD5">
        <w:rPr>
          <w:rFonts w:asciiTheme="minorHAnsi" w:hAnsiTheme="minorHAnsi"/>
          <w:lang w:val="en-AU" w:eastAsia="en-AU"/>
        </w:rPr>
        <w:t>Ai Group’s Workplace Advice Service provides advice and resources to member companies concerning awards. This includes telephone advice, interactive wage calculators, annotated guides to awards, and updates on award changes.</w:t>
      </w:r>
    </w:p>
    <w:p w14:paraId="544AAF60" w14:textId="7FC02585" w:rsidR="005E702D" w:rsidRPr="001D1CD5" w:rsidRDefault="005E702D" w:rsidP="005E702D">
      <w:pPr>
        <w:widowControl w:val="0"/>
        <w:spacing w:after="240" w:line="276" w:lineRule="auto"/>
        <w:jc w:val="both"/>
        <w:rPr>
          <w:rFonts w:asciiTheme="minorHAnsi" w:hAnsiTheme="minorHAnsi"/>
          <w:lang w:val="en-AU" w:eastAsia="en-AU"/>
        </w:rPr>
      </w:pPr>
      <w:r w:rsidRPr="001D1CD5">
        <w:rPr>
          <w:rFonts w:asciiTheme="minorHAnsi" w:hAnsiTheme="minorHAnsi"/>
          <w:lang w:val="en-AU" w:eastAsia="en-AU"/>
        </w:rPr>
        <w:t xml:space="preserve">The </w:t>
      </w:r>
      <w:proofErr w:type="spellStart"/>
      <w:r w:rsidRPr="001D1CD5">
        <w:rPr>
          <w:rFonts w:asciiTheme="minorHAnsi" w:hAnsiTheme="minorHAnsi"/>
          <w:lang w:val="en-AU" w:eastAsia="en-AU"/>
        </w:rPr>
        <w:t>FWO</w:t>
      </w:r>
      <w:proofErr w:type="spellEnd"/>
      <w:r w:rsidRPr="001D1CD5">
        <w:rPr>
          <w:rFonts w:asciiTheme="minorHAnsi" w:hAnsiTheme="minorHAnsi"/>
          <w:lang w:val="en-AU" w:eastAsia="en-AU"/>
        </w:rPr>
        <w:t xml:space="preserve"> also regularly consults Ai Group regarding award interpretations. </w:t>
      </w:r>
    </w:p>
    <w:p w14:paraId="4CD62768" w14:textId="425DAC82" w:rsidR="007A535E" w:rsidRPr="001D1CD5" w:rsidRDefault="007A535E" w:rsidP="007A535E">
      <w:pPr>
        <w:pStyle w:val="Heading1"/>
        <w:spacing w:before="0" w:after="240" w:line="276" w:lineRule="auto"/>
        <w:ind w:left="709" w:hanging="709"/>
        <w:rPr>
          <w:rFonts w:asciiTheme="minorHAnsi" w:eastAsia="Calibri" w:hAnsiTheme="minorHAnsi" w:cs="Calibri"/>
          <w:color w:val="451E51"/>
          <w:u w:color="0070C0"/>
          <w:lang w:eastAsia="en-AU"/>
        </w:rPr>
      </w:pPr>
      <w:r w:rsidRPr="001D1CD5">
        <w:rPr>
          <w:rFonts w:asciiTheme="minorHAnsi" w:eastAsia="Calibri" w:hAnsiTheme="minorHAnsi" w:cs="Calibri"/>
          <w:color w:val="451E51"/>
          <w:u w:color="0070C0"/>
          <w:lang w:eastAsia="en-AU"/>
        </w:rPr>
        <w:t>12.3</w:t>
      </w:r>
      <w:r w:rsidRPr="001D1CD5">
        <w:rPr>
          <w:rFonts w:asciiTheme="minorHAnsi" w:eastAsia="Calibri" w:hAnsiTheme="minorHAnsi" w:cs="Calibri"/>
          <w:color w:val="451E51"/>
          <w:u w:color="0070C0"/>
          <w:lang w:eastAsia="en-AU"/>
        </w:rPr>
        <w:tab/>
      </w:r>
      <w:r w:rsidR="00FB51B0" w:rsidRPr="001D1CD5">
        <w:rPr>
          <w:rFonts w:asciiTheme="minorHAnsi" w:eastAsia="Calibri" w:hAnsiTheme="minorHAnsi" w:cs="Calibri"/>
          <w:color w:val="451E51"/>
          <w:u w:color="0070C0"/>
          <w:lang w:eastAsia="en-AU"/>
        </w:rPr>
        <w:t>Assessment of minimum wage rates and classifications in awards, including</w:t>
      </w:r>
      <w:r w:rsidRPr="001D1CD5">
        <w:rPr>
          <w:rFonts w:asciiTheme="minorHAnsi" w:eastAsia="Calibri" w:hAnsiTheme="minorHAnsi" w:cs="Calibri"/>
          <w:color w:val="451E51"/>
          <w:u w:color="0070C0"/>
          <w:lang w:eastAsia="en-AU"/>
        </w:rPr>
        <w:t xml:space="preserve"> the complex and critical issues </w:t>
      </w:r>
    </w:p>
    <w:p w14:paraId="2D83E028" w14:textId="20EC74C0" w:rsidR="001C100F" w:rsidRPr="001D1CD5" w:rsidRDefault="001C100F" w:rsidP="001C100F">
      <w:pPr>
        <w:widowControl w:val="0"/>
        <w:spacing w:after="240" w:line="276" w:lineRule="auto"/>
        <w:jc w:val="both"/>
        <w:rPr>
          <w:rFonts w:asciiTheme="minorHAnsi" w:hAnsiTheme="minorHAnsi"/>
          <w:lang w:val="en-AU" w:eastAsia="en-AU"/>
        </w:rPr>
      </w:pPr>
      <w:r w:rsidRPr="001D1CD5">
        <w:rPr>
          <w:rFonts w:asciiTheme="minorHAnsi" w:hAnsiTheme="minorHAnsi"/>
          <w:lang w:val="en-AU" w:eastAsia="en-AU"/>
        </w:rPr>
        <w:t>With regard to Draft Recommendation 21.2, minimum wages are appropriately adjusted during annual wage reviews. Any increases to wages at other time</w:t>
      </w:r>
      <w:r w:rsidR="00DB0E72" w:rsidRPr="001D1CD5">
        <w:rPr>
          <w:rFonts w:asciiTheme="minorHAnsi" w:hAnsiTheme="minorHAnsi"/>
          <w:lang w:val="en-AU" w:eastAsia="en-AU"/>
        </w:rPr>
        <w:t>s</w:t>
      </w:r>
      <w:r w:rsidRPr="001D1CD5">
        <w:rPr>
          <w:rFonts w:asciiTheme="minorHAnsi" w:hAnsiTheme="minorHAnsi"/>
          <w:lang w:val="en-AU" w:eastAsia="en-AU"/>
        </w:rPr>
        <w:t xml:space="preserve"> should be required to meet the criteria in </w:t>
      </w:r>
      <w:proofErr w:type="spellStart"/>
      <w:r w:rsidRPr="001D1CD5">
        <w:rPr>
          <w:rFonts w:asciiTheme="minorHAnsi" w:hAnsiTheme="minorHAnsi"/>
          <w:lang w:val="en-AU" w:eastAsia="en-AU"/>
        </w:rPr>
        <w:t>s.157</w:t>
      </w:r>
      <w:proofErr w:type="spellEnd"/>
      <w:r w:rsidRPr="001D1CD5">
        <w:rPr>
          <w:rFonts w:asciiTheme="minorHAnsi" w:hAnsiTheme="minorHAnsi"/>
          <w:lang w:val="en-AU" w:eastAsia="en-AU"/>
        </w:rPr>
        <w:t>(2) of the FW Act, that is:</w:t>
      </w:r>
    </w:p>
    <w:p w14:paraId="373B262A" w14:textId="3AA40FBE" w:rsidR="001C100F" w:rsidRPr="001D1CD5" w:rsidRDefault="001C100F" w:rsidP="001C100F">
      <w:pPr>
        <w:pStyle w:val="ListParagraph"/>
        <w:widowControl w:val="0"/>
        <w:numPr>
          <w:ilvl w:val="0"/>
          <w:numId w:val="83"/>
        </w:numPr>
        <w:spacing w:after="240" w:line="276" w:lineRule="auto"/>
        <w:jc w:val="both"/>
        <w:rPr>
          <w:rFonts w:asciiTheme="minorHAnsi" w:hAnsiTheme="minorHAnsi"/>
          <w:lang w:val="en-AU"/>
        </w:rPr>
      </w:pPr>
      <w:r w:rsidRPr="001D1CD5">
        <w:rPr>
          <w:rFonts w:asciiTheme="minorHAnsi" w:hAnsiTheme="minorHAnsi"/>
          <w:lang w:val="en-AU"/>
        </w:rPr>
        <w:t xml:space="preserve">The variation must be justified by work value reasons (as defined in </w:t>
      </w:r>
      <w:proofErr w:type="spellStart"/>
      <w:r w:rsidRPr="001D1CD5">
        <w:rPr>
          <w:rFonts w:asciiTheme="minorHAnsi" w:hAnsiTheme="minorHAnsi"/>
          <w:lang w:val="en-AU"/>
        </w:rPr>
        <w:t>s.156</w:t>
      </w:r>
      <w:proofErr w:type="spellEnd"/>
      <w:r w:rsidRPr="001D1CD5">
        <w:rPr>
          <w:rFonts w:asciiTheme="minorHAnsi" w:hAnsiTheme="minorHAnsi"/>
          <w:lang w:val="en-AU"/>
        </w:rPr>
        <w:t>(4));</w:t>
      </w:r>
      <w:r w:rsidR="00CA7910">
        <w:rPr>
          <w:rFonts w:asciiTheme="minorHAnsi" w:hAnsiTheme="minorHAnsi"/>
          <w:lang w:val="en-AU"/>
        </w:rPr>
        <w:t xml:space="preserve"> and</w:t>
      </w:r>
    </w:p>
    <w:p w14:paraId="7333E59B" w14:textId="563CBE9E" w:rsidR="001C100F" w:rsidRPr="001D1CD5" w:rsidRDefault="001C100F" w:rsidP="001C100F">
      <w:pPr>
        <w:pStyle w:val="ListParagraph"/>
        <w:widowControl w:val="0"/>
        <w:numPr>
          <w:ilvl w:val="0"/>
          <w:numId w:val="83"/>
        </w:numPr>
        <w:spacing w:after="240" w:line="276" w:lineRule="auto"/>
        <w:jc w:val="both"/>
        <w:rPr>
          <w:rFonts w:asciiTheme="minorHAnsi" w:hAnsiTheme="minorHAnsi"/>
          <w:lang w:val="en-AU"/>
        </w:rPr>
      </w:pPr>
      <w:r w:rsidRPr="001D1CD5">
        <w:rPr>
          <w:rFonts w:asciiTheme="minorHAnsi" w:hAnsiTheme="minorHAnsi"/>
          <w:lang w:val="en-AU"/>
        </w:rPr>
        <w:t>The variation must be necessary to achieve the modern awards objective</w:t>
      </w:r>
      <w:r w:rsidR="00741992">
        <w:rPr>
          <w:rFonts w:asciiTheme="minorHAnsi" w:hAnsiTheme="minorHAnsi"/>
          <w:lang w:val="en-AU"/>
        </w:rPr>
        <w:t xml:space="preserve"> (as set out in </w:t>
      </w:r>
      <w:proofErr w:type="spellStart"/>
      <w:r w:rsidR="00741992">
        <w:rPr>
          <w:rFonts w:asciiTheme="minorHAnsi" w:hAnsiTheme="minorHAnsi"/>
          <w:lang w:val="en-AU"/>
        </w:rPr>
        <w:t>s.134</w:t>
      </w:r>
      <w:proofErr w:type="spellEnd"/>
      <w:r w:rsidR="00741992">
        <w:rPr>
          <w:rFonts w:asciiTheme="minorHAnsi" w:hAnsiTheme="minorHAnsi"/>
          <w:lang w:val="en-AU"/>
        </w:rPr>
        <w:t>)</w:t>
      </w:r>
      <w:r w:rsidRPr="001D1CD5">
        <w:rPr>
          <w:rFonts w:asciiTheme="minorHAnsi" w:hAnsiTheme="minorHAnsi"/>
          <w:lang w:val="en-AU"/>
        </w:rPr>
        <w:t>.</w:t>
      </w:r>
    </w:p>
    <w:p w14:paraId="74A57A77" w14:textId="32AFB698" w:rsidR="00741992" w:rsidRDefault="001C100F" w:rsidP="00741992">
      <w:pPr>
        <w:widowControl w:val="0"/>
        <w:spacing w:after="240" w:line="276" w:lineRule="auto"/>
        <w:jc w:val="both"/>
        <w:rPr>
          <w:rFonts w:asciiTheme="minorHAnsi" w:hAnsiTheme="minorHAnsi" w:cs="Arial"/>
        </w:rPr>
      </w:pPr>
      <w:r w:rsidRPr="001D1CD5">
        <w:rPr>
          <w:rFonts w:asciiTheme="minorHAnsi" w:hAnsiTheme="minorHAnsi"/>
          <w:lang w:val="en-AU" w:eastAsia="en-AU"/>
        </w:rPr>
        <w:t xml:space="preserve">“Work value” is an extremely important consideration in the making and varying of award minimum wages. </w:t>
      </w:r>
      <w:r w:rsidR="009F37DD" w:rsidRPr="001D1CD5">
        <w:rPr>
          <w:rFonts w:asciiTheme="minorHAnsi" w:hAnsiTheme="minorHAnsi"/>
          <w:lang w:val="en-AU" w:eastAsia="en-AU"/>
        </w:rPr>
        <w:t>If this requirement was removed,</w:t>
      </w:r>
      <w:r w:rsidRPr="001D1CD5">
        <w:rPr>
          <w:rFonts w:asciiTheme="minorHAnsi" w:hAnsiTheme="minorHAnsi"/>
          <w:lang w:val="en-AU" w:eastAsia="en-AU"/>
        </w:rPr>
        <w:t xml:space="preserve"> the safety net or minimum wages across awards</w:t>
      </w:r>
      <w:r w:rsidR="009F37DD" w:rsidRPr="001D1CD5">
        <w:rPr>
          <w:rFonts w:asciiTheme="minorHAnsi" w:hAnsiTheme="minorHAnsi"/>
          <w:lang w:val="en-AU" w:eastAsia="en-AU"/>
        </w:rPr>
        <w:t xml:space="preserve"> could be distorted and destabilised</w:t>
      </w:r>
      <w:r w:rsidRPr="001D1CD5">
        <w:rPr>
          <w:rFonts w:asciiTheme="minorHAnsi" w:hAnsiTheme="minorHAnsi"/>
          <w:lang w:val="en-AU" w:eastAsia="en-AU"/>
        </w:rPr>
        <w:t>.</w:t>
      </w:r>
      <w:r w:rsidR="009F37DD" w:rsidRPr="001D1CD5">
        <w:rPr>
          <w:rFonts w:asciiTheme="minorHAnsi" w:hAnsiTheme="minorHAnsi"/>
          <w:lang w:val="en-AU" w:eastAsia="en-AU"/>
        </w:rPr>
        <w:t xml:space="preserve"> </w:t>
      </w:r>
      <w:r w:rsidRPr="001D1CD5">
        <w:rPr>
          <w:rFonts w:asciiTheme="minorHAnsi" w:hAnsiTheme="minorHAnsi" w:cs="Arial"/>
        </w:rPr>
        <w:t xml:space="preserve">Since 1989, a vast amount of work has been done in achieving consistency and equity in the classifications and wage rates within and across awards. </w:t>
      </w:r>
    </w:p>
    <w:p w14:paraId="52422ECC" w14:textId="7A0388D6" w:rsidR="001C100F" w:rsidRPr="001D1CD5" w:rsidRDefault="009F37DD" w:rsidP="009F37DD">
      <w:pPr>
        <w:widowControl w:val="0"/>
        <w:spacing w:after="240" w:line="276" w:lineRule="auto"/>
        <w:jc w:val="both"/>
        <w:rPr>
          <w:rFonts w:asciiTheme="minorHAnsi" w:hAnsiTheme="minorHAnsi"/>
          <w:lang w:val="en-AU" w:eastAsia="en-AU"/>
        </w:rPr>
      </w:pPr>
      <w:r w:rsidRPr="001D1CD5">
        <w:rPr>
          <w:rFonts w:asciiTheme="minorHAnsi" w:hAnsiTheme="minorHAnsi" w:cs="Arial"/>
        </w:rPr>
        <w:lastRenderedPageBreak/>
        <w:t>T</w:t>
      </w:r>
      <w:r w:rsidR="001C100F" w:rsidRPr="001D1CD5">
        <w:rPr>
          <w:rFonts w:asciiTheme="minorHAnsi" w:hAnsiTheme="minorHAnsi" w:cs="Arial"/>
        </w:rPr>
        <w:t xml:space="preserve">he 1991 </w:t>
      </w:r>
      <w:r w:rsidR="001C100F" w:rsidRPr="001D1CD5">
        <w:rPr>
          <w:rFonts w:asciiTheme="minorHAnsi" w:hAnsiTheme="minorHAnsi" w:cs="Arial"/>
          <w:i/>
        </w:rPr>
        <w:t>National Wage Case Decision</w:t>
      </w:r>
      <w:r w:rsidR="001C100F" w:rsidRPr="001D1CD5">
        <w:rPr>
          <w:rFonts w:asciiTheme="minorHAnsi" w:hAnsiTheme="minorHAnsi" w:cs="Arial"/>
        </w:rPr>
        <w:t xml:space="preserve"> (Print </w:t>
      </w:r>
      <w:proofErr w:type="spellStart"/>
      <w:r w:rsidR="001C100F" w:rsidRPr="001D1CD5">
        <w:rPr>
          <w:rFonts w:asciiTheme="minorHAnsi" w:hAnsiTheme="minorHAnsi" w:cs="Arial"/>
        </w:rPr>
        <w:t>J7400</w:t>
      </w:r>
      <w:proofErr w:type="spellEnd"/>
      <w:r w:rsidR="001C100F" w:rsidRPr="001D1CD5">
        <w:rPr>
          <w:rFonts w:asciiTheme="minorHAnsi" w:hAnsiTheme="minorHAnsi" w:cs="Arial"/>
        </w:rPr>
        <w:t>) provides the following account of the lack of fairness which existed in award classification structures and wage rates prior to 1989 and the problems which such inequity caused. The extract also explains the structural efficiency exercise which was embarked upon from 1989 to address the problems</w:t>
      </w:r>
      <w:r w:rsidRPr="001D1CD5">
        <w:rPr>
          <w:rFonts w:asciiTheme="minorHAnsi" w:hAnsiTheme="minorHAnsi" w:cs="Arial"/>
        </w:rPr>
        <w:t xml:space="preserve"> (emphasis added)</w:t>
      </w:r>
      <w:r w:rsidR="001C100F" w:rsidRPr="001D1CD5">
        <w:rPr>
          <w:rFonts w:asciiTheme="minorHAnsi" w:hAnsiTheme="minorHAnsi" w:cs="Arial"/>
        </w:rPr>
        <w:t>:</w:t>
      </w:r>
    </w:p>
    <w:p w14:paraId="500A1B34" w14:textId="77777777" w:rsidR="001C100F" w:rsidRPr="001D1CD5" w:rsidRDefault="001C100F" w:rsidP="009F37DD">
      <w:pPr>
        <w:spacing w:after="120" w:line="276" w:lineRule="auto"/>
        <w:ind w:left="720"/>
        <w:jc w:val="both"/>
        <w:rPr>
          <w:rFonts w:asciiTheme="minorHAnsi" w:hAnsiTheme="minorHAnsi"/>
          <w:i/>
          <w:lang w:eastAsia="en-AU"/>
        </w:rPr>
      </w:pPr>
      <w:r w:rsidRPr="001D1CD5">
        <w:rPr>
          <w:rFonts w:asciiTheme="minorHAnsi" w:hAnsiTheme="minorHAnsi"/>
          <w:i/>
          <w:lang w:eastAsia="en-AU"/>
        </w:rPr>
        <w:t xml:space="preserve">"The result is there exist in federal awards widespread examples of the prescription of different rates of pay for employees performing the same work but this is only part of the problem. </w:t>
      </w:r>
      <w:r w:rsidRPr="001D1CD5">
        <w:rPr>
          <w:rFonts w:asciiTheme="minorHAnsi" w:hAnsiTheme="minorHAnsi"/>
          <w:i/>
          <w:u w:val="single"/>
          <w:lang w:eastAsia="en-AU"/>
        </w:rPr>
        <w:t>For too long there have existed inequitable relationships among various classifications of employees</w:t>
      </w:r>
      <w:r w:rsidRPr="001D1CD5">
        <w:rPr>
          <w:rFonts w:asciiTheme="minorHAnsi" w:hAnsiTheme="minorHAnsi"/>
          <w:i/>
          <w:lang w:eastAsia="en-AU"/>
        </w:rPr>
        <w:t xml:space="preserve">. That this situation exists can be traced to features of the industrial relations system such as different attitudes adopted in relation to the adjustment of minimum rates and paid rates awards; different attitudes taken to the inclusion of </w:t>
      </w:r>
      <w:proofErr w:type="spellStart"/>
      <w:r w:rsidRPr="001D1CD5">
        <w:rPr>
          <w:rFonts w:asciiTheme="minorHAnsi" w:hAnsiTheme="minorHAnsi"/>
          <w:i/>
          <w:lang w:eastAsia="en-AU"/>
        </w:rPr>
        <w:t>overaward</w:t>
      </w:r>
      <w:proofErr w:type="spellEnd"/>
      <w:r w:rsidRPr="001D1CD5">
        <w:rPr>
          <w:rFonts w:asciiTheme="minorHAnsi" w:hAnsiTheme="minorHAnsi"/>
          <w:i/>
          <w:lang w:eastAsia="en-AU"/>
        </w:rPr>
        <w:t xml:space="preserve"> elements in awards, be they minimum rates or paid rates awards; the inclusion of supplementary payments in some awards and not others; and the different attitudes taken to consent arrangements and arbitrated awards.</w:t>
      </w:r>
    </w:p>
    <w:p w14:paraId="2EC28497" w14:textId="77777777" w:rsidR="001C100F" w:rsidRPr="001D1CD5" w:rsidRDefault="001C100F" w:rsidP="009F37DD">
      <w:pPr>
        <w:spacing w:after="120" w:line="276" w:lineRule="auto"/>
        <w:ind w:left="720"/>
        <w:jc w:val="both"/>
        <w:rPr>
          <w:rFonts w:asciiTheme="minorHAnsi" w:hAnsiTheme="minorHAnsi"/>
          <w:i/>
          <w:lang w:eastAsia="en-AU"/>
        </w:rPr>
      </w:pPr>
      <w:r w:rsidRPr="001D1CD5">
        <w:rPr>
          <w:rFonts w:asciiTheme="minorHAnsi" w:hAnsiTheme="minorHAnsi"/>
          <w:i/>
          <w:lang w:eastAsia="en-AU"/>
        </w:rPr>
        <w:t>There is a further dimension to the problem. Employers have introduced and will continue to introduce wage relativities both as between employees employed under the same award and employees covered by other awards in a particular establishment. These relativities can vary from workplace to workplace and may bear no resemblance to the relativities set in the award or awards concerned."</w:t>
      </w:r>
    </w:p>
    <w:p w14:paraId="77656181" w14:textId="77777777" w:rsidR="001C100F" w:rsidRPr="001D1CD5" w:rsidRDefault="001C100F" w:rsidP="009F37DD">
      <w:pPr>
        <w:spacing w:after="120" w:line="276" w:lineRule="auto"/>
        <w:ind w:left="720"/>
        <w:jc w:val="both"/>
        <w:rPr>
          <w:rFonts w:asciiTheme="minorHAnsi" w:hAnsiTheme="minorHAnsi"/>
          <w:i/>
          <w:u w:val="single"/>
          <w:lang w:eastAsia="en-AU"/>
        </w:rPr>
      </w:pPr>
      <w:r w:rsidRPr="001D1CD5">
        <w:rPr>
          <w:rFonts w:asciiTheme="minorHAnsi" w:hAnsiTheme="minorHAnsi"/>
          <w:i/>
          <w:u w:val="single"/>
          <w:lang w:eastAsia="en-AU"/>
        </w:rPr>
        <w:t>The Commission noted that this situation had inevitably caused feelings of injustice leading to industrial disputation and "flow-on" settlements and:</w:t>
      </w:r>
    </w:p>
    <w:p w14:paraId="075A8B1A" w14:textId="77777777" w:rsidR="001C100F" w:rsidRPr="001D1CD5" w:rsidRDefault="001C100F" w:rsidP="00CA7910">
      <w:pPr>
        <w:spacing w:after="120" w:line="276" w:lineRule="auto"/>
        <w:ind w:left="1440"/>
        <w:jc w:val="both"/>
        <w:rPr>
          <w:rFonts w:asciiTheme="minorHAnsi" w:hAnsiTheme="minorHAnsi"/>
          <w:i/>
          <w:lang w:eastAsia="en-AU"/>
        </w:rPr>
      </w:pPr>
      <w:r w:rsidRPr="001D1CD5">
        <w:rPr>
          <w:rFonts w:asciiTheme="minorHAnsi" w:hAnsiTheme="minorHAnsi"/>
          <w:i/>
          <w:u w:val="single"/>
          <w:lang w:eastAsia="en-AU"/>
        </w:rPr>
        <w:t xml:space="preserve">". . . has also led to economically unsustainable general wage increases, particularly when attempts have been made to move away from a highly </w:t>
      </w:r>
      <w:proofErr w:type="spellStart"/>
      <w:r w:rsidRPr="001D1CD5">
        <w:rPr>
          <w:rFonts w:asciiTheme="minorHAnsi" w:hAnsiTheme="minorHAnsi"/>
          <w:i/>
          <w:u w:val="single"/>
          <w:lang w:eastAsia="en-AU"/>
        </w:rPr>
        <w:t>centralised</w:t>
      </w:r>
      <w:proofErr w:type="spellEnd"/>
      <w:r w:rsidRPr="001D1CD5">
        <w:rPr>
          <w:rFonts w:asciiTheme="minorHAnsi" w:hAnsiTheme="minorHAnsi"/>
          <w:i/>
          <w:u w:val="single"/>
          <w:lang w:eastAsia="en-AU"/>
        </w:rPr>
        <w:t xml:space="preserve"> system, which have severely affected the state of the national economy</w:t>
      </w:r>
      <w:r w:rsidRPr="001D1CD5">
        <w:rPr>
          <w:rFonts w:asciiTheme="minorHAnsi" w:hAnsiTheme="minorHAnsi"/>
          <w:i/>
          <w:lang w:eastAsia="en-AU"/>
        </w:rPr>
        <w:t>."</w:t>
      </w:r>
    </w:p>
    <w:p w14:paraId="379713E0" w14:textId="77777777" w:rsidR="001C100F" w:rsidRPr="001D1CD5" w:rsidRDefault="001C100F" w:rsidP="00CA7910">
      <w:pPr>
        <w:spacing w:after="120" w:line="276" w:lineRule="auto"/>
        <w:ind w:left="1440"/>
        <w:jc w:val="both"/>
        <w:rPr>
          <w:rFonts w:asciiTheme="minorHAnsi" w:hAnsiTheme="minorHAnsi"/>
          <w:i/>
          <w:lang w:eastAsia="en-AU"/>
        </w:rPr>
      </w:pPr>
      <w:r w:rsidRPr="001D1CD5">
        <w:rPr>
          <w:rFonts w:asciiTheme="minorHAnsi" w:hAnsiTheme="minorHAnsi"/>
          <w:i/>
          <w:u w:val="single"/>
          <w:lang w:eastAsia="en-AU"/>
        </w:rPr>
        <w:t xml:space="preserve">The Commission concluded that this situation had to be corrected; otherwise continuing instability within and between awards would seriously reduce the effect of moves to </w:t>
      </w:r>
      <w:proofErr w:type="spellStart"/>
      <w:r w:rsidRPr="001D1CD5">
        <w:rPr>
          <w:rFonts w:asciiTheme="minorHAnsi" w:hAnsiTheme="minorHAnsi"/>
          <w:i/>
          <w:u w:val="single"/>
          <w:lang w:eastAsia="en-AU"/>
        </w:rPr>
        <w:t>modernise</w:t>
      </w:r>
      <w:proofErr w:type="spellEnd"/>
      <w:r w:rsidRPr="001D1CD5">
        <w:rPr>
          <w:rFonts w:asciiTheme="minorHAnsi" w:hAnsiTheme="minorHAnsi"/>
          <w:i/>
          <w:u w:val="single"/>
          <w:lang w:eastAsia="en-AU"/>
        </w:rPr>
        <w:t xml:space="preserve"> those awards. Consequently it determined that</w:t>
      </w:r>
      <w:r w:rsidRPr="001D1CD5">
        <w:rPr>
          <w:rFonts w:asciiTheme="minorHAnsi" w:hAnsiTheme="minorHAnsi"/>
          <w:i/>
          <w:lang w:eastAsia="en-AU"/>
        </w:rPr>
        <w:t>:</w:t>
      </w:r>
    </w:p>
    <w:p w14:paraId="39E25164" w14:textId="77777777" w:rsidR="001C100F" w:rsidRPr="001D1CD5" w:rsidRDefault="001C100F" w:rsidP="00CA7910">
      <w:pPr>
        <w:spacing w:after="120" w:line="276" w:lineRule="auto"/>
        <w:ind w:left="1440"/>
        <w:jc w:val="both"/>
        <w:rPr>
          <w:rFonts w:asciiTheme="minorHAnsi" w:hAnsiTheme="minorHAnsi"/>
          <w:i/>
          <w:lang w:eastAsia="en-AU"/>
        </w:rPr>
      </w:pPr>
      <w:r w:rsidRPr="001D1CD5">
        <w:rPr>
          <w:rFonts w:asciiTheme="minorHAnsi" w:hAnsiTheme="minorHAnsi"/>
          <w:i/>
          <w:u w:val="single"/>
          <w:lang w:eastAsia="en-AU"/>
        </w:rPr>
        <w:t>". . . minimum rates awards will be reviewed to ensure that classification rates and supplementary payments in an award bear a proper relationship to classification rates and supplementary payments in other minimum rates awards</w:t>
      </w:r>
      <w:r w:rsidRPr="001D1CD5">
        <w:rPr>
          <w:rFonts w:asciiTheme="minorHAnsi" w:hAnsiTheme="minorHAnsi"/>
          <w:i/>
          <w:lang w:eastAsia="en-AU"/>
        </w:rPr>
        <w:t>".</w:t>
      </w:r>
    </w:p>
    <w:p w14:paraId="3A593B13" w14:textId="77777777" w:rsidR="001C100F" w:rsidRPr="001D1CD5" w:rsidRDefault="001C100F" w:rsidP="009F37DD">
      <w:pPr>
        <w:spacing w:after="120" w:line="276" w:lineRule="auto"/>
        <w:ind w:left="720"/>
        <w:jc w:val="both"/>
        <w:rPr>
          <w:rFonts w:asciiTheme="minorHAnsi" w:hAnsiTheme="minorHAnsi"/>
          <w:i/>
          <w:lang w:eastAsia="en-AU"/>
        </w:rPr>
      </w:pPr>
      <w:r w:rsidRPr="001D1CD5">
        <w:rPr>
          <w:rFonts w:asciiTheme="minorHAnsi" w:hAnsiTheme="minorHAnsi"/>
          <w:i/>
          <w:lang w:eastAsia="en-AU"/>
        </w:rPr>
        <w:t>The Commission stated in its August 1989 National Wage Case decision that its decision had to be read in conjunction with the August 1988 National Wage Case decision and the February 1989 Review decision. It also elaborated on what had been said in the February 1989 Review decision about the requirement to review relationships between classification rates and supplementary payments in minimum rates awards, stating:</w:t>
      </w:r>
    </w:p>
    <w:p w14:paraId="0C3C2843" w14:textId="77777777" w:rsidR="001C100F" w:rsidRPr="001D1CD5" w:rsidRDefault="001C100F" w:rsidP="009F37DD">
      <w:pPr>
        <w:spacing w:after="120" w:line="276" w:lineRule="auto"/>
        <w:ind w:left="1440"/>
        <w:jc w:val="both"/>
        <w:rPr>
          <w:rFonts w:asciiTheme="minorHAnsi" w:hAnsiTheme="minorHAnsi"/>
          <w:i/>
          <w:lang w:eastAsia="en-AU"/>
        </w:rPr>
      </w:pPr>
      <w:r w:rsidRPr="001D1CD5">
        <w:rPr>
          <w:rFonts w:asciiTheme="minorHAnsi" w:hAnsiTheme="minorHAnsi"/>
          <w:i/>
          <w:lang w:eastAsia="en-AU"/>
        </w:rPr>
        <w:t xml:space="preserve">". . . </w:t>
      </w:r>
      <w:r w:rsidRPr="001D1CD5">
        <w:rPr>
          <w:rFonts w:asciiTheme="minorHAnsi" w:hAnsiTheme="minorHAnsi"/>
          <w:i/>
          <w:u w:val="single"/>
          <w:lang w:eastAsia="en-AU"/>
        </w:rPr>
        <w:t>we have decided that the minimum classification rate to be established over time for a metal industry tradesperson and a building industry tradesperson should be $356.30 per week</w:t>
      </w:r>
      <w:r w:rsidRPr="001D1CD5">
        <w:rPr>
          <w:rFonts w:asciiTheme="minorHAnsi" w:hAnsiTheme="minorHAnsi"/>
          <w:i/>
          <w:lang w:eastAsia="en-AU"/>
        </w:rPr>
        <w:t xml:space="preserve"> with a $50.70 per week supplementary payment. The minimum classification rate of $356.30 per week would reflect the final effect of the structural efficiency adjustment determined by this decision.</w:t>
      </w:r>
    </w:p>
    <w:p w14:paraId="643F95F3" w14:textId="403D49C4" w:rsidR="001C100F" w:rsidRPr="001D1CD5" w:rsidRDefault="001C100F" w:rsidP="009F37DD">
      <w:pPr>
        <w:spacing w:before="100" w:beforeAutospacing="1" w:after="100" w:afterAutospacing="1" w:line="276" w:lineRule="auto"/>
        <w:ind w:left="1440"/>
        <w:jc w:val="both"/>
        <w:rPr>
          <w:rFonts w:asciiTheme="minorHAnsi" w:hAnsiTheme="minorHAnsi"/>
          <w:i/>
          <w:lang w:eastAsia="en-AU"/>
        </w:rPr>
      </w:pPr>
      <w:r w:rsidRPr="001D1CD5">
        <w:rPr>
          <w:rFonts w:asciiTheme="minorHAnsi" w:hAnsiTheme="minorHAnsi"/>
          <w:i/>
          <w:u w:val="single"/>
          <w:lang w:eastAsia="en-AU"/>
        </w:rPr>
        <w:lastRenderedPageBreak/>
        <w:t>Minimum classification rates and supplementary payments for other classifications throughout awards should be set in individual cases in relation to these rates on the basis of relative skill, responsibility and the conditions under which the particular work is normally performed. The Commission will only approve relativities in a particular award when satisfied that they are consistent with the rates and relativities fixed for comparable classifications in other awards</w:t>
      </w:r>
      <w:r w:rsidRPr="001D1CD5">
        <w:rPr>
          <w:rFonts w:asciiTheme="minorHAnsi" w:hAnsiTheme="minorHAnsi"/>
          <w:i/>
          <w:lang w:eastAsia="en-AU"/>
        </w:rPr>
        <w:t>. Before that requirement can be satisfied clear definitions will have to be established</w:t>
      </w:r>
      <w:r w:rsidR="009F37DD" w:rsidRPr="001D1CD5">
        <w:rPr>
          <w:rFonts w:asciiTheme="minorHAnsi" w:hAnsiTheme="minorHAnsi"/>
          <w:i/>
          <w:lang w:eastAsia="en-AU"/>
        </w:rPr>
        <w:t>.”</w:t>
      </w:r>
    </w:p>
    <w:p w14:paraId="76687DEA" w14:textId="7B9A668A" w:rsidR="001C100F" w:rsidRPr="001D1CD5" w:rsidRDefault="001C100F" w:rsidP="009F37DD">
      <w:pPr>
        <w:pStyle w:val="Legal2"/>
        <w:widowControl w:val="0"/>
        <w:snapToGrid/>
        <w:spacing w:after="240" w:line="276" w:lineRule="auto"/>
        <w:ind w:left="0"/>
        <w:rPr>
          <w:rFonts w:asciiTheme="minorHAnsi" w:hAnsiTheme="minorHAnsi" w:cs="Arial"/>
        </w:rPr>
      </w:pPr>
      <w:r w:rsidRPr="001D1CD5">
        <w:rPr>
          <w:rFonts w:asciiTheme="minorHAnsi" w:hAnsiTheme="minorHAnsi" w:cs="Arial"/>
        </w:rPr>
        <w:t xml:space="preserve">The outcomes of the </w:t>
      </w:r>
      <w:r w:rsidR="009F37DD" w:rsidRPr="001D1CD5">
        <w:rPr>
          <w:rFonts w:asciiTheme="minorHAnsi" w:hAnsiTheme="minorHAnsi" w:cs="Arial"/>
        </w:rPr>
        <w:t xml:space="preserve">abovementioned </w:t>
      </w:r>
      <w:r w:rsidRPr="001D1CD5">
        <w:rPr>
          <w:rFonts w:asciiTheme="minorHAnsi" w:hAnsiTheme="minorHAnsi" w:cs="Arial"/>
        </w:rPr>
        <w:t>structural efficiency exercise are embedded in the wage rates and classification structures in modern awards. To a large extent modern award wage and classification structures still bear a relationship to the wage rate</w:t>
      </w:r>
      <w:r w:rsidR="009F37DD" w:rsidRPr="001D1CD5">
        <w:rPr>
          <w:rFonts w:asciiTheme="minorHAnsi" w:hAnsiTheme="minorHAnsi" w:cs="Arial"/>
        </w:rPr>
        <w:t xml:space="preserve"> for a base tradesperson (</w:t>
      </w:r>
      <w:proofErr w:type="spellStart"/>
      <w:r w:rsidR="009F37DD" w:rsidRPr="001D1CD5">
        <w:rPr>
          <w:rFonts w:asciiTheme="minorHAnsi" w:hAnsiTheme="minorHAnsi" w:cs="Arial"/>
        </w:rPr>
        <w:t>C10</w:t>
      </w:r>
      <w:proofErr w:type="spellEnd"/>
      <w:r w:rsidR="009F37DD" w:rsidRPr="001D1CD5">
        <w:rPr>
          <w:rFonts w:asciiTheme="minorHAnsi" w:hAnsiTheme="minorHAnsi" w:cs="Arial"/>
        </w:rPr>
        <w:t xml:space="preserve">) </w:t>
      </w:r>
      <w:r w:rsidR="00CA7910">
        <w:rPr>
          <w:rFonts w:asciiTheme="minorHAnsi" w:hAnsiTheme="minorHAnsi" w:cs="Arial"/>
        </w:rPr>
        <w:t xml:space="preserve">under </w:t>
      </w:r>
      <w:r w:rsidRPr="001D1CD5">
        <w:rPr>
          <w:rFonts w:asciiTheme="minorHAnsi" w:hAnsiTheme="minorHAnsi" w:cs="Arial"/>
        </w:rPr>
        <w:t xml:space="preserve">the Metal Industry Award (now the Manufacturing Modern Award). </w:t>
      </w:r>
    </w:p>
    <w:p w14:paraId="6D0CD1D8" w14:textId="1E260D4E" w:rsidR="009F37DD" w:rsidRPr="001D1CD5" w:rsidRDefault="009F37DD" w:rsidP="009F37DD">
      <w:pPr>
        <w:pStyle w:val="Legal2"/>
        <w:widowControl w:val="0"/>
        <w:snapToGrid/>
        <w:spacing w:after="240" w:line="276" w:lineRule="auto"/>
        <w:ind w:left="0"/>
        <w:rPr>
          <w:rFonts w:asciiTheme="minorHAnsi" w:hAnsiTheme="minorHAnsi" w:cs="Arial"/>
        </w:rPr>
      </w:pPr>
      <w:r w:rsidRPr="001D1CD5">
        <w:rPr>
          <w:rFonts w:asciiTheme="minorHAnsi" w:hAnsiTheme="minorHAnsi" w:cs="Arial"/>
        </w:rPr>
        <w:t>Moving away from the work value requirement would risk the reinstatement of the wage leapfrogging and inequity problems that existed prior to 1989</w:t>
      </w:r>
      <w:r w:rsidR="00A64467" w:rsidRPr="001D1CD5">
        <w:rPr>
          <w:rFonts w:asciiTheme="minorHAnsi" w:hAnsiTheme="minorHAnsi" w:cs="Arial"/>
        </w:rPr>
        <w:t>. These problems</w:t>
      </w:r>
      <w:r w:rsidRPr="001D1CD5">
        <w:rPr>
          <w:rFonts w:asciiTheme="minorHAnsi" w:hAnsiTheme="minorHAnsi" w:cs="Arial"/>
        </w:rPr>
        <w:t xml:space="preserve"> have not existed since that time.</w:t>
      </w:r>
    </w:p>
    <w:p w14:paraId="55C14331" w14:textId="116DABCC" w:rsidR="001C100F" w:rsidRPr="001D1CD5" w:rsidRDefault="009F37DD" w:rsidP="009F37DD">
      <w:pPr>
        <w:pStyle w:val="Legal2"/>
        <w:widowControl w:val="0"/>
        <w:snapToGrid/>
        <w:spacing w:after="240" w:line="276" w:lineRule="auto"/>
        <w:ind w:left="0"/>
        <w:rPr>
          <w:rFonts w:asciiTheme="minorHAnsi" w:hAnsiTheme="minorHAnsi" w:cs="Arial"/>
        </w:rPr>
      </w:pPr>
      <w:r w:rsidRPr="001D1CD5">
        <w:rPr>
          <w:rFonts w:asciiTheme="minorHAnsi" w:hAnsiTheme="minorHAnsi" w:cs="Arial"/>
        </w:rPr>
        <w:t xml:space="preserve">Ai Group does not agree with the view expressed by the Productivity Commission on page 440 that the work value requirements should be removed to enable the </w:t>
      </w:r>
      <w:proofErr w:type="spellStart"/>
      <w:r w:rsidRPr="001D1CD5">
        <w:rPr>
          <w:rFonts w:asciiTheme="minorHAnsi" w:hAnsiTheme="minorHAnsi" w:cs="Arial"/>
        </w:rPr>
        <w:t>FWC</w:t>
      </w:r>
      <w:proofErr w:type="spellEnd"/>
      <w:r w:rsidRPr="001D1CD5">
        <w:rPr>
          <w:rFonts w:asciiTheme="minorHAnsi" w:hAnsiTheme="minorHAnsi" w:cs="Arial"/>
        </w:rPr>
        <w:t xml:space="preserve"> </w:t>
      </w:r>
      <w:r w:rsidR="00A64467" w:rsidRPr="001D1CD5">
        <w:rPr>
          <w:rFonts w:asciiTheme="minorHAnsi" w:hAnsiTheme="minorHAnsi" w:cs="Arial"/>
        </w:rPr>
        <w:t xml:space="preserve">to roll rarely </w:t>
      </w:r>
      <w:r w:rsidRPr="001D1CD5">
        <w:rPr>
          <w:rFonts w:asciiTheme="minorHAnsi" w:hAnsiTheme="minorHAnsi" w:cs="Arial"/>
        </w:rPr>
        <w:t>used allowances into minimum wage rates. If an allowance is rarely used there can be no justification for extending that payment to all employees covered by the award.</w:t>
      </w:r>
    </w:p>
    <w:p w14:paraId="6E962133" w14:textId="721ACEC1" w:rsidR="00FB51B0" w:rsidRPr="001D1CD5" w:rsidRDefault="00FB51B0" w:rsidP="00FB51B0">
      <w:pPr>
        <w:widowControl w:val="0"/>
        <w:spacing w:after="240" w:line="276" w:lineRule="auto"/>
        <w:jc w:val="both"/>
        <w:rPr>
          <w:rFonts w:asciiTheme="minorHAnsi" w:hAnsiTheme="minorHAnsi"/>
          <w:lang w:val="en-AU" w:eastAsia="en-AU"/>
        </w:rPr>
      </w:pPr>
      <w:r w:rsidRPr="001D1CD5">
        <w:rPr>
          <w:rFonts w:asciiTheme="minorHAnsi" w:hAnsiTheme="minorHAnsi"/>
          <w:lang w:val="en-AU" w:eastAsia="en-AU"/>
        </w:rPr>
        <w:t>The Productivity Commission on page 451 notes “</w:t>
      </w:r>
      <w:r w:rsidRPr="001D1CD5">
        <w:rPr>
          <w:rFonts w:asciiTheme="minorHAnsi" w:hAnsiTheme="minorHAnsi"/>
          <w:i/>
          <w:lang w:val="en-AU" w:eastAsia="en-AU"/>
        </w:rPr>
        <w:t xml:space="preserve">that the </w:t>
      </w:r>
      <w:proofErr w:type="spellStart"/>
      <w:r w:rsidRPr="001D1CD5">
        <w:rPr>
          <w:rFonts w:asciiTheme="minorHAnsi" w:hAnsiTheme="minorHAnsi"/>
          <w:i/>
          <w:lang w:val="en-AU" w:eastAsia="en-AU"/>
        </w:rPr>
        <w:t>FWC</w:t>
      </w:r>
      <w:proofErr w:type="spellEnd"/>
      <w:r w:rsidRPr="001D1CD5">
        <w:rPr>
          <w:rFonts w:asciiTheme="minorHAnsi" w:hAnsiTheme="minorHAnsi"/>
          <w:i/>
          <w:lang w:val="en-AU" w:eastAsia="en-AU"/>
        </w:rPr>
        <w:t xml:space="preserve"> should take a forensic approach to unemployment and business risks for different groups of awards, and be open to decreases (or slower increases) in wage rates if this is likely to preserve jobs</w:t>
      </w:r>
      <w:r w:rsidRPr="001D1CD5">
        <w:rPr>
          <w:rFonts w:asciiTheme="minorHAnsi" w:hAnsiTheme="minorHAnsi"/>
          <w:lang w:val="en-AU" w:eastAsia="en-AU"/>
        </w:rPr>
        <w:t>”. Ai Group agrees with this comment in the context of annual wage review outcomes. The existing “exceptional circumstances” provision</w:t>
      </w:r>
      <w:r w:rsidR="004B2E35" w:rsidRPr="001D1CD5">
        <w:rPr>
          <w:rFonts w:asciiTheme="minorHAnsi" w:hAnsiTheme="minorHAnsi"/>
          <w:lang w:val="en-AU" w:eastAsia="en-AU"/>
        </w:rPr>
        <w:t>s</w:t>
      </w:r>
      <w:r w:rsidRPr="001D1CD5">
        <w:rPr>
          <w:rFonts w:asciiTheme="minorHAnsi" w:hAnsiTheme="minorHAnsi"/>
          <w:lang w:val="en-AU" w:eastAsia="en-AU"/>
        </w:rPr>
        <w:t xml:space="preserve"> in </w:t>
      </w:r>
      <w:proofErr w:type="spellStart"/>
      <w:r w:rsidRPr="001D1CD5">
        <w:rPr>
          <w:rFonts w:asciiTheme="minorHAnsi" w:hAnsiTheme="minorHAnsi"/>
          <w:lang w:val="en-AU" w:eastAsia="en-AU"/>
        </w:rPr>
        <w:t>s.287</w:t>
      </w:r>
      <w:proofErr w:type="spellEnd"/>
      <w:r w:rsidRPr="001D1CD5">
        <w:rPr>
          <w:rFonts w:asciiTheme="minorHAnsi" w:hAnsiTheme="minorHAnsi"/>
          <w:lang w:val="en-AU" w:eastAsia="en-AU"/>
        </w:rPr>
        <w:t xml:space="preserve">(3) </w:t>
      </w:r>
      <w:r w:rsidR="004B2E35" w:rsidRPr="001D1CD5">
        <w:rPr>
          <w:rFonts w:asciiTheme="minorHAnsi" w:hAnsiTheme="minorHAnsi"/>
          <w:lang w:val="en-AU" w:eastAsia="en-AU"/>
        </w:rPr>
        <w:t>are</w:t>
      </w:r>
      <w:r w:rsidRPr="001D1CD5">
        <w:rPr>
          <w:rFonts w:asciiTheme="minorHAnsi" w:hAnsiTheme="minorHAnsi"/>
          <w:lang w:val="en-AU" w:eastAsia="en-AU"/>
        </w:rPr>
        <w:t xml:space="preserve"> very restrictive and should be relaxed to give the Expert Panel more flexibility to award lower wage increases in sectors where jobs are at risk.</w:t>
      </w:r>
    </w:p>
    <w:p w14:paraId="5066D5E5" w14:textId="705FBBCA" w:rsidR="004B2E35" w:rsidRPr="001D1CD5" w:rsidRDefault="004B2E35" w:rsidP="00FB51B0">
      <w:pPr>
        <w:widowControl w:val="0"/>
        <w:spacing w:after="240" w:line="276" w:lineRule="auto"/>
        <w:jc w:val="both"/>
        <w:rPr>
          <w:rFonts w:asciiTheme="minorHAnsi" w:hAnsiTheme="minorHAnsi"/>
          <w:lang w:val="en-AU" w:eastAsia="en-AU"/>
        </w:rPr>
      </w:pPr>
      <w:r w:rsidRPr="001D1CD5">
        <w:rPr>
          <w:rFonts w:asciiTheme="minorHAnsi" w:hAnsiTheme="minorHAnsi"/>
          <w:lang w:val="en-AU" w:eastAsia="en-AU"/>
        </w:rPr>
        <w:t>Also, as proposed in Ai Group’s March 2015 submission:</w:t>
      </w:r>
    </w:p>
    <w:p w14:paraId="469FE9C2" w14:textId="1DDA6D1A" w:rsidR="00FB51B0" w:rsidRPr="001D1CD5" w:rsidRDefault="00FB51B0" w:rsidP="00FB51B0">
      <w:pPr>
        <w:pStyle w:val="Body"/>
        <w:widowControl w:val="0"/>
        <w:numPr>
          <w:ilvl w:val="0"/>
          <w:numId w:val="80"/>
        </w:numPr>
        <w:spacing w:after="240" w:line="276" w:lineRule="auto"/>
        <w:jc w:val="both"/>
        <w:rPr>
          <w:rFonts w:asciiTheme="minorHAnsi" w:eastAsia="Calibri" w:hAnsiTheme="minorHAnsi" w:cs="Calibri"/>
          <w:color w:val="auto"/>
          <w:sz w:val="24"/>
          <w:szCs w:val="24"/>
        </w:rPr>
      </w:pPr>
      <w:r w:rsidRPr="001D1CD5">
        <w:rPr>
          <w:rFonts w:asciiTheme="minorHAnsi" w:eastAsia="Calibri" w:hAnsiTheme="minorHAnsi" w:cs="Calibri"/>
          <w:color w:val="auto"/>
          <w:sz w:val="24"/>
          <w:szCs w:val="24"/>
        </w:rPr>
        <w:t xml:space="preserve">Section 284 of the FW Act should be amended to include the following additional factor that the Expert Panel </w:t>
      </w:r>
      <w:r w:rsidR="00CA7910">
        <w:rPr>
          <w:rFonts w:asciiTheme="minorHAnsi" w:eastAsia="Calibri" w:hAnsiTheme="minorHAnsi" w:cs="Calibri"/>
          <w:color w:val="auto"/>
          <w:sz w:val="24"/>
          <w:szCs w:val="24"/>
        </w:rPr>
        <w:t xml:space="preserve">should be required to </w:t>
      </w:r>
      <w:r w:rsidRPr="001D1CD5">
        <w:rPr>
          <w:rFonts w:asciiTheme="minorHAnsi" w:eastAsia="Calibri" w:hAnsiTheme="minorHAnsi" w:cs="Calibri"/>
          <w:color w:val="auto"/>
          <w:sz w:val="24"/>
          <w:szCs w:val="24"/>
        </w:rPr>
        <w:t>take into account when varying minimum wages:</w:t>
      </w:r>
    </w:p>
    <w:p w14:paraId="7FD796A2" w14:textId="77777777" w:rsidR="00FB51B0" w:rsidRPr="001D1CD5" w:rsidRDefault="00FB51B0" w:rsidP="00FB51B0">
      <w:pPr>
        <w:pStyle w:val="Body"/>
        <w:widowControl w:val="0"/>
        <w:spacing w:after="240" w:line="276" w:lineRule="auto"/>
        <w:ind w:left="1440"/>
        <w:jc w:val="both"/>
        <w:rPr>
          <w:rFonts w:asciiTheme="minorHAnsi" w:eastAsia="Calibri" w:hAnsiTheme="minorHAnsi" w:cs="Calibri"/>
          <w:i/>
          <w:color w:val="auto"/>
          <w:sz w:val="24"/>
          <w:szCs w:val="24"/>
        </w:rPr>
      </w:pPr>
      <w:r w:rsidRPr="001D1CD5">
        <w:rPr>
          <w:rFonts w:asciiTheme="minorHAnsi" w:eastAsia="Calibri" w:hAnsiTheme="minorHAnsi" w:cs="Calibri"/>
          <w:i/>
          <w:color w:val="auto"/>
          <w:sz w:val="24"/>
          <w:szCs w:val="24"/>
        </w:rPr>
        <w:t>“The level of minimum wages in Australia compared to minimum wages in other developed countries including Australia’s major trading partners”.</w:t>
      </w:r>
    </w:p>
    <w:p w14:paraId="0CBAB8EB" w14:textId="77777777" w:rsidR="00FB51B0" w:rsidRPr="001D1CD5" w:rsidRDefault="00FB51B0" w:rsidP="00FB51B0">
      <w:pPr>
        <w:pStyle w:val="Body"/>
        <w:widowControl w:val="0"/>
        <w:numPr>
          <w:ilvl w:val="0"/>
          <w:numId w:val="80"/>
        </w:numPr>
        <w:spacing w:after="240" w:line="276" w:lineRule="auto"/>
        <w:jc w:val="both"/>
        <w:rPr>
          <w:rFonts w:asciiTheme="minorHAnsi" w:eastAsia="Calibri" w:hAnsiTheme="minorHAnsi" w:cs="Calibri"/>
          <w:i/>
          <w:color w:val="auto"/>
          <w:sz w:val="24"/>
          <w:szCs w:val="24"/>
        </w:rPr>
      </w:pPr>
      <w:r w:rsidRPr="001D1CD5">
        <w:rPr>
          <w:rFonts w:asciiTheme="minorHAnsi" w:eastAsia="Calibri" w:hAnsiTheme="minorHAnsi" w:cs="Calibri"/>
          <w:color w:val="auto"/>
          <w:sz w:val="24"/>
          <w:szCs w:val="24"/>
        </w:rPr>
        <w:t>Section 285 of the FW Act should be amended along the lines of the following to make it clear that the Expert Panel is not required to increase wages each year:</w:t>
      </w:r>
    </w:p>
    <w:p w14:paraId="5043DB31" w14:textId="41C1AE5C" w:rsidR="00741992" w:rsidRPr="00741992" w:rsidRDefault="00FB51B0" w:rsidP="00741992">
      <w:pPr>
        <w:pStyle w:val="Body"/>
        <w:widowControl w:val="0"/>
        <w:spacing w:after="240" w:line="276" w:lineRule="auto"/>
        <w:ind w:left="1418"/>
        <w:jc w:val="both"/>
        <w:rPr>
          <w:rFonts w:asciiTheme="minorHAnsi" w:eastAsia="Calibri" w:hAnsiTheme="minorHAnsi" w:cs="Calibri"/>
          <w:i/>
          <w:color w:val="auto"/>
          <w:sz w:val="24"/>
          <w:szCs w:val="24"/>
        </w:rPr>
      </w:pPr>
      <w:r w:rsidRPr="001D1CD5">
        <w:rPr>
          <w:rFonts w:asciiTheme="minorHAnsi" w:eastAsia="Calibri" w:hAnsiTheme="minorHAnsi" w:cs="Calibri"/>
          <w:i/>
          <w:color w:val="auto"/>
          <w:sz w:val="24"/>
          <w:szCs w:val="24"/>
        </w:rPr>
        <w:t>“(d)</w:t>
      </w:r>
      <w:r w:rsidRPr="001D1CD5">
        <w:rPr>
          <w:rFonts w:asciiTheme="minorHAnsi" w:eastAsia="Calibri" w:hAnsiTheme="minorHAnsi" w:cs="Calibri"/>
          <w:i/>
          <w:color w:val="auto"/>
          <w:sz w:val="24"/>
          <w:szCs w:val="24"/>
        </w:rPr>
        <w:tab/>
        <w:t>may decide to leave minimum wages at exis</w:t>
      </w:r>
      <w:r w:rsidR="00741992">
        <w:rPr>
          <w:rFonts w:asciiTheme="minorHAnsi" w:eastAsia="Calibri" w:hAnsiTheme="minorHAnsi" w:cs="Calibri"/>
          <w:i/>
          <w:color w:val="auto"/>
          <w:sz w:val="24"/>
          <w:szCs w:val="24"/>
        </w:rPr>
        <w:t>ting levels or increase wages”.</w:t>
      </w:r>
    </w:p>
    <w:p w14:paraId="57B759EF" w14:textId="77777777" w:rsidR="00741992" w:rsidRDefault="00741992">
      <w:pPr>
        <w:rPr>
          <w:rFonts w:asciiTheme="minorHAnsi" w:eastAsia="Calibri" w:hAnsiTheme="minorHAnsi" w:cs="Calibri"/>
          <w:u w:color="000000"/>
          <w:lang w:eastAsia="en-AU"/>
        </w:rPr>
      </w:pPr>
      <w:r>
        <w:rPr>
          <w:rFonts w:asciiTheme="minorHAnsi" w:eastAsia="Calibri" w:hAnsiTheme="minorHAnsi" w:cs="Calibri"/>
        </w:rPr>
        <w:br w:type="page"/>
      </w:r>
    </w:p>
    <w:p w14:paraId="02692B7F" w14:textId="3E4AD417" w:rsidR="00FB51B0" w:rsidRPr="001D1CD5" w:rsidRDefault="0023347A" w:rsidP="00FB51B0">
      <w:pPr>
        <w:pStyle w:val="Body"/>
        <w:widowControl w:val="0"/>
        <w:spacing w:after="240" w:line="276" w:lineRule="auto"/>
        <w:jc w:val="both"/>
        <w:rPr>
          <w:rFonts w:asciiTheme="minorHAnsi" w:eastAsia="Calibri" w:hAnsiTheme="minorHAnsi" w:cs="Calibri"/>
          <w:color w:val="auto"/>
          <w:sz w:val="24"/>
          <w:szCs w:val="24"/>
        </w:rPr>
      </w:pPr>
      <w:r>
        <w:rPr>
          <w:rFonts w:asciiTheme="minorHAnsi" w:eastAsia="Calibri" w:hAnsiTheme="minorHAnsi" w:cs="Calibri"/>
          <w:color w:val="auto"/>
          <w:sz w:val="24"/>
          <w:szCs w:val="24"/>
        </w:rPr>
        <w:lastRenderedPageBreak/>
        <w:t>In its Draft Report, t</w:t>
      </w:r>
      <w:r w:rsidR="0061434F" w:rsidRPr="001D1CD5">
        <w:rPr>
          <w:rFonts w:asciiTheme="minorHAnsi" w:eastAsia="Calibri" w:hAnsiTheme="minorHAnsi" w:cs="Calibri"/>
          <w:color w:val="auto"/>
          <w:sz w:val="24"/>
          <w:szCs w:val="24"/>
        </w:rPr>
        <w:t xml:space="preserve">he Productivity Commission has </w:t>
      </w:r>
      <w:r w:rsidR="00022948">
        <w:rPr>
          <w:rFonts w:asciiTheme="minorHAnsi" w:eastAsia="Calibri" w:hAnsiTheme="minorHAnsi" w:cs="Calibri"/>
          <w:color w:val="auto"/>
          <w:sz w:val="24"/>
          <w:szCs w:val="24"/>
        </w:rPr>
        <w:t>emphasiz</w:t>
      </w:r>
      <w:r>
        <w:rPr>
          <w:rFonts w:asciiTheme="minorHAnsi" w:eastAsia="Calibri" w:hAnsiTheme="minorHAnsi" w:cs="Calibri"/>
          <w:color w:val="auto"/>
          <w:sz w:val="24"/>
          <w:szCs w:val="24"/>
        </w:rPr>
        <w:t>ed</w:t>
      </w:r>
      <w:r w:rsidR="00FB51B0" w:rsidRPr="001D1CD5">
        <w:rPr>
          <w:rFonts w:asciiTheme="minorHAnsi" w:eastAsia="Calibri" w:hAnsiTheme="minorHAnsi" w:cs="Calibri"/>
          <w:color w:val="auto"/>
          <w:sz w:val="24"/>
          <w:szCs w:val="24"/>
        </w:rPr>
        <w:t xml:space="preserve"> a number of factors it considers important in the setting of award minimum wages, </w:t>
      </w:r>
      <w:r w:rsidR="0061434F" w:rsidRPr="001D1CD5">
        <w:rPr>
          <w:rFonts w:asciiTheme="minorHAnsi" w:eastAsia="Calibri" w:hAnsiTheme="minorHAnsi" w:cs="Calibri"/>
          <w:color w:val="auto"/>
          <w:sz w:val="24"/>
          <w:szCs w:val="24"/>
        </w:rPr>
        <w:t>including t</w:t>
      </w:r>
      <w:r w:rsidR="00FB51B0" w:rsidRPr="001D1CD5">
        <w:rPr>
          <w:rFonts w:asciiTheme="minorHAnsi" w:eastAsia="Calibri" w:hAnsiTheme="minorHAnsi" w:cs="Calibri"/>
          <w:color w:val="auto"/>
          <w:sz w:val="24"/>
          <w:szCs w:val="24"/>
        </w:rPr>
        <w:t>he extent to which award minimum wages are similar to those that would emerge if bargaining power between empl</w:t>
      </w:r>
      <w:r w:rsidR="0061434F" w:rsidRPr="001D1CD5">
        <w:rPr>
          <w:rFonts w:asciiTheme="minorHAnsi" w:eastAsia="Calibri" w:hAnsiTheme="minorHAnsi" w:cs="Calibri"/>
          <w:color w:val="auto"/>
          <w:sz w:val="24"/>
          <w:szCs w:val="24"/>
        </w:rPr>
        <w:t>oyers and employees were equal</w:t>
      </w:r>
      <w:r w:rsidR="00A64467" w:rsidRPr="001D1CD5">
        <w:rPr>
          <w:rFonts w:asciiTheme="minorHAnsi" w:eastAsia="Calibri" w:hAnsiTheme="minorHAnsi" w:cs="Calibri"/>
          <w:color w:val="auto"/>
          <w:sz w:val="24"/>
          <w:szCs w:val="24"/>
        </w:rPr>
        <w:t>,</w:t>
      </w:r>
      <w:r w:rsidR="0061434F" w:rsidRPr="001D1CD5">
        <w:rPr>
          <w:rFonts w:asciiTheme="minorHAnsi" w:eastAsia="Calibri" w:hAnsiTheme="minorHAnsi" w:cs="Calibri"/>
          <w:color w:val="auto"/>
          <w:sz w:val="24"/>
          <w:szCs w:val="24"/>
        </w:rPr>
        <w:t xml:space="preserve"> </w:t>
      </w:r>
      <w:r w:rsidR="00FB51B0" w:rsidRPr="001D1CD5">
        <w:rPr>
          <w:rFonts w:asciiTheme="minorHAnsi" w:eastAsia="Calibri" w:hAnsiTheme="minorHAnsi" w:cs="Calibri"/>
          <w:color w:val="auto"/>
          <w:sz w:val="24"/>
          <w:szCs w:val="24"/>
        </w:rPr>
        <w:t xml:space="preserve">and the level of wages provided by enterprise agreements. </w:t>
      </w:r>
    </w:p>
    <w:p w14:paraId="21371578" w14:textId="16C653B6" w:rsidR="00FB51B0" w:rsidRPr="001D1CD5" w:rsidRDefault="0061434F" w:rsidP="0061434F">
      <w:pPr>
        <w:pStyle w:val="Body"/>
        <w:widowControl w:val="0"/>
        <w:spacing w:after="240" w:line="276" w:lineRule="auto"/>
        <w:jc w:val="both"/>
        <w:rPr>
          <w:rFonts w:asciiTheme="minorHAnsi" w:eastAsia="Calibri" w:hAnsiTheme="minorHAnsi" w:cs="Calibri"/>
          <w:color w:val="auto"/>
          <w:sz w:val="24"/>
          <w:szCs w:val="24"/>
        </w:rPr>
      </w:pPr>
      <w:r w:rsidRPr="001D1CD5">
        <w:rPr>
          <w:rFonts w:asciiTheme="minorHAnsi" w:eastAsia="Calibri" w:hAnsiTheme="minorHAnsi" w:cs="Calibri"/>
          <w:color w:val="auto"/>
          <w:sz w:val="24"/>
          <w:szCs w:val="24"/>
        </w:rPr>
        <w:t>A</w:t>
      </w:r>
      <w:r w:rsidR="00FB51B0" w:rsidRPr="001D1CD5">
        <w:rPr>
          <w:rFonts w:asciiTheme="minorHAnsi" w:eastAsia="Calibri" w:hAnsiTheme="minorHAnsi" w:cs="Calibri"/>
          <w:color w:val="auto"/>
          <w:sz w:val="24"/>
          <w:szCs w:val="24"/>
        </w:rPr>
        <w:t xml:space="preserve">ward </w:t>
      </w:r>
      <w:r w:rsidRPr="001D1CD5">
        <w:rPr>
          <w:rFonts w:asciiTheme="minorHAnsi" w:eastAsia="Calibri" w:hAnsiTheme="minorHAnsi" w:cs="Calibri"/>
          <w:color w:val="auto"/>
          <w:sz w:val="24"/>
          <w:szCs w:val="24"/>
        </w:rPr>
        <w:t>minimum wages must not replace “bargained rates”</w:t>
      </w:r>
      <w:r w:rsidR="00FB51B0" w:rsidRPr="001D1CD5">
        <w:rPr>
          <w:rFonts w:asciiTheme="minorHAnsi" w:eastAsia="Calibri" w:hAnsiTheme="minorHAnsi" w:cs="Calibri"/>
          <w:color w:val="auto"/>
          <w:sz w:val="24"/>
          <w:szCs w:val="24"/>
        </w:rPr>
        <w:t xml:space="preserve">. Award minimum wages represent a safety net. Therefore consideration of </w:t>
      </w:r>
      <w:r w:rsidRPr="001D1CD5">
        <w:rPr>
          <w:rFonts w:asciiTheme="minorHAnsi" w:eastAsia="Calibri" w:hAnsiTheme="minorHAnsi" w:cs="Calibri"/>
          <w:color w:val="auto"/>
          <w:sz w:val="24"/>
          <w:szCs w:val="24"/>
        </w:rPr>
        <w:t>the level of “bargaining power”</w:t>
      </w:r>
      <w:r w:rsidR="00FB51B0" w:rsidRPr="001D1CD5">
        <w:rPr>
          <w:rFonts w:asciiTheme="minorHAnsi" w:eastAsia="Calibri" w:hAnsiTheme="minorHAnsi" w:cs="Calibri"/>
          <w:color w:val="auto"/>
          <w:sz w:val="24"/>
          <w:szCs w:val="24"/>
        </w:rPr>
        <w:t xml:space="preserve"> between employers and employees or the level of wages provided by enterprise agreeme</w:t>
      </w:r>
      <w:r w:rsidR="0023347A">
        <w:rPr>
          <w:rFonts w:asciiTheme="minorHAnsi" w:eastAsia="Calibri" w:hAnsiTheme="minorHAnsi" w:cs="Calibri"/>
          <w:color w:val="auto"/>
          <w:sz w:val="24"/>
          <w:szCs w:val="24"/>
        </w:rPr>
        <w:t xml:space="preserve">nts should not be a determinative </w:t>
      </w:r>
      <w:r w:rsidR="00FB51B0" w:rsidRPr="001D1CD5">
        <w:rPr>
          <w:rFonts w:asciiTheme="minorHAnsi" w:eastAsia="Calibri" w:hAnsiTheme="minorHAnsi" w:cs="Calibri"/>
          <w:color w:val="auto"/>
          <w:sz w:val="24"/>
          <w:szCs w:val="24"/>
        </w:rPr>
        <w:t xml:space="preserve">factor in the setting of award minimum wages. </w:t>
      </w:r>
      <w:r w:rsidRPr="001D1CD5">
        <w:rPr>
          <w:rFonts w:asciiTheme="minorHAnsi" w:eastAsia="Calibri" w:hAnsiTheme="minorHAnsi" w:cs="Calibri"/>
          <w:color w:val="auto"/>
          <w:sz w:val="24"/>
          <w:szCs w:val="24"/>
        </w:rPr>
        <w:t>I</w:t>
      </w:r>
      <w:r w:rsidR="00FB51B0" w:rsidRPr="001D1CD5">
        <w:rPr>
          <w:rFonts w:asciiTheme="minorHAnsi" w:eastAsia="Calibri" w:hAnsiTheme="minorHAnsi" w:cs="Calibri"/>
          <w:color w:val="auto"/>
          <w:sz w:val="24"/>
          <w:szCs w:val="24"/>
        </w:rPr>
        <w:t xml:space="preserve">t is important that award minimum wages are not set at a level which limits the scope or motivation for enterprise bargaining. Indeed </w:t>
      </w:r>
      <w:proofErr w:type="spellStart"/>
      <w:r w:rsidR="00FB51B0" w:rsidRPr="001D1CD5">
        <w:rPr>
          <w:rFonts w:asciiTheme="minorHAnsi" w:eastAsia="Calibri" w:hAnsiTheme="minorHAnsi" w:cs="Calibri"/>
          <w:color w:val="auto"/>
          <w:sz w:val="24"/>
          <w:szCs w:val="24"/>
        </w:rPr>
        <w:t>s.134</w:t>
      </w:r>
      <w:proofErr w:type="spellEnd"/>
      <w:r w:rsidR="00FB51B0" w:rsidRPr="001D1CD5">
        <w:rPr>
          <w:rFonts w:asciiTheme="minorHAnsi" w:eastAsia="Calibri" w:hAnsiTheme="minorHAnsi" w:cs="Calibri"/>
          <w:color w:val="auto"/>
          <w:sz w:val="24"/>
          <w:szCs w:val="24"/>
        </w:rPr>
        <w:t xml:space="preserve"> of the FW Act (the modern awards objective) requires the </w:t>
      </w:r>
      <w:proofErr w:type="spellStart"/>
      <w:r w:rsidR="00FB51B0" w:rsidRPr="001D1CD5">
        <w:rPr>
          <w:rFonts w:asciiTheme="minorHAnsi" w:eastAsia="Calibri" w:hAnsiTheme="minorHAnsi" w:cs="Calibri"/>
          <w:color w:val="auto"/>
          <w:sz w:val="24"/>
          <w:szCs w:val="24"/>
        </w:rPr>
        <w:t>FWC</w:t>
      </w:r>
      <w:proofErr w:type="spellEnd"/>
      <w:r w:rsidR="00FB51B0" w:rsidRPr="001D1CD5">
        <w:rPr>
          <w:rFonts w:asciiTheme="minorHAnsi" w:eastAsia="Calibri" w:hAnsiTheme="minorHAnsi" w:cs="Calibri"/>
          <w:color w:val="auto"/>
          <w:sz w:val="24"/>
          <w:szCs w:val="24"/>
        </w:rPr>
        <w:t xml:space="preserve"> to consider the need to encourage collective bargaining when considering the terms and conditions of awards (</w:t>
      </w:r>
      <w:proofErr w:type="spellStart"/>
      <w:r w:rsidR="00FB51B0" w:rsidRPr="001D1CD5">
        <w:rPr>
          <w:rFonts w:asciiTheme="minorHAnsi" w:eastAsia="Calibri" w:hAnsiTheme="minorHAnsi" w:cs="Calibri"/>
          <w:color w:val="auto"/>
          <w:sz w:val="24"/>
          <w:szCs w:val="24"/>
        </w:rPr>
        <w:t>s.134</w:t>
      </w:r>
      <w:proofErr w:type="spellEnd"/>
      <w:r w:rsidR="00FB51B0" w:rsidRPr="001D1CD5">
        <w:rPr>
          <w:rFonts w:asciiTheme="minorHAnsi" w:eastAsia="Calibri" w:hAnsiTheme="minorHAnsi" w:cs="Calibri"/>
          <w:color w:val="auto"/>
          <w:sz w:val="24"/>
          <w:szCs w:val="24"/>
        </w:rPr>
        <w:t>(b)).</w:t>
      </w:r>
      <w:r w:rsidR="00A64467" w:rsidRPr="001D1CD5">
        <w:rPr>
          <w:rFonts w:asciiTheme="minorHAnsi" w:eastAsia="Calibri" w:hAnsiTheme="minorHAnsi" w:cs="Calibri"/>
          <w:color w:val="auto"/>
          <w:sz w:val="24"/>
          <w:szCs w:val="24"/>
        </w:rPr>
        <w:t xml:space="preserve"> The </w:t>
      </w:r>
      <w:proofErr w:type="spellStart"/>
      <w:r w:rsidR="00A64467" w:rsidRPr="001D1CD5">
        <w:rPr>
          <w:rFonts w:asciiTheme="minorHAnsi" w:eastAsia="Calibri" w:hAnsiTheme="minorHAnsi" w:cs="Calibri"/>
          <w:color w:val="auto"/>
          <w:sz w:val="24"/>
          <w:szCs w:val="24"/>
        </w:rPr>
        <w:t>FWC</w:t>
      </w:r>
      <w:proofErr w:type="spellEnd"/>
      <w:r w:rsidR="00A64467" w:rsidRPr="001D1CD5">
        <w:rPr>
          <w:rFonts w:asciiTheme="minorHAnsi" w:eastAsia="Calibri" w:hAnsiTheme="minorHAnsi" w:cs="Calibri"/>
          <w:color w:val="auto"/>
          <w:sz w:val="24"/>
          <w:szCs w:val="24"/>
        </w:rPr>
        <w:t xml:space="preserve"> takes this factor into account in each annual wage review.</w:t>
      </w:r>
    </w:p>
    <w:p w14:paraId="23E3D5E3" w14:textId="4CA69C62" w:rsidR="007A535E" w:rsidRPr="001D1CD5" w:rsidRDefault="007A535E" w:rsidP="007A535E">
      <w:pPr>
        <w:pStyle w:val="Heading1"/>
        <w:spacing w:before="0" w:after="240" w:line="276" w:lineRule="auto"/>
        <w:ind w:left="709" w:hanging="709"/>
        <w:rPr>
          <w:rFonts w:asciiTheme="minorHAnsi" w:eastAsia="Calibri" w:hAnsiTheme="minorHAnsi" w:cs="Calibri"/>
          <w:color w:val="451E51"/>
          <w:u w:color="0070C0"/>
          <w:lang w:eastAsia="en-AU"/>
        </w:rPr>
      </w:pPr>
      <w:r w:rsidRPr="001D1CD5">
        <w:rPr>
          <w:rFonts w:asciiTheme="minorHAnsi" w:eastAsia="Calibri" w:hAnsiTheme="minorHAnsi" w:cs="Calibri"/>
          <w:color w:val="451E51"/>
          <w:u w:color="0070C0"/>
          <w:lang w:eastAsia="en-AU"/>
        </w:rPr>
        <w:t>12.</w:t>
      </w:r>
      <w:r w:rsidR="0061434F" w:rsidRPr="001D1CD5">
        <w:rPr>
          <w:rFonts w:asciiTheme="minorHAnsi" w:eastAsia="Calibri" w:hAnsiTheme="minorHAnsi" w:cs="Calibri"/>
          <w:color w:val="451E51"/>
          <w:u w:color="0070C0"/>
          <w:lang w:eastAsia="en-AU"/>
        </w:rPr>
        <w:t>4</w:t>
      </w:r>
      <w:r w:rsidRPr="001D1CD5">
        <w:rPr>
          <w:rFonts w:asciiTheme="minorHAnsi" w:eastAsia="Calibri" w:hAnsiTheme="minorHAnsi" w:cs="Calibri"/>
          <w:color w:val="451E51"/>
          <w:u w:color="0070C0"/>
          <w:lang w:eastAsia="en-AU"/>
        </w:rPr>
        <w:tab/>
        <w:t xml:space="preserve">Assessments of conditions and entitlements in awards </w:t>
      </w:r>
    </w:p>
    <w:p w14:paraId="51293FED" w14:textId="5C6BC739" w:rsidR="00352531" w:rsidRPr="001D1CD5" w:rsidRDefault="00352531" w:rsidP="00352531">
      <w:pPr>
        <w:spacing w:after="240" w:line="276" w:lineRule="auto"/>
        <w:jc w:val="both"/>
        <w:rPr>
          <w:rFonts w:asciiTheme="minorHAnsi" w:hAnsiTheme="minorHAnsi" w:cstheme="minorHAnsi"/>
          <w:color w:val="000000"/>
        </w:rPr>
      </w:pPr>
      <w:r w:rsidRPr="001D1CD5">
        <w:rPr>
          <w:rFonts w:asciiTheme="minorHAnsi" w:hAnsiTheme="minorHAnsi" w:cstheme="minorHAnsi"/>
          <w:color w:val="000000"/>
        </w:rPr>
        <w:t xml:space="preserve">As </w:t>
      </w:r>
      <w:r w:rsidR="0023347A">
        <w:rPr>
          <w:rFonts w:asciiTheme="minorHAnsi" w:hAnsiTheme="minorHAnsi" w:cstheme="minorHAnsi"/>
          <w:color w:val="000000"/>
        </w:rPr>
        <w:t>discussed in section 11 above, i</w:t>
      </w:r>
      <w:r w:rsidRPr="001D1CD5">
        <w:rPr>
          <w:rFonts w:asciiTheme="minorHAnsi" w:hAnsiTheme="minorHAnsi" w:cstheme="minorHAnsi"/>
          <w:color w:val="000000"/>
        </w:rPr>
        <w:t>t is important that awards are flexible so that they do not impose barriers to productivity and competitiveness, and so that employers and employees are able to reach agreement on arrangements which suit their unique needs and preferences.</w:t>
      </w:r>
    </w:p>
    <w:p w14:paraId="3F87AC1B" w14:textId="4434DE0A" w:rsidR="00352531" w:rsidRPr="001D1CD5" w:rsidRDefault="00352531" w:rsidP="00352531">
      <w:pPr>
        <w:pStyle w:val="Heading1"/>
        <w:spacing w:before="0" w:after="240" w:line="276" w:lineRule="auto"/>
        <w:jc w:val="both"/>
        <w:rPr>
          <w:rFonts w:asciiTheme="minorHAnsi" w:eastAsia="Times New Roman" w:hAnsiTheme="minorHAnsi"/>
          <w:b w:val="0"/>
          <w:color w:val="auto"/>
          <w:sz w:val="24"/>
          <w:szCs w:val="24"/>
          <w:lang w:eastAsia="en-AU"/>
        </w:rPr>
      </w:pPr>
      <w:r w:rsidRPr="001D1CD5">
        <w:rPr>
          <w:rFonts w:asciiTheme="minorHAnsi" w:eastAsia="Times New Roman" w:hAnsiTheme="minorHAnsi"/>
          <w:b w:val="0"/>
          <w:color w:val="auto"/>
          <w:sz w:val="24"/>
          <w:szCs w:val="24"/>
          <w:lang w:eastAsia="en-AU"/>
        </w:rPr>
        <w:t xml:space="preserve">The conditions and entitlements in awards need to be much simpler. This will only occur with a great deal of direction from Parliament about what can and cannot be included in awards. </w:t>
      </w:r>
    </w:p>
    <w:p w14:paraId="301F64D0" w14:textId="77777777" w:rsidR="0061434F" w:rsidRPr="001D1CD5" w:rsidRDefault="0061434F" w:rsidP="0061434F">
      <w:pPr>
        <w:widowControl w:val="0"/>
        <w:spacing w:after="240" w:line="276" w:lineRule="auto"/>
        <w:jc w:val="both"/>
        <w:rPr>
          <w:rFonts w:asciiTheme="minorHAnsi" w:hAnsiTheme="minorHAnsi"/>
          <w:lang w:val="en-AU" w:eastAsia="en-AU"/>
        </w:rPr>
      </w:pPr>
      <w:r w:rsidRPr="001D1CD5">
        <w:rPr>
          <w:rFonts w:asciiTheme="minorHAnsi" w:hAnsiTheme="minorHAnsi"/>
          <w:lang w:val="en-AU" w:eastAsia="en-AU"/>
        </w:rPr>
        <w:t xml:space="preserve">Part 2-3 of the FW Act needs major re-drafting to ensure that awards become a genuine minimum safety net. For example, an award should specify the average number of ordinary hours of work (usually 38) and provide broad parameters about the maximum number of ordinary hours that can be worked on a day, but it is not necessary to specify precise details about how those hours should be arranged. Further, for most categories of employees (but not for award-covered professionals) it will be appropriate to specify penalty rates for working overtime and on weekends, as well as shift loadings for working at night, but it is not necessary to include a raft of restrictions and detailed provisions about such matters.  </w:t>
      </w:r>
    </w:p>
    <w:p w14:paraId="534B5C0F" w14:textId="77777777" w:rsidR="00B26342" w:rsidRPr="001D1CD5" w:rsidRDefault="00B26342" w:rsidP="00B26342">
      <w:pPr>
        <w:pStyle w:val="Heading1"/>
        <w:spacing w:before="0" w:after="240" w:line="276" w:lineRule="auto"/>
        <w:ind w:left="709" w:hanging="709"/>
        <w:rPr>
          <w:rFonts w:asciiTheme="minorHAnsi" w:eastAsia="Calibri" w:hAnsiTheme="minorHAnsi" w:cs="Calibri"/>
          <w:color w:val="451E51"/>
          <w:sz w:val="36"/>
          <w:szCs w:val="36"/>
          <w:lang w:eastAsia="en-AU"/>
        </w:rPr>
      </w:pPr>
      <w:r w:rsidRPr="001D1CD5">
        <w:rPr>
          <w:rFonts w:asciiTheme="minorHAnsi" w:eastAsia="Calibri" w:hAnsiTheme="minorHAnsi" w:cs="Calibri"/>
          <w:color w:val="451E51"/>
          <w:sz w:val="36"/>
          <w:szCs w:val="36"/>
          <w:lang w:eastAsia="en-AU"/>
        </w:rPr>
        <w:t xml:space="preserve">13. </w:t>
      </w:r>
      <w:r w:rsidRPr="001D1CD5">
        <w:rPr>
          <w:rFonts w:asciiTheme="minorHAnsi" w:eastAsia="Calibri" w:hAnsiTheme="minorHAnsi" w:cs="Calibri"/>
          <w:color w:val="451E51"/>
          <w:sz w:val="36"/>
          <w:szCs w:val="36"/>
          <w:lang w:eastAsia="en-AU"/>
        </w:rPr>
        <w:tab/>
        <w:t>Penalty rates for long hours and night work</w:t>
      </w:r>
    </w:p>
    <w:p w14:paraId="0D178D89" w14:textId="77777777" w:rsidR="00B26342" w:rsidRPr="001D1CD5" w:rsidRDefault="00B26342" w:rsidP="00B26342">
      <w:pPr>
        <w:pStyle w:val="Body1"/>
        <w:spacing w:after="240" w:line="276" w:lineRule="auto"/>
        <w:jc w:val="both"/>
        <w:rPr>
          <w:rFonts w:asciiTheme="minorHAnsi" w:hAnsiTheme="minorHAnsi"/>
        </w:rPr>
      </w:pPr>
      <w:r w:rsidRPr="001D1CD5">
        <w:rPr>
          <w:rFonts w:asciiTheme="minorHAnsi" w:hAnsiTheme="minorHAnsi"/>
        </w:rPr>
        <w:t xml:space="preserve">The Draft Report considers penalty rates for long hours and night work separately to penalty rates for weekend work. While the Draft Report suggests that penalty rates currently applicable to Sunday work in selected customer service industries should be reduced to reflect the Saturday rate, the Draft Report considers that penalty rates for long hours and night work are justified. </w:t>
      </w:r>
    </w:p>
    <w:p w14:paraId="5B9D6B54" w14:textId="77777777" w:rsidR="00B26342" w:rsidRPr="001D1CD5" w:rsidRDefault="00B26342" w:rsidP="00B26342">
      <w:pPr>
        <w:pStyle w:val="Body1"/>
        <w:spacing w:after="240" w:line="276" w:lineRule="auto"/>
        <w:jc w:val="both"/>
        <w:rPr>
          <w:rFonts w:asciiTheme="minorHAnsi" w:hAnsiTheme="minorHAnsi"/>
        </w:rPr>
      </w:pPr>
      <w:r w:rsidRPr="001D1CD5">
        <w:rPr>
          <w:rFonts w:asciiTheme="minorHAnsi" w:hAnsiTheme="minorHAnsi"/>
        </w:rPr>
        <w:t xml:space="preserve">While Ai Group does not seek to argue that penalty rates for long hours and night work should be reduced across the board, some awards have excessive penalty rates for such work. For example, prior to the implementation of modern awards, the afternoon shift penalty in the glass industry was 15 per cent. During the award </w:t>
      </w:r>
      <w:proofErr w:type="spellStart"/>
      <w:r w:rsidRPr="001D1CD5">
        <w:rPr>
          <w:rFonts w:asciiTheme="minorHAnsi" w:hAnsiTheme="minorHAnsi"/>
        </w:rPr>
        <w:t>modernisation</w:t>
      </w:r>
      <w:proofErr w:type="spellEnd"/>
      <w:r w:rsidRPr="001D1CD5">
        <w:rPr>
          <w:rFonts w:asciiTheme="minorHAnsi" w:hAnsiTheme="minorHAnsi"/>
        </w:rPr>
        <w:t xml:space="preserve"> process, the </w:t>
      </w:r>
      <w:proofErr w:type="spellStart"/>
      <w:r w:rsidRPr="001D1CD5">
        <w:rPr>
          <w:rFonts w:asciiTheme="minorHAnsi" w:hAnsiTheme="minorHAnsi"/>
        </w:rPr>
        <w:t>AIRC</w:t>
      </w:r>
      <w:proofErr w:type="spellEnd"/>
      <w:r w:rsidRPr="001D1CD5">
        <w:rPr>
          <w:rFonts w:asciiTheme="minorHAnsi" w:hAnsiTheme="minorHAnsi"/>
        </w:rPr>
        <w:t xml:space="preserve"> decided to include the glass industry within the </w:t>
      </w:r>
      <w:r w:rsidRPr="001D1CD5">
        <w:rPr>
          <w:rFonts w:asciiTheme="minorHAnsi" w:hAnsiTheme="minorHAnsi"/>
          <w:i/>
        </w:rPr>
        <w:t>Joinery and Building Trades Award 2010</w:t>
      </w:r>
      <w:r w:rsidRPr="001D1CD5">
        <w:rPr>
          <w:rFonts w:asciiTheme="minorHAnsi" w:hAnsiTheme="minorHAnsi"/>
        </w:rPr>
        <w:t xml:space="preserve">. The effect of this was to impose a 50 per cent afternoon shift penalty on employers. This has had a direct effect on employment in the </w:t>
      </w:r>
      <w:r w:rsidRPr="001D1CD5">
        <w:rPr>
          <w:rFonts w:asciiTheme="minorHAnsi" w:hAnsiTheme="minorHAnsi"/>
        </w:rPr>
        <w:lastRenderedPageBreak/>
        <w:t>industry with some companies reducing production in Australia and winding back or abolishing afternoon shift work.</w:t>
      </w:r>
    </w:p>
    <w:p w14:paraId="412B55F3" w14:textId="77777777" w:rsidR="00B26342" w:rsidRPr="001D1CD5" w:rsidRDefault="00B26342" w:rsidP="00B26342">
      <w:pPr>
        <w:pStyle w:val="Body1"/>
        <w:spacing w:after="240" w:line="276" w:lineRule="auto"/>
        <w:jc w:val="both"/>
        <w:rPr>
          <w:rFonts w:asciiTheme="minorHAnsi" w:hAnsiTheme="minorHAnsi"/>
        </w:rPr>
      </w:pPr>
      <w:r w:rsidRPr="001D1CD5">
        <w:rPr>
          <w:rFonts w:asciiTheme="minorHAnsi" w:hAnsiTheme="minorHAnsi"/>
        </w:rPr>
        <w:t xml:space="preserve">The </w:t>
      </w:r>
      <w:proofErr w:type="spellStart"/>
      <w:r w:rsidRPr="001D1CD5">
        <w:rPr>
          <w:rFonts w:asciiTheme="minorHAnsi" w:hAnsiTheme="minorHAnsi"/>
        </w:rPr>
        <w:t>FWC</w:t>
      </w:r>
      <w:proofErr w:type="spellEnd"/>
      <w:r w:rsidRPr="001D1CD5">
        <w:rPr>
          <w:rFonts w:asciiTheme="minorHAnsi" w:hAnsiTheme="minorHAnsi"/>
        </w:rPr>
        <w:t xml:space="preserve"> should remain responsible for setting penalty rates because different approaches are necessary for different types of employees in different industries. Awards can cater for these differences much better than legislation or regulations can. However, the central role of awards and of the </w:t>
      </w:r>
      <w:proofErr w:type="spellStart"/>
      <w:r w:rsidRPr="001D1CD5">
        <w:rPr>
          <w:rFonts w:asciiTheme="minorHAnsi" w:hAnsiTheme="minorHAnsi"/>
        </w:rPr>
        <w:t>FWC</w:t>
      </w:r>
      <w:proofErr w:type="spellEnd"/>
      <w:r w:rsidRPr="001D1CD5">
        <w:rPr>
          <w:rFonts w:asciiTheme="minorHAnsi" w:hAnsiTheme="minorHAnsi"/>
        </w:rPr>
        <w:t xml:space="preserve"> in setting penalty rates does not mean that there is no role for legislation. The former Labor Government changed the modern awards objective in </w:t>
      </w:r>
      <w:proofErr w:type="spellStart"/>
      <w:r w:rsidRPr="001D1CD5">
        <w:rPr>
          <w:rFonts w:asciiTheme="minorHAnsi" w:hAnsiTheme="minorHAnsi"/>
        </w:rPr>
        <w:t>s.134</w:t>
      </w:r>
      <w:proofErr w:type="spellEnd"/>
      <w:r w:rsidRPr="001D1CD5">
        <w:rPr>
          <w:rFonts w:asciiTheme="minorHAnsi" w:hAnsiTheme="minorHAnsi"/>
        </w:rPr>
        <w:t xml:space="preserve"> of the FW Act to reinforce penalty rates in awards. The amendment could make it harder for employers to succeed with arguments in the </w:t>
      </w:r>
      <w:proofErr w:type="spellStart"/>
      <w:r w:rsidRPr="001D1CD5">
        <w:rPr>
          <w:rFonts w:asciiTheme="minorHAnsi" w:hAnsiTheme="minorHAnsi"/>
        </w:rPr>
        <w:t>FWC</w:t>
      </w:r>
      <w:proofErr w:type="spellEnd"/>
      <w:r w:rsidRPr="001D1CD5">
        <w:rPr>
          <w:rFonts w:asciiTheme="minorHAnsi" w:hAnsiTheme="minorHAnsi"/>
        </w:rPr>
        <w:t xml:space="preserve"> to reduce penalty rates in appropriate cases. Section 134(1)(da) of the Act should be repealed.</w:t>
      </w:r>
    </w:p>
    <w:p w14:paraId="368D1C5A" w14:textId="77777777" w:rsidR="00B26342" w:rsidRPr="001D1CD5" w:rsidRDefault="00B26342" w:rsidP="00B26342">
      <w:pPr>
        <w:pStyle w:val="Body1"/>
        <w:spacing w:after="240" w:line="276" w:lineRule="auto"/>
        <w:jc w:val="both"/>
        <w:rPr>
          <w:rFonts w:asciiTheme="minorHAnsi" w:hAnsiTheme="minorHAnsi"/>
        </w:rPr>
      </w:pPr>
      <w:r w:rsidRPr="001D1CD5">
        <w:rPr>
          <w:rFonts w:asciiTheme="minorHAnsi" w:hAnsiTheme="minorHAnsi"/>
        </w:rPr>
        <w:t xml:space="preserve">Ai Group supports the views of the Productivity Commission expressed on pages 528 and 529 of Chapter 14 of the Draft Report with respect to section 134(1)(da) of the FW Act and the need for legislative amendment. In particular Ai Group supports the following comments made by the Productivity Commission on page 529: </w:t>
      </w:r>
    </w:p>
    <w:p w14:paraId="5E8570B3" w14:textId="77777777" w:rsidR="00B26342" w:rsidRPr="001D1CD5" w:rsidRDefault="00B26342" w:rsidP="00B26342">
      <w:pPr>
        <w:pStyle w:val="Body1"/>
        <w:spacing w:after="240" w:line="276" w:lineRule="auto"/>
        <w:ind w:left="720"/>
        <w:jc w:val="both"/>
        <w:rPr>
          <w:rFonts w:asciiTheme="minorHAnsi" w:hAnsiTheme="minorHAnsi"/>
          <w:i/>
        </w:rPr>
      </w:pPr>
      <w:r w:rsidRPr="001D1CD5">
        <w:rPr>
          <w:rFonts w:asciiTheme="minorHAnsi" w:hAnsiTheme="minorHAnsi"/>
          <w:i/>
        </w:rPr>
        <w:t xml:space="preserve">“However, the </w:t>
      </w:r>
      <w:proofErr w:type="spellStart"/>
      <w:r w:rsidRPr="001D1CD5">
        <w:rPr>
          <w:rFonts w:asciiTheme="minorHAnsi" w:hAnsiTheme="minorHAnsi"/>
          <w:i/>
        </w:rPr>
        <w:t>FWC</w:t>
      </w:r>
      <w:proofErr w:type="spellEnd"/>
      <w:r w:rsidRPr="001D1CD5">
        <w:rPr>
          <w:rFonts w:asciiTheme="minorHAnsi" w:hAnsiTheme="minorHAnsi"/>
          <w:i/>
        </w:rPr>
        <w:t xml:space="preserve"> interprets its freedom as partial, noting that the modern award objective ‘requires additional remuneration for working on weekends’ ([2014] </w:t>
      </w:r>
      <w:proofErr w:type="spellStart"/>
      <w:r w:rsidRPr="001D1CD5">
        <w:rPr>
          <w:rFonts w:asciiTheme="minorHAnsi" w:hAnsiTheme="minorHAnsi"/>
          <w:i/>
        </w:rPr>
        <w:t>FWCFB</w:t>
      </w:r>
      <w:proofErr w:type="spellEnd"/>
      <w:r w:rsidRPr="001D1CD5">
        <w:rPr>
          <w:rFonts w:asciiTheme="minorHAnsi" w:hAnsiTheme="minorHAnsi"/>
          <w:i/>
        </w:rPr>
        <w:t xml:space="preserve"> 1996, para 295). The wording of the FW Act may contribute to the ambiguity by stipulating the ‘need to provide additional remuneration’. It would be unfortunate if this required the wider adoption of weekend penalty rates even in circumstances where the context of other industries did not require that. Legislative amendment appears necessary to achieve this.</w:t>
      </w:r>
    </w:p>
    <w:p w14:paraId="40417239" w14:textId="77777777" w:rsidR="00B26342" w:rsidRPr="001D1CD5" w:rsidRDefault="00B26342" w:rsidP="00B26342">
      <w:pPr>
        <w:pStyle w:val="Body1"/>
        <w:spacing w:after="240" w:line="276" w:lineRule="auto"/>
        <w:ind w:left="720"/>
        <w:jc w:val="both"/>
        <w:rPr>
          <w:rFonts w:asciiTheme="minorHAnsi" w:hAnsiTheme="minorHAnsi"/>
          <w:i/>
        </w:rPr>
      </w:pPr>
      <w:r w:rsidRPr="001D1CD5">
        <w:rPr>
          <w:rFonts w:asciiTheme="minorHAnsi" w:hAnsiTheme="minorHAnsi"/>
          <w:i/>
        </w:rPr>
        <w:t xml:space="preserve">It would be unfortunate if the existing framework for determining penalty rates were to spread throughout awards that currently do not have any, </w:t>
      </w:r>
      <w:proofErr w:type="spellStart"/>
      <w:r w:rsidRPr="001D1CD5">
        <w:rPr>
          <w:rFonts w:asciiTheme="minorHAnsi" w:hAnsiTheme="minorHAnsi"/>
          <w:i/>
        </w:rPr>
        <w:t>recognising</w:t>
      </w:r>
      <w:proofErr w:type="spellEnd"/>
      <w:r w:rsidRPr="001D1CD5">
        <w:rPr>
          <w:rFonts w:asciiTheme="minorHAnsi" w:hAnsiTheme="minorHAnsi"/>
          <w:i/>
        </w:rPr>
        <w:t xml:space="preserve"> that awards can provide compensation through average wage rates, rather than through special time</w:t>
      </w:r>
      <w:r w:rsidRPr="001D1CD5">
        <w:rPr>
          <w:rFonts w:asciiTheme="minorHAnsi" w:hAnsiTheme="minorHAnsi"/>
          <w:i/>
        </w:rPr>
        <w:noBreakHyphen/>
        <w:t xml:space="preserve">dependent wage rates. </w:t>
      </w:r>
    </w:p>
    <w:p w14:paraId="29C7BD77" w14:textId="77777777" w:rsidR="00B26342" w:rsidRPr="001D1CD5" w:rsidRDefault="00B26342" w:rsidP="00B26342">
      <w:pPr>
        <w:pStyle w:val="Body1"/>
        <w:spacing w:after="240" w:line="276" w:lineRule="auto"/>
        <w:ind w:left="720"/>
        <w:jc w:val="both"/>
        <w:rPr>
          <w:rFonts w:asciiTheme="minorHAnsi" w:hAnsiTheme="minorHAnsi"/>
          <w:i/>
        </w:rPr>
      </w:pPr>
      <w:r w:rsidRPr="001D1CD5">
        <w:rPr>
          <w:rFonts w:asciiTheme="minorHAnsi" w:hAnsiTheme="minorHAnsi"/>
          <w:i/>
        </w:rPr>
        <w:t xml:space="preserve">If the Modern Awards Objective is not simplified more broadly (chapter 12), then there are grounds to amend the FW Act so that it is clear that the </w:t>
      </w:r>
      <w:proofErr w:type="spellStart"/>
      <w:r w:rsidRPr="001D1CD5">
        <w:rPr>
          <w:rFonts w:asciiTheme="minorHAnsi" w:hAnsiTheme="minorHAnsi"/>
          <w:i/>
        </w:rPr>
        <w:t>FWC</w:t>
      </w:r>
      <w:proofErr w:type="spellEnd"/>
      <w:r w:rsidRPr="001D1CD5">
        <w:rPr>
          <w:rFonts w:asciiTheme="minorHAnsi" w:hAnsiTheme="minorHAnsi"/>
          <w:i/>
        </w:rPr>
        <w:t xml:space="preserve"> would not be obliged to incorporate weekend penalty rates into all awards, taking account of the fact that awards should be seen as a package of benefits”</w:t>
      </w:r>
    </w:p>
    <w:p w14:paraId="6EBC4004" w14:textId="77777777" w:rsidR="00B26342" w:rsidRPr="001D1CD5" w:rsidRDefault="00B26342" w:rsidP="00B26342">
      <w:pPr>
        <w:pStyle w:val="Body1"/>
        <w:spacing w:after="240" w:line="276" w:lineRule="auto"/>
        <w:jc w:val="both"/>
        <w:rPr>
          <w:rFonts w:asciiTheme="minorHAnsi" w:hAnsiTheme="minorHAnsi"/>
        </w:rPr>
      </w:pPr>
      <w:r w:rsidRPr="001D1CD5">
        <w:rPr>
          <w:rFonts w:asciiTheme="minorHAnsi" w:hAnsiTheme="minorHAnsi"/>
        </w:rPr>
        <w:t xml:space="preserve">The most appropriate remedy to the problem identified by the Productivity Commission is to repeal </w:t>
      </w:r>
      <w:proofErr w:type="spellStart"/>
      <w:r w:rsidRPr="001D1CD5">
        <w:rPr>
          <w:rFonts w:asciiTheme="minorHAnsi" w:hAnsiTheme="minorHAnsi"/>
        </w:rPr>
        <w:t>s.134</w:t>
      </w:r>
      <w:proofErr w:type="spellEnd"/>
      <w:r w:rsidRPr="001D1CD5">
        <w:rPr>
          <w:rFonts w:asciiTheme="minorHAnsi" w:hAnsiTheme="minorHAnsi"/>
        </w:rPr>
        <w:t xml:space="preserve">(1)(da) of the FW Act. </w:t>
      </w:r>
    </w:p>
    <w:p w14:paraId="46F0C5B9" w14:textId="77777777" w:rsidR="00B26342" w:rsidRPr="001D1CD5" w:rsidRDefault="00B26342" w:rsidP="00B26342">
      <w:pPr>
        <w:pStyle w:val="Heading1"/>
        <w:spacing w:before="0" w:after="240" w:line="276" w:lineRule="auto"/>
        <w:ind w:left="709" w:hanging="709"/>
        <w:rPr>
          <w:rFonts w:asciiTheme="minorHAnsi" w:eastAsia="Calibri" w:hAnsiTheme="minorHAnsi" w:cs="Calibri"/>
          <w:color w:val="451E51"/>
          <w:lang w:eastAsia="en-AU"/>
        </w:rPr>
      </w:pPr>
      <w:r w:rsidRPr="001D1CD5">
        <w:rPr>
          <w:rFonts w:asciiTheme="minorHAnsi" w:eastAsia="Calibri" w:hAnsiTheme="minorHAnsi" w:cs="Calibri"/>
          <w:color w:val="451E51"/>
          <w:lang w:eastAsia="en-AU"/>
        </w:rPr>
        <w:t>13.1</w:t>
      </w:r>
      <w:r w:rsidRPr="001D1CD5">
        <w:rPr>
          <w:rFonts w:asciiTheme="minorHAnsi" w:eastAsia="Calibri" w:hAnsiTheme="minorHAnsi" w:cs="Calibri"/>
          <w:color w:val="451E51"/>
          <w:lang w:eastAsia="en-AU"/>
        </w:rPr>
        <w:tab/>
        <w:t>Reasonable additional hours</w:t>
      </w:r>
    </w:p>
    <w:p w14:paraId="1DDE362E" w14:textId="77777777" w:rsidR="00B26342" w:rsidRPr="001D1CD5" w:rsidRDefault="00B26342" w:rsidP="00B26342">
      <w:pPr>
        <w:pStyle w:val="Body1"/>
        <w:spacing w:after="240" w:line="276" w:lineRule="auto"/>
        <w:jc w:val="both"/>
        <w:rPr>
          <w:rFonts w:asciiTheme="minorHAnsi" w:hAnsiTheme="minorHAnsi"/>
        </w:rPr>
      </w:pPr>
      <w:r w:rsidRPr="001D1CD5">
        <w:rPr>
          <w:rFonts w:asciiTheme="minorHAnsi" w:hAnsiTheme="minorHAnsi"/>
        </w:rPr>
        <w:t xml:space="preserve">The Draft Report considers the notion of “reasonable additional hours”. This concept was the subject of a major </w:t>
      </w:r>
      <w:proofErr w:type="spellStart"/>
      <w:r w:rsidRPr="001D1CD5">
        <w:rPr>
          <w:rFonts w:asciiTheme="minorHAnsi" w:hAnsiTheme="minorHAnsi"/>
        </w:rPr>
        <w:t>AIRC</w:t>
      </w:r>
      <w:proofErr w:type="spellEnd"/>
      <w:r w:rsidRPr="001D1CD5">
        <w:rPr>
          <w:rFonts w:asciiTheme="minorHAnsi" w:hAnsiTheme="minorHAnsi"/>
        </w:rPr>
        <w:t xml:space="preserve"> test case in 2001-02</w:t>
      </w:r>
      <w:r w:rsidRPr="001D1CD5">
        <w:rPr>
          <w:rStyle w:val="FootnoteReference"/>
          <w:rFonts w:asciiTheme="minorHAnsi" w:hAnsiTheme="minorHAnsi"/>
        </w:rPr>
        <w:footnoteReference w:id="7"/>
      </w:r>
      <w:r w:rsidRPr="001D1CD5">
        <w:rPr>
          <w:rFonts w:asciiTheme="minorHAnsi" w:hAnsiTheme="minorHAnsi"/>
        </w:rPr>
        <w:t xml:space="preserve"> in which Ai Group played a leading role in representing employers. After considering extensive evidence and submissions, the </w:t>
      </w:r>
      <w:proofErr w:type="spellStart"/>
      <w:r w:rsidRPr="001D1CD5">
        <w:rPr>
          <w:rFonts w:asciiTheme="minorHAnsi" w:hAnsiTheme="minorHAnsi"/>
        </w:rPr>
        <w:t>AIRC</w:t>
      </w:r>
      <w:proofErr w:type="spellEnd"/>
      <w:r w:rsidRPr="001D1CD5">
        <w:rPr>
          <w:rFonts w:asciiTheme="minorHAnsi" w:hAnsiTheme="minorHAnsi"/>
        </w:rPr>
        <w:t xml:space="preserve"> rejected the unions’ attempts to impose specific restrictions on working additional hours, in </w:t>
      </w:r>
      <w:proofErr w:type="spellStart"/>
      <w:r w:rsidRPr="001D1CD5">
        <w:rPr>
          <w:rFonts w:asciiTheme="minorHAnsi" w:hAnsiTheme="minorHAnsi"/>
        </w:rPr>
        <w:t>favour</w:t>
      </w:r>
      <w:proofErr w:type="spellEnd"/>
      <w:r w:rsidRPr="001D1CD5">
        <w:rPr>
          <w:rFonts w:asciiTheme="minorHAnsi" w:hAnsiTheme="minorHAnsi"/>
        </w:rPr>
        <w:t xml:space="preserve"> of a </w:t>
      </w:r>
      <w:r w:rsidRPr="001D1CD5">
        <w:rPr>
          <w:rFonts w:asciiTheme="minorHAnsi" w:hAnsiTheme="minorHAnsi"/>
        </w:rPr>
        <w:lastRenderedPageBreak/>
        <w:t xml:space="preserve">model award clause setting out criteria against which reasonable and unreasonable hours could be assessed. The </w:t>
      </w:r>
      <w:proofErr w:type="spellStart"/>
      <w:r w:rsidRPr="001D1CD5">
        <w:rPr>
          <w:rFonts w:asciiTheme="minorHAnsi" w:hAnsiTheme="minorHAnsi"/>
        </w:rPr>
        <w:t>AIRC’s</w:t>
      </w:r>
      <w:proofErr w:type="spellEnd"/>
      <w:r w:rsidRPr="001D1CD5">
        <w:rPr>
          <w:rFonts w:asciiTheme="minorHAnsi" w:hAnsiTheme="minorHAnsi"/>
        </w:rPr>
        <w:t xml:space="preserve"> reasonable hours clause was the basis for the reasonable additional hours provisions in the Australian Fair Pay and Conditions Standard in the </w:t>
      </w:r>
      <w:r w:rsidRPr="001D1CD5">
        <w:rPr>
          <w:rFonts w:asciiTheme="minorHAnsi" w:hAnsiTheme="minorHAnsi"/>
          <w:i/>
        </w:rPr>
        <w:t>Workplace Relations Act 1996</w:t>
      </w:r>
      <w:r w:rsidRPr="001D1CD5">
        <w:rPr>
          <w:rFonts w:asciiTheme="minorHAnsi" w:hAnsiTheme="minorHAnsi"/>
        </w:rPr>
        <w:t xml:space="preserve"> (</w:t>
      </w:r>
      <w:proofErr w:type="spellStart"/>
      <w:r w:rsidRPr="001D1CD5">
        <w:rPr>
          <w:rFonts w:asciiTheme="minorHAnsi" w:hAnsiTheme="minorHAnsi"/>
        </w:rPr>
        <w:t>s.226</w:t>
      </w:r>
      <w:proofErr w:type="spellEnd"/>
      <w:r w:rsidRPr="001D1CD5">
        <w:rPr>
          <w:rFonts w:asciiTheme="minorHAnsi" w:hAnsiTheme="minorHAnsi"/>
        </w:rPr>
        <w:t xml:space="preserve">(4)) and the reasonable additional hours provisions of the </w:t>
      </w:r>
      <w:proofErr w:type="spellStart"/>
      <w:r w:rsidRPr="001D1CD5">
        <w:rPr>
          <w:rFonts w:asciiTheme="minorHAnsi" w:hAnsiTheme="minorHAnsi"/>
        </w:rPr>
        <w:t>NES</w:t>
      </w:r>
      <w:proofErr w:type="spellEnd"/>
      <w:r w:rsidRPr="001D1CD5">
        <w:rPr>
          <w:rFonts w:asciiTheme="minorHAnsi" w:hAnsiTheme="minorHAnsi"/>
        </w:rPr>
        <w:t xml:space="preserve"> (</w:t>
      </w:r>
      <w:proofErr w:type="spellStart"/>
      <w:r w:rsidRPr="001D1CD5">
        <w:rPr>
          <w:rFonts w:asciiTheme="minorHAnsi" w:hAnsiTheme="minorHAnsi"/>
        </w:rPr>
        <w:t>s.62</w:t>
      </w:r>
      <w:proofErr w:type="spellEnd"/>
      <w:r w:rsidRPr="001D1CD5">
        <w:rPr>
          <w:rFonts w:asciiTheme="minorHAnsi" w:hAnsiTheme="minorHAnsi"/>
        </w:rPr>
        <w:t xml:space="preserve">(2) and (3)). A similar concept has been adopted with the public holiday provisions of the </w:t>
      </w:r>
      <w:proofErr w:type="spellStart"/>
      <w:r w:rsidRPr="001D1CD5">
        <w:rPr>
          <w:rFonts w:asciiTheme="minorHAnsi" w:hAnsiTheme="minorHAnsi"/>
        </w:rPr>
        <w:t>NES</w:t>
      </w:r>
      <w:proofErr w:type="spellEnd"/>
      <w:r w:rsidRPr="001D1CD5">
        <w:rPr>
          <w:rFonts w:asciiTheme="minorHAnsi" w:hAnsiTheme="minorHAnsi"/>
        </w:rPr>
        <w:t xml:space="preserve"> (</w:t>
      </w:r>
      <w:proofErr w:type="spellStart"/>
      <w:r w:rsidRPr="001D1CD5">
        <w:rPr>
          <w:rFonts w:asciiTheme="minorHAnsi" w:hAnsiTheme="minorHAnsi"/>
        </w:rPr>
        <w:t>s.114</w:t>
      </w:r>
      <w:proofErr w:type="spellEnd"/>
      <w:r w:rsidRPr="001D1CD5">
        <w:rPr>
          <w:rFonts w:asciiTheme="minorHAnsi" w:hAnsiTheme="minorHAnsi"/>
        </w:rPr>
        <w:t>(4)).</w:t>
      </w:r>
    </w:p>
    <w:p w14:paraId="42400A73" w14:textId="71FD4801" w:rsidR="00701439" w:rsidRPr="001D1CD5" w:rsidRDefault="00B26342" w:rsidP="00701439">
      <w:pPr>
        <w:pStyle w:val="Body1"/>
        <w:spacing w:after="240" w:line="276" w:lineRule="auto"/>
        <w:jc w:val="both"/>
        <w:rPr>
          <w:rFonts w:asciiTheme="minorHAnsi" w:hAnsiTheme="minorHAnsi"/>
        </w:rPr>
      </w:pPr>
      <w:r w:rsidRPr="001D1CD5">
        <w:rPr>
          <w:rFonts w:asciiTheme="minorHAnsi" w:hAnsiTheme="minorHAnsi"/>
        </w:rPr>
        <w:t xml:space="preserve">The reasonable hours provisions in the </w:t>
      </w:r>
      <w:proofErr w:type="spellStart"/>
      <w:r w:rsidRPr="001D1CD5">
        <w:rPr>
          <w:rFonts w:asciiTheme="minorHAnsi" w:hAnsiTheme="minorHAnsi"/>
        </w:rPr>
        <w:t>NES</w:t>
      </w:r>
      <w:proofErr w:type="spellEnd"/>
      <w:r w:rsidRPr="001D1CD5">
        <w:rPr>
          <w:rFonts w:asciiTheme="minorHAnsi" w:hAnsiTheme="minorHAnsi"/>
        </w:rPr>
        <w:t xml:space="preserve"> are well-understood and work effectively. Ai Group does not see a need for any additional guidelines.</w:t>
      </w:r>
    </w:p>
    <w:p w14:paraId="2D70EDCE" w14:textId="77777777" w:rsidR="00450B63" w:rsidRPr="001D1CD5" w:rsidRDefault="00450B63" w:rsidP="00450B63">
      <w:pPr>
        <w:pStyle w:val="Heading1"/>
        <w:spacing w:before="0" w:after="240" w:line="276" w:lineRule="auto"/>
        <w:ind w:left="709" w:hanging="709"/>
        <w:rPr>
          <w:rFonts w:asciiTheme="minorHAnsi" w:eastAsia="Times New Roman" w:hAnsiTheme="minorHAnsi"/>
          <w:color w:val="451E51"/>
          <w:sz w:val="36"/>
          <w:szCs w:val="36"/>
          <w:lang w:eastAsia="en-AU"/>
        </w:rPr>
      </w:pPr>
      <w:r w:rsidRPr="001D1CD5">
        <w:rPr>
          <w:rFonts w:asciiTheme="minorHAnsi" w:eastAsia="Times New Roman" w:hAnsiTheme="minorHAnsi"/>
          <w:color w:val="451E51"/>
          <w:sz w:val="36"/>
          <w:szCs w:val="36"/>
          <w:lang w:eastAsia="en-AU"/>
        </w:rPr>
        <w:t>14.   Regulated weekend penalty rates for selected consumer services</w:t>
      </w:r>
    </w:p>
    <w:p w14:paraId="605FC709" w14:textId="77777777" w:rsidR="00450B63" w:rsidRPr="001D1CD5" w:rsidRDefault="00450B63" w:rsidP="00450B63">
      <w:pPr>
        <w:spacing w:after="240" w:line="276" w:lineRule="auto"/>
        <w:rPr>
          <w:rFonts w:asciiTheme="minorHAnsi" w:eastAsiaTheme="minorHAnsi" w:hAnsiTheme="minorHAnsi"/>
          <w:b/>
          <w:bCs/>
          <w:color w:val="451E51"/>
          <w:sz w:val="28"/>
          <w:szCs w:val="28"/>
          <w:lang w:val="en-AU" w:eastAsia="en-AU"/>
        </w:rPr>
      </w:pPr>
      <w:r w:rsidRPr="001D1CD5">
        <w:rPr>
          <w:rFonts w:asciiTheme="minorHAnsi" w:hAnsiTheme="minorHAnsi"/>
          <w:b/>
          <w:bCs/>
          <w:color w:val="451E51"/>
          <w:sz w:val="28"/>
          <w:szCs w:val="28"/>
          <w:lang w:eastAsia="en-AU"/>
        </w:rPr>
        <w:t>14.1   Weekend penalty rates</w:t>
      </w:r>
    </w:p>
    <w:p w14:paraId="55637DE2" w14:textId="77777777" w:rsidR="00450B63" w:rsidRPr="001D1CD5" w:rsidRDefault="00450B63" w:rsidP="00450B63">
      <w:pPr>
        <w:spacing w:after="240" w:line="276" w:lineRule="auto"/>
        <w:rPr>
          <w:rFonts w:asciiTheme="minorHAnsi" w:hAnsiTheme="minorHAnsi"/>
          <w:lang w:eastAsia="en-AU"/>
        </w:rPr>
      </w:pPr>
      <w:r w:rsidRPr="001D1CD5">
        <w:rPr>
          <w:rFonts w:asciiTheme="minorHAnsi" w:hAnsiTheme="minorHAnsi"/>
          <w:lang w:eastAsia="en-AU"/>
        </w:rPr>
        <w:t>Ai Group supports Draft Recommendation 14.1 which states:</w:t>
      </w:r>
    </w:p>
    <w:p w14:paraId="64E12A3B" w14:textId="77777777" w:rsidR="00450B63" w:rsidRPr="001D1CD5" w:rsidRDefault="00450B63" w:rsidP="00450B63">
      <w:pPr>
        <w:pStyle w:val="Body1"/>
        <w:spacing w:after="120" w:line="276" w:lineRule="auto"/>
        <w:ind w:left="720"/>
        <w:jc w:val="both"/>
        <w:rPr>
          <w:rFonts w:asciiTheme="minorHAnsi" w:hAnsiTheme="minorHAnsi"/>
          <w:i/>
          <w:iCs/>
        </w:rPr>
      </w:pPr>
      <w:r w:rsidRPr="001D1CD5">
        <w:rPr>
          <w:rFonts w:asciiTheme="minorHAnsi" w:hAnsiTheme="minorHAnsi"/>
          <w:i/>
          <w:iCs/>
        </w:rPr>
        <w:t>“Sunday penalty rates that are not part of overtime or shift work should be set at Saturday rates for the hospitality, entertainment, retail, restaurants and cafe industries.</w:t>
      </w:r>
    </w:p>
    <w:p w14:paraId="2D1DFF30" w14:textId="77777777" w:rsidR="00450B63" w:rsidRPr="001D1CD5" w:rsidRDefault="00450B63" w:rsidP="00450B63">
      <w:pPr>
        <w:pStyle w:val="Body1"/>
        <w:spacing w:after="120" w:line="276" w:lineRule="auto"/>
        <w:ind w:left="720"/>
        <w:jc w:val="both"/>
        <w:rPr>
          <w:rFonts w:asciiTheme="minorHAnsi" w:hAnsiTheme="minorHAnsi"/>
          <w:i/>
          <w:iCs/>
        </w:rPr>
      </w:pPr>
      <w:r w:rsidRPr="001D1CD5">
        <w:rPr>
          <w:rFonts w:asciiTheme="minorHAnsi" w:hAnsiTheme="minorHAnsi"/>
          <w:i/>
          <w:iCs/>
        </w:rPr>
        <w:t>Weekend penalty rates should be set to achieve greater consistency between the hospitality, entertainment, retail, restaurants and cafe industries, but without the expectation of a single rate across all of them.</w:t>
      </w:r>
    </w:p>
    <w:p w14:paraId="72D3A189" w14:textId="77777777" w:rsidR="00450B63" w:rsidRPr="001D1CD5" w:rsidRDefault="00450B63" w:rsidP="00450B63">
      <w:pPr>
        <w:pStyle w:val="Body1"/>
        <w:spacing w:after="240" w:line="276" w:lineRule="auto"/>
        <w:ind w:left="720"/>
        <w:jc w:val="both"/>
        <w:rPr>
          <w:rFonts w:asciiTheme="minorHAnsi" w:hAnsiTheme="minorHAnsi"/>
          <w:i/>
          <w:iCs/>
        </w:rPr>
      </w:pPr>
      <w:r w:rsidRPr="001D1CD5">
        <w:rPr>
          <w:rFonts w:asciiTheme="minorHAnsi" w:hAnsiTheme="minorHAnsi"/>
          <w:i/>
          <w:iCs/>
        </w:rPr>
        <w:t>Unless there is a clear rationale for departing from this principle, weekend penalty rates for casuals in these industries should be set so that they provide neutral incentives to employ casuals over permanent employees”</w:t>
      </w:r>
    </w:p>
    <w:p w14:paraId="3BE90173" w14:textId="77777777" w:rsidR="00450B63" w:rsidRPr="001D1CD5" w:rsidRDefault="00450B63" w:rsidP="00450B63">
      <w:pPr>
        <w:pStyle w:val="Body1"/>
        <w:spacing w:after="240" w:line="276" w:lineRule="auto"/>
        <w:jc w:val="both"/>
        <w:rPr>
          <w:rFonts w:asciiTheme="minorHAnsi" w:hAnsiTheme="minorHAnsi"/>
        </w:rPr>
      </w:pPr>
      <w:r w:rsidRPr="001D1CD5">
        <w:rPr>
          <w:rFonts w:asciiTheme="minorHAnsi" w:hAnsiTheme="minorHAnsi"/>
        </w:rPr>
        <w:t xml:space="preserve">Ai Group understands that the Productivity Commission, in its reference to the hospitality, entertainment, retail, restaurants and café industries, includes the fast food sector of the retail industry. This sector has its own modern award and we urge the Commission to expressly refer to the sector in the list of industries to which Recommendation 14.1 relates. </w:t>
      </w:r>
    </w:p>
    <w:p w14:paraId="74E97C34" w14:textId="00C9B95E" w:rsidR="00450B63" w:rsidRPr="001D1CD5" w:rsidRDefault="005E7A4A" w:rsidP="00450B63">
      <w:pPr>
        <w:pStyle w:val="Body1"/>
        <w:spacing w:after="240" w:line="276" w:lineRule="auto"/>
        <w:jc w:val="both"/>
        <w:rPr>
          <w:rFonts w:asciiTheme="minorHAnsi" w:hAnsiTheme="minorHAnsi"/>
        </w:rPr>
      </w:pPr>
      <w:r w:rsidRPr="001D1CD5">
        <w:rPr>
          <w:rFonts w:asciiTheme="minorHAnsi" w:hAnsiTheme="minorHAnsi"/>
        </w:rPr>
        <w:t xml:space="preserve">Ai Group </w:t>
      </w:r>
      <w:r w:rsidR="00450B63" w:rsidRPr="001D1CD5">
        <w:rPr>
          <w:rFonts w:asciiTheme="minorHAnsi" w:hAnsiTheme="minorHAnsi"/>
        </w:rPr>
        <w:t xml:space="preserve">is currently representing fast food employers in a major </w:t>
      </w:r>
      <w:proofErr w:type="spellStart"/>
      <w:r w:rsidR="00450B63" w:rsidRPr="001D1CD5">
        <w:rPr>
          <w:rFonts w:asciiTheme="minorHAnsi" w:hAnsiTheme="minorHAnsi"/>
        </w:rPr>
        <w:t>FWC</w:t>
      </w:r>
      <w:proofErr w:type="spellEnd"/>
      <w:r w:rsidR="00450B63" w:rsidRPr="001D1CD5">
        <w:rPr>
          <w:rFonts w:asciiTheme="minorHAnsi" w:hAnsiTheme="minorHAnsi"/>
        </w:rPr>
        <w:t xml:space="preserve"> case concerning the review of penalty rates in the </w:t>
      </w:r>
      <w:r w:rsidR="00450B63" w:rsidRPr="001D1CD5">
        <w:rPr>
          <w:rFonts w:asciiTheme="minorHAnsi" w:hAnsiTheme="minorHAnsi"/>
          <w:i/>
          <w:iCs/>
        </w:rPr>
        <w:t>Fast Food Industry Award 2010</w:t>
      </w:r>
      <w:r w:rsidR="00450B63" w:rsidRPr="001D1CD5">
        <w:rPr>
          <w:rFonts w:asciiTheme="minorHAnsi" w:hAnsiTheme="minorHAnsi"/>
        </w:rPr>
        <w:t xml:space="preserve">. Fast food industry employers are seeking a reduction in the Sunday penalty rate to align with the Saturday penalty rate; an outcome consistent with Draft Recommendation 14.1. </w:t>
      </w:r>
    </w:p>
    <w:p w14:paraId="3C4ED884" w14:textId="77777777" w:rsidR="00450B63" w:rsidRPr="001D1CD5" w:rsidRDefault="00450B63" w:rsidP="00450B63">
      <w:pPr>
        <w:pStyle w:val="Body1"/>
        <w:spacing w:after="240" w:line="276" w:lineRule="auto"/>
        <w:jc w:val="both"/>
        <w:rPr>
          <w:rFonts w:asciiTheme="minorHAnsi" w:hAnsiTheme="minorHAnsi"/>
          <w:color w:val="002060"/>
        </w:rPr>
      </w:pPr>
      <w:r w:rsidRPr="001D1CD5">
        <w:rPr>
          <w:rFonts w:asciiTheme="minorHAnsi" w:hAnsiTheme="minorHAnsi"/>
        </w:rPr>
        <w:t xml:space="preserve">The evidence filed by the fast food employers in support of their case includes a </w:t>
      </w:r>
      <w:hyperlink r:id="rId18" w:history="1">
        <w:r w:rsidRPr="0023347A">
          <w:rPr>
            <w:rStyle w:val="Hyperlink"/>
            <w:rFonts w:asciiTheme="minorHAnsi" w:hAnsiTheme="minorHAnsi"/>
            <w:color w:val="0070C0"/>
          </w:rPr>
          <w:t>Fast Food Employee Survey</w:t>
        </w:r>
      </w:hyperlink>
      <w:r w:rsidRPr="0023347A">
        <w:rPr>
          <w:rFonts w:asciiTheme="minorHAnsi" w:hAnsiTheme="minorHAnsi"/>
          <w:color w:val="0070C0"/>
        </w:rPr>
        <w:t xml:space="preserve"> </w:t>
      </w:r>
      <w:r w:rsidRPr="001D1CD5">
        <w:rPr>
          <w:rFonts w:asciiTheme="minorHAnsi" w:hAnsiTheme="minorHAnsi"/>
        </w:rPr>
        <w:t xml:space="preserve">and a </w:t>
      </w:r>
      <w:hyperlink r:id="rId19" w:history="1">
        <w:r w:rsidRPr="0023347A">
          <w:rPr>
            <w:rStyle w:val="Hyperlink"/>
            <w:rFonts w:asciiTheme="minorHAnsi" w:hAnsiTheme="minorHAnsi"/>
            <w:color w:val="0070C0"/>
          </w:rPr>
          <w:t>Fast Food Employer Survey</w:t>
        </w:r>
      </w:hyperlink>
      <w:r w:rsidRPr="001D1CD5">
        <w:rPr>
          <w:rFonts w:asciiTheme="minorHAnsi" w:hAnsiTheme="minorHAnsi"/>
          <w:color w:val="002060"/>
        </w:rPr>
        <w:t>.</w:t>
      </w:r>
    </w:p>
    <w:p w14:paraId="37D522EF" w14:textId="77777777" w:rsidR="00450B63" w:rsidRPr="001D1CD5" w:rsidRDefault="00450B63" w:rsidP="00450B63">
      <w:pPr>
        <w:pStyle w:val="Body1"/>
        <w:spacing w:after="240" w:line="276" w:lineRule="auto"/>
        <w:jc w:val="both"/>
        <w:rPr>
          <w:rFonts w:asciiTheme="minorHAnsi" w:hAnsiTheme="minorHAnsi"/>
        </w:rPr>
      </w:pPr>
      <w:r w:rsidRPr="001D1CD5">
        <w:rPr>
          <w:rFonts w:asciiTheme="minorHAnsi" w:hAnsiTheme="minorHAnsi"/>
        </w:rPr>
        <w:t xml:space="preserve">The </w:t>
      </w:r>
      <w:r w:rsidRPr="001D1CD5">
        <w:rPr>
          <w:rFonts w:asciiTheme="minorHAnsi" w:hAnsiTheme="minorHAnsi"/>
          <w:i/>
          <w:iCs/>
        </w:rPr>
        <w:t>Fast Food Employee Survey 2015</w:t>
      </w:r>
      <w:r w:rsidRPr="001D1CD5">
        <w:rPr>
          <w:rFonts w:asciiTheme="minorHAnsi" w:hAnsiTheme="minorHAnsi"/>
        </w:rPr>
        <w:t xml:space="preserve"> reveals that:</w:t>
      </w:r>
    </w:p>
    <w:p w14:paraId="06AA02A5" w14:textId="77777777" w:rsidR="00450B63" w:rsidRPr="001D1CD5" w:rsidRDefault="00450B63" w:rsidP="00074410">
      <w:pPr>
        <w:pStyle w:val="ListParagraph"/>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240" w:line="276" w:lineRule="auto"/>
        <w:jc w:val="both"/>
        <w:rPr>
          <w:rFonts w:asciiTheme="minorHAnsi" w:hAnsiTheme="minorHAnsi"/>
          <w:color w:val="auto"/>
          <w:lang w:val="en-AU"/>
        </w:rPr>
      </w:pPr>
      <w:r w:rsidRPr="001D1CD5">
        <w:rPr>
          <w:rFonts w:asciiTheme="minorHAnsi" w:hAnsiTheme="minorHAnsi"/>
          <w:color w:val="auto"/>
        </w:rPr>
        <w:t>Most commonly employees are aged 15 years old (24.8%) while 54.5% are 16 years or younger and 81.6% are younger than 20 years.</w:t>
      </w:r>
    </w:p>
    <w:p w14:paraId="433422EC" w14:textId="77777777" w:rsidR="00450B63" w:rsidRPr="001D1CD5" w:rsidRDefault="00450B63" w:rsidP="00074410">
      <w:pPr>
        <w:pStyle w:val="ListParagraph"/>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240" w:line="276" w:lineRule="auto"/>
        <w:jc w:val="both"/>
        <w:rPr>
          <w:rFonts w:asciiTheme="minorHAnsi" w:hAnsiTheme="minorHAnsi"/>
        </w:rPr>
      </w:pPr>
      <w:r w:rsidRPr="001D1CD5">
        <w:rPr>
          <w:rFonts w:asciiTheme="minorHAnsi" w:hAnsiTheme="minorHAnsi"/>
          <w:color w:val="auto"/>
        </w:rPr>
        <w:t>Just on three-quarters live with one or both of their parents (76.4%).</w:t>
      </w:r>
    </w:p>
    <w:p w14:paraId="422C8D4D" w14:textId="77777777" w:rsidR="00450B63" w:rsidRPr="001D1CD5" w:rsidRDefault="00450B63" w:rsidP="00074410">
      <w:pPr>
        <w:pStyle w:val="ListParagraph"/>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240" w:line="276" w:lineRule="auto"/>
        <w:jc w:val="both"/>
        <w:rPr>
          <w:rFonts w:asciiTheme="minorHAnsi" w:hAnsiTheme="minorHAnsi"/>
          <w:color w:val="auto"/>
        </w:rPr>
      </w:pPr>
      <w:r w:rsidRPr="001D1CD5">
        <w:rPr>
          <w:rFonts w:asciiTheme="minorHAnsi" w:hAnsiTheme="minorHAnsi"/>
          <w:color w:val="auto"/>
        </w:rPr>
        <w:lastRenderedPageBreak/>
        <w:t xml:space="preserve">67.4% of employees identify as full-time students. </w:t>
      </w:r>
    </w:p>
    <w:p w14:paraId="4235AD72" w14:textId="77777777" w:rsidR="00450B63" w:rsidRPr="001D1CD5" w:rsidRDefault="00450B63" w:rsidP="00074410">
      <w:pPr>
        <w:pStyle w:val="ListParagraph"/>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240" w:line="276" w:lineRule="auto"/>
        <w:jc w:val="both"/>
        <w:rPr>
          <w:rFonts w:asciiTheme="minorHAnsi" w:hAnsiTheme="minorHAnsi"/>
        </w:rPr>
      </w:pPr>
      <w:r w:rsidRPr="001D1CD5">
        <w:rPr>
          <w:rFonts w:asciiTheme="minorHAnsi" w:hAnsiTheme="minorHAnsi"/>
          <w:color w:val="auto"/>
        </w:rPr>
        <w:t xml:space="preserve">Nearly all employees who are students attend their educational institutions on one or more week days (99.6%), while only 2.8% attend at some time on weekends. </w:t>
      </w:r>
    </w:p>
    <w:p w14:paraId="204BCC87" w14:textId="77777777" w:rsidR="00450B63" w:rsidRPr="001D1CD5" w:rsidRDefault="00450B63" w:rsidP="00074410">
      <w:pPr>
        <w:pStyle w:val="ListParagraph"/>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240" w:line="276" w:lineRule="auto"/>
        <w:jc w:val="both"/>
        <w:rPr>
          <w:rFonts w:asciiTheme="minorHAnsi" w:hAnsiTheme="minorHAnsi"/>
        </w:rPr>
      </w:pPr>
      <w:r w:rsidRPr="001D1CD5">
        <w:rPr>
          <w:rFonts w:asciiTheme="minorHAnsi" w:hAnsiTheme="minorHAnsi"/>
          <w:color w:val="auto"/>
        </w:rPr>
        <w:t>Most commonly employees work 1 to 10 hours per week (49.3%), while 82.3% work 20 hours or less per week.</w:t>
      </w:r>
    </w:p>
    <w:p w14:paraId="16F20FEB" w14:textId="77777777" w:rsidR="00450B63" w:rsidRPr="001D1CD5" w:rsidRDefault="00450B63" w:rsidP="00074410">
      <w:pPr>
        <w:pStyle w:val="ListParagraph"/>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240" w:line="276" w:lineRule="auto"/>
        <w:jc w:val="both"/>
        <w:rPr>
          <w:rFonts w:asciiTheme="minorHAnsi" w:hAnsiTheme="minorHAnsi"/>
        </w:rPr>
      </w:pPr>
      <w:r w:rsidRPr="001D1CD5">
        <w:rPr>
          <w:rFonts w:asciiTheme="minorHAnsi" w:hAnsiTheme="minorHAnsi"/>
        </w:rPr>
        <w:t xml:space="preserve">Those aged 16 and younger are slightly less likely to work on week days and slightly more likely to work on weekends. </w:t>
      </w:r>
    </w:p>
    <w:p w14:paraId="5F5958AD" w14:textId="77777777" w:rsidR="00450B63" w:rsidRPr="001D1CD5" w:rsidRDefault="00450B63" w:rsidP="00074410">
      <w:pPr>
        <w:pStyle w:val="ListParagraph"/>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240" w:line="276" w:lineRule="auto"/>
        <w:jc w:val="both"/>
        <w:rPr>
          <w:rFonts w:asciiTheme="minorHAnsi" w:hAnsiTheme="minorHAnsi"/>
        </w:rPr>
      </w:pPr>
      <w:r w:rsidRPr="001D1CD5">
        <w:rPr>
          <w:rFonts w:asciiTheme="minorHAnsi" w:hAnsiTheme="minorHAnsi"/>
        </w:rPr>
        <w:t>A majority of employees would prefer to work a mixture of week days and weekends (63.2%).</w:t>
      </w:r>
    </w:p>
    <w:p w14:paraId="01ABC86E" w14:textId="77777777" w:rsidR="00450B63" w:rsidRPr="001D1CD5" w:rsidRDefault="00450B63" w:rsidP="00074410">
      <w:pPr>
        <w:pStyle w:val="ListParagraph"/>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240" w:line="276" w:lineRule="auto"/>
        <w:jc w:val="both"/>
        <w:rPr>
          <w:rFonts w:asciiTheme="minorHAnsi" w:hAnsiTheme="minorHAnsi"/>
        </w:rPr>
      </w:pPr>
      <w:r w:rsidRPr="001D1CD5">
        <w:rPr>
          <w:rFonts w:asciiTheme="minorHAnsi" w:hAnsiTheme="minorHAnsi"/>
        </w:rPr>
        <w:t xml:space="preserve">For those who indicated a preference to work weekends (either as a mix with week days or weekends only), most prefer to work both Saturdays and Sundays (44.7%) while 28.6% prefer Saturday only and 26.7% prefer Sunday only. </w:t>
      </w:r>
    </w:p>
    <w:p w14:paraId="3634E6CC" w14:textId="77777777" w:rsidR="00450B63" w:rsidRPr="001D1CD5" w:rsidRDefault="00450B63" w:rsidP="00074410">
      <w:pPr>
        <w:pStyle w:val="ListParagraph"/>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240" w:line="276" w:lineRule="auto"/>
        <w:jc w:val="both"/>
        <w:rPr>
          <w:rFonts w:asciiTheme="minorHAnsi" w:hAnsiTheme="minorHAnsi"/>
        </w:rPr>
      </w:pPr>
      <w:r w:rsidRPr="001D1CD5">
        <w:rPr>
          <w:rFonts w:asciiTheme="minorHAnsi" w:hAnsiTheme="minorHAnsi"/>
        </w:rPr>
        <w:t xml:space="preserve">Of those who work on a Saturday, most commonly they work 6 hours or less (78.3%). </w:t>
      </w:r>
    </w:p>
    <w:p w14:paraId="2686FADA" w14:textId="77777777" w:rsidR="00450B63" w:rsidRPr="001D1CD5" w:rsidRDefault="00450B63" w:rsidP="00074410">
      <w:pPr>
        <w:pStyle w:val="ListParagraph"/>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240" w:line="276" w:lineRule="auto"/>
        <w:jc w:val="both"/>
        <w:rPr>
          <w:rFonts w:asciiTheme="minorHAnsi" w:hAnsiTheme="minorHAnsi"/>
        </w:rPr>
      </w:pPr>
      <w:r w:rsidRPr="001D1CD5">
        <w:rPr>
          <w:rFonts w:asciiTheme="minorHAnsi" w:hAnsiTheme="minorHAnsi"/>
        </w:rPr>
        <w:t xml:space="preserve">Of those who work on a Sunday, most commonly they work 6 hours or less (80.4%). </w:t>
      </w:r>
    </w:p>
    <w:p w14:paraId="23524667" w14:textId="77777777" w:rsidR="00450B63" w:rsidRPr="001D1CD5" w:rsidRDefault="00450B63" w:rsidP="00074410">
      <w:pPr>
        <w:pStyle w:val="ListParagraph"/>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240" w:line="276" w:lineRule="auto"/>
        <w:jc w:val="both"/>
        <w:rPr>
          <w:rFonts w:asciiTheme="minorHAnsi" w:hAnsiTheme="minorHAnsi"/>
          <w:color w:val="auto"/>
        </w:rPr>
      </w:pPr>
      <w:r w:rsidRPr="001D1CD5">
        <w:rPr>
          <w:rFonts w:asciiTheme="minorHAnsi" w:hAnsiTheme="minorHAnsi"/>
        </w:rPr>
        <w:t xml:space="preserve">Most </w:t>
      </w:r>
      <w:r w:rsidRPr="001D1CD5">
        <w:rPr>
          <w:rFonts w:asciiTheme="minorHAnsi" w:hAnsiTheme="minorHAnsi"/>
          <w:color w:val="auto"/>
        </w:rPr>
        <w:t xml:space="preserve">commonly, working on a Sunday either has </w:t>
      </w:r>
      <w:r w:rsidRPr="001D1CD5">
        <w:rPr>
          <w:rFonts w:asciiTheme="minorHAnsi" w:hAnsiTheme="minorHAnsi"/>
          <w:i/>
          <w:iCs/>
          <w:color w:val="auto"/>
        </w:rPr>
        <w:t xml:space="preserve">no impact </w:t>
      </w:r>
      <w:r w:rsidRPr="001D1CD5">
        <w:rPr>
          <w:rFonts w:asciiTheme="minorHAnsi" w:hAnsiTheme="minorHAnsi"/>
          <w:color w:val="auto"/>
        </w:rPr>
        <w:t xml:space="preserve">(49.5%) or </w:t>
      </w:r>
      <w:r w:rsidRPr="001D1CD5">
        <w:rPr>
          <w:rFonts w:asciiTheme="minorHAnsi" w:hAnsiTheme="minorHAnsi"/>
          <w:i/>
          <w:iCs/>
          <w:color w:val="auto"/>
        </w:rPr>
        <w:t xml:space="preserve">some negative impact </w:t>
      </w:r>
      <w:r w:rsidRPr="001D1CD5">
        <w:rPr>
          <w:rFonts w:asciiTheme="minorHAnsi" w:hAnsiTheme="minorHAnsi"/>
          <w:color w:val="auto"/>
        </w:rPr>
        <w:t xml:space="preserve">(37.5%) on spending time with family or friends. </w:t>
      </w:r>
    </w:p>
    <w:p w14:paraId="2663A2A7" w14:textId="1F39C5CC" w:rsidR="00450B63" w:rsidRPr="001D1CD5" w:rsidRDefault="00450B63" w:rsidP="00074410">
      <w:pPr>
        <w:pStyle w:val="ListParagraph"/>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240" w:line="276" w:lineRule="auto"/>
        <w:jc w:val="both"/>
        <w:rPr>
          <w:rFonts w:asciiTheme="minorHAnsi" w:hAnsiTheme="minorHAnsi"/>
          <w:color w:val="auto"/>
        </w:rPr>
      </w:pPr>
      <w:r w:rsidRPr="001D1CD5">
        <w:rPr>
          <w:rFonts w:asciiTheme="minorHAnsi" w:hAnsiTheme="minorHAnsi"/>
          <w:color w:val="auto"/>
        </w:rPr>
        <w:t xml:space="preserve">The most common reasons for choosing to work on Sunday over Saturday were that more friends </w:t>
      </w:r>
      <w:r w:rsidR="0023347A">
        <w:rPr>
          <w:rFonts w:asciiTheme="minorHAnsi" w:hAnsiTheme="minorHAnsi"/>
          <w:color w:val="auto"/>
        </w:rPr>
        <w:t xml:space="preserve">are available to </w:t>
      </w:r>
      <w:proofErr w:type="spellStart"/>
      <w:r w:rsidR="0023347A">
        <w:rPr>
          <w:rFonts w:asciiTheme="minorHAnsi" w:hAnsiTheme="minorHAnsi"/>
          <w:color w:val="auto"/>
        </w:rPr>
        <w:t>socialise</w:t>
      </w:r>
      <w:proofErr w:type="spellEnd"/>
      <w:r w:rsidR="0023347A">
        <w:rPr>
          <w:rFonts w:asciiTheme="minorHAnsi" w:hAnsiTheme="minorHAnsi"/>
          <w:color w:val="auto"/>
        </w:rPr>
        <w:t xml:space="preserve"> with friends </w:t>
      </w:r>
      <w:r w:rsidRPr="001D1CD5">
        <w:rPr>
          <w:rFonts w:asciiTheme="minorHAnsi" w:hAnsiTheme="minorHAnsi"/>
          <w:color w:val="auto"/>
        </w:rPr>
        <w:t>on Saturday rather than Sunday (50.4%), sporting commitments on Saturday (42.6%), a preference to spend time with family on Saturday (38.2%) and study commitments on Saturday (31.1%).</w:t>
      </w:r>
    </w:p>
    <w:p w14:paraId="110A8EF0" w14:textId="615F96EF" w:rsidR="0023347A" w:rsidRPr="00741992" w:rsidRDefault="00450B63" w:rsidP="00741992">
      <w:pPr>
        <w:pStyle w:val="Body1"/>
        <w:spacing w:after="240" w:line="276" w:lineRule="auto"/>
        <w:jc w:val="both"/>
        <w:rPr>
          <w:rFonts w:asciiTheme="minorHAnsi" w:hAnsiTheme="minorHAnsi"/>
          <w:color w:val="auto"/>
        </w:rPr>
      </w:pPr>
      <w:r w:rsidRPr="001D1CD5">
        <w:rPr>
          <w:rFonts w:asciiTheme="minorHAnsi" w:hAnsiTheme="minorHAnsi"/>
          <w:color w:val="auto"/>
        </w:rPr>
        <w:t xml:space="preserve">The </w:t>
      </w:r>
      <w:r w:rsidRPr="001D1CD5">
        <w:rPr>
          <w:rFonts w:asciiTheme="minorHAnsi" w:hAnsiTheme="minorHAnsi"/>
          <w:i/>
          <w:iCs/>
          <w:color w:val="auto"/>
        </w:rPr>
        <w:t>Fast Food Employer Survey 2015</w:t>
      </w:r>
      <w:r w:rsidRPr="001D1CD5">
        <w:rPr>
          <w:rFonts w:asciiTheme="minorHAnsi" w:hAnsiTheme="minorHAnsi"/>
          <w:color w:val="auto"/>
        </w:rPr>
        <w:t xml:space="preserve"> reveals that most franchisees (67.4%) find it easy to get enough</w:t>
      </w:r>
      <w:r w:rsidR="00741992">
        <w:rPr>
          <w:rFonts w:asciiTheme="minorHAnsi" w:hAnsiTheme="minorHAnsi"/>
          <w:color w:val="auto"/>
        </w:rPr>
        <w:t xml:space="preserve"> employees to work on a Sunday.</w:t>
      </w:r>
    </w:p>
    <w:p w14:paraId="270569C3" w14:textId="0665F8E8" w:rsidR="00450B63" w:rsidRPr="001D1CD5" w:rsidRDefault="00450B63" w:rsidP="00450B63">
      <w:pPr>
        <w:pStyle w:val="Body1"/>
        <w:spacing w:after="240" w:line="276" w:lineRule="auto"/>
        <w:jc w:val="both"/>
        <w:rPr>
          <w:rFonts w:asciiTheme="minorHAnsi" w:hAnsiTheme="minorHAnsi"/>
          <w:b/>
          <w:bCs/>
          <w:color w:val="auto"/>
          <w:sz w:val="28"/>
          <w:szCs w:val="28"/>
        </w:rPr>
      </w:pPr>
      <w:r w:rsidRPr="001D1CD5">
        <w:rPr>
          <w:rFonts w:asciiTheme="minorHAnsi" w:hAnsiTheme="minorHAnsi"/>
          <w:b/>
          <w:bCs/>
          <w:color w:val="451E51"/>
          <w:sz w:val="28"/>
          <w:szCs w:val="28"/>
        </w:rPr>
        <w:t xml:space="preserve">14.2   Preferred hours clause </w:t>
      </w:r>
    </w:p>
    <w:p w14:paraId="15B73822" w14:textId="77777777" w:rsidR="00450B63" w:rsidRPr="001D1CD5" w:rsidRDefault="00450B63" w:rsidP="00450B63">
      <w:pPr>
        <w:pStyle w:val="Body1"/>
        <w:spacing w:after="240" w:line="276" w:lineRule="auto"/>
        <w:jc w:val="both"/>
        <w:rPr>
          <w:rFonts w:asciiTheme="minorHAnsi" w:hAnsiTheme="minorHAnsi"/>
        </w:rPr>
      </w:pPr>
      <w:r w:rsidRPr="001D1CD5">
        <w:rPr>
          <w:rFonts w:asciiTheme="minorHAnsi" w:hAnsiTheme="minorHAnsi"/>
        </w:rPr>
        <w:t>The Productivity Commission seeks views on a “preferred hours” clause in modern awards which would only oblige employers to pay penalty rates when it requested an employee to work outside his or her nominated “preferred hours”.  Ai Group would support this approach so long as it would only operate in circumstances where an employee prefers to work ordinary hours at times that would otherwise attract penalty rates, and would not operate to require that penalty rates be paid for ordinary hours worked during the spread of ordinary hours in the relevant award.</w:t>
      </w:r>
    </w:p>
    <w:p w14:paraId="30F11F1C" w14:textId="77777777" w:rsidR="00450B63" w:rsidRPr="001D1CD5" w:rsidRDefault="00450B63" w:rsidP="00F65555">
      <w:pPr>
        <w:pStyle w:val="Body1"/>
        <w:spacing w:after="240" w:line="276" w:lineRule="auto"/>
        <w:jc w:val="both"/>
        <w:rPr>
          <w:rFonts w:asciiTheme="minorHAnsi" w:hAnsiTheme="minorHAnsi"/>
        </w:rPr>
      </w:pPr>
      <w:r w:rsidRPr="001D1CD5">
        <w:rPr>
          <w:rFonts w:asciiTheme="minorHAnsi" w:hAnsiTheme="minorHAnsi"/>
        </w:rPr>
        <w:t>If a “preferred hours” clause was to be inserted into modern awards, the clause would need to provide sufficient certainty. For example, if the employee was able to unilaterally terminate a “preferred hours” arrangement this would significantly limit the uptake of such arrangements.</w:t>
      </w:r>
    </w:p>
    <w:p w14:paraId="192BE03C" w14:textId="77777777" w:rsidR="00581E95" w:rsidRPr="001D1CD5" w:rsidRDefault="00581E95" w:rsidP="00F65555">
      <w:pPr>
        <w:pStyle w:val="Heading1"/>
        <w:keepNext w:val="0"/>
        <w:keepLines w:val="0"/>
        <w:spacing w:before="0" w:after="240" w:line="276" w:lineRule="auto"/>
        <w:ind w:left="709" w:hanging="709"/>
        <w:rPr>
          <w:rFonts w:asciiTheme="minorHAnsi" w:eastAsia="Calibri" w:hAnsiTheme="minorHAnsi" w:cs="Calibri"/>
          <w:color w:val="451E51"/>
          <w:sz w:val="36"/>
          <w:szCs w:val="36"/>
          <w:lang w:eastAsia="en-AU"/>
        </w:rPr>
      </w:pPr>
      <w:r w:rsidRPr="001D1CD5">
        <w:rPr>
          <w:rFonts w:asciiTheme="minorHAnsi" w:eastAsia="Calibri" w:hAnsiTheme="minorHAnsi" w:cs="Calibri"/>
          <w:color w:val="451E51"/>
          <w:sz w:val="36"/>
          <w:szCs w:val="36"/>
          <w:lang w:eastAsia="en-AU"/>
        </w:rPr>
        <w:lastRenderedPageBreak/>
        <w:t xml:space="preserve">15. </w:t>
      </w:r>
      <w:r w:rsidRPr="001D1CD5">
        <w:rPr>
          <w:rFonts w:asciiTheme="minorHAnsi" w:eastAsia="Calibri" w:hAnsiTheme="minorHAnsi" w:cs="Calibri"/>
          <w:color w:val="451E51"/>
          <w:sz w:val="36"/>
          <w:szCs w:val="36"/>
          <w:lang w:eastAsia="en-AU"/>
        </w:rPr>
        <w:tab/>
        <w:t>Enterprise bargaining</w:t>
      </w:r>
    </w:p>
    <w:p w14:paraId="43461DF0" w14:textId="77777777" w:rsidR="00581E95" w:rsidRPr="001D1CD5" w:rsidRDefault="00581E95" w:rsidP="00F65555">
      <w:pPr>
        <w:pStyle w:val="Heading1"/>
        <w:keepNext w:val="0"/>
        <w:keepLines w:val="0"/>
        <w:spacing w:before="0" w:after="240" w:line="276" w:lineRule="auto"/>
        <w:ind w:left="709" w:hanging="709"/>
        <w:jc w:val="both"/>
        <w:rPr>
          <w:rFonts w:asciiTheme="minorHAnsi" w:eastAsia="Calibri" w:hAnsiTheme="minorHAnsi" w:cs="Calibri"/>
          <w:color w:val="451E51"/>
          <w:lang w:eastAsia="en-AU"/>
        </w:rPr>
      </w:pPr>
      <w:r w:rsidRPr="001D1CD5">
        <w:rPr>
          <w:rFonts w:asciiTheme="minorHAnsi" w:eastAsia="Calibri" w:hAnsiTheme="minorHAnsi" w:cs="Calibri"/>
          <w:color w:val="451E51"/>
          <w:lang w:eastAsia="en-AU"/>
        </w:rPr>
        <w:t xml:space="preserve">15.1 </w:t>
      </w:r>
      <w:r w:rsidRPr="001D1CD5">
        <w:rPr>
          <w:rFonts w:asciiTheme="minorHAnsi" w:eastAsia="Calibri" w:hAnsiTheme="minorHAnsi" w:cs="Calibri"/>
          <w:color w:val="451E51"/>
          <w:lang w:eastAsia="en-AU"/>
        </w:rPr>
        <w:tab/>
        <w:t>Undue emphasis on procedural requirements at the approval stage</w:t>
      </w:r>
    </w:p>
    <w:p w14:paraId="73F7463E" w14:textId="77777777" w:rsidR="00581E95" w:rsidRPr="001D1CD5" w:rsidRDefault="00581E95" w:rsidP="00F65555">
      <w:pPr>
        <w:pStyle w:val="Heading1"/>
        <w:keepNext w:val="0"/>
        <w:keepLines w:val="0"/>
        <w:spacing w:before="0" w:after="240" w:line="276" w:lineRule="auto"/>
        <w:jc w:val="both"/>
        <w:rPr>
          <w:rFonts w:asciiTheme="minorHAnsi" w:hAnsiTheme="minorHAnsi"/>
          <w:b w:val="0"/>
          <w:color w:val="auto"/>
          <w:sz w:val="24"/>
          <w:szCs w:val="24"/>
          <w:lang w:eastAsia="en-AU"/>
        </w:rPr>
      </w:pPr>
      <w:r w:rsidRPr="001D1CD5">
        <w:rPr>
          <w:rFonts w:asciiTheme="minorHAnsi" w:hAnsiTheme="minorHAnsi"/>
          <w:b w:val="0"/>
          <w:color w:val="auto"/>
          <w:sz w:val="24"/>
          <w:szCs w:val="24"/>
          <w:lang w:eastAsia="en-AU"/>
        </w:rPr>
        <w:t xml:space="preserve">Ai Group concurs with the Productivity Commission’s view that there is currently an undue emphasis placed on procedural requirements when the </w:t>
      </w:r>
      <w:proofErr w:type="spellStart"/>
      <w:r w:rsidRPr="001D1CD5">
        <w:rPr>
          <w:rFonts w:asciiTheme="minorHAnsi" w:hAnsiTheme="minorHAnsi"/>
          <w:b w:val="0"/>
          <w:color w:val="auto"/>
          <w:sz w:val="24"/>
          <w:szCs w:val="24"/>
          <w:lang w:eastAsia="en-AU"/>
        </w:rPr>
        <w:t>FWC</w:t>
      </w:r>
      <w:proofErr w:type="spellEnd"/>
      <w:r w:rsidRPr="001D1CD5">
        <w:rPr>
          <w:rFonts w:asciiTheme="minorHAnsi" w:hAnsiTheme="minorHAnsi"/>
          <w:b w:val="0"/>
          <w:color w:val="auto"/>
          <w:sz w:val="24"/>
          <w:szCs w:val="24"/>
          <w:lang w:eastAsia="en-AU"/>
        </w:rPr>
        <w:t xml:space="preserve"> is determining whether to approve an agreement.  </w:t>
      </w:r>
    </w:p>
    <w:p w14:paraId="704EB25B" w14:textId="77777777" w:rsidR="00581E95" w:rsidRPr="001D1CD5" w:rsidRDefault="00581E95" w:rsidP="00581E95">
      <w:pPr>
        <w:spacing w:after="240" w:line="276" w:lineRule="auto"/>
        <w:jc w:val="both"/>
        <w:rPr>
          <w:rFonts w:asciiTheme="minorHAnsi" w:hAnsiTheme="minorHAnsi"/>
          <w:lang w:eastAsia="en-AU"/>
        </w:rPr>
      </w:pPr>
      <w:r w:rsidRPr="001D1CD5">
        <w:rPr>
          <w:rFonts w:asciiTheme="minorHAnsi" w:hAnsiTheme="minorHAnsi"/>
          <w:lang w:eastAsia="en-AU"/>
        </w:rPr>
        <w:t xml:space="preserve">Accordingly, Ai Group supports Draft Recommendation 15.1 which would give the </w:t>
      </w:r>
      <w:proofErr w:type="spellStart"/>
      <w:r w:rsidRPr="001D1CD5">
        <w:rPr>
          <w:rFonts w:asciiTheme="minorHAnsi" w:hAnsiTheme="minorHAnsi"/>
          <w:lang w:eastAsia="en-AU"/>
        </w:rPr>
        <w:t>FWC</w:t>
      </w:r>
      <w:proofErr w:type="spellEnd"/>
      <w:r w:rsidRPr="001D1CD5">
        <w:rPr>
          <w:rFonts w:asciiTheme="minorHAnsi" w:hAnsiTheme="minorHAnsi"/>
          <w:lang w:eastAsia="en-AU"/>
        </w:rPr>
        <w:t xml:space="preserve"> greater discretion to approve an agreement without amendment or undertakings as long as it is satisfied that the employees were not likely to have been placed at a disadvantage because of the unmet requirement. This would include defects relating to Notices of Employee Representational Rights.</w:t>
      </w:r>
    </w:p>
    <w:p w14:paraId="161D343D" w14:textId="77777777" w:rsidR="00581E95" w:rsidRPr="001D1CD5" w:rsidRDefault="00581E95" w:rsidP="00581E95">
      <w:pPr>
        <w:pStyle w:val="Heading1"/>
        <w:spacing w:before="0" w:after="240" w:line="276" w:lineRule="auto"/>
        <w:ind w:left="709" w:hanging="709"/>
        <w:rPr>
          <w:rFonts w:asciiTheme="minorHAnsi" w:eastAsia="Calibri" w:hAnsiTheme="minorHAnsi" w:cs="Calibri"/>
          <w:color w:val="451E51"/>
          <w:lang w:eastAsia="en-AU"/>
        </w:rPr>
      </w:pPr>
      <w:r w:rsidRPr="001D1CD5">
        <w:rPr>
          <w:rFonts w:asciiTheme="minorHAnsi" w:eastAsia="Calibri" w:hAnsiTheme="minorHAnsi" w:cs="Calibri"/>
          <w:color w:val="451E51"/>
          <w:lang w:eastAsia="en-AU"/>
        </w:rPr>
        <w:t>15.2</w:t>
      </w:r>
      <w:r w:rsidRPr="001D1CD5">
        <w:rPr>
          <w:rFonts w:asciiTheme="minorHAnsi" w:eastAsia="Calibri" w:hAnsiTheme="minorHAnsi" w:cs="Calibri"/>
          <w:color w:val="451E51"/>
          <w:lang w:eastAsia="en-AU"/>
        </w:rPr>
        <w:tab/>
        <w:t>Pattern agreements and pattern bargaining</w:t>
      </w:r>
    </w:p>
    <w:p w14:paraId="7969C047" w14:textId="77777777" w:rsidR="00581E95" w:rsidRPr="001D1CD5" w:rsidRDefault="00581E95" w:rsidP="00581E95">
      <w:pPr>
        <w:spacing w:after="240" w:line="276" w:lineRule="auto"/>
        <w:jc w:val="both"/>
        <w:rPr>
          <w:rFonts w:asciiTheme="minorHAnsi" w:hAnsiTheme="minorHAnsi"/>
          <w:lang w:eastAsia="en-AU"/>
        </w:rPr>
      </w:pPr>
      <w:r w:rsidRPr="001D1CD5">
        <w:rPr>
          <w:rFonts w:asciiTheme="minorHAnsi" w:hAnsiTheme="minorHAnsi"/>
          <w:lang w:eastAsia="en-AU"/>
        </w:rPr>
        <w:t>The Productivity Commission has sought feedback on whether there is a mechanism that would only restrain pattern bargaining where it is imposed through excessive leverage or is likely to be anti-competitive, while allowing it in circumstances where it is conducive to low transaction cost agreements that parties genuinely consent to.</w:t>
      </w:r>
    </w:p>
    <w:p w14:paraId="690265DE" w14:textId="77777777" w:rsidR="00581E95" w:rsidRPr="001D1CD5" w:rsidRDefault="00581E95" w:rsidP="00581E95">
      <w:pPr>
        <w:autoSpaceDE w:val="0"/>
        <w:autoSpaceDN w:val="0"/>
        <w:adjustRightInd w:val="0"/>
        <w:spacing w:after="240" w:line="276" w:lineRule="auto"/>
        <w:jc w:val="both"/>
        <w:rPr>
          <w:rFonts w:asciiTheme="minorHAnsi" w:eastAsiaTheme="minorHAnsi" w:hAnsiTheme="minorHAnsi" w:cstheme="minorHAnsi"/>
        </w:rPr>
      </w:pPr>
      <w:r w:rsidRPr="001D1CD5">
        <w:rPr>
          <w:rFonts w:asciiTheme="minorHAnsi" w:hAnsiTheme="minorHAnsi"/>
          <w:lang w:eastAsia="en-AU"/>
        </w:rPr>
        <w:t>Pattern bargaining is obviously anti-competitive where it is engaged in across an entire industry sector. Such pattern bargaining should be outlawed, despite the views of those with vested interests who negotiate and promote industry sector pattern agreements.</w:t>
      </w:r>
      <w:r w:rsidRPr="001D1CD5">
        <w:rPr>
          <w:rFonts w:asciiTheme="minorHAnsi" w:hAnsiTheme="minorHAnsi" w:cstheme="minorHAnsi"/>
        </w:rPr>
        <w:t xml:space="preserve"> </w:t>
      </w:r>
    </w:p>
    <w:p w14:paraId="1C0ADC14" w14:textId="77777777" w:rsidR="00581E95" w:rsidRPr="001D1CD5" w:rsidRDefault="00581E95" w:rsidP="00581E95">
      <w:pPr>
        <w:autoSpaceDE w:val="0"/>
        <w:autoSpaceDN w:val="0"/>
        <w:adjustRightInd w:val="0"/>
        <w:spacing w:after="240" w:line="276" w:lineRule="auto"/>
        <w:jc w:val="both"/>
        <w:rPr>
          <w:rFonts w:asciiTheme="minorHAnsi" w:hAnsiTheme="minorHAnsi" w:cstheme="minorHAnsi"/>
        </w:rPr>
      </w:pPr>
      <w:r w:rsidRPr="001D1CD5">
        <w:rPr>
          <w:rFonts w:asciiTheme="minorHAnsi" w:hAnsiTheme="minorHAnsi" w:cstheme="minorHAnsi"/>
        </w:rPr>
        <w:t xml:space="preserve">As highlighted by the </w:t>
      </w:r>
      <w:proofErr w:type="spellStart"/>
      <w:r w:rsidRPr="001D1CD5">
        <w:rPr>
          <w:rFonts w:asciiTheme="minorHAnsi" w:hAnsiTheme="minorHAnsi" w:cstheme="minorHAnsi"/>
        </w:rPr>
        <w:t>Heydon</w:t>
      </w:r>
      <w:proofErr w:type="spellEnd"/>
      <w:r w:rsidRPr="001D1CD5">
        <w:rPr>
          <w:rFonts w:asciiTheme="minorHAnsi" w:hAnsiTheme="minorHAnsi" w:cstheme="minorHAnsi"/>
        </w:rPr>
        <w:t xml:space="preserve"> Royal Commission into Union Governance and Corruption, many unions (and some other parties) derive very lucrative revenue streams (millions of dollars each year) from products that employers are forced to buy </w:t>
      </w:r>
      <w:r w:rsidRPr="001D1CD5">
        <w:rPr>
          <w:rFonts w:asciiTheme="minorHAnsi" w:hAnsiTheme="minorHAnsi"/>
        </w:rPr>
        <w:t xml:space="preserve">at grossly inflated prices (e.g. income protection insurance) and from funds that employers are forced to contribute to (e.g. redundancy funds such as </w:t>
      </w:r>
      <w:proofErr w:type="spellStart"/>
      <w:r w:rsidRPr="001D1CD5">
        <w:rPr>
          <w:rFonts w:asciiTheme="minorHAnsi" w:hAnsiTheme="minorHAnsi"/>
        </w:rPr>
        <w:t>Incolink</w:t>
      </w:r>
      <w:proofErr w:type="spellEnd"/>
      <w:r w:rsidRPr="001D1CD5">
        <w:rPr>
          <w:rFonts w:asciiTheme="minorHAnsi" w:hAnsiTheme="minorHAnsi"/>
        </w:rPr>
        <w:t xml:space="preserve"> and Protect which regularly pay “surplus” amounts to unions) under the terms of </w:t>
      </w:r>
      <w:r w:rsidRPr="001D1CD5">
        <w:rPr>
          <w:rFonts w:asciiTheme="minorHAnsi" w:hAnsiTheme="minorHAnsi" w:cstheme="minorHAnsi"/>
        </w:rPr>
        <w:t>industry sector pattern agreements.</w:t>
      </w:r>
    </w:p>
    <w:p w14:paraId="67A9AA5A" w14:textId="77777777" w:rsidR="00581E95" w:rsidRPr="001D1CD5" w:rsidRDefault="00581E95" w:rsidP="00581E95">
      <w:pPr>
        <w:autoSpaceDE w:val="0"/>
        <w:autoSpaceDN w:val="0"/>
        <w:adjustRightInd w:val="0"/>
        <w:spacing w:after="240" w:line="276" w:lineRule="auto"/>
        <w:jc w:val="both"/>
        <w:rPr>
          <w:rFonts w:asciiTheme="minorHAnsi" w:eastAsiaTheme="minorHAnsi" w:hAnsiTheme="minorHAnsi" w:cstheme="minorHAnsi"/>
        </w:rPr>
      </w:pPr>
      <w:r w:rsidRPr="001D1CD5">
        <w:rPr>
          <w:rFonts w:asciiTheme="minorHAnsi" w:hAnsiTheme="minorHAnsi" w:cstheme="minorHAnsi"/>
        </w:rPr>
        <w:t>The supporters of industry sector pattern agreements argue that they create a level playing field for the employers and workers covered by the agreements. Such a playing field benefits unions and those employers who are unable or unwilling to negotiate more competitive arrangements, but the playing field operates very unfairly for innovative employers and their employees who are capable of, and want to, negotiate more flexible and competitive provisions aligned to the needs of their enterprise, their employees and their customers. Of course the playing field also operates very unfairly for consumers and businesses which must pay the higher prices which result from the terms of industry sector pattern agreements. Further, in Ai Group’s experience, a large proportion of the employers who sign pattern agreements do not do so because they perceive the agreements are in their interests, but rather because they perceive they have no other choice.</w:t>
      </w:r>
    </w:p>
    <w:p w14:paraId="72F93CA6" w14:textId="77777777" w:rsidR="00581E95" w:rsidRPr="001D1CD5" w:rsidRDefault="00581E95" w:rsidP="00581E95">
      <w:pPr>
        <w:autoSpaceDE w:val="0"/>
        <w:autoSpaceDN w:val="0"/>
        <w:adjustRightInd w:val="0"/>
        <w:spacing w:after="240" w:line="276" w:lineRule="auto"/>
        <w:jc w:val="both"/>
        <w:rPr>
          <w:rFonts w:asciiTheme="minorHAnsi" w:hAnsiTheme="minorHAnsi" w:cstheme="minorHAnsi"/>
        </w:rPr>
      </w:pPr>
      <w:r w:rsidRPr="001D1CD5">
        <w:rPr>
          <w:rFonts w:asciiTheme="minorHAnsi" w:hAnsiTheme="minorHAnsi" w:cstheme="minorHAnsi"/>
        </w:rPr>
        <w:t xml:space="preserve">Industry sector pattern agreements are, in effect, a massive price-fixing mechanism to fix the price of </w:t>
      </w:r>
      <w:proofErr w:type="spellStart"/>
      <w:r w:rsidRPr="001D1CD5">
        <w:rPr>
          <w:rFonts w:asciiTheme="minorHAnsi" w:hAnsiTheme="minorHAnsi" w:cstheme="minorHAnsi"/>
        </w:rPr>
        <w:t>labour</w:t>
      </w:r>
      <w:proofErr w:type="spellEnd"/>
      <w:r w:rsidRPr="001D1CD5">
        <w:rPr>
          <w:rFonts w:asciiTheme="minorHAnsi" w:hAnsiTheme="minorHAnsi" w:cstheme="minorHAnsi"/>
        </w:rPr>
        <w:t xml:space="preserve"> across an industry sector. Such a mechanism is not in the community’s interests and must be stamped out.</w:t>
      </w:r>
    </w:p>
    <w:p w14:paraId="5E98931B" w14:textId="5C502828" w:rsidR="00581E95" w:rsidRPr="001D1CD5" w:rsidRDefault="00581E95" w:rsidP="00581E95">
      <w:pPr>
        <w:pStyle w:val="ListParagraph"/>
        <w:autoSpaceDE w:val="0"/>
        <w:autoSpaceDN w:val="0"/>
        <w:adjustRightInd w:val="0"/>
        <w:spacing w:after="240" w:line="276" w:lineRule="auto"/>
        <w:ind w:left="0"/>
        <w:jc w:val="both"/>
        <w:rPr>
          <w:rFonts w:asciiTheme="minorHAnsi" w:hAnsiTheme="minorHAnsi" w:cstheme="minorHAnsi"/>
        </w:rPr>
      </w:pPr>
      <w:r w:rsidRPr="001D1CD5">
        <w:rPr>
          <w:rFonts w:asciiTheme="minorHAnsi" w:hAnsiTheme="minorHAnsi" w:cstheme="minorHAnsi"/>
        </w:rPr>
        <w:lastRenderedPageBreak/>
        <w:t xml:space="preserve">The Cole Royal Commission into the Building and Construction Industry recommended that a precondition for the approval of an enterprise agreement should be that the </w:t>
      </w:r>
      <w:proofErr w:type="spellStart"/>
      <w:r w:rsidR="0023347A">
        <w:rPr>
          <w:rFonts w:asciiTheme="minorHAnsi" w:hAnsiTheme="minorHAnsi" w:cstheme="minorHAnsi"/>
        </w:rPr>
        <w:t>AIRC</w:t>
      </w:r>
      <w:proofErr w:type="spellEnd"/>
      <w:r w:rsidRPr="001D1CD5">
        <w:rPr>
          <w:rFonts w:asciiTheme="minorHAnsi" w:hAnsiTheme="minorHAnsi" w:cstheme="minorHAnsi"/>
        </w:rPr>
        <w:t xml:space="preserve"> (now the </w:t>
      </w:r>
      <w:proofErr w:type="spellStart"/>
      <w:r w:rsidRPr="001D1CD5">
        <w:rPr>
          <w:rFonts w:asciiTheme="minorHAnsi" w:hAnsiTheme="minorHAnsi" w:cstheme="minorHAnsi"/>
        </w:rPr>
        <w:t>FWC</w:t>
      </w:r>
      <w:proofErr w:type="spellEnd"/>
      <w:r w:rsidRPr="001D1CD5">
        <w:rPr>
          <w:rFonts w:asciiTheme="minorHAnsi" w:hAnsiTheme="minorHAnsi" w:cstheme="minorHAnsi"/>
        </w:rPr>
        <w:t>) is satisfied that the enterprise agreement is not a pattern agreement.</w:t>
      </w:r>
      <w:r w:rsidRPr="001D1CD5">
        <w:rPr>
          <w:rStyle w:val="FootnoteReference"/>
          <w:rFonts w:asciiTheme="minorHAnsi" w:hAnsiTheme="minorHAnsi" w:cstheme="minorHAnsi"/>
        </w:rPr>
        <w:footnoteReference w:id="8"/>
      </w:r>
      <w:r w:rsidRPr="001D1CD5">
        <w:rPr>
          <w:rFonts w:asciiTheme="minorHAnsi" w:hAnsiTheme="minorHAnsi" w:cstheme="minorHAnsi"/>
        </w:rPr>
        <w:t xml:space="preserve">  At the time, Ai Group and other construction industry representatives did not support the recommendation because of the need to preserve the ability for head contractors to develop project-specific framework agreements for major projects (typically in the form of </w:t>
      </w:r>
      <w:proofErr w:type="spellStart"/>
      <w:r w:rsidRPr="001D1CD5">
        <w:rPr>
          <w:rFonts w:asciiTheme="minorHAnsi" w:hAnsiTheme="minorHAnsi" w:cstheme="minorHAnsi"/>
        </w:rPr>
        <w:t>greenfields</w:t>
      </w:r>
      <w:proofErr w:type="spellEnd"/>
      <w:r w:rsidRPr="001D1CD5">
        <w:rPr>
          <w:rFonts w:asciiTheme="minorHAnsi" w:hAnsiTheme="minorHAnsi" w:cstheme="minorHAnsi"/>
        </w:rPr>
        <w:t xml:space="preserve"> agreements). Commonly head contractors and subcontractors support the use of project-specific framework agreements on major projects as industrial risk is reduced and working conditions can be aligned with the needs of the project.  What was not sufficiently </w:t>
      </w:r>
      <w:proofErr w:type="spellStart"/>
      <w:r w:rsidRPr="001D1CD5">
        <w:rPr>
          <w:rFonts w:asciiTheme="minorHAnsi" w:hAnsiTheme="minorHAnsi" w:cstheme="minorHAnsi"/>
        </w:rPr>
        <w:t>recognised</w:t>
      </w:r>
      <w:proofErr w:type="spellEnd"/>
      <w:r w:rsidRPr="001D1CD5">
        <w:rPr>
          <w:rFonts w:asciiTheme="minorHAnsi" w:hAnsiTheme="minorHAnsi" w:cstheme="minorHAnsi"/>
        </w:rPr>
        <w:t xml:space="preserve"> at the time was that Commissioner Cole’s recommendation could have been readily modified to only outlaw industry sector pattern agreements, and not project-specific framework agreements, rather than abandoning the proposal completely.</w:t>
      </w:r>
    </w:p>
    <w:p w14:paraId="1E5054BE" w14:textId="77777777" w:rsidR="00581E95" w:rsidRPr="001D1CD5" w:rsidRDefault="00581E95" w:rsidP="00581E95">
      <w:pPr>
        <w:autoSpaceDE w:val="0"/>
        <w:autoSpaceDN w:val="0"/>
        <w:adjustRightInd w:val="0"/>
        <w:spacing w:after="240" w:line="276" w:lineRule="auto"/>
        <w:jc w:val="both"/>
        <w:rPr>
          <w:rFonts w:asciiTheme="minorHAnsi" w:hAnsiTheme="minorHAnsi" w:cstheme="minorHAnsi"/>
        </w:rPr>
      </w:pPr>
      <w:r w:rsidRPr="001D1CD5">
        <w:rPr>
          <w:rFonts w:asciiTheme="minorHAnsi" w:hAnsiTheme="minorHAnsi" w:cstheme="minorHAnsi"/>
        </w:rPr>
        <w:t>The following modified version of Commissioner Cole’s proposal should be recommended by the Productivity Commission:</w:t>
      </w:r>
    </w:p>
    <w:p w14:paraId="0ACFC003" w14:textId="77777777" w:rsidR="00581E95" w:rsidRPr="001D1CD5" w:rsidRDefault="00581E95" w:rsidP="00FE0A2F">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76" w:lineRule="auto"/>
        <w:jc w:val="both"/>
        <w:rPr>
          <w:rFonts w:asciiTheme="minorHAnsi" w:hAnsiTheme="minorHAnsi" w:cstheme="minorHAnsi"/>
          <w:bdr w:val="none" w:sz="0" w:space="0" w:color="auto" w:frame="1"/>
          <w:lang w:val="en-AU"/>
        </w:rPr>
      </w:pPr>
      <w:r w:rsidRPr="001D1CD5">
        <w:rPr>
          <w:rFonts w:asciiTheme="minorHAnsi" w:hAnsiTheme="minorHAnsi" w:cstheme="minorHAnsi"/>
          <w:bdr w:val="none" w:sz="0" w:space="0" w:color="auto" w:frame="1"/>
        </w:rPr>
        <w:t xml:space="preserve">Section 186 of the FW Act should be amended to require that before approving an enterprise agreement the </w:t>
      </w:r>
      <w:proofErr w:type="spellStart"/>
      <w:r w:rsidRPr="001D1CD5">
        <w:rPr>
          <w:rFonts w:asciiTheme="minorHAnsi" w:hAnsiTheme="minorHAnsi" w:cstheme="minorHAnsi"/>
          <w:bdr w:val="none" w:sz="0" w:space="0" w:color="auto" w:frame="1"/>
        </w:rPr>
        <w:t>FWC</w:t>
      </w:r>
      <w:proofErr w:type="spellEnd"/>
      <w:r w:rsidRPr="001D1CD5">
        <w:rPr>
          <w:rFonts w:asciiTheme="minorHAnsi" w:hAnsiTheme="minorHAnsi" w:cstheme="minorHAnsi"/>
          <w:bdr w:val="none" w:sz="0" w:space="0" w:color="auto" w:frame="1"/>
        </w:rPr>
        <w:t xml:space="preserve"> should be satisfied that the enterprise agreement is not an industry sector pattern agreement.</w:t>
      </w:r>
    </w:p>
    <w:p w14:paraId="5F05F566" w14:textId="77777777" w:rsidR="00581E95" w:rsidRPr="001D1CD5" w:rsidRDefault="00581E95" w:rsidP="00FE0A2F">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76" w:lineRule="auto"/>
        <w:jc w:val="both"/>
        <w:rPr>
          <w:rFonts w:asciiTheme="minorHAnsi" w:hAnsiTheme="minorHAnsi" w:cstheme="minorHAnsi"/>
          <w:bdr w:val="none" w:sz="0" w:space="0" w:color="auto" w:frame="1"/>
          <w:lang w:val="en-AU"/>
        </w:rPr>
      </w:pPr>
      <w:r w:rsidRPr="001D1CD5">
        <w:rPr>
          <w:rFonts w:asciiTheme="minorHAnsi" w:hAnsiTheme="minorHAnsi" w:cstheme="minorHAnsi"/>
          <w:bdr w:val="none" w:sz="0" w:space="0" w:color="auto" w:frame="1"/>
        </w:rPr>
        <w:t>An “industry sector pattern agreement” should be defined as follows:</w:t>
      </w:r>
    </w:p>
    <w:p w14:paraId="02A440BF" w14:textId="77777777" w:rsidR="00581E95" w:rsidRPr="001D1CD5" w:rsidRDefault="00581E95" w:rsidP="00581E95">
      <w:pPr>
        <w:autoSpaceDE w:val="0"/>
        <w:autoSpaceDN w:val="0"/>
        <w:adjustRightInd w:val="0"/>
        <w:spacing w:after="240" w:line="276" w:lineRule="auto"/>
        <w:ind w:left="1134" w:hanging="709"/>
        <w:jc w:val="both"/>
        <w:rPr>
          <w:rFonts w:asciiTheme="minorHAnsi" w:hAnsiTheme="minorHAnsi" w:cstheme="minorHAnsi"/>
          <w:i/>
          <w:bdr w:val="none" w:sz="0" w:space="0" w:color="auto" w:frame="1"/>
          <w:lang w:eastAsia="en-AU"/>
        </w:rPr>
      </w:pPr>
      <w:r w:rsidRPr="001D1CD5">
        <w:rPr>
          <w:rFonts w:asciiTheme="minorHAnsi" w:hAnsiTheme="minorHAnsi" w:cstheme="minorHAnsi"/>
          <w:bdr w:val="none" w:sz="0" w:space="0" w:color="auto" w:frame="1"/>
          <w:lang w:eastAsia="en-AU"/>
        </w:rPr>
        <w:t xml:space="preserve"> </w:t>
      </w:r>
      <w:r w:rsidRPr="001D1CD5">
        <w:rPr>
          <w:rFonts w:asciiTheme="minorHAnsi" w:hAnsiTheme="minorHAnsi" w:cstheme="minorHAnsi"/>
          <w:bdr w:val="none" w:sz="0" w:space="0" w:color="auto" w:frame="1"/>
          <w:lang w:eastAsia="en-AU"/>
        </w:rPr>
        <w:tab/>
      </w:r>
      <w:r w:rsidRPr="001D1CD5">
        <w:rPr>
          <w:rFonts w:asciiTheme="minorHAnsi" w:hAnsiTheme="minorHAnsi" w:cstheme="minorHAnsi"/>
          <w:i/>
          <w:bdr w:val="none" w:sz="0" w:space="0" w:color="auto" w:frame="1"/>
          <w:lang w:eastAsia="en-AU"/>
        </w:rPr>
        <w:t>An</w:t>
      </w:r>
      <w:r w:rsidRPr="001D1CD5">
        <w:rPr>
          <w:rFonts w:asciiTheme="minorHAnsi" w:hAnsiTheme="minorHAnsi" w:cstheme="minorHAnsi"/>
          <w:bdr w:val="none" w:sz="0" w:space="0" w:color="auto" w:frame="1"/>
          <w:lang w:eastAsia="en-AU"/>
        </w:rPr>
        <w:t xml:space="preserve"> “</w:t>
      </w:r>
      <w:r w:rsidRPr="001D1CD5">
        <w:rPr>
          <w:rFonts w:asciiTheme="minorHAnsi" w:hAnsiTheme="minorHAnsi" w:cstheme="minorHAnsi"/>
          <w:i/>
          <w:bdr w:val="none" w:sz="0" w:space="0" w:color="auto" w:frame="1"/>
          <w:lang w:eastAsia="en-AU"/>
        </w:rPr>
        <w:t>Industry sector pattern agreement” is a pattern agreement that is published, distributed, promoted, pursued or agreed to by an industrial association (as defined in the FW Act), or related entity or agent of the industrial association, which is intended to apply to all or a substantial proportion of the employers operating in an industry sector. An “industry sector pattern agreement” does not include published drafting tips and guidelines which do not contain wage rates, wage increases or other substantive conditions of employment.</w:t>
      </w:r>
    </w:p>
    <w:p w14:paraId="72548812" w14:textId="77777777" w:rsidR="00581E95" w:rsidRPr="001D1CD5" w:rsidRDefault="00581E95" w:rsidP="00581E95">
      <w:pPr>
        <w:autoSpaceDE w:val="0"/>
        <w:autoSpaceDN w:val="0"/>
        <w:adjustRightInd w:val="0"/>
        <w:spacing w:after="240" w:line="276" w:lineRule="auto"/>
        <w:jc w:val="both"/>
        <w:rPr>
          <w:rFonts w:asciiTheme="minorHAnsi" w:hAnsiTheme="minorHAnsi" w:cstheme="minorHAnsi"/>
          <w:bdr w:val="none" w:sz="0" w:space="0" w:color="auto"/>
          <w:lang w:val="en-AU"/>
        </w:rPr>
      </w:pPr>
      <w:r w:rsidRPr="001D1CD5">
        <w:rPr>
          <w:rFonts w:asciiTheme="minorHAnsi" w:hAnsiTheme="minorHAnsi" w:cstheme="minorHAnsi"/>
        </w:rPr>
        <w:t>In addition to the above changes which deal with the approval of certain types of pattern agreements, changes are needed to provide more protection for employers faced with industrial action in pursuit of a pattern agreement, including the following:</w:t>
      </w:r>
    </w:p>
    <w:p w14:paraId="2FF50C95" w14:textId="77777777" w:rsidR="00581E95" w:rsidRPr="001D1CD5" w:rsidRDefault="00581E95" w:rsidP="00FE0A2F">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76" w:lineRule="auto"/>
        <w:jc w:val="both"/>
        <w:rPr>
          <w:rFonts w:asciiTheme="minorHAnsi" w:hAnsiTheme="minorHAnsi" w:cstheme="minorHAnsi"/>
        </w:rPr>
      </w:pPr>
      <w:r w:rsidRPr="001D1CD5">
        <w:rPr>
          <w:rFonts w:asciiTheme="minorHAnsi" w:hAnsiTheme="minorHAnsi" w:cstheme="minorHAnsi"/>
        </w:rPr>
        <w:t xml:space="preserve">When dealing with an application for a protected action ballot order, the </w:t>
      </w:r>
      <w:proofErr w:type="spellStart"/>
      <w:r w:rsidRPr="001D1CD5">
        <w:rPr>
          <w:rFonts w:asciiTheme="minorHAnsi" w:hAnsiTheme="minorHAnsi" w:cstheme="minorHAnsi"/>
        </w:rPr>
        <w:t>FWC</w:t>
      </w:r>
      <w:proofErr w:type="spellEnd"/>
      <w:r w:rsidRPr="001D1CD5">
        <w:rPr>
          <w:rFonts w:asciiTheme="minorHAnsi" w:hAnsiTheme="minorHAnsi" w:cstheme="minorHAnsi"/>
        </w:rPr>
        <w:t xml:space="preserve"> should be required to be satisfied that none of the claims of the applicant union are part of a course of conduct which is pattern bargaining. This requirement applied under the </w:t>
      </w:r>
      <w:r w:rsidRPr="001D1CD5">
        <w:rPr>
          <w:rFonts w:asciiTheme="minorHAnsi" w:hAnsiTheme="minorHAnsi" w:cstheme="minorHAnsi"/>
          <w:i/>
        </w:rPr>
        <w:t xml:space="preserve">Workplace Relations Act 1996 </w:t>
      </w:r>
      <w:r w:rsidRPr="001D1CD5">
        <w:rPr>
          <w:rFonts w:asciiTheme="minorHAnsi" w:hAnsiTheme="minorHAnsi" w:cstheme="minorHAnsi"/>
        </w:rPr>
        <w:t>(</w:t>
      </w:r>
      <w:proofErr w:type="spellStart"/>
      <w:r w:rsidRPr="001D1CD5">
        <w:rPr>
          <w:rFonts w:asciiTheme="minorHAnsi" w:hAnsiTheme="minorHAnsi" w:cstheme="minorHAnsi"/>
        </w:rPr>
        <w:t>s.461</w:t>
      </w:r>
      <w:proofErr w:type="spellEnd"/>
      <w:r w:rsidRPr="001D1CD5">
        <w:rPr>
          <w:rFonts w:asciiTheme="minorHAnsi" w:hAnsiTheme="minorHAnsi" w:cstheme="minorHAnsi"/>
        </w:rPr>
        <w:t xml:space="preserve">(1)(c)) prior to the implementation of the FW Act. </w:t>
      </w:r>
    </w:p>
    <w:p w14:paraId="66F08C10" w14:textId="2B2E437D" w:rsidR="00581E95" w:rsidRPr="001D1CD5" w:rsidRDefault="00581E95" w:rsidP="00FE0A2F">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76" w:lineRule="auto"/>
        <w:jc w:val="both"/>
        <w:rPr>
          <w:rFonts w:asciiTheme="minorHAnsi" w:hAnsiTheme="minorHAnsi" w:cstheme="minorHAnsi"/>
        </w:rPr>
      </w:pPr>
      <w:r w:rsidRPr="001D1CD5">
        <w:rPr>
          <w:rFonts w:asciiTheme="minorHAnsi" w:hAnsiTheme="minorHAnsi" w:cstheme="minorHAnsi"/>
        </w:rPr>
        <w:t xml:space="preserve">The changes proposed in the </w:t>
      </w:r>
      <w:r w:rsidR="00371EDD">
        <w:rPr>
          <w:rFonts w:asciiTheme="minorHAnsi" w:hAnsiTheme="minorHAnsi" w:cstheme="minorHAnsi"/>
        </w:rPr>
        <w:t xml:space="preserve">section 19 </w:t>
      </w:r>
      <w:r w:rsidRPr="001D1CD5">
        <w:rPr>
          <w:rFonts w:asciiTheme="minorHAnsi" w:hAnsiTheme="minorHAnsi" w:cstheme="minorHAnsi"/>
        </w:rPr>
        <w:t>of this s</w:t>
      </w:r>
      <w:r w:rsidR="00371EDD">
        <w:rPr>
          <w:rFonts w:asciiTheme="minorHAnsi" w:hAnsiTheme="minorHAnsi" w:cstheme="minorHAnsi"/>
        </w:rPr>
        <w:t>ubmission should be implemented</w:t>
      </w:r>
      <w:r w:rsidR="00741992">
        <w:rPr>
          <w:rFonts w:asciiTheme="minorHAnsi" w:hAnsiTheme="minorHAnsi" w:cstheme="minorHAnsi"/>
        </w:rPr>
        <w:t>.</w:t>
      </w:r>
    </w:p>
    <w:p w14:paraId="26CF4880" w14:textId="77777777" w:rsidR="00581E95" w:rsidRPr="001D1CD5" w:rsidRDefault="00581E95" w:rsidP="00581E95">
      <w:pPr>
        <w:pStyle w:val="Heading1"/>
        <w:spacing w:before="0" w:after="240" w:line="276" w:lineRule="auto"/>
        <w:rPr>
          <w:rFonts w:asciiTheme="minorHAnsi" w:eastAsia="Calibri" w:hAnsiTheme="minorHAnsi" w:cs="Calibri"/>
          <w:color w:val="451E51"/>
          <w:lang w:eastAsia="en-AU"/>
        </w:rPr>
      </w:pPr>
      <w:r w:rsidRPr="001D1CD5">
        <w:rPr>
          <w:rFonts w:asciiTheme="minorHAnsi" w:eastAsia="Calibri" w:hAnsiTheme="minorHAnsi" w:cs="Calibri"/>
          <w:color w:val="451E51"/>
          <w:lang w:eastAsia="en-AU"/>
        </w:rPr>
        <w:lastRenderedPageBreak/>
        <w:t>15.3</w:t>
      </w:r>
      <w:r w:rsidRPr="001D1CD5">
        <w:rPr>
          <w:rFonts w:asciiTheme="minorHAnsi" w:eastAsia="Calibri" w:hAnsiTheme="minorHAnsi" w:cs="Calibri"/>
          <w:color w:val="451E51"/>
          <w:lang w:eastAsia="en-AU"/>
        </w:rPr>
        <w:tab/>
        <w:t>Non-permitted matters</w:t>
      </w:r>
    </w:p>
    <w:p w14:paraId="791D210D" w14:textId="77777777" w:rsidR="00581E95" w:rsidRPr="001D1CD5" w:rsidRDefault="00581E95" w:rsidP="00581E95">
      <w:pPr>
        <w:spacing w:after="240" w:line="276" w:lineRule="auto"/>
        <w:jc w:val="both"/>
        <w:rPr>
          <w:rFonts w:asciiTheme="minorHAnsi" w:hAnsiTheme="minorHAnsi"/>
          <w:lang w:eastAsia="en-AU"/>
        </w:rPr>
      </w:pPr>
      <w:r w:rsidRPr="001D1CD5">
        <w:rPr>
          <w:rFonts w:asciiTheme="minorHAnsi" w:hAnsiTheme="minorHAnsi"/>
          <w:lang w:eastAsia="en-AU"/>
        </w:rPr>
        <w:t xml:space="preserve">On page 565 of the Draft Report the view is expressed that “no extra claims clauses” have no binding effect as a result of the </w:t>
      </w:r>
      <w:r w:rsidRPr="001D1CD5">
        <w:rPr>
          <w:rFonts w:asciiTheme="minorHAnsi" w:hAnsiTheme="minorHAnsi"/>
          <w:i/>
          <w:lang w:eastAsia="en-AU"/>
        </w:rPr>
        <w:t xml:space="preserve">Toyota </w:t>
      </w:r>
      <w:r w:rsidRPr="001D1CD5">
        <w:rPr>
          <w:rFonts w:asciiTheme="minorHAnsi" w:hAnsiTheme="minorHAnsi"/>
          <w:lang w:eastAsia="en-AU"/>
        </w:rPr>
        <w:t>decision of the Full Federal Court. It would be very beneficial if this was the case but, in Ai Group’s view, this is not an accurate description of the outcome of the case. The Court decided that the “no extra claims clause” did not prevent the employer reaching agreement with its employees on a formal variation to the agreement. However, in other respects, the Court did not question the validity of the clause and the impediments that it may impose on the employer in introducing workplace changes.</w:t>
      </w:r>
    </w:p>
    <w:p w14:paraId="6D89E5A8" w14:textId="77777777" w:rsidR="00581E95" w:rsidRPr="001D1CD5" w:rsidRDefault="00581E95" w:rsidP="00581E95">
      <w:pPr>
        <w:spacing w:after="240" w:line="276" w:lineRule="auto"/>
        <w:jc w:val="both"/>
        <w:rPr>
          <w:rFonts w:asciiTheme="minorHAnsi" w:eastAsiaTheme="minorHAnsi" w:hAnsiTheme="minorHAnsi" w:cs="Calibri"/>
        </w:rPr>
      </w:pPr>
      <w:r w:rsidRPr="001D1CD5">
        <w:rPr>
          <w:rFonts w:asciiTheme="minorHAnsi" w:hAnsiTheme="minorHAnsi" w:cs="Calibri"/>
        </w:rPr>
        <w:t>Consistent with the arguments in section 4.2 of Ai Group’s March 2015 submission, an essential change that needs to be made to the agreement making laws is to implement tighter and more appropriate definitions for “permitted matters” (</w:t>
      </w:r>
      <w:proofErr w:type="spellStart"/>
      <w:r w:rsidRPr="001D1CD5">
        <w:rPr>
          <w:rFonts w:asciiTheme="minorHAnsi" w:hAnsiTheme="minorHAnsi" w:cs="Calibri"/>
        </w:rPr>
        <w:t>s.186</w:t>
      </w:r>
      <w:proofErr w:type="spellEnd"/>
      <w:r w:rsidRPr="001D1CD5">
        <w:rPr>
          <w:rFonts w:asciiTheme="minorHAnsi" w:hAnsiTheme="minorHAnsi" w:cs="Calibri"/>
        </w:rPr>
        <w:t>) and “unlawful terms” (</w:t>
      </w:r>
      <w:proofErr w:type="spellStart"/>
      <w:r w:rsidRPr="001D1CD5">
        <w:rPr>
          <w:rFonts w:asciiTheme="minorHAnsi" w:hAnsiTheme="minorHAnsi" w:cs="Calibri"/>
        </w:rPr>
        <w:t>s.194</w:t>
      </w:r>
      <w:proofErr w:type="spellEnd"/>
      <w:r w:rsidRPr="001D1CD5">
        <w:rPr>
          <w:rFonts w:asciiTheme="minorHAnsi" w:hAnsiTheme="minorHAnsi" w:cs="Calibri"/>
        </w:rPr>
        <w:t>) and to tighten the relationship between these two concepts. Numerous bargaining disputes since the FW Act was implemented have revolved around these concepts.</w:t>
      </w:r>
    </w:p>
    <w:p w14:paraId="5E3C5A7C" w14:textId="77777777" w:rsidR="00581E95" w:rsidRPr="001D1CD5" w:rsidRDefault="00581E95" w:rsidP="00581E95">
      <w:pPr>
        <w:pStyle w:val="FootnoteText"/>
        <w:spacing w:after="240" w:line="276" w:lineRule="auto"/>
        <w:jc w:val="both"/>
        <w:rPr>
          <w:rFonts w:asciiTheme="minorHAnsi" w:hAnsiTheme="minorHAnsi" w:cstheme="minorHAnsi"/>
          <w:sz w:val="24"/>
          <w:szCs w:val="24"/>
        </w:rPr>
      </w:pPr>
      <w:r w:rsidRPr="001D1CD5">
        <w:rPr>
          <w:rFonts w:asciiTheme="minorHAnsi" w:hAnsiTheme="minorHAnsi" w:cs="Calibri"/>
          <w:sz w:val="24"/>
          <w:szCs w:val="24"/>
        </w:rPr>
        <w:t xml:space="preserve">The “permitted matters” for enterprise agreements need to be defined in accordance with the High Court’s </w:t>
      </w:r>
      <w:r w:rsidRPr="001D1CD5">
        <w:rPr>
          <w:rFonts w:asciiTheme="minorHAnsi" w:hAnsiTheme="minorHAnsi" w:cs="Calibri"/>
          <w:i/>
          <w:sz w:val="24"/>
          <w:szCs w:val="24"/>
        </w:rPr>
        <w:t>Electrolux</w:t>
      </w:r>
      <w:r w:rsidRPr="001D1CD5">
        <w:rPr>
          <w:rStyle w:val="FootnoteReference"/>
          <w:rFonts w:asciiTheme="minorHAnsi" w:hAnsiTheme="minorHAnsi" w:cs="Calibri"/>
          <w:sz w:val="24"/>
          <w:szCs w:val="24"/>
        </w:rPr>
        <w:footnoteReference w:id="9"/>
      </w:r>
      <w:r w:rsidRPr="001D1CD5">
        <w:rPr>
          <w:rFonts w:asciiTheme="minorHAnsi" w:hAnsiTheme="minorHAnsi" w:cs="Calibri"/>
          <w:sz w:val="24"/>
          <w:szCs w:val="24"/>
        </w:rPr>
        <w:t xml:space="preserve"> decision, that is, as “matters pertaining to the employment relationship”.  This was the principle which applied between 1994 and 2009. </w:t>
      </w:r>
      <w:r w:rsidRPr="001D1CD5">
        <w:rPr>
          <w:rFonts w:asciiTheme="minorHAnsi" w:hAnsiTheme="minorHAnsi" w:cstheme="minorHAnsi"/>
          <w:sz w:val="24"/>
          <w:szCs w:val="24"/>
        </w:rPr>
        <w:t>Electrolux is a member of Ai Group and we funded the employer’s costs in the case given the importance of the case for all employers.</w:t>
      </w:r>
    </w:p>
    <w:p w14:paraId="4C683C02" w14:textId="0B059AFC" w:rsidR="00581E95" w:rsidRPr="001D1CD5" w:rsidRDefault="00581E95" w:rsidP="00581E95">
      <w:pPr>
        <w:spacing w:after="240" w:line="276" w:lineRule="auto"/>
        <w:jc w:val="both"/>
        <w:rPr>
          <w:rFonts w:asciiTheme="minorHAnsi" w:hAnsiTheme="minorHAnsi" w:cs="Calibri"/>
        </w:rPr>
      </w:pPr>
      <w:r w:rsidRPr="001D1CD5">
        <w:rPr>
          <w:rFonts w:asciiTheme="minorHAnsi" w:hAnsiTheme="minorHAnsi" w:cs="Calibri"/>
        </w:rPr>
        <w:t>The experiences of employers since 2009 wh</w:t>
      </w:r>
      <w:r w:rsidR="00E80BD9">
        <w:rPr>
          <w:rFonts w:asciiTheme="minorHAnsi" w:hAnsiTheme="minorHAnsi" w:cs="Calibri"/>
        </w:rPr>
        <w:t>en the FW Act was introduced have</w:t>
      </w:r>
      <w:r w:rsidRPr="001D1CD5">
        <w:rPr>
          <w:rFonts w:asciiTheme="minorHAnsi" w:hAnsiTheme="minorHAnsi" w:cs="Calibri"/>
        </w:rPr>
        <w:t xml:space="preserve"> clearly demonstrated that moving away from the </w:t>
      </w:r>
      <w:r w:rsidRPr="001D1CD5">
        <w:rPr>
          <w:rFonts w:asciiTheme="minorHAnsi" w:hAnsiTheme="minorHAnsi" w:cs="Calibri"/>
          <w:i/>
        </w:rPr>
        <w:t>Electrolux</w:t>
      </w:r>
      <w:r w:rsidRPr="001D1CD5">
        <w:rPr>
          <w:rFonts w:asciiTheme="minorHAnsi" w:hAnsiTheme="minorHAnsi" w:cs="Calibri"/>
        </w:rPr>
        <w:t xml:space="preserve"> principle was a damaging step.</w:t>
      </w:r>
    </w:p>
    <w:p w14:paraId="55D30752" w14:textId="77777777" w:rsidR="00581E95" w:rsidRPr="001D1CD5" w:rsidRDefault="00581E95" w:rsidP="00581E95">
      <w:pPr>
        <w:spacing w:after="240" w:line="276" w:lineRule="auto"/>
        <w:jc w:val="both"/>
        <w:rPr>
          <w:rFonts w:asciiTheme="minorHAnsi" w:hAnsiTheme="minorHAnsi" w:cs="Calibri"/>
        </w:rPr>
      </w:pPr>
      <w:r w:rsidRPr="001D1CD5">
        <w:rPr>
          <w:rFonts w:asciiTheme="minorHAnsi" w:hAnsiTheme="minorHAnsi" w:cs="Calibri"/>
        </w:rPr>
        <w:t xml:space="preserve">The </w:t>
      </w:r>
      <w:proofErr w:type="spellStart"/>
      <w:r w:rsidRPr="001D1CD5">
        <w:rPr>
          <w:rFonts w:asciiTheme="minorHAnsi" w:hAnsiTheme="minorHAnsi" w:cs="Calibri"/>
        </w:rPr>
        <w:t>FWC</w:t>
      </w:r>
      <w:proofErr w:type="spellEnd"/>
      <w:r w:rsidRPr="001D1CD5">
        <w:rPr>
          <w:rFonts w:asciiTheme="minorHAnsi" w:hAnsiTheme="minorHAnsi" w:cs="Calibri"/>
        </w:rPr>
        <w:t xml:space="preserve"> should not be able to approve an agreement unless it is satisfied that the agreement does not include any non-permitted matters.</w:t>
      </w:r>
    </w:p>
    <w:p w14:paraId="1BCCB287" w14:textId="77777777" w:rsidR="00581E95" w:rsidRPr="001D1CD5" w:rsidRDefault="00581E95" w:rsidP="00581E95">
      <w:pPr>
        <w:spacing w:after="240" w:line="276" w:lineRule="auto"/>
        <w:jc w:val="both"/>
        <w:rPr>
          <w:rFonts w:asciiTheme="minorHAnsi" w:hAnsiTheme="minorHAnsi" w:cs="Calibri"/>
        </w:rPr>
      </w:pPr>
      <w:r w:rsidRPr="001D1CD5">
        <w:rPr>
          <w:rFonts w:asciiTheme="minorHAnsi" w:hAnsiTheme="minorHAnsi" w:cs="Calibri"/>
        </w:rPr>
        <w:t>Currently, agreements can deal with matters which are not permitted matters, so long as those matters are not “unlawful terms”.  There are two particularly negative effects of this approach:</w:t>
      </w:r>
    </w:p>
    <w:p w14:paraId="16E9A170" w14:textId="77777777" w:rsidR="00581E95" w:rsidRPr="001D1CD5" w:rsidRDefault="00581E95" w:rsidP="00FE0A2F">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cs="Calibri"/>
        </w:rPr>
      </w:pPr>
      <w:r w:rsidRPr="001D1CD5">
        <w:rPr>
          <w:rFonts w:asciiTheme="minorHAnsi" w:hAnsiTheme="minorHAnsi" w:cs="Calibri"/>
        </w:rPr>
        <w:t>Firstly, this approach leads to a great deal of uncertainty about the rights of employers and unions when industrial action is taken and/or the parties cannot agree on the content of the agreement; and</w:t>
      </w:r>
    </w:p>
    <w:p w14:paraId="1BE3089A" w14:textId="77777777" w:rsidR="00581E95" w:rsidRPr="001D1CD5" w:rsidRDefault="00581E95" w:rsidP="00FE0A2F">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cs="Calibri"/>
        </w:rPr>
      </w:pPr>
      <w:r w:rsidRPr="001D1CD5">
        <w:rPr>
          <w:rFonts w:asciiTheme="minorHAnsi" w:hAnsiTheme="minorHAnsi" w:cs="Calibri"/>
        </w:rPr>
        <w:t>Secondly, when the unions have a great deal of bargaining power the unions are able to pressure the employer into agreeing to highly restrictive and costly clauses, the content of which are, in many cases, not “permitted matters”.</w:t>
      </w:r>
    </w:p>
    <w:p w14:paraId="6FCDB749" w14:textId="77777777" w:rsidR="00581E95" w:rsidRPr="001D1CD5" w:rsidRDefault="00581E95" w:rsidP="00581E95">
      <w:pPr>
        <w:spacing w:after="240" w:line="276" w:lineRule="auto"/>
        <w:jc w:val="both"/>
        <w:rPr>
          <w:rFonts w:asciiTheme="minorHAnsi" w:hAnsiTheme="minorHAnsi" w:cs="Calibri"/>
        </w:rPr>
      </w:pPr>
      <w:r w:rsidRPr="001D1CD5">
        <w:rPr>
          <w:rFonts w:asciiTheme="minorHAnsi" w:hAnsiTheme="minorHAnsi" w:cs="Calibri"/>
        </w:rPr>
        <w:t xml:space="preserve">Ai Group does not agree with the view expressed on page 565 of the Draft Report that reintroducing the longstanding former requirement that enterprise agreements only include “matters pertaining to the employment relationship” would impose a substantial burden on the </w:t>
      </w:r>
      <w:r w:rsidRPr="001D1CD5">
        <w:rPr>
          <w:rFonts w:asciiTheme="minorHAnsi" w:hAnsiTheme="minorHAnsi" w:cs="Calibri"/>
        </w:rPr>
        <w:lastRenderedPageBreak/>
        <w:t xml:space="preserve">agreement approval process.  This requirement applied prior to the FW Act and the benefits far outweighed any increased complexity. The </w:t>
      </w:r>
      <w:proofErr w:type="spellStart"/>
      <w:r w:rsidRPr="001D1CD5">
        <w:rPr>
          <w:rFonts w:asciiTheme="minorHAnsi" w:hAnsiTheme="minorHAnsi" w:cs="Calibri"/>
        </w:rPr>
        <w:t>FWC</w:t>
      </w:r>
      <w:proofErr w:type="spellEnd"/>
      <w:r w:rsidRPr="001D1CD5">
        <w:rPr>
          <w:rFonts w:asciiTheme="minorHAnsi" w:hAnsiTheme="minorHAnsi" w:cs="Calibri"/>
        </w:rPr>
        <w:t xml:space="preserve"> has a great deal of experience in determining which provisions are “matters pertaining to the employment relationship” and which are not. There are a large number of relevant Court and Commission decisions which have clarified this concept, including the </w:t>
      </w:r>
      <w:r w:rsidRPr="001D1CD5">
        <w:rPr>
          <w:rFonts w:asciiTheme="minorHAnsi" w:hAnsiTheme="minorHAnsi" w:cs="Calibri"/>
          <w:i/>
        </w:rPr>
        <w:t>Electrolux</w:t>
      </w:r>
      <w:r w:rsidRPr="001D1CD5">
        <w:rPr>
          <w:rFonts w:asciiTheme="minorHAnsi" w:hAnsiTheme="minorHAnsi" w:cs="Calibri"/>
        </w:rPr>
        <w:t xml:space="preserve"> decision and many others that were handed down in the few years following the High Court’s decision.</w:t>
      </w:r>
    </w:p>
    <w:p w14:paraId="41FD6654" w14:textId="77777777" w:rsidR="00581E95" w:rsidRPr="001D1CD5" w:rsidRDefault="00581E95" w:rsidP="00581E95">
      <w:pPr>
        <w:pStyle w:val="Heading1"/>
        <w:spacing w:before="0" w:after="240" w:line="276" w:lineRule="auto"/>
        <w:rPr>
          <w:rFonts w:asciiTheme="minorHAnsi" w:eastAsia="Calibri" w:hAnsiTheme="minorHAnsi" w:cs="Calibri"/>
          <w:color w:val="451E51"/>
          <w:lang w:eastAsia="en-AU"/>
        </w:rPr>
      </w:pPr>
      <w:r w:rsidRPr="001D1CD5">
        <w:rPr>
          <w:rFonts w:asciiTheme="minorHAnsi" w:eastAsia="Calibri" w:hAnsiTheme="minorHAnsi" w:cs="Calibri"/>
          <w:color w:val="451E51"/>
          <w:lang w:eastAsia="en-AU"/>
        </w:rPr>
        <w:t>15.4</w:t>
      </w:r>
      <w:r w:rsidRPr="001D1CD5">
        <w:rPr>
          <w:rFonts w:asciiTheme="minorHAnsi" w:eastAsia="Calibri" w:hAnsiTheme="minorHAnsi" w:cs="Calibri"/>
          <w:color w:val="451E51"/>
          <w:lang w:eastAsia="en-AU"/>
        </w:rPr>
        <w:tab/>
        <w:t>Mandatory terms</w:t>
      </w:r>
    </w:p>
    <w:p w14:paraId="314B7344" w14:textId="77777777" w:rsidR="00581E95" w:rsidRPr="001D1CD5" w:rsidRDefault="00581E95" w:rsidP="00581E95">
      <w:pPr>
        <w:spacing w:after="240" w:line="276" w:lineRule="auto"/>
        <w:jc w:val="both"/>
        <w:rPr>
          <w:rFonts w:asciiTheme="minorHAnsi" w:hAnsiTheme="minorHAnsi"/>
        </w:rPr>
      </w:pPr>
      <w:r w:rsidRPr="001D1CD5">
        <w:rPr>
          <w:rFonts w:asciiTheme="minorHAnsi" w:hAnsiTheme="minorHAnsi"/>
          <w:lang w:eastAsia="en-AU"/>
        </w:rPr>
        <w:t>Ai Group strongly supports Draft Recommendation 15.2.</w:t>
      </w:r>
      <w:r w:rsidRPr="001D1CD5">
        <w:rPr>
          <w:rFonts w:asciiTheme="minorHAnsi" w:hAnsiTheme="minorHAnsi" w:cstheme="minorHAnsi"/>
          <w:bCs/>
          <w:iCs/>
        </w:rPr>
        <w:t xml:space="preserve"> This recommendation would require that enterprise flexibility terms in enterprise agreements permit </w:t>
      </w:r>
      <w:proofErr w:type="spellStart"/>
      <w:r w:rsidRPr="001D1CD5">
        <w:rPr>
          <w:rFonts w:asciiTheme="minorHAnsi" w:hAnsiTheme="minorHAnsi" w:cstheme="minorHAnsi"/>
          <w:bCs/>
          <w:iCs/>
        </w:rPr>
        <w:t>IFAs</w:t>
      </w:r>
      <w:proofErr w:type="spellEnd"/>
      <w:r w:rsidRPr="001D1CD5">
        <w:rPr>
          <w:rFonts w:asciiTheme="minorHAnsi" w:hAnsiTheme="minorHAnsi" w:cstheme="minorHAnsi"/>
          <w:bCs/>
          <w:iCs/>
        </w:rPr>
        <w:t xml:space="preserve"> to deal with all the matters listed in the model flexibility term, along with any additional matters agreed by the parties. This recommendation </w:t>
      </w:r>
      <w:r w:rsidRPr="001D1CD5">
        <w:rPr>
          <w:rFonts w:asciiTheme="minorHAnsi" w:hAnsiTheme="minorHAnsi"/>
        </w:rPr>
        <w:t>addresses the problem that is currently occurring of unions routinely blocking the inclusion in enterprise agreements of flexibility terms that provide any meaningful flexibility.</w:t>
      </w:r>
    </w:p>
    <w:p w14:paraId="3691CDDF" w14:textId="1B6B0A62" w:rsidR="00581E95" w:rsidRPr="001D1CD5" w:rsidRDefault="00581E95" w:rsidP="00581E95">
      <w:pPr>
        <w:spacing w:after="240" w:line="276" w:lineRule="auto"/>
        <w:jc w:val="both"/>
        <w:rPr>
          <w:rFonts w:asciiTheme="minorHAnsi" w:eastAsiaTheme="minorHAnsi" w:hAnsiTheme="minorHAnsi" w:cstheme="minorHAnsi"/>
        </w:rPr>
      </w:pPr>
      <w:r w:rsidRPr="001D1CD5">
        <w:rPr>
          <w:rFonts w:asciiTheme="minorHAnsi" w:hAnsiTheme="minorHAnsi"/>
        </w:rPr>
        <w:t xml:space="preserve">In addition, as argued in Ai Group’s March 2015 submission, </w:t>
      </w:r>
      <w:r w:rsidRPr="001D1CD5">
        <w:rPr>
          <w:rFonts w:asciiTheme="minorHAnsi" w:hAnsiTheme="minorHAnsi" w:cstheme="minorHAnsi"/>
        </w:rPr>
        <w:t>a further mandatory term should be included in all enterprise agreements to ensure that employers have the right to manage their businesses in an efficient and productive manner, including introducing workplace changes. The term could be called a “Productivity Term”, a “Workplace Change Term”, a “Right to Manage Term”, or any other suitable title.</w:t>
      </w:r>
      <w:r w:rsidR="008932DE">
        <w:rPr>
          <w:rFonts w:asciiTheme="minorHAnsi" w:hAnsiTheme="minorHAnsi" w:cstheme="minorHAnsi"/>
        </w:rPr>
        <w:t xml:space="preserve">  The proposed wording for the relevant legislative provision is included in our March 2015 submission.</w:t>
      </w:r>
    </w:p>
    <w:p w14:paraId="1293B982" w14:textId="77777777" w:rsidR="00581E95" w:rsidRPr="001D1CD5" w:rsidRDefault="00581E95" w:rsidP="00581E95">
      <w:pPr>
        <w:spacing w:after="240" w:line="276" w:lineRule="auto"/>
        <w:jc w:val="both"/>
        <w:rPr>
          <w:rFonts w:asciiTheme="minorHAnsi" w:hAnsiTheme="minorHAnsi" w:cstheme="minorHAnsi"/>
        </w:rPr>
      </w:pPr>
      <w:r w:rsidRPr="001D1CD5">
        <w:rPr>
          <w:rFonts w:asciiTheme="minorHAnsi" w:hAnsiTheme="minorHAnsi" w:cstheme="minorHAnsi"/>
        </w:rPr>
        <w:t>If an agreement does not include such a term, a model term in the Regulations should be taken to be a term of the agreement. Any other term of the agreement should be deemed to have no effect</w:t>
      </w:r>
      <w:r w:rsidRPr="001D1CD5">
        <w:rPr>
          <w:rFonts w:asciiTheme="minorHAnsi" w:hAnsiTheme="minorHAnsi"/>
          <w:iCs/>
        </w:rPr>
        <w:t xml:space="preserve"> to the extent that it is inconsistent with the “Productivity Term” in the agreement.</w:t>
      </w:r>
    </w:p>
    <w:p w14:paraId="09695333" w14:textId="56AEFF83" w:rsidR="008932DE" w:rsidRDefault="00581E95" w:rsidP="00741992">
      <w:pPr>
        <w:pStyle w:val="ListParagraph"/>
        <w:widowControl w:val="0"/>
        <w:spacing w:after="240" w:line="276" w:lineRule="auto"/>
        <w:ind w:left="0"/>
        <w:jc w:val="both"/>
        <w:rPr>
          <w:rFonts w:asciiTheme="minorHAnsi" w:hAnsiTheme="minorHAnsi" w:cstheme="minorHAnsi"/>
          <w:lang w:val="en-AU"/>
        </w:rPr>
      </w:pPr>
      <w:r w:rsidRPr="001D1CD5">
        <w:rPr>
          <w:rFonts w:asciiTheme="minorHAnsi" w:hAnsiTheme="minorHAnsi" w:cstheme="minorHAnsi"/>
          <w:lang w:val="en-AU"/>
        </w:rPr>
        <w:t xml:space="preserve">Some employers faced with an excessive amount of union power, have unfortunately lost the right to manage their businesses efficiently and productively. The proposed mandatory term would go a long way towards giving such a </w:t>
      </w:r>
      <w:r w:rsidR="00741992">
        <w:rPr>
          <w:rFonts w:asciiTheme="minorHAnsi" w:hAnsiTheme="minorHAnsi" w:cstheme="minorHAnsi"/>
          <w:lang w:val="en-AU"/>
        </w:rPr>
        <w:t xml:space="preserve">right back to these employers. </w:t>
      </w:r>
    </w:p>
    <w:p w14:paraId="6AB09161" w14:textId="747A0D9E" w:rsidR="00581E95" w:rsidRPr="001D1CD5" w:rsidRDefault="00581E95" w:rsidP="00581E95">
      <w:pPr>
        <w:pStyle w:val="ListParagraph"/>
        <w:widowControl w:val="0"/>
        <w:spacing w:after="240" w:line="276" w:lineRule="auto"/>
        <w:ind w:left="0"/>
        <w:jc w:val="both"/>
        <w:rPr>
          <w:rFonts w:asciiTheme="minorHAnsi" w:hAnsiTheme="minorHAnsi" w:cstheme="minorHAnsi"/>
          <w:lang w:val="en-AU"/>
        </w:rPr>
      </w:pPr>
      <w:r w:rsidRPr="001D1CD5">
        <w:rPr>
          <w:rFonts w:asciiTheme="minorHAnsi" w:hAnsiTheme="minorHAnsi" w:cstheme="minorHAnsi"/>
          <w:lang w:val="en-AU"/>
        </w:rPr>
        <w:t>Employers would still be required to implement workplace changes in a consultative manner, and the dispute settlement term in the agreement would apply if a dispute arose over the introduction of workplace changes.</w:t>
      </w:r>
    </w:p>
    <w:p w14:paraId="12C6151A" w14:textId="77777777" w:rsidR="00581E95" w:rsidRPr="001D1CD5" w:rsidRDefault="00581E95" w:rsidP="00581E95">
      <w:pPr>
        <w:pStyle w:val="ListParagraph"/>
        <w:widowControl w:val="0"/>
        <w:spacing w:after="240" w:line="276" w:lineRule="auto"/>
        <w:ind w:left="0"/>
        <w:jc w:val="both"/>
        <w:rPr>
          <w:rFonts w:asciiTheme="minorHAnsi" w:hAnsiTheme="minorHAnsi" w:cstheme="minorHAnsi"/>
          <w:lang w:val="en-AU"/>
        </w:rPr>
      </w:pPr>
      <w:r w:rsidRPr="001D1CD5">
        <w:rPr>
          <w:rFonts w:asciiTheme="minorHAnsi" w:hAnsiTheme="minorHAnsi" w:cstheme="minorHAnsi"/>
          <w:lang w:val="en-AU"/>
        </w:rPr>
        <w:t>These proposed changes are the interests of employers, employees and the broader community.</w:t>
      </w:r>
    </w:p>
    <w:p w14:paraId="54243846" w14:textId="77777777" w:rsidR="00581E95" w:rsidRPr="001D1CD5" w:rsidRDefault="00581E95" w:rsidP="00581E95">
      <w:pPr>
        <w:pStyle w:val="Heading1"/>
        <w:spacing w:before="0" w:after="240" w:line="276" w:lineRule="auto"/>
        <w:rPr>
          <w:rFonts w:asciiTheme="minorHAnsi" w:eastAsia="Calibri" w:hAnsiTheme="minorHAnsi" w:cs="Calibri"/>
          <w:color w:val="451E51"/>
          <w:lang w:eastAsia="en-AU"/>
        </w:rPr>
      </w:pPr>
      <w:r w:rsidRPr="001D1CD5">
        <w:rPr>
          <w:rFonts w:asciiTheme="minorHAnsi" w:eastAsia="Calibri" w:hAnsiTheme="minorHAnsi" w:cs="Calibri"/>
          <w:color w:val="451E51"/>
          <w:lang w:eastAsia="en-AU"/>
        </w:rPr>
        <w:t>15.5</w:t>
      </w:r>
      <w:r w:rsidRPr="001D1CD5">
        <w:rPr>
          <w:rFonts w:asciiTheme="minorHAnsi" w:eastAsia="Calibri" w:hAnsiTheme="minorHAnsi" w:cs="Calibri"/>
          <w:color w:val="451E51"/>
          <w:lang w:eastAsia="en-AU"/>
        </w:rPr>
        <w:tab/>
        <w:t>Duration of enterprise agreements</w:t>
      </w:r>
    </w:p>
    <w:p w14:paraId="4D17D8C0" w14:textId="7A729ECC" w:rsidR="00581E95" w:rsidRPr="001D1CD5" w:rsidRDefault="00581E95" w:rsidP="008932DE">
      <w:pPr>
        <w:spacing w:after="240" w:line="276" w:lineRule="auto"/>
        <w:jc w:val="both"/>
        <w:rPr>
          <w:rFonts w:asciiTheme="minorHAnsi" w:eastAsia="Calibri" w:hAnsiTheme="minorHAnsi"/>
        </w:rPr>
      </w:pPr>
      <w:r w:rsidRPr="001D1CD5">
        <w:rPr>
          <w:rFonts w:asciiTheme="minorHAnsi" w:hAnsiTheme="minorHAnsi"/>
          <w:lang w:eastAsia="en-AU"/>
        </w:rPr>
        <w:t>Ai Group supports Draft Recommendation 15.3 which would allow an enterprise agreement to specify a nomin</w:t>
      </w:r>
      <w:r w:rsidR="008932DE">
        <w:rPr>
          <w:rFonts w:asciiTheme="minorHAnsi" w:hAnsiTheme="minorHAnsi"/>
          <w:lang w:eastAsia="en-AU"/>
        </w:rPr>
        <w:t xml:space="preserve">al expiry date </w:t>
      </w:r>
      <w:r w:rsidR="008932DE">
        <w:rPr>
          <w:rFonts w:asciiTheme="minorHAnsi" w:eastAsia="Calibri" w:hAnsiTheme="minorHAnsi"/>
        </w:rPr>
        <w:t>o</w:t>
      </w:r>
      <w:r w:rsidRPr="001D1CD5">
        <w:rPr>
          <w:rFonts w:asciiTheme="minorHAnsi" w:eastAsia="Calibri" w:hAnsiTheme="minorHAnsi"/>
        </w:rPr>
        <w:t>f up to five years from the da</w:t>
      </w:r>
      <w:r w:rsidR="008932DE">
        <w:rPr>
          <w:rFonts w:asciiTheme="minorHAnsi" w:eastAsia="Calibri" w:hAnsiTheme="minorHAnsi"/>
        </w:rPr>
        <w:t>te of approval of the agreement,</w:t>
      </w:r>
      <w:r w:rsidRPr="001D1CD5">
        <w:rPr>
          <w:rFonts w:asciiTheme="minorHAnsi" w:eastAsia="Calibri" w:hAnsiTheme="minorHAnsi"/>
        </w:rPr>
        <w:t xml:space="preserve"> </w:t>
      </w:r>
      <w:r w:rsidR="008932DE">
        <w:rPr>
          <w:rFonts w:asciiTheme="minorHAnsi" w:eastAsia="Calibri" w:hAnsiTheme="minorHAnsi"/>
        </w:rPr>
        <w:t>or e</w:t>
      </w:r>
      <w:r w:rsidRPr="001D1CD5">
        <w:rPr>
          <w:rFonts w:asciiTheme="minorHAnsi" w:eastAsia="Calibri" w:hAnsiTheme="minorHAnsi"/>
        </w:rPr>
        <w:t>xceeding five yea</w:t>
      </w:r>
      <w:r w:rsidR="008932DE">
        <w:rPr>
          <w:rFonts w:asciiTheme="minorHAnsi" w:eastAsia="Calibri" w:hAnsiTheme="minorHAnsi"/>
        </w:rPr>
        <w:t xml:space="preserve">rs for a </w:t>
      </w:r>
      <w:proofErr w:type="spellStart"/>
      <w:r w:rsidR="008932DE">
        <w:rPr>
          <w:rFonts w:asciiTheme="minorHAnsi" w:eastAsia="Calibri" w:hAnsiTheme="minorHAnsi"/>
        </w:rPr>
        <w:t>greenfields</w:t>
      </w:r>
      <w:proofErr w:type="spellEnd"/>
      <w:r w:rsidR="008932DE">
        <w:rPr>
          <w:rFonts w:asciiTheme="minorHAnsi" w:eastAsia="Calibri" w:hAnsiTheme="minorHAnsi"/>
        </w:rPr>
        <w:t xml:space="preserve"> agreement </w:t>
      </w:r>
      <w:r w:rsidRPr="001D1CD5">
        <w:rPr>
          <w:rFonts w:asciiTheme="minorHAnsi" w:eastAsia="Calibri" w:hAnsiTheme="minorHAnsi"/>
        </w:rPr>
        <w:t xml:space="preserve">if the project exceeds five years and the </w:t>
      </w:r>
      <w:proofErr w:type="spellStart"/>
      <w:r w:rsidRPr="001D1CD5">
        <w:rPr>
          <w:rFonts w:asciiTheme="minorHAnsi" w:eastAsia="Calibri" w:hAnsiTheme="minorHAnsi"/>
        </w:rPr>
        <w:t>FWC</w:t>
      </w:r>
      <w:proofErr w:type="spellEnd"/>
      <w:r w:rsidRPr="001D1CD5">
        <w:rPr>
          <w:rFonts w:asciiTheme="minorHAnsi" w:eastAsia="Calibri" w:hAnsiTheme="minorHAnsi"/>
        </w:rPr>
        <w:t xml:space="preserve"> is satisfied that the longer period is justified.</w:t>
      </w:r>
    </w:p>
    <w:p w14:paraId="26E30A41" w14:textId="77777777" w:rsidR="00581E95" w:rsidRPr="001D1CD5" w:rsidRDefault="00581E95" w:rsidP="00581E95">
      <w:pPr>
        <w:pStyle w:val="Heading1"/>
        <w:spacing w:before="0" w:after="240" w:line="276" w:lineRule="auto"/>
        <w:rPr>
          <w:rFonts w:asciiTheme="minorHAnsi" w:eastAsia="Calibri" w:hAnsiTheme="minorHAnsi" w:cs="Calibri"/>
          <w:color w:val="451E51"/>
          <w:lang w:eastAsia="en-AU"/>
        </w:rPr>
      </w:pPr>
      <w:r w:rsidRPr="001D1CD5">
        <w:rPr>
          <w:rFonts w:asciiTheme="minorHAnsi" w:eastAsia="Calibri" w:hAnsiTheme="minorHAnsi" w:cs="Calibri"/>
          <w:color w:val="451E51"/>
          <w:lang w:eastAsia="en-AU"/>
        </w:rPr>
        <w:lastRenderedPageBreak/>
        <w:t>15.6</w:t>
      </w:r>
      <w:r w:rsidRPr="001D1CD5">
        <w:rPr>
          <w:rFonts w:asciiTheme="minorHAnsi" w:eastAsia="Calibri" w:hAnsiTheme="minorHAnsi" w:cs="Calibri"/>
          <w:color w:val="451E51"/>
          <w:lang w:eastAsia="en-AU"/>
        </w:rPr>
        <w:tab/>
        <w:t>Promotion of productivity improvements through enterprise bargaining</w:t>
      </w:r>
    </w:p>
    <w:p w14:paraId="6F0D248B" w14:textId="77777777" w:rsidR="00581E95" w:rsidRPr="001D1CD5" w:rsidRDefault="00581E95" w:rsidP="00581E95">
      <w:pPr>
        <w:spacing w:after="240" w:line="276" w:lineRule="auto"/>
        <w:jc w:val="both"/>
        <w:rPr>
          <w:rFonts w:asciiTheme="minorHAnsi" w:hAnsiTheme="minorHAnsi"/>
          <w:lang w:eastAsia="en-AU"/>
        </w:rPr>
      </w:pPr>
      <w:r w:rsidRPr="001D1CD5">
        <w:rPr>
          <w:rFonts w:asciiTheme="minorHAnsi" w:hAnsiTheme="minorHAnsi"/>
          <w:lang w:eastAsia="en-AU"/>
        </w:rPr>
        <w:t xml:space="preserve">Ai Group does not agree with Draft Finding 15.1 in the Draft Report that the case for imposing a statutory requirement for employers and employees to discuss productivity improvements as part of the bargaining process is not strong. </w:t>
      </w:r>
    </w:p>
    <w:p w14:paraId="663FECE4" w14:textId="3C628A69" w:rsidR="00581E95" w:rsidRPr="001D1CD5" w:rsidRDefault="00581E95" w:rsidP="00581E95">
      <w:pPr>
        <w:spacing w:after="240" w:line="276" w:lineRule="auto"/>
        <w:jc w:val="both"/>
        <w:rPr>
          <w:rFonts w:asciiTheme="minorHAnsi" w:eastAsiaTheme="minorHAnsi" w:hAnsiTheme="minorHAnsi" w:cstheme="minorBidi"/>
          <w:lang w:eastAsia="en-AU"/>
        </w:rPr>
      </w:pPr>
      <w:r w:rsidRPr="001D1CD5">
        <w:rPr>
          <w:rFonts w:asciiTheme="minorHAnsi" w:hAnsiTheme="minorHAnsi"/>
          <w:lang w:eastAsia="en-AU"/>
        </w:rPr>
        <w:t xml:space="preserve">Ai Group’s view on this issue is set out in the following extract from Ai Group’s submission to the Senate Committee inquiry into the </w:t>
      </w:r>
      <w:r w:rsidRPr="001D1CD5">
        <w:rPr>
          <w:rFonts w:asciiTheme="minorHAnsi" w:hAnsiTheme="minorHAnsi"/>
          <w:i/>
          <w:lang w:eastAsia="en-AU"/>
        </w:rPr>
        <w:t>Fair Work Amendment (Bargaining Processes) Bill 2014</w:t>
      </w:r>
      <w:r w:rsidR="008932DE">
        <w:rPr>
          <w:rFonts w:asciiTheme="minorHAnsi" w:hAnsiTheme="minorHAnsi"/>
          <w:lang w:eastAsia="en-AU"/>
        </w:rPr>
        <w:t xml:space="preserve"> </w:t>
      </w:r>
      <w:r w:rsidRPr="001D1CD5">
        <w:rPr>
          <w:rFonts w:asciiTheme="minorHAnsi" w:hAnsiTheme="minorHAnsi"/>
          <w:lang w:eastAsia="en-AU"/>
        </w:rPr>
        <w:t>that is currently before Parliament:</w:t>
      </w:r>
    </w:p>
    <w:p w14:paraId="3D6FE588" w14:textId="77777777" w:rsidR="00581E95" w:rsidRPr="001D1CD5" w:rsidRDefault="00581E95" w:rsidP="00581E95">
      <w:pPr>
        <w:spacing w:after="240" w:line="276" w:lineRule="auto"/>
        <w:ind w:left="720"/>
        <w:jc w:val="both"/>
        <w:rPr>
          <w:rFonts w:asciiTheme="minorHAnsi" w:hAnsiTheme="minorHAnsi" w:cstheme="minorHAnsi"/>
          <w:i/>
        </w:rPr>
      </w:pPr>
      <w:r w:rsidRPr="001D1CD5">
        <w:rPr>
          <w:rFonts w:asciiTheme="minorHAnsi" w:hAnsiTheme="minorHAnsi" w:cstheme="minorHAnsi"/>
          <w:i/>
        </w:rPr>
        <w:t>“A requirement that productivity improvements be discussed during bargaining would be worthwhile to focus attention on the importance of improving productivity. Some unions have adopted the practice of refusing to discuss productivity improvements during the bargaining process viewing bargaining as a “one way street” where employees’ entitlements are improved without any offsets.</w:t>
      </w:r>
    </w:p>
    <w:p w14:paraId="08C5722B" w14:textId="77777777" w:rsidR="00581E95" w:rsidRPr="001D1CD5" w:rsidRDefault="00581E95" w:rsidP="00581E95">
      <w:pPr>
        <w:spacing w:after="240" w:line="276" w:lineRule="auto"/>
        <w:ind w:left="720"/>
        <w:jc w:val="both"/>
        <w:rPr>
          <w:rFonts w:asciiTheme="minorHAnsi" w:hAnsiTheme="minorHAnsi" w:cstheme="minorHAnsi"/>
          <w:i/>
        </w:rPr>
      </w:pPr>
      <w:r w:rsidRPr="001D1CD5">
        <w:rPr>
          <w:rFonts w:asciiTheme="minorHAnsi" w:hAnsiTheme="minorHAnsi" w:cstheme="minorHAnsi"/>
          <w:i/>
        </w:rPr>
        <w:t xml:space="preserve">Ai Group is concerned that, despite the amendment, some unions will simply refuse to meaningfully consider productivity improvements proposed by the employer. Accordingly, we propose that the word “genuinely” be inserted before “discussed” in </w:t>
      </w:r>
      <w:proofErr w:type="spellStart"/>
      <w:r w:rsidRPr="001D1CD5">
        <w:rPr>
          <w:rFonts w:asciiTheme="minorHAnsi" w:hAnsiTheme="minorHAnsi" w:cstheme="minorHAnsi"/>
          <w:i/>
        </w:rPr>
        <w:t>s.187</w:t>
      </w:r>
      <w:proofErr w:type="spellEnd"/>
      <w:r w:rsidRPr="001D1CD5">
        <w:rPr>
          <w:rFonts w:asciiTheme="minorHAnsi" w:hAnsiTheme="minorHAnsi" w:cstheme="minorHAnsi"/>
          <w:i/>
        </w:rPr>
        <w:t>(</w:t>
      </w:r>
      <w:proofErr w:type="spellStart"/>
      <w:r w:rsidRPr="001D1CD5">
        <w:rPr>
          <w:rFonts w:asciiTheme="minorHAnsi" w:hAnsiTheme="minorHAnsi" w:cstheme="minorHAnsi"/>
          <w:i/>
        </w:rPr>
        <w:t>1A</w:t>
      </w:r>
      <w:proofErr w:type="spellEnd"/>
      <w:r w:rsidRPr="001D1CD5">
        <w:rPr>
          <w:rFonts w:asciiTheme="minorHAnsi" w:hAnsiTheme="minorHAnsi" w:cstheme="minorHAnsi"/>
          <w:i/>
        </w:rPr>
        <w:t xml:space="preserve">). The word “genuinely” has been successfully used in the bargaining provisions of the national workplace relations statutes since at least 1996 in the context of the requirement to “genuinely try to reach an agreement” before industrial action is taken. The addition of the word “genuinely” in </w:t>
      </w:r>
      <w:proofErr w:type="spellStart"/>
      <w:r w:rsidRPr="001D1CD5">
        <w:rPr>
          <w:rFonts w:asciiTheme="minorHAnsi" w:hAnsiTheme="minorHAnsi" w:cstheme="minorHAnsi"/>
          <w:i/>
        </w:rPr>
        <w:t>s.187</w:t>
      </w:r>
      <w:proofErr w:type="spellEnd"/>
      <w:r w:rsidRPr="001D1CD5">
        <w:rPr>
          <w:rFonts w:asciiTheme="minorHAnsi" w:hAnsiTheme="minorHAnsi" w:cstheme="minorHAnsi"/>
          <w:i/>
        </w:rPr>
        <w:t>(</w:t>
      </w:r>
      <w:proofErr w:type="spellStart"/>
      <w:r w:rsidRPr="001D1CD5">
        <w:rPr>
          <w:rFonts w:asciiTheme="minorHAnsi" w:hAnsiTheme="minorHAnsi" w:cstheme="minorHAnsi"/>
          <w:i/>
        </w:rPr>
        <w:t>1A</w:t>
      </w:r>
      <w:proofErr w:type="spellEnd"/>
      <w:r w:rsidRPr="001D1CD5">
        <w:rPr>
          <w:rFonts w:asciiTheme="minorHAnsi" w:hAnsiTheme="minorHAnsi" w:cstheme="minorHAnsi"/>
          <w:i/>
        </w:rPr>
        <w:t>) would assist in ensuring that a bargaining representative does not refuse to meaningfully consider productivity improvements proposed by another bargaining representative. The addition of the word “genuinely” would of course not require that any concessions be made.”</w:t>
      </w:r>
    </w:p>
    <w:p w14:paraId="19B99458" w14:textId="77777777" w:rsidR="00581E95" w:rsidRPr="001D1CD5" w:rsidRDefault="00581E95" w:rsidP="00581E95">
      <w:pPr>
        <w:spacing w:after="240" w:line="276" w:lineRule="auto"/>
        <w:jc w:val="both"/>
        <w:rPr>
          <w:rFonts w:asciiTheme="minorHAnsi" w:hAnsiTheme="minorHAnsi"/>
          <w:lang w:eastAsia="en-AU"/>
        </w:rPr>
      </w:pPr>
      <w:r w:rsidRPr="001D1CD5">
        <w:rPr>
          <w:rFonts w:asciiTheme="minorHAnsi" w:hAnsiTheme="minorHAnsi"/>
          <w:lang w:eastAsia="en-AU"/>
        </w:rPr>
        <w:t xml:space="preserve">This issue has some relevance to the proposed codification of the “genuinely trying to reach agreement” requirement in </w:t>
      </w:r>
      <w:proofErr w:type="spellStart"/>
      <w:r w:rsidRPr="001D1CD5">
        <w:rPr>
          <w:rFonts w:asciiTheme="minorHAnsi" w:hAnsiTheme="minorHAnsi"/>
          <w:lang w:eastAsia="en-AU"/>
        </w:rPr>
        <w:t>s.443</w:t>
      </w:r>
      <w:proofErr w:type="spellEnd"/>
      <w:r w:rsidRPr="001D1CD5">
        <w:rPr>
          <w:rFonts w:asciiTheme="minorHAnsi" w:hAnsiTheme="minorHAnsi"/>
          <w:lang w:eastAsia="en-AU"/>
        </w:rPr>
        <w:t xml:space="preserve"> of the FW Act, as discussed below in section 19 of this submission.</w:t>
      </w:r>
    </w:p>
    <w:p w14:paraId="7F7CBAB3" w14:textId="77777777" w:rsidR="00581E95" w:rsidRPr="001D1CD5" w:rsidRDefault="00581E95" w:rsidP="00581E95">
      <w:pPr>
        <w:pStyle w:val="Heading1"/>
        <w:spacing w:before="0" w:after="240" w:line="276" w:lineRule="auto"/>
        <w:rPr>
          <w:rFonts w:asciiTheme="minorHAnsi" w:eastAsia="Calibri" w:hAnsiTheme="minorHAnsi" w:cs="Calibri"/>
          <w:color w:val="451E51"/>
          <w:lang w:eastAsia="en-AU"/>
        </w:rPr>
      </w:pPr>
      <w:r w:rsidRPr="001D1CD5">
        <w:rPr>
          <w:rFonts w:asciiTheme="minorHAnsi" w:eastAsia="Calibri" w:hAnsiTheme="minorHAnsi" w:cs="Calibri"/>
          <w:color w:val="451E51"/>
          <w:lang w:eastAsia="en-AU"/>
        </w:rPr>
        <w:t>15.7</w:t>
      </w:r>
      <w:r w:rsidRPr="001D1CD5">
        <w:rPr>
          <w:rFonts w:asciiTheme="minorHAnsi" w:eastAsia="Calibri" w:hAnsiTheme="minorHAnsi" w:cs="Calibri"/>
          <w:color w:val="451E51"/>
          <w:lang w:eastAsia="en-AU"/>
        </w:rPr>
        <w:tab/>
        <w:t>Better Off Overall Test / No Disadvantage Test</w:t>
      </w:r>
    </w:p>
    <w:p w14:paraId="6F1350D9" w14:textId="12E0856F" w:rsidR="00581E95" w:rsidRPr="001D1CD5" w:rsidRDefault="00581E95" w:rsidP="00581E95">
      <w:pPr>
        <w:spacing w:after="240" w:line="276" w:lineRule="auto"/>
        <w:jc w:val="both"/>
        <w:rPr>
          <w:rFonts w:asciiTheme="minorHAnsi" w:hAnsiTheme="minorHAnsi"/>
          <w:lang w:eastAsia="en-AU"/>
        </w:rPr>
      </w:pPr>
      <w:r w:rsidRPr="001D1CD5">
        <w:rPr>
          <w:rFonts w:asciiTheme="minorHAnsi" w:hAnsiTheme="minorHAnsi"/>
          <w:lang w:eastAsia="en-AU"/>
        </w:rPr>
        <w:t>Ai Group has represented employer</w:t>
      </w:r>
      <w:r w:rsidR="00741992">
        <w:rPr>
          <w:rFonts w:asciiTheme="minorHAnsi" w:hAnsiTheme="minorHAnsi"/>
          <w:lang w:eastAsia="en-AU"/>
        </w:rPr>
        <w:t>s</w:t>
      </w:r>
      <w:r w:rsidRPr="001D1CD5">
        <w:rPr>
          <w:rFonts w:asciiTheme="minorHAnsi" w:hAnsiTheme="minorHAnsi"/>
          <w:lang w:eastAsia="en-AU"/>
        </w:rPr>
        <w:t xml:space="preserve"> in a number of important </w:t>
      </w:r>
      <w:proofErr w:type="spellStart"/>
      <w:r w:rsidRPr="001D1CD5">
        <w:rPr>
          <w:rFonts w:asciiTheme="minorHAnsi" w:hAnsiTheme="minorHAnsi"/>
          <w:lang w:eastAsia="en-AU"/>
        </w:rPr>
        <w:t>FWC</w:t>
      </w:r>
      <w:proofErr w:type="spellEnd"/>
      <w:r w:rsidRPr="001D1CD5">
        <w:rPr>
          <w:rFonts w:asciiTheme="minorHAnsi" w:hAnsiTheme="minorHAnsi"/>
          <w:lang w:eastAsia="en-AU"/>
        </w:rPr>
        <w:t xml:space="preserve"> Full Bench cases concerning the application of the Better Off Overall Test (</w:t>
      </w:r>
      <w:r w:rsidRPr="008932DE">
        <w:rPr>
          <w:rFonts w:asciiTheme="minorHAnsi" w:hAnsiTheme="minorHAnsi"/>
          <w:b/>
          <w:lang w:eastAsia="en-AU"/>
        </w:rPr>
        <w:t>BOOT</w:t>
      </w:r>
      <w:r w:rsidRPr="001D1CD5">
        <w:rPr>
          <w:rFonts w:asciiTheme="minorHAnsi" w:hAnsiTheme="minorHAnsi"/>
          <w:lang w:eastAsia="en-AU"/>
        </w:rPr>
        <w:t>), including</w:t>
      </w:r>
      <w:r w:rsidR="00741992">
        <w:rPr>
          <w:rFonts w:asciiTheme="minorHAnsi" w:hAnsiTheme="minorHAnsi"/>
          <w:lang w:eastAsia="en-AU"/>
        </w:rPr>
        <w:t xml:space="preserve"> in</w:t>
      </w:r>
      <w:r w:rsidRPr="001D1CD5">
        <w:rPr>
          <w:rFonts w:asciiTheme="minorHAnsi" w:hAnsiTheme="minorHAnsi"/>
          <w:lang w:eastAsia="en-AU"/>
        </w:rPr>
        <w:t>:</w:t>
      </w:r>
    </w:p>
    <w:p w14:paraId="53117D5B" w14:textId="77777777" w:rsidR="00581E95" w:rsidRPr="001D1CD5" w:rsidRDefault="00581E95" w:rsidP="00FE0A2F">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eastAsia="Calibri" w:hAnsiTheme="minorHAnsi"/>
        </w:rPr>
      </w:pPr>
      <w:r w:rsidRPr="001D1CD5">
        <w:rPr>
          <w:rFonts w:asciiTheme="minorHAnsi" w:hAnsiTheme="minorHAnsi" w:cs="Arial"/>
          <w:i/>
        </w:rPr>
        <w:t xml:space="preserve">McDonald’s Australia Pty Ltd v </w:t>
      </w:r>
      <w:proofErr w:type="spellStart"/>
      <w:r w:rsidRPr="001D1CD5">
        <w:rPr>
          <w:rFonts w:asciiTheme="minorHAnsi" w:hAnsiTheme="minorHAnsi" w:cs="Arial"/>
          <w:i/>
        </w:rPr>
        <w:t>SDA</w:t>
      </w:r>
      <w:proofErr w:type="spellEnd"/>
      <w:r w:rsidRPr="001D1CD5">
        <w:rPr>
          <w:rFonts w:asciiTheme="minorHAnsi" w:hAnsiTheme="minorHAnsi" w:cs="Arial"/>
          <w:i/>
        </w:rPr>
        <w:t>,</w:t>
      </w:r>
      <w:r w:rsidRPr="001D1CD5">
        <w:rPr>
          <w:rFonts w:asciiTheme="minorHAnsi" w:hAnsiTheme="minorHAnsi" w:cs="Arial"/>
        </w:rPr>
        <w:t xml:space="preserve"> [2010] </w:t>
      </w:r>
      <w:proofErr w:type="spellStart"/>
      <w:r w:rsidRPr="001D1CD5">
        <w:rPr>
          <w:rFonts w:asciiTheme="minorHAnsi" w:hAnsiTheme="minorHAnsi" w:cs="Arial"/>
        </w:rPr>
        <w:t>FWAFB</w:t>
      </w:r>
      <w:proofErr w:type="spellEnd"/>
      <w:r w:rsidRPr="001D1CD5">
        <w:rPr>
          <w:rFonts w:asciiTheme="minorHAnsi" w:hAnsiTheme="minorHAnsi" w:cs="Arial"/>
        </w:rPr>
        <w:t xml:space="preserve"> 4602;</w:t>
      </w:r>
    </w:p>
    <w:p w14:paraId="6102F4E2" w14:textId="77777777" w:rsidR="00581E95" w:rsidRPr="001D1CD5" w:rsidRDefault="00581E95" w:rsidP="00FE0A2F">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eastAsia="Calibri" w:hAnsiTheme="minorHAnsi"/>
          <w:lang w:eastAsia="en-US"/>
        </w:rPr>
      </w:pPr>
      <w:proofErr w:type="spellStart"/>
      <w:r w:rsidRPr="001D1CD5">
        <w:rPr>
          <w:rFonts w:asciiTheme="minorHAnsi" w:hAnsiTheme="minorHAnsi"/>
          <w:i/>
        </w:rPr>
        <w:t>Armacell</w:t>
      </w:r>
      <w:proofErr w:type="spellEnd"/>
      <w:r w:rsidRPr="001D1CD5">
        <w:rPr>
          <w:rFonts w:asciiTheme="minorHAnsi" w:hAnsiTheme="minorHAnsi"/>
          <w:i/>
        </w:rPr>
        <w:t xml:space="preserve"> Australia Pty Ltd, </w:t>
      </w:r>
      <w:proofErr w:type="spellStart"/>
      <w:r w:rsidRPr="001D1CD5">
        <w:rPr>
          <w:rFonts w:asciiTheme="minorHAnsi" w:hAnsiTheme="minorHAnsi"/>
          <w:i/>
        </w:rPr>
        <w:t>Wilmaridge</w:t>
      </w:r>
      <w:proofErr w:type="spellEnd"/>
      <w:r w:rsidRPr="001D1CD5">
        <w:rPr>
          <w:rFonts w:asciiTheme="minorHAnsi" w:hAnsiTheme="minorHAnsi"/>
          <w:i/>
        </w:rPr>
        <w:t xml:space="preserve"> Pty Ltd as Trustee for the O’Neill Family Trust t/a Direct Paper Supplies, Downer EDI Works Pty Ltd,</w:t>
      </w:r>
      <w:r w:rsidRPr="001D1CD5">
        <w:rPr>
          <w:rFonts w:asciiTheme="minorHAnsi" w:hAnsiTheme="minorHAnsi"/>
        </w:rPr>
        <w:t xml:space="preserve"> [2010] </w:t>
      </w:r>
      <w:proofErr w:type="spellStart"/>
      <w:r w:rsidRPr="001D1CD5">
        <w:rPr>
          <w:rFonts w:asciiTheme="minorHAnsi" w:hAnsiTheme="minorHAnsi"/>
        </w:rPr>
        <w:t>FWAFB</w:t>
      </w:r>
      <w:proofErr w:type="spellEnd"/>
      <w:r w:rsidRPr="001D1CD5">
        <w:rPr>
          <w:rFonts w:asciiTheme="minorHAnsi" w:hAnsiTheme="minorHAnsi"/>
        </w:rPr>
        <w:t xml:space="preserve"> 9985; and</w:t>
      </w:r>
    </w:p>
    <w:p w14:paraId="4979605C" w14:textId="77777777" w:rsidR="00581E95" w:rsidRPr="001D1CD5" w:rsidRDefault="00581E95" w:rsidP="00FE0A2F">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rPr>
      </w:pPr>
      <w:r w:rsidRPr="001D1CD5">
        <w:rPr>
          <w:rFonts w:asciiTheme="minorHAnsi" w:hAnsiTheme="minorHAnsi"/>
          <w:bCs/>
          <w:i/>
        </w:rPr>
        <w:t>Solar Systems Pty Ltd,</w:t>
      </w:r>
      <w:r w:rsidRPr="001D1CD5">
        <w:rPr>
          <w:rFonts w:asciiTheme="minorHAnsi" w:hAnsiTheme="minorHAnsi"/>
          <w:i/>
          <w:iCs/>
        </w:rPr>
        <w:t xml:space="preserve"> </w:t>
      </w:r>
      <w:r w:rsidRPr="001D1CD5">
        <w:rPr>
          <w:rFonts w:asciiTheme="minorHAnsi" w:hAnsiTheme="minorHAnsi"/>
        </w:rPr>
        <w:t xml:space="preserve">[2012] </w:t>
      </w:r>
      <w:proofErr w:type="spellStart"/>
      <w:r w:rsidRPr="001D1CD5">
        <w:rPr>
          <w:rFonts w:asciiTheme="minorHAnsi" w:hAnsiTheme="minorHAnsi"/>
        </w:rPr>
        <w:t>FWA</w:t>
      </w:r>
      <w:proofErr w:type="spellEnd"/>
      <w:r w:rsidRPr="001D1CD5">
        <w:rPr>
          <w:rFonts w:asciiTheme="minorHAnsi" w:hAnsiTheme="minorHAnsi"/>
        </w:rPr>
        <w:t xml:space="preserve"> 4381.</w:t>
      </w:r>
      <w:r w:rsidRPr="001D1CD5">
        <w:rPr>
          <w:rFonts w:asciiTheme="minorHAnsi" w:hAnsiTheme="minorHAnsi"/>
          <w:i/>
          <w:iCs/>
        </w:rPr>
        <w:t xml:space="preserve"> </w:t>
      </w:r>
    </w:p>
    <w:p w14:paraId="50729697" w14:textId="77777777" w:rsidR="00581E95" w:rsidRPr="001D1CD5" w:rsidRDefault="00581E95" w:rsidP="00581E95">
      <w:pPr>
        <w:pStyle w:val="ListParagraph"/>
        <w:spacing w:after="240" w:line="276" w:lineRule="auto"/>
        <w:ind w:left="0"/>
        <w:jc w:val="both"/>
        <w:rPr>
          <w:rFonts w:asciiTheme="minorHAnsi" w:eastAsia="Calibri" w:hAnsiTheme="minorHAnsi"/>
        </w:rPr>
      </w:pPr>
      <w:r w:rsidRPr="001D1CD5">
        <w:rPr>
          <w:rFonts w:asciiTheme="minorHAnsi" w:eastAsia="Calibri" w:hAnsiTheme="minorHAnsi"/>
        </w:rPr>
        <w:t xml:space="preserve">The principles that have flowed from these decisions have reinforced the requirement that a global approach must be taken by the </w:t>
      </w:r>
      <w:proofErr w:type="spellStart"/>
      <w:r w:rsidRPr="001D1CD5">
        <w:rPr>
          <w:rFonts w:asciiTheme="minorHAnsi" w:eastAsia="Calibri" w:hAnsiTheme="minorHAnsi"/>
        </w:rPr>
        <w:t>FWC</w:t>
      </w:r>
      <w:proofErr w:type="spellEnd"/>
      <w:r w:rsidRPr="001D1CD5">
        <w:rPr>
          <w:rFonts w:asciiTheme="minorHAnsi" w:eastAsia="Calibri" w:hAnsiTheme="minorHAnsi"/>
        </w:rPr>
        <w:t xml:space="preserve"> when applying the BOOT and not a line by line approach. </w:t>
      </w:r>
    </w:p>
    <w:p w14:paraId="570811A5" w14:textId="77777777" w:rsidR="00581E95" w:rsidRPr="001D1CD5" w:rsidRDefault="00581E95" w:rsidP="00581E95">
      <w:pPr>
        <w:pStyle w:val="ListParagraph"/>
        <w:spacing w:after="240" w:line="276" w:lineRule="auto"/>
        <w:ind w:left="0"/>
        <w:jc w:val="both"/>
        <w:rPr>
          <w:rFonts w:asciiTheme="minorHAnsi" w:eastAsia="Calibri" w:hAnsiTheme="minorHAnsi"/>
        </w:rPr>
      </w:pPr>
      <w:r w:rsidRPr="001D1CD5">
        <w:rPr>
          <w:rFonts w:asciiTheme="minorHAnsi" w:eastAsia="Calibri" w:hAnsiTheme="minorHAnsi"/>
        </w:rPr>
        <w:lastRenderedPageBreak/>
        <w:t xml:space="preserve">In Ai Group’s experience, the problems that have occurred since 2009 with the BOOT have not, for the most part, been the result of significant problems with the wording of the Act but rather the manner in which a minority of </w:t>
      </w:r>
      <w:proofErr w:type="spellStart"/>
      <w:r w:rsidRPr="001D1CD5">
        <w:rPr>
          <w:rFonts w:asciiTheme="minorHAnsi" w:eastAsia="Calibri" w:hAnsiTheme="minorHAnsi"/>
        </w:rPr>
        <w:t>FWC</w:t>
      </w:r>
      <w:proofErr w:type="spellEnd"/>
      <w:r w:rsidRPr="001D1CD5">
        <w:rPr>
          <w:rFonts w:asciiTheme="minorHAnsi" w:eastAsia="Calibri" w:hAnsiTheme="minorHAnsi"/>
        </w:rPr>
        <w:t xml:space="preserve"> Members have applied the BOOT. Despite this, Ai Group sees merit in Draft Recommendation 15.4 which would replace the BOOT with a new No Disadvantage Test.</w:t>
      </w:r>
    </w:p>
    <w:p w14:paraId="6B99CB45" w14:textId="77777777" w:rsidR="00581E95" w:rsidRPr="001D1CD5" w:rsidRDefault="00581E95" w:rsidP="00581E95">
      <w:pPr>
        <w:pStyle w:val="ListParagraph"/>
        <w:spacing w:after="240" w:line="276" w:lineRule="auto"/>
        <w:ind w:left="0"/>
        <w:jc w:val="both"/>
        <w:rPr>
          <w:rFonts w:asciiTheme="minorHAnsi" w:eastAsia="Calibri" w:hAnsiTheme="minorHAnsi"/>
        </w:rPr>
      </w:pPr>
      <w:r w:rsidRPr="001D1CD5">
        <w:rPr>
          <w:rFonts w:asciiTheme="minorHAnsi" w:eastAsia="Calibri" w:hAnsiTheme="minorHAnsi"/>
        </w:rPr>
        <w:t>The new No Disadvantage Test should incorporate the following elements:</w:t>
      </w:r>
    </w:p>
    <w:p w14:paraId="0617F83A" w14:textId="77777777" w:rsidR="00581E95" w:rsidRPr="001D1CD5" w:rsidRDefault="00581E95" w:rsidP="00FE0A2F">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eastAsia="Calibri" w:hAnsiTheme="minorHAnsi"/>
        </w:rPr>
      </w:pPr>
      <w:r w:rsidRPr="001D1CD5">
        <w:rPr>
          <w:rFonts w:asciiTheme="minorHAnsi" w:eastAsia="Calibri" w:hAnsiTheme="minorHAnsi"/>
        </w:rPr>
        <w:t>The comparison should be against the relevant modern award;</w:t>
      </w:r>
    </w:p>
    <w:p w14:paraId="609A7A99" w14:textId="77777777" w:rsidR="00581E95" w:rsidRPr="001D1CD5" w:rsidRDefault="00581E95" w:rsidP="00FE0A2F">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eastAsia="Calibri" w:hAnsiTheme="minorHAnsi"/>
        </w:rPr>
      </w:pPr>
      <w:r w:rsidRPr="001D1CD5">
        <w:rPr>
          <w:rFonts w:asciiTheme="minorHAnsi" w:eastAsia="Calibri" w:hAnsiTheme="minorHAnsi"/>
        </w:rPr>
        <w:t xml:space="preserve">The “test time” should be the time the application for approval of the agreement is made (as currently applies under </w:t>
      </w:r>
      <w:proofErr w:type="spellStart"/>
      <w:r w:rsidRPr="001D1CD5">
        <w:rPr>
          <w:rFonts w:asciiTheme="minorHAnsi" w:eastAsia="Calibri" w:hAnsiTheme="minorHAnsi"/>
        </w:rPr>
        <w:t>s.196</w:t>
      </w:r>
      <w:proofErr w:type="spellEnd"/>
      <w:r w:rsidRPr="001D1CD5">
        <w:rPr>
          <w:rFonts w:asciiTheme="minorHAnsi" w:eastAsia="Calibri" w:hAnsiTheme="minorHAnsi"/>
        </w:rPr>
        <w:t>(3));</w:t>
      </w:r>
    </w:p>
    <w:p w14:paraId="215E1BE5" w14:textId="77777777" w:rsidR="00581E95" w:rsidRPr="001D1CD5" w:rsidRDefault="00581E95" w:rsidP="00FE0A2F">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eastAsia="Calibri" w:hAnsiTheme="minorHAnsi"/>
        </w:rPr>
      </w:pPr>
      <w:r w:rsidRPr="001D1CD5">
        <w:rPr>
          <w:rFonts w:asciiTheme="minorHAnsi" w:eastAsia="Calibri" w:hAnsiTheme="minorHAnsi"/>
        </w:rPr>
        <w:t>In applying the test, the employees covered by the agreement would ideally be considered as a whole or, if not, classes of employees should be considered – not individuals.</w:t>
      </w:r>
    </w:p>
    <w:p w14:paraId="4C22E510" w14:textId="1C9E939E" w:rsidR="00581E95" w:rsidRPr="001D1CD5" w:rsidRDefault="00581E95" w:rsidP="00581E95">
      <w:pPr>
        <w:pStyle w:val="ListParagraph"/>
        <w:spacing w:after="240" w:line="276" w:lineRule="auto"/>
        <w:ind w:left="0"/>
        <w:jc w:val="both"/>
        <w:rPr>
          <w:rFonts w:asciiTheme="minorHAnsi" w:eastAsia="Calibri" w:hAnsiTheme="minorHAnsi"/>
        </w:rPr>
      </w:pPr>
      <w:r w:rsidRPr="001D1CD5">
        <w:rPr>
          <w:rFonts w:asciiTheme="minorHAnsi" w:eastAsia="Calibri" w:hAnsiTheme="minorHAnsi"/>
        </w:rPr>
        <w:t>As argued in section 4 of this submission, enterprise agreements should be permitted to override State and Territory long service leave laws. If Ai Group’s proposal is adopted, in addition to a comparison against the relevant modern award, the No Disadvantage Test should include a comparison against State and Terr</w:t>
      </w:r>
      <w:r w:rsidR="008932DE">
        <w:rPr>
          <w:rFonts w:asciiTheme="minorHAnsi" w:eastAsia="Calibri" w:hAnsiTheme="minorHAnsi"/>
        </w:rPr>
        <w:t xml:space="preserve">itory long service leave laws. </w:t>
      </w:r>
      <w:r w:rsidRPr="001D1CD5">
        <w:rPr>
          <w:rFonts w:asciiTheme="minorHAnsi" w:eastAsia="Calibri" w:hAnsiTheme="minorHAnsi"/>
        </w:rPr>
        <w:t xml:space="preserve">The No Disadvantage Test that applied under the FW Act between 1 July 2009 and 31 December 2009 (i.e. during the “bridging period” prior to the </w:t>
      </w:r>
      <w:proofErr w:type="spellStart"/>
      <w:r w:rsidRPr="001D1CD5">
        <w:rPr>
          <w:rFonts w:asciiTheme="minorHAnsi" w:eastAsia="Calibri" w:hAnsiTheme="minorHAnsi"/>
        </w:rPr>
        <w:t>NES</w:t>
      </w:r>
      <w:proofErr w:type="spellEnd"/>
      <w:r w:rsidRPr="001D1CD5">
        <w:rPr>
          <w:rFonts w:asciiTheme="minorHAnsi" w:eastAsia="Calibri" w:hAnsiTheme="minorHAnsi"/>
        </w:rPr>
        <w:t xml:space="preserve"> coming into operation on 1 January 2010) included a comparison </w:t>
      </w:r>
      <w:r w:rsidR="008932DE">
        <w:rPr>
          <w:rFonts w:asciiTheme="minorHAnsi" w:eastAsia="Calibri" w:hAnsiTheme="minorHAnsi"/>
        </w:rPr>
        <w:t xml:space="preserve">both </w:t>
      </w:r>
      <w:r w:rsidRPr="001D1CD5">
        <w:rPr>
          <w:rFonts w:asciiTheme="minorHAnsi" w:eastAsia="Calibri" w:hAnsiTheme="minorHAnsi"/>
        </w:rPr>
        <w:t xml:space="preserve">against the relevant pre-modern award and the relevant State / Territory long service leave laws (see Item 4 of Schedule 7 of the </w:t>
      </w:r>
      <w:r w:rsidRPr="001D1CD5">
        <w:rPr>
          <w:rFonts w:asciiTheme="minorHAnsi" w:eastAsia="Calibri" w:hAnsiTheme="minorHAnsi"/>
          <w:i/>
        </w:rPr>
        <w:t>Fair Work (Transitional Provisions and Consequential Amendments) Act 2009</w:t>
      </w:r>
      <w:r w:rsidRPr="001D1CD5">
        <w:rPr>
          <w:rFonts w:asciiTheme="minorHAnsi" w:eastAsia="Calibri" w:hAnsiTheme="minorHAnsi"/>
        </w:rPr>
        <w:t>).</w:t>
      </w:r>
    </w:p>
    <w:p w14:paraId="71BA7166" w14:textId="77777777" w:rsidR="00581E95" w:rsidRPr="001D1CD5" w:rsidRDefault="00581E95" w:rsidP="00581E95">
      <w:pPr>
        <w:pStyle w:val="Heading1"/>
        <w:spacing w:before="0" w:after="240" w:line="276" w:lineRule="auto"/>
        <w:rPr>
          <w:rFonts w:asciiTheme="minorHAnsi" w:eastAsia="Calibri" w:hAnsiTheme="minorHAnsi" w:cs="Calibri"/>
          <w:color w:val="451E51"/>
          <w:lang w:eastAsia="en-AU"/>
        </w:rPr>
      </w:pPr>
      <w:r w:rsidRPr="001D1CD5">
        <w:rPr>
          <w:rFonts w:asciiTheme="minorHAnsi" w:eastAsia="Calibri" w:hAnsiTheme="minorHAnsi" w:cs="Calibri"/>
          <w:color w:val="451E51"/>
          <w:lang w:eastAsia="en-AU"/>
        </w:rPr>
        <w:t>15.8</w:t>
      </w:r>
      <w:r w:rsidRPr="001D1CD5">
        <w:rPr>
          <w:rFonts w:asciiTheme="minorHAnsi" w:eastAsia="Calibri" w:hAnsiTheme="minorHAnsi" w:cs="Calibri"/>
          <w:color w:val="451E51"/>
          <w:lang w:eastAsia="en-AU"/>
        </w:rPr>
        <w:tab/>
        <w:t>Bargaining representatives</w:t>
      </w:r>
    </w:p>
    <w:p w14:paraId="189D470D" w14:textId="77777777" w:rsidR="00581E95" w:rsidRPr="001D1CD5" w:rsidRDefault="00581E95" w:rsidP="00581E95">
      <w:pPr>
        <w:spacing w:after="240" w:line="276" w:lineRule="auto"/>
        <w:jc w:val="both"/>
        <w:rPr>
          <w:rFonts w:asciiTheme="minorHAnsi" w:hAnsiTheme="minorHAnsi"/>
          <w:lang w:eastAsia="en-AU"/>
        </w:rPr>
      </w:pPr>
      <w:r w:rsidRPr="001D1CD5">
        <w:rPr>
          <w:rFonts w:asciiTheme="minorHAnsi" w:hAnsiTheme="minorHAnsi"/>
          <w:lang w:eastAsia="en-AU"/>
        </w:rPr>
        <w:t>Ai Group does not oppose Draft Recommendation 15.5 which would:</w:t>
      </w:r>
    </w:p>
    <w:p w14:paraId="64BB6DE6" w14:textId="77777777" w:rsidR="00581E95" w:rsidRPr="001D1CD5" w:rsidRDefault="00581E95" w:rsidP="00FE0A2F">
      <w:pPr>
        <w:pStyle w:val="ListParagraph"/>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eastAsia="Calibri" w:hAnsiTheme="minorHAnsi"/>
        </w:rPr>
      </w:pPr>
      <w:r w:rsidRPr="001D1CD5">
        <w:rPr>
          <w:rFonts w:asciiTheme="minorHAnsi" w:eastAsia="Calibri" w:hAnsiTheme="minorHAnsi"/>
        </w:rPr>
        <w:t>Enable a reasonable period to be specified in which nominations to be a bargaining representative must be submitted; and</w:t>
      </w:r>
    </w:p>
    <w:p w14:paraId="057408E5" w14:textId="77777777" w:rsidR="00581E95" w:rsidRPr="001D1CD5" w:rsidRDefault="00581E95" w:rsidP="00FE0A2F">
      <w:pPr>
        <w:pStyle w:val="ListParagraph"/>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eastAsia="Calibri" w:hAnsiTheme="minorHAnsi"/>
          <w:lang w:eastAsia="en-US"/>
        </w:rPr>
      </w:pPr>
      <w:r w:rsidRPr="001D1CD5">
        <w:rPr>
          <w:rFonts w:asciiTheme="minorHAnsi" w:eastAsia="Calibri" w:hAnsiTheme="minorHAnsi"/>
        </w:rPr>
        <w:t>Only enable a person to be a bargaining representative if they represent a trade union with member/s covered by the proposed agreement or if they were nominated by a least 5 per cent of the employees covered by the proposed agreement.</w:t>
      </w:r>
    </w:p>
    <w:p w14:paraId="4F85E1BA" w14:textId="77777777" w:rsidR="00581E95" w:rsidRPr="001D1CD5" w:rsidRDefault="00581E95" w:rsidP="00581E95">
      <w:pPr>
        <w:spacing w:after="240" w:line="276" w:lineRule="auto"/>
        <w:jc w:val="both"/>
        <w:rPr>
          <w:rFonts w:asciiTheme="minorHAnsi" w:eastAsia="Calibri" w:hAnsiTheme="minorHAnsi"/>
        </w:rPr>
      </w:pPr>
      <w:r w:rsidRPr="001D1CD5">
        <w:rPr>
          <w:rFonts w:asciiTheme="minorHAnsi" w:eastAsia="Calibri" w:hAnsiTheme="minorHAnsi"/>
        </w:rPr>
        <w:t>No doubt there are circumstances where an employer would support the inclusion of one or more employee representatives in bargaining negotiations who do not represent at least 5 per cent of the employees, but this would not be precluded by the recommendation. The effect would simply be that such persons would not have the formal status of bargaining representatives under the FW Act.</w:t>
      </w:r>
    </w:p>
    <w:p w14:paraId="5E3180AC" w14:textId="0700422C" w:rsidR="00581E95" w:rsidRPr="001D1CD5" w:rsidRDefault="00581E95" w:rsidP="00581E95">
      <w:pPr>
        <w:spacing w:after="240" w:line="276" w:lineRule="auto"/>
        <w:jc w:val="both"/>
        <w:rPr>
          <w:rFonts w:asciiTheme="minorHAnsi" w:eastAsia="Calibri" w:hAnsiTheme="minorHAnsi"/>
        </w:rPr>
      </w:pPr>
      <w:r w:rsidRPr="001D1CD5">
        <w:rPr>
          <w:rFonts w:asciiTheme="minorHAnsi" w:eastAsia="Calibri" w:hAnsiTheme="minorHAnsi"/>
        </w:rPr>
        <w:t xml:space="preserve">In addition to Draft Recommendation 15.5, the Productivity Commission should recommend that amendments be made to the FW Act to address the </w:t>
      </w:r>
      <w:r w:rsidR="008932DE">
        <w:rPr>
          <w:rFonts w:asciiTheme="minorHAnsi" w:eastAsia="Calibri" w:hAnsiTheme="minorHAnsi"/>
        </w:rPr>
        <w:t xml:space="preserve">important technical amendments relating to bargaining representatives </w:t>
      </w:r>
      <w:r w:rsidRPr="001D1CD5">
        <w:rPr>
          <w:rFonts w:asciiTheme="minorHAnsi" w:eastAsia="Calibri" w:hAnsiTheme="minorHAnsi"/>
        </w:rPr>
        <w:t xml:space="preserve">raised in </w:t>
      </w:r>
      <w:r w:rsidR="008932DE">
        <w:rPr>
          <w:rFonts w:asciiTheme="minorHAnsi" w:eastAsia="Calibri" w:hAnsiTheme="minorHAnsi"/>
        </w:rPr>
        <w:t>sub</w:t>
      </w:r>
      <w:r w:rsidRPr="001D1CD5">
        <w:rPr>
          <w:rFonts w:asciiTheme="minorHAnsi" w:eastAsia="Calibri" w:hAnsiTheme="minorHAnsi"/>
        </w:rPr>
        <w:t>section 13.5 of Ai Group’s March 2015 submission.</w:t>
      </w:r>
    </w:p>
    <w:p w14:paraId="2C223A1A" w14:textId="77777777" w:rsidR="00581E95" w:rsidRPr="001D1CD5" w:rsidRDefault="00581E95" w:rsidP="00581E95">
      <w:pPr>
        <w:pStyle w:val="Heading1"/>
        <w:spacing w:before="0" w:after="240" w:line="276" w:lineRule="auto"/>
        <w:rPr>
          <w:rFonts w:asciiTheme="minorHAnsi" w:eastAsia="Calibri" w:hAnsiTheme="minorHAnsi" w:cs="Calibri"/>
          <w:color w:val="451E51"/>
          <w:lang w:eastAsia="en-AU"/>
        </w:rPr>
      </w:pPr>
      <w:r w:rsidRPr="001D1CD5">
        <w:rPr>
          <w:rFonts w:asciiTheme="minorHAnsi" w:eastAsia="Calibri" w:hAnsiTheme="minorHAnsi" w:cs="Calibri"/>
          <w:color w:val="451E51"/>
          <w:lang w:eastAsia="en-AU"/>
        </w:rPr>
        <w:lastRenderedPageBreak/>
        <w:t>15.9</w:t>
      </w:r>
      <w:r w:rsidRPr="001D1CD5">
        <w:rPr>
          <w:rFonts w:asciiTheme="minorHAnsi" w:eastAsia="Calibri" w:hAnsiTheme="minorHAnsi" w:cs="Calibri"/>
          <w:color w:val="451E51"/>
          <w:lang w:eastAsia="en-AU"/>
        </w:rPr>
        <w:tab/>
        <w:t>Greenfields agreements</w:t>
      </w:r>
    </w:p>
    <w:p w14:paraId="381BB556" w14:textId="77777777" w:rsidR="00581E95" w:rsidRPr="001D1CD5" w:rsidRDefault="00581E95" w:rsidP="00581E95">
      <w:pPr>
        <w:spacing w:after="240" w:line="276" w:lineRule="auto"/>
        <w:jc w:val="both"/>
        <w:rPr>
          <w:rFonts w:asciiTheme="minorHAnsi" w:hAnsiTheme="minorHAnsi"/>
          <w:lang w:eastAsia="en-AU"/>
        </w:rPr>
      </w:pPr>
      <w:r w:rsidRPr="001D1CD5">
        <w:rPr>
          <w:rFonts w:asciiTheme="minorHAnsi" w:hAnsiTheme="minorHAnsi"/>
          <w:lang w:eastAsia="en-AU"/>
        </w:rPr>
        <w:t xml:space="preserve">Ai Group agrees with the finding in the Draft Report that unions wield excessive power under the existing </w:t>
      </w:r>
      <w:proofErr w:type="spellStart"/>
      <w:r w:rsidRPr="001D1CD5">
        <w:rPr>
          <w:rFonts w:asciiTheme="minorHAnsi" w:hAnsiTheme="minorHAnsi"/>
          <w:lang w:eastAsia="en-AU"/>
        </w:rPr>
        <w:t>greenfields</w:t>
      </w:r>
      <w:proofErr w:type="spellEnd"/>
      <w:r w:rsidRPr="001D1CD5">
        <w:rPr>
          <w:rFonts w:asciiTheme="minorHAnsi" w:hAnsiTheme="minorHAnsi"/>
          <w:lang w:eastAsia="en-AU"/>
        </w:rPr>
        <w:t xml:space="preserve"> agreement arrangements.</w:t>
      </w:r>
    </w:p>
    <w:p w14:paraId="1A087F6F" w14:textId="2F78C76B" w:rsidR="00581E95" w:rsidRPr="001D1CD5" w:rsidRDefault="00581E95" w:rsidP="00581E95">
      <w:pPr>
        <w:spacing w:after="240" w:line="276" w:lineRule="auto"/>
        <w:jc w:val="both"/>
        <w:rPr>
          <w:rFonts w:asciiTheme="minorHAnsi" w:eastAsia="Calibri" w:hAnsiTheme="minorHAnsi" w:cstheme="minorBidi"/>
        </w:rPr>
      </w:pPr>
      <w:r w:rsidRPr="001D1CD5">
        <w:rPr>
          <w:rFonts w:asciiTheme="minorHAnsi" w:hAnsiTheme="minorHAnsi"/>
          <w:lang w:eastAsia="en-AU"/>
        </w:rPr>
        <w:t xml:space="preserve">Draft Recommendation 15.6 would subject bargaining representatives for </w:t>
      </w:r>
      <w:proofErr w:type="spellStart"/>
      <w:r w:rsidRPr="001D1CD5">
        <w:rPr>
          <w:rFonts w:asciiTheme="minorHAnsi" w:hAnsiTheme="minorHAnsi"/>
          <w:lang w:eastAsia="en-AU"/>
        </w:rPr>
        <w:t>greenfields</w:t>
      </w:r>
      <w:proofErr w:type="spellEnd"/>
      <w:r w:rsidRPr="001D1CD5">
        <w:rPr>
          <w:rFonts w:asciiTheme="minorHAnsi" w:hAnsiTheme="minorHAnsi"/>
          <w:lang w:eastAsia="en-AU"/>
        </w:rPr>
        <w:t xml:space="preserve"> agreements to the good faith bargaining requirements in the FW Act.  This proposal has been the subject of a great deal of debate during the development of the </w:t>
      </w:r>
      <w:r w:rsidRPr="001D1CD5">
        <w:rPr>
          <w:rFonts w:asciiTheme="minorHAnsi" w:hAnsiTheme="minorHAnsi"/>
          <w:i/>
          <w:lang w:eastAsia="en-AU"/>
        </w:rPr>
        <w:t>Fair Work Bill 2008</w:t>
      </w:r>
      <w:r w:rsidRPr="001D1CD5">
        <w:rPr>
          <w:rFonts w:asciiTheme="minorHAnsi" w:hAnsiTheme="minorHAnsi"/>
          <w:lang w:eastAsia="en-AU"/>
        </w:rPr>
        <w:t xml:space="preserve"> and since the FW Act was implemented. The Bill as originally introduced into Parliament imposed good faith bargaining obligations on bargaining representatives for </w:t>
      </w:r>
      <w:proofErr w:type="spellStart"/>
      <w:r w:rsidRPr="001D1CD5">
        <w:rPr>
          <w:rFonts w:asciiTheme="minorHAnsi" w:hAnsiTheme="minorHAnsi"/>
          <w:lang w:eastAsia="en-AU"/>
        </w:rPr>
        <w:t>greenfields</w:t>
      </w:r>
      <w:proofErr w:type="spellEnd"/>
      <w:r w:rsidRPr="001D1CD5">
        <w:rPr>
          <w:rFonts w:asciiTheme="minorHAnsi" w:hAnsiTheme="minorHAnsi"/>
          <w:lang w:eastAsia="en-AU"/>
        </w:rPr>
        <w:t xml:space="preserve"> agreements but the provisions were removed from the Bill before it was passed by Parliament. The reason for this was because, a</w:t>
      </w:r>
      <w:r w:rsidRPr="001D1CD5">
        <w:rPr>
          <w:rFonts w:asciiTheme="minorHAnsi" w:eastAsia="Calibri" w:hAnsiTheme="minorHAnsi"/>
        </w:rPr>
        <w:t>s drafted, the provisions in the Bill would have allowed any union which was eligible t</w:t>
      </w:r>
      <w:r w:rsidR="008932DE">
        <w:rPr>
          <w:rFonts w:asciiTheme="minorHAnsi" w:eastAsia="Calibri" w:hAnsiTheme="minorHAnsi"/>
        </w:rPr>
        <w:t xml:space="preserve">o represent any employee on a </w:t>
      </w:r>
      <w:r w:rsidRPr="001D1CD5">
        <w:rPr>
          <w:rFonts w:asciiTheme="minorHAnsi" w:eastAsia="Calibri" w:hAnsiTheme="minorHAnsi"/>
        </w:rPr>
        <w:t xml:space="preserve">project to become involved in the negotiations for the </w:t>
      </w:r>
      <w:proofErr w:type="spellStart"/>
      <w:r w:rsidRPr="001D1CD5">
        <w:rPr>
          <w:rFonts w:asciiTheme="minorHAnsi" w:eastAsia="Calibri" w:hAnsiTheme="minorHAnsi"/>
        </w:rPr>
        <w:t>greenfields</w:t>
      </w:r>
      <w:proofErr w:type="spellEnd"/>
      <w:r w:rsidRPr="001D1CD5">
        <w:rPr>
          <w:rFonts w:asciiTheme="minorHAnsi" w:eastAsia="Calibri" w:hAnsiTheme="minorHAnsi"/>
        </w:rPr>
        <w:t xml:space="preserve"> agreement, and to apply to the </w:t>
      </w:r>
      <w:proofErr w:type="spellStart"/>
      <w:r w:rsidRPr="001D1CD5">
        <w:rPr>
          <w:rFonts w:asciiTheme="minorHAnsi" w:eastAsia="Calibri" w:hAnsiTheme="minorHAnsi"/>
        </w:rPr>
        <w:t>FWC</w:t>
      </w:r>
      <w:proofErr w:type="spellEnd"/>
      <w:r w:rsidRPr="001D1CD5">
        <w:rPr>
          <w:rFonts w:asciiTheme="minorHAnsi" w:eastAsia="Calibri" w:hAnsiTheme="minorHAnsi"/>
        </w:rPr>
        <w:t xml:space="preserve"> for a bargaining order indefinitely delaying the making of the agreement.</w:t>
      </w:r>
    </w:p>
    <w:p w14:paraId="530D7AF9" w14:textId="77777777" w:rsidR="00581E95" w:rsidRPr="001D1CD5" w:rsidRDefault="00581E95" w:rsidP="00581E95">
      <w:pPr>
        <w:spacing w:after="240" w:line="276" w:lineRule="auto"/>
        <w:jc w:val="both"/>
        <w:rPr>
          <w:rFonts w:asciiTheme="minorHAnsi" w:eastAsia="Calibri" w:hAnsiTheme="minorHAnsi"/>
        </w:rPr>
      </w:pPr>
      <w:r w:rsidRPr="001D1CD5">
        <w:rPr>
          <w:rFonts w:asciiTheme="minorHAnsi" w:eastAsia="Calibri" w:hAnsiTheme="minorHAnsi"/>
        </w:rPr>
        <w:t xml:space="preserve">The </w:t>
      </w:r>
      <w:r w:rsidRPr="001D1CD5">
        <w:rPr>
          <w:rFonts w:asciiTheme="minorHAnsi" w:eastAsia="Calibri" w:hAnsiTheme="minorHAnsi"/>
          <w:i/>
        </w:rPr>
        <w:t>Fair Work Amendment Bill 2014</w:t>
      </w:r>
      <w:r w:rsidRPr="001D1CD5">
        <w:rPr>
          <w:rFonts w:asciiTheme="minorHAnsi" w:eastAsia="Calibri" w:hAnsiTheme="minorHAnsi"/>
        </w:rPr>
        <w:t xml:space="preserve"> appropriately addresses this issue. The following extract from Ai Group’s submission to the Senate Committee inquiry into the Bill is relevant:</w:t>
      </w:r>
    </w:p>
    <w:p w14:paraId="47337E65" w14:textId="77777777" w:rsidR="00581E95" w:rsidRPr="001D1CD5" w:rsidRDefault="00581E95" w:rsidP="00581E95">
      <w:pPr>
        <w:spacing w:after="240" w:line="276" w:lineRule="auto"/>
        <w:ind w:left="720"/>
        <w:jc w:val="both"/>
        <w:rPr>
          <w:rFonts w:asciiTheme="minorHAnsi" w:hAnsiTheme="minorHAnsi" w:cstheme="minorHAnsi"/>
          <w:i/>
        </w:rPr>
      </w:pPr>
      <w:r w:rsidRPr="001D1CD5">
        <w:rPr>
          <w:rFonts w:asciiTheme="minorHAnsi" w:hAnsiTheme="minorHAnsi" w:cstheme="minorHAnsi"/>
          <w:i/>
        </w:rPr>
        <w:t xml:space="preserve">“Item 23 inserts a new </w:t>
      </w:r>
      <w:proofErr w:type="spellStart"/>
      <w:r w:rsidRPr="001D1CD5">
        <w:rPr>
          <w:rFonts w:asciiTheme="minorHAnsi" w:hAnsiTheme="minorHAnsi" w:cstheme="minorHAnsi"/>
          <w:i/>
        </w:rPr>
        <w:t>s.177</w:t>
      </w:r>
      <w:proofErr w:type="spellEnd"/>
      <w:r w:rsidRPr="001D1CD5">
        <w:rPr>
          <w:rFonts w:asciiTheme="minorHAnsi" w:hAnsiTheme="minorHAnsi" w:cstheme="minorHAnsi"/>
          <w:i/>
        </w:rPr>
        <w:t xml:space="preserve">. This is an important provision that identifies the bargaining representatives for a proposed </w:t>
      </w:r>
      <w:proofErr w:type="spellStart"/>
      <w:r w:rsidRPr="001D1CD5">
        <w:rPr>
          <w:rFonts w:asciiTheme="minorHAnsi" w:hAnsiTheme="minorHAnsi" w:cstheme="minorHAnsi"/>
          <w:i/>
        </w:rPr>
        <w:t>greenfields</w:t>
      </w:r>
      <w:proofErr w:type="spellEnd"/>
      <w:r w:rsidRPr="001D1CD5">
        <w:rPr>
          <w:rFonts w:asciiTheme="minorHAnsi" w:hAnsiTheme="minorHAnsi" w:cstheme="minorHAnsi"/>
          <w:i/>
        </w:rPr>
        <w:t xml:space="preserve"> agreement. Importantly, a union is only a bargaining representative if the employer agrees to bargain with the union. Any other approach would not be workable. If all unions eligible to represent any employee on the project were given bargaining rights, each union would have the right to pursue bargaining orders in the </w:t>
      </w:r>
      <w:proofErr w:type="spellStart"/>
      <w:r w:rsidRPr="001D1CD5">
        <w:rPr>
          <w:rFonts w:asciiTheme="minorHAnsi" w:hAnsiTheme="minorHAnsi" w:cstheme="minorHAnsi"/>
          <w:i/>
        </w:rPr>
        <w:t>FWC</w:t>
      </w:r>
      <w:proofErr w:type="spellEnd"/>
      <w:r w:rsidRPr="001D1CD5">
        <w:rPr>
          <w:rFonts w:asciiTheme="minorHAnsi" w:hAnsiTheme="minorHAnsi" w:cstheme="minorHAnsi"/>
          <w:i/>
        </w:rPr>
        <w:t xml:space="preserve"> and would have the ability to frustrate the negotiations between the employer and other unions and delay the approval of the agreement.”</w:t>
      </w:r>
    </w:p>
    <w:p w14:paraId="1D84BDAA" w14:textId="77777777" w:rsidR="00581E95" w:rsidRPr="001D1CD5" w:rsidRDefault="00581E95" w:rsidP="00581E95">
      <w:pPr>
        <w:spacing w:after="240" w:line="276" w:lineRule="auto"/>
        <w:jc w:val="both"/>
        <w:rPr>
          <w:rFonts w:asciiTheme="minorHAnsi" w:eastAsiaTheme="minorHAnsi" w:hAnsiTheme="minorHAnsi"/>
          <w:lang w:eastAsia="en-AU"/>
        </w:rPr>
      </w:pPr>
      <w:r w:rsidRPr="001D1CD5">
        <w:rPr>
          <w:rFonts w:asciiTheme="minorHAnsi" w:hAnsiTheme="minorHAnsi"/>
          <w:lang w:eastAsia="en-AU"/>
        </w:rPr>
        <w:t>Draft Recommendation 15.7 would amend the FW Act to enable an employer who had not reached agreement with a union after three months to:</w:t>
      </w:r>
    </w:p>
    <w:p w14:paraId="086CD57D" w14:textId="77777777" w:rsidR="00581E95" w:rsidRPr="001D1CD5" w:rsidRDefault="00581E95" w:rsidP="00FE0A2F">
      <w:pPr>
        <w:pStyle w:val="ListParagraph"/>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eastAsia="Calibri" w:hAnsiTheme="minorHAnsi"/>
        </w:rPr>
      </w:pPr>
      <w:r w:rsidRPr="001D1CD5">
        <w:rPr>
          <w:rFonts w:asciiTheme="minorHAnsi" w:eastAsia="Calibri" w:hAnsiTheme="minorHAnsi"/>
        </w:rPr>
        <w:t>Continue negotiating with the union;</w:t>
      </w:r>
    </w:p>
    <w:p w14:paraId="5246CEC3" w14:textId="77777777" w:rsidR="00581E95" w:rsidRPr="001D1CD5" w:rsidRDefault="00581E95" w:rsidP="00FE0A2F">
      <w:pPr>
        <w:pStyle w:val="ListParagraph"/>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eastAsia="Calibri" w:hAnsiTheme="minorHAnsi"/>
          <w:lang w:eastAsia="en-US"/>
        </w:rPr>
      </w:pPr>
      <w:r w:rsidRPr="001D1CD5">
        <w:rPr>
          <w:rFonts w:asciiTheme="minorHAnsi" w:eastAsia="Calibri" w:hAnsiTheme="minorHAnsi"/>
        </w:rPr>
        <w:t xml:space="preserve">Request that the </w:t>
      </w:r>
      <w:proofErr w:type="spellStart"/>
      <w:r w:rsidRPr="001D1CD5">
        <w:rPr>
          <w:rFonts w:asciiTheme="minorHAnsi" w:eastAsia="Calibri" w:hAnsiTheme="minorHAnsi"/>
        </w:rPr>
        <w:t>FWC</w:t>
      </w:r>
      <w:proofErr w:type="spellEnd"/>
      <w:r w:rsidRPr="001D1CD5">
        <w:rPr>
          <w:rFonts w:asciiTheme="minorHAnsi" w:eastAsia="Calibri" w:hAnsiTheme="minorHAnsi"/>
        </w:rPr>
        <w:t xml:space="preserve"> undertake “last offer” arbitration; or</w:t>
      </w:r>
    </w:p>
    <w:p w14:paraId="0176EB15" w14:textId="77777777" w:rsidR="00581E95" w:rsidRPr="001D1CD5" w:rsidRDefault="00581E95" w:rsidP="00FE0A2F">
      <w:pPr>
        <w:pStyle w:val="ListParagraph"/>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eastAsia="Calibri" w:hAnsiTheme="minorHAnsi"/>
        </w:rPr>
      </w:pPr>
      <w:r w:rsidRPr="001D1CD5">
        <w:rPr>
          <w:rFonts w:asciiTheme="minorHAnsi" w:eastAsia="Calibri" w:hAnsiTheme="minorHAnsi"/>
        </w:rPr>
        <w:t xml:space="preserve">Submit the employer’s proposed </w:t>
      </w:r>
      <w:proofErr w:type="spellStart"/>
      <w:r w:rsidRPr="001D1CD5">
        <w:rPr>
          <w:rFonts w:asciiTheme="minorHAnsi" w:eastAsia="Calibri" w:hAnsiTheme="minorHAnsi"/>
        </w:rPr>
        <w:t>greenfields</w:t>
      </w:r>
      <w:proofErr w:type="spellEnd"/>
      <w:r w:rsidRPr="001D1CD5">
        <w:rPr>
          <w:rFonts w:asciiTheme="minorHAnsi" w:eastAsia="Calibri" w:hAnsiTheme="minorHAnsi"/>
        </w:rPr>
        <w:t xml:space="preserve"> agreement for approval with a 12 month nominal expiry date.</w:t>
      </w:r>
    </w:p>
    <w:p w14:paraId="4A2528BE" w14:textId="77777777" w:rsidR="00581E95" w:rsidRPr="001D1CD5" w:rsidRDefault="00581E95" w:rsidP="00581E95">
      <w:pPr>
        <w:spacing w:after="240" w:line="276" w:lineRule="auto"/>
        <w:jc w:val="both"/>
        <w:rPr>
          <w:rFonts w:asciiTheme="minorHAnsi" w:eastAsia="Calibri" w:hAnsiTheme="minorHAnsi"/>
        </w:rPr>
      </w:pPr>
      <w:r w:rsidRPr="001D1CD5">
        <w:rPr>
          <w:rFonts w:asciiTheme="minorHAnsi" w:eastAsia="Calibri" w:hAnsiTheme="minorHAnsi"/>
        </w:rPr>
        <w:t>Ai Group supports the recommendation with the following modifications:</w:t>
      </w:r>
    </w:p>
    <w:p w14:paraId="0E98EFFF" w14:textId="77777777" w:rsidR="00581E95" w:rsidRPr="001D1CD5" w:rsidRDefault="00581E95" w:rsidP="00FE0A2F">
      <w:pPr>
        <w:pStyle w:val="ListParagraph"/>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eastAsia="Calibri" w:hAnsiTheme="minorHAnsi"/>
        </w:rPr>
      </w:pPr>
      <w:r w:rsidRPr="001D1CD5">
        <w:rPr>
          <w:rFonts w:asciiTheme="minorHAnsi" w:eastAsia="Calibri" w:hAnsiTheme="minorHAnsi"/>
        </w:rPr>
        <w:t>The minimum three month negotiating period with a union should be two months. (Three months is too long to delay the commencement of a project, particularly when further delays would occur in having the agreement approved, regardless of what option was chosen by the employer at the conclusion of the period).</w:t>
      </w:r>
    </w:p>
    <w:p w14:paraId="1C3BC8F4" w14:textId="77777777" w:rsidR="00581E95" w:rsidRPr="001D1CD5" w:rsidRDefault="00581E95" w:rsidP="00FE0A2F">
      <w:pPr>
        <w:pStyle w:val="ListParagraph"/>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eastAsia="Calibri" w:hAnsiTheme="minorHAnsi"/>
        </w:rPr>
      </w:pPr>
      <w:r w:rsidRPr="001D1CD5">
        <w:rPr>
          <w:rFonts w:asciiTheme="minorHAnsi" w:eastAsia="Calibri" w:hAnsiTheme="minorHAnsi"/>
        </w:rPr>
        <w:t>The minimum negotiating period should commence as soon as the employer initiates bargaining, or agrees to bargain, with the union.</w:t>
      </w:r>
    </w:p>
    <w:p w14:paraId="3C98FEC6" w14:textId="77777777" w:rsidR="00581E95" w:rsidRPr="001D1CD5" w:rsidRDefault="00581E95" w:rsidP="00FE0A2F">
      <w:pPr>
        <w:pStyle w:val="ListParagraph"/>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eastAsia="Calibri" w:hAnsiTheme="minorHAnsi"/>
        </w:rPr>
      </w:pPr>
      <w:r w:rsidRPr="001D1CD5">
        <w:rPr>
          <w:rFonts w:asciiTheme="minorHAnsi" w:eastAsia="Calibri" w:hAnsiTheme="minorHAnsi"/>
        </w:rPr>
        <w:lastRenderedPageBreak/>
        <w:t xml:space="preserve">If a head contractor makes a </w:t>
      </w:r>
      <w:proofErr w:type="spellStart"/>
      <w:r w:rsidRPr="001D1CD5">
        <w:rPr>
          <w:rFonts w:asciiTheme="minorHAnsi" w:eastAsia="Calibri" w:hAnsiTheme="minorHAnsi"/>
        </w:rPr>
        <w:t>greenfields</w:t>
      </w:r>
      <w:proofErr w:type="spellEnd"/>
      <w:r w:rsidRPr="001D1CD5">
        <w:rPr>
          <w:rFonts w:asciiTheme="minorHAnsi" w:eastAsia="Calibri" w:hAnsiTheme="minorHAnsi"/>
        </w:rPr>
        <w:t xml:space="preserve"> agreement to create a project-specific framework agreement for the project, the minimum negotiation period should not apply to the subcontractors’ agreements as this would result in lengthy project delays. </w:t>
      </w:r>
    </w:p>
    <w:p w14:paraId="5472CC5E" w14:textId="3E020332" w:rsidR="00581E95" w:rsidRPr="001D1CD5" w:rsidRDefault="00581E95" w:rsidP="00FE0A2F">
      <w:pPr>
        <w:pStyle w:val="ListParagraph"/>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eastAsia="Calibri" w:hAnsiTheme="minorHAnsi"/>
        </w:rPr>
      </w:pPr>
      <w:r w:rsidRPr="001D1CD5">
        <w:rPr>
          <w:rFonts w:asciiTheme="minorHAnsi" w:eastAsia="Calibri" w:hAnsiTheme="minorHAnsi"/>
        </w:rPr>
        <w:t xml:space="preserve">The maximum 12 month nominal expiry date for employer </w:t>
      </w:r>
      <w:proofErr w:type="spellStart"/>
      <w:r w:rsidRPr="001D1CD5">
        <w:rPr>
          <w:rFonts w:asciiTheme="minorHAnsi" w:eastAsia="Calibri" w:hAnsiTheme="minorHAnsi"/>
        </w:rPr>
        <w:t>greenfields</w:t>
      </w:r>
      <w:proofErr w:type="spellEnd"/>
      <w:r w:rsidRPr="001D1CD5">
        <w:rPr>
          <w:rFonts w:asciiTheme="minorHAnsi" w:eastAsia="Calibri" w:hAnsiTheme="minorHAnsi"/>
        </w:rPr>
        <w:t xml:space="preserve"> agreements should </w:t>
      </w:r>
      <w:r w:rsidR="008932DE">
        <w:rPr>
          <w:rFonts w:asciiTheme="minorHAnsi" w:eastAsia="Calibri" w:hAnsiTheme="minorHAnsi"/>
        </w:rPr>
        <w:t xml:space="preserve">be three years. </w:t>
      </w:r>
      <w:r w:rsidRPr="001D1CD5">
        <w:rPr>
          <w:rFonts w:asciiTheme="minorHAnsi" w:eastAsia="Calibri" w:hAnsiTheme="minorHAnsi"/>
        </w:rPr>
        <w:t xml:space="preserve">12 months is too short as this would create too </w:t>
      </w:r>
      <w:r w:rsidR="008932DE">
        <w:rPr>
          <w:rFonts w:asciiTheme="minorHAnsi" w:eastAsia="Calibri" w:hAnsiTheme="minorHAnsi"/>
        </w:rPr>
        <w:t>much uncertainty on the project</w:t>
      </w:r>
      <w:r w:rsidRPr="001D1CD5">
        <w:rPr>
          <w:rFonts w:asciiTheme="minorHAnsi" w:eastAsia="Calibri" w:hAnsiTheme="minorHAnsi"/>
        </w:rPr>
        <w:t>.</w:t>
      </w:r>
    </w:p>
    <w:p w14:paraId="31150DEB" w14:textId="69BE3A53" w:rsidR="00FE0A2F" w:rsidRPr="001D1CD5" w:rsidRDefault="00FE0A2F" w:rsidP="00FE0A2F">
      <w:pPr>
        <w:pStyle w:val="Heading1"/>
        <w:spacing w:before="0" w:after="240" w:line="276" w:lineRule="auto"/>
        <w:rPr>
          <w:rFonts w:asciiTheme="minorHAnsi" w:eastAsia="Calibri" w:hAnsiTheme="minorHAnsi" w:cs="Calibri"/>
          <w:color w:val="451E51"/>
          <w:lang w:eastAsia="en-AU"/>
        </w:rPr>
      </w:pPr>
      <w:r w:rsidRPr="001D1CD5">
        <w:rPr>
          <w:rFonts w:asciiTheme="minorHAnsi" w:eastAsia="Calibri" w:hAnsiTheme="minorHAnsi" w:cs="Calibri"/>
          <w:color w:val="451E51"/>
          <w:lang w:eastAsia="en-AU"/>
        </w:rPr>
        <w:t>15.10</w:t>
      </w:r>
      <w:r w:rsidRPr="001D1CD5">
        <w:rPr>
          <w:rFonts w:asciiTheme="minorHAnsi" w:eastAsia="Calibri" w:hAnsiTheme="minorHAnsi" w:cs="Calibri"/>
          <w:color w:val="451E51"/>
          <w:lang w:eastAsia="en-AU"/>
        </w:rPr>
        <w:tab/>
        <w:t>Termination of enterprise agreements</w:t>
      </w:r>
    </w:p>
    <w:p w14:paraId="77706B5D" w14:textId="6D3A1774" w:rsidR="00FE0A2F" w:rsidRPr="001D1CD5" w:rsidRDefault="00FE0A2F" w:rsidP="00FE0A2F">
      <w:pPr>
        <w:widowControl w:val="0"/>
        <w:spacing w:after="240" w:line="276" w:lineRule="auto"/>
        <w:jc w:val="both"/>
        <w:rPr>
          <w:rFonts w:asciiTheme="minorHAnsi" w:hAnsiTheme="minorHAnsi" w:cstheme="minorHAnsi"/>
          <w:lang w:val="en-AU"/>
        </w:rPr>
      </w:pPr>
      <w:r w:rsidRPr="001D1CD5">
        <w:rPr>
          <w:rFonts w:asciiTheme="minorHAnsi" w:hAnsiTheme="minorHAnsi" w:cstheme="minorHAnsi"/>
          <w:lang w:val="en-AU"/>
        </w:rPr>
        <w:t xml:space="preserve">Many companies are locked in to unproductive and costly enterprise agreement provisions negotiated in more profitable times, but which now leave them uncompetitive and unable to implement the most efficient and productive work practices.  </w:t>
      </w:r>
    </w:p>
    <w:p w14:paraId="7279B517" w14:textId="77777777" w:rsidR="00FE0A2F" w:rsidRPr="001D1CD5" w:rsidRDefault="00FE0A2F" w:rsidP="00FE0A2F">
      <w:pPr>
        <w:widowControl w:val="0"/>
        <w:spacing w:after="240" w:line="276" w:lineRule="auto"/>
        <w:jc w:val="both"/>
        <w:rPr>
          <w:rFonts w:asciiTheme="minorHAnsi" w:hAnsiTheme="minorHAnsi" w:cstheme="minorHAnsi"/>
          <w:lang w:val="en-AU"/>
        </w:rPr>
      </w:pPr>
      <w:r w:rsidRPr="001D1CD5">
        <w:rPr>
          <w:rFonts w:asciiTheme="minorHAnsi" w:hAnsiTheme="minorHAnsi" w:cstheme="minorHAnsi"/>
          <w:lang w:val="en-AU"/>
        </w:rPr>
        <w:t xml:space="preserve">Enterprise agreements continue indefinitely until replaced or terminated, but very few companies have succeeded with applications to the </w:t>
      </w:r>
      <w:proofErr w:type="spellStart"/>
      <w:r w:rsidRPr="001D1CD5">
        <w:rPr>
          <w:rFonts w:asciiTheme="minorHAnsi" w:hAnsiTheme="minorHAnsi" w:cstheme="minorHAnsi"/>
          <w:lang w:val="en-AU"/>
        </w:rPr>
        <w:t>FWC</w:t>
      </w:r>
      <w:proofErr w:type="spellEnd"/>
      <w:r w:rsidRPr="001D1CD5">
        <w:rPr>
          <w:rFonts w:asciiTheme="minorHAnsi" w:hAnsiTheme="minorHAnsi" w:cstheme="minorHAnsi"/>
          <w:lang w:val="en-AU"/>
        </w:rPr>
        <w:t xml:space="preserve"> or its predecessors to terminate expired agreements without the support of the employees and any relevant unions.</w:t>
      </w:r>
    </w:p>
    <w:p w14:paraId="294BBA48" w14:textId="6AF0DFCE" w:rsidR="00FE0A2F" w:rsidRPr="001D1CD5" w:rsidRDefault="00FE0A2F" w:rsidP="00FE0A2F">
      <w:pPr>
        <w:pStyle w:val="Body1"/>
        <w:spacing w:after="240" w:line="276" w:lineRule="auto"/>
        <w:jc w:val="both"/>
        <w:rPr>
          <w:rFonts w:asciiTheme="minorHAnsi" w:hAnsiTheme="minorHAnsi"/>
        </w:rPr>
      </w:pPr>
      <w:r w:rsidRPr="001D1CD5">
        <w:rPr>
          <w:rFonts w:asciiTheme="minorHAnsi" w:hAnsiTheme="minorHAnsi"/>
        </w:rPr>
        <w:t xml:space="preserve">The high bar that the FW Act places on applications to terminate an enterprise agreement </w:t>
      </w:r>
      <w:r w:rsidRPr="008932DE">
        <w:rPr>
          <w:rFonts w:asciiTheme="minorHAnsi" w:hAnsiTheme="minorHAnsi"/>
        </w:rPr>
        <w:t xml:space="preserve">after its nominal expiry date </w:t>
      </w:r>
      <w:r w:rsidRPr="001D1CD5">
        <w:rPr>
          <w:rFonts w:asciiTheme="minorHAnsi" w:hAnsiTheme="minorHAnsi"/>
        </w:rPr>
        <w:t xml:space="preserve">needs to be addressed. If agreement is not reached on a replacement agreement after an agreement expires, the employer needs to be able to apply to the </w:t>
      </w:r>
      <w:proofErr w:type="spellStart"/>
      <w:r w:rsidRPr="001D1CD5">
        <w:rPr>
          <w:rFonts w:asciiTheme="minorHAnsi" w:hAnsiTheme="minorHAnsi"/>
        </w:rPr>
        <w:t>FWC</w:t>
      </w:r>
      <w:proofErr w:type="spellEnd"/>
      <w:r w:rsidRPr="001D1CD5">
        <w:rPr>
          <w:rFonts w:asciiTheme="minorHAnsi" w:hAnsiTheme="minorHAnsi"/>
        </w:rPr>
        <w:t xml:space="preserve"> to have the expired agreement terminated, and to have genuine prospects of the application being accepted.</w:t>
      </w:r>
    </w:p>
    <w:p w14:paraId="59363086" w14:textId="77777777" w:rsidR="00FE0A2F" w:rsidRPr="001D1CD5" w:rsidRDefault="00FE0A2F" w:rsidP="00FE0A2F">
      <w:pPr>
        <w:pStyle w:val="Body1"/>
        <w:spacing w:after="240" w:line="276" w:lineRule="auto"/>
        <w:jc w:val="both"/>
        <w:rPr>
          <w:rFonts w:asciiTheme="minorHAnsi" w:hAnsiTheme="minorHAnsi"/>
        </w:rPr>
      </w:pPr>
      <w:r w:rsidRPr="001D1CD5">
        <w:rPr>
          <w:rFonts w:asciiTheme="minorHAnsi" w:hAnsiTheme="minorHAnsi"/>
        </w:rPr>
        <w:t xml:space="preserve">Sections 225 and 226 of the FW Act give the </w:t>
      </w:r>
      <w:proofErr w:type="spellStart"/>
      <w:r w:rsidRPr="001D1CD5">
        <w:rPr>
          <w:rFonts w:asciiTheme="minorHAnsi" w:hAnsiTheme="minorHAnsi"/>
        </w:rPr>
        <w:t>FWC</w:t>
      </w:r>
      <w:proofErr w:type="spellEnd"/>
      <w:r w:rsidRPr="001D1CD5">
        <w:rPr>
          <w:rFonts w:asciiTheme="minorHAnsi" w:hAnsiTheme="minorHAnsi"/>
        </w:rPr>
        <w:t xml:space="preserve"> very broad discretion when deciding whether to terminate an agreement after the nominal expiry date.</w:t>
      </w:r>
    </w:p>
    <w:p w14:paraId="0EF072C1" w14:textId="77777777" w:rsidR="00FE0A2F" w:rsidRPr="001D1CD5" w:rsidRDefault="00FE0A2F" w:rsidP="00FE0A2F">
      <w:pPr>
        <w:pStyle w:val="Body1"/>
        <w:spacing w:after="240" w:line="276" w:lineRule="auto"/>
        <w:jc w:val="both"/>
        <w:rPr>
          <w:rFonts w:asciiTheme="minorHAnsi" w:hAnsiTheme="minorHAnsi"/>
        </w:rPr>
      </w:pPr>
      <w:r w:rsidRPr="001D1CD5">
        <w:rPr>
          <w:rFonts w:asciiTheme="minorHAnsi" w:hAnsiTheme="minorHAnsi"/>
        </w:rPr>
        <w:t>Section 226 of the FW Act should be amended to add some additional criteria which the Commission should be required to consider when determining an application to terminate an agreement after the nominal expiry date, including whether the agreement is having:</w:t>
      </w:r>
    </w:p>
    <w:p w14:paraId="396F0312" w14:textId="77777777" w:rsidR="00FE0A2F" w:rsidRPr="001D1CD5" w:rsidRDefault="00FE0A2F" w:rsidP="00741992">
      <w:pPr>
        <w:pStyle w:val="ListParagraph"/>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cs="Arial"/>
        </w:rPr>
      </w:pPr>
      <w:r w:rsidRPr="001D1CD5">
        <w:rPr>
          <w:rFonts w:asciiTheme="minorHAnsi" w:hAnsiTheme="minorHAnsi" w:cs="Arial"/>
        </w:rPr>
        <w:t>A substantial negative impact on the productivity or competitiveness of the employer covered by the agreement; or</w:t>
      </w:r>
    </w:p>
    <w:p w14:paraId="3A0BC7EF" w14:textId="40C301E1" w:rsidR="00FE0A2F" w:rsidRPr="008932DE" w:rsidRDefault="00FE0A2F" w:rsidP="00741992">
      <w:pPr>
        <w:pStyle w:val="ListParagraph"/>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contextualSpacing/>
        <w:jc w:val="both"/>
        <w:rPr>
          <w:rFonts w:asciiTheme="minorHAnsi" w:hAnsiTheme="minorHAnsi" w:cs="Arial"/>
        </w:rPr>
      </w:pPr>
      <w:r w:rsidRPr="001D1CD5">
        <w:rPr>
          <w:rFonts w:asciiTheme="minorHAnsi" w:hAnsiTheme="minorHAnsi" w:cs="Arial"/>
        </w:rPr>
        <w:t>An adverse effect on the survival or revival of the employer covered by the agreement.</w:t>
      </w:r>
    </w:p>
    <w:p w14:paraId="09B359BE" w14:textId="77777777" w:rsidR="009D6F47" w:rsidRPr="001D1CD5" w:rsidRDefault="009D6F47" w:rsidP="00741992">
      <w:pPr>
        <w:pStyle w:val="Heading1"/>
        <w:keepNext w:val="0"/>
        <w:keepLines w:val="0"/>
        <w:spacing w:before="240" w:after="240" w:line="276" w:lineRule="auto"/>
        <w:ind w:left="709" w:hanging="709"/>
        <w:rPr>
          <w:rFonts w:asciiTheme="minorHAnsi" w:eastAsia="Calibri" w:hAnsiTheme="minorHAnsi" w:cs="Calibri"/>
          <w:color w:val="451E51"/>
          <w:sz w:val="36"/>
          <w:szCs w:val="36"/>
          <w:lang w:eastAsia="en-AU"/>
        </w:rPr>
      </w:pPr>
      <w:r w:rsidRPr="001D1CD5">
        <w:rPr>
          <w:rFonts w:asciiTheme="minorHAnsi" w:eastAsia="Calibri" w:hAnsiTheme="minorHAnsi" w:cs="Calibri"/>
          <w:color w:val="451E51"/>
          <w:sz w:val="36"/>
          <w:szCs w:val="36"/>
          <w:lang w:eastAsia="en-AU"/>
        </w:rPr>
        <w:t xml:space="preserve">16. </w:t>
      </w:r>
      <w:r w:rsidRPr="001D1CD5">
        <w:rPr>
          <w:rFonts w:asciiTheme="minorHAnsi" w:eastAsia="Calibri" w:hAnsiTheme="minorHAnsi" w:cs="Calibri"/>
          <w:color w:val="451E51"/>
          <w:sz w:val="36"/>
          <w:szCs w:val="36"/>
          <w:lang w:eastAsia="en-AU"/>
        </w:rPr>
        <w:tab/>
        <w:t xml:space="preserve">Individual arrangements </w:t>
      </w:r>
    </w:p>
    <w:p w14:paraId="4086803A" w14:textId="508608A3" w:rsidR="009D6F47" w:rsidRPr="001D1CD5" w:rsidRDefault="009D6F47" w:rsidP="00741992">
      <w:pPr>
        <w:pStyle w:val="Heading1"/>
        <w:keepNext w:val="0"/>
        <w:keepLines w:val="0"/>
        <w:spacing w:before="0" w:after="240" w:line="276" w:lineRule="auto"/>
        <w:ind w:left="709" w:hanging="709"/>
        <w:rPr>
          <w:rFonts w:asciiTheme="minorHAnsi" w:eastAsia="Calibri" w:hAnsiTheme="minorHAnsi" w:cs="Calibri"/>
          <w:color w:val="451E51"/>
          <w:lang w:eastAsia="en-AU"/>
        </w:rPr>
      </w:pPr>
      <w:r w:rsidRPr="001D1CD5">
        <w:rPr>
          <w:rFonts w:asciiTheme="minorHAnsi" w:eastAsia="Calibri" w:hAnsiTheme="minorHAnsi" w:cs="Calibri"/>
          <w:color w:val="451E51"/>
          <w:lang w:eastAsia="en-AU"/>
        </w:rPr>
        <w:t xml:space="preserve">16.1 </w:t>
      </w:r>
      <w:r w:rsidRPr="001D1CD5">
        <w:rPr>
          <w:rFonts w:asciiTheme="minorHAnsi" w:eastAsia="Calibri" w:hAnsiTheme="minorHAnsi" w:cs="Calibri"/>
          <w:color w:val="451E51"/>
          <w:lang w:eastAsia="en-AU"/>
        </w:rPr>
        <w:tab/>
        <w:t>Statutory individual agreements</w:t>
      </w:r>
    </w:p>
    <w:p w14:paraId="02F1FF60" w14:textId="77777777" w:rsidR="009D6F47" w:rsidRPr="001D1CD5" w:rsidRDefault="009D6F47" w:rsidP="00741992">
      <w:pPr>
        <w:pStyle w:val="Heading1"/>
        <w:keepNext w:val="0"/>
        <w:keepLines w:val="0"/>
        <w:spacing w:before="0" w:after="240" w:line="276" w:lineRule="auto"/>
        <w:jc w:val="both"/>
        <w:rPr>
          <w:rFonts w:asciiTheme="minorHAnsi" w:hAnsiTheme="minorHAnsi" w:cstheme="minorHAnsi"/>
          <w:b w:val="0"/>
          <w:color w:val="auto"/>
          <w:sz w:val="24"/>
          <w:szCs w:val="24"/>
        </w:rPr>
      </w:pPr>
      <w:r w:rsidRPr="001D1CD5">
        <w:rPr>
          <w:rFonts w:asciiTheme="minorHAnsi" w:eastAsia="Calibri" w:hAnsiTheme="minorHAnsi" w:cs="Calibri"/>
          <w:b w:val="0"/>
          <w:color w:val="auto"/>
          <w:sz w:val="24"/>
          <w:szCs w:val="24"/>
          <w:lang w:eastAsia="en-AU"/>
        </w:rPr>
        <w:t xml:space="preserve">Ai Group urges the Productivity Commission to recommend changes to the FW Act to create the option of a genuine statutory individual agreement for employers and employees, as existed between 1996 and 2009. </w:t>
      </w:r>
      <w:r w:rsidRPr="001D1CD5">
        <w:rPr>
          <w:rFonts w:asciiTheme="minorHAnsi" w:hAnsiTheme="minorHAnsi" w:cstheme="minorHAnsi"/>
          <w:b w:val="0"/>
          <w:color w:val="auto"/>
          <w:sz w:val="24"/>
          <w:szCs w:val="24"/>
        </w:rPr>
        <w:t>Such agreements should be required to pass a No Disadvantage Test against the relevant modern award.</w:t>
      </w:r>
    </w:p>
    <w:p w14:paraId="18DEB23C" w14:textId="717B5751" w:rsidR="009D6F47" w:rsidRPr="001D1CD5" w:rsidRDefault="009D6F47" w:rsidP="00741992">
      <w:pPr>
        <w:spacing w:after="240" w:line="276" w:lineRule="auto"/>
        <w:jc w:val="both"/>
        <w:rPr>
          <w:rFonts w:asciiTheme="minorHAnsi" w:hAnsiTheme="minorHAnsi" w:cs="Arial"/>
        </w:rPr>
      </w:pPr>
      <w:r w:rsidRPr="001D1CD5">
        <w:rPr>
          <w:rFonts w:asciiTheme="minorHAnsi" w:hAnsiTheme="minorHAnsi" w:cs="Arial"/>
        </w:rPr>
        <w:lastRenderedPageBreak/>
        <w:t>Statutory individual agreements have significant advantages for both employers and employees over Indiv</w:t>
      </w:r>
      <w:r w:rsidR="008932DE">
        <w:rPr>
          <w:rFonts w:asciiTheme="minorHAnsi" w:hAnsiTheme="minorHAnsi" w:cs="Arial"/>
        </w:rPr>
        <w:t xml:space="preserve">idual Flexibility Arrangements </w:t>
      </w:r>
      <w:r w:rsidRPr="001D1CD5">
        <w:rPr>
          <w:rFonts w:asciiTheme="minorHAnsi" w:hAnsiTheme="minorHAnsi" w:cs="Arial"/>
        </w:rPr>
        <w:t>(</w:t>
      </w:r>
      <w:proofErr w:type="spellStart"/>
      <w:r w:rsidRPr="008932DE">
        <w:rPr>
          <w:rFonts w:asciiTheme="minorHAnsi" w:hAnsiTheme="minorHAnsi" w:cs="Arial"/>
          <w:b/>
        </w:rPr>
        <w:t>IFAs</w:t>
      </w:r>
      <w:proofErr w:type="spellEnd"/>
      <w:r w:rsidRPr="001D1CD5">
        <w:rPr>
          <w:rFonts w:asciiTheme="minorHAnsi" w:hAnsiTheme="minorHAnsi" w:cs="Arial"/>
        </w:rPr>
        <w:t>) as highlighted in the following table:</w:t>
      </w:r>
    </w:p>
    <w:tbl>
      <w:tblPr>
        <w:tblStyle w:val="TableGrid"/>
        <w:tblW w:w="0" w:type="auto"/>
        <w:tblLook w:val="04A0" w:firstRow="1" w:lastRow="0" w:firstColumn="1" w:lastColumn="0" w:noHBand="0" w:noVBand="1"/>
      </w:tblPr>
      <w:tblGrid>
        <w:gridCol w:w="4219"/>
        <w:gridCol w:w="2835"/>
        <w:gridCol w:w="2794"/>
      </w:tblGrid>
      <w:tr w:rsidR="009D6F47" w:rsidRPr="001D1CD5" w14:paraId="1BBDE78E" w14:textId="77777777" w:rsidTr="009D6F47">
        <w:tc>
          <w:tcPr>
            <w:tcW w:w="4219"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2686FA8" w14:textId="77777777" w:rsidR="009D6F47" w:rsidRPr="001D1CD5" w:rsidRDefault="009D6F47">
            <w:pPr>
              <w:spacing w:before="60" w:after="60" w:line="276" w:lineRule="auto"/>
              <w:rPr>
                <w:rFonts w:asciiTheme="minorHAnsi" w:hAnsiTheme="minorHAnsi" w:cs="Arial"/>
                <w:bdr w:val="none" w:sz="0" w:space="0" w:color="auto" w:frame="1"/>
              </w:rPr>
            </w:pPr>
          </w:p>
        </w:tc>
        <w:tc>
          <w:tcPr>
            <w:tcW w:w="2835"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B9051ED" w14:textId="77777777" w:rsidR="009D6F47" w:rsidRPr="001D1CD5" w:rsidRDefault="009D6F47">
            <w:pPr>
              <w:spacing w:before="60" w:after="60" w:line="276" w:lineRule="auto"/>
              <w:rPr>
                <w:rFonts w:asciiTheme="minorHAnsi" w:hAnsiTheme="minorHAnsi" w:cs="Arial"/>
                <w:b/>
                <w:bdr w:val="none" w:sz="0" w:space="0" w:color="auto" w:frame="1"/>
              </w:rPr>
            </w:pPr>
            <w:r w:rsidRPr="001D1CD5">
              <w:rPr>
                <w:rFonts w:asciiTheme="minorHAnsi" w:hAnsiTheme="minorHAnsi" w:cs="Arial"/>
                <w:b/>
                <w:bdr w:val="none" w:sz="0" w:space="0" w:color="auto" w:frame="1"/>
                <w:lang w:eastAsia="en-AU"/>
              </w:rPr>
              <w:t xml:space="preserve">Statutory individual agreements </w:t>
            </w:r>
          </w:p>
        </w:tc>
        <w:tc>
          <w:tcPr>
            <w:tcW w:w="27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AA3DF65" w14:textId="77777777" w:rsidR="009D6F47" w:rsidRPr="001D1CD5" w:rsidRDefault="009D6F47">
            <w:pPr>
              <w:spacing w:before="60" w:after="60" w:line="276" w:lineRule="auto"/>
              <w:rPr>
                <w:rFonts w:asciiTheme="minorHAnsi" w:hAnsiTheme="minorHAnsi" w:cs="Arial"/>
                <w:b/>
                <w:bdr w:val="none" w:sz="0" w:space="0" w:color="auto" w:frame="1"/>
              </w:rPr>
            </w:pPr>
            <w:proofErr w:type="spellStart"/>
            <w:r w:rsidRPr="001D1CD5">
              <w:rPr>
                <w:rFonts w:asciiTheme="minorHAnsi" w:hAnsiTheme="minorHAnsi" w:cs="Arial"/>
                <w:b/>
                <w:bdr w:val="none" w:sz="0" w:space="0" w:color="auto" w:frame="1"/>
                <w:lang w:eastAsia="en-AU"/>
              </w:rPr>
              <w:t>IFAs</w:t>
            </w:r>
            <w:proofErr w:type="spellEnd"/>
          </w:p>
        </w:tc>
      </w:tr>
      <w:tr w:rsidR="009D6F47" w:rsidRPr="001D1CD5" w14:paraId="64346EA6" w14:textId="77777777" w:rsidTr="009D6F47">
        <w:tc>
          <w:tcPr>
            <w:tcW w:w="4219" w:type="dxa"/>
            <w:tcBorders>
              <w:top w:val="single" w:sz="4" w:space="0" w:color="auto"/>
              <w:left w:val="single" w:sz="4" w:space="0" w:color="auto"/>
              <w:bottom w:val="single" w:sz="4" w:space="0" w:color="auto"/>
              <w:right w:val="single" w:sz="4" w:space="0" w:color="auto"/>
            </w:tcBorders>
            <w:hideMark/>
          </w:tcPr>
          <w:p w14:paraId="5F68FF76" w14:textId="77777777" w:rsidR="009D6F47" w:rsidRPr="001D1CD5" w:rsidRDefault="009D6F47">
            <w:pPr>
              <w:spacing w:before="60" w:after="60" w:line="276" w:lineRule="auto"/>
              <w:rPr>
                <w:rFonts w:asciiTheme="minorHAnsi" w:hAnsiTheme="minorHAnsi" w:cs="Arial"/>
                <w:bdr w:val="none" w:sz="0" w:space="0" w:color="auto" w:frame="1"/>
              </w:rPr>
            </w:pPr>
            <w:r w:rsidRPr="001D1CD5">
              <w:rPr>
                <w:rFonts w:asciiTheme="minorHAnsi" w:hAnsiTheme="minorHAnsi" w:cs="Arial"/>
                <w:bdr w:val="none" w:sz="0" w:space="0" w:color="auto" w:frame="1"/>
                <w:lang w:eastAsia="en-AU"/>
              </w:rPr>
              <w:t>Vetted and approved by a statutory agency or Commission</w:t>
            </w:r>
          </w:p>
        </w:tc>
        <w:tc>
          <w:tcPr>
            <w:tcW w:w="2835" w:type="dxa"/>
            <w:tcBorders>
              <w:top w:val="single" w:sz="4" w:space="0" w:color="auto"/>
              <w:left w:val="single" w:sz="4" w:space="0" w:color="auto"/>
              <w:bottom w:val="single" w:sz="4" w:space="0" w:color="auto"/>
              <w:right w:val="single" w:sz="4" w:space="0" w:color="auto"/>
            </w:tcBorders>
            <w:hideMark/>
          </w:tcPr>
          <w:p w14:paraId="5A1D39A4" w14:textId="77777777" w:rsidR="009D6F47" w:rsidRPr="001D1CD5" w:rsidRDefault="009D6F47">
            <w:pPr>
              <w:spacing w:before="60" w:after="60" w:line="276" w:lineRule="auto"/>
              <w:rPr>
                <w:rFonts w:asciiTheme="minorHAnsi" w:hAnsiTheme="minorHAnsi" w:cs="Arial"/>
                <w:bdr w:val="none" w:sz="0" w:space="0" w:color="auto" w:frame="1"/>
              </w:rPr>
            </w:pPr>
            <w:r w:rsidRPr="001D1CD5">
              <w:rPr>
                <w:rFonts w:asciiTheme="minorHAnsi" w:hAnsiTheme="minorHAnsi" w:cs="Arial"/>
                <w:bdr w:val="none" w:sz="0" w:space="0" w:color="auto" w:frame="1"/>
                <w:lang w:eastAsia="en-AU"/>
              </w:rPr>
              <w:t>Yes</w:t>
            </w:r>
          </w:p>
        </w:tc>
        <w:tc>
          <w:tcPr>
            <w:tcW w:w="2794" w:type="dxa"/>
            <w:tcBorders>
              <w:top w:val="single" w:sz="4" w:space="0" w:color="auto"/>
              <w:left w:val="single" w:sz="4" w:space="0" w:color="auto"/>
              <w:bottom w:val="single" w:sz="4" w:space="0" w:color="auto"/>
              <w:right w:val="single" w:sz="4" w:space="0" w:color="auto"/>
            </w:tcBorders>
            <w:hideMark/>
          </w:tcPr>
          <w:p w14:paraId="2E39385F" w14:textId="77777777" w:rsidR="009D6F47" w:rsidRPr="001D1CD5" w:rsidRDefault="009D6F47">
            <w:pPr>
              <w:spacing w:before="60" w:after="60" w:line="276" w:lineRule="auto"/>
              <w:rPr>
                <w:rFonts w:asciiTheme="minorHAnsi" w:hAnsiTheme="minorHAnsi" w:cs="Arial"/>
                <w:bdr w:val="none" w:sz="0" w:space="0" w:color="auto" w:frame="1"/>
              </w:rPr>
            </w:pPr>
            <w:r w:rsidRPr="001D1CD5">
              <w:rPr>
                <w:rFonts w:asciiTheme="minorHAnsi" w:hAnsiTheme="minorHAnsi" w:cs="Arial"/>
                <w:bdr w:val="none" w:sz="0" w:space="0" w:color="auto" w:frame="1"/>
                <w:lang w:eastAsia="en-AU"/>
              </w:rPr>
              <w:t>No</w:t>
            </w:r>
          </w:p>
        </w:tc>
      </w:tr>
      <w:tr w:rsidR="009D6F47" w:rsidRPr="001D1CD5" w14:paraId="0A4BF9A7" w14:textId="77777777" w:rsidTr="009D6F47">
        <w:tc>
          <w:tcPr>
            <w:tcW w:w="4219" w:type="dxa"/>
            <w:tcBorders>
              <w:top w:val="single" w:sz="4" w:space="0" w:color="auto"/>
              <w:left w:val="single" w:sz="4" w:space="0" w:color="auto"/>
              <w:bottom w:val="single" w:sz="4" w:space="0" w:color="auto"/>
              <w:right w:val="single" w:sz="4" w:space="0" w:color="auto"/>
            </w:tcBorders>
            <w:hideMark/>
          </w:tcPr>
          <w:p w14:paraId="4A85C3D9" w14:textId="434011F2" w:rsidR="009D6F47" w:rsidRPr="001D1CD5" w:rsidRDefault="009D6F47" w:rsidP="00741992">
            <w:pPr>
              <w:spacing w:before="60" w:after="60" w:line="276" w:lineRule="auto"/>
              <w:rPr>
                <w:rFonts w:asciiTheme="minorHAnsi" w:hAnsiTheme="minorHAnsi" w:cs="Arial"/>
                <w:bdr w:val="none" w:sz="0" w:space="0" w:color="auto" w:frame="1"/>
              </w:rPr>
            </w:pPr>
            <w:r w:rsidRPr="001D1CD5">
              <w:rPr>
                <w:rFonts w:asciiTheme="minorHAnsi" w:hAnsiTheme="minorHAnsi" w:cs="Arial"/>
                <w:bdr w:val="none" w:sz="0" w:space="0" w:color="auto" w:frame="1"/>
                <w:lang w:eastAsia="en-AU"/>
              </w:rPr>
              <w:t xml:space="preserve">Required to pass the </w:t>
            </w:r>
            <w:r w:rsidR="00741992">
              <w:rPr>
                <w:rFonts w:asciiTheme="minorHAnsi" w:hAnsiTheme="minorHAnsi" w:cs="Arial"/>
                <w:bdr w:val="none" w:sz="0" w:space="0" w:color="auto" w:frame="1"/>
                <w:lang w:eastAsia="en-AU"/>
              </w:rPr>
              <w:t>BOOT</w:t>
            </w:r>
            <w:r w:rsidR="00741992" w:rsidRPr="001D1CD5">
              <w:rPr>
                <w:rFonts w:asciiTheme="minorHAnsi" w:hAnsiTheme="minorHAnsi" w:cs="Arial"/>
                <w:bdr w:val="none" w:sz="0" w:space="0" w:color="auto" w:frame="1"/>
                <w:lang w:eastAsia="en-AU"/>
              </w:rPr>
              <w:t xml:space="preserve"> </w:t>
            </w:r>
            <w:r w:rsidR="00741992">
              <w:rPr>
                <w:rFonts w:asciiTheme="minorHAnsi" w:hAnsiTheme="minorHAnsi" w:cs="Arial"/>
                <w:bdr w:val="none" w:sz="0" w:space="0" w:color="auto" w:frame="1"/>
                <w:lang w:eastAsia="en-AU"/>
              </w:rPr>
              <w:t xml:space="preserve">/ </w:t>
            </w:r>
            <w:proofErr w:type="spellStart"/>
            <w:r w:rsidR="00741992" w:rsidRPr="001D1CD5">
              <w:rPr>
                <w:rFonts w:asciiTheme="minorHAnsi" w:hAnsiTheme="minorHAnsi" w:cs="Arial"/>
                <w:bdr w:val="none" w:sz="0" w:space="0" w:color="auto" w:frame="1"/>
                <w:lang w:eastAsia="en-AU"/>
              </w:rPr>
              <w:t>NDT</w:t>
            </w:r>
            <w:proofErr w:type="spellEnd"/>
            <w:r w:rsidR="00741992">
              <w:rPr>
                <w:rFonts w:asciiTheme="minorHAnsi" w:hAnsiTheme="minorHAnsi" w:cs="Arial"/>
                <w:bdr w:val="none" w:sz="0" w:space="0" w:color="auto" w:frame="1"/>
                <w:lang w:eastAsia="en-AU"/>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08B74B1B" w14:textId="77777777" w:rsidR="009D6F47" w:rsidRPr="001D1CD5" w:rsidRDefault="009D6F47">
            <w:pPr>
              <w:spacing w:before="60" w:after="60" w:line="276" w:lineRule="auto"/>
              <w:rPr>
                <w:rFonts w:asciiTheme="minorHAnsi" w:hAnsiTheme="minorHAnsi" w:cs="Arial"/>
                <w:bdr w:val="none" w:sz="0" w:space="0" w:color="auto" w:frame="1"/>
              </w:rPr>
            </w:pPr>
            <w:r w:rsidRPr="001D1CD5">
              <w:rPr>
                <w:rFonts w:asciiTheme="minorHAnsi" w:hAnsiTheme="minorHAnsi" w:cs="Arial"/>
                <w:bdr w:val="none" w:sz="0" w:space="0" w:color="auto" w:frame="1"/>
                <w:lang w:eastAsia="en-AU"/>
              </w:rPr>
              <w:t>Yes</w:t>
            </w:r>
          </w:p>
        </w:tc>
        <w:tc>
          <w:tcPr>
            <w:tcW w:w="2794" w:type="dxa"/>
            <w:tcBorders>
              <w:top w:val="single" w:sz="4" w:space="0" w:color="auto"/>
              <w:left w:val="single" w:sz="4" w:space="0" w:color="auto"/>
              <w:bottom w:val="single" w:sz="4" w:space="0" w:color="auto"/>
              <w:right w:val="single" w:sz="4" w:space="0" w:color="auto"/>
            </w:tcBorders>
            <w:hideMark/>
          </w:tcPr>
          <w:p w14:paraId="7AC8F42A" w14:textId="77777777" w:rsidR="009D6F47" w:rsidRPr="001D1CD5" w:rsidRDefault="009D6F47">
            <w:pPr>
              <w:spacing w:before="60" w:after="60" w:line="276" w:lineRule="auto"/>
              <w:rPr>
                <w:rFonts w:asciiTheme="minorHAnsi" w:hAnsiTheme="minorHAnsi" w:cs="Arial"/>
                <w:bdr w:val="none" w:sz="0" w:space="0" w:color="auto" w:frame="1"/>
              </w:rPr>
            </w:pPr>
            <w:r w:rsidRPr="001D1CD5">
              <w:rPr>
                <w:rFonts w:asciiTheme="minorHAnsi" w:hAnsiTheme="minorHAnsi" w:cs="Arial"/>
                <w:bdr w:val="none" w:sz="0" w:space="0" w:color="auto" w:frame="1"/>
                <w:lang w:eastAsia="en-AU"/>
              </w:rPr>
              <w:t>Yes</w:t>
            </w:r>
          </w:p>
        </w:tc>
      </w:tr>
      <w:tr w:rsidR="009D6F47" w:rsidRPr="001D1CD5" w14:paraId="582A026B" w14:textId="77777777" w:rsidTr="009D6F47">
        <w:trPr>
          <w:trHeight w:val="699"/>
        </w:trPr>
        <w:tc>
          <w:tcPr>
            <w:tcW w:w="4219" w:type="dxa"/>
            <w:tcBorders>
              <w:top w:val="single" w:sz="4" w:space="0" w:color="auto"/>
              <w:left w:val="single" w:sz="4" w:space="0" w:color="auto"/>
              <w:bottom w:val="single" w:sz="4" w:space="0" w:color="auto"/>
              <w:right w:val="single" w:sz="4" w:space="0" w:color="auto"/>
            </w:tcBorders>
            <w:hideMark/>
          </w:tcPr>
          <w:p w14:paraId="1FB54207" w14:textId="77777777" w:rsidR="009D6F47" w:rsidRPr="001D1CD5" w:rsidRDefault="009D6F47">
            <w:pPr>
              <w:spacing w:before="60" w:after="60" w:line="276" w:lineRule="auto"/>
              <w:rPr>
                <w:rFonts w:asciiTheme="minorHAnsi" w:hAnsiTheme="minorHAnsi" w:cs="Arial"/>
                <w:bdr w:val="none" w:sz="0" w:space="0" w:color="auto" w:frame="1"/>
              </w:rPr>
            </w:pPr>
            <w:r w:rsidRPr="001D1CD5">
              <w:rPr>
                <w:rFonts w:asciiTheme="minorHAnsi" w:hAnsiTheme="minorHAnsi" w:cs="Arial"/>
                <w:bdr w:val="none" w:sz="0" w:space="0" w:color="auto" w:frame="1"/>
                <w:lang w:eastAsia="en-AU"/>
              </w:rPr>
              <w:t>Provides certainty and protection for both parties up to the expiry of the nominal term</w:t>
            </w:r>
          </w:p>
        </w:tc>
        <w:tc>
          <w:tcPr>
            <w:tcW w:w="2835" w:type="dxa"/>
            <w:tcBorders>
              <w:top w:val="single" w:sz="4" w:space="0" w:color="auto"/>
              <w:left w:val="single" w:sz="4" w:space="0" w:color="auto"/>
              <w:bottom w:val="single" w:sz="4" w:space="0" w:color="auto"/>
              <w:right w:val="single" w:sz="4" w:space="0" w:color="auto"/>
            </w:tcBorders>
            <w:hideMark/>
          </w:tcPr>
          <w:p w14:paraId="07B2CF87" w14:textId="77777777" w:rsidR="009D6F47" w:rsidRPr="001D1CD5" w:rsidRDefault="009D6F47">
            <w:pPr>
              <w:spacing w:before="60" w:after="60" w:line="276" w:lineRule="auto"/>
              <w:rPr>
                <w:rFonts w:asciiTheme="minorHAnsi" w:hAnsiTheme="minorHAnsi" w:cs="Arial"/>
                <w:bdr w:val="none" w:sz="0" w:space="0" w:color="auto" w:frame="1"/>
              </w:rPr>
            </w:pPr>
            <w:r w:rsidRPr="001D1CD5">
              <w:rPr>
                <w:rFonts w:asciiTheme="minorHAnsi" w:hAnsiTheme="minorHAnsi" w:cs="Arial"/>
                <w:bdr w:val="none" w:sz="0" w:space="0" w:color="auto" w:frame="1"/>
                <w:lang w:eastAsia="en-AU"/>
              </w:rPr>
              <w:t>Yes</w:t>
            </w:r>
          </w:p>
        </w:tc>
        <w:tc>
          <w:tcPr>
            <w:tcW w:w="2794" w:type="dxa"/>
            <w:tcBorders>
              <w:top w:val="single" w:sz="4" w:space="0" w:color="auto"/>
              <w:left w:val="single" w:sz="4" w:space="0" w:color="auto"/>
              <w:bottom w:val="single" w:sz="4" w:space="0" w:color="auto"/>
              <w:right w:val="single" w:sz="4" w:space="0" w:color="auto"/>
            </w:tcBorders>
            <w:hideMark/>
          </w:tcPr>
          <w:p w14:paraId="71D01E5E" w14:textId="77777777" w:rsidR="009D6F47" w:rsidRPr="001D1CD5" w:rsidRDefault="009D6F47">
            <w:pPr>
              <w:spacing w:before="60" w:after="60" w:line="276" w:lineRule="auto"/>
              <w:rPr>
                <w:rFonts w:asciiTheme="minorHAnsi" w:hAnsiTheme="minorHAnsi" w:cs="Arial"/>
                <w:bdr w:val="none" w:sz="0" w:space="0" w:color="auto" w:frame="1"/>
              </w:rPr>
            </w:pPr>
            <w:r w:rsidRPr="001D1CD5">
              <w:rPr>
                <w:rFonts w:asciiTheme="minorHAnsi" w:hAnsiTheme="minorHAnsi" w:cs="Arial"/>
                <w:bdr w:val="none" w:sz="0" w:space="0" w:color="auto" w:frame="1"/>
                <w:lang w:eastAsia="en-AU"/>
              </w:rPr>
              <w:t xml:space="preserve">No, because </w:t>
            </w:r>
            <w:proofErr w:type="spellStart"/>
            <w:r w:rsidRPr="001D1CD5">
              <w:rPr>
                <w:rFonts w:asciiTheme="minorHAnsi" w:hAnsiTheme="minorHAnsi" w:cs="Arial"/>
                <w:bdr w:val="none" w:sz="0" w:space="0" w:color="auto" w:frame="1"/>
                <w:lang w:eastAsia="en-AU"/>
              </w:rPr>
              <w:t>IFAs</w:t>
            </w:r>
            <w:proofErr w:type="spellEnd"/>
            <w:r w:rsidRPr="001D1CD5">
              <w:rPr>
                <w:rFonts w:asciiTheme="minorHAnsi" w:hAnsiTheme="minorHAnsi" w:cs="Arial"/>
                <w:bdr w:val="none" w:sz="0" w:space="0" w:color="auto" w:frame="1"/>
                <w:lang w:eastAsia="en-AU"/>
              </w:rPr>
              <w:t xml:space="preserve"> can be terminated with a relatively short period of notice</w:t>
            </w:r>
          </w:p>
        </w:tc>
      </w:tr>
      <w:tr w:rsidR="009D6F47" w:rsidRPr="001D1CD5" w14:paraId="4047AF23" w14:textId="77777777" w:rsidTr="009D6F47">
        <w:trPr>
          <w:trHeight w:val="699"/>
        </w:trPr>
        <w:tc>
          <w:tcPr>
            <w:tcW w:w="4219" w:type="dxa"/>
            <w:tcBorders>
              <w:top w:val="single" w:sz="4" w:space="0" w:color="auto"/>
              <w:left w:val="single" w:sz="4" w:space="0" w:color="auto"/>
              <w:bottom w:val="single" w:sz="4" w:space="0" w:color="auto"/>
              <w:right w:val="single" w:sz="4" w:space="0" w:color="auto"/>
            </w:tcBorders>
            <w:hideMark/>
          </w:tcPr>
          <w:p w14:paraId="5EABAFE4" w14:textId="77777777" w:rsidR="009D6F47" w:rsidRPr="001D1CD5" w:rsidRDefault="009D6F47">
            <w:pPr>
              <w:spacing w:before="60" w:after="60" w:line="276" w:lineRule="auto"/>
              <w:rPr>
                <w:rFonts w:asciiTheme="minorHAnsi" w:hAnsiTheme="minorHAnsi" w:cs="Arial"/>
                <w:bdr w:val="none" w:sz="0" w:space="0" w:color="auto" w:frame="1"/>
              </w:rPr>
            </w:pPr>
            <w:r w:rsidRPr="001D1CD5">
              <w:rPr>
                <w:rFonts w:asciiTheme="minorHAnsi" w:hAnsiTheme="minorHAnsi" w:cs="Arial"/>
                <w:bdr w:val="none" w:sz="0" w:space="0" w:color="auto" w:frame="1"/>
                <w:lang w:eastAsia="en-AU"/>
              </w:rPr>
              <w:t>Applies indefinitely after the nominal expiry date</w:t>
            </w:r>
          </w:p>
        </w:tc>
        <w:tc>
          <w:tcPr>
            <w:tcW w:w="2835" w:type="dxa"/>
            <w:tcBorders>
              <w:top w:val="single" w:sz="4" w:space="0" w:color="auto"/>
              <w:left w:val="single" w:sz="4" w:space="0" w:color="auto"/>
              <w:bottom w:val="single" w:sz="4" w:space="0" w:color="auto"/>
              <w:right w:val="single" w:sz="4" w:space="0" w:color="auto"/>
            </w:tcBorders>
            <w:hideMark/>
          </w:tcPr>
          <w:p w14:paraId="7B87A2AE" w14:textId="77777777" w:rsidR="009D6F47" w:rsidRPr="001D1CD5" w:rsidRDefault="009D6F47">
            <w:pPr>
              <w:spacing w:before="60" w:after="60" w:line="276" w:lineRule="auto"/>
              <w:rPr>
                <w:rFonts w:asciiTheme="minorHAnsi" w:hAnsiTheme="minorHAnsi" w:cs="Arial"/>
                <w:bdr w:val="none" w:sz="0" w:space="0" w:color="auto" w:frame="1"/>
              </w:rPr>
            </w:pPr>
            <w:r w:rsidRPr="001D1CD5">
              <w:rPr>
                <w:rFonts w:asciiTheme="minorHAnsi" w:hAnsiTheme="minorHAnsi" w:cs="Arial"/>
                <w:bdr w:val="none" w:sz="0" w:space="0" w:color="auto" w:frame="1"/>
                <w:lang w:eastAsia="en-AU"/>
              </w:rPr>
              <w:t>Yes</w:t>
            </w:r>
          </w:p>
        </w:tc>
        <w:tc>
          <w:tcPr>
            <w:tcW w:w="2794" w:type="dxa"/>
            <w:tcBorders>
              <w:top w:val="single" w:sz="4" w:space="0" w:color="auto"/>
              <w:left w:val="single" w:sz="4" w:space="0" w:color="auto"/>
              <w:bottom w:val="single" w:sz="4" w:space="0" w:color="auto"/>
              <w:right w:val="single" w:sz="4" w:space="0" w:color="auto"/>
            </w:tcBorders>
            <w:hideMark/>
          </w:tcPr>
          <w:p w14:paraId="1D78D9C9" w14:textId="77777777" w:rsidR="009D6F47" w:rsidRPr="001D1CD5" w:rsidRDefault="009D6F47">
            <w:pPr>
              <w:spacing w:before="60" w:after="60" w:line="276" w:lineRule="auto"/>
              <w:rPr>
                <w:rFonts w:asciiTheme="minorHAnsi" w:hAnsiTheme="minorHAnsi" w:cs="Arial"/>
                <w:bdr w:val="none" w:sz="0" w:space="0" w:color="auto" w:frame="1"/>
              </w:rPr>
            </w:pPr>
            <w:r w:rsidRPr="001D1CD5">
              <w:rPr>
                <w:rFonts w:asciiTheme="minorHAnsi" w:hAnsiTheme="minorHAnsi" w:cs="Arial"/>
                <w:bdr w:val="none" w:sz="0" w:space="0" w:color="auto" w:frame="1"/>
                <w:lang w:eastAsia="en-AU"/>
              </w:rPr>
              <w:t>No, not if entered into under an enterprise agreement and the enterprise agreement is re-negotiated</w:t>
            </w:r>
          </w:p>
        </w:tc>
      </w:tr>
    </w:tbl>
    <w:p w14:paraId="1916B79F" w14:textId="77777777" w:rsidR="009D6F47" w:rsidRPr="001D1CD5" w:rsidRDefault="009D6F47" w:rsidP="009D6F47">
      <w:pPr>
        <w:spacing w:line="276" w:lineRule="auto"/>
        <w:jc w:val="both"/>
        <w:rPr>
          <w:rFonts w:asciiTheme="minorHAnsi" w:hAnsiTheme="minorHAnsi" w:cs="Arial"/>
        </w:rPr>
      </w:pPr>
    </w:p>
    <w:p w14:paraId="178F0370" w14:textId="77777777" w:rsidR="009D6F47" w:rsidRPr="001D1CD5" w:rsidRDefault="009D6F47" w:rsidP="009D6F47">
      <w:pPr>
        <w:spacing w:after="240" w:line="276" w:lineRule="auto"/>
        <w:jc w:val="both"/>
        <w:outlineLvl w:val="0"/>
        <w:rPr>
          <w:rFonts w:asciiTheme="minorHAnsi" w:hAnsiTheme="minorHAnsi" w:cstheme="minorHAnsi"/>
          <w:lang w:val="en-AU"/>
        </w:rPr>
      </w:pPr>
      <w:r w:rsidRPr="001D1CD5">
        <w:rPr>
          <w:rFonts w:asciiTheme="minorHAnsi" w:hAnsiTheme="minorHAnsi" w:cstheme="minorHAnsi"/>
        </w:rPr>
        <w:t xml:space="preserve">The controversy over </w:t>
      </w:r>
      <w:proofErr w:type="spellStart"/>
      <w:r w:rsidRPr="001D1CD5">
        <w:rPr>
          <w:rFonts w:asciiTheme="minorHAnsi" w:hAnsiTheme="minorHAnsi" w:cstheme="minorHAnsi"/>
        </w:rPr>
        <w:t>AWAs</w:t>
      </w:r>
      <w:proofErr w:type="spellEnd"/>
      <w:r w:rsidRPr="001D1CD5">
        <w:rPr>
          <w:rFonts w:asciiTheme="minorHAnsi" w:hAnsiTheme="minorHAnsi" w:cstheme="minorHAnsi"/>
        </w:rPr>
        <w:t xml:space="preserve"> following the introduction of the Work Choices legislation in 2006 occurred as a result of the removal of the No Disadvantage Test. A fairness test was introduced one year later in 2007.  </w:t>
      </w:r>
    </w:p>
    <w:p w14:paraId="6483ADC3" w14:textId="77777777" w:rsidR="009D6F47" w:rsidRPr="001D1CD5" w:rsidRDefault="009D6F47" w:rsidP="009D6F47">
      <w:pPr>
        <w:spacing w:after="240" w:line="276" w:lineRule="auto"/>
        <w:jc w:val="both"/>
        <w:outlineLvl w:val="0"/>
        <w:rPr>
          <w:rFonts w:asciiTheme="minorHAnsi" w:hAnsiTheme="minorHAnsi" w:cstheme="minorHAnsi"/>
        </w:rPr>
      </w:pPr>
      <w:r w:rsidRPr="001D1CD5">
        <w:rPr>
          <w:rFonts w:asciiTheme="minorHAnsi" w:hAnsiTheme="minorHAnsi" w:cstheme="minorHAnsi"/>
        </w:rPr>
        <w:t xml:space="preserve">The demonization of </w:t>
      </w:r>
      <w:proofErr w:type="spellStart"/>
      <w:r w:rsidRPr="001D1CD5">
        <w:rPr>
          <w:rFonts w:asciiTheme="minorHAnsi" w:hAnsiTheme="minorHAnsi" w:cstheme="minorHAnsi"/>
        </w:rPr>
        <w:t>AWAs</w:t>
      </w:r>
      <w:proofErr w:type="spellEnd"/>
      <w:r w:rsidRPr="001D1CD5">
        <w:rPr>
          <w:rFonts w:asciiTheme="minorHAnsi" w:hAnsiTheme="minorHAnsi" w:cstheme="minorHAnsi"/>
        </w:rPr>
        <w:t xml:space="preserve"> by the union movement, based on unsubstantiated assertions of a large number of substandard agreements being entered into for the short period when a No Disadvantage / Fairness Test was not in place, should not be allowed to block the reintroduction of a sensible and fair industrial instrument which meets the needs of many employers and employees.</w:t>
      </w:r>
    </w:p>
    <w:p w14:paraId="2AADF605" w14:textId="23D1C3BA" w:rsidR="009D6F47" w:rsidRPr="001D1CD5" w:rsidRDefault="009D6F47" w:rsidP="009D6F47">
      <w:pPr>
        <w:spacing w:after="240" w:line="276" w:lineRule="auto"/>
        <w:jc w:val="both"/>
        <w:rPr>
          <w:rFonts w:asciiTheme="minorHAnsi" w:hAnsiTheme="minorHAnsi"/>
          <w:lang w:eastAsia="en-AU"/>
        </w:rPr>
      </w:pPr>
      <w:r w:rsidRPr="001D1CD5">
        <w:rPr>
          <w:rFonts w:asciiTheme="minorHAnsi" w:hAnsiTheme="minorHAnsi"/>
          <w:lang w:eastAsia="en-AU"/>
        </w:rPr>
        <w:t xml:space="preserve">At the time when they were abolished in 2009, over one million statutory individual agreements had been made and they were playing an important role in delivering </w:t>
      </w:r>
      <w:r w:rsidR="008932DE">
        <w:rPr>
          <w:rFonts w:asciiTheme="minorHAnsi" w:hAnsiTheme="minorHAnsi"/>
          <w:lang w:eastAsia="en-AU"/>
        </w:rPr>
        <w:t xml:space="preserve">much needed </w:t>
      </w:r>
      <w:r w:rsidRPr="001D1CD5">
        <w:rPr>
          <w:rFonts w:asciiTheme="minorHAnsi" w:hAnsiTheme="minorHAnsi"/>
          <w:lang w:eastAsia="en-AU"/>
        </w:rPr>
        <w:t xml:space="preserve">flexibility to employers and employees. </w:t>
      </w:r>
    </w:p>
    <w:p w14:paraId="32D7B9DE" w14:textId="5D6CFB5B" w:rsidR="00BD68C4" w:rsidRPr="001D1CD5" w:rsidRDefault="009D6F47" w:rsidP="00BD68C4">
      <w:pPr>
        <w:spacing w:after="240" w:line="276" w:lineRule="auto"/>
        <w:jc w:val="both"/>
        <w:rPr>
          <w:rFonts w:asciiTheme="minorHAnsi" w:hAnsiTheme="minorHAnsi"/>
          <w:lang w:eastAsia="en-AU"/>
        </w:rPr>
      </w:pPr>
      <w:r w:rsidRPr="001D1CD5">
        <w:rPr>
          <w:rFonts w:asciiTheme="minorHAnsi" w:hAnsiTheme="minorHAnsi"/>
          <w:lang w:eastAsia="en-AU"/>
        </w:rPr>
        <w:t>Statutory individual agreements need to be reinstated.  Given the baggage associated with the name “Australian Workplace Agreements”, they could simply be called “Statutory Individual Agreements” (</w:t>
      </w:r>
      <w:proofErr w:type="spellStart"/>
      <w:r w:rsidRPr="005B4B8A">
        <w:rPr>
          <w:rFonts w:asciiTheme="minorHAnsi" w:hAnsiTheme="minorHAnsi"/>
          <w:b/>
          <w:lang w:eastAsia="en-AU"/>
        </w:rPr>
        <w:t>SIAs</w:t>
      </w:r>
      <w:proofErr w:type="spellEnd"/>
      <w:r w:rsidRPr="001D1CD5">
        <w:rPr>
          <w:rFonts w:asciiTheme="minorHAnsi" w:hAnsiTheme="minorHAnsi"/>
          <w:lang w:eastAsia="en-AU"/>
        </w:rPr>
        <w:t>).</w:t>
      </w:r>
    </w:p>
    <w:p w14:paraId="6E292366" w14:textId="77777777" w:rsidR="009D6F47" w:rsidRPr="001D1CD5" w:rsidRDefault="009D6F47" w:rsidP="00BD68C4">
      <w:pPr>
        <w:pStyle w:val="Heading1"/>
        <w:spacing w:before="240" w:after="240" w:line="276" w:lineRule="auto"/>
        <w:ind w:left="709" w:hanging="709"/>
        <w:rPr>
          <w:rFonts w:asciiTheme="minorHAnsi" w:eastAsia="Calibri" w:hAnsiTheme="minorHAnsi" w:cs="Calibri"/>
          <w:color w:val="451E51"/>
          <w:lang w:eastAsia="en-AU"/>
        </w:rPr>
      </w:pPr>
      <w:r w:rsidRPr="001D1CD5">
        <w:rPr>
          <w:rFonts w:asciiTheme="minorHAnsi" w:eastAsia="Calibri" w:hAnsiTheme="minorHAnsi" w:cs="Calibri"/>
          <w:color w:val="451E51"/>
          <w:lang w:eastAsia="en-AU"/>
        </w:rPr>
        <w:t xml:space="preserve">16.2 </w:t>
      </w:r>
      <w:r w:rsidRPr="001D1CD5">
        <w:rPr>
          <w:rFonts w:asciiTheme="minorHAnsi" w:eastAsia="Calibri" w:hAnsiTheme="minorHAnsi" w:cs="Calibri"/>
          <w:color w:val="451E51"/>
          <w:lang w:eastAsia="en-AU"/>
        </w:rPr>
        <w:tab/>
        <w:t>Individual Flexibility Arrangements</w:t>
      </w:r>
    </w:p>
    <w:p w14:paraId="3B40020E" w14:textId="77777777" w:rsidR="009D6F47" w:rsidRPr="001D1CD5" w:rsidRDefault="009D6F47" w:rsidP="009D6F47">
      <w:pPr>
        <w:spacing w:after="240" w:line="276" w:lineRule="auto"/>
        <w:jc w:val="both"/>
        <w:rPr>
          <w:rFonts w:asciiTheme="minorHAnsi" w:eastAsia="Calibri" w:hAnsiTheme="minorHAnsi" w:cs="Calibri"/>
          <w:lang w:eastAsia="en-AU"/>
        </w:rPr>
      </w:pPr>
      <w:r w:rsidRPr="001D1CD5">
        <w:rPr>
          <w:rFonts w:asciiTheme="minorHAnsi" w:eastAsia="Calibri" w:hAnsiTheme="minorHAnsi" w:cs="Calibri"/>
          <w:lang w:eastAsia="en-AU"/>
        </w:rPr>
        <w:t xml:space="preserve">In its Draft Report, the Productivity Commission has correctly identified that the existing framework for </w:t>
      </w:r>
      <w:proofErr w:type="spellStart"/>
      <w:r w:rsidRPr="001D1CD5">
        <w:rPr>
          <w:rFonts w:asciiTheme="minorHAnsi" w:eastAsia="Calibri" w:hAnsiTheme="minorHAnsi" w:cs="Calibri"/>
          <w:lang w:eastAsia="en-AU"/>
        </w:rPr>
        <w:t>IFAs</w:t>
      </w:r>
      <w:proofErr w:type="spellEnd"/>
      <w:r w:rsidRPr="001D1CD5">
        <w:rPr>
          <w:rFonts w:asciiTheme="minorHAnsi" w:eastAsia="Calibri" w:hAnsiTheme="minorHAnsi" w:cs="Calibri"/>
          <w:lang w:eastAsia="en-AU"/>
        </w:rPr>
        <w:t xml:space="preserve"> has a number of major deficiencies that need to be addressed.</w:t>
      </w:r>
    </w:p>
    <w:p w14:paraId="219BB29F" w14:textId="77777777" w:rsidR="009D6F47" w:rsidRPr="001D1CD5" w:rsidRDefault="009D6F47" w:rsidP="009D6F47">
      <w:pPr>
        <w:spacing w:after="240" w:line="276" w:lineRule="auto"/>
        <w:jc w:val="both"/>
        <w:rPr>
          <w:rFonts w:asciiTheme="minorHAnsi" w:eastAsia="Calibri" w:hAnsiTheme="minorHAnsi" w:cs="Calibri"/>
          <w:lang w:eastAsia="en-AU"/>
        </w:rPr>
      </w:pPr>
      <w:r w:rsidRPr="001D1CD5">
        <w:rPr>
          <w:rFonts w:asciiTheme="minorHAnsi" w:eastAsia="Calibri" w:hAnsiTheme="minorHAnsi" w:cs="Calibri"/>
          <w:lang w:eastAsia="en-AU"/>
        </w:rPr>
        <w:t>Ai Group supports the following Draft Recommendations in the Draft Report:</w:t>
      </w:r>
    </w:p>
    <w:p w14:paraId="6D2047F0" w14:textId="77777777" w:rsidR="009D6F47" w:rsidRPr="001D1CD5" w:rsidRDefault="009D6F47" w:rsidP="00FE0A2F">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eastAsia="Calibri" w:hAnsiTheme="minorHAnsi" w:cs="Calibri"/>
        </w:rPr>
      </w:pPr>
      <w:r w:rsidRPr="001D1CD5">
        <w:rPr>
          <w:rFonts w:asciiTheme="minorHAnsi" w:eastAsia="Calibri" w:hAnsiTheme="minorHAnsi" w:cs="Calibri"/>
        </w:rPr>
        <w:lastRenderedPageBreak/>
        <w:t xml:space="preserve">Draft Recommendation 16.1, which would allow a default termination notice period of up to 12 months to be agreed up in an </w:t>
      </w:r>
      <w:proofErr w:type="spellStart"/>
      <w:r w:rsidRPr="001D1CD5">
        <w:rPr>
          <w:rFonts w:asciiTheme="minorHAnsi" w:eastAsia="Calibri" w:hAnsiTheme="minorHAnsi" w:cs="Calibri"/>
        </w:rPr>
        <w:t>IFA</w:t>
      </w:r>
      <w:proofErr w:type="spellEnd"/>
      <w:r w:rsidRPr="001D1CD5">
        <w:rPr>
          <w:rFonts w:asciiTheme="minorHAnsi" w:eastAsia="Calibri" w:hAnsiTheme="minorHAnsi" w:cs="Calibri"/>
        </w:rPr>
        <w:t>;</w:t>
      </w:r>
    </w:p>
    <w:p w14:paraId="0A74BBA6" w14:textId="0BFD503A" w:rsidR="009D6F47" w:rsidRPr="001D1CD5" w:rsidRDefault="009D6F47" w:rsidP="00FE0A2F">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eastAsia="Calibri" w:hAnsiTheme="minorHAnsi" w:cs="Calibri"/>
          <w:lang w:eastAsia="en-US"/>
        </w:rPr>
      </w:pPr>
      <w:r w:rsidRPr="001D1CD5">
        <w:rPr>
          <w:rFonts w:asciiTheme="minorHAnsi" w:eastAsia="Calibri" w:hAnsiTheme="minorHAnsi" w:cs="Calibri"/>
        </w:rPr>
        <w:t xml:space="preserve">Draft recommendation 16.2, which would implement a new No Disadvantage Test for </w:t>
      </w:r>
      <w:proofErr w:type="spellStart"/>
      <w:r w:rsidRPr="001D1CD5">
        <w:rPr>
          <w:rFonts w:asciiTheme="minorHAnsi" w:eastAsia="Calibri" w:hAnsiTheme="minorHAnsi" w:cs="Calibri"/>
        </w:rPr>
        <w:t>IFAs</w:t>
      </w:r>
      <w:proofErr w:type="spellEnd"/>
      <w:r w:rsidRPr="001D1CD5">
        <w:rPr>
          <w:rFonts w:asciiTheme="minorHAnsi" w:eastAsia="Calibri" w:hAnsiTheme="minorHAnsi" w:cs="Calibri"/>
        </w:rPr>
        <w:t xml:space="preserve">, and require the </w:t>
      </w:r>
      <w:proofErr w:type="spellStart"/>
      <w:r w:rsidRPr="001D1CD5">
        <w:rPr>
          <w:rFonts w:asciiTheme="minorHAnsi" w:eastAsia="Calibri" w:hAnsiTheme="minorHAnsi" w:cs="Calibri"/>
        </w:rPr>
        <w:t>FWO</w:t>
      </w:r>
      <w:proofErr w:type="spellEnd"/>
      <w:r w:rsidRPr="001D1CD5">
        <w:rPr>
          <w:rFonts w:asciiTheme="minorHAnsi" w:eastAsia="Calibri" w:hAnsiTheme="minorHAnsi" w:cs="Calibri"/>
        </w:rPr>
        <w:t xml:space="preserve"> to provide more detailed guidance on the application of the Test;</w:t>
      </w:r>
      <w:r w:rsidR="00741992">
        <w:rPr>
          <w:rFonts w:asciiTheme="minorHAnsi" w:eastAsia="Calibri" w:hAnsiTheme="minorHAnsi" w:cs="Calibri"/>
        </w:rPr>
        <w:t xml:space="preserve"> and</w:t>
      </w:r>
    </w:p>
    <w:p w14:paraId="3B4F93B7" w14:textId="77777777" w:rsidR="009D6F47" w:rsidRPr="001D1CD5" w:rsidRDefault="009D6F47" w:rsidP="00FE0A2F">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eastAsia="Calibri" w:hAnsiTheme="minorHAnsi" w:cs="Calibri"/>
        </w:rPr>
      </w:pPr>
      <w:r w:rsidRPr="001D1CD5">
        <w:rPr>
          <w:rFonts w:asciiTheme="minorHAnsi" w:eastAsia="Calibri" w:hAnsiTheme="minorHAnsi" w:cs="Calibri"/>
        </w:rPr>
        <w:t xml:space="preserve">Draft recommendation 16.3, which would require the </w:t>
      </w:r>
      <w:proofErr w:type="spellStart"/>
      <w:r w:rsidRPr="001D1CD5">
        <w:rPr>
          <w:rFonts w:asciiTheme="minorHAnsi" w:eastAsia="Calibri" w:hAnsiTheme="minorHAnsi" w:cs="Calibri"/>
        </w:rPr>
        <w:t>FWO</w:t>
      </w:r>
      <w:proofErr w:type="spellEnd"/>
      <w:r w:rsidRPr="001D1CD5">
        <w:rPr>
          <w:rFonts w:asciiTheme="minorHAnsi" w:eastAsia="Calibri" w:hAnsiTheme="minorHAnsi" w:cs="Calibri"/>
        </w:rPr>
        <w:t xml:space="preserve"> to develop an information package on </w:t>
      </w:r>
      <w:proofErr w:type="spellStart"/>
      <w:r w:rsidRPr="001D1CD5">
        <w:rPr>
          <w:rFonts w:asciiTheme="minorHAnsi" w:eastAsia="Calibri" w:hAnsiTheme="minorHAnsi" w:cs="Calibri"/>
        </w:rPr>
        <w:t>IFAs</w:t>
      </w:r>
      <w:proofErr w:type="spellEnd"/>
      <w:r w:rsidRPr="001D1CD5">
        <w:rPr>
          <w:rFonts w:asciiTheme="minorHAnsi" w:eastAsia="Calibri" w:hAnsiTheme="minorHAnsi" w:cs="Calibri"/>
        </w:rPr>
        <w:t>.</w:t>
      </w:r>
    </w:p>
    <w:p w14:paraId="76E2A719" w14:textId="15529E14" w:rsidR="009D6F47" w:rsidRPr="001D1CD5" w:rsidRDefault="009D6F47" w:rsidP="009D6F47">
      <w:pPr>
        <w:spacing w:after="240" w:line="276" w:lineRule="auto"/>
        <w:jc w:val="both"/>
        <w:rPr>
          <w:rFonts w:asciiTheme="minorHAnsi" w:hAnsiTheme="minorHAnsi" w:cstheme="minorHAnsi"/>
        </w:rPr>
      </w:pPr>
      <w:r w:rsidRPr="001D1CD5">
        <w:rPr>
          <w:rFonts w:asciiTheme="minorHAnsi" w:hAnsiTheme="minorHAnsi"/>
        </w:rPr>
        <w:t xml:space="preserve">With regard to Draft Recommendation 16.2, the No Disadvantage Test should be applied differently for an </w:t>
      </w:r>
      <w:proofErr w:type="spellStart"/>
      <w:r w:rsidRPr="001D1CD5">
        <w:rPr>
          <w:rFonts w:asciiTheme="minorHAnsi" w:hAnsiTheme="minorHAnsi"/>
        </w:rPr>
        <w:t>IFA</w:t>
      </w:r>
      <w:proofErr w:type="spellEnd"/>
      <w:r w:rsidRPr="001D1CD5">
        <w:rPr>
          <w:rFonts w:asciiTheme="minorHAnsi" w:hAnsiTheme="minorHAnsi"/>
        </w:rPr>
        <w:t xml:space="preserve"> than an enterprise agreement. The only employee that is relevant when assessing the No Disadvantage Test for an </w:t>
      </w:r>
      <w:proofErr w:type="spellStart"/>
      <w:r w:rsidRPr="001D1CD5">
        <w:rPr>
          <w:rFonts w:asciiTheme="minorHAnsi" w:hAnsiTheme="minorHAnsi"/>
        </w:rPr>
        <w:t>IFA</w:t>
      </w:r>
      <w:proofErr w:type="spellEnd"/>
      <w:r w:rsidRPr="001D1CD5">
        <w:rPr>
          <w:rFonts w:asciiTheme="minorHAnsi" w:hAnsiTheme="minorHAnsi"/>
        </w:rPr>
        <w:t xml:space="preserve"> is the individual employee bound by the </w:t>
      </w:r>
      <w:proofErr w:type="spellStart"/>
      <w:r w:rsidRPr="001D1CD5">
        <w:rPr>
          <w:rFonts w:asciiTheme="minorHAnsi" w:hAnsiTheme="minorHAnsi"/>
        </w:rPr>
        <w:t>IFA</w:t>
      </w:r>
      <w:proofErr w:type="spellEnd"/>
      <w:r w:rsidRPr="001D1CD5">
        <w:rPr>
          <w:rFonts w:asciiTheme="minorHAnsi" w:hAnsiTheme="minorHAnsi"/>
        </w:rPr>
        <w:t xml:space="preserve">, and that employee’s personal preferences should be given significant weight when deciding whether the employee is disadvantaged. </w:t>
      </w:r>
      <w:r w:rsidRPr="001D1CD5">
        <w:rPr>
          <w:rFonts w:asciiTheme="minorHAnsi" w:hAnsiTheme="minorHAnsi" w:cs="Calibri"/>
        </w:rPr>
        <w:t xml:space="preserve">For example, an employee may genuinely prefer to start work at </w:t>
      </w:r>
      <w:proofErr w:type="spellStart"/>
      <w:r w:rsidRPr="001D1CD5">
        <w:rPr>
          <w:rFonts w:asciiTheme="minorHAnsi" w:hAnsiTheme="minorHAnsi" w:cs="Calibri"/>
        </w:rPr>
        <w:t>5am</w:t>
      </w:r>
      <w:proofErr w:type="spellEnd"/>
      <w:r w:rsidRPr="001D1CD5">
        <w:rPr>
          <w:rFonts w:asciiTheme="minorHAnsi" w:hAnsiTheme="minorHAnsi" w:cs="Calibri"/>
        </w:rPr>
        <w:t xml:space="preserve"> due to family responsibilities in the afternoon and want to reach an </w:t>
      </w:r>
      <w:proofErr w:type="spellStart"/>
      <w:r w:rsidRPr="001D1CD5">
        <w:rPr>
          <w:rFonts w:asciiTheme="minorHAnsi" w:hAnsiTheme="minorHAnsi" w:cs="Calibri"/>
        </w:rPr>
        <w:t>IFA</w:t>
      </w:r>
      <w:proofErr w:type="spellEnd"/>
      <w:r w:rsidRPr="001D1CD5">
        <w:rPr>
          <w:rFonts w:asciiTheme="minorHAnsi" w:hAnsiTheme="minorHAnsi" w:cs="Calibri"/>
        </w:rPr>
        <w:t xml:space="preserve"> with the employer allowing this.  An </w:t>
      </w:r>
      <w:proofErr w:type="spellStart"/>
      <w:r w:rsidRPr="001D1CD5">
        <w:rPr>
          <w:rFonts w:asciiTheme="minorHAnsi" w:hAnsiTheme="minorHAnsi" w:cs="Calibri"/>
        </w:rPr>
        <w:t>IFA</w:t>
      </w:r>
      <w:proofErr w:type="spellEnd"/>
      <w:r w:rsidRPr="001D1CD5">
        <w:rPr>
          <w:rFonts w:asciiTheme="minorHAnsi" w:hAnsiTheme="minorHAnsi" w:cs="Calibri"/>
        </w:rPr>
        <w:t xml:space="preserve"> which permitted the employee to start work at </w:t>
      </w:r>
      <w:proofErr w:type="spellStart"/>
      <w:r w:rsidRPr="001D1CD5">
        <w:rPr>
          <w:rFonts w:asciiTheme="minorHAnsi" w:hAnsiTheme="minorHAnsi" w:cs="Calibri"/>
        </w:rPr>
        <w:t>5am</w:t>
      </w:r>
      <w:proofErr w:type="spellEnd"/>
      <w:r w:rsidRPr="001D1CD5">
        <w:rPr>
          <w:rFonts w:asciiTheme="minorHAnsi" w:hAnsiTheme="minorHAnsi" w:cs="Calibri"/>
        </w:rPr>
        <w:t xml:space="preserve"> without the payment of penalty rates between </w:t>
      </w:r>
      <w:proofErr w:type="spellStart"/>
      <w:r w:rsidRPr="001D1CD5">
        <w:rPr>
          <w:rFonts w:asciiTheme="minorHAnsi" w:hAnsiTheme="minorHAnsi" w:cs="Calibri"/>
        </w:rPr>
        <w:t>5am</w:t>
      </w:r>
      <w:proofErr w:type="spellEnd"/>
      <w:r w:rsidRPr="001D1CD5">
        <w:rPr>
          <w:rFonts w:asciiTheme="minorHAnsi" w:hAnsiTheme="minorHAnsi" w:cs="Calibri"/>
        </w:rPr>
        <w:t xml:space="preserve"> and the commencement of the spread of ordinary hours in the relevant award (typically around </w:t>
      </w:r>
      <w:proofErr w:type="spellStart"/>
      <w:r w:rsidRPr="001D1CD5">
        <w:rPr>
          <w:rFonts w:asciiTheme="minorHAnsi" w:hAnsiTheme="minorHAnsi" w:cs="Calibri"/>
        </w:rPr>
        <w:t>6am</w:t>
      </w:r>
      <w:proofErr w:type="spellEnd"/>
      <w:r w:rsidRPr="001D1CD5">
        <w:rPr>
          <w:rFonts w:asciiTheme="minorHAnsi" w:hAnsiTheme="minorHAnsi" w:cs="Calibri"/>
        </w:rPr>
        <w:t>) would not pass the No Disadvantage Test if only monetary benefits were able to be taken into account.</w:t>
      </w:r>
      <w:r w:rsidRPr="001D1CD5">
        <w:rPr>
          <w:rFonts w:asciiTheme="minorHAnsi" w:hAnsiTheme="minorHAnsi" w:cstheme="minorHAnsi"/>
        </w:rPr>
        <w:t xml:space="preserve"> The Explanatory Memorandum for the </w:t>
      </w:r>
      <w:r w:rsidRPr="001D1CD5">
        <w:rPr>
          <w:rFonts w:asciiTheme="minorHAnsi" w:hAnsiTheme="minorHAnsi" w:cstheme="minorHAnsi"/>
          <w:i/>
        </w:rPr>
        <w:t>Fair Work Bill 2008</w:t>
      </w:r>
      <w:r w:rsidRPr="001D1CD5">
        <w:rPr>
          <w:rFonts w:asciiTheme="minorHAnsi" w:hAnsiTheme="minorHAnsi" w:cstheme="minorHAnsi"/>
        </w:rPr>
        <w:t xml:space="preserve"> makes it clear that the policy intent with </w:t>
      </w:r>
      <w:proofErr w:type="spellStart"/>
      <w:r w:rsidRPr="001D1CD5">
        <w:rPr>
          <w:rFonts w:asciiTheme="minorHAnsi" w:hAnsiTheme="minorHAnsi" w:cstheme="minorHAnsi"/>
        </w:rPr>
        <w:t>IFAs</w:t>
      </w:r>
      <w:proofErr w:type="spellEnd"/>
      <w:r w:rsidRPr="001D1CD5">
        <w:rPr>
          <w:rFonts w:asciiTheme="minorHAnsi" w:hAnsiTheme="minorHAnsi" w:cstheme="minorHAnsi"/>
        </w:rPr>
        <w:t xml:space="preserve"> is to allow non-monetary benefits to be taken into account when determining whether an employee is better off overall (e.g. see the Illustrative Examp</w:t>
      </w:r>
      <w:r w:rsidR="005B4B8A">
        <w:rPr>
          <w:rFonts w:asciiTheme="minorHAnsi" w:hAnsiTheme="minorHAnsi" w:cstheme="minorHAnsi"/>
        </w:rPr>
        <w:t>le after paragraph 867 in the Explanatory Memorandum</w:t>
      </w:r>
      <w:r w:rsidRPr="001D1CD5">
        <w:rPr>
          <w:rFonts w:asciiTheme="minorHAnsi" w:hAnsiTheme="minorHAnsi" w:cstheme="minorHAnsi"/>
        </w:rPr>
        <w:t>).</w:t>
      </w:r>
    </w:p>
    <w:p w14:paraId="1D872E9F" w14:textId="77777777" w:rsidR="005B4B8A" w:rsidRDefault="009D6F47" w:rsidP="009D6F47">
      <w:pPr>
        <w:spacing w:after="240" w:line="276" w:lineRule="auto"/>
        <w:jc w:val="both"/>
        <w:rPr>
          <w:rFonts w:asciiTheme="minorHAnsi" w:hAnsiTheme="minorHAnsi" w:cstheme="minorHAnsi"/>
        </w:rPr>
      </w:pPr>
      <w:r w:rsidRPr="001D1CD5">
        <w:rPr>
          <w:rFonts w:asciiTheme="minorHAnsi" w:hAnsiTheme="minorHAnsi" w:cstheme="minorHAnsi"/>
        </w:rPr>
        <w:t xml:space="preserve">There would be benefit in the </w:t>
      </w:r>
      <w:proofErr w:type="spellStart"/>
      <w:r w:rsidRPr="001D1CD5">
        <w:rPr>
          <w:rFonts w:asciiTheme="minorHAnsi" w:hAnsiTheme="minorHAnsi" w:cstheme="minorHAnsi"/>
        </w:rPr>
        <w:t>FWO</w:t>
      </w:r>
      <w:proofErr w:type="spellEnd"/>
      <w:r w:rsidRPr="001D1CD5">
        <w:rPr>
          <w:rFonts w:asciiTheme="minorHAnsi" w:hAnsiTheme="minorHAnsi" w:cstheme="minorHAnsi"/>
        </w:rPr>
        <w:t xml:space="preserve"> offering an optional vetting process for </w:t>
      </w:r>
      <w:proofErr w:type="spellStart"/>
      <w:r w:rsidRPr="001D1CD5">
        <w:rPr>
          <w:rFonts w:asciiTheme="minorHAnsi" w:hAnsiTheme="minorHAnsi" w:cstheme="minorHAnsi"/>
        </w:rPr>
        <w:t>IFAs</w:t>
      </w:r>
      <w:proofErr w:type="spellEnd"/>
      <w:r w:rsidRPr="001D1CD5">
        <w:rPr>
          <w:rFonts w:asciiTheme="minorHAnsi" w:hAnsiTheme="minorHAnsi" w:cstheme="minorHAnsi"/>
        </w:rPr>
        <w:t xml:space="preserve">. An employer should have the option of providing a copy of a proposed </w:t>
      </w:r>
      <w:proofErr w:type="spellStart"/>
      <w:r w:rsidRPr="001D1CD5">
        <w:rPr>
          <w:rFonts w:asciiTheme="minorHAnsi" w:hAnsiTheme="minorHAnsi" w:cstheme="minorHAnsi"/>
        </w:rPr>
        <w:t>IFA</w:t>
      </w:r>
      <w:proofErr w:type="spellEnd"/>
      <w:r w:rsidRPr="001D1CD5">
        <w:rPr>
          <w:rFonts w:asciiTheme="minorHAnsi" w:hAnsiTheme="minorHAnsi" w:cstheme="minorHAnsi"/>
        </w:rPr>
        <w:t xml:space="preserve"> to the </w:t>
      </w:r>
      <w:proofErr w:type="spellStart"/>
      <w:r w:rsidRPr="001D1CD5">
        <w:rPr>
          <w:rFonts w:asciiTheme="minorHAnsi" w:hAnsiTheme="minorHAnsi" w:cstheme="minorHAnsi"/>
        </w:rPr>
        <w:t>FWO</w:t>
      </w:r>
      <w:proofErr w:type="spellEnd"/>
      <w:r w:rsidRPr="001D1CD5">
        <w:rPr>
          <w:rFonts w:asciiTheme="minorHAnsi" w:hAnsiTheme="minorHAnsi" w:cstheme="minorHAnsi"/>
        </w:rPr>
        <w:t xml:space="preserve"> and obtaining confirmation that, in the opinion of the </w:t>
      </w:r>
      <w:proofErr w:type="spellStart"/>
      <w:r w:rsidRPr="001D1CD5">
        <w:rPr>
          <w:rFonts w:asciiTheme="minorHAnsi" w:hAnsiTheme="minorHAnsi" w:cstheme="minorHAnsi"/>
        </w:rPr>
        <w:t>FWO</w:t>
      </w:r>
      <w:proofErr w:type="spellEnd"/>
      <w:r w:rsidRPr="001D1CD5">
        <w:rPr>
          <w:rFonts w:asciiTheme="minorHAnsi" w:hAnsiTheme="minorHAnsi" w:cstheme="minorHAnsi"/>
        </w:rPr>
        <w:t xml:space="preserve">, the </w:t>
      </w:r>
      <w:proofErr w:type="spellStart"/>
      <w:r w:rsidRPr="001D1CD5">
        <w:rPr>
          <w:rFonts w:asciiTheme="minorHAnsi" w:hAnsiTheme="minorHAnsi" w:cstheme="minorHAnsi"/>
        </w:rPr>
        <w:t>IFA</w:t>
      </w:r>
      <w:proofErr w:type="spellEnd"/>
      <w:r w:rsidRPr="001D1CD5">
        <w:rPr>
          <w:rFonts w:asciiTheme="minorHAnsi" w:hAnsiTheme="minorHAnsi" w:cstheme="minorHAnsi"/>
        </w:rPr>
        <w:t xml:space="preserve"> complies with the FW Act. </w:t>
      </w:r>
    </w:p>
    <w:p w14:paraId="70315F31" w14:textId="6CC99B8F" w:rsidR="009D6F47" w:rsidRPr="001D1CD5" w:rsidRDefault="009D6F47" w:rsidP="009D6F47">
      <w:pPr>
        <w:spacing w:after="240" w:line="276" w:lineRule="auto"/>
        <w:jc w:val="both"/>
        <w:rPr>
          <w:rFonts w:asciiTheme="minorHAnsi" w:eastAsiaTheme="minorHAnsi" w:hAnsiTheme="minorHAnsi" w:cstheme="minorHAnsi"/>
          <w:bCs/>
          <w:iCs/>
        </w:rPr>
      </w:pPr>
      <w:r w:rsidRPr="001D1CD5">
        <w:rPr>
          <w:rFonts w:asciiTheme="minorHAnsi" w:hAnsiTheme="minorHAnsi"/>
          <w:lang w:eastAsia="en-AU"/>
        </w:rPr>
        <w:t xml:space="preserve">There would also be benefit in </w:t>
      </w:r>
      <w:r w:rsidRPr="001D1CD5">
        <w:rPr>
          <w:rFonts w:asciiTheme="minorHAnsi" w:hAnsiTheme="minorHAnsi"/>
        </w:rPr>
        <w:t xml:space="preserve">the FW Act being amended (as provided for in the </w:t>
      </w:r>
      <w:r w:rsidRPr="001D1CD5">
        <w:rPr>
          <w:rFonts w:asciiTheme="minorHAnsi" w:hAnsiTheme="minorHAnsi" w:cs="Calibri"/>
          <w:i/>
          <w:color w:val="000000"/>
        </w:rPr>
        <w:t>Fair Work Amendment Bill 2014</w:t>
      </w:r>
      <w:r w:rsidRPr="001D1CD5">
        <w:rPr>
          <w:rFonts w:asciiTheme="minorHAnsi" w:hAnsiTheme="minorHAnsi" w:cs="Calibri"/>
          <w:color w:val="000000"/>
        </w:rPr>
        <w:t>)</w:t>
      </w:r>
      <w:r w:rsidRPr="001D1CD5">
        <w:rPr>
          <w:rFonts w:asciiTheme="minorHAnsi" w:hAnsiTheme="minorHAnsi"/>
        </w:rPr>
        <w:t xml:space="preserve"> to implement a</w:t>
      </w:r>
      <w:r w:rsidRPr="001D1CD5">
        <w:rPr>
          <w:rFonts w:asciiTheme="minorHAnsi" w:hAnsiTheme="minorHAnsi" w:cstheme="minorHAnsi"/>
          <w:bCs/>
          <w:iCs/>
        </w:rPr>
        <w:t xml:space="preserve"> statutory </w:t>
      </w:r>
      <w:proofErr w:type="spellStart"/>
      <w:r w:rsidRPr="001D1CD5">
        <w:rPr>
          <w:rFonts w:asciiTheme="minorHAnsi" w:hAnsiTheme="minorHAnsi" w:cstheme="minorHAnsi"/>
          <w:bCs/>
          <w:iCs/>
        </w:rPr>
        <w:t>defence</w:t>
      </w:r>
      <w:proofErr w:type="spellEnd"/>
      <w:r w:rsidRPr="001D1CD5">
        <w:rPr>
          <w:rFonts w:asciiTheme="minorHAnsi" w:hAnsiTheme="minorHAnsi" w:cstheme="minorHAnsi"/>
          <w:bCs/>
          <w:iCs/>
        </w:rPr>
        <w:t xml:space="preserve"> for employers who enter into an </w:t>
      </w:r>
      <w:proofErr w:type="spellStart"/>
      <w:r w:rsidRPr="001D1CD5">
        <w:rPr>
          <w:rFonts w:asciiTheme="minorHAnsi" w:hAnsiTheme="minorHAnsi" w:cstheme="minorHAnsi"/>
          <w:bCs/>
          <w:iCs/>
        </w:rPr>
        <w:t>IFA</w:t>
      </w:r>
      <w:proofErr w:type="spellEnd"/>
      <w:r w:rsidRPr="001D1CD5">
        <w:rPr>
          <w:rFonts w:asciiTheme="minorHAnsi" w:hAnsiTheme="minorHAnsi" w:cstheme="minorHAnsi"/>
          <w:bCs/>
          <w:iCs/>
        </w:rPr>
        <w:t xml:space="preserve"> reasonably believing that the </w:t>
      </w:r>
      <w:proofErr w:type="spellStart"/>
      <w:r w:rsidRPr="001D1CD5">
        <w:rPr>
          <w:rFonts w:asciiTheme="minorHAnsi" w:hAnsiTheme="minorHAnsi" w:cstheme="minorHAnsi"/>
          <w:bCs/>
          <w:iCs/>
        </w:rPr>
        <w:t>IFA</w:t>
      </w:r>
      <w:proofErr w:type="spellEnd"/>
      <w:r w:rsidRPr="001D1CD5">
        <w:rPr>
          <w:rFonts w:asciiTheme="minorHAnsi" w:hAnsiTheme="minorHAnsi" w:cstheme="minorHAnsi"/>
          <w:bCs/>
          <w:iCs/>
        </w:rPr>
        <w:t xml:space="preserve"> complies with the Act. </w:t>
      </w:r>
      <w:r w:rsidR="005B4B8A">
        <w:rPr>
          <w:rFonts w:asciiTheme="minorHAnsi" w:hAnsiTheme="minorHAnsi" w:cstheme="minorHAnsi"/>
          <w:bCs/>
          <w:iCs/>
        </w:rPr>
        <w:t>This</w:t>
      </w:r>
      <w:r w:rsidRPr="001D1CD5">
        <w:rPr>
          <w:rFonts w:asciiTheme="minorHAnsi" w:hAnsiTheme="minorHAnsi" w:cstheme="minorHAnsi"/>
          <w:bCs/>
          <w:iCs/>
        </w:rPr>
        <w:t xml:space="preserve"> would reduce risk and increase certainty for employers thereby encouraging more employers to enter into </w:t>
      </w:r>
      <w:proofErr w:type="spellStart"/>
      <w:r w:rsidRPr="001D1CD5">
        <w:rPr>
          <w:rFonts w:asciiTheme="minorHAnsi" w:hAnsiTheme="minorHAnsi" w:cstheme="minorHAnsi"/>
          <w:bCs/>
          <w:iCs/>
        </w:rPr>
        <w:t>IFAs</w:t>
      </w:r>
      <w:proofErr w:type="spellEnd"/>
      <w:r w:rsidRPr="001D1CD5">
        <w:rPr>
          <w:rFonts w:asciiTheme="minorHAnsi" w:hAnsiTheme="minorHAnsi" w:cstheme="minorHAnsi"/>
          <w:bCs/>
          <w:iCs/>
        </w:rPr>
        <w:t xml:space="preserve"> with their employees.</w:t>
      </w:r>
    </w:p>
    <w:p w14:paraId="62807D8A" w14:textId="77777777" w:rsidR="005953F3" w:rsidRPr="001D1CD5" w:rsidRDefault="009D6F47" w:rsidP="005953F3">
      <w:pPr>
        <w:spacing w:after="240" w:line="276" w:lineRule="auto"/>
        <w:jc w:val="both"/>
        <w:rPr>
          <w:rFonts w:asciiTheme="minorHAnsi" w:hAnsiTheme="minorHAnsi" w:cstheme="minorHAnsi"/>
          <w:bCs/>
          <w:iCs/>
        </w:rPr>
      </w:pPr>
      <w:r w:rsidRPr="001D1CD5">
        <w:rPr>
          <w:rFonts w:asciiTheme="minorHAnsi" w:hAnsiTheme="minorHAnsi" w:cstheme="minorHAnsi"/>
          <w:bCs/>
          <w:iCs/>
        </w:rPr>
        <w:t xml:space="preserve">In addition to the Draft Recommendations in Chapter 16 of the Draft Report, </w:t>
      </w:r>
      <w:r w:rsidR="005953F3" w:rsidRPr="001D1CD5">
        <w:rPr>
          <w:rFonts w:asciiTheme="minorHAnsi" w:hAnsiTheme="minorHAnsi"/>
          <w:lang w:eastAsia="en-AU"/>
        </w:rPr>
        <w:t>Ai Group strongly supports Draft Recommendation 15.2.</w:t>
      </w:r>
      <w:r w:rsidR="005953F3" w:rsidRPr="001D1CD5">
        <w:rPr>
          <w:rFonts w:asciiTheme="minorHAnsi" w:hAnsiTheme="minorHAnsi" w:cstheme="minorHAnsi"/>
          <w:bCs/>
          <w:iCs/>
        </w:rPr>
        <w:t xml:space="preserve"> This recommendation would require that enterprise flexibility terms in enterprise agreements permit </w:t>
      </w:r>
      <w:proofErr w:type="spellStart"/>
      <w:r w:rsidR="005953F3" w:rsidRPr="001D1CD5">
        <w:rPr>
          <w:rFonts w:asciiTheme="minorHAnsi" w:hAnsiTheme="minorHAnsi" w:cstheme="minorHAnsi"/>
          <w:bCs/>
          <w:iCs/>
        </w:rPr>
        <w:t>IFAs</w:t>
      </w:r>
      <w:proofErr w:type="spellEnd"/>
      <w:r w:rsidR="005953F3" w:rsidRPr="001D1CD5">
        <w:rPr>
          <w:rFonts w:asciiTheme="minorHAnsi" w:hAnsiTheme="minorHAnsi" w:cstheme="minorHAnsi"/>
          <w:bCs/>
          <w:iCs/>
        </w:rPr>
        <w:t xml:space="preserve"> to deal with all the matters listed in the model flexibility term, along with any additional matters agreed by the parties. </w:t>
      </w:r>
    </w:p>
    <w:p w14:paraId="60DD8D51" w14:textId="765D13BC" w:rsidR="009D6F47" w:rsidRPr="001D1CD5" w:rsidRDefault="009D6F47" w:rsidP="005953F3">
      <w:pPr>
        <w:spacing w:after="240" w:line="276" w:lineRule="auto"/>
        <w:jc w:val="both"/>
        <w:rPr>
          <w:rFonts w:asciiTheme="minorHAnsi" w:eastAsia="Calibri" w:hAnsiTheme="minorHAnsi" w:cs="Calibri"/>
          <w:b/>
          <w:color w:val="451E51"/>
          <w:sz w:val="28"/>
          <w:szCs w:val="28"/>
          <w:lang w:eastAsia="en-AU"/>
        </w:rPr>
      </w:pPr>
      <w:r w:rsidRPr="001D1CD5">
        <w:rPr>
          <w:rFonts w:asciiTheme="minorHAnsi" w:eastAsia="Calibri" w:hAnsiTheme="minorHAnsi" w:cs="Calibri"/>
          <w:b/>
          <w:color w:val="451E51"/>
          <w:sz w:val="28"/>
          <w:szCs w:val="28"/>
          <w:lang w:eastAsia="en-AU"/>
        </w:rPr>
        <w:t xml:space="preserve">16.3 </w:t>
      </w:r>
      <w:r w:rsidRPr="001D1CD5">
        <w:rPr>
          <w:rFonts w:asciiTheme="minorHAnsi" w:eastAsia="Calibri" w:hAnsiTheme="minorHAnsi" w:cs="Calibri"/>
          <w:b/>
          <w:color w:val="451E51"/>
          <w:sz w:val="28"/>
          <w:szCs w:val="28"/>
          <w:lang w:eastAsia="en-AU"/>
        </w:rPr>
        <w:tab/>
        <w:t>Objects of the Act</w:t>
      </w:r>
    </w:p>
    <w:p w14:paraId="2E8342C7" w14:textId="77777777" w:rsidR="009D6F47" w:rsidRPr="001D1CD5" w:rsidRDefault="009D6F47" w:rsidP="009D6F47">
      <w:pPr>
        <w:spacing w:after="240" w:line="276" w:lineRule="auto"/>
        <w:jc w:val="both"/>
        <w:rPr>
          <w:rFonts w:asciiTheme="minorHAnsi" w:eastAsiaTheme="minorHAnsi" w:hAnsiTheme="minorHAnsi" w:cs="Arial"/>
        </w:rPr>
      </w:pPr>
      <w:r w:rsidRPr="001D1CD5">
        <w:rPr>
          <w:rFonts w:asciiTheme="minorHAnsi" w:hAnsiTheme="minorHAnsi" w:cs="Arial"/>
        </w:rPr>
        <w:t xml:space="preserve">The following blatantly political and inappropriate object in </w:t>
      </w:r>
      <w:proofErr w:type="spellStart"/>
      <w:r w:rsidRPr="001D1CD5">
        <w:rPr>
          <w:rFonts w:asciiTheme="minorHAnsi" w:hAnsiTheme="minorHAnsi" w:cs="Arial"/>
        </w:rPr>
        <w:t>s.3</w:t>
      </w:r>
      <w:proofErr w:type="spellEnd"/>
      <w:r w:rsidRPr="001D1CD5">
        <w:rPr>
          <w:rFonts w:asciiTheme="minorHAnsi" w:hAnsiTheme="minorHAnsi" w:cs="Arial"/>
        </w:rPr>
        <w:t xml:space="preserve"> of the FW Act needs to be repealed:</w:t>
      </w:r>
    </w:p>
    <w:p w14:paraId="7CA5AAC6" w14:textId="77777777" w:rsidR="009D6F47" w:rsidRPr="001D1CD5" w:rsidRDefault="009D6F47" w:rsidP="009D6F47">
      <w:pPr>
        <w:pStyle w:val="paragraph"/>
        <w:spacing w:before="0" w:beforeAutospacing="0" w:after="240" w:afterAutospacing="0" w:line="276" w:lineRule="auto"/>
        <w:ind w:left="1418" w:hanging="851"/>
        <w:jc w:val="both"/>
        <w:rPr>
          <w:rFonts w:asciiTheme="minorHAnsi" w:hAnsiTheme="minorHAnsi"/>
          <w:i/>
        </w:rPr>
      </w:pPr>
      <w:r w:rsidRPr="001D1CD5">
        <w:rPr>
          <w:rFonts w:asciiTheme="minorHAnsi" w:hAnsiTheme="minorHAnsi"/>
          <w:i/>
        </w:rPr>
        <w:t>“</w:t>
      </w:r>
      <w:r w:rsidRPr="001D1CD5">
        <w:rPr>
          <w:rFonts w:asciiTheme="minorHAnsi" w:hAnsiTheme="minorHAnsi"/>
          <w:b/>
          <w:i/>
        </w:rPr>
        <w:t>3(c)</w:t>
      </w:r>
      <w:r w:rsidRPr="001D1CD5">
        <w:rPr>
          <w:rFonts w:asciiTheme="minorHAnsi" w:hAnsiTheme="minorHAnsi"/>
          <w:i/>
        </w:rPr>
        <w:t xml:space="preserve"> </w:t>
      </w:r>
      <w:r w:rsidRPr="001D1CD5">
        <w:rPr>
          <w:rFonts w:asciiTheme="minorHAnsi" w:hAnsiTheme="minorHAnsi"/>
          <w:i/>
        </w:rPr>
        <w:tab/>
        <w:t xml:space="preserve">ensuring that the guaranteed safety net of fair, relevant and enforceable minimum wages and conditions can no longer be undermined by the making of statutory </w:t>
      </w:r>
      <w:r w:rsidRPr="001D1CD5">
        <w:rPr>
          <w:rFonts w:asciiTheme="minorHAnsi" w:hAnsiTheme="minorHAnsi"/>
          <w:i/>
        </w:rPr>
        <w:lastRenderedPageBreak/>
        <w:t xml:space="preserve">individual employment agreements of any kind given that such agreements can never be part of a fair workplace relations system;” </w:t>
      </w:r>
    </w:p>
    <w:p w14:paraId="7A957000" w14:textId="77777777" w:rsidR="009D6F47" w:rsidRPr="001D1CD5" w:rsidRDefault="009D6F47" w:rsidP="009D6F47">
      <w:pPr>
        <w:spacing w:after="240" w:line="276" w:lineRule="auto"/>
        <w:jc w:val="both"/>
        <w:rPr>
          <w:rFonts w:asciiTheme="minorHAnsi" w:hAnsiTheme="minorHAnsi"/>
          <w:lang w:eastAsia="en-AU"/>
        </w:rPr>
      </w:pPr>
      <w:r w:rsidRPr="001D1CD5">
        <w:rPr>
          <w:rFonts w:asciiTheme="minorHAnsi" w:hAnsiTheme="minorHAnsi"/>
          <w:lang w:eastAsia="en-AU"/>
        </w:rPr>
        <w:t xml:space="preserve">The above object should be replaced with the following object which was in the </w:t>
      </w:r>
      <w:r w:rsidRPr="001D1CD5">
        <w:rPr>
          <w:rFonts w:asciiTheme="minorHAnsi" w:hAnsiTheme="minorHAnsi"/>
          <w:i/>
          <w:lang w:eastAsia="en-AU"/>
        </w:rPr>
        <w:t>Workplace Relations Act 1996</w:t>
      </w:r>
      <w:r w:rsidRPr="001D1CD5">
        <w:rPr>
          <w:rFonts w:asciiTheme="minorHAnsi" w:hAnsiTheme="minorHAnsi"/>
          <w:lang w:eastAsia="en-AU"/>
        </w:rPr>
        <w:t xml:space="preserve"> between 1996 and 2006:</w:t>
      </w:r>
    </w:p>
    <w:p w14:paraId="51F6BCCA" w14:textId="77777777" w:rsidR="009D6F47" w:rsidRPr="001D1CD5" w:rsidRDefault="009D6F47" w:rsidP="009D6F47">
      <w:pPr>
        <w:spacing w:after="240" w:line="276" w:lineRule="auto"/>
        <w:ind w:left="1418" w:hanging="851"/>
        <w:jc w:val="both"/>
        <w:rPr>
          <w:rFonts w:asciiTheme="minorHAnsi" w:hAnsiTheme="minorHAnsi"/>
          <w:i/>
        </w:rPr>
      </w:pPr>
      <w:r w:rsidRPr="001D1CD5">
        <w:rPr>
          <w:rFonts w:asciiTheme="minorHAnsi" w:hAnsiTheme="minorHAnsi"/>
          <w:i/>
        </w:rPr>
        <w:t xml:space="preserve"> “</w:t>
      </w:r>
      <w:r w:rsidRPr="001D1CD5">
        <w:rPr>
          <w:rFonts w:asciiTheme="minorHAnsi" w:hAnsiTheme="minorHAnsi"/>
          <w:b/>
          <w:i/>
        </w:rPr>
        <w:t>3(c)</w:t>
      </w:r>
      <w:r w:rsidRPr="001D1CD5">
        <w:rPr>
          <w:rFonts w:asciiTheme="minorHAnsi" w:hAnsiTheme="minorHAnsi"/>
          <w:i/>
        </w:rPr>
        <w:t xml:space="preserve"> </w:t>
      </w:r>
      <w:r w:rsidRPr="001D1CD5">
        <w:rPr>
          <w:rFonts w:asciiTheme="minorHAnsi" w:hAnsiTheme="minorHAnsi"/>
          <w:i/>
        </w:rPr>
        <w:tab/>
        <w:t>enabling employers and employees to choose the most appropriate form of agreement for their particular circumstances, whether or not that form is provided for by this Act;”</w:t>
      </w:r>
    </w:p>
    <w:p w14:paraId="01B576EA" w14:textId="77777777" w:rsidR="009D6F47" w:rsidRPr="001D1CD5" w:rsidRDefault="009D6F47" w:rsidP="009D6F47">
      <w:pPr>
        <w:spacing w:after="240" w:line="276" w:lineRule="auto"/>
        <w:jc w:val="both"/>
        <w:rPr>
          <w:rFonts w:asciiTheme="minorHAnsi" w:hAnsiTheme="minorHAnsi" w:cstheme="minorHAnsi"/>
        </w:rPr>
      </w:pPr>
      <w:r w:rsidRPr="001D1CD5">
        <w:rPr>
          <w:rFonts w:asciiTheme="minorHAnsi" w:hAnsiTheme="minorHAnsi"/>
          <w:lang w:eastAsia="en-AU"/>
        </w:rPr>
        <w:t xml:space="preserve">The above object gives equal weight to individual and collective forms of agreement, and makes clear that forms of agreement dealt with in the FW Act should not be regarded as more desirable than common law contracts and other forms of agreement that are not specifically dealt with in the Act. </w:t>
      </w:r>
    </w:p>
    <w:p w14:paraId="72C0A48D" w14:textId="77777777" w:rsidR="00BF60F6" w:rsidRPr="001D1CD5" w:rsidRDefault="00D979F2" w:rsidP="00BF60F6">
      <w:pPr>
        <w:pStyle w:val="Heading1"/>
        <w:spacing w:before="0" w:after="240" w:line="276" w:lineRule="auto"/>
        <w:ind w:left="709" w:hanging="709"/>
        <w:rPr>
          <w:rFonts w:asciiTheme="minorHAnsi" w:eastAsia="Calibri" w:hAnsiTheme="minorHAnsi" w:cs="Calibri"/>
          <w:color w:val="451E51"/>
          <w:sz w:val="36"/>
          <w:szCs w:val="36"/>
          <w:u w:color="0070C0"/>
          <w:lang w:eastAsia="en-AU"/>
        </w:rPr>
      </w:pPr>
      <w:r w:rsidRPr="001D1CD5">
        <w:rPr>
          <w:rFonts w:asciiTheme="minorHAnsi" w:eastAsia="Calibri" w:hAnsiTheme="minorHAnsi" w:cs="Calibri"/>
          <w:color w:val="451E51"/>
          <w:sz w:val="36"/>
          <w:szCs w:val="36"/>
          <w:u w:color="0070C0"/>
          <w:lang w:eastAsia="en-AU"/>
        </w:rPr>
        <w:t xml:space="preserve">17. </w:t>
      </w:r>
      <w:r w:rsidRPr="001D1CD5">
        <w:rPr>
          <w:rFonts w:asciiTheme="minorHAnsi" w:eastAsia="Calibri" w:hAnsiTheme="minorHAnsi" w:cs="Calibri"/>
          <w:color w:val="451E51"/>
          <w:sz w:val="36"/>
          <w:szCs w:val="36"/>
          <w:u w:color="0070C0"/>
          <w:lang w:eastAsia="en-AU"/>
        </w:rPr>
        <w:tab/>
        <w:t>The enterprise contract</w:t>
      </w:r>
    </w:p>
    <w:p w14:paraId="6A579BCB" w14:textId="77777777" w:rsidR="004567C2" w:rsidRPr="001D1CD5" w:rsidRDefault="004567C2" w:rsidP="004567C2">
      <w:pPr>
        <w:spacing w:after="240" w:line="276" w:lineRule="auto"/>
        <w:jc w:val="both"/>
        <w:rPr>
          <w:rFonts w:asciiTheme="minorHAnsi" w:hAnsiTheme="minorHAnsi"/>
          <w:lang w:eastAsia="en-AU"/>
        </w:rPr>
      </w:pPr>
      <w:r w:rsidRPr="001D1CD5">
        <w:rPr>
          <w:rFonts w:asciiTheme="minorHAnsi" w:hAnsiTheme="minorHAnsi"/>
          <w:lang w:eastAsia="en-AU"/>
        </w:rPr>
        <w:t>Ai Group supports the concept of Enterprise Contracts and commends the Productivity Commission on developing this new agreement-making option. As Ai Group understands the concept proposed in the Draft Report:</w:t>
      </w:r>
    </w:p>
    <w:p w14:paraId="3E00B448" w14:textId="77777777" w:rsidR="004567C2" w:rsidRPr="001D1CD5" w:rsidRDefault="004567C2" w:rsidP="00FE0A2F">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cs="Arial"/>
        </w:rPr>
      </w:pPr>
      <w:r w:rsidRPr="001D1CD5">
        <w:rPr>
          <w:rFonts w:asciiTheme="minorHAnsi" w:hAnsiTheme="minorHAnsi" w:cs="Arial"/>
        </w:rPr>
        <w:t>An Enterprise Contract would follow a template applicable to a class or group of employees.</w:t>
      </w:r>
    </w:p>
    <w:p w14:paraId="3C10F976" w14:textId="77777777" w:rsidR="004567C2" w:rsidRPr="001D1CD5" w:rsidRDefault="004567C2" w:rsidP="00FE0A2F">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cs="Arial"/>
          <w:lang w:eastAsia="en-US"/>
        </w:rPr>
      </w:pPr>
      <w:r w:rsidRPr="001D1CD5">
        <w:rPr>
          <w:rFonts w:asciiTheme="minorHAnsi" w:hAnsiTheme="minorHAnsi" w:cs="Arial"/>
        </w:rPr>
        <w:t xml:space="preserve">The Enterprise Contract would apply on an individual basis to an employee within the specified class or group.   </w:t>
      </w:r>
    </w:p>
    <w:p w14:paraId="723EEC65" w14:textId="77777777" w:rsidR="004567C2" w:rsidRPr="001D1CD5" w:rsidRDefault="004567C2" w:rsidP="00FE0A2F">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cs="Arial"/>
        </w:rPr>
      </w:pPr>
      <w:r w:rsidRPr="001D1CD5">
        <w:rPr>
          <w:rFonts w:asciiTheme="minorHAnsi" w:hAnsiTheme="minorHAnsi" w:cs="Arial"/>
        </w:rPr>
        <w:t>The Enterprise Contract would need to be offered to all existing employees in the specified class or group.</w:t>
      </w:r>
    </w:p>
    <w:p w14:paraId="72FFD84C" w14:textId="77777777" w:rsidR="004567C2" w:rsidRPr="001D1CD5" w:rsidRDefault="004567C2" w:rsidP="00FE0A2F">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cs="Arial"/>
        </w:rPr>
      </w:pPr>
      <w:r w:rsidRPr="001D1CD5">
        <w:rPr>
          <w:rFonts w:asciiTheme="minorHAnsi" w:hAnsiTheme="minorHAnsi" w:cs="Arial"/>
        </w:rPr>
        <w:t>The Enterprise Contract could be offered as a condition of employment to new employees in the specified class or group.</w:t>
      </w:r>
    </w:p>
    <w:p w14:paraId="5C19D451" w14:textId="77777777" w:rsidR="004567C2" w:rsidRPr="001D1CD5" w:rsidRDefault="004567C2" w:rsidP="00FE0A2F">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cs="Arial"/>
        </w:rPr>
      </w:pPr>
      <w:r w:rsidRPr="001D1CD5">
        <w:rPr>
          <w:rFonts w:asciiTheme="minorHAnsi" w:hAnsiTheme="minorHAnsi" w:cs="Arial"/>
        </w:rPr>
        <w:t>The employer would deal directly with the employees.</w:t>
      </w:r>
    </w:p>
    <w:p w14:paraId="65F3193D" w14:textId="77777777" w:rsidR="004567C2" w:rsidRPr="001D1CD5" w:rsidRDefault="004567C2" w:rsidP="00FE0A2F">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cs="Arial"/>
        </w:rPr>
      </w:pPr>
      <w:r w:rsidRPr="001D1CD5">
        <w:rPr>
          <w:rFonts w:asciiTheme="minorHAnsi" w:hAnsiTheme="minorHAnsi" w:cs="Arial"/>
        </w:rPr>
        <w:t>An Enterprise Contract would need to conform to requirements specified in the FW Act or Regulations.</w:t>
      </w:r>
    </w:p>
    <w:p w14:paraId="3A1C35FE" w14:textId="77777777" w:rsidR="004567C2" w:rsidRPr="001D1CD5" w:rsidRDefault="004567C2" w:rsidP="00FE0A2F">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cs="Arial"/>
        </w:rPr>
      </w:pPr>
      <w:r w:rsidRPr="001D1CD5">
        <w:rPr>
          <w:rFonts w:asciiTheme="minorHAnsi" w:hAnsiTheme="minorHAnsi" w:cs="Arial"/>
        </w:rPr>
        <w:t xml:space="preserve">Sample templates (e.g. for each award) would be made available on the </w:t>
      </w:r>
      <w:proofErr w:type="spellStart"/>
      <w:r w:rsidRPr="001D1CD5">
        <w:rPr>
          <w:rFonts w:asciiTheme="minorHAnsi" w:hAnsiTheme="minorHAnsi" w:cs="Arial"/>
        </w:rPr>
        <w:t>FWC</w:t>
      </w:r>
      <w:proofErr w:type="spellEnd"/>
      <w:r w:rsidRPr="001D1CD5">
        <w:rPr>
          <w:rFonts w:asciiTheme="minorHAnsi" w:hAnsiTheme="minorHAnsi" w:cs="Arial"/>
        </w:rPr>
        <w:t xml:space="preserve"> website. An employer would not be required to use a template so long as the template developed by the employer met the requirements of the Regulations. </w:t>
      </w:r>
    </w:p>
    <w:p w14:paraId="67501C46" w14:textId="77777777" w:rsidR="004567C2" w:rsidRPr="001D1CD5" w:rsidRDefault="004567C2" w:rsidP="00FE0A2F">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cs="Arial"/>
        </w:rPr>
      </w:pPr>
      <w:r w:rsidRPr="001D1CD5">
        <w:rPr>
          <w:rFonts w:asciiTheme="minorHAnsi" w:hAnsiTheme="minorHAnsi" w:cs="Arial"/>
        </w:rPr>
        <w:t xml:space="preserve">Comprehensive employee protections would apply including: </w:t>
      </w:r>
    </w:p>
    <w:p w14:paraId="0759A2D1" w14:textId="77777777" w:rsidR="004567C2" w:rsidRPr="001D1CD5" w:rsidRDefault="004567C2" w:rsidP="00FE0A2F">
      <w:pPr>
        <w:pStyle w:val="ListParagraph"/>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cs="Arial"/>
        </w:rPr>
      </w:pPr>
      <w:r w:rsidRPr="001D1CD5">
        <w:rPr>
          <w:rFonts w:asciiTheme="minorHAnsi" w:hAnsiTheme="minorHAnsi" w:cs="Arial"/>
        </w:rPr>
        <w:t>A prohibition on the coercion of existing employees to enter into an Enterprise Contract;</w:t>
      </w:r>
    </w:p>
    <w:p w14:paraId="14C7E94C" w14:textId="77777777" w:rsidR="004567C2" w:rsidRPr="001D1CD5" w:rsidRDefault="004567C2" w:rsidP="00FE0A2F">
      <w:pPr>
        <w:pStyle w:val="ListParagraph"/>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cs="Arial"/>
        </w:rPr>
      </w:pPr>
      <w:r w:rsidRPr="001D1CD5">
        <w:rPr>
          <w:rFonts w:asciiTheme="minorHAnsi" w:hAnsiTheme="minorHAnsi" w:cs="Arial"/>
        </w:rPr>
        <w:lastRenderedPageBreak/>
        <w:t>The employer would need to provide the Enterprise Contract to the employee in writing, with sufficient time for the employee to assess and understand it before agreeing to it;</w:t>
      </w:r>
    </w:p>
    <w:p w14:paraId="544DB305" w14:textId="77777777" w:rsidR="004567C2" w:rsidRPr="001D1CD5" w:rsidRDefault="004567C2" w:rsidP="00FE0A2F">
      <w:pPr>
        <w:pStyle w:val="ListParagraph"/>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cs="Arial"/>
        </w:rPr>
      </w:pPr>
      <w:r w:rsidRPr="001D1CD5">
        <w:rPr>
          <w:rFonts w:asciiTheme="minorHAnsi" w:hAnsiTheme="minorHAnsi" w:cs="Arial"/>
        </w:rPr>
        <w:t>A No Disadvantage Test would apply;</w:t>
      </w:r>
    </w:p>
    <w:p w14:paraId="43D99950" w14:textId="77777777" w:rsidR="004567C2" w:rsidRPr="001D1CD5" w:rsidRDefault="004567C2" w:rsidP="00FE0A2F">
      <w:pPr>
        <w:pStyle w:val="ListParagraph"/>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cs="Arial"/>
        </w:rPr>
      </w:pPr>
      <w:r w:rsidRPr="001D1CD5">
        <w:rPr>
          <w:rFonts w:asciiTheme="minorHAnsi" w:hAnsiTheme="minorHAnsi" w:cs="Arial"/>
        </w:rPr>
        <w:t xml:space="preserve">The Enterprise Contract would be subject to the </w:t>
      </w:r>
      <w:proofErr w:type="spellStart"/>
      <w:r w:rsidRPr="001D1CD5">
        <w:rPr>
          <w:rFonts w:asciiTheme="minorHAnsi" w:hAnsiTheme="minorHAnsi" w:cs="Arial"/>
        </w:rPr>
        <w:t>NES</w:t>
      </w:r>
      <w:proofErr w:type="spellEnd"/>
      <w:r w:rsidRPr="001D1CD5">
        <w:rPr>
          <w:rFonts w:asciiTheme="minorHAnsi" w:hAnsiTheme="minorHAnsi" w:cs="Arial"/>
        </w:rPr>
        <w:t>; and</w:t>
      </w:r>
    </w:p>
    <w:p w14:paraId="0DDB6B61" w14:textId="77777777" w:rsidR="004567C2" w:rsidRPr="001D1CD5" w:rsidRDefault="004567C2" w:rsidP="00FE0A2F">
      <w:pPr>
        <w:pStyle w:val="ListParagraph"/>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cs="Arial"/>
        </w:rPr>
      </w:pPr>
      <w:r w:rsidRPr="001D1CD5">
        <w:rPr>
          <w:rFonts w:asciiTheme="minorHAnsi" w:hAnsiTheme="minorHAnsi" w:cs="Arial"/>
        </w:rPr>
        <w:t>The base wage rate for an employee covered by an Enterprise Contract would not be able to fall below the relevant award rate (or the national minimum wage for award free employees).</w:t>
      </w:r>
    </w:p>
    <w:p w14:paraId="35B32F7F" w14:textId="77777777" w:rsidR="004567C2" w:rsidRPr="001D1CD5" w:rsidRDefault="004567C2" w:rsidP="00FE0A2F">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cs="Arial"/>
        </w:rPr>
      </w:pPr>
      <w:r w:rsidRPr="001D1CD5">
        <w:rPr>
          <w:rFonts w:asciiTheme="minorHAnsi" w:hAnsiTheme="minorHAnsi" w:cs="Arial"/>
        </w:rPr>
        <w:t xml:space="preserve">An Enterprise Contract would operate for a specified term (for example, three years). </w:t>
      </w:r>
    </w:p>
    <w:p w14:paraId="3631EB03" w14:textId="77777777" w:rsidR="004567C2" w:rsidRPr="001D1CD5" w:rsidRDefault="004567C2" w:rsidP="00FE0A2F">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cs="Arial"/>
        </w:rPr>
      </w:pPr>
      <w:r w:rsidRPr="001D1CD5">
        <w:rPr>
          <w:rFonts w:asciiTheme="minorHAnsi" w:hAnsiTheme="minorHAnsi" w:cs="Arial"/>
        </w:rPr>
        <w:t>An Enterprise Contract would continue indefinitely after the expiry of the nominal term until terminated or replaced.</w:t>
      </w:r>
    </w:p>
    <w:p w14:paraId="34119DB2" w14:textId="0650450F" w:rsidR="004567C2" w:rsidRPr="001D1CD5" w:rsidRDefault="004567C2" w:rsidP="00FE0A2F">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cs="Arial"/>
        </w:rPr>
      </w:pPr>
      <w:r w:rsidRPr="001D1CD5">
        <w:rPr>
          <w:rFonts w:asciiTheme="minorHAnsi" w:hAnsiTheme="minorHAnsi" w:cs="Arial"/>
        </w:rPr>
        <w:t>An employee would have the option to return to an existing arrangement after a minimum period specified in the Regulations (for example, 12 months) or at the ex</w:t>
      </w:r>
      <w:r w:rsidR="005B4B8A">
        <w:rPr>
          <w:rFonts w:asciiTheme="minorHAnsi" w:hAnsiTheme="minorHAnsi" w:cs="Arial"/>
        </w:rPr>
        <w:t>piry of the Enterprise Contract</w:t>
      </w:r>
      <w:r w:rsidRPr="001D1CD5">
        <w:rPr>
          <w:rFonts w:asciiTheme="minorHAnsi" w:hAnsiTheme="minorHAnsi" w:cs="Arial"/>
        </w:rPr>
        <w:t xml:space="preserve">, whichever was shorter. </w:t>
      </w:r>
    </w:p>
    <w:p w14:paraId="22DB73B5" w14:textId="77777777" w:rsidR="004567C2" w:rsidRPr="001D1CD5" w:rsidRDefault="004567C2" w:rsidP="00FE0A2F">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cs="Arial"/>
        </w:rPr>
      </w:pPr>
      <w:r w:rsidRPr="001D1CD5">
        <w:rPr>
          <w:rFonts w:asciiTheme="minorHAnsi" w:hAnsiTheme="minorHAnsi" w:cs="Arial"/>
        </w:rPr>
        <w:t xml:space="preserve">The employer would be required to lodge the Enterprise Contract (as it applies to the class or group of employees) with the </w:t>
      </w:r>
      <w:proofErr w:type="spellStart"/>
      <w:r w:rsidRPr="001D1CD5">
        <w:rPr>
          <w:rFonts w:asciiTheme="minorHAnsi" w:hAnsiTheme="minorHAnsi" w:cs="Arial"/>
        </w:rPr>
        <w:t>FWC</w:t>
      </w:r>
      <w:proofErr w:type="spellEnd"/>
      <w:r w:rsidRPr="001D1CD5">
        <w:rPr>
          <w:rFonts w:asciiTheme="minorHAnsi" w:hAnsiTheme="minorHAnsi" w:cs="Arial"/>
        </w:rPr>
        <w:t xml:space="preserve"> but would not need to identify the individual employees covered by it. </w:t>
      </w:r>
    </w:p>
    <w:p w14:paraId="57F2A984" w14:textId="77777777" w:rsidR="004567C2" w:rsidRPr="001D1CD5" w:rsidRDefault="004567C2" w:rsidP="00FE0A2F">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cs="Arial"/>
        </w:rPr>
      </w:pPr>
      <w:r w:rsidRPr="001D1CD5">
        <w:rPr>
          <w:rFonts w:asciiTheme="minorHAnsi" w:hAnsiTheme="minorHAnsi" w:cs="Arial"/>
        </w:rPr>
        <w:t>An Enterprise Contract would override any award that covers the employee.</w:t>
      </w:r>
    </w:p>
    <w:p w14:paraId="135E00BA" w14:textId="77777777" w:rsidR="004567C2" w:rsidRPr="001D1CD5" w:rsidRDefault="004567C2" w:rsidP="00FE0A2F">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cs="Arial"/>
        </w:rPr>
      </w:pPr>
      <w:r w:rsidRPr="001D1CD5">
        <w:rPr>
          <w:rFonts w:asciiTheme="minorHAnsi" w:hAnsiTheme="minorHAnsi" w:cs="Arial"/>
        </w:rPr>
        <w:t>An Enterprise Contract would override any enterprise agreement that covers the employee.</w:t>
      </w:r>
    </w:p>
    <w:p w14:paraId="184E95E5" w14:textId="77777777" w:rsidR="004567C2" w:rsidRPr="001D1CD5" w:rsidRDefault="004567C2" w:rsidP="00FE0A2F">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cs="Arial"/>
        </w:rPr>
      </w:pPr>
      <w:r w:rsidRPr="001D1CD5">
        <w:rPr>
          <w:rFonts w:asciiTheme="minorHAnsi" w:hAnsiTheme="minorHAnsi" w:cs="Arial"/>
        </w:rPr>
        <w:t xml:space="preserve">The enterprise bargaining provisions of the FW Act would not apply to the making of Enterprise Contracts (e.g. the provisions relating to bargaining representatives, bargaining orders, good faith bargaining requirements, </w:t>
      </w:r>
      <w:proofErr w:type="spellStart"/>
      <w:r w:rsidRPr="001D1CD5">
        <w:rPr>
          <w:rFonts w:asciiTheme="minorHAnsi" w:hAnsiTheme="minorHAnsi" w:cs="Arial"/>
        </w:rPr>
        <w:t>etc</w:t>
      </w:r>
      <w:proofErr w:type="spellEnd"/>
      <w:r w:rsidRPr="001D1CD5">
        <w:rPr>
          <w:rFonts w:asciiTheme="minorHAnsi" w:hAnsiTheme="minorHAnsi" w:cs="Arial"/>
        </w:rPr>
        <w:t>).</w:t>
      </w:r>
    </w:p>
    <w:p w14:paraId="19D9401F" w14:textId="77777777" w:rsidR="004567C2" w:rsidRPr="001D1CD5" w:rsidRDefault="004567C2" w:rsidP="00FE0A2F">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cs="Arial"/>
        </w:rPr>
      </w:pPr>
      <w:r w:rsidRPr="001D1CD5">
        <w:rPr>
          <w:rFonts w:asciiTheme="minorHAnsi" w:hAnsiTheme="minorHAnsi" w:cs="Arial"/>
        </w:rPr>
        <w:t>Prior to the expiry of the Enterprise Contract, the employee would not have the right to participate in enterprise agreement negotiations in the workplace or to take protected industrial action in pursuit of an enterprise agreement.</w:t>
      </w:r>
    </w:p>
    <w:p w14:paraId="3E7D9524" w14:textId="77777777" w:rsidR="004567C2" w:rsidRPr="001D1CD5" w:rsidRDefault="004567C2" w:rsidP="00FE0A2F">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cs="Arial"/>
        </w:rPr>
      </w:pPr>
      <w:r w:rsidRPr="001D1CD5">
        <w:rPr>
          <w:rFonts w:asciiTheme="minorHAnsi" w:hAnsiTheme="minorHAnsi" w:cs="Arial"/>
        </w:rPr>
        <w:t xml:space="preserve">For transparency purposes, the </w:t>
      </w:r>
      <w:proofErr w:type="spellStart"/>
      <w:r w:rsidRPr="001D1CD5">
        <w:rPr>
          <w:rFonts w:asciiTheme="minorHAnsi" w:hAnsiTheme="minorHAnsi" w:cs="Arial"/>
        </w:rPr>
        <w:t>FWC</w:t>
      </w:r>
      <w:proofErr w:type="spellEnd"/>
      <w:r w:rsidRPr="001D1CD5">
        <w:rPr>
          <w:rFonts w:asciiTheme="minorHAnsi" w:hAnsiTheme="minorHAnsi" w:cs="Arial"/>
        </w:rPr>
        <w:t xml:space="preserve"> would periodically publish the Enterprise Contracts that had been lodged.</w:t>
      </w:r>
    </w:p>
    <w:p w14:paraId="72CF6289" w14:textId="77777777" w:rsidR="004567C2" w:rsidRPr="001D1CD5" w:rsidRDefault="004567C2" w:rsidP="00FE0A2F">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cs="Arial"/>
        </w:rPr>
      </w:pPr>
      <w:r w:rsidRPr="001D1CD5">
        <w:rPr>
          <w:rFonts w:asciiTheme="minorHAnsi" w:hAnsiTheme="minorHAnsi" w:cs="Arial"/>
        </w:rPr>
        <w:t xml:space="preserve">An Enterprise Contract would commence at the time when it is lodged by the employer with the </w:t>
      </w:r>
      <w:proofErr w:type="spellStart"/>
      <w:r w:rsidRPr="001D1CD5">
        <w:rPr>
          <w:rFonts w:asciiTheme="minorHAnsi" w:hAnsiTheme="minorHAnsi" w:cs="Arial"/>
        </w:rPr>
        <w:t>FWC</w:t>
      </w:r>
      <w:proofErr w:type="spellEnd"/>
      <w:r w:rsidRPr="001D1CD5">
        <w:rPr>
          <w:rFonts w:asciiTheme="minorHAnsi" w:hAnsiTheme="minorHAnsi" w:cs="Arial"/>
        </w:rPr>
        <w:t xml:space="preserve">. </w:t>
      </w:r>
    </w:p>
    <w:p w14:paraId="19042785" w14:textId="77777777" w:rsidR="004567C2" w:rsidRPr="001D1CD5" w:rsidRDefault="004567C2" w:rsidP="00FE0A2F">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cs="Arial"/>
        </w:rPr>
      </w:pPr>
      <w:r w:rsidRPr="001D1CD5">
        <w:rPr>
          <w:rFonts w:asciiTheme="minorHAnsi" w:hAnsiTheme="minorHAnsi" w:cs="Arial"/>
        </w:rPr>
        <w:t xml:space="preserve">The </w:t>
      </w:r>
      <w:proofErr w:type="spellStart"/>
      <w:r w:rsidRPr="001D1CD5">
        <w:rPr>
          <w:rFonts w:asciiTheme="minorHAnsi" w:hAnsiTheme="minorHAnsi" w:cs="Arial"/>
        </w:rPr>
        <w:t>FWO</w:t>
      </w:r>
      <w:proofErr w:type="spellEnd"/>
      <w:r w:rsidRPr="001D1CD5">
        <w:rPr>
          <w:rFonts w:asciiTheme="minorHAnsi" w:hAnsiTheme="minorHAnsi" w:cs="Arial"/>
        </w:rPr>
        <w:t xml:space="preserve"> would provide a support and education role, and would be able to scrutinize Enterprise Contracts for the purposes of compliance and enforcement</w:t>
      </w:r>
    </w:p>
    <w:p w14:paraId="4F6CD5A2" w14:textId="77777777" w:rsidR="004567C2" w:rsidRPr="001D1CD5" w:rsidRDefault="004567C2" w:rsidP="004567C2">
      <w:pPr>
        <w:spacing w:after="240" w:line="276" w:lineRule="auto"/>
        <w:jc w:val="both"/>
        <w:rPr>
          <w:rFonts w:asciiTheme="minorHAnsi" w:hAnsiTheme="minorHAnsi" w:cs="Arial"/>
        </w:rPr>
      </w:pPr>
      <w:r w:rsidRPr="001D1CD5">
        <w:rPr>
          <w:rFonts w:asciiTheme="minorHAnsi" w:hAnsiTheme="minorHAnsi" w:cs="Arial"/>
        </w:rPr>
        <w:lastRenderedPageBreak/>
        <w:t>Ai Group proposes the following additional / amended elements:</w:t>
      </w:r>
    </w:p>
    <w:p w14:paraId="1D4C8A29" w14:textId="77777777" w:rsidR="004567C2" w:rsidRPr="001D1CD5" w:rsidRDefault="004567C2" w:rsidP="00FE0A2F">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cs="Arial"/>
        </w:rPr>
      </w:pPr>
      <w:r w:rsidRPr="001D1CD5">
        <w:rPr>
          <w:rFonts w:asciiTheme="minorHAnsi" w:hAnsiTheme="minorHAnsi" w:cs="Arial"/>
        </w:rPr>
        <w:t>An Enterprise Contract would have a nominal term of up to five years. (In Ai Group’s view, the three year period used in the Draft Report as an example of what might be in the Regulations, is too short. The maximum term should align with what the Productivity Commission has proposed for enterprise agreements).</w:t>
      </w:r>
    </w:p>
    <w:p w14:paraId="1C5D065C" w14:textId="77777777" w:rsidR="004567C2" w:rsidRPr="001D1CD5" w:rsidRDefault="004567C2" w:rsidP="00FE0A2F">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cs="Arial"/>
        </w:rPr>
      </w:pPr>
      <w:r w:rsidRPr="001D1CD5">
        <w:rPr>
          <w:rFonts w:asciiTheme="minorHAnsi" w:hAnsiTheme="minorHAnsi" w:cs="Arial"/>
        </w:rPr>
        <w:t>The employee would have the option to return to an existing arrangement after three years or at the expiry of the Enterprise Contract, whichever was shorter.  (In Ai Group’s view, the 12 month period used in the Draft Report as an example of what might be in the Regulations, is too short. Such a short period would create too much uncertainty and would deter employers from hiring employees on the basis of Enterprise Contracts).</w:t>
      </w:r>
    </w:p>
    <w:p w14:paraId="37C9CB7E" w14:textId="77777777" w:rsidR="004567C2" w:rsidRPr="001D1CD5" w:rsidRDefault="004567C2" w:rsidP="00FE0A2F">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cs="Arial"/>
        </w:rPr>
      </w:pPr>
      <w:r w:rsidRPr="001D1CD5">
        <w:rPr>
          <w:rFonts w:asciiTheme="minorHAnsi" w:hAnsiTheme="minorHAnsi" w:cs="Arial"/>
        </w:rPr>
        <w:t>Enterprise agreement clauses which prohibit the offering or making of an Enterprise Contract for any of the employees covered by the enterprise agreement should be unlawful terms under the FW Act.</w:t>
      </w:r>
    </w:p>
    <w:p w14:paraId="539072F8" w14:textId="77777777" w:rsidR="004567C2" w:rsidRPr="001D1CD5" w:rsidRDefault="004567C2" w:rsidP="005B4B8A">
      <w:pPr>
        <w:spacing w:after="240" w:line="276" w:lineRule="auto"/>
        <w:jc w:val="both"/>
        <w:rPr>
          <w:rFonts w:asciiTheme="minorHAnsi" w:hAnsiTheme="minorHAnsi"/>
          <w:lang w:eastAsia="en-AU"/>
        </w:rPr>
      </w:pPr>
      <w:r w:rsidRPr="001D1CD5">
        <w:rPr>
          <w:rFonts w:asciiTheme="minorHAnsi" w:hAnsiTheme="minorHAnsi"/>
          <w:lang w:eastAsia="en-AU"/>
        </w:rPr>
        <w:t>With the amendments and additions proposed above, Ai Group envisages that Enterprise Contracts would become a well-</w:t>
      </w:r>
      <w:proofErr w:type="spellStart"/>
      <w:r w:rsidRPr="001D1CD5">
        <w:rPr>
          <w:rFonts w:asciiTheme="minorHAnsi" w:hAnsiTheme="minorHAnsi"/>
          <w:lang w:eastAsia="en-AU"/>
        </w:rPr>
        <w:t>utilised</w:t>
      </w:r>
      <w:proofErr w:type="spellEnd"/>
      <w:r w:rsidRPr="001D1CD5">
        <w:rPr>
          <w:rFonts w:asciiTheme="minorHAnsi" w:hAnsiTheme="minorHAnsi"/>
          <w:lang w:eastAsia="en-AU"/>
        </w:rPr>
        <w:t xml:space="preserve"> and widely supported agreement-making option for employers and employees.</w:t>
      </w:r>
    </w:p>
    <w:p w14:paraId="13DD131A" w14:textId="77777777" w:rsidR="00BF60F6" w:rsidRPr="001D1CD5" w:rsidRDefault="00D979F2" w:rsidP="00A06394">
      <w:pPr>
        <w:pStyle w:val="Heading1"/>
        <w:spacing w:before="0" w:after="240" w:line="276" w:lineRule="auto"/>
        <w:ind w:left="709" w:hanging="709"/>
        <w:jc w:val="both"/>
        <w:rPr>
          <w:rFonts w:asciiTheme="minorHAnsi" w:eastAsia="Calibri" w:hAnsiTheme="minorHAnsi" w:cs="Calibri"/>
          <w:color w:val="451E51"/>
          <w:sz w:val="36"/>
          <w:szCs w:val="36"/>
          <w:u w:color="0070C0"/>
          <w:lang w:eastAsia="en-AU"/>
        </w:rPr>
      </w:pPr>
      <w:r w:rsidRPr="001D1CD5">
        <w:rPr>
          <w:rFonts w:asciiTheme="minorHAnsi" w:eastAsia="Calibri" w:hAnsiTheme="minorHAnsi" w:cs="Calibri"/>
          <w:color w:val="451E51"/>
          <w:sz w:val="36"/>
          <w:szCs w:val="36"/>
          <w:u w:color="0070C0"/>
          <w:lang w:eastAsia="en-AU"/>
        </w:rPr>
        <w:t xml:space="preserve">18. </w:t>
      </w:r>
      <w:r w:rsidRPr="001D1CD5">
        <w:rPr>
          <w:rFonts w:asciiTheme="minorHAnsi" w:eastAsia="Calibri" w:hAnsiTheme="minorHAnsi" w:cs="Calibri"/>
          <w:color w:val="451E51"/>
          <w:sz w:val="36"/>
          <w:szCs w:val="36"/>
          <w:u w:color="0070C0"/>
          <w:lang w:eastAsia="en-AU"/>
        </w:rPr>
        <w:tab/>
        <w:t>Public sector bargaining</w:t>
      </w:r>
    </w:p>
    <w:p w14:paraId="38AC7D04" w14:textId="0A54CAB5" w:rsidR="00A06394" w:rsidRPr="001D1CD5" w:rsidRDefault="00A06394" w:rsidP="005B4B8A">
      <w:pPr>
        <w:spacing w:after="240" w:line="276" w:lineRule="auto"/>
        <w:jc w:val="both"/>
        <w:rPr>
          <w:rFonts w:asciiTheme="minorHAnsi" w:hAnsiTheme="minorHAnsi"/>
        </w:rPr>
      </w:pPr>
      <w:r w:rsidRPr="001D1CD5">
        <w:rPr>
          <w:rFonts w:asciiTheme="minorHAnsi" w:hAnsiTheme="minorHAnsi"/>
          <w:lang w:eastAsia="en-AU"/>
        </w:rPr>
        <w:t xml:space="preserve">Ai Group has some involvement with public sector bargaining matters. We provide </w:t>
      </w:r>
      <w:r w:rsidRPr="001D1CD5">
        <w:rPr>
          <w:rFonts w:asciiTheme="minorHAnsi" w:hAnsiTheme="minorHAnsi"/>
        </w:rPr>
        <w:t>bargaining services to a number of public sector agencies. We also have as members a large number of companies which are impacted by the outcomes of public sector bargaining, for example:</w:t>
      </w:r>
    </w:p>
    <w:p w14:paraId="65C2B125" w14:textId="4E116C91" w:rsidR="00A06394" w:rsidRPr="001D1CD5" w:rsidRDefault="00A06394" w:rsidP="005B4B8A">
      <w:pPr>
        <w:pStyle w:val="ListParagraph"/>
        <w:numPr>
          <w:ilvl w:val="0"/>
          <w:numId w:val="34"/>
        </w:numPr>
        <w:spacing w:after="240" w:line="276" w:lineRule="auto"/>
        <w:jc w:val="both"/>
        <w:rPr>
          <w:rFonts w:asciiTheme="minorHAnsi" w:hAnsiTheme="minorHAnsi"/>
        </w:rPr>
      </w:pPr>
      <w:r w:rsidRPr="001D1CD5">
        <w:rPr>
          <w:rFonts w:asciiTheme="minorHAnsi" w:hAnsiTheme="minorHAnsi"/>
        </w:rPr>
        <w:t>Companies which take over outsourced public sector work and which are impacted by the transfer of public sector enterprise agreements;</w:t>
      </w:r>
    </w:p>
    <w:p w14:paraId="6EED9F5F" w14:textId="15B4A71A" w:rsidR="00A06394" w:rsidRPr="001D1CD5" w:rsidRDefault="00A06394" w:rsidP="005B4B8A">
      <w:pPr>
        <w:pStyle w:val="ListParagraph"/>
        <w:numPr>
          <w:ilvl w:val="0"/>
          <w:numId w:val="34"/>
        </w:numPr>
        <w:spacing w:after="240" w:line="276" w:lineRule="auto"/>
        <w:jc w:val="both"/>
        <w:rPr>
          <w:rFonts w:asciiTheme="minorHAnsi" w:hAnsiTheme="minorHAnsi"/>
        </w:rPr>
      </w:pPr>
      <w:r w:rsidRPr="001D1CD5">
        <w:rPr>
          <w:rFonts w:asciiTheme="minorHAnsi" w:hAnsiTheme="minorHAnsi"/>
        </w:rPr>
        <w:t>Companies which are impacted in various ways as suppliers to government</w:t>
      </w:r>
      <w:r w:rsidR="00174105" w:rsidRPr="001D1CD5">
        <w:rPr>
          <w:rFonts w:asciiTheme="minorHAnsi" w:hAnsiTheme="minorHAnsi"/>
        </w:rPr>
        <w:t>s</w:t>
      </w:r>
      <w:r w:rsidRPr="001D1CD5">
        <w:rPr>
          <w:rFonts w:asciiTheme="minorHAnsi" w:hAnsiTheme="minorHAnsi"/>
        </w:rPr>
        <w:t xml:space="preserve"> due to restrictions in public sector enterprise agreements</w:t>
      </w:r>
      <w:r w:rsidR="00174105" w:rsidRPr="001D1CD5">
        <w:rPr>
          <w:rFonts w:asciiTheme="minorHAnsi" w:hAnsiTheme="minorHAnsi"/>
        </w:rPr>
        <w:t xml:space="preserve"> (e.g. restrictions on contractors, </w:t>
      </w:r>
      <w:proofErr w:type="spellStart"/>
      <w:r w:rsidR="00174105" w:rsidRPr="001D1CD5">
        <w:rPr>
          <w:rFonts w:asciiTheme="minorHAnsi" w:hAnsiTheme="minorHAnsi"/>
        </w:rPr>
        <w:t>labour</w:t>
      </w:r>
      <w:proofErr w:type="spellEnd"/>
      <w:r w:rsidR="00174105" w:rsidRPr="001D1CD5">
        <w:rPr>
          <w:rFonts w:asciiTheme="minorHAnsi" w:hAnsiTheme="minorHAnsi"/>
        </w:rPr>
        <w:t xml:space="preserve"> hire and outsourcing)</w:t>
      </w:r>
      <w:r w:rsidRPr="001D1CD5">
        <w:rPr>
          <w:rFonts w:asciiTheme="minorHAnsi" w:hAnsiTheme="minorHAnsi"/>
        </w:rPr>
        <w:t>; and</w:t>
      </w:r>
    </w:p>
    <w:p w14:paraId="0D7ECA26" w14:textId="013660C1" w:rsidR="00A06394" w:rsidRPr="001D1CD5" w:rsidRDefault="00A06394" w:rsidP="005B4B8A">
      <w:pPr>
        <w:pStyle w:val="ListParagraph"/>
        <w:numPr>
          <w:ilvl w:val="0"/>
          <w:numId w:val="34"/>
        </w:numPr>
        <w:spacing w:after="240" w:line="276" w:lineRule="auto"/>
        <w:jc w:val="both"/>
        <w:rPr>
          <w:rFonts w:asciiTheme="minorHAnsi" w:hAnsiTheme="minorHAnsi"/>
        </w:rPr>
      </w:pPr>
      <w:r w:rsidRPr="001D1CD5">
        <w:rPr>
          <w:rFonts w:asciiTheme="minorHAnsi" w:hAnsiTheme="minorHAnsi"/>
        </w:rPr>
        <w:t xml:space="preserve">Companies which are impacted by union claims </w:t>
      </w:r>
      <w:r w:rsidR="00174105" w:rsidRPr="001D1CD5">
        <w:rPr>
          <w:rFonts w:asciiTheme="minorHAnsi" w:hAnsiTheme="minorHAnsi"/>
        </w:rPr>
        <w:t>which are</w:t>
      </w:r>
      <w:r w:rsidR="005B4B8A">
        <w:rPr>
          <w:rFonts w:asciiTheme="minorHAnsi" w:hAnsiTheme="minorHAnsi"/>
        </w:rPr>
        <w:t xml:space="preserve"> pressed on the basis that such </w:t>
      </w:r>
      <w:r w:rsidR="00174105" w:rsidRPr="001D1CD5">
        <w:rPr>
          <w:rFonts w:asciiTheme="minorHAnsi" w:hAnsiTheme="minorHAnsi"/>
        </w:rPr>
        <w:t>claims have been</w:t>
      </w:r>
      <w:r w:rsidRPr="001D1CD5">
        <w:rPr>
          <w:rFonts w:asciiTheme="minorHAnsi" w:hAnsiTheme="minorHAnsi"/>
        </w:rPr>
        <w:t xml:space="preserve"> conceded by governments for their own employees.</w:t>
      </w:r>
    </w:p>
    <w:p w14:paraId="449E3EEE" w14:textId="2AB6E737" w:rsidR="00D979F2" w:rsidRPr="001D1CD5" w:rsidRDefault="00A06394" w:rsidP="005B4B8A">
      <w:pPr>
        <w:spacing w:after="240" w:line="276" w:lineRule="auto"/>
        <w:jc w:val="both"/>
        <w:rPr>
          <w:rFonts w:asciiTheme="minorHAnsi" w:hAnsiTheme="minorHAnsi"/>
          <w:lang w:eastAsia="en-AU"/>
        </w:rPr>
      </w:pPr>
      <w:r w:rsidRPr="001D1CD5">
        <w:rPr>
          <w:rFonts w:asciiTheme="minorHAnsi" w:hAnsiTheme="minorHAnsi"/>
          <w:lang w:eastAsia="en-AU"/>
        </w:rPr>
        <w:t>The Draft Report does not recommend any changes to public sector bargaining</w:t>
      </w:r>
      <w:r w:rsidR="00174105" w:rsidRPr="001D1CD5">
        <w:rPr>
          <w:rFonts w:asciiTheme="minorHAnsi" w:hAnsiTheme="minorHAnsi"/>
          <w:lang w:eastAsia="en-AU"/>
        </w:rPr>
        <w:t xml:space="preserve"> laws and arrangements</w:t>
      </w:r>
      <w:r w:rsidRPr="001D1CD5">
        <w:rPr>
          <w:rFonts w:asciiTheme="minorHAnsi" w:hAnsiTheme="minorHAnsi"/>
          <w:lang w:eastAsia="en-AU"/>
        </w:rPr>
        <w:t xml:space="preserve">.  If any changes are subsequently </w:t>
      </w:r>
      <w:r w:rsidR="00174105" w:rsidRPr="001D1CD5">
        <w:rPr>
          <w:rFonts w:asciiTheme="minorHAnsi" w:hAnsiTheme="minorHAnsi"/>
          <w:lang w:eastAsia="en-AU"/>
        </w:rPr>
        <w:t xml:space="preserve">proposed, </w:t>
      </w:r>
      <w:r w:rsidRPr="001D1CD5">
        <w:rPr>
          <w:rFonts w:asciiTheme="minorHAnsi" w:hAnsiTheme="minorHAnsi"/>
          <w:lang w:eastAsia="en-AU"/>
        </w:rPr>
        <w:t xml:space="preserve">the impact on </w:t>
      </w:r>
      <w:r w:rsidR="00174105" w:rsidRPr="001D1CD5">
        <w:rPr>
          <w:rFonts w:asciiTheme="minorHAnsi" w:hAnsiTheme="minorHAnsi"/>
          <w:lang w:eastAsia="en-AU"/>
        </w:rPr>
        <w:t xml:space="preserve">public and </w:t>
      </w:r>
      <w:r w:rsidRPr="001D1CD5">
        <w:rPr>
          <w:rFonts w:asciiTheme="minorHAnsi" w:hAnsiTheme="minorHAnsi"/>
          <w:lang w:eastAsia="en-AU"/>
        </w:rPr>
        <w:t xml:space="preserve">private sector </w:t>
      </w:r>
      <w:proofErr w:type="spellStart"/>
      <w:r w:rsidR="00174105" w:rsidRPr="001D1CD5">
        <w:rPr>
          <w:rFonts w:asciiTheme="minorHAnsi" w:hAnsiTheme="minorHAnsi"/>
          <w:lang w:eastAsia="en-AU"/>
        </w:rPr>
        <w:t>organisations</w:t>
      </w:r>
      <w:proofErr w:type="spellEnd"/>
      <w:r w:rsidR="00174105" w:rsidRPr="001D1CD5">
        <w:rPr>
          <w:rFonts w:asciiTheme="minorHAnsi" w:hAnsiTheme="minorHAnsi"/>
          <w:lang w:eastAsia="en-AU"/>
        </w:rPr>
        <w:t xml:space="preserve"> </w:t>
      </w:r>
      <w:r w:rsidRPr="001D1CD5">
        <w:rPr>
          <w:rFonts w:asciiTheme="minorHAnsi" w:hAnsiTheme="minorHAnsi"/>
          <w:lang w:eastAsia="en-AU"/>
        </w:rPr>
        <w:t>needs to be considered.</w:t>
      </w:r>
    </w:p>
    <w:p w14:paraId="69FB11E1" w14:textId="77777777" w:rsidR="00741992" w:rsidRDefault="00741992">
      <w:pPr>
        <w:rPr>
          <w:rFonts w:asciiTheme="minorHAnsi" w:eastAsia="Calibri" w:hAnsiTheme="minorHAnsi" w:cs="Calibri"/>
          <w:b/>
          <w:bCs/>
          <w:color w:val="451E51"/>
          <w:sz w:val="36"/>
          <w:szCs w:val="36"/>
          <w:lang w:eastAsia="en-AU"/>
        </w:rPr>
      </w:pPr>
      <w:r>
        <w:rPr>
          <w:rFonts w:asciiTheme="minorHAnsi" w:eastAsia="Calibri" w:hAnsiTheme="minorHAnsi" w:cs="Calibri"/>
          <w:color w:val="451E51"/>
          <w:sz w:val="36"/>
          <w:szCs w:val="36"/>
          <w:lang w:eastAsia="en-AU"/>
        </w:rPr>
        <w:br w:type="page"/>
      </w:r>
    </w:p>
    <w:p w14:paraId="56707B73" w14:textId="536522F6" w:rsidR="00D854A5" w:rsidRPr="001D1CD5" w:rsidRDefault="00D854A5" w:rsidP="00D854A5">
      <w:pPr>
        <w:pStyle w:val="Heading1"/>
        <w:keepNext w:val="0"/>
        <w:keepLines w:val="0"/>
        <w:widowControl w:val="0"/>
        <w:spacing w:before="0" w:after="240" w:line="276" w:lineRule="auto"/>
        <w:ind w:left="709" w:hanging="709"/>
        <w:rPr>
          <w:rFonts w:asciiTheme="minorHAnsi" w:eastAsia="Calibri" w:hAnsiTheme="minorHAnsi" w:cs="Calibri"/>
          <w:color w:val="451E51"/>
          <w:sz w:val="36"/>
          <w:szCs w:val="36"/>
          <w:lang w:eastAsia="en-AU"/>
        </w:rPr>
      </w:pPr>
      <w:r w:rsidRPr="001D1CD5">
        <w:rPr>
          <w:rFonts w:asciiTheme="minorHAnsi" w:eastAsia="Calibri" w:hAnsiTheme="minorHAnsi" w:cs="Calibri"/>
          <w:color w:val="451E51"/>
          <w:sz w:val="36"/>
          <w:szCs w:val="36"/>
          <w:lang w:eastAsia="en-AU"/>
        </w:rPr>
        <w:lastRenderedPageBreak/>
        <w:t>19.</w:t>
      </w:r>
      <w:r w:rsidRPr="001D1CD5">
        <w:rPr>
          <w:rFonts w:asciiTheme="minorHAnsi" w:eastAsia="Calibri" w:hAnsiTheme="minorHAnsi" w:cs="Calibri"/>
          <w:color w:val="451E51"/>
          <w:sz w:val="36"/>
          <w:szCs w:val="36"/>
          <w:lang w:eastAsia="en-AU"/>
        </w:rPr>
        <w:tab/>
        <w:t>Industrial disputes and right of entry</w:t>
      </w:r>
    </w:p>
    <w:p w14:paraId="343CD5B3" w14:textId="77777777" w:rsidR="00D854A5" w:rsidRPr="001D1CD5" w:rsidRDefault="00D854A5" w:rsidP="00D854A5">
      <w:pPr>
        <w:widowControl w:val="0"/>
        <w:spacing w:after="240" w:line="276" w:lineRule="auto"/>
        <w:ind w:left="709" w:hanging="709"/>
        <w:rPr>
          <w:rFonts w:asciiTheme="minorHAnsi" w:hAnsiTheme="minorHAnsi" w:cs="Arial"/>
          <w:b/>
          <w:color w:val="451E51"/>
          <w:sz w:val="28"/>
          <w:szCs w:val="28"/>
          <w:lang w:eastAsia="en-AU"/>
        </w:rPr>
      </w:pPr>
      <w:r w:rsidRPr="001D1CD5">
        <w:rPr>
          <w:rFonts w:asciiTheme="minorHAnsi" w:hAnsiTheme="minorHAnsi" w:cs="Arial"/>
          <w:b/>
          <w:color w:val="451E51"/>
          <w:sz w:val="28"/>
          <w:szCs w:val="28"/>
          <w:lang w:eastAsia="en-AU"/>
        </w:rPr>
        <w:t>19.1</w:t>
      </w:r>
      <w:r w:rsidRPr="001D1CD5">
        <w:rPr>
          <w:rFonts w:asciiTheme="minorHAnsi" w:hAnsiTheme="minorHAnsi" w:cs="Arial"/>
          <w:b/>
          <w:color w:val="451E51"/>
          <w:sz w:val="28"/>
          <w:szCs w:val="28"/>
          <w:lang w:eastAsia="en-AU"/>
        </w:rPr>
        <w:tab/>
        <w:t xml:space="preserve">Requiring bargaining to commence before </w:t>
      </w:r>
      <w:proofErr w:type="spellStart"/>
      <w:r w:rsidRPr="001D1CD5">
        <w:rPr>
          <w:rFonts w:asciiTheme="minorHAnsi" w:hAnsiTheme="minorHAnsi" w:cs="Arial"/>
          <w:b/>
          <w:color w:val="451E51"/>
          <w:sz w:val="28"/>
          <w:szCs w:val="28"/>
          <w:lang w:eastAsia="en-AU"/>
        </w:rPr>
        <w:t>authorising</w:t>
      </w:r>
      <w:proofErr w:type="spellEnd"/>
      <w:r w:rsidRPr="001D1CD5">
        <w:rPr>
          <w:rFonts w:asciiTheme="minorHAnsi" w:hAnsiTheme="minorHAnsi" w:cs="Arial"/>
          <w:b/>
          <w:color w:val="451E51"/>
          <w:sz w:val="28"/>
          <w:szCs w:val="28"/>
          <w:lang w:eastAsia="en-AU"/>
        </w:rPr>
        <w:t xml:space="preserve"> protected industrial action</w:t>
      </w:r>
    </w:p>
    <w:p w14:paraId="1CDF1596" w14:textId="5FBE11E8" w:rsidR="00D854A5" w:rsidRPr="001D1CD5" w:rsidRDefault="00D854A5" w:rsidP="00D854A5">
      <w:pPr>
        <w:widowControl w:val="0"/>
        <w:spacing w:after="240" w:line="276" w:lineRule="auto"/>
        <w:jc w:val="both"/>
        <w:rPr>
          <w:rFonts w:asciiTheme="minorHAnsi" w:eastAsiaTheme="minorHAnsi" w:hAnsiTheme="minorHAnsi" w:cs="Arial"/>
          <w:lang w:eastAsia="en-AU"/>
        </w:rPr>
      </w:pPr>
      <w:r w:rsidRPr="001D1CD5">
        <w:rPr>
          <w:rFonts w:asciiTheme="minorHAnsi" w:hAnsiTheme="minorHAnsi" w:cs="Arial"/>
          <w:lang w:eastAsia="en-AU"/>
        </w:rPr>
        <w:t xml:space="preserve">Ai Group supports Draft Recommendation 19.1 which would amend </w:t>
      </w:r>
      <w:proofErr w:type="spellStart"/>
      <w:r w:rsidRPr="001D1CD5">
        <w:rPr>
          <w:rFonts w:asciiTheme="minorHAnsi" w:hAnsiTheme="minorHAnsi" w:cs="Arial"/>
          <w:lang w:eastAsia="en-AU"/>
        </w:rPr>
        <w:t>s.443</w:t>
      </w:r>
      <w:proofErr w:type="spellEnd"/>
      <w:r w:rsidRPr="001D1CD5">
        <w:rPr>
          <w:rFonts w:asciiTheme="minorHAnsi" w:hAnsiTheme="minorHAnsi" w:cs="Arial"/>
          <w:lang w:eastAsia="en-AU"/>
        </w:rPr>
        <w:t xml:space="preserve"> of the FW Act to require that bargaining have commenced by mutual consent or </w:t>
      </w:r>
      <w:r w:rsidR="005B4B8A">
        <w:rPr>
          <w:rFonts w:asciiTheme="minorHAnsi" w:hAnsiTheme="minorHAnsi" w:cs="Arial"/>
          <w:lang w:eastAsia="en-AU"/>
        </w:rPr>
        <w:t xml:space="preserve">through </w:t>
      </w:r>
      <w:r w:rsidRPr="001D1CD5">
        <w:rPr>
          <w:rFonts w:asciiTheme="minorHAnsi" w:hAnsiTheme="minorHAnsi" w:cs="Arial"/>
          <w:lang w:eastAsia="en-AU"/>
        </w:rPr>
        <w:t>a Majority Support Determination, before a protected action ballot can be granted</w:t>
      </w:r>
      <w:r w:rsidR="005B4B8A">
        <w:rPr>
          <w:rFonts w:asciiTheme="minorHAnsi" w:hAnsiTheme="minorHAnsi" w:cs="Arial"/>
          <w:lang w:eastAsia="en-AU"/>
        </w:rPr>
        <w:t xml:space="preserve"> by the </w:t>
      </w:r>
      <w:proofErr w:type="spellStart"/>
      <w:r w:rsidR="005B4B8A">
        <w:rPr>
          <w:rFonts w:asciiTheme="minorHAnsi" w:hAnsiTheme="minorHAnsi" w:cs="Arial"/>
          <w:lang w:eastAsia="en-AU"/>
        </w:rPr>
        <w:t>FWC</w:t>
      </w:r>
      <w:proofErr w:type="spellEnd"/>
      <w:r w:rsidRPr="001D1CD5">
        <w:rPr>
          <w:rFonts w:asciiTheme="minorHAnsi" w:hAnsiTheme="minorHAnsi" w:cs="Arial"/>
          <w:lang w:eastAsia="en-AU"/>
        </w:rPr>
        <w:t xml:space="preserve">. This reform is included in the </w:t>
      </w:r>
      <w:r w:rsidRPr="001D1CD5">
        <w:rPr>
          <w:rFonts w:asciiTheme="minorHAnsi" w:hAnsiTheme="minorHAnsi" w:cs="Arial"/>
          <w:i/>
          <w:lang w:eastAsia="en-AU"/>
        </w:rPr>
        <w:t>Fair Work Amendment Bill 2014</w:t>
      </w:r>
      <w:r w:rsidRPr="001D1CD5">
        <w:rPr>
          <w:rFonts w:asciiTheme="minorHAnsi" w:hAnsiTheme="minorHAnsi" w:cs="Arial"/>
          <w:lang w:eastAsia="en-AU"/>
        </w:rPr>
        <w:t xml:space="preserve"> which is before Parliament.</w:t>
      </w:r>
    </w:p>
    <w:p w14:paraId="354BE200" w14:textId="77777777" w:rsidR="00D854A5" w:rsidRPr="001D1CD5" w:rsidRDefault="00D854A5" w:rsidP="00D854A5">
      <w:pPr>
        <w:widowControl w:val="0"/>
        <w:spacing w:after="240" w:line="276" w:lineRule="auto"/>
        <w:jc w:val="both"/>
        <w:rPr>
          <w:rFonts w:asciiTheme="minorHAnsi" w:hAnsiTheme="minorHAnsi" w:cs="Arial"/>
          <w:lang w:eastAsia="en-AU"/>
        </w:rPr>
      </w:pPr>
      <w:r w:rsidRPr="001D1CD5">
        <w:rPr>
          <w:rFonts w:asciiTheme="minorHAnsi" w:hAnsiTheme="minorHAnsi" w:cs="Arial"/>
          <w:lang w:eastAsia="en-AU"/>
        </w:rPr>
        <w:t>The arguments in support of this Recommendation are set out in some detail in subsection 6.1 of Ai Group’s March 2015 submission.</w:t>
      </w:r>
    </w:p>
    <w:p w14:paraId="3B29F0EB" w14:textId="77777777" w:rsidR="00D854A5" w:rsidRPr="001D1CD5" w:rsidRDefault="00D854A5" w:rsidP="00D854A5">
      <w:pPr>
        <w:widowControl w:val="0"/>
        <w:spacing w:after="240" w:line="276" w:lineRule="auto"/>
        <w:jc w:val="both"/>
        <w:rPr>
          <w:rFonts w:asciiTheme="minorHAnsi" w:hAnsiTheme="minorHAnsi" w:cs="Arial"/>
          <w:b/>
          <w:color w:val="451E51"/>
          <w:sz w:val="28"/>
          <w:szCs w:val="28"/>
          <w:lang w:eastAsia="en-AU"/>
        </w:rPr>
      </w:pPr>
      <w:r w:rsidRPr="001D1CD5">
        <w:rPr>
          <w:rFonts w:asciiTheme="minorHAnsi" w:hAnsiTheme="minorHAnsi" w:cs="Arial"/>
          <w:b/>
          <w:color w:val="451E51"/>
          <w:sz w:val="28"/>
          <w:szCs w:val="28"/>
          <w:lang w:eastAsia="en-AU"/>
        </w:rPr>
        <w:t>19.2</w:t>
      </w:r>
      <w:r w:rsidRPr="001D1CD5">
        <w:rPr>
          <w:rFonts w:asciiTheme="minorHAnsi" w:hAnsiTheme="minorHAnsi" w:cs="Arial"/>
          <w:b/>
          <w:color w:val="451E51"/>
          <w:sz w:val="28"/>
          <w:szCs w:val="28"/>
          <w:lang w:eastAsia="en-AU"/>
        </w:rPr>
        <w:tab/>
        <w:t>Simplifying protected action ballot order procedures</w:t>
      </w:r>
    </w:p>
    <w:p w14:paraId="530C35D2" w14:textId="77777777" w:rsidR="00D854A5" w:rsidRPr="001D1CD5" w:rsidRDefault="00D854A5" w:rsidP="00D854A5">
      <w:pPr>
        <w:widowControl w:val="0"/>
        <w:spacing w:after="240" w:line="276" w:lineRule="auto"/>
        <w:jc w:val="both"/>
        <w:rPr>
          <w:rFonts w:asciiTheme="minorHAnsi" w:hAnsiTheme="minorHAnsi" w:cs="Arial"/>
          <w:lang w:eastAsia="en-AU"/>
        </w:rPr>
      </w:pPr>
      <w:r w:rsidRPr="001D1CD5">
        <w:rPr>
          <w:rFonts w:asciiTheme="minorHAnsi" w:hAnsiTheme="minorHAnsi" w:cs="Arial"/>
          <w:lang w:eastAsia="en-AU"/>
        </w:rPr>
        <w:t>With regard to the Information Request on page 680 of the Draft Report, Ai Group strongly opposes the three potential simplifications suggested.</w:t>
      </w:r>
    </w:p>
    <w:p w14:paraId="167999F3" w14:textId="77777777" w:rsidR="00D854A5" w:rsidRPr="001D1CD5" w:rsidRDefault="00D854A5" w:rsidP="00D854A5">
      <w:pPr>
        <w:widowControl w:val="0"/>
        <w:spacing w:after="240" w:line="276" w:lineRule="auto"/>
        <w:jc w:val="both"/>
        <w:rPr>
          <w:rFonts w:asciiTheme="minorHAnsi" w:hAnsiTheme="minorHAnsi" w:cs="Arial"/>
          <w:lang w:eastAsia="en-AU"/>
        </w:rPr>
      </w:pPr>
      <w:r w:rsidRPr="001D1CD5">
        <w:rPr>
          <w:rFonts w:asciiTheme="minorHAnsi" w:hAnsiTheme="minorHAnsi" w:cs="Arial"/>
          <w:lang w:eastAsia="en-AU"/>
        </w:rPr>
        <w:t>The suggestion that protected action ballots not specify particular types of industrial action would be unfair on employees and employers:</w:t>
      </w:r>
    </w:p>
    <w:p w14:paraId="3C36B36A" w14:textId="4F0616DE" w:rsidR="005B4B8A" w:rsidRPr="00741992" w:rsidRDefault="00D854A5" w:rsidP="00741992">
      <w:pPr>
        <w:pStyle w:val="ListParagraph"/>
        <w:widowControl w:val="0"/>
        <w:numPr>
          <w:ilvl w:val="0"/>
          <w:numId w:val="69"/>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cs="Arial"/>
          <w:color w:val="auto"/>
        </w:rPr>
      </w:pPr>
      <w:r w:rsidRPr="001D1CD5">
        <w:rPr>
          <w:rFonts w:asciiTheme="minorHAnsi" w:hAnsiTheme="minorHAnsi" w:cs="Arial"/>
          <w:color w:val="auto"/>
        </w:rPr>
        <w:t>An employee might support the imposition of a ban on overtime or a one day stoppage, but strongly oppose an indefinite strike.</w:t>
      </w:r>
    </w:p>
    <w:p w14:paraId="5A8F12D5" w14:textId="19C1D5E0" w:rsidR="00D854A5" w:rsidRPr="001D1CD5" w:rsidRDefault="00D854A5" w:rsidP="00D12FF9">
      <w:pPr>
        <w:pStyle w:val="ListParagraph"/>
        <w:widowControl w:val="0"/>
        <w:numPr>
          <w:ilvl w:val="0"/>
          <w:numId w:val="69"/>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cs="Arial"/>
          <w:color w:val="auto"/>
          <w:lang w:eastAsia="en-US"/>
        </w:rPr>
      </w:pPr>
      <w:r w:rsidRPr="001D1CD5">
        <w:rPr>
          <w:rFonts w:asciiTheme="minorHAnsi" w:hAnsiTheme="minorHAnsi" w:cs="Arial"/>
          <w:color w:val="auto"/>
        </w:rPr>
        <w:t xml:space="preserve">An employer is entitled to know at the ballot stage (and not just when 72 hours’ notice is given of the taking of the action) what types of protected industrial action may be taken. This is important to enable the employer to exercise its right to implement measures to mitigate the effects of the industrial action. </w:t>
      </w:r>
    </w:p>
    <w:p w14:paraId="3DD265B2" w14:textId="772543DB" w:rsidR="00D854A5" w:rsidRPr="001D1CD5" w:rsidRDefault="00D854A5" w:rsidP="00D854A5">
      <w:pPr>
        <w:widowControl w:val="0"/>
        <w:spacing w:after="240" w:line="276" w:lineRule="auto"/>
        <w:jc w:val="both"/>
        <w:rPr>
          <w:rFonts w:asciiTheme="minorHAnsi" w:hAnsiTheme="minorHAnsi" w:cs="Arial"/>
        </w:rPr>
      </w:pPr>
      <w:r w:rsidRPr="001D1CD5">
        <w:rPr>
          <w:rFonts w:asciiTheme="minorHAnsi" w:hAnsiTheme="minorHAnsi" w:cs="Arial"/>
        </w:rPr>
        <w:t>The suggestion that the current 30 day ‘use it or lose it’ rul</w:t>
      </w:r>
      <w:r w:rsidR="005B4B8A">
        <w:rPr>
          <w:rFonts w:asciiTheme="minorHAnsi" w:hAnsiTheme="minorHAnsi" w:cs="Arial"/>
        </w:rPr>
        <w:t>e could be extended or removed would be unfair to</w:t>
      </w:r>
      <w:r w:rsidRPr="001D1CD5">
        <w:rPr>
          <w:rFonts w:asciiTheme="minorHAnsi" w:hAnsiTheme="minorHAnsi" w:cs="Arial"/>
        </w:rPr>
        <w:t xml:space="preserve"> employees and employers:</w:t>
      </w:r>
    </w:p>
    <w:p w14:paraId="4B944238" w14:textId="77777777" w:rsidR="00D854A5" w:rsidRPr="001D1CD5" w:rsidRDefault="00D854A5" w:rsidP="00D12FF9">
      <w:pPr>
        <w:pStyle w:val="ListParagraph"/>
        <w:widowControl w:val="0"/>
        <w:numPr>
          <w:ilvl w:val="0"/>
          <w:numId w:val="70"/>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cs="Arial"/>
          <w:color w:val="auto"/>
        </w:rPr>
      </w:pPr>
      <w:r w:rsidRPr="001D1CD5">
        <w:rPr>
          <w:rFonts w:asciiTheme="minorHAnsi" w:hAnsiTheme="minorHAnsi" w:cs="Arial"/>
          <w:color w:val="auto"/>
        </w:rPr>
        <w:t xml:space="preserve">If industrial action is not taken within 30 days (or as extended up to 60 days), the composition of the workforce may have changed since the ballot was conducted, or a majority of employees may no longer support the taking of the industrial action. </w:t>
      </w:r>
    </w:p>
    <w:p w14:paraId="11BD2F0B" w14:textId="77777777" w:rsidR="00D854A5" w:rsidRPr="001D1CD5" w:rsidRDefault="00D854A5" w:rsidP="00D12FF9">
      <w:pPr>
        <w:pStyle w:val="ListParagraph"/>
        <w:widowControl w:val="0"/>
        <w:numPr>
          <w:ilvl w:val="0"/>
          <w:numId w:val="70"/>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cs="Arial"/>
          <w:color w:val="auto"/>
        </w:rPr>
      </w:pPr>
      <w:r w:rsidRPr="001D1CD5">
        <w:rPr>
          <w:rFonts w:asciiTheme="minorHAnsi" w:hAnsiTheme="minorHAnsi" w:cs="Arial"/>
          <w:color w:val="auto"/>
        </w:rPr>
        <w:t>An employer is entitled to know at the ballot stage (and not just when 72 hours’ notice is given of the taking of the action) of the time period in which industrial action may be taken. This is important to enable the employer to exercise its right to implement measures to mitigate the effects of the industrial action. The existing period is already quite lengthy and any extension is not warranted.</w:t>
      </w:r>
    </w:p>
    <w:p w14:paraId="21C28487" w14:textId="77777777" w:rsidR="00D854A5" w:rsidRPr="001D1CD5" w:rsidRDefault="00D854A5" w:rsidP="00D854A5">
      <w:pPr>
        <w:widowControl w:val="0"/>
        <w:spacing w:after="240" w:line="276" w:lineRule="auto"/>
        <w:jc w:val="both"/>
        <w:rPr>
          <w:rFonts w:asciiTheme="minorHAnsi" w:hAnsiTheme="minorHAnsi" w:cs="Arial"/>
        </w:rPr>
      </w:pPr>
      <w:r w:rsidRPr="001D1CD5">
        <w:rPr>
          <w:rFonts w:asciiTheme="minorHAnsi" w:hAnsiTheme="minorHAnsi" w:cs="Arial"/>
        </w:rPr>
        <w:t xml:space="preserve">Also, given the very costly and damaging nature of industrial action for employers and employees, Ai Group opposes the suggestion in the Draft Report that the </w:t>
      </w:r>
      <w:proofErr w:type="spellStart"/>
      <w:r w:rsidRPr="001D1CD5">
        <w:rPr>
          <w:rFonts w:asciiTheme="minorHAnsi" w:hAnsiTheme="minorHAnsi" w:cs="Arial"/>
        </w:rPr>
        <w:t>FWC</w:t>
      </w:r>
      <w:proofErr w:type="spellEnd"/>
      <w:r w:rsidRPr="001D1CD5">
        <w:rPr>
          <w:rFonts w:asciiTheme="minorHAnsi" w:hAnsiTheme="minorHAnsi" w:cs="Arial"/>
        </w:rPr>
        <w:t xml:space="preserve"> be given the power to overlook minor defects or unmet requirements in the ballot process.</w:t>
      </w:r>
    </w:p>
    <w:p w14:paraId="3E62E61E" w14:textId="77777777" w:rsidR="00D854A5" w:rsidRPr="001D1CD5" w:rsidRDefault="00D854A5" w:rsidP="00D854A5">
      <w:pPr>
        <w:widowControl w:val="0"/>
        <w:spacing w:after="240" w:line="276" w:lineRule="auto"/>
        <w:jc w:val="both"/>
        <w:rPr>
          <w:rFonts w:asciiTheme="minorHAnsi" w:hAnsiTheme="minorHAnsi" w:cs="Arial"/>
          <w:b/>
          <w:color w:val="451E51"/>
          <w:sz w:val="28"/>
          <w:szCs w:val="28"/>
          <w:lang w:eastAsia="en-AU"/>
        </w:rPr>
      </w:pPr>
      <w:r w:rsidRPr="001D1CD5">
        <w:rPr>
          <w:rFonts w:asciiTheme="minorHAnsi" w:hAnsiTheme="minorHAnsi" w:cs="Arial"/>
          <w:b/>
          <w:color w:val="451E51"/>
          <w:sz w:val="28"/>
          <w:szCs w:val="28"/>
          <w:lang w:eastAsia="en-AU"/>
        </w:rPr>
        <w:lastRenderedPageBreak/>
        <w:t>19.3</w:t>
      </w:r>
      <w:r w:rsidRPr="001D1CD5">
        <w:rPr>
          <w:rFonts w:asciiTheme="minorHAnsi" w:hAnsiTheme="minorHAnsi" w:cs="Arial"/>
          <w:b/>
          <w:color w:val="451E51"/>
          <w:sz w:val="28"/>
          <w:szCs w:val="28"/>
          <w:lang w:eastAsia="en-AU"/>
        </w:rPr>
        <w:tab/>
        <w:t>Determining whether a party is “genuinely trying to reach an agreement”</w:t>
      </w:r>
    </w:p>
    <w:p w14:paraId="7322D3C7" w14:textId="77777777" w:rsidR="00D854A5" w:rsidRPr="001D1CD5" w:rsidRDefault="00D854A5" w:rsidP="00D854A5">
      <w:pPr>
        <w:widowControl w:val="0"/>
        <w:spacing w:after="240" w:line="276" w:lineRule="auto"/>
        <w:jc w:val="both"/>
        <w:rPr>
          <w:rFonts w:asciiTheme="minorHAnsi" w:hAnsiTheme="minorHAnsi" w:cs="Arial"/>
          <w:lang w:eastAsia="en-AU"/>
        </w:rPr>
      </w:pPr>
      <w:r w:rsidRPr="001D1CD5">
        <w:rPr>
          <w:rFonts w:asciiTheme="minorHAnsi" w:hAnsiTheme="minorHAnsi" w:cs="Arial"/>
          <w:lang w:eastAsia="en-AU"/>
        </w:rPr>
        <w:t xml:space="preserve">Ai Group strongly disagrees with the draft findings on pages 681 and 682 of the Draft Report, that codifying the “genuinely trying to reach an agreement” requirement in </w:t>
      </w:r>
      <w:proofErr w:type="spellStart"/>
      <w:r w:rsidRPr="001D1CD5">
        <w:rPr>
          <w:rFonts w:asciiTheme="minorHAnsi" w:hAnsiTheme="minorHAnsi" w:cs="Arial"/>
          <w:lang w:eastAsia="en-AU"/>
        </w:rPr>
        <w:t>s.443</w:t>
      </w:r>
      <w:proofErr w:type="spellEnd"/>
      <w:r w:rsidRPr="001D1CD5">
        <w:rPr>
          <w:rFonts w:asciiTheme="minorHAnsi" w:hAnsiTheme="minorHAnsi" w:cs="Arial"/>
          <w:lang w:eastAsia="en-AU"/>
        </w:rPr>
        <w:t xml:space="preserve"> is not justified.</w:t>
      </w:r>
    </w:p>
    <w:p w14:paraId="1A23730E" w14:textId="772E0F2A" w:rsidR="00D854A5" w:rsidRPr="001D1CD5" w:rsidRDefault="00D854A5" w:rsidP="00D854A5">
      <w:pPr>
        <w:widowControl w:val="0"/>
        <w:spacing w:after="240" w:line="276" w:lineRule="auto"/>
        <w:jc w:val="both"/>
        <w:rPr>
          <w:rFonts w:asciiTheme="minorHAnsi" w:hAnsiTheme="minorHAnsi" w:cs="Arial"/>
          <w:lang w:eastAsia="en-AU"/>
        </w:rPr>
      </w:pPr>
      <w:r w:rsidRPr="001D1CD5">
        <w:rPr>
          <w:rFonts w:asciiTheme="minorHAnsi" w:hAnsiTheme="minorHAnsi" w:cs="Arial"/>
          <w:lang w:eastAsia="en-AU"/>
        </w:rPr>
        <w:t xml:space="preserve">One day of industrial action can cost an employer, its suppliers and customers hundreds of thousands or even millions of dollars. The notion that tight requirements on protected industrial action are a compliance burden is not sustainable. Any compliance burden is insignificant compared to the costs and losses inflicted upon employers, employees, suppliers, customers and the broader community by industrial action. The industrial action requirements in the Act need to be tightened to provide more protection for all parties, not loosened on the basis of a flawed notion that tight requirements are a compliance burden. It not surprising that unions </w:t>
      </w:r>
      <w:r w:rsidR="005B4B8A">
        <w:rPr>
          <w:rFonts w:asciiTheme="minorHAnsi" w:hAnsiTheme="minorHAnsi" w:cs="Arial"/>
          <w:lang w:eastAsia="en-AU"/>
        </w:rPr>
        <w:t>are using</w:t>
      </w:r>
      <w:r w:rsidRPr="001D1CD5">
        <w:rPr>
          <w:rFonts w:asciiTheme="minorHAnsi" w:hAnsiTheme="minorHAnsi" w:cs="Arial"/>
          <w:lang w:eastAsia="en-AU"/>
        </w:rPr>
        <w:t xml:space="preserve"> </w:t>
      </w:r>
      <w:r w:rsidR="005B4B8A">
        <w:rPr>
          <w:rFonts w:asciiTheme="minorHAnsi" w:hAnsiTheme="minorHAnsi" w:cs="Arial"/>
          <w:lang w:eastAsia="en-AU"/>
        </w:rPr>
        <w:t xml:space="preserve">flawed </w:t>
      </w:r>
      <w:r w:rsidRPr="001D1CD5">
        <w:rPr>
          <w:rFonts w:asciiTheme="minorHAnsi" w:hAnsiTheme="minorHAnsi" w:cs="Arial"/>
          <w:lang w:eastAsia="en-AU"/>
        </w:rPr>
        <w:t>arg</w:t>
      </w:r>
      <w:r w:rsidR="005B4B8A">
        <w:rPr>
          <w:rFonts w:asciiTheme="minorHAnsi" w:hAnsiTheme="minorHAnsi" w:cs="Arial"/>
          <w:lang w:eastAsia="en-AU"/>
        </w:rPr>
        <w:t xml:space="preserve">uments about compliance burdens, in order to press for </w:t>
      </w:r>
      <w:r w:rsidRPr="001D1CD5">
        <w:rPr>
          <w:rFonts w:asciiTheme="minorHAnsi" w:hAnsiTheme="minorHAnsi" w:cs="Arial"/>
          <w:lang w:eastAsia="en-AU"/>
        </w:rPr>
        <w:t>wider powers to take industrial action in pursuit of their industrial objectives.</w:t>
      </w:r>
    </w:p>
    <w:p w14:paraId="5D019A01" w14:textId="7CCBA876" w:rsidR="00D854A5" w:rsidRPr="001D1CD5" w:rsidRDefault="00D854A5" w:rsidP="00D854A5">
      <w:pPr>
        <w:pStyle w:val="Body"/>
        <w:widowControl w:val="0"/>
        <w:spacing w:after="240" w:line="276" w:lineRule="auto"/>
        <w:jc w:val="both"/>
        <w:rPr>
          <w:rFonts w:asciiTheme="minorHAnsi" w:hAnsiTheme="minorHAnsi" w:cstheme="minorHAnsi"/>
          <w:sz w:val="24"/>
          <w:szCs w:val="24"/>
        </w:rPr>
      </w:pPr>
      <w:r w:rsidRPr="001D1CD5">
        <w:rPr>
          <w:rFonts w:asciiTheme="minorHAnsi" w:eastAsia="Calibri" w:hAnsiTheme="minorHAnsi" w:cs="Calibri"/>
          <w:color w:val="auto"/>
          <w:sz w:val="24"/>
          <w:szCs w:val="24"/>
          <w:lang w:val="en-AU"/>
        </w:rPr>
        <w:t>A key requirement for a protected industrial action ballot order to be granted is that the applicant</w:t>
      </w:r>
      <w:r w:rsidR="005B4B8A">
        <w:rPr>
          <w:rFonts w:asciiTheme="minorHAnsi" w:eastAsia="Calibri" w:hAnsiTheme="minorHAnsi" w:cs="Calibri"/>
          <w:color w:val="auto"/>
          <w:sz w:val="24"/>
          <w:szCs w:val="24"/>
          <w:lang w:val="en-AU"/>
        </w:rPr>
        <w:t xml:space="preserve"> union</w:t>
      </w:r>
      <w:r w:rsidRPr="001D1CD5">
        <w:rPr>
          <w:rFonts w:asciiTheme="minorHAnsi" w:eastAsia="Calibri" w:hAnsiTheme="minorHAnsi" w:cs="Calibri"/>
          <w:color w:val="auto"/>
          <w:sz w:val="24"/>
          <w:szCs w:val="24"/>
          <w:lang w:val="en-AU"/>
        </w:rPr>
        <w:t xml:space="preserve"> is “genuinely</w:t>
      </w:r>
      <w:r w:rsidR="005B4B8A">
        <w:rPr>
          <w:rFonts w:asciiTheme="minorHAnsi" w:eastAsia="Calibri" w:hAnsiTheme="minorHAnsi" w:cs="Calibri"/>
          <w:color w:val="auto"/>
          <w:sz w:val="24"/>
          <w:szCs w:val="24"/>
          <w:lang w:val="en-AU"/>
        </w:rPr>
        <w:t xml:space="preserve"> trying to reach an agreement” </w:t>
      </w:r>
      <w:r w:rsidRPr="001D1CD5">
        <w:rPr>
          <w:rFonts w:asciiTheme="minorHAnsi" w:eastAsia="Calibri" w:hAnsiTheme="minorHAnsi" w:cs="Calibri"/>
          <w:color w:val="auto"/>
          <w:sz w:val="24"/>
          <w:szCs w:val="24"/>
          <w:lang w:val="en-AU"/>
        </w:rPr>
        <w:t>(</w:t>
      </w:r>
      <w:proofErr w:type="spellStart"/>
      <w:r w:rsidRPr="001D1CD5">
        <w:rPr>
          <w:rFonts w:asciiTheme="minorHAnsi" w:eastAsia="Calibri" w:hAnsiTheme="minorHAnsi" w:cs="Calibri"/>
          <w:color w:val="auto"/>
          <w:sz w:val="24"/>
          <w:szCs w:val="24"/>
          <w:lang w:val="en-AU"/>
        </w:rPr>
        <w:t>s.443</w:t>
      </w:r>
      <w:proofErr w:type="spellEnd"/>
      <w:r w:rsidRPr="001D1CD5">
        <w:rPr>
          <w:rFonts w:asciiTheme="minorHAnsi" w:eastAsia="Calibri" w:hAnsiTheme="minorHAnsi" w:cs="Calibri"/>
          <w:color w:val="auto"/>
          <w:sz w:val="24"/>
          <w:szCs w:val="24"/>
          <w:lang w:val="en-AU"/>
        </w:rPr>
        <w:t>(1)(b)). The key authority on what this phrase means is</w:t>
      </w:r>
      <w:r w:rsidRPr="001D1CD5">
        <w:rPr>
          <w:rFonts w:asciiTheme="minorHAnsi" w:hAnsiTheme="minorHAnsi" w:cstheme="minorHAnsi"/>
          <w:sz w:val="24"/>
          <w:szCs w:val="24"/>
        </w:rPr>
        <w:t xml:space="preserve"> </w:t>
      </w:r>
      <w:r w:rsidRPr="001D1CD5">
        <w:rPr>
          <w:rFonts w:asciiTheme="minorHAnsi" w:hAnsiTheme="minorHAnsi" w:cstheme="minorHAnsi"/>
          <w:i/>
          <w:sz w:val="24"/>
          <w:szCs w:val="24"/>
        </w:rPr>
        <w:t>Total Marine Services Pty Ltd v Maritime Union of Australia</w:t>
      </w:r>
      <w:r w:rsidRPr="001D1CD5">
        <w:rPr>
          <w:rFonts w:asciiTheme="minorHAnsi" w:hAnsiTheme="minorHAnsi" w:cstheme="minorHAnsi"/>
          <w:sz w:val="24"/>
          <w:szCs w:val="24"/>
        </w:rPr>
        <w:t xml:space="preserve"> [2009] </w:t>
      </w:r>
      <w:proofErr w:type="spellStart"/>
      <w:r w:rsidRPr="001D1CD5">
        <w:rPr>
          <w:rFonts w:asciiTheme="minorHAnsi" w:hAnsiTheme="minorHAnsi" w:cstheme="minorHAnsi"/>
          <w:sz w:val="24"/>
          <w:szCs w:val="24"/>
        </w:rPr>
        <w:t>FWAFB</w:t>
      </w:r>
      <w:proofErr w:type="spellEnd"/>
      <w:r w:rsidRPr="001D1CD5">
        <w:rPr>
          <w:rFonts w:asciiTheme="minorHAnsi" w:hAnsiTheme="minorHAnsi" w:cstheme="minorHAnsi"/>
          <w:sz w:val="24"/>
          <w:szCs w:val="24"/>
        </w:rPr>
        <w:t xml:space="preserve"> 368. </w:t>
      </w:r>
    </w:p>
    <w:p w14:paraId="217E01DD" w14:textId="77777777" w:rsidR="00D854A5" w:rsidRPr="001D1CD5" w:rsidRDefault="00D854A5" w:rsidP="00D854A5">
      <w:pPr>
        <w:pStyle w:val="Body"/>
        <w:widowControl w:val="0"/>
        <w:spacing w:after="240" w:line="276" w:lineRule="auto"/>
        <w:jc w:val="both"/>
        <w:rPr>
          <w:rFonts w:asciiTheme="minorHAnsi" w:eastAsia="Calibri" w:hAnsiTheme="minorHAnsi" w:cs="Calibri"/>
          <w:sz w:val="24"/>
          <w:szCs w:val="24"/>
          <w:lang w:val="en-AU"/>
        </w:rPr>
      </w:pPr>
      <w:r w:rsidRPr="001D1CD5">
        <w:rPr>
          <w:rFonts w:asciiTheme="minorHAnsi" w:hAnsiTheme="minorHAnsi" w:cstheme="minorHAnsi"/>
          <w:sz w:val="24"/>
          <w:szCs w:val="24"/>
        </w:rPr>
        <w:t xml:space="preserve">Ai Group supports the codification of the “genuinely trying to reach an agreement” requirement, drawing upon key concepts drawn from the </w:t>
      </w:r>
      <w:proofErr w:type="spellStart"/>
      <w:r w:rsidRPr="001D1CD5">
        <w:rPr>
          <w:rFonts w:asciiTheme="minorHAnsi" w:hAnsiTheme="minorHAnsi" w:cstheme="minorHAnsi"/>
          <w:sz w:val="24"/>
          <w:szCs w:val="24"/>
        </w:rPr>
        <w:t>FWC’s</w:t>
      </w:r>
      <w:proofErr w:type="spellEnd"/>
      <w:r w:rsidRPr="001D1CD5">
        <w:rPr>
          <w:rFonts w:asciiTheme="minorHAnsi" w:hAnsiTheme="minorHAnsi" w:cstheme="minorHAnsi"/>
          <w:sz w:val="24"/>
          <w:szCs w:val="24"/>
        </w:rPr>
        <w:t xml:space="preserve"> decision in the </w:t>
      </w:r>
      <w:r w:rsidRPr="001D1CD5">
        <w:rPr>
          <w:rFonts w:asciiTheme="minorHAnsi" w:hAnsiTheme="minorHAnsi" w:cstheme="minorHAnsi"/>
          <w:i/>
          <w:sz w:val="24"/>
          <w:szCs w:val="24"/>
        </w:rPr>
        <w:t xml:space="preserve">Total Marine Services </w:t>
      </w:r>
      <w:r w:rsidRPr="001D1CD5">
        <w:rPr>
          <w:rFonts w:asciiTheme="minorHAnsi" w:hAnsiTheme="minorHAnsi" w:cstheme="minorHAnsi"/>
          <w:sz w:val="24"/>
          <w:szCs w:val="24"/>
        </w:rPr>
        <w:t>case,</w:t>
      </w:r>
      <w:r w:rsidRPr="001D1CD5">
        <w:rPr>
          <w:rFonts w:asciiTheme="minorHAnsi" w:hAnsiTheme="minorHAnsi" w:cstheme="minorHAnsi"/>
          <w:i/>
          <w:sz w:val="24"/>
          <w:szCs w:val="24"/>
        </w:rPr>
        <w:t xml:space="preserve"> </w:t>
      </w:r>
      <w:r w:rsidRPr="001D1CD5">
        <w:rPr>
          <w:rFonts w:asciiTheme="minorHAnsi" w:hAnsiTheme="minorHAnsi" w:cstheme="minorHAnsi"/>
          <w:sz w:val="24"/>
          <w:szCs w:val="24"/>
        </w:rPr>
        <w:t xml:space="preserve">as provided for in the </w:t>
      </w:r>
      <w:r w:rsidRPr="001D1CD5">
        <w:rPr>
          <w:rFonts w:asciiTheme="minorHAnsi" w:eastAsia="Calibri" w:hAnsiTheme="minorHAnsi" w:cs="Calibri"/>
          <w:i/>
          <w:sz w:val="24"/>
          <w:szCs w:val="24"/>
          <w:lang w:val="en-AU"/>
        </w:rPr>
        <w:t>Fair Work Amendment (Bargaining Processes) Bill 2014</w:t>
      </w:r>
      <w:r w:rsidRPr="001D1CD5">
        <w:rPr>
          <w:rFonts w:asciiTheme="minorHAnsi" w:eastAsia="Calibri" w:hAnsiTheme="minorHAnsi" w:cs="Calibri"/>
          <w:sz w:val="24"/>
          <w:szCs w:val="24"/>
          <w:lang w:val="en-AU"/>
        </w:rPr>
        <w:t>. The relevant provision in the Bill states:</w:t>
      </w:r>
    </w:p>
    <w:p w14:paraId="7A1A4B88" w14:textId="77777777" w:rsidR="00D854A5" w:rsidRPr="001D1CD5" w:rsidRDefault="00D854A5" w:rsidP="00D854A5">
      <w:pPr>
        <w:pStyle w:val="subsection"/>
        <w:widowControl w:val="0"/>
        <w:tabs>
          <w:tab w:val="left" w:pos="720"/>
        </w:tabs>
        <w:spacing w:before="0" w:after="240" w:line="276" w:lineRule="auto"/>
        <w:ind w:right="560" w:hanging="567"/>
        <w:jc w:val="both"/>
        <w:rPr>
          <w:rFonts w:asciiTheme="minorHAnsi" w:hAnsiTheme="minorHAnsi"/>
          <w:i/>
          <w:sz w:val="24"/>
          <w:szCs w:val="24"/>
        </w:rPr>
      </w:pPr>
      <w:r w:rsidRPr="001D1CD5">
        <w:rPr>
          <w:rFonts w:asciiTheme="minorHAnsi" w:hAnsiTheme="minorHAnsi"/>
          <w:i/>
          <w:sz w:val="24"/>
          <w:szCs w:val="24"/>
        </w:rPr>
        <w:t>‘(</w:t>
      </w:r>
      <w:proofErr w:type="spellStart"/>
      <w:r w:rsidRPr="001D1CD5">
        <w:rPr>
          <w:rFonts w:asciiTheme="minorHAnsi" w:hAnsiTheme="minorHAnsi"/>
          <w:i/>
          <w:sz w:val="24"/>
          <w:szCs w:val="24"/>
        </w:rPr>
        <w:t>1A</w:t>
      </w:r>
      <w:proofErr w:type="spellEnd"/>
      <w:r w:rsidRPr="001D1CD5">
        <w:rPr>
          <w:rFonts w:asciiTheme="minorHAnsi" w:hAnsiTheme="minorHAnsi"/>
          <w:i/>
          <w:sz w:val="24"/>
          <w:szCs w:val="24"/>
        </w:rPr>
        <w:t>)</w:t>
      </w:r>
      <w:r w:rsidRPr="001D1CD5">
        <w:rPr>
          <w:rFonts w:asciiTheme="minorHAnsi" w:hAnsiTheme="minorHAnsi"/>
          <w:i/>
          <w:sz w:val="24"/>
          <w:szCs w:val="24"/>
        </w:rPr>
        <w:tab/>
        <w:t xml:space="preserve">For the purposes of paragraph (1)(b), the </w:t>
      </w:r>
      <w:proofErr w:type="spellStart"/>
      <w:r w:rsidRPr="001D1CD5">
        <w:rPr>
          <w:rFonts w:asciiTheme="minorHAnsi" w:hAnsiTheme="minorHAnsi"/>
          <w:i/>
          <w:sz w:val="24"/>
          <w:szCs w:val="24"/>
        </w:rPr>
        <w:t>FWC</w:t>
      </w:r>
      <w:proofErr w:type="spellEnd"/>
      <w:r w:rsidRPr="001D1CD5">
        <w:rPr>
          <w:rFonts w:asciiTheme="minorHAnsi" w:hAnsiTheme="minorHAnsi"/>
          <w:i/>
          <w:sz w:val="24"/>
          <w:szCs w:val="24"/>
        </w:rPr>
        <w:t xml:space="preserve"> must have regard to all relevant circumstances, including the following matters:</w:t>
      </w:r>
    </w:p>
    <w:p w14:paraId="5DD08ED9" w14:textId="77777777" w:rsidR="00D854A5" w:rsidRPr="001D1CD5" w:rsidRDefault="00D854A5" w:rsidP="00D854A5">
      <w:pPr>
        <w:pStyle w:val="paragraph"/>
        <w:widowControl w:val="0"/>
        <w:spacing w:before="0" w:beforeAutospacing="0" w:after="240" w:afterAutospacing="0" w:line="276" w:lineRule="auto"/>
        <w:ind w:left="1701" w:right="560" w:hanging="567"/>
        <w:jc w:val="both"/>
        <w:rPr>
          <w:rFonts w:asciiTheme="minorHAnsi" w:hAnsiTheme="minorHAnsi"/>
          <w:i/>
        </w:rPr>
      </w:pPr>
      <w:r w:rsidRPr="001D1CD5">
        <w:rPr>
          <w:rFonts w:asciiTheme="minorHAnsi" w:hAnsiTheme="minorHAnsi"/>
          <w:i/>
        </w:rPr>
        <w:t>(a)</w:t>
      </w:r>
      <w:r w:rsidRPr="001D1CD5">
        <w:rPr>
          <w:rFonts w:asciiTheme="minorHAnsi" w:hAnsiTheme="minorHAnsi"/>
          <w:i/>
        </w:rPr>
        <w:tab/>
        <w:t>the steps taken by each applicant to try to reach an agreement;</w:t>
      </w:r>
    </w:p>
    <w:p w14:paraId="250510FF" w14:textId="77777777" w:rsidR="00D854A5" w:rsidRPr="001D1CD5" w:rsidRDefault="00D854A5" w:rsidP="00D854A5">
      <w:pPr>
        <w:pStyle w:val="paragraph"/>
        <w:widowControl w:val="0"/>
        <w:spacing w:before="0" w:beforeAutospacing="0" w:after="240" w:afterAutospacing="0" w:line="276" w:lineRule="auto"/>
        <w:ind w:left="1701" w:right="560" w:hanging="567"/>
        <w:jc w:val="both"/>
        <w:rPr>
          <w:rFonts w:asciiTheme="minorHAnsi" w:hAnsiTheme="minorHAnsi"/>
          <w:i/>
        </w:rPr>
      </w:pPr>
      <w:r w:rsidRPr="001D1CD5">
        <w:rPr>
          <w:rFonts w:asciiTheme="minorHAnsi" w:hAnsiTheme="minorHAnsi"/>
          <w:i/>
        </w:rPr>
        <w:t>(b)</w:t>
      </w:r>
      <w:r w:rsidRPr="001D1CD5">
        <w:rPr>
          <w:rFonts w:asciiTheme="minorHAnsi" w:hAnsiTheme="minorHAnsi"/>
          <w:i/>
        </w:rPr>
        <w:tab/>
        <w:t>the extent to which each applicant has communicated its claims in relation to the agreement;</w:t>
      </w:r>
    </w:p>
    <w:p w14:paraId="4E69CB45" w14:textId="77777777" w:rsidR="00D854A5" w:rsidRPr="001D1CD5" w:rsidRDefault="00D854A5" w:rsidP="00D854A5">
      <w:pPr>
        <w:pStyle w:val="paragraph"/>
        <w:widowControl w:val="0"/>
        <w:spacing w:before="0" w:beforeAutospacing="0" w:after="240" w:afterAutospacing="0" w:line="276" w:lineRule="auto"/>
        <w:ind w:left="1701" w:right="560" w:hanging="567"/>
        <w:jc w:val="both"/>
        <w:rPr>
          <w:rFonts w:asciiTheme="minorHAnsi" w:hAnsiTheme="minorHAnsi"/>
          <w:i/>
        </w:rPr>
      </w:pPr>
      <w:r w:rsidRPr="001D1CD5">
        <w:rPr>
          <w:rFonts w:asciiTheme="minorHAnsi" w:hAnsiTheme="minorHAnsi"/>
          <w:i/>
        </w:rPr>
        <w:t>(c)</w:t>
      </w:r>
      <w:r w:rsidRPr="001D1CD5">
        <w:rPr>
          <w:rFonts w:asciiTheme="minorHAnsi" w:hAnsiTheme="minorHAnsi"/>
          <w:i/>
        </w:rPr>
        <w:tab/>
        <w:t>whether each applicant has provided a considered response to proposals made by the employer;</w:t>
      </w:r>
    </w:p>
    <w:p w14:paraId="4BA7FE97" w14:textId="77777777" w:rsidR="00D854A5" w:rsidRPr="001D1CD5" w:rsidRDefault="00D854A5" w:rsidP="00D854A5">
      <w:pPr>
        <w:pStyle w:val="paragraph"/>
        <w:widowControl w:val="0"/>
        <w:spacing w:before="0" w:beforeAutospacing="0" w:after="240" w:afterAutospacing="0" w:line="276" w:lineRule="auto"/>
        <w:ind w:left="1701" w:right="560" w:hanging="567"/>
        <w:jc w:val="both"/>
        <w:rPr>
          <w:rFonts w:asciiTheme="minorHAnsi" w:hAnsiTheme="minorHAnsi"/>
          <w:i/>
        </w:rPr>
      </w:pPr>
      <w:r w:rsidRPr="001D1CD5">
        <w:rPr>
          <w:rFonts w:asciiTheme="minorHAnsi" w:hAnsiTheme="minorHAnsi"/>
          <w:i/>
        </w:rPr>
        <w:t>(d)</w:t>
      </w:r>
      <w:r w:rsidRPr="001D1CD5">
        <w:rPr>
          <w:rFonts w:asciiTheme="minorHAnsi" w:hAnsiTheme="minorHAnsi"/>
          <w:i/>
        </w:rPr>
        <w:tab/>
        <w:t>the extent to which bargaining for the agreement has progressed.’</w:t>
      </w:r>
    </w:p>
    <w:p w14:paraId="06DECF9C" w14:textId="77777777" w:rsidR="00D854A5" w:rsidRPr="001D1CD5" w:rsidRDefault="00D854A5" w:rsidP="00D854A5">
      <w:pPr>
        <w:widowControl w:val="0"/>
        <w:spacing w:after="240" w:line="276" w:lineRule="auto"/>
        <w:ind w:left="709" w:hanging="709"/>
        <w:jc w:val="both"/>
        <w:rPr>
          <w:rFonts w:asciiTheme="minorHAnsi" w:hAnsiTheme="minorHAnsi" w:cs="Arial"/>
          <w:b/>
          <w:color w:val="451E51"/>
          <w:sz w:val="28"/>
          <w:szCs w:val="28"/>
          <w:lang w:eastAsia="en-AU"/>
        </w:rPr>
      </w:pPr>
      <w:r w:rsidRPr="001D1CD5">
        <w:rPr>
          <w:rFonts w:asciiTheme="minorHAnsi" w:hAnsiTheme="minorHAnsi" w:cs="Arial"/>
          <w:b/>
          <w:color w:val="451E51"/>
          <w:sz w:val="28"/>
          <w:szCs w:val="28"/>
          <w:lang w:eastAsia="en-AU"/>
        </w:rPr>
        <w:t>19.4</w:t>
      </w:r>
      <w:r w:rsidRPr="001D1CD5">
        <w:rPr>
          <w:rFonts w:asciiTheme="minorHAnsi" w:hAnsiTheme="minorHAnsi" w:cs="Arial"/>
          <w:b/>
          <w:color w:val="451E51"/>
          <w:sz w:val="28"/>
          <w:szCs w:val="28"/>
          <w:lang w:eastAsia="en-AU"/>
        </w:rPr>
        <w:tab/>
        <w:t>It is illogical to allow ballots to be conducted in support of industrial action which would be unlawful</w:t>
      </w:r>
    </w:p>
    <w:p w14:paraId="2CCF449A" w14:textId="77777777" w:rsidR="00D854A5" w:rsidRPr="001D1CD5" w:rsidRDefault="00D854A5" w:rsidP="00D854A5">
      <w:pPr>
        <w:widowControl w:val="0"/>
        <w:spacing w:after="240" w:line="276" w:lineRule="auto"/>
        <w:jc w:val="both"/>
        <w:rPr>
          <w:rFonts w:asciiTheme="minorHAnsi" w:hAnsiTheme="minorHAnsi" w:cstheme="minorHAnsi"/>
        </w:rPr>
      </w:pPr>
      <w:r w:rsidRPr="001D1CD5">
        <w:rPr>
          <w:rFonts w:asciiTheme="minorHAnsi" w:hAnsiTheme="minorHAnsi" w:cstheme="minorHAnsi"/>
        </w:rPr>
        <w:t xml:space="preserve">It is not sensible or in the community’s interests for a protected action ballot order to be issued by the </w:t>
      </w:r>
      <w:proofErr w:type="spellStart"/>
      <w:r w:rsidRPr="001D1CD5">
        <w:rPr>
          <w:rFonts w:asciiTheme="minorHAnsi" w:hAnsiTheme="minorHAnsi" w:cstheme="minorHAnsi"/>
        </w:rPr>
        <w:t>FWC</w:t>
      </w:r>
      <w:proofErr w:type="spellEnd"/>
      <w:r w:rsidRPr="001D1CD5">
        <w:rPr>
          <w:rFonts w:asciiTheme="minorHAnsi" w:hAnsiTheme="minorHAnsi" w:cstheme="minorHAnsi"/>
        </w:rPr>
        <w:t xml:space="preserve"> in circumstances where a claim being pursued by the applicant union cannot be the subject of protected industrial action. To do so means that the employer must wait until industrial action is “happening”, “threatened”, “impending” or “probable” (see </w:t>
      </w:r>
      <w:proofErr w:type="spellStart"/>
      <w:r w:rsidRPr="001D1CD5">
        <w:rPr>
          <w:rFonts w:asciiTheme="minorHAnsi" w:hAnsiTheme="minorHAnsi" w:cstheme="minorHAnsi"/>
        </w:rPr>
        <w:t>s.418</w:t>
      </w:r>
      <w:proofErr w:type="spellEnd"/>
      <w:r w:rsidRPr="001D1CD5">
        <w:rPr>
          <w:rFonts w:asciiTheme="minorHAnsi" w:hAnsiTheme="minorHAnsi" w:cstheme="minorHAnsi"/>
        </w:rPr>
        <w:t xml:space="preserve">) and then apply for a stop order or injunction. </w:t>
      </w:r>
    </w:p>
    <w:p w14:paraId="268792E0" w14:textId="77777777" w:rsidR="00D854A5" w:rsidRPr="001D1CD5" w:rsidRDefault="00D854A5" w:rsidP="00D854A5">
      <w:pPr>
        <w:widowControl w:val="0"/>
        <w:spacing w:after="240" w:line="276" w:lineRule="auto"/>
        <w:jc w:val="both"/>
        <w:rPr>
          <w:rFonts w:asciiTheme="minorHAnsi" w:hAnsiTheme="minorHAnsi" w:cstheme="minorHAnsi"/>
        </w:rPr>
      </w:pPr>
      <w:r w:rsidRPr="001D1CD5">
        <w:rPr>
          <w:rFonts w:asciiTheme="minorHAnsi" w:hAnsiTheme="minorHAnsi" w:cstheme="minorHAnsi"/>
        </w:rPr>
        <w:lastRenderedPageBreak/>
        <w:t xml:space="preserve">This problem should be addressed through an amendment to </w:t>
      </w:r>
      <w:proofErr w:type="spellStart"/>
      <w:r w:rsidRPr="001D1CD5">
        <w:rPr>
          <w:rFonts w:asciiTheme="minorHAnsi" w:eastAsia="Calibri" w:hAnsiTheme="minorHAnsi" w:cs="Calibri"/>
        </w:rPr>
        <w:t>s.443</w:t>
      </w:r>
      <w:proofErr w:type="spellEnd"/>
      <w:r w:rsidRPr="001D1CD5">
        <w:rPr>
          <w:rFonts w:asciiTheme="minorHAnsi" w:eastAsia="Calibri" w:hAnsiTheme="minorHAnsi" w:cs="Calibri"/>
        </w:rPr>
        <w:t xml:space="preserve"> of the FW Act as follows:</w:t>
      </w:r>
    </w:p>
    <w:p w14:paraId="3A1A676E" w14:textId="77777777" w:rsidR="00D854A5" w:rsidRPr="001D1CD5" w:rsidRDefault="00D854A5" w:rsidP="00D854A5">
      <w:pPr>
        <w:widowControl w:val="0"/>
        <w:tabs>
          <w:tab w:val="left" w:pos="383"/>
          <w:tab w:val="left" w:pos="1168"/>
        </w:tabs>
        <w:spacing w:after="240" w:line="276" w:lineRule="auto"/>
        <w:ind w:left="1168" w:right="560" w:hanging="709"/>
        <w:jc w:val="both"/>
        <w:rPr>
          <w:rFonts w:asciiTheme="minorHAnsi" w:hAnsiTheme="minorHAnsi" w:cstheme="minorHAnsi"/>
          <w:i/>
        </w:rPr>
      </w:pPr>
      <w:r w:rsidRPr="001D1CD5">
        <w:rPr>
          <w:rFonts w:asciiTheme="minorHAnsi" w:hAnsiTheme="minorHAnsi" w:cstheme="minorHAnsi"/>
          <w:i/>
        </w:rPr>
        <w:t>“(</w:t>
      </w:r>
      <w:proofErr w:type="spellStart"/>
      <w:r w:rsidRPr="001D1CD5">
        <w:rPr>
          <w:rFonts w:asciiTheme="minorHAnsi" w:hAnsiTheme="minorHAnsi" w:cstheme="minorHAnsi"/>
          <w:i/>
        </w:rPr>
        <w:t>2A</w:t>
      </w:r>
      <w:proofErr w:type="spellEnd"/>
      <w:r w:rsidRPr="001D1CD5">
        <w:rPr>
          <w:rFonts w:asciiTheme="minorHAnsi" w:hAnsiTheme="minorHAnsi" w:cstheme="minorHAnsi"/>
          <w:i/>
        </w:rPr>
        <w:t>)</w:t>
      </w:r>
      <w:r w:rsidRPr="001D1CD5">
        <w:rPr>
          <w:rFonts w:asciiTheme="minorHAnsi" w:hAnsiTheme="minorHAnsi" w:cstheme="minorHAnsi"/>
          <w:i/>
        </w:rPr>
        <w:tab/>
        <w:t xml:space="preserve">Despite subsection (1), the </w:t>
      </w:r>
      <w:proofErr w:type="spellStart"/>
      <w:r w:rsidRPr="001D1CD5">
        <w:rPr>
          <w:rFonts w:asciiTheme="minorHAnsi" w:hAnsiTheme="minorHAnsi" w:cstheme="minorHAnsi"/>
          <w:i/>
        </w:rPr>
        <w:t>FWC</w:t>
      </w:r>
      <w:proofErr w:type="spellEnd"/>
      <w:r w:rsidRPr="001D1CD5">
        <w:rPr>
          <w:rFonts w:asciiTheme="minorHAnsi" w:hAnsiTheme="minorHAnsi" w:cstheme="minorHAnsi"/>
          <w:i/>
        </w:rPr>
        <w:t xml:space="preserve"> must not make a protected action ballot order if a claim of an applicant: </w:t>
      </w:r>
    </w:p>
    <w:p w14:paraId="21FEA873" w14:textId="77777777" w:rsidR="00D854A5" w:rsidRPr="001D1CD5" w:rsidRDefault="00D854A5" w:rsidP="00D854A5">
      <w:pPr>
        <w:widowControl w:val="0"/>
        <w:spacing w:after="240" w:line="276" w:lineRule="auto"/>
        <w:ind w:left="1735" w:right="560" w:hanging="567"/>
        <w:jc w:val="both"/>
        <w:rPr>
          <w:rFonts w:asciiTheme="minorHAnsi" w:hAnsiTheme="minorHAnsi" w:cstheme="minorHAnsi"/>
          <w:i/>
        </w:rPr>
      </w:pPr>
      <w:r w:rsidRPr="001D1CD5">
        <w:rPr>
          <w:rFonts w:asciiTheme="minorHAnsi" w:hAnsiTheme="minorHAnsi" w:cstheme="minorHAnsi"/>
          <w:i/>
        </w:rPr>
        <w:t xml:space="preserve"> (a)</w:t>
      </w:r>
      <w:r w:rsidRPr="001D1CD5">
        <w:rPr>
          <w:rFonts w:asciiTheme="minorHAnsi" w:hAnsiTheme="minorHAnsi" w:cstheme="minorHAnsi"/>
          <w:i/>
        </w:rPr>
        <w:tab/>
        <w:t xml:space="preserve">is not about a permitted matter or is not reasonably believed to only be about a permitted matter; </w:t>
      </w:r>
    </w:p>
    <w:p w14:paraId="4191142D" w14:textId="77777777" w:rsidR="00D854A5" w:rsidRPr="001D1CD5" w:rsidRDefault="00D854A5" w:rsidP="00D854A5">
      <w:pPr>
        <w:widowControl w:val="0"/>
        <w:spacing w:after="240" w:line="276" w:lineRule="auto"/>
        <w:ind w:left="1735" w:right="560" w:hanging="567"/>
        <w:jc w:val="both"/>
        <w:rPr>
          <w:rFonts w:asciiTheme="minorHAnsi" w:hAnsiTheme="minorHAnsi" w:cstheme="minorHAnsi"/>
          <w:i/>
        </w:rPr>
      </w:pPr>
      <w:r w:rsidRPr="001D1CD5">
        <w:rPr>
          <w:rFonts w:asciiTheme="minorHAnsi" w:hAnsiTheme="minorHAnsi" w:cstheme="minorHAnsi"/>
          <w:i/>
        </w:rPr>
        <w:t xml:space="preserve"> (b)</w:t>
      </w:r>
      <w:r w:rsidRPr="001D1CD5">
        <w:rPr>
          <w:rFonts w:asciiTheme="minorHAnsi" w:hAnsiTheme="minorHAnsi" w:cstheme="minorHAnsi"/>
          <w:i/>
        </w:rPr>
        <w:tab/>
        <w:t>is to include an unlawful term in the agreement; or</w:t>
      </w:r>
    </w:p>
    <w:p w14:paraId="75BFD85D" w14:textId="77777777" w:rsidR="00D854A5" w:rsidRPr="001D1CD5" w:rsidRDefault="00D854A5" w:rsidP="00D854A5">
      <w:pPr>
        <w:widowControl w:val="0"/>
        <w:spacing w:after="240" w:line="276" w:lineRule="auto"/>
        <w:ind w:left="1735" w:right="560" w:hanging="567"/>
        <w:jc w:val="both"/>
        <w:rPr>
          <w:rFonts w:asciiTheme="minorHAnsi" w:hAnsiTheme="minorHAnsi" w:cstheme="minorHAnsi"/>
          <w:i/>
        </w:rPr>
      </w:pPr>
      <w:r w:rsidRPr="001D1CD5">
        <w:rPr>
          <w:rFonts w:asciiTheme="minorHAnsi" w:hAnsiTheme="minorHAnsi" w:cstheme="minorHAnsi"/>
          <w:i/>
        </w:rPr>
        <w:t>(c)</w:t>
      </w:r>
      <w:r w:rsidRPr="001D1CD5">
        <w:rPr>
          <w:rFonts w:asciiTheme="minorHAnsi" w:hAnsiTheme="minorHAnsi" w:cstheme="minorHAnsi"/>
          <w:i/>
        </w:rPr>
        <w:tab/>
        <w:t>is part of a course of conduct which is pattern bargaining.</w:t>
      </w:r>
    </w:p>
    <w:p w14:paraId="5BDC55B4" w14:textId="77777777" w:rsidR="00D854A5" w:rsidRPr="001D1CD5" w:rsidRDefault="00D854A5" w:rsidP="00D854A5">
      <w:pPr>
        <w:widowControl w:val="0"/>
        <w:spacing w:after="240" w:line="276" w:lineRule="auto"/>
        <w:ind w:left="426" w:right="560"/>
        <w:jc w:val="both"/>
        <w:rPr>
          <w:rFonts w:asciiTheme="minorHAnsi" w:hAnsiTheme="minorHAnsi" w:cstheme="minorHAnsi"/>
          <w:i/>
          <w:sz w:val="22"/>
          <w:szCs w:val="22"/>
        </w:rPr>
      </w:pPr>
      <w:r w:rsidRPr="001D1CD5">
        <w:rPr>
          <w:rFonts w:asciiTheme="minorHAnsi" w:hAnsiTheme="minorHAnsi" w:cstheme="minorHAnsi"/>
          <w:i/>
        </w:rPr>
        <w:t>Note: Industrial action is not protected industrial action in the above circumstances. See paragraph 409(1)(a), subsection 409(3) and subsection 409(4).”</w:t>
      </w:r>
    </w:p>
    <w:p w14:paraId="2ED0C637" w14:textId="77777777" w:rsidR="00D854A5" w:rsidRPr="001D1CD5" w:rsidRDefault="00D854A5" w:rsidP="00D854A5">
      <w:pPr>
        <w:widowControl w:val="0"/>
        <w:spacing w:after="240" w:line="276" w:lineRule="auto"/>
        <w:jc w:val="both"/>
        <w:rPr>
          <w:rFonts w:asciiTheme="minorHAnsi" w:hAnsiTheme="minorHAnsi" w:cs="Arial"/>
          <w:b/>
          <w:color w:val="451E51"/>
          <w:sz w:val="28"/>
          <w:szCs w:val="28"/>
          <w:lang w:eastAsia="en-AU"/>
        </w:rPr>
      </w:pPr>
      <w:r w:rsidRPr="001D1CD5">
        <w:rPr>
          <w:rFonts w:asciiTheme="minorHAnsi" w:hAnsiTheme="minorHAnsi" w:cs="Arial"/>
          <w:b/>
          <w:color w:val="451E51"/>
          <w:sz w:val="28"/>
          <w:szCs w:val="28"/>
          <w:lang w:eastAsia="en-AU"/>
        </w:rPr>
        <w:t>19.5</w:t>
      </w:r>
      <w:r w:rsidRPr="001D1CD5">
        <w:rPr>
          <w:rFonts w:asciiTheme="minorHAnsi" w:hAnsiTheme="minorHAnsi" w:cs="Arial"/>
          <w:b/>
          <w:color w:val="451E51"/>
          <w:sz w:val="28"/>
          <w:szCs w:val="28"/>
          <w:lang w:eastAsia="en-AU"/>
        </w:rPr>
        <w:tab/>
        <w:t>Grounds for termination and arbitration of industrial disputes</w:t>
      </w:r>
    </w:p>
    <w:p w14:paraId="1A50EE12" w14:textId="77777777" w:rsidR="00D854A5" w:rsidRPr="001D1CD5" w:rsidRDefault="00D854A5" w:rsidP="00D854A5">
      <w:pPr>
        <w:widowControl w:val="0"/>
        <w:spacing w:after="240" w:line="276" w:lineRule="auto"/>
        <w:jc w:val="both"/>
        <w:rPr>
          <w:rFonts w:asciiTheme="minorHAnsi" w:hAnsiTheme="minorHAnsi" w:cs="Arial"/>
          <w:lang w:eastAsia="en-AU"/>
        </w:rPr>
      </w:pPr>
      <w:r w:rsidRPr="001D1CD5">
        <w:rPr>
          <w:rFonts w:asciiTheme="minorHAnsi" w:hAnsiTheme="minorHAnsi" w:cs="Arial"/>
          <w:lang w:eastAsia="en-AU"/>
        </w:rPr>
        <w:t xml:space="preserve">Ai Group does not agree that the phrase “significant harm”, as used in </w:t>
      </w:r>
      <w:proofErr w:type="spellStart"/>
      <w:r w:rsidRPr="001D1CD5">
        <w:rPr>
          <w:rFonts w:asciiTheme="minorHAnsi" w:hAnsiTheme="minorHAnsi" w:cs="Arial"/>
          <w:lang w:eastAsia="en-AU"/>
        </w:rPr>
        <w:t>s.423</w:t>
      </w:r>
      <w:proofErr w:type="spellEnd"/>
      <w:r w:rsidRPr="001D1CD5">
        <w:rPr>
          <w:rFonts w:asciiTheme="minorHAnsi" w:hAnsiTheme="minorHAnsi" w:cs="Arial"/>
          <w:lang w:eastAsia="en-AU"/>
        </w:rPr>
        <w:t xml:space="preserve"> and 426 of the FW Act, needs to be defined as queried in the Information Request on page 689 of the Draft Report. </w:t>
      </w:r>
    </w:p>
    <w:p w14:paraId="2DC9E3F5" w14:textId="13C79CAD" w:rsidR="00D854A5" w:rsidRPr="001D1CD5" w:rsidRDefault="00D854A5" w:rsidP="00D854A5">
      <w:pPr>
        <w:widowControl w:val="0"/>
        <w:spacing w:after="240" w:line="276" w:lineRule="auto"/>
        <w:jc w:val="both"/>
        <w:rPr>
          <w:rFonts w:asciiTheme="minorHAnsi" w:hAnsiTheme="minorHAnsi" w:cs="Arial"/>
          <w:lang w:eastAsia="en-AU"/>
        </w:rPr>
      </w:pPr>
      <w:r w:rsidRPr="001D1CD5">
        <w:rPr>
          <w:rFonts w:asciiTheme="minorHAnsi" w:hAnsiTheme="minorHAnsi" w:cs="Arial"/>
          <w:lang w:eastAsia="en-AU"/>
        </w:rPr>
        <w:t>It is appropriate that a high bar apply in all circumstances where the right to take industrial action is terminated and arbitration</w:t>
      </w:r>
      <w:r w:rsidR="005B4B8A">
        <w:rPr>
          <w:rFonts w:asciiTheme="minorHAnsi" w:hAnsiTheme="minorHAnsi" w:cs="Arial"/>
          <w:lang w:eastAsia="en-AU"/>
        </w:rPr>
        <w:t xml:space="preserve"> can be imposed</w:t>
      </w:r>
      <w:r w:rsidRPr="001D1CD5">
        <w:rPr>
          <w:rFonts w:asciiTheme="minorHAnsi" w:hAnsiTheme="minorHAnsi" w:cs="Arial"/>
          <w:lang w:eastAsia="en-AU"/>
        </w:rPr>
        <w:t xml:space="preserve">, because the concept of compulsory arbitration is inconsistent with enterprise bargaining. The outcome of arbitration is of course not an enterprise agreement but an outcome which is imposed on the parties by a third party. </w:t>
      </w:r>
    </w:p>
    <w:p w14:paraId="353B096B" w14:textId="510B799D" w:rsidR="00D854A5" w:rsidRPr="001D1CD5" w:rsidRDefault="00D854A5" w:rsidP="00D854A5">
      <w:pPr>
        <w:widowControl w:val="0"/>
        <w:spacing w:after="240" w:line="276" w:lineRule="auto"/>
        <w:jc w:val="both"/>
        <w:rPr>
          <w:rFonts w:asciiTheme="minorHAnsi" w:hAnsiTheme="minorHAnsi" w:cs="Arial"/>
          <w:lang w:eastAsia="en-AU"/>
        </w:rPr>
      </w:pPr>
      <w:r w:rsidRPr="001D1CD5">
        <w:rPr>
          <w:rFonts w:asciiTheme="minorHAnsi" w:hAnsiTheme="minorHAnsi" w:cs="Arial"/>
          <w:lang w:eastAsia="en-AU"/>
        </w:rPr>
        <w:t xml:space="preserve">The principle underpinning </w:t>
      </w:r>
      <w:proofErr w:type="spellStart"/>
      <w:r w:rsidRPr="001D1CD5">
        <w:rPr>
          <w:rFonts w:asciiTheme="minorHAnsi" w:hAnsiTheme="minorHAnsi" w:cs="Arial"/>
          <w:lang w:eastAsia="en-AU"/>
        </w:rPr>
        <w:t>s.424</w:t>
      </w:r>
      <w:proofErr w:type="spellEnd"/>
      <w:r w:rsidRPr="001D1CD5">
        <w:rPr>
          <w:rFonts w:asciiTheme="minorHAnsi" w:hAnsiTheme="minorHAnsi" w:cs="Arial"/>
          <w:lang w:eastAsia="en-AU"/>
        </w:rPr>
        <w:t xml:space="preserve"> is that when industrial action is threatening harm to the community or an important part of it, the interests of the community outweigh the interests of the bargaining parties</w:t>
      </w:r>
      <w:r w:rsidR="004D797A">
        <w:rPr>
          <w:rFonts w:asciiTheme="minorHAnsi" w:hAnsiTheme="minorHAnsi" w:cs="Arial"/>
          <w:lang w:eastAsia="en-AU"/>
        </w:rPr>
        <w:t xml:space="preserve">. In such circumstances, compulsory </w:t>
      </w:r>
      <w:r w:rsidRPr="001D1CD5">
        <w:rPr>
          <w:rFonts w:asciiTheme="minorHAnsi" w:hAnsiTheme="minorHAnsi" w:cs="Arial"/>
          <w:lang w:eastAsia="en-AU"/>
        </w:rPr>
        <w:t xml:space="preserve">arbitration is appropriate. This same principle does not apply under </w:t>
      </w:r>
      <w:proofErr w:type="spellStart"/>
      <w:r w:rsidRPr="001D1CD5">
        <w:rPr>
          <w:rFonts w:asciiTheme="minorHAnsi" w:hAnsiTheme="minorHAnsi" w:cs="Arial"/>
          <w:lang w:eastAsia="en-AU"/>
        </w:rPr>
        <w:t>s.423</w:t>
      </w:r>
      <w:proofErr w:type="spellEnd"/>
      <w:r w:rsidRPr="001D1CD5">
        <w:rPr>
          <w:rFonts w:asciiTheme="minorHAnsi" w:hAnsiTheme="minorHAnsi" w:cs="Arial"/>
          <w:lang w:eastAsia="en-AU"/>
        </w:rPr>
        <w:t xml:space="preserve"> because this section deals with industrial action which is inflicting significant harm on </w:t>
      </w:r>
      <w:r w:rsidR="004D797A">
        <w:rPr>
          <w:rFonts w:asciiTheme="minorHAnsi" w:hAnsiTheme="minorHAnsi" w:cs="Arial"/>
          <w:lang w:eastAsia="en-AU"/>
        </w:rPr>
        <w:t xml:space="preserve">the </w:t>
      </w:r>
      <w:r w:rsidRPr="001D1CD5">
        <w:rPr>
          <w:rFonts w:asciiTheme="minorHAnsi" w:hAnsiTheme="minorHAnsi" w:cs="Arial"/>
          <w:lang w:eastAsia="en-AU"/>
        </w:rPr>
        <w:t xml:space="preserve">bargaining parties. </w:t>
      </w:r>
    </w:p>
    <w:p w14:paraId="34E5186D" w14:textId="4AE18BDB" w:rsidR="00D854A5" w:rsidRPr="001D1CD5" w:rsidRDefault="00D854A5" w:rsidP="00D854A5">
      <w:pPr>
        <w:pStyle w:val="ListParagraph"/>
        <w:widowControl w:val="0"/>
        <w:spacing w:after="240" w:line="276" w:lineRule="auto"/>
        <w:ind w:left="0"/>
        <w:jc w:val="both"/>
        <w:rPr>
          <w:rFonts w:asciiTheme="minorHAnsi" w:hAnsiTheme="minorHAnsi"/>
        </w:rPr>
      </w:pPr>
      <w:r w:rsidRPr="001D1CD5">
        <w:rPr>
          <w:rFonts w:asciiTheme="minorHAnsi" w:hAnsiTheme="minorHAnsi"/>
        </w:rPr>
        <w:t xml:space="preserve">Ai Group does not support Draft Recommendation 19.2 that </w:t>
      </w:r>
      <w:proofErr w:type="spellStart"/>
      <w:r w:rsidRPr="001D1CD5">
        <w:rPr>
          <w:rFonts w:asciiTheme="minorHAnsi" w:hAnsiTheme="minorHAnsi"/>
        </w:rPr>
        <w:t>s.423</w:t>
      </w:r>
      <w:proofErr w:type="spellEnd"/>
      <w:r w:rsidRPr="001D1CD5">
        <w:rPr>
          <w:rFonts w:asciiTheme="minorHAnsi" w:hAnsiTheme="minorHAnsi"/>
        </w:rPr>
        <w:t xml:space="preserve"> of the FW Act </w:t>
      </w:r>
      <w:r w:rsidR="004D797A">
        <w:rPr>
          <w:rFonts w:asciiTheme="minorHAnsi" w:hAnsiTheme="minorHAnsi"/>
        </w:rPr>
        <w:t xml:space="preserve">should </w:t>
      </w:r>
      <w:r w:rsidRPr="001D1CD5">
        <w:rPr>
          <w:rFonts w:asciiTheme="minorHAnsi" w:hAnsiTheme="minorHAnsi"/>
        </w:rPr>
        <w:t>be amended to refer to significant harm to “either” party</w:t>
      </w:r>
      <w:r w:rsidR="004D797A">
        <w:rPr>
          <w:rFonts w:asciiTheme="minorHAnsi" w:hAnsiTheme="minorHAnsi"/>
        </w:rPr>
        <w:t>, rather than “both” parties</w:t>
      </w:r>
      <w:r w:rsidRPr="001D1CD5">
        <w:rPr>
          <w:rFonts w:asciiTheme="minorHAnsi" w:hAnsiTheme="minorHAnsi"/>
        </w:rPr>
        <w:t xml:space="preserve">. Such a proposal was debated at great length when the </w:t>
      </w:r>
      <w:r w:rsidRPr="001D1CD5">
        <w:rPr>
          <w:rFonts w:asciiTheme="minorHAnsi" w:hAnsiTheme="minorHAnsi"/>
          <w:i/>
        </w:rPr>
        <w:t>Fair Work Bill</w:t>
      </w:r>
      <w:r w:rsidRPr="001D1CD5">
        <w:rPr>
          <w:rFonts w:asciiTheme="minorHAnsi" w:hAnsiTheme="minorHAnsi"/>
        </w:rPr>
        <w:t xml:space="preserve"> was being developed and ultimately rejected because it would have enabled employees to commence strike action and shortly thereafter seek arbitration on the basis that their industrial action was significantly harming them.  Any change to </w:t>
      </w:r>
      <w:proofErr w:type="spellStart"/>
      <w:r w:rsidRPr="001D1CD5">
        <w:rPr>
          <w:rFonts w:asciiTheme="minorHAnsi" w:hAnsiTheme="minorHAnsi"/>
        </w:rPr>
        <w:t>s.423</w:t>
      </w:r>
      <w:proofErr w:type="spellEnd"/>
      <w:r w:rsidRPr="001D1CD5">
        <w:rPr>
          <w:rFonts w:asciiTheme="minorHAnsi" w:hAnsiTheme="minorHAnsi"/>
        </w:rPr>
        <w:t xml:space="preserve"> would need to prevent employees gaining access to arbitration as a result of their own industrial action.</w:t>
      </w:r>
    </w:p>
    <w:p w14:paraId="53E6DD2C" w14:textId="77777777" w:rsidR="00D854A5" w:rsidRPr="001D1CD5" w:rsidRDefault="00D854A5" w:rsidP="00D854A5">
      <w:pPr>
        <w:pStyle w:val="ListParagraph"/>
        <w:widowControl w:val="0"/>
        <w:spacing w:after="240" w:line="276" w:lineRule="auto"/>
        <w:ind w:left="0"/>
        <w:jc w:val="both"/>
        <w:rPr>
          <w:rFonts w:asciiTheme="minorHAnsi" w:hAnsiTheme="minorHAnsi"/>
          <w:lang w:eastAsia="en-US"/>
        </w:rPr>
      </w:pPr>
      <w:r w:rsidRPr="001D1CD5">
        <w:rPr>
          <w:rFonts w:asciiTheme="minorHAnsi" w:hAnsiTheme="minorHAnsi"/>
        </w:rPr>
        <w:t xml:space="preserve">The following extract is from a submission made to then Deputy Leader of the Opposition, the Hon Julia Gillard MP, in relation to a similar proposal to Draft Recommendation 19.2 in Labor’s </w:t>
      </w:r>
      <w:r w:rsidRPr="001D1CD5">
        <w:rPr>
          <w:rFonts w:asciiTheme="minorHAnsi" w:hAnsiTheme="minorHAnsi"/>
          <w:i/>
        </w:rPr>
        <w:t>Forward with Fairness Policy</w:t>
      </w:r>
      <w:r w:rsidRPr="001D1CD5">
        <w:rPr>
          <w:rFonts w:asciiTheme="minorHAnsi" w:hAnsiTheme="minorHAnsi"/>
        </w:rPr>
        <w:t>:</w:t>
      </w:r>
    </w:p>
    <w:p w14:paraId="5ABFB713" w14:textId="77777777" w:rsidR="00D854A5" w:rsidRPr="001D1CD5" w:rsidRDefault="00D854A5" w:rsidP="00D854A5">
      <w:pPr>
        <w:widowControl w:val="0"/>
        <w:shd w:val="clear" w:color="auto" w:fill="FFFFFF"/>
        <w:spacing w:after="240" w:line="276" w:lineRule="auto"/>
        <w:ind w:left="720"/>
        <w:jc w:val="both"/>
        <w:rPr>
          <w:rFonts w:asciiTheme="minorHAnsi" w:hAnsiTheme="minorHAnsi"/>
          <w:i/>
        </w:rPr>
      </w:pPr>
      <w:r w:rsidRPr="001D1CD5">
        <w:rPr>
          <w:rFonts w:asciiTheme="minorHAnsi" w:hAnsiTheme="minorHAnsi"/>
          <w:i/>
        </w:rPr>
        <w:t xml:space="preserve">“Under Labor’s policy, if industrial action is causing significant harm to one of the parties, Fair Work Australia would have the power to end the industrial action and arbitrate an outcome. This would apply even if the party is inflicting the harm upon itself through the </w:t>
      </w:r>
      <w:r w:rsidRPr="001D1CD5">
        <w:rPr>
          <w:rFonts w:asciiTheme="minorHAnsi" w:hAnsiTheme="minorHAnsi"/>
          <w:i/>
        </w:rPr>
        <w:lastRenderedPageBreak/>
        <w:t>taking of strike or lock-out action.  When employees are on strike they can of course end the harm at any time by returning to work. Similarly, when a company has locked out its employees it can end the harm at any time by ending the lock-out. It is inappropriate and unfair to allow access to arbitration based upon harm to one of the bargaining parties - particularly where the harm is self-inflicted by the party who wants arbitration.</w:t>
      </w:r>
    </w:p>
    <w:p w14:paraId="07DF48CB" w14:textId="77777777" w:rsidR="00D854A5" w:rsidRPr="001D1CD5" w:rsidRDefault="00D854A5" w:rsidP="00D854A5">
      <w:pPr>
        <w:widowControl w:val="0"/>
        <w:shd w:val="clear" w:color="auto" w:fill="FFFFFF"/>
        <w:spacing w:after="240" w:line="276" w:lineRule="auto"/>
        <w:ind w:left="720"/>
        <w:jc w:val="both"/>
        <w:rPr>
          <w:rFonts w:asciiTheme="minorHAnsi" w:hAnsiTheme="minorHAnsi"/>
          <w:i/>
        </w:rPr>
      </w:pPr>
      <w:r w:rsidRPr="001D1CD5">
        <w:rPr>
          <w:rFonts w:asciiTheme="minorHAnsi" w:hAnsiTheme="minorHAnsi"/>
          <w:i/>
        </w:rPr>
        <w:t>After several days of strike action a union would be able to readily argue that employees are struggling to pay their mortgages and car payments and therefore that significant harm is occurring to one of the bargaining parties. Accordingly, the Commission would have the power to arbitrate and impose an outcome on the parties.</w:t>
      </w:r>
    </w:p>
    <w:p w14:paraId="1BF85503" w14:textId="77777777" w:rsidR="00D854A5" w:rsidRPr="001D1CD5" w:rsidRDefault="00D854A5" w:rsidP="00D854A5">
      <w:pPr>
        <w:pStyle w:val="Header"/>
        <w:widowControl w:val="0"/>
        <w:spacing w:after="240" w:line="276" w:lineRule="auto"/>
        <w:ind w:left="720"/>
        <w:jc w:val="both"/>
        <w:rPr>
          <w:rFonts w:asciiTheme="minorHAnsi" w:hAnsiTheme="minorHAnsi"/>
          <w:i/>
        </w:rPr>
      </w:pPr>
      <w:r w:rsidRPr="001D1CD5">
        <w:rPr>
          <w:rFonts w:asciiTheme="minorHAnsi" w:hAnsiTheme="minorHAnsi"/>
          <w:i/>
        </w:rPr>
        <w:t>Arbitration should only be available in extremely limited circumstances because once a workplace agreement outcome is arbitrated against the will of one or more of the parties it is, of course, no longer “an agreement”.  Arbitration under the current system (and under the Keating Government’s laws) is accessible only in the very limited circumstances where a dispute is threatening to damage an important part of the economy, or the safety or welfare of the Australian population. The rationale for arbitration in such circumstances is that the interests of the community outweigh the interests of the bargaining parties.</w:t>
      </w:r>
    </w:p>
    <w:p w14:paraId="20E20F96" w14:textId="77777777" w:rsidR="00D854A5" w:rsidRPr="001D1CD5" w:rsidRDefault="00D854A5" w:rsidP="00D854A5">
      <w:pPr>
        <w:pStyle w:val="Header"/>
        <w:widowControl w:val="0"/>
        <w:spacing w:after="240" w:line="276" w:lineRule="auto"/>
        <w:ind w:left="720"/>
        <w:jc w:val="both"/>
        <w:rPr>
          <w:rFonts w:asciiTheme="minorHAnsi" w:hAnsiTheme="minorHAnsi"/>
          <w:i/>
        </w:rPr>
      </w:pPr>
      <w:r w:rsidRPr="001D1CD5">
        <w:rPr>
          <w:rFonts w:asciiTheme="minorHAnsi" w:hAnsiTheme="minorHAnsi"/>
          <w:i/>
        </w:rPr>
        <w:t xml:space="preserve">If a negotiating party is aware that arbitration is available, there is less incentive for the party to make concessions in order to reach agreement. A union would be able to make a series of excessive claims which no company would agree to, </w:t>
      </w:r>
      <w:proofErr w:type="spellStart"/>
      <w:r w:rsidRPr="001D1CD5">
        <w:rPr>
          <w:rFonts w:asciiTheme="minorHAnsi" w:hAnsiTheme="minorHAnsi"/>
          <w:i/>
        </w:rPr>
        <w:t>organise</w:t>
      </w:r>
      <w:proofErr w:type="spellEnd"/>
      <w:r w:rsidRPr="001D1CD5">
        <w:rPr>
          <w:rFonts w:asciiTheme="minorHAnsi" w:hAnsiTheme="minorHAnsi"/>
          <w:i/>
        </w:rPr>
        <w:t xml:space="preserve"> industrial action in pursuit of those claims and then wait for a “compromise” position to be arbitrated. This would represent a return to the old days of arbitration around ambit claims. Arbitrated outcomes (particularly those </w:t>
      </w:r>
      <w:proofErr w:type="spellStart"/>
      <w:r w:rsidRPr="001D1CD5">
        <w:rPr>
          <w:rFonts w:asciiTheme="minorHAnsi" w:hAnsiTheme="minorHAnsi"/>
          <w:i/>
        </w:rPr>
        <w:t>favourable</w:t>
      </w:r>
      <w:proofErr w:type="spellEnd"/>
      <w:r w:rsidRPr="001D1CD5">
        <w:rPr>
          <w:rFonts w:asciiTheme="minorHAnsi" w:hAnsiTheme="minorHAnsi"/>
          <w:i/>
        </w:rPr>
        <w:t xml:space="preserve"> to unions) would undoubtedly flow-on across industries. This would occur as a result of unions pressing other employers to accept the arbitrated outcome and also through other similar outcomes being arbitrated by Fair Work Australia and the doctrine of precedent.</w:t>
      </w:r>
    </w:p>
    <w:p w14:paraId="1B7CA983" w14:textId="77777777" w:rsidR="00D854A5" w:rsidRPr="001D1CD5" w:rsidRDefault="00D854A5" w:rsidP="00D854A5">
      <w:pPr>
        <w:widowControl w:val="0"/>
        <w:spacing w:after="240" w:line="276" w:lineRule="auto"/>
        <w:ind w:left="720"/>
        <w:jc w:val="both"/>
        <w:rPr>
          <w:rFonts w:asciiTheme="minorHAnsi" w:hAnsiTheme="minorHAnsi"/>
          <w:i/>
        </w:rPr>
      </w:pPr>
      <w:r w:rsidRPr="001D1CD5">
        <w:rPr>
          <w:rFonts w:asciiTheme="minorHAnsi" w:hAnsiTheme="minorHAnsi"/>
          <w:i/>
        </w:rPr>
        <w:t>On page 15 of Labor’s policy, it is stated that parties would not be forced to make concessions during bargaining or sign up to an agreement if they do not agree to the terms - but allowing unions to have ready access to arbitration would enable similar unacceptable outcomes to be imposed upon employers.”</w:t>
      </w:r>
    </w:p>
    <w:p w14:paraId="01C1D790" w14:textId="3CE22CCA" w:rsidR="00D854A5" w:rsidRPr="004D797A" w:rsidRDefault="00D854A5" w:rsidP="004D797A">
      <w:pPr>
        <w:pStyle w:val="ListParagraph"/>
        <w:widowControl w:val="0"/>
        <w:spacing w:after="240" w:line="276" w:lineRule="auto"/>
        <w:ind w:left="0"/>
        <w:jc w:val="both"/>
        <w:rPr>
          <w:rFonts w:asciiTheme="minorHAnsi" w:hAnsiTheme="minorHAnsi"/>
        </w:rPr>
      </w:pPr>
      <w:r w:rsidRPr="001D1CD5">
        <w:rPr>
          <w:rFonts w:asciiTheme="minorHAnsi" w:hAnsiTheme="minorHAnsi"/>
        </w:rPr>
        <w:t xml:space="preserve">With regard to the Information Request on page 692 of the Draft Report, Ai Group strongly opposes any dilution of the existing requirements in </w:t>
      </w:r>
      <w:proofErr w:type="spellStart"/>
      <w:r w:rsidRPr="001D1CD5">
        <w:rPr>
          <w:rFonts w:asciiTheme="minorHAnsi" w:hAnsiTheme="minorHAnsi"/>
        </w:rPr>
        <w:t>s.424</w:t>
      </w:r>
      <w:proofErr w:type="spellEnd"/>
      <w:r w:rsidRPr="001D1CD5">
        <w:rPr>
          <w:rFonts w:asciiTheme="minorHAnsi" w:hAnsiTheme="minorHAnsi"/>
        </w:rPr>
        <w:t xml:space="preserve"> of the FW Act. Ai Group has represented the relevant employers in a number of cases relating to applications under </w:t>
      </w:r>
      <w:proofErr w:type="spellStart"/>
      <w:r w:rsidRPr="001D1CD5">
        <w:rPr>
          <w:rFonts w:asciiTheme="minorHAnsi" w:hAnsiTheme="minorHAnsi"/>
        </w:rPr>
        <w:t>s.424</w:t>
      </w:r>
      <w:proofErr w:type="spellEnd"/>
      <w:r w:rsidRPr="001D1CD5">
        <w:rPr>
          <w:rFonts w:asciiTheme="minorHAnsi" w:hAnsiTheme="minorHAnsi"/>
        </w:rPr>
        <w:t xml:space="preserve"> or predecessor provisions under the </w:t>
      </w:r>
      <w:r w:rsidRPr="001D1CD5">
        <w:rPr>
          <w:rFonts w:asciiTheme="minorHAnsi" w:hAnsiTheme="minorHAnsi"/>
          <w:i/>
        </w:rPr>
        <w:t>Workplace Relations Act 1996</w:t>
      </w:r>
      <w:r w:rsidR="004D797A">
        <w:rPr>
          <w:rFonts w:asciiTheme="minorHAnsi" w:hAnsiTheme="minorHAnsi"/>
        </w:rPr>
        <w:t xml:space="preserve">. </w:t>
      </w:r>
      <w:r w:rsidRPr="001D1CD5">
        <w:rPr>
          <w:rFonts w:asciiTheme="minorHAnsi" w:hAnsiTheme="minorHAnsi" w:cs="Arial"/>
        </w:rPr>
        <w:t xml:space="preserve">The predecessor provisions to </w:t>
      </w:r>
      <w:proofErr w:type="spellStart"/>
      <w:r w:rsidRPr="001D1CD5">
        <w:rPr>
          <w:rFonts w:asciiTheme="minorHAnsi" w:hAnsiTheme="minorHAnsi" w:cs="Arial"/>
        </w:rPr>
        <w:t>s.424</w:t>
      </w:r>
      <w:proofErr w:type="spellEnd"/>
      <w:r w:rsidRPr="001D1CD5">
        <w:rPr>
          <w:rFonts w:asciiTheme="minorHAnsi" w:hAnsiTheme="minorHAnsi" w:cs="Arial"/>
        </w:rPr>
        <w:t xml:space="preserve"> were the focus of the High Court’s decision in the </w:t>
      </w:r>
      <w:r w:rsidRPr="001D1CD5">
        <w:rPr>
          <w:rFonts w:asciiTheme="minorHAnsi" w:hAnsiTheme="minorHAnsi" w:cs="Arial"/>
          <w:i/>
        </w:rPr>
        <w:t xml:space="preserve">Coal and Allied </w:t>
      </w:r>
      <w:r w:rsidRPr="001D1CD5">
        <w:rPr>
          <w:rFonts w:asciiTheme="minorHAnsi" w:hAnsiTheme="minorHAnsi" w:cs="Arial"/>
        </w:rPr>
        <w:t>case</w:t>
      </w:r>
      <w:r w:rsidRPr="001D1CD5">
        <w:rPr>
          <w:rFonts w:asciiTheme="minorHAnsi" w:hAnsiTheme="minorHAnsi" w:cs="Arial"/>
          <w:i/>
        </w:rPr>
        <w:t>.</w:t>
      </w:r>
      <w:r w:rsidRPr="001D1CD5">
        <w:rPr>
          <w:rStyle w:val="FootnoteReference"/>
          <w:rFonts w:asciiTheme="minorHAnsi" w:hAnsiTheme="minorHAnsi" w:cs="Arial"/>
        </w:rPr>
        <w:footnoteReference w:id="10"/>
      </w:r>
      <w:r w:rsidRPr="001D1CD5">
        <w:rPr>
          <w:rFonts w:asciiTheme="minorHAnsi" w:hAnsiTheme="minorHAnsi" w:cs="Arial"/>
        </w:rPr>
        <w:t xml:space="preserve"> The </w:t>
      </w:r>
      <w:proofErr w:type="spellStart"/>
      <w:r w:rsidRPr="001D1CD5">
        <w:rPr>
          <w:rFonts w:asciiTheme="minorHAnsi" w:hAnsiTheme="minorHAnsi" w:cs="Arial"/>
        </w:rPr>
        <w:t>FWC</w:t>
      </w:r>
      <w:proofErr w:type="spellEnd"/>
      <w:r w:rsidRPr="001D1CD5">
        <w:rPr>
          <w:rFonts w:asciiTheme="minorHAnsi" w:hAnsiTheme="minorHAnsi" w:cs="Arial"/>
        </w:rPr>
        <w:t xml:space="preserve"> imposes a very high bar when determining applications under </w:t>
      </w:r>
      <w:proofErr w:type="spellStart"/>
      <w:r w:rsidRPr="001D1CD5">
        <w:rPr>
          <w:rFonts w:asciiTheme="minorHAnsi" w:hAnsiTheme="minorHAnsi" w:cs="Arial"/>
        </w:rPr>
        <w:t>s.424</w:t>
      </w:r>
      <w:proofErr w:type="spellEnd"/>
      <w:r w:rsidRPr="001D1CD5">
        <w:rPr>
          <w:rFonts w:asciiTheme="minorHAnsi" w:hAnsiTheme="minorHAnsi" w:cs="Arial"/>
        </w:rPr>
        <w:t xml:space="preserve">. The phrases </w:t>
      </w:r>
      <w:r w:rsidRPr="001D1CD5">
        <w:rPr>
          <w:rFonts w:asciiTheme="minorHAnsi" w:hAnsiTheme="minorHAnsi" w:cs="Arial"/>
          <w:i/>
        </w:rPr>
        <w:t xml:space="preserve">“endanger”, “significant damage”, “the population”, “economy” </w:t>
      </w:r>
      <w:r w:rsidRPr="001D1CD5">
        <w:rPr>
          <w:rFonts w:asciiTheme="minorHAnsi" w:hAnsiTheme="minorHAnsi" w:cs="Arial"/>
        </w:rPr>
        <w:t xml:space="preserve">and </w:t>
      </w:r>
      <w:r w:rsidRPr="001D1CD5">
        <w:rPr>
          <w:rFonts w:asciiTheme="minorHAnsi" w:hAnsiTheme="minorHAnsi" w:cs="Arial"/>
          <w:i/>
        </w:rPr>
        <w:t>“important part”</w:t>
      </w:r>
      <w:r w:rsidRPr="001D1CD5">
        <w:rPr>
          <w:rFonts w:asciiTheme="minorHAnsi" w:hAnsiTheme="minorHAnsi" w:cs="Arial"/>
        </w:rPr>
        <w:t xml:space="preserve"> have been consistently interpreted by the </w:t>
      </w:r>
      <w:proofErr w:type="spellStart"/>
      <w:r w:rsidRPr="001D1CD5">
        <w:rPr>
          <w:rFonts w:asciiTheme="minorHAnsi" w:hAnsiTheme="minorHAnsi" w:cs="Arial"/>
        </w:rPr>
        <w:t>FWC</w:t>
      </w:r>
      <w:proofErr w:type="spellEnd"/>
      <w:r w:rsidRPr="001D1CD5">
        <w:rPr>
          <w:rFonts w:asciiTheme="minorHAnsi" w:hAnsiTheme="minorHAnsi" w:cs="Arial"/>
        </w:rPr>
        <w:t xml:space="preserve"> and its predecessors in a very rigorous manner which prevents suspension or </w:t>
      </w:r>
      <w:r w:rsidRPr="001D1CD5">
        <w:rPr>
          <w:rFonts w:asciiTheme="minorHAnsi" w:hAnsiTheme="minorHAnsi" w:cs="Arial"/>
        </w:rPr>
        <w:lastRenderedPageBreak/>
        <w:t xml:space="preserve">termination in any circumstances other than where a threat is serious and widespread. Very isolated examples </w:t>
      </w:r>
      <w:r w:rsidR="004D797A" w:rsidRPr="001D1CD5">
        <w:rPr>
          <w:rFonts w:asciiTheme="minorHAnsi" w:hAnsiTheme="minorHAnsi" w:cs="Arial"/>
        </w:rPr>
        <w:t>provided to the Productivity Commission by unions</w:t>
      </w:r>
      <w:r w:rsidR="004D797A">
        <w:rPr>
          <w:rFonts w:asciiTheme="minorHAnsi" w:hAnsiTheme="minorHAnsi" w:cs="Arial"/>
        </w:rPr>
        <w:t>,</w:t>
      </w:r>
      <w:r w:rsidR="004D797A" w:rsidRPr="001D1CD5">
        <w:rPr>
          <w:rFonts w:asciiTheme="minorHAnsi" w:hAnsiTheme="minorHAnsi" w:cs="Arial"/>
        </w:rPr>
        <w:t xml:space="preserve"> </w:t>
      </w:r>
      <w:r w:rsidRPr="001D1CD5">
        <w:rPr>
          <w:rFonts w:asciiTheme="minorHAnsi" w:hAnsiTheme="minorHAnsi" w:cs="Arial"/>
        </w:rPr>
        <w:t xml:space="preserve">of alleged lack of </w:t>
      </w:r>
      <w:proofErr w:type="spellStart"/>
      <w:r w:rsidRPr="001D1CD5">
        <w:rPr>
          <w:rFonts w:asciiTheme="minorHAnsi" w:hAnsiTheme="minorHAnsi" w:cs="Arial"/>
        </w:rPr>
        <w:t>rigour</w:t>
      </w:r>
      <w:proofErr w:type="spellEnd"/>
      <w:r w:rsidR="004D797A">
        <w:rPr>
          <w:rFonts w:asciiTheme="minorHAnsi" w:hAnsiTheme="minorHAnsi" w:cs="Arial"/>
        </w:rPr>
        <w:t xml:space="preserve"> by the </w:t>
      </w:r>
      <w:proofErr w:type="spellStart"/>
      <w:r w:rsidR="004D797A">
        <w:rPr>
          <w:rFonts w:asciiTheme="minorHAnsi" w:hAnsiTheme="minorHAnsi" w:cs="Arial"/>
        </w:rPr>
        <w:t>FWC</w:t>
      </w:r>
      <w:proofErr w:type="spellEnd"/>
      <w:r w:rsidR="004D797A">
        <w:rPr>
          <w:rFonts w:asciiTheme="minorHAnsi" w:hAnsiTheme="minorHAnsi" w:cs="Arial"/>
        </w:rPr>
        <w:t xml:space="preserve"> in dealing with </w:t>
      </w:r>
      <w:proofErr w:type="spellStart"/>
      <w:r w:rsidR="004D797A">
        <w:rPr>
          <w:rFonts w:asciiTheme="minorHAnsi" w:hAnsiTheme="minorHAnsi" w:cs="Arial"/>
        </w:rPr>
        <w:t>s.424</w:t>
      </w:r>
      <w:proofErr w:type="spellEnd"/>
      <w:r w:rsidR="004D797A">
        <w:rPr>
          <w:rFonts w:asciiTheme="minorHAnsi" w:hAnsiTheme="minorHAnsi" w:cs="Arial"/>
        </w:rPr>
        <w:t xml:space="preserve"> applications</w:t>
      </w:r>
      <w:r w:rsidRPr="001D1CD5">
        <w:rPr>
          <w:rFonts w:asciiTheme="minorHAnsi" w:hAnsiTheme="minorHAnsi" w:cs="Arial"/>
        </w:rPr>
        <w:t>,  must not allowed to water down this critical provision of the FW Act which protects the community from harm.</w:t>
      </w:r>
    </w:p>
    <w:p w14:paraId="0477693C" w14:textId="77777777" w:rsidR="00D854A5" w:rsidRPr="001D1CD5" w:rsidRDefault="00D854A5" w:rsidP="00D854A5">
      <w:pPr>
        <w:widowControl w:val="0"/>
        <w:spacing w:after="240" w:line="276" w:lineRule="auto"/>
        <w:jc w:val="both"/>
        <w:rPr>
          <w:rFonts w:asciiTheme="minorHAnsi" w:hAnsiTheme="minorHAnsi" w:cs="Arial"/>
          <w:b/>
          <w:color w:val="451E51"/>
          <w:sz w:val="28"/>
          <w:szCs w:val="28"/>
          <w:lang w:eastAsia="en-AU"/>
        </w:rPr>
      </w:pPr>
      <w:r w:rsidRPr="001D1CD5">
        <w:rPr>
          <w:rFonts w:asciiTheme="minorHAnsi" w:hAnsiTheme="minorHAnsi" w:cs="Arial"/>
          <w:b/>
          <w:color w:val="451E51"/>
          <w:sz w:val="28"/>
          <w:szCs w:val="28"/>
          <w:lang w:eastAsia="en-AU"/>
        </w:rPr>
        <w:t>19.6</w:t>
      </w:r>
      <w:r w:rsidRPr="001D1CD5">
        <w:rPr>
          <w:rFonts w:asciiTheme="minorHAnsi" w:hAnsiTheme="minorHAnsi" w:cs="Arial"/>
          <w:b/>
          <w:color w:val="451E51"/>
          <w:sz w:val="28"/>
          <w:szCs w:val="28"/>
          <w:lang w:eastAsia="en-AU"/>
        </w:rPr>
        <w:tab/>
        <w:t>Aborted strikes</w:t>
      </w:r>
    </w:p>
    <w:p w14:paraId="740CE5EF" w14:textId="77777777" w:rsidR="00D854A5" w:rsidRPr="001D1CD5" w:rsidRDefault="00D854A5" w:rsidP="00D854A5">
      <w:pPr>
        <w:widowControl w:val="0"/>
        <w:spacing w:after="240" w:line="276" w:lineRule="auto"/>
        <w:jc w:val="both"/>
        <w:rPr>
          <w:rFonts w:asciiTheme="minorHAnsi" w:hAnsiTheme="minorHAnsi" w:cs="Arial"/>
          <w:lang w:eastAsia="en-AU"/>
        </w:rPr>
      </w:pPr>
      <w:r w:rsidRPr="001D1CD5">
        <w:rPr>
          <w:rFonts w:asciiTheme="minorHAnsi" w:hAnsiTheme="minorHAnsi" w:cs="Arial"/>
          <w:lang w:eastAsia="en-AU"/>
        </w:rPr>
        <w:t>Ai Group supports Draft Recommendation 19.3 which would enable employers who have implemented a reasonable contingency plan in response to a notice of industrial action, to stand down employees without pay for the duration of the contingency response, if the employees withdraw their notice.</w:t>
      </w:r>
    </w:p>
    <w:p w14:paraId="2DDDE912" w14:textId="77777777" w:rsidR="00D854A5" w:rsidRPr="001D1CD5" w:rsidRDefault="00D854A5" w:rsidP="00D854A5">
      <w:pPr>
        <w:widowControl w:val="0"/>
        <w:spacing w:after="240" w:line="276" w:lineRule="auto"/>
        <w:jc w:val="both"/>
        <w:rPr>
          <w:rFonts w:asciiTheme="minorHAnsi" w:hAnsiTheme="minorHAnsi" w:cs="Arial"/>
          <w:lang w:eastAsia="en-AU"/>
        </w:rPr>
      </w:pPr>
      <w:r w:rsidRPr="001D1CD5">
        <w:rPr>
          <w:rFonts w:asciiTheme="minorHAnsi" w:hAnsiTheme="minorHAnsi" w:cs="Arial"/>
          <w:lang w:eastAsia="en-AU"/>
        </w:rPr>
        <w:t xml:space="preserve">Ai Group also supports Draft Recommendation 19.4 which would give the </w:t>
      </w:r>
      <w:proofErr w:type="spellStart"/>
      <w:r w:rsidRPr="001D1CD5">
        <w:rPr>
          <w:rFonts w:asciiTheme="minorHAnsi" w:hAnsiTheme="minorHAnsi" w:cs="Arial"/>
          <w:lang w:eastAsia="en-AU"/>
        </w:rPr>
        <w:t>FWC</w:t>
      </w:r>
      <w:proofErr w:type="spellEnd"/>
      <w:r w:rsidRPr="001D1CD5">
        <w:rPr>
          <w:rFonts w:asciiTheme="minorHAnsi" w:hAnsiTheme="minorHAnsi" w:cs="Arial"/>
          <w:lang w:eastAsia="en-AU"/>
        </w:rPr>
        <w:t xml:space="preserve"> the discretion to withhold a protected action ballot order for up to 90 days where employees have repeatedly withdrawn industrial action as an industrial tactic.</w:t>
      </w:r>
    </w:p>
    <w:p w14:paraId="35433546" w14:textId="77777777" w:rsidR="00D854A5" w:rsidRPr="001D1CD5" w:rsidRDefault="00D854A5" w:rsidP="00D854A5">
      <w:pPr>
        <w:widowControl w:val="0"/>
        <w:spacing w:after="240" w:line="276" w:lineRule="auto"/>
        <w:jc w:val="both"/>
        <w:rPr>
          <w:rFonts w:asciiTheme="minorHAnsi" w:hAnsiTheme="minorHAnsi" w:cs="Arial"/>
          <w:b/>
          <w:color w:val="451E51"/>
          <w:sz w:val="28"/>
          <w:szCs w:val="28"/>
          <w:lang w:eastAsia="en-AU"/>
        </w:rPr>
      </w:pPr>
      <w:r w:rsidRPr="001D1CD5">
        <w:rPr>
          <w:rFonts w:asciiTheme="minorHAnsi" w:hAnsiTheme="minorHAnsi" w:cs="Arial"/>
          <w:b/>
          <w:color w:val="451E51"/>
          <w:sz w:val="28"/>
          <w:szCs w:val="28"/>
          <w:lang w:eastAsia="en-AU"/>
        </w:rPr>
        <w:t>19.7</w:t>
      </w:r>
      <w:r w:rsidRPr="001D1CD5">
        <w:rPr>
          <w:rFonts w:asciiTheme="minorHAnsi" w:hAnsiTheme="minorHAnsi" w:cs="Arial"/>
          <w:b/>
          <w:color w:val="451E51"/>
          <w:sz w:val="28"/>
          <w:szCs w:val="28"/>
          <w:lang w:eastAsia="en-AU"/>
        </w:rPr>
        <w:tab/>
        <w:t>Strike pay arrangements</w:t>
      </w:r>
    </w:p>
    <w:p w14:paraId="6E5FA12F" w14:textId="77777777" w:rsidR="00D854A5" w:rsidRPr="001D1CD5" w:rsidRDefault="00D854A5" w:rsidP="00D854A5">
      <w:pPr>
        <w:widowControl w:val="0"/>
        <w:spacing w:after="240" w:line="276" w:lineRule="auto"/>
        <w:jc w:val="both"/>
        <w:rPr>
          <w:rFonts w:asciiTheme="minorHAnsi" w:hAnsiTheme="minorHAnsi"/>
        </w:rPr>
      </w:pPr>
      <w:r w:rsidRPr="001D1CD5">
        <w:rPr>
          <w:rFonts w:asciiTheme="minorHAnsi" w:hAnsiTheme="minorHAnsi"/>
        </w:rPr>
        <w:t xml:space="preserve">Ai Group strongly opposes Draft Recommendation 19.5. </w:t>
      </w:r>
    </w:p>
    <w:p w14:paraId="65B77159" w14:textId="77777777" w:rsidR="00D854A5" w:rsidRPr="001D1CD5" w:rsidRDefault="00D854A5" w:rsidP="00D854A5">
      <w:pPr>
        <w:widowControl w:val="0"/>
        <w:spacing w:after="240" w:line="276" w:lineRule="auto"/>
        <w:jc w:val="both"/>
        <w:rPr>
          <w:rFonts w:asciiTheme="minorHAnsi" w:hAnsiTheme="minorHAnsi" w:cstheme="minorBidi"/>
        </w:rPr>
      </w:pPr>
      <w:r w:rsidRPr="001D1CD5">
        <w:rPr>
          <w:rFonts w:asciiTheme="minorHAnsi" w:hAnsiTheme="minorHAnsi"/>
        </w:rPr>
        <w:t>The current 4 hour minimum deduction period when unlawful industrial action is taken is a very important and useful provision which operates as a significant deterrent to the taking of unlawful industrial action. Any relaxation of the requirements will lead to more unlawful industrial action. For example, lunch time union meetings which would have been completed within the half hour lunch break will continue for 45 minutes and the employer would be pressured to pay the employees for the extra 15 minutes. This is precisely the reason why the four hour minimum was implemented in the first place by the Howard Coalition Government and retained under the FW Act by the former Labor Government.</w:t>
      </w:r>
    </w:p>
    <w:p w14:paraId="4984451D" w14:textId="77777777" w:rsidR="00D854A5" w:rsidRPr="001D1CD5" w:rsidRDefault="00D854A5" w:rsidP="00D854A5">
      <w:pPr>
        <w:widowControl w:val="0"/>
        <w:spacing w:after="240" w:line="276" w:lineRule="auto"/>
        <w:jc w:val="both"/>
        <w:rPr>
          <w:rFonts w:asciiTheme="minorHAnsi" w:hAnsiTheme="minorHAnsi" w:cs="Arial"/>
          <w:lang w:eastAsia="en-AU"/>
        </w:rPr>
      </w:pPr>
      <w:r w:rsidRPr="001D1CD5">
        <w:rPr>
          <w:rFonts w:asciiTheme="minorHAnsi" w:hAnsiTheme="minorHAnsi"/>
        </w:rPr>
        <w:t>With regard to the Information Request on page 696 of the Draft Report, Ai Group supports the proposal that employers be allowed to deduct a minimum of 25 per cent of normal wages for the duration of partial work bans. This is a practical, sensible and fair proposal that would significant reduce the complexities associated with calculating deductions.</w:t>
      </w:r>
    </w:p>
    <w:p w14:paraId="725C44F2" w14:textId="77777777" w:rsidR="00D854A5" w:rsidRPr="001D1CD5" w:rsidRDefault="00D854A5" w:rsidP="00D854A5">
      <w:pPr>
        <w:widowControl w:val="0"/>
        <w:spacing w:after="240" w:line="276" w:lineRule="auto"/>
        <w:jc w:val="both"/>
        <w:rPr>
          <w:rFonts w:asciiTheme="minorHAnsi" w:hAnsiTheme="minorHAnsi" w:cs="Arial"/>
          <w:b/>
          <w:color w:val="451E51"/>
          <w:sz w:val="28"/>
          <w:szCs w:val="28"/>
          <w:lang w:eastAsia="en-AU"/>
        </w:rPr>
      </w:pPr>
      <w:r w:rsidRPr="001D1CD5">
        <w:rPr>
          <w:rFonts w:asciiTheme="minorHAnsi" w:hAnsiTheme="minorHAnsi" w:cs="Arial"/>
          <w:b/>
          <w:color w:val="451E51"/>
          <w:sz w:val="28"/>
          <w:szCs w:val="28"/>
          <w:lang w:eastAsia="en-AU"/>
        </w:rPr>
        <w:t>19.8</w:t>
      </w:r>
      <w:r w:rsidRPr="001D1CD5">
        <w:rPr>
          <w:rFonts w:asciiTheme="minorHAnsi" w:hAnsiTheme="minorHAnsi" w:cs="Arial"/>
          <w:b/>
          <w:color w:val="451E51"/>
          <w:sz w:val="28"/>
          <w:szCs w:val="28"/>
          <w:lang w:eastAsia="en-AU"/>
        </w:rPr>
        <w:tab/>
        <w:t>Employer responses</w:t>
      </w:r>
    </w:p>
    <w:p w14:paraId="58CDE8D4" w14:textId="77777777" w:rsidR="00D854A5" w:rsidRPr="001D1CD5" w:rsidRDefault="00D854A5" w:rsidP="00D854A5">
      <w:pPr>
        <w:widowControl w:val="0"/>
        <w:spacing w:after="240" w:line="276" w:lineRule="auto"/>
        <w:jc w:val="both"/>
        <w:rPr>
          <w:rFonts w:asciiTheme="minorHAnsi" w:hAnsiTheme="minorHAnsi" w:cs="Arial"/>
          <w:lang w:eastAsia="en-AU"/>
        </w:rPr>
      </w:pPr>
      <w:r w:rsidRPr="001D1CD5">
        <w:rPr>
          <w:rFonts w:asciiTheme="minorHAnsi" w:hAnsiTheme="minorHAnsi" w:cs="Arial"/>
          <w:lang w:eastAsia="en-AU"/>
        </w:rPr>
        <w:t>Ai Group concurs with the Productivity Commission’s finding that the options for employers to respond to protected industrial action are too limited. However, with regard to the Information Request on page 698 of the Draft Report, the main problem is not in the protected action provisions of the Act but rather the general protections. “</w:t>
      </w:r>
      <w:r w:rsidRPr="001D1CD5">
        <w:rPr>
          <w:rFonts w:asciiTheme="minorHAnsi" w:hAnsiTheme="minorHAnsi" w:cs="Calibri"/>
        </w:rPr>
        <w:t>Adverse action” must exclude reasonable employer responses to protected industrial action.</w:t>
      </w:r>
    </w:p>
    <w:p w14:paraId="6E6A0306" w14:textId="77777777" w:rsidR="00D854A5" w:rsidRPr="001D1CD5" w:rsidRDefault="00D854A5" w:rsidP="00D854A5">
      <w:pPr>
        <w:widowControl w:val="0"/>
        <w:spacing w:after="240" w:line="276" w:lineRule="auto"/>
        <w:jc w:val="both"/>
        <w:rPr>
          <w:rFonts w:asciiTheme="minorHAnsi" w:hAnsiTheme="minorHAnsi" w:cs="Arial"/>
          <w:lang w:eastAsia="en-AU"/>
        </w:rPr>
      </w:pPr>
      <w:r w:rsidRPr="001D1CD5">
        <w:rPr>
          <w:rFonts w:asciiTheme="minorHAnsi" w:hAnsiTheme="minorHAnsi" w:cs="Calibri"/>
        </w:rPr>
        <w:t>Standing down an employee engaged in protected industrial action is appropriately excluded from the definition of “adverse action” (</w:t>
      </w:r>
      <w:proofErr w:type="spellStart"/>
      <w:r w:rsidRPr="001D1CD5">
        <w:rPr>
          <w:rFonts w:asciiTheme="minorHAnsi" w:hAnsiTheme="minorHAnsi" w:cs="Calibri"/>
        </w:rPr>
        <w:t>s.342</w:t>
      </w:r>
      <w:proofErr w:type="spellEnd"/>
      <w:r w:rsidRPr="001D1CD5">
        <w:rPr>
          <w:rFonts w:asciiTheme="minorHAnsi" w:hAnsiTheme="minorHAnsi" w:cs="Calibri"/>
        </w:rPr>
        <w:t xml:space="preserve">(4)). However, other reasonable employer conduct in response to protected industrial action is not expressly excluded from the meaning of “adverse </w:t>
      </w:r>
      <w:r w:rsidRPr="001D1CD5">
        <w:rPr>
          <w:rFonts w:asciiTheme="minorHAnsi" w:hAnsiTheme="minorHAnsi" w:cs="Calibri"/>
        </w:rPr>
        <w:lastRenderedPageBreak/>
        <w:t xml:space="preserve">action” in </w:t>
      </w:r>
      <w:proofErr w:type="spellStart"/>
      <w:r w:rsidRPr="001D1CD5">
        <w:rPr>
          <w:rFonts w:asciiTheme="minorHAnsi" w:hAnsiTheme="minorHAnsi" w:cs="Calibri"/>
        </w:rPr>
        <w:t>s.342</w:t>
      </w:r>
      <w:proofErr w:type="spellEnd"/>
      <w:r w:rsidRPr="001D1CD5">
        <w:rPr>
          <w:rFonts w:asciiTheme="minorHAnsi" w:hAnsiTheme="minorHAnsi" w:cs="Calibri"/>
        </w:rPr>
        <w:t xml:space="preserve"> and thereby potentially captured by the general protections. Examples include:</w:t>
      </w:r>
    </w:p>
    <w:p w14:paraId="7403009A" w14:textId="77777777" w:rsidR="00D854A5" w:rsidRPr="001D1CD5" w:rsidRDefault="00D854A5" w:rsidP="00D12FF9">
      <w:pPr>
        <w:widowControl w:val="0"/>
        <w:numPr>
          <w:ilvl w:val="0"/>
          <w:numId w:val="71"/>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cs="Calibri"/>
        </w:rPr>
      </w:pPr>
      <w:r w:rsidRPr="001D1CD5">
        <w:rPr>
          <w:rFonts w:asciiTheme="minorHAnsi" w:hAnsiTheme="minorHAnsi" w:cs="Calibri"/>
        </w:rPr>
        <w:t>Not offering overtime on the weekend to individual employees who have taken strike action during the previous week, but offering weekend overtime to those who have not;</w:t>
      </w:r>
    </w:p>
    <w:p w14:paraId="323B04B7" w14:textId="77777777" w:rsidR="00D854A5" w:rsidRPr="001D1CD5" w:rsidRDefault="00D854A5" w:rsidP="00D12FF9">
      <w:pPr>
        <w:widowControl w:val="0"/>
        <w:numPr>
          <w:ilvl w:val="0"/>
          <w:numId w:val="71"/>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cs="Calibri"/>
        </w:rPr>
      </w:pPr>
      <w:r w:rsidRPr="001D1CD5">
        <w:rPr>
          <w:rFonts w:asciiTheme="minorHAnsi" w:hAnsiTheme="minorHAnsi" w:cs="Calibri"/>
        </w:rPr>
        <w:t>Withdrawing discretionary benefits (e.g. bonuses);</w:t>
      </w:r>
    </w:p>
    <w:p w14:paraId="1D30A232" w14:textId="77777777" w:rsidR="00D854A5" w:rsidRPr="001D1CD5" w:rsidRDefault="00D854A5" w:rsidP="00D12FF9">
      <w:pPr>
        <w:widowControl w:val="0"/>
        <w:numPr>
          <w:ilvl w:val="0"/>
          <w:numId w:val="71"/>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cs="Calibri"/>
        </w:rPr>
      </w:pPr>
      <w:r w:rsidRPr="001D1CD5">
        <w:rPr>
          <w:rFonts w:asciiTheme="minorHAnsi" w:hAnsiTheme="minorHAnsi" w:cs="Calibri"/>
        </w:rPr>
        <w:t>Requiring employees who are taking industrial action to return their company vans so that other employees who are not taking industrial action can use them to service customers; and</w:t>
      </w:r>
    </w:p>
    <w:p w14:paraId="6DCB171A" w14:textId="77777777" w:rsidR="00D854A5" w:rsidRPr="001D1CD5" w:rsidRDefault="00D854A5" w:rsidP="00D12FF9">
      <w:pPr>
        <w:widowControl w:val="0"/>
        <w:numPr>
          <w:ilvl w:val="0"/>
          <w:numId w:val="71"/>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cs="Calibri"/>
        </w:rPr>
      </w:pPr>
      <w:r w:rsidRPr="001D1CD5">
        <w:rPr>
          <w:rFonts w:asciiTheme="minorHAnsi" w:hAnsiTheme="minorHAnsi" w:cs="Calibri"/>
        </w:rPr>
        <w:t xml:space="preserve">Preventing employees </w:t>
      </w:r>
      <w:proofErr w:type="spellStart"/>
      <w:r w:rsidRPr="001D1CD5">
        <w:rPr>
          <w:rFonts w:asciiTheme="minorHAnsi" w:hAnsiTheme="minorHAnsi" w:cs="Calibri"/>
        </w:rPr>
        <w:t>utilising</w:t>
      </w:r>
      <w:proofErr w:type="spellEnd"/>
      <w:r w:rsidRPr="001D1CD5">
        <w:rPr>
          <w:rFonts w:asciiTheme="minorHAnsi" w:hAnsiTheme="minorHAnsi" w:cs="Calibri"/>
        </w:rPr>
        <w:t xml:space="preserve"> company telecommunications systems during periods of industrial action.</w:t>
      </w:r>
    </w:p>
    <w:p w14:paraId="23423077" w14:textId="77777777" w:rsidR="00D854A5" w:rsidRPr="001D1CD5" w:rsidRDefault="00D854A5" w:rsidP="00D854A5">
      <w:pPr>
        <w:widowControl w:val="0"/>
        <w:spacing w:after="240" w:line="276" w:lineRule="auto"/>
        <w:jc w:val="both"/>
        <w:rPr>
          <w:rFonts w:asciiTheme="minorHAnsi" w:hAnsiTheme="minorHAnsi" w:cs="Calibri"/>
        </w:rPr>
      </w:pPr>
      <w:r w:rsidRPr="001D1CD5">
        <w:rPr>
          <w:rFonts w:asciiTheme="minorHAnsi" w:hAnsiTheme="minorHAnsi" w:cs="Calibri"/>
        </w:rPr>
        <w:t xml:space="preserve">Another legitimate response to industrial action, and a long </w:t>
      </w:r>
      <w:proofErr w:type="spellStart"/>
      <w:r w:rsidRPr="001D1CD5">
        <w:rPr>
          <w:rFonts w:asciiTheme="minorHAnsi" w:hAnsiTheme="minorHAnsi" w:cs="Calibri"/>
        </w:rPr>
        <w:t>recognised</w:t>
      </w:r>
      <w:proofErr w:type="spellEnd"/>
      <w:r w:rsidRPr="001D1CD5">
        <w:rPr>
          <w:rFonts w:asciiTheme="minorHAnsi" w:hAnsiTheme="minorHAnsi" w:cs="Calibri"/>
        </w:rPr>
        <w:t xml:space="preserve"> common law right of an employer, is to apply the “No Work, No Pay” Principle. The FW Act </w:t>
      </w:r>
      <w:proofErr w:type="spellStart"/>
      <w:r w:rsidRPr="001D1CD5">
        <w:rPr>
          <w:rFonts w:asciiTheme="minorHAnsi" w:hAnsiTheme="minorHAnsi" w:cs="Calibri"/>
        </w:rPr>
        <w:t>recognises</w:t>
      </w:r>
      <w:proofErr w:type="spellEnd"/>
      <w:r w:rsidRPr="001D1CD5">
        <w:rPr>
          <w:rFonts w:asciiTheme="minorHAnsi" w:hAnsiTheme="minorHAnsi" w:cs="Calibri"/>
        </w:rPr>
        <w:t xml:space="preserve"> this right in </w:t>
      </w:r>
      <w:proofErr w:type="spellStart"/>
      <w:r w:rsidRPr="001D1CD5">
        <w:rPr>
          <w:rFonts w:asciiTheme="minorHAnsi" w:hAnsiTheme="minorHAnsi" w:cs="Calibri"/>
        </w:rPr>
        <w:t>s.471</w:t>
      </w:r>
      <w:proofErr w:type="spellEnd"/>
      <w:r w:rsidRPr="001D1CD5">
        <w:rPr>
          <w:rFonts w:asciiTheme="minorHAnsi" w:hAnsiTheme="minorHAnsi" w:cs="Calibri"/>
        </w:rPr>
        <w:t xml:space="preserve">(4) but the right should be expressly </w:t>
      </w:r>
      <w:proofErr w:type="spellStart"/>
      <w:r w:rsidRPr="001D1CD5">
        <w:rPr>
          <w:rFonts w:asciiTheme="minorHAnsi" w:hAnsiTheme="minorHAnsi" w:cs="Calibri"/>
        </w:rPr>
        <w:t>recognised</w:t>
      </w:r>
      <w:proofErr w:type="spellEnd"/>
      <w:r w:rsidRPr="001D1CD5">
        <w:rPr>
          <w:rFonts w:asciiTheme="minorHAnsi" w:hAnsiTheme="minorHAnsi" w:cs="Calibri"/>
        </w:rPr>
        <w:t xml:space="preserve"> in the general protections.  It would appear that the reference to “stand down” in </w:t>
      </w:r>
      <w:proofErr w:type="spellStart"/>
      <w:r w:rsidRPr="001D1CD5">
        <w:rPr>
          <w:rFonts w:asciiTheme="minorHAnsi" w:hAnsiTheme="minorHAnsi" w:cs="Calibri"/>
        </w:rPr>
        <w:t>s.342</w:t>
      </w:r>
      <w:proofErr w:type="spellEnd"/>
      <w:r w:rsidRPr="001D1CD5">
        <w:rPr>
          <w:rFonts w:asciiTheme="minorHAnsi" w:hAnsiTheme="minorHAnsi" w:cs="Calibri"/>
        </w:rPr>
        <w:t>(4)(b) is a reference to the rights under Part 3-5 – Stand Down, of the Act, not the right to stand aside in accordance with the “No Work, No Pay” principle.</w:t>
      </w:r>
    </w:p>
    <w:p w14:paraId="5D0764B2" w14:textId="78C9B526" w:rsidR="00D854A5" w:rsidRPr="004D797A" w:rsidRDefault="00D854A5" w:rsidP="00D854A5">
      <w:pPr>
        <w:widowControl w:val="0"/>
        <w:spacing w:after="240" w:line="276" w:lineRule="auto"/>
        <w:jc w:val="both"/>
        <w:rPr>
          <w:rFonts w:asciiTheme="minorHAnsi" w:hAnsiTheme="minorHAnsi" w:cs="Calibri"/>
        </w:rPr>
      </w:pPr>
      <w:r w:rsidRPr="001D1CD5">
        <w:rPr>
          <w:rFonts w:asciiTheme="minorHAnsi" w:hAnsiTheme="minorHAnsi" w:cs="Calibri"/>
        </w:rPr>
        <w:t>Employers need to be able to respond to protected industrial action by employees without breaching the general protections. Actions often need to be taken by employers to mitigate the effects of industrial ac</w:t>
      </w:r>
      <w:r w:rsidR="004D797A">
        <w:rPr>
          <w:rFonts w:asciiTheme="minorHAnsi" w:hAnsiTheme="minorHAnsi" w:cs="Calibri"/>
        </w:rPr>
        <w:t xml:space="preserve">tion and to defend against it. </w:t>
      </w:r>
      <w:r w:rsidRPr="001D1CD5">
        <w:rPr>
          <w:rFonts w:asciiTheme="minorHAnsi" w:hAnsiTheme="minorHAnsi" w:cs="Calibri"/>
        </w:rPr>
        <w:t>Subsection 342(4) should be expanded to include all lawful employer conduct in response to protected industrial action</w:t>
      </w:r>
      <w:r w:rsidRPr="001D1CD5">
        <w:rPr>
          <w:rFonts w:asciiTheme="minorHAnsi" w:hAnsiTheme="minorHAnsi" w:cs="Calibri"/>
          <w:b/>
          <w:i/>
        </w:rPr>
        <w:t xml:space="preserve">.  </w:t>
      </w:r>
    </w:p>
    <w:p w14:paraId="62BEC464" w14:textId="6D3766F1" w:rsidR="00371EDD" w:rsidRDefault="00371EDD">
      <w:pPr>
        <w:rPr>
          <w:rFonts w:asciiTheme="minorHAnsi" w:hAnsiTheme="minorHAnsi" w:cs="Arial"/>
          <w:b/>
          <w:color w:val="451E51"/>
          <w:sz w:val="28"/>
          <w:szCs w:val="28"/>
          <w:lang w:eastAsia="en-AU"/>
        </w:rPr>
      </w:pPr>
    </w:p>
    <w:p w14:paraId="7FAEECEF" w14:textId="0D5721F7" w:rsidR="00D854A5" w:rsidRPr="001D1CD5" w:rsidRDefault="00D854A5" w:rsidP="00D854A5">
      <w:pPr>
        <w:widowControl w:val="0"/>
        <w:spacing w:after="240" w:line="276" w:lineRule="auto"/>
        <w:jc w:val="both"/>
        <w:rPr>
          <w:rFonts w:asciiTheme="minorHAnsi" w:hAnsiTheme="minorHAnsi" w:cs="Arial"/>
          <w:b/>
          <w:color w:val="451E51"/>
          <w:sz w:val="28"/>
          <w:szCs w:val="28"/>
          <w:lang w:eastAsia="en-AU"/>
        </w:rPr>
      </w:pPr>
      <w:r w:rsidRPr="001D1CD5">
        <w:rPr>
          <w:rFonts w:asciiTheme="minorHAnsi" w:hAnsiTheme="minorHAnsi" w:cs="Arial"/>
          <w:b/>
          <w:color w:val="451E51"/>
          <w:sz w:val="28"/>
          <w:szCs w:val="28"/>
          <w:lang w:eastAsia="en-AU"/>
        </w:rPr>
        <w:t>19.9</w:t>
      </w:r>
      <w:r w:rsidRPr="001D1CD5">
        <w:rPr>
          <w:rFonts w:asciiTheme="minorHAnsi" w:hAnsiTheme="minorHAnsi" w:cs="Arial"/>
          <w:b/>
          <w:color w:val="451E51"/>
          <w:sz w:val="28"/>
          <w:szCs w:val="28"/>
          <w:lang w:eastAsia="en-AU"/>
        </w:rPr>
        <w:tab/>
        <w:t>Remedies for unlawful industrial action</w:t>
      </w:r>
    </w:p>
    <w:p w14:paraId="74C478B8" w14:textId="77777777" w:rsidR="00D854A5" w:rsidRPr="001D1CD5" w:rsidRDefault="00D854A5" w:rsidP="00D854A5">
      <w:pPr>
        <w:widowControl w:val="0"/>
        <w:spacing w:after="240" w:line="276" w:lineRule="auto"/>
        <w:jc w:val="both"/>
        <w:rPr>
          <w:rFonts w:asciiTheme="minorHAnsi" w:hAnsiTheme="minorHAnsi" w:cs="Arial"/>
          <w:lang w:eastAsia="en-AU"/>
        </w:rPr>
      </w:pPr>
      <w:r w:rsidRPr="001D1CD5">
        <w:rPr>
          <w:rFonts w:asciiTheme="minorHAnsi" w:hAnsiTheme="minorHAnsi" w:cs="Arial"/>
          <w:lang w:eastAsia="en-AU"/>
        </w:rPr>
        <w:t>Ai Group strongly supports Draft Recommendation 19.6. The existing penalties for unlawful industrial action are far too low when industrial action often inflicts huge losses on employers, customers, suppliers and others in the community.</w:t>
      </w:r>
    </w:p>
    <w:p w14:paraId="30581A43" w14:textId="77777777" w:rsidR="00D854A5" w:rsidRPr="001D1CD5" w:rsidRDefault="00D854A5" w:rsidP="00D854A5">
      <w:pPr>
        <w:widowControl w:val="0"/>
        <w:spacing w:after="240" w:line="276" w:lineRule="auto"/>
        <w:jc w:val="both"/>
        <w:rPr>
          <w:rFonts w:asciiTheme="minorHAnsi" w:hAnsiTheme="minorHAnsi" w:cs="Arial"/>
          <w:b/>
          <w:color w:val="451E51"/>
          <w:sz w:val="28"/>
          <w:szCs w:val="28"/>
          <w:lang w:eastAsia="en-AU"/>
        </w:rPr>
      </w:pPr>
      <w:r w:rsidRPr="001D1CD5">
        <w:rPr>
          <w:rFonts w:asciiTheme="minorHAnsi" w:hAnsiTheme="minorHAnsi" w:cs="Arial"/>
          <w:b/>
          <w:color w:val="451E51"/>
          <w:sz w:val="28"/>
          <w:szCs w:val="28"/>
          <w:lang w:eastAsia="en-AU"/>
        </w:rPr>
        <w:t>19.10</w:t>
      </w:r>
      <w:r w:rsidRPr="001D1CD5">
        <w:rPr>
          <w:rFonts w:asciiTheme="minorHAnsi" w:hAnsiTheme="minorHAnsi" w:cs="Arial"/>
          <w:b/>
          <w:color w:val="451E51"/>
          <w:sz w:val="28"/>
          <w:szCs w:val="28"/>
          <w:lang w:eastAsia="en-AU"/>
        </w:rPr>
        <w:tab/>
        <w:t>Right of entry</w:t>
      </w:r>
    </w:p>
    <w:p w14:paraId="3EF45A13" w14:textId="77777777" w:rsidR="00D854A5" w:rsidRPr="001D1CD5" w:rsidRDefault="00D854A5" w:rsidP="00D854A5">
      <w:pPr>
        <w:widowControl w:val="0"/>
        <w:spacing w:after="240" w:line="276" w:lineRule="auto"/>
        <w:jc w:val="both"/>
        <w:rPr>
          <w:rFonts w:asciiTheme="minorHAnsi" w:hAnsiTheme="minorHAnsi" w:cs="Arial"/>
          <w:lang w:eastAsia="en-AU"/>
        </w:rPr>
      </w:pPr>
      <w:r w:rsidRPr="001D1CD5">
        <w:rPr>
          <w:rFonts w:asciiTheme="minorHAnsi" w:hAnsiTheme="minorHAnsi" w:cs="Arial"/>
          <w:lang w:eastAsia="en-AU"/>
        </w:rPr>
        <w:t xml:space="preserve">Ai Group supports Draft Recommendation 19.7 which would amend the requirements associated with applications for </w:t>
      </w:r>
      <w:proofErr w:type="spellStart"/>
      <w:r w:rsidRPr="001D1CD5">
        <w:rPr>
          <w:rFonts w:asciiTheme="minorHAnsi" w:hAnsiTheme="minorHAnsi" w:cs="Arial"/>
          <w:lang w:eastAsia="en-AU"/>
        </w:rPr>
        <w:t>FWC</w:t>
      </w:r>
      <w:proofErr w:type="spellEnd"/>
      <w:r w:rsidRPr="001D1CD5">
        <w:rPr>
          <w:rFonts w:asciiTheme="minorHAnsi" w:hAnsiTheme="minorHAnsi" w:cs="Arial"/>
          <w:lang w:eastAsia="en-AU"/>
        </w:rPr>
        <w:t xml:space="preserve"> orders dealing with disputes about right of entry to implement more relevant requirements.</w:t>
      </w:r>
    </w:p>
    <w:p w14:paraId="3F306DA9" w14:textId="233C2E07" w:rsidR="00D854A5" w:rsidRPr="001D1CD5" w:rsidRDefault="00D854A5" w:rsidP="00D854A5">
      <w:pPr>
        <w:widowControl w:val="0"/>
        <w:spacing w:after="240" w:line="276" w:lineRule="auto"/>
        <w:jc w:val="both"/>
        <w:rPr>
          <w:rFonts w:asciiTheme="minorHAnsi" w:hAnsiTheme="minorHAnsi" w:cs="Arial"/>
          <w:lang w:eastAsia="en-AU"/>
        </w:rPr>
      </w:pPr>
      <w:r w:rsidRPr="001D1CD5">
        <w:rPr>
          <w:rFonts w:asciiTheme="minorHAnsi" w:hAnsiTheme="minorHAnsi" w:cs="Arial"/>
          <w:lang w:eastAsia="en-AU"/>
        </w:rPr>
        <w:t xml:space="preserve">Ai Group also supports Draft Recommendation 19.8 which would restrict a union from entering premises </w:t>
      </w:r>
      <w:r w:rsidRPr="001D1CD5">
        <w:rPr>
          <w:rFonts w:asciiTheme="minorHAnsi" w:eastAsia="Times New Roman" w:hAnsiTheme="minorHAnsi" w:cs="Arial"/>
          <w:spacing w:val="7"/>
          <w:lang w:val="en"/>
        </w:rPr>
        <w:t xml:space="preserve">to hold discussions with employees </w:t>
      </w:r>
      <w:r w:rsidRPr="001D1CD5">
        <w:rPr>
          <w:rFonts w:asciiTheme="minorHAnsi" w:hAnsiTheme="minorHAnsi" w:cs="Arial"/>
          <w:spacing w:val="7"/>
          <w:lang w:val="en"/>
        </w:rPr>
        <w:t xml:space="preserve">to </w:t>
      </w:r>
      <w:r w:rsidRPr="001D1CD5">
        <w:rPr>
          <w:rFonts w:asciiTheme="minorHAnsi" w:eastAsia="Times New Roman" w:hAnsiTheme="minorHAnsi" w:cs="Arial"/>
          <w:spacing w:val="7"/>
          <w:lang w:val="en"/>
        </w:rPr>
        <w:t>up to two occasions every 90 days</w:t>
      </w:r>
      <w:r w:rsidRPr="001D1CD5">
        <w:rPr>
          <w:rFonts w:asciiTheme="minorHAnsi" w:hAnsiTheme="minorHAnsi" w:cs="Arial"/>
          <w:spacing w:val="7"/>
          <w:lang w:val="en"/>
        </w:rPr>
        <w:t xml:space="preserve">, where the </w:t>
      </w:r>
      <w:r w:rsidRPr="001D1CD5">
        <w:rPr>
          <w:rFonts w:asciiTheme="minorHAnsi" w:eastAsia="Times New Roman" w:hAnsiTheme="minorHAnsi" w:cs="Arial"/>
          <w:spacing w:val="7"/>
          <w:lang w:val="en"/>
        </w:rPr>
        <w:t>union does not have any members and is not negotiating an enterprise agreement at an enterprise</w:t>
      </w:r>
      <w:r w:rsidRPr="001D1CD5">
        <w:rPr>
          <w:rFonts w:asciiTheme="minorHAnsi" w:hAnsiTheme="minorHAnsi" w:cs="Arial"/>
          <w:spacing w:val="7"/>
          <w:lang w:val="en"/>
        </w:rPr>
        <w:t>.</w:t>
      </w:r>
      <w:r w:rsidRPr="001D1CD5">
        <w:rPr>
          <w:rFonts w:asciiTheme="minorHAnsi" w:eastAsia="Times New Roman" w:hAnsiTheme="minorHAnsi" w:cs="Arial"/>
          <w:spacing w:val="7"/>
          <w:lang w:val="en"/>
        </w:rPr>
        <w:t xml:space="preserve"> </w:t>
      </w:r>
    </w:p>
    <w:p w14:paraId="3FEBAF4E" w14:textId="79856031" w:rsidR="00D854A5" w:rsidRPr="001D1CD5" w:rsidRDefault="00D854A5" w:rsidP="00D854A5">
      <w:pPr>
        <w:pStyle w:val="ListParagraph"/>
        <w:widowControl w:val="0"/>
        <w:spacing w:after="240" w:line="276" w:lineRule="auto"/>
        <w:ind w:left="0"/>
        <w:jc w:val="both"/>
        <w:rPr>
          <w:rFonts w:asciiTheme="minorHAnsi" w:hAnsiTheme="minorHAnsi" w:cs="Arial"/>
        </w:rPr>
      </w:pPr>
      <w:r w:rsidRPr="001D1CD5">
        <w:rPr>
          <w:rFonts w:asciiTheme="minorHAnsi" w:hAnsiTheme="minorHAnsi" w:cs="Arial"/>
        </w:rPr>
        <w:t>In addition, the amendments made by the former Labor Government to the right of entry laws from 1 January 2014 (including the right to hold discussions with employees in lunchrooms) were not warranted and need to be reversed.</w:t>
      </w:r>
      <w:r w:rsidR="004D797A">
        <w:rPr>
          <w:rFonts w:asciiTheme="minorHAnsi" w:hAnsiTheme="minorHAnsi" w:cs="Arial"/>
        </w:rPr>
        <w:t xml:space="preserve"> In Ai Group’s consultations with member companies </w:t>
      </w:r>
      <w:r w:rsidR="004D797A">
        <w:rPr>
          <w:rFonts w:asciiTheme="minorHAnsi" w:hAnsiTheme="minorHAnsi" w:cs="Arial"/>
        </w:rPr>
        <w:lastRenderedPageBreak/>
        <w:t>during the preparation of this submission, this issue was widely raised by employers as a major issue of concern.</w:t>
      </w:r>
    </w:p>
    <w:p w14:paraId="00FCF9A7" w14:textId="77777777" w:rsidR="004540AF" w:rsidRPr="001D1CD5" w:rsidRDefault="004540AF" w:rsidP="00E34077">
      <w:pPr>
        <w:pStyle w:val="Heading1"/>
        <w:spacing w:before="0" w:after="240" w:line="276" w:lineRule="auto"/>
        <w:ind w:left="709" w:hanging="709"/>
        <w:rPr>
          <w:rFonts w:asciiTheme="minorHAnsi" w:eastAsia="Calibri" w:hAnsiTheme="minorHAnsi" w:cs="Calibri"/>
          <w:color w:val="451E51"/>
          <w:sz w:val="36"/>
          <w:szCs w:val="36"/>
          <w:lang w:eastAsia="en-AU"/>
        </w:rPr>
      </w:pPr>
      <w:r w:rsidRPr="001D1CD5">
        <w:rPr>
          <w:rFonts w:asciiTheme="minorHAnsi" w:eastAsia="Calibri" w:hAnsiTheme="minorHAnsi" w:cs="Calibri"/>
          <w:color w:val="451E51"/>
          <w:sz w:val="36"/>
          <w:szCs w:val="36"/>
          <w:lang w:eastAsia="en-AU"/>
        </w:rPr>
        <w:t xml:space="preserve">20. </w:t>
      </w:r>
      <w:r w:rsidRPr="001D1CD5">
        <w:rPr>
          <w:rFonts w:asciiTheme="minorHAnsi" w:eastAsia="Calibri" w:hAnsiTheme="minorHAnsi" w:cs="Calibri"/>
          <w:color w:val="451E51"/>
          <w:sz w:val="36"/>
          <w:szCs w:val="36"/>
          <w:lang w:eastAsia="en-AU"/>
        </w:rPr>
        <w:tab/>
        <w:t>Alternative forms of employment</w:t>
      </w:r>
    </w:p>
    <w:p w14:paraId="04022A0D" w14:textId="77777777" w:rsidR="004540AF" w:rsidRPr="001D1CD5" w:rsidRDefault="004540AF" w:rsidP="004540AF">
      <w:pPr>
        <w:pStyle w:val="Heading1"/>
        <w:spacing w:before="0" w:after="240" w:line="276" w:lineRule="auto"/>
        <w:ind w:left="709" w:hanging="709"/>
        <w:rPr>
          <w:rFonts w:asciiTheme="minorHAnsi" w:eastAsia="Calibri" w:hAnsiTheme="minorHAnsi" w:cs="Calibri"/>
          <w:color w:val="451E51"/>
          <w:lang w:eastAsia="en-AU"/>
        </w:rPr>
      </w:pPr>
      <w:r w:rsidRPr="001D1CD5">
        <w:rPr>
          <w:rFonts w:asciiTheme="minorHAnsi" w:eastAsia="Calibri" w:hAnsiTheme="minorHAnsi" w:cs="Calibri"/>
          <w:color w:val="451E51"/>
          <w:lang w:eastAsia="en-AU"/>
        </w:rPr>
        <w:t xml:space="preserve">20.1 </w:t>
      </w:r>
      <w:r w:rsidRPr="001D1CD5">
        <w:rPr>
          <w:rFonts w:asciiTheme="minorHAnsi" w:eastAsia="Calibri" w:hAnsiTheme="minorHAnsi" w:cs="Calibri"/>
          <w:color w:val="451E51"/>
          <w:lang w:eastAsia="en-AU"/>
        </w:rPr>
        <w:tab/>
        <w:t xml:space="preserve">Independent contracting and the sham contracting laws </w:t>
      </w:r>
    </w:p>
    <w:p w14:paraId="6213F8E8" w14:textId="77777777" w:rsidR="004540AF" w:rsidRPr="001D1CD5" w:rsidRDefault="004540AF" w:rsidP="004540AF">
      <w:pPr>
        <w:spacing w:after="240" w:line="276" w:lineRule="auto"/>
        <w:jc w:val="both"/>
        <w:rPr>
          <w:rFonts w:asciiTheme="minorHAnsi" w:hAnsiTheme="minorHAnsi"/>
          <w:lang w:eastAsia="en-AU"/>
        </w:rPr>
      </w:pPr>
      <w:r w:rsidRPr="001D1CD5">
        <w:rPr>
          <w:rFonts w:asciiTheme="minorHAnsi" w:hAnsiTheme="minorHAnsi"/>
          <w:lang w:eastAsia="en-AU"/>
        </w:rPr>
        <w:t>Section 13.3 of Ai Group’s March 2015 submission makes the following important points about independent contracting:</w:t>
      </w:r>
    </w:p>
    <w:p w14:paraId="3340CCDD" w14:textId="77777777" w:rsidR="004540AF" w:rsidRPr="001D1CD5" w:rsidRDefault="004540AF" w:rsidP="00FE0A2F">
      <w:pPr>
        <w:pStyle w:val="Body1"/>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cs="Arial"/>
        </w:rPr>
      </w:pPr>
      <w:r w:rsidRPr="001D1CD5">
        <w:rPr>
          <w:rFonts w:asciiTheme="minorHAnsi" w:hAnsiTheme="minorHAnsi" w:cs="Arial"/>
        </w:rPr>
        <w:t>The vast majority of independent contractors have absolutely no desire to be employees.  Some of them predominantly work for one client but it suits them to do so as they receive a regular flow of contracting work.</w:t>
      </w:r>
    </w:p>
    <w:p w14:paraId="57FFFDB8" w14:textId="77777777" w:rsidR="004540AF" w:rsidRPr="001D1CD5" w:rsidRDefault="004540AF" w:rsidP="00FE0A2F">
      <w:pPr>
        <w:pStyle w:val="Body1"/>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cs="Arial"/>
        </w:rPr>
      </w:pPr>
      <w:r w:rsidRPr="001D1CD5">
        <w:rPr>
          <w:rFonts w:asciiTheme="minorHAnsi" w:hAnsiTheme="minorHAnsi" w:cs="Arial"/>
        </w:rPr>
        <w:t>The common law is far better equipped to assess the substance of particular relationships than any statutory definition of an “independent contractor” could. Any “one size fits all” definition of an “independent contractor” would prevent the facts and circumstances of individual cases being fully considered, and would disrupt a very large number of existing contractual arrangements which are legitimate under common law, to the detriment of all parties to these contracts.</w:t>
      </w:r>
    </w:p>
    <w:p w14:paraId="12B567F8" w14:textId="0A77021D" w:rsidR="004540AF" w:rsidRPr="001D1CD5" w:rsidRDefault="004540AF" w:rsidP="00FE0A2F">
      <w:pPr>
        <w:pStyle w:val="Body"/>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eastAsia="Calibri" w:hAnsiTheme="minorHAnsi" w:cs="Calibri"/>
          <w:sz w:val="24"/>
          <w:szCs w:val="24"/>
        </w:rPr>
      </w:pPr>
      <w:r w:rsidRPr="001D1CD5">
        <w:rPr>
          <w:rFonts w:asciiTheme="minorHAnsi" w:hAnsiTheme="minorHAnsi" w:cs="Arial"/>
          <w:sz w:val="24"/>
          <w:szCs w:val="24"/>
        </w:rPr>
        <w:t>The proportion of workers who are</w:t>
      </w:r>
      <w:r w:rsidRPr="001D1CD5">
        <w:rPr>
          <w:rFonts w:asciiTheme="minorHAnsi" w:eastAsia="Calibri" w:hAnsiTheme="minorHAnsi" w:cs="Calibri"/>
          <w:sz w:val="24"/>
          <w:szCs w:val="24"/>
        </w:rPr>
        <w:t xml:space="preserve"> self-employed independent contractors declined from 9.1</w:t>
      </w:r>
      <w:r w:rsidR="004D797A">
        <w:rPr>
          <w:rFonts w:asciiTheme="minorHAnsi" w:eastAsia="Calibri" w:hAnsiTheme="minorHAnsi" w:cs="Calibri"/>
          <w:sz w:val="24"/>
          <w:szCs w:val="24"/>
        </w:rPr>
        <w:t>% in 2008 to 8.5% in 2013. T</w:t>
      </w:r>
      <w:r w:rsidRPr="001D1CD5">
        <w:rPr>
          <w:rFonts w:asciiTheme="minorHAnsi" w:eastAsia="Calibri" w:hAnsiTheme="minorHAnsi" w:cs="Calibri"/>
          <w:sz w:val="24"/>
          <w:szCs w:val="24"/>
        </w:rPr>
        <w:t xml:space="preserve">he proportion </w:t>
      </w:r>
      <w:r w:rsidR="004D797A">
        <w:rPr>
          <w:rFonts w:asciiTheme="minorHAnsi" w:eastAsia="Calibri" w:hAnsiTheme="minorHAnsi" w:cs="Calibri"/>
          <w:sz w:val="24"/>
          <w:szCs w:val="24"/>
        </w:rPr>
        <w:t xml:space="preserve">of workers </w:t>
      </w:r>
      <w:r w:rsidRPr="001D1CD5">
        <w:rPr>
          <w:rFonts w:asciiTheme="minorHAnsi" w:eastAsia="Calibri" w:hAnsiTheme="minorHAnsi" w:cs="Calibri"/>
          <w:sz w:val="24"/>
          <w:szCs w:val="24"/>
        </w:rPr>
        <w:t xml:space="preserve">who are business owners declined from 10% in 2008 to 8.8% in 2013. </w:t>
      </w:r>
    </w:p>
    <w:p w14:paraId="54624CB1" w14:textId="0C35D8A4" w:rsidR="004540AF" w:rsidRPr="001D1CD5" w:rsidRDefault="004540AF" w:rsidP="004540AF">
      <w:pPr>
        <w:pStyle w:val="Body1"/>
        <w:spacing w:after="240" w:line="276" w:lineRule="auto"/>
        <w:jc w:val="both"/>
        <w:rPr>
          <w:rFonts w:asciiTheme="minorHAnsi" w:hAnsiTheme="minorHAnsi" w:cs="Arial"/>
        </w:rPr>
      </w:pPr>
      <w:r w:rsidRPr="001D1CD5">
        <w:rPr>
          <w:rFonts w:asciiTheme="minorHAnsi" w:hAnsiTheme="minorHAnsi" w:cs="Arial"/>
        </w:rPr>
        <w:t xml:space="preserve">Ai Group opposes the replacement of the “recklessness” test in the sham contracting laws with a “reasonableness test”.  The small number of </w:t>
      </w:r>
      <w:r w:rsidR="004D797A">
        <w:rPr>
          <w:rFonts w:asciiTheme="minorHAnsi" w:hAnsiTheme="minorHAnsi" w:cs="Arial"/>
        </w:rPr>
        <w:t xml:space="preserve">sham contracting </w:t>
      </w:r>
      <w:r w:rsidRPr="001D1CD5">
        <w:rPr>
          <w:rFonts w:asciiTheme="minorHAnsi" w:hAnsiTheme="minorHAnsi" w:cs="Arial"/>
        </w:rPr>
        <w:t xml:space="preserve">cases which have been pursued by the </w:t>
      </w:r>
      <w:proofErr w:type="spellStart"/>
      <w:r w:rsidRPr="001D1CD5">
        <w:rPr>
          <w:rFonts w:asciiTheme="minorHAnsi" w:hAnsiTheme="minorHAnsi" w:cs="Arial"/>
        </w:rPr>
        <w:t>FWO</w:t>
      </w:r>
      <w:proofErr w:type="spellEnd"/>
      <w:r w:rsidRPr="001D1CD5">
        <w:rPr>
          <w:rFonts w:asciiTheme="minorHAnsi" w:hAnsiTheme="minorHAnsi" w:cs="Arial"/>
        </w:rPr>
        <w:t xml:space="preserve"> </w:t>
      </w:r>
      <w:r w:rsidR="004D797A">
        <w:rPr>
          <w:rFonts w:asciiTheme="minorHAnsi" w:hAnsiTheme="minorHAnsi" w:cs="Arial"/>
        </w:rPr>
        <w:t xml:space="preserve">to date </w:t>
      </w:r>
      <w:r w:rsidRPr="001D1CD5">
        <w:rPr>
          <w:rFonts w:asciiTheme="minorHAnsi" w:hAnsiTheme="minorHAnsi" w:cs="Arial"/>
        </w:rPr>
        <w:t xml:space="preserve">highlights that the laws are not being widely breached. </w:t>
      </w:r>
    </w:p>
    <w:p w14:paraId="5A24F399" w14:textId="77777777" w:rsidR="004540AF" w:rsidRPr="001D1CD5" w:rsidRDefault="004540AF" w:rsidP="004540AF">
      <w:pPr>
        <w:pStyle w:val="Body1"/>
        <w:spacing w:after="240" w:line="276" w:lineRule="auto"/>
        <w:jc w:val="both"/>
        <w:rPr>
          <w:rFonts w:asciiTheme="minorHAnsi" w:hAnsiTheme="minorHAnsi" w:cs="Arial"/>
        </w:rPr>
      </w:pPr>
      <w:r w:rsidRPr="001D1CD5">
        <w:rPr>
          <w:rFonts w:asciiTheme="minorHAnsi" w:hAnsiTheme="minorHAnsi" w:cs="Arial"/>
        </w:rPr>
        <w:t>The sham contracting laws were tightened when the FW Act was implemented and a further tightening is not justified.</w:t>
      </w:r>
    </w:p>
    <w:p w14:paraId="56A2117E" w14:textId="77777777" w:rsidR="004540AF" w:rsidRPr="001D1CD5" w:rsidRDefault="004540AF" w:rsidP="004540AF">
      <w:pPr>
        <w:pStyle w:val="Heading1"/>
        <w:spacing w:before="0" w:after="240" w:line="276" w:lineRule="auto"/>
        <w:ind w:left="709" w:hanging="709"/>
        <w:rPr>
          <w:rFonts w:asciiTheme="minorHAnsi" w:eastAsia="Calibri" w:hAnsiTheme="minorHAnsi" w:cs="Calibri"/>
          <w:color w:val="451E51"/>
          <w:lang w:eastAsia="en-AU"/>
        </w:rPr>
      </w:pPr>
      <w:r w:rsidRPr="001D1CD5">
        <w:rPr>
          <w:rFonts w:asciiTheme="minorHAnsi" w:eastAsia="Calibri" w:hAnsiTheme="minorHAnsi" w:cs="Calibri"/>
          <w:color w:val="451E51"/>
          <w:lang w:eastAsia="en-AU"/>
        </w:rPr>
        <w:t xml:space="preserve">20.2 </w:t>
      </w:r>
      <w:r w:rsidRPr="001D1CD5">
        <w:rPr>
          <w:rFonts w:asciiTheme="minorHAnsi" w:eastAsia="Calibri" w:hAnsiTheme="minorHAnsi" w:cs="Calibri"/>
          <w:color w:val="451E51"/>
          <w:lang w:eastAsia="en-AU"/>
        </w:rPr>
        <w:tab/>
        <w:t xml:space="preserve">Limitations on the use of subcontractors and </w:t>
      </w:r>
      <w:proofErr w:type="spellStart"/>
      <w:r w:rsidRPr="001D1CD5">
        <w:rPr>
          <w:rFonts w:asciiTheme="minorHAnsi" w:eastAsia="Calibri" w:hAnsiTheme="minorHAnsi" w:cs="Calibri"/>
          <w:color w:val="451E51"/>
          <w:lang w:eastAsia="en-AU"/>
        </w:rPr>
        <w:t>labour</w:t>
      </w:r>
      <w:proofErr w:type="spellEnd"/>
      <w:r w:rsidRPr="001D1CD5">
        <w:rPr>
          <w:rFonts w:asciiTheme="minorHAnsi" w:eastAsia="Calibri" w:hAnsiTheme="minorHAnsi" w:cs="Calibri"/>
          <w:color w:val="451E51"/>
          <w:lang w:eastAsia="en-AU"/>
        </w:rPr>
        <w:t xml:space="preserve"> hire  </w:t>
      </w:r>
    </w:p>
    <w:p w14:paraId="2285F19B" w14:textId="77777777" w:rsidR="004540AF" w:rsidRPr="001D1CD5" w:rsidRDefault="004540AF" w:rsidP="004540AF">
      <w:pPr>
        <w:spacing w:after="240" w:line="276" w:lineRule="auto"/>
        <w:jc w:val="both"/>
        <w:rPr>
          <w:rFonts w:asciiTheme="minorHAnsi" w:hAnsiTheme="minorHAnsi"/>
          <w:lang w:eastAsia="en-AU"/>
        </w:rPr>
      </w:pPr>
      <w:r w:rsidRPr="001D1CD5">
        <w:rPr>
          <w:rFonts w:asciiTheme="minorHAnsi" w:hAnsiTheme="minorHAnsi"/>
          <w:lang w:eastAsia="en-AU"/>
        </w:rPr>
        <w:t xml:space="preserve">Ai Group strongly supports Draft Recommendation 20.1, as it relates to the prohibition of terms in enterprise agreements which restrict the engagement of independent contractors and </w:t>
      </w:r>
      <w:proofErr w:type="spellStart"/>
      <w:r w:rsidRPr="001D1CD5">
        <w:rPr>
          <w:rFonts w:asciiTheme="minorHAnsi" w:hAnsiTheme="minorHAnsi"/>
          <w:lang w:eastAsia="en-AU"/>
        </w:rPr>
        <w:t>labour</w:t>
      </w:r>
      <w:proofErr w:type="spellEnd"/>
      <w:r w:rsidRPr="001D1CD5">
        <w:rPr>
          <w:rFonts w:asciiTheme="minorHAnsi" w:hAnsiTheme="minorHAnsi"/>
          <w:lang w:eastAsia="en-AU"/>
        </w:rPr>
        <w:t xml:space="preserve"> hire, or regulate the terms of their engagement. As explained in Ai Group’s March 2015 submission, this recommendation would reinstate the prohibitions which were in place in these areas prior to the FW Act.</w:t>
      </w:r>
    </w:p>
    <w:p w14:paraId="07929131" w14:textId="77777777" w:rsidR="004540AF" w:rsidRPr="001D1CD5" w:rsidRDefault="004540AF" w:rsidP="004540AF">
      <w:pPr>
        <w:spacing w:after="240" w:line="276" w:lineRule="auto"/>
        <w:jc w:val="both"/>
        <w:rPr>
          <w:rFonts w:asciiTheme="minorHAnsi" w:eastAsiaTheme="minorHAnsi" w:hAnsiTheme="minorHAnsi"/>
          <w:lang w:eastAsia="en-AU"/>
        </w:rPr>
      </w:pPr>
      <w:r w:rsidRPr="001D1CD5">
        <w:rPr>
          <w:rFonts w:asciiTheme="minorHAnsi" w:hAnsiTheme="minorHAnsi"/>
          <w:lang w:eastAsia="en-AU"/>
        </w:rPr>
        <w:t>In addition to prohibiting such provisions in enterprise agreements, similar restrictions should apply to the content of awards, as were in place prior to the FW Act.</w:t>
      </w:r>
    </w:p>
    <w:p w14:paraId="1CD8BC07" w14:textId="77777777" w:rsidR="004540AF" w:rsidRPr="001D1CD5" w:rsidRDefault="004540AF" w:rsidP="004540AF">
      <w:pPr>
        <w:pStyle w:val="Heading1"/>
        <w:spacing w:before="0" w:after="240" w:line="276" w:lineRule="auto"/>
        <w:ind w:left="709" w:hanging="709"/>
        <w:rPr>
          <w:rFonts w:asciiTheme="minorHAnsi" w:eastAsia="Calibri" w:hAnsiTheme="minorHAnsi" w:cs="Calibri"/>
          <w:color w:val="451E51"/>
          <w:lang w:eastAsia="en-AU"/>
        </w:rPr>
      </w:pPr>
      <w:r w:rsidRPr="001D1CD5">
        <w:rPr>
          <w:rFonts w:asciiTheme="minorHAnsi" w:eastAsia="Calibri" w:hAnsiTheme="minorHAnsi" w:cs="Calibri"/>
          <w:color w:val="451E51"/>
          <w:lang w:eastAsia="en-AU"/>
        </w:rPr>
        <w:lastRenderedPageBreak/>
        <w:t xml:space="preserve">20.3 </w:t>
      </w:r>
      <w:r w:rsidRPr="001D1CD5">
        <w:rPr>
          <w:rFonts w:asciiTheme="minorHAnsi" w:eastAsia="Calibri" w:hAnsiTheme="minorHAnsi" w:cs="Calibri"/>
          <w:color w:val="451E51"/>
          <w:lang w:eastAsia="en-AU"/>
        </w:rPr>
        <w:tab/>
        <w:t xml:space="preserve">Casual employment </w:t>
      </w:r>
    </w:p>
    <w:p w14:paraId="41B20700" w14:textId="77777777" w:rsidR="004540AF" w:rsidRPr="001D1CD5" w:rsidRDefault="004540AF" w:rsidP="004540AF">
      <w:pPr>
        <w:spacing w:after="240" w:line="276" w:lineRule="auto"/>
        <w:jc w:val="both"/>
        <w:rPr>
          <w:rFonts w:asciiTheme="minorHAnsi" w:hAnsiTheme="minorHAnsi"/>
          <w:lang w:eastAsia="en-AU"/>
        </w:rPr>
      </w:pPr>
      <w:r w:rsidRPr="001D1CD5">
        <w:rPr>
          <w:rFonts w:asciiTheme="minorHAnsi" w:hAnsiTheme="minorHAnsi"/>
          <w:lang w:eastAsia="en-AU"/>
        </w:rPr>
        <w:t>Section 13.2 of Ai Group’s March 2015 submission makes the following important points about casual employment:</w:t>
      </w:r>
    </w:p>
    <w:p w14:paraId="65C35627" w14:textId="77777777" w:rsidR="004540AF" w:rsidRPr="001D1CD5" w:rsidRDefault="004540AF" w:rsidP="00FE0A2F">
      <w:pPr>
        <w:pStyle w:val="Body1"/>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cs="Arial"/>
        </w:rPr>
      </w:pPr>
      <w:r w:rsidRPr="001D1CD5">
        <w:rPr>
          <w:rFonts w:asciiTheme="minorHAnsi" w:hAnsiTheme="minorHAnsi" w:cs="Arial"/>
        </w:rPr>
        <w:t xml:space="preserve">The flexibility to engage casuals is critical for businesses as it assists them to better balance the supply of </w:t>
      </w:r>
      <w:proofErr w:type="spellStart"/>
      <w:r w:rsidRPr="001D1CD5">
        <w:rPr>
          <w:rFonts w:asciiTheme="minorHAnsi" w:hAnsiTheme="minorHAnsi" w:cs="Arial"/>
        </w:rPr>
        <w:t>labour</w:t>
      </w:r>
      <w:proofErr w:type="spellEnd"/>
      <w:r w:rsidRPr="001D1CD5">
        <w:rPr>
          <w:rFonts w:asciiTheme="minorHAnsi" w:hAnsiTheme="minorHAnsi" w:cs="Arial"/>
        </w:rPr>
        <w:t xml:space="preserve"> with demand for the businesses’ products or services. The availability of casual employment is also critical for many employees who need or want the flexibility that casual employment offers.</w:t>
      </w:r>
    </w:p>
    <w:p w14:paraId="11CCF721" w14:textId="77777777" w:rsidR="004540AF" w:rsidRPr="001D1CD5" w:rsidRDefault="004540AF" w:rsidP="00FE0A2F">
      <w:pPr>
        <w:pStyle w:val="Body1"/>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cs="Arial"/>
        </w:rPr>
      </w:pPr>
      <w:r w:rsidRPr="001D1CD5">
        <w:rPr>
          <w:rFonts w:asciiTheme="minorHAnsi" w:hAnsiTheme="minorHAnsi" w:cs="Arial"/>
        </w:rPr>
        <w:t xml:space="preserve">It is commonly but incorrectly stated by the unions that the Australian workforce is increasingly being </w:t>
      </w:r>
      <w:proofErr w:type="spellStart"/>
      <w:r w:rsidRPr="001D1CD5">
        <w:rPr>
          <w:rFonts w:asciiTheme="minorHAnsi" w:hAnsiTheme="minorHAnsi" w:cs="Arial"/>
        </w:rPr>
        <w:t>casualised</w:t>
      </w:r>
      <w:proofErr w:type="spellEnd"/>
      <w:r w:rsidRPr="001D1CD5">
        <w:rPr>
          <w:rFonts w:asciiTheme="minorHAnsi" w:hAnsiTheme="minorHAnsi" w:cs="Arial"/>
        </w:rPr>
        <w:t>. T</w:t>
      </w:r>
      <w:r w:rsidRPr="001D1CD5">
        <w:rPr>
          <w:rFonts w:ascii="Calibri" w:eastAsia="Calibri" w:hAnsi="Calibri" w:cs="Calibri"/>
        </w:rPr>
        <w:t>he proportion of people who work on a casual basis has been reasonably stable since 1998 at 19% to 20% of all workers. The proportion peaked at 20.9% in 2007 then fell to 19.0% in 2012 and was 19.4% in November 2013</w:t>
      </w:r>
      <w:r w:rsidRPr="001D1CD5">
        <w:rPr>
          <w:rFonts w:asciiTheme="minorHAnsi" w:hAnsiTheme="minorHAnsi" w:cs="Arial"/>
        </w:rPr>
        <w:t>.</w:t>
      </w:r>
    </w:p>
    <w:p w14:paraId="7F31621C" w14:textId="77777777" w:rsidR="004540AF" w:rsidRPr="001D1CD5" w:rsidRDefault="004540AF" w:rsidP="00FE0A2F">
      <w:pPr>
        <w:pStyle w:val="Body1"/>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cs="Arial"/>
        </w:rPr>
      </w:pPr>
      <w:r w:rsidRPr="001D1CD5">
        <w:rPr>
          <w:rFonts w:asciiTheme="minorHAnsi" w:hAnsiTheme="minorHAnsi" w:cs="Arial"/>
        </w:rPr>
        <w:t xml:space="preserve">Nowadays it is widely </w:t>
      </w:r>
      <w:proofErr w:type="spellStart"/>
      <w:r w:rsidRPr="001D1CD5">
        <w:rPr>
          <w:rFonts w:asciiTheme="minorHAnsi" w:hAnsiTheme="minorHAnsi" w:cs="Arial"/>
        </w:rPr>
        <w:t>recognised</w:t>
      </w:r>
      <w:proofErr w:type="spellEnd"/>
      <w:r w:rsidRPr="001D1CD5">
        <w:rPr>
          <w:rFonts w:asciiTheme="minorHAnsi" w:hAnsiTheme="minorHAnsi" w:cs="Arial"/>
        </w:rPr>
        <w:t xml:space="preserve"> that many casuals work on a long-term, regular and systematic basis and most have no desire to convert to permanent employment. </w:t>
      </w:r>
    </w:p>
    <w:p w14:paraId="248DC40F" w14:textId="77777777" w:rsidR="004540AF" w:rsidRPr="001D1CD5" w:rsidRDefault="004540AF" w:rsidP="004540AF">
      <w:pPr>
        <w:pStyle w:val="Body1"/>
        <w:spacing w:after="240" w:line="276" w:lineRule="auto"/>
        <w:jc w:val="both"/>
        <w:rPr>
          <w:rFonts w:asciiTheme="minorHAnsi" w:hAnsiTheme="minorHAnsi" w:cs="Arial"/>
        </w:rPr>
      </w:pPr>
      <w:r w:rsidRPr="001D1CD5">
        <w:rPr>
          <w:rFonts w:asciiTheme="minorHAnsi" w:hAnsiTheme="minorHAnsi" w:cs="Arial"/>
        </w:rPr>
        <w:t>Ai Group strongly supports the apparent intent of Draft Recommendation 20.1, as it relates to casual employment, that terms which restrict the engagement of casual workers should constitute unlawful terms under the FW Act. However, given that it is common for enterprise agreements to “regulate” casual employment (e.g. by providing that a casual loading of 25% should be paid), Ai Group proposes that Draft Recommendation 20.1 be separated into two recommendations in the PC’s Final report as follows:</w:t>
      </w:r>
    </w:p>
    <w:p w14:paraId="6DA73EE6" w14:textId="77777777" w:rsidR="004540AF" w:rsidRPr="001D1CD5" w:rsidRDefault="004540AF" w:rsidP="00FE0A2F">
      <w:pPr>
        <w:pStyle w:val="Body1"/>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cs="Arial"/>
        </w:rPr>
      </w:pPr>
      <w:r w:rsidRPr="001D1CD5">
        <w:rPr>
          <w:rFonts w:asciiTheme="minorHAnsi" w:hAnsiTheme="minorHAnsi" w:cs="Arial"/>
        </w:rPr>
        <w:t xml:space="preserve">Terms that restrict the engagement of independent contractors or </w:t>
      </w:r>
      <w:proofErr w:type="spellStart"/>
      <w:r w:rsidRPr="001D1CD5">
        <w:rPr>
          <w:rFonts w:asciiTheme="minorHAnsi" w:hAnsiTheme="minorHAnsi" w:cs="Arial"/>
        </w:rPr>
        <w:t>labour</w:t>
      </w:r>
      <w:proofErr w:type="spellEnd"/>
      <w:r w:rsidRPr="001D1CD5">
        <w:rPr>
          <w:rFonts w:asciiTheme="minorHAnsi" w:hAnsiTheme="minorHAnsi" w:cs="Arial"/>
        </w:rPr>
        <w:t xml:space="preserve"> hire, or regulate the terms of their engagement, should constitute unlawful terms under the FW Act.</w:t>
      </w:r>
    </w:p>
    <w:p w14:paraId="4424FA63" w14:textId="77777777" w:rsidR="004540AF" w:rsidRPr="001D1CD5" w:rsidRDefault="004540AF" w:rsidP="00FE0A2F">
      <w:pPr>
        <w:pStyle w:val="Body1"/>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hAnsiTheme="minorHAnsi" w:cs="Arial"/>
        </w:rPr>
      </w:pPr>
      <w:r w:rsidRPr="001D1CD5">
        <w:rPr>
          <w:rFonts w:asciiTheme="minorHAnsi" w:hAnsiTheme="minorHAnsi" w:cs="Arial"/>
        </w:rPr>
        <w:t>Terms that restrict the engagement of casuals should constitute unlawful terms under the FW Act.</w:t>
      </w:r>
    </w:p>
    <w:p w14:paraId="59A672F8" w14:textId="77777777" w:rsidR="004540AF" w:rsidRPr="001D1CD5" w:rsidRDefault="004540AF" w:rsidP="004540AF">
      <w:pPr>
        <w:spacing w:after="240" w:line="276" w:lineRule="auto"/>
        <w:jc w:val="both"/>
        <w:rPr>
          <w:rFonts w:asciiTheme="minorHAnsi" w:hAnsiTheme="minorHAnsi"/>
        </w:rPr>
      </w:pPr>
      <w:r w:rsidRPr="001D1CD5">
        <w:rPr>
          <w:rFonts w:asciiTheme="minorHAnsi" w:hAnsiTheme="minorHAnsi"/>
        </w:rPr>
        <w:t xml:space="preserve">Similar restrictions should also apply to the content of awards. Awards should not be able to restrict the engagement of casuals, or require that casual employees be converted to permanent employees after a particular period of employment, as the unions are </w:t>
      </w:r>
      <w:proofErr w:type="spellStart"/>
      <w:r w:rsidRPr="001D1CD5">
        <w:rPr>
          <w:rFonts w:asciiTheme="minorHAnsi" w:hAnsiTheme="minorHAnsi"/>
        </w:rPr>
        <w:t>endeavouring</w:t>
      </w:r>
      <w:proofErr w:type="spellEnd"/>
      <w:r w:rsidRPr="001D1CD5">
        <w:rPr>
          <w:rFonts w:asciiTheme="minorHAnsi" w:hAnsiTheme="minorHAnsi"/>
        </w:rPr>
        <w:t xml:space="preserve"> to impose on employers through the </w:t>
      </w:r>
      <w:r w:rsidRPr="001D1CD5">
        <w:rPr>
          <w:rFonts w:asciiTheme="minorHAnsi" w:hAnsiTheme="minorHAnsi"/>
          <w:i/>
        </w:rPr>
        <w:t>Casual Employment Case</w:t>
      </w:r>
      <w:r w:rsidRPr="001D1CD5">
        <w:rPr>
          <w:rFonts w:asciiTheme="minorHAnsi" w:hAnsiTheme="minorHAnsi"/>
        </w:rPr>
        <w:t xml:space="preserve"> during the 4 Yearly Review of Award.</w:t>
      </w:r>
    </w:p>
    <w:p w14:paraId="6195671D" w14:textId="77777777" w:rsidR="004540AF" w:rsidRPr="001D1CD5" w:rsidRDefault="004540AF" w:rsidP="004540AF">
      <w:pPr>
        <w:pStyle w:val="Heading1"/>
        <w:spacing w:before="0" w:after="240" w:line="276" w:lineRule="auto"/>
        <w:ind w:left="709" w:hanging="709"/>
        <w:rPr>
          <w:rFonts w:asciiTheme="minorHAnsi" w:eastAsia="Calibri" w:hAnsiTheme="minorHAnsi" w:cs="Calibri"/>
          <w:color w:val="451E51"/>
          <w:lang w:eastAsia="en-AU"/>
        </w:rPr>
      </w:pPr>
      <w:r w:rsidRPr="001D1CD5">
        <w:rPr>
          <w:rFonts w:asciiTheme="minorHAnsi" w:eastAsia="Calibri" w:hAnsiTheme="minorHAnsi" w:cs="Calibri"/>
          <w:color w:val="451E51"/>
          <w:lang w:eastAsia="en-AU"/>
        </w:rPr>
        <w:t xml:space="preserve">20.4 </w:t>
      </w:r>
      <w:r w:rsidRPr="001D1CD5">
        <w:rPr>
          <w:rFonts w:asciiTheme="minorHAnsi" w:eastAsia="Calibri" w:hAnsiTheme="minorHAnsi" w:cs="Calibri"/>
          <w:color w:val="451E51"/>
          <w:lang w:eastAsia="en-AU"/>
        </w:rPr>
        <w:tab/>
        <w:t xml:space="preserve">Outworkers </w:t>
      </w:r>
    </w:p>
    <w:p w14:paraId="3BA1A744" w14:textId="77777777" w:rsidR="004540AF" w:rsidRPr="001D1CD5" w:rsidRDefault="004540AF" w:rsidP="004540AF">
      <w:pPr>
        <w:spacing w:after="240" w:line="276" w:lineRule="auto"/>
        <w:jc w:val="both"/>
        <w:rPr>
          <w:rFonts w:asciiTheme="minorHAnsi" w:hAnsiTheme="minorHAnsi"/>
          <w:lang w:eastAsia="en-AU"/>
        </w:rPr>
      </w:pPr>
      <w:r w:rsidRPr="001D1CD5">
        <w:rPr>
          <w:rFonts w:asciiTheme="minorHAnsi" w:hAnsiTheme="minorHAnsi"/>
          <w:lang w:eastAsia="en-AU"/>
        </w:rPr>
        <w:t xml:space="preserve">As identified in Box 20.7 in the Draft Report, Ai Group opposed the </w:t>
      </w:r>
      <w:r w:rsidRPr="001D1CD5">
        <w:rPr>
          <w:rFonts w:asciiTheme="minorHAnsi" w:hAnsiTheme="minorHAnsi"/>
          <w:i/>
          <w:lang w:eastAsia="en-AU"/>
        </w:rPr>
        <w:t>Fair Work Amendment (Textile, Clothing and Footwear) Act 2012</w:t>
      </w:r>
      <w:r w:rsidRPr="001D1CD5">
        <w:rPr>
          <w:rFonts w:asciiTheme="minorHAnsi" w:hAnsiTheme="minorHAnsi"/>
          <w:lang w:eastAsia="en-AU"/>
        </w:rPr>
        <w:t xml:space="preserve">. As argued in our submission to the Post-implementation Review of the legislation, the provisions are operating against the interests of </w:t>
      </w:r>
      <w:proofErr w:type="spellStart"/>
      <w:r w:rsidRPr="001D1CD5">
        <w:rPr>
          <w:rFonts w:asciiTheme="minorHAnsi" w:hAnsiTheme="minorHAnsi"/>
          <w:lang w:eastAsia="en-AU"/>
        </w:rPr>
        <w:t>TCF</w:t>
      </w:r>
      <w:proofErr w:type="spellEnd"/>
      <w:r w:rsidRPr="001D1CD5">
        <w:rPr>
          <w:rFonts w:asciiTheme="minorHAnsi" w:hAnsiTheme="minorHAnsi"/>
          <w:lang w:eastAsia="en-AU"/>
        </w:rPr>
        <w:t xml:space="preserve"> businesses, </w:t>
      </w:r>
      <w:proofErr w:type="spellStart"/>
      <w:r w:rsidRPr="001D1CD5">
        <w:rPr>
          <w:rFonts w:asciiTheme="minorHAnsi" w:hAnsiTheme="minorHAnsi"/>
          <w:lang w:eastAsia="en-AU"/>
        </w:rPr>
        <w:t>TCF</w:t>
      </w:r>
      <w:proofErr w:type="spellEnd"/>
      <w:r w:rsidRPr="001D1CD5">
        <w:rPr>
          <w:rFonts w:asciiTheme="minorHAnsi" w:hAnsiTheme="minorHAnsi"/>
          <w:lang w:eastAsia="en-AU"/>
        </w:rPr>
        <w:t xml:space="preserve"> workers and the broader community.</w:t>
      </w:r>
    </w:p>
    <w:p w14:paraId="439AAC7A" w14:textId="77777777" w:rsidR="004540AF" w:rsidRPr="001D1CD5" w:rsidRDefault="004540AF" w:rsidP="004540AF">
      <w:pPr>
        <w:pStyle w:val="Heading1"/>
        <w:spacing w:before="0" w:after="240" w:line="276" w:lineRule="auto"/>
        <w:ind w:left="709" w:hanging="709"/>
        <w:rPr>
          <w:rFonts w:asciiTheme="minorHAnsi" w:eastAsia="Calibri" w:hAnsiTheme="minorHAnsi" w:cs="Calibri"/>
          <w:color w:val="451E51"/>
          <w:lang w:eastAsia="en-AU"/>
        </w:rPr>
      </w:pPr>
      <w:r w:rsidRPr="001D1CD5">
        <w:rPr>
          <w:rFonts w:asciiTheme="minorHAnsi" w:eastAsia="Calibri" w:hAnsiTheme="minorHAnsi" w:cs="Calibri"/>
          <w:color w:val="451E51"/>
          <w:lang w:eastAsia="en-AU"/>
        </w:rPr>
        <w:lastRenderedPageBreak/>
        <w:t xml:space="preserve">20.5 </w:t>
      </w:r>
      <w:r w:rsidRPr="001D1CD5">
        <w:rPr>
          <w:rFonts w:asciiTheme="minorHAnsi" w:eastAsia="Calibri" w:hAnsiTheme="minorHAnsi" w:cs="Calibri"/>
          <w:color w:val="451E51"/>
          <w:lang w:eastAsia="en-AU"/>
        </w:rPr>
        <w:tab/>
        <w:t>Internships and work experience</w:t>
      </w:r>
    </w:p>
    <w:p w14:paraId="1FD796D2" w14:textId="77777777" w:rsidR="004540AF" w:rsidRPr="001D1CD5" w:rsidRDefault="004540AF" w:rsidP="004540AF">
      <w:pPr>
        <w:spacing w:after="240" w:line="276" w:lineRule="auto"/>
        <w:jc w:val="both"/>
        <w:rPr>
          <w:rFonts w:asciiTheme="minorHAnsi" w:hAnsiTheme="minorHAnsi"/>
          <w:lang w:eastAsia="en-AU"/>
        </w:rPr>
      </w:pPr>
      <w:r w:rsidRPr="001D1CD5">
        <w:rPr>
          <w:rFonts w:asciiTheme="minorHAnsi" w:hAnsiTheme="minorHAnsi"/>
          <w:lang w:eastAsia="en-AU"/>
        </w:rPr>
        <w:t>It is essential that the Productivity Commission does not disturb the very large number of arrangements that exist whereby students undertaking study through universities, colleges and schools are placed with employers for a period to gain work and industry experience.  If employers are forced to pay the students for such placements, the obvious effect will be a very significant reduction in such opportunities for students.</w:t>
      </w:r>
    </w:p>
    <w:p w14:paraId="2CC1A93E" w14:textId="5067CCA4" w:rsidR="004540AF" w:rsidRPr="001D1CD5" w:rsidRDefault="003F60B4" w:rsidP="004540AF">
      <w:pPr>
        <w:pStyle w:val="Heading1"/>
        <w:spacing w:before="0" w:after="240" w:line="276" w:lineRule="auto"/>
        <w:ind w:left="709" w:hanging="709"/>
        <w:rPr>
          <w:rFonts w:asciiTheme="minorHAnsi" w:eastAsia="Calibri" w:hAnsiTheme="minorHAnsi" w:cs="Calibri"/>
          <w:color w:val="451E51"/>
          <w:lang w:eastAsia="en-AU"/>
        </w:rPr>
      </w:pPr>
      <w:r w:rsidRPr="001D1CD5">
        <w:rPr>
          <w:rFonts w:asciiTheme="minorHAnsi" w:eastAsia="Calibri" w:hAnsiTheme="minorHAnsi" w:cs="Calibri"/>
          <w:color w:val="451E51"/>
          <w:lang w:eastAsia="en-AU"/>
        </w:rPr>
        <w:t xml:space="preserve">20.6 </w:t>
      </w:r>
      <w:r w:rsidRPr="001D1CD5">
        <w:rPr>
          <w:rFonts w:asciiTheme="minorHAnsi" w:eastAsia="Calibri" w:hAnsiTheme="minorHAnsi" w:cs="Calibri"/>
          <w:color w:val="451E51"/>
          <w:lang w:eastAsia="en-AU"/>
        </w:rPr>
        <w:tab/>
        <w:t>Contractor r</w:t>
      </w:r>
      <w:r w:rsidR="004540AF" w:rsidRPr="001D1CD5">
        <w:rPr>
          <w:rFonts w:asciiTheme="minorHAnsi" w:eastAsia="Calibri" w:hAnsiTheme="minorHAnsi" w:cs="Calibri"/>
          <w:color w:val="451E51"/>
          <w:lang w:eastAsia="en-AU"/>
        </w:rPr>
        <w:t>oad transport drivers</w:t>
      </w:r>
      <w:r w:rsidRPr="001D1CD5">
        <w:rPr>
          <w:rFonts w:asciiTheme="minorHAnsi" w:eastAsia="Calibri" w:hAnsiTheme="minorHAnsi" w:cs="Calibri"/>
          <w:color w:val="451E51"/>
          <w:lang w:eastAsia="en-AU"/>
        </w:rPr>
        <w:t xml:space="preserve"> and the Road Safety Remuneration Tribunal</w:t>
      </w:r>
      <w:r w:rsidR="004540AF" w:rsidRPr="001D1CD5">
        <w:rPr>
          <w:rFonts w:asciiTheme="minorHAnsi" w:eastAsia="Calibri" w:hAnsiTheme="minorHAnsi" w:cs="Calibri"/>
          <w:color w:val="451E51"/>
          <w:lang w:eastAsia="en-AU"/>
        </w:rPr>
        <w:t xml:space="preserve"> </w:t>
      </w:r>
    </w:p>
    <w:p w14:paraId="1C8676C8" w14:textId="6A9CD635" w:rsidR="004540AF" w:rsidRPr="001D1CD5" w:rsidRDefault="004540AF" w:rsidP="004540AF">
      <w:pPr>
        <w:widowControl w:val="0"/>
        <w:autoSpaceDE w:val="0"/>
        <w:autoSpaceDN w:val="0"/>
        <w:adjustRightInd w:val="0"/>
        <w:spacing w:after="240" w:line="276" w:lineRule="auto"/>
        <w:jc w:val="both"/>
        <w:rPr>
          <w:rFonts w:asciiTheme="minorHAnsi" w:hAnsiTheme="minorHAnsi"/>
          <w:color w:val="000000"/>
          <w:lang w:eastAsia="ja-JP"/>
        </w:rPr>
      </w:pPr>
      <w:r w:rsidRPr="001D1CD5">
        <w:rPr>
          <w:rFonts w:asciiTheme="minorHAnsi" w:hAnsiTheme="minorHAnsi"/>
        </w:rPr>
        <w:t xml:space="preserve">The Road Safety Remuneration Tribunal has published a </w:t>
      </w:r>
      <w:hyperlink r:id="rId20" w:history="1">
        <w:r w:rsidRPr="008B6457">
          <w:rPr>
            <w:rStyle w:val="Hyperlink"/>
            <w:rFonts w:asciiTheme="minorHAnsi" w:eastAsiaTheme="majorEastAsia" w:hAnsiTheme="minorHAnsi"/>
            <w:i/>
            <w:color w:val="0070C0"/>
          </w:rPr>
          <w:t>Draft Contractor Driver Minimum Payments Road Safety Remuneration Order 2016</w:t>
        </w:r>
      </w:hyperlink>
      <w:r w:rsidRPr="001D1CD5">
        <w:rPr>
          <w:rFonts w:asciiTheme="minorHAnsi" w:hAnsiTheme="minorHAnsi"/>
          <w:color w:val="434343"/>
        </w:rPr>
        <w:t xml:space="preserve"> </w:t>
      </w:r>
      <w:r w:rsidRPr="001D1CD5">
        <w:rPr>
          <w:rFonts w:asciiTheme="minorHAnsi" w:hAnsiTheme="minorHAnsi"/>
        </w:rPr>
        <w:t xml:space="preserve">(Draft Minimum Payments </w:t>
      </w:r>
      <w:proofErr w:type="spellStart"/>
      <w:r w:rsidRPr="001D1CD5">
        <w:rPr>
          <w:rFonts w:asciiTheme="minorHAnsi" w:hAnsiTheme="minorHAnsi"/>
        </w:rPr>
        <w:t>RSRO</w:t>
      </w:r>
      <w:proofErr w:type="spellEnd"/>
      <w:r w:rsidRPr="001D1CD5">
        <w:rPr>
          <w:rFonts w:asciiTheme="minorHAnsi" w:hAnsiTheme="minorHAnsi"/>
        </w:rPr>
        <w:t xml:space="preserve">) and accompanying </w:t>
      </w:r>
      <w:hyperlink r:id="rId21" w:history="1">
        <w:r w:rsidRPr="008B6457">
          <w:rPr>
            <w:rStyle w:val="Hyperlink"/>
            <w:rFonts w:asciiTheme="minorHAnsi" w:eastAsiaTheme="majorEastAsia" w:hAnsiTheme="minorHAnsi"/>
            <w:color w:val="0070C0"/>
          </w:rPr>
          <w:t>Statement</w:t>
        </w:r>
      </w:hyperlink>
      <w:r w:rsidRPr="001D1CD5">
        <w:rPr>
          <w:rFonts w:asciiTheme="minorHAnsi" w:hAnsiTheme="minorHAnsi"/>
          <w:color w:val="434343"/>
        </w:rPr>
        <w:t xml:space="preserve"> </w:t>
      </w:r>
      <w:r w:rsidRPr="001D1CD5">
        <w:rPr>
          <w:rFonts w:asciiTheme="minorHAnsi" w:hAnsiTheme="minorHAnsi"/>
        </w:rPr>
        <w:t xml:space="preserve">on minimum payments for contractor drivers. The draft order has an operative date of 1 January 2016. </w:t>
      </w:r>
      <w:r w:rsidRPr="001D1CD5">
        <w:rPr>
          <w:rFonts w:asciiTheme="minorHAnsi" w:hAnsiTheme="minorHAnsi"/>
          <w:bCs/>
          <w:color w:val="000000" w:themeColor="text1"/>
        </w:rPr>
        <w:t xml:space="preserve">Submissions and evidence in response to the </w:t>
      </w:r>
      <w:r w:rsidR="008B6457">
        <w:rPr>
          <w:rFonts w:asciiTheme="minorHAnsi" w:hAnsiTheme="minorHAnsi"/>
          <w:bCs/>
          <w:color w:val="000000" w:themeColor="text1"/>
        </w:rPr>
        <w:t>draft order must be lodged by 25</w:t>
      </w:r>
      <w:r w:rsidRPr="001D1CD5">
        <w:rPr>
          <w:rFonts w:asciiTheme="minorHAnsi" w:hAnsiTheme="minorHAnsi"/>
          <w:bCs/>
          <w:color w:val="000000" w:themeColor="text1"/>
        </w:rPr>
        <w:t xml:space="preserve"> September 2015.</w:t>
      </w:r>
      <w:r w:rsidRPr="001D1CD5">
        <w:rPr>
          <w:rFonts w:asciiTheme="minorHAnsi" w:hAnsiTheme="minorHAnsi"/>
          <w:color w:val="000000"/>
          <w:lang w:eastAsia="ja-JP"/>
        </w:rPr>
        <w:t xml:space="preserve"> </w:t>
      </w:r>
    </w:p>
    <w:p w14:paraId="6D87A687" w14:textId="77777777" w:rsidR="004540AF" w:rsidRPr="001D1CD5" w:rsidRDefault="004540AF" w:rsidP="004540AF">
      <w:pPr>
        <w:pStyle w:val="ListParagraph"/>
        <w:widowControl w:val="0"/>
        <w:autoSpaceDE w:val="0"/>
        <w:autoSpaceDN w:val="0"/>
        <w:adjustRightInd w:val="0"/>
        <w:spacing w:after="240" w:line="276" w:lineRule="auto"/>
        <w:ind w:left="0"/>
        <w:jc w:val="both"/>
        <w:rPr>
          <w:rFonts w:asciiTheme="minorHAnsi" w:hAnsiTheme="minorHAnsi"/>
          <w:bCs/>
          <w:iCs/>
          <w:sz w:val="20"/>
          <w:szCs w:val="20"/>
        </w:rPr>
      </w:pPr>
      <w:r w:rsidRPr="001D1CD5">
        <w:rPr>
          <w:rFonts w:asciiTheme="minorHAnsi" w:hAnsiTheme="minorHAnsi"/>
          <w:lang w:eastAsia="ja-JP"/>
        </w:rPr>
        <w:t xml:space="preserve">The coverage of the Draft Minimum Payments </w:t>
      </w:r>
      <w:proofErr w:type="spellStart"/>
      <w:r w:rsidRPr="001D1CD5">
        <w:rPr>
          <w:rFonts w:asciiTheme="minorHAnsi" w:hAnsiTheme="minorHAnsi"/>
          <w:lang w:eastAsia="ja-JP"/>
        </w:rPr>
        <w:t>RSRO</w:t>
      </w:r>
      <w:proofErr w:type="spellEnd"/>
      <w:r w:rsidRPr="001D1CD5">
        <w:rPr>
          <w:rFonts w:asciiTheme="minorHAnsi" w:hAnsiTheme="minorHAnsi"/>
          <w:lang w:eastAsia="ja-JP"/>
        </w:rPr>
        <w:t xml:space="preserve"> is the same as the coverage of the </w:t>
      </w:r>
      <w:hyperlink r:id="rId22" w:history="1">
        <w:r w:rsidRPr="008B6457">
          <w:rPr>
            <w:rStyle w:val="Hyperlink"/>
            <w:rFonts w:asciiTheme="minorHAnsi" w:eastAsiaTheme="majorEastAsia" w:hAnsiTheme="minorHAnsi"/>
            <w:i/>
            <w:iCs/>
            <w:color w:val="0070C0"/>
            <w:lang w:eastAsia="ja-JP"/>
          </w:rPr>
          <w:t>Road Transport and Distribution and Long Distance Operations Road Safety Remuneration Order 2014</w:t>
        </w:r>
      </w:hyperlink>
      <w:r w:rsidRPr="008B6457">
        <w:rPr>
          <w:rFonts w:asciiTheme="minorHAnsi" w:hAnsiTheme="minorHAnsi"/>
          <w:i/>
          <w:iCs/>
          <w:color w:val="0070C0"/>
          <w:lang w:eastAsia="ja-JP"/>
        </w:rPr>
        <w:t xml:space="preserve"> </w:t>
      </w:r>
      <w:r w:rsidRPr="001D1CD5">
        <w:rPr>
          <w:rFonts w:asciiTheme="minorHAnsi" w:hAnsiTheme="minorHAnsi"/>
          <w:iCs/>
          <w:lang w:eastAsia="ja-JP"/>
        </w:rPr>
        <w:t xml:space="preserve">which the Tribunal made in December 2013. </w:t>
      </w:r>
      <w:r w:rsidRPr="001D1CD5">
        <w:rPr>
          <w:rFonts w:asciiTheme="minorHAnsi" w:hAnsiTheme="minorHAnsi"/>
          <w:color w:val="000000" w:themeColor="text1"/>
        </w:rPr>
        <w:t xml:space="preserve">The Draft Minimum Payments </w:t>
      </w:r>
      <w:proofErr w:type="spellStart"/>
      <w:r w:rsidRPr="001D1CD5">
        <w:rPr>
          <w:rFonts w:asciiTheme="minorHAnsi" w:hAnsiTheme="minorHAnsi"/>
          <w:color w:val="000000" w:themeColor="text1"/>
        </w:rPr>
        <w:t>RSRO</w:t>
      </w:r>
      <w:proofErr w:type="spellEnd"/>
      <w:r w:rsidRPr="001D1CD5">
        <w:rPr>
          <w:rFonts w:asciiTheme="minorHAnsi" w:hAnsiTheme="minorHAnsi"/>
          <w:color w:val="000000" w:themeColor="text1"/>
        </w:rPr>
        <w:t xml:space="preserve"> would apply </w:t>
      </w:r>
      <w:r w:rsidRPr="001D1CD5">
        <w:rPr>
          <w:rFonts w:asciiTheme="minorHAnsi" w:hAnsiTheme="minorHAnsi"/>
          <w:bCs/>
          <w:iCs/>
        </w:rPr>
        <w:t xml:space="preserve">to contractor road transport drivers in relation to items destined for sale or hire by a supermarket chain and to long distance operations. </w:t>
      </w:r>
    </w:p>
    <w:p w14:paraId="080C7B03" w14:textId="77777777" w:rsidR="004540AF" w:rsidRPr="001D1CD5" w:rsidRDefault="004540AF" w:rsidP="004540AF">
      <w:pPr>
        <w:pStyle w:val="ListParagraph"/>
        <w:widowControl w:val="0"/>
        <w:autoSpaceDE w:val="0"/>
        <w:autoSpaceDN w:val="0"/>
        <w:adjustRightInd w:val="0"/>
        <w:spacing w:after="240" w:line="276" w:lineRule="auto"/>
        <w:ind w:left="0"/>
        <w:jc w:val="both"/>
        <w:rPr>
          <w:rFonts w:asciiTheme="minorHAnsi" w:hAnsiTheme="minorHAnsi"/>
          <w:lang w:eastAsia="ja-JP"/>
        </w:rPr>
      </w:pPr>
      <w:r w:rsidRPr="001D1CD5">
        <w:rPr>
          <w:rFonts w:asciiTheme="minorHAnsi" w:hAnsiTheme="minorHAnsi"/>
          <w:lang w:eastAsia="ja-JP"/>
        </w:rPr>
        <w:t xml:space="preserve">In addition to the obligations imposed on hirers of contractor drivers, the Draft Minimum Payments </w:t>
      </w:r>
      <w:proofErr w:type="spellStart"/>
      <w:r w:rsidRPr="001D1CD5">
        <w:rPr>
          <w:rFonts w:asciiTheme="minorHAnsi" w:hAnsiTheme="minorHAnsi"/>
          <w:lang w:eastAsia="ja-JP"/>
        </w:rPr>
        <w:t>RSRO</w:t>
      </w:r>
      <w:proofErr w:type="spellEnd"/>
      <w:r w:rsidRPr="001D1CD5">
        <w:rPr>
          <w:rFonts w:asciiTheme="minorHAnsi" w:hAnsiTheme="minorHAnsi"/>
          <w:lang w:eastAsia="ja-JP"/>
        </w:rPr>
        <w:t xml:space="preserve"> would impose very onerous obligations on supply chain participants regarding the terms of their contractual arrangements, including auditing of other parties in the supply chain.</w:t>
      </w:r>
    </w:p>
    <w:p w14:paraId="61D7E034" w14:textId="2FB4E1D4" w:rsidR="004540AF" w:rsidRPr="001D1CD5" w:rsidRDefault="004540AF" w:rsidP="004540AF">
      <w:pPr>
        <w:widowControl w:val="0"/>
        <w:autoSpaceDE w:val="0"/>
        <w:autoSpaceDN w:val="0"/>
        <w:adjustRightInd w:val="0"/>
        <w:spacing w:after="240" w:line="276" w:lineRule="auto"/>
        <w:jc w:val="both"/>
        <w:rPr>
          <w:rFonts w:asciiTheme="minorHAnsi" w:hAnsiTheme="minorHAnsi"/>
          <w:color w:val="000000"/>
          <w:lang w:eastAsia="ja-JP"/>
        </w:rPr>
      </w:pPr>
      <w:r w:rsidRPr="001D1CD5">
        <w:rPr>
          <w:rFonts w:asciiTheme="minorHAnsi" w:hAnsiTheme="minorHAnsi"/>
          <w:color w:val="000000"/>
          <w:lang w:eastAsia="ja-JP"/>
        </w:rPr>
        <w:t xml:space="preserve">The Draft Minimum Payments </w:t>
      </w:r>
      <w:proofErr w:type="spellStart"/>
      <w:r w:rsidRPr="001D1CD5">
        <w:rPr>
          <w:rFonts w:asciiTheme="minorHAnsi" w:hAnsiTheme="minorHAnsi"/>
          <w:color w:val="000000"/>
          <w:lang w:eastAsia="ja-JP"/>
        </w:rPr>
        <w:t>RSRO</w:t>
      </w:r>
      <w:proofErr w:type="spellEnd"/>
      <w:r w:rsidRPr="001D1CD5">
        <w:rPr>
          <w:rFonts w:asciiTheme="minorHAnsi" w:hAnsiTheme="minorHAnsi"/>
          <w:color w:val="000000"/>
          <w:lang w:eastAsia="ja-JP"/>
        </w:rPr>
        <w:t xml:space="preserve"> contains separate schedules with minimum payments for contractor drivers engaged in: (1) distribution operations (not including long distance operations); and (2) long distance operations. The order would effectively require the payment of an hourly </w:t>
      </w:r>
      <w:r w:rsidR="008B6457">
        <w:rPr>
          <w:rFonts w:asciiTheme="minorHAnsi" w:hAnsiTheme="minorHAnsi"/>
          <w:color w:val="000000"/>
          <w:lang w:eastAsia="ja-JP"/>
        </w:rPr>
        <w:t>rate as well as a “per kilometer”</w:t>
      </w:r>
      <w:r w:rsidRPr="001D1CD5">
        <w:rPr>
          <w:rFonts w:asciiTheme="minorHAnsi" w:hAnsiTheme="minorHAnsi"/>
          <w:color w:val="000000"/>
          <w:lang w:eastAsia="ja-JP"/>
        </w:rPr>
        <w:t xml:space="preserve"> rate, which would be determined by various factors including the employee’s classification, the type of trailer, the class of vehicle and whether it is supplied by the driver. </w:t>
      </w:r>
    </w:p>
    <w:p w14:paraId="31C11AFC" w14:textId="77777777" w:rsidR="004540AF" w:rsidRPr="001D1CD5" w:rsidRDefault="004540AF" w:rsidP="004540AF">
      <w:pPr>
        <w:spacing w:after="240" w:line="276" w:lineRule="auto"/>
        <w:jc w:val="both"/>
        <w:rPr>
          <w:rFonts w:asciiTheme="minorHAnsi" w:hAnsiTheme="minorHAnsi" w:cs="Arial"/>
          <w:color w:val="000000"/>
        </w:rPr>
      </w:pPr>
      <w:r w:rsidRPr="001D1CD5">
        <w:rPr>
          <w:rFonts w:asciiTheme="minorHAnsi" w:hAnsiTheme="minorHAnsi" w:cs="Arial"/>
        </w:rPr>
        <w:t>As argued in section 13.12 of Ai Group’s March 2015 submission, t</w:t>
      </w:r>
      <w:r w:rsidRPr="001D1CD5">
        <w:rPr>
          <w:rFonts w:asciiTheme="minorHAnsi" w:hAnsiTheme="minorHAnsi"/>
          <w:color w:val="000000"/>
        </w:rPr>
        <w:t xml:space="preserve">he </w:t>
      </w:r>
      <w:r w:rsidRPr="001D1CD5">
        <w:rPr>
          <w:rFonts w:asciiTheme="minorHAnsi" w:hAnsiTheme="minorHAnsi"/>
          <w:i/>
          <w:color w:val="000000"/>
        </w:rPr>
        <w:t>Road Safety Remuneration Act 2012</w:t>
      </w:r>
      <w:r w:rsidRPr="001D1CD5">
        <w:rPr>
          <w:rFonts w:asciiTheme="minorHAnsi" w:hAnsiTheme="minorHAnsi"/>
          <w:color w:val="000000"/>
        </w:rPr>
        <w:t xml:space="preserve"> and the Road Safety Remuneration Tribunal are imposing anti-competitive arrangements on industry and are distracting </w:t>
      </w:r>
      <w:r w:rsidRPr="001D1CD5">
        <w:rPr>
          <w:rFonts w:asciiTheme="minorHAnsi" w:hAnsiTheme="minorHAnsi"/>
        </w:rPr>
        <w:t xml:space="preserve">Government and industry attention and </w:t>
      </w:r>
      <w:r w:rsidRPr="001D1CD5">
        <w:rPr>
          <w:rFonts w:asciiTheme="minorHAnsi" w:hAnsiTheme="minorHAnsi"/>
          <w:lang w:eastAsia="en-AU"/>
        </w:rPr>
        <w:t xml:space="preserve">resources away from the measures which are widely </w:t>
      </w:r>
      <w:proofErr w:type="spellStart"/>
      <w:r w:rsidRPr="001D1CD5">
        <w:rPr>
          <w:rFonts w:asciiTheme="minorHAnsi" w:hAnsiTheme="minorHAnsi"/>
          <w:lang w:eastAsia="en-AU"/>
        </w:rPr>
        <w:t>recognised</w:t>
      </w:r>
      <w:proofErr w:type="spellEnd"/>
      <w:r w:rsidRPr="001D1CD5">
        <w:rPr>
          <w:rFonts w:asciiTheme="minorHAnsi" w:hAnsiTheme="minorHAnsi"/>
          <w:lang w:eastAsia="en-AU"/>
        </w:rPr>
        <w:t xml:space="preserve"> as improving road safety </w:t>
      </w:r>
      <w:r w:rsidRPr="001D1CD5">
        <w:rPr>
          <w:rFonts w:asciiTheme="minorHAnsi" w:hAnsiTheme="minorHAnsi" w:cs="Arial"/>
          <w:color w:val="000000"/>
        </w:rPr>
        <w:t xml:space="preserve">such as: risk identification and control, improved roads, fatigue management, education and training, drug and alcohol policies, use of technology, and strong compliance mechanisms. </w:t>
      </w:r>
    </w:p>
    <w:p w14:paraId="58350532" w14:textId="77777777" w:rsidR="004540AF" w:rsidRPr="001D1CD5" w:rsidRDefault="004540AF" w:rsidP="004540AF">
      <w:pPr>
        <w:spacing w:after="240" w:line="276" w:lineRule="auto"/>
        <w:jc w:val="both"/>
        <w:rPr>
          <w:rFonts w:asciiTheme="minorHAnsi" w:hAnsiTheme="minorHAnsi" w:cs="Arial"/>
          <w:color w:val="000000"/>
        </w:rPr>
      </w:pPr>
      <w:r w:rsidRPr="001D1CD5">
        <w:rPr>
          <w:rFonts w:asciiTheme="minorHAnsi" w:hAnsiTheme="minorHAnsi"/>
        </w:rPr>
        <w:t xml:space="preserve">The </w:t>
      </w:r>
      <w:r w:rsidRPr="001D1CD5">
        <w:rPr>
          <w:rFonts w:asciiTheme="minorHAnsi" w:hAnsiTheme="minorHAnsi"/>
          <w:i/>
          <w:color w:val="000000"/>
        </w:rPr>
        <w:t>Road Safety Remuneration Act 2012</w:t>
      </w:r>
      <w:r w:rsidRPr="001D1CD5">
        <w:rPr>
          <w:rFonts w:asciiTheme="minorHAnsi" w:hAnsiTheme="minorHAnsi"/>
          <w:color w:val="000000"/>
        </w:rPr>
        <w:t xml:space="preserve"> </w:t>
      </w:r>
      <w:r w:rsidRPr="001D1CD5">
        <w:rPr>
          <w:rFonts w:asciiTheme="minorHAnsi" w:hAnsiTheme="minorHAnsi"/>
        </w:rPr>
        <w:t>and the Tribunal should be disbanded without delay.</w:t>
      </w:r>
    </w:p>
    <w:p w14:paraId="3B100002" w14:textId="77777777" w:rsidR="00BF60F6" w:rsidRPr="001D1CD5" w:rsidRDefault="00D979F2" w:rsidP="00ED4B29">
      <w:pPr>
        <w:pStyle w:val="Heading1"/>
        <w:spacing w:before="0" w:after="240" w:line="276" w:lineRule="auto"/>
        <w:ind w:left="709" w:hanging="709"/>
        <w:rPr>
          <w:rFonts w:asciiTheme="minorHAnsi" w:eastAsia="Calibri" w:hAnsiTheme="minorHAnsi" w:cs="Calibri"/>
          <w:color w:val="451E51"/>
          <w:sz w:val="36"/>
          <w:szCs w:val="36"/>
          <w:u w:color="0070C0"/>
          <w:lang w:eastAsia="en-AU"/>
        </w:rPr>
      </w:pPr>
      <w:r w:rsidRPr="001D1CD5">
        <w:rPr>
          <w:rFonts w:asciiTheme="minorHAnsi" w:eastAsia="Calibri" w:hAnsiTheme="minorHAnsi" w:cs="Calibri"/>
          <w:color w:val="451E51"/>
          <w:sz w:val="36"/>
          <w:szCs w:val="36"/>
          <w:u w:color="0070C0"/>
          <w:lang w:eastAsia="en-AU"/>
        </w:rPr>
        <w:lastRenderedPageBreak/>
        <w:t xml:space="preserve">21. </w:t>
      </w:r>
      <w:r w:rsidRPr="001D1CD5">
        <w:rPr>
          <w:rFonts w:asciiTheme="minorHAnsi" w:eastAsia="Calibri" w:hAnsiTheme="minorHAnsi" w:cs="Calibri"/>
          <w:color w:val="451E51"/>
          <w:sz w:val="36"/>
          <w:szCs w:val="36"/>
          <w:u w:color="0070C0"/>
          <w:lang w:eastAsia="en-AU"/>
        </w:rPr>
        <w:tab/>
        <w:t>Migrant workers</w:t>
      </w:r>
    </w:p>
    <w:p w14:paraId="54AA80C7" w14:textId="5B6E33AB" w:rsidR="00522C08" w:rsidRPr="001D1CD5" w:rsidRDefault="00522C08" w:rsidP="00BC1BDA">
      <w:pPr>
        <w:spacing w:after="240" w:line="276" w:lineRule="auto"/>
        <w:jc w:val="both"/>
        <w:rPr>
          <w:rFonts w:asciiTheme="minorHAnsi" w:hAnsiTheme="minorHAnsi"/>
          <w:lang w:eastAsia="en-AU"/>
        </w:rPr>
      </w:pPr>
      <w:r w:rsidRPr="001D1CD5">
        <w:rPr>
          <w:rFonts w:asciiTheme="minorHAnsi" w:hAnsiTheme="minorHAnsi"/>
          <w:lang w:eastAsia="en-AU"/>
        </w:rPr>
        <w:t>The FW Act and awards apply</w:t>
      </w:r>
      <w:r w:rsidRPr="001D1CD5">
        <w:rPr>
          <w:rFonts w:asciiTheme="minorHAnsi" w:hAnsiTheme="minorHAnsi" w:cs="Calibri"/>
          <w:color w:val="000000"/>
          <w:lang w:val="en-AU" w:eastAsia="en-AU"/>
        </w:rPr>
        <w:t xml:space="preserve"> to</w:t>
      </w:r>
      <w:r w:rsidRPr="001D1CD5">
        <w:rPr>
          <w:rFonts w:asciiTheme="minorHAnsi" w:hAnsiTheme="minorHAnsi"/>
          <w:lang w:eastAsia="en-AU"/>
        </w:rPr>
        <w:t xml:space="preserve"> </w:t>
      </w:r>
      <w:r w:rsidRPr="001D1CD5">
        <w:rPr>
          <w:rFonts w:asciiTheme="minorHAnsi" w:hAnsiTheme="minorHAnsi" w:cs="Calibri"/>
          <w:color w:val="000000"/>
          <w:lang w:val="en-AU" w:eastAsia="en-AU"/>
        </w:rPr>
        <w:t>overseas workers working in Australia.  In addition</w:t>
      </w:r>
      <w:r w:rsidR="00BC1BDA" w:rsidRPr="001D1CD5">
        <w:rPr>
          <w:rFonts w:asciiTheme="minorHAnsi" w:hAnsiTheme="minorHAnsi" w:cs="Calibri"/>
          <w:color w:val="000000"/>
          <w:lang w:val="en-AU" w:eastAsia="en-AU"/>
        </w:rPr>
        <w:t>,</w:t>
      </w:r>
      <w:r w:rsidRPr="001D1CD5">
        <w:rPr>
          <w:rFonts w:asciiTheme="minorHAnsi" w:hAnsiTheme="minorHAnsi" w:cs="Calibri"/>
          <w:color w:val="000000"/>
          <w:lang w:val="en-AU" w:eastAsia="en-AU"/>
        </w:rPr>
        <w:t xml:space="preserve"> the work rights of working visa holders are protected by the </w:t>
      </w:r>
      <w:r w:rsidRPr="001D1CD5">
        <w:rPr>
          <w:rFonts w:asciiTheme="minorHAnsi" w:hAnsiTheme="minorHAnsi" w:cs="Calibri"/>
          <w:i/>
          <w:color w:val="000000"/>
          <w:lang w:val="en-AU" w:eastAsia="en-AU"/>
        </w:rPr>
        <w:t>Migration Act 1958</w:t>
      </w:r>
      <w:r w:rsidRPr="001D1CD5">
        <w:rPr>
          <w:rFonts w:asciiTheme="minorHAnsi" w:hAnsiTheme="minorHAnsi" w:cs="Calibri"/>
          <w:color w:val="000000"/>
          <w:lang w:val="en-AU" w:eastAsia="en-AU"/>
        </w:rPr>
        <w:t xml:space="preserve"> (</w:t>
      </w:r>
      <w:r w:rsidRPr="008B6457">
        <w:rPr>
          <w:rFonts w:asciiTheme="minorHAnsi" w:hAnsiTheme="minorHAnsi" w:cs="Calibri"/>
          <w:b/>
          <w:color w:val="000000"/>
          <w:lang w:val="en-AU" w:eastAsia="en-AU"/>
        </w:rPr>
        <w:t>Migration Act</w:t>
      </w:r>
      <w:r w:rsidRPr="001D1CD5">
        <w:rPr>
          <w:rFonts w:asciiTheme="minorHAnsi" w:hAnsiTheme="minorHAnsi" w:cs="Calibri"/>
          <w:color w:val="000000"/>
          <w:lang w:val="en-AU" w:eastAsia="en-AU"/>
        </w:rPr>
        <w:t>).  For</w:t>
      </w:r>
      <w:r w:rsidRPr="001D1CD5">
        <w:rPr>
          <w:rFonts w:asciiTheme="minorHAnsi" w:hAnsiTheme="minorHAnsi"/>
          <w:lang w:eastAsia="en-AU"/>
        </w:rPr>
        <w:t xml:space="preserve"> </w:t>
      </w:r>
      <w:r w:rsidRPr="001D1CD5">
        <w:rPr>
          <w:rFonts w:asciiTheme="minorHAnsi" w:hAnsiTheme="minorHAnsi" w:cs="Calibri"/>
          <w:color w:val="000000"/>
          <w:lang w:val="en-AU" w:eastAsia="en-AU"/>
        </w:rPr>
        <w:t xml:space="preserve">example, a 457 visa holder must </w:t>
      </w:r>
      <w:r w:rsidR="00BC1BDA" w:rsidRPr="001D1CD5">
        <w:rPr>
          <w:rFonts w:asciiTheme="minorHAnsi" w:hAnsiTheme="minorHAnsi" w:cs="Calibri"/>
          <w:color w:val="000000"/>
          <w:lang w:val="en-AU" w:eastAsia="en-AU"/>
        </w:rPr>
        <w:t>be paid</w:t>
      </w:r>
      <w:r w:rsidRPr="001D1CD5">
        <w:rPr>
          <w:rFonts w:asciiTheme="minorHAnsi" w:hAnsiTheme="minorHAnsi" w:cs="Calibri"/>
          <w:color w:val="000000"/>
          <w:lang w:val="en-AU" w:eastAsia="en-AU"/>
        </w:rPr>
        <w:t xml:space="preserve"> no less than that of any Australian employee who is</w:t>
      </w:r>
      <w:r w:rsidRPr="001D1CD5">
        <w:rPr>
          <w:rFonts w:asciiTheme="minorHAnsi" w:hAnsiTheme="minorHAnsi"/>
          <w:lang w:eastAsia="en-AU"/>
        </w:rPr>
        <w:t xml:space="preserve"> </w:t>
      </w:r>
      <w:r w:rsidRPr="001D1CD5">
        <w:rPr>
          <w:rFonts w:asciiTheme="minorHAnsi" w:hAnsiTheme="minorHAnsi" w:cs="Calibri"/>
          <w:color w:val="000000"/>
          <w:lang w:val="en-AU" w:eastAsia="en-AU"/>
        </w:rPr>
        <w:t>performing the same role as the visa holder in the workplace and must not be required to</w:t>
      </w:r>
      <w:r w:rsidRPr="001D1CD5">
        <w:rPr>
          <w:rFonts w:asciiTheme="minorHAnsi" w:hAnsiTheme="minorHAnsi"/>
          <w:lang w:eastAsia="en-AU"/>
        </w:rPr>
        <w:t xml:space="preserve"> </w:t>
      </w:r>
      <w:r w:rsidRPr="001D1CD5">
        <w:rPr>
          <w:rFonts w:asciiTheme="minorHAnsi" w:hAnsiTheme="minorHAnsi" w:cs="Calibri"/>
          <w:color w:val="000000"/>
          <w:lang w:val="en-AU" w:eastAsia="en-AU"/>
        </w:rPr>
        <w:t>reimburse the work sponsor for the costs relating to being the approved work sponsor</w:t>
      </w:r>
      <w:r w:rsidR="00BC1BDA" w:rsidRPr="001D1CD5">
        <w:rPr>
          <w:rFonts w:asciiTheme="minorHAnsi" w:hAnsiTheme="minorHAnsi" w:cs="Calibri"/>
          <w:color w:val="000000"/>
          <w:lang w:val="en-AU" w:eastAsia="en-AU"/>
        </w:rPr>
        <w:t>,</w:t>
      </w:r>
      <w:r w:rsidRPr="001D1CD5">
        <w:rPr>
          <w:rFonts w:asciiTheme="minorHAnsi" w:hAnsiTheme="minorHAnsi" w:cs="Calibri"/>
          <w:color w:val="000000"/>
          <w:lang w:val="en-AU" w:eastAsia="en-AU"/>
        </w:rPr>
        <w:t xml:space="preserve"> including</w:t>
      </w:r>
      <w:r w:rsidRPr="001D1CD5">
        <w:rPr>
          <w:rFonts w:asciiTheme="minorHAnsi" w:hAnsiTheme="minorHAnsi"/>
          <w:lang w:eastAsia="en-AU"/>
        </w:rPr>
        <w:t xml:space="preserve"> </w:t>
      </w:r>
      <w:r w:rsidRPr="001D1CD5">
        <w:rPr>
          <w:rFonts w:asciiTheme="minorHAnsi" w:hAnsiTheme="minorHAnsi" w:cs="Calibri"/>
          <w:color w:val="000000"/>
          <w:lang w:val="en-AU" w:eastAsia="en-AU"/>
        </w:rPr>
        <w:t xml:space="preserve">recruitment and migration agent costs.  </w:t>
      </w:r>
    </w:p>
    <w:p w14:paraId="643E3863" w14:textId="39623F84" w:rsidR="00831B67" w:rsidRPr="001D1CD5" w:rsidRDefault="001D10E5" w:rsidP="00BC1BDA">
      <w:pPr>
        <w:spacing w:after="240" w:line="276" w:lineRule="auto"/>
        <w:jc w:val="both"/>
        <w:rPr>
          <w:rFonts w:asciiTheme="minorHAnsi" w:hAnsiTheme="minorHAnsi"/>
          <w:lang w:eastAsia="en-AU"/>
        </w:rPr>
      </w:pPr>
      <w:r w:rsidRPr="001D1CD5">
        <w:rPr>
          <w:rFonts w:asciiTheme="minorHAnsi" w:hAnsiTheme="minorHAnsi"/>
          <w:lang w:eastAsia="en-AU"/>
        </w:rPr>
        <w:t xml:space="preserve">Ai Group agrees with the proposition in the Draft Report that migrant workers are more vulnerable to breaches of the FW Act than other workers. </w:t>
      </w:r>
      <w:r w:rsidR="00831B67" w:rsidRPr="001D1CD5">
        <w:rPr>
          <w:rFonts w:asciiTheme="minorHAnsi" w:hAnsiTheme="minorHAnsi"/>
          <w:lang w:eastAsia="en-AU"/>
        </w:rPr>
        <w:t>We also agree that tough penalties should apply to employers who deliberately underpay migrant workers.</w:t>
      </w:r>
      <w:r w:rsidR="00522C08" w:rsidRPr="001D1CD5">
        <w:rPr>
          <w:rFonts w:asciiTheme="minorHAnsi" w:hAnsiTheme="minorHAnsi"/>
          <w:lang w:eastAsia="en-AU"/>
        </w:rPr>
        <w:t xml:space="preserve"> </w:t>
      </w:r>
      <w:r w:rsidR="00831B67" w:rsidRPr="001D1CD5">
        <w:rPr>
          <w:rFonts w:asciiTheme="minorHAnsi" w:hAnsiTheme="minorHAnsi"/>
          <w:lang w:eastAsia="en-AU"/>
        </w:rPr>
        <w:t>However, in Ai Group’s experience only a</w:t>
      </w:r>
      <w:r w:rsidR="00831B67" w:rsidRPr="001D1CD5">
        <w:rPr>
          <w:rFonts w:asciiTheme="minorHAnsi" w:hAnsiTheme="minorHAnsi" w:cs="Calibri"/>
          <w:color w:val="000000"/>
          <w:lang w:val="en-AU" w:eastAsia="en-AU"/>
        </w:rPr>
        <w:t xml:space="preserve"> small number of employers </w:t>
      </w:r>
      <w:r w:rsidR="00FF63D2" w:rsidRPr="001D1CD5">
        <w:rPr>
          <w:rFonts w:asciiTheme="minorHAnsi" w:hAnsiTheme="minorHAnsi" w:cs="Calibri"/>
          <w:color w:val="000000"/>
          <w:lang w:val="en-AU" w:eastAsia="en-AU"/>
        </w:rPr>
        <w:t xml:space="preserve">deliberately </w:t>
      </w:r>
      <w:r w:rsidR="00831B67" w:rsidRPr="001D1CD5">
        <w:rPr>
          <w:rFonts w:asciiTheme="minorHAnsi" w:hAnsiTheme="minorHAnsi" w:cs="Calibri"/>
          <w:color w:val="000000"/>
          <w:lang w:val="en-AU" w:eastAsia="en-AU"/>
        </w:rPr>
        <w:t xml:space="preserve">underpay migrant workers. The majority of employers are complying with their obligations under the various visa categories and under the FW Act. </w:t>
      </w:r>
    </w:p>
    <w:p w14:paraId="4A833136" w14:textId="5EF0C86A" w:rsidR="00ED4B29" w:rsidRPr="001D1CD5" w:rsidRDefault="00522C08" w:rsidP="00BC1BD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76" w:lineRule="auto"/>
        <w:jc w:val="both"/>
        <w:rPr>
          <w:rFonts w:asciiTheme="minorHAnsi" w:hAnsiTheme="minorHAnsi" w:cs="Calibri"/>
          <w:color w:val="000000"/>
          <w:lang w:val="en-AU" w:eastAsia="en-AU"/>
        </w:rPr>
      </w:pPr>
      <w:r w:rsidRPr="001D1CD5">
        <w:rPr>
          <w:rFonts w:asciiTheme="minorHAnsi" w:hAnsiTheme="minorHAnsi" w:cs="Calibri"/>
          <w:color w:val="000000"/>
          <w:lang w:val="en-AU" w:eastAsia="en-AU"/>
        </w:rPr>
        <w:t xml:space="preserve">Australia has a vigorous enforcement regime for employers that breach the Migration Act </w:t>
      </w:r>
      <w:r w:rsidR="00BC1BDA" w:rsidRPr="001D1CD5">
        <w:rPr>
          <w:rFonts w:asciiTheme="minorHAnsi" w:hAnsiTheme="minorHAnsi" w:cs="Calibri"/>
          <w:color w:val="000000"/>
          <w:lang w:val="en-AU" w:eastAsia="en-AU"/>
        </w:rPr>
        <w:t xml:space="preserve">or </w:t>
      </w:r>
      <w:r w:rsidRPr="001D1CD5">
        <w:rPr>
          <w:rFonts w:asciiTheme="minorHAnsi" w:hAnsiTheme="minorHAnsi" w:cs="Calibri"/>
          <w:color w:val="000000"/>
          <w:lang w:val="en-AU" w:eastAsia="en-AU"/>
        </w:rPr>
        <w:t xml:space="preserve">the FW Act. </w:t>
      </w:r>
      <w:r w:rsidR="00ED4B29" w:rsidRPr="001D1CD5">
        <w:rPr>
          <w:rFonts w:asciiTheme="minorHAnsi" w:hAnsiTheme="minorHAnsi" w:cs="Calibri"/>
          <w:color w:val="000000"/>
          <w:lang w:val="en-AU" w:eastAsia="en-AU"/>
        </w:rPr>
        <w:t xml:space="preserve">The </w:t>
      </w:r>
      <w:proofErr w:type="spellStart"/>
      <w:r w:rsidR="009827F5">
        <w:rPr>
          <w:rFonts w:asciiTheme="minorHAnsi" w:hAnsiTheme="minorHAnsi" w:cs="Calibri"/>
          <w:color w:val="000000"/>
          <w:lang w:val="en-AU" w:eastAsia="en-AU"/>
        </w:rPr>
        <w:t>FWO</w:t>
      </w:r>
      <w:proofErr w:type="spellEnd"/>
      <w:r w:rsidR="00ED4B29" w:rsidRPr="001D1CD5">
        <w:rPr>
          <w:rFonts w:asciiTheme="minorHAnsi" w:hAnsiTheme="minorHAnsi" w:cs="Calibri"/>
          <w:color w:val="000000"/>
          <w:lang w:val="en-AU" w:eastAsia="en-AU"/>
        </w:rPr>
        <w:t xml:space="preserve"> is tasked with protecting the working rights of visa</w:t>
      </w:r>
      <w:r w:rsidR="00831B67" w:rsidRPr="001D1CD5">
        <w:rPr>
          <w:rFonts w:asciiTheme="minorHAnsi" w:hAnsiTheme="minorHAnsi"/>
          <w:lang w:eastAsia="en-AU"/>
        </w:rPr>
        <w:t xml:space="preserve"> </w:t>
      </w:r>
      <w:r w:rsidR="00ED4B29" w:rsidRPr="001D1CD5">
        <w:rPr>
          <w:rFonts w:asciiTheme="minorHAnsi" w:hAnsiTheme="minorHAnsi" w:cs="Calibri"/>
          <w:color w:val="000000"/>
          <w:lang w:val="en-AU" w:eastAsia="en-AU"/>
        </w:rPr>
        <w:t>holders and</w:t>
      </w:r>
      <w:r w:rsidRPr="001D1CD5">
        <w:rPr>
          <w:rFonts w:asciiTheme="minorHAnsi" w:hAnsiTheme="minorHAnsi" w:cs="Calibri"/>
          <w:color w:val="000000"/>
          <w:lang w:val="en-AU" w:eastAsia="en-AU"/>
        </w:rPr>
        <w:t>,</w:t>
      </w:r>
      <w:r w:rsidR="00ED4B29" w:rsidRPr="001D1CD5">
        <w:rPr>
          <w:rFonts w:asciiTheme="minorHAnsi" w:hAnsiTheme="minorHAnsi" w:cs="Calibri"/>
          <w:color w:val="000000"/>
          <w:lang w:val="en-AU" w:eastAsia="en-AU"/>
        </w:rPr>
        <w:t xml:space="preserve"> </w:t>
      </w:r>
      <w:r w:rsidRPr="001D1CD5">
        <w:rPr>
          <w:rFonts w:asciiTheme="minorHAnsi" w:hAnsiTheme="minorHAnsi" w:cs="Calibri"/>
          <w:color w:val="000000"/>
          <w:lang w:val="en-AU" w:eastAsia="en-AU"/>
        </w:rPr>
        <w:t>as highlighted by the statistics on enforcement activities in the Draft Report,</w:t>
      </w:r>
      <w:r w:rsidR="00ED4B29" w:rsidRPr="001D1CD5">
        <w:rPr>
          <w:rFonts w:asciiTheme="minorHAnsi" w:hAnsiTheme="minorHAnsi" w:cs="Calibri"/>
          <w:color w:val="000000"/>
          <w:lang w:val="en-AU" w:eastAsia="en-AU"/>
        </w:rPr>
        <w:t xml:space="preserve"> it actively does. </w:t>
      </w:r>
    </w:p>
    <w:p w14:paraId="0565BF1F" w14:textId="0FDE7FFC" w:rsidR="00BC1BDA" w:rsidRPr="001D1CD5" w:rsidRDefault="00BC1BDA" w:rsidP="00BC1BD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76" w:lineRule="auto"/>
        <w:jc w:val="both"/>
        <w:rPr>
          <w:rFonts w:asciiTheme="minorHAnsi" w:hAnsiTheme="minorHAnsi" w:cs="Calibri"/>
          <w:color w:val="000000"/>
          <w:lang w:val="en-AU" w:eastAsia="en-AU"/>
        </w:rPr>
      </w:pPr>
      <w:r w:rsidRPr="001D1CD5">
        <w:rPr>
          <w:rFonts w:asciiTheme="minorHAnsi" w:hAnsiTheme="minorHAnsi" w:cs="Calibri"/>
          <w:color w:val="000000"/>
          <w:lang w:val="en-AU" w:eastAsia="en-AU"/>
        </w:rPr>
        <w:t>Given that the vast majority of employers do not underpay migrant workers, it would not be appropriate to impose a more on</w:t>
      </w:r>
      <w:r w:rsidR="00FF63D2" w:rsidRPr="001D1CD5">
        <w:rPr>
          <w:rFonts w:asciiTheme="minorHAnsi" w:hAnsiTheme="minorHAnsi" w:cs="Calibri"/>
          <w:color w:val="000000"/>
          <w:lang w:val="en-AU" w:eastAsia="en-AU"/>
        </w:rPr>
        <w:t xml:space="preserve">erous compliance burden on all </w:t>
      </w:r>
      <w:r w:rsidRPr="001D1CD5">
        <w:rPr>
          <w:rFonts w:asciiTheme="minorHAnsi" w:hAnsiTheme="minorHAnsi" w:cs="Calibri"/>
          <w:color w:val="000000"/>
          <w:lang w:val="en-AU" w:eastAsia="en-AU"/>
        </w:rPr>
        <w:t>employers. Any changes should be directed at those employers who deliberately underpay migrant workers. Consistent with this view, Ai Group does not oppose Draft Recommendation 21.1 which proposes that:</w:t>
      </w:r>
    </w:p>
    <w:p w14:paraId="70828785" w14:textId="77777777" w:rsidR="00BC1BDA" w:rsidRPr="009827F5" w:rsidRDefault="00BC1BDA" w:rsidP="009827F5">
      <w:pPr>
        <w:pStyle w:val="ListParagraph"/>
        <w:numPr>
          <w:ilvl w:val="0"/>
          <w:numId w:val="8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76" w:lineRule="auto"/>
        <w:jc w:val="both"/>
        <w:rPr>
          <w:rFonts w:asciiTheme="minorHAnsi" w:hAnsiTheme="minorHAnsi"/>
        </w:rPr>
      </w:pPr>
      <w:r w:rsidRPr="009827F5">
        <w:rPr>
          <w:rFonts w:asciiTheme="minorHAnsi" w:hAnsiTheme="minorHAnsi" w:cs="Calibri"/>
          <w:lang w:val="en-AU"/>
        </w:rPr>
        <w:t xml:space="preserve">The </w:t>
      </w:r>
      <w:proofErr w:type="spellStart"/>
      <w:r w:rsidRPr="009827F5">
        <w:rPr>
          <w:rFonts w:asciiTheme="minorHAnsi" w:hAnsiTheme="minorHAnsi" w:cs="Calibri"/>
          <w:lang w:val="en-AU"/>
        </w:rPr>
        <w:t>FWO</w:t>
      </w:r>
      <w:proofErr w:type="spellEnd"/>
      <w:r w:rsidRPr="009827F5">
        <w:rPr>
          <w:rFonts w:asciiTheme="minorHAnsi" w:hAnsiTheme="minorHAnsi" w:cs="Calibri"/>
          <w:lang w:val="en-AU"/>
        </w:rPr>
        <w:t xml:space="preserve"> be given additional resources </w:t>
      </w:r>
      <w:r w:rsidR="00ED4B29" w:rsidRPr="009827F5">
        <w:rPr>
          <w:rFonts w:asciiTheme="minorHAnsi" w:hAnsiTheme="minorHAnsi"/>
        </w:rPr>
        <w:t>for investigation and audits of employers suspected of underpaying migrant workers</w:t>
      </w:r>
      <w:r w:rsidRPr="009827F5">
        <w:rPr>
          <w:rFonts w:asciiTheme="minorHAnsi" w:hAnsiTheme="minorHAnsi"/>
        </w:rPr>
        <w:t>;</w:t>
      </w:r>
      <w:r w:rsidR="00ED4B29" w:rsidRPr="009827F5">
        <w:rPr>
          <w:rFonts w:asciiTheme="minorHAnsi" w:hAnsiTheme="minorHAnsi"/>
        </w:rPr>
        <w:t xml:space="preserve"> </w:t>
      </w:r>
      <w:r w:rsidRPr="009827F5">
        <w:rPr>
          <w:rFonts w:asciiTheme="minorHAnsi" w:hAnsiTheme="minorHAnsi"/>
        </w:rPr>
        <w:t>and</w:t>
      </w:r>
    </w:p>
    <w:p w14:paraId="54AF6D05" w14:textId="316F1C2A" w:rsidR="00ED4B29" w:rsidRPr="009827F5" w:rsidRDefault="00ED4B29" w:rsidP="009827F5">
      <w:pPr>
        <w:pStyle w:val="ListParagraph"/>
        <w:numPr>
          <w:ilvl w:val="0"/>
          <w:numId w:val="8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76" w:lineRule="auto"/>
        <w:jc w:val="both"/>
        <w:rPr>
          <w:rFonts w:asciiTheme="minorHAnsi" w:hAnsiTheme="minorHAnsi"/>
        </w:rPr>
      </w:pPr>
      <w:r w:rsidRPr="009827F5">
        <w:rPr>
          <w:rFonts w:asciiTheme="minorHAnsi" w:hAnsiTheme="minorHAnsi"/>
        </w:rPr>
        <w:t>The Migration Act should be amended so that employers can be fined by at least the value of any unpaid wages and conditions to migrants working in breach of the Migration Act, in addition to the existing penalties under the Act</w:t>
      </w:r>
      <w:r w:rsidR="00BC1BDA" w:rsidRPr="009827F5">
        <w:rPr>
          <w:rFonts w:asciiTheme="minorHAnsi" w:hAnsiTheme="minorHAnsi"/>
        </w:rPr>
        <w:t>.</w:t>
      </w:r>
    </w:p>
    <w:p w14:paraId="60FB1FCC" w14:textId="77777777" w:rsidR="00292BC1" w:rsidRPr="001D1CD5" w:rsidRDefault="00292BC1" w:rsidP="00292BC1">
      <w:pPr>
        <w:pStyle w:val="Heading1"/>
        <w:spacing w:before="0" w:after="240" w:line="276" w:lineRule="auto"/>
        <w:ind w:left="709" w:hanging="709"/>
        <w:rPr>
          <w:rFonts w:asciiTheme="minorHAnsi" w:eastAsia="Calibri" w:hAnsiTheme="minorHAnsi" w:cs="Calibri"/>
          <w:color w:val="451E51"/>
          <w:sz w:val="36"/>
          <w:szCs w:val="36"/>
          <w:lang w:eastAsia="en-AU"/>
        </w:rPr>
      </w:pPr>
      <w:r w:rsidRPr="001D1CD5">
        <w:rPr>
          <w:rFonts w:asciiTheme="minorHAnsi" w:eastAsia="Calibri" w:hAnsiTheme="minorHAnsi" w:cs="Calibri"/>
          <w:color w:val="451E51"/>
          <w:sz w:val="36"/>
          <w:szCs w:val="36"/>
          <w:lang w:eastAsia="en-AU"/>
        </w:rPr>
        <w:t xml:space="preserve">22. </w:t>
      </w:r>
      <w:r w:rsidRPr="001D1CD5">
        <w:rPr>
          <w:rFonts w:asciiTheme="minorHAnsi" w:eastAsia="Calibri" w:hAnsiTheme="minorHAnsi" w:cs="Calibri"/>
          <w:color w:val="451E51"/>
          <w:sz w:val="36"/>
          <w:szCs w:val="36"/>
          <w:lang w:eastAsia="en-AU"/>
        </w:rPr>
        <w:tab/>
        <w:t>Transfer of business</w:t>
      </w:r>
    </w:p>
    <w:p w14:paraId="1CFFCF3F" w14:textId="1E5D4581" w:rsidR="00292BC1" w:rsidRPr="001D1CD5" w:rsidRDefault="00292BC1" w:rsidP="00292BC1">
      <w:pPr>
        <w:pStyle w:val="Body1"/>
        <w:spacing w:after="240" w:line="276" w:lineRule="auto"/>
        <w:jc w:val="both"/>
        <w:rPr>
          <w:rFonts w:asciiTheme="minorHAnsi" w:hAnsiTheme="minorHAnsi"/>
        </w:rPr>
      </w:pPr>
      <w:r w:rsidRPr="001D1CD5">
        <w:rPr>
          <w:rFonts w:asciiTheme="minorHAnsi" w:eastAsia="Calibri" w:hAnsiTheme="minorHAnsi" w:cs="Calibri"/>
        </w:rPr>
        <w:t>Ai Group’s</w:t>
      </w:r>
      <w:r w:rsidR="009827F5">
        <w:rPr>
          <w:rFonts w:asciiTheme="minorHAnsi" w:eastAsia="Calibri" w:hAnsiTheme="minorHAnsi" w:cs="Calibri"/>
        </w:rPr>
        <w:t xml:space="preserve"> March 2015 s</w:t>
      </w:r>
      <w:r w:rsidRPr="001D1CD5">
        <w:rPr>
          <w:rFonts w:asciiTheme="minorHAnsi" w:eastAsia="Calibri" w:hAnsiTheme="minorHAnsi" w:cs="Calibri"/>
        </w:rPr>
        <w:t xml:space="preserve">ubmission urged the Productivity Commission to recommend changes to the transfer of business laws to address the legitimate and strong concerns of employers. </w:t>
      </w:r>
      <w:r w:rsidRPr="001D1CD5">
        <w:rPr>
          <w:rFonts w:asciiTheme="minorHAnsi" w:hAnsiTheme="minorHAnsi"/>
        </w:rPr>
        <w:t>As explained in our submission, the current transfer of business laws are:</w:t>
      </w:r>
    </w:p>
    <w:p w14:paraId="1CBE5A36" w14:textId="77777777" w:rsidR="00292BC1" w:rsidRPr="001D1CD5" w:rsidRDefault="00292BC1" w:rsidP="00074410">
      <w:pPr>
        <w:pStyle w:val="Body1"/>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eastAsia="Times New Roman" w:hAnsiTheme="minorHAnsi"/>
        </w:rPr>
      </w:pPr>
      <w:r w:rsidRPr="001D1CD5">
        <w:rPr>
          <w:rFonts w:asciiTheme="minorHAnsi" w:eastAsia="Times New Roman" w:hAnsiTheme="minorHAnsi"/>
        </w:rPr>
        <w:t>Impeding the restructuring of Australian businesses and hence impeding productivity and competitiveness;</w:t>
      </w:r>
    </w:p>
    <w:p w14:paraId="4D97978B" w14:textId="77777777" w:rsidR="00292BC1" w:rsidRPr="001D1CD5" w:rsidRDefault="00292BC1" w:rsidP="00074410">
      <w:pPr>
        <w:pStyle w:val="Body1"/>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eastAsia="Times New Roman" w:hAnsiTheme="minorHAnsi"/>
        </w:rPr>
      </w:pPr>
      <w:r w:rsidRPr="001D1CD5">
        <w:rPr>
          <w:rFonts w:asciiTheme="minorHAnsi" w:eastAsia="Times New Roman" w:hAnsiTheme="minorHAnsi"/>
        </w:rPr>
        <w:t>Increasing redundancies and removing employment opportunities for many Australian workers;</w:t>
      </w:r>
    </w:p>
    <w:p w14:paraId="4B9D85BD" w14:textId="77777777" w:rsidR="00292BC1" w:rsidRPr="001D1CD5" w:rsidRDefault="00292BC1" w:rsidP="00074410">
      <w:pPr>
        <w:pStyle w:val="Body1"/>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eastAsia="Times New Roman" w:hAnsiTheme="minorHAnsi"/>
        </w:rPr>
      </w:pPr>
      <w:r w:rsidRPr="001D1CD5">
        <w:rPr>
          <w:rFonts w:asciiTheme="minorHAnsi" w:eastAsia="Times New Roman" w:hAnsiTheme="minorHAnsi"/>
        </w:rPr>
        <w:lastRenderedPageBreak/>
        <w:t xml:space="preserve">Discouraging </w:t>
      </w:r>
      <w:proofErr w:type="spellStart"/>
      <w:r w:rsidRPr="001D1CD5">
        <w:rPr>
          <w:rFonts w:asciiTheme="minorHAnsi" w:eastAsia="Times New Roman" w:hAnsiTheme="minorHAnsi"/>
        </w:rPr>
        <w:t>organisations</w:t>
      </w:r>
      <w:proofErr w:type="spellEnd"/>
      <w:r w:rsidRPr="001D1CD5">
        <w:rPr>
          <w:rFonts w:asciiTheme="minorHAnsi" w:eastAsia="Times New Roman" w:hAnsiTheme="minorHAnsi"/>
        </w:rPr>
        <w:t xml:space="preserve"> which win outsourcing contracts from employing any of their clients’ workers and, hence, many of these workers are made redundant by the client;</w:t>
      </w:r>
    </w:p>
    <w:p w14:paraId="7520801E" w14:textId="77777777" w:rsidR="00292BC1" w:rsidRPr="001D1CD5" w:rsidRDefault="00292BC1" w:rsidP="00074410">
      <w:pPr>
        <w:pStyle w:val="Body1"/>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eastAsia="Times New Roman" w:hAnsiTheme="minorHAnsi"/>
        </w:rPr>
      </w:pPr>
      <w:r w:rsidRPr="001D1CD5">
        <w:rPr>
          <w:rFonts w:asciiTheme="minorHAnsi" w:eastAsia="Times New Roman" w:hAnsiTheme="minorHAnsi"/>
        </w:rPr>
        <w:t>Constraining opportunities for companies in the business of providing outsourced services;</w:t>
      </w:r>
    </w:p>
    <w:p w14:paraId="7AE004A4" w14:textId="77777777" w:rsidR="00292BC1" w:rsidRPr="001D1CD5" w:rsidRDefault="00292BC1" w:rsidP="00074410">
      <w:pPr>
        <w:pStyle w:val="Body1"/>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eastAsia="Times New Roman" w:hAnsiTheme="minorHAnsi"/>
        </w:rPr>
      </w:pPr>
      <w:r w:rsidRPr="001D1CD5">
        <w:rPr>
          <w:rFonts w:asciiTheme="minorHAnsi" w:eastAsia="Times New Roman" w:hAnsiTheme="minorHAnsi"/>
        </w:rPr>
        <w:t>Deterring companies that wish to outsource functions from doing so and consequently opportunities for productivity improvement are lost;</w:t>
      </w:r>
    </w:p>
    <w:p w14:paraId="7F1F109E" w14:textId="77777777" w:rsidR="00292BC1" w:rsidRPr="001D1CD5" w:rsidRDefault="00292BC1" w:rsidP="00074410">
      <w:pPr>
        <w:pStyle w:val="Body1"/>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eastAsia="Times New Roman" w:hAnsiTheme="minorHAnsi"/>
        </w:rPr>
      </w:pPr>
      <w:r w:rsidRPr="001D1CD5">
        <w:rPr>
          <w:rFonts w:asciiTheme="minorHAnsi" w:eastAsia="Times New Roman" w:hAnsiTheme="minorHAnsi"/>
        </w:rPr>
        <w:t>Driving work and jobs offshore;</w:t>
      </w:r>
    </w:p>
    <w:p w14:paraId="65CD8624" w14:textId="77777777" w:rsidR="00292BC1" w:rsidRPr="001D1CD5" w:rsidRDefault="00292BC1" w:rsidP="00074410">
      <w:pPr>
        <w:pStyle w:val="Body1"/>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eastAsia="Times New Roman" w:hAnsiTheme="minorHAnsi"/>
        </w:rPr>
      </w:pPr>
      <w:r w:rsidRPr="001D1CD5">
        <w:rPr>
          <w:rFonts w:asciiTheme="minorHAnsi" w:eastAsia="Times New Roman" w:hAnsiTheme="minorHAnsi"/>
        </w:rPr>
        <w:t>Restricting employee career progression and redeployment opportunities within corporate groups; and</w:t>
      </w:r>
    </w:p>
    <w:p w14:paraId="189FFFF4" w14:textId="77777777" w:rsidR="00292BC1" w:rsidRPr="001D1CD5" w:rsidRDefault="00292BC1" w:rsidP="00074410">
      <w:pPr>
        <w:pStyle w:val="Body1"/>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eastAsia="Times New Roman" w:hAnsiTheme="minorHAnsi"/>
        </w:rPr>
      </w:pPr>
      <w:r w:rsidRPr="001D1CD5">
        <w:rPr>
          <w:rFonts w:asciiTheme="minorHAnsi" w:eastAsia="Times New Roman" w:hAnsiTheme="minorHAnsi"/>
        </w:rPr>
        <w:t>Imposing multiple and inconsistent employment conditions on employers resulting in higher costs, more red tape and reduced productivity, efficiency and staff morale.</w:t>
      </w:r>
    </w:p>
    <w:p w14:paraId="4D2AE432" w14:textId="77777777" w:rsidR="00292BC1" w:rsidRPr="001D1CD5" w:rsidRDefault="00292BC1" w:rsidP="00292BC1">
      <w:pPr>
        <w:spacing w:after="240" w:line="276" w:lineRule="auto"/>
        <w:jc w:val="both"/>
        <w:rPr>
          <w:rFonts w:asciiTheme="minorHAnsi" w:eastAsia="Calibri" w:hAnsiTheme="minorHAnsi" w:cs="Calibri"/>
        </w:rPr>
      </w:pPr>
      <w:r w:rsidRPr="001D1CD5">
        <w:rPr>
          <w:rFonts w:asciiTheme="minorHAnsi" w:eastAsia="Calibri" w:hAnsiTheme="minorHAnsi" w:cs="Calibri"/>
        </w:rPr>
        <w:t xml:space="preserve">These problems have arisen due to the design of the transfer of business laws, including basing the laws on the concept of “work performed” rather than the former “character of the business” test which operated under the </w:t>
      </w:r>
      <w:r w:rsidRPr="001D1CD5">
        <w:rPr>
          <w:rFonts w:asciiTheme="minorHAnsi" w:eastAsia="Calibri" w:hAnsiTheme="minorHAnsi" w:cs="Calibri"/>
          <w:i/>
        </w:rPr>
        <w:t>Workplace Relations Act 1996</w:t>
      </w:r>
      <w:r w:rsidRPr="001D1CD5">
        <w:rPr>
          <w:rFonts w:asciiTheme="minorHAnsi" w:eastAsia="Calibri" w:hAnsiTheme="minorHAnsi" w:cs="Calibri"/>
        </w:rPr>
        <w:t xml:space="preserve">. </w:t>
      </w:r>
    </w:p>
    <w:p w14:paraId="0181209E" w14:textId="77777777" w:rsidR="00292BC1" w:rsidRPr="001D1CD5" w:rsidRDefault="00292BC1" w:rsidP="00292BC1">
      <w:pPr>
        <w:spacing w:after="240" w:line="276" w:lineRule="auto"/>
        <w:jc w:val="both"/>
        <w:rPr>
          <w:rFonts w:asciiTheme="minorHAnsi" w:hAnsiTheme="minorHAnsi" w:cs="Calibri"/>
          <w:bCs/>
        </w:rPr>
      </w:pPr>
      <w:r w:rsidRPr="001D1CD5">
        <w:rPr>
          <w:rFonts w:asciiTheme="minorHAnsi" w:hAnsiTheme="minorHAnsi" w:cs="Calibri"/>
          <w:color w:val="000000"/>
        </w:rPr>
        <w:t xml:space="preserve">The transfer of business laws </w:t>
      </w:r>
      <w:r w:rsidRPr="001D1CD5">
        <w:rPr>
          <w:rFonts w:asciiTheme="minorHAnsi" w:hAnsiTheme="minorHAnsi" w:cs="Calibri"/>
          <w:bCs/>
        </w:rPr>
        <w:t xml:space="preserve">result in a lose-lose-lose scenario when operations are outsourced. Client companies lose because they need to make employees redundant when outsourcing occurs. Companies who take on outsourced work lose because they cannot access the valuable skills possessed by their clients’ employees. Employees lose because their jobs disappear along with their continuity of service for long service leave and other entitlements. </w:t>
      </w:r>
    </w:p>
    <w:p w14:paraId="51CD07B1" w14:textId="77777777" w:rsidR="00292BC1" w:rsidRPr="001D1CD5" w:rsidRDefault="00292BC1" w:rsidP="00292BC1">
      <w:pPr>
        <w:spacing w:after="240" w:line="276" w:lineRule="auto"/>
        <w:jc w:val="both"/>
        <w:rPr>
          <w:rFonts w:asciiTheme="minorHAnsi" w:eastAsiaTheme="minorHAnsi" w:hAnsiTheme="minorHAnsi" w:cs="Calibri"/>
          <w:b/>
          <w:color w:val="000000"/>
        </w:rPr>
      </w:pPr>
      <w:r w:rsidRPr="001D1CD5">
        <w:rPr>
          <w:rFonts w:asciiTheme="minorHAnsi" w:hAnsiTheme="minorHAnsi" w:cs="Calibri"/>
          <w:bCs/>
        </w:rPr>
        <w:t xml:space="preserve">The transfer of business laws expose companies involved in outsourcing to transferable instruments becoming binding upon their operations for both transferring employees and non-transferring employees. Accordingly, the laws often result in outsourced service providers making every effort to avoid employing any employees of their clients. </w:t>
      </w:r>
    </w:p>
    <w:p w14:paraId="41ACF748" w14:textId="77777777" w:rsidR="00292BC1" w:rsidRPr="001D1CD5" w:rsidRDefault="00292BC1" w:rsidP="00292BC1">
      <w:pPr>
        <w:pStyle w:val="Body1"/>
        <w:spacing w:after="240" w:line="276" w:lineRule="auto"/>
        <w:jc w:val="both"/>
        <w:rPr>
          <w:rFonts w:asciiTheme="minorHAnsi" w:eastAsia="Calibri" w:hAnsiTheme="minorHAnsi" w:cs="Calibri"/>
        </w:rPr>
      </w:pPr>
      <w:r w:rsidRPr="001D1CD5">
        <w:rPr>
          <w:rFonts w:asciiTheme="minorHAnsi" w:eastAsia="Calibri" w:hAnsiTheme="minorHAnsi" w:cs="Calibri"/>
        </w:rPr>
        <w:t>We urge the Productivity Commission to consider the concerns raised by Ai Group in our March 2015 submission and the sensible and practical proposals for change advocated by Ai Group, including:</w:t>
      </w:r>
    </w:p>
    <w:p w14:paraId="23974C44" w14:textId="09F01CDF" w:rsidR="00292BC1" w:rsidRPr="001D1CD5" w:rsidRDefault="009827F5" w:rsidP="00074410">
      <w:pPr>
        <w:pStyle w:val="Body1"/>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ind w:left="567" w:hanging="567"/>
        <w:jc w:val="both"/>
        <w:rPr>
          <w:rFonts w:asciiTheme="minorHAnsi" w:eastAsia="Calibri" w:hAnsiTheme="minorHAnsi" w:cs="Calibri"/>
          <w:b/>
        </w:rPr>
      </w:pPr>
      <w:r>
        <w:rPr>
          <w:rFonts w:asciiTheme="minorHAnsi" w:eastAsia="Calibri" w:hAnsiTheme="minorHAnsi" w:cs="Calibri"/>
          <w:b/>
        </w:rPr>
        <w:t>Replacing the “similarity of work”</w:t>
      </w:r>
      <w:r w:rsidR="00292BC1" w:rsidRPr="001D1CD5">
        <w:rPr>
          <w:rFonts w:asciiTheme="minorHAnsi" w:eastAsia="Calibri" w:hAnsiTheme="minorHAnsi" w:cs="Calibri"/>
          <w:b/>
        </w:rPr>
        <w:t xml:space="preserve"> test with the former “</w:t>
      </w:r>
      <w:r w:rsidR="00292BC1" w:rsidRPr="001D1CD5">
        <w:rPr>
          <w:rFonts w:asciiTheme="minorHAnsi" w:eastAsia="Times New Roman" w:hAnsiTheme="minorHAnsi"/>
          <w:b/>
        </w:rPr>
        <w:t>character</w:t>
      </w:r>
      <w:r w:rsidR="00292BC1" w:rsidRPr="001D1CD5">
        <w:rPr>
          <w:rFonts w:asciiTheme="minorHAnsi" w:eastAsia="Calibri" w:hAnsiTheme="minorHAnsi" w:cs="Calibri"/>
          <w:b/>
        </w:rPr>
        <w:t xml:space="preserve"> of the business” test </w:t>
      </w:r>
    </w:p>
    <w:p w14:paraId="7E558EA3" w14:textId="77777777" w:rsidR="00292BC1" w:rsidRPr="001D1CD5" w:rsidRDefault="00292BC1" w:rsidP="00292BC1">
      <w:pPr>
        <w:pStyle w:val="Body1"/>
        <w:spacing w:after="240" w:line="276" w:lineRule="auto"/>
        <w:jc w:val="both"/>
        <w:rPr>
          <w:rFonts w:asciiTheme="minorHAnsi" w:eastAsia="Calibri" w:hAnsiTheme="minorHAnsi" w:cs="Calibri"/>
        </w:rPr>
      </w:pPr>
      <w:r w:rsidRPr="001D1CD5">
        <w:rPr>
          <w:rFonts w:asciiTheme="minorHAnsi" w:eastAsia="Calibri" w:hAnsiTheme="minorHAnsi" w:cs="Calibri"/>
        </w:rPr>
        <w:t xml:space="preserve">Whether a “transfer of business” has occurred requires a consideration of the similarity between the work performed for the old employer and the new employer by the transferring employees. </w:t>
      </w:r>
    </w:p>
    <w:p w14:paraId="334DFD6D" w14:textId="77777777" w:rsidR="00292BC1" w:rsidRPr="001D1CD5" w:rsidRDefault="00292BC1" w:rsidP="00292BC1">
      <w:pPr>
        <w:pStyle w:val="Body1"/>
        <w:spacing w:after="240" w:line="276" w:lineRule="auto"/>
        <w:jc w:val="both"/>
        <w:rPr>
          <w:rFonts w:asciiTheme="minorHAnsi" w:hAnsiTheme="minorHAnsi" w:cs="Calibri"/>
        </w:rPr>
      </w:pPr>
      <w:r w:rsidRPr="001D1CD5">
        <w:rPr>
          <w:rFonts w:asciiTheme="minorHAnsi" w:eastAsia="Calibri" w:hAnsiTheme="minorHAnsi" w:cs="Calibri"/>
        </w:rPr>
        <w:t xml:space="preserve">The current “similarity of work” concept in section 311(1)(c) of the FW Act is </w:t>
      </w:r>
      <w:r w:rsidRPr="001D1CD5">
        <w:rPr>
          <w:rFonts w:asciiTheme="minorHAnsi" w:hAnsiTheme="minorHAnsi" w:cs="Calibri"/>
          <w:bCs/>
        </w:rPr>
        <w:t xml:space="preserve">unworkable, impracticable and unfair on employers and employees as </w:t>
      </w:r>
      <w:r w:rsidRPr="001D1CD5">
        <w:rPr>
          <w:rFonts w:asciiTheme="minorHAnsi" w:hAnsiTheme="minorHAnsi" w:cs="Calibri"/>
        </w:rPr>
        <w:t xml:space="preserve">it gives no weight to whether a business which takes over outsourced work has the same character as the one which outsourced the work. </w:t>
      </w:r>
    </w:p>
    <w:p w14:paraId="51FFFBF7" w14:textId="77777777" w:rsidR="00292BC1" w:rsidRPr="001D1CD5" w:rsidRDefault="00292BC1" w:rsidP="00292BC1">
      <w:pPr>
        <w:pStyle w:val="Body1"/>
        <w:spacing w:after="240" w:line="276" w:lineRule="auto"/>
        <w:jc w:val="both"/>
        <w:rPr>
          <w:rFonts w:asciiTheme="minorHAnsi" w:hAnsiTheme="minorHAnsi" w:cs="Calibri"/>
        </w:rPr>
      </w:pPr>
      <w:r w:rsidRPr="001D1CD5">
        <w:rPr>
          <w:rFonts w:asciiTheme="minorHAnsi" w:hAnsiTheme="minorHAnsi" w:cs="Calibri"/>
          <w:bCs/>
        </w:rPr>
        <w:lastRenderedPageBreak/>
        <w:t>The “similarity of work” concept w</w:t>
      </w:r>
      <w:r w:rsidRPr="001D1CD5">
        <w:rPr>
          <w:rFonts w:asciiTheme="minorHAnsi" w:hAnsiTheme="minorHAnsi" w:cs="Calibri"/>
        </w:rPr>
        <w:t xml:space="preserve">as rejected by the High Court and Full Federal Court in the </w:t>
      </w:r>
      <w:r w:rsidRPr="001D1CD5">
        <w:rPr>
          <w:rFonts w:asciiTheme="minorHAnsi" w:hAnsiTheme="minorHAnsi" w:cs="Calibri"/>
          <w:i/>
        </w:rPr>
        <w:t>PP Consultants</w:t>
      </w:r>
      <w:r w:rsidRPr="001D1CD5">
        <w:rPr>
          <w:rFonts w:asciiTheme="minorHAnsi" w:hAnsiTheme="minorHAnsi" w:cs="Calibri"/>
        </w:rPr>
        <w:t xml:space="preserve"> and </w:t>
      </w:r>
      <w:r w:rsidRPr="001D1CD5">
        <w:rPr>
          <w:rFonts w:asciiTheme="minorHAnsi" w:hAnsiTheme="minorHAnsi" w:cs="Calibri"/>
          <w:i/>
        </w:rPr>
        <w:t xml:space="preserve">Stellar Call </w:t>
      </w:r>
      <w:proofErr w:type="spellStart"/>
      <w:r w:rsidRPr="001D1CD5">
        <w:rPr>
          <w:rFonts w:asciiTheme="minorHAnsi" w:hAnsiTheme="minorHAnsi" w:cs="Calibri"/>
          <w:i/>
        </w:rPr>
        <w:t>Centres</w:t>
      </w:r>
      <w:proofErr w:type="spellEnd"/>
      <w:r w:rsidRPr="001D1CD5">
        <w:rPr>
          <w:rFonts w:asciiTheme="minorHAnsi" w:hAnsiTheme="minorHAnsi" w:cs="Calibri"/>
        </w:rPr>
        <w:t xml:space="preserve"> cases</w:t>
      </w:r>
      <w:r w:rsidRPr="001D1CD5">
        <w:rPr>
          <w:rStyle w:val="FootnoteReference"/>
          <w:rFonts w:asciiTheme="minorHAnsi" w:hAnsiTheme="minorHAnsi" w:cs="Calibri"/>
        </w:rPr>
        <w:footnoteReference w:id="11"/>
      </w:r>
      <w:r w:rsidRPr="001D1CD5">
        <w:rPr>
          <w:rFonts w:asciiTheme="minorHAnsi" w:hAnsiTheme="minorHAnsi" w:cs="Calibri"/>
        </w:rPr>
        <w:t xml:space="preserve"> in 2000 and 2001, in </w:t>
      </w:r>
      <w:proofErr w:type="spellStart"/>
      <w:r w:rsidRPr="001D1CD5">
        <w:rPr>
          <w:rFonts w:asciiTheme="minorHAnsi" w:hAnsiTheme="minorHAnsi" w:cs="Calibri"/>
        </w:rPr>
        <w:t>favour</w:t>
      </w:r>
      <w:proofErr w:type="spellEnd"/>
      <w:r w:rsidRPr="001D1CD5">
        <w:rPr>
          <w:rFonts w:asciiTheme="minorHAnsi" w:hAnsiTheme="minorHAnsi" w:cs="Calibri"/>
        </w:rPr>
        <w:t xml:space="preserve"> of the more appropriate “character of the business” test. </w:t>
      </w:r>
    </w:p>
    <w:p w14:paraId="64720380" w14:textId="77777777" w:rsidR="00292BC1" w:rsidRPr="001D1CD5" w:rsidRDefault="00292BC1" w:rsidP="00074410">
      <w:pPr>
        <w:pStyle w:val="ListParagraph"/>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ind w:left="567" w:hanging="567"/>
        <w:jc w:val="both"/>
        <w:outlineLvl w:val="0"/>
        <w:rPr>
          <w:rFonts w:asciiTheme="minorHAnsi" w:hAnsiTheme="minorHAnsi" w:cs="Calibri"/>
          <w:b/>
          <w:bCs/>
          <w:color w:val="auto"/>
        </w:rPr>
      </w:pPr>
      <w:r w:rsidRPr="001D1CD5">
        <w:rPr>
          <w:rFonts w:asciiTheme="minorHAnsi" w:hAnsiTheme="minorHAnsi" w:cs="Calibri"/>
          <w:b/>
          <w:bCs/>
          <w:color w:val="auto"/>
        </w:rPr>
        <w:t xml:space="preserve">Application of transferable instruments to new, non-transferring employees of the new employer </w:t>
      </w:r>
    </w:p>
    <w:p w14:paraId="04FD3E5D" w14:textId="77777777" w:rsidR="00292BC1" w:rsidRPr="001D1CD5" w:rsidRDefault="00292BC1" w:rsidP="00292BC1">
      <w:pPr>
        <w:spacing w:after="240" w:line="276" w:lineRule="auto"/>
        <w:jc w:val="both"/>
        <w:rPr>
          <w:rFonts w:asciiTheme="minorHAnsi" w:hAnsiTheme="minorHAnsi" w:cs="Calibri"/>
          <w:bCs/>
        </w:rPr>
      </w:pPr>
      <w:r w:rsidRPr="001D1CD5">
        <w:rPr>
          <w:rFonts w:asciiTheme="minorHAnsi" w:hAnsiTheme="minorHAnsi" w:cs="Calibri"/>
          <w:bCs/>
        </w:rPr>
        <w:t>If a transferrable instrument starts to cover the new employer and the new employer employs any new employees to perform the transferring work, and no other enterprise agreement or modern award covers the employer in relation to that work, the transferable instrument covers the new employees (</w:t>
      </w:r>
      <w:proofErr w:type="spellStart"/>
      <w:r w:rsidRPr="001D1CD5">
        <w:rPr>
          <w:rFonts w:asciiTheme="minorHAnsi" w:hAnsiTheme="minorHAnsi" w:cs="Calibri"/>
          <w:bCs/>
        </w:rPr>
        <w:t>s.314</w:t>
      </w:r>
      <w:proofErr w:type="spellEnd"/>
      <w:r w:rsidRPr="001D1CD5">
        <w:rPr>
          <w:rFonts w:asciiTheme="minorHAnsi" w:hAnsiTheme="minorHAnsi" w:cs="Calibri"/>
          <w:bCs/>
        </w:rPr>
        <w:t xml:space="preserve"> of the FW Act). </w:t>
      </w:r>
    </w:p>
    <w:p w14:paraId="024E28BE" w14:textId="77777777" w:rsidR="00292BC1" w:rsidRPr="001D1CD5" w:rsidRDefault="00292BC1" w:rsidP="00292BC1">
      <w:pPr>
        <w:spacing w:after="240" w:line="276" w:lineRule="auto"/>
        <w:jc w:val="both"/>
        <w:rPr>
          <w:rFonts w:asciiTheme="minorHAnsi" w:hAnsiTheme="minorHAnsi" w:cs="Calibri"/>
          <w:bCs/>
        </w:rPr>
      </w:pPr>
      <w:r w:rsidRPr="001D1CD5">
        <w:rPr>
          <w:rFonts w:asciiTheme="minorHAnsi" w:hAnsiTheme="minorHAnsi" w:cs="Calibri"/>
          <w:bCs/>
        </w:rPr>
        <w:t>Section 314 is very unfair upon the new employer and needs to be deleted. This provision is particularly problematic for professional services providers and other businesses which employ award-free staff under common law employment contracts.</w:t>
      </w:r>
    </w:p>
    <w:p w14:paraId="0B7DA1EC" w14:textId="2F82E61B" w:rsidR="00292BC1" w:rsidRPr="001D1CD5" w:rsidRDefault="00292BC1" w:rsidP="00292BC1">
      <w:pPr>
        <w:spacing w:after="240" w:line="276" w:lineRule="auto"/>
        <w:jc w:val="both"/>
        <w:rPr>
          <w:rFonts w:asciiTheme="minorHAnsi" w:hAnsiTheme="minorHAnsi" w:cs="Calibri"/>
          <w:b/>
          <w:bCs/>
          <w:color w:val="451E51"/>
          <w:sz w:val="28"/>
          <w:szCs w:val="28"/>
        </w:rPr>
      </w:pPr>
      <w:r w:rsidRPr="001D1CD5">
        <w:rPr>
          <w:rFonts w:asciiTheme="minorHAnsi" w:hAnsiTheme="minorHAnsi" w:cs="Calibri"/>
          <w:b/>
          <w:bCs/>
          <w:color w:val="451E51"/>
          <w:sz w:val="28"/>
          <w:szCs w:val="28"/>
        </w:rPr>
        <w:t>22.1</w:t>
      </w:r>
      <w:r w:rsidRPr="001D1CD5">
        <w:rPr>
          <w:rFonts w:asciiTheme="minorHAnsi" w:hAnsiTheme="minorHAnsi" w:cs="Calibri"/>
          <w:b/>
          <w:bCs/>
          <w:color w:val="451E51"/>
          <w:sz w:val="28"/>
          <w:szCs w:val="28"/>
        </w:rPr>
        <w:tab/>
        <w:t xml:space="preserve">Ease of obtaining </w:t>
      </w:r>
      <w:proofErr w:type="spellStart"/>
      <w:r w:rsidRPr="001D1CD5">
        <w:rPr>
          <w:rFonts w:asciiTheme="minorHAnsi" w:hAnsiTheme="minorHAnsi" w:cs="Calibri"/>
          <w:b/>
          <w:bCs/>
          <w:color w:val="451E51"/>
          <w:sz w:val="28"/>
          <w:szCs w:val="28"/>
        </w:rPr>
        <w:t>FWC</w:t>
      </w:r>
      <w:proofErr w:type="spellEnd"/>
      <w:r w:rsidRPr="001D1CD5">
        <w:rPr>
          <w:rFonts w:asciiTheme="minorHAnsi" w:hAnsiTheme="minorHAnsi" w:cs="Calibri"/>
          <w:b/>
          <w:bCs/>
          <w:color w:val="451E51"/>
          <w:sz w:val="28"/>
          <w:szCs w:val="28"/>
        </w:rPr>
        <w:t xml:space="preserve"> orders</w:t>
      </w:r>
    </w:p>
    <w:p w14:paraId="6DB9843F" w14:textId="77777777" w:rsidR="00292BC1" w:rsidRPr="001D1CD5" w:rsidRDefault="00292BC1" w:rsidP="00292BC1">
      <w:pPr>
        <w:spacing w:after="240" w:line="276" w:lineRule="auto"/>
        <w:jc w:val="both"/>
        <w:rPr>
          <w:rFonts w:asciiTheme="minorHAnsi" w:hAnsiTheme="minorHAnsi" w:cs="Calibri"/>
          <w:bCs/>
        </w:rPr>
      </w:pPr>
      <w:r w:rsidRPr="001D1CD5">
        <w:rPr>
          <w:rFonts w:asciiTheme="minorHAnsi" w:hAnsiTheme="minorHAnsi" w:cs="Calibri"/>
          <w:bCs/>
        </w:rPr>
        <w:t>The Productivity Commission, on page 756 of the Draft Report, has sought further information on the ease (or otherwise) of obtaining orders that transferable instruments not transmit, or variations to transferrable instruments.</w:t>
      </w:r>
    </w:p>
    <w:p w14:paraId="0113477D" w14:textId="77777777" w:rsidR="00292BC1" w:rsidRPr="001D1CD5" w:rsidRDefault="00292BC1" w:rsidP="00292BC1">
      <w:pPr>
        <w:spacing w:after="240" w:line="276" w:lineRule="auto"/>
        <w:jc w:val="both"/>
        <w:rPr>
          <w:rFonts w:asciiTheme="minorHAnsi" w:hAnsiTheme="minorHAnsi" w:cs="Calibri"/>
          <w:bCs/>
        </w:rPr>
      </w:pPr>
      <w:r w:rsidRPr="001D1CD5">
        <w:rPr>
          <w:rFonts w:asciiTheme="minorHAnsi" w:hAnsiTheme="minorHAnsi" w:cs="Calibri"/>
          <w:bCs/>
        </w:rPr>
        <w:t xml:space="preserve">The </w:t>
      </w:r>
      <w:proofErr w:type="spellStart"/>
      <w:r w:rsidRPr="001D1CD5">
        <w:rPr>
          <w:rFonts w:asciiTheme="minorHAnsi" w:hAnsiTheme="minorHAnsi" w:cs="Calibri"/>
          <w:bCs/>
        </w:rPr>
        <w:t>FWC</w:t>
      </w:r>
      <w:proofErr w:type="spellEnd"/>
      <w:r w:rsidRPr="001D1CD5">
        <w:rPr>
          <w:rFonts w:asciiTheme="minorHAnsi" w:hAnsiTheme="minorHAnsi" w:cs="Calibri"/>
          <w:bCs/>
        </w:rPr>
        <w:t xml:space="preserve"> has the power under </w:t>
      </w:r>
      <w:proofErr w:type="spellStart"/>
      <w:r w:rsidRPr="001D1CD5">
        <w:rPr>
          <w:rFonts w:asciiTheme="minorHAnsi" w:hAnsiTheme="minorHAnsi" w:cs="Calibri"/>
          <w:bCs/>
        </w:rPr>
        <w:t>s.318</w:t>
      </w:r>
      <w:proofErr w:type="spellEnd"/>
      <w:r w:rsidRPr="001D1CD5">
        <w:rPr>
          <w:rFonts w:asciiTheme="minorHAnsi" w:hAnsiTheme="minorHAnsi" w:cs="Calibri"/>
          <w:bCs/>
        </w:rPr>
        <w:t xml:space="preserve"> of the FW Act to make an order that the transferable instrument not cover the new employer. The Commission also has the power under </w:t>
      </w:r>
      <w:proofErr w:type="spellStart"/>
      <w:r w:rsidRPr="001D1CD5">
        <w:rPr>
          <w:rFonts w:asciiTheme="minorHAnsi" w:hAnsiTheme="minorHAnsi" w:cs="Calibri"/>
          <w:bCs/>
        </w:rPr>
        <w:t>s.320</w:t>
      </w:r>
      <w:proofErr w:type="spellEnd"/>
      <w:r w:rsidRPr="001D1CD5">
        <w:rPr>
          <w:rFonts w:asciiTheme="minorHAnsi" w:hAnsiTheme="minorHAnsi" w:cs="Calibri"/>
          <w:bCs/>
        </w:rPr>
        <w:t xml:space="preserve"> to vary transferable instruments to ensure that they operate in an appropriate way for the new employer.</w:t>
      </w:r>
    </w:p>
    <w:p w14:paraId="5BAA2C19" w14:textId="77777777" w:rsidR="00292BC1" w:rsidRPr="001D1CD5" w:rsidRDefault="00292BC1" w:rsidP="00292BC1">
      <w:pPr>
        <w:spacing w:after="240" w:line="276" w:lineRule="auto"/>
        <w:jc w:val="both"/>
        <w:rPr>
          <w:rFonts w:asciiTheme="minorHAnsi" w:hAnsiTheme="minorHAnsi" w:cs="Calibri"/>
          <w:bCs/>
        </w:rPr>
      </w:pPr>
      <w:r w:rsidRPr="001D1CD5">
        <w:rPr>
          <w:rFonts w:asciiTheme="minorHAnsi" w:hAnsiTheme="minorHAnsi" w:cs="Calibri"/>
          <w:bCs/>
        </w:rPr>
        <w:t xml:space="preserve">Despite these mechanisms being available, in most cases these orders are not sought by employers because of the costs, uncertainties and risks involved. Unfortunately, the easier approach for the new employer is often to not employ any employees of the old employer.  </w:t>
      </w:r>
    </w:p>
    <w:p w14:paraId="2A6AA2EF" w14:textId="77777777" w:rsidR="00292BC1" w:rsidRPr="001D1CD5" w:rsidRDefault="00292BC1" w:rsidP="00292BC1">
      <w:pPr>
        <w:spacing w:after="240" w:line="276" w:lineRule="auto"/>
        <w:jc w:val="both"/>
        <w:rPr>
          <w:rFonts w:asciiTheme="minorHAnsi" w:hAnsiTheme="minorHAnsi" w:cs="Calibri"/>
          <w:bCs/>
        </w:rPr>
      </w:pPr>
      <w:r w:rsidRPr="001D1CD5">
        <w:rPr>
          <w:rFonts w:asciiTheme="minorHAnsi" w:hAnsiTheme="minorHAnsi" w:cs="Calibri"/>
          <w:bCs/>
        </w:rPr>
        <w:t xml:space="preserve">In most of the cases where </w:t>
      </w:r>
      <w:proofErr w:type="spellStart"/>
      <w:r w:rsidRPr="001D1CD5">
        <w:rPr>
          <w:rFonts w:asciiTheme="minorHAnsi" w:hAnsiTheme="minorHAnsi" w:cs="Calibri"/>
          <w:bCs/>
        </w:rPr>
        <w:t>FWC</w:t>
      </w:r>
      <w:proofErr w:type="spellEnd"/>
      <w:r w:rsidRPr="001D1CD5">
        <w:rPr>
          <w:rFonts w:asciiTheme="minorHAnsi" w:hAnsiTheme="minorHAnsi" w:cs="Calibri"/>
          <w:bCs/>
        </w:rPr>
        <w:t xml:space="preserve"> orders have been issued under </w:t>
      </w:r>
      <w:proofErr w:type="spellStart"/>
      <w:r w:rsidRPr="001D1CD5">
        <w:rPr>
          <w:rFonts w:asciiTheme="minorHAnsi" w:hAnsiTheme="minorHAnsi" w:cs="Calibri"/>
          <w:bCs/>
        </w:rPr>
        <w:t>s.318</w:t>
      </w:r>
      <w:proofErr w:type="spellEnd"/>
      <w:r w:rsidRPr="001D1CD5">
        <w:rPr>
          <w:rFonts w:asciiTheme="minorHAnsi" w:hAnsiTheme="minorHAnsi" w:cs="Calibri"/>
          <w:bCs/>
        </w:rPr>
        <w:t>, the new employer, the employees and the relevant union/s have supported the order being issued. Where there has been union opposition, applications for orders have typically been rejected, or the employer has decided not to apply for an order and chosen not to employ any employees of the old employer.</w:t>
      </w:r>
    </w:p>
    <w:p w14:paraId="57F986AF" w14:textId="77777777" w:rsidR="00292BC1" w:rsidRPr="001D1CD5" w:rsidRDefault="00292BC1" w:rsidP="00292BC1">
      <w:pPr>
        <w:spacing w:after="240" w:line="276" w:lineRule="auto"/>
        <w:jc w:val="both"/>
        <w:rPr>
          <w:rFonts w:asciiTheme="minorHAnsi" w:hAnsiTheme="minorHAnsi" w:cs="Calibri"/>
          <w:bCs/>
        </w:rPr>
      </w:pPr>
      <w:r w:rsidRPr="001D1CD5">
        <w:rPr>
          <w:rFonts w:asciiTheme="minorHAnsi" w:hAnsiTheme="minorHAnsi" w:cs="Calibri"/>
          <w:bCs/>
        </w:rPr>
        <w:t xml:space="preserve">On page 756 of the Draft Report the Productivity Commission refers to conditional employment offers. Such offers are a legitimate and natural consequence of the ill-conceived nature of the existing transfer of business laws. If the transfer of the instruments to the new employer would cause major difficulties, it is rational for the new employer to refuse to employ the transferring employees unless the </w:t>
      </w:r>
      <w:proofErr w:type="spellStart"/>
      <w:r w:rsidRPr="001D1CD5">
        <w:rPr>
          <w:rFonts w:asciiTheme="minorHAnsi" w:hAnsiTheme="minorHAnsi" w:cs="Calibri"/>
          <w:bCs/>
        </w:rPr>
        <w:t>FWC</w:t>
      </w:r>
      <w:proofErr w:type="spellEnd"/>
      <w:r w:rsidRPr="001D1CD5">
        <w:rPr>
          <w:rFonts w:asciiTheme="minorHAnsi" w:hAnsiTheme="minorHAnsi" w:cs="Calibri"/>
          <w:bCs/>
        </w:rPr>
        <w:t xml:space="preserve"> grants the employer’s application under </w:t>
      </w:r>
      <w:proofErr w:type="spellStart"/>
      <w:r w:rsidRPr="001D1CD5">
        <w:rPr>
          <w:rFonts w:asciiTheme="minorHAnsi" w:hAnsiTheme="minorHAnsi" w:cs="Calibri"/>
          <w:bCs/>
        </w:rPr>
        <w:t>s.318</w:t>
      </w:r>
      <w:proofErr w:type="spellEnd"/>
      <w:r w:rsidRPr="001D1CD5">
        <w:rPr>
          <w:rFonts w:asciiTheme="minorHAnsi" w:hAnsiTheme="minorHAnsi" w:cs="Calibri"/>
          <w:bCs/>
        </w:rPr>
        <w:t xml:space="preserve">. The FW Act expressly gives the new employer this right in </w:t>
      </w:r>
      <w:proofErr w:type="spellStart"/>
      <w:r w:rsidRPr="001D1CD5">
        <w:rPr>
          <w:rFonts w:asciiTheme="minorHAnsi" w:hAnsiTheme="minorHAnsi" w:cs="Calibri"/>
          <w:bCs/>
        </w:rPr>
        <w:t>s.341</w:t>
      </w:r>
      <w:proofErr w:type="spellEnd"/>
      <w:r w:rsidRPr="001D1CD5">
        <w:rPr>
          <w:rFonts w:asciiTheme="minorHAnsi" w:hAnsiTheme="minorHAnsi" w:cs="Calibri"/>
          <w:bCs/>
        </w:rPr>
        <w:t>(5). If this mechanism was not available there would be fewer job offers by employers in transfer of business situations.</w:t>
      </w:r>
    </w:p>
    <w:p w14:paraId="1AB0DBF1" w14:textId="77777777" w:rsidR="00292BC1" w:rsidRPr="001D1CD5" w:rsidRDefault="00292BC1" w:rsidP="00292BC1">
      <w:pPr>
        <w:spacing w:after="240" w:line="276" w:lineRule="auto"/>
        <w:jc w:val="both"/>
        <w:rPr>
          <w:rFonts w:asciiTheme="minorHAnsi" w:hAnsiTheme="minorHAnsi" w:cs="Calibri"/>
          <w:bCs/>
        </w:rPr>
      </w:pPr>
      <w:r w:rsidRPr="001D1CD5">
        <w:rPr>
          <w:rFonts w:asciiTheme="minorHAnsi" w:hAnsiTheme="minorHAnsi" w:cs="Calibri"/>
          <w:bCs/>
        </w:rPr>
        <w:lastRenderedPageBreak/>
        <w:t xml:space="preserve">A number of </w:t>
      </w:r>
      <w:proofErr w:type="spellStart"/>
      <w:r w:rsidRPr="001D1CD5">
        <w:rPr>
          <w:rFonts w:asciiTheme="minorHAnsi" w:hAnsiTheme="minorHAnsi" w:cs="Calibri"/>
          <w:bCs/>
        </w:rPr>
        <w:t>FWC</w:t>
      </w:r>
      <w:proofErr w:type="spellEnd"/>
      <w:r w:rsidRPr="001D1CD5">
        <w:rPr>
          <w:rFonts w:asciiTheme="minorHAnsi" w:hAnsiTheme="minorHAnsi" w:cs="Calibri"/>
          <w:bCs/>
        </w:rPr>
        <w:t xml:space="preserve"> Members have granted applications under </w:t>
      </w:r>
      <w:proofErr w:type="spellStart"/>
      <w:r w:rsidRPr="001D1CD5">
        <w:rPr>
          <w:rFonts w:asciiTheme="minorHAnsi" w:hAnsiTheme="minorHAnsi" w:cs="Calibri"/>
          <w:bCs/>
        </w:rPr>
        <w:t>s.318</w:t>
      </w:r>
      <w:proofErr w:type="spellEnd"/>
      <w:r w:rsidRPr="001D1CD5">
        <w:rPr>
          <w:rFonts w:asciiTheme="minorHAnsi" w:hAnsiTheme="minorHAnsi" w:cs="Calibri"/>
          <w:bCs/>
        </w:rPr>
        <w:t xml:space="preserve"> in circumstances of conditional employment offers. However, in </w:t>
      </w:r>
      <w:r w:rsidRPr="001D1CD5">
        <w:rPr>
          <w:rFonts w:asciiTheme="minorHAnsi" w:hAnsiTheme="minorHAnsi" w:cs="Calibri"/>
          <w:bCs/>
          <w:i/>
        </w:rPr>
        <w:t xml:space="preserve">Lend Lease Building Contractors Pty Ltd </w:t>
      </w:r>
      <w:r w:rsidRPr="001D1CD5">
        <w:rPr>
          <w:rFonts w:asciiTheme="minorHAnsi" w:hAnsiTheme="minorHAnsi" w:cs="Calibri"/>
          <w:bCs/>
        </w:rPr>
        <w:t xml:space="preserve">[2014] </w:t>
      </w:r>
      <w:proofErr w:type="spellStart"/>
      <w:r w:rsidRPr="001D1CD5">
        <w:rPr>
          <w:rFonts w:asciiTheme="minorHAnsi" w:hAnsiTheme="minorHAnsi" w:cs="Calibri"/>
          <w:bCs/>
        </w:rPr>
        <w:t>FWC</w:t>
      </w:r>
      <w:proofErr w:type="spellEnd"/>
      <w:r w:rsidRPr="001D1CD5">
        <w:rPr>
          <w:rFonts w:asciiTheme="minorHAnsi" w:hAnsiTheme="minorHAnsi" w:cs="Calibri"/>
          <w:bCs/>
        </w:rPr>
        <w:t xml:space="preserve"> 9192, Vice President Hatcher refused to grant orders preventing the transfer of a number of enterprise agreements from the old employer to the new employer. The Vice President decided that the </w:t>
      </w:r>
      <w:proofErr w:type="spellStart"/>
      <w:r w:rsidRPr="001D1CD5">
        <w:rPr>
          <w:rFonts w:asciiTheme="minorHAnsi" w:hAnsiTheme="minorHAnsi" w:cs="Calibri"/>
          <w:bCs/>
        </w:rPr>
        <w:t>FWC</w:t>
      </w:r>
      <w:proofErr w:type="spellEnd"/>
      <w:r w:rsidRPr="001D1CD5">
        <w:rPr>
          <w:rFonts w:asciiTheme="minorHAnsi" w:hAnsiTheme="minorHAnsi" w:cs="Calibri"/>
          <w:bCs/>
        </w:rPr>
        <w:t xml:space="preserve"> does not have the jurisdiction to make an order if the employment offer by the new employer to the transferring employees is conditional upon the order being granted. Other </w:t>
      </w:r>
      <w:proofErr w:type="spellStart"/>
      <w:r w:rsidRPr="001D1CD5">
        <w:rPr>
          <w:rFonts w:asciiTheme="minorHAnsi" w:hAnsiTheme="minorHAnsi" w:cs="Calibri"/>
          <w:bCs/>
        </w:rPr>
        <w:t>FWC</w:t>
      </w:r>
      <w:proofErr w:type="spellEnd"/>
      <w:r w:rsidRPr="001D1CD5">
        <w:rPr>
          <w:rFonts w:asciiTheme="minorHAnsi" w:hAnsiTheme="minorHAnsi" w:cs="Calibri"/>
          <w:bCs/>
        </w:rPr>
        <w:t xml:space="preserve"> Members have taken a different view.</w:t>
      </w:r>
    </w:p>
    <w:p w14:paraId="0DF26367" w14:textId="1B5E6B6A" w:rsidR="00292BC1" w:rsidRPr="001D1CD5" w:rsidRDefault="00292BC1" w:rsidP="00292BC1">
      <w:pPr>
        <w:spacing w:after="240" w:line="276" w:lineRule="auto"/>
        <w:jc w:val="both"/>
        <w:rPr>
          <w:rFonts w:asciiTheme="minorHAnsi" w:hAnsiTheme="minorHAnsi" w:cs="Calibri"/>
          <w:b/>
          <w:bCs/>
          <w:color w:val="451E51"/>
          <w:sz w:val="28"/>
          <w:szCs w:val="28"/>
        </w:rPr>
      </w:pPr>
      <w:r w:rsidRPr="001D1CD5">
        <w:rPr>
          <w:rFonts w:asciiTheme="minorHAnsi" w:hAnsiTheme="minorHAnsi" w:cs="Calibri"/>
          <w:b/>
          <w:bCs/>
          <w:color w:val="451E51"/>
          <w:sz w:val="28"/>
          <w:szCs w:val="28"/>
        </w:rPr>
        <w:t>22.2</w:t>
      </w:r>
      <w:r w:rsidRPr="001D1CD5">
        <w:rPr>
          <w:rFonts w:asciiTheme="minorHAnsi" w:hAnsiTheme="minorHAnsi" w:cs="Calibri"/>
          <w:b/>
          <w:bCs/>
          <w:color w:val="451E51"/>
          <w:sz w:val="28"/>
          <w:szCs w:val="28"/>
        </w:rPr>
        <w:tab/>
        <w:t>Transfer of business between State and national system employers</w:t>
      </w:r>
    </w:p>
    <w:p w14:paraId="26DC1866" w14:textId="77777777" w:rsidR="00292BC1" w:rsidRPr="001D1CD5" w:rsidRDefault="00292BC1" w:rsidP="00292BC1">
      <w:pPr>
        <w:pStyle w:val="Body1"/>
        <w:spacing w:after="240" w:line="276" w:lineRule="auto"/>
        <w:jc w:val="both"/>
        <w:rPr>
          <w:rFonts w:asciiTheme="minorHAnsi" w:eastAsia="Calibri" w:hAnsiTheme="minorHAnsi" w:cs="Calibri"/>
        </w:rPr>
      </w:pPr>
      <w:r w:rsidRPr="001D1CD5">
        <w:rPr>
          <w:rFonts w:asciiTheme="minorHAnsi" w:eastAsia="Calibri" w:hAnsiTheme="minorHAnsi" w:cs="Calibri"/>
        </w:rPr>
        <w:t xml:space="preserve">The Draft Report acknowledges that there is potential threat of job losses when transfers of business occur between State Government entities and national system employers in the private sector. This is because the industrial instruments that apply to State Government entities are often more generous and less flexible than the conditions of employment offered by private sector employers. </w:t>
      </w:r>
    </w:p>
    <w:p w14:paraId="64A0BA73" w14:textId="77777777" w:rsidR="00292BC1" w:rsidRPr="001D1CD5" w:rsidRDefault="00292BC1" w:rsidP="00292BC1">
      <w:pPr>
        <w:pStyle w:val="Body1"/>
        <w:spacing w:after="240" w:line="276" w:lineRule="auto"/>
        <w:jc w:val="both"/>
        <w:rPr>
          <w:rFonts w:asciiTheme="minorHAnsi" w:eastAsia="Calibri" w:hAnsiTheme="minorHAnsi" w:cs="Calibri"/>
        </w:rPr>
      </w:pPr>
      <w:r w:rsidRPr="001D1CD5">
        <w:rPr>
          <w:rFonts w:asciiTheme="minorHAnsi" w:eastAsia="Calibri" w:hAnsiTheme="minorHAnsi" w:cs="Calibri"/>
        </w:rPr>
        <w:t xml:space="preserve">The FW Act provisions dealing with transfer of business from State Government entities to national system employers were introduced in 2012 via the </w:t>
      </w:r>
      <w:r w:rsidRPr="001D1CD5">
        <w:rPr>
          <w:rFonts w:asciiTheme="minorHAnsi" w:eastAsia="Calibri" w:hAnsiTheme="minorHAnsi" w:cs="Calibri"/>
          <w:i/>
        </w:rPr>
        <w:t>Fair Work Amendment (Transfer of Business) Act 2012</w:t>
      </w:r>
      <w:r w:rsidRPr="001D1CD5">
        <w:rPr>
          <w:rFonts w:asciiTheme="minorHAnsi" w:eastAsia="Calibri" w:hAnsiTheme="minorHAnsi" w:cs="Calibri"/>
        </w:rPr>
        <w:t xml:space="preserve">.  In 2014, Ai Group made a </w:t>
      </w:r>
      <w:hyperlink r:id="rId23" w:history="1">
        <w:r w:rsidRPr="009827F5">
          <w:rPr>
            <w:rStyle w:val="Hyperlink"/>
            <w:rFonts w:asciiTheme="minorHAnsi" w:eastAsia="Calibri" w:hAnsiTheme="minorHAnsi" w:cs="Calibri"/>
            <w:color w:val="0070C0"/>
          </w:rPr>
          <w:t>detailed submission</w:t>
        </w:r>
      </w:hyperlink>
      <w:r w:rsidRPr="001D1CD5">
        <w:rPr>
          <w:rFonts w:asciiTheme="minorHAnsi" w:eastAsia="Calibri" w:hAnsiTheme="minorHAnsi" w:cs="Calibri"/>
        </w:rPr>
        <w:t xml:space="preserve"> to the Federal Government’s Post-Implementation Review of the </w:t>
      </w:r>
      <w:r w:rsidRPr="001D1CD5">
        <w:rPr>
          <w:rFonts w:asciiTheme="minorHAnsi" w:eastAsia="Calibri" w:hAnsiTheme="minorHAnsi" w:cs="Calibri"/>
          <w:i/>
        </w:rPr>
        <w:t>Fair Work Amendment (Transfer of Business) Act 2012</w:t>
      </w:r>
      <w:r w:rsidRPr="001D1CD5">
        <w:rPr>
          <w:rFonts w:asciiTheme="minorHAnsi" w:eastAsia="Calibri" w:hAnsiTheme="minorHAnsi" w:cs="Calibri"/>
        </w:rPr>
        <w:t xml:space="preserve"> which urged the Government to repeal the legislation given its damaging effects. </w:t>
      </w:r>
    </w:p>
    <w:p w14:paraId="051DACDE" w14:textId="561F2C9D" w:rsidR="00292BC1" w:rsidRPr="001D1CD5" w:rsidRDefault="00292BC1" w:rsidP="00292BC1">
      <w:pPr>
        <w:pStyle w:val="Body1"/>
        <w:spacing w:after="240" w:line="276" w:lineRule="auto"/>
        <w:jc w:val="both"/>
        <w:rPr>
          <w:rFonts w:asciiTheme="minorHAnsi" w:eastAsia="Calibri" w:hAnsiTheme="minorHAnsi" w:cs="Calibri"/>
          <w:b/>
        </w:rPr>
      </w:pPr>
      <w:r w:rsidRPr="001D1CD5">
        <w:rPr>
          <w:rFonts w:asciiTheme="minorHAnsi" w:hAnsiTheme="minorHAnsi" w:cs="Calibri"/>
          <w:b/>
          <w:bCs/>
          <w:color w:val="451E51"/>
          <w:sz w:val="28"/>
          <w:szCs w:val="28"/>
        </w:rPr>
        <w:t>22.3</w:t>
      </w:r>
      <w:r w:rsidRPr="001D1CD5">
        <w:rPr>
          <w:rFonts w:asciiTheme="minorHAnsi" w:hAnsiTheme="minorHAnsi" w:cs="Calibri"/>
          <w:b/>
          <w:bCs/>
          <w:color w:val="451E51"/>
          <w:sz w:val="28"/>
          <w:szCs w:val="28"/>
        </w:rPr>
        <w:tab/>
        <w:t>Workers who transfer voluntarily</w:t>
      </w:r>
      <w:r w:rsidRPr="001D1CD5">
        <w:rPr>
          <w:rFonts w:asciiTheme="minorHAnsi" w:eastAsia="Calibri" w:hAnsiTheme="minorHAnsi" w:cs="Calibri"/>
          <w:b/>
        </w:rPr>
        <w:t xml:space="preserve"> </w:t>
      </w:r>
    </w:p>
    <w:p w14:paraId="5E7D6104" w14:textId="77777777" w:rsidR="00292BC1" w:rsidRPr="001D1CD5" w:rsidRDefault="00292BC1" w:rsidP="00292BC1">
      <w:pPr>
        <w:pStyle w:val="Body1"/>
        <w:spacing w:after="240" w:line="276" w:lineRule="auto"/>
        <w:jc w:val="both"/>
        <w:rPr>
          <w:rFonts w:asciiTheme="minorHAnsi" w:eastAsia="Calibri" w:hAnsiTheme="minorHAnsi" w:cs="Calibri"/>
        </w:rPr>
      </w:pPr>
      <w:r w:rsidRPr="001D1CD5">
        <w:rPr>
          <w:rFonts w:asciiTheme="minorHAnsi" w:eastAsia="Calibri" w:hAnsiTheme="minorHAnsi" w:cs="Calibri"/>
        </w:rPr>
        <w:t>Ai Group supports Draft Recommendation 22.1 which would prevent transfer of business implications when an employee voluntarily transfers to a new employer at his or her own instigation. This approach is sensible and fair to all parties.</w:t>
      </w:r>
    </w:p>
    <w:p w14:paraId="0AFFC247" w14:textId="77777777" w:rsidR="00292BC1" w:rsidRPr="001D1CD5" w:rsidRDefault="00292BC1" w:rsidP="00292BC1">
      <w:pPr>
        <w:pStyle w:val="Body1"/>
        <w:spacing w:after="240" w:line="276" w:lineRule="auto"/>
        <w:jc w:val="both"/>
        <w:rPr>
          <w:rFonts w:asciiTheme="minorHAnsi" w:eastAsia="Calibri" w:hAnsiTheme="minorHAnsi" w:cs="Calibri"/>
        </w:rPr>
      </w:pPr>
      <w:r w:rsidRPr="001D1CD5">
        <w:rPr>
          <w:rFonts w:asciiTheme="minorHAnsi" w:eastAsia="Calibri" w:hAnsiTheme="minorHAnsi" w:cs="Calibri"/>
        </w:rPr>
        <w:t xml:space="preserve">One relevant circumstance where this Recommendation has obvious merit is where an employee wants to transfer to a related entity of the first employer. </w:t>
      </w:r>
      <w:r w:rsidRPr="001D1CD5">
        <w:rPr>
          <w:rFonts w:asciiTheme="minorHAnsi" w:hAnsiTheme="minorHAnsi" w:cs="Calibri"/>
        </w:rPr>
        <w:t>Many companies are part of a broader corporate group and these groups often have a variety of employing entities.  Employees often seek redeployment to different parts of their employer’s business to, for example, obtain the opportunity for a promotion or an assignment overseas, to gain skills, or to work with different technologies. Under the current transfer of business laws, employees who seek redeployment to another entity within the group risk having the opportunity stymied because any enterprise agreement applicable to the employee’s employment with the original entity would become binding upon the other entity creating potentially widespread consequences for the business.</w:t>
      </w:r>
    </w:p>
    <w:p w14:paraId="4378AE43" w14:textId="77777777" w:rsidR="00D979F2" w:rsidRPr="001D1CD5" w:rsidRDefault="00D979F2" w:rsidP="00682B31">
      <w:pPr>
        <w:pStyle w:val="Heading1"/>
        <w:spacing w:before="0" w:after="240" w:line="276" w:lineRule="auto"/>
        <w:ind w:left="709" w:hanging="709"/>
        <w:jc w:val="both"/>
        <w:rPr>
          <w:rFonts w:asciiTheme="minorHAnsi" w:eastAsia="Calibri" w:hAnsiTheme="minorHAnsi" w:cs="Calibri"/>
          <w:color w:val="451E51"/>
          <w:sz w:val="36"/>
          <w:szCs w:val="36"/>
          <w:u w:color="0070C0"/>
          <w:lang w:eastAsia="en-AU"/>
        </w:rPr>
      </w:pPr>
      <w:r w:rsidRPr="001D1CD5">
        <w:rPr>
          <w:rFonts w:asciiTheme="minorHAnsi" w:eastAsia="Calibri" w:hAnsiTheme="minorHAnsi" w:cs="Calibri"/>
          <w:color w:val="451E51"/>
          <w:sz w:val="36"/>
          <w:szCs w:val="36"/>
          <w:u w:color="0070C0"/>
          <w:lang w:eastAsia="en-AU"/>
        </w:rPr>
        <w:t xml:space="preserve">23. </w:t>
      </w:r>
      <w:r w:rsidRPr="001D1CD5">
        <w:rPr>
          <w:rFonts w:asciiTheme="minorHAnsi" w:eastAsia="Calibri" w:hAnsiTheme="minorHAnsi" w:cs="Calibri"/>
          <w:color w:val="451E51"/>
          <w:sz w:val="36"/>
          <w:szCs w:val="36"/>
          <w:u w:color="0070C0"/>
          <w:lang w:eastAsia="en-AU"/>
        </w:rPr>
        <w:tab/>
        <w:t>International obligations</w:t>
      </w:r>
    </w:p>
    <w:p w14:paraId="1CD2AA47" w14:textId="4D75EDC8" w:rsidR="009B25FB" w:rsidRPr="001D1CD5" w:rsidRDefault="009B25FB" w:rsidP="00682B31">
      <w:pPr>
        <w:spacing w:after="240" w:line="276" w:lineRule="auto"/>
        <w:jc w:val="both"/>
        <w:rPr>
          <w:rFonts w:ascii="Calibri" w:hAnsi="Calibri" w:cs="Calibri"/>
          <w:lang w:bidi="en-US"/>
        </w:rPr>
      </w:pPr>
      <w:r w:rsidRPr="001D1CD5">
        <w:rPr>
          <w:rFonts w:asciiTheme="minorHAnsi" w:hAnsiTheme="minorHAnsi"/>
          <w:lang w:eastAsia="en-AU"/>
        </w:rPr>
        <w:t xml:space="preserve">Ai Group’s view on the issue of whether the current workplace relations system complies with relevant </w:t>
      </w:r>
      <w:r w:rsidRPr="001D1CD5">
        <w:rPr>
          <w:rFonts w:ascii="Calibri" w:hAnsi="Calibri" w:cs="Calibri"/>
          <w:lang w:bidi="en-US"/>
        </w:rPr>
        <w:t xml:space="preserve">International </w:t>
      </w:r>
      <w:proofErr w:type="spellStart"/>
      <w:r w:rsidRPr="001D1CD5">
        <w:rPr>
          <w:rFonts w:ascii="Calibri" w:hAnsi="Calibri" w:cs="Calibri"/>
          <w:lang w:bidi="en-US"/>
        </w:rPr>
        <w:t>Labour</w:t>
      </w:r>
      <w:proofErr w:type="spellEnd"/>
      <w:r w:rsidRPr="001D1CD5">
        <w:rPr>
          <w:rFonts w:ascii="Calibri" w:hAnsi="Calibri" w:cs="Calibri"/>
          <w:lang w:bidi="en-US"/>
        </w:rPr>
        <w:t xml:space="preserve"> Office (</w:t>
      </w:r>
      <w:proofErr w:type="spellStart"/>
      <w:r w:rsidRPr="009827F5">
        <w:rPr>
          <w:rFonts w:ascii="Calibri" w:hAnsi="Calibri" w:cs="Calibri"/>
          <w:b/>
          <w:lang w:bidi="en-US"/>
        </w:rPr>
        <w:t>ILO</w:t>
      </w:r>
      <w:proofErr w:type="spellEnd"/>
      <w:r w:rsidRPr="001D1CD5">
        <w:rPr>
          <w:rFonts w:ascii="Calibri" w:hAnsi="Calibri" w:cs="Calibri"/>
          <w:lang w:bidi="en-US"/>
        </w:rPr>
        <w:t xml:space="preserve">) conventions is set out in section 13.13 of our March 2015 submission.  In </w:t>
      </w:r>
      <w:r w:rsidR="00532427" w:rsidRPr="001D1CD5">
        <w:rPr>
          <w:rFonts w:ascii="Calibri" w:hAnsi="Calibri" w:cs="Calibri"/>
          <w:lang w:bidi="en-US"/>
        </w:rPr>
        <w:t>short, the</w:t>
      </w:r>
      <w:r w:rsidRPr="001D1CD5">
        <w:rPr>
          <w:rFonts w:ascii="Calibri" w:hAnsi="Calibri" w:cs="Calibri"/>
          <w:lang w:bidi="en-US"/>
        </w:rPr>
        <w:t xml:space="preserve"> current laws do comply and none of the proposals </w:t>
      </w:r>
      <w:r w:rsidR="00532427" w:rsidRPr="001D1CD5">
        <w:rPr>
          <w:rFonts w:ascii="Calibri" w:hAnsi="Calibri" w:cs="Calibri"/>
          <w:lang w:bidi="en-US"/>
        </w:rPr>
        <w:t>which Ai Group has</w:t>
      </w:r>
      <w:r w:rsidRPr="001D1CD5">
        <w:rPr>
          <w:rFonts w:ascii="Calibri" w:hAnsi="Calibri" w:cs="Calibri"/>
          <w:lang w:bidi="en-US"/>
        </w:rPr>
        <w:t xml:space="preserve"> put forward during this inquiry would lead to non-compliance.</w:t>
      </w:r>
    </w:p>
    <w:p w14:paraId="4C6D831F" w14:textId="79AE0D23" w:rsidR="009B25FB" w:rsidRPr="001D1CD5" w:rsidRDefault="009B25FB" w:rsidP="00682B31">
      <w:pPr>
        <w:spacing w:after="240" w:line="276" w:lineRule="auto"/>
        <w:jc w:val="both"/>
        <w:rPr>
          <w:rFonts w:ascii="Calibri" w:hAnsi="Calibri" w:cs="Calibri"/>
          <w:lang w:bidi="en-US"/>
        </w:rPr>
      </w:pPr>
      <w:r w:rsidRPr="001D1CD5">
        <w:rPr>
          <w:rFonts w:ascii="Calibri" w:hAnsi="Calibri" w:cs="Calibri"/>
          <w:lang w:bidi="en-US"/>
        </w:rPr>
        <w:lastRenderedPageBreak/>
        <w:t xml:space="preserve">It is important that the longstanding, current </w:t>
      </w:r>
      <w:r w:rsidR="00532427" w:rsidRPr="001D1CD5">
        <w:rPr>
          <w:rFonts w:ascii="Calibri" w:hAnsi="Calibri" w:cs="Calibri"/>
          <w:lang w:bidi="en-US"/>
        </w:rPr>
        <w:t>approach of</w:t>
      </w:r>
      <w:r w:rsidRPr="001D1CD5">
        <w:rPr>
          <w:rFonts w:ascii="Calibri" w:hAnsi="Calibri" w:cs="Calibri"/>
          <w:lang w:bidi="en-US"/>
        </w:rPr>
        <w:t xml:space="preserve"> the Aust</w:t>
      </w:r>
      <w:r w:rsidR="00532427" w:rsidRPr="001D1CD5">
        <w:rPr>
          <w:rFonts w:ascii="Calibri" w:hAnsi="Calibri" w:cs="Calibri"/>
          <w:lang w:bidi="en-US"/>
        </w:rPr>
        <w:t>ralian Government</w:t>
      </w:r>
      <w:r w:rsidRPr="001D1CD5">
        <w:rPr>
          <w:rFonts w:ascii="Calibri" w:hAnsi="Calibri" w:cs="Calibri"/>
          <w:lang w:bidi="en-US"/>
        </w:rPr>
        <w:t xml:space="preserve"> to the ratification of </w:t>
      </w:r>
      <w:proofErr w:type="spellStart"/>
      <w:r w:rsidRPr="001D1CD5">
        <w:rPr>
          <w:rFonts w:ascii="Calibri" w:hAnsi="Calibri" w:cs="Calibri"/>
          <w:lang w:bidi="en-US"/>
        </w:rPr>
        <w:t>ILO</w:t>
      </w:r>
      <w:proofErr w:type="spellEnd"/>
      <w:r w:rsidRPr="001D1CD5">
        <w:rPr>
          <w:rFonts w:ascii="Calibri" w:hAnsi="Calibri" w:cs="Calibri"/>
          <w:lang w:bidi="en-US"/>
        </w:rPr>
        <w:t xml:space="preserve"> conventions is not disturbed. That is, an </w:t>
      </w:r>
      <w:proofErr w:type="spellStart"/>
      <w:r w:rsidRPr="001D1CD5">
        <w:rPr>
          <w:rFonts w:ascii="Calibri" w:hAnsi="Calibri" w:cs="Calibri"/>
          <w:lang w:bidi="en-US"/>
        </w:rPr>
        <w:t>ILO</w:t>
      </w:r>
      <w:proofErr w:type="spellEnd"/>
      <w:r w:rsidRPr="001D1CD5">
        <w:rPr>
          <w:rFonts w:ascii="Calibri" w:hAnsi="Calibri" w:cs="Calibri"/>
          <w:lang w:bidi="en-US"/>
        </w:rPr>
        <w:t xml:space="preserve"> convention should not be ratified unless Australia’s </w:t>
      </w:r>
      <w:r w:rsidR="00532427" w:rsidRPr="001D1CD5">
        <w:rPr>
          <w:rFonts w:ascii="Calibri" w:hAnsi="Calibri" w:cs="Calibri"/>
          <w:lang w:bidi="en-US"/>
        </w:rPr>
        <w:t>federal and state laws already comply with the convention.</w:t>
      </w:r>
    </w:p>
    <w:p w14:paraId="10E6E1CD" w14:textId="524DEF4F" w:rsidR="00D23AFA" w:rsidRPr="001D1CD5" w:rsidRDefault="00D979F2" w:rsidP="00D23AFA">
      <w:pPr>
        <w:pStyle w:val="Heading1"/>
        <w:spacing w:before="0" w:after="240" w:line="276" w:lineRule="auto"/>
        <w:ind w:left="709" w:hanging="709"/>
        <w:rPr>
          <w:rFonts w:asciiTheme="minorHAnsi" w:eastAsia="Calibri" w:hAnsiTheme="minorHAnsi" w:cs="Calibri"/>
          <w:color w:val="451E51"/>
          <w:sz w:val="36"/>
          <w:szCs w:val="36"/>
          <w:u w:color="0070C0"/>
          <w:lang w:eastAsia="en-AU"/>
        </w:rPr>
      </w:pPr>
      <w:r w:rsidRPr="001D1CD5">
        <w:rPr>
          <w:rFonts w:asciiTheme="minorHAnsi" w:eastAsia="Calibri" w:hAnsiTheme="minorHAnsi" w:cs="Calibri"/>
          <w:color w:val="451E51"/>
          <w:sz w:val="36"/>
          <w:szCs w:val="36"/>
          <w:u w:color="0070C0"/>
          <w:lang w:eastAsia="en-AU"/>
        </w:rPr>
        <w:t xml:space="preserve">24. </w:t>
      </w:r>
      <w:r w:rsidRPr="001D1CD5">
        <w:rPr>
          <w:rFonts w:asciiTheme="minorHAnsi" w:eastAsia="Calibri" w:hAnsiTheme="minorHAnsi" w:cs="Calibri"/>
          <w:color w:val="451E51"/>
          <w:sz w:val="36"/>
          <w:szCs w:val="36"/>
          <w:u w:color="0070C0"/>
          <w:lang w:eastAsia="en-AU"/>
        </w:rPr>
        <w:tab/>
        <w:t>Interactions bet</w:t>
      </w:r>
      <w:r w:rsidR="00542671" w:rsidRPr="001D1CD5">
        <w:rPr>
          <w:rFonts w:asciiTheme="minorHAnsi" w:eastAsia="Calibri" w:hAnsiTheme="minorHAnsi" w:cs="Calibri"/>
          <w:color w:val="451E51"/>
          <w:sz w:val="36"/>
          <w:szCs w:val="36"/>
          <w:u w:color="0070C0"/>
          <w:lang w:eastAsia="en-AU"/>
        </w:rPr>
        <w:t>ween competition policy and the</w:t>
      </w:r>
      <w:r w:rsidRPr="001D1CD5">
        <w:rPr>
          <w:rFonts w:asciiTheme="minorHAnsi" w:eastAsia="Calibri" w:hAnsiTheme="minorHAnsi" w:cs="Calibri"/>
          <w:color w:val="451E51"/>
          <w:sz w:val="36"/>
          <w:szCs w:val="36"/>
          <w:u w:color="0070C0"/>
          <w:lang w:eastAsia="en-AU"/>
        </w:rPr>
        <w:tab/>
        <w:t>workpla</w:t>
      </w:r>
      <w:r w:rsidR="00D23AFA" w:rsidRPr="001D1CD5">
        <w:rPr>
          <w:rFonts w:asciiTheme="minorHAnsi" w:eastAsia="Calibri" w:hAnsiTheme="minorHAnsi" w:cs="Calibri"/>
          <w:color w:val="451E51"/>
          <w:sz w:val="36"/>
          <w:szCs w:val="36"/>
          <w:u w:color="0070C0"/>
          <w:lang w:eastAsia="en-AU"/>
        </w:rPr>
        <w:t xml:space="preserve">ce relations </w:t>
      </w:r>
      <w:r w:rsidRPr="001D1CD5">
        <w:rPr>
          <w:rFonts w:asciiTheme="minorHAnsi" w:eastAsia="Calibri" w:hAnsiTheme="minorHAnsi" w:cs="Calibri"/>
          <w:color w:val="451E51"/>
          <w:sz w:val="36"/>
          <w:szCs w:val="36"/>
          <w:u w:color="0070C0"/>
          <w:lang w:eastAsia="en-AU"/>
        </w:rPr>
        <w:t>framework</w:t>
      </w:r>
    </w:p>
    <w:p w14:paraId="502703EA" w14:textId="5EF8196E" w:rsidR="008F0DDE" w:rsidRPr="001D1CD5" w:rsidRDefault="008F0DDE" w:rsidP="00A767CA">
      <w:pPr>
        <w:spacing w:after="240" w:line="276" w:lineRule="auto"/>
        <w:jc w:val="both"/>
        <w:rPr>
          <w:rFonts w:asciiTheme="minorHAnsi" w:hAnsiTheme="minorHAnsi"/>
          <w:lang w:eastAsia="en-AU"/>
        </w:rPr>
      </w:pPr>
      <w:r w:rsidRPr="001D1CD5">
        <w:rPr>
          <w:rFonts w:asciiTheme="minorHAnsi" w:hAnsiTheme="minorHAnsi"/>
          <w:lang w:eastAsia="en-AU"/>
        </w:rPr>
        <w:t xml:space="preserve">The Draft Report discusses the intersection between competition laws and workplace relations laws. </w:t>
      </w:r>
      <w:r w:rsidR="00A767CA" w:rsidRPr="001D1CD5">
        <w:rPr>
          <w:rFonts w:asciiTheme="minorHAnsi" w:hAnsiTheme="minorHAnsi"/>
          <w:lang w:eastAsia="en-AU"/>
        </w:rPr>
        <w:t xml:space="preserve"> </w:t>
      </w:r>
      <w:r w:rsidRPr="001D1CD5">
        <w:rPr>
          <w:rFonts w:asciiTheme="minorHAnsi" w:hAnsiTheme="minorHAnsi"/>
          <w:lang w:eastAsia="en-AU"/>
        </w:rPr>
        <w:t>In this regard, Ai Group strongly supports Recommendations 36 and 37 of the Competition Policy Review (</w:t>
      </w:r>
      <w:r w:rsidRPr="001D1CD5">
        <w:rPr>
          <w:rFonts w:asciiTheme="minorHAnsi" w:hAnsiTheme="minorHAnsi"/>
          <w:b/>
          <w:lang w:eastAsia="en-AU"/>
        </w:rPr>
        <w:t>Harper Review</w:t>
      </w:r>
      <w:r w:rsidRPr="001D1CD5">
        <w:rPr>
          <w:rFonts w:asciiTheme="minorHAnsi" w:hAnsiTheme="minorHAnsi"/>
          <w:lang w:eastAsia="en-AU"/>
        </w:rPr>
        <w:t xml:space="preserve">) as set out in the following extract from </w:t>
      </w:r>
      <w:r w:rsidRPr="001D1CD5">
        <w:rPr>
          <w:rFonts w:asciiTheme="minorHAnsi" w:eastAsiaTheme="minorEastAsia" w:hAnsiTheme="minorHAnsi" w:cs="Arial"/>
          <w:lang w:val="en-GB" w:eastAsia="ja-JP"/>
        </w:rPr>
        <w:t>Ai Group submission of May 2015 to the Federal Government:</w:t>
      </w:r>
    </w:p>
    <w:p w14:paraId="2BD323C8" w14:textId="7B8F7DD3" w:rsidR="008F0DDE" w:rsidRPr="001D1CD5" w:rsidRDefault="008F0DDE" w:rsidP="00A767CA">
      <w:pPr>
        <w:autoSpaceDE w:val="0"/>
        <w:autoSpaceDN w:val="0"/>
        <w:adjustRightInd w:val="0"/>
        <w:spacing w:after="240" w:line="276" w:lineRule="auto"/>
        <w:ind w:left="720"/>
        <w:jc w:val="both"/>
        <w:rPr>
          <w:rFonts w:asciiTheme="minorHAnsi" w:hAnsiTheme="minorHAnsi" w:cs="Arial"/>
          <w:b/>
          <w:i/>
          <w:color w:val="000000"/>
        </w:rPr>
      </w:pPr>
      <w:r w:rsidRPr="001D1CD5">
        <w:rPr>
          <w:rFonts w:asciiTheme="minorHAnsi" w:hAnsiTheme="minorHAnsi" w:cs="Arial"/>
          <w:b/>
          <w:i/>
          <w:color w:val="000000"/>
        </w:rPr>
        <w:t xml:space="preserve"> “Recommendation 36 – Secondary Boycotts </w:t>
      </w:r>
    </w:p>
    <w:p w14:paraId="5E108D04" w14:textId="77777777" w:rsidR="008F0DDE" w:rsidRPr="001D1CD5" w:rsidRDefault="008F0DDE" w:rsidP="00A767CA">
      <w:pPr>
        <w:autoSpaceDE w:val="0"/>
        <w:autoSpaceDN w:val="0"/>
        <w:adjustRightInd w:val="0"/>
        <w:spacing w:after="240" w:line="276" w:lineRule="auto"/>
        <w:ind w:left="720"/>
        <w:jc w:val="both"/>
        <w:rPr>
          <w:rFonts w:asciiTheme="minorHAnsi" w:hAnsiTheme="minorHAnsi" w:cs="Arial"/>
          <w:i/>
          <w:color w:val="000000"/>
        </w:rPr>
      </w:pPr>
      <w:r w:rsidRPr="001D1CD5">
        <w:rPr>
          <w:rFonts w:asciiTheme="minorHAnsi" w:hAnsiTheme="minorHAnsi" w:cs="Arial"/>
          <w:i/>
          <w:color w:val="000000"/>
        </w:rPr>
        <w:t>Ai Group strongly supports Recommendation 36 in the Final Report.</w:t>
      </w:r>
    </w:p>
    <w:p w14:paraId="3BFEB8BB" w14:textId="77777777" w:rsidR="008F0DDE" w:rsidRPr="001D1CD5" w:rsidRDefault="008F0DDE" w:rsidP="00A767CA">
      <w:pPr>
        <w:autoSpaceDE w:val="0"/>
        <w:autoSpaceDN w:val="0"/>
        <w:adjustRightInd w:val="0"/>
        <w:spacing w:after="240" w:line="276" w:lineRule="auto"/>
        <w:ind w:left="720"/>
        <w:jc w:val="both"/>
        <w:rPr>
          <w:rFonts w:asciiTheme="minorHAnsi" w:hAnsiTheme="minorHAnsi" w:cs="Arial"/>
          <w:i/>
          <w:color w:val="000000"/>
        </w:rPr>
      </w:pPr>
      <w:r w:rsidRPr="001D1CD5">
        <w:rPr>
          <w:rFonts w:asciiTheme="minorHAnsi" w:hAnsiTheme="minorHAnsi" w:cs="Arial"/>
          <w:i/>
          <w:color w:val="000000"/>
        </w:rPr>
        <w:t xml:space="preserve">We agree that the prohibitions on secondary boycotts in sections </w:t>
      </w:r>
      <w:proofErr w:type="spellStart"/>
      <w:r w:rsidRPr="001D1CD5">
        <w:rPr>
          <w:rFonts w:asciiTheme="minorHAnsi" w:hAnsiTheme="minorHAnsi" w:cs="Arial"/>
          <w:i/>
          <w:color w:val="000000"/>
        </w:rPr>
        <w:t>45D</w:t>
      </w:r>
      <w:proofErr w:type="spellEnd"/>
      <w:r w:rsidRPr="001D1CD5">
        <w:rPr>
          <w:rFonts w:asciiTheme="minorHAnsi" w:hAnsiTheme="minorHAnsi" w:cs="Arial"/>
          <w:i/>
          <w:color w:val="000000"/>
        </w:rPr>
        <w:t xml:space="preserve"> to </w:t>
      </w:r>
      <w:proofErr w:type="spellStart"/>
      <w:r w:rsidRPr="001D1CD5">
        <w:rPr>
          <w:rFonts w:asciiTheme="minorHAnsi" w:hAnsiTheme="minorHAnsi" w:cs="Arial"/>
          <w:i/>
          <w:color w:val="000000"/>
        </w:rPr>
        <w:t>45DE</w:t>
      </w:r>
      <w:proofErr w:type="spellEnd"/>
      <w:r w:rsidRPr="001D1CD5">
        <w:rPr>
          <w:rFonts w:asciiTheme="minorHAnsi" w:hAnsiTheme="minorHAnsi" w:cs="Arial"/>
          <w:i/>
          <w:color w:val="000000"/>
        </w:rPr>
        <w:t xml:space="preserve"> of the </w:t>
      </w:r>
      <w:proofErr w:type="spellStart"/>
      <w:r w:rsidRPr="001D1CD5">
        <w:rPr>
          <w:rFonts w:asciiTheme="minorHAnsi" w:hAnsiTheme="minorHAnsi" w:cs="Arial"/>
          <w:i/>
          <w:color w:val="000000"/>
        </w:rPr>
        <w:t>CCA</w:t>
      </w:r>
      <w:proofErr w:type="spellEnd"/>
      <w:r w:rsidRPr="001D1CD5">
        <w:rPr>
          <w:rFonts w:asciiTheme="minorHAnsi" w:hAnsiTheme="minorHAnsi" w:cs="Arial"/>
          <w:i/>
          <w:color w:val="000000"/>
        </w:rPr>
        <w:t xml:space="preserve"> should be maintained and effectively enforced by the Australian Competition and Consumer Commission (</w:t>
      </w:r>
      <w:proofErr w:type="spellStart"/>
      <w:r w:rsidRPr="001D1CD5">
        <w:rPr>
          <w:rFonts w:asciiTheme="minorHAnsi" w:hAnsiTheme="minorHAnsi" w:cs="Arial"/>
          <w:b/>
          <w:i/>
          <w:color w:val="000000"/>
        </w:rPr>
        <w:t>ACCC</w:t>
      </w:r>
      <w:proofErr w:type="spellEnd"/>
      <w:r w:rsidRPr="001D1CD5">
        <w:rPr>
          <w:rFonts w:asciiTheme="minorHAnsi" w:hAnsiTheme="minorHAnsi" w:cs="Arial"/>
          <w:i/>
          <w:color w:val="000000"/>
        </w:rPr>
        <w:t xml:space="preserve">) with the increased </w:t>
      </w:r>
      <w:proofErr w:type="spellStart"/>
      <w:r w:rsidRPr="001D1CD5">
        <w:rPr>
          <w:rFonts w:asciiTheme="minorHAnsi" w:hAnsiTheme="minorHAnsi" w:cs="Arial"/>
          <w:i/>
          <w:color w:val="000000"/>
        </w:rPr>
        <w:t>vigour</w:t>
      </w:r>
      <w:proofErr w:type="spellEnd"/>
      <w:r w:rsidRPr="001D1CD5">
        <w:rPr>
          <w:rFonts w:asciiTheme="minorHAnsi" w:hAnsiTheme="minorHAnsi" w:cs="Arial"/>
          <w:i/>
          <w:color w:val="000000"/>
        </w:rPr>
        <w:t xml:space="preserve"> comparable to that which the </w:t>
      </w:r>
      <w:proofErr w:type="spellStart"/>
      <w:r w:rsidRPr="001D1CD5">
        <w:rPr>
          <w:rFonts w:asciiTheme="minorHAnsi" w:hAnsiTheme="minorHAnsi" w:cs="Arial"/>
          <w:i/>
          <w:color w:val="000000"/>
        </w:rPr>
        <w:t>ACCC</w:t>
      </w:r>
      <w:proofErr w:type="spellEnd"/>
      <w:r w:rsidRPr="001D1CD5">
        <w:rPr>
          <w:rFonts w:asciiTheme="minorHAnsi" w:hAnsiTheme="minorHAnsi" w:cs="Arial"/>
          <w:i/>
          <w:color w:val="000000"/>
        </w:rPr>
        <w:t xml:space="preserve"> applies in pursuing other contraventions of the </w:t>
      </w:r>
      <w:proofErr w:type="spellStart"/>
      <w:r w:rsidRPr="001D1CD5">
        <w:rPr>
          <w:rFonts w:asciiTheme="minorHAnsi" w:hAnsiTheme="minorHAnsi" w:cs="Arial"/>
          <w:i/>
          <w:color w:val="000000"/>
        </w:rPr>
        <w:t>CCA</w:t>
      </w:r>
      <w:proofErr w:type="spellEnd"/>
      <w:r w:rsidRPr="001D1CD5">
        <w:rPr>
          <w:rFonts w:asciiTheme="minorHAnsi" w:hAnsiTheme="minorHAnsi" w:cs="Arial"/>
          <w:i/>
          <w:color w:val="000000"/>
        </w:rPr>
        <w:t>.</w:t>
      </w:r>
      <w:r w:rsidRPr="001D1CD5">
        <w:rPr>
          <w:rStyle w:val="FootnoteReference"/>
          <w:rFonts w:asciiTheme="minorHAnsi" w:hAnsiTheme="minorHAnsi" w:cs="Arial"/>
          <w:i/>
          <w:color w:val="000000"/>
        </w:rPr>
        <w:footnoteReference w:id="12"/>
      </w:r>
      <w:r w:rsidRPr="001D1CD5">
        <w:rPr>
          <w:rFonts w:asciiTheme="minorHAnsi" w:hAnsiTheme="minorHAnsi" w:cs="Arial"/>
          <w:i/>
          <w:color w:val="000000"/>
        </w:rPr>
        <w:t xml:space="preserve">  While not mentioned in Recommendation 36, the </w:t>
      </w:r>
      <w:proofErr w:type="spellStart"/>
      <w:r w:rsidRPr="001D1CD5">
        <w:rPr>
          <w:rFonts w:asciiTheme="minorHAnsi" w:hAnsiTheme="minorHAnsi" w:cs="Arial"/>
          <w:i/>
          <w:color w:val="000000"/>
        </w:rPr>
        <w:t>ACCC</w:t>
      </w:r>
      <w:proofErr w:type="spellEnd"/>
      <w:r w:rsidRPr="001D1CD5">
        <w:rPr>
          <w:rFonts w:asciiTheme="minorHAnsi" w:hAnsiTheme="minorHAnsi" w:cs="Arial"/>
          <w:i/>
          <w:color w:val="000000"/>
        </w:rPr>
        <w:t xml:space="preserve"> needs to also enforce sections </w:t>
      </w:r>
      <w:proofErr w:type="spellStart"/>
      <w:r w:rsidRPr="001D1CD5">
        <w:rPr>
          <w:rFonts w:asciiTheme="minorHAnsi" w:hAnsiTheme="minorHAnsi" w:cs="Arial"/>
          <w:i/>
          <w:color w:val="000000"/>
        </w:rPr>
        <w:t>45E</w:t>
      </w:r>
      <w:proofErr w:type="spellEnd"/>
      <w:r w:rsidRPr="001D1CD5">
        <w:rPr>
          <w:rFonts w:asciiTheme="minorHAnsi" w:hAnsiTheme="minorHAnsi" w:cs="Arial"/>
          <w:i/>
          <w:color w:val="000000"/>
        </w:rPr>
        <w:t xml:space="preserve"> and </w:t>
      </w:r>
      <w:proofErr w:type="spellStart"/>
      <w:r w:rsidRPr="001D1CD5">
        <w:rPr>
          <w:rFonts w:asciiTheme="minorHAnsi" w:hAnsiTheme="minorHAnsi" w:cs="Arial"/>
          <w:i/>
          <w:color w:val="000000"/>
        </w:rPr>
        <w:t>45EA</w:t>
      </w:r>
      <w:proofErr w:type="spellEnd"/>
      <w:r w:rsidRPr="001D1CD5">
        <w:rPr>
          <w:rFonts w:asciiTheme="minorHAnsi" w:hAnsiTheme="minorHAnsi" w:cs="Arial"/>
          <w:i/>
          <w:color w:val="000000"/>
        </w:rPr>
        <w:t xml:space="preserve"> with </w:t>
      </w:r>
      <w:proofErr w:type="spellStart"/>
      <w:r w:rsidRPr="001D1CD5">
        <w:rPr>
          <w:rFonts w:asciiTheme="minorHAnsi" w:hAnsiTheme="minorHAnsi" w:cs="Arial"/>
          <w:i/>
          <w:color w:val="000000"/>
        </w:rPr>
        <w:t>vigour</w:t>
      </w:r>
      <w:proofErr w:type="spellEnd"/>
      <w:r w:rsidRPr="001D1CD5">
        <w:rPr>
          <w:rFonts w:asciiTheme="minorHAnsi" w:hAnsiTheme="minorHAnsi" w:cs="Arial"/>
          <w:i/>
          <w:color w:val="000000"/>
        </w:rPr>
        <w:t>.</w:t>
      </w:r>
    </w:p>
    <w:p w14:paraId="3601B573" w14:textId="77777777" w:rsidR="008F0DDE" w:rsidRPr="001D1CD5" w:rsidRDefault="008F0DDE" w:rsidP="00A767CA">
      <w:pPr>
        <w:autoSpaceDE w:val="0"/>
        <w:autoSpaceDN w:val="0"/>
        <w:adjustRightInd w:val="0"/>
        <w:spacing w:after="240" w:line="276" w:lineRule="auto"/>
        <w:ind w:left="720"/>
        <w:jc w:val="both"/>
        <w:rPr>
          <w:rFonts w:asciiTheme="minorHAnsi" w:hAnsiTheme="minorHAnsi" w:cs="Arial"/>
          <w:i/>
          <w:color w:val="000000"/>
        </w:rPr>
      </w:pPr>
      <w:r w:rsidRPr="001D1CD5">
        <w:rPr>
          <w:rFonts w:asciiTheme="minorHAnsi" w:hAnsiTheme="minorHAnsi" w:cs="Arial"/>
          <w:i/>
          <w:color w:val="000000"/>
        </w:rPr>
        <w:t xml:space="preserve">Ai Group also agrees that the </w:t>
      </w:r>
      <w:proofErr w:type="spellStart"/>
      <w:r w:rsidRPr="001D1CD5">
        <w:rPr>
          <w:rFonts w:asciiTheme="minorHAnsi" w:hAnsiTheme="minorHAnsi" w:cs="Arial"/>
          <w:i/>
          <w:color w:val="000000"/>
        </w:rPr>
        <w:t>ACCC</w:t>
      </w:r>
      <w:proofErr w:type="spellEnd"/>
      <w:r w:rsidRPr="001D1CD5">
        <w:rPr>
          <w:rFonts w:asciiTheme="minorHAnsi" w:hAnsiTheme="minorHAnsi" w:cs="Arial"/>
          <w:i/>
          <w:color w:val="000000"/>
        </w:rPr>
        <w:t xml:space="preserve"> should be required to publish in its annual report the number of complaints made to it involving secondary boycott </w:t>
      </w:r>
      <w:proofErr w:type="spellStart"/>
      <w:r w:rsidRPr="001D1CD5">
        <w:rPr>
          <w:rFonts w:asciiTheme="minorHAnsi" w:hAnsiTheme="minorHAnsi" w:cs="Arial"/>
          <w:i/>
          <w:color w:val="000000"/>
        </w:rPr>
        <w:t>behaviour</w:t>
      </w:r>
      <w:proofErr w:type="spellEnd"/>
      <w:r w:rsidRPr="001D1CD5">
        <w:rPr>
          <w:rFonts w:asciiTheme="minorHAnsi" w:hAnsiTheme="minorHAnsi" w:cs="Arial"/>
          <w:i/>
          <w:color w:val="000000"/>
        </w:rPr>
        <w:t xml:space="preserve"> and the number of those complaints investigated and resolved each year.</w:t>
      </w:r>
      <w:r w:rsidRPr="001D1CD5">
        <w:rPr>
          <w:rStyle w:val="FootnoteReference"/>
          <w:rFonts w:asciiTheme="minorHAnsi" w:hAnsiTheme="minorHAnsi" w:cs="Arial"/>
          <w:i/>
          <w:color w:val="000000"/>
        </w:rPr>
        <w:footnoteReference w:id="13"/>
      </w:r>
      <w:r w:rsidRPr="001D1CD5">
        <w:rPr>
          <w:rFonts w:asciiTheme="minorHAnsi" w:hAnsiTheme="minorHAnsi" w:cs="Arial"/>
          <w:i/>
          <w:color w:val="000000"/>
        </w:rPr>
        <w:t xml:space="preserve"> Again, a similar approach should be taken with sections </w:t>
      </w:r>
      <w:proofErr w:type="spellStart"/>
      <w:r w:rsidRPr="001D1CD5">
        <w:rPr>
          <w:rFonts w:asciiTheme="minorHAnsi" w:hAnsiTheme="minorHAnsi" w:cs="Arial"/>
          <w:i/>
          <w:color w:val="000000"/>
        </w:rPr>
        <w:t>45E</w:t>
      </w:r>
      <w:proofErr w:type="spellEnd"/>
      <w:r w:rsidRPr="001D1CD5">
        <w:rPr>
          <w:rFonts w:asciiTheme="minorHAnsi" w:hAnsiTheme="minorHAnsi" w:cs="Arial"/>
          <w:i/>
          <w:color w:val="000000"/>
        </w:rPr>
        <w:t xml:space="preserve"> and </w:t>
      </w:r>
      <w:proofErr w:type="spellStart"/>
      <w:r w:rsidRPr="001D1CD5">
        <w:rPr>
          <w:rFonts w:asciiTheme="minorHAnsi" w:hAnsiTheme="minorHAnsi" w:cs="Arial"/>
          <w:i/>
          <w:color w:val="000000"/>
        </w:rPr>
        <w:t>45EA</w:t>
      </w:r>
      <w:proofErr w:type="spellEnd"/>
      <w:r w:rsidRPr="001D1CD5">
        <w:rPr>
          <w:rFonts w:asciiTheme="minorHAnsi" w:hAnsiTheme="minorHAnsi" w:cs="Arial"/>
          <w:i/>
          <w:color w:val="000000"/>
        </w:rPr>
        <w:t>.</w:t>
      </w:r>
    </w:p>
    <w:p w14:paraId="7A9ADC9B" w14:textId="77777777" w:rsidR="008F0DDE" w:rsidRPr="001D1CD5" w:rsidRDefault="008F0DDE" w:rsidP="00A767CA">
      <w:pPr>
        <w:autoSpaceDE w:val="0"/>
        <w:autoSpaceDN w:val="0"/>
        <w:adjustRightInd w:val="0"/>
        <w:spacing w:after="240" w:line="276" w:lineRule="auto"/>
        <w:ind w:left="720"/>
        <w:jc w:val="both"/>
        <w:rPr>
          <w:rFonts w:asciiTheme="minorHAnsi" w:hAnsiTheme="minorHAnsi" w:cs="Arial"/>
          <w:i/>
          <w:color w:val="000000"/>
        </w:rPr>
      </w:pPr>
      <w:r w:rsidRPr="001D1CD5">
        <w:rPr>
          <w:rFonts w:asciiTheme="minorHAnsi" w:hAnsiTheme="minorHAnsi" w:cs="Arial"/>
          <w:i/>
          <w:color w:val="000000"/>
        </w:rPr>
        <w:t>Further, Ai Group concurs with the Panel that there is “no reason why the maximum pecuniary penalties for breaches of secondary boycott provisions should be lower than those for other breaches of the competition law”.</w:t>
      </w:r>
      <w:r w:rsidRPr="001D1CD5">
        <w:rPr>
          <w:rStyle w:val="FootnoteReference"/>
          <w:rFonts w:asciiTheme="minorHAnsi" w:hAnsiTheme="minorHAnsi" w:cs="Arial"/>
          <w:i/>
          <w:color w:val="000000"/>
        </w:rPr>
        <w:footnoteReference w:id="14"/>
      </w:r>
      <w:r w:rsidRPr="001D1CD5">
        <w:rPr>
          <w:rFonts w:asciiTheme="minorHAnsi" w:hAnsiTheme="minorHAnsi" w:cs="Arial"/>
          <w:i/>
          <w:color w:val="000000"/>
        </w:rPr>
        <w:t xml:space="preserve"> </w:t>
      </w:r>
    </w:p>
    <w:p w14:paraId="220E32BA" w14:textId="77777777" w:rsidR="008F0DDE" w:rsidRPr="001D1CD5" w:rsidRDefault="008F0DDE" w:rsidP="00A767CA">
      <w:pPr>
        <w:autoSpaceDE w:val="0"/>
        <w:autoSpaceDN w:val="0"/>
        <w:adjustRightInd w:val="0"/>
        <w:spacing w:after="240" w:line="276" w:lineRule="auto"/>
        <w:ind w:left="720"/>
        <w:jc w:val="both"/>
        <w:rPr>
          <w:rFonts w:asciiTheme="minorHAnsi" w:hAnsiTheme="minorHAnsi" w:cs="Arial"/>
          <w:i/>
          <w:color w:val="000000"/>
        </w:rPr>
      </w:pPr>
      <w:r w:rsidRPr="001D1CD5">
        <w:rPr>
          <w:rFonts w:asciiTheme="minorHAnsi" w:hAnsiTheme="minorHAnsi" w:cs="Arial"/>
          <w:i/>
          <w:color w:val="000000"/>
        </w:rPr>
        <w:t>The Panel supported the current arrangements whereby there is access to secondary boycott remedies through both Federal and State jurisdictions.</w:t>
      </w:r>
      <w:r w:rsidRPr="001D1CD5">
        <w:rPr>
          <w:rStyle w:val="FootnoteReference"/>
          <w:rFonts w:asciiTheme="minorHAnsi" w:hAnsiTheme="minorHAnsi" w:cs="Arial"/>
          <w:i/>
          <w:color w:val="000000"/>
        </w:rPr>
        <w:footnoteReference w:id="15"/>
      </w:r>
      <w:r w:rsidRPr="001D1CD5">
        <w:rPr>
          <w:rFonts w:asciiTheme="minorHAnsi" w:hAnsiTheme="minorHAnsi" w:cs="Arial"/>
          <w:i/>
          <w:color w:val="000000"/>
        </w:rPr>
        <w:t xml:space="preserve"> Ai Group shares this view, however, we also believe, consistent with the recommendations of the Royal Commission into the Building and Construction Industry in 2003, that Fair Work Building and Construction (or its intended replacement – the Australian Building and Construction Commission) should be given shared jurisdiction with the </w:t>
      </w:r>
      <w:proofErr w:type="spellStart"/>
      <w:r w:rsidRPr="001D1CD5">
        <w:rPr>
          <w:rFonts w:asciiTheme="minorHAnsi" w:hAnsiTheme="minorHAnsi" w:cs="Arial"/>
          <w:i/>
          <w:color w:val="000000"/>
        </w:rPr>
        <w:t>ACCC</w:t>
      </w:r>
      <w:proofErr w:type="spellEnd"/>
      <w:r w:rsidRPr="001D1CD5">
        <w:rPr>
          <w:rFonts w:asciiTheme="minorHAnsi" w:hAnsiTheme="minorHAnsi" w:cs="Arial"/>
          <w:i/>
          <w:color w:val="000000"/>
        </w:rPr>
        <w:t xml:space="preserve"> to investigate and prosecute secondary boycotts in the building and construction industry.</w:t>
      </w:r>
    </w:p>
    <w:p w14:paraId="771F2294" w14:textId="77777777" w:rsidR="008F5F41" w:rsidRDefault="008F5F41">
      <w:pPr>
        <w:rPr>
          <w:rFonts w:asciiTheme="minorHAnsi" w:hAnsiTheme="minorHAnsi" w:cs="Arial"/>
          <w:b/>
          <w:i/>
          <w:color w:val="000000"/>
        </w:rPr>
      </w:pPr>
      <w:r>
        <w:rPr>
          <w:rFonts w:asciiTheme="minorHAnsi" w:hAnsiTheme="minorHAnsi" w:cs="Arial"/>
          <w:b/>
          <w:i/>
          <w:color w:val="000000"/>
        </w:rPr>
        <w:br w:type="page"/>
      </w:r>
    </w:p>
    <w:p w14:paraId="15BCCC2F" w14:textId="08B0865C" w:rsidR="008F0DDE" w:rsidRPr="001D1CD5" w:rsidRDefault="008F0DDE" w:rsidP="00A767CA">
      <w:pPr>
        <w:autoSpaceDE w:val="0"/>
        <w:autoSpaceDN w:val="0"/>
        <w:adjustRightInd w:val="0"/>
        <w:spacing w:after="240" w:line="276" w:lineRule="auto"/>
        <w:ind w:left="720"/>
        <w:jc w:val="both"/>
        <w:rPr>
          <w:rFonts w:asciiTheme="minorHAnsi" w:hAnsiTheme="minorHAnsi" w:cs="Arial"/>
          <w:b/>
          <w:i/>
          <w:color w:val="000000"/>
        </w:rPr>
      </w:pPr>
      <w:r w:rsidRPr="001D1CD5">
        <w:rPr>
          <w:rFonts w:asciiTheme="minorHAnsi" w:hAnsiTheme="minorHAnsi" w:cs="Arial"/>
          <w:b/>
          <w:i/>
          <w:color w:val="000000"/>
        </w:rPr>
        <w:lastRenderedPageBreak/>
        <w:t>Recommendation 37 – Trading restrictions in industrial agreements</w:t>
      </w:r>
    </w:p>
    <w:p w14:paraId="06F1ECE9" w14:textId="77777777" w:rsidR="008F0DDE" w:rsidRPr="001D1CD5" w:rsidRDefault="008F0DDE" w:rsidP="00A767CA">
      <w:pPr>
        <w:autoSpaceDE w:val="0"/>
        <w:autoSpaceDN w:val="0"/>
        <w:adjustRightInd w:val="0"/>
        <w:spacing w:after="240" w:line="276" w:lineRule="auto"/>
        <w:ind w:left="720"/>
        <w:jc w:val="both"/>
        <w:rPr>
          <w:rFonts w:asciiTheme="minorHAnsi" w:hAnsiTheme="minorHAnsi" w:cs="Arial"/>
          <w:i/>
          <w:color w:val="000000"/>
        </w:rPr>
      </w:pPr>
      <w:r w:rsidRPr="001D1CD5">
        <w:rPr>
          <w:rFonts w:asciiTheme="minorHAnsi" w:hAnsiTheme="minorHAnsi" w:cs="Arial"/>
          <w:i/>
          <w:color w:val="000000"/>
        </w:rPr>
        <w:t xml:space="preserve">Ai Group strongly supports the recommendation that sections </w:t>
      </w:r>
      <w:proofErr w:type="spellStart"/>
      <w:r w:rsidRPr="001D1CD5">
        <w:rPr>
          <w:rFonts w:asciiTheme="minorHAnsi" w:hAnsiTheme="minorHAnsi" w:cs="Arial"/>
          <w:i/>
          <w:color w:val="000000"/>
        </w:rPr>
        <w:t>45E</w:t>
      </w:r>
      <w:proofErr w:type="spellEnd"/>
      <w:r w:rsidRPr="001D1CD5">
        <w:rPr>
          <w:rFonts w:asciiTheme="minorHAnsi" w:hAnsiTheme="minorHAnsi" w:cs="Arial"/>
          <w:i/>
          <w:color w:val="000000"/>
        </w:rPr>
        <w:t xml:space="preserve"> and </w:t>
      </w:r>
      <w:proofErr w:type="spellStart"/>
      <w:r w:rsidRPr="001D1CD5">
        <w:rPr>
          <w:rFonts w:asciiTheme="minorHAnsi" w:hAnsiTheme="minorHAnsi" w:cs="Arial"/>
          <w:i/>
          <w:color w:val="000000"/>
        </w:rPr>
        <w:t>45EA</w:t>
      </w:r>
      <w:proofErr w:type="spellEnd"/>
      <w:r w:rsidRPr="001D1CD5">
        <w:rPr>
          <w:rFonts w:asciiTheme="minorHAnsi" w:hAnsiTheme="minorHAnsi" w:cs="Arial"/>
          <w:i/>
          <w:color w:val="000000"/>
        </w:rPr>
        <w:t xml:space="preserve"> of the </w:t>
      </w:r>
      <w:proofErr w:type="spellStart"/>
      <w:r w:rsidRPr="001D1CD5">
        <w:rPr>
          <w:rFonts w:asciiTheme="minorHAnsi" w:hAnsiTheme="minorHAnsi" w:cs="Arial"/>
          <w:i/>
          <w:color w:val="000000"/>
        </w:rPr>
        <w:t>CCA</w:t>
      </w:r>
      <w:proofErr w:type="spellEnd"/>
      <w:r w:rsidRPr="001D1CD5">
        <w:rPr>
          <w:rFonts w:asciiTheme="minorHAnsi" w:hAnsiTheme="minorHAnsi" w:cs="Arial"/>
          <w:i/>
          <w:color w:val="000000"/>
        </w:rPr>
        <w:t xml:space="preserve"> be amended so that the prohibitions within those sections apply to awards and industrial agreements.</w:t>
      </w:r>
      <w:r w:rsidRPr="001D1CD5">
        <w:rPr>
          <w:rStyle w:val="FootnoteReference"/>
          <w:rFonts w:asciiTheme="minorHAnsi" w:hAnsiTheme="minorHAnsi" w:cs="Arial"/>
          <w:i/>
          <w:color w:val="000000"/>
        </w:rPr>
        <w:footnoteReference w:id="16"/>
      </w:r>
      <w:r w:rsidRPr="001D1CD5">
        <w:rPr>
          <w:rFonts w:asciiTheme="minorHAnsi" w:hAnsiTheme="minorHAnsi" w:cs="Arial"/>
          <w:i/>
          <w:color w:val="000000"/>
        </w:rPr>
        <w:t xml:space="preserve"> Ai Group agrees with the Panel that “businesses should generally be free to supply and acquire goods and services, including contract </w:t>
      </w:r>
      <w:proofErr w:type="spellStart"/>
      <w:r w:rsidRPr="001D1CD5">
        <w:rPr>
          <w:rFonts w:asciiTheme="minorHAnsi" w:hAnsiTheme="minorHAnsi" w:cs="Arial"/>
          <w:i/>
          <w:color w:val="000000"/>
        </w:rPr>
        <w:t>labour</w:t>
      </w:r>
      <w:proofErr w:type="spellEnd"/>
      <w:r w:rsidRPr="001D1CD5">
        <w:rPr>
          <w:rFonts w:asciiTheme="minorHAnsi" w:hAnsiTheme="minorHAnsi" w:cs="Arial"/>
          <w:i/>
          <w:color w:val="000000"/>
        </w:rPr>
        <w:t xml:space="preserve"> if they choose”.</w:t>
      </w:r>
      <w:r w:rsidRPr="001D1CD5">
        <w:rPr>
          <w:rStyle w:val="FootnoteReference"/>
          <w:rFonts w:asciiTheme="minorHAnsi" w:hAnsiTheme="minorHAnsi" w:cs="Arial"/>
          <w:i/>
          <w:color w:val="000000"/>
        </w:rPr>
        <w:footnoteReference w:id="17"/>
      </w:r>
      <w:r w:rsidRPr="001D1CD5">
        <w:rPr>
          <w:rFonts w:asciiTheme="minorHAnsi" w:hAnsiTheme="minorHAnsi" w:cs="Arial"/>
          <w:i/>
          <w:color w:val="000000"/>
        </w:rPr>
        <w:t xml:space="preserve"> </w:t>
      </w:r>
    </w:p>
    <w:p w14:paraId="0A1A6537" w14:textId="77777777" w:rsidR="008F0DDE" w:rsidRPr="001D1CD5" w:rsidRDefault="008F0DDE" w:rsidP="00A767CA">
      <w:pPr>
        <w:autoSpaceDE w:val="0"/>
        <w:autoSpaceDN w:val="0"/>
        <w:adjustRightInd w:val="0"/>
        <w:spacing w:after="240" w:line="276" w:lineRule="auto"/>
        <w:ind w:left="720"/>
        <w:jc w:val="both"/>
        <w:rPr>
          <w:rFonts w:asciiTheme="minorHAnsi" w:hAnsiTheme="minorHAnsi" w:cs="Arial"/>
          <w:i/>
          <w:color w:val="000000"/>
        </w:rPr>
      </w:pPr>
      <w:r w:rsidRPr="001D1CD5">
        <w:rPr>
          <w:rFonts w:asciiTheme="minorHAnsi" w:hAnsiTheme="minorHAnsi" w:cs="Arial"/>
          <w:i/>
          <w:color w:val="000000"/>
        </w:rPr>
        <w:t xml:space="preserve">Currently section </w:t>
      </w:r>
      <w:proofErr w:type="spellStart"/>
      <w:r w:rsidRPr="001D1CD5">
        <w:rPr>
          <w:rFonts w:asciiTheme="minorHAnsi" w:hAnsiTheme="minorHAnsi" w:cs="Arial"/>
          <w:i/>
          <w:color w:val="000000"/>
        </w:rPr>
        <w:t>45E</w:t>
      </w:r>
      <w:proofErr w:type="spellEnd"/>
      <w:r w:rsidRPr="001D1CD5">
        <w:rPr>
          <w:rFonts w:asciiTheme="minorHAnsi" w:hAnsiTheme="minorHAnsi" w:cs="Arial"/>
          <w:i/>
          <w:color w:val="000000"/>
        </w:rPr>
        <w:t xml:space="preserve"> of the </w:t>
      </w:r>
      <w:proofErr w:type="spellStart"/>
      <w:r w:rsidRPr="001D1CD5">
        <w:rPr>
          <w:rFonts w:asciiTheme="minorHAnsi" w:hAnsiTheme="minorHAnsi" w:cs="Arial"/>
          <w:i/>
          <w:color w:val="000000"/>
        </w:rPr>
        <w:t>CCA</w:t>
      </w:r>
      <w:proofErr w:type="spellEnd"/>
      <w:r w:rsidRPr="001D1CD5">
        <w:rPr>
          <w:rFonts w:asciiTheme="minorHAnsi" w:hAnsiTheme="minorHAnsi" w:cs="Arial"/>
          <w:i/>
          <w:color w:val="000000"/>
        </w:rPr>
        <w:t xml:space="preserve"> prohibits an employer from making a contract, arrangement or understanding with an </w:t>
      </w:r>
      <w:proofErr w:type="spellStart"/>
      <w:r w:rsidRPr="001D1CD5">
        <w:rPr>
          <w:rFonts w:asciiTheme="minorHAnsi" w:hAnsiTheme="minorHAnsi" w:cs="Arial"/>
          <w:i/>
          <w:color w:val="000000"/>
        </w:rPr>
        <w:t>organisation</w:t>
      </w:r>
      <w:proofErr w:type="spellEnd"/>
      <w:r w:rsidRPr="001D1CD5">
        <w:rPr>
          <w:rFonts w:asciiTheme="minorHAnsi" w:hAnsiTheme="minorHAnsi" w:cs="Arial"/>
          <w:i/>
          <w:color w:val="000000"/>
        </w:rPr>
        <w:t xml:space="preserve"> of employees that contains a provision restricting the freedom of the employer to supply goods or services to, or acquire goods or services from, another person. Section </w:t>
      </w:r>
      <w:proofErr w:type="spellStart"/>
      <w:r w:rsidRPr="001D1CD5">
        <w:rPr>
          <w:rFonts w:asciiTheme="minorHAnsi" w:hAnsiTheme="minorHAnsi" w:cs="Arial"/>
          <w:i/>
          <w:color w:val="000000"/>
        </w:rPr>
        <w:t>45EA</w:t>
      </w:r>
      <w:proofErr w:type="spellEnd"/>
      <w:r w:rsidRPr="001D1CD5">
        <w:rPr>
          <w:rFonts w:asciiTheme="minorHAnsi" w:hAnsiTheme="minorHAnsi" w:cs="Arial"/>
          <w:i/>
          <w:color w:val="000000"/>
        </w:rPr>
        <w:t xml:space="preserve"> prohibits the employer from giving effect to such a contract, arrangement or understanding. The decision of the Full Federal Court in Australian Industry Group v Fair Work Australia [2012] </w:t>
      </w:r>
      <w:proofErr w:type="spellStart"/>
      <w:r w:rsidRPr="001D1CD5">
        <w:rPr>
          <w:rFonts w:asciiTheme="minorHAnsi" w:hAnsiTheme="minorHAnsi" w:cs="Arial"/>
          <w:i/>
          <w:color w:val="000000"/>
        </w:rPr>
        <w:t>FCAFC</w:t>
      </w:r>
      <w:proofErr w:type="spellEnd"/>
      <w:r w:rsidRPr="001D1CD5">
        <w:rPr>
          <w:rFonts w:asciiTheme="minorHAnsi" w:hAnsiTheme="minorHAnsi" w:cs="Arial"/>
          <w:i/>
          <w:color w:val="000000"/>
        </w:rPr>
        <w:t xml:space="preserve"> 108 (</w:t>
      </w:r>
      <w:proofErr w:type="spellStart"/>
      <w:r w:rsidRPr="001D1CD5">
        <w:rPr>
          <w:rFonts w:asciiTheme="minorHAnsi" w:hAnsiTheme="minorHAnsi" w:cs="Arial"/>
          <w:b/>
          <w:i/>
          <w:color w:val="000000"/>
        </w:rPr>
        <w:t>ADJ</w:t>
      </w:r>
      <w:proofErr w:type="spellEnd"/>
      <w:r w:rsidRPr="001D1CD5">
        <w:rPr>
          <w:rFonts w:asciiTheme="minorHAnsi" w:hAnsiTheme="minorHAnsi" w:cs="Arial"/>
          <w:b/>
          <w:i/>
          <w:color w:val="000000"/>
        </w:rPr>
        <w:t xml:space="preserve"> Case</w:t>
      </w:r>
      <w:r w:rsidRPr="001D1CD5">
        <w:rPr>
          <w:rFonts w:asciiTheme="minorHAnsi" w:hAnsiTheme="minorHAnsi" w:cs="Arial"/>
          <w:i/>
          <w:color w:val="000000"/>
        </w:rPr>
        <w:t>) has significantly narrowed the scope of these provisions to the detriment of industry and the broader community.</w:t>
      </w:r>
    </w:p>
    <w:p w14:paraId="31A995CB" w14:textId="77777777" w:rsidR="008F0DDE" w:rsidRPr="001D1CD5" w:rsidRDefault="008F0DDE" w:rsidP="00A767CA">
      <w:pPr>
        <w:autoSpaceDE w:val="0"/>
        <w:autoSpaceDN w:val="0"/>
        <w:adjustRightInd w:val="0"/>
        <w:spacing w:after="240" w:line="276" w:lineRule="auto"/>
        <w:ind w:left="720"/>
        <w:jc w:val="both"/>
        <w:rPr>
          <w:rFonts w:asciiTheme="minorHAnsi" w:hAnsiTheme="minorHAnsi" w:cs="Arial"/>
          <w:i/>
          <w:color w:val="000000"/>
        </w:rPr>
      </w:pPr>
      <w:r w:rsidRPr="001D1CD5">
        <w:rPr>
          <w:rFonts w:asciiTheme="minorHAnsi" w:hAnsiTheme="minorHAnsi" w:cs="Arial"/>
          <w:i/>
          <w:color w:val="000000"/>
        </w:rPr>
        <w:t xml:space="preserve">In the </w:t>
      </w:r>
      <w:proofErr w:type="spellStart"/>
      <w:r w:rsidRPr="001D1CD5">
        <w:rPr>
          <w:rFonts w:asciiTheme="minorHAnsi" w:hAnsiTheme="minorHAnsi" w:cs="Arial"/>
          <w:i/>
          <w:color w:val="000000"/>
        </w:rPr>
        <w:t>ADJ</w:t>
      </w:r>
      <w:proofErr w:type="spellEnd"/>
      <w:r w:rsidRPr="001D1CD5">
        <w:rPr>
          <w:rFonts w:asciiTheme="minorHAnsi" w:hAnsiTheme="minorHAnsi" w:cs="Arial"/>
          <w:i/>
          <w:color w:val="000000"/>
        </w:rPr>
        <w:t xml:space="preserve"> Case the Full Federal Court considered a clause in a union pattern agreement which limited the use of contractors or </w:t>
      </w:r>
      <w:proofErr w:type="spellStart"/>
      <w:r w:rsidRPr="001D1CD5">
        <w:rPr>
          <w:rFonts w:asciiTheme="minorHAnsi" w:hAnsiTheme="minorHAnsi" w:cs="Arial"/>
          <w:i/>
          <w:color w:val="000000"/>
        </w:rPr>
        <w:t>labour</w:t>
      </w:r>
      <w:proofErr w:type="spellEnd"/>
      <w:r w:rsidRPr="001D1CD5">
        <w:rPr>
          <w:rFonts w:asciiTheme="minorHAnsi" w:hAnsiTheme="minorHAnsi" w:cs="Arial"/>
          <w:i/>
          <w:color w:val="000000"/>
        </w:rPr>
        <w:t xml:space="preserve"> hire by each employer party to the pattern agreement (i.e. hundreds of employers). It found that such a clause did not offend sections </w:t>
      </w:r>
      <w:proofErr w:type="spellStart"/>
      <w:r w:rsidRPr="001D1CD5">
        <w:rPr>
          <w:rFonts w:asciiTheme="minorHAnsi" w:hAnsiTheme="minorHAnsi" w:cs="Arial"/>
          <w:i/>
          <w:color w:val="000000"/>
        </w:rPr>
        <w:t>45E</w:t>
      </w:r>
      <w:proofErr w:type="spellEnd"/>
      <w:r w:rsidRPr="001D1CD5">
        <w:rPr>
          <w:rFonts w:asciiTheme="minorHAnsi" w:hAnsiTheme="minorHAnsi" w:cs="Arial"/>
          <w:i/>
          <w:color w:val="000000"/>
        </w:rPr>
        <w:t xml:space="preserve"> and </w:t>
      </w:r>
      <w:proofErr w:type="spellStart"/>
      <w:r w:rsidRPr="001D1CD5">
        <w:rPr>
          <w:rFonts w:asciiTheme="minorHAnsi" w:hAnsiTheme="minorHAnsi" w:cs="Arial"/>
          <w:i/>
          <w:color w:val="000000"/>
        </w:rPr>
        <w:t>45EA</w:t>
      </w:r>
      <w:proofErr w:type="spellEnd"/>
      <w:r w:rsidRPr="001D1CD5">
        <w:rPr>
          <w:rFonts w:asciiTheme="minorHAnsi" w:hAnsiTheme="minorHAnsi" w:cs="Arial"/>
          <w:i/>
          <w:color w:val="000000"/>
        </w:rPr>
        <w:t xml:space="preserve"> of the </w:t>
      </w:r>
      <w:proofErr w:type="spellStart"/>
      <w:r w:rsidRPr="001D1CD5">
        <w:rPr>
          <w:rFonts w:asciiTheme="minorHAnsi" w:hAnsiTheme="minorHAnsi" w:cs="Arial"/>
          <w:i/>
          <w:color w:val="000000"/>
        </w:rPr>
        <w:t>CCA</w:t>
      </w:r>
      <w:proofErr w:type="spellEnd"/>
      <w:r w:rsidRPr="001D1CD5">
        <w:rPr>
          <w:rFonts w:asciiTheme="minorHAnsi" w:hAnsiTheme="minorHAnsi" w:cs="Arial"/>
          <w:i/>
          <w:color w:val="000000"/>
        </w:rPr>
        <w:t xml:space="preserve"> because, amongst other things, an enterprise agreement has statutory force and therefore is not a contract, arrangement or understanding within the meaning of section </w:t>
      </w:r>
      <w:proofErr w:type="spellStart"/>
      <w:r w:rsidRPr="001D1CD5">
        <w:rPr>
          <w:rFonts w:asciiTheme="minorHAnsi" w:hAnsiTheme="minorHAnsi" w:cs="Arial"/>
          <w:i/>
          <w:color w:val="000000"/>
        </w:rPr>
        <w:t>45E</w:t>
      </w:r>
      <w:proofErr w:type="spellEnd"/>
      <w:r w:rsidRPr="001D1CD5">
        <w:rPr>
          <w:rFonts w:asciiTheme="minorHAnsi" w:hAnsiTheme="minorHAnsi" w:cs="Arial"/>
          <w:i/>
          <w:color w:val="000000"/>
        </w:rPr>
        <w:t xml:space="preserve"> and </w:t>
      </w:r>
      <w:proofErr w:type="spellStart"/>
      <w:r w:rsidRPr="001D1CD5">
        <w:rPr>
          <w:rFonts w:asciiTheme="minorHAnsi" w:hAnsiTheme="minorHAnsi" w:cs="Arial"/>
          <w:i/>
          <w:color w:val="000000"/>
        </w:rPr>
        <w:t>45EA</w:t>
      </w:r>
      <w:proofErr w:type="spellEnd"/>
      <w:r w:rsidRPr="001D1CD5">
        <w:rPr>
          <w:rFonts w:asciiTheme="minorHAnsi" w:hAnsiTheme="minorHAnsi" w:cs="Arial"/>
          <w:i/>
          <w:color w:val="000000"/>
        </w:rPr>
        <w:t>.</w:t>
      </w:r>
    </w:p>
    <w:p w14:paraId="51E46A08" w14:textId="77777777" w:rsidR="008F0DDE" w:rsidRPr="001D1CD5" w:rsidRDefault="008F0DDE" w:rsidP="00A767CA">
      <w:pPr>
        <w:autoSpaceDE w:val="0"/>
        <w:autoSpaceDN w:val="0"/>
        <w:adjustRightInd w:val="0"/>
        <w:spacing w:after="240" w:line="276" w:lineRule="auto"/>
        <w:ind w:left="720"/>
        <w:jc w:val="both"/>
        <w:rPr>
          <w:rFonts w:asciiTheme="minorHAnsi" w:hAnsiTheme="minorHAnsi"/>
          <w:i/>
        </w:rPr>
      </w:pPr>
      <w:r w:rsidRPr="001D1CD5">
        <w:rPr>
          <w:rFonts w:asciiTheme="minorHAnsi" w:hAnsiTheme="minorHAnsi" w:cs="Arial"/>
          <w:i/>
          <w:color w:val="000000"/>
        </w:rPr>
        <w:t>These types of ‘contractor clauses’ are frequently pursued by unions during enterprise agreement negotiations. They stifle competition and impose major inefficiencies on employers. It is in the community’s interest that they be stamped out. Such clauses were expressly outlawed under the Workplace Relations Act 1996, prior to the implementation of the Fair Work Act 2009 (</w:t>
      </w:r>
      <w:r w:rsidRPr="001D1CD5">
        <w:rPr>
          <w:rFonts w:asciiTheme="minorHAnsi" w:hAnsiTheme="minorHAnsi" w:cs="Arial"/>
          <w:b/>
          <w:i/>
          <w:color w:val="000000"/>
        </w:rPr>
        <w:t>FW Act</w:t>
      </w:r>
      <w:r w:rsidRPr="001D1CD5">
        <w:rPr>
          <w:rFonts w:asciiTheme="minorHAnsi" w:hAnsiTheme="minorHAnsi" w:cs="Arial"/>
          <w:i/>
          <w:color w:val="000000"/>
        </w:rPr>
        <w:t>).</w:t>
      </w:r>
    </w:p>
    <w:p w14:paraId="42C49437" w14:textId="77777777" w:rsidR="008F0DDE" w:rsidRPr="001D1CD5" w:rsidRDefault="008F0DDE" w:rsidP="00A767CA">
      <w:pPr>
        <w:autoSpaceDE w:val="0"/>
        <w:autoSpaceDN w:val="0"/>
        <w:adjustRightInd w:val="0"/>
        <w:spacing w:after="240" w:line="276" w:lineRule="auto"/>
        <w:ind w:left="720"/>
        <w:jc w:val="both"/>
        <w:rPr>
          <w:rFonts w:asciiTheme="minorHAnsi" w:hAnsiTheme="minorHAnsi" w:cs="Arial"/>
          <w:i/>
          <w:color w:val="000000"/>
        </w:rPr>
      </w:pPr>
      <w:r w:rsidRPr="001D1CD5">
        <w:rPr>
          <w:rFonts w:asciiTheme="minorHAnsi" w:hAnsiTheme="minorHAnsi" w:cs="Arial"/>
          <w:i/>
          <w:color w:val="000000"/>
        </w:rPr>
        <w:t xml:space="preserve">We agree with the Panel that the problem of ‘contractor clauses’ could be stamped out if sections </w:t>
      </w:r>
      <w:proofErr w:type="spellStart"/>
      <w:r w:rsidRPr="001D1CD5">
        <w:rPr>
          <w:rFonts w:asciiTheme="minorHAnsi" w:hAnsiTheme="minorHAnsi" w:cs="Arial"/>
          <w:i/>
          <w:color w:val="000000"/>
        </w:rPr>
        <w:t>45E</w:t>
      </w:r>
      <w:proofErr w:type="spellEnd"/>
      <w:r w:rsidRPr="001D1CD5">
        <w:rPr>
          <w:rFonts w:asciiTheme="minorHAnsi" w:hAnsiTheme="minorHAnsi" w:cs="Arial"/>
          <w:i/>
          <w:color w:val="000000"/>
        </w:rPr>
        <w:t xml:space="preserve"> and </w:t>
      </w:r>
      <w:proofErr w:type="spellStart"/>
      <w:r w:rsidRPr="001D1CD5">
        <w:rPr>
          <w:rFonts w:asciiTheme="minorHAnsi" w:hAnsiTheme="minorHAnsi" w:cs="Arial"/>
          <w:i/>
          <w:color w:val="000000"/>
        </w:rPr>
        <w:t>45EA</w:t>
      </w:r>
      <w:proofErr w:type="spellEnd"/>
      <w:r w:rsidRPr="001D1CD5">
        <w:rPr>
          <w:rFonts w:asciiTheme="minorHAnsi" w:hAnsiTheme="minorHAnsi" w:cs="Arial"/>
          <w:i/>
          <w:color w:val="000000"/>
        </w:rPr>
        <w:t xml:space="preserve"> are amended so that they apply to awards and enterprise agreements. However, there is an important issue that needs to be considered when drafting the relevant provisions. The Panel has recommended that the prohibitions in sections </w:t>
      </w:r>
      <w:proofErr w:type="spellStart"/>
      <w:r w:rsidRPr="001D1CD5">
        <w:rPr>
          <w:rFonts w:asciiTheme="minorHAnsi" w:hAnsiTheme="minorHAnsi" w:cs="Arial"/>
          <w:i/>
          <w:color w:val="000000"/>
        </w:rPr>
        <w:t>45E</w:t>
      </w:r>
      <w:proofErr w:type="spellEnd"/>
      <w:r w:rsidRPr="001D1CD5">
        <w:rPr>
          <w:rFonts w:asciiTheme="minorHAnsi" w:hAnsiTheme="minorHAnsi" w:cs="Arial"/>
          <w:i/>
          <w:color w:val="000000"/>
        </w:rPr>
        <w:t xml:space="preserve"> and </w:t>
      </w:r>
      <w:proofErr w:type="spellStart"/>
      <w:r w:rsidRPr="001D1CD5">
        <w:rPr>
          <w:rFonts w:asciiTheme="minorHAnsi" w:hAnsiTheme="minorHAnsi" w:cs="Arial"/>
          <w:i/>
          <w:color w:val="000000"/>
        </w:rPr>
        <w:t>45EA</w:t>
      </w:r>
      <w:proofErr w:type="spellEnd"/>
      <w:r w:rsidRPr="001D1CD5">
        <w:rPr>
          <w:rFonts w:asciiTheme="minorHAnsi" w:hAnsiTheme="minorHAnsi" w:cs="Arial"/>
          <w:i/>
          <w:color w:val="000000"/>
        </w:rPr>
        <w:t xml:space="preserve"> should apply to awards and industrial agreements except to the extent that they relate to “remuneration, conditions of employment, hours of work or working conditions of employees”.</w:t>
      </w:r>
      <w:r w:rsidRPr="001D1CD5">
        <w:rPr>
          <w:rStyle w:val="FootnoteReference"/>
          <w:rFonts w:asciiTheme="minorHAnsi" w:hAnsiTheme="minorHAnsi" w:cs="Arial"/>
          <w:i/>
          <w:color w:val="000000"/>
        </w:rPr>
        <w:t xml:space="preserve"> </w:t>
      </w:r>
      <w:r w:rsidRPr="001D1CD5">
        <w:rPr>
          <w:rStyle w:val="FootnoteReference"/>
          <w:rFonts w:asciiTheme="minorHAnsi" w:hAnsiTheme="minorHAnsi" w:cs="Arial"/>
          <w:i/>
          <w:color w:val="000000"/>
        </w:rPr>
        <w:footnoteReference w:id="18"/>
      </w:r>
      <w:r w:rsidRPr="001D1CD5">
        <w:rPr>
          <w:rFonts w:asciiTheme="minorHAnsi" w:hAnsiTheme="minorHAnsi" w:cs="Arial"/>
          <w:i/>
          <w:color w:val="000000"/>
        </w:rPr>
        <w:t xml:space="preserve">  These concepts need to be very carefully defined to avoid union arguments that, for example, enterprise agreement clauses which restrict the engagement of contractors or require that “site rates” be paid to employees of contractors are aimed at the job security of the employees covered by the relevant enterprise agreement and hence “relate to” “remuneration” or “conditions of employment”. Ai Group </w:t>
      </w:r>
      <w:r w:rsidRPr="001D1CD5">
        <w:rPr>
          <w:rFonts w:asciiTheme="minorHAnsi" w:hAnsiTheme="minorHAnsi" w:cs="Arial"/>
          <w:i/>
          <w:color w:val="000000"/>
        </w:rPr>
        <w:lastRenderedPageBreak/>
        <w:t xml:space="preserve">is not convinced that the draft clauses on pages 512 and 513 of the Final Report achieve the apparent policy intent underpinning Recommendation 37. </w:t>
      </w:r>
    </w:p>
    <w:p w14:paraId="0A76DD9F" w14:textId="77777777" w:rsidR="008F0DDE" w:rsidRPr="001D1CD5" w:rsidRDefault="008F0DDE" w:rsidP="00A767CA">
      <w:pPr>
        <w:autoSpaceDE w:val="0"/>
        <w:autoSpaceDN w:val="0"/>
        <w:adjustRightInd w:val="0"/>
        <w:spacing w:after="240" w:line="276" w:lineRule="auto"/>
        <w:ind w:left="720"/>
        <w:jc w:val="both"/>
        <w:rPr>
          <w:rFonts w:asciiTheme="minorHAnsi" w:hAnsiTheme="minorHAnsi" w:cs="Arial"/>
          <w:i/>
          <w:color w:val="000000"/>
        </w:rPr>
      </w:pPr>
      <w:r w:rsidRPr="001D1CD5">
        <w:rPr>
          <w:rFonts w:asciiTheme="minorHAnsi" w:hAnsiTheme="minorHAnsi" w:cs="Arial"/>
          <w:i/>
          <w:color w:val="000000"/>
        </w:rPr>
        <w:t xml:space="preserve">Ai Group also agrees with the observation of the Panel that in addition to amendments to sections </w:t>
      </w:r>
      <w:proofErr w:type="spellStart"/>
      <w:r w:rsidRPr="001D1CD5">
        <w:rPr>
          <w:rFonts w:asciiTheme="minorHAnsi" w:hAnsiTheme="minorHAnsi" w:cs="Arial"/>
          <w:i/>
          <w:color w:val="000000"/>
        </w:rPr>
        <w:t>45E</w:t>
      </w:r>
      <w:proofErr w:type="spellEnd"/>
      <w:r w:rsidRPr="001D1CD5">
        <w:rPr>
          <w:rFonts w:asciiTheme="minorHAnsi" w:hAnsiTheme="minorHAnsi" w:cs="Arial"/>
          <w:i/>
          <w:color w:val="000000"/>
        </w:rPr>
        <w:t xml:space="preserve"> and </w:t>
      </w:r>
      <w:proofErr w:type="spellStart"/>
      <w:r w:rsidRPr="001D1CD5">
        <w:rPr>
          <w:rFonts w:asciiTheme="minorHAnsi" w:hAnsiTheme="minorHAnsi" w:cs="Arial"/>
          <w:i/>
          <w:color w:val="000000"/>
        </w:rPr>
        <w:t>45EA</w:t>
      </w:r>
      <w:proofErr w:type="spellEnd"/>
      <w:r w:rsidRPr="001D1CD5">
        <w:rPr>
          <w:rFonts w:asciiTheme="minorHAnsi" w:hAnsiTheme="minorHAnsi" w:cs="Arial"/>
          <w:i/>
          <w:color w:val="000000"/>
        </w:rPr>
        <w:t xml:space="preserve">, the exception in paragraph 51(2)(a) of the </w:t>
      </w:r>
      <w:proofErr w:type="spellStart"/>
      <w:r w:rsidRPr="001D1CD5">
        <w:rPr>
          <w:rFonts w:asciiTheme="minorHAnsi" w:hAnsiTheme="minorHAnsi" w:cs="Arial"/>
          <w:i/>
          <w:color w:val="000000"/>
        </w:rPr>
        <w:t>CCA</w:t>
      </w:r>
      <w:proofErr w:type="spellEnd"/>
      <w:r w:rsidRPr="001D1CD5">
        <w:rPr>
          <w:rFonts w:asciiTheme="minorHAnsi" w:hAnsiTheme="minorHAnsi" w:cs="Arial"/>
          <w:i/>
          <w:color w:val="000000"/>
        </w:rPr>
        <w:t xml:space="preserve"> may need to be amended so that it applies to sections </w:t>
      </w:r>
      <w:proofErr w:type="spellStart"/>
      <w:r w:rsidRPr="001D1CD5">
        <w:rPr>
          <w:rFonts w:asciiTheme="minorHAnsi" w:hAnsiTheme="minorHAnsi" w:cs="Arial"/>
          <w:i/>
          <w:color w:val="000000"/>
        </w:rPr>
        <w:t>45E</w:t>
      </w:r>
      <w:proofErr w:type="spellEnd"/>
      <w:r w:rsidRPr="001D1CD5">
        <w:rPr>
          <w:rFonts w:asciiTheme="minorHAnsi" w:hAnsiTheme="minorHAnsi" w:cs="Arial"/>
          <w:i/>
          <w:color w:val="000000"/>
        </w:rPr>
        <w:t xml:space="preserve"> and </w:t>
      </w:r>
      <w:proofErr w:type="spellStart"/>
      <w:r w:rsidRPr="001D1CD5">
        <w:rPr>
          <w:rFonts w:asciiTheme="minorHAnsi" w:hAnsiTheme="minorHAnsi" w:cs="Arial"/>
          <w:i/>
          <w:color w:val="000000"/>
        </w:rPr>
        <w:t>45EA</w:t>
      </w:r>
      <w:proofErr w:type="spellEnd"/>
      <w:r w:rsidRPr="001D1CD5">
        <w:rPr>
          <w:rFonts w:asciiTheme="minorHAnsi" w:hAnsiTheme="minorHAnsi" w:cs="Arial"/>
          <w:i/>
          <w:color w:val="000000"/>
        </w:rPr>
        <w:t>.</w:t>
      </w:r>
      <w:r w:rsidRPr="001D1CD5">
        <w:rPr>
          <w:rStyle w:val="FootnoteReference"/>
          <w:rFonts w:asciiTheme="minorHAnsi" w:hAnsiTheme="minorHAnsi" w:cs="Arial"/>
          <w:i/>
          <w:color w:val="000000"/>
        </w:rPr>
        <w:footnoteReference w:id="19"/>
      </w:r>
    </w:p>
    <w:p w14:paraId="0D20D5DC" w14:textId="77777777" w:rsidR="008F0DDE" w:rsidRPr="001D1CD5" w:rsidRDefault="008F0DDE" w:rsidP="00A767CA">
      <w:pPr>
        <w:autoSpaceDE w:val="0"/>
        <w:autoSpaceDN w:val="0"/>
        <w:adjustRightInd w:val="0"/>
        <w:spacing w:after="240" w:line="276" w:lineRule="auto"/>
        <w:ind w:left="720"/>
        <w:jc w:val="both"/>
        <w:rPr>
          <w:rFonts w:asciiTheme="minorHAnsi" w:hAnsiTheme="minorHAnsi" w:cs="Arial"/>
          <w:i/>
          <w:color w:val="000000"/>
        </w:rPr>
      </w:pPr>
      <w:r w:rsidRPr="001D1CD5">
        <w:rPr>
          <w:rFonts w:asciiTheme="minorHAnsi" w:hAnsiTheme="minorHAnsi" w:cs="Arial"/>
          <w:i/>
          <w:color w:val="000000"/>
        </w:rPr>
        <w:t>Further, Ai Group agrees with the other elements of Recommendation 37 that:</w:t>
      </w:r>
    </w:p>
    <w:p w14:paraId="3FB91C22" w14:textId="77777777" w:rsidR="008F0DDE" w:rsidRPr="001D1CD5" w:rsidRDefault="008F0DDE" w:rsidP="00FE0A2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76" w:lineRule="auto"/>
        <w:ind w:left="1500"/>
        <w:jc w:val="both"/>
        <w:rPr>
          <w:rFonts w:asciiTheme="minorHAnsi" w:hAnsiTheme="minorHAnsi"/>
          <w:i/>
        </w:rPr>
      </w:pPr>
      <w:r w:rsidRPr="001D1CD5">
        <w:rPr>
          <w:rFonts w:asciiTheme="minorHAnsi" w:hAnsiTheme="minorHAnsi" w:cs="Arial"/>
          <w:i/>
        </w:rPr>
        <w:t xml:space="preserve">The current limitation in sections </w:t>
      </w:r>
      <w:proofErr w:type="spellStart"/>
      <w:r w:rsidRPr="001D1CD5">
        <w:rPr>
          <w:rFonts w:asciiTheme="minorHAnsi" w:hAnsiTheme="minorHAnsi" w:cs="Arial"/>
          <w:i/>
        </w:rPr>
        <w:t>45E</w:t>
      </w:r>
      <w:proofErr w:type="spellEnd"/>
      <w:r w:rsidRPr="001D1CD5">
        <w:rPr>
          <w:rFonts w:asciiTheme="minorHAnsi" w:hAnsiTheme="minorHAnsi" w:cs="Arial"/>
          <w:i/>
        </w:rPr>
        <w:t xml:space="preserve"> and </w:t>
      </w:r>
      <w:proofErr w:type="spellStart"/>
      <w:r w:rsidRPr="001D1CD5">
        <w:rPr>
          <w:rFonts w:asciiTheme="minorHAnsi" w:hAnsiTheme="minorHAnsi" w:cs="Arial"/>
          <w:i/>
        </w:rPr>
        <w:t>45EA</w:t>
      </w:r>
      <w:proofErr w:type="spellEnd"/>
      <w:r w:rsidRPr="001D1CD5">
        <w:rPr>
          <w:rFonts w:asciiTheme="minorHAnsi" w:hAnsiTheme="minorHAnsi" w:cs="Arial"/>
          <w:i/>
        </w:rPr>
        <w:t xml:space="preserve"> that the prohibition applies only to</w:t>
      </w:r>
      <w:r w:rsidRPr="001D1CD5">
        <w:rPr>
          <w:rFonts w:asciiTheme="minorHAnsi" w:hAnsiTheme="minorHAnsi"/>
          <w:i/>
        </w:rPr>
        <w:t xml:space="preserve"> </w:t>
      </w:r>
      <w:r w:rsidRPr="001D1CD5">
        <w:rPr>
          <w:rFonts w:asciiTheme="minorHAnsi" w:hAnsiTheme="minorHAnsi" w:cs="Arial"/>
          <w:i/>
        </w:rPr>
        <w:t>restrictions affecting persons with whom an employer “has been accustomed, or is under an obligation” to deal should be removed.</w:t>
      </w:r>
      <w:r w:rsidRPr="001D1CD5">
        <w:rPr>
          <w:rStyle w:val="FootnoteReference"/>
          <w:rFonts w:asciiTheme="minorHAnsi" w:hAnsiTheme="minorHAnsi" w:cs="Arial"/>
          <w:i/>
        </w:rPr>
        <w:footnoteReference w:id="20"/>
      </w:r>
      <w:r w:rsidRPr="001D1CD5">
        <w:rPr>
          <w:rFonts w:asciiTheme="minorHAnsi" w:hAnsiTheme="minorHAnsi" w:cs="Arial"/>
          <w:i/>
        </w:rPr>
        <w:t xml:space="preserve"> </w:t>
      </w:r>
    </w:p>
    <w:p w14:paraId="3B791B92" w14:textId="77777777" w:rsidR="008F0DDE" w:rsidRPr="001D1CD5" w:rsidRDefault="008F0DDE" w:rsidP="00FE0A2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76" w:lineRule="auto"/>
        <w:ind w:left="1500"/>
        <w:jc w:val="both"/>
        <w:rPr>
          <w:rFonts w:asciiTheme="minorHAnsi" w:hAnsiTheme="minorHAnsi" w:cs="Arial"/>
          <w:i/>
        </w:rPr>
      </w:pPr>
      <w:r w:rsidRPr="001D1CD5">
        <w:rPr>
          <w:rFonts w:asciiTheme="minorHAnsi" w:hAnsiTheme="minorHAnsi" w:cs="Arial"/>
          <w:i/>
        </w:rPr>
        <w:t xml:space="preserve">The </w:t>
      </w:r>
      <w:proofErr w:type="spellStart"/>
      <w:r w:rsidRPr="001D1CD5">
        <w:rPr>
          <w:rFonts w:asciiTheme="minorHAnsi" w:hAnsiTheme="minorHAnsi" w:cs="Arial"/>
          <w:i/>
        </w:rPr>
        <w:t>ACCC</w:t>
      </w:r>
      <w:proofErr w:type="spellEnd"/>
      <w:r w:rsidRPr="001D1CD5">
        <w:rPr>
          <w:rFonts w:asciiTheme="minorHAnsi" w:hAnsiTheme="minorHAnsi" w:cs="Arial"/>
          <w:i/>
        </w:rPr>
        <w:t xml:space="preserve"> should be given the right to intervene in proceedings before the Fair Work Commission and make submissions concerning compliance with sections </w:t>
      </w:r>
      <w:proofErr w:type="spellStart"/>
      <w:r w:rsidRPr="001D1CD5">
        <w:rPr>
          <w:rFonts w:asciiTheme="minorHAnsi" w:hAnsiTheme="minorHAnsi" w:cs="Arial"/>
          <w:i/>
        </w:rPr>
        <w:t>45E</w:t>
      </w:r>
      <w:proofErr w:type="spellEnd"/>
      <w:r w:rsidRPr="001D1CD5">
        <w:rPr>
          <w:rFonts w:asciiTheme="minorHAnsi" w:hAnsiTheme="minorHAnsi" w:cs="Arial"/>
          <w:i/>
        </w:rPr>
        <w:t xml:space="preserve"> and </w:t>
      </w:r>
      <w:proofErr w:type="spellStart"/>
      <w:r w:rsidRPr="001D1CD5">
        <w:rPr>
          <w:rFonts w:asciiTheme="minorHAnsi" w:hAnsiTheme="minorHAnsi" w:cs="Arial"/>
          <w:i/>
        </w:rPr>
        <w:t>45EA</w:t>
      </w:r>
      <w:proofErr w:type="spellEnd"/>
      <w:r w:rsidRPr="001D1CD5">
        <w:rPr>
          <w:rFonts w:asciiTheme="minorHAnsi" w:hAnsiTheme="minorHAnsi" w:cs="Arial"/>
          <w:i/>
        </w:rPr>
        <w:t xml:space="preserve"> of the </w:t>
      </w:r>
      <w:proofErr w:type="spellStart"/>
      <w:r w:rsidRPr="001D1CD5">
        <w:rPr>
          <w:rFonts w:asciiTheme="minorHAnsi" w:hAnsiTheme="minorHAnsi" w:cs="Arial"/>
          <w:i/>
        </w:rPr>
        <w:t>CCA</w:t>
      </w:r>
      <w:proofErr w:type="spellEnd"/>
      <w:r w:rsidRPr="001D1CD5">
        <w:rPr>
          <w:rFonts w:asciiTheme="minorHAnsi" w:hAnsiTheme="minorHAnsi" w:cs="Arial"/>
          <w:i/>
        </w:rPr>
        <w:t>;</w:t>
      </w:r>
      <w:r w:rsidRPr="001D1CD5">
        <w:rPr>
          <w:rStyle w:val="FootnoteReference"/>
          <w:rFonts w:asciiTheme="minorHAnsi" w:hAnsiTheme="minorHAnsi" w:cs="Arial"/>
          <w:i/>
        </w:rPr>
        <w:footnoteReference w:id="21"/>
      </w:r>
      <w:r w:rsidRPr="001D1CD5">
        <w:rPr>
          <w:rFonts w:asciiTheme="minorHAnsi" w:hAnsiTheme="minorHAnsi" w:cs="Arial"/>
          <w:i/>
        </w:rPr>
        <w:t xml:space="preserve"> </w:t>
      </w:r>
    </w:p>
    <w:p w14:paraId="30237400" w14:textId="77777777" w:rsidR="008F0DDE" w:rsidRPr="001D1CD5" w:rsidRDefault="008F0DDE" w:rsidP="00FE0A2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76" w:lineRule="auto"/>
        <w:ind w:left="1500"/>
        <w:jc w:val="both"/>
        <w:rPr>
          <w:rFonts w:asciiTheme="minorHAnsi" w:hAnsiTheme="minorHAnsi" w:cs="Arial"/>
          <w:i/>
        </w:rPr>
      </w:pPr>
      <w:r w:rsidRPr="001D1CD5">
        <w:rPr>
          <w:rFonts w:asciiTheme="minorHAnsi" w:hAnsiTheme="minorHAnsi" w:cs="Arial"/>
          <w:i/>
        </w:rPr>
        <w:t xml:space="preserve">A protocol should be established between the </w:t>
      </w:r>
      <w:proofErr w:type="spellStart"/>
      <w:r w:rsidRPr="001D1CD5">
        <w:rPr>
          <w:rFonts w:asciiTheme="minorHAnsi" w:hAnsiTheme="minorHAnsi" w:cs="Arial"/>
          <w:i/>
        </w:rPr>
        <w:t>ACCC</w:t>
      </w:r>
      <w:proofErr w:type="spellEnd"/>
      <w:r w:rsidRPr="001D1CD5">
        <w:rPr>
          <w:rFonts w:asciiTheme="minorHAnsi" w:hAnsiTheme="minorHAnsi" w:cs="Arial"/>
          <w:i/>
        </w:rPr>
        <w:t xml:space="preserve"> and the Fair Work Commission;</w:t>
      </w:r>
      <w:r w:rsidRPr="001D1CD5">
        <w:rPr>
          <w:rStyle w:val="FootnoteReference"/>
          <w:rFonts w:asciiTheme="minorHAnsi" w:hAnsiTheme="minorHAnsi" w:cs="Arial"/>
          <w:i/>
        </w:rPr>
        <w:footnoteReference w:id="22"/>
      </w:r>
      <w:r w:rsidRPr="001D1CD5">
        <w:rPr>
          <w:rFonts w:asciiTheme="minorHAnsi" w:hAnsiTheme="minorHAnsi" w:cs="Arial"/>
          <w:i/>
        </w:rPr>
        <w:t xml:space="preserve"> and</w:t>
      </w:r>
    </w:p>
    <w:p w14:paraId="5B25F42C" w14:textId="77777777" w:rsidR="008F0DDE" w:rsidRPr="001D1CD5" w:rsidRDefault="008F0DDE" w:rsidP="00FE0A2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76" w:lineRule="auto"/>
        <w:ind w:left="1500"/>
        <w:jc w:val="both"/>
        <w:rPr>
          <w:rFonts w:asciiTheme="minorHAnsi" w:hAnsiTheme="minorHAnsi" w:cs="Arial"/>
          <w:i/>
        </w:rPr>
      </w:pPr>
      <w:r w:rsidRPr="001D1CD5">
        <w:rPr>
          <w:rFonts w:asciiTheme="minorHAnsi" w:hAnsiTheme="minorHAnsi" w:cs="Arial"/>
          <w:i/>
        </w:rPr>
        <w:t xml:space="preserve">The maximum penalty for breaches of sections </w:t>
      </w:r>
      <w:proofErr w:type="spellStart"/>
      <w:r w:rsidRPr="001D1CD5">
        <w:rPr>
          <w:rFonts w:asciiTheme="minorHAnsi" w:hAnsiTheme="minorHAnsi" w:cs="Arial"/>
          <w:i/>
        </w:rPr>
        <w:t>45E</w:t>
      </w:r>
      <w:proofErr w:type="spellEnd"/>
      <w:r w:rsidRPr="001D1CD5">
        <w:rPr>
          <w:rFonts w:asciiTheme="minorHAnsi" w:hAnsiTheme="minorHAnsi" w:cs="Arial"/>
          <w:i/>
        </w:rPr>
        <w:t xml:space="preserve"> and </w:t>
      </w:r>
      <w:proofErr w:type="spellStart"/>
      <w:r w:rsidRPr="001D1CD5">
        <w:rPr>
          <w:rFonts w:asciiTheme="minorHAnsi" w:hAnsiTheme="minorHAnsi" w:cs="Arial"/>
          <w:i/>
        </w:rPr>
        <w:t>45EA</w:t>
      </w:r>
      <w:proofErr w:type="spellEnd"/>
      <w:r w:rsidRPr="001D1CD5">
        <w:rPr>
          <w:rFonts w:asciiTheme="minorHAnsi" w:hAnsiTheme="minorHAnsi" w:cs="Arial"/>
          <w:i/>
        </w:rPr>
        <w:t xml:space="preserve"> should be the same as that applying to other breaches of the CC Act.</w:t>
      </w:r>
      <w:r w:rsidRPr="001D1CD5">
        <w:rPr>
          <w:rStyle w:val="FootnoteReference"/>
          <w:rFonts w:asciiTheme="minorHAnsi" w:hAnsiTheme="minorHAnsi" w:cs="Arial"/>
          <w:i/>
        </w:rPr>
        <w:footnoteReference w:id="23"/>
      </w:r>
    </w:p>
    <w:p w14:paraId="032E2E2A" w14:textId="31EA7666" w:rsidR="008F0DDE" w:rsidRPr="001D1CD5" w:rsidRDefault="008F0DDE" w:rsidP="00A767CA">
      <w:pPr>
        <w:spacing w:after="240" w:line="276" w:lineRule="auto"/>
        <w:jc w:val="both"/>
        <w:rPr>
          <w:rFonts w:asciiTheme="minorHAnsi" w:hAnsiTheme="minorHAnsi"/>
          <w:lang w:eastAsia="en-AU"/>
        </w:rPr>
      </w:pPr>
      <w:r w:rsidRPr="001D1CD5">
        <w:rPr>
          <w:rFonts w:asciiTheme="minorHAnsi" w:hAnsiTheme="minorHAnsi"/>
          <w:lang w:eastAsia="en-AU"/>
        </w:rPr>
        <w:t>With regard to the Information Request on page 783 of the Draft Report:</w:t>
      </w:r>
    </w:p>
    <w:p w14:paraId="102C500C" w14:textId="59057325" w:rsidR="00ED3872" w:rsidRPr="001D1CD5" w:rsidRDefault="00ED3872" w:rsidP="00FE0A2F">
      <w:pPr>
        <w:pStyle w:val="ListParagraph"/>
        <w:numPr>
          <w:ilvl w:val="0"/>
          <w:numId w:val="36"/>
        </w:numPr>
        <w:spacing w:after="240" w:line="276" w:lineRule="auto"/>
        <w:jc w:val="both"/>
        <w:rPr>
          <w:rFonts w:asciiTheme="minorHAnsi" w:hAnsiTheme="minorHAnsi"/>
        </w:rPr>
      </w:pPr>
      <w:r w:rsidRPr="001D1CD5">
        <w:rPr>
          <w:rFonts w:asciiTheme="minorHAnsi" w:hAnsiTheme="minorHAnsi"/>
        </w:rPr>
        <w:t xml:space="preserve">Ai Group </w:t>
      </w:r>
      <w:r w:rsidR="00A767CA" w:rsidRPr="001D1CD5">
        <w:rPr>
          <w:rFonts w:asciiTheme="minorHAnsi" w:hAnsiTheme="minorHAnsi"/>
        </w:rPr>
        <w:t>r</w:t>
      </w:r>
      <w:r w:rsidRPr="001D1CD5">
        <w:rPr>
          <w:rFonts w:asciiTheme="minorHAnsi" w:hAnsiTheme="minorHAnsi"/>
        </w:rPr>
        <w:t xml:space="preserve">egards the changes discussed in the above extract to </w:t>
      </w:r>
      <w:proofErr w:type="spellStart"/>
      <w:r w:rsidRPr="001D1CD5">
        <w:rPr>
          <w:rFonts w:asciiTheme="minorHAnsi" w:hAnsiTheme="minorHAnsi"/>
        </w:rPr>
        <w:t>s.45E</w:t>
      </w:r>
      <w:proofErr w:type="spellEnd"/>
      <w:r w:rsidRPr="001D1CD5">
        <w:rPr>
          <w:rFonts w:asciiTheme="minorHAnsi" w:hAnsiTheme="minorHAnsi"/>
        </w:rPr>
        <w:t xml:space="preserve"> and </w:t>
      </w:r>
      <w:proofErr w:type="spellStart"/>
      <w:r w:rsidRPr="001D1CD5">
        <w:rPr>
          <w:rFonts w:asciiTheme="minorHAnsi" w:hAnsiTheme="minorHAnsi"/>
        </w:rPr>
        <w:t>45EA</w:t>
      </w:r>
      <w:proofErr w:type="spellEnd"/>
      <w:r w:rsidRPr="001D1CD5">
        <w:rPr>
          <w:rFonts w:asciiTheme="minorHAnsi" w:hAnsiTheme="minorHAnsi"/>
        </w:rPr>
        <w:t xml:space="preserve"> as more important</w:t>
      </w:r>
      <w:r w:rsidR="00A767CA" w:rsidRPr="001D1CD5">
        <w:rPr>
          <w:rFonts w:asciiTheme="minorHAnsi" w:hAnsiTheme="minorHAnsi"/>
        </w:rPr>
        <w:t xml:space="preserve"> than modifications to </w:t>
      </w:r>
      <w:proofErr w:type="spellStart"/>
      <w:r w:rsidR="00A767CA" w:rsidRPr="001D1CD5">
        <w:rPr>
          <w:rFonts w:asciiTheme="minorHAnsi" w:hAnsiTheme="minorHAnsi"/>
        </w:rPr>
        <w:t>s.45DD</w:t>
      </w:r>
      <w:proofErr w:type="spellEnd"/>
      <w:r w:rsidR="00A767CA" w:rsidRPr="001D1CD5">
        <w:rPr>
          <w:rFonts w:asciiTheme="minorHAnsi" w:hAnsiTheme="minorHAnsi"/>
        </w:rPr>
        <w:t>(1) and (2)</w:t>
      </w:r>
      <w:r w:rsidRPr="001D1CD5">
        <w:rPr>
          <w:rFonts w:asciiTheme="minorHAnsi" w:hAnsiTheme="minorHAnsi"/>
        </w:rPr>
        <w:t>; and</w:t>
      </w:r>
    </w:p>
    <w:p w14:paraId="13AEBF38" w14:textId="2F34782E" w:rsidR="008F0DDE" w:rsidRPr="001D1CD5" w:rsidRDefault="008F0DDE" w:rsidP="00FE0A2F">
      <w:pPr>
        <w:pStyle w:val="ListParagraph"/>
        <w:numPr>
          <w:ilvl w:val="0"/>
          <w:numId w:val="36"/>
        </w:numPr>
        <w:spacing w:after="240" w:line="276" w:lineRule="auto"/>
        <w:jc w:val="both"/>
        <w:rPr>
          <w:rFonts w:asciiTheme="minorHAnsi" w:hAnsiTheme="minorHAnsi"/>
        </w:rPr>
      </w:pPr>
      <w:r w:rsidRPr="001D1CD5">
        <w:rPr>
          <w:rFonts w:asciiTheme="minorHAnsi" w:hAnsiTheme="minorHAnsi"/>
        </w:rPr>
        <w:t xml:space="preserve">As </w:t>
      </w:r>
      <w:r w:rsidR="00A767CA" w:rsidRPr="001D1CD5">
        <w:rPr>
          <w:rFonts w:asciiTheme="minorHAnsi" w:hAnsiTheme="minorHAnsi"/>
        </w:rPr>
        <w:t xml:space="preserve">discussed </w:t>
      </w:r>
      <w:r w:rsidRPr="001D1CD5">
        <w:rPr>
          <w:rFonts w:asciiTheme="minorHAnsi" w:hAnsiTheme="minorHAnsi"/>
        </w:rPr>
        <w:t xml:space="preserve">in the above extract, </w:t>
      </w:r>
      <w:r w:rsidR="00ED3872" w:rsidRPr="001D1CD5">
        <w:rPr>
          <w:rFonts w:asciiTheme="minorHAnsi" w:hAnsiTheme="minorHAnsi"/>
        </w:rPr>
        <w:t>Ai Group supports Fair Work Building and Construction being granted a shared jurisdiction to investigate and enforce secondary boycott provisions in the building and construction industry.</w:t>
      </w:r>
    </w:p>
    <w:p w14:paraId="4B45EE65" w14:textId="7DCCD45D" w:rsidR="00D23AFA" w:rsidRPr="001D1CD5" w:rsidRDefault="00D979F2" w:rsidP="00682B31">
      <w:pPr>
        <w:pStyle w:val="Heading1"/>
        <w:spacing w:before="0" w:after="240" w:line="276" w:lineRule="auto"/>
        <w:ind w:left="709" w:hanging="709"/>
        <w:jc w:val="both"/>
        <w:rPr>
          <w:rFonts w:asciiTheme="minorHAnsi" w:eastAsia="Calibri" w:hAnsiTheme="minorHAnsi" w:cs="Calibri"/>
          <w:color w:val="451E51"/>
          <w:sz w:val="36"/>
          <w:szCs w:val="36"/>
          <w:u w:color="0070C0"/>
          <w:lang w:eastAsia="en-AU"/>
        </w:rPr>
      </w:pPr>
      <w:r w:rsidRPr="001D1CD5">
        <w:rPr>
          <w:rFonts w:asciiTheme="minorHAnsi" w:eastAsia="Calibri" w:hAnsiTheme="minorHAnsi" w:cs="Calibri"/>
          <w:color w:val="451E51"/>
          <w:sz w:val="36"/>
          <w:szCs w:val="36"/>
          <w:u w:color="0070C0"/>
          <w:lang w:eastAsia="en-AU"/>
        </w:rPr>
        <w:t xml:space="preserve">25. </w:t>
      </w:r>
      <w:r w:rsidRPr="001D1CD5">
        <w:rPr>
          <w:rFonts w:asciiTheme="minorHAnsi" w:eastAsia="Calibri" w:hAnsiTheme="minorHAnsi" w:cs="Calibri"/>
          <w:color w:val="451E51"/>
          <w:sz w:val="36"/>
          <w:szCs w:val="36"/>
          <w:u w:color="0070C0"/>
          <w:lang w:eastAsia="en-AU"/>
        </w:rPr>
        <w:tab/>
        <w:t>Compliance costs</w:t>
      </w:r>
    </w:p>
    <w:p w14:paraId="1B8EEF8E" w14:textId="74169D2B" w:rsidR="00682B31" w:rsidRPr="001D1CD5" w:rsidRDefault="00532427" w:rsidP="00604FFC">
      <w:pPr>
        <w:spacing w:after="240" w:line="276" w:lineRule="auto"/>
        <w:jc w:val="both"/>
        <w:rPr>
          <w:rFonts w:asciiTheme="minorHAnsi" w:eastAsia="Calibri" w:hAnsiTheme="minorHAnsi"/>
        </w:rPr>
      </w:pPr>
      <w:r w:rsidRPr="001D1CD5">
        <w:rPr>
          <w:rFonts w:asciiTheme="minorHAnsi" w:hAnsiTheme="minorHAnsi"/>
          <w:lang w:eastAsia="en-AU"/>
        </w:rPr>
        <w:t>The cost</w:t>
      </w:r>
      <w:r w:rsidR="00682B31" w:rsidRPr="001D1CD5">
        <w:rPr>
          <w:rFonts w:asciiTheme="minorHAnsi" w:hAnsiTheme="minorHAnsi"/>
          <w:lang w:eastAsia="en-AU"/>
        </w:rPr>
        <w:t>s</w:t>
      </w:r>
      <w:r w:rsidRPr="001D1CD5">
        <w:rPr>
          <w:rFonts w:asciiTheme="minorHAnsi" w:hAnsiTheme="minorHAnsi"/>
          <w:lang w:eastAsia="en-AU"/>
        </w:rPr>
        <w:t xml:space="preserve"> of complying with the FW Act and the modern award system </w:t>
      </w:r>
      <w:r w:rsidR="00682B31" w:rsidRPr="001D1CD5">
        <w:rPr>
          <w:rFonts w:asciiTheme="minorHAnsi" w:hAnsiTheme="minorHAnsi"/>
          <w:lang w:eastAsia="en-AU"/>
        </w:rPr>
        <w:t>are</w:t>
      </w:r>
      <w:r w:rsidRPr="001D1CD5">
        <w:rPr>
          <w:rFonts w:asciiTheme="minorHAnsi" w:hAnsiTheme="minorHAnsi"/>
          <w:lang w:eastAsia="en-AU"/>
        </w:rPr>
        <w:t xml:space="preserve"> </w:t>
      </w:r>
      <w:r w:rsidR="00682B31" w:rsidRPr="001D1CD5">
        <w:rPr>
          <w:rFonts w:asciiTheme="minorHAnsi" w:hAnsiTheme="minorHAnsi"/>
          <w:lang w:eastAsia="en-AU"/>
        </w:rPr>
        <w:t>unacceptably high f</w:t>
      </w:r>
      <w:r w:rsidRPr="001D1CD5">
        <w:rPr>
          <w:rFonts w:asciiTheme="minorHAnsi" w:hAnsiTheme="minorHAnsi"/>
          <w:lang w:eastAsia="en-AU"/>
        </w:rPr>
        <w:t xml:space="preserve">or </w:t>
      </w:r>
      <w:r w:rsidR="00682B31" w:rsidRPr="001D1CD5">
        <w:rPr>
          <w:rFonts w:asciiTheme="minorHAnsi" w:hAnsiTheme="minorHAnsi"/>
          <w:lang w:eastAsia="en-AU"/>
        </w:rPr>
        <w:t>businesses.</w:t>
      </w:r>
      <w:r w:rsidRPr="001D1CD5">
        <w:rPr>
          <w:rFonts w:asciiTheme="minorHAnsi" w:hAnsiTheme="minorHAnsi"/>
          <w:lang w:eastAsia="en-AU"/>
        </w:rPr>
        <w:t xml:space="preserve">  </w:t>
      </w:r>
    </w:p>
    <w:p w14:paraId="4F17C2AB" w14:textId="0ED6B9B2" w:rsidR="00152A8B" w:rsidRPr="001D1CD5" w:rsidRDefault="00F26D5B" w:rsidP="00604FFC">
      <w:pPr>
        <w:widowControl w:val="0"/>
        <w:spacing w:after="240" w:line="276" w:lineRule="auto"/>
        <w:jc w:val="both"/>
        <w:rPr>
          <w:rFonts w:asciiTheme="minorHAnsi" w:hAnsiTheme="minorHAnsi" w:cs="Helvetica"/>
        </w:rPr>
      </w:pPr>
      <w:r w:rsidRPr="001D1CD5">
        <w:rPr>
          <w:rFonts w:asciiTheme="minorHAnsi" w:hAnsiTheme="minorHAnsi" w:cs="Helvetica"/>
        </w:rPr>
        <w:t xml:space="preserve">In Ai Group’s </w:t>
      </w:r>
      <w:r w:rsidRPr="001D1CD5">
        <w:rPr>
          <w:rFonts w:asciiTheme="minorHAnsi" w:hAnsiTheme="minorHAnsi" w:cs="Helvetica"/>
          <w:i/>
        </w:rPr>
        <w:t>National Survey of Regulatory Burden 2014</w:t>
      </w:r>
      <w:r w:rsidRPr="001D1CD5">
        <w:rPr>
          <w:rFonts w:asciiTheme="minorHAnsi" w:hAnsiTheme="minorHAnsi" w:cs="Helvetica"/>
        </w:rPr>
        <w:t>,</w:t>
      </w:r>
      <w:r w:rsidR="00152A8B" w:rsidRPr="001D1CD5">
        <w:rPr>
          <w:rFonts w:asciiTheme="minorHAnsi" w:hAnsiTheme="minorHAnsi" w:cs="Helvetica"/>
        </w:rPr>
        <w:t xml:space="preserve"> Australian CEOs generally expect</w:t>
      </w:r>
      <w:r w:rsidRPr="001D1CD5">
        <w:rPr>
          <w:rFonts w:asciiTheme="minorHAnsi" w:hAnsiTheme="minorHAnsi" w:cs="Helvetica"/>
        </w:rPr>
        <w:t>ed</w:t>
      </w:r>
      <w:r w:rsidR="00152A8B" w:rsidRPr="001D1CD5">
        <w:rPr>
          <w:rFonts w:asciiTheme="minorHAnsi" w:hAnsiTheme="minorHAnsi" w:cs="Helvetica"/>
        </w:rPr>
        <w:t xml:space="preserve"> various government regulations to place a medium to high cost on their businesses in 2014 (Chart 1). In particular:</w:t>
      </w:r>
    </w:p>
    <w:p w14:paraId="5D93F84E" w14:textId="634FE245" w:rsidR="00152A8B" w:rsidRPr="001D1CD5" w:rsidRDefault="00152A8B" w:rsidP="00D65246">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Theme="minorHAnsi" w:hAnsiTheme="minorHAnsi" w:cs="Helvetica"/>
        </w:rPr>
      </w:pPr>
      <w:r w:rsidRPr="001D1CD5">
        <w:rPr>
          <w:rFonts w:asciiTheme="minorHAnsi" w:hAnsiTheme="minorHAnsi" w:cs="Helvetica"/>
        </w:rPr>
        <w:lastRenderedPageBreak/>
        <w:t xml:space="preserve">The areas of industrial relations, employment, </w:t>
      </w:r>
      <w:proofErr w:type="spellStart"/>
      <w:r w:rsidRPr="001D1CD5">
        <w:rPr>
          <w:rFonts w:asciiTheme="minorHAnsi" w:hAnsiTheme="minorHAnsi" w:cs="Helvetica"/>
        </w:rPr>
        <w:t>workcover</w:t>
      </w:r>
      <w:proofErr w:type="spellEnd"/>
      <w:r w:rsidRPr="001D1CD5">
        <w:rPr>
          <w:rFonts w:asciiTheme="minorHAnsi" w:hAnsiTheme="minorHAnsi" w:cs="Helvetica"/>
        </w:rPr>
        <w:t xml:space="preserve"> and </w:t>
      </w:r>
      <w:proofErr w:type="spellStart"/>
      <w:r w:rsidRPr="001D1CD5">
        <w:rPr>
          <w:rFonts w:asciiTheme="minorHAnsi" w:hAnsiTheme="minorHAnsi" w:cs="Helvetica"/>
        </w:rPr>
        <w:t>OH&amp;S</w:t>
      </w:r>
      <w:proofErr w:type="spellEnd"/>
      <w:r w:rsidRPr="001D1CD5">
        <w:rPr>
          <w:rFonts w:asciiTheme="minorHAnsi" w:hAnsiTheme="minorHAnsi" w:cs="Helvetica"/>
        </w:rPr>
        <w:t xml:space="preserve"> </w:t>
      </w:r>
      <w:r w:rsidR="00F26D5B" w:rsidRPr="001D1CD5">
        <w:rPr>
          <w:rFonts w:asciiTheme="minorHAnsi" w:hAnsiTheme="minorHAnsi" w:cs="Helvetica"/>
        </w:rPr>
        <w:t>we</w:t>
      </w:r>
      <w:r w:rsidRPr="001D1CD5">
        <w:rPr>
          <w:rFonts w:asciiTheme="minorHAnsi" w:hAnsiTheme="minorHAnsi" w:cs="Helvetica"/>
        </w:rPr>
        <w:t xml:space="preserve">re expected to place the largest burden on businesses in 2014, with 83% of CEOs stating the associated regulatory cost burden in these areas </w:t>
      </w:r>
      <w:r w:rsidR="00F26D5B" w:rsidRPr="001D1CD5">
        <w:rPr>
          <w:rFonts w:asciiTheme="minorHAnsi" w:hAnsiTheme="minorHAnsi" w:cs="Helvetica"/>
        </w:rPr>
        <w:t>wa</w:t>
      </w:r>
      <w:r w:rsidRPr="001D1CD5">
        <w:rPr>
          <w:rFonts w:asciiTheme="minorHAnsi" w:hAnsiTheme="minorHAnsi" w:cs="Helvetica"/>
        </w:rPr>
        <w:t>s medium or high.</w:t>
      </w:r>
    </w:p>
    <w:p w14:paraId="10A9AE8B" w14:textId="16BB9DF4" w:rsidR="00152A8B" w:rsidRPr="001D1CD5" w:rsidRDefault="00152A8B" w:rsidP="00D65246">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Theme="minorHAnsi" w:hAnsiTheme="minorHAnsi" w:cs="Helvetica"/>
        </w:rPr>
      </w:pPr>
      <w:r w:rsidRPr="001D1CD5">
        <w:rPr>
          <w:rFonts w:asciiTheme="minorHAnsi" w:hAnsiTheme="minorHAnsi" w:cs="Helvetica"/>
        </w:rPr>
        <w:t xml:space="preserve">Compliance with payroll and other state taxes (68%), as well as national company taxes and </w:t>
      </w:r>
      <w:proofErr w:type="spellStart"/>
      <w:r w:rsidRPr="001D1CD5">
        <w:rPr>
          <w:rFonts w:asciiTheme="minorHAnsi" w:hAnsiTheme="minorHAnsi" w:cs="Helvetica"/>
        </w:rPr>
        <w:t>GST</w:t>
      </w:r>
      <w:proofErr w:type="spellEnd"/>
      <w:r w:rsidRPr="001D1CD5">
        <w:rPr>
          <w:rFonts w:asciiTheme="minorHAnsi" w:hAnsiTheme="minorHAnsi" w:cs="Helvetica"/>
        </w:rPr>
        <w:t xml:space="preserve"> compliance </w:t>
      </w:r>
      <w:r w:rsidR="00F26D5B" w:rsidRPr="001D1CD5">
        <w:rPr>
          <w:rFonts w:asciiTheme="minorHAnsi" w:hAnsiTheme="minorHAnsi" w:cs="Helvetica"/>
        </w:rPr>
        <w:t>(64%), wa</w:t>
      </w:r>
      <w:r w:rsidRPr="001D1CD5">
        <w:rPr>
          <w:rFonts w:asciiTheme="minorHAnsi" w:hAnsiTheme="minorHAnsi" w:cs="Helvetica"/>
        </w:rPr>
        <w:t>s also assessed as placing a medium or high cost on business in 2014.</w:t>
      </w:r>
    </w:p>
    <w:p w14:paraId="5899B4AE" w14:textId="77777777" w:rsidR="00152A8B" w:rsidRPr="001D1CD5" w:rsidRDefault="00152A8B" w:rsidP="00152A8B">
      <w:pPr>
        <w:spacing w:after="120" w:line="276" w:lineRule="auto"/>
        <w:ind w:left="-284" w:right="-346"/>
        <w:jc w:val="center"/>
        <w:rPr>
          <w:noProof/>
          <w:lang w:eastAsia="en-AU"/>
        </w:rPr>
      </w:pPr>
      <w:r w:rsidRPr="001D1CD5">
        <w:rPr>
          <w:rFonts w:ascii="Helvetica" w:hAnsi="Helvetica" w:cs="Helvetica"/>
          <w:b/>
          <w:color w:val="451E51"/>
          <w:sz w:val="20"/>
          <w:szCs w:val="18"/>
        </w:rPr>
        <w:t>Chart 1:</w:t>
      </w:r>
      <w:r w:rsidRPr="001D1CD5">
        <w:rPr>
          <w:rFonts w:ascii="Helvetica" w:hAnsi="Helvetica" w:cs="Helvetica"/>
          <w:b/>
          <w:color w:val="451E51"/>
          <w:sz w:val="20"/>
          <w:szCs w:val="18"/>
        </w:rPr>
        <w:tab/>
        <w:t>Expected degree of regulatory burden in 2014</w:t>
      </w:r>
      <w:r w:rsidRPr="001D1CD5">
        <w:rPr>
          <w:noProof/>
          <w:color w:val="451E51"/>
          <w:lang w:eastAsia="en-AU"/>
        </w:rPr>
        <w:t xml:space="preserve"> </w:t>
      </w:r>
      <w:r w:rsidRPr="001D1CD5">
        <w:rPr>
          <w:noProof/>
          <w:lang w:val="en-AU" w:eastAsia="en-AU"/>
        </w:rPr>
        <w:drawing>
          <wp:inline distT="0" distB="0" distL="0" distR="0" wp14:anchorId="44765B6E" wp14:editId="0B9E5931">
            <wp:extent cx="3868022" cy="2520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3868022" cy="2520000"/>
                    </a:xfrm>
                    <a:prstGeom prst="rect">
                      <a:avLst/>
                    </a:prstGeom>
                  </pic:spPr>
                </pic:pic>
              </a:graphicData>
            </a:graphic>
          </wp:inline>
        </w:drawing>
      </w:r>
    </w:p>
    <w:p w14:paraId="1BB55B2B" w14:textId="77777777" w:rsidR="00152A8B" w:rsidRPr="001D1CD5" w:rsidRDefault="00152A8B" w:rsidP="00F26D5B">
      <w:pPr>
        <w:pStyle w:val="Default"/>
        <w:spacing w:line="276" w:lineRule="auto"/>
        <w:jc w:val="center"/>
        <w:rPr>
          <w:rFonts w:asciiTheme="minorHAnsi" w:hAnsiTheme="minorHAnsi" w:cs="Helvetica"/>
          <w:sz w:val="20"/>
          <w:szCs w:val="20"/>
        </w:rPr>
      </w:pPr>
      <w:r w:rsidRPr="001D1CD5">
        <w:rPr>
          <w:rFonts w:asciiTheme="minorHAnsi" w:hAnsiTheme="minorHAnsi"/>
          <w:sz w:val="20"/>
          <w:szCs w:val="20"/>
        </w:rPr>
        <w:t>Source: Ai Group, 2014.</w:t>
      </w:r>
    </w:p>
    <w:p w14:paraId="17773FF0" w14:textId="77777777" w:rsidR="00152A8B" w:rsidRPr="001D1CD5" w:rsidRDefault="00152A8B" w:rsidP="00F26D5B">
      <w:pPr>
        <w:widowControl w:val="0"/>
        <w:spacing w:after="240" w:line="276" w:lineRule="auto"/>
        <w:jc w:val="both"/>
        <w:rPr>
          <w:rFonts w:asciiTheme="minorHAnsi" w:hAnsiTheme="minorHAnsi" w:cs="Helvetica"/>
        </w:rPr>
      </w:pPr>
      <w:r w:rsidRPr="001D1CD5">
        <w:rPr>
          <w:rFonts w:asciiTheme="minorHAnsi" w:hAnsiTheme="minorHAnsi" w:cs="Helvetica"/>
        </w:rPr>
        <w:t>Across the major industry sectors in 2014:</w:t>
      </w:r>
    </w:p>
    <w:p w14:paraId="54DCA052" w14:textId="755F3108" w:rsidR="00152A8B" w:rsidRPr="001D1CD5" w:rsidRDefault="00152A8B" w:rsidP="00D65246">
      <w:pPr>
        <w:pStyle w:val="ListParagraph"/>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Theme="minorHAnsi" w:hAnsiTheme="minorHAnsi" w:cs="Helvetica"/>
        </w:rPr>
      </w:pPr>
      <w:r w:rsidRPr="001D1CD5">
        <w:rPr>
          <w:rFonts w:asciiTheme="minorHAnsi" w:hAnsiTheme="minorHAnsi" w:cs="Helvetica"/>
        </w:rPr>
        <w:t xml:space="preserve">Manufacturing businesses </w:t>
      </w:r>
      <w:r w:rsidR="00604FFC" w:rsidRPr="001D1CD5">
        <w:rPr>
          <w:rFonts w:asciiTheme="minorHAnsi" w:hAnsiTheme="minorHAnsi" w:cs="Helvetica"/>
        </w:rPr>
        <w:t>said</w:t>
      </w:r>
      <w:r w:rsidRPr="001D1CD5">
        <w:rPr>
          <w:rFonts w:asciiTheme="minorHAnsi" w:hAnsiTheme="minorHAnsi" w:cs="Helvetica"/>
        </w:rPr>
        <w:t xml:space="preserve"> they face a medium to high degree of regulatory burden from industrial relations and </w:t>
      </w:r>
      <w:proofErr w:type="spellStart"/>
      <w:r w:rsidRPr="001D1CD5">
        <w:rPr>
          <w:rFonts w:asciiTheme="minorHAnsi" w:hAnsiTheme="minorHAnsi" w:cs="Helvetica"/>
        </w:rPr>
        <w:t>OH&amp;S</w:t>
      </w:r>
      <w:proofErr w:type="spellEnd"/>
      <w:r w:rsidRPr="001D1CD5">
        <w:rPr>
          <w:rFonts w:asciiTheme="minorHAnsi" w:hAnsiTheme="minorHAnsi" w:cs="Helvetica"/>
        </w:rPr>
        <w:t xml:space="preserve"> (85%), payroll and other state taxes (70%), national company taxes and </w:t>
      </w:r>
      <w:proofErr w:type="spellStart"/>
      <w:r w:rsidRPr="001D1CD5">
        <w:rPr>
          <w:rFonts w:asciiTheme="minorHAnsi" w:hAnsiTheme="minorHAnsi" w:cs="Helvetica"/>
        </w:rPr>
        <w:t>GST</w:t>
      </w:r>
      <w:proofErr w:type="spellEnd"/>
      <w:r w:rsidRPr="001D1CD5">
        <w:rPr>
          <w:rFonts w:asciiTheme="minorHAnsi" w:hAnsiTheme="minorHAnsi" w:cs="Helvetica"/>
        </w:rPr>
        <w:t xml:space="preserve"> (67%) and environment and energy (55%) related regulations in 2014.</w:t>
      </w:r>
    </w:p>
    <w:p w14:paraId="2EFF443B" w14:textId="38A32A28" w:rsidR="00152A8B" w:rsidRPr="001D1CD5" w:rsidRDefault="00152A8B" w:rsidP="00D65246">
      <w:pPr>
        <w:pStyle w:val="ListParagraph"/>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Theme="minorHAnsi" w:hAnsiTheme="minorHAnsi" w:cs="Helvetica"/>
        </w:rPr>
      </w:pPr>
      <w:r w:rsidRPr="001D1CD5">
        <w:rPr>
          <w:rFonts w:asciiTheme="minorHAnsi" w:hAnsiTheme="minorHAnsi" w:cs="Helvetica"/>
        </w:rPr>
        <w:t xml:space="preserve">Among services businesses, industrial relations and </w:t>
      </w:r>
      <w:proofErr w:type="spellStart"/>
      <w:r w:rsidRPr="001D1CD5">
        <w:rPr>
          <w:rFonts w:asciiTheme="minorHAnsi" w:hAnsiTheme="minorHAnsi" w:cs="Helvetica"/>
        </w:rPr>
        <w:t>OH&amp;S</w:t>
      </w:r>
      <w:proofErr w:type="spellEnd"/>
      <w:r w:rsidRPr="001D1CD5">
        <w:rPr>
          <w:rFonts w:asciiTheme="minorHAnsi" w:hAnsiTheme="minorHAnsi" w:cs="Helvetica"/>
        </w:rPr>
        <w:t xml:space="preserve"> (80%), payroll and state taxes (65%) and nation</w:t>
      </w:r>
      <w:r w:rsidR="00604FFC" w:rsidRPr="001D1CD5">
        <w:rPr>
          <w:rFonts w:asciiTheme="minorHAnsi" w:hAnsiTheme="minorHAnsi" w:cs="Helvetica"/>
        </w:rPr>
        <w:t xml:space="preserve">al company taxes and </w:t>
      </w:r>
      <w:proofErr w:type="spellStart"/>
      <w:r w:rsidR="00604FFC" w:rsidRPr="001D1CD5">
        <w:rPr>
          <w:rFonts w:asciiTheme="minorHAnsi" w:hAnsiTheme="minorHAnsi" w:cs="Helvetica"/>
        </w:rPr>
        <w:t>GST</w:t>
      </w:r>
      <w:proofErr w:type="spellEnd"/>
      <w:r w:rsidR="00604FFC" w:rsidRPr="001D1CD5">
        <w:rPr>
          <w:rFonts w:asciiTheme="minorHAnsi" w:hAnsiTheme="minorHAnsi" w:cs="Helvetica"/>
        </w:rPr>
        <w:t xml:space="preserve"> (58%) we</w:t>
      </w:r>
      <w:r w:rsidRPr="001D1CD5">
        <w:rPr>
          <w:rFonts w:asciiTheme="minorHAnsi" w:hAnsiTheme="minorHAnsi" w:cs="Helvetica"/>
        </w:rPr>
        <w:t xml:space="preserve">re the most likely areas to impose a medium to high burden. </w:t>
      </w:r>
    </w:p>
    <w:p w14:paraId="11E94821" w14:textId="5861C89C" w:rsidR="00152A8B" w:rsidRPr="001D1CD5" w:rsidRDefault="00152A8B" w:rsidP="00D65246">
      <w:pPr>
        <w:pStyle w:val="ListParagraph"/>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Theme="minorHAnsi" w:hAnsiTheme="minorHAnsi" w:cs="Helvetica"/>
        </w:rPr>
      </w:pPr>
      <w:r w:rsidRPr="001D1CD5">
        <w:rPr>
          <w:rFonts w:asciiTheme="minorHAnsi" w:hAnsiTheme="minorHAnsi" w:cs="Helvetica"/>
        </w:rPr>
        <w:t xml:space="preserve">Construction sector CEOs </w:t>
      </w:r>
      <w:r w:rsidR="00604FFC" w:rsidRPr="001D1CD5">
        <w:rPr>
          <w:rFonts w:asciiTheme="minorHAnsi" w:hAnsiTheme="minorHAnsi" w:cs="Helvetica"/>
        </w:rPr>
        <w:t>said</w:t>
      </w:r>
      <w:r w:rsidRPr="001D1CD5">
        <w:rPr>
          <w:rFonts w:asciiTheme="minorHAnsi" w:hAnsiTheme="minorHAnsi" w:cs="Helvetica"/>
        </w:rPr>
        <w:t xml:space="preserve"> they experience a medium to high regulatory burden as a result of industrial relations and </w:t>
      </w:r>
      <w:proofErr w:type="spellStart"/>
      <w:r w:rsidRPr="001D1CD5">
        <w:rPr>
          <w:rFonts w:asciiTheme="minorHAnsi" w:hAnsiTheme="minorHAnsi" w:cs="Helvetica"/>
        </w:rPr>
        <w:t>OH&amp;S</w:t>
      </w:r>
      <w:proofErr w:type="spellEnd"/>
      <w:r w:rsidRPr="001D1CD5">
        <w:rPr>
          <w:rFonts w:asciiTheme="minorHAnsi" w:hAnsiTheme="minorHAnsi" w:cs="Helvetica"/>
        </w:rPr>
        <w:t xml:space="preserve"> (95%), payroll and other state taxes (79%), as well as national company taxes &amp; </w:t>
      </w:r>
      <w:proofErr w:type="spellStart"/>
      <w:r w:rsidRPr="001D1CD5">
        <w:rPr>
          <w:rFonts w:asciiTheme="minorHAnsi" w:hAnsiTheme="minorHAnsi" w:cs="Helvetica"/>
        </w:rPr>
        <w:t>GST</w:t>
      </w:r>
      <w:proofErr w:type="spellEnd"/>
      <w:r w:rsidRPr="001D1CD5">
        <w:rPr>
          <w:rFonts w:asciiTheme="minorHAnsi" w:hAnsiTheme="minorHAnsi" w:cs="Helvetica"/>
        </w:rPr>
        <w:t xml:space="preserve"> (74%).</w:t>
      </w:r>
    </w:p>
    <w:p w14:paraId="3D80D269" w14:textId="3A59DBEB" w:rsidR="00152A8B" w:rsidRPr="001D1CD5" w:rsidRDefault="00152A8B" w:rsidP="00D65246">
      <w:pPr>
        <w:pStyle w:val="ListParagraph"/>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before="120" w:after="240" w:line="276" w:lineRule="auto"/>
        <w:jc w:val="both"/>
        <w:rPr>
          <w:rFonts w:asciiTheme="minorHAnsi" w:hAnsiTheme="minorHAnsi" w:cs="Helvetica"/>
        </w:rPr>
      </w:pPr>
      <w:r w:rsidRPr="001D1CD5">
        <w:rPr>
          <w:rFonts w:asciiTheme="minorHAnsi" w:hAnsiTheme="minorHAnsi" w:cs="Helvetica"/>
        </w:rPr>
        <w:t>The top three areas of regulatory burden for mining services businesses in 2014 include</w:t>
      </w:r>
      <w:r w:rsidR="00604FFC" w:rsidRPr="001D1CD5">
        <w:rPr>
          <w:rFonts w:asciiTheme="minorHAnsi" w:hAnsiTheme="minorHAnsi" w:cs="Helvetica"/>
        </w:rPr>
        <w:t>d</w:t>
      </w:r>
      <w:r w:rsidRPr="001D1CD5">
        <w:rPr>
          <w:rFonts w:asciiTheme="minorHAnsi" w:hAnsiTheme="minorHAnsi" w:cs="Helvetica"/>
        </w:rPr>
        <w:t xml:space="preserve"> industrial relations and </w:t>
      </w:r>
      <w:proofErr w:type="spellStart"/>
      <w:r w:rsidRPr="001D1CD5">
        <w:rPr>
          <w:rFonts w:asciiTheme="minorHAnsi" w:hAnsiTheme="minorHAnsi" w:cs="Helvetica"/>
        </w:rPr>
        <w:t>OH&amp;S</w:t>
      </w:r>
      <w:proofErr w:type="spellEnd"/>
      <w:r w:rsidRPr="001D1CD5">
        <w:rPr>
          <w:rFonts w:asciiTheme="minorHAnsi" w:hAnsiTheme="minorHAnsi" w:cs="Helvetica"/>
        </w:rPr>
        <w:t xml:space="preserve"> (69%), payroll and state taxes (62%) and national taxes (62%).</w:t>
      </w:r>
    </w:p>
    <w:p w14:paraId="1214D75F" w14:textId="7138C9AD" w:rsidR="00152A8B" w:rsidRPr="001D1CD5" w:rsidRDefault="00152A8B" w:rsidP="00F26D5B">
      <w:pPr>
        <w:widowControl w:val="0"/>
        <w:spacing w:after="240" w:line="276" w:lineRule="auto"/>
        <w:jc w:val="both"/>
        <w:rPr>
          <w:rFonts w:asciiTheme="minorHAnsi" w:hAnsiTheme="minorHAnsi" w:cs="Helvetica"/>
        </w:rPr>
      </w:pPr>
      <w:r w:rsidRPr="001D1CD5">
        <w:rPr>
          <w:rFonts w:asciiTheme="minorHAnsi" w:hAnsiTheme="minorHAnsi" w:cs="Helvetica"/>
        </w:rPr>
        <w:t>When examined by company size, i</w:t>
      </w:r>
      <w:r w:rsidR="00F26D5B" w:rsidRPr="001D1CD5">
        <w:rPr>
          <w:rFonts w:asciiTheme="minorHAnsi" w:hAnsiTheme="minorHAnsi" w:cs="Helvetica"/>
        </w:rPr>
        <w:t xml:space="preserve">ndustrial relations and </w:t>
      </w:r>
      <w:proofErr w:type="spellStart"/>
      <w:r w:rsidR="00F26D5B" w:rsidRPr="001D1CD5">
        <w:rPr>
          <w:rFonts w:asciiTheme="minorHAnsi" w:hAnsiTheme="minorHAnsi" w:cs="Helvetica"/>
        </w:rPr>
        <w:t>OH&amp;S</w:t>
      </w:r>
      <w:proofErr w:type="spellEnd"/>
      <w:r w:rsidR="00F26D5B" w:rsidRPr="001D1CD5">
        <w:rPr>
          <w:rFonts w:asciiTheme="minorHAnsi" w:hAnsiTheme="minorHAnsi" w:cs="Helvetica"/>
        </w:rPr>
        <w:t xml:space="preserve"> wa</w:t>
      </w:r>
      <w:r w:rsidRPr="001D1CD5">
        <w:rPr>
          <w:rFonts w:asciiTheme="minorHAnsi" w:hAnsiTheme="minorHAnsi" w:cs="Helvetica"/>
        </w:rPr>
        <w:t xml:space="preserve">s nominated as the single largest area of regulatory burden by both large (100 employees or more) </w:t>
      </w:r>
      <w:r w:rsidR="00604FFC" w:rsidRPr="001D1CD5">
        <w:rPr>
          <w:rFonts w:asciiTheme="minorHAnsi" w:hAnsiTheme="minorHAnsi" w:cs="Helvetica"/>
        </w:rPr>
        <w:t xml:space="preserve">(Chart 2) </w:t>
      </w:r>
      <w:r w:rsidRPr="001D1CD5">
        <w:rPr>
          <w:rFonts w:asciiTheme="minorHAnsi" w:hAnsiTheme="minorHAnsi" w:cs="Helvetica"/>
        </w:rPr>
        <w:t>and small and medium-sized businesses (less than 100 employees)</w:t>
      </w:r>
      <w:r w:rsidR="00604FFC" w:rsidRPr="001D1CD5">
        <w:rPr>
          <w:rFonts w:asciiTheme="minorHAnsi" w:hAnsiTheme="minorHAnsi" w:cs="Helvetica"/>
        </w:rPr>
        <w:t xml:space="preserve"> (Chart 3)</w:t>
      </w:r>
      <w:r w:rsidRPr="001D1CD5">
        <w:rPr>
          <w:rFonts w:asciiTheme="minorHAnsi" w:hAnsiTheme="minorHAnsi" w:cs="Helvetica"/>
        </w:rPr>
        <w:t xml:space="preserve">. </w:t>
      </w:r>
    </w:p>
    <w:tbl>
      <w:tblPr>
        <w:tblStyle w:val="TableGrid"/>
        <w:tblW w:w="0" w:type="auto"/>
        <w:jc w:val="center"/>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79"/>
        <w:gridCol w:w="4479"/>
      </w:tblGrid>
      <w:tr w:rsidR="00604FFC" w:rsidRPr="001D1CD5" w14:paraId="498B482A" w14:textId="77777777" w:rsidTr="00701439">
        <w:trPr>
          <w:trHeight w:val="3540"/>
          <w:jc w:val="center"/>
        </w:trPr>
        <w:tc>
          <w:tcPr>
            <w:tcW w:w="4479" w:type="dxa"/>
          </w:tcPr>
          <w:p w14:paraId="7291C27F" w14:textId="263009E5" w:rsidR="00604FFC" w:rsidRPr="001D1CD5" w:rsidRDefault="00604FFC" w:rsidP="00701439">
            <w:pPr>
              <w:spacing w:line="276" w:lineRule="auto"/>
              <w:jc w:val="center"/>
              <w:rPr>
                <w:rFonts w:ascii="Helvetica" w:hAnsi="Helvetica"/>
                <w:b/>
                <w:color w:val="451E51"/>
                <w:sz w:val="20"/>
                <w:szCs w:val="18"/>
              </w:rPr>
            </w:pPr>
            <w:r w:rsidRPr="001D1CD5">
              <w:rPr>
                <w:rFonts w:ascii="Helvetica" w:hAnsi="Helvetica"/>
                <w:b/>
                <w:color w:val="451E51"/>
                <w:sz w:val="20"/>
                <w:szCs w:val="18"/>
              </w:rPr>
              <w:lastRenderedPageBreak/>
              <w:t>Chart 2: Expected degree of regulatory burden in 2014, 100 employees or more</w:t>
            </w:r>
          </w:p>
          <w:p w14:paraId="5CDF73E0" w14:textId="77777777" w:rsidR="00604FFC" w:rsidRPr="001D1CD5" w:rsidRDefault="00604FFC" w:rsidP="00701439">
            <w:pPr>
              <w:spacing w:line="276" w:lineRule="auto"/>
              <w:jc w:val="center"/>
              <w:rPr>
                <w:rFonts w:ascii="Helvetica" w:hAnsi="Helvetica"/>
                <w:b/>
                <w:sz w:val="20"/>
                <w:szCs w:val="18"/>
              </w:rPr>
            </w:pPr>
            <w:r w:rsidRPr="001D1CD5">
              <w:rPr>
                <w:noProof/>
                <w:lang w:val="en-AU" w:eastAsia="en-AU"/>
              </w:rPr>
              <w:drawing>
                <wp:inline distT="0" distB="0" distL="0" distR="0" wp14:anchorId="7F5C5A81" wp14:editId="1509129C">
                  <wp:extent cx="2700000" cy="1759038"/>
                  <wp:effectExtent l="0" t="0" r="571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700000" cy="1759038"/>
                          </a:xfrm>
                          <a:prstGeom prst="rect">
                            <a:avLst/>
                          </a:prstGeom>
                        </pic:spPr>
                      </pic:pic>
                    </a:graphicData>
                  </a:graphic>
                </wp:inline>
              </w:drawing>
            </w:r>
          </w:p>
        </w:tc>
        <w:tc>
          <w:tcPr>
            <w:tcW w:w="4479" w:type="dxa"/>
          </w:tcPr>
          <w:p w14:paraId="036D4E3E" w14:textId="1546D45B" w:rsidR="00604FFC" w:rsidRPr="001D1CD5" w:rsidRDefault="00604FFC" w:rsidP="00701439">
            <w:pPr>
              <w:spacing w:line="276" w:lineRule="auto"/>
              <w:ind w:right="-56"/>
              <w:jc w:val="center"/>
              <w:rPr>
                <w:rFonts w:ascii="Helvetica" w:hAnsi="Helvetica"/>
                <w:b/>
                <w:color w:val="451E51"/>
                <w:sz w:val="20"/>
                <w:szCs w:val="18"/>
              </w:rPr>
            </w:pPr>
            <w:r w:rsidRPr="001D1CD5">
              <w:rPr>
                <w:rFonts w:ascii="Helvetica" w:hAnsi="Helvetica"/>
                <w:b/>
                <w:color w:val="451E51"/>
                <w:sz w:val="20"/>
                <w:szCs w:val="18"/>
              </w:rPr>
              <w:t>Chart 3: Expected degree of regulatory burden in 2014, fewer than 100 employees</w:t>
            </w:r>
          </w:p>
          <w:p w14:paraId="135F494A" w14:textId="77777777" w:rsidR="00604FFC" w:rsidRPr="001D1CD5" w:rsidRDefault="00604FFC" w:rsidP="00701439">
            <w:pPr>
              <w:spacing w:line="276" w:lineRule="auto"/>
              <w:ind w:right="-56"/>
              <w:jc w:val="center"/>
              <w:rPr>
                <w:rFonts w:ascii="Helvetica" w:hAnsi="Helvetica"/>
                <w:b/>
                <w:sz w:val="20"/>
                <w:szCs w:val="18"/>
              </w:rPr>
            </w:pPr>
            <w:r w:rsidRPr="001D1CD5">
              <w:rPr>
                <w:noProof/>
                <w:lang w:val="en-AU" w:eastAsia="en-AU"/>
              </w:rPr>
              <w:drawing>
                <wp:inline distT="0" distB="0" distL="0" distR="0" wp14:anchorId="181B9502" wp14:editId="75303940">
                  <wp:extent cx="2700000" cy="1759038"/>
                  <wp:effectExtent l="0" t="0" r="571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700000" cy="1759038"/>
                          </a:xfrm>
                          <a:prstGeom prst="rect">
                            <a:avLst/>
                          </a:prstGeom>
                        </pic:spPr>
                      </pic:pic>
                    </a:graphicData>
                  </a:graphic>
                </wp:inline>
              </w:drawing>
            </w:r>
          </w:p>
        </w:tc>
      </w:tr>
    </w:tbl>
    <w:p w14:paraId="70F7E44E" w14:textId="6E17F4D4" w:rsidR="00152A8B" w:rsidRPr="001D1CD5" w:rsidRDefault="00152A8B" w:rsidP="00F26D5B">
      <w:pPr>
        <w:widowControl w:val="0"/>
        <w:spacing w:after="240" w:line="276" w:lineRule="auto"/>
        <w:jc w:val="both"/>
        <w:rPr>
          <w:rFonts w:asciiTheme="minorHAnsi" w:hAnsiTheme="minorHAnsi" w:cs="Helvetica"/>
        </w:rPr>
      </w:pPr>
      <w:r w:rsidRPr="001D1CD5">
        <w:rPr>
          <w:rFonts w:asciiTheme="minorHAnsi" w:hAnsiTheme="minorHAnsi" w:cs="Helvetica"/>
        </w:rPr>
        <w:t>Comparison with similar data from Ai Group’s CEO surveys conducted between 2010 and 2013 indicate that businesses’ assessment of their regulatory burden has worsened over time, with more businesses nominating ‘government regulation’ as a significant impediment to growth in 2014, than in the past</w:t>
      </w:r>
      <w:r w:rsidR="00604FFC" w:rsidRPr="001D1CD5">
        <w:rPr>
          <w:rFonts w:asciiTheme="minorHAnsi" w:hAnsiTheme="minorHAnsi" w:cs="Helvetica"/>
        </w:rPr>
        <w:t xml:space="preserve"> (Chart 4</w:t>
      </w:r>
      <w:r w:rsidRPr="001D1CD5">
        <w:rPr>
          <w:rFonts w:asciiTheme="minorHAnsi" w:hAnsiTheme="minorHAnsi" w:cs="Helvetica"/>
        </w:rPr>
        <w:t xml:space="preserve">). </w:t>
      </w:r>
    </w:p>
    <w:p w14:paraId="70FE7434" w14:textId="77777777" w:rsidR="00152A8B" w:rsidRPr="001D1CD5" w:rsidRDefault="00152A8B" w:rsidP="00F26D5B">
      <w:pPr>
        <w:widowControl w:val="0"/>
        <w:spacing w:after="240" w:line="276" w:lineRule="auto"/>
        <w:jc w:val="both"/>
        <w:rPr>
          <w:rFonts w:asciiTheme="minorHAnsi" w:hAnsiTheme="minorHAnsi" w:cs="Helvetica"/>
        </w:rPr>
      </w:pPr>
      <w:r w:rsidRPr="001D1CD5">
        <w:rPr>
          <w:rFonts w:asciiTheme="minorHAnsi" w:hAnsiTheme="minorHAnsi" w:cs="Helvetica"/>
        </w:rPr>
        <w:t xml:space="preserve">2014 also saw a strong rise in businesses nominating ‘industrial relations flexibilities’ as a major impediment to growth in our CEO Survey. </w:t>
      </w:r>
    </w:p>
    <w:p w14:paraId="6CBCD012" w14:textId="6634279B" w:rsidR="00152A8B" w:rsidRPr="001D1CD5" w:rsidRDefault="00604FFC" w:rsidP="00152A8B">
      <w:pPr>
        <w:spacing w:after="120" w:line="276" w:lineRule="auto"/>
        <w:ind w:left="-75" w:right="-90"/>
        <w:jc w:val="center"/>
        <w:rPr>
          <w:rFonts w:asciiTheme="minorHAnsi" w:hAnsiTheme="minorHAnsi"/>
          <w:b/>
          <w:color w:val="451E51"/>
        </w:rPr>
      </w:pPr>
      <w:r w:rsidRPr="001D1CD5">
        <w:rPr>
          <w:rFonts w:asciiTheme="minorHAnsi" w:hAnsiTheme="minorHAnsi"/>
          <w:b/>
          <w:color w:val="451E51"/>
        </w:rPr>
        <w:t>Chart 4</w:t>
      </w:r>
      <w:r w:rsidR="00152A8B" w:rsidRPr="001D1CD5">
        <w:rPr>
          <w:rFonts w:asciiTheme="minorHAnsi" w:hAnsiTheme="minorHAnsi"/>
          <w:b/>
          <w:color w:val="451E51"/>
        </w:rPr>
        <w:t>: The rising regulatory burden*</w:t>
      </w:r>
    </w:p>
    <w:p w14:paraId="22873302" w14:textId="77777777" w:rsidR="00152A8B" w:rsidRPr="001D1CD5" w:rsidRDefault="00152A8B" w:rsidP="00F26D5B">
      <w:pPr>
        <w:spacing w:line="276" w:lineRule="auto"/>
        <w:ind w:left="9"/>
        <w:jc w:val="center"/>
        <w:rPr>
          <w:rFonts w:ascii="Helvetica" w:hAnsi="Helvetica"/>
          <w:sz w:val="18"/>
          <w:szCs w:val="18"/>
        </w:rPr>
      </w:pPr>
      <w:r w:rsidRPr="001D1CD5">
        <w:rPr>
          <w:noProof/>
          <w:lang w:val="en-AU" w:eastAsia="en-AU"/>
        </w:rPr>
        <w:drawing>
          <wp:inline distT="0" distB="0" distL="0" distR="0" wp14:anchorId="54D05230" wp14:editId="56EDEDC7">
            <wp:extent cx="4500000" cy="2934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4500000" cy="2934000"/>
                    </a:xfrm>
                    <a:prstGeom prst="rect">
                      <a:avLst/>
                    </a:prstGeom>
                  </pic:spPr>
                </pic:pic>
              </a:graphicData>
            </a:graphic>
          </wp:inline>
        </w:drawing>
      </w:r>
    </w:p>
    <w:p w14:paraId="65095733" w14:textId="5A2ED353" w:rsidR="00D23AFA" w:rsidRPr="001D1CD5" w:rsidRDefault="00D979F2" w:rsidP="00604FFC">
      <w:pPr>
        <w:pStyle w:val="Heading1"/>
        <w:spacing w:before="240" w:after="240" w:line="276" w:lineRule="auto"/>
        <w:ind w:left="709" w:hanging="709"/>
        <w:rPr>
          <w:rFonts w:asciiTheme="minorHAnsi" w:eastAsia="Calibri" w:hAnsiTheme="minorHAnsi" w:cs="Calibri"/>
          <w:color w:val="451E51"/>
          <w:sz w:val="36"/>
          <w:szCs w:val="36"/>
          <w:u w:color="0070C0"/>
          <w:lang w:eastAsia="en-AU"/>
        </w:rPr>
      </w:pPr>
      <w:r w:rsidRPr="001D1CD5">
        <w:rPr>
          <w:rFonts w:asciiTheme="minorHAnsi" w:eastAsia="Calibri" w:hAnsiTheme="minorHAnsi" w:cs="Calibri"/>
          <w:color w:val="451E51"/>
          <w:sz w:val="36"/>
          <w:szCs w:val="36"/>
          <w:u w:color="0070C0"/>
          <w:lang w:eastAsia="en-AU"/>
        </w:rPr>
        <w:t xml:space="preserve">26. </w:t>
      </w:r>
      <w:r w:rsidRPr="001D1CD5">
        <w:rPr>
          <w:rFonts w:asciiTheme="minorHAnsi" w:eastAsia="Calibri" w:hAnsiTheme="minorHAnsi" w:cs="Calibri"/>
          <w:color w:val="451E51"/>
          <w:sz w:val="36"/>
          <w:szCs w:val="36"/>
          <w:u w:color="0070C0"/>
          <w:lang w:eastAsia="en-AU"/>
        </w:rPr>
        <w:tab/>
        <w:t>Impacts</w:t>
      </w:r>
      <w:r w:rsidR="00115D3B" w:rsidRPr="001D1CD5">
        <w:rPr>
          <w:rFonts w:asciiTheme="minorHAnsi" w:eastAsia="Calibri" w:hAnsiTheme="minorHAnsi" w:cs="Calibri"/>
          <w:color w:val="451E51"/>
          <w:sz w:val="36"/>
          <w:szCs w:val="36"/>
          <w:u w:color="0070C0"/>
          <w:lang w:eastAsia="en-AU"/>
        </w:rPr>
        <w:t xml:space="preserve"> and international data comparisons</w:t>
      </w:r>
    </w:p>
    <w:p w14:paraId="3173AA0B" w14:textId="6AD93381" w:rsidR="00115D3B" w:rsidRPr="001D1CD5" w:rsidRDefault="00115D3B" w:rsidP="00115D3B">
      <w:pPr>
        <w:pStyle w:val="BodyText"/>
        <w:spacing w:after="240"/>
        <w:jc w:val="both"/>
        <w:rPr>
          <w:rFonts w:asciiTheme="minorHAnsi" w:hAnsiTheme="minorHAnsi"/>
        </w:rPr>
      </w:pPr>
      <w:r w:rsidRPr="001D1CD5">
        <w:rPr>
          <w:rFonts w:asciiTheme="minorHAnsi" w:hAnsiTheme="minorHAnsi"/>
        </w:rPr>
        <w:t xml:space="preserve">At page 218 of the Draft Report, the </w:t>
      </w:r>
      <w:r w:rsidR="00A3724D">
        <w:rPr>
          <w:rFonts w:asciiTheme="minorHAnsi" w:hAnsiTheme="minorHAnsi"/>
        </w:rPr>
        <w:t xml:space="preserve">Productivity </w:t>
      </w:r>
      <w:r w:rsidRPr="001D1CD5">
        <w:rPr>
          <w:rFonts w:asciiTheme="minorHAnsi" w:hAnsiTheme="minorHAnsi"/>
        </w:rPr>
        <w:t>Commission notes the following international data comparisons (emphasis added):</w:t>
      </w:r>
    </w:p>
    <w:p w14:paraId="3D4F36BF" w14:textId="5EF24905" w:rsidR="00115D3B" w:rsidRPr="001D1CD5" w:rsidRDefault="00115D3B" w:rsidP="00115D3B">
      <w:pPr>
        <w:pStyle w:val="BodyText"/>
        <w:spacing w:after="240"/>
        <w:ind w:left="720"/>
        <w:jc w:val="both"/>
        <w:rPr>
          <w:rFonts w:asciiTheme="minorHAnsi" w:hAnsiTheme="minorHAnsi"/>
          <w:i/>
        </w:rPr>
      </w:pPr>
      <w:r w:rsidRPr="001D1CD5">
        <w:rPr>
          <w:rFonts w:asciiTheme="minorHAnsi" w:hAnsiTheme="minorHAnsi"/>
          <w:i/>
        </w:rPr>
        <w:t xml:space="preserve">“Drawing on the perceptions of business leaders, </w:t>
      </w:r>
      <w:r w:rsidRPr="001D1CD5">
        <w:rPr>
          <w:rFonts w:asciiTheme="minorHAnsi" w:hAnsiTheme="minorHAnsi"/>
          <w:i/>
          <w:u w:val="single"/>
        </w:rPr>
        <w:t>international comparisons of the relative restrictiveness of Australia’s dismissal arrangements are also published as part of the Global Competitiveness Report (World Economic Forum 2014). The</w:t>
      </w:r>
      <w:r w:rsidRPr="001D1CD5" w:rsidDel="000D0986">
        <w:rPr>
          <w:rFonts w:asciiTheme="minorHAnsi" w:hAnsiTheme="minorHAnsi"/>
          <w:i/>
          <w:u w:val="single"/>
        </w:rPr>
        <w:t xml:space="preserve"> </w:t>
      </w:r>
      <w:r w:rsidRPr="001D1CD5">
        <w:rPr>
          <w:rFonts w:asciiTheme="minorHAnsi" w:hAnsiTheme="minorHAnsi"/>
          <w:i/>
          <w:u w:val="single"/>
        </w:rPr>
        <w:t xml:space="preserve">surveyed businesses ranked Australia relatively poorly in the capacity of employers to hire and fire employees compared with other developed economies. However, the OECD measure and business </w:t>
      </w:r>
      <w:r w:rsidRPr="001D1CD5">
        <w:rPr>
          <w:rFonts w:asciiTheme="minorHAnsi" w:hAnsiTheme="minorHAnsi"/>
          <w:i/>
          <w:u w:val="single"/>
        </w:rPr>
        <w:lastRenderedPageBreak/>
        <w:t>perceptions do not coincide for Australia.</w:t>
      </w:r>
      <w:r w:rsidRPr="001D1CD5">
        <w:rPr>
          <w:rFonts w:asciiTheme="minorHAnsi" w:hAnsiTheme="minorHAnsi"/>
          <w:i/>
        </w:rPr>
        <w:t xml:space="preserve"> Countries rated by the OECD as having highly restrictive systems compared with Australia — Mexico, Sweden and Norway — were rated by business leaders as having much easier arrangements (figure 5.6). Similarly, while the OECD </w:t>
      </w:r>
      <w:proofErr w:type="spellStart"/>
      <w:r w:rsidRPr="001D1CD5">
        <w:rPr>
          <w:rFonts w:asciiTheme="minorHAnsi" w:hAnsiTheme="minorHAnsi"/>
          <w:i/>
        </w:rPr>
        <w:t>categorises</w:t>
      </w:r>
      <w:proofErr w:type="spellEnd"/>
      <w:r w:rsidRPr="001D1CD5">
        <w:rPr>
          <w:rFonts w:asciiTheme="minorHAnsi" w:hAnsiTheme="minorHAnsi"/>
          <w:i/>
        </w:rPr>
        <w:t xml:space="preserve"> the New Zealand and Australian systems as similarly unrestrictive, business leaders perceive them to be very different. </w:t>
      </w:r>
    </w:p>
    <w:p w14:paraId="22F4138E" w14:textId="3AECB55D" w:rsidR="00115D3B" w:rsidRPr="001D1CD5" w:rsidRDefault="00115D3B" w:rsidP="00115D3B">
      <w:pPr>
        <w:pStyle w:val="BodyText"/>
        <w:spacing w:after="240"/>
        <w:ind w:left="720"/>
        <w:jc w:val="both"/>
        <w:rPr>
          <w:rFonts w:asciiTheme="minorHAnsi" w:hAnsiTheme="minorHAnsi"/>
          <w:i/>
          <w:u w:val="single"/>
        </w:rPr>
      </w:pPr>
      <w:r w:rsidRPr="001D1CD5">
        <w:rPr>
          <w:rFonts w:asciiTheme="minorHAnsi" w:hAnsiTheme="minorHAnsi"/>
          <w:i/>
          <w:u w:val="single"/>
        </w:rPr>
        <w:t>There is some research into the unreliability of business surveys in this area.</w:t>
      </w:r>
      <w:r w:rsidRPr="001D1CD5">
        <w:rPr>
          <w:rStyle w:val="FootnoteReference"/>
          <w:rFonts w:asciiTheme="minorHAnsi" w:hAnsiTheme="minorHAnsi"/>
          <w:i/>
          <w:u w:val="single"/>
        </w:rPr>
        <w:footnoteReference w:id="24"/>
      </w:r>
      <w:r w:rsidRPr="001D1CD5">
        <w:rPr>
          <w:rFonts w:asciiTheme="minorHAnsi" w:hAnsiTheme="minorHAnsi"/>
          <w:i/>
          <w:u w:val="single"/>
        </w:rPr>
        <w:t xml:space="preserve"> That said, such material may indicate the level of business disquiet about a system, but not a measure of its cost nor its effectiveness. Of course, if those perceptions are firmly held they will impact on hiring </w:t>
      </w:r>
      <w:proofErr w:type="spellStart"/>
      <w:r w:rsidRPr="001D1CD5">
        <w:rPr>
          <w:rFonts w:asciiTheme="minorHAnsi" w:hAnsiTheme="minorHAnsi"/>
          <w:i/>
          <w:u w:val="single"/>
        </w:rPr>
        <w:t>behaviour</w:t>
      </w:r>
      <w:proofErr w:type="spellEnd"/>
      <w:r w:rsidRPr="001D1CD5">
        <w:rPr>
          <w:rFonts w:asciiTheme="minorHAnsi" w:hAnsiTheme="minorHAnsi"/>
          <w:i/>
          <w:u w:val="single"/>
        </w:rPr>
        <w:t xml:space="preserve">.” </w:t>
      </w:r>
    </w:p>
    <w:p w14:paraId="089F0415" w14:textId="2999BD1F" w:rsidR="00115D3B" w:rsidRPr="001D1CD5" w:rsidRDefault="00115D3B" w:rsidP="00115D3B">
      <w:pPr>
        <w:pStyle w:val="BodyText"/>
        <w:spacing w:after="240"/>
        <w:jc w:val="both"/>
        <w:rPr>
          <w:rFonts w:asciiTheme="minorHAnsi" w:hAnsiTheme="minorHAnsi"/>
        </w:rPr>
      </w:pPr>
      <w:r w:rsidRPr="001D1CD5">
        <w:rPr>
          <w:rFonts w:asciiTheme="minorHAnsi" w:hAnsiTheme="minorHAnsi"/>
        </w:rPr>
        <w:t xml:space="preserve">At page 804 of the Draft Report, the </w:t>
      </w:r>
      <w:r w:rsidR="00A3724D">
        <w:rPr>
          <w:rFonts w:asciiTheme="minorHAnsi" w:hAnsiTheme="minorHAnsi"/>
        </w:rPr>
        <w:t xml:space="preserve">Productivity </w:t>
      </w:r>
      <w:r w:rsidRPr="001D1CD5">
        <w:rPr>
          <w:rFonts w:asciiTheme="minorHAnsi" w:hAnsiTheme="minorHAnsi"/>
        </w:rPr>
        <w:t>Commission notes the following international data comparisons (emphasis added):</w:t>
      </w:r>
    </w:p>
    <w:p w14:paraId="576C56C5" w14:textId="5BD42967" w:rsidR="00115D3B" w:rsidRPr="001D1CD5" w:rsidRDefault="00115D3B" w:rsidP="00115D3B">
      <w:pPr>
        <w:pStyle w:val="BodyText"/>
        <w:spacing w:after="240"/>
        <w:ind w:left="720"/>
        <w:jc w:val="both"/>
        <w:rPr>
          <w:rFonts w:asciiTheme="minorHAnsi" w:hAnsiTheme="minorHAnsi"/>
          <w:i/>
        </w:rPr>
      </w:pPr>
      <w:r w:rsidRPr="001D1CD5">
        <w:rPr>
          <w:rFonts w:asciiTheme="minorHAnsi" w:hAnsiTheme="minorHAnsi"/>
          <w:i/>
        </w:rPr>
        <w:t xml:space="preserve">“An additional challenge is that there are several measures of employment protection and the particular choice can make a large difference to empirical results (box 26.1). For instance, the literature generally shows that strict employment protection can adversely affect employment. </w:t>
      </w:r>
      <w:r w:rsidRPr="001D1CD5">
        <w:rPr>
          <w:rFonts w:asciiTheme="minorHAnsi" w:hAnsiTheme="minorHAnsi"/>
          <w:i/>
          <w:u w:val="single"/>
        </w:rPr>
        <w:t>World Economic Forum data (which draw heavily on perceptions of Chief Executive Officers) places Australia at the high level of restrictiveness</w:t>
      </w:r>
      <w:r w:rsidRPr="001D1CD5">
        <w:rPr>
          <w:rFonts w:asciiTheme="minorHAnsi" w:hAnsiTheme="minorHAnsi"/>
          <w:i/>
        </w:rPr>
        <w:t xml:space="preserve">. It might therefore be inferred that Australia’s regulatory regime has adverse effects on employment. However, this would </w:t>
      </w:r>
      <w:r w:rsidRPr="001D1CD5">
        <w:rPr>
          <w:rFonts w:asciiTheme="minorHAnsi" w:hAnsiTheme="minorHAnsi"/>
          <w:i/>
          <w:u w:val="single"/>
        </w:rPr>
        <w:t>only be true if the World Economic Forum data are reliable. Every indication is that they are not.</w:t>
      </w:r>
      <w:r w:rsidRPr="001D1CD5">
        <w:rPr>
          <w:rFonts w:asciiTheme="minorHAnsi" w:hAnsiTheme="minorHAnsi"/>
          <w:i/>
        </w:rPr>
        <w:t xml:space="preserve"> The </w:t>
      </w:r>
      <w:proofErr w:type="spellStart"/>
      <w:r w:rsidRPr="001D1CD5">
        <w:rPr>
          <w:rFonts w:asciiTheme="minorHAnsi" w:hAnsiTheme="minorHAnsi"/>
          <w:i/>
        </w:rPr>
        <w:t>Organisation</w:t>
      </w:r>
      <w:proofErr w:type="spellEnd"/>
      <w:r w:rsidRPr="001D1CD5">
        <w:rPr>
          <w:rFonts w:asciiTheme="minorHAnsi" w:hAnsiTheme="minorHAnsi"/>
          <w:i/>
        </w:rPr>
        <w:t xml:space="preserve"> for Economic Co</w:t>
      </w:r>
      <w:r w:rsidRPr="001D1CD5">
        <w:rPr>
          <w:rFonts w:asciiTheme="minorHAnsi" w:hAnsiTheme="minorHAnsi"/>
          <w:i/>
        </w:rPr>
        <w:noBreakHyphen/>
        <w:t xml:space="preserve">operation and Development (OECD) data that are the primary basis for the findings of the literature place Australia at the lower, not higher, end of restrictiveness, and this corresponds well with Australia’s relatively lower unemployment rate. </w:t>
      </w:r>
    </w:p>
    <w:p w14:paraId="7249A5CB" w14:textId="77777777" w:rsidR="00115D3B" w:rsidRPr="001D1CD5" w:rsidRDefault="00115D3B" w:rsidP="00115D3B">
      <w:pPr>
        <w:pStyle w:val="BoxSpaceAbove"/>
        <w:ind w:left="720"/>
        <w:rPr>
          <w:i/>
        </w:rPr>
      </w:pPr>
    </w:p>
    <w:tbl>
      <w:tblPr>
        <w:tblW w:w="0" w:type="auto"/>
        <w:tblInd w:w="88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115D3B" w:rsidRPr="001D1CD5" w14:paraId="223D3F49" w14:textId="77777777" w:rsidTr="00115D3B">
        <w:tc>
          <w:tcPr>
            <w:tcW w:w="8771" w:type="dxa"/>
            <w:tcBorders>
              <w:top w:val="single" w:sz="6" w:space="0" w:color="78A22F"/>
              <w:left w:val="nil"/>
              <w:bottom w:val="nil"/>
              <w:right w:val="nil"/>
            </w:tcBorders>
            <w:shd w:val="clear" w:color="auto" w:fill="F2F2F2"/>
          </w:tcPr>
          <w:p w14:paraId="0E6A61F9" w14:textId="77777777" w:rsidR="00115D3B" w:rsidRPr="001D1CD5" w:rsidRDefault="00115D3B" w:rsidP="00701439">
            <w:pPr>
              <w:pStyle w:val="BoxTitle"/>
              <w:rPr>
                <w:i/>
              </w:rPr>
            </w:pPr>
            <w:r w:rsidRPr="001D1CD5">
              <w:rPr>
                <w:b w:val="0"/>
                <w:i/>
              </w:rPr>
              <w:t>Box 26.</w:t>
            </w:r>
            <w:r w:rsidRPr="001D1CD5">
              <w:rPr>
                <w:b w:val="0"/>
                <w:i/>
                <w:noProof/>
              </w:rPr>
              <w:t>1</w:t>
            </w:r>
            <w:r w:rsidRPr="001D1CD5">
              <w:rPr>
                <w:i/>
              </w:rPr>
              <w:tab/>
              <w:t>Comparative measures of employment protection in Australia</w:t>
            </w:r>
          </w:p>
        </w:tc>
      </w:tr>
      <w:tr w:rsidR="00115D3B" w:rsidRPr="001D1CD5" w14:paraId="2468D654" w14:textId="77777777" w:rsidTr="00115D3B">
        <w:trPr>
          <w:cantSplit/>
        </w:trPr>
        <w:tc>
          <w:tcPr>
            <w:tcW w:w="8771" w:type="dxa"/>
            <w:tcBorders>
              <w:top w:val="nil"/>
              <w:left w:val="nil"/>
              <w:bottom w:val="nil"/>
              <w:right w:val="nil"/>
            </w:tcBorders>
            <w:shd w:val="clear" w:color="auto" w:fill="F2F2F2"/>
          </w:tcPr>
          <w:p w14:paraId="22B1A558" w14:textId="77777777" w:rsidR="00115D3B" w:rsidRPr="001D1CD5" w:rsidRDefault="00115D3B" w:rsidP="00701439">
            <w:pPr>
              <w:pStyle w:val="Box"/>
              <w:rPr>
                <w:i/>
              </w:rPr>
            </w:pPr>
            <w:r w:rsidRPr="001D1CD5">
              <w:rPr>
                <w:i/>
              </w:rPr>
              <w:t>There are a number of organisations that publish international cross</w:t>
            </w:r>
            <w:r w:rsidRPr="001D1CD5">
              <w:rPr>
                <w:i/>
              </w:rPr>
              <w:noBreakHyphen/>
              <w:t>country comparisons of the relative level of employment protections. These include the OECD, the World Bank, the International Organisation of Employers and the World Economic Forum. Reports of this kind tend to rely on composite indexes, which assign scales to the various elements within a country’s employment laws, and then compare the aggregated totals that result.</w:t>
            </w:r>
          </w:p>
          <w:p w14:paraId="1420E1EF" w14:textId="77777777" w:rsidR="00115D3B" w:rsidRPr="001D1CD5" w:rsidRDefault="00115D3B" w:rsidP="00701439">
            <w:pPr>
              <w:pStyle w:val="Box"/>
              <w:rPr>
                <w:i/>
                <w:spacing w:val="-2"/>
                <w:u w:val="single"/>
              </w:rPr>
            </w:pPr>
            <w:r w:rsidRPr="001D1CD5">
              <w:rPr>
                <w:i/>
                <w:spacing w:val="-2"/>
              </w:rPr>
              <w:t>The OECD’s indicators on the strictness of Employment Protection Legislation are the most commonly used of such measures. These are made up of four sub</w:t>
            </w:r>
            <w:r w:rsidRPr="001D1CD5">
              <w:rPr>
                <w:i/>
                <w:spacing w:val="-2"/>
              </w:rPr>
              <w:noBreakHyphen/>
              <w:t>indicators on, respectively: regulation of individual dismissal of workers with regular contracts; additional restrictions for collective dismissal; regulation of standard fixed</w:t>
            </w:r>
            <w:r w:rsidRPr="001D1CD5">
              <w:rPr>
                <w:i/>
                <w:spacing w:val="-2"/>
              </w:rPr>
              <w:noBreakHyphen/>
              <w:t xml:space="preserve">term contracts; and regulation of temporary work agency employment. </w:t>
            </w:r>
            <w:r w:rsidRPr="001D1CD5">
              <w:rPr>
                <w:i/>
                <w:spacing w:val="-2"/>
                <w:u w:val="single"/>
              </w:rPr>
              <w:t xml:space="preserve">In 2013, the OECD updated its collection methodology, which had previously relied heavily on questionnaire responses from member governments, to also include a detailed analysis by the OECD itself of legislation, collective bargaining agreements and case law. </w:t>
            </w:r>
          </w:p>
          <w:p w14:paraId="4C8853CF" w14:textId="77777777" w:rsidR="00115D3B" w:rsidRPr="001D1CD5" w:rsidRDefault="00115D3B" w:rsidP="00701439">
            <w:pPr>
              <w:pStyle w:val="Box"/>
              <w:rPr>
                <w:i/>
              </w:rPr>
            </w:pPr>
            <w:r w:rsidRPr="001D1CD5">
              <w:rPr>
                <w:i/>
                <w:u w:val="single"/>
              </w:rPr>
              <w:t>Other measures, such as those used by the World Economic Forum in its annual World Competitiveness Report, tend to rely more heavily on surveys of businesses within the various countries reported on.</w:t>
            </w:r>
            <w:r w:rsidRPr="001D1CD5">
              <w:rPr>
                <w:i/>
              </w:rPr>
              <w:t xml:space="preserve"> </w:t>
            </w:r>
          </w:p>
          <w:p w14:paraId="2503F8B4" w14:textId="77777777" w:rsidR="00115D3B" w:rsidRPr="001D1CD5" w:rsidRDefault="00115D3B" w:rsidP="00701439">
            <w:pPr>
              <w:pStyle w:val="Box"/>
              <w:rPr>
                <w:i/>
              </w:rPr>
            </w:pPr>
            <w:r w:rsidRPr="001D1CD5">
              <w:rPr>
                <w:i/>
              </w:rPr>
              <w:t xml:space="preserve">As discussed in chapter 5, different index constructions and, most importantly, different methodologies, can affect the reliability and comparability of such measures. In regard to unfair dismissal laws, for example, the OECD measure ranks Australia at the relatively less restrictive end of the scale, </w:t>
            </w:r>
            <w:r w:rsidRPr="001D1CD5">
              <w:rPr>
                <w:i/>
                <w:u w:val="single"/>
              </w:rPr>
              <w:t>while results from the World Competitiveness Report suggest Australia is more restrictive in relative terms. Given its methodology, the latter is likely to be unreliable, with compelling evidence of its flaws</w:t>
            </w:r>
            <w:r w:rsidRPr="001D1CD5">
              <w:rPr>
                <w:i/>
              </w:rPr>
              <w:t xml:space="preserve"> </w:t>
            </w:r>
            <w:r w:rsidRPr="001D1CD5">
              <w:rPr>
                <w:rFonts w:cs="Arial"/>
                <w:i/>
                <w:szCs w:val="24"/>
              </w:rPr>
              <w:t>(</w:t>
            </w:r>
            <w:proofErr w:type="spellStart"/>
            <w:r w:rsidRPr="001D1CD5">
              <w:rPr>
                <w:rFonts w:cs="Arial"/>
                <w:i/>
                <w:szCs w:val="24"/>
              </w:rPr>
              <w:t>Aleksynska</w:t>
            </w:r>
            <w:proofErr w:type="spellEnd"/>
            <w:r w:rsidRPr="001D1CD5">
              <w:rPr>
                <w:rFonts w:cs="Arial"/>
                <w:i/>
                <w:szCs w:val="24"/>
              </w:rPr>
              <w:t xml:space="preserve"> and </w:t>
            </w:r>
            <w:proofErr w:type="spellStart"/>
            <w:r w:rsidRPr="001D1CD5">
              <w:rPr>
                <w:rFonts w:cs="Arial"/>
                <w:i/>
                <w:szCs w:val="24"/>
              </w:rPr>
              <w:t>Cazes</w:t>
            </w:r>
            <w:proofErr w:type="spellEnd"/>
            <w:r w:rsidRPr="001D1CD5">
              <w:rPr>
                <w:rFonts w:cs="Arial"/>
                <w:i/>
                <w:szCs w:val="24"/>
              </w:rPr>
              <w:t> 2014)</w:t>
            </w:r>
            <w:r w:rsidRPr="001D1CD5">
              <w:rPr>
                <w:i/>
              </w:rPr>
              <w:t>.</w:t>
            </w:r>
          </w:p>
        </w:tc>
      </w:tr>
      <w:tr w:rsidR="00115D3B" w:rsidRPr="001D1CD5" w14:paraId="5B2765B4" w14:textId="77777777" w:rsidTr="00115D3B">
        <w:trPr>
          <w:cantSplit/>
        </w:trPr>
        <w:tc>
          <w:tcPr>
            <w:tcW w:w="8771" w:type="dxa"/>
            <w:tcBorders>
              <w:top w:val="nil"/>
              <w:left w:val="nil"/>
              <w:bottom w:val="nil"/>
              <w:right w:val="nil"/>
            </w:tcBorders>
            <w:shd w:val="clear" w:color="auto" w:fill="F2F2F2"/>
          </w:tcPr>
          <w:p w14:paraId="64F30C2F" w14:textId="77777777" w:rsidR="00115D3B" w:rsidRPr="001D1CD5" w:rsidRDefault="00115D3B" w:rsidP="00701439">
            <w:pPr>
              <w:pStyle w:val="BoxSource"/>
              <w:rPr>
                <w:i/>
              </w:rPr>
            </w:pPr>
            <w:r w:rsidRPr="001D1CD5">
              <w:rPr>
                <w:i/>
              </w:rPr>
              <w:t xml:space="preserve">Sources: OECD </w:t>
            </w:r>
            <w:r w:rsidRPr="001D1CD5">
              <w:rPr>
                <w:rFonts w:cs="Arial"/>
                <w:i/>
              </w:rPr>
              <w:t>(</w:t>
            </w:r>
            <w:proofErr w:type="spellStart"/>
            <w:r w:rsidRPr="001D1CD5">
              <w:rPr>
                <w:rFonts w:cs="Arial"/>
                <w:i/>
              </w:rPr>
              <w:t>2013b</w:t>
            </w:r>
            <w:proofErr w:type="spellEnd"/>
            <w:r w:rsidRPr="001D1CD5">
              <w:rPr>
                <w:rFonts w:cs="Arial"/>
                <w:i/>
              </w:rPr>
              <w:t>)</w:t>
            </w:r>
            <w:r w:rsidRPr="001D1CD5">
              <w:rPr>
                <w:i/>
              </w:rPr>
              <w:t xml:space="preserve"> and World Economic Forum </w:t>
            </w:r>
            <w:r w:rsidRPr="001D1CD5">
              <w:rPr>
                <w:rFonts w:cs="Arial"/>
                <w:i/>
              </w:rPr>
              <w:t>(2014)</w:t>
            </w:r>
            <w:r w:rsidRPr="001D1CD5">
              <w:rPr>
                <w:i/>
              </w:rPr>
              <w:t>.</w:t>
            </w:r>
          </w:p>
        </w:tc>
      </w:tr>
      <w:tr w:rsidR="00115D3B" w:rsidRPr="001D1CD5" w14:paraId="64365EEA" w14:textId="77777777" w:rsidTr="00115D3B">
        <w:trPr>
          <w:cantSplit/>
        </w:trPr>
        <w:tc>
          <w:tcPr>
            <w:tcW w:w="8771" w:type="dxa"/>
            <w:tcBorders>
              <w:top w:val="nil"/>
              <w:left w:val="nil"/>
              <w:bottom w:val="single" w:sz="6" w:space="0" w:color="78A22F"/>
              <w:right w:val="nil"/>
            </w:tcBorders>
            <w:shd w:val="clear" w:color="auto" w:fill="F2F2F2"/>
          </w:tcPr>
          <w:p w14:paraId="1175832F" w14:textId="77777777" w:rsidR="00115D3B" w:rsidRPr="001D1CD5" w:rsidRDefault="00115D3B" w:rsidP="00701439">
            <w:pPr>
              <w:pStyle w:val="Box"/>
              <w:spacing w:before="0" w:line="120" w:lineRule="exact"/>
            </w:pPr>
          </w:p>
        </w:tc>
      </w:tr>
      <w:tr w:rsidR="00115D3B" w:rsidRPr="001D1CD5" w14:paraId="0F3B85EB" w14:textId="77777777" w:rsidTr="00115D3B">
        <w:tc>
          <w:tcPr>
            <w:tcW w:w="8771" w:type="dxa"/>
            <w:tcBorders>
              <w:top w:val="single" w:sz="6" w:space="0" w:color="78A22F"/>
              <w:left w:val="nil"/>
              <w:bottom w:val="nil"/>
              <w:right w:val="nil"/>
            </w:tcBorders>
          </w:tcPr>
          <w:p w14:paraId="14E423BB" w14:textId="77777777" w:rsidR="00115D3B" w:rsidRPr="001D1CD5" w:rsidRDefault="00115D3B" w:rsidP="00701439">
            <w:pPr>
              <w:pStyle w:val="BoxSpaceBelow"/>
            </w:pPr>
          </w:p>
        </w:tc>
      </w:tr>
    </w:tbl>
    <w:p w14:paraId="0206C654" w14:textId="09F91F43" w:rsidR="00115D3B" w:rsidRPr="001D1CD5" w:rsidRDefault="00115D3B" w:rsidP="00115D3B">
      <w:pPr>
        <w:pStyle w:val="BodyText"/>
        <w:spacing w:after="240" w:line="276" w:lineRule="auto"/>
        <w:jc w:val="both"/>
        <w:rPr>
          <w:rFonts w:asciiTheme="minorHAnsi" w:hAnsiTheme="minorHAnsi"/>
        </w:rPr>
      </w:pPr>
      <w:r w:rsidRPr="001D1CD5">
        <w:rPr>
          <w:rFonts w:asciiTheme="minorHAnsi" w:hAnsiTheme="minorHAnsi"/>
        </w:rPr>
        <w:t xml:space="preserve">The </w:t>
      </w:r>
      <w:r w:rsidR="00A3724D">
        <w:rPr>
          <w:rFonts w:asciiTheme="minorHAnsi" w:hAnsiTheme="minorHAnsi"/>
        </w:rPr>
        <w:t xml:space="preserve">Productivity </w:t>
      </w:r>
      <w:r w:rsidRPr="001D1CD5">
        <w:rPr>
          <w:rFonts w:asciiTheme="minorHAnsi" w:hAnsiTheme="minorHAnsi"/>
        </w:rPr>
        <w:t xml:space="preserve">Commission correctly notes that there are differences in the international rankings produced by the OECD and the </w:t>
      </w:r>
      <w:proofErr w:type="spellStart"/>
      <w:r w:rsidRPr="001D1CD5">
        <w:rPr>
          <w:rFonts w:asciiTheme="minorHAnsi" w:hAnsiTheme="minorHAnsi"/>
        </w:rPr>
        <w:t>WEF</w:t>
      </w:r>
      <w:proofErr w:type="spellEnd"/>
      <w:r w:rsidRPr="001D1CD5">
        <w:rPr>
          <w:rFonts w:asciiTheme="minorHAnsi" w:hAnsiTheme="minorHAnsi"/>
        </w:rPr>
        <w:t xml:space="preserve"> for similar (but not identical) </w:t>
      </w:r>
      <w:proofErr w:type="spellStart"/>
      <w:r w:rsidRPr="001D1CD5">
        <w:rPr>
          <w:rFonts w:asciiTheme="minorHAnsi" w:hAnsiTheme="minorHAnsi"/>
        </w:rPr>
        <w:t>labour</w:t>
      </w:r>
      <w:proofErr w:type="spellEnd"/>
      <w:r w:rsidRPr="001D1CD5">
        <w:rPr>
          <w:rFonts w:asciiTheme="minorHAnsi" w:hAnsiTheme="minorHAnsi"/>
        </w:rPr>
        <w:t>-related indicators.</w:t>
      </w:r>
    </w:p>
    <w:p w14:paraId="58F3245C" w14:textId="77777777" w:rsidR="00115D3B" w:rsidRPr="001D1CD5" w:rsidRDefault="00115D3B" w:rsidP="00115D3B">
      <w:pPr>
        <w:pStyle w:val="BodyText"/>
        <w:spacing w:after="240" w:line="276" w:lineRule="auto"/>
        <w:jc w:val="both"/>
        <w:rPr>
          <w:rFonts w:asciiTheme="minorHAnsi" w:hAnsiTheme="minorHAnsi"/>
        </w:rPr>
      </w:pPr>
      <w:r w:rsidRPr="001D1CD5">
        <w:rPr>
          <w:rFonts w:asciiTheme="minorHAnsi" w:hAnsiTheme="minorHAnsi"/>
        </w:rPr>
        <w:t xml:space="preserve">Ai Group agrees with the Commission that these differences in results reflect the different methodologies and data sources </w:t>
      </w:r>
      <w:proofErr w:type="spellStart"/>
      <w:r w:rsidRPr="001D1CD5">
        <w:rPr>
          <w:rFonts w:asciiTheme="minorHAnsi" w:hAnsiTheme="minorHAnsi"/>
        </w:rPr>
        <w:t>utilised</w:t>
      </w:r>
      <w:proofErr w:type="spellEnd"/>
      <w:r w:rsidRPr="001D1CD5">
        <w:rPr>
          <w:rFonts w:asciiTheme="minorHAnsi" w:hAnsiTheme="minorHAnsi"/>
        </w:rPr>
        <w:t xml:space="preserve"> by the OECD relative to the </w:t>
      </w:r>
      <w:proofErr w:type="spellStart"/>
      <w:r w:rsidRPr="001D1CD5">
        <w:rPr>
          <w:rFonts w:asciiTheme="minorHAnsi" w:hAnsiTheme="minorHAnsi"/>
        </w:rPr>
        <w:t>WEF</w:t>
      </w:r>
      <w:proofErr w:type="spellEnd"/>
      <w:r w:rsidRPr="001D1CD5">
        <w:rPr>
          <w:rFonts w:asciiTheme="minorHAnsi" w:hAnsiTheme="minorHAnsi"/>
        </w:rPr>
        <w:t xml:space="preserve">. In particular, the OECD draws its comparisons from information provided by Governments, whereas the </w:t>
      </w:r>
      <w:proofErr w:type="spellStart"/>
      <w:r w:rsidRPr="001D1CD5">
        <w:rPr>
          <w:rFonts w:asciiTheme="minorHAnsi" w:hAnsiTheme="minorHAnsi"/>
        </w:rPr>
        <w:t>WEF</w:t>
      </w:r>
      <w:proofErr w:type="spellEnd"/>
      <w:r w:rsidRPr="001D1CD5">
        <w:rPr>
          <w:rFonts w:asciiTheme="minorHAnsi" w:hAnsiTheme="minorHAnsi"/>
        </w:rPr>
        <w:t xml:space="preserve"> draws on a range of data sources including the OECD, IMF and </w:t>
      </w:r>
      <w:proofErr w:type="spellStart"/>
      <w:r w:rsidRPr="001D1CD5">
        <w:rPr>
          <w:rFonts w:asciiTheme="minorHAnsi" w:hAnsiTheme="minorHAnsi"/>
        </w:rPr>
        <w:t>ILO</w:t>
      </w:r>
      <w:proofErr w:type="spellEnd"/>
      <w:r w:rsidRPr="001D1CD5">
        <w:rPr>
          <w:rFonts w:asciiTheme="minorHAnsi" w:hAnsiTheme="minorHAnsi"/>
        </w:rPr>
        <w:t xml:space="preserve"> databases, but also from a global survey of business leaders that has been conducted annually over many years.</w:t>
      </w:r>
    </w:p>
    <w:p w14:paraId="02C6BED6" w14:textId="35310E61" w:rsidR="00115D3B" w:rsidRPr="001D1CD5" w:rsidRDefault="00115D3B" w:rsidP="00115D3B">
      <w:pPr>
        <w:pStyle w:val="BodyText"/>
        <w:spacing w:after="240" w:line="276" w:lineRule="auto"/>
        <w:jc w:val="both"/>
        <w:rPr>
          <w:rFonts w:asciiTheme="minorHAnsi" w:hAnsiTheme="minorHAnsi"/>
        </w:rPr>
      </w:pPr>
      <w:r w:rsidRPr="001D1CD5">
        <w:rPr>
          <w:rFonts w:asciiTheme="minorHAnsi" w:hAnsiTheme="minorHAnsi"/>
        </w:rPr>
        <w:t xml:space="preserve">Ai Group strongly rejects the inference by the </w:t>
      </w:r>
      <w:r w:rsidR="00A3724D">
        <w:rPr>
          <w:rFonts w:asciiTheme="minorHAnsi" w:hAnsiTheme="minorHAnsi"/>
        </w:rPr>
        <w:t xml:space="preserve">Productivity </w:t>
      </w:r>
      <w:r w:rsidRPr="001D1CD5">
        <w:rPr>
          <w:rFonts w:asciiTheme="minorHAnsi" w:hAnsiTheme="minorHAnsi"/>
        </w:rPr>
        <w:t xml:space="preserve">Commission that information collected globally from business is inherently less reliable and of lesser value than information collected from Governments. The differences in results between the </w:t>
      </w:r>
      <w:proofErr w:type="spellStart"/>
      <w:r w:rsidRPr="001D1CD5">
        <w:rPr>
          <w:rFonts w:asciiTheme="minorHAnsi" w:hAnsiTheme="minorHAnsi"/>
        </w:rPr>
        <w:t>WEF</w:t>
      </w:r>
      <w:proofErr w:type="spellEnd"/>
      <w:r w:rsidRPr="001D1CD5">
        <w:rPr>
          <w:rFonts w:asciiTheme="minorHAnsi" w:hAnsiTheme="minorHAnsi"/>
        </w:rPr>
        <w:t xml:space="preserve"> and OECD and </w:t>
      </w:r>
      <w:proofErr w:type="spellStart"/>
      <w:r w:rsidRPr="001D1CD5">
        <w:rPr>
          <w:rFonts w:asciiTheme="minorHAnsi" w:hAnsiTheme="minorHAnsi"/>
        </w:rPr>
        <w:t>ILO</w:t>
      </w:r>
      <w:proofErr w:type="spellEnd"/>
      <w:r w:rsidRPr="001D1CD5">
        <w:rPr>
          <w:rFonts w:asciiTheme="minorHAnsi" w:hAnsiTheme="minorHAnsi"/>
        </w:rPr>
        <w:t xml:space="preserve"> comparisons are acknowledged by the </w:t>
      </w:r>
      <w:proofErr w:type="spellStart"/>
      <w:r w:rsidRPr="001D1CD5">
        <w:rPr>
          <w:rFonts w:asciiTheme="minorHAnsi" w:hAnsiTheme="minorHAnsi"/>
        </w:rPr>
        <w:t>WEF</w:t>
      </w:r>
      <w:proofErr w:type="spellEnd"/>
      <w:r w:rsidRPr="001D1CD5">
        <w:rPr>
          <w:rFonts w:asciiTheme="minorHAnsi" w:hAnsiTheme="minorHAnsi"/>
        </w:rPr>
        <w:t>. They reflect:</w:t>
      </w:r>
    </w:p>
    <w:p w14:paraId="0997F417" w14:textId="0639DE45" w:rsidR="00464869" w:rsidRPr="001D1CD5" w:rsidRDefault="00464869" w:rsidP="00D65246">
      <w:pPr>
        <w:pStyle w:val="BodyText"/>
        <w:numPr>
          <w:ilvl w:val="0"/>
          <w:numId w:val="54"/>
        </w:numPr>
        <w:spacing w:after="240" w:line="276" w:lineRule="auto"/>
        <w:jc w:val="both"/>
        <w:rPr>
          <w:rFonts w:asciiTheme="minorHAnsi" w:hAnsiTheme="minorHAnsi"/>
        </w:rPr>
      </w:pPr>
      <w:r w:rsidRPr="001D1CD5">
        <w:rPr>
          <w:rFonts w:asciiTheme="minorHAnsi" w:hAnsiTheme="minorHAnsi"/>
        </w:rPr>
        <w:t>D</w:t>
      </w:r>
      <w:r w:rsidR="00115D3B" w:rsidRPr="001D1CD5">
        <w:rPr>
          <w:rFonts w:asciiTheme="minorHAnsi" w:hAnsiTheme="minorHAnsi"/>
        </w:rPr>
        <w:t xml:space="preserve">ifferences in the survey populations, with a business survey included in the </w:t>
      </w:r>
      <w:proofErr w:type="spellStart"/>
      <w:r w:rsidR="00115D3B" w:rsidRPr="001D1CD5">
        <w:rPr>
          <w:rFonts w:asciiTheme="minorHAnsi" w:hAnsiTheme="minorHAnsi"/>
        </w:rPr>
        <w:t>WEF</w:t>
      </w:r>
      <w:proofErr w:type="spellEnd"/>
      <w:r w:rsidR="00115D3B" w:rsidRPr="001D1CD5">
        <w:rPr>
          <w:rFonts w:asciiTheme="minorHAnsi" w:hAnsiTheme="minorHAnsi"/>
        </w:rPr>
        <w:t xml:space="preserve"> (along with other data sources), but only Government sources of information used by the OECD.</w:t>
      </w:r>
    </w:p>
    <w:p w14:paraId="1A58417C" w14:textId="67E5A655" w:rsidR="00464869" w:rsidRPr="001D1CD5" w:rsidRDefault="00464869" w:rsidP="00D65246">
      <w:pPr>
        <w:pStyle w:val="BodyText"/>
        <w:numPr>
          <w:ilvl w:val="0"/>
          <w:numId w:val="54"/>
        </w:numPr>
        <w:spacing w:after="240" w:line="276" w:lineRule="auto"/>
        <w:jc w:val="both"/>
        <w:rPr>
          <w:rFonts w:asciiTheme="minorHAnsi" w:hAnsiTheme="minorHAnsi"/>
        </w:rPr>
      </w:pPr>
      <w:r w:rsidRPr="001D1CD5">
        <w:rPr>
          <w:rFonts w:asciiTheme="minorHAnsi" w:hAnsiTheme="minorHAnsi"/>
        </w:rPr>
        <w:t>T</w:t>
      </w:r>
      <w:r w:rsidR="00115D3B" w:rsidRPr="001D1CD5">
        <w:rPr>
          <w:rFonts w:asciiTheme="minorHAnsi" w:hAnsiTheme="minorHAnsi"/>
        </w:rPr>
        <w:t xml:space="preserve">he OECD comparisons include OECD member countries, while the </w:t>
      </w:r>
      <w:proofErr w:type="spellStart"/>
      <w:r w:rsidR="00115D3B" w:rsidRPr="001D1CD5">
        <w:rPr>
          <w:rFonts w:asciiTheme="minorHAnsi" w:hAnsiTheme="minorHAnsi"/>
        </w:rPr>
        <w:t>WEF</w:t>
      </w:r>
      <w:proofErr w:type="spellEnd"/>
      <w:r w:rsidR="00115D3B" w:rsidRPr="001D1CD5">
        <w:rPr>
          <w:rFonts w:asciiTheme="minorHAnsi" w:hAnsiTheme="minorHAnsi"/>
        </w:rPr>
        <w:t xml:space="preserve"> series includes a larger and broader group of countries. The </w:t>
      </w:r>
      <w:proofErr w:type="spellStart"/>
      <w:r w:rsidR="00115D3B" w:rsidRPr="001D1CD5">
        <w:rPr>
          <w:rFonts w:asciiTheme="minorHAnsi" w:hAnsiTheme="minorHAnsi"/>
        </w:rPr>
        <w:t>WEF</w:t>
      </w:r>
      <w:proofErr w:type="spellEnd"/>
      <w:r w:rsidR="00115D3B" w:rsidRPr="001D1CD5">
        <w:rPr>
          <w:rFonts w:asciiTheme="minorHAnsi" w:hAnsiTheme="minorHAnsi"/>
        </w:rPr>
        <w:t xml:space="preserve"> then weights the results from this larger sample of nations, according to the level of development of each country. Australia is </w:t>
      </w:r>
      <w:r w:rsidR="00115D3B" w:rsidRPr="001D1CD5">
        <w:rPr>
          <w:rFonts w:asciiTheme="minorHAnsi" w:hAnsiTheme="minorHAnsi"/>
        </w:rPr>
        <w:lastRenderedPageBreak/>
        <w:t>weighted as an advanced ‘innovation driven economy’, along with 37 others. This ‘advanced’ weighting tends to push Australia’s ranking lower, relative to other countries.</w:t>
      </w:r>
    </w:p>
    <w:p w14:paraId="53690CED" w14:textId="77777777" w:rsidR="00464869" w:rsidRPr="001D1CD5" w:rsidRDefault="00115D3B" w:rsidP="00D65246">
      <w:pPr>
        <w:pStyle w:val="BodyText"/>
        <w:numPr>
          <w:ilvl w:val="0"/>
          <w:numId w:val="54"/>
        </w:numPr>
        <w:spacing w:after="240" w:line="276" w:lineRule="auto"/>
        <w:jc w:val="both"/>
        <w:rPr>
          <w:rFonts w:asciiTheme="minorHAnsi" w:hAnsiTheme="minorHAnsi"/>
        </w:rPr>
      </w:pPr>
      <w:r w:rsidRPr="001D1CD5">
        <w:rPr>
          <w:rFonts w:asciiTheme="minorHAnsi" w:hAnsiTheme="minorHAnsi"/>
        </w:rPr>
        <w:t xml:space="preserve">Differences in the aspect of </w:t>
      </w:r>
      <w:proofErr w:type="spellStart"/>
      <w:r w:rsidRPr="001D1CD5">
        <w:rPr>
          <w:rFonts w:asciiTheme="minorHAnsi" w:hAnsiTheme="minorHAnsi"/>
        </w:rPr>
        <w:t>labour</w:t>
      </w:r>
      <w:proofErr w:type="spellEnd"/>
      <w:r w:rsidRPr="001D1CD5">
        <w:rPr>
          <w:rFonts w:asciiTheme="minorHAnsi" w:hAnsiTheme="minorHAnsi"/>
        </w:rPr>
        <w:t xml:space="preserve"> relations being compared. The </w:t>
      </w:r>
      <w:proofErr w:type="spellStart"/>
      <w:r w:rsidRPr="001D1CD5">
        <w:rPr>
          <w:rFonts w:asciiTheme="minorHAnsi" w:hAnsiTheme="minorHAnsi"/>
        </w:rPr>
        <w:t>WEF</w:t>
      </w:r>
      <w:proofErr w:type="spellEnd"/>
      <w:r w:rsidRPr="001D1CD5">
        <w:rPr>
          <w:rFonts w:asciiTheme="minorHAnsi" w:hAnsiTheme="minorHAnsi"/>
        </w:rPr>
        <w:t xml:space="preserve"> asks businesses about the </w:t>
      </w:r>
      <w:proofErr w:type="spellStart"/>
      <w:r w:rsidRPr="001D1CD5">
        <w:rPr>
          <w:rFonts w:asciiTheme="minorHAnsi" w:hAnsiTheme="minorHAnsi"/>
        </w:rPr>
        <w:t>labour</w:t>
      </w:r>
      <w:proofErr w:type="spellEnd"/>
      <w:r w:rsidRPr="001D1CD5">
        <w:rPr>
          <w:rFonts w:asciiTheme="minorHAnsi" w:hAnsiTheme="minorHAnsi"/>
        </w:rPr>
        <w:t xml:space="preserve"> relations </w:t>
      </w:r>
      <w:r w:rsidRPr="001D1CD5">
        <w:rPr>
          <w:rFonts w:asciiTheme="minorHAnsi" w:hAnsiTheme="minorHAnsi"/>
          <w:i/>
        </w:rPr>
        <w:t xml:space="preserve">environment </w:t>
      </w:r>
      <w:r w:rsidRPr="001D1CD5">
        <w:rPr>
          <w:rFonts w:asciiTheme="minorHAnsi" w:hAnsiTheme="minorHAnsi"/>
        </w:rPr>
        <w:t xml:space="preserve">(e.g. workplace co-operation and </w:t>
      </w:r>
      <w:proofErr w:type="spellStart"/>
      <w:r w:rsidRPr="001D1CD5">
        <w:rPr>
          <w:rFonts w:asciiTheme="minorHAnsi" w:hAnsiTheme="minorHAnsi"/>
        </w:rPr>
        <w:t>behaviour</w:t>
      </w:r>
      <w:proofErr w:type="spellEnd"/>
      <w:r w:rsidRPr="001D1CD5">
        <w:rPr>
          <w:rFonts w:asciiTheme="minorHAnsi" w:hAnsiTheme="minorHAnsi"/>
        </w:rPr>
        <w:t xml:space="preserve">), rather than about </w:t>
      </w:r>
      <w:proofErr w:type="spellStart"/>
      <w:r w:rsidRPr="001D1CD5">
        <w:rPr>
          <w:rFonts w:asciiTheme="minorHAnsi" w:hAnsiTheme="minorHAnsi"/>
        </w:rPr>
        <w:t>labour</w:t>
      </w:r>
      <w:proofErr w:type="spellEnd"/>
      <w:r w:rsidRPr="001D1CD5">
        <w:rPr>
          <w:rFonts w:asciiTheme="minorHAnsi" w:hAnsiTheme="minorHAnsi"/>
        </w:rPr>
        <w:t xml:space="preserve"> </w:t>
      </w:r>
      <w:r w:rsidRPr="001D1CD5">
        <w:rPr>
          <w:rFonts w:asciiTheme="minorHAnsi" w:hAnsiTheme="minorHAnsi"/>
          <w:i/>
        </w:rPr>
        <w:t xml:space="preserve">laws </w:t>
      </w:r>
      <w:r w:rsidRPr="001D1CD5">
        <w:rPr>
          <w:rFonts w:asciiTheme="minorHAnsi" w:hAnsiTheme="minorHAnsi"/>
        </w:rPr>
        <w:t>per se, which are the focus of the OECD comparisons.</w:t>
      </w:r>
    </w:p>
    <w:p w14:paraId="0380106A" w14:textId="77777777" w:rsidR="00464869" w:rsidRPr="001D1CD5" w:rsidRDefault="00115D3B" w:rsidP="00D65246">
      <w:pPr>
        <w:pStyle w:val="BodyText"/>
        <w:numPr>
          <w:ilvl w:val="0"/>
          <w:numId w:val="54"/>
        </w:numPr>
        <w:spacing w:after="240" w:line="276" w:lineRule="auto"/>
        <w:jc w:val="both"/>
        <w:rPr>
          <w:rFonts w:asciiTheme="minorHAnsi" w:hAnsiTheme="minorHAnsi"/>
        </w:rPr>
      </w:pPr>
      <w:r w:rsidRPr="001D1CD5">
        <w:rPr>
          <w:rFonts w:asciiTheme="minorHAnsi" w:hAnsiTheme="minorHAnsi"/>
        </w:rPr>
        <w:t xml:space="preserve">The </w:t>
      </w:r>
      <w:proofErr w:type="spellStart"/>
      <w:r w:rsidRPr="001D1CD5">
        <w:rPr>
          <w:rFonts w:asciiTheme="minorHAnsi" w:hAnsiTheme="minorHAnsi"/>
        </w:rPr>
        <w:t>WEF</w:t>
      </w:r>
      <w:proofErr w:type="spellEnd"/>
      <w:r w:rsidRPr="001D1CD5">
        <w:rPr>
          <w:rFonts w:asciiTheme="minorHAnsi" w:hAnsiTheme="minorHAnsi"/>
        </w:rPr>
        <w:t xml:space="preserve"> asks businesses how </w:t>
      </w:r>
      <w:proofErr w:type="spellStart"/>
      <w:r w:rsidRPr="001D1CD5">
        <w:rPr>
          <w:rFonts w:asciiTheme="minorHAnsi" w:hAnsiTheme="minorHAnsi"/>
        </w:rPr>
        <w:t>labour</w:t>
      </w:r>
      <w:proofErr w:type="spellEnd"/>
      <w:r w:rsidRPr="001D1CD5">
        <w:rPr>
          <w:rFonts w:asciiTheme="minorHAnsi" w:hAnsiTheme="minorHAnsi"/>
        </w:rPr>
        <w:t xml:space="preserve"> relations affect their competitiveness in </w:t>
      </w:r>
      <w:r w:rsidRPr="001D1CD5">
        <w:rPr>
          <w:rFonts w:asciiTheme="minorHAnsi" w:hAnsiTheme="minorHAnsi"/>
          <w:i/>
        </w:rPr>
        <w:t>practice</w:t>
      </w:r>
      <w:r w:rsidRPr="001D1CD5">
        <w:rPr>
          <w:rFonts w:asciiTheme="minorHAnsi" w:hAnsiTheme="minorHAnsi"/>
        </w:rPr>
        <w:t xml:space="preserve">, which is a different (but related) question to the strictly legal restrictions reported by Governments to the OECD. The OECD measures tend to focus on how regulations apply in </w:t>
      </w:r>
      <w:r w:rsidRPr="001D1CD5">
        <w:rPr>
          <w:rFonts w:asciiTheme="minorHAnsi" w:hAnsiTheme="minorHAnsi"/>
          <w:i/>
        </w:rPr>
        <w:t>theory and intent</w:t>
      </w:r>
      <w:r w:rsidRPr="001D1CD5">
        <w:rPr>
          <w:rFonts w:asciiTheme="minorHAnsi" w:hAnsiTheme="minorHAnsi"/>
        </w:rPr>
        <w:t xml:space="preserve"> rather than in practice. This is an important distinction. Arguably, the practical effects of </w:t>
      </w:r>
      <w:proofErr w:type="spellStart"/>
      <w:r w:rsidRPr="001D1CD5">
        <w:rPr>
          <w:rFonts w:asciiTheme="minorHAnsi" w:hAnsiTheme="minorHAnsi"/>
        </w:rPr>
        <w:t>labour</w:t>
      </w:r>
      <w:proofErr w:type="spellEnd"/>
      <w:r w:rsidRPr="001D1CD5">
        <w:rPr>
          <w:rFonts w:asciiTheme="minorHAnsi" w:hAnsiTheme="minorHAnsi"/>
        </w:rPr>
        <w:t xml:space="preserve"> relations on business and competitiveness are best examined by asking businesses and employees themselves, not by asking the regulators or legislators.</w:t>
      </w:r>
    </w:p>
    <w:p w14:paraId="321E7A4D" w14:textId="78937F64" w:rsidR="00115D3B" w:rsidRPr="001D1CD5" w:rsidRDefault="00464869" w:rsidP="00D65246">
      <w:pPr>
        <w:pStyle w:val="BodyText"/>
        <w:numPr>
          <w:ilvl w:val="0"/>
          <w:numId w:val="54"/>
        </w:numPr>
        <w:spacing w:after="240" w:line="276" w:lineRule="auto"/>
        <w:jc w:val="both"/>
        <w:rPr>
          <w:rFonts w:asciiTheme="minorHAnsi" w:hAnsiTheme="minorHAnsi"/>
        </w:rPr>
      </w:pPr>
      <w:r w:rsidRPr="001D1CD5">
        <w:rPr>
          <w:rFonts w:asciiTheme="minorHAnsi" w:hAnsiTheme="minorHAnsi"/>
        </w:rPr>
        <w:t>T</w:t>
      </w:r>
      <w:r w:rsidR="00115D3B" w:rsidRPr="001D1CD5">
        <w:rPr>
          <w:rFonts w:asciiTheme="minorHAnsi" w:hAnsiTheme="minorHAnsi"/>
        </w:rPr>
        <w:t xml:space="preserve">he importance of the </w:t>
      </w:r>
      <w:r w:rsidR="00115D3B" w:rsidRPr="001D1CD5">
        <w:rPr>
          <w:rFonts w:asciiTheme="minorHAnsi" w:hAnsiTheme="minorHAnsi"/>
          <w:i/>
        </w:rPr>
        <w:t>perception</w:t>
      </w:r>
      <w:r w:rsidR="00115D3B" w:rsidRPr="001D1CD5">
        <w:rPr>
          <w:rFonts w:asciiTheme="minorHAnsi" w:hAnsiTheme="minorHAnsi"/>
        </w:rPr>
        <w:t xml:space="preserve"> of </w:t>
      </w:r>
      <w:proofErr w:type="spellStart"/>
      <w:r w:rsidR="00115D3B" w:rsidRPr="001D1CD5">
        <w:rPr>
          <w:rFonts w:asciiTheme="minorHAnsi" w:hAnsiTheme="minorHAnsi"/>
        </w:rPr>
        <w:t>labour</w:t>
      </w:r>
      <w:proofErr w:type="spellEnd"/>
      <w:r w:rsidR="00115D3B" w:rsidRPr="001D1CD5">
        <w:rPr>
          <w:rFonts w:asciiTheme="minorHAnsi" w:hAnsiTheme="minorHAnsi"/>
        </w:rPr>
        <w:t xml:space="preserve"> relations by business and individuals, as noted by the </w:t>
      </w:r>
      <w:r w:rsidR="00A3724D">
        <w:rPr>
          <w:rFonts w:asciiTheme="minorHAnsi" w:hAnsiTheme="minorHAnsi"/>
        </w:rPr>
        <w:t xml:space="preserve">Productivity </w:t>
      </w:r>
      <w:r w:rsidR="00115D3B" w:rsidRPr="001D1CD5">
        <w:rPr>
          <w:rFonts w:asciiTheme="minorHAnsi" w:hAnsiTheme="minorHAnsi"/>
        </w:rPr>
        <w:t>Commission</w:t>
      </w:r>
      <w:r w:rsidR="00A3724D">
        <w:rPr>
          <w:rFonts w:asciiTheme="minorHAnsi" w:hAnsiTheme="minorHAnsi"/>
        </w:rPr>
        <w:t xml:space="preserve"> at page </w:t>
      </w:r>
      <w:r w:rsidR="00115D3B" w:rsidRPr="001D1CD5">
        <w:rPr>
          <w:rFonts w:asciiTheme="minorHAnsi" w:hAnsiTheme="minorHAnsi"/>
        </w:rPr>
        <w:t>218</w:t>
      </w:r>
      <w:r w:rsidR="00A3724D">
        <w:rPr>
          <w:rFonts w:asciiTheme="minorHAnsi" w:hAnsiTheme="minorHAnsi"/>
        </w:rPr>
        <w:t xml:space="preserve"> of its Draft Report</w:t>
      </w:r>
      <w:r w:rsidR="00115D3B" w:rsidRPr="001D1CD5">
        <w:rPr>
          <w:rFonts w:asciiTheme="minorHAnsi" w:hAnsiTheme="minorHAnsi"/>
        </w:rPr>
        <w:t xml:space="preserve">. In practice, </w:t>
      </w:r>
      <w:proofErr w:type="spellStart"/>
      <w:r w:rsidR="00115D3B" w:rsidRPr="001D1CD5">
        <w:rPr>
          <w:rFonts w:asciiTheme="minorHAnsi" w:hAnsiTheme="minorHAnsi"/>
        </w:rPr>
        <w:t>labour</w:t>
      </w:r>
      <w:proofErr w:type="spellEnd"/>
      <w:r w:rsidR="00115D3B" w:rsidRPr="001D1CD5">
        <w:rPr>
          <w:rFonts w:asciiTheme="minorHAnsi" w:hAnsiTheme="minorHAnsi"/>
        </w:rPr>
        <w:t xml:space="preserve"> relations are about attitudes and </w:t>
      </w:r>
      <w:proofErr w:type="spellStart"/>
      <w:r w:rsidR="00115D3B" w:rsidRPr="001D1CD5">
        <w:rPr>
          <w:rFonts w:asciiTheme="minorHAnsi" w:hAnsiTheme="minorHAnsi"/>
        </w:rPr>
        <w:t>behaviours</w:t>
      </w:r>
      <w:proofErr w:type="spellEnd"/>
      <w:r w:rsidR="00115D3B" w:rsidRPr="001D1CD5">
        <w:rPr>
          <w:rFonts w:asciiTheme="minorHAnsi" w:hAnsiTheme="minorHAnsi"/>
        </w:rPr>
        <w:t xml:space="preserve"> as much as they are about legal settings, so ‘perception’ matters a great deal.</w:t>
      </w:r>
    </w:p>
    <w:p w14:paraId="564697EA" w14:textId="4D8B0767" w:rsidR="00115D3B" w:rsidRPr="001D1CD5" w:rsidRDefault="00115D3B" w:rsidP="00115D3B">
      <w:pPr>
        <w:pStyle w:val="BodyText"/>
        <w:spacing w:after="240" w:line="276" w:lineRule="auto"/>
        <w:jc w:val="both"/>
        <w:rPr>
          <w:rFonts w:asciiTheme="minorHAnsi" w:hAnsiTheme="minorHAnsi"/>
        </w:rPr>
      </w:pPr>
      <w:r w:rsidRPr="001D1CD5">
        <w:rPr>
          <w:rFonts w:asciiTheme="minorHAnsi" w:hAnsiTheme="minorHAnsi"/>
        </w:rPr>
        <w:t xml:space="preserve">For these methodological reasons, the </w:t>
      </w:r>
      <w:proofErr w:type="spellStart"/>
      <w:r w:rsidRPr="001D1CD5">
        <w:rPr>
          <w:rFonts w:asciiTheme="minorHAnsi" w:hAnsiTheme="minorHAnsi"/>
        </w:rPr>
        <w:t>WEF</w:t>
      </w:r>
      <w:proofErr w:type="spellEnd"/>
      <w:r w:rsidRPr="001D1CD5">
        <w:rPr>
          <w:rFonts w:asciiTheme="minorHAnsi" w:hAnsiTheme="minorHAnsi"/>
        </w:rPr>
        <w:t xml:space="preserve"> measures are not directly comparable to the OECD and </w:t>
      </w:r>
      <w:proofErr w:type="spellStart"/>
      <w:r w:rsidRPr="001D1CD5">
        <w:rPr>
          <w:rFonts w:asciiTheme="minorHAnsi" w:hAnsiTheme="minorHAnsi"/>
        </w:rPr>
        <w:t>ILO</w:t>
      </w:r>
      <w:proofErr w:type="spellEnd"/>
      <w:r w:rsidRPr="001D1CD5">
        <w:rPr>
          <w:rFonts w:asciiTheme="minorHAnsi" w:hAnsiTheme="minorHAnsi"/>
        </w:rPr>
        <w:t xml:space="preserve"> measures that are apparently preferred by the </w:t>
      </w:r>
      <w:r w:rsidR="00A3724D">
        <w:rPr>
          <w:rFonts w:asciiTheme="minorHAnsi" w:hAnsiTheme="minorHAnsi"/>
        </w:rPr>
        <w:t xml:space="preserve">Productivity </w:t>
      </w:r>
      <w:r w:rsidRPr="001D1CD5">
        <w:rPr>
          <w:rFonts w:asciiTheme="minorHAnsi" w:hAnsiTheme="minorHAnsi"/>
        </w:rPr>
        <w:t xml:space="preserve">Commission. They provide related, but not identical, indicators of Australia’s relative performance. In this regard, it is not correct to conclude that the </w:t>
      </w:r>
      <w:proofErr w:type="spellStart"/>
      <w:r w:rsidRPr="001D1CD5">
        <w:rPr>
          <w:rFonts w:asciiTheme="minorHAnsi" w:hAnsiTheme="minorHAnsi"/>
        </w:rPr>
        <w:t>WEF</w:t>
      </w:r>
      <w:proofErr w:type="spellEnd"/>
      <w:r w:rsidRPr="001D1CD5">
        <w:rPr>
          <w:rFonts w:asciiTheme="minorHAnsi" w:hAnsiTheme="minorHAnsi"/>
        </w:rPr>
        <w:t xml:space="preserve"> ranking contradicts the OECD findings and that it “</w:t>
      </w:r>
      <w:r w:rsidRPr="001D1CD5">
        <w:rPr>
          <w:rFonts w:asciiTheme="minorHAnsi" w:hAnsiTheme="minorHAnsi"/>
          <w:i/>
        </w:rPr>
        <w:t>places Australia at the high level of restrictiveness</w:t>
      </w:r>
      <w:r w:rsidRPr="001D1CD5">
        <w:rPr>
          <w:rFonts w:asciiTheme="minorHAnsi" w:hAnsiTheme="minorHAnsi"/>
        </w:rPr>
        <w:t>”</w:t>
      </w:r>
      <w:r w:rsidR="00464869" w:rsidRPr="001D1CD5">
        <w:rPr>
          <w:rFonts w:asciiTheme="minorHAnsi" w:hAnsiTheme="minorHAnsi"/>
        </w:rPr>
        <w:t xml:space="preserve"> (</w:t>
      </w:r>
      <w:proofErr w:type="spellStart"/>
      <w:r w:rsidR="00464869" w:rsidRPr="001D1CD5">
        <w:rPr>
          <w:rFonts w:asciiTheme="minorHAnsi" w:hAnsiTheme="minorHAnsi"/>
        </w:rPr>
        <w:t>p.</w:t>
      </w:r>
      <w:r w:rsidRPr="001D1CD5">
        <w:rPr>
          <w:rFonts w:asciiTheme="minorHAnsi" w:hAnsiTheme="minorHAnsi"/>
        </w:rPr>
        <w:t>804</w:t>
      </w:r>
      <w:proofErr w:type="spellEnd"/>
      <w:r w:rsidRPr="001D1CD5">
        <w:rPr>
          <w:rFonts w:asciiTheme="minorHAnsi" w:hAnsiTheme="minorHAnsi"/>
        </w:rPr>
        <w:t xml:space="preserve">). Rather, the </w:t>
      </w:r>
      <w:proofErr w:type="spellStart"/>
      <w:r w:rsidRPr="001D1CD5">
        <w:rPr>
          <w:rFonts w:asciiTheme="minorHAnsi" w:hAnsiTheme="minorHAnsi"/>
        </w:rPr>
        <w:t>WEF’s</w:t>
      </w:r>
      <w:proofErr w:type="spellEnd"/>
      <w:r w:rsidRPr="001D1CD5">
        <w:rPr>
          <w:rFonts w:asciiTheme="minorHAnsi" w:hAnsiTheme="minorHAnsi"/>
        </w:rPr>
        <w:t xml:space="preserve"> relatively lower rankings for Australia tell us that relative to other countries, Australia’s </w:t>
      </w:r>
      <w:proofErr w:type="spellStart"/>
      <w:r w:rsidRPr="001D1CD5">
        <w:rPr>
          <w:rFonts w:asciiTheme="minorHAnsi" w:hAnsiTheme="minorHAnsi"/>
        </w:rPr>
        <w:t>labour</w:t>
      </w:r>
      <w:proofErr w:type="spellEnd"/>
      <w:r w:rsidRPr="001D1CD5">
        <w:rPr>
          <w:rFonts w:asciiTheme="minorHAnsi" w:hAnsiTheme="minorHAnsi"/>
        </w:rPr>
        <w:t xml:space="preserve"> relations environment (including workplace attitudes and </w:t>
      </w:r>
      <w:proofErr w:type="spellStart"/>
      <w:r w:rsidRPr="001D1CD5">
        <w:rPr>
          <w:rFonts w:asciiTheme="minorHAnsi" w:hAnsiTheme="minorHAnsi"/>
        </w:rPr>
        <w:t>behaviours</w:t>
      </w:r>
      <w:proofErr w:type="spellEnd"/>
      <w:r w:rsidRPr="001D1CD5">
        <w:rPr>
          <w:rFonts w:asciiTheme="minorHAnsi" w:hAnsiTheme="minorHAnsi"/>
        </w:rPr>
        <w:t xml:space="preserve"> as well as </w:t>
      </w:r>
      <w:proofErr w:type="spellStart"/>
      <w:r w:rsidRPr="001D1CD5">
        <w:rPr>
          <w:rFonts w:asciiTheme="minorHAnsi" w:hAnsiTheme="minorHAnsi"/>
        </w:rPr>
        <w:t>labour</w:t>
      </w:r>
      <w:proofErr w:type="spellEnd"/>
      <w:r w:rsidRPr="001D1CD5">
        <w:rPr>
          <w:rFonts w:asciiTheme="minorHAnsi" w:hAnsiTheme="minorHAnsi"/>
        </w:rPr>
        <w:t xml:space="preserve"> laws) is </w:t>
      </w:r>
      <w:r w:rsidRPr="001D1CD5">
        <w:rPr>
          <w:rFonts w:asciiTheme="minorHAnsi" w:hAnsiTheme="minorHAnsi"/>
          <w:i/>
        </w:rPr>
        <w:t xml:space="preserve">less supportive of business competitiveness, </w:t>
      </w:r>
      <w:r w:rsidRPr="001D1CD5">
        <w:rPr>
          <w:rFonts w:asciiTheme="minorHAnsi" w:hAnsiTheme="minorHAnsi"/>
        </w:rPr>
        <w:t>at a global level.</w:t>
      </w:r>
    </w:p>
    <w:p w14:paraId="6D3ED1D5" w14:textId="77777777" w:rsidR="00115D3B" w:rsidRPr="001D1CD5" w:rsidRDefault="00115D3B" w:rsidP="00115D3B">
      <w:pPr>
        <w:pStyle w:val="BodyText"/>
        <w:spacing w:after="240" w:line="276" w:lineRule="auto"/>
        <w:jc w:val="both"/>
        <w:rPr>
          <w:rFonts w:asciiTheme="minorHAnsi" w:hAnsiTheme="minorHAnsi"/>
        </w:rPr>
      </w:pPr>
      <w:r w:rsidRPr="001D1CD5">
        <w:rPr>
          <w:rFonts w:asciiTheme="minorHAnsi" w:hAnsiTheme="minorHAnsi"/>
        </w:rPr>
        <w:t xml:space="preserve">Ai Group cautions that the </w:t>
      </w:r>
      <w:proofErr w:type="spellStart"/>
      <w:r w:rsidRPr="001D1CD5">
        <w:rPr>
          <w:rFonts w:asciiTheme="minorHAnsi" w:hAnsiTheme="minorHAnsi"/>
        </w:rPr>
        <w:t>WEF</w:t>
      </w:r>
      <w:proofErr w:type="spellEnd"/>
      <w:r w:rsidRPr="001D1CD5">
        <w:rPr>
          <w:rFonts w:asciiTheme="minorHAnsi" w:hAnsiTheme="minorHAnsi"/>
        </w:rPr>
        <w:t xml:space="preserve"> data should not be dismissed out of hand simply because one of the sources of the data is business and not Government. Indeed, this direct input from business is precisely the strength of this information source, because it gives us a meaningful global comparison of the </w:t>
      </w:r>
      <w:r w:rsidRPr="001D1CD5">
        <w:rPr>
          <w:rFonts w:asciiTheme="minorHAnsi" w:hAnsiTheme="minorHAnsi"/>
          <w:i/>
        </w:rPr>
        <w:t>practical</w:t>
      </w:r>
      <w:r w:rsidRPr="001D1CD5">
        <w:rPr>
          <w:rFonts w:asciiTheme="minorHAnsi" w:hAnsiTheme="minorHAnsi"/>
        </w:rPr>
        <w:t xml:space="preserve"> effects of </w:t>
      </w:r>
      <w:proofErr w:type="spellStart"/>
      <w:r w:rsidRPr="001D1CD5">
        <w:rPr>
          <w:rFonts w:asciiTheme="minorHAnsi" w:hAnsiTheme="minorHAnsi"/>
        </w:rPr>
        <w:t>labour</w:t>
      </w:r>
      <w:proofErr w:type="spellEnd"/>
      <w:r w:rsidRPr="001D1CD5">
        <w:rPr>
          <w:rFonts w:asciiTheme="minorHAnsi" w:hAnsiTheme="minorHAnsi"/>
        </w:rPr>
        <w:t xml:space="preserve"> relations, at the coalface.</w:t>
      </w:r>
    </w:p>
    <w:p w14:paraId="1E04D2D0" w14:textId="77777777" w:rsidR="00115D3B" w:rsidRPr="001D1CD5" w:rsidRDefault="00115D3B" w:rsidP="00115D3B">
      <w:pPr>
        <w:pStyle w:val="BodyText"/>
        <w:spacing w:after="240" w:line="276" w:lineRule="auto"/>
        <w:jc w:val="both"/>
        <w:rPr>
          <w:rFonts w:asciiTheme="minorHAnsi" w:hAnsiTheme="minorHAnsi"/>
        </w:rPr>
      </w:pPr>
      <w:r w:rsidRPr="001D1CD5">
        <w:rPr>
          <w:rFonts w:asciiTheme="minorHAnsi" w:hAnsiTheme="minorHAnsi"/>
        </w:rPr>
        <w:t xml:space="preserve">Another key strength of the </w:t>
      </w:r>
      <w:proofErr w:type="spellStart"/>
      <w:r w:rsidRPr="001D1CD5">
        <w:rPr>
          <w:rFonts w:asciiTheme="minorHAnsi" w:hAnsiTheme="minorHAnsi"/>
        </w:rPr>
        <w:t>WEF’s</w:t>
      </w:r>
      <w:proofErr w:type="spellEnd"/>
      <w:r w:rsidRPr="001D1CD5">
        <w:rPr>
          <w:rFonts w:asciiTheme="minorHAnsi" w:hAnsiTheme="minorHAnsi"/>
        </w:rPr>
        <w:t xml:space="preserve"> global competitiveness data is its internal consistency over time. As noted above, the </w:t>
      </w:r>
      <w:proofErr w:type="spellStart"/>
      <w:r w:rsidRPr="001D1CD5">
        <w:rPr>
          <w:rFonts w:asciiTheme="minorHAnsi" w:hAnsiTheme="minorHAnsi"/>
        </w:rPr>
        <w:t>WEF’s</w:t>
      </w:r>
      <w:proofErr w:type="spellEnd"/>
      <w:r w:rsidRPr="001D1CD5">
        <w:rPr>
          <w:rFonts w:asciiTheme="minorHAnsi" w:hAnsiTheme="minorHAnsi"/>
        </w:rPr>
        <w:t xml:space="preserve"> global business survey has a different focus from the Government-based research by the OECD, but it has remained constant over many years, within the </w:t>
      </w:r>
      <w:proofErr w:type="spellStart"/>
      <w:r w:rsidRPr="001D1CD5">
        <w:rPr>
          <w:rFonts w:asciiTheme="minorHAnsi" w:hAnsiTheme="minorHAnsi"/>
        </w:rPr>
        <w:t>WEF</w:t>
      </w:r>
      <w:proofErr w:type="spellEnd"/>
      <w:r w:rsidRPr="001D1CD5">
        <w:rPr>
          <w:rFonts w:asciiTheme="minorHAnsi" w:hAnsiTheme="minorHAnsi"/>
        </w:rPr>
        <w:t xml:space="preserve"> global competitiveness framework. This consistent time series gives us:</w:t>
      </w:r>
    </w:p>
    <w:p w14:paraId="3A1847C2" w14:textId="588E6730" w:rsidR="00115D3B" w:rsidRPr="001D1CD5" w:rsidRDefault="00464869" w:rsidP="00D65246">
      <w:pPr>
        <w:pStyle w:val="BodyText"/>
        <w:numPr>
          <w:ilvl w:val="0"/>
          <w:numId w:val="55"/>
        </w:numPr>
        <w:spacing w:after="240" w:line="276" w:lineRule="auto"/>
        <w:jc w:val="both"/>
        <w:rPr>
          <w:rFonts w:asciiTheme="minorHAnsi" w:hAnsiTheme="minorHAnsi"/>
        </w:rPr>
      </w:pPr>
      <w:r w:rsidRPr="001D1CD5">
        <w:rPr>
          <w:rFonts w:asciiTheme="minorHAnsi" w:hAnsiTheme="minorHAnsi"/>
        </w:rPr>
        <w:t>A</w:t>
      </w:r>
      <w:r w:rsidR="00115D3B" w:rsidRPr="001D1CD5">
        <w:rPr>
          <w:rFonts w:asciiTheme="minorHAnsi" w:hAnsiTheme="minorHAnsi"/>
        </w:rPr>
        <w:t>n insight into how Australia’s competitiveness is changing over time on each indicator, rather than just a single static snapshot;</w:t>
      </w:r>
    </w:p>
    <w:p w14:paraId="5085C148" w14:textId="7230E18B" w:rsidR="00115D3B" w:rsidRPr="001D1CD5" w:rsidRDefault="00464869" w:rsidP="00D65246">
      <w:pPr>
        <w:pStyle w:val="BodyText"/>
        <w:numPr>
          <w:ilvl w:val="0"/>
          <w:numId w:val="55"/>
        </w:numPr>
        <w:spacing w:after="240" w:line="276" w:lineRule="auto"/>
        <w:jc w:val="both"/>
        <w:rPr>
          <w:rFonts w:asciiTheme="minorHAnsi" w:hAnsiTheme="minorHAnsi"/>
        </w:rPr>
      </w:pPr>
      <w:r w:rsidRPr="001D1CD5">
        <w:rPr>
          <w:rFonts w:asciiTheme="minorHAnsi" w:hAnsiTheme="minorHAnsi"/>
        </w:rPr>
        <w:t>T</w:t>
      </w:r>
      <w:r w:rsidR="00115D3B" w:rsidRPr="001D1CD5">
        <w:rPr>
          <w:rFonts w:asciiTheme="minorHAnsi" w:hAnsiTheme="minorHAnsi"/>
        </w:rPr>
        <w:t xml:space="preserve">he ability to compare </w:t>
      </w:r>
      <w:proofErr w:type="spellStart"/>
      <w:r w:rsidR="00115D3B" w:rsidRPr="001D1CD5">
        <w:rPr>
          <w:rFonts w:asciiTheme="minorHAnsi" w:hAnsiTheme="minorHAnsi"/>
        </w:rPr>
        <w:t>labour</w:t>
      </w:r>
      <w:proofErr w:type="spellEnd"/>
      <w:r w:rsidR="00115D3B" w:rsidRPr="001D1CD5">
        <w:rPr>
          <w:rFonts w:asciiTheme="minorHAnsi" w:hAnsiTheme="minorHAnsi"/>
        </w:rPr>
        <w:t xml:space="preserve"> relations indicators to other competitiveness indicators, in order to assess the relative strength of each area of business performance and to identify priorities for reform by business and/or Government;</w:t>
      </w:r>
    </w:p>
    <w:p w14:paraId="3654BEE6" w14:textId="16A9F155" w:rsidR="00115D3B" w:rsidRPr="001D1CD5" w:rsidRDefault="00464869" w:rsidP="00D65246">
      <w:pPr>
        <w:pStyle w:val="BodyText"/>
        <w:numPr>
          <w:ilvl w:val="0"/>
          <w:numId w:val="55"/>
        </w:numPr>
        <w:spacing w:after="240" w:line="276" w:lineRule="auto"/>
        <w:jc w:val="both"/>
        <w:rPr>
          <w:rFonts w:asciiTheme="minorHAnsi" w:hAnsiTheme="minorHAnsi"/>
        </w:rPr>
      </w:pPr>
      <w:r w:rsidRPr="001D1CD5">
        <w:rPr>
          <w:rFonts w:asciiTheme="minorHAnsi" w:hAnsiTheme="minorHAnsi"/>
        </w:rPr>
        <w:lastRenderedPageBreak/>
        <w:t>A</w:t>
      </w:r>
      <w:r w:rsidR="00115D3B" w:rsidRPr="001D1CD5">
        <w:rPr>
          <w:rFonts w:asciiTheme="minorHAnsi" w:hAnsiTheme="minorHAnsi"/>
        </w:rPr>
        <w:t>n insight into whether Australia’s relative performance is changing because Australia itself has changed, or because other countries have changed relative to Australia (that is, has Australia stood still while other countries have improved or deteriorated?).</w:t>
      </w:r>
    </w:p>
    <w:p w14:paraId="6C2C4BED" w14:textId="65568392" w:rsidR="00115D3B" w:rsidRPr="001D1CD5" w:rsidRDefault="00115D3B" w:rsidP="00115D3B">
      <w:pPr>
        <w:pStyle w:val="BodyText"/>
        <w:spacing w:after="240" w:line="276" w:lineRule="auto"/>
        <w:jc w:val="both"/>
        <w:rPr>
          <w:rFonts w:asciiTheme="minorHAnsi" w:hAnsiTheme="minorHAnsi"/>
        </w:rPr>
      </w:pPr>
      <w:r w:rsidRPr="001D1CD5">
        <w:rPr>
          <w:rFonts w:asciiTheme="minorHAnsi" w:hAnsiTheme="minorHAnsi"/>
        </w:rPr>
        <w:t xml:space="preserve">The </w:t>
      </w:r>
      <w:proofErr w:type="spellStart"/>
      <w:r w:rsidRPr="001D1CD5">
        <w:rPr>
          <w:rFonts w:asciiTheme="minorHAnsi" w:hAnsiTheme="minorHAnsi"/>
        </w:rPr>
        <w:t>WEF</w:t>
      </w:r>
      <w:proofErr w:type="spellEnd"/>
      <w:r w:rsidRPr="001D1CD5">
        <w:rPr>
          <w:rFonts w:asciiTheme="minorHAnsi" w:hAnsiTheme="minorHAnsi"/>
        </w:rPr>
        <w:t xml:space="preserve"> </w:t>
      </w:r>
      <w:proofErr w:type="spellStart"/>
      <w:r w:rsidRPr="001D1CD5">
        <w:rPr>
          <w:rFonts w:asciiTheme="minorHAnsi" w:hAnsiTheme="minorHAnsi"/>
        </w:rPr>
        <w:t>labour</w:t>
      </w:r>
      <w:proofErr w:type="spellEnd"/>
      <w:r w:rsidRPr="001D1CD5">
        <w:rPr>
          <w:rFonts w:asciiTheme="minorHAnsi" w:hAnsiTheme="minorHAnsi"/>
        </w:rPr>
        <w:t xml:space="preserve"> market indicators that are of most relevance to this inquiry are</w:t>
      </w:r>
      <w:r w:rsidR="00464869" w:rsidRPr="001D1CD5">
        <w:rPr>
          <w:rFonts w:asciiTheme="minorHAnsi" w:hAnsiTheme="minorHAnsi"/>
        </w:rPr>
        <w:t xml:space="preserve"> shown in Table 1 and Figure 1</w:t>
      </w:r>
      <w:r w:rsidRPr="001D1CD5">
        <w:rPr>
          <w:rFonts w:asciiTheme="minorHAnsi" w:hAnsiTheme="minorHAnsi"/>
        </w:rPr>
        <w:t xml:space="preserve"> below. These results indicate that Australia’s performance on these </w:t>
      </w:r>
      <w:proofErr w:type="spellStart"/>
      <w:r w:rsidRPr="001D1CD5">
        <w:rPr>
          <w:rFonts w:asciiTheme="minorHAnsi" w:hAnsiTheme="minorHAnsi"/>
        </w:rPr>
        <w:t>labour</w:t>
      </w:r>
      <w:proofErr w:type="spellEnd"/>
      <w:r w:rsidRPr="001D1CD5">
        <w:rPr>
          <w:rFonts w:asciiTheme="minorHAnsi" w:hAnsiTheme="minorHAnsi"/>
        </w:rPr>
        <w:t xml:space="preserve"> relations measures has deteriorated over time, relative to other countries (the ranking) </w:t>
      </w:r>
      <w:r w:rsidRPr="001D1CD5">
        <w:rPr>
          <w:rFonts w:asciiTheme="minorHAnsi" w:hAnsiTheme="minorHAnsi"/>
          <w:i/>
        </w:rPr>
        <w:t>and</w:t>
      </w:r>
      <w:r w:rsidRPr="001D1CD5">
        <w:rPr>
          <w:rFonts w:asciiTheme="minorHAnsi" w:hAnsiTheme="minorHAnsi"/>
        </w:rPr>
        <w:t xml:space="preserve"> relative to its own history (the index score). This suggests that Australia’s </w:t>
      </w:r>
      <w:proofErr w:type="spellStart"/>
      <w:r w:rsidRPr="001D1CD5">
        <w:rPr>
          <w:rFonts w:asciiTheme="minorHAnsi" w:hAnsiTheme="minorHAnsi"/>
        </w:rPr>
        <w:t>labour</w:t>
      </w:r>
      <w:proofErr w:type="spellEnd"/>
      <w:r w:rsidRPr="001D1CD5">
        <w:rPr>
          <w:rFonts w:asciiTheme="minorHAnsi" w:hAnsiTheme="minorHAnsi"/>
        </w:rPr>
        <w:t xml:space="preserve"> relations environment has deteriorated absolutely and not just relatively. Importantly, some of the factors highlighted by these data relate to workplace </w:t>
      </w:r>
      <w:proofErr w:type="spellStart"/>
      <w:r w:rsidRPr="001D1CD5">
        <w:rPr>
          <w:rFonts w:asciiTheme="minorHAnsi" w:hAnsiTheme="minorHAnsi"/>
        </w:rPr>
        <w:t>behaviour</w:t>
      </w:r>
      <w:proofErr w:type="spellEnd"/>
      <w:r w:rsidRPr="001D1CD5">
        <w:rPr>
          <w:rFonts w:asciiTheme="minorHAnsi" w:hAnsiTheme="minorHAnsi"/>
        </w:rPr>
        <w:t xml:space="preserve"> (e.g. ‘cooperation in </w:t>
      </w:r>
      <w:proofErr w:type="spellStart"/>
      <w:r w:rsidRPr="001D1CD5">
        <w:rPr>
          <w:rFonts w:asciiTheme="minorHAnsi" w:hAnsiTheme="minorHAnsi"/>
        </w:rPr>
        <w:t>labour</w:t>
      </w:r>
      <w:proofErr w:type="spellEnd"/>
      <w:r w:rsidRPr="001D1CD5">
        <w:rPr>
          <w:rFonts w:asciiTheme="minorHAnsi" w:hAnsiTheme="minorHAnsi"/>
        </w:rPr>
        <w:t xml:space="preserve">-employer relations’), and the practical application of </w:t>
      </w:r>
      <w:proofErr w:type="spellStart"/>
      <w:r w:rsidRPr="001D1CD5">
        <w:rPr>
          <w:rFonts w:asciiTheme="minorHAnsi" w:hAnsiTheme="minorHAnsi"/>
        </w:rPr>
        <w:t>labour</w:t>
      </w:r>
      <w:proofErr w:type="spellEnd"/>
      <w:r w:rsidRPr="001D1CD5">
        <w:rPr>
          <w:rFonts w:asciiTheme="minorHAnsi" w:hAnsiTheme="minorHAnsi"/>
        </w:rPr>
        <w:t xml:space="preserve"> laws (e.g. the flexibility of wage determination’) and not just to the legal framework itself (e.g. ‘redundancy costs’).</w:t>
      </w:r>
    </w:p>
    <w:p w14:paraId="7A69C326" w14:textId="23E46600" w:rsidR="00115D3B" w:rsidRPr="001D1CD5" w:rsidRDefault="00464869" w:rsidP="00464869">
      <w:pPr>
        <w:pStyle w:val="BodyText"/>
        <w:jc w:val="center"/>
        <w:rPr>
          <w:rFonts w:asciiTheme="minorHAnsi" w:hAnsiTheme="minorHAnsi"/>
          <w:b/>
          <w:color w:val="451E51"/>
        </w:rPr>
      </w:pPr>
      <w:r w:rsidRPr="001D1CD5">
        <w:rPr>
          <w:rFonts w:asciiTheme="minorHAnsi" w:hAnsiTheme="minorHAnsi"/>
          <w:b/>
          <w:color w:val="451E51"/>
        </w:rPr>
        <w:t>Table 1</w:t>
      </w:r>
      <w:r w:rsidR="00115D3B" w:rsidRPr="001D1CD5">
        <w:rPr>
          <w:rFonts w:asciiTheme="minorHAnsi" w:hAnsiTheme="minorHAnsi"/>
          <w:b/>
          <w:color w:val="451E51"/>
        </w:rPr>
        <w:t xml:space="preserve">: </w:t>
      </w:r>
      <w:proofErr w:type="spellStart"/>
      <w:r w:rsidR="00115D3B" w:rsidRPr="001D1CD5">
        <w:rPr>
          <w:rFonts w:asciiTheme="minorHAnsi" w:hAnsiTheme="minorHAnsi"/>
          <w:b/>
          <w:color w:val="451E51"/>
        </w:rPr>
        <w:t>WEF</w:t>
      </w:r>
      <w:proofErr w:type="spellEnd"/>
      <w:r w:rsidR="00115D3B" w:rsidRPr="001D1CD5">
        <w:rPr>
          <w:rFonts w:asciiTheme="minorHAnsi" w:hAnsiTheme="minorHAnsi"/>
          <w:b/>
          <w:color w:val="451E51"/>
        </w:rPr>
        <w:t xml:space="preserve"> selected ‘</w:t>
      </w:r>
      <w:proofErr w:type="spellStart"/>
      <w:r w:rsidR="00115D3B" w:rsidRPr="001D1CD5">
        <w:rPr>
          <w:rFonts w:asciiTheme="minorHAnsi" w:hAnsiTheme="minorHAnsi"/>
          <w:b/>
          <w:color w:val="451E51"/>
        </w:rPr>
        <w:t>labour</w:t>
      </w:r>
      <w:proofErr w:type="spellEnd"/>
      <w:r w:rsidR="00115D3B" w:rsidRPr="001D1CD5">
        <w:rPr>
          <w:rFonts w:asciiTheme="minorHAnsi" w:hAnsiTheme="minorHAnsi"/>
          <w:b/>
          <w:color w:val="451E51"/>
        </w:rPr>
        <w:t xml:space="preserve"> market’ indicators: index scores &amp; rankings*, Australia</w:t>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1747"/>
        <w:gridCol w:w="1465"/>
        <w:gridCol w:w="1465"/>
        <w:gridCol w:w="1843"/>
        <w:gridCol w:w="1418"/>
        <w:gridCol w:w="1417"/>
      </w:tblGrid>
      <w:tr w:rsidR="00115D3B" w:rsidRPr="001D1CD5" w14:paraId="75873154" w14:textId="77777777" w:rsidTr="00464869">
        <w:trPr>
          <w:trHeight w:val="774"/>
        </w:trPr>
        <w:tc>
          <w:tcPr>
            <w:tcW w:w="993" w:type="dxa"/>
            <w:tcBorders>
              <w:top w:val="single" w:sz="4" w:space="0" w:color="auto"/>
              <w:bottom w:val="single" w:sz="4" w:space="0" w:color="auto"/>
            </w:tcBorders>
            <w:vAlign w:val="center"/>
          </w:tcPr>
          <w:p w14:paraId="467072FA" w14:textId="77777777" w:rsidR="00115D3B" w:rsidRPr="001D1CD5" w:rsidRDefault="00115D3B" w:rsidP="00701439">
            <w:pPr>
              <w:jc w:val="center"/>
              <w:rPr>
                <w:rFonts w:asciiTheme="minorHAnsi" w:hAnsiTheme="minorHAnsi"/>
                <w:b/>
                <w:color w:val="000000"/>
                <w:sz w:val="20"/>
                <w:szCs w:val="20"/>
              </w:rPr>
            </w:pPr>
            <w:r w:rsidRPr="001D1CD5">
              <w:rPr>
                <w:rFonts w:asciiTheme="minorHAnsi" w:hAnsiTheme="minorHAnsi"/>
                <w:b/>
                <w:color w:val="000000"/>
                <w:sz w:val="20"/>
                <w:szCs w:val="20"/>
              </w:rPr>
              <w:t xml:space="preserve">Index </w:t>
            </w:r>
          </w:p>
        </w:tc>
        <w:tc>
          <w:tcPr>
            <w:tcW w:w="1747" w:type="dxa"/>
            <w:tcBorders>
              <w:top w:val="single" w:sz="4" w:space="0" w:color="auto"/>
              <w:bottom w:val="single" w:sz="4" w:space="0" w:color="auto"/>
              <w:right w:val="single" w:sz="4" w:space="0" w:color="auto"/>
            </w:tcBorders>
            <w:vAlign w:val="center"/>
          </w:tcPr>
          <w:p w14:paraId="62F7C97E" w14:textId="77777777" w:rsidR="00115D3B" w:rsidRPr="001D1CD5" w:rsidRDefault="00115D3B" w:rsidP="00701439">
            <w:pPr>
              <w:jc w:val="center"/>
              <w:rPr>
                <w:rFonts w:asciiTheme="minorHAnsi" w:hAnsiTheme="minorHAnsi"/>
                <w:b/>
                <w:color w:val="000000"/>
                <w:sz w:val="20"/>
                <w:szCs w:val="20"/>
              </w:rPr>
            </w:pPr>
            <w:proofErr w:type="spellStart"/>
            <w:r w:rsidRPr="001D1CD5">
              <w:rPr>
                <w:rFonts w:asciiTheme="minorHAnsi" w:hAnsiTheme="minorHAnsi"/>
                <w:b/>
                <w:color w:val="000000"/>
                <w:sz w:val="20"/>
                <w:szCs w:val="20"/>
              </w:rPr>
              <w:t>Labour</w:t>
            </w:r>
            <w:proofErr w:type="spellEnd"/>
            <w:r w:rsidRPr="001D1CD5">
              <w:rPr>
                <w:rFonts w:asciiTheme="minorHAnsi" w:hAnsiTheme="minorHAnsi"/>
                <w:b/>
                <w:color w:val="000000"/>
                <w:sz w:val="20"/>
                <w:szCs w:val="20"/>
              </w:rPr>
              <w:t xml:space="preserve"> market (all indicators combined)</w:t>
            </w:r>
          </w:p>
        </w:tc>
        <w:tc>
          <w:tcPr>
            <w:tcW w:w="1465" w:type="dxa"/>
            <w:tcBorders>
              <w:top w:val="single" w:sz="4" w:space="0" w:color="auto"/>
              <w:left w:val="single" w:sz="4" w:space="0" w:color="auto"/>
              <w:bottom w:val="single" w:sz="4" w:space="0" w:color="auto"/>
            </w:tcBorders>
            <w:vAlign w:val="center"/>
          </w:tcPr>
          <w:p w14:paraId="56F9DD75" w14:textId="77777777" w:rsidR="00115D3B" w:rsidRPr="001D1CD5" w:rsidRDefault="00115D3B" w:rsidP="00701439">
            <w:pPr>
              <w:jc w:val="center"/>
              <w:rPr>
                <w:rFonts w:asciiTheme="minorHAnsi" w:hAnsiTheme="minorHAnsi"/>
                <w:b/>
                <w:color w:val="000000"/>
                <w:sz w:val="20"/>
                <w:szCs w:val="20"/>
              </w:rPr>
            </w:pPr>
            <w:r w:rsidRPr="001D1CD5">
              <w:rPr>
                <w:rFonts w:asciiTheme="minorHAnsi" w:hAnsiTheme="minorHAnsi"/>
                <w:b/>
                <w:color w:val="000000"/>
                <w:sz w:val="20"/>
                <w:szCs w:val="20"/>
              </w:rPr>
              <w:t>Flexibility of wage deter-</w:t>
            </w:r>
            <w:proofErr w:type="spellStart"/>
            <w:r w:rsidRPr="001D1CD5">
              <w:rPr>
                <w:rFonts w:asciiTheme="minorHAnsi" w:hAnsiTheme="minorHAnsi"/>
                <w:b/>
                <w:color w:val="000000"/>
                <w:sz w:val="20"/>
                <w:szCs w:val="20"/>
              </w:rPr>
              <w:t>mination</w:t>
            </w:r>
            <w:proofErr w:type="spellEnd"/>
          </w:p>
        </w:tc>
        <w:tc>
          <w:tcPr>
            <w:tcW w:w="1465" w:type="dxa"/>
            <w:tcBorders>
              <w:top w:val="single" w:sz="4" w:space="0" w:color="auto"/>
              <w:bottom w:val="single" w:sz="4" w:space="0" w:color="auto"/>
            </w:tcBorders>
            <w:vAlign w:val="center"/>
          </w:tcPr>
          <w:p w14:paraId="4AB1C6EB" w14:textId="77777777" w:rsidR="00115D3B" w:rsidRPr="001D1CD5" w:rsidRDefault="00115D3B" w:rsidP="00701439">
            <w:pPr>
              <w:jc w:val="center"/>
              <w:rPr>
                <w:rFonts w:asciiTheme="minorHAnsi" w:hAnsiTheme="minorHAnsi"/>
                <w:b/>
                <w:color w:val="000000"/>
                <w:sz w:val="20"/>
                <w:szCs w:val="20"/>
              </w:rPr>
            </w:pPr>
            <w:r w:rsidRPr="001D1CD5">
              <w:rPr>
                <w:rFonts w:asciiTheme="minorHAnsi" w:hAnsiTheme="minorHAnsi"/>
                <w:b/>
                <w:color w:val="000000"/>
                <w:sz w:val="20"/>
                <w:szCs w:val="20"/>
              </w:rPr>
              <w:t>Pay &amp; productivity</w:t>
            </w:r>
          </w:p>
        </w:tc>
        <w:tc>
          <w:tcPr>
            <w:tcW w:w="1843" w:type="dxa"/>
            <w:tcBorders>
              <w:top w:val="single" w:sz="4" w:space="0" w:color="auto"/>
              <w:bottom w:val="single" w:sz="4" w:space="0" w:color="auto"/>
            </w:tcBorders>
            <w:vAlign w:val="center"/>
          </w:tcPr>
          <w:p w14:paraId="2128F10D" w14:textId="77777777" w:rsidR="00115D3B" w:rsidRPr="001D1CD5" w:rsidRDefault="00115D3B" w:rsidP="00701439">
            <w:pPr>
              <w:jc w:val="center"/>
              <w:rPr>
                <w:rFonts w:asciiTheme="minorHAnsi" w:hAnsiTheme="minorHAnsi"/>
                <w:b/>
                <w:color w:val="000000"/>
                <w:sz w:val="20"/>
                <w:szCs w:val="20"/>
              </w:rPr>
            </w:pPr>
            <w:r w:rsidRPr="001D1CD5">
              <w:rPr>
                <w:rFonts w:asciiTheme="minorHAnsi" w:hAnsiTheme="minorHAnsi"/>
                <w:b/>
                <w:color w:val="000000"/>
                <w:sz w:val="20"/>
                <w:szCs w:val="20"/>
              </w:rPr>
              <w:t>Cooperation in labor-employer relations</w:t>
            </w:r>
          </w:p>
        </w:tc>
        <w:tc>
          <w:tcPr>
            <w:tcW w:w="1418" w:type="dxa"/>
            <w:tcBorders>
              <w:top w:val="single" w:sz="4" w:space="0" w:color="auto"/>
              <w:bottom w:val="single" w:sz="4" w:space="0" w:color="auto"/>
            </w:tcBorders>
            <w:vAlign w:val="center"/>
          </w:tcPr>
          <w:p w14:paraId="3AB444BB" w14:textId="77777777" w:rsidR="00115D3B" w:rsidRPr="001D1CD5" w:rsidRDefault="00115D3B" w:rsidP="00701439">
            <w:pPr>
              <w:jc w:val="center"/>
              <w:rPr>
                <w:rFonts w:asciiTheme="minorHAnsi" w:hAnsiTheme="minorHAnsi"/>
                <w:b/>
                <w:color w:val="000000"/>
                <w:sz w:val="20"/>
                <w:szCs w:val="20"/>
              </w:rPr>
            </w:pPr>
            <w:r w:rsidRPr="001D1CD5">
              <w:rPr>
                <w:rFonts w:asciiTheme="minorHAnsi" w:hAnsiTheme="minorHAnsi"/>
                <w:b/>
                <w:color w:val="000000"/>
                <w:sz w:val="20"/>
                <w:szCs w:val="20"/>
              </w:rPr>
              <w:t>Hiring &amp; firing practices</w:t>
            </w:r>
          </w:p>
        </w:tc>
        <w:tc>
          <w:tcPr>
            <w:tcW w:w="1417" w:type="dxa"/>
            <w:tcBorders>
              <w:top w:val="single" w:sz="4" w:space="0" w:color="auto"/>
              <w:bottom w:val="single" w:sz="4" w:space="0" w:color="auto"/>
            </w:tcBorders>
            <w:vAlign w:val="center"/>
          </w:tcPr>
          <w:p w14:paraId="30BD9EF0" w14:textId="77777777" w:rsidR="00115D3B" w:rsidRPr="001D1CD5" w:rsidRDefault="00115D3B" w:rsidP="00701439">
            <w:pPr>
              <w:jc w:val="center"/>
              <w:rPr>
                <w:rFonts w:asciiTheme="minorHAnsi" w:hAnsiTheme="minorHAnsi"/>
                <w:b/>
                <w:color w:val="000000"/>
                <w:sz w:val="20"/>
                <w:szCs w:val="20"/>
              </w:rPr>
            </w:pPr>
            <w:r w:rsidRPr="001D1CD5">
              <w:rPr>
                <w:rFonts w:asciiTheme="minorHAnsi" w:hAnsiTheme="minorHAnsi"/>
                <w:b/>
                <w:color w:val="000000"/>
                <w:sz w:val="20"/>
                <w:szCs w:val="20"/>
              </w:rPr>
              <w:t>Redundancy costs</w:t>
            </w:r>
          </w:p>
        </w:tc>
      </w:tr>
      <w:tr w:rsidR="00115D3B" w:rsidRPr="001D1CD5" w14:paraId="30A95F65" w14:textId="77777777" w:rsidTr="00464869">
        <w:tc>
          <w:tcPr>
            <w:tcW w:w="993" w:type="dxa"/>
            <w:tcBorders>
              <w:top w:val="single" w:sz="4" w:space="0" w:color="auto"/>
            </w:tcBorders>
            <w:vAlign w:val="center"/>
          </w:tcPr>
          <w:p w14:paraId="5E7C630B" w14:textId="77777777" w:rsidR="00115D3B" w:rsidRPr="001D1CD5" w:rsidRDefault="00115D3B" w:rsidP="00701439">
            <w:pPr>
              <w:jc w:val="center"/>
              <w:rPr>
                <w:rFonts w:asciiTheme="minorHAnsi" w:hAnsiTheme="minorHAnsi"/>
                <w:color w:val="000000"/>
                <w:sz w:val="20"/>
                <w:szCs w:val="20"/>
              </w:rPr>
            </w:pPr>
            <w:r w:rsidRPr="001D1CD5">
              <w:rPr>
                <w:rFonts w:asciiTheme="minorHAnsi" w:hAnsiTheme="minorHAnsi"/>
                <w:color w:val="000000"/>
                <w:sz w:val="20"/>
                <w:szCs w:val="20"/>
              </w:rPr>
              <w:t>2008-09</w:t>
            </w:r>
          </w:p>
        </w:tc>
        <w:tc>
          <w:tcPr>
            <w:tcW w:w="1747" w:type="dxa"/>
            <w:tcBorders>
              <w:top w:val="single" w:sz="4" w:space="0" w:color="auto"/>
              <w:right w:val="single" w:sz="4" w:space="0" w:color="auto"/>
            </w:tcBorders>
            <w:vAlign w:val="center"/>
          </w:tcPr>
          <w:p w14:paraId="64F07CAD" w14:textId="77777777" w:rsidR="00115D3B" w:rsidRPr="001D1CD5" w:rsidRDefault="00115D3B" w:rsidP="00701439">
            <w:pPr>
              <w:jc w:val="center"/>
              <w:rPr>
                <w:rFonts w:asciiTheme="minorHAnsi" w:hAnsiTheme="minorHAnsi"/>
                <w:b/>
                <w:color w:val="000000"/>
                <w:sz w:val="20"/>
                <w:szCs w:val="20"/>
              </w:rPr>
            </w:pPr>
            <w:r w:rsidRPr="001D1CD5">
              <w:rPr>
                <w:rFonts w:asciiTheme="minorHAnsi" w:hAnsiTheme="minorHAnsi"/>
                <w:b/>
                <w:color w:val="000000"/>
                <w:sz w:val="20"/>
                <w:szCs w:val="20"/>
              </w:rPr>
              <w:t>5.0</w:t>
            </w:r>
          </w:p>
        </w:tc>
        <w:tc>
          <w:tcPr>
            <w:tcW w:w="1465" w:type="dxa"/>
            <w:tcBorders>
              <w:top w:val="single" w:sz="4" w:space="0" w:color="auto"/>
              <w:left w:val="single" w:sz="4" w:space="0" w:color="auto"/>
            </w:tcBorders>
            <w:vAlign w:val="center"/>
          </w:tcPr>
          <w:p w14:paraId="78EBF753" w14:textId="77777777" w:rsidR="00115D3B" w:rsidRPr="001D1CD5" w:rsidRDefault="00115D3B" w:rsidP="00701439">
            <w:pPr>
              <w:jc w:val="center"/>
              <w:rPr>
                <w:rFonts w:asciiTheme="minorHAnsi" w:hAnsiTheme="minorHAnsi"/>
                <w:color w:val="000000"/>
                <w:sz w:val="20"/>
                <w:szCs w:val="20"/>
              </w:rPr>
            </w:pPr>
            <w:r w:rsidRPr="001D1CD5">
              <w:rPr>
                <w:rFonts w:asciiTheme="minorHAnsi" w:hAnsiTheme="minorHAnsi"/>
                <w:color w:val="000000"/>
                <w:sz w:val="20"/>
                <w:szCs w:val="20"/>
              </w:rPr>
              <w:t>5.1</w:t>
            </w:r>
          </w:p>
        </w:tc>
        <w:tc>
          <w:tcPr>
            <w:tcW w:w="1465" w:type="dxa"/>
            <w:tcBorders>
              <w:top w:val="single" w:sz="4" w:space="0" w:color="auto"/>
            </w:tcBorders>
            <w:vAlign w:val="center"/>
          </w:tcPr>
          <w:p w14:paraId="0F7C1C5F" w14:textId="77777777" w:rsidR="00115D3B" w:rsidRPr="001D1CD5" w:rsidRDefault="00115D3B" w:rsidP="00701439">
            <w:pPr>
              <w:jc w:val="center"/>
              <w:rPr>
                <w:rFonts w:asciiTheme="minorHAnsi" w:hAnsiTheme="minorHAnsi"/>
                <w:color w:val="000000"/>
                <w:sz w:val="20"/>
                <w:szCs w:val="20"/>
              </w:rPr>
            </w:pPr>
            <w:r w:rsidRPr="001D1CD5">
              <w:rPr>
                <w:rFonts w:asciiTheme="minorHAnsi" w:hAnsiTheme="minorHAnsi"/>
                <w:color w:val="000000"/>
                <w:sz w:val="20"/>
                <w:szCs w:val="20"/>
              </w:rPr>
              <w:t>4.8</w:t>
            </w:r>
          </w:p>
        </w:tc>
        <w:tc>
          <w:tcPr>
            <w:tcW w:w="1843" w:type="dxa"/>
            <w:tcBorders>
              <w:top w:val="single" w:sz="4" w:space="0" w:color="auto"/>
            </w:tcBorders>
            <w:vAlign w:val="center"/>
          </w:tcPr>
          <w:p w14:paraId="27592DAC" w14:textId="77777777" w:rsidR="00115D3B" w:rsidRPr="001D1CD5" w:rsidRDefault="00115D3B" w:rsidP="00701439">
            <w:pPr>
              <w:jc w:val="center"/>
              <w:rPr>
                <w:rFonts w:asciiTheme="minorHAnsi" w:hAnsiTheme="minorHAnsi"/>
                <w:color w:val="000000"/>
                <w:sz w:val="20"/>
                <w:szCs w:val="20"/>
              </w:rPr>
            </w:pPr>
            <w:r w:rsidRPr="001D1CD5">
              <w:rPr>
                <w:rFonts w:asciiTheme="minorHAnsi" w:hAnsiTheme="minorHAnsi"/>
                <w:color w:val="000000"/>
                <w:sz w:val="20"/>
                <w:szCs w:val="20"/>
              </w:rPr>
              <w:t>4.8</w:t>
            </w:r>
          </w:p>
        </w:tc>
        <w:tc>
          <w:tcPr>
            <w:tcW w:w="1418" w:type="dxa"/>
            <w:tcBorders>
              <w:top w:val="single" w:sz="4" w:space="0" w:color="auto"/>
            </w:tcBorders>
            <w:vAlign w:val="center"/>
          </w:tcPr>
          <w:p w14:paraId="2339EC10" w14:textId="77777777" w:rsidR="00115D3B" w:rsidRPr="001D1CD5" w:rsidRDefault="00115D3B" w:rsidP="00701439">
            <w:pPr>
              <w:jc w:val="center"/>
              <w:rPr>
                <w:rFonts w:asciiTheme="minorHAnsi" w:hAnsiTheme="minorHAnsi"/>
                <w:color w:val="000000"/>
                <w:sz w:val="20"/>
                <w:szCs w:val="20"/>
              </w:rPr>
            </w:pPr>
            <w:r w:rsidRPr="001D1CD5">
              <w:rPr>
                <w:rFonts w:asciiTheme="minorHAnsi" w:hAnsiTheme="minorHAnsi"/>
                <w:color w:val="000000"/>
                <w:sz w:val="20"/>
                <w:szCs w:val="20"/>
              </w:rPr>
              <w:t>4.1</w:t>
            </w:r>
          </w:p>
        </w:tc>
        <w:tc>
          <w:tcPr>
            <w:tcW w:w="1417" w:type="dxa"/>
            <w:tcBorders>
              <w:top w:val="single" w:sz="4" w:space="0" w:color="auto"/>
            </w:tcBorders>
            <w:vAlign w:val="center"/>
          </w:tcPr>
          <w:p w14:paraId="0021EDB8" w14:textId="77777777" w:rsidR="00115D3B" w:rsidRPr="001D1CD5" w:rsidRDefault="00115D3B" w:rsidP="00701439">
            <w:pPr>
              <w:jc w:val="center"/>
              <w:rPr>
                <w:rFonts w:asciiTheme="minorHAnsi" w:hAnsiTheme="minorHAnsi"/>
                <w:color w:val="000000"/>
                <w:sz w:val="20"/>
                <w:szCs w:val="20"/>
              </w:rPr>
            </w:pPr>
            <w:r w:rsidRPr="001D1CD5">
              <w:rPr>
                <w:rFonts w:asciiTheme="minorHAnsi" w:hAnsiTheme="minorHAnsi"/>
                <w:color w:val="000000"/>
                <w:sz w:val="20"/>
                <w:szCs w:val="20"/>
              </w:rPr>
              <w:t>4</w:t>
            </w:r>
          </w:p>
        </w:tc>
      </w:tr>
      <w:tr w:rsidR="00115D3B" w:rsidRPr="001D1CD5" w14:paraId="58B25456" w14:textId="77777777" w:rsidTr="00464869">
        <w:tc>
          <w:tcPr>
            <w:tcW w:w="993" w:type="dxa"/>
            <w:vAlign w:val="center"/>
          </w:tcPr>
          <w:p w14:paraId="6CBD7E55" w14:textId="77777777" w:rsidR="00115D3B" w:rsidRPr="001D1CD5" w:rsidRDefault="00115D3B" w:rsidP="00701439">
            <w:pPr>
              <w:jc w:val="center"/>
              <w:rPr>
                <w:rFonts w:asciiTheme="minorHAnsi" w:hAnsiTheme="minorHAnsi"/>
                <w:color w:val="000000"/>
                <w:sz w:val="20"/>
                <w:szCs w:val="20"/>
              </w:rPr>
            </w:pPr>
            <w:r w:rsidRPr="001D1CD5">
              <w:rPr>
                <w:rFonts w:asciiTheme="minorHAnsi" w:hAnsiTheme="minorHAnsi"/>
                <w:color w:val="000000"/>
                <w:sz w:val="20"/>
                <w:szCs w:val="20"/>
              </w:rPr>
              <w:t>2009-10</w:t>
            </w:r>
          </w:p>
        </w:tc>
        <w:tc>
          <w:tcPr>
            <w:tcW w:w="1747" w:type="dxa"/>
            <w:tcBorders>
              <w:right w:val="single" w:sz="4" w:space="0" w:color="auto"/>
            </w:tcBorders>
            <w:vAlign w:val="center"/>
          </w:tcPr>
          <w:p w14:paraId="3CA46689" w14:textId="77777777" w:rsidR="00115D3B" w:rsidRPr="001D1CD5" w:rsidRDefault="00115D3B" w:rsidP="00701439">
            <w:pPr>
              <w:jc w:val="center"/>
              <w:rPr>
                <w:rFonts w:asciiTheme="minorHAnsi" w:hAnsiTheme="minorHAnsi"/>
                <w:b/>
                <w:color w:val="000000"/>
                <w:sz w:val="20"/>
                <w:szCs w:val="20"/>
              </w:rPr>
            </w:pPr>
            <w:r w:rsidRPr="001D1CD5">
              <w:rPr>
                <w:rFonts w:asciiTheme="minorHAnsi" w:hAnsiTheme="minorHAnsi"/>
                <w:b/>
                <w:color w:val="000000"/>
                <w:sz w:val="20"/>
                <w:szCs w:val="20"/>
              </w:rPr>
              <w:t>5.1</w:t>
            </w:r>
          </w:p>
        </w:tc>
        <w:tc>
          <w:tcPr>
            <w:tcW w:w="1465" w:type="dxa"/>
            <w:tcBorders>
              <w:left w:val="single" w:sz="4" w:space="0" w:color="auto"/>
            </w:tcBorders>
            <w:vAlign w:val="center"/>
          </w:tcPr>
          <w:p w14:paraId="09FE5F94" w14:textId="77777777" w:rsidR="00115D3B" w:rsidRPr="001D1CD5" w:rsidRDefault="00115D3B" w:rsidP="00701439">
            <w:pPr>
              <w:jc w:val="center"/>
              <w:rPr>
                <w:rFonts w:asciiTheme="minorHAnsi" w:hAnsiTheme="minorHAnsi"/>
                <w:color w:val="000000"/>
                <w:sz w:val="20"/>
                <w:szCs w:val="20"/>
              </w:rPr>
            </w:pPr>
            <w:r w:rsidRPr="001D1CD5">
              <w:rPr>
                <w:rFonts w:asciiTheme="minorHAnsi" w:hAnsiTheme="minorHAnsi"/>
                <w:color w:val="000000"/>
                <w:sz w:val="20"/>
                <w:szCs w:val="20"/>
              </w:rPr>
              <w:t>4.8</w:t>
            </w:r>
          </w:p>
        </w:tc>
        <w:tc>
          <w:tcPr>
            <w:tcW w:w="1465" w:type="dxa"/>
            <w:vAlign w:val="center"/>
          </w:tcPr>
          <w:p w14:paraId="7EA56104" w14:textId="77777777" w:rsidR="00115D3B" w:rsidRPr="001D1CD5" w:rsidRDefault="00115D3B" w:rsidP="00701439">
            <w:pPr>
              <w:jc w:val="center"/>
              <w:rPr>
                <w:rFonts w:asciiTheme="minorHAnsi" w:hAnsiTheme="minorHAnsi"/>
                <w:color w:val="000000"/>
                <w:sz w:val="20"/>
                <w:szCs w:val="20"/>
              </w:rPr>
            </w:pPr>
            <w:r w:rsidRPr="001D1CD5">
              <w:rPr>
                <w:rFonts w:asciiTheme="minorHAnsi" w:hAnsiTheme="minorHAnsi"/>
                <w:color w:val="000000"/>
                <w:sz w:val="20"/>
                <w:szCs w:val="20"/>
              </w:rPr>
              <w:t>4.5</w:t>
            </w:r>
          </w:p>
        </w:tc>
        <w:tc>
          <w:tcPr>
            <w:tcW w:w="1843" w:type="dxa"/>
            <w:vAlign w:val="center"/>
          </w:tcPr>
          <w:p w14:paraId="2987D5C2" w14:textId="77777777" w:rsidR="00115D3B" w:rsidRPr="001D1CD5" w:rsidRDefault="00115D3B" w:rsidP="00701439">
            <w:pPr>
              <w:jc w:val="center"/>
              <w:rPr>
                <w:rFonts w:asciiTheme="minorHAnsi" w:hAnsiTheme="minorHAnsi"/>
                <w:color w:val="000000"/>
                <w:sz w:val="20"/>
                <w:szCs w:val="20"/>
              </w:rPr>
            </w:pPr>
            <w:r w:rsidRPr="001D1CD5">
              <w:rPr>
                <w:rFonts w:asciiTheme="minorHAnsi" w:hAnsiTheme="minorHAnsi"/>
                <w:color w:val="000000"/>
                <w:sz w:val="20"/>
                <w:szCs w:val="20"/>
              </w:rPr>
              <w:t>4.7</w:t>
            </w:r>
          </w:p>
        </w:tc>
        <w:tc>
          <w:tcPr>
            <w:tcW w:w="1418" w:type="dxa"/>
            <w:vAlign w:val="center"/>
          </w:tcPr>
          <w:p w14:paraId="5B203E54" w14:textId="77777777" w:rsidR="00115D3B" w:rsidRPr="001D1CD5" w:rsidRDefault="00115D3B" w:rsidP="00701439">
            <w:pPr>
              <w:jc w:val="center"/>
              <w:rPr>
                <w:rFonts w:asciiTheme="minorHAnsi" w:hAnsiTheme="minorHAnsi"/>
                <w:color w:val="000000"/>
                <w:sz w:val="20"/>
                <w:szCs w:val="20"/>
              </w:rPr>
            </w:pPr>
            <w:r w:rsidRPr="001D1CD5">
              <w:rPr>
                <w:rFonts w:asciiTheme="minorHAnsi" w:hAnsiTheme="minorHAnsi"/>
                <w:color w:val="000000"/>
                <w:sz w:val="20"/>
                <w:szCs w:val="20"/>
              </w:rPr>
              <w:t>4.0</w:t>
            </w:r>
          </w:p>
        </w:tc>
        <w:tc>
          <w:tcPr>
            <w:tcW w:w="1417" w:type="dxa"/>
            <w:vAlign w:val="center"/>
          </w:tcPr>
          <w:p w14:paraId="7F0407F6" w14:textId="77777777" w:rsidR="00115D3B" w:rsidRPr="001D1CD5" w:rsidRDefault="00115D3B" w:rsidP="00701439">
            <w:pPr>
              <w:jc w:val="center"/>
              <w:rPr>
                <w:rFonts w:asciiTheme="minorHAnsi" w:hAnsiTheme="minorHAnsi"/>
                <w:color w:val="000000"/>
                <w:sz w:val="20"/>
                <w:szCs w:val="20"/>
              </w:rPr>
            </w:pPr>
            <w:r w:rsidRPr="001D1CD5">
              <w:rPr>
                <w:rFonts w:asciiTheme="minorHAnsi" w:hAnsiTheme="minorHAnsi"/>
                <w:color w:val="000000"/>
                <w:sz w:val="20"/>
                <w:szCs w:val="20"/>
              </w:rPr>
              <w:t>4</w:t>
            </w:r>
          </w:p>
        </w:tc>
      </w:tr>
      <w:tr w:rsidR="00115D3B" w:rsidRPr="001D1CD5" w14:paraId="605107D4" w14:textId="77777777" w:rsidTr="00464869">
        <w:trPr>
          <w:trHeight w:val="273"/>
        </w:trPr>
        <w:tc>
          <w:tcPr>
            <w:tcW w:w="993" w:type="dxa"/>
            <w:vAlign w:val="center"/>
          </w:tcPr>
          <w:p w14:paraId="4C5A5DB4" w14:textId="77777777" w:rsidR="00115D3B" w:rsidRPr="001D1CD5" w:rsidRDefault="00115D3B" w:rsidP="00701439">
            <w:pPr>
              <w:jc w:val="center"/>
              <w:rPr>
                <w:rFonts w:asciiTheme="minorHAnsi" w:hAnsiTheme="minorHAnsi"/>
                <w:color w:val="000000"/>
                <w:sz w:val="20"/>
                <w:szCs w:val="20"/>
              </w:rPr>
            </w:pPr>
            <w:r w:rsidRPr="001D1CD5">
              <w:rPr>
                <w:rFonts w:asciiTheme="minorHAnsi" w:hAnsiTheme="minorHAnsi"/>
                <w:color w:val="000000"/>
                <w:sz w:val="20"/>
                <w:szCs w:val="20"/>
              </w:rPr>
              <w:t>2010-11</w:t>
            </w:r>
          </w:p>
        </w:tc>
        <w:tc>
          <w:tcPr>
            <w:tcW w:w="1747" w:type="dxa"/>
            <w:tcBorders>
              <w:right w:val="single" w:sz="4" w:space="0" w:color="auto"/>
            </w:tcBorders>
            <w:vAlign w:val="center"/>
          </w:tcPr>
          <w:p w14:paraId="41C9A2E6" w14:textId="77777777" w:rsidR="00115D3B" w:rsidRPr="001D1CD5" w:rsidRDefault="00115D3B" w:rsidP="00701439">
            <w:pPr>
              <w:jc w:val="center"/>
              <w:rPr>
                <w:rFonts w:asciiTheme="minorHAnsi" w:hAnsiTheme="minorHAnsi"/>
                <w:b/>
                <w:color w:val="000000"/>
                <w:sz w:val="20"/>
                <w:szCs w:val="20"/>
              </w:rPr>
            </w:pPr>
            <w:r w:rsidRPr="001D1CD5">
              <w:rPr>
                <w:rFonts w:asciiTheme="minorHAnsi" w:hAnsiTheme="minorHAnsi"/>
                <w:b/>
                <w:color w:val="000000"/>
                <w:sz w:val="20"/>
                <w:szCs w:val="20"/>
              </w:rPr>
              <w:t>5.2</w:t>
            </w:r>
          </w:p>
        </w:tc>
        <w:tc>
          <w:tcPr>
            <w:tcW w:w="1465" w:type="dxa"/>
            <w:tcBorders>
              <w:left w:val="single" w:sz="4" w:space="0" w:color="auto"/>
            </w:tcBorders>
            <w:vAlign w:val="center"/>
          </w:tcPr>
          <w:p w14:paraId="6F7B2998" w14:textId="77777777" w:rsidR="00115D3B" w:rsidRPr="001D1CD5" w:rsidRDefault="00115D3B" w:rsidP="00701439">
            <w:pPr>
              <w:jc w:val="center"/>
              <w:rPr>
                <w:rFonts w:asciiTheme="minorHAnsi" w:hAnsiTheme="minorHAnsi"/>
                <w:color w:val="000000"/>
                <w:sz w:val="20"/>
                <w:szCs w:val="20"/>
              </w:rPr>
            </w:pPr>
            <w:r w:rsidRPr="001D1CD5">
              <w:rPr>
                <w:rFonts w:asciiTheme="minorHAnsi" w:hAnsiTheme="minorHAnsi"/>
                <w:color w:val="000000"/>
                <w:sz w:val="20"/>
                <w:szCs w:val="20"/>
              </w:rPr>
              <w:t>4.4</w:t>
            </w:r>
          </w:p>
        </w:tc>
        <w:tc>
          <w:tcPr>
            <w:tcW w:w="1465" w:type="dxa"/>
            <w:vAlign w:val="center"/>
          </w:tcPr>
          <w:p w14:paraId="62F79677" w14:textId="77777777" w:rsidR="00115D3B" w:rsidRPr="001D1CD5" w:rsidRDefault="00115D3B" w:rsidP="00701439">
            <w:pPr>
              <w:jc w:val="center"/>
              <w:rPr>
                <w:rFonts w:asciiTheme="minorHAnsi" w:hAnsiTheme="minorHAnsi"/>
                <w:color w:val="000000"/>
                <w:sz w:val="20"/>
                <w:szCs w:val="20"/>
              </w:rPr>
            </w:pPr>
            <w:r w:rsidRPr="001D1CD5">
              <w:rPr>
                <w:rFonts w:asciiTheme="minorHAnsi" w:hAnsiTheme="minorHAnsi"/>
                <w:color w:val="000000"/>
                <w:sz w:val="20"/>
                <w:szCs w:val="20"/>
              </w:rPr>
              <w:t>4.2</w:t>
            </w:r>
          </w:p>
        </w:tc>
        <w:tc>
          <w:tcPr>
            <w:tcW w:w="1843" w:type="dxa"/>
            <w:vAlign w:val="center"/>
          </w:tcPr>
          <w:p w14:paraId="4F5442CC" w14:textId="77777777" w:rsidR="00115D3B" w:rsidRPr="001D1CD5" w:rsidRDefault="00115D3B" w:rsidP="00701439">
            <w:pPr>
              <w:jc w:val="center"/>
              <w:rPr>
                <w:rFonts w:asciiTheme="minorHAnsi" w:hAnsiTheme="minorHAnsi"/>
                <w:color w:val="000000"/>
                <w:sz w:val="20"/>
                <w:szCs w:val="20"/>
              </w:rPr>
            </w:pPr>
            <w:r w:rsidRPr="001D1CD5">
              <w:rPr>
                <w:rFonts w:asciiTheme="minorHAnsi" w:hAnsiTheme="minorHAnsi"/>
                <w:color w:val="000000"/>
                <w:sz w:val="20"/>
                <w:szCs w:val="20"/>
              </w:rPr>
              <w:t>4.7</w:t>
            </w:r>
          </w:p>
        </w:tc>
        <w:tc>
          <w:tcPr>
            <w:tcW w:w="1418" w:type="dxa"/>
            <w:vAlign w:val="center"/>
          </w:tcPr>
          <w:p w14:paraId="6E9377B4" w14:textId="77777777" w:rsidR="00115D3B" w:rsidRPr="001D1CD5" w:rsidRDefault="00115D3B" w:rsidP="00701439">
            <w:pPr>
              <w:jc w:val="center"/>
              <w:rPr>
                <w:rFonts w:asciiTheme="minorHAnsi" w:hAnsiTheme="minorHAnsi"/>
                <w:color w:val="000000"/>
                <w:sz w:val="20"/>
                <w:szCs w:val="20"/>
              </w:rPr>
            </w:pPr>
            <w:r w:rsidRPr="001D1CD5">
              <w:rPr>
                <w:rFonts w:asciiTheme="minorHAnsi" w:hAnsiTheme="minorHAnsi"/>
                <w:color w:val="000000"/>
                <w:sz w:val="20"/>
                <w:szCs w:val="20"/>
              </w:rPr>
              <w:t>3.8</w:t>
            </w:r>
          </w:p>
        </w:tc>
        <w:tc>
          <w:tcPr>
            <w:tcW w:w="1417" w:type="dxa"/>
            <w:vAlign w:val="center"/>
          </w:tcPr>
          <w:p w14:paraId="2A642E4D" w14:textId="77777777" w:rsidR="00115D3B" w:rsidRPr="001D1CD5" w:rsidRDefault="00115D3B" w:rsidP="00701439">
            <w:pPr>
              <w:jc w:val="center"/>
              <w:rPr>
                <w:rFonts w:asciiTheme="minorHAnsi" w:hAnsiTheme="minorHAnsi"/>
                <w:color w:val="000000"/>
                <w:sz w:val="20"/>
                <w:szCs w:val="20"/>
              </w:rPr>
            </w:pPr>
            <w:r w:rsidRPr="001D1CD5">
              <w:rPr>
                <w:rFonts w:asciiTheme="minorHAnsi" w:hAnsiTheme="minorHAnsi"/>
                <w:color w:val="000000"/>
                <w:sz w:val="20"/>
                <w:szCs w:val="20"/>
              </w:rPr>
              <w:t>4</w:t>
            </w:r>
          </w:p>
        </w:tc>
      </w:tr>
      <w:tr w:rsidR="00115D3B" w:rsidRPr="001D1CD5" w14:paraId="7F7D0D30" w14:textId="77777777" w:rsidTr="00464869">
        <w:tc>
          <w:tcPr>
            <w:tcW w:w="993" w:type="dxa"/>
            <w:vAlign w:val="center"/>
          </w:tcPr>
          <w:p w14:paraId="1FA63146" w14:textId="77777777" w:rsidR="00115D3B" w:rsidRPr="001D1CD5" w:rsidRDefault="00115D3B" w:rsidP="00701439">
            <w:pPr>
              <w:jc w:val="center"/>
              <w:rPr>
                <w:rFonts w:asciiTheme="minorHAnsi" w:hAnsiTheme="minorHAnsi"/>
                <w:color w:val="000000"/>
                <w:sz w:val="20"/>
                <w:szCs w:val="20"/>
              </w:rPr>
            </w:pPr>
            <w:r w:rsidRPr="001D1CD5">
              <w:rPr>
                <w:rFonts w:asciiTheme="minorHAnsi" w:hAnsiTheme="minorHAnsi"/>
                <w:color w:val="000000"/>
                <w:sz w:val="20"/>
                <w:szCs w:val="20"/>
              </w:rPr>
              <w:t>2011-12</w:t>
            </w:r>
          </w:p>
        </w:tc>
        <w:tc>
          <w:tcPr>
            <w:tcW w:w="1747" w:type="dxa"/>
            <w:tcBorders>
              <w:right w:val="single" w:sz="4" w:space="0" w:color="auto"/>
            </w:tcBorders>
            <w:vAlign w:val="center"/>
          </w:tcPr>
          <w:p w14:paraId="45BD1B6D" w14:textId="77777777" w:rsidR="00115D3B" w:rsidRPr="001D1CD5" w:rsidRDefault="00115D3B" w:rsidP="00701439">
            <w:pPr>
              <w:jc w:val="center"/>
              <w:rPr>
                <w:rFonts w:asciiTheme="minorHAnsi" w:hAnsiTheme="minorHAnsi"/>
                <w:b/>
                <w:color w:val="000000"/>
                <w:sz w:val="20"/>
                <w:szCs w:val="20"/>
              </w:rPr>
            </w:pPr>
            <w:r w:rsidRPr="001D1CD5">
              <w:rPr>
                <w:rFonts w:asciiTheme="minorHAnsi" w:hAnsiTheme="minorHAnsi"/>
                <w:b/>
                <w:color w:val="000000"/>
                <w:sz w:val="20"/>
                <w:szCs w:val="20"/>
              </w:rPr>
              <w:t>5.1</w:t>
            </w:r>
          </w:p>
        </w:tc>
        <w:tc>
          <w:tcPr>
            <w:tcW w:w="1465" w:type="dxa"/>
            <w:tcBorders>
              <w:left w:val="single" w:sz="4" w:space="0" w:color="auto"/>
            </w:tcBorders>
            <w:vAlign w:val="center"/>
          </w:tcPr>
          <w:p w14:paraId="02D20C01" w14:textId="77777777" w:rsidR="00115D3B" w:rsidRPr="001D1CD5" w:rsidRDefault="00115D3B" w:rsidP="00701439">
            <w:pPr>
              <w:jc w:val="center"/>
              <w:rPr>
                <w:rFonts w:asciiTheme="minorHAnsi" w:hAnsiTheme="minorHAnsi"/>
                <w:color w:val="000000"/>
                <w:sz w:val="20"/>
                <w:szCs w:val="20"/>
              </w:rPr>
            </w:pPr>
            <w:r w:rsidRPr="001D1CD5">
              <w:rPr>
                <w:rFonts w:asciiTheme="minorHAnsi" w:hAnsiTheme="minorHAnsi"/>
                <w:color w:val="000000"/>
                <w:sz w:val="20"/>
                <w:szCs w:val="20"/>
              </w:rPr>
              <w:t>4.3</w:t>
            </w:r>
          </w:p>
        </w:tc>
        <w:tc>
          <w:tcPr>
            <w:tcW w:w="1465" w:type="dxa"/>
            <w:vAlign w:val="center"/>
          </w:tcPr>
          <w:p w14:paraId="4F2328F3" w14:textId="77777777" w:rsidR="00115D3B" w:rsidRPr="001D1CD5" w:rsidRDefault="00115D3B" w:rsidP="00701439">
            <w:pPr>
              <w:jc w:val="center"/>
              <w:rPr>
                <w:rFonts w:asciiTheme="minorHAnsi" w:hAnsiTheme="minorHAnsi"/>
                <w:color w:val="000000"/>
                <w:sz w:val="20"/>
                <w:szCs w:val="20"/>
              </w:rPr>
            </w:pPr>
            <w:r w:rsidRPr="001D1CD5">
              <w:rPr>
                <w:rFonts w:asciiTheme="minorHAnsi" w:hAnsiTheme="minorHAnsi"/>
                <w:color w:val="000000"/>
                <w:sz w:val="20"/>
                <w:szCs w:val="20"/>
              </w:rPr>
              <w:t>4.3</w:t>
            </w:r>
          </w:p>
        </w:tc>
        <w:tc>
          <w:tcPr>
            <w:tcW w:w="1843" w:type="dxa"/>
            <w:vAlign w:val="center"/>
          </w:tcPr>
          <w:p w14:paraId="12E6E107" w14:textId="77777777" w:rsidR="00115D3B" w:rsidRPr="001D1CD5" w:rsidRDefault="00115D3B" w:rsidP="00701439">
            <w:pPr>
              <w:jc w:val="center"/>
              <w:rPr>
                <w:rFonts w:asciiTheme="minorHAnsi" w:hAnsiTheme="minorHAnsi"/>
                <w:color w:val="000000"/>
                <w:sz w:val="20"/>
                <w:szCs w:val="20"/>
              </w:rPr>
            </w:pPr>
            <w:r w:rsidRPr="001D1CD5">
              <w:rPr>
                <w:rFonts w:asciiTheme="minorHAnsi" w:hAnsiTheme="minorHAnsi"/>
                <w:color w:val="000000"/>
                <w:sz w:val="20"/>
                <w:szCs w:val="20"/>
              </w:rPr>
              <w:t>4.8</w:t>
            </w:r>
          </w:p>
        </w:tc>
        <w:tc>
          <w:tcPr>
            <w:tcW w:w="1418" w:type="dxa"/>
            <w:vAlign w:val="center"/>
          </w:tcPr>
          <w:p w14:paraId="3E537F7E" w14:textId="77777777" w:rsidR="00115D3B" w:rsidRPr="001D1CD5" w:rsidRDefault="00115D3B" w:rsidP="00701439">
            <w:pPr>
              <w:jc w:val="center"/>
              <w:rPr>
                <w:rFonts w:asciiTheme="minorHAnsi" w:hAnsiTheme="minorHAnsi"/>
                <w:color w:val="000000"/>
                <w:sz w:val="20"/>
                <w:szCs w:val="20"/>
              </w:rPr>
            </w:pPr>
            <w:r w:rsidRPr="001D1CD5">
              <w:rPr>
                <w:rFonts w:asciiTheme="minorHAnsi" w:hAnsiTheme="minorHAnsi"/>
                <w:color w:val="000000"/>
                <w:sz w:val="20"/>
                <w:szCs w:val="20"/>
              </w:rPr>
              <w:t>3.5</w:t>
            </w:r>
          </w:p>
        </w:tc>
        <w:tc>
          <w:tcPr>
            <w:tcW w:w="1417" w:type="dxa"/>
            <w:vAlign w:val="center"/>
          </w:tcPr>
          <w:p w14:paraId="244ED639" w14:textId="77777777" w:rsidR="00115D3B" w:rsidRPr="001D1CD5" w:rsidRDefault="00115D3B" w:rsidP="00701439">
            <w:pPr>
              <w:jc w:val="center"/>
              <w:rPr>
                <w:rFonts w:asciiTheme="minorHAnsi" w:hAnsiTheme="minorHAnsi"/>
                <w:color w:val="000000"/>
                <w:sz w:val="20"/>
                <w:szCs w:val="20"/>
              </w:rPr>
            </w:pPr>
            <w:r w:rsidRPr="001D1CD5">
              <w:rPr>
                <w:rFonts w:asciiTheme="minorHAnsi" w:hAnsiTheme="minorHAnsi"/>
                <w:color w:val="000000"/>
                <w:sz w:val="20"/>
                <w:szCs w:val="20"/>
              </w:rPr>
              <w:t>4</w:t>
            </w:r>
          </w:p>
        </w:tc>
      </w:tr>
      <w:tr w:rsidR="00115D3B" w:rsidRPr="001D1CD5" w14:paraId="4B9ECD27" w14:textId="77777777" w:rsidTr="00464869">
        <w:tc>
          <w:tcPr>
            <w:tcW w:w="993" w:type="dxa"/>
            <w:vAlign w:val="center"/>
          </w:tcPr>
          <w:p w14:paraId="7B6FEB63" w14:textId="77777777" w:rsidR="00115D3B" w:rsidRPr="001D1CD5" w:rsidRDefault="00115D3B" w:rsidP="00701439">
            <w:pPr>
              <w:jc w:val="center"/>
              <w:rPr>
                <w:rFonts w:asciiTheme="minorHAnsi" w:hAnsiTheme="minorHAnsi"/>
                <w:color w:val="000000"/>
                <w:sz w:val="20"/>
                <w:szCs w:val="20"/>
              </w:rPr>
            </w:pPr>
            <w:r w:rsidRPr="001D1CD5">
              <w:rPr>
                <w:rFonts w:asciiTheme="minorHAnsi" w:hAnsiTheme="minorHAnsi"/>
                <w:color w:val="000000"/>
                <w:sz w:val="20"/>
                <w:szCs w:val="20"/>
              </w:rPr>
              <w:t>2012-13</w:t>
            </w:r>
          </w:p>
        </w:tc>
        <w:tc>
          <w:tcPr>
            <w:tcW w:w="1747" w:type="dxa"/>
            <w:tcBorders>
              <w:right w:val="single" w:sz="4" w:space="0" w:color="auto"/>
            </w:tcBorders>
            <w:vAlign w:val="center"/>
          </w:tcPr>
          <w:p w14:paraId="0FA62609" w14:textId="77777777" w:rsidR="00115D3B" w:rsidRPr="001D1CD5" w:rsidRDefault="00115D3B" w:rsidP="00701439">
            <w:pPr>
              <w:jc w:val="center"/>
              <w:rPr>
                <w:rFonts w:asciiTheme="minorHAnsi" w:hAnsiTheme="minorHAnsi"/>
                <w:b/>
                <w:color w:val="000000"/>
                <w:sz w:val="20"/>
                <w:szCs w:val="20"/>
              </w:rPr>
            </w:pPr>
            <w:r w:rsidRPr="001D1CD5">
              <w:rPr>
                <w:rFonts w:asciiTheme="minorHAnsi" w:hAnsiTheme="minorHAnsi"/>
                <w:b/>
                <w:color w:val="000000"/>
                <w:sz w:val="20"/>
                <w:szCs w:val="20"/>
              </w:rPr>
              <w:t>5.0</w:t>
            </w:r>
          </w:p>
        </w:tc>
        <w:tc>
          <w:tcPr>
            <w:tcW w:w="1465" w:type="dxa"/>
            <w:tcBorders>
              <w:left w:val="single" w:sz="4" w:space="0" w:color="auto"/>
            </w:tcBorders>
            <w:vAlign w:val="center"/>
          </w:tcPr>
          <w:p w14:paraId="740DDE7D" w14:textId="77777777" w:rsidR="00115D3B" w:rsidRPr="001D1CD5" w:rsidRDefault="00115D3B" w:rsidP="00701439">
            <w:pPr>
              <w:jc w:val="center"/>
              <w:rPr>
                <w:rFonts w:asciiTheme="minorHAnsi" w:hAnsiTheme="minorHAnsi"/>
                <w:color w:val="000000"/>
                <w:sz w:val="20"/>
                <w:szCs w:val="20"/>
              </w:rPr>
            </w:pPr>
            <w:r w:rsidRPr="001D1CD5">
              <w:rPr>
                <w:rFonts w:asciiTheme="minorHAnsi" w:hAnsiTheme="minorHAnsi"/>
                <w:color w:val="000000"/>
                <w:sz w:val="20"/>
                <w:szCs w:val="20"/>
              </w:rPr>
              <w:t>4.1</w:t>
            </w:r>
          </w:p>
        </w:tc>
        <w:tc>
          <w:tcPr>
            <w:tcW w:w="1465" w:type="dxa"/>
            <w:vAlign w:val="center"/>
          </w:tcPr>
          <w:p w14:paraId="531D5C97" w14:textId="77777777" w:rsidR="00115D3B" w:rsidRPr="001D1CD5" w:rsidRDefault="00115D3B" w:rsidP="00701439">
            <w:pPr>
              <w:jc w:val="center"/>
              <w:rPr>
                <w:rFonts w:asciiTheme="minorHAnsi" w:hAnsiTheme="minorHAnsi"/>
                <w:color w:val="000000"/>
                <w:sz w:val="20"/>
                <w:szCs w:val="20"/>
              </w:rPr>
            </w:pPr>
            <w:r w:rsidRPr="001D1CD5">
              <w:rPr>
                <w:rFonts w:asciiTheme="minorHAnsi" w:hAnsiTheme="minorHAnsi"/>
                <w:color w:val="000000"/>
                <w:sz w:val="20"/>
                <w:szCs w:val="20"/>
              </w:rPr>
              <w:t>3.8</w:t>
            </w:r>
          </w:p>
        </w:tc>
        <w:tc>
          <w:tcPr>
            <w:tcW w:w="1843" w:type="dxa"/>
            <w:vAlign w:val="center"/>
          </w:tcPr>
          <w:p w14:paraId="2875FE60" w14:textId="77777777" w:rsidR="00115D3B" w:rsidRPr="001D1CD5" w:rsidRDefault="00115D3B" w:rsidP="00701439">
            <w:pPr>
              <w:jc w:val="center"/>
              <w:rPr>
                <w:rFonts w:asciiTheme="minorHAnsi" w:hAnsiTheme="minorHAnsi"/>
                <w:color w:val="000000"/>
                <w:sz w:val="20"/>
                <w:szCs w:val="20"/>
              </w:rPr>
            </w:pPr>
            <w:r w:rsidRPr="001D1CD5">
              <w:rPr>
                <w:rFonts w:asciiTheme="minorHAnsi" w:hAnsiTheme="minorHAnsi"/>
                <w:color w:val="000000"/>
                <w:sz w:val="20"/>
                <w:szCs w:val="20"/>
              </w:rPr>
              <w:t>4.3</w:t>
            </w:r>
          </w:p>
        </w:tc>
        <w:tc>
          <w:tcPr>
            <w:tcW w:w="1418" w:type="dxa"/>
            <w:vAlign w:val="center"/>
          </w:tcPr>
          <w:p w14:paraId="51AC6378" w14:textId="77777777" w:rsidR="00115D3B" w:rsidRPr="001D1CD5" w:rsidRDefault="00115D3B" w:rsidP="00701439">
            <w:pPr>
              <w:jc w:val="center"/>
              <w:rPr>
                <w:rFonts w:asciiTheme="minorHAnsi" w:hAnsiTheme="minorHAnsi"/>
                <w:color w:val="000000"/>
                <w:sz w:val="20"/>
                <w:szCs w:val="20"/>
              </w:rPr>
            </w:pPr>
            <w:r w:rsidRPr="001D1CD5">
              <w:rPr>
                <w:rFonts w:asciiTheme="minorHAnsi" w:hAnsiTheme="minorHAnsi"/>
                <w:color w:val="000000"/>
                <w:sz w:val="20"/>
                <w:szCs w:val="20"/>
              </w:rPr>
              <w:t>3.2</w:t>
            </w:r>
          </w:p>
        </w:tc>
        <w:tc>
          <w:tcPr>
            <w:tcW w:w="1417" w:type="dxa"/>
            <w:vAlign w:val="center"/>
          </w:tcPr>
          <w:p w14:paraId="5D70CE14" w14:textId="77777777" w:rsidR="00115D3B" w:rsidRPr="001D1CD5" w:rsidRDefault="00115D3B" w:rsidP="00701439">
            <w:pPr>
              <w:jc w:val="center"/>
              <w:rPr>
                <w:rFonts w:asciiTheme="minorHAnsi" w:hAnsiTheme="minorHAnsi"/>
                <w:color w:val="000000"/>
                <w:sz w:val="20"/>
                <w:szCs w:val="20"/>
              </w:rPr>
            </w:pPr>
            <w:r w:rsidRPr="001D1CD5">
              <w:rPr>
                <w:rFonts w:asciiTheme="minorHAnsi" w:hAnsiTheme="minorHAnsi"/>
                <w:color w:val="000000"/>
                <w:sz w:val="20"/>
                <w:szCs w:val="20"/>
              </w:rPr>
              <w:t>12</w:t>
            </w:r>
          </w:p>
        </w:tc>
      </w:tr>
      <w:tr w:rsidR="00115D3B" w:rsidRPr="001D1CD5" w14:paraId="2F7CA156" w14:textId="77777777" w:rsidTr="00464869">
        <w:tc>
          <w:tcPr>
            <w:tcW w:w="993" w:type="dxa"/>
            <w:vAlign w:val="center"/>
          </w:tcPr>
          <w:p w14:paraId="26311C9F" w14:textId="77777777" w:rsidR="00115D3B" w:rsidRPr="001D1CD5" w:rsidRDefault="00115D3B" w:rsidP="00701439">
            <w:pPr>
              <w:jc w:val="center"/>
              <w:rPr>
                <w:rFonts w:asciiTheme="minorHAnsi" w:hAnsiTheme="minorHAnsi"/>
                <w:color w:val="000000"/>
                <w:sz w:val="20"/>
                <w:szCs w:val="20"/>
              </w:rPr>
            </w:pPr>
            <w:r w:rsidRPr="001D1CD5">
              <w:rPr>
                <w:rFonts w:asciiTheme="minorHAnsi" w:hAnsiTheme="minorHAnsi"/>
                <w:color w:val="000000"/>
                <w:sz w:val="20"/>
                <w:szCs w:val="20"/>
              </w:rPr>
              <w:t>2013-14</w:t>
            </w:r>
          </w:p>
        </w:tc>
        <w:tc>
          <w:tcPr>
            <w:tcW w:w="1747" w:type="dxa"/>
            <w:tcBorders>
              <w:right w:val="single" w:sz="4" w:space="0" w:color="auto"/>
            </w:tcBorders>
            <w:vAlign w:val="center"/>
          </w:tcPr>
          <w:p w14:paraId="4523D63B" w14:textId="77777777" w:rsidR="00115D3B" w:rsidRPr="001D1CD5" w:rsidRDefault="00115D3B" w:rsidP="00701439">
            <w:pPr>
              <w:jc w:val="center"/>
              <w:rPr>
                <w:rFonts w:asciiTheme="minorHAnsi" w:hAnsiTheme="minorHAnsi"/>
                <w:b/>
                <w:color w:val="000000"/>
                <w:sz w:val="20"/>
                <w:szCs w:val="20"/>
              </w:rPr>
            </w:pPr>
            <w:r w:rsidRPr="001D1CD5">
              <w:rPr>
                <w:rFonts w:asciiTheme="minorHAnsi" w:hAnsiTheme="minorHAnsi"/>
                <w:b/>
                <w:color w:val="000000"/>
                <w:sz w:val="20"/>
                <w:szCs w:val="20"/>
              </w:rPr>
              <w:t>4.6</w:t>
            </w:r>
          </w:p>
        </w:tc>
        <w:tc>
          <w:tcPr>
            <w:tcW w:w="1465" w:type="dxa"/>
            <w:tcBorders>
              <w:left w:val="single" w:sz="4" w:space="0" w:color="auto"/>
            </w:tcBorders>
            <w:vAlign w:val="center"/>
          </w:tcPr>
          <w:p w14:paraId="0ADE6071" w14:textId="77777777" w:rsidR="00115D3B" w:rsidRPr="001D1CD5" w:rsidRDefault="00115D3B" w:rsidP="00701439">
            <w:pPr>
              <w:jc w:val="center"/>
              <w:rPr>
                <w:rFonts w:asciiTheme="minorHAnsi" w:hAnsiTheme="minorHAnsi"/>
                <w:color w:val="000000"/>
                <w:sz w:val="20"/>
                <w:szCs w:val="20"/>
              </w:rPr>
            </w:pPr>
            <w:r w:rsidRPr="001D1CD5">
              <w:rPr>
                <w:rFonts w:asciiTheme="minorHAnsi" w:hAnsiTheme="minorHAnsi"/>
                <w:color w:val="000000"/>
                <w:sz w:val="20"/>
                <w:szCs w:val="20"/>
              </w:rPr>
              <w:t>3.7</w:t>
            </w:r>
          </w:p>
        </w:tc>
        <w:tc>
          <w:tcPr>
            <w:tcW w:w="1465" w:type="dxa"/>
            <w:vAlign w:val="center"/>
          </w:tcPr>
          <w:p w14:paraId="10267BB6" w14:textId="77777777" w:rsidR="00115D3B" w:rsidRPr="001D1CD5" w:rsidRDefault="00115D3B" w:rsidP="00701439">
            <w:pPr>
              <w:jc w:val="center"/>
              <w:rPr>
                <w:rFonts w:asciiTheme="minorHAnsi" w:hAnsiTheme="minorHAnsi"/>
                <w:color w:val="000000"/>
                <w:sz w:val="20"/>
                <w:szCs w:val="20"/>
              </w:rPr>
            </w:pPr>
            <w:r w:rsidRPr="001D1CD5">
              <w:rPr>
                <w:rFonts w:asciiTheme="minorHAnsi" w:hAnsiTheme="minorHAnsi"/>
                <w:color w:val="000000"/>
                <w:sz w:val="20"/>
                <w:szCs w:val="20"/>
              </w:rPr>
              <w:t>3.5</w:t>
            </w:r>
          </w:p>
        </w:tc>
        <w:tc>
          <w:tcPr>
            <w:tcW w:w="1843" w:type="dxa"/>
            <w:vAlign w:val="center"/>
          </w:tcPr>
          <w:p w14:paraId="2F64B27C" w14:textId="77777777" w:rsidR="00115D3B" w:rsidRPr="001D1CD5" w:rsidRDefault="00115D3B" w:rsidP="00701439">
            <w:pPr>
              <w:jc w:val="center"/>
              <w:rPr>
                <w:rFonts w:asciiTheme="minorHAnsi" w:hAnsiTheme="minorHAnsi"/>
                <w:color w:val="000000"/>
                <w:sz w:val="20"/>
                <w:szCs w:val="20"/>
              </w:rPr>
            </w:pPr>
            <w:r w:rsidRPr="001D1CD5">
              <w:rPr>
                <w:rFonts w:asciiTheme="minorHAnsi" w:hAnsiTheme="minorHAnsi"/>
                <w:color w:val="000000"/>
                <w:sz w:val="20"/>
                <w:szCs w:val="20"/>
              </w:rPr>
              <w:t>4.0</w:t>
            </w:r>
          </w:p>
        </w:tc>
        <w:tc>
          <w:tcPr>
            <w:tcW w:w="1418" w:type="dxa"/>
            <w:vAlign w:val="center"/>
          </w:tcPr>
          <w:p w14:paraId="45200FD2" w14:textId="77777777" w:rsidR="00115D3B" w:rsidRPr="001D1CD5" w:rsidRDefault="00115D3B" w:rsidP="00701439">
            <w:pPr>
              <w:jc w:val="center"/>
              <w:rPr>
                <w:rFonts w:asciiTheme="minorHAnsi" w:hAnsiTheme="minorHAnsi"/>
                <w:color w:val="000000"/>
                <w:sz w:val="20"/>
                <w:szCs w:val="20"/>
              </w:rPr>
            </w:pPr>
            <w:r w:rsidRPr="001D1CD5">
              <w:rPr>
                <w:rFonts w:asciiTheme="minorHAnsi" w:hAnsiTheme="minorHAnsi"/>
                <w:color w:val="000000"/>
                <w:sz w:val="20"/>
                <w:szCs w:val="20"/>
              </w:rPr>
              <w:t>2.8</w:t>
            </w:r>
          </w:p>
        </w:tc>
        <w:tc>
          <w:tcPr>
            <w:tcW w:w="1417" w:type="dxa"/>
            <w:vAlign w:val="center"/>
          </w:tcPr>
          <w:p w14:paraId="7A0BBDC8" w14:textId="77777777" w:rsidR="00115D3B" w:rsidRPr="001D1CD5" w:rsidRDefault="00115D3B" w:rsidP="00701439">
            <w:pPr>
              <w:jc w:val="center"/>
              <w:rPr>
                <w:rFonts w:asciiTheme="minorHAnsi" w:hAnsiTheme="minorHAnsi"/>
                <w:color w:val="000000"/>
                <w:sz w:val="20"/>
                <w:szCs w:val="20"/>
              </w:rPr>
            </w:pPr>
            <w:r w:rsidRPr="001D1CD5">
              <w:rPr>
                <w:rFonts w:asciiTheme="minorHAnsi" w:hAnsiTheme="minorHAnsi"/>
                <w:color w:val="000000"/>
                <w:sz w:val="20"/>
                <w:szCs w:val="20"/>
              </w:rPr>
              <w:t>11.3</w:t>
            </w:r>
          </w:p>
        </w:tc>
      </w:tr>
      <w:tr w:rsidR="00115D3B" w:rsidRPr="001D1CD5" w14:paraId="32EFE733" w14:textId="77777777" w:rsidTr="00464869">
        <w:tc>
          <w:tcPr>
            <w:tcW w:w="993" w:type="dxa"/>
            <w:tcBorders>
              <w:bottom w:val="single" w:sz="4" w:space="0" w:color="auto"/>
            </w:tcBorders>
            <w:vAlign w:val="center"/>
          </w:tcPr>
          <w:p w14:paraId="5B46277F" w14:textId="77777777" w:rsidR="00115D3B" w:rsidRPr="001D1CD5" w:rsidRDefault="00115D3B" w:rsidP="00701439">
            <w:pPr>
              <w:jc w:val="center"/>
              <w:rPr>
                <w:rFonts w:asciiTheme="minorHAnsi" w:hAnsiTheme="minorHAnsi"/>
                <w:color w:val="000000"/>
                <w:sz w:val="20"/>
                <w:szCs w:val="20"/>
              </w:rPr>
            </w:pPr>
            <w:r w:rsidRPr="001D1CD5">
              <w:rPr>
                <w:rFonts w:asciiTheme="minorHAnsi" w:hAnsiTheme="minorHAnsi"/>
                <w:color w:val="000000"/>
                <w:sz w:val="20"/>
                <w:szCs w:val="20"/>
              </w:rPr>
              <w:t>2014-15</w:t>
            </w:r>
          </w:p>
        </w:tc>
        <w:tc>
          <w:tcPr>
            <w:tcW w:w="1747" w:type="dxa"/>
            <w:tcBorders>
              <w:bottom w:val="single" w:sz="4" w:space="0" w:color="auto"/>
              <w:right w:val="single" w:sz="4" w:space="0" w:color="auto"/>
            </w:tcBorders>
            <w:vAlign w:val="center"/>
          </w:tcPr>
          <w:p w14:paraId="2D662960" w14:textId="77777777" w:rsidR="00115D3B" w:rsidRPr="001D1CD5" w:rsidRDefault="00115D3B" w:rsidP="00701439">
            <w:pPr>
              <w:jc w:val="center"/>
              <w:rPr>
                <w:rFonts w:asciiTheme="minorHAnsi" w:hAnsiTheme="minorHAnsi"/>
                <w:b/>
                <w:color w:val="000000"/>
                <w:sz w:val="20"/>
                <w:szCs w:val="20"/>
              </w:rPr>
            </w:pPr>
            <w:r w:rsidRPr="001D1CD5">
              <w:rPr>
                <w:rFonts w:asciiTheme="minorHAnsi" w:hAnsiTheme="minorHAnsi"/>
                <w:b/>
                <w:color w:val="000000"/>
                <w:sz w:val="20"/>
                <w:szCs w:val="20"/>
              </w:rPr>
              <w:t>4.5</w:t>
            </w:r>
          </w:p>
        </w:tc>
        <w:tc>
          <w:tcPr>
            <w:tcW w:w="1465" w:type="dxa"/>
            <w:tcBorders>
              <w:left w:val="single" w:sz="4" w:space="0" w:color="auto"/>
              <w:bottom w:val="single" w:sz="4" w:space="0" w:color="auto"/>
            </w:tcBorders>
            <w:vAlign w:val="center"/>
          </w:tcPr>
          <w:p w14:paraId="434E137A" w14:textId="77777777" w:rsidR="00115D3B" w:rsidRPr="001D1CD5" w:rsidRDefault="00115D3B" w:rsidP="00701439">
            <w:pPr>
              <w:jc w:val="center"/>
              <w:rPr>
                <w:rFonts w:asciiTheme="minorHAnsi" w:hAnsiTheme="minorHAnsi"/>
                <w:color w:val="000000"/>
                <w:sz w:val="20"/>
                <w:szCs w:val="20"/>
              </w:rPr>
            </w:pPr>
            <w:r w:rsidRPr="001D1CD5">
              <w:rPr>
                <w:rFonts w:asciiTheme="minorHAnsi" w:hAnsiTheme="minorHAnsi"/>
                <w:color w:val="000000"/>
                <w:sz w:val="20"/>
                <w:szCs w:val="20"/>
              </w:rPr>
              <w:t>3.7</w:t>
            </w:r>
          </w:p>
        </w:tc>
        <w:tc>
          <w:tcPr>
            <w:tcW w:w="1465" w:type="dxa"/>
            <w:tcBorders>
              <w:bottom w:val="single" w:sz="4" w:space="0" w:color="auto"/>
            </w:tcBorders>
            <w:vAlign w:val="center"/>
          </w:tcPr>
          <w:p w14:paraId="254E13BA" w14:textId="77777777" w:rsidR="00115D3B" w:rsidRPr="001D1CD5" w:rsidRDefault="00115D3B" w:rsidP="00701439">
            <w:pPr>
              <w:jc w:val="center"/>
              <w:rPr>
                <w:rFonts w:asciiTheme="minorHAnsi" w:hAnsiTheme="minorHAnsi"/>
                <w:color w:val="000000"/>
                <w:sz w:val="20"/>
                <w:szCs w:val="20"/>
              </w:rPr>
            </w:pPr>
            <w:r w:rsidRPr="001D1CD5">
              <w:rPr>
                <w:rFonts w:asciiTheme="minorHAnsi" w:hAnsiTheme="minorHAnsi"/>
                <w:color w:val="000000"/>
                <w:sz w:val="20"/>
                <w:szCs w:val="20"/>
              </w:rPr>
              <w:t>3.2</w:t>
            </w:r>
          </w:p>
        </w:tc>
        <w:tc>
          <w:tcPr>
            <w:tcW w:w="1843" w:type="dxa"/>
            <w:tcBorders>
              <w:bottom w:val="single" w:sz="4" w:space="0" w:color="auto"/>
            </w:tcBorders>
            <w:vAlign w:val="center"/>
          </w:tcPr>
          <w:p w14:paraId="3F578955" w14:textId="77777777" w:rsidR="00115D3B" w:rsidRPr="001D1CD5" w:rsidRDefault="00115D3B" w:rsidP="00701439">
            <w:pPr>
              <w:jc w:val="center"/>
              <w:rPr>
                <w:rFonts w:asciiTheme="minorHAnsi" w:hAnsiTheme="minorHAnsi"/>
                <w:color w:val="000000"/>
                <w:sz w:val="20"/>
                <w:szCs w:val="20"/>
              </w:rPr>
            </w:pPr>
            <w:r w:rsidRPr="001D1CD5">
              <w:rPr>
                <w:rFonts w:asciiTheme="minorHAnsi" w:hAnsiTheme="minorHAnsi"/>
                <w:color w:val="000000"/>
                <w:sz w:val="20"/>
                <w:szCs w:val="20"/>
              </w:rPr>
              <w:t>3.9</w:t>
            </w:r>
          </w:p>
        </w:tc>
        <w:tc>
          <w:tcPr>
            <w:tcW w:w="1418" w:type="dxa"/>
            <w:tcBorders>
              <w:bottom w:val="single" w:sz="4" w:space="0" w:color="auto"/>
            </w:tcBorders>
            <w:vAlign w:val="center"/>
          </w:tcPr>
          <w:p w14:paraId="1C3C55A7" w14:textId="77777777" w:rsidR="00115D3B" w:rsidRPr="001D1CD5" w:rsidRDefault="00115D3B" w:rsidP="00701439">
            <w:pPr>
              <w:jc w:val="center"/>
              <w:rPr>
                <w:rFonts w:asciiTheme="minorHAnsi" w:hAnsiTheme="minorHAnsi"/>
                <w:color w:val="000000"/>
                <w:sz w:val="20"/>
                <w:szCs w:val="20"/>
              </w:rPr>
            </w:pPr>
            <w:r w:rsidRPr="001D1CD5">
              <w:rPr>
                <w:rFonts w:asciiTheme="minorHAnsi" w:hAnsiTheme="minorHAnsi"/>
                <w:color w:val="000000"/>
                <w:sz w:val="20"/>
                <w:szCs w:val="20"/>
              </w:rPr>
              <w:t>2.7</w:t>
            </w:r>
          </w:p>
        </w:tc>
        <w:tc>
          <w:tcPr>
            <w:tcW w:w="1417" w:type="dxa"/>
            <w:tcBorders>
              <w:bottom w:val="single" w:sz="4" w:space="0" w:color="auto"/>
            </w:tcBorders>
            <w:vAlign w:val="center"/>
          </w:tcPr>
          <w:p w14:paraId="51AE9DFD" w14:textId="77777777" w:rsidR="00115D3B" w:rsidRPr="001D1CD5" w:rsidRDefault="00115D3B" w:rsidP="00701439">
            <w:pPr>
              <w:jc w:val="center"/>
              <w:rPr>
                <w:rFonts w:asciiTheme="minorHAnsi" w:hAnsiTheme="minorHAnsi"/>
                <w:color w:val="000000"/>
                <w:sz w:val="20"/>
                <w:szCs w:val="20"/>
              </w:rPr>
            </w:pPr>
            <w:r w:rsidRPr="001D1CD5">
              <w:rPr>
                <w:rFonts w:asciiTheme="minorHAnsi" w:hAnsiTheme="minorHAnsi"/>
                <w:color w:val="000000"/>
                <w:sz w:val="20"/>
                <w:szCs w:val="20"/>
              </w:rPr>
              <w:t>11.7</w:t>
            </w:r>
          </w:p>
        </w:tc>
      </w:tr>
      <w:tr w:rsidR="00115D3B" w:rsidRPr="001D1CD5" w14:paraId="5C628F61" w14:textId="77777777" w:rsidTr="00464869">
        <w:trPr>
          <w:trHeight w:val="304"/>
        </w:trPr>
        <w:tc>
          <w:tcPr>
            <w:tcW w:w="993" w:type="dxa"/>
            <w:tcBorders>
              <w:top w:val="single" w:sz="4" w:space="0" w:color="auto"/>
            </w:tcBorders>
            <w:vAlign w:val="center"/>
          </w:tcPr>
          <w:p w14:paraId="388565C5" w14:textId="77777777" w:rsidR="00115D3B" w:rsidRPr="001D1CD5" w:rsidRDefault="00115D3B" w:rsidP="00701439">
            <w:pPr>
              <w:jc w:val="center"/>
              <w:rPr>
                <w:rFonts w:asciiTheme="minorHAnsi" w:hAnsiTheme="minorHAnsi"/>
                <w:b/>
                <w:color w:val="000000"/>
                <w:sz w:val="20"/>
                <w:szCs w:val="20"/>
              </w:rPr>
            </w:pPr>
            <w:r w:rsidRPr="001D1CD5">
              <w:rPr>
                <w:rFonts w:asciiTheme="minorHAnsi" w:hAnsiTheme="minorHAnsi"/>
                <w:b/>
                <w:color w:val="000000"/>
                <w:sz w:val="20"/>
                <w:szCs w:val="20"/>
              </w:rPr>
              <w:t>Ranking</w:t>
            </w:r>
          </w:p>
        </w:tc>
        <w:tc>
          <w:tcPr>
            <w:tcW w:w="1747" w:type="dxa"/>
            <w:tcBorders>
              <w:top w:val="single" w:sz="4" w:space="0" w:color="auto"/>
              <w:right w:val="single" w:sz="4" w:space="0" w:color="auto"/>
            </w:tcBorders>
            <w:vAlign w:val="center"/>
          </w:tcPr>
          <w:p w14:paraId="709E1306" w14:textId="77777777" w:rsidR="00115D3B" w:rsidRPr="001D1CD5" w:rsidRDefault="00115D3B" w:rsidP="00701439">
            <w:pPr>
              <w:jc w:val="center"/>
              <w:rPr>
                <w:rFonts w:asciiTheme="minorHAnsi" w:hAnsiTheme="minorHAnsi"/>
                <w:b/>
                <w:color w:val="000000"/>
                <w:sz w:val="20"/>
                <w:szCs w:val="20"/>
              </w:rPr>
            </w:pPr>
          </w:p>
        </w:tc>
        <w:tc>
          <w:tcPr>
            <w:tcW w:w="1465" w:type="dxa"/>
            <w:tcBorders>
              <w:top w:val="single" w:sz="4" w:space="0" w:color="auto"/>
              <w:left w:val="single" w:sz="4" w:space="0" w:color="auto"/>
            </w:tcBorders>
            <w:vAlign w:val="center"/>
          </w:tcPr>
          <w:p w14:paraId="7B4CD2EC" w14:textId="77777777" w:rsidR="00115D3B" w:rsidRPr="001D1CD5" w:rsidRDefault="00115D3B" w:rsidP="00701439">
            <w:pPr>
              <w:jc w:val="center"/>
              <w:rPr>
                <w:rFonts w:asciiTheme="minorHAnsi" w:hAnsiTheme="minorHAnsi"/>
                <w:b/>
                <w:color w:val="000000"/>
                <w:sz w:val="20"/>
                <w:szCs w:val="20"/>
              </w:rPr>
            </w:pPr>
          </w:p>
        </w:tc>
        <w:tc>
          <w:tcPr>
            <w:tcW w:w="1465" w:type="dxa"/>
            <w:tcBorders>
              <w:top w:val="single" w:sz="4" w:space="0" w:color="auto"/>
            </w:tcBorders>
            <w:vAlign w:val="center"/>
          </w:tcPr>
          <w:p w14:paraId="4D44B0C7" w14:textId="77777777" w:rsidR="00115D3B" w:rsidRPr="001D1CD5" w:rsidRDefault="00115D3B" w:rsidP="00701439">
            <w:pPr>
              <w:jc w:val="center"/>
              <w:rPr>
                <w:rFonts w:asciiTheme="minorHAnsi" w:hAnsiTheme="minorHAnsi"/>
                <w:b/>
                <w:color w:val="000000"/>
                <w:sz w:val="20"/>
                <w:szCs w:val="20"/>
              </w:rPr>
            </w:pPr>
          </w:p>
        </w:tc>
        <w:tc>
          <w:tcPr>
            <w:tcW w:w="1843" w:type="dxa"/>
            <w:tcBorders>
              <w:top w:val="single" w:sz="4" w:space="0" w:color="auto"/>
            </w:tcBorders>
            <w:vAlign w:val="center"/>
          </w:tcPr>
          <w:p w14:paraId="5F3EA4AC" w14:textId="77777777" w:rsidR="00115D3B" w:rsidRPr="001D1CD5" w:rsidRDefault="00115D3B" w:rsidP="00701439">
            <w:pPr>
              <w:jc w:val="center"/>
              <w:rPr>
                <w:rFonts w:asciiTheme="minorHAnsi" w:hAnsiTheme="minorHAnsi"/>
                <w:b/>
                <w:color w:val="000000"/>
                <w:sz w:val="20"/>
                <w:szCs w:val="20"/>
              </w:rPr>
            </w:pPr>
          </w:p>
        </w:tc>
        <w:tc>
          <w:tcPr>
            <w:tcW w:w="1418" w:type="dxa"/>
            <w:tcBorders>
              <w:top w:val="single" w:sz="4" w:space="0" w:color="auto"/>
            </w:tcBorders>
            <w:vAlign w:val="center"/>
          </w:tcPr>
          <w:p w14:paraId="01404749" w14:textId="77777777" w:rsidR="00115D3B" w:rsidRPr="001D1CD5" w:rsidRDefault="00115D3B" w:rsidP="00701439">
            <w:pPr>
              <w:jc w:val="center"/>
              <w:rPr>
                <w:rFonts w:asciiTheme="minorHAnsi" w:hAnsiTheme="minorHAnsi"/>
                <w:b/>
                <w:color w:val="000000"/>
                <w:sz w:val="20"/>
                <w:szCs w:val="20"/>
              </w:rPr>
            </w:pPr>
          </w:p>
        </w:tc>
        <w:tc>
          <w:tcPr>
            <w:tcW w:w="1417" w:type="dxa"/>
            <w:tcBorders>
              <w:top w:val="single" w:sz="4" w:space="0" w:color="auto"/>
            </w:tcBorders>
            <w:vAlign w:val="center"/>
          </w:tcPr>
          <w:p w14:paraId="19FB651B" w14:textId="77777777" w:rsidR="00115D3B" w:rsidRPr="001D1CD5" w:rsidRDefault="00115D3B" w:rsidP="00701439">
            <w:pPr>
              <w:jc w:val="center"/>
              <w:rPr>
                <w:rFonts w:asciiTheme="minorHAnsi" w:hAnsiTheme="minorHAnsi"/>
                <w:color w:val="000000"/>
                <w:sz w:val="20"/>
                <w:szCs w:val="20"/>
              </w:rPr>
            </w:pPr>
          </w:p>
        </w:tc>
      </w:tr>
      <w:tr w:rsidR="00115D3B" w:rsidRPr="001D1CD5" w14:paraId="751B1034" w14:textId="77777777" w:rsidTr="00464869">
        <w:tc>
          <w:tcPr>
            <w:tcW w:w="993" w:type="dxa"/>
            <w:vAlign w:val="center"/>
          </w:tcPr>
          <w:p w14:paraId="4C236806" w14:textId="77777777" w:rsidR="00115D3B" w:rsidRPr="001D1CD5" w:rsidRDefault="00115D3B" w:rsidP="00701439">
            <w:pPr>
              <w:jc w:val="center"/>
              <w:rPr>
                <w:rFonts w:asciiTheme="minorHAnsi" w:hAnsiTheme="minorHAnsi"/>
                <w:color w:val="000000"/>
                <w:sz w:val="20"/>
                <w:szCs w:val="20"/>
              </w:rPr>
            </w:pPr>
            <w:r w:rsidRPr="001D1CD5">
              <w:rPr>
                <w:rFonts w:asciiTheme="minorHAnsi" w:hAnsiTheme="minorHAnsi"/>
                <w:color w:val="000000"/>
                <w:sz w:val="20"/>
                <w:szCs w:val="20"/>
              </w:rPr>
              <w:t>2008-09</w:t>
            </w:r>
          </w:p>
        </w:tc>
        <w:tc>
          <w:tcPr>
            <w:tcW w:w="1747" w:type="dxa"/>
            <w:tcBorders>
              <w:right w:val="single" w:sz="4" w:space="0" w:color="auto"/>
            </w:tcBorders>
            <w:vAlign w:val="center"/>
          </w:tcPr>
          <w:p w14:paraId="055A8001" w14:textId="77777777" w:rsidR="00115D3B" w:rsidRPr="001D1CD5" w:rsidRDefault="00115D3B" w:rsidP="00701439">
            <w:pPr>
              <w:jc w:val="center"/>
              <w:rPr>
                <w:rFonts w:asciiTheme="minorHAnsi" w:hAnsiTheme="minorHAnsi"/>
                <w:b/>
                <w:color w:val="000000"/>
                <w:sz w:val="20"/>
                <w:szCs w:val="20"/>
              </w:rPr>
            </w:pPr>
            <w:r w:rsidRPr="001D1CD5">
              <w:rPr>
                <w:rFonts w:asciiTheme="minorHAnsi" w:hAnsiTheme="minorHAnsi"/>
                <w:b/>
                <w:color w:val="000000"/>
                <w:sz w:val="20"/>
                <w:szCs w:val="20"/>
              </w:rPr>
              <w:t>13</w:t>
            </w:r>
          </w:p>
        </w:tc>
        <w:tc>
          <w:tcPr>
            <w:tcW w:w="1465" w:type="dxa"/>
            <w:tcBorders>
              <w:left w:val="single" w:sz="4" w:space="0" w:color="auto"/>
            </w:tcBorders>
            <w:vAlign w:val="center"/>
          </w:tcPr>
          <w:p w14:paraId="7BED6753" w14:textId="77777777" w:rsidR="00115D3B" w:rsidRPr="001D1CD5" w:rsidRDefault="00115D3B" w:rsidP="00701439">
            <w:pPr>
              <w:jc w:val="center"/>
              <w:rPr>
                <w:rFonts w:asciiTheme="minorHAnsi" w:hAnsiTheme="minorHAnsi"/>
                <w:color w:val="000000"/>
                <w:sz w:val="20"/>
                <w:szCs w:val="20"/>
              </w:rPr>
            </w:pPr>
            <w:r w:rsidRPr="001D1CD5">
              <w:rPr>
                <w:rFonts w:asciiTheme="minorHAnsi" w:hAnsiTheme="minorHAnsi"/>
                <w:color w:val="000000"/>
                <w:sz w:val="20"/>
                <w:szCs w:val="20"/>
              </w:rPr>
              <w:t>75</w:t>
            </w:r>
          </w:p>
        </w:tc>
        <w:tc>
          <w:tcPr>
            <w:tcW w:w="1465" w:type="dxa"/>
            <w:vAlign w:val="center"/>
          </w:tcPr>
          <w:p w14:paraId="5DA1C77F" w14:textId="77777777" w:rsidR="00115D3B" w:rsidRPr="001D1CD5" w:rsidRDefault="00115D3B" w:rsidP="00701439">
            <w:pPr>
              <w:jc w:val="center"/>
              <w:rPr>
                <w:rFonts w:asciiTheme="minorHAnsi" w:hAnsiTheme="minorHAnsi"/>
                <w:color w:val="000000"/>
                <w:sz w:val="20"/>
                <w:szCs w:val="20"/>
              </w:rPr>
            </w:pPr>
            <w:r w:rsidRPr="001D1CD5">
              <w:rPr>
                <w:rFonts w:asciiTheme="minorHAnsi" w:hAnsiTheme="minorHAnsi"/>
                <w:color w:val="000000"/>
                <w:sz w:val="20"/>
                <w:szCs w:val="20"/>
              </w:rPr>
              <w:t>26</w:t>
            </w:r>
          </w:p>
        </w:tc>
        <w:tc>
          <w:tcPr>
            <w:tcW w:w="1843" w:type="dxa"/>
            <w:vAlign w:val="center"/>
          </w:tcPr>
          <w:p w14:paraId="226F4601" w14:textId="77777777" w:rsidR="00115D3B" w:rsidRPr="001D1CD5" w:rsidRDefault="00115D3B" w:rsidP="00701439">
            <w:pPr>
              <w:jc w:val="center"/>
              <w:rPr>
                <w:rFonts w:asciiTheme="minorHAnsi" w:hAnsiTheme="minorHAnsi"/>
                <w:color w:val="000000"/>
                <w:sz w:val="20"/>
                <w:szCs w:val="20"/>
              </w:rPr>
            </w:pPr>
            <w:r w:rsidRPr="001D1CD5">
              <w:rPr>
                <w:rFonts w:asciiTheme="minorHAnsi" w:hAnsiTheme="minorHAnsi"/>
                <w:color w:val="000000"/>
                <w:sz w:val="20"/>
                <w:szCs w:val="20"/>
              </w:rPr>
              <w:t>37</w:t>
            </w:r>
          </w:p>
        </w:tc>
        <w:tc>
          <w:tcPr>
            <w:tcW w:w="1418" w:type="dxa"/>
            <w:vAlign w:val="center"/>
          </w:tcPr>
          <w:p w14:paraId="21DD594D" w14:textId="77777777" w:rsidR="00115D3B" w:rsidRPr="001D1CD5" w:rsidRDefault="00115D3B" w:rsidP="00701439">
            <w:pPr>
              <w:jc w:val="center"/>
              <w:rPr>
                <w:rFonts w:asciiTheme="minorHAnsi" w:hAnsiTheme="minorHAnsi"/>
                <w:color w:val="000000"/>
                <w:sz w:val="20"/>
                <w:szCs w:val="20"/>
              </w:rPr>
            </w:pPr>
            <w:r w:rsidRPr="001D1CD5">
              <w:rPr>
                <w:rFonts w:asciiTheme="minorHAnsi" w:hAnsiTheme="minorHAnsi"/>
                <w:color w:val="000000"/>
                <w:sz w:val="20"/>
                <w:szCs w:val="20"/>
              </w:rPr>
              <w:t>46</w:t>
            </w:r>
          </w:p>
        </w:tc>
        <w:tc>
          <w:tcPr>
            <w:tcW w:w="1417" w:type="dxa"/>
            <w:vAlign w:val="center"/>
          </w:tcPr>
          <w:p w14:paraId="43B796A5" w14:textId="77777777" w:rsidR="00115D3B" w:rsidRPr="001D1CD5" w:rsidRDefault="00115D3B" w:rsidP="00701439">
            <w:pPr>
              <w:jc w:val="center"/>
              <w:rPr>
                <w:rFonts w:asciiTheme="minorHAnsi" w:hAnsiTheme="minorHAnsi"/>
                <w:color w:val="000000"/>
                <w:sz w:val="20"/>
                <w:szCs w:val="20"/>
              </w:rPr>
            </w:pPr>
            <w:r w:rsidRPr="001D1CD5">
              <w:rPr>
                <w:rFonts w:asciiTheme="minorHAnsi" w:hAnsiTheme="minorHAnsi"/>
                <w:color w:val="000000"/>
                <w:sz w:val="20"/>
                <w:szCs w:val="20"/>
              </w:rPr>
              <w:t>7</w:t>
            </w:r>
          </w:p>
        </w:tc>
      </w:tr>
      <w:tr w:rsidR="00115D3B" w:rsidRPr="001D1CD5" w14:paraId="4D0F999B" w14:textId="77777777" w:rsidTr="00464869">
        <w:tc>
          <w:tcPr>
            <w:tcW w:w="993" w:type="dxa"/>
            <w:vAlign w:val="center"/>
          </w:tcPr>
          <w:p w14:paraId="2A499A0C" w14:textId="77777777" w:rsidR="00115D3B" w:rsidRPr="001D1CD5" w:rsidRDefault="00115D3B" w:rsidP="00701439">
            <w:pPr>
              <w:jc w:val="center"/>
              <w:rPr>
                <w:rFonts w:asciiTheme="minorHAnsi" w:hAnsiTheme="minorHAnsi"/>
                <w:color w:val="000000"/>
                <w:sz w:val="20"/>
                <w:szCs w:val="20"/>
              </w:rPr>
            </w:pPr>
            <w:r w:rsidRPr="001D1CD5">
              <w:rPr>
                <w:rFonts w:asciiTheme="minorHAnsi" w:hAnsiTheme="minorHAnsi"/>
                <w:color w:val="000000"/>
                <w:sz w:val="20"/>
                <w:szCs w:val="20"/>
              </w:rPr>
              <w:t>2009-10</w:t>
            </w:r>
          </w:p>
        </w:tc>
        <w:tc>
          <w:tcPr>
            <w:tcW w:w="1747" w:type="dxa"/>
            <w:tcBorders>
              <w:right w:val="single" w:sz="4" w:space="0" w:color="auto"/>
            </w:tcBorders>
            <w:vAlign w:val="center"/>
          </w:tcPr>
          <w:p w14:paraId="64A77B46" w14:textId="77777777" w:rsidR="00115D3B" w:rsidRPr="001D1CD5" w:rsidRDefault="00115D3B" w:rsidP="00701439">
            <w:pPr>
              <w:jc w:val="center"/>
              <w:rPr>
                <w:rFonts w:asciiTheme="minorHAnsi" w:hAnsiTheme="minorHAnsi"/>
                <w:b/>
                <w:color w:val="000000"/>
                <w:sz w:val="20"/>
                <w:szCs w:val="20"/>
              </w:rPr>
            </w:pPr>
            <w:r w:rsidRPr="001D1CD5">
              <w:rPr>
                <w:rFonts w:asciiTheme="minorHAnsi" w:hAnsiTheme="minorHAnsi"/>
                <w:b/>
                <w:color w:val="000000"/>
                <w:sz w:val="20"/>
                <w:szCs w:val="20"/>
              </w:rPr>
              <w:t>9</w:t>
            </w:r>
          </w:p>
        </w:tc>
        <w:tc>
          <w:tcPr>
            <w:tcW w:w="1465" w:type="dxa"/>
            <w:tcBorders>
              <w:left w:val="single" w:sz="4" w:space="0" w:color="auto"/>
            </w:tcBorders>
            <w:vAlign w:val="center"/>
          </w:tcPr>
          <w:p w14:paraId="0831201F" w14:textId="77777777" w:rsidR="00115D3B" w:rsidRPr="001D1CD5" w:rsidRDefault="00115D3B" w:rsidP="00701439">
            <w:pPr>
              <w:jc w:val="center"/>
              <w:rPr>
                <w:rFonts w:asciiTheme="minorHAnsi" w:hAnsiTheme="minorHAnsi"/>
                <w:color w:val="000000"/>
                <w:sz w:val="20"/>
                <w:szCs w:val="20"/>
              </w:rPr>
            </w:pPr>
            <w:r w:rsidRPr="001D1CD5">
              <w:rPr>
                <w:rFonts w:asciiTheme="minorHAnsi" w:hAnsiTheme="minorHAnsi"/>
                <w:color w:val="000000"/>
                <w:sz w:val="20"/>
                <w:szCs w:val="20"/>
              </w:rPr>
              <w:t>90</w:t>
            </w:r>
          </w:p>
        </w:tc>
        <w:tc>
          <w:tcPr>
            <w:tcW w:w="1465" w:type="dxa"/>
            <w:vAlign w:val="center"/>
          </w:tcPr>
          <w:p w14:paraId="5FAA0A1F" w14:textId="77777777" w:rsidR="00115D3B" w:rsidRPr="001D1CD5" w:rsidRDefault="00115D3B" w:rsidP="00701439">
            <w:pPr>
              <w:jc w:val="center"/>
              <w:rPr>
                <w:rFonts w:asciiTheme="minorHAnsi" w:hAnsiTheme="minorHAnsi"/>
                <w:color w:val="000000"/>
                <w:sz w:val="20"/>
                <w:szCs w:val="20"/>
              </w:rPr>
            </w:pPr>
            <w:r w:rsidRPr="001D1CD5">
              <w:rPr>
                <w:rFonts w:asciiTheme="minorHAnsi" w:hAnsiTheme="minorHAnsi"/>
                <w:color w:val="000000"/>
                <w:sz w:val="20"/>
                <w:szCs w:val="20"/>
              </w:rPr>
              <w:t>33</w:t>
            </w:r>
          </w:p>
        </w:tc>
        <w:tc>
          <w:tcPr>
            <w:tcW w:w="1843" w:type="dxa"/>
            <w:vAlign w:val="center"/>
          </w:tcPr>
          <w:p w14:paraId="19531E55" w14:textId="77777777" w:rsidR="00115D3B" w:rsidRPr="001D1CD5" w:rsidRDefault="00115D3B" w:rsidP="00701439">
            <w:pPr>
              <w:jc w:val="center"/>
              <w:rPr>
                <w:rFonts w:asciiTheme="minorHAnsi" w:hAnsiTheme="minorHAnsi"/>
                <w:color w:val="000000"/>
                <w:sz w:val="20"/>
                <w:szCs w:val="20"/>
              </w:rPr>
            </w:pPr>
            <w:r w:rsidRPr="001D1CD5">
              <w:rPr>
                <w:rFonts w:asciiTheme="minorHAnsi" w:hAnsiTheme="minorHAnsi"/>
                <w:color w:val="000000"/>
                <w:sz w:val="20"/>
                <w:szCs w:val="20"/>
              </w:rPr>
              <w:t>43</w:t>
            </w:r>
          </w:p>
        </w:tc>
        <w:tc>
          <w:tcPr>
            <w:tcW w:w="1418" w:type="dxa"/>
            <w:vAlign w:val="center"/>
          </w:tcPr>
          <w:p w14:paraId="24BF58E7" w14:textId="77777777" w:rsidR="00115D3B" w:rsidRPr="001D1CD5" w:rsidRDefault="00115D3B" w:rsidP="00701439">
            <w:pPr>
              <w:jc w:val="center"/>
              <w:rPr>
                <w:rFonts w:asciiTheme="minorHAnsi" w:hAnsiTheme="minorHAnsi"/>
                <w:color w:val="000000"/>
                <w:sz w:val="20"/>
                <w:szCs w:val="20"/>
              </w:rPr>
            </w:pPr>
            <w:r w:rsidRPr="001D1CD5">
              <w:rPr>
                <w:rFonts w:asciiTheme="minorHAnsi" w:hAnsiTheme="minorHAnsi"/>
                <w:color w:val="000000"/>
                <w:sz w:val="20"/>
                <w:szCs w:val="20"/>
              </w:rPr>
              <w:t>62</w:t>
            </w:r>
          </w:p>
        </w:tc>
        <w:tc>
          <w:tcPr>
            <w:tcW w:w="1417" w:type="dxa"/>
            <w:vAlign w:val="center"/>
          </w:tcPr>
          <w:p w14:paraId="5BC26E55" w14:textId="77777777" w:rsidR="00115D3B" w:rsidRPr="001D1CD5" w:rsidRDefault="00115D3B" w:rsidP="00701439">
            <w:pPr>
              <w:jc w:val="center"/>
              <w:rPr>
                <w:rFonts w:asciiTheme="minorHAnsi" w:hAnsiTheme="minorHAnsi"/>
                <w:color w:val="000000"/>
                <w:sz w:val="20"/>
                <w:szCs w:val="20"/>
              </w:rPr>
            </w:pPr>
            <w:r w:rsidRPr="001D1CD5">
              <w:rPr>
                <w:rFonts w:asciiTheme="minorHAnsi" w:hAnsiTheme="minorHAnsi"/>
                <w:color w:val="000000"/>
                <w:sz w:val="20"/>
                <w:szCs w:val="20"/>
              </w:rPr>
              <w:t>6</w:t>
            </w:r>
          </w:p>
        </w:tc>
      </w:tr>
      <w:tr w:rsidR="00115D3B" w:rsidRPr="001D1CD5" w14:paraId="15EFE95F" w14:textId="77777777" w:rsidTr="00464869">
        <w:tc>
          <w:tcPr>
            <w:tcW w:w="993" w:type="dxa"/>
            <w:vAlign w:val="center"/>
          </w:tcPr>
          <w:p w14:paraId="6A84AA45" w14:textId="77777777" w:rsidR="00115D3B" w:rsidRPr="001D1CD5" w:rsidRDefault="00115D3B" w:rsidP="00701439">
            <w:pPr>
              <w:jc w:val="center"/>
              <w:rPr>
                <w:rFonts w:asciiTheme="minorHAnsi" w:hAnsiTheme="minorHAnsi"/>
                <w:color w:val="000000"/>
                <w:sz w:val="20"/>
                <w:szCs w:val="20"/>
              </w:rPr>
            </w:pPr>
            <w:r w:rsidRPr="001D1CD5">
              <w:rPr>
                <w:rFonts w:asciiTheme="minorHAnsi" w:hAnsiTheme="minorHAnsi"/>
                <w:color w:val="000000"/>
                <w:sz w:val="20"/>
                <w:szCs w:val="20"/>
              </w:rPr>
              <w:t>2010-11</w:t>
            </w:r>
          </w:p>
        </w:tc>
        <w:tc>
          <w:tcPr>
            <w:tcW w:w="1747" w:type="dxa"/>
            <w:tcBorders>
              <w:right w:val="single" w:sz="4" w:space="0" w:color="auto"/>
            </w:tcBorders>
            <w:vAlign w:val="center"/>
          </w:tcPr>
          <w:p w14:paraId="7E850688" w14:textId="77777777" w:rsidR="00115D3B" w:rsidRPr="001D1CD5" w:rsidRDefault="00115D3B" w:rsidP="00701439">
            <w:pPr>
              <w:jc w:val="center"/>
              <w:rPr>
                <w:rFonts w:asciiTheme="minorHAnsi" w:hAnsiTheme="minorHAnsi"/>
                <w:b/>
                <w:color w:val="000000"/>
                <w:sz w:val="20"/>
                <w:szCs w:val="20"/>
              </w:rPr>
            </w:pPr>
            <w:r w:rsidRPr="001D1CD5">
              <w:rPr>
                <w:rFonts w:asciiTheme="minorHAnsi" w:hAnsiTheme="minorHAnsi"/>
                <w:b/>
                <w:color w:val="000000"/>
                <w:sz w:val="20"/>
                <w:szCs w:val="20"/>
              </w:rPr>
              <w:t>9</w:t>
            </w:r>
          </w:p>
        </w:tc>
        <w:tc>
          <w:tcPr>
            <w:tcW w:w="1465" w:type="dxa"/>
            <w:tcBorders>
              <w:left w:val="single" w:sz="4" w:space="0" w:color="auto"/>
            </w:tcBorders>
            <w:vAlign w:val="center"/>
          </w:tcPr>
          <w:p w14:paraId="50589E12" w14:textId="77777777" w:rsidR="00115D3B" w:rsidRPr="001D1CD5" w:rsidRDefault="00115D3B" w:rsidP="00701439">
            <w:pPr>
              <w:jc w:val="center"/>
              <w:rPr>
                <w:rFonts w:asciiTheme="minorHAnsi" w:hAnsiTheme="minorHAnsi"/>
                <w:color w:val="000000"/>
                <w:sz w:val="20"/>
                <w:szCs w:val="20"/>
              </w:rPr>
            </w:pPr>
            <w:r w:rsidRPr="001D1CD5">
              <w:rPr>
                <w:rFonts w:asciiTheme="minorHAnsi" w:hAnsiTheme="minorHAnsi"/>
                <w:color w:val="000000"/>
                <w:sz w:val="20"/>
                <w:szCs w:val="20"/>
              </w:rPr>
              <w:t>110</w:t>
            </w:r>
          </w:p>
        </w:tc>
        <w:tc>
          <w:tcPr>
            <w:tcW w:w="1465" w:type="dxa"/>
            <w:vAlign w:val="center"/>
          </w:tcPr>
          <w:p w14:paraId="72B4EC62" w14:textId="77777777" w:rsidR="00115D3B" w:rsidRPr="001D1CD5" w:rsidRDefault="00115D3B" w:rsidP="00701439">
            <w:pPr>
              <w:jc w:val="center"/>
              <w:rPr>
                <w:rFonts w:asciiTheme="minorHAnsi" w:hAnsiTheme="minorHAnsi"/>
                <w:color w:val="000000"/>
                <w:sz w:val="20"/>
                <w:szCs w:val="20"/>
              </w:rPr>
            </w:pPr>
            <w:r w:rsidRPr="001D1CD5">
              <w:rPr>
                <w:rFonts w:asciiTheme="minorHAnsi" w:hAnsiTheme="minorHAnsi"/>
                <w:color w:val="000000"/>
                <w:sz w:val="20"/>
                <w:szCs w:val="20"/>
              </w:rPr>
              <w:t>53</w:t>
            </w:r>
          </w:p>
        </w:tc>
        <w:tc>
          <w:tcPr>
            <w:tcW w:w="1843" w:type="dxa"/>
            <w:vAlign w:val="center"/>
          </w:tcPr>
          <w:p w14:paraId="21DD4F42" w14:textId="77777777" w:rsidR="00115D3B" w:rsidRPr="001D1CD5" w:rsidRDefault="00115D3B" w:rsidP="00701439">
            <w:pPr>
              <w:jc w:val="center"/>
              <w:rPr>
                <w:rFonts w:asciiTheme="minorHAnsi" w:hAnsiTheme="minorHAnsi"/>
                <w:color w:val="000000"/>
                <w:sz w:val="20"/>
                <w:szCs w:val="20"/>
              </w:rPr>
            </w:pPr>
            <w:r w:rsidRPr="001D1CD5">
              <w:rPr>
                <w:rFonts w:asciiTheme="minorHAnsi" w:hAnsiTheme="minorHAnsi"/>
                <w:color w:val="000000"/>
                <w:sz w:val="20"/>
                <w:szCs w:val="20"/>
              </w:rPr>
              <w:t>43</w:t>
            </w:r>
          </w:p>
        </w:tc>
        <w:tc>
          <w:tcPr>
            <w:tcW w:w="1418" w:type="dxa"/>
            <w:vAlign w:val="center"/>
          </w:tcPr>
          <w:p w14:paraId="423660C8" w14:textId="77777777" w:rsidR="00115D3B" w:rsidRPr="001D1CD5" w:rsidRDefault="00115D3B" w:rsidP="00701439">
            <w:pPr>
              <w:jc w:val="center"/>
              <w:rPr>
                <w:rFonts w:asciiTheme="minorHAnsi" w:hAnsiTheme="minorHAnsi"/>
                <w:color w:val="000000"/>
                <w:sz w:val="20"/>
                <w:szCs w:val="20"/>
              </w:rPr>
            </w:pPr>
            <w:r w:rsidRPr="001D1CD5">
              <w:rPr>
                <w:rFonts w:asciiTheme="minorHAnsi" w:hAnsiTheme="minorHAnsi"/>
                <w:color w:val="000000"/>
                <w:sz w:val="20"/>
                <w:szCs w:val="20"/>
              </w:rPr>
              <w:t>79</w:t>
            </w:r>
          </w:p>
        </w:tc>
        <w:tc>
          <w:tcPr>
            <w:tcW w:w="1417" w:type="dxa"/>
            <w:vAlign w:val="center"/>
          </w:tcPr>
          <w:p w14:paraId="3B2BAF46" w14:textId="77777777" w:rsidR="00115D3B" w:rsidRPr="001D1CD5" w:rsidRDefault="00115D3B" w:rsidP="00701439">
            <w:pPr>
              <w:jc w:val="center"/>
              <w:rPr>
                <w:rFonts w:asciiTheme="minorHAnsi" w:hAnsiTheme="minorHAnsi"/>
                <w:color w:val="000000"/>
                <w:sz w:val="20"/>
                <w:szCs w:val="20"/>
              </w:rPr>
            </w:pPr>
            <w:r w:rsidRPr="001D1CD5">
              <w:rPr>
                <w:rFonts w:asciiTheme="minorHAnsi" w:hAnsiTheme="minorHAnsi"/>
                <w:color w:val="000000"/>
                <w:sz w:val="20"/>
                <w:szCs w:val="20"/>
              </w:rPr>
              <w:t>6</w:t>
            </w:r>
          </w:p>
        </w:tc>
      </w:tr>
      <w:tr w:rsidR="00115D3B" w:rsidRPr="001D1CD5" w14:paraId="50398C3F" w14:textId="77777777" w:rsidTr="00464869">
        <w:tc>
          <w:tcPr>
            <w:tcW w:w="993" w:type="dxa"/>
            <w:vAlign w:val="center"/>
          </w:tcPr>
          <w:p w14:paraId="2FD8AC4B" w14:textId="77777777" w:rsidR="00115D3B" w:rsidRPr="001D1CD5" w:rsidRDefault="00115D3B" w:rsidP="00701439">
            <w:pPr>
              <w:jc w:val="center"/>
              <w:rPr>
                <w:rFonts w:asciiTheme="minorHAnsi" w:hAnsiTheme="minorHAnsi"/>
                <w:color w:val="000000"/>
                <w:sz w:val="20"/>
                <w:szCs w:val="20"/>
              </w:rPr>
            </w:pPr>
            <w:r w:rsidRPr="001D1CD5">
              <w:rPr>
                <w:rFonts w:asciiTheme="minorHAnsi" w:hAnsiTheme="minorHAnsi"/>
                <w:color w:val="000000"/>
                <w:sz w:val="20"/>
                <w:szCs w:val="20"/>
              </w:rPr>
              <w:t>2011-12</w:t>
            </w:r>
          </w:p>
        </w:tc>
        <w:tc>
          <w:tcPr>
            <w:tcW w:w="1747" w:type="dxa"/>
            <w:tcBorders>
              <w:right w:val="single" w:sz="4" w:space="0" w:color="auto"/>
            </w:tcBorders>
            <w:vAlign w:val="center"/>
          </w:tcPr>
          <w:p w14:paraId="2656775D" w14:textId="77777777" w:rsidR="00115D3B" w:rsidRPr="001D1CD5" w:rsidRDefault="00115D3B" w:rsidP="00701439">
            <w:pPr>
              <w:jc w:val="center"/>
              <w:rPr>
                <w:rFonts w:asciiTheme="minorHAnsi" w:hAnsiTheme="minorHAnsi"/>
                <w:b/>
                <w:color w:val="000000"/>
                <w:sz w:val="20"/>
                <w:szCs w:val="20"/>
              </w:rPr>
            </w:pPr>
            <w:r w:rsidRPr="001D1CD5">
              <w:rPr>
                <w:rFonts w:asciiTheme="minorHAnsi" w:hAnsiTheme="minorHAnsi"/>
                <w:b/>
                <w:color w:val="000000"/>
                <w:sz w:val="20"/>
                <w:szCs w:val="20"/>
              </w:rPr>
              <w:t>11</w:t>
            </w:r>
          </w:p>
        </w:tc>
        <w:tc>
          <w:tcPr>
            <w:tcW w:w="1465" w:type="dxa"/>
            <w:tcBorders>
              <w:left w:val="single" w:sz="4" w:space="0" w:color="auto"/>
            </w:tcBorders>
            <w:vAlign w:val="center"/>
          </w:tcPr>
          <w:p w14:paraId="5E2DF483" w14:textId="77777777" w:rsidR="00115D3B" w:rsidRPr="001D1CD5" w:rsidRDefault="00115D3B" w:rsidP="00701439">
            <w:pPr>
              <w:jc w:val="center"/>
              <w:rPr>
                <w:rFonts w:asciiTheme="minorHAnsi" w:hAnsiTheme="minorHAnsi"/>
                <w:color w:val="000000"/>
                <w:sz w:val="20"/>
                <w:szCs w:val="20"/>
              </w:rPr>
            </w:pPr>
            <w:r w:rsidRPr="001D1CD5">
              <w:rPr>
                <w:rFonts w:asciiTheme="minorHAnsi" w:hAnsiTheme="minorHAnsi"/>
                <w:color w:val="000000"/>
                <w:sz w:val="20"/>
                <w:szCs w:val="20"/>
              </w:rPr>
              <w:t>116</w:t>
            </w:r>
          </w:p>
        </w:tc>
        <w:tc>
          <w:tcPr>
            <w:tcW w:w="1465" w:type="dxa"/>
            <w:vAlign w:val="center"/>
          </w:tcPr>
          <w:p w14:paraId="240A3B9B" w14:textId="77777777" w:rsidR="00115D3B" w:rsidRPr="001D1CD5" w:rsidRDefault="00115D3B" w:rsidP="00701439">
            <w:pPr>
              <w:jc w:val="center"/>
              <w:rPr>
                <w:rFonts w:asciiTheme="minorHAnsi" w:hAnsiTheme="minorHAnsi"/>
                <w:color w:val="000000"/>
                <w:sz w:val="20"/>
                <w:szCs w:val="20"/>
              </w:rPr>
            </w:pPr>
            <w:r w:rsidRPr="001D1CD5">
              <w:rPr>
                <w:rFonts w:asciiTheme="minorHAnsi" w:hAnsiTheme="minorHAnsi"/>
                <w:color w:val="000000"/>
                <w:sz w:val="20"/>
                <w:szCs w:val="20"/>
              </w:rPr>
              <w:t>40</w:t>
            </w:r>
          </w:p>
        </w:tc>
        <w:tc>
          <w:tcPr>
            <w:tcW w:w="1843" w:type="dxa"/>
            <w:vAlign w:val="center"/>
          </w:tcPr>
          <w:p w14:paraId="379D6002" w14:textId="77777777" w:rsidR="00115D3B" w:rsidRPr="001D1CD5" w:rsidRDefault="00115D3B" w:rsidP="00701439">
            <w:pPr>
              <w:jc w:val="center"/>
              <w:rPr>
                <w:rFonts w:asciiTheme="minorHAnsi" w:hAnsiTheme="minorHAnsi"/>
                <w:color w:val="000000"/>
                <w:sz w:val="20"/>
                <w:szCs w:val="20"/>
              </w:rPr>
            </w:pPr>
            <w:r w:rsidRPr="001D1CD5">
              <w:rPr>
                <w:rFonts w:asciiTheme="minorHAnsi" w:hAnsiTheme="minorHAnsi"/>
                <w:color w:val="000000"/>
                <w:sz w:val="20"/>
                <w:szCs w:val="20"/>
              </w:rPr>
              <w:t>39</w:t>
            </w:r>
          </w:p>
        </w:tc>
        <w:tc>
          <w:tcPr>
            <w:tcW w:w="1418" w:type="dxa"/>
            <w:vAlign w:val="center"/>
          </w:tcPr>
          <w:p w14:paraId="2B78F722" w14:textId="77777777" w:rsidR="00115D3B" w:rsidRPr="001D1CD5" w:rsidRDefault="00115D3B" w:rsidP="00701439">
            <w:pPr>
              <w:jc w:val="center"/>
              <w:rPr>
                <w:rFonts w:asciiTheme="minorHAnsi" w:hAnsiTheme="minorHAnsi"/>
                <w:color w:val="000000"/>
                <w:sz w:val="20"/>
                <w:szCs w:val="20"/>
              </w:rPr>
            </w:pPr>
            <w:r w:rsidRPr="001D1CD5">
              <w:rPr>
                <w:rFonts w:asciiTheme="minorHAnsi" w:hAnsiTheme="minorHAnsi"/>
                <w:color w:val="000000"/>
                <w:sz w:val="20"/>
                <w:szCs w:val="20"/>
              </w:rPr>
              <w:t>97</w:t>
            </w:r>
          </w:p>
        </w:tc>
        <w:tc>
          <w:tcPr>
            <w:tcW w:w="1417" w:type="dxa"/>
            <w:vAlign w:val="center"/>
          </w:tcPr>
          <w:p w14:paraId="5AAD94FD" w14:textId="77777777" w:rsidR="00115D3B" w:rsidRPr="001D1CD5" w:rsidRDefault="00115D3B" w:rsidP="00701439">
            <w:pPr>
              <w:jc w:val="center"/>
              <w:rPr>
                <w:rFonts w:asciiTheme="minorHAnsi" w:hAnsiTheme="minorHAnsi"/>
                <w:color w:val="000000"/>
                <w:sz w:val="20"/>
                <w:szCs w:val="20"/>
              </w:rPr>
            </w:pPr>
            <w:r w:rsidRPr="001D1CD5">
              <w:rPr>
                <w:rFonts w:asciiTheme="minorHAnsi" w:hAnsiTheme="minorHAnsi"/>
                <w:color w:val="000000"/>
                <w:sz w:val="20"/>
                <w:szCs w:val="20"/>
              </w:rPr>
              <w:t>6</w:t>
            </w:r>
          </w:p>
        </w:tc>
      </w:tr>
      <w:tr w:rsidR="00115D3B" w:rsidRPr="001D1CD5" w14:paraId="52B9FC7A" w14:textId="77777777" w:rsidTr="00464869">
        <w:tc>
          <w:tcPr>
            <w:tcW w:w="993" w:type="dxa"/>
            <w:vAlign w:val="center"/>
          </w:tcPr>
          <w:p w14:paraId="4AC61AA9" w14:textId="77777777" w:rsidR="00115D3B" w:rsidRPr="001D1CD5" w:rsidRDefault="00115D3B" w:rsidP="00701439">
            <w:pPr>
              <w:jc w:val="center"/>
              <w:rPr>
                <w:rFonts w:asciiTheme="minorHAnsi" w:hAnsiTheme="minorHAnsi"/>
                <w:color w:val="000000"/>
                <w:sz w:val="20"/>
                <w:szCs w:val="20"/>
              </w:rPr>
            </w:pPr>
            <w:r w:rsidRPr="001D1CD5">
              <w:rPr>
                <w:rFonts w:asciiTheme="minorHAnsi" w:hAnsiTheme="minorHAnsi"/>
                <w:color w:val="000000"/>
                <w:sz w:val="20"/>
                <w:szCs w:val="20"/>
              </w:rPr>
              <w:t>2012-13</w:t>
            </w:r>
          </w:p>
        </w:tc>
        <w:tc>
          <w:tcPr>
            <w:tcW w:w="1747" w:type="dxa"/>
            <w:tcBorders>
              <w:right w:val="single" w:sz="4" w:space="0" w:color="auto"/>
            </w:tcBorders>
            <w:vAlign w:val="center"/>
          </w:tcPr>
          <w:p w14:paraId="2CF9B411" w14:textId="77777777" w:rsidR="00115D3B" w:rsidRPr="001D1CD5" w:rsidRDefault="00115D3B" w:rsidP="00701439">
            <w:pPr>
              <w:jc w:val="center"/>
              <w:rPr>
                <w:rFonts w:asciiTheme="minorHAnsi" w:hAnsiTheme="minorHAnsi"/>
                <w:b/>
                <w:color w:val="000000"/>
                <w:sz w:val="20"/>
                <w:szCs w:val="20"/>
              </w:rPr>
            </w:pPr>
            <w:r w:rsidRPr="001D1CD5">
              <w:rPr>
                <w:rFonts w:asciiTheme="minorHAnsi" w:hAnsiTheme="minorHAnsi"/>
                <w:b/>
                <w:color w:val="000000"/>
                <w:sz w:val="20"/>
                <w:szCs w:val="20"/>
              </w:rPr>
              <w:t>13</w:t>
            </w:r>
          </w:p>
        </w:tc>
        <w:tc>
          <w:tcPr>
            <w:tcW w:w="1465" w:type="dxa"/>
            <w:tcBorders>
              <w:left w:val="single" w:sz="4" w:space="0" w:color="auto"/>
            </w:tcBorders>
            <w:vAlign w:val="center"/>
          </w:tcPr>
          <w:p w14:paraId="027DAE85" w14:textId="77777777" w:rsidR="00115D3B" w:rsidRPr="001D1CD5" w:rsidRDefault="00115D3B" w:rsidP="00701439">
            <w:pPr>
              <w:jc w:val="center"/>
              <w:rPr>
                <w:rFonts w:asciiTheme="minorHAnsi" w:hAnsiTheme="minorHAnsi"/>
                <w:color w:val="000000"/>
                <w:sz w:val="20"/>
                <w:szCs w:val="20"/>
              </w:rPr>
            </w:pPr>
            <w:r w:rsidRPr="001D1CD5">
              <w:rPr>
                <w:rFonts w:asciiTheme="minorHAnsi" w:hAnsiTheme="minorHAnsi"/>
                <w:color w:val="000000"/>
                <w:sz w:val="20"/>
                <w:szCs w:val="20"/>
              </w:rPr>
              <w:t>123</w:t>
            </w:r>
          </w:p>
        </w:tc>
        <w:tc>
          <w:tcPr>
            <w:tcW w:w="1465" w:type="dxa"/>
            <w:vAlign w:val="center"/>
          </w:tcPr>
          <w:p w14:paraId="2A9CDC97" w14:textId="77777777" w:rsidR="00115D3B" w:rsidRPr="001D1CD5" w:rsidRDefault="00115D3B" w:rsidP="00701439">
            <w:pPr>
              <w:jc w:val="center"/>
              <w:rPr>
                <w:rFonts w:asciiTheme="minorHAnsi" w:hAnsiTheme="minorHAnsi"/>
                <w:color w:val="000000"/>
                <w:sz w:val="20"/>
                <w:szCs w:val="20"/>
              </w:rPr>
            </w:pPr>
            <w:r w:rsidRPr="001D1CD5">
              <w:rPr>
                <w:rFonts w:asciiTheme="minorHAnsi" w:hAnsiTheme="minorHAnsi"/>
                <w:color w:val="000000"/>
                <w:sz w:val="20"/>
                <w:szCs w:val="20"/>
              </w:rPr>
              <w:t>80</w:t>
            </w:r>
          </w:p>
        </w:tc>
        <w:tc>
          <w:tcPr>
            <w:tcW w:w="1843" w:type="dxa"/>
            <w:vAlign w:val="center"/>
          </w:tcPr>
          <w:p w14:paraId="5EC75024" w14:textId="77777777" w:rsidR="00115D3B" w:rsidRPr="001D1CD5" w:rsidRDefault="00115D3B" w:rsidP="00701439">
            <w:pPr>
              <w:jc w:val="center"/>
              <w:rPr>
                <w:rFonts w:asciiTheme="minorHAnsi" w:hAnsiTheme="minorHAnsi"/>
                <w:color w:val="000000"/>
                <w:sz w:val="20"/>
                <w:szCs w:val="20"/>
              </w:rPr>
            </w:pPr>
            <w:r w:rsidRPr="001D1CD5">
              <w:rPr>
                <w:rFonts w:asciiTheme="minorHAnsi" w:hAnsiTheme="minorHAnsi"/>
                <w:color w:val="000000"/>
                <w:sz w:val="20"/>
                <w:szCs w:val="20"/>
              </w:rPr>
              <w:t>67</w:t>
            </w:r>
          </w:p>
        </w:tc>
        <w:tc>
          <w:tcPr>
            <w:tcW w:w="1418" w:type="dxa"/>
            <w:vAlign w:val="center"/>
          </w:tcPr>
          <w:p w14:paraId="1F5A6A45" w14:textId="77777777" w:rsidR="00115D3B" w:rsidRPr="001D1CD5" w:rsidRDefault="00115D3B" w:rsidP="00701439">
            <w:pPr>
              <w:jc w:val="center"/>
              <w:rPr>
                <w:rFonts w:asciiTheme="minorHAnsi" w:hAnsiTheme="minorHAnsi"/>
                <w:color w:val="000000"/>
                <w:sz w:val="20"/>
                <w:szCs w:val="20"/>
              </w:rPr>
            </w:pPr>
            <w:r w:rsidRPr="001D1CD5">
              <w:rPr>
                <w:rFonts w:asciiTheme="minorHAnsi" w:hAnsiTheme="minorHAnsi"/>
                <w:color w:val="000000"/>
                <w:sz w:val="20"/>
                <w:szCs w:val="20"/>
              </w:rPr>
              <w:t>120</w:t>
            </w:r>
          </w:p>
        </w:tc>
        <w:tc>
          <w:tcPr>
            <w:tcW w:w="1417" w:type="dxa"/>
            <w:vAlign w:val="center"/>
          </w:tcPr>
          <w:p w14:paraId="6AAB8FD6" w14:textId="77777777" w:rsidR="00115D3B" w:rsidRPr="001D1CD5" w:rsidRDefault="00115D3B" w:rsidP="00701439">
            <w:pPr>
              <w:jc w:val="center"/>
              <w:rPr>
                <w:rFonts w:asciiTheme="minorHAnsi" w:hAnsiTheme="minorHAnsi"/>
                <w:color w:val="000000"/>
                <w:sz w:val="20"/>
                <w:szCs w:val="20"/>
              </w:rPr>
            </w:pPr>
            <w:r w:rsidRPr="001D1CD5">
              <w:rPr>
                <w:rFonts w:asciiTheme="minorHAnsi" w:hAnsiTheme="minorHAnsi"/>
                <w:color w:val="000000"/>
                <w:sz w:val="20"/>
                <w:szCs w:val="20"/>
              </w:rPr>
              <w:t>50</w:t>
            </w:r>
          </w:p>
        </w:tc>
      </w:tr>
      <w:tr w:rsidR="00115D3B" w:rsidRPr="001D1CD5" w14:paraId="2E54A18B" w14:textId="77777777" w:rsidTr="00464869">
        <w:tc>
          <w:tcPr>
            <w:tcW w:w="993" w:type="dxa"/>
            <w:vAlign w:val="center"/>
          </w:tcPr>
          <w:p w14:paraId="4417B833" w14:textId="77777777" w:rsidR="00115D3B" w:rsidRPr="001D1CD5" w:rsidRDefault="00115D3B" w:rsidP="00701439">
            <w:pPr>
              <w:jc w:val="center"/>
              <w:rPr>
                <w:rFonts w:asciiTheme="minorHAnsi" w:hAnsiTheme="minorHAnsi"/>
                <w:color w:val="000000"/>
                <w:sz w:val="20"/>
                <w:szCs w:val="20"/>
              </w:rPr>
            </w:pPr>
            <w:r w:rsidRPr="001D1CD5">
              <w:rPr>
                <w:rFonts w:asciiTheme="minorHAnsi" w:hAnsiTheme="minorHAnsi"/>
                <w:color w:val="000000"/>
                <w:sz w:val="20"/>
                <w:szCs w:val="20"/>
              </w:rPr>
              <w:t>2013-14</w:t>
            </w:r>
          </w:p>
        </w:tc>
        <w:tc>
          <w:tcPr>
            <w:tcW w:w="1747" w:type="dxa"/>
            <w:tcBorders>
              <w:right w:val="single" w:sz="4" w:space="0" w:color="auto"/>
            </w:tcBorders>
            <w:vAlign w:val="center"/>
          </w:tcPr>
          <w:p w14:paraId="5D025B3C" w14:textId="77777777" w:rsidR="00115D3B" w:rsidRPr="001D1CD5" w:rsidRDefault="00115D3B" w:rsidP="00701439">
            <w:pPr>
              <w:jc w:val="center"/>
              <w:rPr>
                <w:rFonts w:asciiTheme="minorHAnsi" w:hAnsiTheme="minorHAnsi"/>
                <w:b/>
                <w:color w:val="000000"/>
                <w:sz w:val="20"/>
                <w:szCs w:val="20"/>
              </w:rPr>
            </w:pPr>
            <w:r w:rsidRPr="001D1CD5">
              <w:rPr>
                <w:rFonts w:asciiTheme="minorHAnsi" w:hAnsiTheme="minorHAnsi"/>
                <w:b/>
                <w:color w:val="000000"/>
                <w:sz w:val="20"/>
                <w:szCs w:val="20"/>
              </w:rPr>
              <w:t>42</w:t>
            </w:r>
          </w:p>
        </w:tc>
        <w:tc>
          <w:tcPr>
            <w:tcW w:w="1465" w:type="dxa"/>
            <w:tcBorders>
              <w:left w:val="single" w:sz="4" w:space="0" w:color="auto"/>
            </w:tcBorders>
            <w:vAlign w:val="center"/>
          </w:tcPr>
          <w:p w14:paraId="3E72FD6A" w14:textId="77777777" w:rsidR="00115D3B" w:rsidRPr="001D1CD5" w:rsidRDefault="00115D3B" w:rsidP="00701439">
            <w:pPr>
              <w:jc w:val="center"/>
              <w:rPr>
                <w:rFonts w:asciiTheme="minorHAnsi" w:hAnsiTheme="minorHAnsi"/>
                <w:color w:val="000000"/>
                <w:sz w:val="20"/>
                <w:szCs w:val="20"/>
              </w:rPr>
            </w:pPr>
            <w:r w:rsidRPr="001D1CD5">
              <w:rPr>
                <w:rFonts w:asciiTheme="minorHAnsi" w:hAnsiTheme="minorHAnsi"/>
                <w:color w:val="000000"/>
                <w:sz w:val="20"/>
                <w:szCs w:val="20"/>
              </w:rPr>
              <w:t>135</w:t>
            </w:r>
          </w:p>
        </w:tc>
        <w:tc>
          <w:tcPr>
            <w:tcW w:w="1465" w:type="dxa"/>
            <w:vAlign w:val="center"/>
          </w:tcPr>
          <w:p w14:paraId="5C70A592" w14:textId="77777777" w:rsidR="00115D3B" w:rsidRPr="001D1CD5" w:rsidRDefault="00115D3B" w:rsidP="00701439">
            <w:pPr>
              <w:jc w:val="center"/>
              <w:rPr>
                <w:rFonts w:asciiTheme="minorHAnsi" w:hAnsiTheme="minorHAnsi"/>
                <w:color w:val="000000"/>
                <w:sz w:val="20"/>
                <w:szCs w:val="20"/>
              </w:rPr>
            </w:pPr>
            <w:r w:rsidRPr="001D1CD5">
              <w:rPr>
                <w:rFonts w:asciiTheme="minorHAnsi" w:hAnsiTheme="minorHAnsi"/>
                <w:color w:val="000000"/>
                <w:sz w:val="20"/>
                <w:szCs w:val="20"/>
              </w:rPr>
              <w:t>113</w:t>
            </w:r>
          </w:p>
        </w:tc>
        <w:tc>
          <w:tcPr>
            <w:tcW w:w="1843" w:type="dxa"/>
            <w:vAlign w:val="center"/>
          </w:tcPr>
          <w:p w14:paraId="688CB89D" w14:textId="77777777" w:rsidR="00115D3B" w:rsidRPr="001D1CD5" w:rsidRDefault="00115D3B" w:rsidP="00701439">
            <w:pPr>
              <w:jc w:val="center"/>
              <w:rPr>
                <w:rFonts w:asciiTheme="minorHAnsi" w:hAnsiTheme="minorHAnsi"/>
                <w:color w:val="000000"/>
                <w:sz w:val="20"/>
                <w:szCs w:val="20"/>
              </w:rPr>
            </w:pPr>
            <w:r w:rsidRPr="001D1CD5">
              <w:rPr>
                <w:rFonts w:asciiTheme="minorHAnsi" w:hAnsiTheme="minorHAnsi"/>
                <w:color w:val="000000"/>
                <w:sz w:val="20"/>
                <w:szCs w:val="20"/>
              </w:rPr>
              <w:t>103</w:t>
            </w:r>
          </w:p>
        </w:tc>
        <w:tc>
          <w:tcPr>
            <w:tcW w:w="1418" w:type="dxa"/>
            <w:vAlign w:val="center"/>
          </w:tcPr>
          <w:p w14:paraId="7993526C" w14:textId="77777777" w:rsidR="00115D3B" w:rsidRPr="001D1CD5" w:rsidRDefault="00115D3B" w:rsidP="00701439">
            <w:pPr>
              <w:jc w:val="center"/>
              <w:rPr>
                <w:rFonts w:asciiTheme="minorHAnsi" w:hAnsiTheme="minorHAnsi"/>
                <w:color w:val="000000"/>
                <w:sz w:val="20"/>
                <w:szCs w:val="20"/>
              </w:rPr>
            </w:pPr>
            <w:r w:rsidRPr="001D1CD5">
              <w:rPr>
                <w:rFonts w:asciiTheme="minorHAnsi" w:hAnsiTheme="minorHAnsi"/>
                <w:color w:val="000000"/>
                <w:sz w:val="20"/>
                <w:szCs w:val="20"/>
              </w:rPr>
              <w:t>137</w:t>
            </w:r>
          </w:p>
        </w:tc>
        <w:tc>
          <w:tcPr>
            <w:tcW w:w="1417" w:type="dxa"/>
            <w:vAlign w:val="center"/>
          </w:tcPr>
          <w:p w14:paraId="23CDEEF3" w14:textId="77777777" w:rsidR="00115D3B" w:rsidRPr="001D1CD5" w:rsidRDefault="00115D3B" w:rsidP="00701439">
            <w:pPr>
              <w:jc w:val="center"/>
              <w:rPr>
                <w:rFonts w:asciiTheme="minorHAnsi" w:hAnsiTheme="minorHAnsi"/>
                <w:color w:val="000000"/>
                <w:sz w:val="20"/>
                <w:szCs w:val="20"/>
              </w:rPr>
            </w:pPr>
            <w:r w:rsidRPr="001D1CD5">
              <w:rPr>
                <w:rFonts w:asciiTheme="minorHAnsi" w:hAnsiTheme="minorHAnsi"/>
                <w:color w:val="000000"/>
                <w:sz w:val="20"/>
                <w:szCs w:val="20"/>
              </w:rPr>
              <w:t>49</w:t>
            </w:r>
          </w:p>
        </w:tc>
      </w:tr>
      <w:tr w:rsidR="00115D3B" w:rsidRPr="001D1CD5" w14:paraId="7CCBCDE0" w14:textId="77777777" w:rsidTr="00464869">
        <w:tc>
          <w:tcPr>
            <w:tcW w:w="993" w:type="dxa"/>
            <w:tcBorders>
              <w:bottom w:val="single" w:sz="4" w:space="0" w:color="auto"/>
            </w:tcBorders>
            <w:vAlign w:val="center"/>
          </w:tcPr>
          <w:p w14:paraId="7FC60CFC" w14:textId="77777777" w:rsidR="00115D3B" w:rsidRPr="001D1CD5" w:rsidRDefault="00115D3B" w:rsidP="00701439">
            <w:pPr>
              <w:jc w:val="center"/>
              <w:rPr>
                <w:rFonts w:asciiTheme="minorHAnsi" w:hAnsiTheme="minorHAnsi"/>
                <w:color w:val="000000"/>
                <w:sz w:val="20"/>
                <w:szCs w:val="20"/>
              </w:rPr>
            </w:pPr>
            <w:r w:rsidRPr="001D1CD5">
              <w:rPr>
                <w:rFonts w:asciiTheme="minorHAnsi" w:hAnsiTheme="minorHAnsi"/>
                <w:color w:val="000000"/>
                <w:sz w:val="20"/>
                <w:szCs w:val="20"/>
              </w:rPr>
              <w:t>2014-15</w:t>
            </w:r>
          </w:p>
        </w:tc>
        <w:tc>
          <w:tcPr>
            <w:tcW w:w="1747" w:type="dxa"/>
            <w:tcBorders>
              <w:bottom w:val="single" w:sz="4" w:space="0" w:color="auto"/>
              <w:right w:val="single" w:sz="4" w:space="0" w:color="auto"/>
            </w:tcBorders>
            <w:vAlign w:val="center"/>
          </w:tcPr>
          <w:p w14:paraId="6BED284A" w14:textId="77777777" w:rsidR="00115D3B" w:rsidRPr="001D1CD5" w:rsidRDefault="00115D3B" w:rsidP="00701439">
            <w:pPr>
              <w:jc w:val="center"/>
              <w:rPr>
                <w:rFonts w:asciiTheme="minorHAnsi" w:hAnsiTheme="minorHAnsi"/>
                <w:b/>
                <w:color w:val="000000"/>
                <w:sz w:val="20"/>
                <w:szCs w:val="20"/>
              </w:rPr>
            </w:pPr>
            <w:r w:rsidRPr="001D1CD5">
              <w:rPr>
                <w:rFonts w:asciiTheme="minorHAnsi" w:hAnsiTheme="minorHAnsi"/>
                <w:b/>
                <w:color w:val="000000"/>
                <w:sz w:val="20"/>
                <w:szCs w:val="20"/>
              </w:rPr>
              <w:t>54</w:t>
            </w:r>
          </w:p>
        </w:tc>
        <w:tc>
          <w:tcPr>
            <w:tcW w:w="1465" w:type="dxa"/>
            <w:tcBorders>
              <w:left w:val="single" w:sz="4" w:space="0" w:color="auto"/>
              <w:bottom w:val="single" w:sz="4" w:space="0" w:color="auto"/>
            </w:tcBorders>
            <w:vAlign w:val="center"/>
          </w:tcPr>
          <w:p w14:paraId="042F8BC2" w14:textId="77777777" w:rsidR="00115D3B" w:rsidRPr="001D1CD5" w:rsidRDefault="00115D3B" w:rsidP="00701439">
            <w:pPr>
              <w:jc w:val="center"/>
              <w:rPr>
                <w:rFonts w:asciiTheme="minorHAnsi" w:hAnsiTheme="minorHAnsi"/>
                <w:color w:val="000000"/>
                <w:sz w:val="20"/>
                <w:szCs w:val="20"/>
              </w:rPr>
            </w:pPr>
            <w:r w:rsidRPr="001D1CD5">
              <w:rPr>
                <w:rFonts w:asciiTheme="minorHAnsi" w:hAnsiTheme="minorHAnsi"/>
                <w:color w:val="000000"/>
                <w:sz w:val="20"/>
                <w:szCs w:val="20"/>
              </w:rPr>
              <w:t>132</w:t>
            </w:r>
          </w:p>
        </w:tc>
        <w:tc>
          <w:tcPr>
            <w:tcW w:w="1465" w:type="dxa"/>
            <w:tcBorders>
              <w:bottom w:val="single" w:sz="4" w:space="0" w:color="auto"/>
            </w:tcBorders>
            <w:vAlign w:val="center"/>
          </w:tcPr>
          <w:p w14:paraId="2F11421B" w14:textId="77777777" w:rsidR="00115D3B" w:rsidRPr="001D1CD5" w:rsidRDefault="00115D3B" w:rsidP="00701439">
            <w:pPr>
              <w:jc w:val="center"/>
              <w:rPr>
                <w:rFonts w:asciiTheme="minorHAnsi" w:hAnsiTheme="minorHAnsi"/>
                <w:color w:val="000000"/>
                <w:sz w:val="20"/>
                <w:szCs w:val="20"/>
              </w:rPr>
            </w:pPr>
            <w:r w:rsidRPr="001D1CD5">
              <w:rPr>
                <w:rFonts w:asciiTheme="minorHAnsi" w:hAnsiTheme="minorHAnsi"/>
                <w:color w:val="000000"/>
                <w:sz w:val="20"/>
                <w:szCs w:val="20"/>
              </w:rPr>
              <w:t>125</w:t>
            </w:r>
          </w:p>
        </w:tc>
        <w:tc>
          <w:tcPr>
            <w:tcW w:w="1843" w:type="dxa"/>
            <w:tcBorders>
              <w:bottom w:val="single" w:sz="4" w:space="0" w:color="auto"/>
            </w:tcBorders>
            <w:vAlign w:val="center"/>
          </w:tcPr>
          <w:p w14:paraId="4421DB3A" w14:textId="77777777" w:rsidR="00115D3B" w:rsidRPr="001D1CD5" w:rsidRDefault="00115D3B" w:rsidP="00701439">
            <w:pPr>
              <w:jc w:val="center"/>
              <w:rPr>
                <w:rFonts w:asciiTheme="minorHAnsi" w:hAnsiTheme="minorHAnsi"/>
                <w:color w:val="000000"/>
                <w:sz w:val="20"/>
                <w:szCs w:val="20"/>
              </w:rPr>
            </w:pPr>
            <w:r w:rsidRPr="001D1CD5">
              <w:rPr>
                <w:rFonts w:asciiTheme="minorHAnsi" w:hAnsiTheme="minorHAnsi"/>
                <w:color w:val="000000"/>
                <w:sz w:val="20"/>
                <w:szCs w:val="20"/>
              </w:rPr>
              <w:t>109</w:t>
            </w:r>
          </w:p>
        </w:tc>
        <w:tc>
          <w:tcPr>
            <w:tcW w:w="1418" w:type="dxa"/>
            <w:tcBorders>
              <w:bottom w:val="single" w:sz="4" w:space="0" w:color="auto"/>
            </w:tcBorders>
            <w:vAlign w:val="center"/>
          </w:tcPr>
          <w:p w14:paraId="61E41C9B" w14:textId="77777777" w:rsidR="00115D3B" w:rsidRPr="001D1CD5" w:rsidRDefault="00115D3B" w:rsidP="00701439">
            <w:pPr>
              <w:jc w:val="center"/>
              <w:rPr>
                <w:rFonts w:asciiTheme="minorHAnsi" w:hAnsiTheme="minorHAnsi"/>
                <w:color w:val="000000"/>
                <w:sz w:val="20"/>
                <w:szCs w:val="20"/>
              </w:rPr>
            </w:pPr>
            <w:r w:rsidRPr="001D1CD5">
              <w:rPr>
                <w:rFonts w:asciiTheme="minorHAnsi" w:hAnsiTheme="minorHAnsi"/>
                <w:color w:val="000000"/>
                <w:sz w:val="20"/>
                <w:szCs w:val="20"/>
              </w:rPr>
              <w:t>136</w:t>
            </w:r>
          </w:p>
        </w:tc>
        <w:tc>
          <w:tcPr>
            <w:tcW w:w="1417" w:type="dxa"/>
            <w:tcBorders>
              <w:bottom w:val="single" w:sz="4" w:space="0" w:color="auto"/>
            </w:tcBorders>
            <w:vAlign w:val="center"/>
          </w:tcPr>
          <w:p w14:paraId="072A4CAA" w14:textId="77777777" w:rsidR="00115D3B" w:rsidRPr="001D1CD5" w:rsidRDefault="00115D3B" w:rsidP="00701439">
            <w:pPr>
              <w:jc w:val="center"/>
              <w:rPr>
                <w:rFonts w:asciiTheme="minorHAnsi" w:hAnsiTheme="minorHAnsi"/>
                <w:color w:val="000000"/>
                <w:sz w:val="20"/>
                <w:szCs w:val="20"/>
              </w:rPr>
            </w:pPr>
            <w:r w:rsidRPr="001D1CD5">
              <w:rPr>
                <w:rFonts w:asciiTheme="minorHAnsi" w:hAnsiTheme="minorHAnsi"/>
                <w:color w:val="000000"/>
                <w:sz w:val="20"/>
                <w:szCs w:val="20"/>
              </w:rPr>
              <w:t>50</w:t>
            </w:r>
          </w:p>
        </w:tc>
      </w:tr>
    </w:tbl>
    <w:p w14:paraId="31A60C74" w14:textId="77777777" w:rsidR="00115D3B" w:rsidRPr="001D1CD5" w:rsidRDefault="00115D3B" w:rsidP="00115D3B">
      <w:pPr>
        <w:pStyle w:val="BodyText"/>
        <w:rPr>
          <w:rFonts w:asciiTheme="minorHAnsi" w:hAnsiTheme="minorHAnsi"/>
        </w:rPr>
      </w:pPr>
      <w:r w:rsidRPr="001D1CD5">
        <w:rPr>
          <w:rFonts w:asciiTheme="minorHAnsi" w:hAnsiTheme="minorHAnsi"/>
        </w:rPr>
        <w:t xml:space="preserve">* </w:t>
      </w:r>
      <w:r w:rsidRPr="001D1CD5">
        <w:rPr>
          <w:rFonts w:asciiTheme="minorHAnsi" w:hAnsiTheme="minorHAnsi"/>
          <w:sz w:val="20"/>
          <w:szCs w:val="20"/>
        </w:rPr>
        <w:t>Index: high score = best, except on ‘redundancy costs’. Ranking: high score = worst.</w:t>
      </w:r>
    </w:p>
    <w:p w14:paraId="4A387E34" w14:textId="6328D241" w:rsidR="00115D3B" w:rsidRPr="001D1CD5" w:rsidRDefault="00464869" w:rsidP="00115D3B">
      <w:pPr>
        <w:pStyle w:val="BodyText"/>
        <w:jc w:val="center"/>
        <w:rPr>
          <w:rFonts w:asciiTheme="minorHAnsi" w:hAnsiTheme="minorHAnsi"/>
          <w:b/>
          <w:color w:val="451E51"/>
        </w:rPr>
      </w:pPr>
      <w:r w:rsidRPr="001D1CD5">
        <w:rPr>
          <w:rFonts w:asciiTheme="minorHAnsi" w:hAnsiTheme="minorHAnsi"/>
          <w:b/>
          <w:color w:val="451E51"/>
        </w:rPr>
        <w:t>Figure 1</w:t>
      </w:r>
      <w:r w:rsidR="00115D3B" w:rsidRPr="001D1CD5">
        <w:rPr>
          <w:rFonts w:asciiTheme="minorHAnsi" w:hAnsiTheme="minorHAnsi"/>
          <w:b/>
          <w:color w:val="451E51"/>
        </w:rPr>
        <w:t xml:space="preserve">: </w:t>
      </w:r>
      <w:proofErr w:type="spellStart"/>
      <w:r w:rsidR="00115D3B" w:rsidRPr="001D1CD5">
        <w:rPr>
          <w:rFonts w:asciiTheme="minorHAnsi" w:hAnsiTheme="minorHAnsi"/>
          <w:b/>
          <w:color w:val="451E51"/>
        </w:rPr>
        <w:t>WEF</w:t>
      </w:r>
      <w:proofErr w:type="spellEnd"/>
      <w:r w:rsidR="00115D3B" w:rsidRPr="001D1CD5">
        <w:rPr>
          <w:rFonts w:asciiTheme="minorHAnsi" w:hAnsiTheme="minorHAnsi"/>
          <w:b/>
          <w:color w:val="451E51"/>
        </w:rPr>
        <w:t xml:space="preserve"> selected ‘</w:t>
      </w:r>
      <w:proofErr w:type="spellStart"/>
      <w:r w:rsidR="00115D3B" w:rsidRPr="001D1CD5">
        <w:rPr>
          <w:rFonts w:asciiTheme="minorHAnsi" w:hAnsiTheme="minorHAnsi"/>
          <w:b/>
          <w:color w:val="451E51"/>
        </w:rPr>
        <w:t>labour</w:t>
      </w:r>
      <w:proofErr w:type="spellEnd"/>
      <w:r w:rsidR="00115D3B" w:rsidRPr="001D1CD5">
        <w:rPr>
          <w:rFonts w:asciiTheme="minorHAnsi" w:hAnsiTheme="minorHAnsi"/>
          <w:b/>
          <w:color w:val="451E51"/>
        </w:rPr>
        <w:t xml:space="preserve"> market’ indicators: annual rankings, Australia</w:t>
      </w:r>
    </w:p>
    <w:p w14:paraId="744E7657" w14:textId="77777777" w:rsidR="00115D3B" w:rsidRPr="001D1CD5" w:rsidRDefault="00115D3B" w:rsidP="00115D3B">
      <w:pPr>
        <w:pStyle w:val="BodyText"/>
        <w:jc w:val="center"/>
        <w:rPr>
          <w:b/>
        </w:rPr>
      </w:pPr>
      <w:r w:rsidRPr="001D1CD5">
        <w:rPr>
          <w:b/>
          <w:noProof/>
          <w:lang w:val="en-AU" w:eastAsia="en-AU"/>
        </w:rPr>
        <w:lastRenderedPageBreak/>
        <w:drawing>
          <wp:inline distT="0" distB="0" distL="0" distR="0" wp14:anchorId="008895B2" wp14:editId="12E37634">
            <wp:extent cx="4644000" cy="3024000"/>
            <wp:effectExtent l="0" t="0" r="444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644000" cy="3024000"/>
                    </a:xfrm>
                    <a:prstGeom prst="rect">
                      <a:avLst/>
                    </a:prstGeom>
                    <a:noFill/>
                  </pic:spPr>
                </pic:pic>
              </a:graphicData>
            </a:graphic>
          </wp:inline>
        </w:drawing>
      </w:r>
    </w:p>
    <w:p w14:paraId="48B77865" w14:textId="77777777" w:rsidR="009827F5" w:rsidRDefault="009827F5">
      <w:pPr>
        <w:rPr>
          <w:rFonts w:asciiTheme="minorHAnsi" w:eastAsia="Times New Roman" w:hAnsiTheme="minorHAnsi"/>
          <w:bdr w:val="none" w:sz="0" w:space="0" w:color="auto"/>
        </w:rPr>
      </w:pPr>
      <w:r>
        <w:rPr>
          <w:rFonts w:asciiTheme="minorHAnsi" w:hAnsiTheme="minorHAnsi"/>
        </w:rPr>
        <w:br w:type="page"/>
      </w:r>
    </w:p>
    <w:p w14:paraId="011EE590" w14:textId="5B904517" w:rsidR="00115D3B" w:rsidRPr="001D1CD5" w:rsidRDefault="00464869" w:rsidP="00464869">
      <w:pPr>
        <w:pStyle w:val="BodyText"/>
        <w:spacing w:after="240" w:line="276" w:lineRule="auto"/>
        <w:jc w:val="both"/>
        <w:rPr>
          <w:rFonts w:asciiTheme="minorHAnsi" w:hAnsiTheme="minorHAnsi"/>
        </w:rPr>
      </w:pPr>
      <w:r w:rsidRPr="001D1CD5">
        <w:rPr>
          <w:rFonts w:asciiTheme="minorHAnsi" w:hAnsiTheme="minorHAnsi"/>
        </w:rPr>
        <w:lastRenderedPageBreak/>
        <w:t>The da</w:t>
      </w:r>
      <w:r w:rsidR="00115D3B" w:rsidRPr="001D1CD5">
        <w:rPr>
          <w:rFonts w:asciiTheme="minorHAnsi" w:hAnsiTheme="minorHAnsi"/>
        </w:rPr>
        <w:t>ta sources and detail for the full set of 1</w:t>
      </w:r>
      <w:r w:rsidRPr="001D1CD5">
        <w:rPr>
          <w:rFonts w:asciiTheme="minorHAnsi" w:hAnsiTheme="minorHAnsi"/>
        </w:rPr>
        <w:t xml:space="preserve">0 </w:t>
      </w:r>
      <w:proofErr w:type="spellStart"/>
      <w:r w:rsidRPr="001D1CD5">
        <w:rPr>
          <w:rFonts w:asciiTheme="minorHAnsi" w:hAnsiTheme="minorHAnsi"/>
        </w:rPr>
        <w:t>WEF</w:t>
      </w:r>
      <w:proofErr w:type="spellEnd"/>
      <w:r w:rsidRPr="001D1CD5">
        <w:rPr>
          <w:rFonts w:asciiTheme="minorHAnsi" w:hAnsiTheme="minorHAnsi"/>
        </w:rPr>
        <w:t xml:space="preserve"> ‘</w:t>
      </w:r>
      <w:proofErr w:type="spellStart"/>
      <w:r w:rsidRPr="001D1CD5">
        <w:rPr>
          <w:rFonts w:asciiTheme="minorHAnsi" w:hAnsiTheme="minorHAnsi"/>
        </w:rPr>
        <w:t>labour</w:t>
      </w:r>
      <w:proofErr w:type="spellEnd"/>
      <w:r w:rsidRPr="001D1CD5">
        <w:rPr>
          <w:rFonts w:asciiTheme="minorHAnsi" w:hAnsiTheme="minorHAnsi"/>
        </w:rPr>
        <w:t xml:space="preserve"> market’ indicators are:</w:t>
      </w:r>
    </w:p>
    <w:p w14:paraId="195985D4" w14:textId="1DAA1481" w:rsidR="00115D3B" w:rsidRPr="001D1CD5" w:rsidRDefault="00115D3B" w:rsidP="00464869">
      <w:pPr>
        <w:pStyle w:val="BodyText"/>
        <w:spacing w:after="240" w:line="276" w:lineRule="auto"/>
        <w:ind w:left="720"/>
        <w:jc w:val="both"/>
        <w:rPr>
          <w:rFonts w:asciiTheme="minorHAnsi" w:hAnsiTheme="minorHAnsi"/>
          <w:b/>
        </w:rPr>
      </w:pPr>
      <w:r w:rsidRPr="001D1CD5">
        <w:rPr>
          <w:rFonts w:asciiTheme="minorHAnsi" w:hAnsiTheme="minorHAnsi"/>
          <w:b/>
        </w:rPr>
        <w:t xml:space="preserve">1 </w:t>
      </w:r>
      <w:r w:rsidR="00464869" w:rsidRPr="001D1CD5">
        <w:rPr>
          <w:rFonts w:asciiTheme="minorHAnsi" w:hAnsiTheme="minorHAnsi"/>
          <w:b/>
        </w:rPr>
        <w:tab/>
      </w:r>
      <w:r w:rsidRPr="001D1CD5">
        <w:rPr>
          <w:rFonts w:asciiTheme="minorHAnsi" w:hAnsiTheme="minorHAnsi"/>
          <w:b/>
        </w:rPr>
        <w:t>Cooperation in labor-employer relations</w:t>
      </w:r>
    </w:p>
    <w:p w14:paraId="1A6FD88E" w14:textId="44295280" w:rsidR="00115D3B" w:rsidRPr="001D1CD5" w:rsidRDefault="00115D3B" w:rsidP="00464869">
      <w:pPr>
        <w:pStyle w:val="BodyText"/>
        <w:spacing w:after="240" w:line="276" w:lineRule="auto"/>
        <w:ind w:left="720"/>
        <w:jc w:val="both"/>
        <w:rPr>
          <w:rFonts w:asciiTheme="minorHAnsi" w:hAnsiTheme="minorHAnsi"/>
        </w:rPr>
      </w:pPr>
      <w:r w:rsidRPr="001D1CD5">
        <w:rPr>
          <w:rFonts w:asciiTheme="minorHAnsi" w:hAnsiTheme="minorHAnsi"/>
        </w:rPr>
        <w:t>In your country, how would you characterize labor-employer relations? [1 = generally confrontatio</w:t>
      </w:r>
      <w:r w:rsidR="00022948">
        <w:rPr>
          <w:rFonts w:asciiTheme="minorHAnsi" w:hAnsiTheme="minorHAnsi"/>
        </w:rPr>
        <w:t xml:space="preserve">nal; 7 = generally cooperative] | </w:t>
      </w:r>
      <w:r w:rsidRPr="001D1CD5">
        <w:rPr>
          <w:rFonts w:asciiTheme="minorHAnsi" w:hAnsiTheme="minorHAnsi"/>
        </w:rPr>
        <w:t xml:space="preserve">weighted average. Source: World Economic Forum, </w:t>
      </w:r>
      <w:r w:rsidRPr="001D1CD5">
        <w:rPr>
          <w:rFonts w:asciiTheme="minorHAnsi" w:hAnsiTheme="minorHAnsi"/>
          <w:i/>
        </w:rPr>
        <w:t>Executive Opinion Survey</w:t>
      </w:r>
      <w:r w:rsidRPr="001D1CD5">
        <w:rPr>
          <w:rFonts w:asciiTheme="minorHAnsi" w:hAnsiTheme="minorHAnsi"/>
        </w:rPr>
        <w:t>.</w:t>
      </w:r>
    </w:p>
    <w:p w14:paraId="4FD389F4" w14:textId="155FF797" w:rsidR="00115D3B" w:rsidRPr="001D1CD5" w:rsidRDefault="00115D3B" w:rsidP="00464869">
      <w:pPr>
        <w:pStyle w:val="BodyText"/>
        <w:spacing w:after="240" w:line="276" w:lineRule="auto"/>
        <w:ind w:left="720"/>
        <w:jc w:val="both"/>
        <w:rPr>
          <w:rFonts w:asciiTheme="minorHAnsi" w:hAnsiTheme="minorHAnsi"/>
          <w:b/>
        </w:rPr>
      </w:pPr>
      <w:r w:rsidRPr="001D1CD5">
        <w:rPr>
          <w:rFonts w:asciiTheme="minorHAnsi" w:hAnsiTheme="minorHAnsi"/>
          <w:b/>
        </w:rPr>
        <w:t xml:space="preserve">2 </w:t>
      </w:r>
      <w:r w:rsidR="00464869" w:rsidRPr="001D1CD5">
        <w:rPr>
          <w:rFonts w:asciiTheme="minorHAnsi" w:hAnsiTheme="minorHAnsi"/>
          <w:b/>
        </w:rPr>
        <w:tab/>
      </w:r>
      <w:r w:rsidRPr="001D1CD5">
        <w:rPr>
          <w:rFonts w:asciiTheme="minorHAnsi" w:hAnsiTheme="minorHAnsi"/>
          <w:b/>
        </w:rPr>
        <w:t>Flexibility of wage determination</w:t>
      </w:r>
    </w:p>
    <w:p w14:paraId="016026FB" w14:textId="12B4594D" w:rsidR="00115D3B" w:rsidRPr="001D1CD5" w:rsidRDefault="00115D3B" w:rsidP="00464869">
      <w:pPr>
        <w:pStyle w:val="BodyText"/>
        <w:spacing w:after="240" w:line="276" w:lineRule="auto"/>
        <w:ind w:left="720"/>
        <w:jc w:val="both"/>
        <w:rPr>
          <w:rFonts w:asciiTheme="minorHAnsi" w:hAnsiTheme="minorHAnsi"/>
        </w:rPr>
      </w:pPr>
      <w:r w:rsidRPr="001D1CD5">
        <w:rPr>
          <w:rFonts w:asciiTheme="minorHAnsi" w:hAnsiTheme="minorHAnsi"/>
        </w:rPr>
        <w:t xml:space="preserve">In your country, how are wages generally set? [1 = by a centralized bargaining process; 7 </w:t>
      </w:r>
      <w:r w:rsidR="00022948">
        <w:rPr>
          <w:rFonts w:asciiTheme="minorHAnsi" w:hAnsiTheme="minorHAnsi"/>
        </w:rPr>
        <w:t xml:space="preserve">= by each individual company] | </w:t>
      </w:r>
      <w:r w:rsidRPr="001D1CD5">
        <w:rPr>
          <w:rFonts w:asciiTheme="minorHAnsi" w:hAnsiTheme="minorHAnsi"/>
        </w:rPr>
        <w:t xml:space="preserve">weighted average. Source: World Economic Forum, </w:t>
      </w:r>
      <w:r w:rsidRPr="001D1CD5">
        <w:rPr>
          <w:rFonts w:asciiTheme="minorHAnsi" w:hAnsiTheme="minorHAnsi"/>
          <w:i/>
        </w:rPr>
        <w:t>Executive Opinion Survey</w:t>
      </w:r>
      <w:r w:rsidRPr="001D1CD5">
        <w:rPr>
          <w:rFonts w:asciiTheme="minorHAnsi" w:hAnsiTheme="minorHAnsi"/>
        </w:rPr>
        <w:t xml:space="preserve"> </w:t>
      </w:r>
    </w:p>
    <w:p w14:paraId="60C41212" w14:textId="5741E0F5" w:rsidR="00115D3B" w:rsidRPr="001D1CD5" w:rsidRDefault="00115D3B" w:rsidP="00464869">
      <w:pPr>
        <w:pStyle w:val="BodyText"/>
        <w:spacing w:after="240" w:line="276" w:lineRule="auto"/>
        <w:ind w:left="720"/>
        <w:jc w:val="both"/>
        <w:rPr>
          <w:rFonts w:asciiTheme="minorHAnsi" w:hAnsiTheme="minorHAnsi"/>
          <w:b/>
        </w:rPr>
      </w:pPr>
      <w:r w:rsidRPr="001D1CD5">
        <w:rPr>
          <w:rFonts w:asciiTheme="minorHAnsi" w:hAnsiTheme="minorHAnsi"/>
          <w:b/>
        </w:rPr>
        <w:t xml:space="preserve">3 </w:t>
      </w:r>
      <w:r w:rsidR="00464869" w:rsidRPr="001D1CD5">
        <w:rPr>
          <w:rFonts w:asciiTheme="minorHAnsi" w:hAnsiTheme="minorHAnsi"/>
          <w:b/>
        </w:rPr>
        <w:tab/>
      </w:r>
      <w:r w:rsidRPr="001D1CD5">
        <w:rPr>
          <w:rFonts w:asciiTheme="minorHAnsi" w:hAnsiTheme="minorHAnsi"/>
          <w:b/>
        </w:rPr>
        <w:t>Hiring and firing practices</w:t>
      </w:r>
    </w:p>
    <w:p w14:paraId="5CF620CB" w14:textId="77777777" w:rsidR="00115D3B" w:rsidRPr="001D1CD5" w:rsidRDefault="00115D3B" w:rsidP="00464869">
      <w:pPr>
        <w:pStyle w:val="BodyText"/>
        <w:spacing w:after="240" w:line="276" w:lineRule="auto"/>
        <w:ind w:left="720"/>
        <w:jc w:val="both"/>
        <w:rPr>
          <w:rFonts w:asciiTheme="minorHAnsi" w:hAnsiTheme="minorHAnsi"/>
        </w:rPr>
      </w:pPr>
      <w:r w:rsidRPr="001D1CD5">
        <w:rPr>
          <w:rFonts w:asciiTheme="minorHAnsi" w:hAnsiTheme="minorHAnsi"/>
        </w:rPr>
        <w:t xml:space="preserve">In your country, how would you characterize the hiring and firing of workers? [1 = heavily impeded by regulations; 7 = extremely flexible] | weighted average. Source: World Economic Forum, </w:t>
      </w:r>
      <w:r w:rsidRPr="001D1CD5">
        <w:rPr>
          <w:rFonts w:asciiTheme="minorHAnsi" w:hAnsiTheme="minorHAnsi"/>
          <w:i/>
        </w:rPr>
        <w:t>Executive Opinion Survey</w:t>
      </w:r>
      <w:r w:rsidRPr="001D1CD5">
        <w:rPr>
          <w:rFonts w:asciiTheme="minorHAnsi" w:hAnsiTheme="minorHAnsi"/>
        </w:rPr>
        <w:t xml:space="preserve">. </w:t>
      </w:r>
    </w:p>
    <w:p w14:paraId="6954F265" w14:textId="36DCFF7B" w:rsidR="00115D3B" w:rsidRPr="001D1CD5" w:rsidRDefault="00115D3B" w:rsidP="00464869">
      <w:pPr>
        <w:pStyle w:val="BodyText"/>
        <w:spacing w:after="240" w:line="276" w:lineRule="auto"/>
        <w:ind w:left="720"/>
        <w:jc w:val="both"/>
        <w:rPr>
          <w:rFonts w:asciiTheme="minorHAnsi" w:hAnsiTheme="minorHAnsi"/>
          <w:b/>
        </w:rPr>
      </w:pPr>
      <w:r w:rsidRPr="001D1CD5">
        <w:rPr>
          <w:rFonts w:asciiTheme="minorHAnsi" w:hAnsiTheme="minorHAnsi"/>
          <w:b/>
        </w:rPr>
        <w:t xml:space="preserve">4 </w:t>
      </w:r>
      <w:r w:rsidR="00464869" w:rsidRPr="001D1CD5">
        <w:rPr>
          <w:rFonts w:asciiTheme="minorHAnsi" w:hAnsiTheme="minorHAnsi"/>
          <w:b/>
        </w:rPr>
        <w:tab/>
      </w:r>
      <w:r w:rsidRPr="001D1CD5">
        <w:rPr>
          <w:rFonts w:asciiTheme="minorHAnsi" w:hAnsiTheme="minorHAnsi"/>
          <w:b/>
        </w:rPr>
        <w:t>Redundancy costs</w:t>
      </w:r>
    </w:p>
    <w:p w14:paraId="7AE4070C" w14:textId="77777777" w:rsidR="00115D3B" w:rsidRPr="001D1CD5" w:rsidRDefault="00115D3B" w:rsidP="00464869">
      <w:pPr>
        <w:pStyle w:val="BodyText"/>
        <w:spacing w:after="240" w:line="276" w:lineRule="auto"/>
        <w:ind w:left="720"/>
        <w:jc w:val="both"/>
        <w:rPr>
          <w:rFonts w:asciiTheme="minorHAnsi" w:hAnsiTheme="minorHAnsi"/>
        </w:rPr>
      </w:pPr>
      <w:r w:rsidRPr="001D1CD5">
        <w:rPr>
          <w:rFonts w:asciiTheme="minorHAnsi" w:hAnsiTheme="minorHAnsi"/>
        </w:rPr>
        <w:t xml:space="preserve">Redundancy costs in weeks of salary | This indicator estimates the cost of advance notice requirements, severance payments, and penalties due when terminating a redundant worker, expressed in weekly wages. Sources: World Bank/International Finance Corporation, </w:t>
      </w:r>
      <w:r w:rsidRPr="001D1CD5">
        <w:rPr>
          <w:rFonts w:asciiTheme="minorHAnsi" w:hAnsiTheme="minorHAnsi"/>
          <w:i/>
        </w:rPr>
        <w:t>Doing Business 2014: Understanding Regulations for Small and Medium-Size Enterprises</w:t>
      </w:r>
      <w:r w:rsidRPr="001D1CD5">
        <w:rPr>
          <w:rFonts w:asciiTheme="minorHAnsi" w:hAnsiTheme="minorHAnsi"/>
        </w:rPr>
        <w:t>; World Economic Forum’s calculations.</w:t>
      </w:r>
    </w:p>
    <w:p w14:paraId="18EF48F4" w14:textId="2A987C15" w:rsidR="00115D3B" w:rsidRPr="001D1CD5" w:rsidRDefault="00115D3B" w:rsidP="00464869">
      <w:pPr>
        <w:pStyle w:val="BodyText"/>
        <w:spacing w:after="240" w:line="276" w:lineRule="auto"/>
        <w:ind w:left="720"/>
        <w:jc w:val="both"/>
        <w:rPr>
          <w:rFonts w:asciiTheme="minorHAnsi" w:hAnsiTheme="minorHAnsi"/>
          <w:b/>
        </w:rPr>
      </w:pPr>
      <w:r w:rsidRPr="001D1CD5">
        <w:rPr>
          <w:rFonts w:asciiTheme="minorHAnsi" w:hAnsiTheme="minorHAnsi"/>
          <w:b/>
        </w:rPr>
        <w:t xml:space="preserve">5 </w:t>
      </w:r>
      <w:r w:rsidR="00464869" w:rsidRPr="001D1CD5">
        <w:rPr>
          <w:rFonts w:asciiTheme="minorHAnsi" w:hAnsiTheme="minorHAnsi"/>
          <w:b/>
        </w:rPr>
        <w:tab/>
      </w:r>
      <w:r w:rsidRPr="001D1CD5">
        <w:rPr>
          <w:rFonts w:asciiTheme="minorHAnsi" w:hAnsiTheme="minorHAnsi"/>
          <w:b/>
        </w:rPr>
        <w:t>Effect of taxation on incentives to work</w:t>
      </w:r>
    </w:p>
    <w:p w14:paraId="2ECE7A34" w14:textId="77777777" w:rsidR="00115D3B" w:rsidRPr="001D1CD5" w:rsidRDefault="00115D3B" w:rsidP="00464869">
      <w:pPr>
        <w:pStyle w:val="BodyText"/>
        <w:spacing w:after="240" w:line="276" w:lineRule="auto"/>
        <w:ind w:left="720"/>
        <w:jc w:val="both"/>
        <w:rPr>
          <w:rFonts w:asciiTheme="minorHAnsi" w:hAnsiTheme="minorHAnsi"/>
        </w:rPr>
      </w:pPr>
      <w:r w:rsidRPr="001D1CD5">
        <w:rPr>
          <w:rFonts w:asciiTheme="minorHAnsi" w:hAnsiTheme="minorHAnsi"/>
        </w:rPr>
        <w:t xml:space="preserve">In your country, to what extent do taxes reduce the incentive to work? [1 = significantly reduce the incentive to work; 7 = do not reduce incentive to work at all] | weighted average. Source: World Economic Forum, </w:t>
      </w:r>
      <w:r w:rsidRPr="001D1CD5">
        <w:rPr>
          <w:rFonts w:asciiTheme="minorHAnsi" w:hAnsiTheme="minorHAnsi"/>
          <w:i/>
        </w:rPr>
        <w:t>Executive Opinion Survey</w:t>
      </w:r>
      <w:r w:rsidRPr="001D1CD5">
        <w:rPr>
          <w:rFonts w:asciiTheme="minorHAnsi" w:hAnsiTheme="minorHAnsi"/>
        </w:rPr>
        <w:t xml:space="preserve">. </w:t>
      </w:r>
    </w:p>
    <w:p w14:paraId="4232F442" w14:textId="1CD4CBBB" w:rsidR="00115D3B" w:rsidRPr="001D1CD5" w:rsidRDefault="00115D3B" w:rsidP="00464869">
      <w:pPr>
        <w:pStyle w:val="BodyText"/>
        <w:spacing w:after="240" w:line="276" w:lineRule="auto"/>
        <w:ind w:left="720"/>
        <w:jc w:val="both"/>
        <w:rPr>
          <w:rFonts w:asciiTheme="minorHAnsi" w:hAnsiTheme="minorHAnsi"/>
          <w:b/>
        </w:rPr>
      </w:pPr>
      <w:r w:rsidRPr="001D1CD5">
        <w:rPr>
          <w:rFonts w:asciiTheme="minorHAnsi" w:hAnsiTheme="minorHAnsi"/>
          <w:b/>
        </w:rPr>
        <w:t xml:space="preserve">6 </w:t>
      </w:r>
      <w:r w:rsidR="00464869" w:rsidRPr="001D1CD5">
        <w:rPr>
          <w:rFonts w:asciiTheme="minorHAnsi" w:hAnsiTheme="minorHAnsi"/>
          <w:b/>
        </w:rPr>
        <w:tab/>
      </w:r>
      <w:r w:rsidRPr="001D1CD5">
        <w:rPr>
          <w:rFonts w:asciiTheme="minorHAnsi" w:hAnsiTheme="minorHAnsi"/>
          <w:b/>
        </w:rPr>
        <w:t>Pay and productivity</w:t>
      </w:r>
    </w:p>
    <w:p w14:paraId="37D159E0" w14:textId="77777777" w:rsidR="00115D3B" w:rsidRPr="001D1CD5" w:rsidRDefault="00115D3B" w:rsidP="00464869">
      <w:pPr>
        <w:pStyle w:val="BodyText"/>
        <w:spacing w:after="240" w:line="276" w:lineRule="auto"/>
        <w:ind w:left="720"/>
        <w:jc w:val="both"/>
        <w:rPr>
          <w:rFonts w:asciiTheme="minorHAnsi" w:hAnsiTheme="minorHAnsi"/>
        </w:rPr>
      </w:pPr>
      <w:r w:rsidRPr="001D1CD5">
        <w:rPr>
          <w:rFonts w:asciiTheme="minorHAnsi" w:hAnsiTheme="minorHAnsi"/>
        </w:rPr>
        <w:t xml:space="preserve">In your country, to what extent is pay related to worker productivity? [1 = not related to worker productivity; 7 = strongly related to worker productivity] | weighted average. Source: World Economic Forum, </w:t>
      </w:r>
      <w:r w:rsidRPr="001D1CD5">
        <w:rPr>
          <w:rFonts w:asciiTheme="minorHAnsi" w:hAnsiTheme="minorHAnsi"/>
          <w:i/>
        </w:rPr>
        <w:t>Executive Opinion Survey</w:t>
      </w:r>
      <w:r w:rsidRPr="001D1CD5">
        <w:rPr>
          <w:rFonts w:asciiTheme="minorHAnsi" w:hAnsiTheme="minorHAnsi"/>
        </w:rPr>
        <w:t>.</w:t>
      </w:r>
    </w:p>
    <w:p w14:paraId="7571AE4E" w14:textId="359128BE" w:rsidR="00115D3B" w:rsidRPr="001D1CD5" w:rsidRDefault="00115D3B" w:rsidP="00464869">
      <w:pPr>
        <w:pStyle w:val="BodyText"/>
        <w:spacing w:after="240" w:line="276" w:lineRule="auto"/>
        <w:ind w:left="720"/>
        <w:jc w:val="both"/>
        <w:rPr>
          <w:rFonts w:asciiTheme="minorHAnsi" w:hAnsiTheme="minorHAnsi"/>
          <w:b/>
        </w:rPr>
      </w:pPr>
      <w:r w:rsidRPr="001D1CD5">
        <w:rPr>
          <w:rFonts w:asciiTheme="minorHAnsi" w:hAnsiTheme="minorHAnsi"/>
          <w:b/>
        </w:rPr>
        <w:t xml:space="preserve">7 </w:t>
      </w:r>
      <w:r w:rsidR="00464869" w:rsidRPr="001D1CD5">
        <w:rPr>
          <w:rFonts w:asciiTheme="minorHAnsi" w:hAnsiTheme="minorHAnsi"/>
          <w:b/>
        </w:rPr>
        <w:tab/>
      </w:r>
      <w:r w:rsidRPr="001D1CD5">
        <w:rPr>
          <w:rFonts w:asciiTheme="minorHAnsi" w:hAnsiTheme="minorHAnsi"/>
          <w:b/>
        </w:rPr>
        <w:t>Reliance on professional management</w:t>
      </w:r>
    </w:p>
    <w:p w14:paraId="2538CE90" w14:textId="77777777" w:rsidR="00115D3B" w:rsidRPr="001D1CD5" w:rsidRDefault="00115D3B" w:rsidP="00464869">
      <w:pPr>
        <w:pStyle w:val="BodyText"/>
        <w:spacing w:after="240" w:line="276" w:lineRule="auto"/>
        <w:ind w:left="720"/>
        <w:jc w:val="both"/>
        <w:rPr>
          <w:rFonts w:asciiTheme="minorHAnsi" w:hAnsiTheme="minorHAnsi"/>
        </w:rPr>
      </w:pPr>
      <w:r w:rsidRPr="001D1CD5">
        <w:rPr>
          <w:rFonts w:asciiTheme="minorHAnsi" w:hAnsiTheme="minorHAnsi"/>
        </w:rPr>
        <w:t xml:space="preserve">In your country, who holds senior management positions? [1 = usually relatives or friends without regard to merit; 7 = mostly professional managers chosen for merit and qualifications] | weighted average. Source: World Economic Forum, </w:t>
      </w:r>
      <w:r w:rsidRPr="001D1CD5">
        <w:rPr>
          <w:rFonts w:asciiTheme="minorHAnsi" w:hAnsiTheme="minorHAnsi"/>
          <w:i/>
        </w:rPr>
        <w:t>Executive Opinion Survey</w:t>
      </w:r>
      <w:r w:rsidRPr="001D1CD5">
        <w:rPr>
          <w:rFonts w:asciiTheme="minorHAnsi" w:hAnsiTheme="minorHAnsi"/>
        </w:rPr>
        <w:t>.</w:t>
      </w:r>
    </w:p>
    <w:p w14:paraId="0F593744" w14:textId="6D5D7652" w:rsidR="00115D3B" w:rsidRPr="001D1CD5" w:rsidRDefault="00115D3B" w:rsidP="00464869">
      <w:pPr>
        <w:pStyle w:val="BodyText"/>
        <w:spacing w:after="240" w:line="276" w:lineRule="auto"/>
        <w:ind w:left="720"/>
        <w:jc w:val="both"/>
        <w:rPr>
          <w:rFonts w:asciiTheme="minorHAnsi" w:hAnsiTheme="minorHAnsi"/>
          <w:b/>
        </w:rPr>
      </w:pPr>
      <w:r w:rsidRPr="001D1CD5">
        <w:rPr>
          <w:rFonts w:asciiTheme="minorHAnsi" w:hAnsiTheme="minorHAnsi"/>
          <w:b/>
        </w:rPr>
        <w:lastRenderedPageBreak/>
        <w:t xml:space="preserve">8 </w:t>
      </w:r>
      <w:r w:rsidR="00464869" w:rsidRPr="001D1CD5">
        <w:rPr>
          <w:rFonts w:asciiTheme="minorHAnsi" w:hAnsiTheme="minorHAnsi"/>
          <w:b/>
        </w:rPr>
        <w:tab/>
      </w:r>
      <w:r w:rsidRPr="001D1CD5">
        <w:rPr>
          <w:rFonts w:asciiTheme="minorHAnsi" w:hAnsiTheme="minorHAnsi"/>
          <w:b/>
        </w:rPr>
        <w:t>Country capacity to retain talent</w:t>
      </w:r>
    </w:p>
    <w:p w14:paraId="6CA9F415" w14:textId="77777777" w:rsidR="00115D3B" w:rsidRPr="001D1CD5" w:rsidRDefault="00115D3B" w:rsidP="00464869">
      <w:pPr>
        <w:pStyle w:val="BodyText"/>
        <w:spacing w:after="240" w:line="276" w:lineRule="auto"/>
        <w:ind w:left="720"/>
        <w:jc w:val="both"/>
        <w:rPr>
          <w:rFonts w:asciiTheme="minorHAnsi" w:hAnsiTheme="minorHAnsi"/>
        </w:rPr>
      </w:pPr>
      <w:r w:rsidRPr="001D1CD5">
        <w:rPr>
          <w:rFonts w:asciiTheme="minorHAnsi" w:hAnsiTheme="minorHAnsi"/>
        </w:rPr>
        <w:t xml:space="preserve">Does your country retain talented people? [1 = the best and brightest leave to pursue opportunities in other countries; 7 = the best and brightest stay and pursue opportunities in the country] | weighted average. Source: World Economic Forum, </w:t>
      </w:r>
      <w:r w:rsidRPr="001D1CD5">
        <w:rPr>
          <w:rFonts w:asciiTheme="minorHAnsi" w:hAnsiTheme="minorHAnsi"/>
          <w:i/>
        </w:rPr>
        <w:t>Executive Opinion Survey</w:t>
      </w:r>
      <w:r w:rsidRPr="001D1CD5">
        <w:rPr>
          <w:rFonts w:asciiTheme="minorHAnsi" w:hAnsiTheme="minorHAnsi"/>
        </w:rPr>
        <w:t xml:space="preserve">. </w:t>
      </w:r>
    </w:p>
    <w:p w14:paraId="4F05B54D" w14:textId="02C5713D" w:rsidR="00115D3B" w:rsidRPr="001D1CD5" w:rsidRDefault="00115D3B" w:rsidP="00464869">
      <w:pPr>
        <w:pStyle w:val="BodyText"/>
        <w:spacing w:after="240" w:line="276" w:lineRule="auto"/>
        <w:ind w:left="720"/>
        <w:jc w:val="both"/>
        <w:rPr>
          <w:rFonts w:asciiTheme="minorHAnsi" w:hAnsiTheme="minorHAnsi"/>
          <w:b/>
        </w:rPr>
      </w:pPr>
      <w:r w:rsidRPr="001D1CD5">
        <w:rPr>
          <w:rFonts w:asciiTheme="minorHAnsi" w:hAnsiTheme="minorHAnsi"/>
          <w:b/>
        </w:rPr>
        <w:t xml:space="preserve">9 </w:t>
      </w:r>
      <w:r w:rsidR="00464869" w:rsidRPr="001D1CD5">
        <w:rPr>
          <w:rFonts w:asciiTheme="minorHAnsi" w:hAnsiTheme="minorHAnsi"/>
          <w:b/>
        </w:rPr>
        <w:tab/>
      </w:r>
      <w:r w:rsidRPr="001D1CD5">
        <w:rPr>
          <w:rFonts w:asciiTheme="minorHAnsi" w:hAnsiTheme="minorHAnsi"/>
          <w:b/>
        </w:rPr>
        <w:t>Country capacity to attract talent</w:t>
      </w:r>
    </w:p>
    <w:p w14:paraId="29092590" w14:textId="77777777" w:rsidR="00115D3B" w:rsidRPr="001D1CD5" w:rsidRDefault="00115D3B" w:rsidP="00464869">
      <w:pPr>
        <w:pStyle w:val="BodyText"/>
        <w:spacing w:after="240" w:line="276" w:lineRule="auto"/>
        <w:ind w:left="720"/>
        <w:jc w:val="both"/>
        <w:rPr>
          <w:rFonts w:asciiTheme="minorHAnsi" w:hAnsiTheme="minorHAnsi"/>
        </w:rPr>
      </w:pPr>
      <w:r w:rsidRPr="001D1CD5">
        <w:rPr>
          <w:rFonts w:asciiTheme="minorHAnsi" w:hAnsiTheme="minorHAnsi"/>
        </w:rPr>
        <w:t xml:space="preserve">Does your country attract talented people from abroad? [1 = not at all; 7 = attracts the best and brightest from around the world] | weighted average. Source: World Economic Forum, </w:t>
      </w:r>
      <w:r w:rsidRPr="001D1CD5">
        <w:rPr>
          <w:rFonts w:asciiTheme="minorHAnsi" w:hAnsiTheme="minorHAnsi"/>
          <w:i/>
        </w:rPr>
        <w:t>Executive Opinion Survey.</w:t>
      </w:r>
    </w:p>
    <w:p w14:paraId="5EF2CFF1" w14:textId="6B95D01A" w:rsidR="00115D3B" w:rsidRPr="001D1CD5" w:rsidRDefault="00115D3B" w:rsidP="00464869">
      <w:pPr>
        <w:pStyle w:val="BodyText"/>
        <w:spacing w:after="240" w:line="276" w:lineRule="auto"/>
        <w:ind w:left="720"/>
        <w:jc w:val="both"/>
        <w:rPr>
          <w:rFonts w:asciiTheme="minorHAnsi" w:hAnsiTheme="minorHAnsi"/>
          <w:b/>
        </w:rPr>
      </w:pPr>
      <w:r w:rsidRPr="001D1CD5">
        <w:rPr>
          <w:rFonts w:asciiTheme="minorHAnsi" w:hAnsiTheme="minorHAnsi"/>
          <w:b/>
        </w:rPr>
        <w:t xml:space="preserve">10 </w:t>
      </w:r>
      <w:r w:rsidR="00464869" w:rsidRPr="001D1CD5">
        <w:rPr>
          <w:rFonts w:asciiTheme="minorHAnsi" w:hAnsiTheme="minorHAnsi"/>
          <w:b/>
        </w:rPr>
        <w:tab/>
      </w:r>
      <w:r w:rsidRPr="001D1CD5">
        <w:rPr>
          <w:rFonts w:asciiTheme="minorHAnsi" w:hAnsiTheme="minorHAnsi"/>
          <w:b/>
        </w:rPr>
        <w:t>Female participation in the labor force</w:t>
      </w:r>
    </w:p>
    <w:p w14:paraId="24202718" w14:textId="77777777" w:rsidR="00115D3B" w:rsidRPr="00464869" w:rsidRDefault="00115D3B" w:rsidP="00464869">
      <w:pPr>
        <w:pStyle w:val="BodyText"/>
        <w:spacing w:after="240" w:line="276" w:lineRule="auto"/>
        <w:ind w:left="720"/>
        <w:jc w:val="both"/>
        <w:rPr>
          <w:rFonts w:asciiTheme="minorHAnsi" w:hAnsiTheme="minorHAnsi"/>
        </w:rPr>
      </w:pPr>
      <w:r w:rsidRPr="001D1CD5">
        <w:rPr>
          <w:rFonts w:asciiTheme="minorHAnsi" w:hAnsiTheme="minorHAnsi"/>
        </w:rPr>
        <w:t xml:space="preserve">Ratio of women to men in the labor force | This measure is the percentage of women aged 15–64 participating in the labor force divided by the percentage of men aged 15–64 participating in the labor force. Sources: International </w:t>
      </w:r>
      <w:proofErr w:type="spellStart"/>
      <w:r w:rsidRPr="001D1CD5">
        <w:rPr>
          <w:rFonts w:asciiTheme="minorHAnsi" w:hAnsiTheme="minorHAnsi"/>
        </w:rPr>
        <w:t>Labour</w:t>
      </w:r>
      <w:proofErr w:type="spellEnd"/>
      <w:r w:rsidRPr="001D1CD5">
        <w:rPr>
          <w:rFonts w:asciiTheme="minorHAnsi" w:hAnsiTheme="minorHAnsi"/>
        </w:rPr>
        <w:t xml:space="preserve"> Organization, </w:t>
      </w:r>
      <w:r w:rsidRPr="001D1CD5">
        <w:rPr>
          <w:rFonts w:asciiTheme="minorHAnsi" w:hAnsiTheme="minorHAnsi"/>
          <w:i/>
        </w:rPr>
        <w:t xml:space="preserve">Key Indicators of the </w:t>
      </w:r>
      <w:proofErr w:type="spellStart"/>
      <w:r w:rsidRPr="001D1CD5">
        <w:rPr>
          <w:rFonts w:asciiTheme="minorHAnsi" w:hAnsiTheme="minorHAnsi"/>
          <w:i/>
        </w:rPr>
        <w:t>Labour</w:t>
      </w:r>
      <w:proofErr w:type="spellEnd"/>
      <w:r w:rsidRPr="001D1CD5">
        <w:rPr>
          <w:rFonts w:asciiTheme="minorHAnsi" w:hAnsiTheme="minorHAnsi"/>
          <w:i/>
        </w:rPr>
        <w:t xml:space="preserve"> Markets;</w:t>
      </w:r>
      <w:r w:rsidRPr="001D1CD5">
        <w:rPr>
          <w:rFonts w:asciiTheme="minorHAnsi" w:hAnsiTheme="minorHAnsi"/>
        </w:rPr>
        <w:t xml:space="preserve"> national sources.</w:t>
      </w:r>
    </w:p>
    <w:p w14:paraId="7744B7A8" w14:textId="2197C422" w:rsidR="00532427" w:rsidRPr="00464869" w:rsidRDefault="00532427" w:rsidP="00464869">
      <w:pPr>
        <w:spacing w:after="240" w:line="276" w:lineRule="auto"/>
        <w:jc w:val="both"/>
        <w:rPr>
          <w:rFonts w:asciiTheme="minorHAnsi" w:hAnsiTheme="minorHAnsi" w:cs="Arial"/>
          <w:lang w:val="en-AU"/>
        </w:rPr>
      </w:pPr>
      <w:r w:rsidRPr="00464869">
        <w:rPr>
          <w:rFonts w:asciiTheme="minorHAnsi" w:hAnsiTheme="minorHAnsi" w:cs="Arial"/>
          <w:lang w:val="en-AU"/>
        </w:rPr>
        <w:br w:type="page"/>
      </w:r>
    </w:p>
    <w:p w14:paraId="564C1B7A" w14:textId="77777777" w:rsidR="00B12300" w:rsidRDefault="00B12300" w:rsidP="00B12300">
      <w:pPr>
        <w:rPr>
          <w:rFonts w:asciiTheme="minorHAnsi" w:hAnsiTheme="minorHAnsi" w:cs="Arial"/>
          <w:lang w:val="en-AU"/>
        </w:rPr>
      </w:pPr>
    </w:p>
    <w:p w14:paraId="2246B14D" w14:textId="77777777" w:rsidR="00B12300" w:rsidRDefault="00B12300" w:rsidP="00B12300">
      <w:pPr>
        <w:rPr>
          <w:rFonts w:asciiTheme="minorHAnsi" w:hAnsiTheme="minorHAnsi" w:cs="Arial"/>
          <w:lang w:val="en-AU"/>
        </w:rPr>
      </w:pPr>
    </w:p>
    <w:p w14:paraId="0D0CA7D3" w14:textId="77777777" w:rsidR="00B12300" w:rsidRDefault="00B12300" w:rsidP="00B12300">
      <w:pPr>
        <w:rPr>
          <w:rFonts w:asciiTheme="minorHAnsi" w:hAnsiTheme="minorHAnsi" w:cs="Arial"/>
          <w:lang w:val="en-AU"/>
        </w:rPr>
      </w:pPr>
    </w:p>
    <w:p w14:paraId="398EFCC1" w14:textId="77777777" w:rsidR="00B12300" w:rsidRDefault="00B12300" w:rsidP="00B12300">
      <w:pPr>
        <w:rPr>
          <w:rFonts w:asciiTheme="minorHAnsi" w:hAnsiTheme="minorHAnsi" w:cs="Arial"/>
          <w:lang w:val="en-AU"/>
        </w:rPr>
      </w:pPr>
    </w:p>
    <w:p w14:paraId="3D834D4F" w14:textId="77777777" w:rsidR="00B12300" w:rsidRDefault="00B12300" w:rsidP="00B12300">
      <w:pPr>
        <w:rPr>
          <w:rFonts w:asciiTheme="minorHAnsi" w:hAnsiTheme="minorHAnsi" w:cs="Arial"/>
          <w:lang w:val="en-AU"/>
        </w:rPr>
      </w:pPr>
    </w:p>
    <w:p w14:paraId="71399754" w14:textId="77777777" w:rsidR="00B12300" w:rsidRDefault="00B12300" w:rsidP="00B12300">
      <w:pPr>
        <w:rPr>
          <w:rFonts w:asciiTheme="minorHAnsi" w:hAnsiTheme="minorHAnsi" w:cs="Arial"/>
          <w:lang w:val="en-AU"/>
        </w:rPr>
      </w:pPr>
    </w:p>
    <w:p w14:paraId="496F643B" w14:textId="77777777" w:rsidR="00B12300" w:rsidRDefault="00B12300" w:rsidP="00B12300">
      <w:pPr>
        <w:rPr>
          <w:rFonts w:asciiTheme="minorHAnsi" w:hAnsiTheme="minorHAnsi" w:cs="Arial"/>
          <w:lang w:val="en-AU"/>
        </w:rPr>
      </w:pPr>
    </w:p>
    <w:p w14:paraId="516508DE" w14:textId="77777777" w:rsidR="00B12300" w:rsidRDefault="00B12300" w:rsidP="00B12300">
      <w:pPr>
        <w:rPr>
          <w:rFonts w:asciiTheme="minorHAnsi" w:hAnsiTheme="minorHAnsi" w:cs="Arial"/>
          <w:lang w:val="en-AU"/>
        </w:rPr>
      </w:pPr>
    </w:p>
    <w:p w14:paraId="2C1219E5" w14:textId="77777777" w:rsidR="00B12300" w:rsidRDefault="00B12300" w:rsidP="00B12300">
      <w:pPr>
        <w:rPr>
          <w:rFonts w:asciiTheme="minorHAnsi" w:hAnsiTheme="minorHAnsi" w:cs="Arial"/>
          <w:lang w:val="en-AU"/>
        </w:rPr>
      </w:pPr>
    </w:p>
    <w:p w14:paraId="4D783996" w14:textId="77777777" w:rsidR="00B12300" w:rsidRDefault="00B12300" w:rsidP="00B12300">
      <w:pPr>
        <w:rPr>
          <w:rFonts w:asciiTheme="minorHAnsi" w:hAnsiTheme="minorHAnsi" w:cs="Arial"/>
          <w:lang w:val="en-AU"/>
        </w:rPr>
      </w:pPr>
    </w:p>
    <w:p w14:paraId="18460FB4" w14:textId="77777777" w:rsidR="00B12300" w:rsidRDefault="00B12300" w:rsidP="00B12300">
      <w:pPr>
        <w:rPr>
          <w:rFonts w:asciiTheme="minorHAnsi" w:hAnsiTheme="minorHAnsi" w:cs="Arial"/>
          <w:lang w:val="en-AU"/>
        </w:rPr>
      </w:pPr>
    </w:p>
    <w:p w14:paraId="52D5288F" w14:textId="77777777" w:rsidR="00B12300" w:rsidRDefault="00B12300" w:rsidP="00B12300">
      <w:pPr>
        <w:rPr>
          <w:rFonts w:asciiTheme="minorHAnsi" w:hAnsiTheme="minorHAnsi" w:cs="Arial"/>
          <w:lang w:val="en-AU"/>
        </w:rPr>
      </w:pPr>
    </w:p>
    <w:p w14:paraId="5681CA51" w14:textId="77777777" w:rsidR="00B12300" w:rsidRDefault="00B12300" w:rsidP="00B12300">
      <w:pPr>
        <w:rPr>
          <w:rFonts w:asciiTheme="minorHAnsi" w:hAnsiTheme="minorHAnsi" w:cs="Arial"/>
          <w:lang w:val="en-AU"/>
        </w:rPr>
      </w:pPr>
    </w:p>
    <w:p w14:paraId="4C3B737F" w14:textId="77777777" w:rsidR="00B12300" w:rsidRDefault="00B12300" w:rsidP="00B12300">
      <w:pPr>
        <w:rPr>
          <w:rFonts w:asciiTheme="minorHAnsi" w:hAnsiTheme="minorHAnsi" w:cs="Arial"/>
          <w:lang w:val="en-AU"/>
        </w:rPr>
      </w:pPr>
    </w:p>
    <w:p w14:paraId="1FCAA276" w14:textId="77777777" w:rsidR="00B12300" w:rsidRDefault="00B12300" w:rsidP="00B12300">
      <w:pPr>
        <w:rPr>
          <w:rFonts w:asciiTheme="minorHAnsi" w:hAnsiTheme="minorHAnsi" w:cs="Arial"/>
          <w:lang w:val="en-AU"/>
        </w:rPr>
      </w:pPr>
    </w:p>
    <w:p w14:paraId="3BC73BBE" w14:textId="77777777" w:rsidR="00B12300" w:rsidRDefault="00B12300" w:rsidP="00B12300">
      <w:pPr>
        <w:rPr>
          <w:rFonts w:asciiTheme="minorHAnsi" w:hAnsiTheme="minorHAnsi" w:cs="Arial"/>
          <w:lang w:val="en-AU"/>
        </w:rPr>
      </w:pPr>
    </w:p>
    <w:p w14:paraId="654BCEAC" w14:textId="77777777" w:rsidR="00B12300" w:rsidRDefault="00B12300" w:rsidP="00B12300">
      <w:pPr>
        <w:rPr>
          <w:rFonts w:asciiTheme="minorHAnsi" w:hAnsiTheme="minorHAnsi" w:cs="Arial"/>
          <w:lang w:val="en-AU"/>
        </w:rPr>
      </w:pPr>
    </w:p>
    <w:p w14:paraId="284496D8" w14:textId="77777777" w:rsidR="00B12300" w:rsidRDefault="00B12300" w:rsidP="00B12300">
      <w:pPr>
        <w:rPr>
          <w:rFonts w:asciiTheme="minorHAnsi" w:hAnsiTheme="minorHAnsi" w:cs="Arial"/>
          <w:lang w:val="en-AU"/>
        </w:rPr>
      </w:pPr>
    </w:p>
    <w:p w14:paraId="6A5BA7B2" w14:textId="77777777" w:rsidR="00B12300" w:rsidRDefault="00B12300" w:rsidP="00B12300">
      <w:pPr>
        <w:rPr>
          <w:rFonts w:asciiTheme="minorHAnsi" w:hAnsiTheme="minorHAnsi" w:cs="Arial"/>
          <w:lang w:val="en-AU"/>
        </w:rPr>
      </w:pPr>
    </w:p>
    <w:p w14:paraId="593D3F97" w14:textId="77777777" w:rsidR="00B12300" w:rsidRDefault="00B12300" w:rsidP="00B12300">
      <w:pPr>
        <w:rPr>
          <w:rFonts w:asciiTheme="minorHAnsi" w:hAnsiTheme="minorHAnsi" w:cs="Arial"/>
          <w:lang w:val="en-AU"/>
        </w:rPr>
      </w:pPr>
    </w:p>
    <w:p w14:paraId="1DBD5B39" w14:textId="77777777" w:rsidR="00B12300" w:rsidRDefault="00B12300" w:rsidP="00B12300">
      <w:pPr>
        <w:rPr>
          <w:rFonts w:asciiTheme="minorHAnsi" w:hAnsiTheme="minorHAnsi" w:cs="Arial"/>
          <w:lang w:val="en-AU"/>
        </w:rPr>
      </w:pPr>
    </w:p>
    <w:p w14:paraId="04616B9C" w14:textId="77777777" w:rsidR="00B12300" w:rsidRDefault="00B12300" w:rsidP="00B12300">
      <w:pPr>
        <w:rPr>
          <w:rFonts w:asciiTheme="minorHAnsi" w:hAnsiTheme="minorHAnsi" w:cs="Arial"/>
          <w:lang w:val="en-AU"/>
        </w:rPr>
      </w:pPr>
    </w:p>
    <w:p w14:paraId="2869E13E" w14:textId="77777777" w:rsidR="00B12300" w:rsidRDefault="00B12300" w:rsidP="00B12300">
      <w:pPr>
        <w:rPr>
          <w:rFonts w:asciiTheme="minorHAnsi" w:hAnsiTheme="minorHAnsi" w:cs="Arial"/>
          <w:lang w:val="en-AU"/>
        </w:rPr>
      </w:pPr>
    </w:p>
    <w:p w14:paraId="00F2C964" w14:textId="77777777" w:rsidR="00B12300" w:rsidRDefault="00B12300" w:rsidP="00B12300">
      <w:pPr>
        <w:rPr>
          <w:rFonts w:asciiTheme="minorHAnsi" w:hAnsiTheme="minorHAnsi" w:cs="Arial"/>
          <w:lang w:val="en-AU"/>
        </w:rPr>
      </w:pPr>
    </w:p>
    <w:p w14:paraId="7D24A7D6" w14:textId="77777777" w:rsidR="00B12300" w:rsidRDefault="00B12300" w:rsidP="00B12300">
      <w:pPr>
        <w:rPr>
          <w:rFonts w:asciiTheme="minorHAnsi" w:hAnsiTheme="minorHAnsi" w:cs="Arial"/>
          <w:lang w:val="en-AU"/>
        </w:rPr>
      </w:pPr>
    </w:p>
    <w:p w14:paraId="0247CAE3" w14:textId="77777777" w:rsidR="00B12300" w:rsidRDefault="00B12300" w:rsidP="00B12300">
      <w:pPr>
        <w:rPr>
          <w:rFonts w:asciiTheme="minorHAnsi" w:hAnsiTheme="minorHAnsi" w:cs="Arial"/>
          <w:lang w:val="en-AU"/>
        </w:rPr>
      </w:pPr>
    </w:p>
    <w:p w14:paraId="173F1500" w14:textId="77777777" w:rsidR="00B12300" w:rsidRDefault="00B12300" w:rsidP="00B12300">
      <w:pPr>
        <w:rPr>
          <w:rFonts w:asciiTheme="minorHAnsi" w:hAnsiTheme="minorHAnsi" w:cs="Arial"/>
          <w:lang w:val="en-AU"/>
        </w:rPr>
      </w:pPr>
    </w:p>
    <w:p w14:paraId="6A154CC2" w14:textId="77777777" w:rsidR="00B12300" w:rsidRDefault="00B12300" w:rsidP="00B12300">
      <w:pPr>
        <w:widowControl w:val="0"/>
        <w:spacing w:after="240" w:line="276" w:lineRule="auto"/>
        <w:rPr>
          <w:rFonts w:asciiTheme="minorHAnsi" w:hAnsiTheme="minorHAnsi" w:cs="Arial"/>
          <w:lang w:val="en-AU"/>
        </w:rPr>
      </w:pPr>
      <w:r>
        <w:rPr>
          <w:noProof/>
          <w:lang w:val="en-AU" w:eastAsia="en-AU"/>
        </w:rPr>
        <w:drawing>
          <wp:anchor distT="0" distB="0" distL="114300" distR="114300" simplePos="0" relativeHeight="251675648" behindDoc="0" locked="0" layoutInCell="1" allowOverlap="1" wp14:anchorId="5FC642F6" wp14:editId="5403CEE0">
            <wp:simplePos x="0" y="0"/>
            <wp:positionH relativeFrom="column">
              <wp:posOffset>-54610</wp:posOffset>
            </wp:positionH>
            <wp:positionV relativeFrom="paragraph">
              <wp:posOffset>55245</wp:posOffset>
            </wp:positionV>
            <wp:extent cx="906780" cy="859155"/>
            <wp:effectExtent l="0" t="0" r="762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_logo_media_release.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906780" cy="85915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4E2EA251" w14:textId="77777777" w:rsidR="00B12300" w:rsidRPr="00190393" w:rsidRDefault="00B12300" w:rsidP="00B12300">
      <w:pPr>
        <w:pStyle w:val="ceoaddressesceobodystyles"/>
        <w:ind w:firstLine="0"/>
        <w:rPr>
          <w:rFonts w:ascii="AvenirNext-Bold" w:hAnsi="AvenirNext-Bold" w:cs="AvenirNext-Bold"/>
          <w:b/>
          <w:bCs/>
          <w:caps/>
          <w:color w:val="262626" w:themeColor="text1" w:themeTint="D9"/>
          <w:spacing w:val="3"/>
          <w:sz w:val="14"/>
          <w:szCs w:val="14"/>
        </w:rPr>
      </w:pPr>
    </w:p>
    <w:p w14:paraId="6E15D038" w14:textId="77777777" w:rsidR="00B12300" w:rsidRPr="00190393" w:rsidRDefault="00B12300" w:rsidP="00B12300">
      <w:pPr>
        <w:pStyle w:val="ceoaddressesceobodystyles"/>
        <w:ind w:firstLine="0"/>
        <w:rPr>
          <w:rFonts w:ascii="AvenirNext-Bold" w:hAnsi="AvenirNext-Bold" w:cs="AvenirNext-Bold"/>
          <w:b/>
          <w:bCs/>
          <w:caps/>
          <w:color w:val="262626" w:themeColor="text1" w:themeTint="D9"/>
          <w:spacing w:val="3"/>
          <w:sz w:val="14"/>
          <w:szCs w:val="14"/>
        </w:rPr>
      </w:pPr>
    </w:p>
    <w:p w14:paraId="55E1E988" w14:textId="77777777" w:rsidR="00B12300" w:rsidRDefault="00B12300" w:rsidP="00B12300">
      <w:pPr>
        <w:pStyle w:val="ceoaddressesceobodystyles"/>
        <w:ind w:firstLine="0"/>
        <w:rPr>
          <w:rFonts w:ascii="Century Gothic" w:hAnsi="Century Gothic" w:cs="AvenirNext-Bold"/>
          <w:b/>
          <w:bCs/>
          <w:caps/>
          <w:color w:val="660066"/>
          <w:spacing w:val="3"/>
          <w:sz w:val="14"/>
          <w:szCs w:val="14"/>
        </w:rPr>
      </w:pPr>
    </w:p>
    <w:p w14:paraId="56C8E38B" w14:textId="77777777" w:rsidR="00B12300" w:rsidRDefault="00B12300" w:rsidP="00B12300">
      <w:pPr>
        <w:pStyle w:val="ceoaddressesceobodystyles"/>
        <w:ind w:firstLine="0"/>
        <w:rPr>
          <w:rFonts w:ascii="Century Gothic" w:hAnsi="Century Gothic" w:cs="AvenirNext-Bold"/>
          <w:b/>
          <w:bCs/>
          <w:caps/>
          <w:color w:val="660066"/>
          <w:spacing w:val="3"/>
          <w:sz w:val="14"/>
          <w:szCs w:val="14"/>
        </w:rPr>
      </w:pPr>
    </w:p>
    <w:p w14:paraId="73CE1CDE" w14:textId="77777777" w:rsidR="00B12300" w:rsidRDefault="00B12300" w:rsidP="00B12300">
      <w:pPr>
        <w:pStyle w:val="ceoaddressesceobodystyles"/>
        <w:ind w:firstLine="0"/>
        <w:rPr>
          <w:rFonts w:ascii="Century Gothic" w:hAnsi="Century Gothic" w:cs="AvenirNext-Bold"/>
          <w:b/>
          <w:bCs/>
          <w:caps/>
          <w:color w:val="660066"/>
          <w:spacing w:val="3"/>
          <w:sz w:val="14"/>
          <w:szCs w:val="14"/>
        </w:rPr>
      </w:pPr>
    </w:p>
    <w:p w14:paraId="45365487" w14:textId="77777777" w:rsidR="00B12300" w:rsidRDefault="00B12300" w:rsidP="00B12300">
      <w:pPr>
        <w:pStyle w:val="ceoaddressesceobodystyles"/>
        <w:ind w:firstLine="0"/>
        <w:rPr>
          <w:rFonts w:ascii="Century Gothic" w:hAnsi="Century Gothic" w:cs="AvenirNext-Bold"/>
          <w:b/>
          <w:bCs/>
          <w:caps/>
          <w:color w:val="660066"/>
          <w:spacing w:val="3"/>
          <w:sz w:val="14"/>
          <w:szCs w:val="14"/>
        </w:rPr>
      </w:pPr>
    </w:p>
    <w:p w14:paraId="50559DD4" w14:textId="77777777" w:rsidR="00B12300" w:rsidRPr="00190393" w:rsidRDefault="00B12300" w:rsidP="00B12300">
      <w:pPr>
        <w:pStyle w:val="ceoaddressesceobodystyles"/>
        <w:ind w:firstLine="0"/>
        <w:rPr>
          <w:rFonts w:ascii="Century Gothic" w:hAnsi="Century Gothic" w:cs="AvenirNext-DemiBold"/>
          <w:b/>
          <w:bCs/>
          <w:caps/>
          <w:color w:val="660066"/>
          <w:spacing w:val="-1"/>
          <w:sz w:val="14"/>
          <w:szCs w:val="14"/>
        </w:rPr>
      </w:pPr>
      <w:r w:rsidRPr="00190393">
        <w:rPr>
          <w:rFonts w:ascii="Century Gothic" w:hAnsi="Century Gothic" w:cs="AvenirNext-Bold"/>
          <w:b/>
          <w:bCs/>
          <w:caps/>
          <w:color w:val="660066"/>
          <w:spacing w:val="3"/>
          <w:sz w:val="14"/>
          <w:szCs w:val="14"/>
        </w:rPr>
        <w:t>AUSTRALIAN INDUSTRY Group Metropolitan Offices</w:t>
      </w:r>
    </w:p>
    <w:p w14:paraId="7F949F3C" w14:textId="77777777" w:rsidR="00B12300" w:rsidRPr="00190393" w:rsidRDefault="00B12300" w:rsidP="00B12300">
      <w:pPr>
        <w:pStyle w:val="ceoaddressesceobodystyles"/>
        <w:ind w:firstLine="0"/>
        <w:rPr>
          <w:rFonts w:ascii="Century Gothic" w:hAnsi="Century Gothic" w:cs="AvenirNext-Regular"/>
          <w:color w:val="262626" w:themeColor="text1" w:themeTint="D9"/>
          <w:spacing w:val="-1"/>
          <w:sz w:val="14"/>
          <w:szCs w:val="14"/>
        </w:rPr>
      </w:pPr>
      <w:r w:rsidRPr="00190393">
        <w:rPr>
          <w:rFonts w:ascii="Century Gothic" w:hAnsi="Century Gothic" w:cs="AvenirNext-DemiBold"/>
          <w:b/>
          <w:bCs/>
          <w:caps/>
          <w:color w:val="262626" w:themeColor="text1" w:themeTint="D9"/>
          <w:spacing w:val="-1"/>
          <w:sz w:val="14"/>
          <w:szCs w:val="14"/>
        </w:rPr>
        <w:t>Sydney</w:t>
      </w:r>
      <w:r w:rsidRPr="00190393">
        <w:rPr>
          <w:rFonts w:ascii="Century Gothic" w:hAnsi="Century Gothic" w:cs="AvenirNext-Regular"/>
          <w:color w:val="262626" w:themeColor="text1" w:themeTint="D9"/>
          <w:spacing w:val="-1"/>
          <w:sz w:val="14"/>
          <w:szCs w:val="14"/>
        </w:rPr>
        <w:t xml:space="preserve"> 51 Walker Street, North Sydney NSW 2060, PO Box 289, North Sydney NSW 2059 Tel 02 9466 5566 Fax 02 9466 5599 </w:t>
      </w:r>
    </w:p>
    <w:p w14:paraId="03ADBD1B" w14:textId="77777777" w:rsidR="00B12300" w:rsidRPr="00190393" w:rsidRDefault="00B12300" w:rsidP="00B12300">
      <w:pPr>
        <w:pStyle w:val="ceoaddressesceobodystyles"/>
        <w:ind w:firstLine="0"/>
        <w:rPr>
          <w:rFonts w:ascii="Century Gothic" w:hAnsi="Century Gothic" w:cs="AvenirNext-Regular"/>
          <w:color w:val="262626" w:themeColor="text1" w:themeTint="D9"/>
          <w:spacing w:val="-1"/>
          <w:sz w:val="14"/>
          <w:szCs w:val="14"/>
        </w:rPr>
      </w:pPr>
      <w:r w:rsidRPr="00190393">
        <w:rPr>
          <w:rFonts w:ascii="Century Gothic" w:hAnsi="Century Gothic" w:cs="AvenirNext-DemiBold"/>
          <w:b/>
          <w:bCs/>
          <w:caps/>
          <w:color w:val="262626" w:themeColor="text1" w:themeTint="D9"/>
          <w:spacing w:val="-1"/>
          <w:sz w:val="14"/>
          <w:szCs w:val="14"/>
        </w:rPr>
        <w:t>Canberra</w:t>
      </w:r>
      <w:r w:rsidRPr="00190393">
        <w:rPr>
          <w:rFonts w:ascii="Century Gothic" w:hAnsi="Century Gothic" w:cs="AvenirNext-Regular"/>
          <w:color w:val="262626" w:themeColor="text1" w:themeTint="D9"/>
          <w:spacing w:val="-1"/>
          <w:sz w:val="14"/>
          <w:szCs w:val="14"/>
        </w:rPr>
        <w:t xml:space="preserve"> 44 Sydney Avenue, Forrest ACT 2603, PO Box 4986, Kingston ACT 2604 Tel 02 6233 0700 Fax 02 6233 0799 </w:t>
      </w:r>
    </w:p>
    <w:p w14:paraId="3B3C7579" w14:textId="77777777" w:rsidR="00B12300" w:rsidRPr="00190393" w:rsidRDefault="00B12300" w:rsidP="00B12300">
      <w:pPr>
        <w:pStyle w:val="ceoaddressesceobodystyles"/>
        <w:ind w:firstLine="0"/>
        <w:rPr>
          <w:rFonts w:ascii="Century Gothic" w:hAnsi="Century Gothic" w:cs="AvenirNext-Regular"/>
          <w:color w:val="262626" w:themeColor="text1" w:themeTint="D9"/>
          <w:spacing w:val="-1"/>
          <w:sz w:val="14"/>
          <w:szCs w:val="14"/>
        </w:rPr>
      </w:pPr>
      <w:r w:rsidRPr="00190393">
        <w:rPr>
          <w:rFonts w:ascii="Century Gothic" w:hAnsi="Century Gothic" w:cs="AvenirNext-DemiBold"/>
          <w:b/>
          <w:bCs/>
          <w:caps/>
          <w:color w:val="262626" w:themeColor="text1" w:themeTint="D9"/>
          <w:spacing w:val="-1"/>
          <w:sz w:val="14"/>
          <w:szCs w:val="14"/>
        </w:rPr>
        <w:t>Melbourne</w:t>
      </w:r>
      <w:r w:rsidRPr="00190393">
        <w:rPr>
          <w:rFonts w:ascii="Century Gothic" w:hAnsi="Century Gothic" w:cs="AvenirNext-Regular"/>
          <w:color w:val="262626" w:themeColor="text1" w:themeTint="D9"/>
          <w:spacing w:val="-1"/>
          <w:sz w:val="14"/>
          <w:szCs w:val="14"/>
        </w:rPr>
        <w:t xml:space="preserve"> Level 2, 441 St Kilda Road, Melbourne VIC 3004, PO Box 7622, Melbourne VIC 8004 Tel 03 9867 0111 Fax 03 9867 0199 </w:t>
      </w:r>
    </w:p>
    <w:p w14:paraId="1973736F" w14:textId="77777777" w:rsidR="00B12300" w:rsidRPr="00190393" w:rsidRDefault="00B12300" w:rsidP="00B12300">
      <w:pPr>
        <w:pStyle w:val="ceoaddressesceobodystyles"/>
        <w:ind w:firstLine="0"/>
        <w:rPr>
          <w:rFonts w:ascii="Century Gothic" w:hAnsi="Century Gothic" w:cs="AvenirNext-Regular"/>
          <w:color w:val="262626" w:themeColor="text1" w:themeTint="D9"/>
          <w:spacing w:val="-1"/>
          <w:w w:val="99"/>
          <w:sz w:val="14"/>
          <w:szCs w:val="14"/>
        </w:rPr>
      </w:pPr>
      <w:r w:rsidRPr="00190393">
        <w:rPr>
          <w:rFonts w:ascii="Century Gothic" w:hAnsi="Century Gothic" w:cs="AvenirNext-DemiBold"/>
          <w:b/>
          <w:bCs/>
          <w:caps/>
          <w:color w:val="262626" w:themeColor="text1" w:themeTint="D9"/>
          <w:spacing w:val="-1"/>
          <w:sz w:val="14"/>
          <w:szCs w:val="14"/>
        </w:rPr>
        <w:t>Brisbane</w:t>
      </w:r>
      <w:r w:rsidRPr="00190393">
        <w:rPr>
          <w:rFonts w:ascii="Century Gothic" w:hAnsi="Century Gothic" w:cs="AvenirNext-Regular"/>
          <w:color w:val="262626" w:themeColor="text1" w:themeTint="D9"/>
          <w:spacing w:val="-1"/>
          <w:sz w:val="14"/>
          <w:szCs w:val="14"/>
        </w:rPr>
        <w:t xml:space="preserve"> 202 Boundary Street, Spring Hill QLD 4004, PO Box 128, Spring Hill QLD 4004 Tel 07 3244 1777 Fax 07 3244 1799</w:t>
      </w:r>
      <w:r w:rsidRPr="00190393">
        <w:rPr>
          <w:rFonts w:ascii="Century Gothic" w:hAnsi="Century Gothic" w:cs="AvenirNext-Regular"/>
          <w:color w:val="262626" w:themeColor="text1" w:themeTint="D9"/>
          <w:spacing w:val="-1"/>
          <w:w w:val="99"/>
          <w:sz w:val="14"/>
          <w:szCs w:val="14"/>
        </w:rPr>
        <w:t xml:space="preserve"> </w:t>
      </w:r>
    </w:p>
    <w:p w14:paraId="7D201FF2" w14:textId="77777777" w:rsidR="00B12300" w:rsidRPr="00190393" w:rsidRDefault="00B12300" w:rsidP="00B12300">
      <w:pPr>
        <w:pStyle w:val="ceoaddressesceobodystyles"/>
        <w:ind w:firstLine="0"/>
        <w:rPr>
          <w:rFonts w:ascii="Century Gothic" w:hAnsi="Century Gothic" w:cs="AvenirNext-Regular"/>
          <w:color w:val="262626" w:themeColor="text1" w:themeTint="D9"/>
          <w:spacing w:val="-1"/>
          <w:sz w:val="14"/>
          <w:szCs w:val="14"/>
        </w:rPr>
      </w:pPr>
      <w:r w:rsidRPr="00190393">
        <w:rPr>
          <w:rFonts w:ascii="Century Gothic" w:hAnsi="Century Gothic" w:cs="AvenirNext-DemiBold"/>
          <w:b/>
          <w:bCs/>
          <w:caps/>
          <w:color w:val="262626" w:themeColor="text1" w:themeTint="D9"/>
          <w:spacing w:val="-1"/>
          <w:sz w:val="14"/>
          <w:szCs w:val="14"/>
        </w:rPr>
        <w:t>Adelaide</w:t>
      </w:r>
      <w:r w:rsidRPr="00190393">
        <w:rPr>
          <w:rFonts w:ascii="Century Gothic" w:hAnsi="Century Gothic" w:cs="AvenirNext-Regular"/>
          <w:color w:val="262626" w:themeColor="text1" w:themeTint="D9"/>
          <w:spacing w:val="-1"/>
          <w:sz w:val="14"/>
          <w:szCs w:val="14"/>
        </w:rPr>
        <w:t xml:space="preserve"> 45 Greenhill Road, Wayville SA 5034 Tel 08 08 8394 0000 Fax 08 08 8394 0099 </w:t>
      </w:r>
    </w:p>
    <w:p w14:paraId="547670B6" w14:textId="77777777" w:rsidR="00B12300" w:rsidRPr="00190393" w:rsidRDefault="00B12300" w:rsidP="00B12300">
      <w:pPr>
        <w:pStyle w:val="ceoaddressesceobodystyles"/>
        <w:spacing w:before="57"/>
        <w:ind w:firstLine="0"/>
        <w:rPr>
          <w:rFonts w:ascii="Century Gothic" w:hAnsi="Century Gothic" w:cs="AvenirNext-DemiBold"/>
          <w:b/>
          <w:bCs/>
          <w:caps/>
          <w:color w:val="660066"/>
          <w:spacing w:val="-1"/>
          <w:sz w:val="14"/>
          <w:szCs w:val="14"/>
        </w:rPr>
      </w:pPr>
      <w:r w:rsidRPr="00190393">
        <w:rPr>
          <w:rFonts w:ascii="Century Gothic" w:hAnsi="Century Gothic" w:cs="AvenirNext-Bold"/>
          <w:b/>
          <w:bCs/>
          <w:caps/>
          <w:color w:val="660066"/>
          <w:spacing w:val="3"/>
          <w:sz w:val="14"/>
          <w:szCs w:val="14"/>
        </w:rPr>
        <w:t>Regional OfficeS</w:t>
      </w:r>
    </w:p>
    <w:p w14:paraId="5ECEE23D" w14:textId="77777777" w:rsidR="00B12300" w:rsidRPr="00190393" w:rsidRDefault="00B12300" w:rsidP="00B12300">
      <w:pPr>
        <w:pStyle w:val="ceoaddressesceobodystyles"/>
        <w:ind w:firstLine="0"/>
        <w:rPr>
          <w:rFonts w:ascii="Century Gothic" w:hAnsi="Century Gothic" w:cs="AvenirNext-Regular"/>
          <w:color w:val="262626" w:themeColor="text1" w:themeTint="D9"/>
          <w:spacing w:val="-1"/>
          <w:sz w:val="14"/>
          <w:szCs w:val="14"/>
        </w:rPr>
      </w:pPr>
      <w:r w:rsidRPr="00190393">
        <w:rPr>
          <w:rFonts w:ascii="Century Gothic" w:hAnsi="Century Gothic" w:cs="AvenirNext-DemiBold"/>
          <w:b/>
          <w:bCs/>
          <w:caps/>
          <w:color w:val="262626" w:themeColor="text1" w:themeTint="D9"/>
          <w:spacing w:val="-1"/>
          <w:sz w:val="14"/>
          <w:szCs w:val="14"/>
        </w:rPr>
        <w:t>Albury/Wodonga</w:t>
      </w:r>
      <w:r w:rsidRPr="00190393">
        <w:rPr>
          <w:rFonts w:ascii="Century Gothic" w:hAnsi="Century Gothic" w:cs="AvenirNext-Regular"/>
          <w:color w:val="262626" w:themeColor="text1" w:themeTint="D9"/>
          <w:spacing w:val="-1"/>
          <w:sz w:val="14"/>
          <w:szCs w:val="14"/>
        </w:rPr>
        <w:t xml:space="preserve"> 560 David Street Albury NSW 2640 Tel 02 6041 0600 Fax 02 6021 5117 </w:t>
      </w:r>
    </w:p>
    <w:p w14:paraId="41CA1C1F" w14:textId="77777777" w:rsidR="00B12300" w:rsidRPr="00190393" w:rsidRDefault="00B12300" w:rsidP="00B12300">
      <w:pPr>
        <w:pStyle w:val="ceoaddressesceobodystyles"/>
        <w:ind w:firstLine="0"/>
        <w:rPr>
          <w:rFonts w:ascii="Century Gothic" w:hAnsi="Century Gothic" w:cs="AvenirNext-Regular"/>
          <w:color w:val="262626" w:themeColor="text1" w:themeTint="D9"/>
          <w:spacing w:val="-1"/>
          <w:sz w:val="14"/>
          <w:szCs w:val="14"/>
        </w:rPr>
      </w:pPr>
      <w:r w:rsidRPr="00190393">
        <w:rPr>
          <w:rFonts w:ascii="Century Gothic" w:hAnsi="Century Gothic" w:cs="AvenirNext-DemiBold"/>
          <w:b/>
          <w:bCs/>
          <w:caps/>
          <w:color w:val="262626" w:themeColor="text1" w:themeTint="D9"/>
          <w:spacing w:val="-1"/>
          <w:sz w:val="14"/>
          <w:szCs w:val="14"/>
        </w:rPr>
        <w:t>Ballarat</w:t>
      </w:r>
      <w:r w:rsidRPr="00190393">
        <w:rPr>
          <w:rFonts w:ascii="Century Gothic" w:hAnsi="Century Gothic" w:cs="AvenirNext-Regular"/>
          <w:color w:val="262626" w:themeColor="text1" w:themeTint="D9"/>
          <w:spacing w:val="-1"/>
          <w:sz w:val="14"/>
          <w:szCs w:val="14"/>
        </w:rPr>
        <w:t xml:space="preserve"> Suite 8, 106-110 Lydiard St South, Ballarat VIC 3350, PO Box 640, Ballarat VIC 3350 Tel 03 5331 7688 Fax 03 5332 3858 </w:t>
      </w:r>
      <w:r w:rsidRPr="00190393">
        <w:rPr>
          <w:rFonts w:ascii="Century Gothic" w:hAnsi="Century Gothic" w:cs="AvenirNext-Regular"/>
          <w:color w:val="262626" w:themeColor="text1" w:themeTint="D9"/>
          <w:spacing w:val="-1"/>
          <w:sz w:val="14"/>
          <w:szCs w:val="14"/>
        </w:rPr>
        <w:br/>
      </w:r>
      <w:r w:rsidRPr="00190393">
        <w:rPr>
          <w:rFonts w:ascii="Century Gothic" w:hAnsi="Century Gothic" w:cs="AvenirNext-DemiBold"/>
          <w:b/>
          <w:bCs/>
          <w:caps/>
          <w:color w:val="262626" w:themeColor="text1" w:themeTint="D9"/>
          <w:spacing w:val="-1"/>
          <w:sz w:val="14"/>
          <w:szCs w:val="14"/>
        </w:rPr>
        <w:t>Bendigo</w:t>
      </w:r>
      <w:r w:rsidRPr="00190393">
        <w:rPr>
          <w:rFonts w:ascii="Century Gothic" w:hAnsi="Century Gothic" w:cs="AvenirNext-Regular"/>
          <w:color w:val="262626" w:themeColor="text1" w:themeTint="D9"/>
          <w:spacing w:val="-1"/>
          <w:sz w:val="14"/>
          <w:szCs w:val="14"/>
        </w:rPr>
        <w:t xml:space="preserve"> 87 Wills Street, Bendigo VIC 3550 Tel 03 5440 3900 Fax 03 5444 5940 </w:t>
      </w:r>
    </w:p>
    <w:p w14:paraId="01A5A290" w14:textId="77777777" w:rsidR="00B12300" w:rsidRPr="00190393" w:rsidRDefault="00B12300" w:rsidP="00B12300">
      <w:pPr>
        <w:pStyle w:val="ceoaddressesceobodystyles"/>
        <w:ind w:firstLine="0"/>
        <w:rPr>
          <w:rFonts w:ascii="Century Gothic" w:hAnsi="Century Gothic" w:cs="AvenirNext-Regular"/>
          <w:color w:val="262626" w:themeColor="text1" w:themeTint="D9"/>
          <w:spacing w:val="-1"/>
          <w:sz w:val="14"/>
          <w:szCs w:val="14"/>
        </w:rPr>
      </w:pPr>
      <w:r w:rsidRPr="00190393">
        <w:rPr>
          <w:rFonts w:ascii="Century Gothic" w:hAnsi="Century Gothic" w:cs="AvenirNext-DemiBold"/>
          <w:b/>
          <w:bCs/>
          <w:caps/>
          <w:color w:val="262626" w:themeColor="text1" w:themeTint="D9"/>
          <w:spacing w:val="-1"/>
          <w:sz w:val="14"/>
          <w:szCs w:val="14"/>
        </w:rPr>
        <w:t>Newcastle</w:t>
      </w:r>
      <w:r w:rsidRPr="00190393">
        <w:rPr>
          <w:rFonts w:ascii="Century Gothic" w:hAnsi="Century Gothic" w:cs="AvenirNext-Regular"/>
          <w:color w:val="262626" w:themeColor="text1" w:themeTint="D9"/>
          <w:spacing w:val="-1"/>
          <w:sz w:val="14"/>
          <w:szCs w:val="14"/>
        </w:rPr>
        <w:t xml:space="preserve"> Suite 1 “</w:t>
      </w:r>
      <w:proofErr w:type="spellStart"/>
      <w:r w:rsidRPr="00190393">
        <w:rPr>
          <w:rFonts w:ascii="Century Gothic" w:hAnsi="Century Gothic" w:cs="AvenirNext-Regular"/>
          <w:color w:val="262626" w:themeColor="text1" w:themeTint="D9"/>
          <w:spacing w:val="-1"/>
          <w:sz w:val="14"/>
          <w:szCs w:val="14"/>
        </w:rPr>
        <w:t>Nautilos</w:t>
      </w:r>
      <w:proofErr w:type="spellEnd"/>
      <w:r w:rsidRPr="00190393">
        <w:rPr>
          <w:rFonts w:ascii="Century Gothic" w:hAnsi="Century Gothic" w:cs="AvenirNext-Regular"/>
          <w:color w:val="262626" w:themeColor="text1" w:themeTint="D9"/>
          <w:spacing w:val="-1"/>
          <w:sz w:val="14"/>
          <w:szCs w:val="14"/>
        </w:rPr>
        <w:t xml:space="preserve">”, 265 Wharf Road, Newcastle 2300, PO Box 811, Newcastle NSW 2300 Tel: 02 4925 8300 Fax: 02 4929 3429 </w:t>
      </w:r>
    </w:p>
    <w:p w14:paraId="4A5A24DC" w14:textId="77777777" w:rsidR="00B12300" w:rsidRPr="00190393" w:rsidRDefault="00B12300" w:rsidP="00B12300">
      <w:pPr>
        <w:pStyle w:val="ceoaddressesceobodystyles"/>
        <w:ind w:firstLine="0"/>
        <w:rPr>
          <w:rFonts w:ascii="Century Gothic" w:hAnsi="Century Gothic" w:cs="AvenirNext-Regular"/>
          <w:color w:val="262626" w:themeColor="text1" w:themeTint="D9"/>
          <w:spacing w:val="-1"/>
          <w:sz w:val="14"/>
          <w:szCs w:val="14"/>
        </w:rPr>
      </w:pPr>
      <w:r w:rsidRPr="00190393">
        <w:rPr>
          <w:rFonts w:ascii="Century Gothic" w:hAnsi="Century Gothic" w:cs="AvenirNext-DemiBold"/>
          <w:b/>
          <w:bCs/>
          <w:caps/>
          <w:color w:val="262626" w:themeColor="text1" w:themeTint="D9"/>
          <w:spacing w:val="-1"/>
          <w:sz w:val="14"/>
          <w:szCs w:val="14"/>
        </w:rPr>
        <w:t>Wollongong</w:t>
      </w:r>
      <w:r w:rsidRPr="00190393">
        <w:rPr>
          <w:rFonts w:ascii="Century Gothic" w:hAnsi="Century Gothic" w:cs="AvenirNext-Regular"/>
          <w:color w:val="262626" w:themeColor="text1" w:themeTint="D9"/>
          <w:spacing w:val="-1"/>
          <w:sz w:val="14"/>
          <w:szCs w:val="14"/>
        </w:rPr>
        <w:t xml:space="preserve"> Level 1, 166 Keira Street, Wollongong NSW 2500, PO Box 891, Wollongong East NSW 2520 Tel 02 4254 2500 Fax 02 4228 1898 </w:t>
      </w:r>
    </w:p>
    <w:p w14:paraId="7F44EEC0" w14:textId="77777777" w:rsidR="00B12300" w:rsidRPr="00190393" w:rsidRDefault="00B12300" w:rsidP="00B12300">
      <w:pPr>
        <w:pStyle w:val="ceoaddressesceobodystyles"/>
        <w:ind w:firstLine="0"/>
        <w:rPr>
          <w:rFonts w:ascii="Century Gothic" w:hAnsi="Century Gothic" w:cs="AvenirNext-Regular"/>
          <w:color w:val="262626" w:themeColor="text1" w:themeTint="D9"/>
          <w:spacing w:val="-1"/>
          <w:sz w:val="15"/>
          <w:szCs w:val="15"/>
        </w:rPr>
      </w:pPr>
      <w:r w:rsidRPr="00190393">
        <w:rPr>
          <w:rFonts w:ascii="Century Gothic" w:hAnsi="Century Gothic" w:cs="AvenirNext-DemiBold"/>
          <w:b/>
          <w:bCs/>
          <w:caps/>
          <w:color w:val="262626" w:themeColor="text1" w:themeTint="D9"/>
          <w:spacing w:val="-1"/>
          <w:sz w:val="14"/>
          <w:szCs w:val="14"/>
        </w:rPr>
        <w:t>AffiliatE: Perth</w:t>
      </w:r>
      <w:r w:rsidRPr="00190393">
        <w:rPr>
          <w:rFonts w:ascii="Century Gothic" w:hAnsi="Century Gothic" w:cs="AvenirNext-Regular"/>
          <w:color w:val="262626" w:themeColor="text1" w:themeTint="D9"/>
          <w:spacing w:val="-1"/>
          <w:sz w:val="14"/>
          <w:szCs w:val="14"/>
        </w:rPr>
        <w:t xml:space="preserve"> Chamber of Commerce &amp; Industry Western Australia </w:t>
      </w:r>
      <w:r w:rsidRPr="00190393">
        <w:rPr>
          <w:rFonts w:ascii="Century Gothic" w:hAnsi="Century Gothic" w:cs="AvenirNext-Regular"/>
          <w:color w:val="262626" w:themeColor="text1" w:themeTint="D9"/>
          <w:spacing w:val="-1"/>
          <w:sz w:val="14"/>
          <w:szCs w:val="14"/>
        </w:rPr>
        <w:br/>
        <w:t xml:space="preserve">180 Hay Street, East Perth WA 6004, PO Box 6209, East Perth WA 6892 Tel 08 9365 7555 Fax 08 9365 7550 </w:t>
      </w:r>
    </w:p>
    <w:p w14:paraId="12883776" w14:textId="77777777" w:rsidR="00B12300" w:rsidRPr="00834D2D" w:rsidRDefault="00B12300" w:rsidP="00B12300">
      <w:pPr>
        <w:pStyle w:val="BasicParagraph"/>
        <w:spacing w:before="120" w:after="11"/>
        <w:rPr>
          <w:rFonts w:ascii="Century Gothic" w:hAnsi="Century Gothic" w:cs="AvenirNext-Regular"/>
          <w:color w:val="660066"/>
          <w:sz w:val="20"/>
          <w:szCs w:val="20"/>
          <w:lang w:val="en-AU"/>
          <w14:textOutline w14:w="9525" w14:cap="flat" w14:cmpd="sng" w14:algn="ctr">
            <w14:solidFill>
              <w14:srgbClr w14:val="000000"/>
            </w14:solidFill>
            <w14:prstDash w14:val="solid"/>
            <w14:round/>
          </w14:textOutline>
        </w:rPr>
      </w:pPr>
      <w:proofErr w:type="spellStart"/>
      <w:r w:rsidRPr="00190393">
        <w:rPr>
          <w:rFonts w:ascii="Century Gothic" w:hAnsi="Century Gothic" w:cs="AvenirNext-Regular"/>
          <w:color w:val="660066"/>
          <w:sz w:val="20"/>
          <w:szCs w:val="20"/>
          <w:lang w:val="en-AU"/>
          <w14:textOutline w14:w="9525" w14:cap="flat" w14:cmpd="sng" w14:algn="ctr">
            <w14:solidFill>
              <w14:srgbClr w14:val="000000"/>
            </w14:solidFill>
            <w14:prstDash w14:val="solid"/>
            <w14:round/>
          </w14:textOutline>
        </w:rPr>
        <w:t>www.aigroup.com.au</w:t>
      </w:r>
      <w:proofErr w:type="spellEnd"/>
    </w:p>
    <w:p w14:paraId="0EC45926" w14:textId="77777777" w:rsidR="00B12300" w:rsidRDefault="00B12300" w:rsidP="00B12300">
      <w:pPr>
        <w:rPr>
          <w:rFonts w:asciiTheme="minorHAnsi" w:hAnsiTheme="minorHAnsi" w:cs="Arial"/>
          <w:lang w:val="en-AU"/>
        </w:rPr>
      </w:pPr>
    </w:p>
    <w:p w14:paraId="1D9CD1E3" w14:textId="77777777" w:rsidR="00B12300" w:rsidRDefault="00B12300" w:rsidP="00B12300">
      <w:pPr>
        <w:rPr>
          <w:rFonts w:asciiTheme="minorHAnsi" w:hAnsiTheme="minorHAnsi" w:cs="Arial"/>
          <w:lang w:val="en-AU"/>
        </w:rPr>
      </w:pPr>
    </w:p>
    <w:p w14:paraId="3E30F009" w14:textId="41E18467" w:rsidR="002540AA" w:rsidRPr="00EC20BD" w:rsidRDefault="002540AA" w:rsidP="00B12300">
      <w:pPr>
        <w:rPr>
          <w:rFonts w:asciiTheme="minorHAnsi" w:hAnsiTheme="minorHAnsi" w:cs="AvenirNext-Regular"/>
          <w:color w:val="660066"/>
          <w:sz w:val="20"/>
          <w:szCs w:val="20"/>
          <w14:textOutline w14:w="9525" w14:cap="flat" w14:cmpd="sng" w14:algn="ctr">
            <w14:solidFill>
              <w14:srgbClr w14:val="000000"/>
            </w14:solidFill>
            <w14:prstDash w14:val="solid"/>
            <w14:round/>
          </w14:textOutline>
        </w:rPr>
      </w:pPr>
    </w:p>
    <w:sectPr w:rsidR="002540AA" w:rsidRPr="00EC20BD" w:rsidSect="00192A31">
      <w:headerReference w:type="even" r:id="rId30"/>
      <w:headerReference w:type="default" r:id="rId31"/>
      <w:footerReference w:type="even" r:id="rId32"/>
      <w:footerReference w:type="default" r:id="rId33"/>
      <w:headerReference w:type="first" r:id="rId34"/>
      <w:footerReference w:type="first" r:id="rId35"/>
      <w:pgSz w:w="11900" w:h="16840"/>
      <w:pgMar w:top="1134" w:right="1134" w:bottom="1134" w:left="1134" w:header="568"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BF085B" w14:textId="77777777" w:rsidR="008F793F" w:rsidRDefault="008F793F" w:rsidP="00D979F2">
      <w:r>
        <w:separator/>
      </w:r>
    </w:p>
  </w:endnote>
  <w:endnote w:type="continuationSeparator" w:id="0">
    <w:p w14:paraId="46FBD324" w14:textId="77777777" w:rsidR="008F793F" w:rsidRDefault="008F793F" w:rsidP="00D97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eciliaCom-55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vant Garde">
    <w:altName w:val="Century Gothic"/>
    <w:charset w:val="00"/>
    <w:family w:val="auto"/>
    <w:pitch w:val="variable"/>
    <w:sig w:usb0="00000003" w:usb1="00000000" w:usb2="00000000" w:usb3="00000000" w:csb0="00000001" w:csb1="00000000"/>
  </w:font>
  <w:font w:name="AvenirNext-Bold">
    <w:altName w:val="Avenir Next Regular"/>
    <w:panose1 w:val="00000000000000000000"/>
    <w:charset w:val="4D"/>
    <w:family w:val="auto"/>
    <w:notTrueType/>
    <w:pitch w:val="default"/>
    <w:sig w:usb0="00000003" w:usb1="00000000" w:usb2="00000000" w:usb3="00000000" w:csb0="00000001" w:csb1="00000000"/>
  </w:font>
  <w:font w:name="AvenirNext-DemiBold">
    <w:altName w:val="Avenir Next Demi Bold"/>
    <w:panose1 w:val="00000000000000000000"/>
    <w:charset w:val="4D"/>
    <w:family w:val="auto"/>
    <w:notTrueType/>
    <w:pitch w:val="default"/>
    <w:sig w:usb0="00000003" w:usb1="00000000" w:usb2="00000000" w:usb3="00000000" w:csb0="00000001" w:csb1="00000000"/>
  </w:font>
  <w:font w:name="AvenirNext-Regular">
    <w:altName w:val="Avenir Next Regular"/>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6CE8D" w14:textId="77777777" w:rsidR="008F793F" w:rsidRDefault="008F793F" w:rsidP="00D979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EA8A4" w14:textId="77777777" w:rsidR="008F793F" w:rsidRDefault="008F793F" w:rsidP="00D979F2">
    <w:pPr>
      <w:pStyle w:val="Footer"/>
      <w:jc w:val="right"/>
    </w:pPr>
    <w:r>
      <w:rPr>
        <w:rFonts w:ascii="Calibri" w:eastAsia="Calibri" w:hAnsi="Calibri" w:cs="Calibri"/>
      </w:rPr>
      <w:fldChar w:fldCharType="begin"/>
    </w:r>
    <w:r>
      <w:rPr>
        <w:rFonts w:ascii="Calibri" w:eastAsia="Calibri" w:hAnsi="Calibri" w:cs="Calibri"/>
      </w:rPr>
      <w:instrText xml:space="preserve"> PAGE </w:instrText>
    </w:r>
    <w:r>
      <w:rPr>
        <w:rFonts w:ascii="Calibri" w:eastAsia="Calibri" w:hAnsi="Calibri" w:cs="Calibri"/>
      </w:rPr>
      <w:fldChar w:fldCharType="separate"/>
    </w:r>
    <w:r w:rsidR="00D50540">
      <w:rPr>
        <w:rFonts w:ascii="Calibri" w:eastAsia="Calibri" w:hAnsi="Calibri" w:cs="Calibri"/>
        <w:noProof/>
      </w:rPr>
      <w:t>75</w:t>
    </w:r>
    <w:r>
      <w:rPr>
        <w:rFonts w:ascii="Calibri" w:eastAsia="Calibri" w:hAnsi="Calibri" w:cs="Calibri"/>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58E00" w14:textId="77777777" w:rsidR="008F793F" w:rsidRDefault="008F793F" w:rsidP="00D979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AE36F0" w14:textId="77777777" w:rsidR="008F793F" w:rsidRDefault="008F793F" w:rsidP="00D979F2">
      <w:r>
        <w:separator/>
      </w:r>
    </w:p>
  </w:footnote>
  <w:footnote w:type="continuationSeparator" w:id="0">
    <w:p w14:paraId="68903B8F" w14:textId="77777777" w:rsidR="008F793F" w:rsidRDefault="008F793F" w:rsidP="00D979F2">
      <w:r>
        <w:continuationSeparator/>
      </w:r>
    </w:p>
  </w:footnote>
  <w:footnote w:type="continuationNotice" w:id="1">
    <w:p w14:paraId="2A4ECE84" w14:textId="77777777" w:rsidR="008F793F" w:rsidRDefault="008F793F" w:rsidP="00D979F2"/>
  </w:footnote>
  <w:footnote w:id="2">
    <w:p w14:paraId="1FF01B2C" w14:textId="77777777" w:rsidR="008F793F" w:rsidRPr="0024172E" w:rsidRDefault="008F793F" w:rsidP="00701439">
      <w:pPr>
        <w:pStyle w:val="FootnoteText"/>
        <w:rPr>
          <w:rFonts w:asciiTheme="minorHAnsi" w:hAnsiTheme="minorHAnsi"/>
          <w:lang w:val="en-AU"/>
        </w:rPr>
      </w:pPr>
      <w:r w:rsidRPr="0024172E">
        <w:rPr>
          <w:rStyle w:val="FootnoteReference"/>
          <w:rFonts w:asciiTheme="minorHAnsi" w:hAnsiTheme="minorHAnsi"/>
        </w:rPr>
        <w:footnoteRef/>
      </w:r>
      <w:r w:rsidRPr="0024172E">
        <w:rPr>
          <w:rFonts w:asciiTheme="minorHAnsi" w:hAnsiTheme="minorHAnsi"/>
        </w:rPr>
        <w:t xml:space="preserve"> </w:t>
      </w:r>
      <w:r w:rsidRPr="0024172E">
        <w:rPr>
          <w:rFonts w:asciiTheme="minorHAnsi" w:hAnsiTheme="minorHAnsi"/>
          <w:lang w:val="en-AU"/>
        </w:rPr>
        <w:t>Draft Report, page 355.</w:t>
      </w:r>
    </w:p>
  </w:footnote>
  <w:footnote w:id="3">
    <w:p w14:paraId="594F222D" w14:textId="071EF10E" w:rsidR="008F793F" w:rsidRPr="004E6731" w:rsidRDefault="008F793F" w:rsidP="00701439">
      <w:pPr>
        <w:pStyle w:val="FootnoteText"/>
        <w:rPr>
          <w:rFonts w:asciiTheme="minorHAnsi" w:hAnsiTheme="minorHAnsi"/>
          <w:color w:val="auto"/>
          <w:lang w:val="en-AU"/>
        </w:rPr>
      </w:pPr>
      <w:r w:rsidRPr="004E6731">
        <w:rPr>
          <w:rStyle w:val="FootnoteReference"/>
          <w:rFonts w:asciiTheme="minorHAnsi" w:hAnsiTheme="minorHAnsi"/>
          <w:color w:val="auto"/>
        </w:rPr>
        <w:footnoteRef/>
      </w:r>
      <w:r w:rsidRPr="004E6731">
        <w:rPr>
          <w:rFonts w:asciiTheme="minorHAnsi" w:hAnsiTheme="minorHAnsi"/>
          <w:color w:val="auto"/>
        </w:rPr>
        <w:t xml:space="preserve"> </w:t>
      </w:r>
      <w:r w:rsidRPr="004E6731">
        <w:rPr>
          <w:rFonts w:asciiTheme="minorHAnsi" w:hAnsiTheme="minorHAnsi"/>
          <w:color w:val="auto"/>
          <w:lang w:val="en-AU"/>
        </w:rPr>
        <w:t>Australian Industry Group, Submission to the Fair Work Commission</w:t>
      </w:r>
      <w:r w:rsidRPr="004E6731">
        <w:rPr>
          <w:rFonts w:asciiTheme="minorHAnsi" w:hAnsiTheme="minorHAnsi"/>
          <w:color w:val="auto"/>
        </w:rPr>
        <w:t xml:space="preserve"> </w:t>
      </w:r>
      <w:r w:rsidRPr="004E6731">
        <w:rPr>
          <w:rFonts w:asciiTheme="minorHAnsi" w:hAnsiTheme="minorHAnsi"/>
          <w:color w:val="auto"/>
          <w:lang w:val="en-AU"/>
        </w:rPr>
        <w:t>in reply to 'common claims' before the Apprentices, Trainees and Juniors Full Bench in the Fair Work Commission, 28 February 2013.</w:t>
      </w:r>
    </w:p>
  </w:footnote>
  <w:footnote w:id="4">
    <w:p w14:paraId="4BDF0538" w14:textId="5ECF28D2" w:rsidR="008F793F" w:rsidRPr="008213C2" w:rsidRDefault="008F793F" w:rsidP="00701439">
      <w:pPr>
        <w:pStyle w:val="FootnoteText"/>
        <w:rPr>
          <w:rFonts w:asciiTheme="minorHAnsi" w:hAnsiTheme="minorHAnsi"/>
        </w:rPr>
      </w:pPr>
      <w:r w:rsidRPr="004E6731">
        <w:rPr>
          <w:rStyle w:val="FootnoteReference"/>
          <w:rFonts w:asciiTheme="minorHAnsi" w:hAnsiTheme="minorHAnsi"/>
          <w:color w:val="auto"/>
        </w:rPr>
        <w:footnoteRef/>
      </w:r>
      <w:r w:rsidRPr="004E6731">
        <w:rPr>
          <w:rFonts w:asciiTheme="minorHAnsi" w:hAnsiTheme="minorHAnsi"/>
          <w:color w:val="auto"/>
        </w:rPr>
        <w:t xml:space="preserve"> </w:t>
      </w:r>
      <w:proofErr w:type="spellStart"/>
      <w:r w:rsidRPr="004E6731">
        <w:rPr>
          <w:rFonts w:asciiTheme="minorHAnsi" w:hAnsiTheme="minorHAnsi"/>
          <w:color w:val="auto"/>
        </w:rPr>
        <w:t>NCVER</w:t>
      </w:r>
      <w:proofErr w:type="spellEnd"/>
      <w:r w:rsidRPr="004E6731">
        <w:rPr>
          <w:rFonts w:asciiTheme="minorHAnsi" w:hAnsiTheme="minorHAnsi"/>
          <w:color w:val="auto"/>
        </w:rPr>
        <w:t xml:space="preserve"> 2015, Australian vocational education and training statistics: apprentices and trainees 2014 — annual, </w:t>
      </w:r>
      <w:proofErr w:type="spellStart"/>
      <w:r w:rsidRPr="004E6731">
        <w:rPr>
          <w:rFonts w:asciiTheme="minorHAnsi" w:hAnsiTheme="minorHAnsi"/>
          <w:color w:val="auto"/>
        </w:rPr>
        <w:t>NCVER</w:t>
      </w:r>
      <w:proofErr w:type="spellEnd"/>
      <w:r w:rsidRPr="004E6731">
        <w:rPr>
          <w:rFonts w:asciiTheme="minorHAnsi" w:hAnsiTheme="minorHAnsi"/>
          <w:color w:val="auto"/>
        </w:rPr>
        <w:t>, Adelaide.</w:t>
      </w:r>
    </w:p>
  </w:footnote>
  <w:footnote w:id="5">
    <w:p w14:paraId="45D80C43" w14:textId="77777777" w:rsidR="008F793F" w:rsidRPr="00A916EF" w:rsidRDefault="008F793F" w:rsidP="00701439">
      <w:pPr>
        <w:pStyle w:val="FootnoteText"/>
        <w:rPr>
          <w:lang w:val="en-AU"/>
        </w:rPr>
      </w:pPr>
      <w:r w:rsidRPr="008213C2">
        <w:rPr>
          <w:rStyle w:val="FootnoteReference"/>
          <w:rFonts w:asciiTheme="minorHAnsi" w:hAnsiTheme="minorHAnsi"/>
        </w:rPr>
        <w:footnoteRef/>
      </w:r>
      <w:r w:rsidRPr="008213C2">
        <w:rPr>
          <w:rFonts w:asciiTheme="minorHAnsi" w:hAnsiTheme="minorHAnsi"/>
        </w:rPr>
        <w:t xml:space="preserve"> </w:t>
      </w:r>
      <w:r w:rsidRPr="008213C2">
        <w:rPr>
          <w:rFonts w:asciiTheme="minorHAnsi" w:hAnsiTheme="minorHAnsi"/>
          <w:lang w:val="en-AU"/>
        </w:rPr>
        <w:t>See Draft Report, Table 9.3.</w:t>
      </w:r>
    </w:p>
  </w:footnote>
  <w:footnote w:id="6">
    <w:p w14:paraId="253254F1" w14:textId="77777777" w:rsidR="008F793F" w:rsidRPr="000F4EBA" w:rsidRDefault="008F793F" w:rsidP="005B08E3">
      <w:pPr>
        <w:pStyle w:val="FootnoteText"/>
        <w:rPr>
          <w:rFonts w:asciiTheme="minorHAnsi" w:hAnsiTheme="minorHAnsi"/>
          <w:lang w:val="en-AU"/>
        </w:rPr>
      </w:pPr>
      <w:r w:rsidRPr="000F4EBA">
        <w:rPr>
          <w:rStyle w:val="FootnoteReference"/>
          <w:rFonts w:asciiTheme="minorHAnsi" w:hAnsiTheme="minorHAnsi"/>
        </w:rPr>
        <w:footnoteRef/>
      </w:r>
      <w:r w:rsidRPr="000F4EBA">
        <w:rPr>
          <w:rFonts w:asciiTheme="minorHAnsi" w:hAnsiTheme="minorHAnsi"/>
        </w:rPr>
        <w:t xml:space="preserve"> </w:t>
      </w:r>
      <w:r>
        <w:rPr>
          <w:rFonts w:asciiTheme="minorHAnsi" w:hAnsiTheme="minorHAnsi"/>
          <w:lang w:val="en-AU"/>
        </w:rPr>
        <w:t xml:space="preserve">See FW Act, </w:t>
      </w:r>
      <w:proofErr w:type="spellStart"/>
      <w:r>
        <w:rPr>
          <w:rFonts w:asciiTheme="minorHAnsi" w:hAnsiTheme="minorHAnsi"/>
          <w:lang w:val="en-AU"/>
        </w:rPr>
        <w:t>s.</w:t>
      </w:r>
      <w:r w:rsidRPr="000F4EBA">
        <w:rPr>
          <w:rFonts w:asciiTheme="minorHAnsi" w:hAnsiTheme="minorHAnsi"/>
          <w:lang w:val="en-AU"/>
        </w:rPr>
        <w:t>134</w:t>
      </w:r>
      <w:proofErr w:type="spellEnd"/>
      <w:r w:rsidRPr="000F4EBA">
        <w:rPr>
          <w:rFonts w:asciiTheme="minorHAnsi" w:hAnsiTheme="minorHAnsi"/>
          <w:lang w:val="en-AU"/>
        </w:rPr>
        <w:t>(1)(g).</w:t>
      </w:r>
    </w:p>
  </w:footnote>
  <w:footnote w:id="7">
    <w:p w14:paraId="295FCFD7" w14:textId="77777777" w:rsidR="008F793F" w:rsidRDefault="008F793F" w:rsidP="00B26342">
      <w:pPr>
        <w:pStyle w:val="FootnoteText"/>
        <w:rPr>
          <w:rFonts w:asciiTheme="minorHAnsi" w:hAnsiTheme="minorHAnsi"/>
          <w:lang w:val="en-AU"/>
        </w:rPr>
      </w:pPr>
      <w:r>
        <w:rPr>
          <w:rStyle w:val="FootnoteReference"/>
          <w:rFonts w:asciiTheme="minorHAnsi" w:hAnsiTheme="minorHAnsi"/>
        </w:rPr>
        <w:footnoteRef/>
      </w:r>
      <w:r>
        <w:rPr>
          <w:rFonts w:asciiTheme="minorHAnsi" w:hAnsiTheme="minorHAnsi"/>
        </w:rPr>
        <w:t xml:space="preserve"> </w:t>
      </w:r>
      <w:r>
        <w:rPr>
          <w:rFonts w:asciiTheme="minorHAnsi" w:hAnsiTheme="minorHAnsi"/>
          <w:i/>
          <w:lang w:val="en-AU"/>
        </w:rPr>
        <w:t>Working Hours Case 2002</w:t>
      </w:r>
      <w:r>
        <w:rPr>
          <w:rFonts w:asciiTheme="minorHAnsi" w:hAnsiTheme="minorHAnsi"/>
          <w:lang w:val="en-AU"/>
        </w:rPr>
        <w:t xml:space="preserve"> 114 </w:t>
      </w:r>
      <w:proofErr w:type="spellStart"/>
      <w:r>
        <w:rPr>
          <w:rFonts w:asciiTheme="minorHAnsi" w:hAnsiTheme="minorHAnsi"/>
          <w:lang w:val="en-AU"/>
        </w:rPr>
        <w:t>IR</w:t>
      </w:r>
      <w:proofErr w:type="spellEnd"/>
      <w:r>
        <w:rPr>
          <w:rFonts w:asciiTheme="minorHAnsi" w:hAnsiTheme="minorHAnsi"/>
          <w:lang w:val="en-AU"/>
        </w:rPr>
        <w:t xml:space="preserve"> 390</w:t>
      </w:r>
    </w:p>
  </w:footnote>
  <w:footnote w:id="8">
    <w:p w14:paraId="53171534" w14:textId="77777777" w:rsidR="008F793F" w:rsidRDefault="008F793F" w:rsidP="00581E95">
      <w:pPr>
        <w:pStyle w:val="FootnoteText"/>
        <w:rPr>
          <w:rFonts w:asciiTheme="minorHAnsi" w:hAnsiTheme="minorHAnsi" w:cs="Arial"/>
          <w:lang w:val="en-AU"/>
        </w:rPr>
      </w:pPr>
      <w:r>
        <w:rPr>
          <w:rStyle w:val="FootnoteReference"/>
          <w:rFonts w:asciiTheme="minorHAnsi" w:hAnsiTheme="minorHAnsi" w:cs="Arial"/>
        </w:rPr>
        <w:footnoteRef/>
      </w:r>
      <w:r>
        <w:rPr>
          <w:rFonts w:asciiTheme="minorHAnsi" w:hAnsiTheme="minorHAnsi" w:cs="Arial"/>
        </w:rPr>
        <w:t xml:space="preserve"> </w:t>
      </w:r>
      <w:r>
        <w:rPr>
          <w:rFonts w:asciiTheme="minorHAnsi" w:hAnsiTheme="minorHAnsi" w:cs="Arial"/>
          <w:lang w:val="en-AU"/>
        </w:rPr>
        <w:t>Recommendation 4(a)</w:t>
      </w:r>
    </w:p>
  </w:footnote>
  <w:footnote w:id="9">
    <w:p w14:paraId="37954AAD" w14:textId="77777777" w:rsidR="008F793F" w:rsidRDefault="008F793F" w:rsidP="00581E95">
      <w:pPr>
        <w:pStyle w:val="FootnoteText"/>
        <w:rPr>
          <w:rFonts w:asciiTheme="minorHAnsi" w:hAnsiTheme="minorHAnsi" w:cstheme="minorHAnsi"/>
        </w:rPr>
      </w:pPr>
      <w:r>
        <w:rPr>
          <w:rStyle w:val="FootnoteReference"/>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i/>
          <w:iCs/>
        </w:rPr>
        <w:t xml:space="preserve">Electrolux Home Products Pty Ltd v The Australian Workers Union and </w:t>
      </w:r>
      <w:proofErr w:type="spellStart"/>
      <w:r>
        <w:rPr>
          <w:rFonts w:asciiTheme="minorHAnsi" w:hAnsiTheme="minorHAnsi" w:cstheme="minorHAnsi"/>
          <w:i/>
          <w:iCs/>
        </w:rPr>
        <w:t>Ors</w:t>
      </w:r>
      <w:proofErr w:type="spellEnd"/>
      <w:r>
        <w:rPr>
          <w:rFonts w:asciiTheme="minorHAnsi" w:hAnsiTheme="minorHAnsi" w:cstheme="minorHAnsi"/>
        </w:rPr>
        <w:t xml:space="preserve"> [2004] HCA 40. Electrolux is a member of Ai Group and we funded the employer’s costs in this case given the importance of the case for all employers.</w:t>
      </w:r>
    </w:p>
  </w:footnote>
  <w:footnote w:id="10">
    <w:p w14:paraId="4FB1250B" w14:textId="77777777" w:rsidR="008F793F" w:rsidRDefault="008F793F" w:rsidP="00D854A5">
      <w:pPr>
        <w:pStyle w:val="FootnoteText"/>
        <w:rPr>
          <w:rFonts w:asciiTheme="minorHAnsi" w:hAnsiTheme="minorHAnsi"/>
          <w:lang w:val="en-AU"/>
        </w:rPr>
      </w:pPr>
      <w:r>
        <w:rPr>
          <w:rStyle w:val="FootnoteReference"/>
          <w:rFonts w:asciiTheme="minorHAnsi" w:eastAsia="Calibri" w:hAnsiTheme="minorHAnsi"/>
        </w:rPr>
        <w:footnoteRef/>
      </w:r>
      <w:r>
        <w:rPr>
          <w:rFonts w:asciiTheme="minorHAnsi" w:hAnsiTheme="minorHAnsi"/>
        </w:rPr>
        <w:t xml:space="preserve"> </w:t>
      </w:r>
      <w:r>
        <w:rPr>
          <w:rFonts w:asciiTheme="minorHAnsi" w:hAnsiTheme="minorHAnsi"/>
          <w:lang w:val="en-AU"/>
        </w:rPr>
        <w:t>[2000] HCA 47</w:t>
      </w:r>
    </w:p>
  </w:footnote>
  <w:footnote w:id="11">
    <w:p w14:paraId="10CCDFE2" w14:textId="77777777" w:rsidR="008F793F" w:rsidRDefault="008F793F" w:rsidP="00292BC1">
      <w:pPr>
        <w:pStyle w:val="FootnoteText"/>
        <w:rPr>
          <w:rFonts w:asciiTheme="minorHAnsi" w:hAnsiTheme="minorHAnsi"/>
          <w:lang w:val="en-AU"/>
        </w:rPr>
      </w:pPr>
      <w:r>
        <w:rPr>
          <w:rStyle w:val="FootnoteReference"/>
          <w:rFonts w:asciiTheme="minorHAnsi" w:hAnsiTheme="minorHAnsi"/>
        </w:rPr>
        <w:footnoteRef/>
      </w:r>
      <w:r>
        <w:rPr>
          <w:rFonts w:asciiTheme="minorHAnsi" w:hAnsiTheme="minorHAnsi"/>
        </w:rPr>
        <w:t xml:space="preserve"> See </w:t>
      </w:r>
      <w:r>
        <w:rPr>
          <w:rFonts w:asciiTheme="minorHAnsi" w:hAnsiTheme="minorHAnsi" w:cs="Calibri"/>
          <w:i/>
        </w:rPr>
        <w:t>PP Consultants Pty Ltd v FSU</w:t>
      </w:r>
      <w:r>
        <w:rPr>
          <w:rFonts w:asciiTheme="minorHAnsi" w:hAnsiTheme="minorHAnsi" w:cs="Calibri"/>
        </w:rPr>
        <w:t xml:space="preserve"> [2000] HCA 59 and </w:t>
      </w:r>
      <w:r>
        <w:rPr>
          <w:rFonts w:asciiTheme="minorHAnsi" w:hAnsiTheme="minorHAnsi" w:cs="Calibri"/>
          <w:i/>
          <w:iCs/>
        </w:rPr>
        <w:t xml:space="preserve">Stellar Call </w:t>
      </w:r>
      <w:proofErr w:type="spellStart"/>
      <w:r>
        <w:rPr>
          <w:rFonts w:asciiTheme="minorHAnsi" w:hAnsiTheme="minorHAnsi" w:cs="Calibri"/>
          <w:i/>
          <w:iCs/>
        </w:rPr>
        <w:t>Centres</w:t>
      </w:r>
      <w:proofErr w:type="spellEnd"/>
      <w:r>
        <w:rPr>
          <w:rFonts w:asciiTheme="minorHAnsi" w:hAnsiTheme="minorHAnsi" w:cs="Calibri"/>
          <w:i/>
          <w:iCs/>
        </w:rPr>
        <w:t xml:space="preserve"> v </w:t>
      </w:r>
      <w:proofErr w:type="spellStart"/>
      <w:r>
        <w:rPr>
          <w:rFonts w:asciiTheme="minorHAnsi" w:hAnsiTheme="minorHAnsi" w:cs="Calibri"/>
          <w:i/>
          <w:iCs/>
        </w:rPr>
        <w:t>CPSU</w:t>
      </w:r>
      <w:proofErr w:type="spellEnd"/>
      <w:r>
        <w:rPr>
          <w:rFonts w:asciiTheme="minorHAnsi" w:hAnsiTheme="minorHAnsi" w:cs="Calibri"/>
          <w:iCs/>
        </w:rPr>
        <w:t xml:space="preserve"> [2001] 103 </w:t>
      </w:r>
      <w:proofErr w:type="spellStart"/>
      <w:r>
        <w:rPr>
          <w:rFonts w:asciiTheme="minorHAnsi" w:hAnsiTheme="minorHAnsi" w:cs="Calibri"/>
          <w:iCs/>
        </w:rPr>
        <w:t>IR</w:t>
      </w:r>
      <w:proofErr w:type="spellEnd"/>
      <w:r>
        <w:rPr>
          <w:rFonts w:asciiTheme="minorHAnsi" w:hAnsiTheme="minorHAnsi" w:cs="Calibri"/>
          <w:iCs/>
        </w:rPr>
        <w:t xml:space="preserve"> 220</w:t>
      </w:r>
      <w:r>
        <w:rPr>
          <w:rFonts w:asciiTheme="minorHAnsi" w:hAnsiTheme="minorHAnsi" w:cs="Calibri"/>
        </w:rPr>
        <w:t>. A summary of these cases can be found in section 9.1 of Ai Group’s March 2015 Submission.</w:t>
      </w:r>
    </w:p>
  </w:footnote>
  <w:footnote w:id="12">
    <w:p w14:paraId="3A6EA64A" w14:textId="4ADB00BC" w:rsidR="008F793F" w:rsidRPr="001A0BBB" w:rsidRDefault="008F793F" w:rsidP="008F0DDE">
      <w:pPr>
        <w:pStyle w:val="FootnoteText"/>
        <w:rPr>
          <w:rFonts w:asciiTheme="minorHAnsi" w:hAnsiTheme="minorHAnsi"/>
        </w:rPr>
      </w:pPr>
      <w:r w:rsidRPr="001A0BBB">
        <w:rPr>
          <w:rStyle w:val="FootnoteReference"/>
          <w:rFonts w:asciiTheme="minorHAnsi" w:hAnsiTheme="minorHAnsi"/>
        </w:rPr>
        <w:footnoteRef/>
      </w:r>
      <w:r w:rsidRPr="001A0BBB">
        <w:rPr>
          <w:rFonts w:asciiTheme="minorHAnsi" w:hAnsiTheme="minorHAnsi"/>
        </w:rPr>
        <w:t xml:space="preserve"> See </w:t>
      </w:r>
      <w:r>
        <w:rPr>
          <w:rFonts w:asciiTheme="minorHAnsi" w:hAnsiTheme="minorHAnsi"/>
        </w:rPr>
        <w:t xml:space="preserve">Harper Review </w:t>
      </w:r>
      <w:r w:rsidRPr="001A0BBB">
        <w:rPr>
          <w:rFonts w:asciiTheme="minorHAnsi" w:hAnsiTheme="minorHAnsi"/>
        </w:rPr>
        <w:t>Report at pages 68, 387 and 392.</w:t>
      </w:r>
    </w:p>
  </w:footnote>
  <w:footnote w:id="13">
    <w:p w14:paraId="41EE3B93" w14:textId="2161E183" w:rsidR="008F793F" w:rsidRDefault="008F793F" w:rsidP="008F0DDE">
      <w:pPr>
        <w:pStyle w:val="FootnoteText"/>
      </w:pPr>
      <w:r w:rsidRPr="001A0BBB">
        <w:rPr>
          <w:rStyle w:val="FootnoteReference"/>
          <w:rFonts w:asciiTheme="minorHAnsi" w:hAnsiTheme="minorHAnsi"/>
        </w:rPr>
        <w:footnoteRef/>
      </w:r>
      <w:r w:rsidRPr="001A0BBB">
        <w:rPr>
          <w:rFonts w:asciiTheme="minorHAnsi" w:hAnsiTheme="minorHAnsi"/>
        </w:rPr>
        <w:t xml:space="preserve"> See </w:t>
      </w:r>
      <w:r>
        <w:rPr>
          <w:rFonts w:asciiTheme="minorHAnsi" w:hAnsiTheme="minorHAnsi"/>
        </w:rPr>
        <w:t xml:space="preserve">Harper Review </w:t>
      </w:r>
      <w:r w:rsidRPr="001A0BBB">
        <w:rPr>
          <w:rFonts w:asciiTheme="minorHAnsi" w:hAnsiTheme="minorHAnsi"/>
        </w:rPr>
        <w:t>Report at pages 68, 391 and 392.</w:t>
      </w:r>
    </w:p>
  </w:footnote>
  <w:footnote w:id="14">
    <w:p w14:paraId="6B70564F" w14:textId="1A998565" w:rsidR="008F793F" w:rsidRPr="001A0BBB" w:rsidRDefault="008F793F" w:rsidP="008F0DDE">
      <w:pPr>
        <w:pStyle w:val="FootnoteText"/>
        <w:rPr>
          <w:rFonts w:asciiTheme="minorHAnsi" w:hAnsiTheme="minorHAnsi"/>
        </w:rPr>
      </w:pPr>
      <w:r w:rsidRPr="001A0BBB">
        <w:rPr>
          <w:rStyle w:val="FootnoteReference"/>
          <w:rFonts w:asciiTheme="minorHAnsi" w:hAnsiTheme="minorHAnsi"/>
        </w:rPr>
        <w:footnoteRef/>
      </w:r>
      <w:r w:rsidRPr="001A0BBB">
        <w:rPr>
          <w:rFonts w:asciiTheme="minorHAnsi" w:hAnsiTheme="minorHAnsi"/>
        </w:rPr>
        <w:t xml:space="preserve"> See </w:t>
      </w:r>
      <w:r>
        <w:rPr>
          <w:rFonts w:asciiTheme="minorHAnsi" w:hAnsiTheme="minorHAnsi"/>
        </w:rPr>
        <w:t xml:space="preserve">Harper Review </w:t>
      </w:r>
      <w:r w:rsidRPr="001A0BBB">
        <w:rPr>
          <w:rFonts w:asciiTheme="minorHAnsi" w:hAnsiTheme="minorHAnsi"/>
        </w:rPr>
        <w:t xml:space="preserve">Report at page 68. Also see Report at page 391. </w:t>
      </w:r>
    </w:p>
  </w:footnote>
  <w:footnote w:id="15">
    <w:p w14:paraId="4FAC01B8" w14:textId="0A60D1CA" w:rsidR="008F793F" w:rsidRPr="001A0BBB" w:rsidRDefault="008F793F" w:rsidP="008F0DDE">
      <w:pPr>
        <w:pStyle w:val="FootnoteText"/>
        <w:rPr>
          <w:rFonts w:asciiTheme="minorHAnsi" w:hAnsiTheme="minorHAnsi"/>
        </w:rPr>
      </w:pPr>
      <w:r w:rsidRPr="001A0BBB">
        <w:rPr>
          <w:rStyle w:val="FootnoteReference"/>
          <w:rFonts w:asciiTheme="minorHAnsi" w:hAnsiTheme="minorHAnsi"/>
        </w:rPr>
        <w:footnoteRef/>
      </w:r>
      <w:r w:rsidRPr="001A0BBB">
        <w:rPr>
          <w:rFonts w:asciiTheme="minorHAnsi" w:hAnsiTheme="minorHAnsi"/>
        </w:rPr>
        <w:t xml:space="preserve"> See </w:t>
      </w:r>
      <w:r>
        <w:rPr>
          <w:rFonts w:asciiTheme="minorHAnsi" w:hAnsiTheme="minorHAnsi"/>
        </w:rPr>
        <w:t xml:space="preserve">Harper Review </w:t>
      </w:r>
      <w:r w:rsidRPr="001A0BBB">
        <w:rPr>
          <w:rFonts w:asciiTheme="minorHAnsi" w:hAnsiTheme="minorHAnsi"/>
        </w:rPr>
        <w:t xml:space="preserve">Report at page 391. </w:t>
      </w:r>
    </w:p>
  </w:footnote>
  <w:footnote w:id="16">
    <w:p w14:paraId="14CAD4C6" w14:textId="694721F7" w:rsidR="008F793F" w:rsidRPr="001A0BBB" w:rsidRDefault="008F793F" w:rsidP="008F0DDE">
      <w:pPr>
        <w:pStyle w:val="FootnoteText"/>
        <w:rPr>
          <w:rFonts w:asciiTheme="minorHAnsi" w:hAnsiTheme="minorHAnsi"/>
        </w:rPr>
      </w:pPr>
      <w:r w:rsidRPr="001A0BBB">
        <w:rPr>
          <w:rStyle w:val="FootnoteReference"/>
          <w:rFonts w:asciiTheme="minorHAnsi" w:hAnsiTheme="minorHAnsi"/>
        </w:rPr>
        <w:footnoteRef/>
      </w:r>
      <w:r w:rsidRPr="001A0BBB">
        <w:rPr>
          <w:rFonts w:asciiTheme="minorHAnsi" w:hAnsiTheme="minorHAnsi"/>
        </w:rPr>
        <w:t xml:space="preserve"> See </w:t>
      </w:r>
      <w:r>
        <w:rPr>
          <w:rFonts w:asciiTheme="minorHAnsi" w:hAnsiTheme="minorHAnsi"/>
        </w:rPr>
        <w:t xml:space="preserve">Harper Review </w:t>
      </w:r>
      <w:r w:rsidRPr="001A0BBB">
        <w:rPr>
          <w:rFonts w:asciiTheme="minorHAnsi" w:hAnsiTheme="minorHAnsi"/>
        </w:rPr>
        <w:t>Report at pages 69, 395 and 396.</w:t>
      </w:r>
    </w:p>
  </w:footnote>
  <w:footnote w:id="17">
    <w:p w14:paraId="44517D1B" w14:textId="2EE7BD57" w:rsidR="008F793F" w:rsidRDefault="008F793F" w:rsidP="008F0DDE">
      <w:pPr>
        <w:pStyle w:val="FootnoteText"/>
      </w:pPr>
      <w:r w:rsidRPr="001A0BBB">
        <w:rPr>
          <w:rStyle w:val="FootnoteReference"/>
          <w:rFonts w:asciiTheme="minorHAnsi" w:hAnsiTheme="minorHAnsi"/>
        </w:rPr>
        <w:footnoteRef/>
      </w:r>
      <w:r w:rsidRPr="001A0BBB">
        <w:rPr>
          <w:rFonts w:asciiTheme="minorHAnsi" w:hAnsiTheme="minorHAnsi"/>
        </w:rPr>
        <w:t xml:space="preserve"> See </w:t>
      </w:r>
      <w:r>
        <w:rPr>
          <w:rFonts w:asciiTheme="minorHAnsi" w:hAnsiTheme="minorHAnsi"/>
        </w:rPr>
        <w:t xml:space="preserve">Harper Review </w:t>
      </w:r>
      <w:r w:rsidRPr="001A0BBB">
        <w:rPr>
          <w:rFonts w:asciiTheme="minorHAnsi" w:hAnsiTheme="minorHAnsi"/>
        </w:rPr>
        <w:t>Report at pages 69, 394 and 396.</w:t>
      </w:r>
    </w:p>
  </w:footnote>
  <w:footnote w:id="18">
    <w:p w14:paraId="05395219" w14:textId="37ED6C03" w:rsidR="008F793F" w:rsidRPr="001A0BBB" w:rsidRDefault="008F793F" w:rsidP="008F0DDE">
      <w:pPr>
        <w:pStyle w:val="FootnoteText"/>
        <w:rPr>
          <w:rFonts w:asciiTheme="minorHAnsi" w:hAnsiTheme="minorHAnsi"/>
        </w:rPr>
      </w:pPr>
      <w:r w:rsidRPr="001A0BBB">
        <w:rPr>
          <w:rStyle w:val="FootnoteReference"/>
          <w:rFonts w:asciiTheme="minorHAnsi" w:hAnsiTheme="minorHAnsi"/>
        </w:rPr>
        <w:footnoteRef/>
      </w:r>
      <w:r w:rsidRPr="001A0BBB">
        <w:rPr>
          <w:rFonts w:asciiTheme="minorHAnsi" w:hAnsiTheme="minorHAnsi"/>
        </w:rPr>
        <w:t xml:space="preserve"> See </w:t>
      </w:r>
      <w:r>
        <w:rPr>
          <w:rFonts w:asciiTheme="minorHAnsi" w:hAnsiTheme="minorHAnsi"/>
        </w:rPr>
        <w:t xml:space="preserve">Harper Review </w:t>
      </w:r>
      <w:r w:rsidRPr="001A0BBB">
        <w:rPr>
          <w:rFonts w:asciiTheme="minorHAnsi" w:hAnsiTheme="minorHAnsi"/>
        </w:rPr>
        <w:t>Report at page 69, 395.</w:t>
      </w:r>
    </w:p>
  </w:footnote>
  <w:footnote w:id="19">
    <w:p w14:paraId="030F4208" w14:textId="2B006BD6" w:rsidR="008F793F" w:rsidRPr="001A0BBB" w:rsidRDefault="008F793F" w:rsidP="008F0DDE">
      <w:pPr>
        <w:pStyle w:val="FootnoteText"/>
        <w:rPr>
          <w:rFonts w:asciiTheme="minorHAnsi" w:hAnsiTheme="minorHAnsi"/>
        </w:rPr>
      </w:pPr>
      <w:r w:rsidRPr="001A0BBB">
        <w:rPr>
          <w:rStyle w:val="FootnoteReference"/>
          <w:rFonts w:asciiTheme="minorHAnsi" w:hAnsiTheme="minorHAnsi"/>
        </w:rPr>
        <w:footnoteRef/>
      </w:r>
      <w:r w:rsidRPr="001A0BBB">
        <w:rPr>
          <w:rFonts w:asciiTheme="minorHAnsi" w:hAnsiTheme="minorHAnsi"/>
        </w:rPr>
        <w:t xml:space="preserve"> See </w:t>
      </w:r>
      <w:r>
        <w:rPr>
          <w:rFonts w:asciiTheme="minorHAnsi" w:hAnsiTheme="minorHAnsi"/>
        </w:rPr>
        <w:t xml:space="preserve">Harper Review </w:t>
      </w:r>
      <w:r w:rsidRPr="001A0BBB">
        <w:rPr>
          <w:rFonts w:asciiTheme="minorHAnsi" w:hAnsiTheme="minorHAnsi"/>
        </w:rPr>
        <w:t>Report at footnote 650 on page 395.</w:t>
      </w:r>
    </w:p>
  </w:footnote>
  <w:footnote w:id="20">
    <w:p w14:paraId="7B64E22D" w14:textId="0C78AA01" w:rsidR="008F793F" w:rsidRPr="001A0BBB" w:rsidRDefault="008F793F" w:rsidP="008F0DDE">
      <w:pPr>
        <w:pStyle w:val="FootnoteText"/>
        <w:rPr>
          <w:rFonts w:asciiTheme="minorHAnsi" w:hAnsiTheme="minorHAnsi"/>
        </w:rPr>
      </w:pPr>
      <w:r w:rsidRPr="001A0BBB">
        <w:rPr>
          <w:rStyle w:val="FootnoteReference"/>
          <w:rFonts w:asciiTheme="minorHAnsi" w:hAnsiTheme="minorHAnsi"/>
        </w:rPr>
        <w:footnoteRef/>
      </w:r>
      <w:r w:rsidRPr="001A0BBB">
        <w:rPr>
          <w:rFonts w:asciiTheme="minorHAnsi" w:hAnsiTheme="minorHAnsi"/>
        </w:rPr>
        <w:t xml:space="preserve"> See </w:t>
      </w:r>
      <w:r>
        <w:rPr>
          <w:rFonts w:asciiTheme="minorHAnsi" w:hAnsiTheme="minorHAnsi"/>
        </w:rPr>
        <w:t xml:space="preserve">Harper Review </w:t>
      </w:r>
      <w:r w:rsidRPr="001A0BBB">
        <w:rPr>
          <w:rFonts w:asciiTheme="minorHAnsi" w:hAnsiTheme="minorHAnsi"/>
        </w:rPr>
        <w:t>Report at pages 69, 395 and 396.</w:t>
      </w:r>
    </w:p>
  </w:footnote>
  <w:footnote w:id="21">
    <w:p w14:paraId="6845DE2B" w14:textId="0C3C4511" w:rsidR="008F793F" w:rsidRPr="001A0BBB" w:rsidRDefault="008F793F" w:rsidP="008F0DDE">
      <w:pPr>
        <w:pStyle w:val="FootnoteText"/>
        <w:rPr>
          <w:rFonts w:asciiTheme="minorHAnsi" w:hAnsiTheme="minorHAnsi"/>
        </w:rPr>
      </w:pPr>
      <w:r w:rsidRPr="001A0BBB">
        <w:rPr>
          <w:rStyle w:val="FootnoteReference"/>
          <w:rFonts w:asciiTheme="minorHAnsi" w:hAnsiTheme="minorHAnsi"/>
        </w:rPr>
        <w:footnoteRef/>
      </w:r>
      <w:r w:rsidRPr="001A0BBB">
        <w:rPr>
          <w:rFonts w:asciiTheme="minorHAnsi" w:hAnsiTheme="minorHAnsi"/>
        </w:rPr>
        <w:t xml:space="preserve"> See </w:t>
      </w:r>
      <w:r>
        <w:rPr>
          <w:rFonts w:asciiTheme="minorHAnsi" w:hAnsiTheme="minorHAnsi"/>
        </w:rPr>
        <w:t xml:space="preserve">Harper Review </w:t>
      </w:r>
      <w:r w:rsidRPr="001A0BBB">
        <w:rPr>
          <w:rFonts w:asciiTheme="minorHAnsi" w:hAnsiTheme="minorHAnsi"/>
        </w:rPr>
        <w:t>Report at pages 69, 395 and 396.</w:t>
      </w:r>
    </w:p>
  </w:footnote>
  <w:footnote w:id="22">
    <w:p w14:paraId="5B69181F" w14:textId="49697B89" w:rsidR="008F793F" w:rsidRPr="001A0BBB" w:rsidRDefault="008F793F" w:rsidP="008F0DDE">
      <w:pPr>
        <w:pStyle w:val="FootnoteText"/>
        <w:rPr>
          <w:rFonts w:asciiTheme="minorHAnsi" w:hAnsiTheme="minorHAnsi"/>
        </w:rPr>
      </w:pPr>
      <w:r w:rsidRPr="001A0BBB">
        <w:rPr>
          <w:rStyle w:val="FootnoteReference"/>
          <w:rFonts w:asciiTheme="minorHAnsi" w:hAnsiTheme="minorHAnsi"/>
        </w:rPr>
        <w:footnoteRef/>
      </w:r>
      <w:r w:rsidRPr="001A0BBB">
        <w:rPr>
          <w:rFonts w:asciiTheme="minorHAnsi" w:hAnsiTheme="minorHAnsi"/>
        </w:rPr>
        <w:t xml:space="preserve"> See </w:t>
      </w:r>
      <w:r>
        <w:rPr>
          <w:rFonts w:asciiTheme="minorHAnsi" w:hAnsiTheme="minorHAnsi"/>
        </w:rPr>
        <w:t xml:space="preserve">Harper Review </w:t>
      </w:r>
      <w:r w:rsidRPr="001A0BBB">
        <w:rPr>
          <w:rFonts w:asciiTheme="minorHAnsi" w:hAnsiTheme="minorHAnsi"/>
        </w:rPr>
        <w:t>Report at page 69, 395 and 396.</w:t>
      </w:r>
    </w:p>
  </w:footnote>
  <w:footnote w:id="23">
    <w:p w14:paraId="69CF4ACE" w14:textId="35562ACF" w:rsidR="008F793F" w:rsidRDefault="008F793F" w:rsidP="008F0DDE">
      <w:pPr>
        <w:pStyle w:val="FootnoteText"/>
      </w:pPr>
      <w:r w:rsidRPr="001A0BBB">
        <w:rPr>
          <w:rStyle w:val="FootnoteReference"/>
          <w:rFonts w:asciiTheme="minorHAnsi" w:hAnsiTheme="minorHAnsi"/>
        </w:rPr>
        <w:footnoteRef/>
      </w:r>
      <w:r w:rsidRPr="001A0BBB">
        <w:rPr>
          <w:rFonts w:asciiTheme="minorHAnsi" w:hAnsiTheme="minorHAnsi"/>
        </w:rPr>
        <w:t xml:space="preserve"> See </w:t>
      </w:r>
      <w:r>
        <w:rPr>
          <w:rFonts w:asciiTheme="minorHAnsi" w:hAnsiTheme="minorHAnsi"/>
        </w:rPr>
        <w:t xml:space="preserve">Harper Review </w:t>
      </w:r>
      <w:r w:rsidRPr="001A0BBB">
        <w:rPr>
          <w:rFonts w:asciiTheme="minorHAnsi" w:hAnsiTheme="minorHAnsi"/>
        </w:rPr>
        <w:t>Report at pages 69 and 396.</w:t>
      </w:r>
    </w:p>
  </w:footnote>
  <w:footnote w:id="24">
    <w:p w14:paraId="3B3A66A2" w14:textId="69E59DF5" w:rsidR="008F793F" w:rsidRPr="00115D3B" w:rsidRDefault="008F793F" w:rsidP="00115D3B">
      <w:pPr>
        <w:pStyle w:val="FootnoteText"/>
        <w:rPr>
          <w:rFonts w:asciiTheme="minorHAnsi" w:hAnsiTheme="minorHAnsi"/>
        </w:rPr>
      </w:pPr>
      <w:r w:rsidRPr="00115D3B">
        <w:rPr>
          <w:rStyle w:val="FootnoteReference"/>
          <w:rFonts w:asciiTheme="minorHAnsi" w:hAnsiTheme="minorHAnsi"/>
        </w:rPr>
        <w:footnoteRef/>
      </w:r>
      <w:r w:rsidRPr="00115D3B">
        <w:rPr>
          <w:rFonts w:asciiTheme="minorHAnsi" w:hAnsiTheme="minorHAnsi"/>
        </w:rPr>
        <w:t xml:space="preserve"> The unreliable nature of business surveys regarding unfair dismissal laws is discussed in some detail in </w:t>
      </w:r>
      <w:proofErr w:type="spellStart"/>
      <w:r w:rsidRPr="00115D3B">
        <w:rPr>
          <w:rFonts w:asciiTheme="minorHAnsi" w:hAnsiTheme="minorHAnsi"/>
          <w:szCs w:val="24"/>
        </w:rPr>
        <w:t>Oslington</w:t>
      </w:r>
      <w:proofErr w:type="spellEnd"/>
      <w:r w:rsidRPr="00115D3B">
        <w:rPr>
          <w:rFonts w:asciiTheme="minorHAnsi" w:hAnsiTheme="minorHAnsi"/>
          <w:szCs w:val="24"/>
        </w:rPr>
        <w:t xml:space="preserve"> (2005)</w:t>
      </w:r>
      <w:r w:rsidRPr="00115D3B">
        <w:rPr>
          <w:rFonts w:asciiTheme="minorHAnsi" w:hAnsiTheme="minorHAnsi"/>
        </w:rPr>
        <w:t xml:space="preserve"> and </w:t>
      </w:r>
      <w:proofErr w:type="spellStart"/>
      <w:r w:rsidRPr="00115D3B">
        <w:rPr>
          <w:rFonts w:asciiTheme="minorHAnsi" w:hAnsiTheme="minorHAnsi"/>
          <w:szCs w:val="24"/>
        </w:rPr>
        <w:t>Freyens</w:t>
      </w:r>
      <w:proofErr w:type="spellEnd"/>
      <w:r w:rsidRPr="00115D3B">
        <w:rPr>
          <w:rFonts w:asciiTheme="minorHAnsi" w:hAnsiTheme="minorHAnsi"/>
          <w:szCs w:val="24"/>
        </w:rPr>
        <w:t xml:space="preserve"> and </w:t>
      </w:r>
      <w:proofErr w:type="spellStart"/>
      <w:r w:rsidRPr="00115D3B">
        <w:rPr>
          <w:rFonts w:asciiTheme="minorHAnsi" w:hAnsiTheme="minorHAnsi"/>
          <w:szCs w:val="24"/>
        </w:rPr>
        <w:t>Oslington</w:t>
      </w:r>
      <w:proofErr w:type="spellEnd"/>
      <w:r w:rsidRPr="00115D3B">
        <w:rPr>
          <w:rFonts w:asciiTheme="minorHAnsi" w:hAnsiTheme="minorHAnsi"/>
          <w:szCs w:val="24"/>
        </w:rPr>
        <w:t xml:space="preserve"> (2007)</w:t>
      </w:r>
      <w:r w:rsidRPr="00115D3B">
        <w:rPr>
          <w:rFonts w:asciiTheme="minorHAnsi" w:hAnsiTheme="minorHAns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0D878" w14:textId="77777777" w:rsidR="008F793F" w:rsidRDefault="008F793F" w:rsidP="00D979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553E9" w14:textId="03314BC3" w:rsidR="008F793F" w:rsidRDefault="008F793F" w:rsidP="00D979F2">
    <w:pPr>
      <w:pStyle w:val="Header"/>
      <w:jc w:val="right"/>
    </w:pPr>
    <w:r>
      <w:rPr>
        <w:rFonts w:ascii="Calibri" w:eastAsia="Calibri" w:hAnsi="Calibri" w:cs="Calibri"/>
        <w:b/>
        <w:bCs/>
        <w:sz w:val="22"/>
        <w:szCs w:val="22"/>
      </w:rPr>
      <w:t>Ai Group Submission to the PC Inquiry into the Workplace Relations Framework</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BD082" w14:textId="77777777" w:rsidR="008F793F" w:rsidRDefault="008F793F" w:rsidP="00D979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A3699E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E73379"/>
    <w:multiLevelType w:val="hybridMultilevel"/>
    <w:tmpl w:val="56BAB8C6"/>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24074E5"/>
    <w:multiLevelType w:val="hybridMultilevel"/>
    <w:tmpl w:val="790072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5E0142A"/>
    <w:multiLevelType w:val="hybridMultilevel"/>
    <w:tmpl w:val="67F237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nsid w:val="0633052A"/>
    <w:multiLevelType w:val="hybridMultilevel"/>
    <w:tmpl w:val="786A20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7673B82"/>
    <w:multiLevelType w:val="hybridMultilevel"/>
    <w:tmpl w:val="60F4D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88F124E"/>
    <w:multiLevelType w:val="multilevel"/>
    <w:tmpl w:val="3F341090"/>
    <w:lvl w:ilvl="0">
      <w:start w:val="1"/>
      <w:numFmt w:val="decimal"/>
      <w:lvlText w:val="%1."/>
      <w:lvlJc w:val="left"/>
      <w:pPr>
        <w:ind w:left="720" w:hanging="360"/>
      </w:pPr>
      <w:rPr>
        <w:rFonts w:ascii="Arial" w:eastAsia="Times New Roman" w:hAnsi="Arial" w:cs="Arial"/>
        <w:b/>
        <w:sz w:val="28"/>
        <w:szCs w:val="28"/>
      </w:rPr>
    </w:lvl>
    <w:lvl w:ilvl="1">
      <w:start w:val="1"/>
      <w:numFmt w:val="decimal"/>
      <w:lvlText w:val="%2."/>
      <w:lvlJc w:val="left"/>
      <w:pPr>
        <w:ind w:left="360" w:hanging="360"/>
      </w:pPr>
      <w:rPr>
        <w:rFonts w:hint="default"/>
        <w:b w:val="0"/>
        <w:i w:val="0"/>
        <w:sz w:val="24"/>
        <w:szCs w:val="24"/>
      </w:rPr>
    </w:lvl>
    <w:lvl w:ilvl="2">
      <w:start w:val="1"/>
      <w:numFmt w:val="bullet"/>
      <w:lvlText w:val=""/>
      <w:lvlJc w:val="left"/>
      <w:pPr>
        <w:ind w:left="1430" w:hanging="720"/>
      </w:pPr>
      <w:rPr>
        <w:rFonts w:ascii="Symbol" w:hAnsi="Symbo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0ACC760E"/>
    <w:multiLevelType w:val="hybridMultilevel"/>
    <w:tmpl w:val="A06848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0B4C0408"/>
    <w:multiLevelType w:val="hybridMultilevel"/>
    <w:tmpl w:val="99582D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0BC656B8"/>
    <w:multiLevelType w:val="hybridMultilevel"/>
    <w:tmpl w:val="16AE89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11E35A6A"/>
    <w:multiLevelType w:val="hybridMultilevel"/>
    <w:tmpl w:val="CAAA96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1F233CE"/>
    <w:multiLevelType w:val="hybridMultilevel"/>
    <w:tmpl w:val="F78E8E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22B35F2"/>
    <w:multiLevelType w:val="hybridMultilevel"/>
    <w:tmpl w:val="2BBE7778"/>
    <w:lvl w:ilvl="0" w:tplc="AEDCB334">
      <w:start w:val="1"/>
      <w:numFmt w:val="decimal"/>
      <w:lvlText w:val="%1."/>
      <w:lvlJc w:val="left"/>
      <w:pPr>
        <w:ind w:left="360" w:hanging="360"/>
      </w:pPr>
      <w:rPr>
        <w:b/>
        <w:sz w:val="28"/>
        <w:szCs w:val="2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nsid w:val="127E27A5"/>
    <w:multiLevelType w:val="hybridMultilevel"/>
    <w:tmpl w:val="A79A33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16A86E1F"/>
    <w:multiLevelType w:val="hybridMultilevel"/>
    <w:tmpl w:val="CBD08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19A21B0A"/>
    <w:multiLevelType w:val="hybridMultilevel"/>
    <w:tmpl w:val="2E6C4B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1DCE1F52"/>
    <w:multiLevelType w:val="hybridMultilevel"/>
    <w:tmpl w:val="A9EC37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nsid w:val="23EA087C"/>
    <w:multiLevelType w:val="hybridMultilevel"/>
    <w:tmpl w:val="3B1A9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25E908EC"/>
    <w:multiLevelType w:val="multilevel"/>
    <w:tmpl w:val="E77AD420"/>
    <w:styleLink w:val="List31"/>
    <w:lvl w:ilvl="0">
      <w:start w:val="1"/>
      <w:numFmt w:val="bullet"/>
      <w:lvlText w:val="•"/>
      <w:lvlJc w:val="left"/>
      <w:rPr>
        <w:rFonts w:ascii="Trebuchet MS" w:eastAsia="Trebuchet MS" w:hAnsi="Trebuchet MS" w:cs="Trebuchet MS"/>
        <w:color w:val="000000"/>
        <w:position w:val="0"/>
      </w:rPr>
    </w:lvl>
    <w:lvl w:ilvl="1">
      <w:start w:val="1"/>
      <w:numFmt w:val="bullet"/>
      <w:lvlText w:val="o"/>
      <w:lvlJc w:val="left"/>
      <w:rPr>
        <w:rFonts w:ascii="Calibri" w:eastAsia="Calibri" w:hAnsi="Calibri" w:cs="Calibri"/>
        <w:color w:val="000000"/>
        <w:position w:val="0"/>
      </w:rPr>
    </w:lvl>
    <w:lvl w:ilvl="2">
      <w:start w:val="1"/>
      <w:numFmt w:val="bullet"/>
      <w:lvlText w:val="▪"/>
      <w:lvlJc w:val="left"/>
      <w:rPr>
        <w:rFonts w:ascii="Calibri" w:eastAsia="Calibri" w:hAnsi="Calibri" w:cs="Calibri"/>
        <w:color w:val="000000"/>
        <w:position w:val="0"/>
      </w:rPr>
    </w:lvl>
    <w:lvl w:ilvl="3">
      <w:start w:val="1"/>
      <w:numFmt w:val="bullet"/>
      <w:lvlText w:val="•"/>
      <w:lvlJc w:val="left"/>
      <w:rPr>
        <w:rFonts w:ascii="Calibri" w:eastAsia="Calibri" w:hAnsi="Calibri" w:cs="Calibri"/>
        <w:color w:val="000000"/>
        <w:position w:val="0"/>
      </w:rPr>
    </w:lvl>
    <w:lvl w:ilvl="4">
      <w:start w:val="1"/>
      <w:numFmt w:val="bullet"/>
      <w:lvlText w:val="o"/>
      <w:lvlJc w:val="left"/>
      <w:rPr>
        <w:rFonts w:ascii="Calibri" w:eastAsia="Calibri" w:hAnsi="Calibri" w:cs="Calibri"/>
        <w:color w:val="000000"/>
        <w:position w:val="0"/>
      </w:rPr>
    </w:lvl>
    <w:lvl w:ilvl="5">
      <w:start w:val="1"/>
      <w:numFmt w:val="bullet"/>
      <w:lvlText w:val="▪"/>
      <w:lvlJc w:val="left"/>
      <w:rPr>
        <w:rFonts w:ascii="Calibri" w:eastAsia="Calibri" w:hAnsi="Calibri" w:cs="Calibri"/>
        <w:color w:val="000000"/>
        <w:position w:val="0"/>
      </w:rPr>
    </w:lvl>
    <w:lvl w:ilvl="6">
      <w:start w:val="1"/>
      <w:numFmt w:val="bullet"/>
      <w:lvlText w:val="•"/>
      <w:lvlJc w:val="left"/>
      <w:rPr>
        <w:rFonts w:ascii="Calibri" w:eastAsia="Calibri" w:hAnsi="Calibri" w:cs="Calibri"/>
        <w:color w:val="000000"/>
        <w:position w:val="0"/>
      </w:rPr>
    </w:lvl>
    <w:lvl w:ilvl="7">
      <w:start w:val="1"/>
      <w:numFmt w:val="bullet"/>
      <w:lvlText w:val="o"/>
      <w:lvlJc w:val="left"/>
      <w:rPr>
        <w:rFonts w:ascii="Calibri" w:eastAsia="Calibri" w:hAnsi="Calibri" w:cs="Calibri"/>
        <w:color w:val="000000"/>
        <w:position w:val="0"/>
      </w:rPr>
    </w:lvl>
    <w:lvl w:ilvl="8">
      <w:start w:val="1"/>
      <w:numFmt w:val="bullet"/>
      <w:lvlText w:val="▪"/>
      <w:lvlJc w:val="left"/>
      <w:rPr>
        <w:rFonts w:ascii="Calibri" w:eastAsia="Calibri" w:hAnsi="Calibri" w:cs="Calibri"/>
        <w:color w:val="000000"/>
        <w:position w:val="0"/>
      </w:rPr>
    </w:lvl>
  </w:abstractNum>
  <w:abstractNum w:abstractNumId="21">
    <w:nsid w:val="263450CF"/>
    <w:multiLevelType w:val="hybridMultilevel"/>
    <w:tmpl w:val="1B8A0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7A4738E"/>
    <w:multiLevelType w:val="multilevel"/>
    <w:tmpl w:val="DF8EEC2C"/>
    <w:styleLink w:val="List22"/>
    <w:lvl w:ilvl="0">
      <w:start w:val="1"/>
      <w:numFmt w:val="bullet"/>
      <w:lvlText w:val="•"/>
      <w:lvlJc w:val="left"/>
      <w:rPr>
        <w:rFonts w:ascii="Trebuchet MS" w:eastAsia="Trebuchet MS" w:hAnsi="Trebuchet MS" w:cs="Trebuchet MS"/>
        <w:color w:val="000000"/>
        <w:position w:val="0"/>
      </w:rPr>
    </w:lvl>
    <w:lvl w:ilvl="1">
      <w:start w:val="1"/>
      <w:numFmt w:val="bullet"/>
      <w:lvlText w:val="o"/>
      <w:lvlJc w:val="left"/>
      <w:rPr>
        <w:rFonts w:ascii="Calibri" w:eastAsia="Calibri" w:hAnsi="Calibri" w:cs="Calibri"/>
        <w:color w:val="000000"/>
        <w:position w:val="0"/>
      </w:rPr>
    </w:lvl>
    <w:lvl w:ilvl="2">
      <w:start w:val="1"/>
      <w:numFmt w:val="bullet"/>
      <w:lvlText w:val="▪"/>
      <w:lvlJc w:val="left"/>
      <w:rPr>
        <w:rFonts w:ascii="Calibri" w:eastAsia="Calibri" w:hAnsi="Calibri" w:cs="Calibri"/>
        <w:color w:val="000000"/>
        <w:position w:val="0"/>
      </w:rPr>
    </w:lvl>
    <w:lvl w:ilvl="3">
      <w:start w:val="1"/>
      <w:numFmt w:val="bullet"/>
      <w:lvlText w:val="•"/>
      <w:lvlJc w:val="left"/>
      <w:rPr>
        <w:rFonts w:ascii="Calibri" w:eastAsia="Calibri" w:hAnsi="Calibri" w:cs="Calibri"/>
        <w:color w:val="000000"/>
        <w:position w:val="0"/>
      </w:rPr>
    </w:lvl>
    <w:lvl w:ilvl="4">
      <w:start w:val="1"/>
      <w:numFmt w:val="bullet"/>
      <w:lvlText w:val="o"/>
      <w:lvlJc w:val="left"/>
      <w:rPr>
        <w:rFonts w:ascii="Calibri" w:eastAsia="Calibri" w:hAnsi="Calibri" w:cs="Calibri"/>
        <w:color w:val="000000"/>
        <w:position w:val="0"/>
      </w:rPr>
    </w:lvl>
    <w:lvl w:ilvl="5">
      <w:start w:val="1"/>
      <w:numFmt w:val="bullet"/>
      <w:lvlText w:val="▪"/>
      <w:lvlJc w:val="left"/>
      <w:rPr>
        <w:rFonts w:ascii="Calibri" w:eastAsia="Calibri" w:hAnsi="Calibri" w:cs="Calibri"/>
        <w:color w:val="000000"/>
        <w:position w:val="0"/>
      </w:rPr>
    </w:lvl>
    <w:lvl w:ilvl="6">
      <w:start w:val="1"/>
      <w:numFmt w:val="bullet"/>
      <w:lvlText w:val="•"/>
      <w:lvlJc w:val="left"/>
      <w:rPr>
        <w:rFonts w:ascii="Calibri" w:eastAsia="Calibri" w:hAnsi="Calibri" w:cs="Calibri"/>
        <w:color w:val="000000"/>
        <w:position w:val="0"/>
      </w:rPr>
    </w:lvl>
    <w:lvl w:ilvl="7">
      <w:start w:val="1"/>
      <w:numFmt w:val="bullet"/>
      <w:lvlText w:val="o"/>
      <w:lvlJc w:val="left"/>
      <w:rPr>
        <w:rFonts w:ascii="Calibri" w:eastAsia="Calibri" w:hAnsi="Calibri" w:cs="Calibri"/>
        <w:color w:val="000000"/>
        <w:position w:val="0"/>
      </w:rPr>
    </w:lvl>
    <w:lvl w:ilvl="8">
      <w:start w:val="1"/>
      <w:numFmt w:val="bullet"/>
      <w:lvlText w:val="▪"/>
      <w:lvlJc w:val="left"/>
      <w:rPr>
        <w:rFonts w:ascii="Calibri" w:eastAsia="Calibri" w:hAnsi="Calibri" w:cs="Calibri"/>
        <w:color w:val="000000"/>
        <w:position w:val="0"/>
      </w:rPr>
    </w:lvl>
  </w:abstractNum>
  <w:abstractNum w:abstractNumId="23">
    <w:nsid w:val="27A52E68"/>
    <w:multiLevelType w:val="hybridMultilevel"/>
    <w:tmpl w:val="3594B7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27C15F16"/>
    <w:multiLevelType w:val="multilevel"/>
    <w:tmpl w:val="13449094"/>
    <w:styleLink w:val="List41"/>
    <w:lvl w:ilvl="0">
      <w:start w:val="1"/>
      <w:numFmt w:val="bullet"/>
      <w:lvlText w:val="•"/>
      <w:lvlJc w:val="left"/>
      <w:pPr>
        <w:tabs>
          <w:tab w:val="num" w:pos="327"/>
        </w:tabs>
        <w:ind w:left="327" w:hanging="327"/>
      </w:pPr>
      <w:rPr>
        <w:rFonts w:ascii="Trebuchet MS" w:eastAsia="Trebuchet MS" w:hAnsi="Trebuchet MS" w:cs="Trebuchet MS"/>
        <w:position w:val="0"/>
        <w:sz w:val="22"/>
        <w:szCs w:val="22"/>
      </w:rPr>
    </w:lvl>
    <w:lvl w:ilvl="1">
      <w:start w:val="1"/>
      <w:numFmt w:val="bullet"/>
      <w:lvlText w:val="o"/>
      <w:lvlJc w:val="left"/>
      <w:pPr>
        <w:tabs>
          <w:tab w:val="num" w:pos="3700"/>
        </w:tabs>
        <w:ind w:left="3700" w:hanging="360"/>
      </w:pPr>
      <w:rPr>
        <w:rFonts w:ascii="Calibri" w:eastAsia="Calibri" w:hAnsi="Calibri" w:cs="Calibri"/>
        <w:position w:val="0"/>
        <w:sz w:val="24"/>
        <w:szCs w:val="24"/>
      </w:rPr>
    </w:lvl>
    <w:lvl w:ilvl="2">
      <w:start w:val="1"/>
      <w:numFmt w:val="bullet"/>
      <w:lvlText w:val="▪"/>
      <w:lvlJc w:val="left"/>
      <w:pPr>
        <w:tabs>
          <w:tab w:val="num" w:pos="4420"/>
        </w:tabs>
        <w:ind w:left="4420" w:hanging="360"/>
      </w:pPr>
      <w:rPr>
        <w:rFonts w:ascii="Calibri" w:eastAsia="Calibri" w:hAnsi="Calibri" w:cs="Calibri"/>
        <w:position w:val="0"/>
        <w:sz w:val="24"/>
        <w:szCs w:val="24"/>
      </w:rPr>
    </w:lvl>
    <w:lvl w:ilvl="3">
      <w:start w:val="1"/>
      <w:numFmt w:val="bullet"/>
      <w:lvlText w:val="•"/>
      <w:lvlJc w:val="left"/>
      <w:pPr>
        <w:tabs>
          <w:tab w:val="num" w:pos="5140"/>
        </w:tabs>
        <w:ind w:left="5140" w:hanging="360"/>
      </w:pPr>
      <w:rPr>
        <w:rFonts w:ascii="Calibri" w:eastAsia="Calibri" w:hAnsi="Calibri" w:cs="Calibri"/>
        <w:position w:val="0"/>
        <w:sz w:val="24"/>
        <w:szCs w:val="24"/>
      </w:rPr>
    </w:lvl>
    <w:lvl w:ilvl="4">
      <w:start w:val="1"/>
      <w:numFmt w:val="bullet"/>
      <w:lvlText w:val="o"/>
      <w:lvlJc w:val="left"/>
      <w:pPr>
        <w:tabs>
          <w:tab w:val="num" w:pos="5860"/>
        </w:tabs>
        <w:ind w:left="5860" w:hanging="360"/>
      </w:pPr>
      <w:rPr>
        <w:rFonts w:ascii="Calibri" w:eastAsia="Calibri" w:hAnsi="Calibri" w:cs="Calibri"/>
        <w:position w:val="0"/>
        <w:sz w:val="24"/>
        <w:szCs w:val="24"/>
      </w:rPr>
    </w:lvl>
    <w:lvl w:ilvl="5">
      <w:start w:val="1"/>
      <w:numFmt w:val="bullet"/>
      <w:lvlText w:val="▪"/>
      <w:lvlJc w:val="left"/>
      <w:pPr>
        <w:tabs>
          <w:tab w:val="num" w:pos="6580"/>
        </w:tabs>
        <w:ind w:left="6580" w:hanging="360"/>
      </w:pPr>
      <w:rPr>
        <w:rFonts w:ascii="Calibri" w:eastAsia="Calibri" w:hAnsi="Calibri" w:cs="Calibri"/>
        <w:position w:val="0"/>
        <w:sz w:val="24"/>
        <w:szCs w:val="24"/>
      </w:rPr>
    </w:lvl>
    <w:lvl w:ilvl="6">
      <w:start w:val="1"/>
      <w:numFmt w:val="bullet"/>
      <w:lvlText w:val="•"/>
      <w:lvlJc w:val="left"/>
      <w:pPr>
        <w:tabs>
          <w:tab w:val="num" w:pos="7300"/>
        </w:tabs>
        <w:ind w:left="7300" w:hanging="360"/>
      </w:pPr>
      <w:rPr>
        <w:rFonts w:ascii="Calibri" w:eastAsia="Calibri" w:hAnsi="Calibri" w:cs="Calibri"/>
        <w:position w:val="0"/>
        <w:sz w:val="24"/>
        <w:szCs w:val="24"/>
      </w:rPr>
    </w:lvl>
    <w:lvl w:ilvl="7">
      <w:start w:val="1"/>
      <w:numFmt w:val="bullet"/>
      <w:lvlText w:val="o"/>
      <w:lvlJc w:val="left"/>
      <w:pPr>
        <w:tabs>
          <w:tab w:val="num" w:pos="8020"/>
        </w:tabs>
        <w:ind w:left="8020" w:hanging="360"/>
      </w:pPr>
      <w:rPr>
        <w:rFonts w:ascii="Calibri" w:eastAsia="Calibri" w:hAnsi="Calibri" w:cs="Calibri"/>
        <w:position w:val="0"/>
        <w:sz w:val="24"/>
        <w:szCs w:val="24"/>
      </w:rPr>
    </w:lvl>
    <w:lvl w:ilvl="8">
      <w:start w:val="1"/>
      <w:numFmt w:val="bullet"/>
      <w:lvlText w:val="▪"/>
      <w:lvlJc w:val="left"/>
      <w:pPr>
        <w:tabs>
          <w:tab w:val="num" w:pos="8740"/>
        </w:tabs>
        <w:ind w:left="8740" w:hanging="360"/>
      </w:pPr>
      <w:rPr>
        <w:rFonts w:ascii="Calibri" w:eastAsia="Calibri" w:hAnsi="Calibri" w:cs="Calibri"/>
        <w:position w:val="0"/>
        <w:sz w:val="24"/>
        <w:szCs w:val="24"/>
      </w:rPr>
    </w:lvl>
  </w:abstractNum>
  <w:abstractNum w:abstractNumId="25">
    <w:nsid w:val="2A04062B"/>
    <w:multiLevelType w:val="multilevel"/>
    <w:tmpl w:val="79D091D0"/>
    <w:styleLink w:val="List20"/>
    <w:lvl w:ilvl="0">
      <w:start w:val="1"/>
      <w:numFmt w:val="bullet"/>
      <w:lvlText w:val="•"/>
      <w:lvlJc w:val="left"/>
      <w:pPr>
        <w:tabs>
          <w:tab w:val="num" w:pos="792"/>
        </w:tabs>
        <w:ind w:left="792" w:hanging="432"/>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abstractNum>
  <w:abstractNum w:abstractNumId="26">
    <w:nsid w:val="2A554825"/>
    <w:multiLevelType w:val="multilevel"/>
    <w:tmpl w:val="EBDE239A"/>
    <w:styleLink w:val="List9"/>
    <w:lvl w:ilvl="0">
      <w:numFmt w:val="bullet"/>
      <w:lvlText w:val="•"/>
      <w:lvlJc w:val="left"/>
      <w:pPr>
        <w:tabs>
          <w:tab w:val="num" w:pos="753"/>
        </w:tabs>
        <w:ind w:left="753" w:hanging="393"/>
      </w:pPr>
      <w:rPr>
        <w:rFonts w:ascii="Trebuchet MS" w:eastAsia="Trebuchet MS" w:hAnsi="Trebuchet MS" w:cs="Trebuchet MS"/>
        <w:b/>
        <w:bCs/>
        <w:color w:val="000000"/>
        <w:position w:val="0"/>
        <w:sz w:val="22"/>
        <w:szCs w:val="22"/>
      </w:rPr>
    </w:lvl>
    <w:lvl w:ilvl="1">
      <w:start w:val="1"/>
      <w:numFmt w:val="bullet"/>
      <w:lvlText w:val="o"/>
      <w:lvlJc w:val="left"/>
      <w:pPr>
        <w:tabs>
          <w:tab w:val="num" w:pos="116"/>
        </w:tabs>
      </w:pPr>
      <w:rPr>
        <w:rFonts w:ascii="Calibri" w:eastAsia="Calibri" w:hAnsi="Calibri" w:cs="Calibri"/>
        <w:b/>
        <w:bCs/>
        <w:color w:val="000000"/>
        <w:position w:val="0"/>
        <w:sz w:val="24"/>
        <w:szCs w:val="24"/>
      </w:rPr>
    </w:lvl>
    <w:lvl w:ilvl="2">
      <w:start w:val="1"/>
      <w:numFmt w:val="bullet"/>
      <w:lvlText w:val="▪"/>
      <w:lvlJc w:val="left"/>
      <w:pPr>
        <w:tabs>
          <w:tab w:val="num" w:pos="116"/>
        </w:tabs>
      </w:pPr>
      <w:rPr>
        <w:rFonts w:ascii="Calibri" w:eastAsia="Calibri" w:hAnsi="Calibri" w:cs="Calibri"/>
        <w:b/>
        <w:bCs/>
        <w:color w:val="000000"/>
        <w:position w:val="0"/>
        <w:sz w:val="24"/>
        <w:szCs w:val="24"/>
      </w:rPr>
    </w:lvl>
    <w:lvl w:ilvl="3">
      <w:start w:val="1"/>
      <w:numFmt w:val="bullet"/>
      <w:lvlText w:val="•"/>
      <w:lvlJc w:val="left"/>
      <w:pPr>
        <w:tabs>
          <w:tab w:val="num" w:pos="116"/>
        </w:tabs>
      </w:pPr>
      <w:rPr>
        <w:rFonts w:ascii="Calibri" w:eastAsia="Calibri" w:hAnsi="Calibri" w:cs="Calibri"/>
        <w:b/>
        <w:bCs/>
        <w:color w:val="000000"/>
        <w:position w:val="0"/>
        <w:sz w:val="24"/>
        <w:szCs w:val="24"/>
      </w:rPr>
    </w:lvl>
    <w:lvl w:ilvl="4">
      <w:start w:val="1"/>
      <w:numFmt w:val="bullet"/>
      <w:lvlText w:val="o"/>
      <w:lvlJc w:val="left"/>
      <w:pPr>
        <w:tabs>
          <w:tab w:val="num" w:pos="116"/>
        </w:tabs>
      </w:pPr>
      <w:rPr>
        <w:rFonts w:ascii="Calibri" w:eastAsia="Calibri" w:hAnsi="Calibri" w:cs="Calibri"/>
        <w:b/>
        <w:bCs/>
        <w:color w:val="000000"/>
        <w:position w:val="0"/>
        <w:sz w:val="24"/>
        <w:szCs w:val="24"/>
      </w:rPr>
    </w:lvl>
    <w:lvl w:ilvl="5">
      <w:start w:val="1"/>
      <w:numFmt w:val="bullet"/>
      <w:lvlText w:val="▪"/>
      <w:lvlJc w:val="left"/>
      <w:pPr>
        <w:tabs>
          <w:tab w:val="num" w:pos="116"/>
        </w:tabs>
      </w:pPr>
      <w:rPr>
        <w:rFonts w:ascii="Calibri" w:eastAsia="Calibri" w:hAnsi="Calibri" w:cs="Calibri"/>
        <w:b/>
        <w:bCs/>
        <w:color w:val="000000"/>
        <w:position w:val="0"/>
        <w:sz w:val="24"/>
        <w:szCs w:val="24"/>
      </w:rPr>
    </w:lvl>
    <w:lvl w:ilvl="6">
      <w:start w:val="1"/>
      <w:numFmt w:val="bullet"/>
      <w:lvlText w:val="•"/>
      <w:lvlJc w:val="left"/>
      <w:pPr>
        <w:tabs>
          <w:tab w:val="num" w:pos="116"/>
        </w:tabs>
      </w:pPr>
      <w:rPr>
        <w:rFonts w:ascii="Calibri" w:eastAsia="Calibri" w:hAnsi="Calibri" w:cs="Calibri"/>
        <w:b/>
        <w:bCs/>
        <w:color w:val="000000"/>
        <w:position w:val="0"/>
        <w:sz w:val="24"/>
        <w:szCs w:val="24"/>
      </w:rPr>
    </w:lvl>
    <w:lvl w:ilvl="7">
      <w:start w:val="1"/>
      <w:numFmt w:val="bullet"/>
      <w:lvlText w:val="o"/>
      <w:lvlJc w:val="left"/>
      <w:pPr>
        <w:tabs>
          <w:tab w:val="num" w:pos="116"/>
        </w:tabs>
      </w:pPr>
      <w:rPr>
        <w:rFonts w:ascii="Calibri" w:eastAsia="Calibri" w:hAnsi="Calibri" w:cs="Calibri"/>
        <w:b/>
        <w:bCs/>
        <w:color w:val="000000"/>
        <w:position w:val="0"/>
        <w:sz w:val="24"/>
        <w:szCs w:val="24"/>
      </w:rPr>
    </w:lvl>
    <w:lvl w:ilvl="8">
      <w:start w:val="1"/>
      <w:numFmt w:val="bullet"/>
      <w:lvlText w:val="▪"/>
      <w:lvlJc w:val="left"/>
      <w:pPr>
        <w:tabs>
          <w:tab w:val="num" w:pos="116"/>
        </w:tabs>
      </w:pPr>
      <w:rPr>
        <w:rFonts w:ascii="Calibri" w:eastAsia="Calibri" w:hAnsi="Calibri" w:cs="Calibri"/>
        <w:b/>
        <w:bCs/>
        <w:color w:val="000000"/>
        <w:position w:val="0"/>
        <w:sz w:val="24"/>
        <w:szCs w:val="24"/>
      </w:rPr>
    </w:lvl>
  </w:abstractNum>
  <w:abstractNum w:abstractNumId="27">
    <w:nsid w:val="2A5B1DA8"/>
    <w:multiLevelType w:val="hybridMultilevel"/>
    <w:tmpl w:val="50B4638A"/>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E760EA8">
      <w:start w:val="2"/>
      <w:numFmt w:val="bullet"/>
      <w:lvlText w:val="-"/>
      <w:lvlJc w:val="left"/>
      <w:pPr>
        <w:tabs>
          <w:tab w:val="num" w:pos="1980"/>
        </w:tabs>
        <w:ind w:left="1980" w:hanging="360"/>
      </w:pPr>
      <w:rPr>
        <w:rFonts w:ascii="Times New Roman" w:eastAsia="Times New Roman" w:hAnsi="Times New Roman" w:cs="Times New Roman" w:hint="default"/>
        <w:b/>
      </w:rPr>
    </w:lvl>
    <w:lvl w:ilvl="3" w:tplc="35D2448C">
      <w:start w:val="26"/>
      <w:numFmt w:val="decimal"/>
      <w:lvlText w:val="%4"/>
      <w:lvlJc w:val="left"/>
      <w:pPr>
        <w:tabs>
          <w:tab w:val="num" w:pos="2880"/>
        </w:tabs>
        <w:ind w:left="2880" w:hanging="720"/>
      </w:pPr>
      <w:rPr>
        <w:rFonts w:hint="default"/>
      </w:rPr>
    </w:lvl>
    <w:lvl w:ilvl="4" w:tplc="3FF615FC">
      <w:start w:val="1"/>
      <w:numFmt w:val="decimal"/>
      <w:lvlText w:val="(%5)"/>
      <w:lvlJc w:val="left"/>
      <w:pPr>
        <w:tabs>
          <w:tab w:val="num" w:pos="3600"/>
        </w:tabs>
        <w:ind w:left="3600" w:hanging="720"/>
      </w:pPr>
      <w:rPr>
        <w:rFonts w:hint="default"/>
      </w:rPr>
    </w:lvl>
    <w:lvl w:ilvl="5" w:tplc="1466E666">
      <w:start w:val="1"/>
      <w:numFmt w:val="lowerLetter"/>
      <w:lvlText w:val="(%6)"/>
      <w:lvlJc w:val="left"/>
      <w:pPr>
        <w:tabs>
          <w:tab w:val="num" w:pos="4140"/>
        </w:tabs>
        <w:ind w:left="4140" w:hanging="360"/>
      </w:pPr>
      <w:rPr>
        <w:rFonts w:hint="default"/>
      </w:rPr>
    </w:lvl>
    <w:lvl w:ilvl="6" w:tplc="0409000F">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2BD414A6"/>
    <w:multiLevelType w:val="multilevel"/>
    <w:tmpl w:val="D6D0A6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CB272F8"/>
    <w:multiLevelType w:val="multilevel"/>
    <w:tmpl w:val="BA7E1710"/>
    <w:styleLink w:val="List12"/>
    <w:lvl w:ilvl="0">
      <w:start w:val="1"/>
      <w:numFmt w:val="bullet"/>
      <w:lvlText w:val="•"/>
      <w:lvlJc w:val="left"/>
      <w:pPr>
        <w:tabs>
          <w:tab w:val="num" w:pos="357"/>
        </w:tabs>
        <w:ind w:left="357" w:hanging="357"/>
      </w:pPr>
      <w:rPr>
        <w:rFonts w:ascii="Trebuchet MS" w:eastAsia="Trebuchet MS" w:hAnsi="Trebuchet MS" w:cs="Trebuchet MS"/>
        <w:b/>
        <w:bCs/>
        <w:color w:val="000000"/>
        <w:position w:val="0"/>
        <w:sz w:val="22"/>
        <w:szCs w:val="22"/>
      </w:rPr>
    </w:lvl>
    <w:lvl w:ilvl="1">
      <w:start w:val="1"/>
      <w:numFmt w:val="bullet"/>
      <w:lvlText w:val="o"/>
      <w:lvlJc w:val="left"/>
      <w:pPr>
        <w:tabs>
          <w:tab w:val="num" w:pos="116"/>
        </w:tabs>
      </w:pPr>
      <w:rPr>
        <w:rFonts w:ascii="Calibri" w:eastAsia="Calibri" w:hAnsi="Calibri" w:cs="Calibri"/>
        <w:b/>
        <w:bCs/>
        <w:color w:val="000000"/>
        <w:position w:val="0"/>
        <w:sz w:val="24"/>
        <w:szCs w:val="24"/>
      </w:rPr>
    </w:lvl>
    <w:lvl w:ilvl="2">
      <w:start w:val="1"/>
      <w:numFmt w:val="bullet"/>
      <w:lvlText w:val="▪"/>
      <w:lvlJc w:val="left"/>
      <w:pPr>
        <w:tabs>
          <w:tab w:val="num" w:pos="116"/>
        </w:tabs>
      </w:pPr>
      <w:rPr>
        <w:rFonts w:ascii="Calibri" w:eastAsia="Calibri" w:hAnsi="Calibri" w:cs="Calibri"/>
        <w:b/>
        <w:bCs/>
        <w:color w:val="000000"/>
        <w:position w:val="0"/>
        <w:sz w:val="24"/>
        <w:szCs w:val="24"/>
      </w:rPr>
    </w:lvl>
    <w:lvl w:ilvl="3">
      <w:start w:val="1"/>
      <w:numFmt w:val="bullet"/>
      <w:lvlText w:val="•"/>
      <w:lvlJc w:val="left"/>
      <w:pPr>
        <w:tabs>
          <w:tab w:val="num" w:pos="116"/>
        </w:tabs>
      </w:pPr>
      <w:rPr>
        <w:rFonts w:ascii="Calibri" w:eastAsia="Calibri" w:hAnsi="Calibri" w:cs="Calibri"/>
        <w:b/>
        <w:bCs/>
        <w:color w:val="000000"/>
        <w:position w:val="0"/>
        <w:sz w:val="24"/>
        <w:szCs w:val="24"/>
      </w:rPr>
    </w:lvl>
    <w:lvl w:ilvl="4">
      <w:start w:val="1"/>
      <w:numFmt w:val="bullet"/>
      <w:lvlText w:val="o"/>
      <w:lvlJc w:val="left"/>
      <w:pPr>
        <w:tabs>
          <w:tab w:val="num" w:pos="116"/>
        </w:tabs>
      </w:pPr>
      <w:rPr>
        <w:rFonts w:ascii="Calibri" w:eastAsia="Calibri" w:hAnsi="Calibri" w:cs="Calibri"/>
        <w:b/>
        <w:bCs/>
        <w:color w:val="000000"/>
        <w:position w:val="0"/>
        <w:sz w:val="24"/>
        <w:szCs w:val="24"/>
      </w:rPr>
    </w:lvl>
    <w:lvl w:ilvl="5">
      <w:start w:val="1"/>
      <w:numFmt w:val="bullet"/>
      <w:lvlText w:val="▪"/>
      <w:lvlJc w:val="left"/>
      <w:pPr>
        <w:tabs>
          <w:tab w:val="num" w:pos="116"/>
        </w:tabs>
      </w:pPr>
      <w:rPr>
        <w:rFonts w:ascii="Calibri" w:eastAsia="Calibri" w:hAnsi="Calibri" w:cs="Calibri"/>
        <w:b/>
        <w:bCs/>
        <w:color w:val="000000"/>
        <w:position w:val="0"/>
        <w:sz w:val="24"/>
        <w:szCs w:val="24"/>
      </w:rPr>
    </w:lvl>
    <w:lvl w:ilvl="6">
      <w:start w:val="1"/>
      <w:numFmt w:val="bullet"/>
      <w:lvlText w:val="•"/>
      <w:lvlJc w:val="left"/>
      <w:pPr>
        <w:tabs>
          <w:tab w:val="num" w:pos="116"/>
        </w:tabs>
      </w:pPr>
      <w:rPr>
        <w:rFonts w:ascii="Calibri" w:eastAsia="Calibri" w:hAnsi="Calibri" w:cs="Calibri"/>
        <w:b/>
        <w:bCs/>
        <w:color w:val="000000"/>
        <w:position w:val="0"/>
        <w:sz w:val="24"/>
        <w:szCs w:val="24"/>
      </w:rPr>
    </w:lvl>
    <w:lvl w:ilvl="7">
      <w:start w:val="1"/>
      <w:numFmt w:val="bullet"/>
      <w:lvlText w:val="o"/>
      <w:lvlJc w:val="left"/>
      <w:pPr>
        <w:tabs>
          <w:tab w:val="num" w:pos="116"/>
        </w:tabs>
      </w:pPr>
      <w:rPr>
        <w:rFonts w:ascii="Calibri" w:eastAsia="Calibri" w:hAnsi="Calibri" w:cs="Calibri"/>
        <w:b/>
        <w:bCs/>
        <w:color w:val="000000"/>
        <w:position w:val="0"/>
        <w:sz w:val="24"/>
        <w:szCs w:val="24"/>
      </w:rPr>
    </w:lvl>
    <w:lvl w:ilvl="8">
      <w:start w:val="1"/>
      <w:numFmt w:val="bullet"/>
      <w:lvlText w:val="▪"/>
      <w:lvlJc w:val="left"/>
      <w:pPr>
        <w:tabs>
          <w:tab w:val="num" w:pos="116"/>
        </w:tabs>
      </w:pPr>
      <w:rPr>
        <w:rFonts w:ascii="Calibri" w:eastAsia="Calibri" w:hAnsi="Calibri" w:cs="Calibri"/>
        <w:b/>
        <w:bCs/>
        <w:color w:val="000000"/>
        <w:position w:val="0"/>
        <w:sz w:val="24"/>
        <w:szCs w:val="24"/>
      </w:rPr>
    </w:lvl>
  </w:abstractNum>
  <w:abstractNum w:abstractNumId="30">
    <w:nsid w:val="317A5E24"/>
    <w:multiLevelType w:val="hybridMultilevel"/>
    <w:tmpl w:val="B10C91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32D97EC6"/>
    <w:multiLevelType w:val="hybridMultilevel"/>
    <w:tmpl w:val="A0845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33CD712B"/>
    <w:multiLevelType w:val="multilevel"/>
    <w:tmpl w:val="99A28C12"/>
    <w:styleLink w:val="List51"/>
    <w:lvl w:ilvl="0">
      <w:start w:val="1"/>
      <w:numFmt w:val="bullet"/>
      <w:lvlText w:val="•"/>
      <w:lvlJc w:val="left"/>
      <w:pPr>
        <w:tabs>
          <w:tab w:val="num" w:pos="432"/>
        </w:tabs>
        <w:ind w:left="432" w:hanging="432"/>
      </w:pPr>
      <w:rPr>
        <w:rFonts w:ascii="Trebuchet MS" w:eastAsia="Trebuchet MS" w:hAnsi="Trebuchet MS" w:cs="Trebuchet MS"/>
        <w:caps w:val="0"/>
        <w:smallCaps w:val="0"/>
        <w:strike w:val="0"/>
        <w:dstrike w:val="0"/>
        <w:outline w:val="0"/>
        <w:color w:val="000000"/>
        <w:spacing w:val="0"/>
        <w:kern w:val="0"/>
        <w:position w:val="0"/>
        <w:sz w:val="24"/>
        <w:szCs w:val="24"/>
        <w:u w:val="none" w:color="000000"/>
        <w:vertAlign w:val="baseline"/>
        <w:lang w:val="en-US"/>
      </w:rPr>
    </w:lvl>
    <w:lvl w:ilvl="1">
      <w:start w:val="1"/>
      <w:numFmt w:val="bullet"/>
      <w:lvlText w:val="o"/>
      <w:lvlJc w:val="left"/>
      <w:pPr>
        <w:tabs>
          <w:tab w:val="num" w:pos="1080"/>
        </w:tabs>
        <w:ind w:left="108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2">
      <w:start w:val="1"/>
      <w:numFmt w:val="bullet"/>
      <w:lvlText w:val="▪"/>
      <w:lvlJc w:val="left"/>
      <w:pPr>
        <w:tabs>
          <w:tab w:val="num" w:pos="1800"/>
        </w:tabs>
        <w:ind w:left="180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3">
      <w:start w:val="1"/>
      <w:numFmt w:val="bullet"/>
      <w:lvlText w:val="•"/>
      <w:lvlJc w:val="left"/>
      <w:pPr>
        <w:tabs>
          <w:tab w:val="num" w:pos="2520"/>
        </w:tabs>
        <w:ind w:left="252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4">
      <w:start w:val="1"/>
      <w:numFmt w:val="bullet"/>
      <w:lvlText w:val="o"/>
      <w:lvlJc w:val="left"/>
      <w:pPr>
        <w:tabs>
          <w:tab w:val="num" w:pos="3240"/>
        </w:tabs>
        <w:ind w:left="324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5">
      <w:start w:val="1"/>
      <w:numFmt w:val="bullet"/>
      <w:lvlText w:val="▪"/>
      <w:lvlJc w:val="left"/>
      <w:pPr>
        <w:tabs>
          <w:tab w:val="num" w:pos="3960"/>
        </w:tabs>
        <w:ind w:left="396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6">
      <w:start w:val="1"/>
      <w:numFmt w:val="bullet"/>
      <w:lvlText w:val="•"/>
      <w:lvlJc w:val="left"/>
      <w:pPr>
        <w:tabs>
          <w:tab w:val="num" w:pos="4680"/>
        </w:tabs>
        <w:ind w:left="468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7">
      <w:start w:val="1"/>
      <w:numFmt w:val="bullet"/>
      <w:lvlText w:val="o"/>
      <w:lvlJc w:val="left"/>
      <w:pPr>
        <w:tabs>
          <w:tab w:val="num" w:pos="5400"/>
        </w:tabs>
        <w:ind w:left="540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8">
      <w:start w:val="1"/>
      <w:numFmt w:val="bullet"/>
      <w:lvlText w:val="▪"/>
      <w:lvlJc w:val="left"/>
      <w:pPr>
        <w:tabs>
          <w:tab w:val="num" w:pos="6120"/>
        </w:tabs>
        <w:ind w:left="612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abstractNum>
  <w:abstractNum w:abstractNumId="33">
    <w:nsid w:val="354D0B7D"/>
    <w:multiLevelType w:val="hybridMultilevel"/>
    <w:tmpl w:val="D5D279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35D0361B"/>
    <w:multiLevelType w:val="multilevel"/>
    <w:tmpl w:val="C5CA69B6"/>
    <w:styleLink w:val="List7"/>
    <w:lvl w:ilvl="0">
      <w:start w:val="1"/>
      <w:numFmt w:val="bullet"/>
      <w:lvlText w:val="•"/>
      <w:lvlJc w:val="left"/>
      <w:pPr>
        <w:tabs>
          <w:tab w:val="num" w:pos="360"/>
        </w:tabs>
        <w:ind w:left="360" w:hanging="360"/>
      </w:pPr>
      <w:rPr>
        <w:rFonts w:ascii="Trebuchet MS" w:eastAsia="Trebuchet MS" w:hAnsi="Trebuchet MS" w:cs="Trebuchet MS"/>
        <w:b/>
        <w:bCs/>
        <w:color w:val="000000"/>
        <w:position w:val="0"/>
        <w:sz w:val="22"/>
        <w:szCs w:val="22"/>
      </w:rPr>
    </w:lvl>
    <w:lvl w:ilvl="1">
      <w:start w:val="1"/>
      <w:numFmt w:val="bullet"/>
      <w:lvlText w:val="o"/>
      <w:lvlJc w:val="left"/>
      <w:pPr>
        <w:tabs>
          <w:tab w:val="num" w:pos="116"/>
        </w:tabs>
      </w:pPr>
      <w:rPr>
        <w:rFonts w:ascii="Calibri" w:eastAsia="Calibri" w:hAnsi="Calibri" w:cs="Calibri"/>
        <w:b/>
        <w:bCs/>
        <w:color w:val="000000"/>
        <w:position w:val="0"/>
        <w:sz w:val="24"/>
        <w:szCs w:val="24"/>
      </w:rPr>
    </w:lvl>
    <w:lvl w:ilvl="2">
      <w:start w:val="1"/>
      <w:numFmt w:val="bullet"/>
      <w:lvlText w:val="▪"/>
      <w:lvlJc w:val="left"/>
      <w:pPr>
        <w:tabs>
          <w:tab w:val="num" w:pos="116"/>
        </w:tabs>
      </w:pPr>
      <w:rPr>
        <w:rFonts w:ascii="Calibri" w:eastAsia="Calibri" w:hAnsi="Calibri" w:cs="Calibri"/>
        <w:b/>
        <w:bCs/>
        <w:color w:val="000000"/>
        <w:position w:val="0"/>
        <w:sz w:val="24"/>
        <w:szCs w:val="24"/>
      </w:rPr>
    </w:lvl>
    <w:lvl w:ilvl="3">
      <w:start w:val="1"/>
      <w:numFmt w:val="bullet"/>
      <w:lvlText w:val="•"/>
      <w:lvlJc w:val="left"/>
      <w:pPr>
        <w:tabs>
          <w:tab w:val="num" w:pos="116"/>
        </w:tabs>
      </w:pPr>
      <w:rPr>
        <w:rFonts w:ascii="Calibri" w:eastAsia="Calibri" w:hAnsi="Calibri" w:cs="Calibri"/>
        <w:b/>
        <w:bCs/>
        <w:color w:val="000000"/>
        <w:position w:val="0"/>
        <w:sz w:val="24"/>
        <w:szCs w:val="24"/>
      </w:rPr>
    </w:lvl>
    <w:lvl w:ilvl="4">
      <w:start w:val="1"/>
      <w:numFmt w:val="bullet"/>
      <w:lvlText w:val="o"/>
      <w:lvlJc w:val="left"/>
      <w:pPr>
        <w:tabs>
          <w:tab w:val="num" w:pos="116"/>
        </w:tabs>
      </w:pPr>
      <w:rPr>
        <w:rFonts w:ascii="Calibri" w:eastAsia="Calibri" w:hAnsi="Calibri" w:cs="Calibri"/>
        <w:b/>
        <w:bCs/>
        <w:color w:val="000000"/>
        <w:position w:val="0"/>
        <w:sz w:val="24"/>
        <w:szCs w:val="24"/>
      </w:rPr>
    </w:lvl>
    <w:lvl w:ilvl="5">
      <w:start w:val="1"/>
      <w:numFmt w:val="bullet"/>
      <w:lvlText w:val="▪"/>
      <w:lvlJc w:val="left"/>
      <w:pPr>
        <w:tabs>
          <w:tab w:val="num" w:pos="116"/>
        </w:tabs>
      </w:pPr>
      <w:rPr>
        <w:rFonts w:ascii="Calibri" w:eastAsia="Calibri" w:hAnsi="Calibri" w:cs="Calibri"/>
        <w:b/>
        <w:bCs/>
        <w:color w:val="000000"/>
        <w:position w:val="0"/>
        <w:sz w:val="24"/>
        <w:szCs w:val="24"/>
      </w:rPr>
    </w:lvl>
    <w:lvl w:ilvl="6">
      <w:start w:val="1"/>
      <w:numFmt w:val="bullet"/>
      <w:lvlText w:val="•"/>
      <w:lvlJc w:val="left"/>
      <w:pPr>
        <w:tabs>
          <w:tab w:val="num" w:pos="116"/>
        </w:tabs>
      </w:pPr>
      <w:rPr>
        <w:rFonts w:ascii="Calibri" w:eastAsia="Calibri" w:hAnsi="Calibri" w:cs="Calibri"/>
        <w:b/>
        <w:bCs/>
        <w:color w:val="000000"/>
        <w:position w:val="0"/>
        <w:sz w:val="24"/>
        <w:szCs w:val="24"/>
      </w:rPr>
    </w:lvl>
    <w:lvl w:ilvl="7">
      <w:start w:val="1"/>
      <w:numFmt w:val="bullet"/>
      <w:lvlText w:val="o"/>
      <w:lvlJc w:val="left"/>
      <w:pPr>
        <w:tabs>
          <w:tab w:val="num" w:pos="116"/>
        </w:tabs>
      </w:pPr>
      <w:rPr>
        <w:rFonts w:ascii="Calibri" w:eastAsia="Calibri" w:hAnsi="Calibri" w:cs="Calibri"/>
        <w:b/>
        <w:bCs/>
        <w:color w:val="000000"/>
        <w:position w:val="0"/>
        <w:sz w:val="24"/>
        <w:szCs w:val="24"/>
      </w:rPr>
    </w:lvl>
    <w:lvl w:ilvl="8">
      <w:start w:val="1"/>
      <w:numFmt w:val="bullet"/>
      <w:lvlText w:val="▪"/>
      <w:lvlJc w:val="left"/>
      <w:pPr>
        <w:tabs>
          <w:tab w:val="num" w:pos="116"/>
        </w:tabs>
      </w:pPr>
      <w:rPr>
        <w:rFonts w:ascii="Calibri" w:eastAsia="Calibri" w:hAnsi="Calibri" w:cs="Calibri"/>
        <w:b/>
        <w:bCs/>
        <w:color w:val="000000"/>
        <w:position w:val="0"/>
        <w:sz w:val="24"/>
        <w:szCs w:val="24"/>
      </w:rPr>
    </w:lvl>
  </w:abstractNum>
  <w:abstractNum w:abstractNumId="35">
    <w:nsid w:val="37493D0B"/>
    <w:multiLevelType w:val="multilevel"/>
    <w:tmpl w:val="369A2C7C"/>
    <w:styleLink w:val="List13"/>
    <w:lvl w:ilvl="0">
      <w:start w:val="1"/>
      <w:numFmt w:val="bullet"/>
      <w:lvlText w:val="•"/>
      <w:lvlJc w:val="left"/>
      <w:rPr>
        <w:rFonts w:ascii="Trebuchet MS" w:eastAsia="Trebuchet MS" w:hAnsi="Trebuchet MS" w:cs="Trebuchet MS"/>
        <w:b/>
        <w:bCs/>
        <w:color w:val="000000"/>
        <w:position w:val="0"/>
      </w:rPr>
    </w:lvl>
    <w:lvl w:ilvl="1">
      <w:start w:val="1"/>
      <w:numFmt w:val="bullet"/>
      <w:lvlText w:val="o"/>
      <w:lvlJc w:val="left"/>
      <w:rPr>
        <w:rFonts w:ascii="Calibri" w:eastAsia="Calibri" w:hAnsi="Calibri" w:cs="Calibri"/>
        <w:b/>
        <w:bCs/>
        <w:color w:val="000000"/>
        <w:position w:val="0"/>
      </w:rPr>
    </w:lvl>
    <w:lvl w:ilvl="2">
      <w:start w:val="1"/>
      <w:numFmt w:val="bullet"/>
      <w:lvlText w:val="▪"/>
      <w:lvlJc w:val="left"/>
      <w:rPr>
        <w:rFonts w:ascii="Calibri" w:eastAsia="Calibri" w:hAnsi="Calibri" w:cs="Calibri"/>
        <w:b/>
        <w:bCs/>
        <w:color w:val="000000"/>
        <w:position w:val="0"/>
      </w:rPr>
    </w:lvl>
    <w:lvl w:ilvl="3">
      <w:start w:val="1"/>
      <w:numFmt w:val="bullet"/>
      <w:lvlText w:val="•"/>
      <w:lvlJc w:val="left"/>
      <w:rPr>
        <w:rFonts w:ascii="Calibri" w:eastAsia="Calibri" w:hAnsi="Calibri" w:cs="Calibri"/>
        <w:b/>
        <w:bCs/>
        <w:color w:val="000000"/>
        <w:position w:val="0"/>
      </w:rPr>
    </w:lvl>
    <w:lvl w:ilvl="4">
      <w:start w:val="1"/>
      <w:numFmt w:val="bullet"/>
      <w:lvlText w:val="o"/>
      <w:lvlJc w:val="left"/>
      <w:rPr>
        <w:rFonts w:ascii="Calibri" w:eastAsia="Calibri" w:hAnsi="Calibri" w:cs="Calibri"/>
        <w:b/>
        <w:bCs/>
        <w:color w:val="000000"/>
        <w:position w:val="0"/>
      </w:rPr>
    </w:lvl>
    <w:lvl w:ilvl="5">
      <w:start w:val="1"/>
      <w:numFmt w:val="bullet"/>
      <w:lvlText w:val="▪"/>
      <w:lvlJc w:val="left"/>
      <w:rPr>
        <w:rFonts w:ascii="Calibri" w:eastAsia="Calibri" w:hAnsi="Calibri" w:cs="Calibri"/>
        <w:b/>
        <w:bCs/>
        <w:color w:val="000000"/>
        <w:position w:val="0"/>
      </w:rPr>
    </w:lvl>
    <w:lvl w:ilvl="6">
      <w:start w:val="1"/>
      <w:numFmt w:val="bullet"/>
      <w:lvlText w:val="•"/>
      <w:lvlJc w:val="left"/>
      <w:rPr>
        <w:rFonts w:ascii="Calibri" w:eastAsia="Calibri" w:hAnsi="Calibri" w:cs="Calibri"/>
        <w:b/>
        <w:bCs/>
        <w:color w:val="000000"/>
        <w:position w:val="0"/>
      </w:rPr>
    </w:lvl>
    <w:lvl w:ilvl="7">
      <w:start w:val="1"/>
      <w:numFmt w:val="bullet"/>
      <w:lvlText w:val="o"/>
      <w:lvlJc w:val="left"/>
      <w:rPr>
        <w:rFonts w:ascii="Calibri" w:eastAsia="Calibri" w:hAnsi="Calibri" w:cs="Calibri"/>
        <w:b/>
        <w:bCs/>
        <w:color w:val="000000"/>
        <w:position w:val="0"/>
      </w:rPr>
    </w:lvl>
    <w:lvl w:ilvl="8">
      <w:start w:val="1"/>
      <w:numFmt w:val="bullet"/>
      <w:lvlText w:val="▪"/>
      <w:lvlJc w:val="left"/>
      <w:rPr>
        <w:rFonts w:ascii="Calibri" w:eastAsia="Calibri" w:hAnsi="Calibri" w:cs="Calibri"/>
        <w:b/>
        <w:bCs/>
        <w:color w:val="000000"/>
        <w:position w:val="0"/>
      </w:rPr>
    </w:lvl>
  </w:abstractNum>
  <w:abstractNum w:abstractNumId="36">
    <w:nsid w:val="38C064A9"/>
    <w:multiLevelType w:val="hybridMultilevel"/>
    <w:tmpl w:val="EAFEA5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3AE119CC"/>
    <w:multiLevelType w:val="multilevel"/>
    <w:tmpl w:val="CA440E74"/>
    <w:styleLink w:val="List8"/>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2"/>
        <w:szCs w:val="22"/>
      </w:rPr>
    </w:lvl>
    <w:lvl w:ilvl="1">
      <w:start w:val="1"/>
      <w:numFmt w:val="bullet"/>
      <w:lvlText w:val="o"/>
      <w:lvlJc w:val="left"/>
      <w:pPr>
        <w:tabs>
          <w:tab w:val="num" w:pos="116"/>
        </w:tabs>
      </w:pPr>
      <w:rPr>
        <w:rFonts w:ascii="Calibri" w:eastAsia="Calibri" w:hAnsi="Calibri" w:cs="Calibri"/>
        <w:b/>
        <w:bCs/>
        <w:color w:val="000000"/>
        <w:position w:val="0"/>
        <w:sz w:val="24"/>
        <w:szCs w:val="24"/>
      </w:rPr>
    </w:lvl>
    <w:lvl w:ilvl="2">
      <w:start w:val="1"/>
      <w:numFmt w:val="bullet"/>
      <w:lvlText w:val="▪"/>
      <w:lvlJc w:val="left"/>
      <w:pPr>
        <w:tabs>
          <w:tab w:val="num" w:pos="116"/>
        </w:tabs>
      </w:pPr>
      <w:rPr>
        <w:rFonts w:ascii="Calibri" w:eastAsia="Calibri" w:hAnsi="Calibri" w:cs="Calibri"/>
        <w:b/>
        <w:bCs/>
        <w:color w:val="000000"/>
        <w:position w:val="0"/>
        <w:sz w:val="24"/>
        <w:szCs w:val="24"/>
      </w:rPr>
    </w:lvl>
    <w:lvl w:ilvl="3">
      <w:start w:val="1"/>
      <w:numFmt w:val="bullet"/>
      <w:lvlText w:val="•"/>
      <w:lvlJc w:val="left"/>
      <w:pPr>
        <w:tabs>
          <w:tab w:val="num" w:pos="116"/>
        </w:tabs>
      </w:pPr>
      <w:rPr>
        <w:rFonts w:ascii="Calibri" w:eastAsia="Calibri" w:hAnsi="Calibri" w:cs="Calibri"/>
        <w:b/>
        <w:bCs/>
        <w:color w:val="000000"/>
        <w:position w:val="0"/>
        <w:sz w:val="24"/>
        <w:szCs w:val="24"/>
      </w:rPr>
    </w:lvl>
    <w:lvl w:ilvl="4">
      <w:start w:val="1"/>
      <w:numFmt w:val="bullet"/>
      <w:lvlText w:val="o"/>
      <w:lvlJc w:val="left"/>
      <w:pPr>
        <w:tabs>
          <w:tab w:val="num" w:pos="116"/>
        </w:tabs>
      </w:pPr>
      <w:rPr>
        <w:rFonts w:ascii="Calibri" w:eastAsia="Calibri" w:hAnsi="Calibri" w:cs="Calibri"/>
        <w:b/>
        <w:bCs/>
        <w:color w:val="000000"/>
        <w:position w:val="0"/>
        <w:sz w:val="24"/>
        <w:szCs w:val="24"/>
      </w:rPr>
    </w:lvl>
    <w:lvl w:ilvl="5">
      <w:start w:val="1"/>
      <w:numFmt w:val="bullet"/>
      <w:lvlText w:val="▪"/>
      <w:lvlJc w:val="left"/>
      <w:pPr>
        <w:tabs>
          <w:tab w:val="num" w:pos="116"/>
        </w:tabs>
      </w:pPr>
      <w:rPr>
        <w:rFonts w:ascii="Calibri" w:eastAsia="Calibri" w:hAnsi="Calibri" w:cs="Calibri"/>
        <w:b/>
        <w:bCs/>
        <w:color w:val="000000"/>
        <w:position w:val="0"/>
        <w:sz w:val="24"/>
        <w:szCs w:val="24"/>
      </w:rPr>
    </w:lvl>
    <w:lvl w:ilvl="6">
      <w:start w:val="1"/>
      <w:numFmt w:val="bullet"/>
      <w:lvlText w:val="•"/>
      <w:lvlJc w:val="left"/>
      <w:pPr>
        <w:tabs>
          <w:tab w:val="num" w:pos="116"/>
        </w:tabs>
      </w:pPr>
      <w:rPr>
        <w:rFonts w:ascii="Calibri" w:eastAsia="Calibri" w:hAnsi="Calibri" w:cs="Calibri"/>
        <w:b/>
        <w:bCs/>
        <w:color w:val="000000"/>
        <w:position w:val="0"/>
        <w:sz w:val="24"/>
        <w:szCs w:val="24"/>
      </w:rPr>
    </w:lvl>
    <w:lvl w:ilvl="7">
      <w:start w:val="1"/>
      <w:numFmt w:val="bullet"/>
      <w:lvlText w:val="o"/>
      <w:lvlJc w:val="left"/>
      <w:pPr>
        <w:tabs>
          <w:tab w:val="num" w:pos="116"/>
        </w:tabs>
      </w:pPr>
      <w:rPr>
        <w:rFonts w:ascii="Calibri" w:eastAsia="Calibri" w:hAnsi="Calibri" w:cs="Calibri"/>
        <w:b/>
        <w:bCs/>
        <w:color w:val="000000"/>
        <w:position w:val="0"/>
        <w:sz w:val="24"/>
        <w:szCs w:val="24"/>
      </w:rPr>
    </w:lvl>
    <w:lvl w:ilvl="8">
      <w:start w:val="1"/>
      <w:numFmt w:val="bullet"/>
      <w:lvlText w:val="▪"/>
      <w:lvlJc w:val="left"/>
      <w:pPr>
        <w:tabs>
          <w:tab w:val="num" w:pos="116"/>
        </w:tabs>
      </w:pPr>
      <w:rPr>
        <w:rFonts w:ascii="Calibri" w:eastAsia="Calibri" w:hAnsi="Calibri" w:cs="Calibri"/>
        <w:b/>
        <w:bCs/>
        <w:color w:val="000000"/>
        <w:position w:val="0"/>
        <w:sz w:val="24"/>
        <w:szCs w:val="24"/>
      </w:rPr>
    </w:lvl>
  </w:abstractNum>
  <w:abstractNum w:abstractNumId="38">
    <w:nsid w:val="3C733D05"/>
    <w:multiLevelType w:val="hybridMultilevel"/>
    <w:tmpl w:val="58EA9E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3D0768FB"/>
    <w:multiLevelType w:val="hybridMultilevel"/>
    <w:tmpl w:val="FBAEFE72"/>
    <w:lvl w:ilvl="0" w:tplc="A6D84CBA">
      <w:start w:val="1"/>
      <w:numFmt w:val="bullet"/>
      <w:pStyle w:val="ListBullet31"/>
      <w:lvlText w:val=""/>
      <w:lvlJc w:val="left"/>
      <w:pPr>
        <w:ind w:left="1409" w:hanging="360"/>
      </w:pPr>
      <w:rPr>
        <w:rFonts w:ascii="Wingdings" w:hAnsi="Wingdings" w:hint="default"/>
        <w:b/>
        <w:i w:val="0"/>
        <w:sz w:val="20"/>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40">
    <w:nsid w:val="3E940038"/>
    <w:multiLevelType w:val="hybridMultilevel"/>
    <w:tmpl w:val="3A72AD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3F933123"/>
    <w:multiLevelType w:val="multilevel"/>
    <w:tmpl w:val="96FA96B4"/>
    <w:styleLink w:val="List14"/>
    <w:lvl w:ilvl="0">
      <w:start w:val="1"/>
      <w:numFmt w:val="bullet"/>
      <w:lvlText w:val="-"/>
      <w:lvlJc w:val="left"/>
      <w:pPr>
        <w:tabs>
          <w:tab w:val="num" w:pos="792"/>
        </w:tabs>
        <w:ind w:left="792" w:hanging="432"/>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abstractNum>
  <w:abstractNum w:abstractNumId="42">
    <w:nsid w:val="41870D53"/>
    <w:multiLevelType w:val="hybridMultilevel"/>
    <w:tmpl w:val="5906CA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42BE2630"/>
    <w:multiLevelType w:val="multilevel"/>
    <w:tmpl w:val="630C2D68"/>
    <w:styleLink w:val="List1"/>
    <w:lvl w:ilvl="0">
      <w:start w:val="1"/>
      <w:numFmt w:val="bullet"/>
      <w:lvlText w:val="•"/>
      <w:lvlJc w:val="left"/>
      <w:pPr>
        <w:tabs>
          <w:tab w:val="num" w:pos="116"/>
        </w:tabs>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1">
      <w:start w:val="1"/>
      <w:numFmt w:val="bullet"/>
      <w:lvlText w:val="▪"/>
      <w:lvlJc w:val="left"/>
      <w:pPr>
        <w:tabs>
          <w:tab w:val="num" w:pos="116"/>
        </w:tabs>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2">
      <w:numFmt w:val="bullet"/>
      <w:lvlText w:val="-"/>
      <w:lvlJc w:val="left"/>
      <w:pPr>
        <w:tabs>
          <w:tab w:val="num" w:pos="1800"/>
        </w:tabs>
        <w:ind w:left="1800" w:hanging="360"/>
      </w:pPr>
      <w:rPr>
        <w:rFonts w:ascii="Trebuchet MS" w:eastAsia="Trebuchet MS" w:hAnsi="Trebuchet MS" w:cs="Trebuchet MS"/>
        <w:caps w:val="0"/>
        <w:smallCaps w:val="0"/>
        <w:strike w:val="0"/>
        <w:dstrike w:val="0"/>
        <w:outline w:val="0"/>
        <w:color w:val="000000"/>
        <w:spacing w:val="0"/>
        <w:kern w:val="0"/>
        <w:position w:val="0"/>
        <w:sz w:val="24"/>
        <w:szCs w:val="24"/>
        <w:u w:val="none" w:color="000000"/>
        <w:vertAlign w:val="baseline"/>
        <w:lang w:val="en-US"/>
      </w:rPr>
    </w:lvl>
    <w:lvl w:ilvl="3">
      <w:start w:val="1"/>
      <w:numFmt w:val="bullet"/>
      <w:lvlText w:val="•"/>
      <w:lvlJc w:val="left"/>
      <w:pPr>
        <w:tabs>
          <w:tab w:val="num" w:pos="116"/>
        </w:tabs>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4">
      <w:start w:val="1"/>
      <w:numFmt w:val="bullet"/>
      <w:lvlText w:val="o"/>
      <w:lvlJc w:val="left"/>
      <w:pPr>
        <w:tabs>
          <w:tab w:val="num" w:pos="116"/>
        </w:tabs>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5">
      <w:start w:val="1"/>
      <w:numFmt w:val="bullet"/>
      <w:lvlText w:val="▪"/>
      <w:lvlJc w:val="left"/>
      <w:pPr>
        <w:tabs>
          <w:tab w:val="num" w:pos="116"/>
        </w:tabs>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6">
      <w:start w:val="1"/>
      <w:numFmt w:val="bullet"/>
      <w:lvlText w:val="•"/>
      <w:lvlJc w:val="left"/>
      <w:pPr>
        <w:tabs>
          <w:tab w:val="num" w:pos="116"/>
        </w:tabs>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7">
      <w:start w:val="1"/>
      <w:numFmt w:val="bullet"/>
      <w:lvlText w:val="o"/>
      <w:lvlJc w:val="left"/>
      <w:pPr>
        <w:tabs>
          <w:tab w:val="num" w:pos="116"/>
        </w:tabs>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8">
      <w:start w:val="1"/>
      <w:numFmt w:val="bullet"/>
      <w:lvlText w:val="▪"/>
      <w:lvlJc w:val="left"/>
      <w:pPr>
        <w:tabs>
          <w:tab w:val="num" w:pos="116"/>
        </w:tabs>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abstractNum>
  <w:abstractNum w:abstractNumId="44">
    <w:nsid w:val="45CB45CC"/>
    <w:multiLevelType w:val="hybridMultilevel"/>
    <w:tmpl w:val="F194662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5">
    <w:nsid w:val="48E3033D"/>
    <w:multiLevelType w:val="multilevel"/>
    <w:tmpl w:val="C802A77A"/>
    <w:styleLink w:val="List11"/>
    <w:lvl w:ilvl="0">
      <w:start w:val="1"/>
      <w:numFmt w:val="bullet"/>
      <w:lvlText w:val="•"/>
      <w:lvlJc w:val="left"/>
      <w:pPr>
        <w:tabs>
          <w:tab w:val="num" w:pos="357"/>
        </w:tabs>
        <w:ind w:left="357" w:hanging="357"/>
      </w:pPr>
      <w:rPr>
        <w:rFonts w:ascii="Trebuchet MS" w:eastAsia="Trebuchet MS" w:hAnsi="Trebuchet MS" w:cs="Trebuchet MS"/>
        <w:b/>
        <w:bCs/>
        <w:color w:val="000000"/>
        <w:position w:val="0"/>
        <w:sz w:val="22"/>
        <w:szCs w:val="22"/>
      </w:rPr>
    </w:lvl>
    <w:lvl w:ilvl="1">
      <w:start w:val="1"/>
      <w:numFmt w:val="bullet"/>
      <w:lvlText w:val="o"/>
      <w:lvlJc w:val="left"/>
      <w:pPr>
        <w:tabs>
          <w:tab w:val="num" w:pos="116"/>
        </w:tabs>
      </w:pPr>
      <w:rPr>
        <w:rFonts w:ascii="Calibri" w:eastAsia="Calibri" w:hAnsi="Calibri" w:cs="Calibri"/>
        <w:b/>
        <w:bCs/>
        <w:color w:val="000000"/>
        <w:position w:val="0"/>
        <w:sz w:val="24"/>
        <w:szCs w:val="24"/>
      </w:rPr>
    </w:lvl>
    <w:lvl w:ilvl="2">
      <w:start w:val="1"/>
      <w:numFmt w:val="bullet"/>
      <w:lvlText w:val="▪"/>
      <w:lvlJc w:val="left"/>
      <w:pPr>
        <w:tabs>
          <w:tab w:val="num" w:pos="116"/>
        </w:tabs>
      </w:pPr>
      <w:rPr>
        <w:rFonts w:ascii="Calibri" w:eastAsia="Calibri" w:hAnsi="Calibri" w:cs="Calibri"/>
        <w:b/>
        <w:bCs/>
        <w:color w:val="000000"/>
        <w:position w:val="0"/>
        <w:sz w:val="24"/>
        <w:szCs w:val="24"/>
      </w:rPr>
    </w:lvl>
    <w:lvl w:ilvl="3">
      <w:start w:val="1"/>
      <w:numFmt w:val="bullet"/>
      <w:lvlText w:val="•"/>
      <w:lvlJc w:val="left"/>
      <w:pPr>
        <w:tabs>
          <w:tab w:val="num" w:pos="116"/>
        </w:tabs>
      </w:pPr>
      <w:rPr>
        <w:rFonts w:ascii="Calibri" w:eastAsia="Calibri" w:hAnsi="Calibri" w:cs="Calibri"/>
        <w:b/>
        <w:bCs/>
        <w:color w:val="000000"/>
        <w:position w:val="0"/>
        <w:sz w:val="24"/>
        <w:szCs w:val="24"/>
      </w:rPr>
    </w:lvl>
    <w:lvl w:ilvl="4">
      <w:start w:val="1"/>
      <w:numFmt w:val="bullet"/>
      <w:lvlText w:val="o"/>
      <w:lvlJc w:val="left"/>
      <w:pPr>
        <w:tabs>
          <w:tab w:val="num" w:pos="116"/>
        </w:tabs>
      </w:pPr>
      <w:rPr>
        <w:rFonts w:ascii="Calibri" w:eastAsia="Calibri" w:hAnsi="Calibri" w:cs="Calibri"/>
        <w:b/>
        <w:bCs/>
        <w:color w:val="000000"/>
        <w:position w:val="0"/>
        <w:sz w:val="24"/>
        <w:szCs w:val="24"/>
      </w:rPr>
    </w:lvl>
    <w:lvl w:ilvl="5">
      <w:start w:val="1"/>
      <w:numFmt w:val="bullet"/>
      <w:lvlText w:val="▪"/>
      <w:lvlJc w:val="left"/>
      <w:pPr>
        <w:tabs>
          <w:tab w:val="num" w:pos="116"/>
        </w:tabs>
      </w:pPr>
      <w:rPr>
        <w:rFonts w:ascii="Calibri" w:eastAsia="Calibri" w:hAnsi="Calibri" w:cs="Calibri"/>
        <w:b/>
        <w:bCs/>
        <w:color w:val="000000"/>
        <w:position w:val="0"/>
        <w:sz w:val="24"/>
        <w:szCs w:val="24"/>
      </w:rPr>
    </w:lvl>
    <w:lvl w:ilvl="6">
      <w:start w:val="1"/>
      <w:numFmt w:val="bullet"/>
      <w:lvlText w:val="•"/>
      <w:lvlJc w:val="left"/>
      <w:pPr>
        <w:tabs>
          <w:tab w:val="num" w:pos="116"/>
        </w:tabs>
      </w:pPr>
      <w:rPr>
        <w:rFonts w:ascii="Calibri" w:eastAsia="Calibri" w:hAnsi="Calibri" w:cs="Calibri"/>
        <w:b/>
        <w:bCs/>
        <w:color w:val="000000"/>
        <w:position w:val="0"/>
        <w:sz w:val="24"/>
        <w:szCs w:val="24"/>
      </w:rPr>
    </w:lvl>
    <w:lvl w:ilvl="7">
      <w:start w:val="1"/>
      <w:numFmt w:val="bullet"/>
      <w:lvlText w:val="o"/>
      <w:lvlJc w:val="left"/>
      <w:pPr>
        <w:tabs>
          <w:tab w:val="num" w:pos="116"/>
        </w:tabs>
      </w:pPr>
      <w:rPr>
        <w:rFonts w:ascii="Calibri" w:eastAsia="Calibri" w:hAnsi="Calibri" w:cs="Calibri"/>
        <w:b/>
        <w:bCs/>
        <w:color w:val="000000"/>
        <w:position w:val="0"/>
        <w:sz w:val="24"/>
        <w:szCs w:val="24"/>
      </w:rPr>
    </w:lvl>
    <w:lvl w:ilvl="8">
      <w:start w:val="1"/>
      <w:numFmt w:val="bullet"/>
      <w:lvlText w:val="▪"/>
      <w:lvlJc w:val="left"/>
      <w:pPr>
        <w:tabs>
          <w:tab w:val="num" w:pos="116"/>
        </w:tabs>
      </w:pPr>
      <w:rPr>
        <w:rFonts w:ascii="Calibri" w:eastAsia="Calibri" w:hAnsi="Calibri" w:cs="Calibri"/>
        <w:b/>
        <w:bCs/>
        <w:color w:val="000000"/>
        <w:position w:val="0"/>
        <w:sz w:val="24"/>
        <w:szCs w:val="24"/>
      </w:rPr>
    </w:lvl>
  </w:abstractNum>
  <w:abstractNum w:abstractNumId="46">
    <w:nsid w:val="49645592"/>
    <w:multiLevelType w:val="hybridMultilevel"/>
    <w:tmpl w:val="FE0E0B3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nsid w:val="49A0326A"/>
    <w:multiLevelType w:val="multilevel"/>
    <w:tmpl w:val="733071B2"/>
    <w:styleLink w:val="List15"/>
    <w:lvl w:ilvl="0">
      <w:start w:val="1"/>
      <w:numFmt w:val="bullet"/>
      <w:lvlText w:val="•"/>
      <w:lvlJc w:val="left"/>
      <w:rPr>
        <w:rFonts w:ascii="Trebuchet MS" w:eastAsia="Trebuchet MS" w:hAnsi="Trebuchet MS" w:cs="Trebuchet MS"/>
        <w:color w:val="000000"/>
        <w:position w:val="0"/>
      </w:rPr>
    </w:lvl>
    <w:lvl w:ilvl="1">
      <w:start w:val="1"/>
      <w:numFmt w:val="bullet"/>
      <w:lvlText w:val="o"/>
      <w:lvlJc w:val="left"/>
      <w:rPr>
        <w:rFonts w:ascii="Calibri" w:eastAsia="Calibri" w:hAnsi="Calibri" w:cs="Calibri"/>
        <w:color w:val="000000"/>
        <w:position w:val="0"/>
      </w:rPr>
    </w:lvl>
    <w:lvl w:ilvl="2">
      <w:start w:val="1"/>
      <w:numFmt w:val="bullet"/>
      <w:lvlText w:val="▪"/>
      <w:lvlJc w:val="left"/>
      <w:rPr>
        <w:rFonts w:ascii="Calibri" w:eastAsia="Calibri" w:hAnsi="Calibri" w:cs="Calibri"/>
        <w:color w:val="000000"/>
        <w:position w:val="0"/>
      </w:rPr>
    </w:lvl>
    <w:lvl w:ilvl="3">
      <w:start w:val="1"/>
      <w:numFmt w:val="bullet"/>
      <w:lvlText w:val="•"/>
      <w:lvlJc w:val="left"/>
      <w:rPr>
        <w:rFonts w:ascii="Calibri" w:eastAsia="Calibri" w:hAnsi="Calibri" w:cs="Calibri"/>
        <w:color w:val="000000"/>
        <w:position w:val="0"/>
      </w:rPr>
    </w:lvl>
    <w:lvl w:ilvl="4">
      <w:start w:val="1"/>
      <w:numFmt w:val="bullet"/>
      <w:lvlText w:val="o"/>
      <w:lvlJc w:val="left"/>
      <w:rPr>
        <w:rFonts w:ascii="Calibri" w:eastAsia="Calibri" w:hAnsi="Calibri" w:cs="Calibri"/>
        <w:color w:val="000000"/>
        <w:position w:val="0"/>
      </w:rPr>
    </w:lvl>
    <w:lvl w:ilvl="5">
      <w:start w:val="1"/>
      <w:numFmt w:val="bullet"/>
      <w:lvlText w:val="▪"/>
      <w:lvlJc w:val="left"/>
      <w:rPr>
        <w:rFonts w:ascii="Calibri" w:eastAsia="Calibri" w:hAnsi="Calibri" w:cs="Calibri"/>
        <w:color w:val="000000"/>
        <w:position w:val="0"/>
      </w:rPr>
    </w:lvl>
    <w:lvl w:ilvl="6">
      <w:start w:val="1"/>
      <w:numFmt w:val="bullet"/>
      <w:lvlText w:val="•"/>
      <w:lvlJc w:val="left"/>
      <w:rPr>
        <w:rFonts w:ascii="Calibri" w:eastAsia="Calibri" w:hAnsi="Calibri" w:cs="Calibri"/>
        <w:color w:val="000000"/>
        <w:position w:val="0"/>
      </w:rPr>
    </w:lvl>
    <w:lvl w:ilvl="7">
      <w:start w:val="1"/>
      <w:numFmt w:val="bullet"/>
      <w:lvlText w:val="o"/>
      <w:lvlJc w:val="left"/>
      <w:rPr>
        <w:rFonts w:ascii="Calibri" w:eastAsia="Calibri" w:hAnsi="Calibri" w:cs="Calibri"/>
        <w:color w:val="000000"/>
        <w:position w:val="0"/>
      </w:rPr>
    </w:lvl>
    <w:lvl w:ilvl="8">
      <w:start w:val="1"/>
      <w:numFmt w:val="bullet"/>
      <w:lvlText w:val="▪"/>
      <w:lvlJc w:val="left"/>
      <w:rPr>
        <w:rFonts w:ascii="Calibri" w:eastAsia="Calibri" w:hAnsi="Calibri" w:cs="Calibri"/>
        <w:color w:val="000000"/>
        <w:position w:val="0"/>
      </w:rPr>
    </w:lvl>
  </w:abstractNum>
  <w:abstractNum w:abstractNumId="48">
    <w:nsid w:val="4B4F4EFD"/>
    <w:multiLevelType w:val="hybridMultilevel"/>
    <w:tmpl w:val="E8C800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nsid w:val="4CAB0BE6"/>
    <w:multiLevelType w:val="hybridMultilevel"/>
    <w:tmpl w:val="657A8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nsid w:val="4E28165A"/>
    <w:multiLevelType w:val="hybridMultilevel"/>
    <w:tmpl w:val="849E48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nsid w:val="4E6128C5"/>
    <w:multiLevelType w:val="hybridMultilevel"/>
    <w:tmpl w:val="17E40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nsid w:val="50FD3215"/>
    <w:multiLevelType w:val="hybridMultilevel"/>
    <w:tmpl w:val="30D26B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nsid w:val="51060878"/>
    <w:multiLevelType w:val="hybridMultilevel"/>
    <w:tmpl w:val="4D089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nsid w:val="542970EA"/>
    <w:multiLevelType w:val="hybridMultilevel"/>
    <w:tmpl w:val="29CCFB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nsid w:val="54C01569"/>
    <w:multiLevelType w:val="multilevel"/>
    <w:tmpl w:val="08829BFA"/>
    <w:styleLink w:val="List6"/>
    <w:lvl w:ilvl="0">
      <w:start w:val="1"/>
      <w:numFmt w:val="bullet"/>
      <w:lvlText w:val="•"/>
      <w:lvlJc w:val="left"/>
      <w:pPr>
        <w:tabs>
          <w:tab w:val="num" w:pos="360"/>
        </w:tabs>
        <w:ind w:left="360" w:hanging="360"/>
      </w:pPr>
      <w:rPr>
        <w:rFonts w:ascii="Trebuchet MS" w:eastAsia="Trebuchet MS" w:hAnsi="Trebuchet MS" w:cs="Trebuchet MS"/>
        <w:b/>
        <w:bCs/>
        <w:color w:val="000000"/>
        <w:position w:val="0"/>
        <w:sz w:val="22"/>
        <w:szCs w:val="22"/>
      </w:rPr>
    </w:lvl>
    <w:lvl w:ilvl="1">
      <w:start w:val="1"/>
      <w:numFmt w:val="bullet"/>
      <w:lvlText w:val="o"/>
      <w:lvlJc w:val="left"/>
      <w:pPr>
        <w:tabs>
          <w:tab w:val="num" w:pos="116"/>
        </w:tabs>
      </w:pPr>
      <w:rPr>
        <w:rFonts w:ascii="Calibri" w:eastAsia="Calibri" w:hAnsi="Calibri" w:cs="Calibri"/>
        <w:b/>
        <w:bCs/>
        <w:color w:val="000000"/>
        <w:position w:val="0"/>
        <w:sz w:val="24"/>
        <w:szCs w:val="24"/>
      </w:rPr>
    </w:lvl>
    <w:lvl w:ilvl="2">
      <w:start w:val="1"/>
      <w:numFmt w:val="bullet"/>
      <w:lvlText w:val="▪"/>
      <w:lvlJc w:val="left"/>
      <w:pPr>
        <w:tabs>
          <w:tab w:val="num" w:pos="116"/>
        </w:tabs>
      </w:pPr>
      <w:rPr>
        <w:rFonts w:ascii="Calibri" w:eastAsia="Calibri" w:hAnsi="Calibri" w:cs="Calibri"/>
        <w:b/>
        <w:bCs/>
        <w:color w:val="000000"/>
        <w:position w:val="0"/>
        <w:sz w:val="24"/>
        <w:szCs w:val="24"/>
      </w:rPr>
    </w:lvl>
    <w:lvl w:ilvl="3">
      <w:start w:val="1"/>
      <w:numFmt w:val="bullet"/>
      <w:lvlText w:val="•"/>
      <w:lvlJc w:val="left"/>
      <w:pPr>
        <w:tabs>
          <w:tab w:val="num" w:pos="116"/>
        </w:tabs>
      </w:pPr>
      <w:rPr>
        <w:rFonts w:ascii="Calibri" w:eastAsia="Calibri" w:hAnsi="Calibri" w:cs="Calibri"/>
        <w:b/>
        <w:bCs/>
        <w:color w:val="000000"/>
        <w:position w:val="0"/>
        <w:sz w:val="24"/>
        <w:szCs w:val="24"/>
      </w:rPr>
    </w:lvl>
    <w:lvl w:ilvl="4">
      <w:start w:val="1"/>
      <w:numFmt w:val="bullet"/>
      <w:lvlText w:val="o"/>
      <w:lvlJc w:val="left"/>
      <w:pPr>
        <w:tabs>
          <w:tab w:val="num" w:pos="116"/>
        </w:tabs>
      </w:pPr>
      <w:rPr>
        <w:rFonts w:ascii="Calibri" w:eastAsia="Calibri" w:hAnsi="Calibri" w:cs="Calibri"/>
        <w:b/>
        <w:bCs/>
        <w:color w:val="000000"/>
        <w:position w:val="0"/>
        <w:sz w:val="24"/>
        <w:szCs w:val="24"/>
      </w:rPr>
    </w:lvl>
    <w:lvl w:ilvl="5">
      <w:start w:val="1"/>
      <w:numFmt w:val="bullet"/>
      <w:lvlText w:val="▪"/>
      <w:lvlJc w:val="left"/>
      <w:pPr>
        <w:tabs>
          <w:tab w:val="num" w:pos="116"/>
        </w:tabs>
      </w:pPr>
      <w:rPr>
        <w:rFonts w:ascii="Calibri" w:eastAsia="Calibri" w:hAnsi="Calibri" w:cs="Calibri"/>
        <w:b/>
        <w:bCs/>
        <w:color w:val="000000"/>
        <w:position w:val="0"/>
        <w:sz w:val="24"/>
        <w:szCs w:val="24"/>
      </w:rPr>
    </w:lvl>
    <w:lvl w:ilvl="6">
      <w:start w:val="1"/>
      <w:numFmt w:val="bullet"/>
      <w:lvlText w:val="•"/>
      <w:lvlJc w:val="left"/>
      <w:pPr>
        <w:tabs>
          <w:tab w:val="num" w:pos="116"/>
        </w:tabs>
      </w:pPr>
      <w:rPr>
        <w:rFonts w:ascii="Calibri" w:eastAsia="Calibri" w:hAnsi="Calibri" w:cs="Calibri"/>
        <w:b/>
        <w:bCs/>
        <w:color w:val="000000"/>
        <w:position w:val="0"/>
        <w:sz w:val="24"/>
        <w:szCs w:val="24"/>
      </w:rPr>
    </w:lvl>
    <w:lvl w:ilvl="7">
      <w:start w:val="1"/>
      <w:numFmt w:val="bullet"/>
      <w:lvlText w:val="o"/>
      <w:lvlJc w:val="left"/>
      <w:pPr>
        <w:tabs>
          <w:tab w:val="num" w:pos="116"/>
        </w:tabs>
      </w:pPr>
      <w:rPr>
        <w:rFonts w:ascii="Calibri" w:eastAsia="Calibri" w:hAnsi="Calibri" w:cs="Calibri"/>
        <w:b/>
        <w:bCs/>
        <w:color w:val="000000"/>
        <w:position w:val="0"/>
        <w:sz w:val="24"/>
        <w:szCs w:val="24"/>
      </w:rPr>
    </w:lvl>
    <w:lvl w:ilvl="8">
      <w:start w:val="1"/>
      <w:numFmt w:val="bullet"/>
      <w:lvlText w:val="▪"/>
      <w:lvlJc w:val="left"/>
      <w:pPr>
        <w:tabs>
          <w:tab w:val="num" w:pos="116"/>
        </w:tabs>
      </w:pPr>
      <w:rPr>
        <w:rFonts w:ascii="Calibri" w:eastAsia="Calibri" w:hAnsi="Calibri" w:cs="Calibri"/>
        <w:b/>
        <w:bCs/>
        <w:color w:val="000000"/>
        <w:position w:val="0"/>
        <w:sz w:val="24"/>
        <w:szCs w:val="24"/>
      </w:rPr>
    </w:lvl>
  </w:abstractNum>
  <w:abstractNum w:abstractNumId="56">
    <w:nsid w:val="579A747B"/>
    <w:multiLevelType w:val="hybridMultilevel"/>
    <w:tmpl w:val="AB6A85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nsid w:val="57C67F87"/>
    <w:multiLevelType w:val="multilevel"/>
    <w:tmpl w:val="59FED2EC"/>
    <w:styleLink w:val="List21"/>
    <w:lvl w:ilvl="0">
      <w:start w:val="1"/>
      <w:numFmt w:val="decimal"/>
      <w:lvlText w:val="%1."/>
      <w:lvlJc w:val="left"/>
      <w:pPr>
        <w:tabs>
          <w:tab w:val="num" w:pos="792"/>
        </w:tabs>
        <w:ind w:left="792" w:hanging="432"/>
      </w:pPr>
      <w:rPr>
        <w:rFonts w:ascii="Trebuchet MS" w:eastAsia="Trebuchet MS" w:hAnsi="Trebuchet MS" w:cs="Trebuchet MS"/>
        <w:b/>
        <w:bCs/>
        <w:caps w:val="0"/>
        <w:smallCaps w:val="0"/>
        <w:strike w:val="0"/>
        <w:dstrike w:val="0"/>
        <w:outline w:val="0"/>
        <w:color w:val="000000"/>
        <w:spacing w:val="0"/>
        <w:kern w:val="0"/>
        <w:position w:val="0"/>
        <w:sz w:val="24"/>
        <w:szCs w:val="24"/>
        <w:u w:val="none" w:color="000000"/>
        <w:vertAlign w:val="baseline"/>
        <w:lang w:val="en-US"/>
      </w:rPr>
    </w:lvl>
    <w:lvl w:ilvl="1">
      <w:start w:val="1"/>
      <w:numFmt w:val="lowerLetter"/>
      <w:lvlText w:val="%2."/>
      <w:lvlJc w:val="left"/>
      <w:pPr>
        <w:tabs>
          <w:tab w:val="num" w:pos="1440"/>
        </w:tabs>
        <w:ind w:left="1440" w:hanging="360"/>
      </w:pPr>
      <w:rPr>
        <w:rFonts w:ascii="Calibri" w:eastAsia="Calibri" w:hAnsi="Calibri" w:cs="Calibri"/>
        <w:b/>
        <w:bCs/>
        <w:caps w:val="0"/>
        <w:smallCaps w:val="0"/>
        <w:strike w:val="0"/>
        <w:dstrike w:val="0"/>
        <w:outline w:val="0"/>
        <w:color w:val="000000"/>
        <w:spacing w:val="0"/>
        <w:kern w:val="0"/>
        <w:position w:val="0"/>
        <w:sz w:val="24"/>
        <w:szCs w:val="24"/>
        <w:u w:val="none" w:color="000000"/>
        <w:vertAlign w:val="baseline"/>
        <w:lang w:val="en-US"/>
      </w:rPr>
    </w:lvl>
    <w:lvl w:ilvl="2">
      <w:start w:val="1"/>
      <w:numFmt w:val="lowerRoman"/>
      <w:lvlText w:val="%3."/>
      <w:lvlJc w:val="left"/>
      <w:pPr>
        <w:tabs>
          <w:tab w:val="num" w:pos="2160"/>
        </w:tabs>
        <w:ind w:left="2160" w:hanging="296"/>
      </w:pPr>
      <w:rPr>
        <w:rFonts w:ascii="Calibri" w:eastAsia="Calibri" w:hAnsi="Calibri" w:cs="Calibri"/>
        <w:b/>
        <w:bCs/>
        <w:caps w:val="0"/>
        <w:smallCaps w:val="0"/>
        <w:strike w:val="0"/>
        <w:dstrike w:val="0"/>
        <w:outline w:val="0"/>
        <w:color w:val="000000"/>
        <w:spacing w:val="0"/>
        <w:kern w:val="0"/>
        <w:position w:val="0"/>
        <w:sz w:val="24"/>
        <w:szCs w:val="24"/>
        <w:u w:val="none" w:color="000000"/>
        <w:vertAlign w:val="baseline"/>
        <w:lang w:val="en-US"/>
      </w:rPr>
    </w:lvl>
    <w:lvl w:ilvl="3">
      <w:start w:val="1"/>
      <w:numFmt w:val="decimal"/>
      <w:lvlText w:val="%4."/>
      <w:lvlJc w:val="left"/>
      <w:pPr>
        <w:tabs>
          <w:tab w:val="num" w:pos="2880"/>
        </w:tabs>
        <w:ind w:left="2880" w:hanging="360"/>
      </w:pPr>
      <w:rPr>
        <w:rFonts w:ascii="Calibri" w:eastAsia="Calibri" w:hAnsi="Calibri" w:cs="Calibri"/>
        <w:b/>
        <w:bCs/>
        <w:caps w:val="0"/>
        <w:smallCaps w:val="0"/>
        <w:strike w:val="0"/>
        <w:dstrike w:val="0"/>
        <w:outline w:val="0"/>
        <w:color w:val="000000"/>
        <w:spacing w:val="0"/>
        <w:kern w:val="0"/>
        <w:position w:val="0"/>
        <w:sz w:val="24"/>
        <w:szCs w:val="24"/>
        <w:u w:val="none" w:color="000000"/>
        <w:vertAlign w:val="baseline"/>
        <w:lang w:val="en-US"/>
      </w:rPr>
    </w:lvl>
    <w:lvl w:ilvl="4">
      <w:start w:val="1"/>
      <w:numFmt w:val="lowerLetter"/>
      <w:lvlText w:val="%5."/>
      <w:lvlJc w:val="left"/>
      <w:pPr>
        <w:tabs>
          <w:tab w:val="num" w:pos="3600"/>
        </w:tabs>
        <w:ind w:left="3600" w:hanging="360"/>
      </w:pPr>
      <w:rPr>
        <w:rFonts w:ascii="Calibri" w:eastAsia="Calibri" w:hAnsi="Calibri" w:cs="Calibri"/>
        <w:b/>
        <w:bCs/>
        <w:caps w:val="0"/>
        <w:smallCaps w:val="0"/>
        <w:strike w:val="0"/>
        <w:dstrike w:val="0"/>
        <w:outline w:val="0"/>
        <w:color w:val="000000"/>
        <w:spacing w:val="0"/>
        <w:kern w:val="0"/>
        <w:position w:val="0"/>
        <w:sz w:val="24"/>
        <w:szCs w:val="24"/>
        <w:u w:val="none" w:color="000000"/>
        <w:vertAlign w:val="baseline"/>
        <w:lang w:val="en-US"/>
      </w:rPr>
    </w:lvl>
    <w:lvl w:ilvl="5">
      <w:start w:val="1"/>
      <w:numFmt w:val="lowerRoman"/>
      <w:lvlText w:val="%6."/>
      <w:lvlJc w:val="left"/>
      <w:pPr>
        <w:tabs>
          <w:tab w:val="num" w:pos="4320"/>
        </w:tabs>
        <w:ind w:left="4320" w:hanging="296"/>
      </w:pPr>
      <w:rPr>
        <w:rFonts w:ascii="Calibri" w:eastAsia="Calibri" w:hAnsi="Calibri" w:cs="Calibri"/>
        <w:b/>
        <w:bCs/>
        <w:caps w:val="0"/>
        <w:smallCaps w:val="0"/>
        <w:strike w:val="0"/>
        <w:dstrike w:val="0"/>
        <w:outline w:val="0"/>
        <w:color w:val="000000"/>
        <w:spacing w:val="0"/>
        <w:kern w:val="0"/>
        <w:position w:val="0"/>
        <w:sz w:val="24"/>
        <w:szCs w:val="24"/>
        <w:u w:val="none" w:color="000000"/>
        <w:vertAlign w:val="baseline"/>
        <w:lang w:val="en-US"/>
      </w:rPr>
    </w:lvl>
    <w:lvl w:ilvl="6">
      <w:start w:val="1"/>
      <w:numFmt w:val="decimal"/>
      <w:lvlText w:val="%7."/>
      <w:lvlJc w:val="left"/>
      <w:pPr>
        <w:tabs>
          <w:tab w:val="num" w:pos="5040"/>
        </w:tabs>
        <w:ind w:left="5040" w:hanging="360"/>
      </w:pPr>
      <w:rPr>
        <w:rFonts w:ascii="Calibri" w:eastAsia="Calibri" w:hAnsi="Calibri" w:cs="Calibri"/>
        <w:b/>
        <w:bCs/>
        <w:caps w:val="0"/>
        <w:smallCaps w:val="0"/>
        <w:strike w:val="0"/>
        <w:dstrike w:val="0"/>
        <w:outline w:val="0"/>
        <w:color w:val="000000"/>
        <w:spacing w:val="0"/>
        <w:kern w:val="0"/>
        <w:position w:val="0"/>
        <w:sz w:val="24"/>
        <w:szCs w:val="24"/>
        <w:u w:val="none" w:color="000000"/>
        <w:vertAlign w:val="baseline"/>
        <w:lang w:val="en-US"/>
      </w:rPr>
    </w:lvl>
    <w:lvl w:ilvl="7">
      <w:start w:val="1"/>
      <w:numFmt w:val="lowerLetter"/>
      <w:lvlText w:val="%8."/>
      <w:lvlJc w:val="left"/>
      <w:pPr>
        <w:tabs>
          <w:tab w:val="num" w:pos="5760"/>
        </w:tabs>
        <w:ind w:left="5760" w:hanging="360"/>
      </w:pPr>
      <w:rPr>
        <w:rFonts w:ascii="Calibri" w:eastAsia="Calibri" w:hAnsi="Calibri" w:cs="Calibri"/>
        <w:b/>
        <w:bCs/>
        <w:caps w:val="0"/>
        <w:smallCaps w:val="0"/>
        <w:strike w:val="0"/>
        <w:dstrike w:val="0"/>
        <w:outline w:val="0"/>
        <w:color w:val="000000"/>
        <w:spacing w:val="0"/>
        <w:kern w:val="0"/>
        <w:position w:val="0"/>
        <w:sz w:val="24"/>
        <w:szCs w:val="24"/>
        <w:u w:val="none" w:color="000000"/>
        <w:vertAlign w:val="baseline"/>
        <w:lang w:val="en-US"/>
      </w:rPr>
    </w:lvl>
    <w:lvl w:ilvl="8">
      <w:start w:val="1"/>
      <w:numFmt w:val="lowerRoman"/>
      <w:lvlText w:val="%9."/>
      <w:lvlJc w:val="left"/>
      <w:pPr>
        <w:tabs>
          <w:tab w:val="num" w:pos="6480"/>
        </w:tabs>
        <w:ind w:left="6480" w:hanging="296"/>
      </w:pPr>
      <w:rPr>
        <w:rFonts w:ascii="Calibri" w:eastAsia="Calibri" w:hAnsi="Calibri" w:cs="Calibri"/>
        <w:b/>
        <w:bCs/>
        <w:caps w:val="0"/>
        <w:smallCaps w:val="0"/>
        <w:strike w:val="0"/>
        <w:dstrike w:val="0"/>
        <w:outline w:val="0"/>
        <w:color w:val="000000"/>
        <w:spacing w:val="0"/>
        <w:kern w:val="0"/>
        <w:position w:val="0"/>
        <w:sz w:val="24"/>
        <w:szCs w:val="24"/>
        <w:u w:val="none" w:color="000000"/>
        <w:vertAlign w:val="baseline"/>
        <w:lang w:val="en-US"/>
      </w:rPr>
    </w:lvl>
  </w:abstractNum>
  <w:abstractNum w:abstractNumId="58">
    <w:nsid w:val="58A33B03"/>
    <w:multiLevelType w:val="hybridMultilevel"/>
    <w:tmpl w:val="6720A9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nsid w:val="592659DF"/>
    <w:multiLevelType w:val="hybridMultilevel"/>
    <w:tmpl w:val="09BE2A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nsid w:val="5B144C55"/>
    <w:multiLevelType w:val="multilevel"/>
    <w:tmpl w:val="1ACA2890"/>
    <w:styleLink w:val="List0"/>
    <w:lvl w:ilvl="0">
      <w:numFmt w:val="bullet"/>
      <w:lvlText w:val="•"/>
      <w:lvlJc w:val="left"/>
      <w:pPr>
        <w:tabs>
          <w:tab w:val="num" w:pos="567"/>
        </w:tabs>
        <w:ind w:left="567" w:hanging="567"/>
      </w:pPr>
      <w:rPr>
        <w:rFonts w:ascii="Trebuchet MS" w:eastAsia="Trebuchet MS" w:hAnsi="Trebuchet MS" w:cs="Trebuchet MS"/>
        <w:caps w:val="0"/>
        <w:smallCaps w:val="0"/>
        <w:strike w:val="0"/>
        <w:dstrike w:val="0"/>
        <w:outline w:val="0"/>
        <w:color w:val="000000"/>
        <w:spacing w:val="0"/>
        <w:kern w:val="0"/>
        <w:position w:val="0"/>
        <w:sz w:val="24"/>
        <w:szCs w:val="24"/>
        <w:u w:val="none" w:color="000000"/>
        <w:vertAlign w:val="baseline"/>
        <w:lang w:val="en-US"/>
      </w:rPr>
    </w:lvl>
    <w:lvl w:ilvl="1">
      <w:start w:val="1"/>
      <w:numFmt w:val="bullet"/>
      <w:lvlText w:val="•"/>
      <w:lvlJc w:val="left"/>
      <w:pPr>
        <w:tabs>
          <w:tab w:val="num" w:pos="116"/>
        </w:tabs>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2">
      <w:start w:val="1"/>
      <w:numFmt w:val="bullet"/>
      <w:lvlText w:val="•"/>
      <w:lvlJc w:val="left"/>
      <w:pPr>
        <w:tabs>
          <w:tab w:val="num" w:pos="116"/>
        </w:tabs>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3">
      <w:start w:val="1"/>
      <w:numFmt w:val="bullet"/>
      <w:lvlText w:val="•"/>
      <w:lvlJc w:val="left"/>
      <w:pPr>
        <w:tabs>
          <w:tab w:val="num" w:pos="116"/>
        </w:tabs>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4">
      <w:start w:val="1"/>
      <w:numFmt w:val="bullet"/>
      <w:lvlText w:val="•"/>
      <w:lvlJc w:val="left"/>
      <w:pPr>
        <w:tabs>
          <w:tab w:val="num" w:pos="116"/>
        </w:tabs>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5">
      <w:start w:val="1"/>
      <w:numFmt w:val="bullet"/>
      <w:lvlText w:val="•"/>
      <w:lvlJc w:val="left"/>
      <w:pPr>
        <w:tabs>
          <w:tab w:val="num" w:pos="116"/>
        </w:tabs>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6">
      <w:start w:val="1"/>
      <w:numFmt w:val="bullet"/>
      <w:lvlText w:val="•"/>
      <w:lvlJc w:val="left"/>
      <w:pPr>
        <w:tabs>
          <w:tab w:val="num" w:pos="116"/>
        </w:tabs>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7">
      <w:start w:val="1"/>
      <w:numFmt w:val="bullet"/>
      <w:lvlText w:val="•"/>
      <w:lvlJc w:val="left"/>
      <w:pPr>
        <w:tabs>
          <w:tab w:val="num" w:pos="116"/>
        </w:tabs>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8">
      <w:start w:val="1"/>
      <w:numFmt w:val="bullet"/>
      <w:lvlText w:val="•"/>
      <w:lvlJc w:val="left"/>
      <w:pPr>
        <w:tabs>
          <w:tab w:val="num" w:pos="116"/>
        </w:tabs>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abstractNum>
  <w:abstractNum w:abstractNumId="61">
    <w:nsid w:val="5B1B518F"/>
    <w:multiLevelType w:val="hybridMultilevel"/>
    <w:tmpl w:val="247C3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nsid w:val="5C5901AB"/>
    <w:multiLevelType w:val="hybridMultilevel"/>
    <w:tmpl w:val="434AF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nsid w:val="5DE432CD"/>
    <w:multiLevelType w:val="hybridMultilevel"/>
    <w:tmpl w:val="39A02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nsid w:val="5F9119F4"/>
    <w:multiLevelType w:val="hybridMultilevel"/>
    <w:tmpl w:val="AB765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nsid w:val="60C10DD4"/>
    <w:multiLevelType w:val="hybridMultilevel"/>
    <w:tmpl w:val="456228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nsid w:val="61195113"/>
    <w:multiLevelType w:val="hybridMultilevel"/>
    <w:tmpl w:val="3F1EB36E"/>
    <w:lvl w:ilvl="0" w:tplc="0C090001">
      <w:start w:val="1"/>
      <w:numFmt w:val="bullet"/>
      <w:pStyle w:val="ListBullet2"/>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67">
    <w:nsid w:val="65E6006B"/>
    <w:multiLevelType w:val="hybridMultilevel"/>
    <w:tmpl w:val="89DEA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nsid w:val="67C81F02"/>
    <w:multiLevelType w:val="hybridMultilevel"/>
    <w:tmpl w:val="76808E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nsid w:val="688456A6"/>
    <w:multiLevelType w:val="hybridMultilevel"/>
    <w:tmpl w:val="E1700E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nsid w:val="68C64390"/>
    <w:multiLevelType w:val="hybridMultilevel"/>
    <w:tmpl w:val="3E780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nsid w:val="6BC10CA2"/>
    <w:multiLevelType w:val="hybridMultilevel"/>
    <w:tmpl w:val="12CEC29E"/>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nsid w:val="6E2A0A5F"/>
    <w:multiLevelType w:val="multilevel"/>
    <w:tmpl w:val="1B829E7E"/>
    <w:styleLink w:val="List19"/>
    <w:lvl w:ilvl="0">
      <w:start w:val="1"/>
      <w:numFmt w:val="bullet"/>
      <w:lvlText w:val="•"/>
      <w:lvlJc w:val="left"/>
      <w:pPr>
        <w:tabs>
          <w:tab w:val="num" w:pos="680"/>
        </w:tabs>
        <w:ind w:left="680" w:hanging="68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lang w:val="en-US"/>
      </w:rPr>
    </w:lvl>
    <w:lvl w:ilvl="1">
      <w:start w:val="1"/>
      <w:numFmt w:val="bullet"/>
      <w:lvlText w:val="o"/>
      <w:lvlJc w:val="left"/>
      <w:pPr>
        <w:tabs>
          <w:tab w:val="num" w:pos="3700"/>
        </w:tabs>
        <w:ind w:left="370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2">
      <w:start w:val="1"/>
      <w:numFmt w:val="bullet"/>
      <w:lvlText w:val="▪"/>
      <w:lvlJc w:val="left"/>
      <w:pPr>
        <w:tabs>
          <w:tab w:val="num" w:pos="4420"/>
        </w:tabs>
        <w:ind w:left="442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3">
      <w:start w:val="1"/>
      <w:numFmt w:val="bullet"/>
      <w:lvlText w:val="•"/>
      <w:lvlJc w:val="left"/>
      <w:pPr>
        <w:tabs>
          <w:tab w:val="num" w:pos="5140"/>
        </w:tabs>
        <w:ind w:left="514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4">
      <w:start w:val="1"/>
      <w:numFmt w:val="bullet"/>
      <w:lvlText w:val="o"/>
      <w:lvlJc w:val="left"/>
      <w:pPr>
        <w:tabs>
          <w:tab w:val="num" w:pos="5860"/>
        </w:tabs>
        <w:ind w:left="586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5">
      <w:start w:val="1"/>
      <w:numFmt w:val="bullet"/>
      <w:lvlText w:val="▪"/>
      <w:lvlJc w:val="left"/>
      <w:pPr>
        <w:tabs>
          <w:tab w:val="num" w:pos="6580"/>
        </w:tabs>
        <w:ind w:left="658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6">
      <w:start w:val="1"/>
      <w:numFmt w:val="bullet"/>
      <w:lvlText w:val="•"/>
      <w:lvlJc w:val="left"/>
      <w:pPr>
        <w:tabs>
          <w:tab w:val="num" w:pos="7300"/>
        </w:tabs>
        <w:ind w:left="730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7">
      <w:start w:val="1"/>
      <w:numFmt w:val="bullet"/>
      <w:lvlText w:val="o"/>
      <w:lvlJc w:val="left"/>
      <w:pPr>
        <w:tabs>
          <w:tab w:val="num" w:pos="8020"/>
        </w:tabs>
        <w:ind w:left="802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8">
      <w:start w:val="1"/>
      <w:numFmt w:val="bullet"/>
      <w:lvlText w:val="▪"/>
      <w:lvlJc w:val="left"/>
      <w:pPr>
        <w:tabs>
          <w:tab w:val="num" w:pos="8740"/>
        </w:tabs>
        <w:ind w:left="874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abstractNum>
  <w:abstractNum w:abstractNumId="73">
    <w:nsid w:val="6EFB52AA"/>
    <w:multiLevelType w:val="multilevel"/>
    <w:tmpl w:val="18C25194"/>
    <w:styleLink w:val="List210"/>
    <w:lvl w:ilvl="0">
      <w:start w:val="1"/>
      <w:numFmt w:val="bullet"/>
      <w:lvlText w:val="•"/>
      <w:lvlJc w:val="left"/>
      <w:pPr>
        <w:tabs>
          <w:tab w:val="num" w:pos="432"/>
        </w:tabs>
        <w:ind w:left="432" w:hanging="432"/>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lang w:val="en-US"/>
      </w:rPr>
    </w:lvl>
    <w:lvl w:ilvl="1">
      <w:start w:val="1"/>
      <w:numFmt w:val="bullet"/>
      <w:lvlText w:val="o"/>
      <w:lvlJc w:val="left"/>
      <w:pPr>
        <w:tabs>
          <w:tab w:val="num" w:pos="1080"/>
        </w:tabs>
        <w:ind w:left="108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2">
      <w:start w:val="1"/>
      <w:numFmt w:val="bullet"/>
      <w:lvlText w:val="▪"/>
      <w:lvlJc w:val="left"/>
      <w:pPr>
        <w:tabs>
          <w:tab w:val="num" w:pos="1800"/>
        </w:tabs>
        <w:ind w:left="180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3">
      <w:start w:val="1"/>
      <w:numFmt w:val="bullet"/>
      <w:lvlText w:val="•"/>
      <w:lvlJc w:val="left"/>
      <w:pPr>
        <w:tabs>
          <w:tab w:val="num" w:pos="2520"/>
        </w:tabs>
        <w:ind w:left="252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4">
      <w:start w:val="1"/>
      <w:numFmt w:val="bullet"/>
      <w:lvlText w:val="o"/>
      <w:lvlJc w:val="left"/>
      <w:pPr>
        <w:tabs>
          <w:tab w:val="num" w:pos="3240"/>
        </w:tabs>
        <w:ind w:left="324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5">
      <w:start w:val="1"/>
      <w:numFmt w:val="bullet"/>
      <w:lvlText w:val="▪"/>
      <w:lvlJc w:val="left"/>
      <w:pPr>
        <w:tabs>
          <w:tab w:val="num" w:pos="3960"/>
        </w:tabs>
        <w:ind w:left="396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6">
      <w:start w:val="1"/>
      <w:numFmt w:val="bullet"/>
      <w:lvlText w:val="•"/>
      <w:lvlJc w:val="left"/>
      <w:pPr>
        <w:tabs>
          <w:tab w:val="num" w:pos="4680"/>
        </w:tabs>
        <w:ind w:left="468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7">
      <w:start w:val="1"/>
      <w:numFmt w:val="bullet"/>
      <w:lvlText w:val="o"/>
      <w:lvlJc w:val="left"/>
      <w:pPr>
        <w:tabs>
          <w:tab w:val="num" w:pos="5400"/>
        </w:tabs>
        <w:ind w:left="540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8">
      <w:start w:val="1"/>
      <w:numFmt w:val="bullet"/>
      <w:lvlText w:val="▪"/>
      <w:lvlJc w:val="left"/>
      <w:pPr>
        <w:tabs>
          <w:tab w:val="num" w:pos="6120"/>
        </w:tabs>
        <w:ind w:left="612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abstractNum>
  <w:abstractNum w:abstractNumId="74">
    <w:nsid w:val="6F486044"/>
    <w:multiLevelType w:val="multilevel"/>
    <w:tmpl w:val="BA109C56"/>
    <w:styleLink w:val="List10"/>
    <w:lvl w:ilvl="0">
      <w:start w:val="1"/>
      <w:numFmt w:val="bullet"/>
      <w:lvlText w:val="•"/>
      <w:lvlJc w:val="left"/>
      <w:pPr>
        <w:tabs>
          <w:tab w:val="num" w:pos="567"/>
        </w:tabs>
        <w:ind w:left="567" w:hanging="567"/>
      </w:pPr>
      <w:rPr>
        <w:rFonts w:ascii="Trebuchet MS" w:eastAsia="Trebuchet MS" w:hAnsi="Trebuchet MS" w:cs="Trebuchet MS"/>
        <w:b/>
        <w:bCs/>
        <w:color w:val="000000"/>
        <w:position w:val="0"/>
        <w:sz w:val="22"/>
        <w:szCs w:val="22"/>
      </w:rPr>
    </w:lvl>
    <w:lvl w:ilvl="1">
      <w:start w:val="1"/>
      <w:numFmt w:val="bullet"/>
      <w:lvlText w:val="o"/>
      <w:lvlJc w:val="left"/>
      <w:pPr>
        <w:tabs>
          <w:tab w:val="num" w:pos="116"/>
        </w:tabs>
      </w:pPr>
      <w:rPr>
        <w:rFonts w:ascii="Calibri" w:eastAsia="Calibri" w:hAnsi="Calibri" w:cs="Calibri"/>
        <w:b/>
        <w:bCs/>
        <w:color w:val="000000"/>
        <w:position w:val="0"/>
        <w:sz w:val="24"/>
        <w:szCs w:val="24"/>
      </w:rPr>
    </w:lvl>
    <w:lvl w:ilvl="2">
      <w:start w:val="1"/>
      <w:numFmt w:val="bullet"/>
      <w:lvlText w:val="▪"/>
      <w:lvlJc w:val="left"/>
      <w:pPr>
        <w:tabs>
          <w:tab w:val="num" w:pos="116"/>
        </w:tabs>
      </w:pPr>
      <w:rPr>
        <w:rFonts w:ascii="Calibri" w:eastAsia="Calibri" w:hAnsi="Calibri" w:cs="Calibri"/>
        <w:b/>
        <w:bCs/>
        <w:color w:val="000000"/>
        <w:position w:val="0"/>
        <w:sz w:val="24"/>
        <w:szCs w:val="24"/>
      </w:rPr>
    </w:lvl>
    <w:lvl w:ilvl="3">
      <w:start w:val="1"/>
      <w:numFmt w:val="bullet"/>
      <w:lvlText w:val="•"/>
      <w:lvlJc w:val="left"/>
      <w:pPr>
        <w:tabs>
          <w:tab w:val="num" w:pos="116"/>
        </w:tabs>
      </w:pPr>
      <w:rPr>
        <w:rFonts w:ascii="Calibri" w:eastAsia="Calibri" w:hAnsi="Calibri" w:cs="Calibri"/>
        <w:b/>
        <w:bCs/>
        <w:color w:val="000000"/>
        <w:position w:val="0"/>
        <w:sz w:val="24"/>
        <w:szCs w:val="24"/>
      </w:rPr>
    </w:lvl>
    <w:lvl w:ilvl="4">
      <w:start w:val="1"/>
      <w:numFmt w:val="bullet"/>
      <w:lvlText w:val="o"/>
      <w:lvlJc w:val="left"/>
      <w:pPr>
        <w:tabs>
          <w:tab w:val="num" w:pos="116"/>
        </w:tabs>
      </w:pPr>
      <w:rPr>
        <w:rFonts w:ascii="Calibri" w:eastAsia="Calibri" w:hAnsi="Calibri" w:cs="Calibri"/>
        <w:b/>
        <w:bCs/>
        <w:color w:val="000000"/>
        <w:position w:val="0"/>
        <w:sz w:val="24"/>
        <w:szCs w:val="24"/>
      </w:rPr>
    </w:lvl>
    <w:lvl w:ilvl="5">
      <w:start w:val="1"/>
      <w:numFmt w:val="bullet"/>
      <w:lvlText w:val="▪"/>
      <w:lvlJc w:val="left"/>
      <w:pPr>
        <w:tabs>
          <w:tab w:val="num" w:pos="116"/>
        </w:tabs>
      </w:pPr>
      <w:rPr>
        <w:rFonts w:ascii="Calibri" w:eastAsia="Calibri" w:hAnsi="Calibri" w:cs="Calibri"/>
        <w:b/>
        <w:bCs/>
        <w:color w:val="000000"/>
        <w:position w:val="0"/>
        <w:sz w:val="24"/>
        <w:szCs w:val="24"/>
      </w:rPr>
    </w:lvl>
    <w:lvl w:ilvl="6">
      <w:start w:val="1"/>
      <w:numFmt w:val="bullet"/>
      <w:lvlText w:val="•"/>
      <w:lvlJc w:val="left"/>
      <w:pPr>
        <w:tabs>
          <w:tab w:val="num" w:pos="116"/>
        </w:tabs>
      </w:pPr>
      <w:rPr>
        <w:rFonts w:ascii="Calibri" w:eastAsia="Calibri" w:hAnsi="Calibri" w:cs="Calibri"/>
        <w:b/>
        <w:bCs/>
        <w:color w:val="000000"/>
        <w:position w:val="0"/>
        <w:sz w:val="24"/>
        <w:szCs w:val="24"/>
      </w:rPr>
    </w:lvl>
    <w:lvl w:ilvl="7">
      <w:start w:val="1"/>
      <w:numFmt w:val="bullet"/>
      <w:lvlText w:val="o"/>
      <w:lvlJc w:val="left"/>
      <w:pPr>
        <w:tabs>
          <w:tab w:val="num" w:pos="116"/>
        </w:tabs>
      </w:pPr>
      <w:rPr>
        <w:rFonts w:ascii="Calibri" w:eastAsia="Calibri" w:hAnsi="Calibri" w:cs="Calibri"/>
        <w:b/>
        <w:bCs/>
        <w:color w:val="000000"/>
        <w:position w:val="0"/>
        <w:sz w:val="24"/>
        <w:szCs w:val="24"/>
      </w:rPr>
    </w:lvl>
    <w:lvl w:ilvl="8">
      <w:start w:val="1"/>
      <w:numFmt w:val="bullet"/>
      <w:lvlText w:val="▪"/>
      <w:lvlJc w:val="left"/>
      <w:pPr>
        <w:tabs>
          <w:tab w:val="num" w:pos="116"/>
        </w:tabs>
      </w:pPr>
      <w:rPr>
        <w:rFonts w:ascii="Calibri" w:eastAsia="Calibri" w:hAnsi="Calibri" w:cs="Calibri"/>
        <w:b/>
        <w:bCs/>
        <w:color w:val="000000"/>
        <w:position w:val="0"/>
        <w:sz w:val="24"/>
        <w:szCs w:val="24"/>
      </w:rPr>
    </w:lvl>
  </w:abstractNum>
  <w:abstractNum w:abstractNumId="75">
    <w:nsid w:val="718C5E63"/>
    <w:multiLevelType w:val="hybridMultilevel"/>
    <w:tmpl w:val="28268AE4"/>
    <w:lvl w:ilvl="0" w:tplc="D5EC5744">
      <w:start w:val="1"/>
      <w:numFmt w:val="decimal"/>
      <w:pStyle w:val="Chapter3Questions"/>
      <w:lvlText w:val="3.%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76">
    <w:nsid w:val="72311FFB"/>
    <w:multiLevelType w:val="hybridMultilevel"/>
    <w:tmpl w:val="1E96D83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7">
    <w:nsid w:val="72B562C7"/>
    <w:multiLevelType w:val="hybridMultilevel"/>
    <w:tmpl w:val="8D405A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nsid w:val="72DF1852"/>
    <w:multiLevelType w:val="multilevel"/>
    <w:tmpl w:val="4C640E72"/>
    <w:styleLink w:val="List18"/>
    <w:lvl w:ilvl="0">
      <w:start w:val="1"/>
      <w:numFmt w:val="bullet"/>
      <w:lvlText w:val="•"/>
      <w:lvlJc w:val="left"/>
      <w:rPr>
        <w:rFonts w:ascii="Trebuchet MS" w:eastAsia="Trebuchet MS" w:hAnsi="Trebuchet MS" w:cs="Trebuchet MS"/>
        <w:color w:val="000000"/>
        <w:position w:val="0"/>
      </w:rPr>
    </w:lvl>
    <w:lvl w:ilvl="1">
      <w:start w:val="1"/>
      <w:numFmt w:val="bullet"/>
      <w:lvlText w:val="o"/>
      <w:lvlJc w:val="left"/>
      <w:rPr>
        <w:rFonts w:ascii="Calibri" w:eastAsia="Calibri" w:hAnsi="Calibri" w:cs="Calibri"/>
        <w:color w:val="000000"/>
        <w:position w:val="0"/>
      </w:rPr>
    </w:lvl>
    <w:lvl w:ilvl="2">
      <w:start w:val="1"/>
      <w:numFmt w:val="bullet"/>
      <w:lvlText w:val="▪"/>
      <w:lvlJc w:val="left"/>
      <w:rPr>
        <w:rFonts w:ascii="Calibri" w:eastAsia="Calibri" w:hAnsi="Calibri" w:cs="Calibri"/>
        <w:color w:val="000000"/>
        <w:position w:val="0"/>
      </w:rPr>
    </w:lvl>
    <w:lvl w:ilvl="3">
      <w:start w:val="1"/>
      <w:numFmt w:val="bullet"/>
      <w:lvlText w:val="•"/>
      <w:lvlJc w:val="left"/>
      <w:rPr>
        <w:rFonts w:ascii="Calibri" w:eastAsia="Calibri" w:hAnsi="Calibri" w:cs="Calibri"/>
        <w:color w:val="000000"/>
        <w:position w:val="0"/>
      </w:rPr>
    </w:lvl>
    <w:lvl w:ilvl="4">
      <w:start w:val="1"/>
      <w:numFmt w:val="bullet"/>
      <w:lvlText w:val="o"/>
      <w:lvlJc w:val="left"/>
      <w:rPr>
        <w:rFonts w:ascii="Calibri" w:eastAsia="Calibri" w:hAnsi="Calibri" w:cs="Calibri"/>
        <w:color w:val="000000"/>
        <w:position w:val="0"/>
      </w:rPr>
    </w:lvl>
    <w:lvl w:ilvl="5">
      <w:start w:val="1"/>
      <w:numFmt w:val="bullet"/>
      <w:lvlText w:val="▪"/>
      <w:lvlJc w:val="left"/>
      <w:rPr>
        <w:rFonts w:ascii="Calibri" w:eastAsia="Calibri" w:hAnsi="Calibri" w:cs="Calibri"/>
        <w:color w:val="000000"/>
        <w:position w:val="0"/>
      </w:rPr>
    </w:lvl>
    <w:lvl w:ilvl="6">
      <w:start w:val="1"/>
      <w:numFmt w:val="bullet"/>
      <w:lvlText w:val="•"/>
      <w:lvlJc w:val="left"/>
      <w:rPr>
        <w:rFonts w:ascii="Calibri" w:eastAsia="Calibri" w:hAnsi="Calibri" w:cs="Calibri"/>
        <w:color w:val="000000"/>
        <w:position w:val="0"/>
      </w:rPr>
    </w:lvl>
    <w:lvl w:ilvl="7">
      <w:start w:val="1"/>
      <w:numFmt w:val="bullet"/>
      <w:lvlText w:val="o"/>
      <w:lvlJc w:val="left"/>
      <w:rPr>
        <w:rFonts w:ascii="Calibri" w:eastAsia="Calibri" w:hAnsi="Calibri" w:cs="Calibri"/>
        <w:color w:val="000000"/>
        <w:position w:val="0"/>
      </w:rPr>
    </w:lvl>
    <w:lvl w:ilvl="8">
      <w:start w:val="1"/>
      <w:numFmt w:val="bullet"/>
      <w:lvlText w:val="▪"/>
      <w:lvlJc w:val="left"/>
      <w:rPr>
        <w:rFonts w:ascii="Calibri" w:eastAsia="Calibri" w:hAnsi="Calibri" w:cs="Calibri"/>
        <w:color w:val="000000"/>
        <w:position w:val="0"/>
      </w:rPr>
    </w:lvl>
  </w:abstractNum>
  <w:abstractNum w:abstractNumId="79">
    <w:nsid w:val="749A76F0"/>
    <w:multiLevelType w:val="hybridMultilevel"/>
    <w:tmpl w:val="A29EFC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nsid w:val="75AC187C"/>
    <w:multiLevelType w:val="multilevel"/>
    <w:tmpl w:val="107250F2"/>
    <w:styleLink w:val="List16"/>
    <w:lvl w:ilvl="0">
      <w:start w:val="1"/>
      <w:numFmt w:val="bullet"/>
      <w:lvlText w:val="•"/>
      <w:lvlJc w:val="left"/>
      <w:rPr>
        <w:rFonts w:ascii="Calibri" w:eastAsia="Calibri" w:hAnsi="Calibri" w:cs="Calibri"/>
        <w:position w:val="0"/>
        <w:rtl w:val="0"/>
      </w:rPr>
    </w:lvl>
    <w:lvl w:ilvl="1">
      <w:start w:val="1"/>
      <w:numFmt w:val="bullet"/>
      <w:lvlText w:val="o"/>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o"/>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o"/>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81">
    <w:nsid w:val="76863D1C"/>
    <w:multiLevelType w:val="hybridMultilevel"/>
    <w:tmpl w:val="396683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2">
    <w:nsid w:val="76EB6D1D"/>
    <w:multiLevelType w:val="hybridMultilevel"/>
    <w:tmpl w:val="937EA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nsid w:val="7AF321A4"/>
    <w:multiLevelType w:val="hybridMultilevel"/>
    <w:tmpl w:val="ADF89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nsid w:val="7BB056B5"/>
    <w:multiLevelType w:val="multilevel"/>
    <w:tmpl w:val="38241644"/>
    <w:styleLink w:val="List17"/>
    <w:lvl w:ilvl="0">
      <w:start w:val="1"/>
      <w:numFmt w:val="bullet"/>
      <w:lvlText w:val="•"/>
      <w:lvlJc w:val="left"/>
      <w:pPr>
        <w:tabs>
          <w:tab w:val="num" w:pos="680"/>
        </w:tabs>
        <w:ind w:left="680" w:hanging="68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lang w:val="en-US"/>
      </w:rPr>
    </w:lvl>
    <w:lvl w:ilvl="1">
      <w:start w:val="1"/>
      <w:numFmt w:val="bullet"/>
      <w:lvlText w:val="o"/>
      <w:lvlJc w:val="left"/>
      <w:pPr>
        <w:tabs>
          <w:tab w:val="num" w:pos="3700"/>
        </w:tabs>
        <w:ind w:left="370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2">
      <w:start w:val="1"/>
      <w:numFmt w:val="bullet"/>
      <w:lvlText w:val="▪"/>
      <w:lvlJc w:val="left"/>
      <w:pPr>
        <w:tabs>
          <w:tab w:val="num" w:pos="4420"/>
        </w:tabs>
        <w:ind w:left="442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3">
      <w:start w:val="1"/>
      <w:numFmt w:val="bullet"/>
      <w:lvlText w:val="•"/>
      <w:lvlJc w:val="left"/>
      <w:pPr>
        <w:tabs>
          <w:tab w:val="num" w:pos="5140"/>
        </w:tabs>
        <w:ind w:left="514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4">
      <w:start w:val="1"/>
      <w:numFmt w:val="bullet"/>
      <w:lvlText w:val="o"/>
      <w:lvlJc w:val="left"/>
      <w:pPr>
        <w:tabs>
          <w:tab w:val="num" w:pos="5860"/>
        </w:tabs>
        <w:ind w:left="586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5">
      <w:start w:val="1"/>
      <w:numFmt w:val="bullet"/>
      <w:lvlText w:val="▪"/>
      <w:lvlJc w:val="left"/>
      <w:pPr>
        <w:tabs>
          <w:tab w:val="num" w:pos="6580"/>
        </w:tabs>
        <w:ind w:left="658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6">
      <w:start w:val="1"/>
      <w:numFmt w:val="bullet"/>
      <w:lvlText w:val="•"/>
      <w:lvlJc w:val="left"/>
      <w:pPr>
        <w:tabs>
          <w:tab w:val="num" w:pos="7300"/>
        </w:tabs>
        <w:ind w:left="730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7">
      <w:start w:val="1"/>
      <w:numFmt w:val="bullet"/>
      <w:lvlText w:val="o"/>
      <w:lvlJc w:val="left"/>
      <w:pPr>
        <w:tabs>
          <w:tab w:val="num" w:pos="8020"/>
        </w:tabs>
        <w:ind w:left="802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8">
      <w:start w:val="1"/>
      <w:numFmt w:val="bullet"/>
      <w:lvlText w:val="▪"/>
      <w:lvlJc w:val="left"/>
      <w:pPr>
        <w:tabs>
          <w:tab w:val="num" w:pos="8740"/>
        </w:tabs>
        <w:ind w:left="874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abstractNum>
  <w:abstractNum w:abstractNumId="85">
    <w:nsid w:val="7DD4770A"/>
    <w:multiLevelType w:val="hybridMultilevel"/>
    <w:tmpl w:val="1416D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7"/>
  </w:num>
  <w:num w:numId="2">
    <w:abstractNumId w:val="20"/>
  </w:num>
  <w:num w:numId="3">
    <w:abstractNumId w:val="24"/>
  </w:num>
  <w:num w:numId="4">
    <w:abstractNumId w:val="32"/>
  </w:num>
  <w:num w:numId="5">
    <w:abstractNumId w:val="55"/>
  </w:num>
  <w:num w:numId="6">
    <w:abstractNumId w:val="34"/>
  </w:num>
  <w:num w:numId="7">
    <w:abstractNumId w:val="37"/>
  </w:num>
  <w:num w:numId="8">
    <w:abstractNumId w:val="26"/>
  </w:num>
  <w:num w:numId="9">
    <w:abstractNumId w:val="74"/>
  </w:num>
  <w:num w:numId="10">
    <w:abstractNumId w:val="45"/>
  </w:num>
  <w:num w:numId="11">
    <w:abstractNumId w:val="29"/>
  </w:num>
  <w:num w:numId="12">
    <w:abstractNumId w:val="35"/>
  </w:num>
  <w:num w:numId="13">
    <w:abstractNumId w:val="41"/>
  </w:num>
  <w:num w:numId="14">
    <w:abstractNumId w:val="43"/>
  </w:num>
  <w:num w:numId="15">
    <w:abstractNumId w:val="47"/>
  </w:num>
  <w:num w:numId="16">
    <w:abstractNumId w:val="80"/>
  </w:num>
  <w:num w:numId="17">
    <w:abstractNumId w:val="60"/>
  </w:num>
  <w:num w:numId="18">
    <w:abstractNumId w:val="84"/>
  </w:num>
  <w:num w:numId="19">
    <w:abstractNumId w:val="78"/>
  </w:num>
  <w:num w:numId="20">
    <w:abstractNumId w:val="72"/>
  </w:num>
  <w:num w:numId="21">
    <w:abstractNumId w:val="25"/>
  </w:num>
  <w:num w:numId="22">
    <w:abstractNumId w:val="73"/>
  </w:num>
  <w:num w:numId="23">
    <w:abstractNumId w:val="22"/>
  </w:num>
  <w:num w:numId="24">
    <w:abstractNumId w:val="11"/>
  </w:num>
  <w:num w:numId="2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6"/>
  </w:num>
  <w:num w:numId="27">
    <w:abstractNumId w:val="39"/>
  </w:num>
  <w:num w:numId="28">
    <w:abstractNumId w:val="0"/>
  </w:num>
  <w:num w:numId="29">
    <w:abstractNumId w:val="4"/>
  </w:num>
  <w:num w:numId="30">
    <w:abstractNumId w:val="70"/>
  </w:num>
  <w:num w:numId="31">
    <w:abstractNumId w:val="30"/>
  </w:num>
  <w:num w:numId="32">
    <w:abstractNumId w:val="14"/>
  </w:num>
  <w:num w:numId="33">
    <w:abstractNumId w:val="17"/>
  </w:num>
  <w:num w:numId="34">
    <w:abstractNumId w:val="9"/>
  </w:num>
  <w:num w:numId="35">
    <w:abstractNumId w:val="44"/>
  </w:num>
  <w:num w:numId="36">
    <w:abstractNumId w:val="8"/>
  </w:num>
  <w:num w:numId="37">
    <w:abstractNumId w:val="79"/>
  </w:num>
  <w:num w:numId="38">
    <w:abstractNumId w:val="51"/>
  </w:num>
  <w:num w:numId="39">
    <w:abstractNumId w:val="40"/>
  </w:num>
  <w:num w:numId="40">
    <w:abstractNumId w:val="31"/>
  </w:num>
  <w:num w:numId="41">
    <w:abstractNumId w:val="85"/>
  </w:num>
  <w:num w:numId="42">
    <w:abstractNumId w:val="48"/>
  </w:num>
  <w:num w:numId="43">
    <w:abstractNumId w:val="36"/>
  </w:num>
  <w:num w:numId="44">
    <w:abstractNumId w:val="81"/>
  </w:num>
  <w:num w:numId="45">
    <w:abstractNumId w:val="65"/>
  </w:num>
  <w:num w:numId="46">
    <w:abstractNumId w:val="6"/>
  </w:num>
  <w:num w:numId="47">
    <w:abstractNumId w:val="59"/>
  </w:num>
  <w:num w:numId="48">
    <w:abstractNumId w:val="54"/>
  </w:num>
  <w:num w:numId="49">
    <w:abstractNumId w:val="62"/>
  </w:num>
  <w:num w:numId="50">
    <w:abstractNumId w:val="56"/>
  </w:num>
  <w:num w:numId="51">
    <w:abstractNumId w:val="82"/>
  </w:num>
  <w:num w:numId="52">
    <w:abstractNumId w:val="38"/>
  </w:num>
  <w:num w:numId="53">
    <w:abstractNumId w:val="21"/>
  </w:num>
  <w:num w:numId="54">
    <w:abstractNumId w:val="71"/>
  </w:num>
  <w:num w:numId="55">
    <w:abstractNumId w:val="46"/>
  </w:num>
  <w:num w:numId="56">
    <w:abstractNumId w:val="68"/>
  </w:num>
  <w:num w:numId="57">
    <w:abstractNumId w:val="50"/>
  </w:num>
  <w:num w:numId="58">
    <w:abstractNumId w:val="5"/>
  </w:num>
  <w:num w:numId="59">
    <w:abstractNumId w:val="49"/>
  </w:num>
  <w:num w:numId="60">
    <w:abstractNumId w:val="83"/>
  </w:num>
  <w:num w:numId="61">
    <w:abstractNumId w:val="52"/>
  </w:num>
  <w:num w:numId="62">
    <w:abstractNumId w:val="58"/>
  </w:num>
  <w:num w:numId="63">
    <w:abstractNumId w:val="18"/>
  </w:num>
  <w:num w:numId="64">
    <w:abstractNumId w:val="15"/>
  </w:num>
  <w:num w:numId="65">
    <w:abstractNumId w:val="36"/>
  </w:num>
  <w:num w:numId="66">
    <w:abstractNumId w:val="77"/>
  </w:num>
  <w:num w:numId="67">
    <w:abstractNumId w:val="67"/>
  </w:num>
  <w:num w:numId="68">
    <w:abstractNumId w:val="61"/>
  </w:num>
  <w:num w:numId="69">
    <w:abstractNumId w:val="23"/>
  </w:num>
  <w:num w:numId="70">
    <w:abstractNumId w:val="2"/>
  </w:num>
  <w:num w:numId="71">
    <w:abstractNumId w:val="13"/>
  </w:num>
  <w:num w:numId="72">
    <w:abstractNumId w:val="1"/>
  </w:num>
  <w:num w:numId="73">
    <w:abstractNumId w:val="76"/>
  </w:num>
  <w:num w:numId="74">
    <w:abstractNumId w:val="63"/>
  </w:num>
  <w:num w:numId="75">
    <w:abstractNumId w:val="53"/>
  </w:num>
  <w:num w:numId="76">
    <w:abstractNumId w:val="33"/>
  </w:num>
  <w:num w:numId="77">
    <w:abstractNumId w:val="64"/>
  </w:num>
  <w:num w:numId="78">
    <w:abstractNumId w:val="12"/>
  </w:num>
  <w:num w:numId="79">
    <w:abstractNumId w:val="16"/>
  </w:num>
  <w:num w:numId="80">
    <w:abstractNumId w:val="42"/>
  </w:num>
  <w:num w:numId="81">
    <w:abstractNumId w:val="28"/>
    <w:lvlOverride w:ilvl="0">
      <w:lvl w:ilvl="0">
        <w:numFmt w:val="bullet"/>
        <w:lvlText w:val="o"/>
        <w:lvlJc w:val="left"/>
        <w:pPr>
          <w:tabs>
            <w:tab w:val="num" w:pos="360"/>
          </w:tabs>
          <w:ind w:left="360" w:hanging="360"/>
        </w:pPr>
        <w:rPr>
          <w:rFonts w:ascii="Courier New" w:hAnsi="Courier New" w:hint="default"/>
          <w:sz w:val="20"/>
        </w:rPr>
      </w:lvl>
    </w:lvlOverride>
    <w:lvlOverride w:ilvl="1">
      <w:lvl w:ilvl="1">
        <w:numFmt w:val="bullet"/>
        <w:lvlText w:val=""/>
        <w:lvlJc w:val="left"/>
        <w:pPr>
          <w:tabs>
            <w:tab w:val="num" w:pos="426"/>
          </w:tabs>
          <w:ind w:left="426" w:hanging="360"/>
        </w:pPr>
        <w:rPr>
          <w:rFonts w:ascii="Symbol" w:hAnsi="Symbol"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82">
    <w:abstractNumId w:val="10"/>
  </w:num>
  <w:num w:numId="83">
    <w:abstractNumId w:val="69"/>
  </w:num>
  <w:num w:numId="84">
    <w:abstractNumId w:val="7"/>
  </w:num>
  <w:num w:numId="85">
    <w:abstractNumId w:val="27"/>
  </w:num>
  <w:num w:numId="86">
    <w:abstractNumId w:val="19"/>
  </w:num>
  <w:num w:numId="87">
    <w:abstractNumId w:val="3"/>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43009"/>
  </w:hdrShapeDefaults>
  <w:footnotePr>
    <w:footnote w:id="-1"/>
    <w:footnote w:id="0"/>
    <w:footnote w:id="1"/>
  </w:footnotePr>
  <w:endnotePr>
    <w:endnote w:id="-1"/>
    <w:endnote w:id="0"/>
  </w:endnotePr>
  <w:compat>
    <w:useFELayout/>
    <w:compatSetting w:name="compatibilityMode" w:uri="http://schemas.microsoft.com/office/word" w:val="14"/>
  </w:compat>
  <w:rsids>
    <w:rsidRoot w:val="002540AA"/>
    <w:rsid w:val="000006DF"/>
    <w:rsid w:val="00002C1A"/>
    <w:rsid w:val="00005392"/>
    <w:rsid w:val="00006C22"/>
    <w:rsid w:val="000156B7"/>
    <w:rsid w:val="0002268D"/>
    <w:rsid w:val="00022948"/>
    <w:rsid w:val="000244F2"/>
    <w:rsid w:val="00026467"/>
    <w:rsid w:val="00027DCF"/>
    <w:rsid w:val="0004117D"/>
    <w:rsid w:val="00043C9A"/>
    <w:rsid w:val="00050934"/>
    <w:rsid w:val="00051036"/>
    <w:rsid w:val="00051B6F"/>
    <w:rsid w:val="0006065B"/>
    <w:rsid w:val="00064E03"/>
    <w:rsid w:val="000660A2"/>
    <w:rsid w:val="00070CD2"/>
    <w:rsid w:val="00074410"/>
    <w:rsid w:val="00081170"/>
    <w:rsid w:val="00085A32"/>
    <w:rsid w:val="000A2F90"/>
    <w:rsid w:val="000A42DE"/>
    <w:rsid w:val="000A491F"/>
    <w:rsid w:val="000A5504"/>
    <w:rsid w:val="000B1DF3"/>
    <w:rsid w:val="000B224E"/>
    <w:rsid w:val="000B2DBF"/>
    <w:rsid w:val="000B42DC"/>
    <w:rsid w:val="000B5FE2"/>
    <w:rsid w:val="000C2F65"/>
    <w:rsid w:val="000D2084"/>
    <w:rsid w:val="000E3401"/>
    <w:rsid w:val="000E53B7"/>
    <w:rsid w:val="000E7E42"/>
    <w:rsid w:val="000F4EBA"/>
    <w:rsid w:val="000F53A7"/>
    <w:rsid w:val="000F5B43"/>
    <w:rsid w:val="000F770E"/>
    <w:rsid w:val="000F7DB5"/>
    <w:rsid w:val="001045C6"/>
    <w:rsid w:val="00105DA9"/>
    <w:rsid w:val="001066EE"/>
    <w:rsid w:val="001105C2"/>
    <w:rsid w:val="00111C87"/>
    <w:rsid w:val="0011239F"/>
    <w:rsid w:val="00113F4C"/>
    <w:rsid w:val="001142FF"/>
    <w:rsid w:val="00115D3B"/>
    <w:rsid w:val="00125FA0"/>
    <w:rsid w:val="0013300F"/>
    <w:rsid w:val="0013373E"/>
    <w:rsid w:val="00141167"/>
    <w:rsid w:val="00145FF1"/>
    <w:rsid w:val="00152A8B"/>
    <w:rsid w:val="0015696A"/>
    <w:rsid w:val="00161436"/>
    <w:rsid w:val="00170E99"/>
    <w:rsid w:val="0017287B"/>
    <w:rsid w:val="00174105"/>
    <w:rsid w:val="0018167A"/>
    <w:rsid w:val="00184A23"/>
    <w:rsid w:val="00190CBD"/>
    <w:rsid w:val="00191CFB"/>
    <w:rsid w:val="00192A31"/>
    <w:rsid w:val="00194269"/>
    <w:rsid w:val="00195A84"/>
    <w:rsid w:val="00195BC4"/>
    <w:rsid w:val="001A4F4C"/>
    <w:rsid w:val="001A6D89"/>
    <w:rsid w:val="001A7B64"/>
    <w:rsid w:val="001B32CF"/>
    <w:rsid w:val="001C100F"/>
    <w:rsid w:val="001C603B"/>
    <w:rsid w:val="001D095C"/>
    <w:rsid w:val="001D0BDC"/>
    <w:rsid w:val="001D10E5"/>
    <w:rsid w:val="001D1CD5"/>
    <w:rsid w:val="001D2061"/>
    <w:rsid w:val="001D4498"/>
    <w:rsid w:val="001D5352"/>
    <w:rsid w:val="001D5A99"/>
    <w:rsid w:val="001E019E"/>
    <w:rsid w:val="001E0624"/>
    <w:rsid w:val="001E091B"/>
    <w:rsid w:val="001E3422"/>
    <w:rsid w:val="001F0C5D"/>
    <w:rsid w:val="001F3BE5"/>
    <w:rsid w:val="00206E00"/>
    <w:rsid w:val="002156EC"/>
    <w:rsid w:val="00226FFC"/>
    <w:rsid w:val="0022760E"/>
    <w:rsid w:val="0023347A"/>
    <w:rsid w:val="0024088E"/>
    <w:rsid w:val="0024172E"/>
    <w:rsid w:val="002437C6"/>
    <w:rsid w:val="00244F19"/>
    <w:rsid w:val="0024598F"/>
    <w:rsid w:val="00250191"/>
    <w:rsid w:val="002512C1"/>
    <w:rsid w:val="002540AA"/>
    <w:rsid w:val="00255D8E"/>
    <w:rsid w:val="00257EF1"/>
    <w:rsid w:val="00262C5A"/>
    <w:rsid w:val="00266BD1"/>
    <w:rsid w:val="00271215"/>
    <w:rsid w:val="00281E4C"/>
    <w:rsid w:val="00285F73"/>
    <w:rsid w:val="002924C2"/>
    <w:rsid w:val="00292BC1"/>
    <w:rsid w:val="002A642F"/>
    <w:rsid w:val="002A7649"/>
    <w:rsid w:val="002B17B5"/>
    <w:rsid w:val="002C3562"/>
    <w:rsid w:val="002C5923"/>
    <w:rsid w:val="002C76E3"/>
    <w:rsid w:val="002D0AC7"/>
    <w:rsid w:val="002D0D35"/>
    <w:rsid w:val="002D0EB1"/>
    <w:rsid w:val="002D4EAE"/>
    <w:rsid w:val="002D5596"/>
    <w:rsid w:val="002D5E1E"/>
    <w:rsid w:val="002D7C04"/>
    <w:rsid w:val="002E0979"/>
    <w:rsid w:val="002E0E8F"/>
    <w:rsid w:val="002E3D9F"/>
    <w:rsid w:val="002E492A"/>
    <w:rsid w:val="002E7CCE"/>
    <w:rsid w:val="002F403A"/>
    <w:rsid w:val="002F58FA"/>
    <w:rsid w:val="00305785"/>
    <w:rsid w:val="00306B11"/>
    <w:rsid w:val="00312BC5"/>
    <w:rsid w:val="00314413"/>
    <w:rsid w:val="0031720A"/>
    <w:rsid w:val="00317AFF"/>
    <w:rsid w:val="00321805"/>
    <w:rsid w:val="00321A0E"/>
    <w:rsid w:val="003236F4"/>
    <w:rsid w:val="00323E68"/>
    <w:rsid w:val="00326207"/>
    <w:rsid w:val="00327A5A"/>
    <w:rsid w:val="003326A1"/>
    <w:rsid w:val="003373FF"/>
    <w:rsid w:val="00341073"/>
    <w:rsid w:val="00342D15"/>
    <w:rsid w:val="00342FB7"/>
    <w:rsid w:val="00352531"/>
    <w:rsid w:val="00352C84"/>
    <w:rsid w:val="00353DD0"/>
    <w:rsid w:val="00355BDE"/>
    <w:rsid w:val="003607BE"/>
    <w:rsid w:val="00360EFC"/>
    <w:rsid w:val="00361232"/>
    <w:rsid w:val="00363908"/>
    <w:rsid w:val="00370613"/>
    <w:rsid w:val="00371ABA"/>
    <w:rsid w:val="00371EDD"/>
    <w:rsid w:val="00381DDC"/>
    <w:rsid w:val="00385045"/>
    <w:rsid w:val="00385761"/>
    <w:rsid w:val="00386DE2"/>
    <w:rsid w:val="0038770A"/>
    <w:rsid w:val="00390E90"/>
    <w:rsid w:val="00390F25"/>
    <w:rsid w:val="00391721"/>
    <w:rsid w:val="00393DA9"/>
    <w:rsid w:val="00395AA1"/>
    <w:rsid w:val="003A0D2D"/>
    <w:rsid w:val="003A34D4"/>
    <w:rsid w:val="003A6ABF"/>
    <w:rsid w:val="003B276B"/>
    <w:rsid w:val="003C2E66"/>
    <w:rsid w:val="003D1589"/>
    <w:rsid w:val="003D3B89"/>
    <w:rsid w:val="003D6034"/>
    <w:rsid w:val="003D6FDA"/>
    <w:rsid w:val="003E0EBE"/>
    <w:rsid w:val="003E1919"/>
    <w:rsid w:val="003E534A"/>
    <w:rsid w:val="003E711F"/>
    <w:rsid w:val="003F54D5"/>
    <w:rsid w:val="003F5FB0"/>
    <w:rsid w:val="003F60B4"/>
    <w:rsid w:val="003F60EB"/>
    <w:rsid w:val="00401E7C"/>
    <w:rsid w:val="00412E36"/>
    <w:rsid w:val="004213B1"/>
    <w:rsid w:val="004265B9"/>
    <w:rsid w:val="0043172F"/>
    <w:rsid w:val="00431785"/>
    <w:rsid w:val="00431DAD"/>
    <w:rsid w:val="00432E05"/>
    <w:rsid w:val="00441455"/>
    <w:rsid w:val="004444A0"/>
    <w:rsid w:val="00445312"/>
    <w:rsid w:val="00445479"/>
    <w:rsid w:val="00450B63"/>
    <w:rsid w:val="0045396E"/>
    <w:rsid w:val="00453F18"/>
    <w:rsid w:val="004540AF"/>
    <w:rsid w:val="00454438"/>
    <w:rsid w:val="00454AAD"/>
    <w:rsid w:val="004558C7"/>
    <w:rsid w:val="004567C2"/>
    <w:rsid w:val="004611A3"/>
    <w:rsid w:val="00461220"/>
    <w:rsid w:val="00461B5A"/>
    <w:rsid w:val="0046283D"/>
    <w:rsid w:val="00464869"/>
    <w:rsid w:val="00465463"/>
    <w:rsid w:val="00470A01"/>
    <w:rsid w:val="00470EAC"/>
    <w:rsid w:val="00473EC3"/>
    <w:rsid w:val="00473F33"/>
    <w:rsid w:val="00482279"/>
    <w:rsid w:val="00486FE3"/>
    <w:rsid w:val="0049056B"/>
    <w:rsid w:val="00494309"/>
    <w:rsid w:val="004A1DE6"/>
    <w:rsid w:val="004A26A2"/>
    <w:rsid w:val="004A6B05"/>
    <w:rsid w:val="004B2E35"/>
    <w:rsid w:val="004B5478"/>
    <w:rsid w:val="004B58E0"/>
    <w:rsid w:val="004B6E15"/>
    <w:rsid w:val="004C16A3"/>
    <w:rsid w:val="004C30C8"/>
    <w:rsid w:val="004D797A"/>
    <w:rsid w:val="004E2282"/>
    <w:rsid w:val="004E6582"/>
    <w:rsid w:val="004E6731"/>
    <w:rsid w:val="004F238C"/>
    <w:rsid w:val="004F395B"/>
    <w:rsid w:val="004F5277"/>
    <w:rsid w:val="004F6CE1"/>
    <w:rsid w:val="004F78C5"/>
    <w:rsid w:val="00500037"/>
    <w:rsid w:val="0051400D"/>
    <w:rsid w:val="00515A6A"/>
    <w:rsid w:val="005166FA"/>
    <w:rsid w:val="00522C08"/>
    <w:rsid w:val="0052378C"/>
    <w:rsid w:val="005304A5"/>
    <w:rsid w:val="00532427"/>
    <w:rsid w:val="00537386"/>
    <w:rsid w:val="00542671"/>
    <w:rsid w:val="00553BE1"/>
    <w:rsid w:val="00554123"/>
    <w:rsid w:val="00561E75"/>
    <w:rsid w:val="00562434"/>
    <w:rsid w:val="005656A9"/>
    <w:rsid w:val="00565900"/>
    <w:rsid w:val="00566C4F"/>
    <w:rsid w:val="005709B3"/>
    <w:rsid w:val="005713BC"/>
    <w:rsid w:val="00572EEF"/>
    <w:rsid w:val="00575157"/>
    <w:rsid w:val="00577F35"/>
    <w:rsid w:val="005817D5"/>
    <w:rsid w:val="00581E95"/>
    <w:rsid w:val="00592223"/>
    <w:rsid w:val="005953F3"/>
    <w:rsid w:val="005955AB"/>
    <w:rsid w:val="005963BA"/>
    <w:rsid w:val="00596827"/>
    <w:rsid w:val="005A5A1C"/>
    <w:rsid w:val="005A6786"/>
    <w:rsid w:val="005B08E3"/>
    <w:rsid w:val="005B4B8A"/>
    <w:rsid w:val="005B7D67"/>
    <w:rsid w:val="005C60EB"/>
    <w:rsid w:val="005D0BBA"/>
    <w:rsid w:val="005D1C6D"/>
    <w:rsid w:val="005D493F"/>
    <w:rsid w:val="005D5292"/>
    <w:rsid w:val="005D53E3"/>
    <w:rsid w:val="005E0EA7"/>
    <w:rsid w:val="005E702D"/>
    <w:rsid w:val="005E7A4A"/>
    <w:rsid w:val="005F4BD2"/>
    <w:rsid w:val="005F78F2"/>
    <w:rsid w:val="00601495"/>
    <w:rsid w:val="00604FFC"/>
    <w:rsid w:val="0061373E"/>
    <w:rsid w:val="0061434F"/>
    <w:rsid w:val="00617803"/>
    <w:rsid w:val="00622E16"/>
    <w:rsid w:val="006426A0"/>
    <w:rsid w:val="00642DD4"/>
    <w:rsid w:val="00644A8E"/>
    <w:rsid w:val="00646F85"/>
    <w:rsid w:val="00647B9F"/>
    <w:rsid w:val="006536A4"/>
    <w:rsid w:val="00656906"/>
    <w:rsid w:val="00660911"/>
    <w:rsid w:val="00662120"/>
    <w:rsid w:val="006627B4"/>
    <w:rsid w:val="00662A19"/>
    <w:rsid w:val="00666EBA"/>
    <w:rsid w:val="0067027B"/>
    <w:rsid w:val="00672937"/>
    <w:rsid w:val="00674112"/>
    <w:rsid w:val="0067576E"/>
    <w:rsid w:val="00677510"/>
    <w:rsid w:val="00677E99"/>
    <w:rsid w:val="00682B31"/>
    <w:rsid w:val="00686513"/>
    <w:rsid w:val="006874F1"/>
    <w:rsid w:val="00690D0E"/>
    <w:rsid w:val="00693FF5"/>
    <w:rsid w:val="00694181"/>
    <w:rsid w:val="00695F5D"/>
    <w:rsid w:val="00696C36"/>
    <w:rsid w:val="006A4CAA"/>
    <w:rsid w:val="006B38EB"/>
    <w:rsid w:val="006B6252"/>
    <w:rsid w:val="006C0719"/>
    <w:rsid w:val="006C161F"/>
    <w:rsid w:val="006C4DA8"/>
    <w:rsid w:val="006C6532"/>
    <w:rsid w:val="006E0A4C"/>
    <w:rsid w:val="006E0A72"/>
    <w:rsid w:val="006E5447"/>
    <w:rsid w:val="006F2C0D"/>
    <w:rsid w:val="006F2EF8"/>
    <w:rsid w:val="006F418D"/>
    <w:rsid w:val="006F461D"/>
    <w:rsid w:val="00701439"/>
    <w:rsid w:val="00702289"/>
    <w:rsid w:val="00711415"/>
    <w:rsid w:val="00714DA2"/>
    <w:rsid w:val="0071720A"/>
    <w:rsid w:val="007211B7"/>
    <w:rsid w:val="00721C45"/>
    <w:rsid w:val="007339F2"/>
    <w:rsid w:val="00733B12"/>
    <w:rsid w:val="00735F17"/>
    <w:rsid w:val="00741992"/>
    <w:rsid w:val="00742904"/>
    <w:rsid w:val="0074345B"/>
    <w:rsid w:val="007435A9"/>
    <w:rsid w:val="00743C02"/>
    <w:rsid w:val="00745D7F"/>
    <w:rsid w:val="007507A4"/>
    <w:rsid w:val="007570F0"/>
    <w:rsid w:val="00761F64"/>
    <w:rsid w:val="007675CD"/>
    <w:rsid w:val="0077093B"/>
    <w:rsid w:val="00770A8B"/>
    <w:rsid w:val="00771D7F"/>
    <w:rsid w:val="00777C0A"/>
    <w:rsid w:val="00782210"/>
    <w:rsid w:val="00786229"/>
    <w:rsid w:val="00786D84"/>
    <w:rsid w:val="00792E50"/>
    <w:rsid w:val="00796ED2"/>
    <w:rsid w:val="007A535E"/>
    <w:rsid w:val="007B0DCC"/>
    <w:rsid w:val="007C20FE"/>
    <w:rsid w:val="007C634E"/>
    <w:rsid w:val="007D6DE1"/>
    <w:rsid w:val="007D70AB"/>
    <w:rsid w:val="007D7DFE"/>
    <w:rsid w:val="007E00F7"/>
    <w:rsid w:val="007E5F00"/>
    <w:rsid w:val="007F4454"/>
    <w:rsid w:val="007F749C"/>
    <w:rsid w:val="00800A90"/>
    <w:rsid w:val="00800E85"/>
    <w:rsid w:val="00800FD9"/>
    <w:rsid w:val="00802095"/>
    <w:rsid w:val="008101C1"/>
    <w:rsid w:val="00813A2E"/>
    <w:rsid w:val="008213C2"/>
    <w:rsid w:val="008246A9"/>
    <w:rsid w:val="00830656"/>
    <w:rsid w:val="00831B67"/>
    <w:rsid w:val="008437D2"/>
    <w:rsid w:val="00843B26"/>
    <w:rsid w:val="00847246"/>
    <w:rsid w:val="00872F0E"/>
    <w:rsid w:val="00876A6F"/>
    <w:rsid w:val="00880549"/>
    <w:rsid w:val="008818E0"/>
    <w:rsid w:val="008838B7"/>
    <w:rsid w:val="008932DE"/>
    <w:rsid w:val="008A53BF"/>
    <w:rsid w:val="008A6352"/>
    <w:rsid w:val="008B1CD0"/>
    <w:rsid w:val="008B2B30"/>
    <w:rsid w:val="008B6457"/>
    <w:rsid w:val="008C11FE"/>
    <w:rsid w:val="008C39FB"/>
    <w:rsid w:val="008C3A95"/>
    <w:rsid w:val="008C3C7E"/>
    <w:rsid w:val="008D0BBA"/>
    <w:rsid w:val="008D51A8"/>
    <w:rsid w:val="008E331D"/>
    <w:rsid w:val="008E3E64"/>
    <w:rsid w:val="008E61E1"/>
    <w:rsid w:val="008E6522"/>
    <w:rsid w:val="008F0DDE"/>
    <w:rsid w:val="008F3497"/>
    <w:rsid w:val="008F44A7"/>
    <w:rsid w:val="008F5F41"/>
    <w:rsid w:val="008F793F"/>
    <w:rsid w:val="00902AFD"/>
    <w:rsid w:val="00902ED7"/>
    <w:rsid w:val="0090422B"/>
    <w:rsid w:val="00906797"/>
    <w:rsid w:val="0091383E"/>
    <w:rsid w:val="009200C7"/>
    <w:rsid w:val="009237BA"/>
    <w:rsid w:val="00923A40"/>
    <w:rsid w:val="009251F4"/>
    <w:rsid w:val="0092623D"/>
    <w:rsid w:val="00936773"/>
    <w:rsid w:val="00940C58"/>
    <w:rsid w:val="00944519"/>
    <w:rsid w:val="00945D6D"/>
    <w:rsid w:val="009542D7"/>
    <w:rsid w:val="00962BFA"/>
    <w:rsid w:val="00962E89"/>
    <w:rsid w:val="009645FE"/>
    <w:rsid w:val="00965E5C"/>
    <w:rsid w:val="009666B9"/>
    <w:rsid w:val="009827F5"/>
    <w:rsid w:val="00985521"/>
    <w:rsid w:val="009875A5"/>
    <w:rsid w:val="00992287"/>
    <w:rsid w:val="00993AF5"/>
    <w:rsid w:val="0099415A"/>
    <w:rsid w:val="009A0D98"/>
    <w:rsid w:val="009A0EB0"/>
    <w:rsid w:val="009A2600"/>
    <w:rsid w:val="009A28D3"/>
    <w:rsid w:val="009B0976"/>
    <w:rsid w:val="009B25FB"/>
    <w:rsid w:val="009C01C3"/>
    <w:rsid w:val="009C04AD"/>
    <w:rsid w:val="009D5959"/>
    <w:rsid w:val="009D6F47"/>
    <w:rsid w:val="009E1C42"/>
    <w:rsid w:val="009E21C5"/>
    <w:rsid w:val="009E2A42"/>
    <w:rsid w:val="009E4133"/>
    <w:rsid w:val="009E7E71"/>
    <w:rsid w:val="009F0A7B"/>
    <w:rsid w:val="009F1949"/>
    <w:rsid w:val="009F37DD"/>
    <w:rsid w:val="009F55F5"/>
    <w:rsid w:val="00A030B6"/>
    <w:rsid w:val="00A03FE0"/>
    <w:rsid w:val="00A04EE1"/>
    <w:rsid w:val="00A06394"/>
    <w:rsid w:val="00A11ECE"/>
    <w:rsid w:val="00A13F16"/>
    <w:rsid w:val="00A17794"/>
    <w:rsid w:val="00A2711A"/>
    <w:rsid w:val="00A32991"/>
    <w:rsid w:val="00A369C0"/>
    <w:rsid w:val="00A3724D"/>
    <w:rsid w:val="00A410F3"/>
    <w:rsid w:val="00A45637"/>
    <w:rsid w:val="00A51543"/>
    <w:rsid w:val="00A61E90"/>
    <w:rsid w:val="00A631B0"/>
    <w:rsid w:val="00A63B66"/>
    <w:rsid w:val="00A64467"/>
    <w:rsid w:val="00A7078C"/>
    <w:rsid w:val="00A70BF7"/>
    <w:rsid w:val="00A72BC7"/>
    <w:rsid w:val="00A74272"/>
    <w:rsid w:val="00A7539B"/>
    <w:rsid w:val="00A767CA"/>
    <w:rsid w:val="00A7763B"/>
    <w:rsid w:val="00A82CA7"/>
    <w:rsid w:val="00A82E1B"/>
    <w:rsid w:val="00A833D6"/>
    <w:rsid w:val="00A8433E"/>
    <w:rsid w:val="00A95070"/>
    <w:rsid w:val="00AA29FE"/>
    <w:rsid w:val="00AA6DB7"/>
    <w:rsid w:val="00AA76E5"/>
    <w:rsid w:val="00AB34F1"/>
    <w:rsid w:val="00AC0EDD"/>
    <w:rsid w:val="00AC38F4"/>
    <w:rsid w:val="00AC4962"/>
    <w:rsid w:val="00AC70C2"/>
    <w:rsid w:val="00AD2E78"/>
    <w:rsid w:val="00AD3669"/>
    <w:rsid w:val="00AF565B"/>
    <w:rsid w:val="00AF5CD1"/>
    <w:rsid w:val="00AF73F5"/>
    <w:rsid w:val="00B0697A"/>
    <w:rsid w:val="00B06FCF"/>
    <w:rsid w:val="00B12300"/>
    <w:rsid w:val="00B21725"/>
    <w:rsid w:val="00B24133"/>
    <w:rsid w:val="00B24598"/>
    <w:rsid w:val="00B259AC"/>
    <w:rsid w:val="00B26342"/>
    <w:rsid w:val="00B3147A"/>
    <w:rsid w:val="00B32849"/>
    <w:rsid w:val="00B328B0"/>
    <w:rsid w:val="00B33B3B"/>
    <w:rsid w:val="00B359B6"/>
    <w:rsid w:val="00B35EB3"/>
    <w:rsid w:val="00B45FC4"/>
    <w:rsid w:val="00B523A9"/>
    <w:rsid w:val="00B53DFC"/>
    <w:rsid w:val="00B55B73"/>
    <w:rsid w:val="00B55D7A"/>
    <w:rsid w:val="00B718F8"/>
    <w:rsid w:val="00B74280"/>
    <w:rsid w:val="00B76566"/>
    <w:rsid w:val="00B776C8"/>
    <w:rsid w:val="00B80F7A"/>
    <w:rsid w:val="00B844AA"/>
    <w:rsid w:val="00B878C9"/>
    <w:rsid w:val="00B90132"/>
    <w:rsid w:val="00B9580F"/>
    <w:rsid w:val="00B95E15"/>
    <w:rsid w:val="00BA61D0"/>
    <w:rsid w:val="00BB7911"/>
    <w:rsid w:val="00BC1BDA"/>
    <w:rsid w:val="00BD0E62"/>
    <w:rsid w:val="00BD68C4"/>
    <w:rsid w:val="00BE7B92"/>
    <w:rsid w:val="00BF1C6B"/>
    <w:rsid w:val="00BF2873"/>
    <w:rsid w:val="00BF3F75"/>
    <w:rsid w:val="00BF60F6"/>
    <w:rsid w:val="00C05B82"/>
    <w:rsid w:val="00C06D34"/>
    <w:rsid w:val="00C16AB0"/>
    <w:rsid w:val="00C30D28"/>
    <w:rsid w:val="00C34733"/>
    <w:rsid w:val="00C34F2E"/>
    <w:rsid w:val="00C400F0"/>
    <w:rsid w:val="00C40625"/>
    <w:rsid w:val="00C44360"/>
    <w:rsid w:val="00C5026A"/>
    <w:rsid w:val="00C527EC"/>
    <w:rsid w:val="00C5314B"/>
    <w:rsid w:val="00C54F97"/>
    <w:rsid w:val="00C579D1"/>
    <w:rsid w:val="00C627F1"/>
    <w:rsid w:val="00C632DD"/>
    <w:rsid w:val="00C66E22"/>
    <w:rsid w:val="00C7625E"/>
    <w:rsid w:val="00C84A68"/>
    <w:rsid w:val="00C943B8"/>
    <w:rsid w:val="00C9452C"/>
    <w:rsid w:val="00C969A6"/>
    <w:rsid w:val="00CA04A3"/>
    <w:rsid w:val="00CA09DC"/>
    <w:rsid w:val="00CA7910"/>
    <w:rsid w:val="00CB0065"/>
    <w:rsid w:val="00CB3880"/>
    <w:rsid w:val="00CB58C3"/>
    <w:rsid w:val="00CB5CC7"/>
    <w:rsid w:val="00CC52AE"/>
    <w:rsid w:val="00CD4264"/>
    <w:rsid w:val="00CE48C7"/>
    <w:rsid w:val="00CE6EDB"/>
    <w:rsid w:val="00CE708F"/>
    <w:rsid w:val="00CF1358"/>
    <w:rsid w:val="00D01AD8"/>
    <w:rsid w:val="00D04122"/>
    <w:rsid w:val="00D12FF9"/>
    <w:rsid w:val="00D16308"/>
    <w:rsid w:val="00D17FC8"/>
    <w:rsid w:val="00D23AFA"/>
    <w:rsid w:val="00D33952"/>
    <w:rsid w:val="00D361CD"/>
    <w:rsid w:val="00D3701C"/>
    <w:rsid w:val="00D418B6"/>
    <w:rsid w:val="00D41EE0"/>
    <w:rsid w:val="00D50299"/>
    <w:rsid w:val="00D50540"/>
    <w:rsid w:val="00D52E6A"/>
    <w:rsid w:val="00D53164"/>
    <w:rsid w:val="00D54F4F"/>
    <w:rsid w:val="00D6154B"/>
    <w:rsid w:val="00D65246"/>
    <w:rsid w:val="00D656C1"/>
    <w:rsid w:val="00D65C37"/>
    <w:rsid w:val="00D667CD"/>
    <w:rsid w:val="00D71660"/>
    <w:rsid w:val="00D71A72"/>
    <w:rsid w:val="00D71A97"/>
    <w:rsid w:val="00D723CE"/>
    <w:rsid w:val="00D80137"/>
    <w:rsid w:val="00D80498"/>
    <w:rsid w:val="00D854A5"/>
    <w:rsid w:val="00D900BB"/>
    <w:rsid w:val="00D9026D"/>
    <w:rsid w:val="00D979F2"/>
    <w:rsid w:val="00DA05F4"/>
    <w:rsid w:val="00DA1857"/>
    <w:rsid w:val="00DA3251"/>
    <w:rsid w:val="00DA7C9A"/>
    <w:rsid w:val="00DB0E72"/>
    <w:rsid w:val="00DB590C"/>
    <w:rsid w:val="00DC2203"/>
    <w:rsid w:val="00DC374C"/>
    <w:rsid w:val="00DC3E61"/>
    <w:rsid w:val="00DC57F1"/>
    <w:rsid w:val="00DD00C0"/>
    <w:rsid w:val="00DD08E1"/>
    <w:rsid w:val="00DD5EFB"/>
    <w:rsid w:val="00DE14FC"/>
    <w:rsid w:val="00DE1A59"/>
    <w:rsid w:val="00DE3730"/>
    <w:rsid w:val="00DF3C50"/>
    <w:rsid w:val="00DF4FAE"/>
    <w:rsid w:val="00DF51CE"/>
    <w:rsid w:val="00E02BB2"/>
    <w:rsid w:val="00E07524"/>
    <w:rsid w:val="00E100DF"/>
    <w:rsid w:val="00E173A0"/>
    <w:rsid w:val="00E20E19"/>
    <w:rsid w:val="00E21BD1"/>
    <w:rsid w:val="00E25B5C"/>
    <w:rsid w:val="00E30D6F"/>
    <w:rsid w:val="00E31939"/>
    <w:rsid w:val="00E3300D"/>
    <w:rsid w:val="00E34077"/>
    <w:rsid w:val="00E34097"/>
    <w:rsid w:val="00E44043"/>
    <w:rsid w:val="00E45BF0"/>
    <w:rsid w:val="00E466CD"/>
    <w:rsid w:val="00E509F6"/>
    <w:rsid w:val="00E5285E"/>
    <w:rsid w:val="00E54256"/>
    <w:rsid w:val="00E54B87"/>
    <w:rsid w:val="00E56235"/>
    <w:rsid w:val="00E57ADF"/>
    <w:rsid w:val="00E6198C"/>
    <w:rsid w:val="00E61BC4"/>
    <w:rsid w:val="00E65E96"/>
    <w:rsid w:val="00E80BD9"/>
    <w:rsid w:val="00E81B76"/>
    <w:rsid w:val="00E852FF"/>
    <w:rsid w:val="00E85EA0"/>
    <w:rsid w:val="00E92C98"/>
    <w:rsid w:val="00EA2C8F"/>
    <w:rsid w:val="00EA5418"/>
    <w:rsid w:val="00EA5C53"/>
    <w:rsid w:val="00EA6BA4"/>
    <w:rsid w:val="00EB2F5F"/>
    <w:rsid w:val="00EB5198"/>
    <w:rsid w:val="00EC20BD"/>
    <w:rsid w:val="00EC4277"/>
    <w:rsid w:val="00EC476B"/>
    <w:rsid w:val="00EC6C47"/>
    <w:rsid w:val="00ED3872"/>
    <w:rsid w:val="00ED4B29"/>
    <w:rsid w:val="00EE05B8"/>
    <w:rsid w:val="00EE42CE"/>
    <w:rsid w:val="00EE617C"/>
    <w:rsid w:val="00EE7E02"/>
    <w:rsid w:val="00EF2193"/>
    <w:rsid w:val="00EF49D1"/>
    <w:rsid w:val="00F0285E"/>
    <w:rsid w:val="00F116A4"/>
    <w:rsid w:val="00F14A6A"/>
    <w:rsid w:val="00F15C6F"/>
    <w:rsid w:val="00F175AB"/>
    <w:rsid w:val="00F20BBA"/>
    <w:rsid w:val="00F21523"/>
    <w:rsid w:val="00F22DD5"/>
    <w:rsid w:val="00F24DB2"/>
    <w:rsid w:val="00F26D5B"/>
    <w:rsid w:val="00F33391"/>
    <w:rsid w:val="00F33667"/>
    <w:rsid w:val="00F36C62"/>
    <w:rsid w:val="00F40B66"/>
    <w:rsid w:val="00F40F38"/>
    <w:rsid w:val="00F41509"/>
    <w:rsid w:val="00F43EF4"/>
    <w:rsid w:val="00F43F95"/>
    <w:rsid w:val="00F44366"/>
    <w:rsid w:val="00F51E48"/>
    <w:rsid w:val="00F60109"/>
    <w:rsid w:val="00F651D2"/>
    <w:rsid w:val="00F65555"/>
    <w:rsid w:val="00F7742E"/>
    <w:rsid w:val="00F81BB7"/>
    <w:rsid w:val="00F8259E"/>
    <w:rsid w:val="00F83BD8"/>
    <w:rsid w:val="00F83E52"/>
    <w:rsid w:val="00F87E77"/>
    <w:rsid w:val="00F91DED"/>
    <w:rsid w:val="00F961AE"/>
    <w:rsid w:val="00F97B01"/>
    <w:rsid w:val="00FA0FB3"/>
    <w:rsid w:val="00FA31EA"/>
    <w:rsid w:val="00FA5644"/>
    <w:rsid w:val="00FA5DCC"/>
    <w:rsid w:val="00FB51B0"/>
    <w:rsid w:val="00FC033C"/>
    <w:rsid w:val="00FC0FA2"/>
    <w:rsid w:val="00FC3413"/>
    <w:rsid w:val="00FC5D89"/>
    <w:rsid w:val="00FC6AD6"/>
    <w:rsid w:val="00FC76D7"/>
    <w:rsid w:val="00FD4982"/>
    <w:rsid w:val="00FD4F53"/>
    <w:rsid w:val="00FD527C"/>
    <w:rsid w:val="00FE0A2F"/>
    <w:rsid w:val="00FE17E1"/>
    <w:rsid w:val="00FE2338"/>
    <w:rsid w:val="00FE4D45"/>
    <w:rsid w:val="00FE70DD"/>
    <w:rsid w:val="00FF2016"/>
    <w:rsid w:val="00FF63D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17BEF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able of figures" w:uiPriority="0"/>
    <w:lsdException w:name="footnote reference" w:uiPriority="0"/>
    <w:lsdException w:name="List Number"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3326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pPr>
      <w:spacing w:after="120"/>
      <w:outlineLvl w:val="1"/>
    </w:pPr>
    <w:rPr>
      <w:rFonts w:ascii="Verdana" w:eastAsia="Verdana" w:hAnsi="Verdana" w:cs="Verdana"/>
      <w:b/>
      <w:bCs/>
      <w:color w:val="A80F29"/>
      <w:sz w:val="29"/>
      <w:szCs w:val="29"/>
      <w:u w:color="A80F29"/>
    </w:rPr>
  </w:style>
  <w:style w:type="paragraph" w:styleId="Heading5">
    <w:name w:val="heading 5"/>
    <w:basedOn w:val="Normal"/>
    <w:next w:val="Normal"/>
    <w:link w:val="Heading5Char"/>
    <w:uiPriority w:val="9"/>
    <w:semiHidden/>
    <w:unhideWhenUsed/>
    <w:qFormat/>
    <w:rsid w:val="00F651D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4"/>
    </w:pPr>
    <w:rPr>
      <w:rFonts w:asciiTheme="majorHAnsi" w:eastAsiaTheme="majorEastAsia" w:hAnsiTheme="majorHAnsi" w:cstheme="majorBidi"/>
      <w:color w:val="243F60" w:themeColor="accent1" w:themeShade="7F"/>
      <w:sz w:val="22"/>
      <w:szCs w:val="22"/>
      <w:bdr w:val="none" w:sz="0" w:space="0" w:color="auto"/>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pPr>
      <w:tabs>
        <w:tab w:val="center" w:pos="4320"/>
        <w:tab w:val="right" w:pos="8640"/>
      </w:tabs>
    </w:pPr>
    <w:rPr>
      <w:rFonts w:eastAsia="Times New Roman"/>
      <w:color w:val="000000"/>
      <w:sz w:val="24"/>
      <w:szCs w:val="24"/>
      <w:u w:color="000000"/>
      <w:lang w:val="en-US"/>
    </w:rPr>
  </w:style>
  <w:style w:type="paragraph" w:styleId="Footer">
    <w:name w:val="footer"/>
    <w:link w:val="FooterChar"/>
    <w:uiPriority w:val="99"/>
    <w:pPr>
      <w:tabs>
        <w:tab w:val="center" w:pos="4320"/>
        <w:tab w:val="right" w:pos="8640"/>
      </w:tabs>
    </w:pPr>
    <w:rPr>
      <w:rFonts w:eastAsia="Times New Roman"/>
      <w:color w:val="000000"/>
      <w:sz w:val="24"/>
      <w:szCs w:val="24"/>
      <w:u w:color="000000"/>
      <w:lang w:val="en-US"/>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Body">
    <w:name w:val="Body"/>
    <w:uiPriority w:val="99"/>
    <w:rPr>
      <w:rFonts w:ascii="Helvetica" w:eastAsia="Helvetica" w:hAnsi="Helvetica" w:cs="Helvetica"/>
      <w:color w:val="000000"/>
      <w:sz w:val="22"/>
      <w:szCs w:val="22"/>
      <w:u w:color="000000"/>
      <w:lang w:val="en-US"/>
    </w:rPr>
  </w:style>
  <w:style w:type="paragraph" w:styleId="TOCHeading">
    <w:name w:val="TOC Heading"/>
    <w:next w:val="Body"/>
    <w:uiPriority w:val="39"/>
    <w:qFormat/>
    <w:pPr>
      <w:keepNext/>
      <w:keepLines/>
      <w:spacing w:before="480"/>
    </w:pPr>
    <w:rPr>
      <w:rFonts w:ascii="Cambria" w:eastAsia="Cambria" w:hAnsi="Cambria" w:cs="Cambria"/>
      <w:b/>
      <w:bCs/>
      <w:color w:val="365F91"/>
      <w:sz w:val="28"/>
      <w:szCs w:val="28"/>
      <w:u w:color="365F91"/>
      <w:lang w:val="en-US"/>
    </w:rPr>
  </w:style>
  <w:style w:type="paragraph" w:styleId="TOC2">
    <w:name w:val="toc 2"/>
    <w:uiPriority w:val="39"/>
    <w:pPr>
      <w:tabs>
        <w:tab w:val="right" w:pos="9952"/>
      </w:tabs>
      <w:spacing w:after="100"/>
      <w:ind w:left="240"/>
    </w:pPr>
    <w:rPr>
      <w:rFonts w:eastAsia="Times New Roman"/>
      <w:color w:val="000000"/>
      <w:sz w:val="24"/>
      <w:szCs w:val="24"/>
      <w:u w:color="000000"/>
      <w:lang w:val="en-US"/>
    </w:rPr>
  </w:style>
  <w:style w:type="paragraph" w:styleId="TOC3">
    <w:name w:val="toc 3"/>
    <w:pPr>
      <w:tabs>
        <w:tab w:val="left" w:pos="9072"/>
      </w:tabs>
      <w:spacing w:after="120" w:line="276" w:lineRule="auto"/>
      <w:jc w:val="both"/>
    </w:pPr>
    <w:rPr>
      <w:rFonts w:eastAsia="Times New Roman"/>
      <w:color w:val="000000"/>
      <w:sz w:val="24"/>
      <w:szCs w:val="24"/>
      <w:u w:color="000000"/>
      <w:lang w:val="en-US"/>
    </w:rPr>
  </w:style>
  <w:style w:type="paragraph" w:customStyle="1" w:styleId="Default">
    <w:name w:val="Default"/>
    <w:rPr>
      <w:rFonts w:ascii="Calibri" w:eastAsia="Calibri" w:hAnsi="Calibri" w:cs="Calibri"/>
      <w:color w:val="000000"/>
      <w:sz w:val="24"/>
      <w:szCs w:val="24"/>
      <w:u w:color="000000"/>
      <w:lang w:val="en-US"/>
    </w:rPr>
  </w:style>
  <w:style w:type="paragraph" w:customStyle="1" w:styleId="Heading">
    <w:name w:val="Heading"/>
    <w:next w:val="Body"/>
    <w:pPr>
      <w:keepNext/>
      <w:spacing w:before="240" w:after="60"/>
      <w:outlineLvl w:val="3"/>
    </w:pPr>
    <w:rPr>
      <w:rFonts w:ascii="Arial" w:eastAsia="Arial" w:hAnsi="Arial" w:cs="Arial"/>
      <w:b/>
      <w:bCs/>
      <w:color w:val="000000"/>
      <w:kern w:val="32"/>
      <w:sz w:val="32"/>
      <w:szCs w:val="32"/>
      <w:u w:color="000000"/>
      <w:lang w:val="en-US"/>
    </w:rPr>
  </w:style>
  <w:style w:type="paragraph" w:styleId="ListParagraph">
    <w:name w:val="List Paragraph"/>
    <w:aliases w:val="List Paragraph1,List Paragraph11,Recommendation,Numbered paragraph,L,NFP GP Bulleted List,FooterText,numbered,Paragraphe de liste1,Bulletr List Paragraph,列出段落,列出段落1,List Paragraph2,List Paragraph21,Listeafsnit1,Parágrafo da Lista1,リスト段落1"/>
    <w:link w:val="ListParagraphChar"/>
    <w:uiPriority w:val="34"/>
    <w:qFormat/>
    <w:pPr>
      <w:ind w:left="720"/>
    </w:pPr>
    <w:rPr>
      <w:rFonts w:eastAsia="Times New Roman"/>
      <w:color w:val="000000"/>
      <w:sz w:val="24"/>
      <w:szCs w:val="24"/>
      <w:u w:color="000000"/>
      <w:lang w:val="en-US"/>
    </w:rPr>
  </w:style>
  <w:style w:type="numbering" w:customStyle="1" w:styleId="List0">
    <w:name w:val="List 0"/>
    <w:basedOn w:val="ImportedStyle1"/>
    <w:pPr>
      <w:numPr>
        <w:numId w:val="17"/>
      </w:numPr>
    </w:pPr>
  </w:style>
  <w:style w:type="numbering" w:customStyle="1" w:styleId="ImportedStyle1">
    <w:name w:val="Imported Style 1"/>
  </w:style>
  <w:style w:type="numbering" w:customStyle="1" w:styleId="List1">
    <w:name w:val="List 1"/>
    <w:basedOn w:val="ImportedStyle2"/>
    <w:pPr>
      <w:numPr>
        <w:numId w:val="14"/>
      </w:numPr>
    </w:pPr>
  </w:style>
  <w:style w:type="numbering" w:customStyle="1" w:styleId="ImportedStyle2">
    <w:name w:val="Imported Style 2"/>
  </w:style>
  <w:style w:type="paragraph" w:customStyle="1" w:styleId="TableGrid1">
    <w:name w:val="Table Grid1"/>
    <w:rPr>
      <w:rFonts w:eastAsia="Times New Roman"/>
      <w:color w:val="000000"/>
      <w:u w:color="000000"/>
      <w:lang w:val="en-US"/>
    </w:rPr>
  </w:style>
  <w:style w:type="numbering" w:customStyle="1" w:styleId="List21">
    <w:name w:val="List 21"/>
    <w:basedOn w:val="ImportedStyle3"/>
    <w:pPr>
      <w:numPr>
        <w:numId w:val="1"/>
      </w:numPr>
    </w:pPr>
  </w:style>
  <w:style w:type="numbering" w:customStyle="1" w:styleId="ImportedStyle3">
    <w:name w:val="Imported Style 3"/>
  </w:style>
  <w:style w:type="numbering" w:customStyle="1" w:styleId="List31">
    <w:name w:val="List 31"/>
    <w:basedOn w:val="ImportedStyle4"/>
    <w:pPr>
      <w:numPr>
        <w:numId w:val="2"/>
      </w:numPr>
    </w:pPr>
  </w:style>
  <w:style w:type="numbering" w:customStyle="1" w:styleId="ImportedStyle4">
    <w:name w:val="Imported Style 4"/>
  </w:style>
  <w:style w:type="paragraph" w:styleId="NormalWeb">
    <w:name w:val="Normal (Web)"/>
    <w:uiPriority w:val="99"/>
    <w:pPr>
      <w:spacing w:before="100" w:after="360" w:line="360" w:lineRule="atLeast"/>
    </w:pPr>
    <w:rPr>
      <w:rFonts w:eastAsia="Times New Roman"/>
      <w:color w:val="000000"/>
      <w:sz w:val="24"/>
      <w:szCs w:val="24"/>
      <w:u w:color="000000"/>
      <w:lang w:val="en-US"/>
    </w:rPr>
  </w:style>
  <w:style w:type="numbering" w:customStyle="1" w:styleId="List41">
    <w:name w:val="List 41"/>
    <w:basedOn w:val="ImportedStyle5"/>
    <w:pPr>
      <w:numPr>
        <w:numId w:val="3"/>
      </w:numPr>
    </w:pPr>
  </w:style>
  <w:style w:type="numbering" w:customStyle="1" w:styleId="ImportedStyle5">
    <w:name w:val="Imported Style 5"/>
  </w:style>
  <w:style w:type="numbering" w:customStyle="1" w:styleId="List51">
    <w:name w:val="List 51"/>
    <w:basedOn w:val="ImportedStyle6"/>
    <w:pPr>
      <w:numPr>
        <w:numId w:val="4"/>
      </w:numPr>
    </w:pPr>
  </w:style>
  <w:style w:type="numbering" w:customStyle="1" w:styleId="ImportedStyle6">
    <w:name w:val="Imported Style 6"/>
  </w:style>
  <w:style w:type="paragraph" w:styleId="FootnoteText">
    <w:name w:val="footnote text"/>
    <w:aliases w:val="Footnote Text Char1 Char,Footnote Text Char Char Char,Footnote Text Char1 Char Char Char,Footnote Text Char Char Char Char Char,Footnote Text Char1 Char1,Footnote Text Char Char Char1,Footnote Text Char1,FN,Footnote Text Char Char"/>
    <w:link w:val="FootnoteTextChar"/>
    <w:rPr>
      <w:rFonts w:eastAsia="Times New Roman"/>
      <w:color w:val="000000"/>
      <w:u w:color="000000"/>
      <w:lang w:val="en-US"/>
    </w:rPr>
  </w:style>
  <w:style w:type="numbering" w:customStyle="1" w:styleId="List6">
    <w:name w:val="List 6"/>
    <w:basedOn w:val="ImportedStyle7"/>
    <w:pPr>
      <w:numPr>
        <w:numId w:val="5"/>
      </w:numPr>
    </w:pPr>
  </w:style>
  <w:style w:type="numbering" w:customStyle="1" w:styleId="ImportedStyle7">
    <w:name w:val="Imported Style 7"/>
  </w:style>
  <w:style w:type="numbering" w:customStyle="1" w:styleId="List7">
    <w:name w:val="List 7"/>
    <w:basedOn w:val="ImportedStyle8"/>
    <w:pPr>
      <w:numPr>
        <w:numId w:val="6"/>
      </w:numPr>
    </w:pPr>
  </w:style>
  <w:style w:type="numbering" w:customStyle="1" w:styleId="ImportedStyle8">
    <w:name w:val="Imported Style 8"/>
  </w:style>
  <w:style w:type="numbering" w:customStyle="1" w:styleId="List8">
    <w:name w:val="List 8"/>
    <w:basedOn w:val="ImportedStyle9"/>
    <w:pPr>
      <w:numPr>
        <w:numId w:val="7"/>
      </w:numPr>
    </w:pPr>
  </w:style>
  <w:style w:type="numbering" w:customStyle="1" w:styleId="ImportedStyle9">
    <w:name w:val="Imported Style 9"/>
  </w:style>
  <w:style w:type="numbering" w:customStyle="1" w:styleId="List9">
    <w:name w:val="List 9"/>
    <w:basedOn w:val="ImportedStyle9"/>
    <w:pPr>
      <w:numPr>
        <w:numId w:val="8"/>
      </w:numPr>
    </w:pPr>
  </w:style>
  <w:style w:type="numbering" w:customStyle="1" w:styleId="List10">
    <w:name w:val="List 10"/>
    <w:basedOn w:val="ImportedStyle10"/>
    <w:pPr>
      <w:numPr>
        <w:numId w:val="9"/>
      </w:numPr>
    </w:pPr>
  </w:style>
  <w:style w:type="numbering" w:customStyle="1" w:styleId="ImportedStyle10">
    <w:name w:val="Imported Style 10"/>
  </w:style>
  <w:style w:type="numbering" w:customStyle="1" w:styleId="List11">
    <w:name w:val="List 11"/>
    <w:basedOn w:val="ImportedStyle11"/>
    <w:pPr>
      <w:numPr>
        <w:numId w:val="10"/>
      </w:numPr>
    </w:pPr>
  </w:style>
  <w:style w:type="numbering" w:customStyle="1" w:styleId="ImportedStyle11">
    <w:name w:val="Imported Style 11"/>
  </w:style>
  <w:style w:type="numbering" w:customStyle="1" w:styleId="List12">
    <w:name w:val="List 12"/>
    <w:basedOn w:val="ImportedStyle12"/>
    <w:pPr>
      <w:numPr>
        <w:numId w:val="11"/>
      </w:numPr>
    </w:pPr>
  </w:style>
  <w:style w:type="numbering" w:customStyle="1" w:styleId="ImportedStyle12">
    <w:name w:val="Imported Style 12"/>
  </w:style>
  <w:style w:type="numbering" w:customStyle="1" w:styleId="List13">
    <w:name w:val="List 13"/>
    <w:basedOn w:val="ImportedStyle13"/>
    <w:pPr>
      <w:numPr>
        <w:numId w:val="12"/>
      </w:numPr>
    </w:pPr>
  </w:style>
  <w:style w:type="numbering" w:customStyle="1" w:styleId="ImportedStyle13">
    <w:name w:val="Imported Style 13"/>
  </w:style>
  <w:style w:type="numbering" w:customStyle="1" w:styleId="List14">
    <w:name w:val="List 14"/>
    <w:basedOn w:val="ImportedStyle14"/>
    <w:pPr>
      <w:numPr>
        <w:numId w:val="13"/>
      </w:numPr>
    </w:pPr>
  </w:style>
  <w:style w:type="numbering" w:customStyle="1" w:styleId="ImportedStyle14">
    <w:name w:val="Imported Style 14"/>
  </w:style>
  <w:style w:type="numbering" w:customStyle="1" w:styleId="List15">
    <w:name w:val="List 15"/>
    <w:basedOn w:val="ImportedStyle15"/>
    <w:pPr>
      <w:numPr>
        <w:numId w:val="15"/>
      </w:numPr>
    </w:pPr>
  </w:style>
  <w:style w:type="numbering" w:customStyle="1" w:styleId="ImportedStyle15">
    <w:name w:val="Imported Style 15"/>
  </w:style>
  <w:style w:type="numbering" w:customStyle="1" w:styleId="List16">
    <w:name w:val="List 16"/>
    <w:basedOn w:val="ImportedStyle16"/>
    <w:pPr>
      <w:numPr>
        <w:numId w:val="16"/>
      </w:numPr>
    </w:pPr>
  </w:style>
  <w:style w:type="numbering" w:customStyle="1" w:styleId="ImportedStyle16">
    <w:name w:val="Imported Style 16"/>
  </w:style>
  <w:style w:type="numbering" w:customStyle="1" w:styleId="List17">
    <w:name w:val="List 17"/>
    <w:basedOn w:val="ImportedStyle17"/>
    <w:pPr>
      <w:numPr>
        <w:numId w:val="18"/>
      </w:numPr>
    </w:pPr>
  </w:style>
  <w:style w:type="numbering" w:customStyle="1" w:styleId="ImportedStyle17">
    <w:name w:val="Imported Style 17"/>
  </w:style>
  <w:style w:type="numbering" w:customStyle="1" w:styleId="List18">
    <w:name w:val="List 18"/>
    <w:basedOn w:val="ImportedStyle18"/>
    <w:pPr>
      <w:numPr>
        <w:numId w:val="19"/>
      </w:numPr>
    </w:pPr>
  </w:style>
  <w:style w:type="numbering" w:customStyle="1" w:styleId="ImportedStyle18">
    <w:name w:val="Imported Style 18"/>
  </w:style>
  <w:style w:type="numbering" w:customStyle="1" w:styleId="List19">
    <w:name w:val="List 19"/>
    <w:basedOn w:val="ImportedStyle19"/>
    <w:pPr>
      <w:numPr>
        <w:numId w:val="20"/>
      </w:numPr>
    </w:pPr>
  </w:style>
  <w:style w:type="numbering" w:customStyle="1" w:styleId="ImportedStyle19">
    <w:name w:val="Imported Style 19"/>
  </w:style>
  <w:style w:type="numbering" w:customStyle="1" w:styleId="List20">
    <w:name w:val="List 20"/>
    <w:basedOn w:val="ImportedStyle20"/>
    <w:pPr>
      <w:numPr>
        <w:numId w:val="21"/>
      </w:numPr>
    </w:pPr>
  </w:style>
  <w:style w:type="numbering" w:customStyle="1" w:styleId="ImportedStyle20">
    <w:name w:val="Imported Style 20"/>
  </w:style>
  <w:style w:type="character" w:customStyle="1" w:styleId="None">
    <w:name w:val="None"/>
  </w:style>
  <w:style w:type="character" w:customStyle="1" w:styleId="Hyperlink0">
    <w:name w:val="Hyperlink.0"/>
    <w:basedOn w:val="None"/>
    <w:rPr>
      <w:rFonts w:ascii="Calibri" w:eastAsia="Calibri" w:hAnsi="Calibri" w:cs="Calibri"/>
      <w:color w:val="014A67"/>
      <w:sz w:val="20"/>
      <w:szCs w:val="20"/>
      <w:u w:val="none" w:color="014A67"/>
      <w:lang w:val="en-US"/>
    </w:rPr>
  </w:style>
  <w:style w:type="numbering" w:customStyle="1" w:styleId="List210">
    <w:name w:val="List 21"/>
    <w:basedOn w:val="ImportedStyle21"/>
    <w:pPr>
      <w:numPr>
        <w:numId w:val="22"/>
      </w:numPr>
    </w:pPr>
  </w:style>
  <w:style w:type="numbering" w:customStyle="1" w:styleId="ImportedStyle21">
    <w:name w:val="Imported Style 21"/>
  </w:style>
  <w:style w:type="numbering" w:customStyle="1" w:styleId="List22">
    <w:name w:val="List 22"/>
    <w:basedOn w:val="ImportedStyle22"/>
    <w:pPr>
      <w:numPr>
        <w:numId w:val="23"/>
      </w:numPr>
    </w:pPr>
  </w:style>
  <w:style w:type="numbering" w:customStyle="1" w:styleId="ImportedStyle22">
    <w:name w:val="Imported Style 22"/>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326A1"/>
    <w:rPr>
      <w:rFonts w:ascii="Tahoma" w:hAnsi="Tahoma" w:cs="Tahoma"/>
      <w:sz w:val="16"/>
      <w:szCs w:val="16"/>
    </w:rPr>
  </w:style>
  <w:style w:type="character" w:customStyle="1" w:styleId="BalloonTextChar">
    <w:name w:val="Balloon Text Char"/>
    <w:basedOn w:val="DefaultParagraphFont"/>
    <w:link w:val="BalloonText"/>
    <w:uiPriority w:val="99"/>
    <w:semiHidden/>
    <w:rsid w:val="003326A1"/>
    <w:rPr>
      <w:rFonts w:ascii="Tahoma" w:hAnsi="Tahoma" w:cs="Tahoma"/>
      <w:sz w:val="16"/>
      <w:szCs w:val="16"/>
      <w:lang w:val="en-US" w:eastAsia="en-US"/>
    </w:rPr>
  </w:style>
  <w:style w:type="character" w:customStyle="1" w:styleId="Heading1Char">
    <w:name w:val="Heading 1 Char"/>
    <w:basedOn w:val="DefaultParagraphFont"/>
    <w:link w:val="Heading1"/>
    <w:uiPriority w:val="9"/>
    <w:rsid w:val="003326A1"/>
    <w:rPr>
      <w:rFonts w:asciiTheme="majorHAnsi" w:eastAsiaTheme="majorEastAsia" w:hAnsiTheme="majorHAnsi" w:cstheme="majorBidi"/>
      <w:b/>
      <w:bCs/>
      <w:color w:val="365F91" w:themeColor="accent1" w:themeShade="BF"/>
      <w:sz w:val="28"/>
      <w:szCs w:val="28"/>
      <w:lang w:val="en-US" w:eastAsia="en-US"/>
    </w:rPr>
  </w:style>
  <w:style w:type="paragraph" w:styleId="TOC1">
    <w:name w:val="toc 1"/>
    <w:basedOn w:val="Normal"/>
    <w:next w:val="Normal"/>
    <w:autoRedefine/>
    <w:uiPriority w:val="39"/>
    <w:unhideWhenUsed/>
    <w:rsid w:val="00A82E1B"/>
    <w:pPr>
      <w:spacing w:after="100"/>
    </w:pPr>
  </w:style>
  <w:style w:type="character" w:customStyle="1" w:styleId="FooterChar">
    <w:name w:val="Footer Char"/>
    <w:basedOn w:val="DefaultParagraphFont"/>
    <w:link w:val="Footer"/>
    <w:uiPriority w:val="99"/>
    <w:rsid w:val="001045C6"/>
    <w:rPr>
      <w:rFonts w:eastAsia="Times New Roman"/>
      <w:color w:val="000000"/>
      <w:sz w:val="24"/>
      <w:szCs w:val="24"/>
      <w:u w:color="000000"/>
      <w:lang w:val="en-US"/>
    </w:rPr>
  </w:style>
  <w:style w:type="paragraph" w:customStyle="1" w:styleId="ceoaddressesceobodystyles">
    <w:name w:val="ceo_addresses (ceo_body_styles)"/>
    <w:basedOn w:val="Normal"/>
    <w:uiPriority w:val="99"/>
    <w:rsid w:val="001045C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line="206" w:lineRule="atLeast"/>
      <w:ind w:firstLine="206"/>
      <w:textAlignment w:val="center"/>
    </w:pPr>
    <w:rPr>
      <w:rFonts w:ascii="CaeciliaCom-55Roman" w:eastAsiaTheme="minorEastAsia" w:hAnsi="CaeciliaCom-55Roman" w:cs="CaeciliaCom-55Roman"/>
      <w:color w:val="000000"/>
      <w:sz w:val="16"/>
      <w:szCs w:val="16"/>
      <w:bdr w:val="none" w:sz="0" w:space="0" w:color="auto"/>
      <w:lang w:val="en-AU" w:eastAsia="ja-JP"/>
    </w:rPr>
  </w:style>
  <w:style w:type="paragraph" w:customStyle="1" w:styleId="BasicParagraph">
    <w:name w:val="[Basic Paragraph]"/>
    <w:basedOn w:val="Normal"/>
    <w:uiPriority w:val="99"/>
    <w:rsid w:val="001045C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textAlignment w:val="center"/>
    </w:pPr>
    <w:rPr>
      <w:rFonts w:ascii="MinionPro-Regular" w:eastAsiaTheme="minorEastAsia" w:hAnsi="MinionPro-Regular" w:cs="MinionPro-Regular"/>
      <w:color w:val="000000"/>
      <w:bdr w:val="none" w:sz="0" w:space="0" w:color="auto"/>
      <w:lang w:val="en-GB" w:eastAsia="ja-JP"/>
    </w:rPr>
  </w:style>
  <w:style w:type="table" w:styleId="TableGrid">
    <w:name w:val="Table Grid"/>
    <w:basedOn w:val="TableNormal"/>
    <w:uiPriority w:val="59"/>
    <w:rsid w:val="0034107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footnote-p">
    <w:name w:val="table-footnote-p"/>
    <w:basedOn w:val="Normal"/>
    <w:rsid w:val="00341073"/>
    <w:pPr>
      <w:pBdr>
        <w:top w:val="none" w:sz="0" w:space="0" w:color="auto"/>
        <w:left w:val="none" w:sz="0" w:space="0" w:color="auto"/>
        <w:bottom w:val="none" w:sz="0" w:space="0" w:color="auto"/>
        <w:right w:val="none" w:sz="0" w:space="0" w:color="auto"/>
        <w:between w:val="none" w:sz="0" w:space="0" w:color="auto"/>
        <w:bar w:val="none" w:sz="0" w:color="auto"/>
      </w:pBdr>
      <w:spacing w:line="180" w:lineRule="atLeast"/>
    </w:pPr>
    <w:rPr>
      <w:rFonts w:eastAsiaTheme="minorHAnsi"/>
      <w:bdr w:val="none" w:sz="0" w:space="0" w:color="auto"/>
      <w:lang w:val="en-AU" w:eastAsia="en-AU"/>
    </w:rPr>
  </w:style>
  <w:style w:type="paragraph" w:styleId="BodyText">
    <w:name w:val="Body Text"/>
    <w:basedOn w:val="Normal"/>
    <w:link w:val="BodyTextChar"/>
    <w:rsid w:val="00341073"/>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bdr w:val="none" w:sz="0" w:space="0" w:color="auto"/>
    </w:rPr>
  </w:style>
  <w:style w:type="character" w:customStyle="1" w:styleId="BodyTextChar">
    <w:name w:val="Body Text Char"/>
    <w:basedOn w:val="DefaultParagraphFont"/>
    <w:link w:val="BodyText"/>
    <w:rsid w:val="00341073"/>
    <w:rPr>
      <w:rFonts w:eastAsia="Times New Roman"/>
      <w:sz w:val="24"/>
      <w:szCs w:val="24"/>
      <w:bdr w:val="none" w:sz="0" w:space="0" w:color="auto"/>
      <w:lang w:val="en-US" w:eastAsia="en-US"/>
    </w:rPr>
  </w:style>
  <w:style w:type="paragraph" w:styleId="ListNumber">
    <w:name w:val="List Number"/>
    <w:basedOn w:val="BodyText"/>
    <w:rsid w:val="00341073"/>
    <w:pPr>
      <w:numPr>
        <w:numId w:val="24"/>
      </w:numPr>
      <w:spacing w:before="120" w:after="0" w:line="300" w:lineRule="atLeast"/>
      <w:jc w:val="both"/>
    </w:pPr>
    <w:rPr>
      <w:szCs w:val="20"/>
      <w:lang w:val="en-AU" w:eastAsia="en-AU"/>
    </w:rPr>
  </w:style>
  <w:style w:type="paragraph" w:styleId="ListNumber2">
    <w:name w:val="List Number 2"/>
    <w:basedOn w:val="ListNumber"/>
    <w:rsid w:val="00341073"/>
    <w:pPr>
      <w:numPr>
        <w:ilvl w:val="1"/>
      </w:numPr>
    </w:pPr>
  </w:style>
  <w:style w:type="paragraph" w:styleId="ListNumber3">
    <w:name w:val="List Number 3"/>
    <w:basedOn w:val="ListNumber2"/>
    <w:rsid w:val="00341073"/>
    <w:pPr>
      <w:numPr>
        <w:ilvl w:val="2"/>
      </w:numPr>
    </w:pPr>
  </w:style>
  <w:style w:type="table" w:styleId="LightShading">
    <w:name w:val="Light Shading"/>
    <w:basedOn w:val="TableNormal"/>
    <w:uiPriority w:val="60"/>
    <w:rsid w:val="006C653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color w:val="000000" w:themeColor="text1" w:themeShade="BF"/>
      <w:sz w:val="22"/>
      <w:szCs w:val="22"/>
      <w:bdr w:val="none" w:sz="0" w:space="0" w:color="auto"/>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1 Char,Footnote Text Char Char Char1 Char,FN Char"/>
    <w:basedOn w:val="DefaultParagraphFont"/>
    <w:link w:val="FootnoteText"/>
    <w:rsid w:val="00170E99"/>
    <w:rPr>
      <w:rFonts w:eastAsia="Times New Roman"/>
      <w:color w:val="000000"/>
      <w:u w:color="000000"/>
      <w:lang w:val="en-US"/>
    </w:rPr>
  </w:style>
  <w:style w:type="character" w:styleId="FootnoteReference">
    <w:name w:val="footnote reference"/>
    <w:aliases w:val="NO"/>
    <w:basedOn w:val="DefaultParagraphFont"/>
    <w:rsid w:val="00644A8E"/>
    <w:rPr>
      <w:vertAlign w:val="superscript"/>
    </w:rPr>
  </w:style>
  <w:style w:type="paragraph" w:customStyle="1" w:styleId="paragraph">
    <w:name w:val="paragraph"/>
    <w:aliases w:val="a"/>
    <w:basedOn w:val="Normal"/>
    <w:link w:val="paragraphChar"/>
    <w:rsid w:val="00647B9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AU" w:eastAsia="en-AU"/>
    </w:rPr>
  </w:style>
  <w:style w:type="character" w:customStyle="1" w:styleId="ListParagraphChar">
    <w:name w:val="List Paragraph Char"/>
    <w:aliases w:val="List Paragraph1 Char,List Paragraph11 Char,Recommendation Char,Numbered paragraph Char,L Char,NFP GP Bulleted List Char,FooterText Char,numbered Char,Paragraphe de liste1 Char,Bulletr List Paragraph Char,列出段落 Char,列出段落1 Char"/>
    <w:link w:val="ListParagraph"/>
    <w:uiPriority w:val="34"/>
    <w:locked/>
    <w:rsid w:val="00FE4D45"/>
    <w:rPr>
      <w:rFonts w:eastAsia="Times New Roman"/>
      <w:color w:val="000000"/>
      <w:sz w:val="24"/>
      <w:szCs w:val="24"/>
      <w:u w:color="000000"/>
      <w:lang w:val="en-US"/>
    </w:rPr>
  </w:style>
  <w:style w:type="paragraph" w:customStyle="1" w:styleId="Level1">
    <w:name w:val="Level 1"/>
    <w:link w:val="Level1Char"/>
    <w:rsid w:val="00FE4D45"/>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Helvetica" w:eastAsia="Times New Roman" w:hAnsi="Helvetica"/>
      <w:snapToGrid w:val="0"/>
      <w:sz w:val="24"/>
      <w:bdr w:val="none" w:sz="0" w:space="0" w:color="auto"/>
      <w:lang w:eastAsia="en-US"/>
    </w:rPr>
  </w:style>
  <w:style w:type="character" w:customStyle="1" w:styleId="Level1Char">
    <w:name w:val="Level 1 Char"/>
    <w:link w:val="Level1"/>
    <w:locked/>
    <w:rsid w:val="00553BE1"/>
    <w:rPr>
      <w:rFonts w:ascii="Helvetica" w:eastAsia="Times New Roman" w:hAnsi="Helvetica"/>
      <w:snapToGrid w:val="0"/>
      <w:sz w:val="24"/>
      <w:bdr w:val="none" w:sz="0" w:space="0" w:color="auto"/>
      <w:lang w:eastAsia="en-US"/>
    </w:rPr>
  </w:style>
  <w:style w:type="paragraph" w:styleId="Title">
    <w:name w:val="Title"/>
    <w:basedOn w:val="Normal"/>
    <w:next w:val="Normal"/>
    <w:link w:val="TitleChar"/>
    <w:uiPriority w:val="10"/>
    <w:qFormat/>
    <w:rsid w:val="0074345B"/>
    <w:pPr>
      <w:pBdr>
        <w:top w:val="none" w:sz="0" w:space="0" w:color="auto"/>
        <w:left w:val="none" w:sz="0" w:space="0" w:color="auto"/>
        <w:bottom w:val="single" w:sz="8" w:space="4" w:color="4F81BD" w:themeColor="accent1"/>
        <w:right w:val="none" w:sz="0" w:space="0" w:color="auto"/>
        <w:between w:val="none" w:sz="0" w:space="0" w:color="auto"/>
        <w:bar w:val="none" w:sz="0" w:color="auto"/>
      </w:pBdr>
      <w:spacing w:after="300"/>
      <w:contextualSpacing/>
    </w:pPr>
    <w:rPr>
      <w:rFonts w:asciiTheme="majorHAnsi" w:eastAsiaTheme="majorEastAsia" w:hAnsiTheme="majorHAnsi" w:cstheme="majorBidi"/>
      <w:color w:val="17365D" w:themeColor="text2" w:themeShade="BF"/>
      <w:spacing w:val="5"/>
      <w:kern w:val="28"/>
      <w:sz w:val="52"/>
      <w:szCs w:val="52"/>
      <w:bdr w:val="none" w:sz="0" w:space="0" w:color="auto"/>
      <w:lang w:val="en-AU" w:eastAsia="en-AU"/>
    </w:rPr>
  </w:style>
  <w:style w:type="character" w:customStyle="1" w:styleId="TitleChar">
    <w:name w:val="Title Char"/>
    <w:basedOn w:val="DefaultParagraphFont"/>
    <w:link w:val="Title"/>
    <w:uiPriority w:val="10"/>
    <w:rsid w:val="0074345B"/>
    <w:rPr>
      <w:rFonts w:asciiTheme="majorHAnsi" w:eastAsiaTheme="majorEastAsia" w:hAnsiTheme="majorHAnsi" w:cstheme="majorBidi"/>
      <w:color w:val="17365D" w:themeColor="text2" w:themeShade="BF"/>
      <w:spacing w:val="5"/>
      <w:kern w:val="28"/>
      <w:sz w:val="52"/>
      <w:szCs w:val="52"/>
      <w:bdr w:val="none" w:sz="0" w:space="0" w:color="auto"/>
    </w:rPr>
  </w:style>
  <w:style w:type="paragraph" w:customStyle="1" w:styleId="paragraphsub">
    <w:name w:val="paragraph(sub)"/>
    <w:aliases w:val="aa"/>
    <w:basedOn w:val="Normal"/>
    <w:rsid w:val="0074345B"/>
    <w:pPr>
      <w:pBdr>
        <w:top w:val="none" w:sz="0" w:space="0" w:color="auto"/>
        <w:left w:val="none" w:sz="0" w:space="0" w:color="auto"/>
        <w:bottom w:val="none" w:sz="0" w:space="0" w:color="auto"/>
        <w:right w:val="none" w:sz="0" w:space="0" w:color="auto"/>
        <w:between w:val="none" w:sz="0" w:space="0" w:color="auto"/>
        <w:bar w:val="none" w:sz="0" w:color="auto"/>
      </w:pBdr>
      <w:tabs>
        <w:tab w:val="right" w:pos="1985"/>
      </w:tabs>
      <w:spacing w:before="40"/>
      <w:ind w:left="2098" w:hanging="2098"/>
    </w:pPr>
    <w:rPr>
      <w:rFonts w:eastAsia="Times New Roman"/>
      <w:sz w:val="22"/>
      <w:szCs w:val="20"/>
      <w:bdr w:val="none" w:sz="0" w:space="0" w:color="auto"/>
      <w:lang w:val="en-AU" w:eastAsia="en-AU"/>
    </w:rPr>
  </w:style>
  <w:style w:type="character" w:customStyle="1" w:styleId="paragraphChar">
    <w:name w:val="paragraph Char"/>
    <w:aliases w:val="a Char"/>
    <w:basedOn w:val="DefaultParagraphFont"/>
    <w:link w:val="paragraph"/>
    <w:rsid w:val="0074345B"/>
    <w:rPr>
      <w:rFonts w:eastAsia="Times New Roman"/>
      <w:sz w:val="24"/>
      <w:szCs w:val="24"/>
      <w:bdr w:val="none" w:sz="0" w:space="0" w:color="auto"/>
    </w:rPr>
  </w:style>
  <w:style w:type="paragraph" w:customStyle="1" w:styleId="Body1">
    <w:name w:val="Body 1"/>
    <w:basedOn w:val="Normal"/>
    <w:rsid w:val="00A03FE0"/>
    <w:rPr>
      <w:rFonts w:ascii="Helvetica" w:hAnsi="Helvetica"/>
      <w:color w:val="000000"/>
      <w:lang w:eastAsia="en-AU"/>
    </w:rPr>
  </w:style>
  <w:style w:type="paragraph" w:customStyle="1" w:styleId="subsection">
    <w:name w:val="subsection"/>
    <w:aliases w:val="ss"/>
    <w:basedOn w:val="Normal"/>
    <w:link w:val="subsectionChar"/>
    <w:rsid w:val="00A03FE0"/>
    <w:pPr>
      <w:pBdr>
        <w:top w:val="none" w:sz="0" w:space="0" w:color="auto"/>
        <w:left w:val="none" w:sz="0" w:space="0" w:color="auto"/>
        <w:bottom w:val="none" w:sz="0" w:space="0" w:color="auto"/>
        <w:right w:val="none" w:sz="0" w:space="0" w:color="auto"/>
        <w:between w:val="none" w:sz="0" w:space="0" w:color="auto"/>
        <w:bar w:val="none" w:sz="0" w:color="auto"/>
      </w:pBdr>
      <w:tabs>
        <w:tab w:val="right" w:pos="1021"/>
      </w:tabs>
      <w:spacing w:before="180"/>
      <w:ind w:left="1134" w:hanging="1134"/>
    </w:pPr>
    <w:rPr>
      <w:rFonts w:eastAsia="Times New Roman"/>
      <w:sz w:val="22"/>
      <w:szCs w:val="20"/>
      <w:bdr w:val="none" w:sz="0" w:space="0" w:color="auto"/>
      <w:lang w:val="en-AU" w:eastAsia="en-AU"/>
    </w:rPr>
  </w:style>
  <w:style w:type="character" w:customStyle="1" w:styleId="subsectionChar">
    <w:name w:val="subsection Char"/>
    <w:aliases w:val="ss Char"/>
    <w:link w:val="subsection"/>
    <w:rsid w:val="00A03FE0"/>
    <w:rPr>
      <w:rFonts w:eastAsia="Times New Roman"/>
      <w:sz w:val="22"/>
      <w:bdr w:val="none" w:sz="0" w:space="0" w:color="auto"/>
    </w:rPr>
  </w:style>
  <w:style w:type="paragraph" w:customStyle="1" w:styleId="SubsectionHead">
    <w:name w:val="SubsectionHead"/>
    <w:aliases w:val="ssh"/>
    <w:basedOn w:val="Normal"/>
    <w:next w:val="subsection"/>
    <w:rsid w:val="00A03FE0"/>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ind w:left="1134"/>
    </w:pPr>
    <w:rPr>
      <w:rFonts w:eastAsia="Times New Roman"/>
      <w:i/>
      <w:sz w:val="22"/>
      <w:szCs w:val="20"/>
      <w:bdr w:val="none" w:sz="0" w:space="0" w:color="auto"/>
      <w:lang w:val="en-AU" w:eastAsia="en-AU"/>
    </w:rPr>
  </w:style>
  <w:style w:type="paragraph" w:customStyle="1" w:styleId="subsection2">
    <w:name w:val="subsection2"/>
    <w:aliases w:val="ss2"/>
    <w:basedOn w:val="Normal"/>
    <w:next w:val="subsection"/>
    <w:rsid w:val="00A03FE0"/>
    <w:pPr>
      <w:pBdr>
        <w:top w:val="none" w:sz="0" w:space="0" w:color="auto"/>
        <w:left w:val="none" w:sz="0" w:space="0" w:color="auto"/>
        <w:bottom w:val="none" w:sz="0" w:space="0" w:color="auto"/>
        <w:right w:val="none" w:sz="0" w:space="0" w:color="auto"/>
        <w:between w:val="none" w:sz="0" w:space="0" w:color="auto"/>
        <w:bar w:val="none" w:sz="0" w:color="auto"/>
      </w:pBdr>
      <w:spacing w:before="40"/>
      <w:ind w:left="1134"/>
    </w:pPr>
    <w:rPr>
      <w:rFonts w:eastAsia="Times New Roman"/>
      <w:sz w:val="22"/>
      <w:szCs w:val="20"/>
      <w:bdr w:val="none" w:sz="0" w:space="0" w:color="auto"/>
      <w:lang w:val="en-AU" w:eastAsia="en-AU"/>
    </w:rPr>
  </w:style>
  <w:style w:type="paragraph" w:customStyle="1" w:styleId="Graphtext">
    <w:name w:val="Graph text"/>
    <w:basedOn w:val="Normal"/>
    <w:autoRedefine/>
    <w:uiPriority w:val="99"/>
    <w:rsid w:val="000156B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center"/>
    </w:pPr>
    <w:rPr>
      <w:rFonts w:ascii="Helvetica" w:eastAsia="Times New Roman" w:hAnsi="Helvetica" w:cs="Arial"/>
      <w:noProof/>
      <w:sz w:val="18"/>
      <w:szCs w:val="18"/>
      <w:bdr w:val="none" w:sz="0" w:space="0" w:color="auto"/>
      <w:vertAlign w:val="superscript"/>
    </w:rPr>
  </w:style>
  <w:style w:type="paragraph" w:customStyle="1" w:styleId="00116d36">
    <w:name w:val="00116d36"/>
    <w:basedOn w:val="Normal"/>
    <w:rsid w:val="00184A23"/>
    <w:pPr>
      <w:pBdr>
        <w:top w:val="none" w:sz="0" w:space="0" w:color="auto"/>
        <w:left w:val="none" w:sz="0" w:space="0" w:color="auto"/>
        <w:bottom w:val="none" w:sz="0" w:space="0" w:color="auto"/>
        <w:right w:val="none" w:sz="0" w:space="0" w:color="auto"/>
        <w:between w:val="none" w:sz="0" w:space="0" w:color="auto"/>
        <w:bar w:val="none" w:sz="0" w:color="auto"/>
      </w:pBdr>
      <w:spacing w:after="300"/>
    </w:pPr>
    <w:rPr>
      <w:rFonts w:ascii="Arial" w:eastAsia="Times New Roman" w:hAnsi="Arial" w:cs="Arial"/>
      <w:bdr w:val="none" w:sz="0" w:space="0" w:color="auto"/>
      <w:lang w:val="en-AU" w:eastAsia="en-AU"/>
    </w:rPr>
  </w:style>
  <w:style w:type="paragraph" w:customStyle="1" w:styleId="Legal2">
    <w:name w:val="Legal 2"/>
    <w:basedOn w:val="Normal"/>
    <w:rsid w:val="00944519"/>
    <w:pPr>
      <w:pBdr>
        <w:top w:val="none" w:sz="0" w:space="0" w:color="auto"/>
        <w:left w:val="none" w:sz="0" w:space="0" w:color="auto"/>
        <w:bottom w:val="none" w:sz="0" w:space="0" w:color="auto"/>
        <w:right w:val="none" w:sz="0" w:space="0" w:color="auto"/>
        <w:between w:val="none" w:sz="0" w:space="0" w:color="auto"/>
        <w:bar w:val="none" w:sz="0" w:color="auto"/>
      </w:pBdr>
      <w:snapToGrid w:val="0"/>
      <w:ind w:left="720"/>
      <w:jc w:val="both"/>
    </w:pPr>
    <w:rPr>
      <w:bdr w:val="none" w:sz="0" w:space="0" w:color="auto"/>
      <w:lang w:val="en-AU"/>
    </w:rPr>
  </w:style>
  <w:style w:type="paragraph" w:customStyle="1" w:styleId="NoParagraphStyle">
    <w:name w:val="[No Paragraph Style]"/>
    <w:rsid w:val="00D361C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textAlignment w:val="center"/>
    </w:pPr>
    <w:rPr>
      <w:rFonts w:ascii="MinionPro-Regular" w:eastAsiaTheme="minorEastAsia" w:hAnsi="MinionPro-Regular" w:cs="MinionPro-Regular"/>
      <w:color w:val="000000"/>
      <w:sz w:val="24"/>
      <w:szCs w:val="24"/>
      <w:bdr w:val="none" w:sz="0" w:space="0" w:color="auto"/>
      <w:lang w:val="en-GB" w:eastAsia="ja-JP"/>
    </w:rPr>
  </w:style>
  <w:style w:type="paragraph" w:customStyle="1" w:styleId="Chapter3Questions">
    <w:name w:val="Chapter 3 Questions"/>
    <w:basedOn w:val="Normal"/>
    <w:rsid w:val="00A410F3"/>
    <w:pPr>
      <w:numPr>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60" w:after="60"/>
      <w:ind w:left="720" w:firstLine="0"/>
      <w:contextualSpacing/>
    </w:pPr>
    <w:rPr>
      <w:rFonts w:ascii="Arial" w:eastAsiaTheme="minorHAnsi" w:hAnsi="Arial" w:cs="Arial"/>
      <w:sz w:val="22"/>
      <w:szCs w:val="22"/>
      <w:bdr w:val="none" w:sz="0" w:space="0" w:color="auto"/>
      <w:lang w:val="en-AU"/>
    </w:rPr>
  </w:style>
  <w:style w:type="character" w:customStyle="1" w:styleId="HeaderChar">
    <w:name w:val="Header Char"/>
    <w:basedOn w:val="DefaultParagraphFont"/>
    <w:link w:val="Header"/>
    <w:rsid w:val="00962BFA"/>
    <w:rPr>
      <w:rFonts w:eastAsia="Times New Roman"/>
      <w:color w:val="000000"/>
      <w:sz w:val="24"/>
      <w:szCs w:val="24"/>
      <w:u w:color="000000"/>
      <w:lang w:val="en-US"/>
    </w:rPr>
  </w:style>
  <w:style w:type="paragraph" w:customStyle="1" w:styleId="ListBullet31">
    <w:name w:val="List Bullet 31"/>
    <w:basedOn w:val="ListBullet2"/>
    <w:qFormat/>
    <w:rsid w:val="000660A2"/>
    <w:pPr>
      <w:widowControl w:val="0"/>
      <w:numPr>
        <w:numId w:val="27"/>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line="220" w:lineRule="exact"/>
      <w:ind w:left="1037" w:hanging="357"/>
      <w:contextualSpacing w:val="0"/>
    </w:pPr>
    <w:rPr>
      <w:rFonts w:eastAsia="Times New Roman"/>
      <w:color w:val="000000"/>
      <w:sz w:val="22"/>
      <w:szCs w:val="16"/>
      <w:bdr w:val="none" w:sz="0" w:space="0" w:color="auto"/>
      <w:lang w:val="x-none" w:eastAsia="x-none"/>
    </w:rPr>
  </w:style>
  <w:style w:type="paragraph" w:styleId="ListBullet2">
    <w:name w:val="List Bullet 2"/>
    <w:basedOn w:val="Normal"/>
    <w:uiPriority w:val="99"/>
    <w:semiHidden/>
    <w:unhideWhenUsed/>
    <w:rsid w:val="000660A2"/>
    <w:pPr>
      <w:numPr>
        <w:numId w:val="26"/>
      </w:numPr>
      <w:contextualSpacing/>
    </w:pPr>
  </w:style>
  <w:style w:type="paragraph" w:customStyle="1" w:styleId="level2">
    <w:name w:val="level2"/>
    <w:basedOn w:val="Normal"/>
    <w:rsid w:val="00CB0065"/>
    <w:pPr>
      <w:pBdr>
        <w:top w:val="none" w:sz="0" w:space="0" w:color="auto"/>
        <w:left w:val="none" w:sz="0" w:space="0" w:color="auto"/>
        <w:bottom w:val="none" w:sz="0" w:space="0" w:color="auto"/>
        <w:right w:val="none" w:sz="0" w:space="0" w:color="auto"/>
        <w:between w:val="none" w:sz="0" w:space="0" w:color="auto"/>
        <w:bar w:val="none" w:sz="0" w:color="auto"/>
      </w:pBdr>
      <w:spacing w:before="240" w:after="180"/>
      <w:ind w:left="240"/>
    </w:pPr>
    <w:rPr>
      <w:rFonts w:eastAsia="Times New Roman"/>
      <w:bdr w:val="none" w:sz="0" w:space="0" w:color="auto"/>
      <w:lang w:val="en-AU" w:eastAsia="en-AU"/>
    </w:rPr>
  </w:style>
  <w:style w:type="paragraph" w:customStyle="1" w:styleId="block1">
    <w:name w:val="block1"/>
    <w:basedOn w:val="Normal"/>
    <w:rsid w:val="00CB0065"/>
    <w:pPr>
      <w:pBdr>
        <w:top w:val="none" w:sz="0" w:space="0" w:color="auto"/>
        <w:left w:val="none" w:sz="0" w:space="0" w:color="auto"/>
        <w:bottom w:val="none" w:sz="0" w:space="0" w:color="auto"/>
        <w:right w:val="none" w:sz="0" w:space="0" w:color="auto"/>
        <w:between w:val="none" w:sz="0" w:space="0" w:color="auto"/>
        <w:bar w:val="none" w:sz="0" w:color="auto"/>
      </w:pBdr>
      <w:spacing w:before="240" w:after="180"/>
      <w:ind w:left="840"/>
    </w:pPr>
    <w:rPr>
      <w:rFonts w:eastAsia="Times New Roman"/>
      <w:bdr w:val="none" w:sz="0" w:space="0" w:color="auto"/>
      <w:lang w:val="en-AU" w:eastAsia="en-AU"/>
    </w:rPr>
  </w:style>
  <w:style w:type="character" w:styleId="Strong">
    <w:name w:val="Strong"/>
    <w:basedOn w:val="DefaultParagraphFont"/>
    <w:uiPriority w:val="22"/>
    <w:qFormat/>
    <w:rsid w:val="00A61E90"/>
    <w:rPr>
      <w:b/>
      <w:bCs/>
    </w:rPr>
  </w:style>
  <w:style w:type="character" w:customStyle="1" w:styleId="hit">
    <w:name w:val="hit"/>
    <w:basedOn w:val="DefaultParagraphFont"/>
    <w:rsid w:val="00CD4264"/>
  </w:style>
  <w:style w:type="character" w:customStyle="1" w:styleId="Heading5Char">
    <w:name w:val="Heading 5 Char"/>
    <w:basedOn w:val="DefaultParagraphFont"/>
    <w:link w:val="Heading5"/>
    <w:uiPriority w:val="9"/>
    <w:semiHidden/>
    <w:rsid w:val="00F651D2"/>
    <w:rPr>
      <w:rFonts w:asciiTheme="majorHAnsi" w:eastAsiaTheme="majorEastAsia" w:hAnsiTheme="majorHAnsi" w:cstheme="majorBidi"/>
      <w:color w:val="243F60" w:themeColor="accent1" w:themeShade="7F"/>
      <w:sz w:val="22"/>
      <w:szCs w:val="22"/>
      <w:bdr w:val="none" w:sz="0" w:space="0" w:color="auto"/>
    </w:rPr>
  </w:style>
  <w:style w:type="paragraph" w:customStyle="1" w:styleId="RecTitle">
    <w:name w:val="Rec Title"/>
    <w:basedOn w:val="BodyText"/>
    <w:next w:val="Rec"/>
    <w:qFormat/>
    <w:rsid w:val="00742904"/>
    <w:pPr>
      <w:keepNext/>
      <w:keepLines/>
      <w:spacing w:before="240" w:after="0" w:line="280" w:lineRule="atLeast"/>
      <w:jc w:val="both"/>
    </w:pPr>
    <w:rPr>
      <w:rFonts w:ascii="Arial" w:hAnsi="Arial"/>
      <w:caps/>
      <w:sz w:val="18"/>
      <w:szCs w:val="20"/>
      <w:lang w:val="en-AU" w:eastAsia="en-AU"/>
    </w:rPr>
  </w:style>
  <w:style w:type="paragraph" w:customStyle="1" w:styleId="Rec">
    <w:name w:val="Rec"/>
    <w:basedOn w:val="BodyText"/>
    <w:qFormat/>
    <w:rsid w:val="00742904"/>
    <w:pPr>
      <w:keepLines/>
      <w:spacing w:before="120" w:after="0" w:line="280" w:lineRule="atLeast"/>
      <w:jc w:val="both"/>
    </w:pPr>
    <w:rPr>
      <w:rFonts w:ascii="Arial" w:hAnsi="Arial"/>
      <w:sz w:val="22"/>
      <w:szCs w:val="20"/>
      <w:lang w:val="en-AU" w:eastAsia="en-AU"/>
    </w:rPr>
  </w:style>
  <w:style w:type="paragraph" w:customStyle="1" w:styleId="BoxSpaceBelow">
    <w:name w:val="Box Space Below"/>
    <w:basedOn w:val="Normal"/>
    <w:rsid w:val="00742904"/>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80" w:lineRule="exact"/>
      <w:jc w:val="both"/>
    </w:pPr>
    <w:rPr>
      <w:rFonts w:ascii="Arial" w:eastAsia="Times New Roman" w:hAnsi="Arial"/>
      <w:sz w:val="14"/>
      <w:szCs w:val="20"/>
      <w:bdr w:val="none" w:sz="0" w:space="0" w:color="auto"/>
      <w:lang w:val="en-AU" w:eastAsia="en-AU"/>
    </w:rPr>
  </w:style>
  <w:style w:type="paragraph" w:customStyle="1" w:styleId="Space">
    <w:name w:val="Space"/>
    <w:basedOn w:val="Normal"/>
    <w:rsid w:val="00742904"/>
    <w:pPr>
      <w:keepNext/>
      <w:pBdr>
        <w:top w:val="none" w:sz="0" w:space="0" w:color="auto"/>
        <w:left w:val="none" w:sz="0" w:space="0" w:color="auto"/>
        <w:bottom w:val="none" w:sz="0" w:space="0" w:color="auto"/>
        <w:right w:val="none" w:sz="0" w:space="0" w:color="auto"/>
        <w:between w:val="none" w:sz="0" w:space="0" w:color="auto"/>
        <w:bar w:val="none" w:sz="0" w:color="auto"/>
      </w:pBdr>
      <w:spacing w:line="120" w:lineRule="exact"/>
      <w:jc w:val="both"/>
    </w:pPr>
    <w:rPr>
      <w:rFonts w:ascii="Arial" w:eastAsia="Times New Roman" w:hAnsi="Arial"/>
      <w:sz w:val="20"/>
      <w:szCs w:val="20"/>
      <w:bdr w:val="none" w:sz="0" w:space="0" w:color="auto"/>
      <w:lang w:val="en-AU" w:eastAsia="en-AU"/>
    </w:rPr>
  </w:style>
  <w:style w:type="paragraph" w:customStyle="1" w:styleId="BoxSpaceAboveElement">
    <w:name w:val="Box Space Above Element"/>
    <w:basedOn w:val="Normal"/>
    <w:link w:val="BoxSpaceAboveElementChar"/>
    <w:qFormat/>
    <w:rsid w:val="0074290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line="80" w:lineRule="exact"/>
    </w:pPr>
    <w:rPr>
      <w:rFonts w:eastAsia="Times New Roman"/>
      <w:b/>
      <w:vanish/>
      <w:color w:val="FF00FF"/>
      <w:sz w:val="14"/>
      <w:szCs w:val="20"/>
      <w:bdr w:val="none" w:sz="0" w:space="0" w:color="auto"/>
      <w:lang w:val="en-AU" w:eastAsia="en-AU"/>
    </w:rPr>
  </w:style>
  <w:style w:type="character" w:customStyle="1" w:styleId="BoxSpaceAboveElementChar">
    <w:name w:val="Box Space Above Element Char"/>
    <w:basedOn w:val="DefaultParagraphFont"/>
    <w:link w:val="BoxSpaceAboveElement"/>
    <w:rsid w:val="00742904"/>
    <w:rPr>
      <w:rFonts w:eastAsia="Times New Roman"/>
      <w:b/>
      <w:vanish/>
      <w:color w:val="FF00FF"/>
      <w:sz w:val="14"/>
      <w:bdr w:val="none" w:sz="0" w:space="0" w:color="auto"/>
    </w:rPr>
  </w:style>
  <w:style w:type="paragraph" w:styleId="ListBullet">
    <w:name w:val="List Bullet"/>
    <w:basedOn w:val="Normal"/>
    <w:uiPriority w:val="99"/>
    <w:semiHidden/>
    <w:unhideWhenUsed/>
    <w:rsid w:val="00742904"/>
    <w:pPr>
      <w:numPr>
        <w:numId w:val="28"/>
      </w:numPr>
      <w:contextualSpacing/>
    </w:pPr>
  </w:style>
  <w:style w:type="paragraph" w:customStyle="1" w:styleId="BoxListBullet2">
    <w:name w:val="Box List Bullet 2"/>
    <w:basedOn w:val="Normal"/>
    <w:rsid w:val="00742904"/>
    <w:pPr>
      <w:keepNext/>
      <w:numPr>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100" w:line="260" w:lineRule="atLeast"/>
      <w:ind w:left="568" w:hanging="284"/>
      <w:jc w:val="both"/>
    </w:pPr>
    <w:rPr>
      <w:rFonts w:ascii="Arial" w:eastAsia="Times New Roman" w:hAnsi="Arial"/>
      <w:sz w:val="20"/>
      <w:szCs w:val="20"/>
      <w:bdr w:val="none" w:sz="0" w:space="0" w:color="auto"/>
      <w:lang w:val="en-AU" w:eastAsia="en-AU"/>
    </w:rPr>
  </w:style>
  <w:style w:type="paragraph" w:styleId="TableofFigures">
    <w:name w:val="table of figures"/>
    <w:basedOn w:val="TOC3"/>
    <w:next w:val="BodyText"/>
    <w:semiHidden/>
    <w:rsid w:val="00742904"/>
    <w:pPr>
      <w:pBdr>
        <w:top w:val="none" w:sz="0" w:space="0" w:color="auto"/>
        <w:left w:val="none" w:sz="0" w:space="0" w:color="auto"/>
        <w:bottom w:val="none" w:sz="0" w:space="0" w:color="auto"/>
        <w:right w:val="none" w:sz="0" w:space="0" w:color="auto"/>
        <w:between w:val="none" w:sz="0" w:space="0" w:color="auto"/>
        <w:bar w:val="none" w:sz="0" w:color="auto"/>
      </w:pBdr>
      <w:tabs>
        <w:tab w:val="clear" w:pos="9072"/>
        <w:tab w:val="right" w:pos="8789"/>
      </w:tabs>
      <w:spacing w:before="60" w:after="0" w:line="320" w:lineRule="exact"/>
      <w:ind w:left="737" w:right="851" w:hanging="737"/>
      <w:jc w:val="left"/>
    </w:pPr>
    <w:rPr>
      <w:rFonts w:ascii="Arial" w:hAnsi="Arial"/>
      <w:color w:val="auto"/>
      <w:sz w:val="26"/>
      <w:szCs w:val="26"/>
      <w:bdr w:val="none" w:sz="0" w:space="0" w:color="auto"/>
      <w:lang w:val="en-AU" w:eastAsia="en-US"/>
    </w:rPr>
  </w:style>
  <w:style w:type="paragraph" w:customStyle="1" w:styleId="InformationRequest">
    <w:name w:val="Information Request"/>
    <w:basedOn w:val="Normal"/>
    <w:next w:val="BodyText"/>
    <w:rsid w:val="00742904"/>
    <w:pPr>
      <w:keepLines/>
      <w:pBdr>
        <w:top w:val="none" w:sz="0" w:space="0" w:color="auto"/>
        <w:left w:val="none" w:sz="0" w:space="0" w:color="auto"/>
        <w:bottom w:val="none" w:sz="0" w:space="0" w:color="auto"/>
        <w:right w:val="none" w:sz="0" w:space="0" w:color="auto"/>
        <w:between w:val="none" w:sz="0" w:space="0" w:color="auto"/>
        <w:bar w:val="none" w:sz="0" w:color="auto"/>
      </w:pBdr>
      <w:spacing w:before="120" w:line="280" w:lineRule="atLeast"/>
      <w:jc w:val="both"/>
    </w:pPr>
    <w:rPr>
      <w:rFonts w:ascii="Arial" w:eastAsia="Times New Roman" w:hAnsi="Arial"/>
      <w:i/>
      <w:sz w:val="22"/>
      <w:szCs w:val="20"/>
      <w:bdr w:val="none" w:sz="0" w:space="0" w:color="auto"/>
      <w:lang w:val="en-AU" w:eastAsia="en-AU"/>
    </w:rPr>
  </w:style>
  <w:style w:type="paragraph" w:customStyle="1" w:styleId="InformationRequestTitle">
    <w:name w:val="Information Request Title"/>
    <w:basedOn w:val="Normal"/>
    <w:next w:val="InformationRequest"/>
    <w:rsid w:val="0074290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line="280" w:lineRule="atLeast"/>
      <w:jc w:val="both"/>
    </w:pPr>
    <w:rPr>
      <w:rFonts w:ascii="Arial" w:eastAsia="Times New Roman" w:hAnsi="Arial"/>
      <w:i/>
      <w:caps/>
      <w:sz w:val="18"/>
      <w:szCs w:val="20"/>
      <w:bdr w:val="none" w:sz="0" w:space="0" w:color="auto"/>
      <w:lang w:val="en-AU" w:eastAsia="en-AU"/>
    </w:rPr>
  </w:style>
  <w:style w:type="character" w:customStyle="1" w:styleId="EmailStyle133">
    <w:name w:val="EmailStyle133"/>
    <w:basedOn w:val="DefaultParagraphFont"/>
    <w:semiHidden/>
    <w:rsid w:val="00A70BF7"/>
    <w:rPr>
      <w:rFonts w:ascii="Arial" w:hAnsi="Arial" w:cs="Arial"/>
      <w:color w:val="000080"/>
      <w:sz w:val="20"/>
      <w:szCs w:val="20"/>
    </w:rPr>
  </w:style>
  <w:style w:type="paragraph" w:customStyle="1" w:styleId="Box">
    <w:name w:val="Box"/>
    <w:basedOn w:val="BodyText"/>
    <w:link w:val="BoxChar"/>
    <w:qFormat/>
    <w:rsid w:val="00115D3B"/>
    <w:pPr>
      <w:keepNext/>
      <w:spacing w:before="120" w:after="0" w:line="260" w:lineRule="atLeast"/>
      <w:jc w:val="both"/>
    </w:pPr>
    <w:rPr>
      <w:rFonts w:ascii="Arial" w:hAnsi="Arial"/>
      <w:sz w:val="20"/>
      <w:szCs w:val="20"/>
      <w:lang w:val="en-AU" w:eastAsia="en-AU"/>
    </w:rPr>
  </w:style>
  <w:style w:type="paragraph" w:customStyle="1" w:styleId="BoxSource">
    <w:name w:val="Box Source"/>
    <w:basedOn w:val="Normal"/>
    <w:next w:val="BodyText"/>
    <w:rsid w:val="00115D3B"/>
    <w:pPr>
      <w:keepLines/>
      <w:pBdr>
        <w:top w:val="none" w:sz="0" w:space="0" w:color="auto"/>
        <w:left w:val="none" w:sz="0" w:space="0" w:color="auto"/>
        <w:bottom w:val="none" w:sz="0" w:space="0" w:color="auto"/>
        <w:right w:val="none" w:sz="0" w:space="0" w:color="auto"/>
        <w:between w:val="none" w:sz="0" w:space="0" w:color="auto"/>
        <w:bar w:val="none" w:sz="0" w:color="auto"/>
      </w:pBdr>
      <w:spacing w:before="120" w:line="220" w:lineRule="exact"/>
      <w:jc w:val="both"/>
    </w:pPr>
    <w:rPr>
      <w:rFonts w:ascii="Arial" w:eastAsia="Times New Roman" w:hAnsi="Arial"/>
      <w:sz w:val="18"/>
      <w:szCs w:val="20"/>
      <w:bdr w:val="none" w:sz="0" w:space="0" w:color="auto"/>
      <w:lang w:val="en-AU" w:eastAsia="en-AU"/>
    </w:rPr>
  </w:style>
  <w:style w:type="paragraph" w:customStyle="1" w:styleId="BoxSpaceAbove">
    <w:name w:val="Box Space Above"/>
    <w:basedOn w:val="BodyText"/>
    <w:rsid w:val="00115D3B"/>
    <w:pPr>
      <w:keepNext/>
      <w:spacing w:before="360" w:after="0" w:line="80" w:lineRule="exact"/>
    </w:pPr>
    <w:rPr>
      <w:szCs w:val="20"/>
      <w:lang w:val="en-AU" w:eastAsia="en-AU"/>
    </w:rPr>
  </w:style>
  <w:style w:type="paragraph" w:customStyle="1" w:styleId="BoxTitle">
    <w:name w:val="Box Title"/>
    <w:basedOn w:val="Caption"/>
    <w:next w:val="Normal"/>
    <w:rsid w:val="00115D3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20" w:after="0" w:line="280" w:lineRule="exact"/>
      <w:ind w:left="1474" w:hanging="1474"/>
    </w:pPr>
    <w:rPr>
      <w:rFonts w:ascii="Arial" w:eastAsia="Times New Roman" w:hAnsi="Arial"/>
      <w:bCs w:val="0"/>
      <w:color w:val="auto"/>
      <w:sz w:val="24"/>
      <w:szCs w:val="24"/>
      <w:bdr w:val="none" w:sz="0" w:space="0" w:color="auto"/>
      <w:lang w:val="en-AU" w:eastAsia="en-AU"/>
    </w:rPr>
  </w:style>
  <w:style w:type="character" w:customStyle="1" w:styleId="BoxChar">
    <w:name w:val="Box Char"/>
    <w:link w:val="Box"/>
    <w:locked/>
    <w:rsid w:val="00115D3B"/>
    <w:rPr>
      <w:rFonts w:ascii="Arial" w:eastAsia="Times New Roman" w:hAnsi="Arial"/>
      <w:bdr w:val="none" w:sz="0" w:space="0" w:color="auto"/>
    </w:rPr>
  </w:style>
  <w:style w:type="paragraph" w:styleId="Caption">
    <w:name w:val="caption"/>
    <w:basedOn w:val="Normal"/>
    <w:next w:val="Normal"/>
    <w:uiPriority w:val="35"/>
    <w:semiHidden/>
    <w:unhideWhenUsed/>
    <w:qFormat/>
    <w:rsid w:val="00115D3B"/>
    <w:pPr>
      <w:spacing w:after="200"/>
    </w:pPr>
    <w:rPr>
      <w:b/>
      <w:bCs/>
      <w:color w:val="4F81BD" w:themeColor="accent1"/>
      <w:sz w:val="18"/>
      <w:szCs w:val="18"/>
    </w:rPr>
  </w:style>
  <w:style w:type="paragraph" w:customStyle="1" w:styleId="head1ceo">
    <w:name w:val="head 1_ceo"/>
    <w:basedOn w:val="Default"/>
    <w:autoRedefine/>
    <w:uiPriority w:val="99"/>
    <w:rsid w:val="00152A8B"/>
    <w:pPr>
      <w:keepNext/>
      <w:keepLines/>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after="240"/>
      <w:ind w:right="113"/>
      <w:jc w:val="both"/>
    </w:pPr>
    <w:rPr>
      <w:rFonts w:ascii="Helvetica" w:eastAsia="Times New Roman" w:hAnsi="Helvetica" w:cs="Helvetica"/>
      <w:bCs/>
      <w:color w:val="E36C0A" w:themeColor="accent6" w:themeShade="BF"/>
      <w:spacing w:val="-4"/>
      <w:sz w:val="56"/>
      <w:szCs w:val="50"/>
      <w:bdr w:val="none" w:sz="0" w:space="0" w:color="auto"/>
      <w:lang w:val="en-AU" w:eastAsia="en-US"/>
    </w:rPr>
  </w:style>
  <w:style w:type="paragraph" w:customStyle="1" w:styleId="subhead3ceo">
    <w:name w:val="sub head 3_ceo"/>
    <w:autoRedefine/>
    <w:uiPriority w:val="99"/>
    <w:rsid w:val="00152A8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pPr>
    <w:rPr>
      <w:rFonts w:ascii="Helvetica" w:eastAsia="Times New Roman" w:hAnsi="Helvetica" w:cs="Helvetica"/>
      <w:b/>
      <w:bCs/>
      <w:sz w:val="18"/>
      <w:szCs w:val="18"/>
      <w:bdr w:val="none" w:sz="0" w:space="0" w:color="auto"/>
      <w:lang w:val="en-US" w:eastAsia="en-US"/>
    </w:rPr>
  </w:style>
  <w:style w:type="character" w:styleId="FollowedHyperlink">
    <w:name w:val="FollowedHyperlink"/>
    <w:basedOn w:val="DefaultParagraphFont"/>
    <w:uiPriority w:val="99"/>
    <w:semiHidden/>
    <w:unhideWhenUsed/>
    <w:rsid w:val="00C400F0"/>
    <w:rPr>
      <w:color w:val="800080" w:themeColor="followedHyperlink"/>
      <w:u w:val="single"/>
    </w:rPr>
  </w:style>
  <w:style w:type="paragraph" w:customStyle="1" w:styleId="00395b24">
    <w:name w:val="00395b24"/>
    <w:basedOn w:val="Normal"/>
    <w:rsid w:val="00AB34F1"/>
    <w:pPr>
      <w:pBdr>
        <w:top w:val="none" w:sz="0" w:space="0" w:color="auto"/>
        <w:left w:val="none" w:sz="0" w:space="0" w:color="auto"/>
        <w:bottom w:val="none" w:sz="0" w:space="0" w:color="auto"/>
        <w:right w:val="none" w:sz="0" w:space="0" w:color="auto"/>
        <w:between w:val="none" w:sz="0" w:space="0" w:color="auto"/>
        <w:bar w:val="none" w:sz="0" w:color="auto"/>
      </w:pBdr>
      <w:spacing w:after="300"/>
    </w:pPr>
    <w:rPr>
      <w:rFonts w:ascii="Arial" w:eastAsia="Times New Roman" w:hAnsi="Arial" w:cs="Arial"/>
      <w:bdr w:val="none" w:sz="0" w:space="0" w:color="auto"/>
      <w:lang w:val="en-AU" w:eastAsia="en-AU"/>
    </w:rPr>
  </w:style>
  <w:style w:type="paragraph" w:customStyle="1" w:styleId="thomson-article">
    <w:name w:val="thomson-article"/>
    <w:basedOn w:val="Normal"/>
    <w:rsid w:val="00AB34F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24" w:lineRule="auto"/>
    </w:pPr>
    <w:rPr>
      <w:rFonts w:ascii="Arial" w:eastAsiaTheme="minorHAnsi" w:hAnsi="Arial" w:cs="Arial"/>
      <w:color w:val="666666"/>
      <w:sz w:val="18"/>
      <w:szCs w:val="18"/>
      <w:bdr w:val="none" w:sz="0" w:space="0" w:color="auto"/>
      <w:lang w:val="en-AU" w:eastAsia="en-AU"/>
    </w:rPr>
  </w:style>
  <w:style w:type="paragraph" w:customStyle="1" w:styleId="subsectionhead0">
    <w:name w:val="subsectionhead"/>
    <w:basedOn w:val="Normal"/>
    <w:rsid w:val="00AB34F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AU" w:eastAsia="en-AU"/>
    </w:rPr>
  </w:style>
  <w:style w:type="paragraph" w:customStyle="1" w:styleId="FWANormal">
    <w:name w:val="FWA Normal"/>
    <w:basedOn w:val="Normal"/>
    <w:link w:val="FWANormalChar"/>
    <w:rsid w:val="00AA29F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style>
  <w:style w:type="character" w:customStyle="1" w:styleId="FWANormalChar">
    <w:name w:val="FWA Normal Char"/>
    <w:basedOn w:val="DefaultParagraphFont"/>
    <w:link w:val="FWANormal"/>
    <w:rsid w:val="00AA29FE"/>
    <w:rPr>
      <w:rFonts w:eastAsia="Times New Roman"/>
      <w:sz w:val="24"/>
      <w:szCs w:val="24"/>
      <w:bdr w:val="none" w:sz="0" w:space="0" w:color="auto"/>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able of figures" w:uiPriority="0"/>
    <w:lsdException w:name="footnote reference" w:uiPriority="0"/>
    <w:lsdException w:name="List Number"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3326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pPr>
      <w:spacing w:after="120"/>
      <w:outlineLvl w:val="1"/>
    </w:pPr>
    <w:rPr>
      <w:rFonts w:ascii="Verdana" w:eastAsia="Verdana" w:hAnsi="Verdana" w:cs="Verdana"/>
      <w:b/>
      <w:bCs/>
      <w:color w:val="A80F29"/>
      <w:sz w:val="29"/>
      <w:szCs w:val="29"/>
      <w:u w:color="A80F29"/>
    </w:rPr>
  </w:style>
  <w:style w:type="paragraph" w:styleId="Heading5">
    <w:name w:val="heading 5"/>
    <w:basedOn w:val="Normal"/>
    <w:next w:val="Normal"/>
    <w:link w:val="Heading5Char"/>
    <w:uiPriority w:val="9"/>
    <w:semiHidden/>
    <w:unhideWhenUsed/>
    <w:qFormat/>
    <w:rsid w:val="00F651D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4"/>
    </w:pPr>
    <w:rPr>
      <w:rFonts w:asciiTheme="majorHAnsi" w:eastAsiaTheme="majorEastAsia" w:hAnsiTheme="majorHAnsi" w:cstheme="majorBidi"/>
      <w:color w:val="243F60" w:themeColor="accent1" w:themeShade="7F"/>
      <w:sz w:val="22"/>
      <w:szCs w:val="22"/>
      <w:bdr w:val="none" w:sz="0" w:space="0" w:color="auto"/>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pPr>
      <w:tabs>
        <w:tab w:val="center" w:pos="4320"/>
        <w:tab w:val="right" w:pos="8640"/>
      </w:tabs>
    </w:pPr>
    <w:rPr>
      <w:rFonts w:eastAsia="Times New Roman"/>
      <w:color w:val="000000"/>
      <w:sz w:val="24"/>
      <w:szCs w:val="24"/>
      <w:u w:color="000000"/>
      <w:lang w:val="en-US"/>
    </w:rPr>
  </w:style>
  <w:style w:type="paragraph" w:styleId="Footer">
    <w:name w:val="footer"/>
    <w:link w:val="FooterChar"/>
    <w:uiPriority w:val="99"/>
    <w:pPr>
      <w:tabs>
        <w:tab w:val="center" w:pos="4320"/>
        <w:tab w:val="right" w:pos="8640"/>
      </w:tabs>
    </w:pPr>
    <w:rPr>
      <w:rFonts w:eastAsia="Times New Roman"/>
      <w:color w:val="000000"/>
      <w:sz w:val="24"/>
      <w:szCs w:val="24"/>
      <w:u w:color="000000"/>
      <w:lang w:val="en-US"/>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Body">
    <w:name w:val="Body"/>
    <w:uiPriority w:val="99"/>
    <w:rPr>
      <w:rFonts w:ascii="Helvetica" w:eastAsia="Helvetica" w:hAnsi="Helvetica" w:cs="Helvetica"/>
      <w:color w:val="000000"/>
      <w:sz w:val="22"/>
      <w:szCs w:val="22"/>
      <w:u w:color="000000"/>
      <w:lang w:val="en-US"/>
    </w:rPr>
  </w:style>
  <w:style w:type="paragraph" w:styleId="TOCHeading">
    <w:name w:val="TOC Heading"/>
    <w:next w:val="Body"/>
    <w:uiPriority w:val="39"/>
    <w:qFormat/>
    <w:pPr>
      <w:keepNext/>
      <w:keepLines/>
      <w:spacing w:before="480"/>
    </w:pPr>
    <w:rPr>
      <w:rFonts w:ascii="Cambria" w:eastAsia="Cambria" w:hAnsi="Cambria" w:cs="Cambria"/>
      <w:b/>
      <w:bCs/>
      <w:color w:val="365F91"/>
      <w:sz w:val="28"/>
      <w:szCs w:val="28"/>
      <w:u w:color="365F91"/>
      <w:lang w:val="en-US"/>
    </w:rPr>
  </w:style>
  <w:style w:type="paragraph" w:styleId="TOC2">
    <w:name w:val="toc 2"/>
    <w:uiPriority w:val="39"/>
    <w:pPr>
      <w:tabs>
        <w:tab w:val="right" w:pos="9952"/>
      </w:tabs>
      <w:spacing w:after="100"/>
      <w:ind w:left="240"/>
    </w:pPr>
    <w:rPr>
      <w:rFonts w:eastAsia="Times New Roman"/>
      <w:color w:val="000000"/>
      <w:sz w:val="24"/>
      <w:szCs w:val="24"/>
      <w:u w:color="000000"/>
      <w:lang w:val="en-US"/>
    </w:rPr>
  </w:style>
  <w:style w:type="paragraph" w:styleId="TOC3">
    <w:name w:val="toc 3"/>
    <w:pPr>
      <w:tabs>
        <w:tab w:val="left" w:pos="9072"/>
      </w:tabs>
      <w:spacing w:after="120" w:line="276" w:lineRule="auto"/>
      <w:jc w:val="both"/>
    </w:pPr>
    <w:rPr>
      <w:rFonts w:eastAsia="Times New Roman"/>
      <w:color w:val="000000"/>
      <w:sz w:val="24"/>
      <w:szCs w:val="24"/>
      <w:u w:color="000000"/>
      <w:lang w:val="en-US"/>
    </w:rPr>
  </w:style>
  <w:style w:type="paragraph" w:customStyle="1" w:styleId="Default">
    <w:name w:val="Default"/>
    <w:rPr>
      <w:rFonts w:ascii="Calibri" w:eastAsia="Calibri" w:hAnsi="Calibri" w:cs="Calibri"/>
      <w:color w:val="000000"/>
      <w:sz w:val="24"/>
      <w:szCs w:val="24"/>
      <w:u w:color="000000"/>
      <w:lang w:val="en-US"/>
    </w:rPr>
  </w:style>
  <w:style w:type="paragraph" w:customStyle="1" w:styleId="Heading">
    <w:name w:val="Heading"/>
    <w:next w:val="Body"/>
    <w:pPr>
      <w:keepNext/>
      <w:spacing w:before="240" w:after="60"/>
      <w:outlineLvl w:val="3"/>
    </w:pPr>
    <w:rPr>
      <w:rFonts w:ascii="Arial" w:eastAsia="Arial" w:hAnsi="Arial" w:cs="Arial"/>
      <w:b/>
      <w:bCs/>
      <w:color w:val="000000"/>
      <w:kern w:val="32"/>
      <w:sz w:val="32"/>
      <w:szCs w:val="32"/>
      <w:u w:color="000000"/>
      <w:lang w:val="en-US"/>
    </w:rPr>
  </w:style>
  <w:style w:type="paragraph" w:styleId="ListParagraph">
    <w:name w:val="List Paragraph"/>
    <w:aliases w:val="List Paragraph1,List Paragraph11,Recommendation,Numbered paragraph,L,NFP GP Bulleted List,FooterText,numbered,Paragraphe de liste1,Bulletr List Paragraph,列出段落,列出段落1,List Paragraph2,List Paragraph21,Listeafsnit1,Parágrafo da Lista1,リスト段落1"/>
    <w:link w:val="ListParagraphChar"/>
    <w:uiPriority w:val="34"/>
    <w:qFormat/>
    <w:pPr>
      <w:ind w:left="720"/>
    </w:pPr>
    <w:rPr>
      <w:rFonts w:eastAsia="Times New Roman"/>
      <w:color w:val="000000"/>
      <w:sz w:val="24"/>
      <w:szCs w:val="24"/>
      <w:u w:color="000000"/>
      <w:lang w:val="en-US"/>
    </w:rPr>
  </w:style>
  <w:style w:type="numbering" w:customStyle="1" w:styleId="List0">
    <w:name w:val="List 0"/>
    <w:basedOn w:val="ImportedStyle1"/>
    <w:pPr>
      <w:numPr>
        <w:numId w:val="17"/>
      </w:numPr>
    </w:pPr>
  </w:style>
  <w:style w:type="numbering" w:customStyle="1" w:styleId="ImportedStyle1">
    <w:name w:val="Imported Style 1"/>
  </w:style>
  <w:style w:type="numbering" w:customStyle="1" w:styleId="List1">
    <w:name w:val="List 1"/>
    <w:basedOn w:val="ImportedStyle2"/>
    <w:pPr>
      <w:numPr>
        <w:numId w:val="14"/>
      </w:numPr>
    </w:pPr>
  </w:style>
  <w:style w:type="numbering" w:customStyle="1" w:styleId="ImportedStyle2">
    <w:name w:val="Imported Style 2"/>
  </w:style>
  <w:style w:type="paragraph" w:customStyle="1" w:styleId="TableGrid1">
    <w:name w:val="Table Grid1"/>
    <w:rPr>
      <w:rFonts w:eastAsia="Times New Roman"/>
      <w:color w:val="000000"/>
      <w:u w:color="000000"/>
      <w:lang w:val="en-US"/>
    </w:rPr>
  </w:style>
  <w:style w:type="numbering" w:customStyle="1" w:styleId="List21">
    <w:name w:val="List 21"/>
    <w:basedOn w:val="ImportedStyle3"/>
    <w:pPr>
      <w:numPr>
        <w:numId w:val="1"/>
      </w:numPr>
    </w:pPr>
  </w:style>
  <w:style w:type="numbering" w:customStyle="1" w:styleId="ImportedStyle3">
    <w:name w:val="Imported Style 3"/>
  </w:style>
  <w:style w:type="numbering" w:customStyle="1" w:styleId="List31">
    <w:name w:val="List 31"/>
    <w:basedOn w:val="ImportedStyle4"/>
    <w:pPr>
      <w:numPr>
        <w:numId w:val="2"/>
      </w:numPr>
    </w:pPr>
  </w:style>
  <w:style w:type="numbering" w:customStyle="1" w:styleId="ImportedStyle4">
    <w:name w:val="Imported Style 4"/>
  </w:style>
  <w:style w:type="paragraph" w:styleId="NormalWeb">
    <w:name w:val="Normal (Web)"/>
    <w:uiPriority w:val="99"/>
    <w:pPr>
      <w:spacing w:before="100" w:after="360" w:line="360" w:lineRule="atLeast"/>
    </w:pPr>
    <w:rPr>
      <w:rFonts w:eastAsia="Times New Roman"/>
      <w:color w:val="000000"/>
      <w:sz w:val="24"/>
      <w:szCs w:val="24"/>
      <w:u w:color="000000"/>
      <w:lang w:val="en-US"/>
    </w:rPr>
  </w:style>
  <w:style w:type="numbering" w:customStyle="1" w:styleId="List41">
    <w:name w:val="List 41"/>
    <w:basedOn w:val="ImportedStyle5"/>
    <w:pPr>
      <w:numPr>
        <w:numId w:val="3"/>
      </w:numPr>
    </w:pPr>
  </w:style>
  <w:style w:type="numbering" w:customStyle="1" w:styleId="ImportedStyle5">
    <w:name w:val="Imported Style 5"/>
  </w:style>
  <w:style w:type="numbering" w:customStyle="1" w:styleId="List51">
    <w:name w:val="List 51"/>
    <w:basedOn w:val="ImportedStyle6"/>
    <w:pPr>
      <w:numPr>
        <w:numId w:val="4"/>
      </w:numPr>
    </w:pPr>
  </w:style>
  <w:style w:type="numbering" w:customStyle="1" w:styleId="ImportedStyle6">
    <w:name w:val="Imported Style 6"/>
  </w:style>
  <w:style w:type="paragraph" w:styleId="FootnoteText">
    <w:name w:val="footnote text"/>
    <w:aliases w:val="Footnote Text Char1 Char,Footnote Text Char Char Char,Footnote Text Char1 Char Char Char,Footnote Text Char Char Char Char Char,Footnote Text Char1 Char1,Footnote Text Char Char Char1,Footnote Text Char1,FN,Footnote Text Char Char"/>
    <w:link w:val="FootnoteTextChar"/>
    <w:rPr>
      <w:rFonts w:eastAsia="Times New Roman"/>
      <w:color w:val="000000"/>
      <w:u w:color="000000"/>
      <w:lang w:val="en-US"/>
    </w:rPr>
  </w:style>
  <w:style w:type="numbering" w:customStyle="1" w:styleId="List6">
    <w:name w:val="List 6"/>
    <w:basedOn w:val="ImportedStyle7"/>
    <w:pPr>
      <w:numPr>
        <w:numId w:val="5"/>
      </w:numPr>
    </w:pPr>
  </w:style>
  <w:style w:type="numbering" w:customStyle="1" w:styleId="ImportedStyle7">
    <w:name w:val="Imported Style 7"/>
  </w:style>
  <w:style w:type="numbering" w:customStyle="1" w:styleId="List7">
    <w:name w:val="List 7"/>
    <w:basedOn w:val="ImportedStyle8"/>
    <w:pPr>
      <w:numPr>
        <w:numId w:val="6"/>
      </w:numPr>
    </w:pPr>
  </w:style>
  <w:style w:type="numbering" w:customStyle="1" w:styleId="ImportedStyle8">
    <w:name w:val="Imported Style 8"/>
  </w:style>
  <w:style w:type="numbering" w:customStyle="1" w:styleId="List8">
    <w:name w:val="List 8"/>
    <w:basedOn w:val="ImportedStyle9"/>
    <w:pPr>
      <w:numPr>
        <w:numId w:val="7"/>
      </w:numPr>
    </w:pPr>
  </w:style>
  <w:style w:type="numbering" w:customStyle="1" w:styleId="ImportedStyle9">
    <w:name w:val="Imported Style 9"/>
  </w:style>
  <w:style w:type="numbering" w:customStyle="1" w:styleId="List9">
    <w:name w:val="List 9"/>
    <w:basedOn w:val="ImportedStyle9"/>
    <w:pPr>
      <w:numPr>
        <w:numId w:val="8"/>
      </w:numPr>
    </w:pPr>
  </w:style>
  <w:style w:type="numbering" w:customStyle="1" w:styleId="List10">
    <w:name w:val="List 10"/>
    <w:basedOn w:val="ImportedStyle10"/>
    <w:pPr>
      <w:numPr>
        <w:numId w:val="9"/>
      </w:numPr>
    </w:pPr>
  </w:style>
  <w:style w:type="numbering" w:customStyle="1" w:styleId="ImportedStyle10">
    <w:name w:val="Imported Style 10"/>
  </w:style>
  <w:style w:type="numbering" w:customStyle="1" w:styleId="List11">
    <w:name w:val="List 11"/>
    <w:basedOn w:val="ImportedStyle11"/>
    <w:pPr>
      <w:numPr>
        <w:numId w:val="10"/>
      </w:numPr>
    </w:pPr>
  </w:style>
  <w:style w:type="numbering" w:customStyle="1" w:styleId="ImportedStyle11">
    <w:name w:val="Imported Style 11"/>
  </w:style>
  <w:style w:type="numbering" w:customStyle="1" w:styleId="List12">
    <w:name w:val="List 12"/>
    <w:basedOn w:val="ImportedStyle12"/>
    <w:pPr>
      <w:numPr>
        <w:numId w:val="11"/>
      </w:numPr>
    </w:pPr>
  </w:style>
  <w:style w:type="numbering" w:customStyle="1" w:styleId="ImportedStyle12">
    <w:name w:val="Imported Style 12"/>
  </w:style>
  <w:style w:type="numbering" w:customStyle="1" w:styleId="List13">
    <w:name w:val="List 13"/>
    <w:basedOn w:val="ImportedStyle13"/>
    <w:pPr>
      <w:numPr>
        <w:numId w:val="12"/>
      </w:numPr>
    </w:pPr>
  </w:style>
  <w:style w:type="numbering" w:customStyle="1" w:styleId="ImportedStyle13">
    <w:name w:val="Imported Style 13"/>
  </w:style>
  <w:style w:type="numbering" w:customStyle="1" w:styleId="List14">
    <w:name w:val="List 14"/>
    <w:basedOn w:val="ImportedStyle14"/>
    <w:pPr>
      <w:numPr>
        <w:numId w:val="13"/>
      </w:numPr>
    </w:pPr>
  </w:style>
  <w:style w:type="numbering" w:customStyle="1" w:styleId="ImportedStyle14">
    <w:name w:val="Imported Style 14"/>
  </w:style>
  <w:style w:type="numbering" w:customStyle="1" w:styleId="List15">
    <w:name w:val="List 15"/>
    <w:basedOn w:val="ImportedStyle15"/>
    <w:pPr>
      <w:numPr>
        <w:numId w:val="15"/>
      </w:numPr>
    </w:pPr>
  </w:style>
  <w:style w:type="numbering" w:customStyle="1" w:styleId="ImportedStyle15">
    <w:name w:val="Imported Style 15"/>
  </w:style>
  <w:style w:type="numbering" w:customStyle="1" w:styleId="List16">
    <w:name w:val="List 16"/>
    <w:basedOn w:val="ImportedStyle16"/>
    <w:pPr>
      <w:numPr>
        <w:numId w:val="16"/>
      </w:numPr>
    </w:pPr>
  </w:style>
  <w:style w:type="numbering" w:customStyle="1" w:styleId="ImportedStyle16">
    <w:name w:val="Imported Style 16"/>
  </w:style>
  <w:style w:type="numbering" w:customStyle="1" w:styleId="List17">
    <w:name w:val="List 17"/>
    <w:basedOn w:val="ImportedStyle17"/>
    <w:pPr>
      <w:numPr>
        <w:numId w:val="18"/>
      </w:numPr>
    </w:pPr>
  </w:style>
  <w:style w:type="numbering" w:customStyle="1" w:styleId="ImportedStyle17">
    <w:name w:val="Imported Style 17"/>
  </w:style>
  <w:style w:type="numbering" w:customStyle="1" w:styleId="List18">
    <w:name w:val="List 18"/>
    <w:basedOn w:val="ImportedStyle18"/>
    <w:pPr>
      <w:numPr>
        <w:numId w:val="19"/>
      </w:numPr>
    </w:pPr>
  </w:style>
  <w:style w:type="numbering" w:customStyle="1" w:styleId="ImportedStyle18">
    <w:name w:val="Imported Style 18"/>
  </w:style>
  <w:style w:type="numbering" w:customStyle="1" w:styleId="List19">
    <w:name w:val="List 19"/>
    <w:basedOn w:val="ImportedStyle19"/>
    <w:pPr>
      <w:numPr>
        <w:numId w:val="20"/>
      </w:numPr>
    </w:pPr>
  </w:style>
  <w:style w:type="numbering" w:customStyle="1" w:styleId="ImportedStyle19">
    <w:name w:val="Imported Style 19"/>
  </w:style>
  <w:style w:type="numbering" w:customStyle="1" w:styleId="List20">
    <w:name w:val="List 20"/>
    <w:basedOn w:val="ImportedStyle20"/>
    <w:pPr>
      <w:numPr>
        <w:numId w:val="21"/>
      </w:numPr>
    </w:pPr>
  </w:style>
  <w:style w:type="numbering" w:customStyle="1" w:styleId="ImportedStyle20">
    <w:name w:val="Imported Style 20"/>
  </w:style>
  <w:style w:type="character" w:customStyle="1" w:styleId="None">
    <w:name w:val="None"/>
  </w:style>
  <w:style w:type="character" w:customStyle="1" w:styleId="Hyperlink0">
    <w:name w:val="Hyperlink.0"/>
    <w:basedOn w:val="None"/>
    <w:rPr>
      <w:rFonts w:ascii="Calibri" w:eastAsia="Calibri" w:hAnsi="Calibri" w:cs="Calibri"/>
      <w:color w:val="014A67"/>
      <w:sz w:val="20"/>
      <w:szCs w:val="20"/>
      <w:u w:val="none" w:color="014A67"/>
      <w:lang w:val="en-US"/>
    </w:rPr>
  </w:style>
  <w:style w:type="numbering" w:customStyle="1" w:styleId="List210">
    <w:name w:val="List 21"/>
    <w:basedOn w:val="ImportedStyle21"/>
    <w:pPr>
      <w:numPr>
        <w:numId w:val="22"/>
      </w:numPr>
    </w:pPr>
  </w:style>
  <w:style w:type="numbering" w:customStyle="1" w:styleId="ImportedStyle21">
    <w:name w:val="Imported Style 21"/>
  </w:style>
  <w:style w:type="numbering" w:customStyle="1" w:styleId="List22">
    <w:name w:val="List 22"/>
    <w:basedOn w:val="ImportedStyle22"/>
    <w:pPr>
      <w:numPr>
        <w:numId w:val="23"/>
      </w:numPr>
    </w:pPr>
  </w:style>
  <w:style w:type="numbering" w:customStyle="1" w:styleId="ImportedStyle22">
    <w:name w:val="Imported Style 22"/>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326A1"/>
    <w:rPr>
      <w:rFonts w:ascii="Tahoma" w:hAnsi="Tahoma" w:cs="Tahoma"/>
      <w:sz w:val="16"/>
      <w:szCs w:val="16"/>
    </w:rPr>
  </w:style>
  <w:style w:type="character" w:customStyle="1" w:styleId="BalloonTextChar">
    <w:name w:val="Balloon Text Char"/>
    <w:basedOn w:val="DefaultParagraphFont"/>
    <w:link w:val="BalloonText"/>
    <w:uiPriority w:val="99"/>
    <w:semiHidden/>
    <w:rsid w:val="003326A1"/>
    <w:rPr>
      <w:rFonts w:ascii="Tahoma" w:hAnsi="Tahoma" w:cs="Tahoma"/>
      <w:sz w:val="16"/>
      <w:szCs w:val="16"/>
      <w:lang w:val="en-US" w:eastAsia="en-US"/>
    </w:rPr>
  </w:style>
  <w:style w:type="character" w:customStyle="1" w:styleId="Heading1Char">
    <w:name w:val="Heading 1 Char"/>
    <w:basedOn w:val="DefaultParagraphFont"/>
    <w:link w:val="Heading1"/>
    <w:uiPriority w:val="9"/>
    <w:rsid w:val="003326A1"/>
    <w:rPr>
      <w:rFonts w:asciiTheme="majorHAnsi" w:eastAsiaTheme="majorEastAsia" w:hAnsiTheme="majorHAnsi" w:cstheme="majorBidi"/>
      <w:b/>
      <w:bCs/>
      <w:color w:val="365F91" w:themeColor="accent1" w:themeShade="BF"/>
      <w:sz w:val="28"/>
      <w:szCs w:val="28"/>
      <w:lang w:val="en-US" w:eastAsia="en-US"/>
    </w:rPr>
  </w:style>
  <w:style w:type="paragraph" w:styleId="TOC1">
    <w:name w:val="toc 1"/>
    <w:basedOn w:val="Normal"/>
    <w:next w:val="Normal"/>
    <w:autoRedefine/>
    <w:uiPriority w:val="39"/>
    <w:unhideWhenUsed/>
    <w:rsid w:val="00A82E1B"/>
    <w:pPr>
      <w:spacing w:after="100"/>
    </w:pPr>
  </w:style>
  <w:style w:type="character" w:customStyle="1" w:styleId="FooterChar">
    <w:name w:val="Footer Char"/>
    <w:basedOn w:val="DefaultParagraphFont"/>
    <w:link w:val="Footer"/>
    <w:uiPriority w:val="99"/>
    <w:rsid w:val="001045C6"/>
    <w:rPr>
      <w:rFonts w:eastAsia="Times New Roman"/>
      <w:color w:val="000000"/>
      <w:sz w:val="24"/>
      <w:szCs w:val="24"/>
      <w:u w:color="000000"/>
      <w:lang w:val="en-US"/>
    </w:rPr>
  </w:style>
  <w:style w:type="paragraph" w:customStyle="1" w:styleId="ceoaddressesceobodystyles">
    <w:name w:val="ceo_addresses (ceo_body_styles)"/>
    <w:basedOn w:val="Normal"/>
    <w:uiPriority w:val="99"/>
    <w:rsid w:val="001045C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line="206" w:lineRule="atLeast"/>
      <w:ind w:firstLine="206"/>
      <w:textAlignment w:val="center"/>
    </w:pPr>
    <w:rPr>
      <w:rFonts w:ascii="CaeciliaCom-55Roman" w:eastAsiaTheme="minorEastAsia" w:hAnsi="CaeciliaCom-55Roman" w:cs="CaeciliaCom-55Roman"/>
      <w:color w:val="000000"/>
      <w:sz w:val="16"/>
      <w:szCs w:val="16"/>
      <w:bdr w:val="none" w:sz="0" w:space="0" w:color="auto"/>
      <w:lang w:val="en-AU" w:eastAsia="ja-JP"/>
    </w:rPr>
  </w:style>
  <w:style w:type="paragraph" w:customStyle="1" w:styleId="BasicParagraph">
    <w:name w:val="[Basic Paragraph]"/>
    <w:basedOn w:val="Normal"/>
    <w:uiPriority w:val="99"/>
    <w:rsid w:val="001045C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textAlignment w:val="center"/>
    </w:pPr>
    <w:rPr>
      <w:rFonts w:ascii="MinionPro-Regular" w:eastAsiaTheme="minorEastAsia" w:hAnsi="MinionPro-Regular" w:cs="MinionPro-Regular"/>
      <w:color w:val="000000"/>
      <w:bdr w:val="none" w:sz="0" w:space="0" w:color="auto"/>
      <w:lang w:val="en-GB" w:eastAsia="ja-JP"/>
    </w:rPr>
  </w:style>
  <w:style w:type="table" w:styleId="TableGrid">
    <w:name w:val="Table Grid"/>
    <w:basedOn w:val="TableNormal"/>
    <w:uiPriority w:val="59"/>
    <w:rsid w:val="0034107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footnote-p">
    <w:name w:val="table-footnote-p"/>
    <w:basedOn w:val="Normal"/>
    <w:rsid w:val="00341073"/>
    <w:pPr>
      <w:pBdr>
        <w:top w:val="none" w:sz="0" w:space="0" w:color="auto"/>
        <w:left w:val="none" w:sz="0" w:space="0" w:color="auto"/>
        <w:bottom w:val="none" w:sz="0" w:space="0" w:color="auto"/>
        <w:right w:val="none" w:sz="0" w:space="0" w:color="auto"/>
        <w:between w:val="none" w:sz="0" w:space="0" w:color="auto"/>
        <w:bar w:val="none" w:sz="0" w:color="auto"/>
      </w:pBdr>
      <w:spacing w:line="180" w:lineRule="atLeast"/>
    </w:pPr>
    <w:rPr>
      <w:rFonts w:eastAsiaTheme="minorHAnsi"/>
      <w:bdr w:val="none" w:sz="0" w:space="0" w:color="auto"/>
      <w:lang w:val="en-AU" w:eastAsia="en-AU"/>
    </w:rPr>
  </w:style>
  <w:style w:type="paragraph" w:styleId="BodyText">
    <w:name w:val="Body Text"/>
    <w:basedOn w:val="Normal"/>
    <w:link w:val="BodyTextChar"/>
    <w:rsid w:val="00341073"/>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bdr w:val="none" w:sz="0" w:space="0" w:color="auto"/>
    </w:rPr>
  </w:style>
  <w:style w:type="character" w:customStyle="1" w:styleId="BodyTextChar">
    <w:name w:val="Body Text Char"/>
    <w:basedOn w:val="DefaultParagraphFont"/>
    <w:link w:val="BodyText"/>
    <w:rsid w:val="00341073"/>
    <w:rPr>
      <w:rFonts w:eastAsia="Times New Roman"/>
      <w:sz w:val="24"/>
      <w:szCs w:val="24"/>
      <w:bdr w:val="none" w:sz="0" w:space="0" w:color="auto"/>
      <w:lang w:val="en-US" w:eastAsia="en-US"/>
    </w:rPr>
  </w:style>
  <w:style w:type="paragraph" w:styleId="ListNumber">
    <w:name w:val="List Number"/>
    <w:basedOn w:val="BodyText"/>
    <w:rsid w:val="00341073"/>
    <w:pPr>
      <w:numPr>
        <w:numId w:val="24"/>
      </w:numPr>
      <w:spacing w:before="120" w:after="0" w:line="300" w:lineRule="atLeast"/>
      <w:jc w:val="both"/>
    </w:pPr>
    <w:rPr>
      <w:szCs w:val="20"/>
      <w:lang w:val="en-AU" w:eastAsia="en-AU"/>
    </w:rPr>
  </w:style>
  <w:style w:type="paragraph" w:styleId="ListNumber2">
    <w:name w:val="List Number 2"/>
    <w:basedOn w:val="ListNumber"/>
    <w:rsid w:val="00341073"/>
    <w:pPr>
      <w:numPr>
        <w:ilvl w:val="1"/>
      </w:numPr>
    </w:pPr>
  </w:style>
  <w:style w:type="paragraph" w:styleId="ListNumber3">
    <w:name w:val="List Number 3"/>
    <w:basedOn w:val="ListNumber2"/>
    <w:rsid w:val="00341073"/>
    <w:pPr>
      <w:numPr>
        <w:ilvl w:val="2"/>
      </w:numPr>
    </w:pPr>
  </w:style>
  <w:style w:type="table" w:styleId="LightShading">
    <w:name w:val="Light Shading"/>
    <w:basedOn w:val="TableNormal"/>
    <w:uiPriority w:val="60"/>
    <w:rsid w:val="006C653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color w:val="000000" w:themeColor="text1" w:themeShade="BF"/>
      <w:sz w:val="22"/>
      <w:szCs w:val="22"/>
      <w:bdr w:val="none" w:sz="0" w:space="0" w:color="auto"/>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1 Char,Footnote Text Char Char Char1 Char,FN Char"/>
    <w:basedOn w:val="DefaultParagraphFont"/>
    <w:link w:val="FootnoteText"/>
    <w:rsid w:val="00170E99"/>
    <w:rPr>
      <w:rFonts w:eastAsia="Times New Roman"/>
      <w:color w:val="000000"/>
      <w:u w:color="000000"/>
      <w:lang w:val="en-US"/>
    </w:rPr>
  </w:style>
  <w:style w:type="character" w:styleId="FootnoteReference">
    <w:name w:val="footnote reference"/>
    <w:aliases w:val="NO"/>
    <w:basedOn w:val="DefaultParagraphFont"/>
    <w:rsid w:val="00644A8E"/>
    <w:rPr>
      <w:vertAlign w:val="superscript"/>
    </w:rPr>
  </w:style>
  <w:style w:type="paragraph" w:customStyle="1" w:styleId="paragraph">
    <w:name w:val="paragraph"/>
    <w:aliases w:val="a"/>
    <w:basedOn w:val="Normal"/>
    <w:link w:val="paragraphChar"/>
    <w:rsid w:val="00647B9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AU" w:eastAsia="en-AU"/>
    </w:rPr>
  </w:style>
  <w:style w:type="character" w:customStyle="1" w:styleId="ListParagraphChar">
    <w:name w:val="List Paragraph Char"/>
    <w:aliases w:val="List Paragraph1 Char,List Paragraph11 Char,Recommendation Char,Numbered paragraph Char,L Char,NFP GP Bulleted List Char,FooterText Char,numbered Char,Paragraphe de liste1 Char,Bulletr List Paragraph Char,列出段落 Char,列出段落1 Char"/>
    <w:link w:val="ListParagraph"/>
    <w:uiPriority w:val="34"/>
    <w:locked/>
    <w:rsid w:val="00FE4D45"/>
    <w:rPr>
      <w:rFonts w:eastAsia="Times New Roman"/>
      <w:color w:val="000000"/>
      <w:sz w:val="24"/>
      <w:szCs w:val="24"/>
      <w:u w:color="000000"/>
      <w:lang w:val="en-US"/>
    </w:rPr>
  </w:style>
  <w:style w:type="paragraph" w:customStyle="1" w:styleId="Level1">
    <w:name w:val="Level 1"/>
    <w:link w:val="Level1Char"/>
    <w:rsid w:val="00FE4D45"/>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Helvetica" w:eastAsia="Times New Roman" w:hAnsi="Helvetica"/>
      <w:snapToGrid w:val="0"/>
      <w:sz w:val="24"/>
      <w:bdr w:val="none" w:sz="0" w:space="0" w:color="auto"/>
      <w:lang w:eastAsia="en-US"/>
    </w:rPr>
  </w:style>
  <w:style w:type="character" w:customStyle="1" w:styleId="Level1Char">
    <w:name w:val="Level 1 Char"/>
    <w:link w:val="Level1"/>
    <w:locked/>
    <w:rsid w:val="00553BE1"/>
    <w:rPr>
      <w:rFonts w:ascii="Helvetica" w:eastAsia="Times New Roman" w:hAnsi="Helvetica"/>
      <w:snapToGrid w:val="0"/>
      <w:sz w:val="24"/>
      <w:bdr w:val="none" w:sz="0" w:space="0" w:color="auto"/>
      <w:lang w:eastAsia="en-US"/>
    </w:rPr>
  </w:style>
  <w:style w:type="paragraph" w:styleId="Title">
    <w:name w:val="Title"/>
    <w:basedOn w:val="Normal"/>
    <w:next w:val="Normal"/>
    <w:link w:val="TitleChar"/>
    <w:uiPriority w:val="10"/>
    <w:qFormat/>
    <w:rsid w:val="0074345B"/>
    <w:pPr>
      <w:pBdr>
        <w:top w:val="none" w:sz="0" w:space="0" w:color="auto"/>
        <w:left w:val="none" w:sz="0" w:space="0" w:color="auto"/>
        <w:bottom w:val="single" w:sz="8" w:space="4" w:color="4F81BD" w:themeColor="accent1"/>
        <w:right w:val="none" w:sz="0" w:space="0" w:color="auto"/>
        <w:between w:val="none" w:sz="0" w:space="0" w:color="auto"/>
        <w:bar w:val="none" w:sz="0" w:color="auto"/>
      </w:pBdr>
      <w:spacing w:after="300"/>
      <w:contextualSpacing/>
    </w:pPr>
    <w:rPr>
      <w:rFonts w:asciiTheme="majorHAnsi" w:eastAsiaTheme="majorEastAsia" w:hAnsiTheme="majorHAnsi" w:cstheme="majorBidi"/>
      <w:color w:val="17365D" w:themeColor="text2" w:themeShade="BF"/>
      <w:spacing w:val="5"/>
      <w:kern w:val="28"/>
      <w:sz w:val="52"/>
      <w:szCs w:val="52"/>
      <w:bdr w:val="none" w:sz="0" w:space="0" w:color="auto"/>
      <w:lang w:val="en-AU" w:eastAsia="en-AU"/>
    </w:rPr>
  </w:style>
  <w:style w:type="character" w:customStyle="1" w:styleId="TitleChar">
    <w:name w:val="Title Char"/>
    <w:basedOn w:val="DefaultParagraphFont"/>
    <w:link w:val="Title"/>
    <w:uiPriority w:val="10"/>
    <w:rsid w:val="0074345B"/>
    <w:rPr>
      <w:rFonts w:asciiTheme="majorHAnsi" w:eastAsiaTheme="majorEastAsia" w:hAnsiTheme="majorHAnsi" w:cstheme="majorBidi"/>
      <w:color w:val="17365D" w:themeColor="text2" w:themeShade="BF"/>
      <w:spacing w:val="5"/>
      <w:kern w:val="28"/>
      <w:sz w:val="52"/>
      <w:szCs w:val="52"/>
      <w:bdr w:val="none" w:sz="0" w:space="0" w:color="auto"/>
    </w:rPr>
  </w:style>
  <w:style w:type="paragraph" w:customStyle="1" w:styleId="paragraphsub">
    <w:name w:val="paragraph(sub)"/>
    <w:aliases w:val="aa"/>
    <w:basedOn w:val="Normal"/>
    <w:rsid w:val="0074345B"/>
    <w:pPr>
      <w:pBdr>
        <w:top w:val="none" w:sz="0" w:space="0" w:color="auto"/>
        <w:left w:val="none" w:sz="0" w:space="0" w:color="auto"/>
        <w:bottom w:val="none" w:sz="0" w:space="0" w:color="auto"/>
        <w:right w:val="none" w:sz="0" w:space="0" w:color="auto"/>
        <w:between w:val="none" w:sz="0" w:space="0" w:color="auto"/>
        <w:bar w:val="none" w:sz="0" w:color="auto"/>
      </w:pBdr>
      <w:tabs>
        <w:tab w:val="right" w:pos="1985"/>
      </w:tabs>
      <w:spacing w:before="40"/>
      <w:ind w:left="2098" w:hanging="2098"/>
    </w:pPr>
    <w:rPr>
      <w:rFonts w:eastAsia="Times New Roman"/>
      <w:sz w:val="22"/>
      <w:szCs w:val="20"/>
      <w:bdr w:val="none" w:sz="0" w:space="0" w:color="auto"/>
      <w:lang w:val="en-AU" w:eastAsia="en-AU"/>
    </w:rPr>
  </w:style>
  <w:style w:type="character" w:customStyle="1" w:styleId="paragraphChar">
    <w:name w:val="paragraph Char"/>
    <w:aliases w:val="a Char"/>
    <w:basedOn w:val="DefaultParagraphFont"/>
    <w:link w:val="paragraph"/>
    <w:rsid w:val="0074345B"/>
    <w:rPr>
      <w:rFonts w:eastAsia="Times New Roman"/>
      <w:sz w:val="24"/>
      <w:szCs w:val="24"/>
      <w:bdr w:val="none" w:sz="0" w:space="0" w:color="auto"/>
    </w:rPr>
  </w:style>
  <w:style w:type="paragraph" w:customStyle="1" w:styleId="Body1">
    <w:name w:val="Body 1"/>
    <w:basedOn w:val="Normal"/>
    <w:rsid w:val="00A03FE0"/>
    <w:rPr>
      <w:rFonts w:ascii="Helvetica" w:hAnsi="Helvetica"/>
      <w:color w:val="000000"/>
      <w:lang w:eastAsia="en-AU"/>
    </w:rPr>
  </w:style>
  <w:style w:type="paragraph" w:customStyle="1" w:styleId="subsection">
    <w:name w:val="subsection"/>
    <w:aliases w:val="ss"/>
    <w:basedOn w:val="Normal"/>
    <w:link w:val="subsectionChar"/>
    <w:rsid w:val="00A03FE0"/>
    <w:pPr>
      <w:pBdr>
        <w:top w:val="none" w:sz="0" w:space="0" w:color="auto"/>
        <w:left w:val="none" w:sz="0" w:space="0" w:color="auto"/>
        <w:bottom w:val="none" w:sz="0" w:space="0" w:color="auto"/>
        <w:right w:val="none" w:sz="0" w:space="0" w:color="auto"/>
        <w:between w:val="none" w:sz="0" w:space="0" w:color="auto"/>
        <w:bar w:val="none" w:sz="0" w:color="auto"/>
      </w:pBdr>
      <w:tabs>
        <w:tab w:val="right" w:pos="1021"/>
      </w:tabs>
      <w:spacing w:before="180"/>
      <w:ind w:left="1134" w:hanging="1134"/>
    </w:pPr>
    <w:rPr>
      <w:rFonts w:eastAsia="Times New Roman"/>
      <w:sz w:val="22"/>
      <w:szCs w:val="20"/>
      <w:bdr w:val="none" w:sz="0" w:space="0" w:color="auto"/>
      <w:lang w:val="en-AU" w:eastAsia="en-AU"/>
    </w:rPr>
  </w:style>
  <w:style w:type="character" w:customStyle="1" w:styleId="subsectionChar">
    <w:name w:val="subsection Char"/>
    <w:aliases w:val="ss Char"/>
    <w:link w:val="subsection"/>
    <w:rsid w:val="00A03FE0"/>
    <w:rPr>
      <w:rFonts w:eastAsia="Times New Roman"/>
      <w:sz w:val="22"/>
      <w:bdr w:val="none" w:sz="0" w:space="0" w:color="auto"/>
    </w:rPr>
  </w:style>
  <w:style w:type="paragraph" w:customStyle="1" w:styleId="SubsectionHead">
    <w:name w:val="SubsectionHead"/>
    <w:aliases w:val="ssh"/>
    <w:basedOn w:val="Normal"/>
    <w:next w:val="subsection"/>
    <w:rsid w:val="00A03FE0"/>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ind w:left="1134"/>
    </w:pPr>
    <w:rPr>
      <w:rFonts w:eastAsia="Times New Roman"/>
      <w:i/>
      <w:sz w:val="22"/>
      <w:szCs w:val="20"/>
      <w:bdr w:val="none" w:sz="0" w:space="0" w:color="auto"/>
      <w:lang w:val="en-AU" w:eastAsia="en-AU"/>
    </w:rPr>
  </w:style>
  <w:style w:type="paragraph" w:customStyle="1" w:styleId="subsection2">
    <w:name w:val="subsection2"/>
    <w:aliases w:val="ss2"/>
    <w:basedOn w:val="Normal"/>
    <w:next w:val="subsection"/>
    <w:rsid w:val="00A03FE0"/>
    <w:pPr>
      <w:pBdr>
        <w:top w:val="none" w:sz="0" w:space="0" w:color="auto"/>
        <w:left w:val="none" w:sz="0" w:space="0" w:color="auto"/>
        <w:bottom w:val="none" w:sz="0" w:space="0" w:color="auto"/>
        <w:right w:val="none" w:sz="0" w:space="0" w:color="auto"/>
        <w:between w:val="none" w:sz="0" w:space="0" w:color="auto"/>
        <w:bar w:val="none" w:sz="0" w:color="auto"/>
      </w:pBdr>
      <w:spacing w:before="40"/>
      <w:ind w:left="1134"/>
    </w:pPr>
    <w:rPr>
      <w:rFonts w:eastAsia="Times New Roman"/>
      <w:sz w:val="22"/>
      <w:szCs w:val="20"/>
      <w:bdr w:val="none" w:sz="0" w:space="0" w:color="auto"/>
      <w:lang w:val="en-AU" w:eastAsia="en-AU"/>
    </w:rPr>
  </w:style>
  <w:style w:type="paragraph" w:customStyle="1" w:styleId="Graphtext">
    <w:name w:val="Graph text"/>
    <w:basedOn w:val="Normal"/>
    <w:autoRedefine/>
    <w:uiPriority w:val="99"/>
    <w:rsid w:val="000156B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center"/>
    </w:pPr>
    <w:rPr>
      <w:rFonts w:ascii="Helvetica" w:eastAsia="Times New Roman" w:hAnsi="Helvetica" w:cs="Arial"/>
      <w:noProof/>
      <w:sz w:val="18"/>
      <w:szCs w:val="18"/>
      <w:bdr w:val="none" w:sz="0" w:space="0" w:color="auto"/>
      <w:vertAlign w:val="superscript"/>
    </w:rPr>
  </w:style>
  <w:style w:type="paragraph" w:customStyle="1" w:styleId="00116d36">
    <w:name w:val="00116d36"/>
    <w:basedOn w:val="Normal"/>
    <w:rsid w:val="00184A23"/>
    <w:pPr>
      <w:pBdr>
        <w:top w:val="none" w:sz="0" w:space="0" w:color="auto"/>
        <w:left w:val="none" w:sz="0" w:space="0" w:color="auto"/>
        <w:bottom w:val="none" w:sz="0" w:space="0" w:color="auto"/>
        <w:right w:val="none" w:sz="0" w:space="0" w:color="auto"/>
        <w:between w:val="none" w:sz="0" w:space="0" w:color="auto"/>
        <w:bar w:val="none" w:sz="0" w:color="auto"/>
      </w:pBdr>
      <w:spacing w:after="300"/>
    </w:pPr>
    <w:rPr>
      <w:rFonts w:ascii="Arial" w:eastAsia="Times New Roman" w:hAnsi="Arial" w:cs="Arial"/>
      <w:bdr w:val="none" w:sz="0" w:space="0" w:color="auto"/>
      <w:lang w:val="en-AU" w:eastAsia="en-AU"/>
    </w:rPr>
  </w:style>
  <w:style w:type="paragraph" w:customStyle="1" w:styleId="Legal2">
    <w:name w:val="Legal 2"/>
    <w:basedOn w:val="Normal"/>
    <w:rsid w:val="00944519"/>
    <w:pPr>
      <w:pBdr>
        <w:top w:val="none" w:sz="0" w:space="0" w:color="auto"/>
        <w:left w:val="none" w:sz="0" w:space="0" w:color="auto"/>
        <w:bottom w:val="none" w:sz="0" w:space="0" w:color="auto"/>
        <w:right w:val="none" w:sz="0" w:space="0" w:color="auto"/>
        <w:between w:val="none" w:sz="0" w:space="0" w:color="auto"/>
        <w:bar w:val="none" w:sz="0" w:color="auto"/>
      </w:pBdr>
      <w:snapToGrid w:val="0"/>
      <w:ind w:left="720"/>
      <w:jc w:val="both"/>
    </w:pPr>
    <w:rPr>
      <w:bdr w:val="none" w:sz="0" w:space="0" w:color="auto"/>
      <w:lang w:val="en-AU"/>
    </w:rPr>
  </w:style>
  <w:style w:type="paragraph" w:customStyle="1" w:styleId="NoParagraphStyle">
    <w:name w:val="[No Paragraph Style]"/>
    <w:rsid w:val="00D361C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textAlignment w:val="center"/>
    </w:pPr>
    <w:rPr>
      <w:rFonts w:ascii="MinionPro-Regular" w:eastAsiaTheme="minorEastAsia" w:hAnsi="MinionPro-Regular" w:cs="MinionPro-Regular"/>
      <w:color w:val="000000"/>
      <w:sz w:val="24"/>
      <w:szCs w:val="24"/>
      <w:bdr w:val="none" w:sz="0" w:space="0" w:color="auto"/>
      <w:lang w:val="en-GB" w:eastAsia="ja-JP"/>
    </w:rPr>
  </w:style>
  <w:style w:type="paragraph" w:customStyle="1" w:styleId="Chapter3Questions">
    <w:name w:val="Chapter 3 Questions"/>
    <w:basedOn w:val="Normal"/>
    <w:rsid w:val="00A410F3"/>
    <w:pPr>
      <w:numPr>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60" w:after="60"/>
      <w:ind w:left="720" w:firstLine="0"/>
      <w:contextualSpacing/>
    </w:pPr>
    <w:rPr>
      <w:rFonts w:ascii="Arial" w:eastAsiaTheme="minorHAnsi" w:hAnsi="Arial" w:cs="Arial"/>
      <w:sz w:val="22"/>
      <w:szCs w:val="22"/>
      <w:bdr w:val="none" w:sz="0" w:space="0" w:color="auto"/>
      <w:lang w:val="en-AU"/>
    </w:rPr>
  </w:style>
  <w:style w:type="character" w:customStyle="1" w:styleId="HeaderChar">
    <w:name w:val="Header Char"/>
    <w:basedOn w:val="DefaultParagraphFont"/>
    <w:link w:val="Header"/>
    <w:rsid w:val="00962BFA"/>
    <w:rPr>
      <w:rFonts w:eastAsia="Times New Roman"/>
      <w:color w:val="000000"/>
      <w:sz w:val="24"/>
      <w:szCs w:val="24"/>
      <w:u w:color="000000"/>
      <w:lang w:val="en-US"/>
    </w:rPr>
  </w:style>
  <w:style w:type="paragraph" w:customStyle="1" w:styleId="ListBullet31">
    <w:name w:val="List Bullet 31"/>
    <w:basedOn w:val="ListBullet2"/>
    <w:qFormat/>
    <w:rsid w:val="000660A2"/>
    <w:pPr>
      <w:widowControl w:val="0"/>
      <w:numPr>
        <w:numId w:val="27"/>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line="220" w:lineRule="exact"/>
      <w:ind w:left="1037" w:hanging="357"/>
      <w:contextualSpacing w:val="0"/>
    </w:pPr>
    <w:rPr>
      <w:rFonts w:eastAsia="Times New Roman"/>
      <w:color w:val="000000"/>
      <w:sz w:val="22"/>
      <w:szCs w:val="16"/>
      <w:bdr w:val="none" w:sz="0" w:space="0" w:color="auto"/>
      <w:lang w:val="x-none" w:eastAsia="x-none"/>
    </w:rPr>
  </w:style>
  <w:style w:type="paragraph" w:styleId="ListBullet2">
    <w:name w:val="List Bullet 2"/>
    <w:basedOn w:val="Normal"/>
    <w:uiPriority w:val="99"/>
    <w:semiHidden/>
    <w:unhideWhenUsed/>
    <w:rsid w:val="000660A2"/>
    <w:pPr>
      <w:numPr>
        <w:numId w:val="26"/>
      </w:numPr>
      <w:contextualSpacing/>
    </w:pPr>
  </w:style>
  <w:style w:type="paragraph" w:customStyle="1" w:styleId="level2">
    <w:name w:val="level2"/>
    <w:basedOn w:val="Normal"/>
    <w:rsid w:val="00CB0065"/>
    <w:pPr>
      <w:pBdr>
        <w:top w:val="none" w:sz="0" w:space="0" w:color="auto"/>
        <w:left w:val="none" w:sz="0" w:space="0" w:color="auto"/>
        <w:bottom w:val="none" w:sz="0" w:space="0" w:color="auto"/>
        <w:right w:val="none" w:sz="0" w:space="0" w:color="auto"/>
        <w:between w:val="none" w:sz="0" w:space="0" w:color="auto"/>
        <w:bar w:val="none" w:sz="0" w:color="auto"/>
      </w:pBdr>
      <w:spacing w:before="240" w:after="180"/>
      <w:ind w:left="240"/>
    </w:pPr>
    <w:rPr>
      <w:rFonts w:eastAsia="Times New Roman"/>
      <w:bdr w:val="none" w:sz="0" w:space="0" w:color="auto"/>
      <w:lang w:val="en-AU" w:eastAsia="en-AU"/>
    </w:rPr>
  </w:style>
  <w:style w:type="paragraph" w:customStyle="1" w:styleId="block1">
    <w:name w:val="block1"/>
    <w:basedOn w:val="Normal"/>
    <w:rsid w:val="00CB0065"/>
    <w:pPr>
      <w:pBdr>
        <w:top w:val="none" w:sz="0" w:space="0" w:color="auto"/>
        <w:left w:val="none" w:sz="0" w:space="0" w:color="auto"/>
        <w:bottom w:val="none" w:sz="0" w:space="0" w:color="auto"/>
        <w:right w:val="none" w:sz="0" w:space="0" w:color="auto"/>
        <w:between w:val="none" w:sz="0" w:space="0" w:color="auto"/>
        <w:bar w:val="none" w:sz="0" w:color="auto"/>
      </w:pBdr>
      <w:spacing w:before="240" w:after="180"/>
      <w:ind w:left="840"/>
    </w:pPr>
    <w:rPr>
      <w:rFonts w:eastAsia="Times New Roman"/>
      <w:bdr w:val="none" w:sz="0" w:space="0" w:color="auto"/>
      <w:lang w:val="en-AU" w:eastAsia="en-AU"/>
    </w:rPr>
  </w:style>
  <w:style w:type="character" w:styleId="Strong">
    <w:name w:val="Strong"/>
    <w:basedOn w:val="DefaultParagraphFont"/>
    <w:uiPriority w:val="22"/>
    <w:qFormat/>
    <w:rsid w:val="00A61E90"/>
    <w:rPr>
      <w:b/>
      <w:bCs/>
    </w:rPr>
  </w:style>
  <w:style w:type="character" w:customStyle="1" w:styleId="hit">
    <w:name w:val="hit"/>
    <w:basedOn w:val="DefaultParagraphFont"/>
    <w:rsid w:val="00CD4264"/>
  </w:style>
  <w:style w:type="character" w:customStyle="1" w:styleId="Heading5Char">
    <w:name w:val="Heading 5 Char"/>
    <w:basedOn w:val="DefaultParagraphFont"/>
    <w:link w:val="Heading5"/>
    <w:uiPriority w:val="9"/>
    <w:semiHidden/>
    <w:rsid w:val="00F651D2"/>
    <w:rPr>
      <w:rFonts w:asciiTheme="majorHAnsi" w:eastAsiaTheme="majorEastAsia" w:hAnsiTheme="majorHAnsi" w:cstheme="majorBidi"/>
      <w:color w:val="243F60" w:themeColor="accent1" w:themeShade="7F"/>
      <w:sz w:val="22"/>
      <w:szCs w:val="22"/>
      <w:bdr w:val="none" w:sz="0" w:space="0" w:color="auto"/>
    </w:rPr>
  </w:style>
  <w:style w:type="paragraph" w:customStyle="1" w:styleId="RecTitle">
    <w:name w:val="Rec Title"/>
    <w:basedOn w:val="BodyText"/>
    <w:next w:val="Rec"/>
    <w:qFormat/>
    <w:rsid w:val="00742904"/>
    <w:pPr>
      <w:keepNext/>
      <w:keepLines/>
      <w:spacing w:before="240" w:after="0" w:line="280" w:lineRule="atLeast"/>
      <w:jc w:val="both"/>
    </w:pPr>
    <w:rPr>
      <w:rFonts w:ascii="Arial" w:hAnsi="Arial"/>
      <w:caps/>
      <w:sz w:val="18"/>
      <w:szCs w:val="20"/>
      <w:lang w:val="en-AU" w:eastAsia="en-AU"/>
    </w:rPr>
  </w:style>
  <w:style w:type="paragraph" w:customStyle="1" w:styleId="Rec">
    <w:name w:val="Rec"/>
    <w:basedOn w:val="BodyText"/>
    <w:qFormat/>
    <w:rsid w:val="00742904"/>
    <w:pPr>
      <w:keepLines/>
      <w:spacing w:before="120" w:after="0" w:line="280" w:lineRule="atLeast"/>
      <w:jc w:val="both"/>
    </w:pPr>
    <w:rPr>
      <w:rFonts w:ascii="Arial" w:hAnsi="Arial"/>
      <w:sz w:val="22"/>
      <w:szCs w:val="20"/>
      <w:lang w:val="en-AU" w:eastAsia="en-AU"/>
    </w:rPr>
  </w:style>
  <w:style w:type="paragraph" w:customStyle="1" w:styleId="BoxSpaceBelow">
    <w:name w:val="Box Space Below"/>
    <w:basedOn w:val="Normal"/>
    <w:rsid w:val="00742904"/>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80" w:lineRule="exact"/>
      <w:jc w:val="both"/>
    </w:pPr>
    <w:rPr>
      <w:rFonts w:ascii="Arial" w:eastAsia="Times New Roman" w:hAnsi="Arial"/>
      <w:sz w:val="14"/>
      <w:szCs w:val="20"/>
      <w:bdr w:val="none" w:sz="0" w:space="0" w:color="auto"/>
      <w:lang w:val="en-AU" w:eastAsia="en-AU"/>
    </w:rPr>
  </w:style>
  <w:style w:type="paragraph" w:customStyle="1" w:styleId="Space">
    <w:name w:val="Space"/>
    <w:basedOn w:val="Normal"/>
    <w:rsid w:val="00742904"/>
    <w:pPr>
      <w:keepNext/>
      <w:pBdr>
        <w:top w:val="none" w:sz="0" w:space="0" w:color="auto"/>
        <w:left w:val="none" w:sz="0" w:space="0" w:color="auto"/>
        <w:bottom w:val="none" w:sz="0" w:space="0" w:color="auto"/>
        <w:right w:val="none" w:sz="0" w:space="0" w:color="auto"/>
        <w:between w:val="none" w:sz="0" w:space="0" w:color="auto"/>
        <w:bar w:val="none" w:sz="0" w:color="auto"/>
      </w:pBdr>
      <w:spacing w:line="120" w:lineRule="exact"/>
      <w:jc w:val="both"/>
    </w:pPr>
    <w:rPr>
      <w:rFonts w:ascii="Arial" w:eastAsia="Times New Roman" w:hAnsi="Arial"/>
      <w:sz w:val="20"/>
      <w:szCs w:val="20"/>
      <w:bdr w:val="none" w:sz="0" w:space="0" w:color="auto"/>
      <w:lang w:val="en-AU" w:eastAsia="en-AU"/>
    </w:rPr>
  </w:style>
  <w:style w:type="paragraph" w:customStyle="1" w:styleId="BoxSpaceAboveElement">
    <w:name w:val="Box Space Above Element"/>
    <w:basedOn w:val="Normal"/>
    <w:link w:val="BoxSpaceAboveElementChar"/>
    <w:qFormat/>
    <w:rsid w:val="0074290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line="80" w:lineRule="exact"/>
    </w:pPr>
    <w:rPr>
      <w:rFonts w:eastAsia="Times New Roman"/>
      <w:b/>
      <w:vanish/>
      <w:color w:val="FF00FF"/>
      <w:sz w:val="14"/>
      <w:szCs w:val="20"/>
      <w:bdr w:val="none" w:sz="0" w:space="0" w:color="auto"/>
      <w:lang w:val="en-AU" w:eastAsia="en-AU"/>
    </w:rPr>
  </w:style>
  <w:style w:type="character" w:customStyle="1" w:styleId="BoxSpaceAboveElementChar">
    <w:name w:val="Box Space Above Element Char"/>
    <w:basedOn w:val="DefaultParagraphFont"/>
    <w:link w:val="BoxSpaceAboveElement"/>
    <w:rsid w:val="00742904"/>
    <w:rPr>
      <w:rFonts w:eastAsia="Times New Roman"/>
      <w:b/>
      <w:vanish/>
      <w:color w:val="FF00FF"/>
      <w:sz w:val="14"/>
      <w:bdr w:val="none" w:sz="0" w:space="0" w:color="auto"/>
    </w:rPr>
  </w:style>
  <w:style w:type="paragraph" w:styleId="ListBullet">
    <w:name w:val="List Bullet"/>
    <w:basedOn w:val="Normal"/>
    <w:uiPriority w:val="99"/>
    <w:semiHidden/>
    <w:unhideWhenUsed/>
    <w:rsid w:val="00742904"/>
    <w:pPr>
      <w:numPr>
        <w:numId w:val="28"/>
      </w:numPr>
      <w:contextualSpacing/>
    </w:pPr>
  </w:style>
  <w:style w:type="paragraph" w:customStyle="1" w:styleId="BoxListBullet2">
    <w:name w:val="Box List Bullet 2"/>
    <w:basedOn w:val="Normal"/>
    <w:rsid w:val="00742904"/>
    <w:pPr>
      <w:keepNext/>
      <w:numPr>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100" w:line="260" w:lineRule="atLeast"/>
      <w:ind w:left="568" w:hanging="284"/>
      <w:jc w:val="both"/>
    </w:pPr>
    <w:rPr>
      <w:rFonts w:ascii="Arial" w:eastAsia="Times New Roman" w:hAnsi="Arial"/>
      <w:sz w:val="20"/>
      <w:szCs w:val="20"/>
      <w:bdr w:val="none" w:sz="0" w:space="0" w:color="auto"/>
      <w:lang w:val="en-AU" w:eastAsia="en-AU"/>
    </w:rPr>
  </w:style>
  <w:style w:type="paragraph" w:styleId="TableofFigures">
    <w:name w:val="table of figures"/>
    <w:basedOn w:val="TOC3"/>
    <w:next w:val="BodyText"/>
    <w:semiHidden/>
    <w:rsid w:val="00742904"/>
    <w:pPr>
      <w:pBdr>
        <w:top w:val="none" w:sz="0" w:space="0" w:color="auto"/>
        <w:left w:val="none" w:sz="0" w:space="0" w:color="auto"/>
        <w:bottom w:val="none" w:sz="0" w:space="0" w:color="auto"/>
        <w:right w:val="none" w:sz="0" w:space="0" w:color="auto"/>
        <w:between w:val="none" w:sz="0" w:space="0" w:color="auto"/>
        <w:bar w:val="none" w:sz="0" w:color="auto"/>
      </w:pBdr>
      <w:tabs>
        <w:tab w:val="clear" w:pos="9072"/>
        <w:tab w:val="right" w:pos="8789"/>
      </w:tabs>
      <w:spacing w:before="60" w:after="0" w:line="320" w:lineRule="exact"/>
      <w:ind w:left="737" w:right="851" w:hanging="737"/>
      <w:jc w:val="left"/>
    </w:pPr>
    <w:rPr>
      <w:rFonts w:ascii="Arial" w:hAnsi="Arial"/>
      <w:color w:val="auto"/>
      <w:sz w:val="26"/>
      <w:szCs w:val="26"/>
      <w:bdr w:val="none" w:sz="0" w:space="0" w:color="auto"/>
      <w:lang w:val="en-AU" w:eastAsia="en-US"/>
    </w:rPr>
  </w:style>
  <w:style w:type="paragraph" w:customStyle="1" w:styleId="InformationRequest">
    <w:name w:val="Information Request"/>
    <w:basedOn w:val="Normal"/>
    <w:next w:val="BodyText"/>
    <w:rsid w:val="00742904"/>
    <w:pPr>
      <w:keepLines/>
      <w:pBdr>
        <w:top w:val="none" w:sz="0" w:space="0" w:color="auto"/>
        <w:left w:val="none" w:sz="0" w:space="0" w:color="auto"/>
        <w:bottom w:val="none" w:sz="0" w:space="0" w:color="auto"/>
        <w:right w:val="none" w:sz="0" w:space="0" w:color="auto"/>
        <w:between w:val="none" w:sz="0" w:space="0" w:color="auto"/>
        <w:bar w:val="none" w:sz="0" w:color="auto"/>
      </w:pBdr>
      <w:spacing w:before="120" w:line="280" w:lineRule="atLeast"/>
      <w:jc w:val="both"/>
    </w:pPr>
    <w:rPr>
      <w:rFonts w:ascii="Arial" w:eastAsia="Times New Roman" w:hAnsi="Arial"/>
      <w:i/>
      <w:sz w:val="22"/>
      <w:szCs w:val="20"/>
      <w:bdr w:val="none" w:sz="0" w:space="0" w:color="auto"/>
      <w:lang w:val="en-AU" w:eastAsia="en-AU"/>
    </w:rPr>
  </w:style>
  <w:style w:type="paragraph" w:customStyle="1" w:styleId="InformationRequestTitle">
    <w:name w:val="Information Request Title"/>
    <w:basedOn w:val="Normal"/>
    <w:next w:val="InformationRequest"/>
    <w:rsid w:val="0074290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line="280" w:lineRule="atLeast"/>
      <w:jc w:val="both"/>
    </w:pPr>
    <w:rPr>
      <w:rFonts w:ascii="Arial" w:eastAsia="Times New Roman" w:hAnsi="Arial"/>
      <w:i/>
      <w:caps/>
      <w:sz w:val="18"/>
      <w:szCs w:val="20"/>
      <w:bdr w:val="none" w:sz="0" w:space="0" w:color="auto"/>
      <w:lang w:val="en-AU" w:eastAsia="en-AU"/>
    </w:rPr>
  </w:style>
  <w:style w:type="character" w:customStyle="1" w:styleId="EmailStyle133">
    <w:name w:val="EmailStyle133"/>
    <w:basedOn w:val="DefaultParagraphFont"/>
    <w:semiHidden/>
    <w:rsid w:val="00A70BF7"/>
    <w:rPr>
      <w:rFonts w:ascii="Arial" w:hAnsi="Arial" w:cs="Arial"/>
      <w:color w:val="000080"/>
      <w:sz w:val="20"/>
      <w:szCs w:val="20"/>
    </w:rPr>
  </w:style>
  <w:style w:type="paragraph" w:customStyle="1" w:styleId="Box">
    <w:name w:val="Box"/>
    <w:basedOn w:val="BodyText"/>
    <w:link w:val="BoxChar"/>
    <w:qFormat/>
    <w:rsid w:val="00115D3B"/>
    <w:pPr>
      <w:keepNext/>
      <w:spacing w:before="120" w:after="0" w:line="260" w:lineRule="atLeast"/>
      <w:jc w:val="both"/>
    </w:pPr>
    <w:rPr>
      <w:rFonts w:ascii="Arial" w:hAnsi="Arial"/>
      <w:sz w:val="20"/>
      <w:szCs w:val="20"/>
      <w:lang w:val="en-AU" w:eastAsia="en-AU"/>
    </w:rPr>
  </w:style>
  <w:style w:type="paragraph" w:customStyle="1" w:styleId="BoxSource">
    <w:name w:val="Box Source"/>
    <w:basedOn w:val="Normal"/>
    <w:next w:val="BodyText"/>
    <w:rsid w:val="00115D3B"/>
    <w:pPr>
      <w:keepLines/>
      <w:pBdr>
        <w:top w:val="none" w:sz="0" w:space="0" w:color="auto"/>
        <w:left w:val="none" w:sz="0" w:space="0" w:color="auto"/>
        <w:bottom w:val="none" w:sz="0" w:space="0" w:color="auto"/>
        <w:right w:val="none" w:sz="0" w:space="0" w:color="auto"/>
        <w:between w:val="none" w:sz="0" w:space="0" w:color="auto"/>
        <w:bar w:val="none" w:sz="0" w:color="auto"/>
      </w:pBdr>
      <w:spacing w:before="120" w:line="220" w:lineRule="exact"/>
      <w:jc w:val="both"/>
    </w:pPr>
    <w:rPr>
      <w:rFonts w:ascii="Arial" w:eastAsia="Times New Roman" w:hAnsi="Arial"/>
      <w:sz w:val="18"/>
      <w:szCs w:val="20"/>
      <w:bdr w:val="none" w:sz="0" w:space="0" w:color="auto"/>
      <w:lang w:val="en-AU" w:eastAsia="en-AU"/>
    </w:rPr>
  </w:style>
  <w:style w:type="paragraph" w:customStyle="1" w:styleId="BoxSpaceAbove">
    <w:name w:val="Box Space Above"/>
    <w:basedOn w:val="BodyText"/>
    <w:rsid w:val="00115D3B"/>
    <w:pPr>
      <w:keepNext/>
      <w:spacing w:before="360" w:after="0" w:line="80" w:lineRule="exact"/>
    </w:pPr>
    <w:rPr>
      <w:szCs w:val="20"/>
      <w:lang w:val="en-AU" w:eastAsia="en-AU"/>
    </w:rPr>
  </w:style>
  <w:style w:type="paragraph" w:customStyle="1" w:styleId="BoxTitle">
    <w:name w:val="Box Title"/>
    <w:basedOn w:val="Caption"/>
    <w:next w:val="Normal"/>
    <w:rsid w:val="00115D3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20" w:after="0" w:line="280" w:lineRule="exact"/>
      <w:ind w:left="1474" w:hanging="1474"/>
    </w:pPr>
    <w:rPr>
      <w:rFonts w:ascii="Arial" w:eastAsia="Times New Roman" w:hAnsi="Arial"/>
      <w:bCs w:val="0"/>
      <w:color w:val="auto"/>
      <w:sz w:val="24"/>
      <w:szCs w:val="24"/>
      <w:bdr w:val="none" w:sz="0" w:space="0" w:color="auto"/>
      <w:lang w:val="en-AU" w:eastAsia="en-AU"/>
    </w:rPr>
  </w:style>
  <w:style w:type="character" w:customStyle="1" w:styleId="BoxChar">
    <w:name w:val="Box Char"/>
    <w:link w:val="Box"/>
    <w:locked/>
    <w:rsid w:val="00115D3B"/>
    <w:rPr>
      <w:rFonts w:ascii="Arial" w:eastAsia="Times New Roman" w:hAnsi="Arial"/>
      <w:bdr w:val="none" w:sz="0" w:space="0" w:color="auto"/>
    </w:rPr>
  </w:style>
  <w:style w:type="paragraph" w:styleId="Caption">
    <w:name w:val="caption"/>
    <w:basedOn w:val="Normal"/>
    <w:next w:val="Normal"/>
    <w:uiPriority w:val="35"/>
    <w:semiHidden/>
    <w:unhideWhenUsed/>
    <w:qFormat/>
    <w:rsid w:val="00115D3B"/>
    <w:pPr>
      <w:spacing w:after="200"/>
    </w:pPr>
    <w:rPr>
      <w:b/>
      <w:bCs/>
      <w:color w:val="4F81BD" w:themeColor="accent1"/>
      <w:sz w:val="18"/>
      <w:szCs w:val="18"/>
    </w:rPr>
  </w:style>
  <w:style w:type="paragraph" w:customStyle="1" w:styleId="head1ceo">
    <w:name w:val="head 1_ceo"/>
    <w:basedOn w:val="Default"/>
    <w:autoRedefine/>
    <w:uiPriority w:val="99"/>
    <w:rsid w:val="00152A8B"/>
    <w:pPr>
      <w:keepNext/>
      <w:keepLines/>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after="240"/>
      <w:ind w:right="113"/>
      <w:jc w:val="both"/>
    </w:pPr>
    <w:rPr>
      <w:rFonts w:ascii="Helvetica" w:eastAsia="Times New Roman" w:hAnsi="Helvetica" w:cs="Helvetica"/>
      <w:bCs/>
      <w:color w:val="E36C0A" w:themeColor="accent6" w:themeShade="BF"/>
      <w:spacing w:val="-4"/>
      <w:sz w:val="56"/>
      <w:szCs w:val="50"/>
      <w:bdr w:val="none" w:sz="0" w:space="0" w:color="auto"/>
      <w:lang w:val="en-AU" w:eastAsia="en-US"/>
    </w:rPr>
  </w:style>
  <w:style w:type="paragraph" w:customStyle="1" w:styleId="subhead3ceo">
    <w:name w:val="sub head 3_ceo"/>
    <w:autoRedefine/>
    <w:uiPriority w:val="99"/>
    <w:rsid w:val="00152A8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pPr>
    <w:rPr>
      <w:rFonts w:ascii="Helvetica" w:eastAsia="Times New Roman" w:hAnsi="Helvetica" w:cs="Helvetica"/>
      <w:b/>
      <w:bCs/>
      <w:sz w:val="18"/>
      <w:szCs w:val="18"/>
      <w:bdr w:val="none" w:sz="0" w:space="0" w:color="auto"/>
      <w:lang w:val="en-US" w:eastAsia="en-US"/>
    </w:rPr>
  </w:style>
  <w:style w:type="character" w:styleId="FollowedHyperlink">
    <w:name w:val="FollowedHyperlink"/>
    <w:basedOn w:val="DefaultParagraphFont"/>
    <w:uiPriority w:val="99"/>
    <w:semiHidden/>
    <w:unhideWhenUsed/>
    <w:rsid w:val="00C400F0"/>
    <w:rPr>
      <w:color w:val="800080" w:themeColor="followedHyperlink"/>
      <w:u w:val="single"/>
    </w:rPr>
  </w:style>
  <w:style w:type="paragraph" w:customStyle="1" w:styleId="00395b24">
    <w:name w:val="00395b24"/>
    <w:basedOn w:val="Normal"/>
    <w:rsid w:val="00AB34F1"/>
    <w:pPr>
      <w:pBdr>
        <w:top w:val="none" w:sz="0" w:space="0" w:color="auto"/>
        <w:left w:val="none" w:sz="0" w:space="0" w:color="auto"/>
        <w:bottom w:val="none" w:sz="0" w:space="0" w:color="auto"/>
        <w:right w:val="none" w:sz="0" w:space="0" w:color="auto"/>
        <w:between w:val="none" w:sz="0" w:space="0" w:color="auto"/>
        <w:bar w:val="none" w:sz="0" w:color="auto"/>
      </w:pBdr>
      <w:spacing w:after="300"/>
    </w:pPr>
    <w:rPr>
      <w:rFonts w:ascii="Arial" w:eastAsia="Times New Roman" w:hAnsi="Arial" w:cs="Arial"/>
      <w:bdr w:val="none" w:sz="0" w:space="0" w:color="auto"/>
      <w:lang w:val="en-AU" w:eastAsia="en-AU"/>
    </w:rPr>
  </w:style>
  <w:style w:type="paragraph" w:customStyle="1" w:styleId="thomson-article">
    <w:name w:val="thomson-article"/>
    <w:basedOn w:val="Normal"/>
    <w:rsid w:val="00AB34F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24" w:lineRule="auto"/>
    </w:pPr>
    <w:rPr>
      <w:rFonts w:ascii="Arial" w:eastAsiaTheme="minorHAnsi" w:hAnsi="Arial" w:cs="Arial"/>
      <w:color w:val="666666"/>
      <w:sz w:val="18"/>
      <w:szCs w:val="18"/>
      <w:bdr w:val="none" w:sz="0" w:space="0" w:color="auto"/>
      <w:lang w:val="en-AU" w:eastAsia="en-AU"/>
    </w:rPr>
  </w:style>
  <w:style w:type="paragraph" w:customStyle="1" w:styleId="subsectionhead0">
    <w:name w:val="subsectionhead"/>
    <w:basedOn w:val="Normal"/>
    <w:rsid w:val="00AB34F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AU" w:eastAsia="en-AU"/>
    </w:rPr>
  </w:style>
  <w:style w:type="paragraph" w:customStyle="1" w:styleId="FWANormal">
    <w:name w:val="FWA Normal"/>
    <w:basedOn w:val="Normal"/>
    <w:link w:val="FWANormalChar"/>
    <w:rsid w:val="00AA29F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style>
  <w:style w:type="character" w:customStyle="1" w:styleId="FWANormalChar">
    <w:name w:val="FWA Normal Char"/>
    <w:basedOn w:val="DefaultParagraphFont"/>
    <w:link w:val="FWANormal"/>
    <w:rsid w:val="00AA29FE"/>
    <w:rPr>
      <w:rFonts w:eastAsia="Times New Roman"/>
      <w:sz w:val="24"/>
      <w:szCs w:val="24"/>
      <w:bdr w:val="none" w:sz="0" w:space="0" w:color="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2259">
      <w:bodyDiv w:val="1"/>
      <w:marLeft w:val="0"/>
      <w:marRight w:val="0"/>
      <w:marTop w:val="0"/>
      <w:marBottom w:val="0"/>
      <w:divBdr>
        <w:top w:val="none" w:sz="0" w:space="0" w:color="auto"/>
        <w:left w:val="none" w:sz="0" w:space="0" w:color="auto"/>
        <w:bottom w:val="none" w:sz="0" w:space="0" w:color="auto"/>
        <w:right w:val="none" w:sz="0" w:space="0" w:color="auto"/>
      </w:divBdr>
    </w:div>
    <w:div w:id="42994038">
      <w:bodyDiv w:val="1"/>
      <w:marLeft w:val="0"/>
      <w:marRight w:val="0"/>
      <w:marTop w:val="0"/>
      <w:marBottom w:val="0"/>
      <w:divBdr>
        <w:top w:val="none" w:sz="0" w:space="0" w:color="auto"/>
        <w:left w:val="none" w:sz="0" w:space="0" w:color="auto"/>
        <w:bottom w:val="none" w:sz="0" w:space="0" w:color="auto"/>
        <w:right w:val="none" w:sz="0" w:space="0" w:color="auto"/>
      </w:divBdr>
    </w:div>
    <w:div w:id="100496413">
      <w:bodyDiv w:val="1"/>
      <w:marLeft w:val="0"/>
      <w:marRight w:val="0"/>
      <w:marTop w:val="0"/>
      <w:marBottom w:val="0"/>
      <w:divBdr>
        <w:top w:val="none" w:sz="0" w:space="0" w:color="auto"/>
        <w:left w:val="none" w:sz="0" w:space="0" w:color="auto"/>
        <w:bottom w:val="none" w:sz="0" w:space="0" w:color="auto"/>
        <w:right w:val="none" w:sz="0" w:space="0" w:color="auto"/>
      </w:divBdr>
    </w:div>
    <w:div w:id="107238693">
      <w:bodyDiv w:val="1"/>
      <w:marLeft w:val="240"/>
      <w:marRight w:val="240"/>
      <w:marTop w:val="240"/>
      <w:marBottom w:val="240"/>
      <w:divBdr>
        <w:top w:val="none" w:sz="0" w:space="0" w:color="auto"/>
        <w:left w:val="none" w:sz="0" w:space="0" w:color="auto"/>
        <w:bottom w:val="none" w:sz="0" w:space="0" w:color="auto"/>
        <w:right w:val="none" w:sz="0" w:space="0" w:color="auto"/>
      </w:divBdr>
      <w:divsChild>
        <w:div w:id="1030303671">
          <w:marLeft w:val="0"/>
          <w:marRight w:val="0"/>
          <w:marTop w:val="0"/>
          <w:marBottom w:val="0"/>
          <w:divBdr>
            <w:top w:val="none" w:sz="0" w:space="0" w:color="auto"/>
            <w:left w:val="none" w:sz="0" w:space="0" w:color="auto"/>
            <w:bottom w:val="none" w:sz="0" w:space="0" w:color="auto"/>
            <w:right w:val="none" w:sz="0" w:space="0" w:color="auto"/>
          </w:divBdr>
          <w:divsChild>
            <w:div w:id="2113933525">
              <w:marLeft w:val="0"/>
              <w:marRight w:val="0"/>
              <w:marTop w:val="0"/>
              <w:marBottom w:val="0"/>
              <w:divBdr>
                <w:top w:val="none" w:sz="0" w:space="0" w:color="auto"/>
                <w:left w:val="none" w:sz="0" w:space="0" w:color="auto"/>
                <w:bottom w:val="none" w:sz="0" w:space="0" w:color="auto"/>
                <w:right w:val="none" w:sz="0" w:space="0" w:color="auto"/>
              </w:divBdr>
              <w:divsChild>
                <w:div w:id="2015112829">
                  <w:marLeft w:val="0"/>
                  <w:marRight w:val="0"/>
                  <w:marTop w:val="0"/>
                  <w:marBottom w:val="0"/>
                  <w:divBdr>
                    <w:top w:val="none" w:sz="0" w:space="0" w:color="auto"/>
                    <w:left w:val="none" w:sz="0" w:space="0" w:color="auto"/>
                    <w:bottom w:val="none" w:sz="0" w:space="0" w:color="auto"/>
                    <w:right w:val="none" w:sz="0" w:space="0" w:color="auto"/>
                  </w:divBdr>
                  <w:divsChild>
                    <w:div w:id="424423704">
                      <w:marLeft w:val="0"/>
                      <w:marRight w:val="0"/>
                      <w:marTop w:val="0"/>
                      <w:marBottom w:val="0"/>
                      <w:divBdr>
                        <w:top w:val="none" w:sz="0" w:space="0" w:color="auto"/>
                        <w:left w:val="none" w:sz="0" w:space="0" w:color="auto"/>
                        <w:bottom w:val="none" w:sz="0" w:space="0" w:color="auto"/>
                        <w:right w:val="none" w:sz="0" w:space="0" w:color="auto"/>
                      </w:divBdr>
                    </w:div>
                    <w:div w:id="2115830053">
                      <w:marLeft w:val="0"/>
                      <w:marRight w:val="0"/>
                      <w:marTop w:val="0"/>
                      <w:marBottom w:val="0"/>
                      <w:divBdr>
                        <w:top w:val="none" w:sz="0" w:space="0" w:color="auto"/>
                        <w:left w:val="none" w:sz="0" w:space="0" w:color="auto"/>
                        <w:bottom w:val="none" w:sz="0" w:space="0" w:color="auto"/>
                        <w:right w:val="none" w:sz="0" w:space="0" w:color="auto"/>
                      </w:divBdr>
                      <w:divsChild>
                        <w:div w:id="718748049">
                          <w:marLeft w:val="0"/>
                          <w:marRight w:val="0"/>
                          <w:marTop w:val="0"/>
                          <w:marBottom w:val="0"/>
                          <w:divBdr>
                            <w:top w:val="none" w:sz="0" w:space="0" w:color="auto"/>
                            <w:left w:val="none" w:sz="0" w:space="0" w:color="auto"/>
                            <w:bottom w:val="none" w:sz="0" w:space="0" w:color="auto"/>
                            <w:right w:val="none" w:sz="0" w:space="0" w:color="auto"/>
                          </w:divBdr>
                          <w:divsChild>
                            <w:div w:id="1592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41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18612">
      <w:bodyDiv w:val="1"/>
      <w:marLeft w:val="0"/>
      <w:marRight w:val="0"/>
      <w:marTop w:val="0"/>
      <w:marBottom w:val="0"/>
      <w:divBdr>
        <w:top w:val="none" w:sz="0" w:space="0" w:color="auto"/>
        <w:left w:val="none" w:sz="0" w:space="0" w:color="auto"/>
        <w:bottom w:val="none" w:sz="0" w:space="0" w:color="auto"/>
        <w:right w:val="none" w:sz="0" w:space="0" w:color="auto"/>
      </w:divBdr>
    </w:div>
    <w:div w:id="244193663">
      <w:bodyDiv w:val="1"/>
      <w:marLeft w:val="0"/>
      <w:marRight w:val="0"/>
      <w:marTop w:val="0"/>
      <w:marBottom w:val="0"/>
      <w:divBdr>
        <w:top w:val="none" w:sz="0" w:space="0" w:color="auto"/>
        <w:left w:val="none" w:sz="0" w:space="0" w:color="auto"/>
        <w:bottom w:val="none" w:sz="0" w:space="0" w:color="auto"/>
        <w:right w:val="none" w:sz="0" w:space="0" w:color="auto"/>
      </w:divBdr>
      <w:divsChild>
        <w:div w:id="296688477">
          <w:marLeft w:val="806"/>
          <w:marRight w:val="0"/>
          <w:marTop w:val="96"/>
          <w:marBottom w:val="120"/>
          <w:divBdr>
            <w:top w:val="none" w:sz="0" w:space="0" w:color="auto"/>
            <w:left w:val="none" w:sz="0" w:space="0" w:color="auto"/>
            <w:bottom w:val="none" w:sz="0" w:space="0" w:color="auto"/>
            <w:right w:val="none" w:sz="0" w:space="0" w:color="auto"/>
          </w:divBdr>
        </w:div>
        <w:div w:id="1644895308">
          <w:marLeft w:val="1699"/>
          <w:marRight w:val="0"/>
          <w:marTop w:val="82"/>
          <w:marBottom w:val="120"/>
          <w:divBdr>
            <w:top w:val="none" w:sz="0" w:space="0" w:color="auto"/>
            <w:left w:val="none" w:sz="0" w:space="0" w:color="auto"/>
            <w:bottom w:val="none" w:sz="0" w:space="0" w:color="auto"/>
            <w:right w:val="none" w:sz="0" w:space="0" w:color="auto"/>
          </w:divBdr>
        </w:div>
        <w:div w:id="1217814524">
          <w:marLeft w:val="1699"/>
          <w:marRight w:val="0"/>
          <w:marTop w:val="82"/>
          <w:marBottom w:val="120"/>
          <w:divBdr>
            <w:top w:val="none" w:sz="0" w:space="0" w:color="auto"/>
            <w:left w:val="none" w:sz="0" w:space="0" w:color="auto"/>
            <w:bottom w:val="none" w:sz="0" w:space="0" w:color="auto"/>
            <w:right w:val="none" w:sz="0" w:space="0" w:color="auto"/>
          </w:divBdr>
        </w:div>
        <w:div w:id="1992710336">
          <w:marLeft w:val="1699"/>
          <w:marRight w:val="0"/>
          <w:marTop w:val="82"/>
          <w:marBottom w:val="120"/>
          <w:divBdr>
            <w:top w:val="none" w:sz="0" w:space="0" w:color="auto"/>
            <w:left w:val="none" w:sz="0" w:space="0" w:color="auto"/>
            <w:bottom w:val="none" w:sz="0" w:space="0" w:color="auto"/>
            <w:right w:val="none" w:sz="0" w:space="0" w:color="auto"/>
          </w:divBdr>
        </w:div>
        <w:div w:id="600912778">
          <w:marLeft w:val="1699"/>
          <w:marRight w:val="0"/>
          <w:marTop w:val="82"/>
          <w:marBottom w:val="120"/>
          <w:divBdr>
            <w:top w:val="none" w:sz="0" w:space="0" w:color="auto"/>
            <w:left w:val="none" w:sz="0" w:space="0" w:color="auto"/>
            <w:bottom w:val="none" w:sz="0" w:space="0" w:color="auto"/>
            <w:right w:val="none" w:sz="0" w:space="0" w:color="auto"/>
          </w:divBdr>
        </w:div>
        <w:div w:id="1950550454">
          <w:marLeft w:val="1699"/>
          <w:marRight w:val="0"/>
          <w:marTop w:val="82"/>
          <w:marBottom w:val="120"/>
          <w:divBdr>
            <w:top w:val="none" w:sz="0" w:space="0" w:color="auto"/>
            <w:left w:val="none" w:sz="0" w:space="0" w:color="auto"/>
            <w:bottom w:val="none" w:sz="0" w:space="0" w:color="auto"/>
            <w:right w:val="none" w:sz="0" w:space="0" w:color="auto"/>
          </w:divBdr>
        </w:div>
        <w:div w:id="1501699778">
          <w:marLeft w:val="1699"/>
          <w:marRight w:val="0"/>
          <w:marTop w:val="82"/>
          <w:marBottom w:val="120"/>
          <w:divBdr>
            <w:top w:val="none" w:sz="0" w:space="0" w:color="auto"/>
            <w:left w:val="none" w:sz="0" w:space="0" w:color="auto"/>
            <w:bottom w:val="none" w:sz="0" w:space="0" w:color="auto"/>
            <w:right w:val="none" w:sz="0" w:space="0" w:color="auto"/>
          </w:divBdr>
        </w:div>
        <w:div w:id="568808164">
          <w:marLeft w:val="1699"/>
          <w:marRight w:val="0"/>
          <w:marTop w:val="82"/>
          <w:marBottom w:val="120"/>
          <w:divBdr>
            <w:top w:val="none" w:sz="0" w:space="0" w:color="auto"/>
            <w:left w:val="none" w:sz="0" w:space="0" w:color="auto"/>
            <w:bottom w:val="none" w:sz="0" w:space="0" w:color="auto"/>
            <w:right w:val="none" w:sz="0" w:space="0" w:color="auto"/>
          </w:divBdr>
        </w:div>
        <w:div w:id="1271666069">
          <w:marLeft w:val="1699"/>
          <w:marRight w:val="0"/>
          <w:marTop w:val="82"/>
          <w:marBottom w:val="120"/>
          <w:divBdr>
            <w:top w:val="none" w:sz="0" w:space="0" w:color="auto"/>
            <w:left w:val="none" w:sz="0" w:space="0" w:color="auto"/>
            <w:bottom w:val="none" w:sz="0" w:space="0" w:color="auto"/>
            <w:right w:val="none" w:sz="0" w:space="0" w:color="auto"/>
          </w:divBdr>
        </w:div>
      </w:divsChild>
    </w:div>
    <w:div w:id="315307542">
      <w:bodyDiv w:val="1"/>
      <w:marLeft w:val="0"/>
      <w:marRight w:val="0"/>
      <w:marTop w:val="0"/>
      <w:marBottom w:val="0"/>
      <w:divBdr>
        <w:top w:val="none" w:sz="0" w:space="0" w:color="auto"/>
        <w:left w:val="none" w:sz="0" w:space="0" w:color="auto"/>
        <w:bottom w:val="none" w:sz="0" w:space="0" w:color="auto"/>
        <w:right w:val="none" w:sz="0" w:space="0" w:color="auto"/>
      </w:divBdr>
      <w:divsChild>
        <w:div w:id="367341823">
          <w:marLeft w:val="1354"/>
          <w:marRight w:val="0"/>
          <w:marTop w:val="106"/>
          <w:marBottom w:val="120"/>
          <w:divBdr>
            <w:top w:val="none" w:sz="0" w:space="0" w:color="auto"/>
            <w:left w:val="none" w:sz="0" w:space="0" w:color="auto"/>
            <w:bottom w:val="none" w:sz="0" w:space="0" w:color="auto"/>
            <w:right w:val="none" w:sz="0" w:space="0" w:color="auto"/>
          </w:divBdr>
        </w:div>
        <w:div w:id="891430533">
          <w:marLeft w:val="1987"/>
          <w:marRight w:val="0"/>
          <w:marTop w:val="86"/>
          <w:marBottom w:val="120"/>
          <w:divBdr>
            <w:top w:val="none" w:sz="0" w:space="0" w:color="auto"/>
            <w:left w:val="none" w:sz="0" w:space="0" w:color="auto"/>
            <w:bottom w:val="none" w:sz="0" w:space="0" w:color="auto"/>
            <w:right w:val="none" w:sz="0" w:space="0" w:color="auto"/>
          </w:divBdr>
        </w:div>
        <w:div w:id="452604437">
          <w:marLeft w:val="1987"/>
          <w:marRight w:val="0"/>
          <w:marTop w:val="86"/>
          <w:marBottom w:val="120"/>
          <w:divBdr>
            <w:top w:val="none" w:sz="0" w:space="0" w:color="auto"/>
            <w:left w:val="none" w:sz="0" w:space="0" w:color="auto"/>
            <w:bottom w:val="none" w:sz="0" w:space="0" w:color="auto"/>
            <w:right w:val="none" w:sz="0" w:space="0" w:color="auto"/>
          </w:divBdr>
        </w:div>
        <w:div w:id="680932527">
          <w:marLeft w:val="1987"/>
          <w:marRight w:val="0"/>
          <w:marTop w:val="86"/>
          <w:marBottom w:val="120"/>
          <w:divBdr>
            <w:top w:val="none" w:sz="0" w:space="0" w:color="auto"/>
            <w:left w:val="none" w:sz="0" w:space="0" w:color="auto"/>
            <w:bottom w:val="none" w:sz="0" w:space="0" w:color="auto"/>
            <w:right w:val="none" w:sz="0" w:space="0" w:color="auto"/>
          </w:divBdr>
        </w:div>
        <w:div w:id="513304226">
          <w:marLeft w:val="1354"/>
          <w:marRight w:val="0"/>
          <w:marTop w:val="106"/>
          <w:marBottom w:val="120"/>
          <w:divBdr>
            <w:top w:val="none" w:sz="0" w:space="0" w:color="auto"/>
            <w:left w:val="none" w:sz="0" w:space="0" w:color="auto"/>
            <w:bottom w:val="none" w:sz="0" w:space="0" w:color="auto"/>
            <w:right w:val="none" w:sz="0" w:space="0" w:color="auto"/>
          </w:divBdr>
        </w:div>
        <w:div w:id="934367325">
          <w:marLeft w:val="1354"/>
          <w:marRight w:val="0"/>
          <w:marTop w:val="106"/>
          <w:marBottom w:val="120"/>
          <w:divBdr>
            <w:top w:val="none" w:sz="0" w:space="0" w:color="auto"/>
            <w:left w:val="none" w:sz="0" w:space="0" w:color="auto"/>
            <w:bottom w:val="none" w:sz="0" w:space="0" w:color="auto"/>
            <w:right w:val="none" w:sz="0" w:space="0" w:color="auto"/>
          </w:divBdr>
        </w:div>
      </w:divsChild>
    </w:div>
    <w:div w:id="388961577">
      <w:bodyDiv w:val="1"/>
      <w:marLeft w:val="0"/>
      <w:marRight w:val="0"/>
      <w:marTop w:val="0"/>
      <w:marBottom w:val="0"/>
      <w:divBdr>
        <w:top w:val="none" w:sz="0" w:space="0" w:color="auto"/>
        <w:left w:val="none" w:sz="0" w:space="0" w:color="auto"/>
        <w:bottom w:val="none" w:sz="0" w:space="0" w:color="auto"/>
        <w:right w:val="none" w:sz="0" w:space="0" w:color="auto"/>
      </w:divBdr>
      <w:divsChild>
        <w:div w:id="2015450447">
          <w:marLeft w:val="1354"/>
          <w:marRight w:val="0"/>
          <w:marTop w:val="106"/>
          <w:marBottom w:val="120"/>
          <w:divBdr>
            <w:top w:val="none" w:sz="0" w:space="0" w:color="auto"/>
            <w:left w:val="none" w:sz="0" w:space="0" w:color="auto"/>
            <w:bottom w:val="none" w:sz="0" w:space="0" w:color="auto"/>
            <w:right w:val="none" w:sz="0" w:space="0" w:color="auto"/>
          </w:divBdr>
        </w:div>
        <w:div w:id="1263806392">
          <w:marLeft w:val="1354"/>
          <w:marRight w:val="0"/>
          <w:marTop w:val="106"/>
          <w:marBottom w:val="120"/>
          <w:divBdr>
            <w:top w:val="none" w:sz="0" w:space="0" w:color="auto"/>
            <w:left w:val="none" w:sz="0" w:space="0" w:color="auto"/>
            <w:bottom w:val="none" w:sz="0" w:space="0" w:color="auto"/>
            <w:right w:val="none" w:sz="0" w:space="0" w:color="auto"/>
          </w:divBdr>
        </w:div>
        <w:div w:id="244151942">
          <w:marLeft w:val="1354"/>
          <w:marRight w:val="0"/>
          <w:marTop w:val="106"/>
          <w:marBottom w:val="120"/>
          <w:divBdr>
            <w:top w:val="none" w:sz="0" w:space="0" w:color="auto"/>
            <w:left w:val="none" w:sz="0" w:space="0" w:color="auto"/>
            <w:bottom w:val="none" w:sz="0" w:space="0" w:color="auto"/>
            <w:right w:val="none" w:sz="0" w:space="0" w:color="auto"/>
          </w:divBdr>
        </w:div>
        <w:div w:id="1762919473">
          <w:marLeft w:val="1354"/>
          <w:marRight w:val="0"/>
          <w:marTop w:val="106"/>
          <w:marBottom w:val="120"/>
          <w:divBdr>
            <w:top w:val="none" w:sz="0" w:space="0" w:color="auto"/>
            <w:left w:val="none" w:sz="0" w:space="0" w:color="auto"/>
            <w:bottom w:val="none" w:sz="0" w:space="0" w:color="auto"/>
            <w:right w:val="none" w:sz="0" w:space="0" w:color="auto"/>
          </w:divBdr>
        </w:div>
        <w:div w:id="717627696">
          <w:marLeft w:val="1354"/>
          <w:marRight w:val="0"/>
          <w:marTop w:val="106"/>
          <w:marBottom w:val="120"/>
          <w:divBdr>
            <w:top w:val="none" w:sz="0" w:space="0" w:color="auto"/>
            <w:left w:val="none" w:sz="0" w:space="0" w:color="auto"/>
            <w:bottom w:val="none" w:sz="0" w:space="0" w:color="auto"/>
            <w:right w:val="none" w:sz="0" w:space="0" w:color="auto"/>
          </w:divBdr>
        </w:div>
        <w:div w:id="1543983791">
          <w:marLeft w:val="1354"/>
          <w:marRight w:val="0"/>
          <w:marTop w:val="106"/>
          <w:marBottom w:val="120"/>
          <w:divBdr>
            <w:top w:val="none" w:sz="0" w:space="0" w:color="auto"/>
            <w:left w:val="none" w:sz="0" w:space="0" w:color="auto"/>
            <w:bottom w:val="none" w:sz="0" w:space="0" w:color="auto"/>
            <w:right w:val="none" w:sz="0" w:space="0" w:color="auto"/>
          </w:divBdr>
        </w:div>
      </w:divsChild>
    </w:div>
    <w:div w:id="409085721">
      <w:bodyDiv w:val="1"/>
      <w:marLeft w:val="0"/>
      <w:marRight w:val="0"/>
      <w:marTop w:val="0"/>
      <w:marBottom w:val="0"/>
      <w:divBdr>
        <w:top w:val="none" w:sz="0" w:space="0" w:color="auto"/>
        <w:left w:val="none" w:sz="0" w:space="0" w:color="auto"/>
        <w:bottom w:val="none" w:sz="0" w:space="0" w:color="auto"/>
        <w:right w:val="none" w:sz="0" w:space="0" w:color="auto"/>
      </w:divBdr>
    </w:div>
    <w:div w:id="497385138">
      <w:bodyDiv w:val="1"/>
      <w:marLeft w:val="0"/>
      <w:marRight w:val="0"/>
      <w:marTop w:val="0"/>
      <w:marBottom w:val="0"/>
      <w:divBdr>
        <w:top w:val="none" w:sz="0" w:space="0" w:color="auto"/>
        <w:left w:val="none" w:sz="0" w:space="0" w:color="auto"/>
        <w:bottom w:val="none" w:sz="0" w:space="0" w:color="auto"/>
        <w:right w:val="none" w:sz="0" w:space="0" w:color="auto"/>
      </w:divBdr>
    </w:div>
    <w:div w:id="570624148">
      <w:bodyDiv w:val="1"/>
      <w:marLeft w:val="0"/>
      <w:marRight w:val="0"/>
      <w:marTop w:val="0"/>
      <w:marBottom w:val="0"/>
      <w:divBdr>
        <w:top w:val="none" w:sz="0" w:space="0" w:color="auto"/>
        <w:left w:val="none" w:sz="0" w:space="0" w:color="auto"/>
        <w:bottom w:val="none" w:sz="0" w:space="0" w:color="auto"/>
        <w:right w:val="none" w:sz="0" w:space="0" w:color="auto"/>
      </w:divBdr>
    </w:div>
    <w:div w:id="605847348">
      <w:bodyDiv w:val="1"/>
      <w:marLeft w:val="0"/>
      <w:marRight w:val="0"/>
      <w:marTop w:val="0"/>
      <w:marBottom w:val="0"/>
      <w:divBdr>
        <w:top w:val="none" w:sz="0" w:space="0" w:color="auto"/>
        <w:left w:val="none" w:sz="0" w:space="0" w:color="auto"/>
        <w:bottom w:val="none" w:sz="0" w:space="0" w:color="auto"/>
        <w:right w:val="none" w:sz="0" w:space="0" w:color="auto"/>
      </w:divBdr>
    </w:div>
    <w:div w:id="606549757">
      <w:bodyDiv w:val="1"/>
      <w:marLeft w:val="0"/>
      <w:marRight w:val="0"/>
      <w:marTop w:val="0"/>
      <w:marBottom w:val="0"/>
      <w:divBdr>
        <w:top w:val="none" w:sz="0" w:space="0" w:color="auto"/>
        <w:left w:val="none" w:sz="0" w:space="0" w:color="auto"/>
        <w:bottom w:val="none" w:sz="0" w:space="0" w:color="auto"/>
        <w:right w:val="none" w:sz="0" w:space="0" w:color="auto"/>
      </w:divBdr>
    </w:div>
    <w:div w:id="637611608">
      <w:bodyDiv w:val="1"/>
      <w:marLeft w:val="0"/>
      <w:marRight w:val="0"/>
      <w:marTop w:val="0"/>
      <w:marBottom w:val="0"/>
      <w:divBdr>
        <w:top w:val="none" w:sz="0" w:space="0" w:color="auto"/>
        <w:left w:val="none" w:sz="0" w:space="0" w:color="auto"/>
        <w:bottom w:val="none" w:sz="0" w:space="0" w:color="auto"/>
        <w:right w:val="none" w:sz="0" w:space="0" w:color="auto"/>
      </w:divBdr>
    </w:div>
    <w:div w:id="643510097">
      <w:bodyDiv w:val="1"/>
      <w:marLeft w:val="0"/>
      <w:marRight w:val="0"/>
      <w:marTop w:val="0"/>
      <w:marBottom w:val="0"/>
      <w:divBdr>
        <w:top w:val="none" w:sz="0" w:space="0" w:color="auto"/>
        <w:left w:val="none" w:sz="0" w:space="0" w:color="auto"/>
        <w:bottom w:val="none" w:sz="0" w:space="0" w:color="auto"/>
        <w:right w:val="none" w:sz="0" w:space="0" w:color="auto"/>
      </w:divBdr>
    </w:div>
    <w:div w:id="648479587">
      <w:bodyDiv w:val="1"/>
      <w:marLeft w:val="0"/>
      <w:marRight w:val="0"/>
      <w:marTop w:val="0"/>
      <w:marBottom w:val="0"/>
      <w:divBdr>
        <w:top w:val="none" w:sz="0" w:space="0" w:color="auto"/>
        <w:left w:val="none" w:sz="0" w:space="0" w:color="auto"/>
        <w:bottom w:val="none" w:sz="0" w:space="0" w:color="auto"/>
        <w:right w:val="none" w:sz="0" w:space="0" w:color="auto"/>
      </w:divBdr>
      <w:divsChild>
        <w:div w:id="635113247">
          <w:marLeft w:val="806"/>
          <w:marRight w:val="0"/>
          <w:marTop w:val="125"/>
          <w:marBottom w:val="120"/>
          <w:divBdr>
            <w:top w:val="none" w:sz="0" w:space="0" w:color="auto"/>
            <w:left w:val="none" w:sz="0" w:space="0" w:color="auto"/>
            <w:bottom w:val="none" w:sz="0" w:space="0" w:color="auto"/>
            <w:right w:val="none" w:sz="0" w:space="0" w:color="auto"/>
          </w:divBdr>
        </w:div>
        <w:div w:id="1291282141">
          <w:marLeft w:val="1354"/>
          <w:marRight w:val="0"/>
          <w:marTop w:val="106"/>
          <w:marBottom w:val="120"/>
          <w:divBdr>
            <w:top w:val="none" w:sz="0" w:space="0" w:color="auto"/>
            <w:left w:val="none" w:sz="0" w:space="0" w:color="auto"/>
            <w:bottom w:val="none" w:sz="0" w:space="0" w:color="auto"/>
            <w:right w:val="none" w:sz="0" w:space="0" w:color="auto"/>
          </w:divBdr>
        </w:div>
        <w:div w:id="1419713173">
          <w:marLeft w:val="1354"/>
          <w:marRight w:val="0"/>
          <w:marTop w:val="106"/>
          <w:marBottom w:val="120"/>
          <w:divBdr>
            <w:top w:val="none" w:sz="0" w:space="0" w:color="auto"/>
            <w:left w:val="none" w:sz="0" w:space="0" w:color="auto"/>
            <w:bottom w:val="none" w:sz="0" w:space="0" w:color="auto"/>
            <w:right w:val="none" w:sz="0" w:space="0" w:color="auto"/>
          </w:divBdr>
        </w:div>
        <w:div w:id="819035282">
          <w:marLeft w:val="1354"/>
          <w:marRight w:val="0"/>
          <w:marTop w:val="106"/>
          <w:marBottom w:val="120"/>
          <w:divBdr>
            <w:top w:val="none" w:sz="0" w:space="0" w:color="auto"/>
            <w:left w:val="none" w:sz="0" w:space="0" w:color="auto"/>
            <w:bottom w:val="none" w:sz="0" w:space="0" w:color="auto"/>
            <w:right w:val="none" w:sz="0" w:space="0" w:color="auto"/>
          </w:divBdr>
        </w:div>
      </w:divsChild>
    </w:div>
    <w:div w:id="690835610">
      <w:bodyDiv w:val="1"/>
      <w:marLeft w:val="360"/>
      <w:marRight w:val="360"/>
      <w:marTop w:val="360"/>
      <w:marBottom w:val="360"/>
      <w:divBdr>
        <w:top w:val="none" w:sz="0" w:space="0" w:color="auto"/>
        <w:left w:val="none" w:sz="0" w:space="0" w:color="auto"/>
        <w:bottom w:val="none" w:sz="0" w:space="0" w:color="auto"/>
        <w:right w:val="none" w:sz="0" w:space="0" w:color="auto"/>
      </w:divBdr>
      <w:divsChild>
        <w:div w:id="575092043">
          <w:marLeft w:val="0"/>
          <w:marRight w:val="0"/>
          <w:marTop w:val="100"/>
          <w:marBottom w:val="2880"/>
          <w:divBdr>
            <w:top w:val="none" w:sz="0" w:space="0" w:color="auto"/>
            <w:left w:val="none" w:sz="0" w:space="0" w:color="auto"/>
            <w:bottom w:val="none" w:sz="0" w:space="0" w:color="auto"/>
            <w:right w:val="none" w:sz="0" w:space="0" w:color="auto"/>
          </w:divBdr>
        </w:div>
      </w:divsChild>
    </w:div>
    <w:div w:id="723220204">
      <w:bodyDiv w:val="1"/>
      <w:marLeft w:val="0"/>
      <w:marRight w:val="0"/>
      <w:marTop w:val="0"/>
      <w:marBottom w:val="0"/>
      <w:divBdr>
        <w:top w:val="none" w:sz="0" w:space="0" w:color="auto"/>
        <w:left w:val="none" w:sz="0" w:space="0" w:color="auto"/>
        <w:bottom w:val="none" w:sz="0" w:space="0" w:color="auto"/>
        <w:right w:val="none" w:sz="0" w:space="0" w:color="auto"/>
      </w:divBdr>
      <w:divsChild>
        <w:div w:id="439686660">
          <w:marLeft w:val="806"/>
          <w:marRight w:val="0"/>
          <w:marTop w:val="125"/>
          <w:marBottom w:val="120"/>
          <w:divBdr>
            <w:top w:val="none" w:sz="0" w:space="0" w:color="auto"/>
            <w:left w:val="none" w:sz="0" w:space="0" w:color="auto"/>
            <w:bottom w:val="none" w:sz="0" w:space="0" w:color="auto"/>
            <w:right w:val="none" w:sz="0" w:space="0" w:color="auto"/>
          </w:divBdr>
        </w:div>
      </w:divsChild>
    </w:div>
    <w:div w:id="870335435">
      <w:bodyDiv w:val="1"/>
      <w:marLeft w:val="0"/>
      <w:marRight w:val="0"/>
      <w:marTop w:val="0"/>
      <w:marBottom w:val="0"/>
      <w:divBdr>
        <w:top w:val="none" w:sz="0" w:space="0" w:color="auto"/>
        <w:left w:val="none" w:sz="0" w:space="0" w:color="auto"/>
        <w:bottom w:val="none" w:sz="0" w:space="0" w:color="auto"/>
        <w:right w:val="none" w:sz="0" w:space="0" w:color="auto"/>
      </w:divBdr>
      <w:divsChild>
        <w:div w:id="916477439">
          <w:marLeft w:val="806"/>
          <w:marRight w:val="0"/>
          <w:marTop w:val="125"/>
          <w:marBottom w:val="120"/>
          <w:divBdr>
            <w:top w:val="none" w:sz="0" w:space="0" w:color="auto"/>
            <w:left w:val="none" w:sz="0" w:space="0" w:color="auto"/>
            <w:bottom w:val="none" w:sz="0" w:space="0" w:color="auto"/>
            <w:right w:val="none" w:sz="0" w:space="0" w:color="auto"/>
          </w:divBdr>
        </w:div>
        <w:div w:id="417403702">
          <w:marLeft w:val="1354"/>
          <w:marRight w:val="0"/>
          <w:marTop w:val="106"/>
          <w:marBottom w:val="120"/>
          <w:divBdr>
            <w:top w:val="none" w:sz="0" w:space="0" w:color="auto"/>
            <w:left w:val="none" w:sz="0" w:space="0" w:color="auto"/>
            <w:bottom w:val="none" w:sz="0" w:space="0" w:color="auto"/>
            <w:right w:val="none" w:sz="0" w:space="0" w:color="auto"/>
          </w:divBdr>
        </w:div>
        <w:div w:id="1558779080">
          <w:marLeft w:val="1354"/>
          <w:marRight w:val="0"/>
          <w:marTop w:val="106"/>
          <w:marBottom w:val="120"/>
          <w:divBdr>
            <w:top w:val="none" w:sz="0" w:space="0" w:color="auto"/>
            <w:left w:val="none" w:sz="0" w:space="0" w:color="auto"/>
            <w:bottom w:val="none" w:sz="0" w:space="0" w:color="auto"/>
            <w:right w:val="none" w:sz="0" w:space="0" w:color="auto"/>
          </w:divBdr>
        </w:div>
        <w:div w:id="1202746354">
          <w:marLeft w:val="1987"/>
          <w:marRight w:val="0"/>
          <w:marTop w:val="86"/>
          <w:marBottom w:val="120"/>
          <w:divBdr>
            <w:top w:val="none" w:sz="0" w:space="0" w:color="auto"/>
            <w:left w:val="none" w:sz="0" w:space="0" w:color="auto"/>
            <w:bottom w:val="none" w:sz="0" w:space="0" w:color="auto"/>
            <w:right w:val="none" w:sz="0" w:space="0" w:color="auto"/>
          </w:divBdr>
        </w:div>
        <w:div w:id="1603684479">
          <w:marLeft w:val="1987"/>
          <w:marRight w:val="0"/>
          <w:marTop w:val="86"/>
          <w:marBottom w:val="120"/>
          <w:divBdr>
            <w:top w:val="none" w:sz="0" w:space="0" w:color="auto"/>
            <w:left w:val="none" w:sz="0" w:space="0" w:color="auto"/>
            <w:bottom w:val="none" w:sz="0" w:space="0" w:color="auto"/>
            <w:right w:val="none" w:sz="0" w:space="0" w:color="auto"/>
          </w:divBdr>
        </w:div>
        <w:div w:id="188375989">
          <w:marLeft w:val="1354"/>
          <w:marRight w:val="0"/>
          <w:marTop w:val="106"/>
          <w:marBottom w:val="120"/>
          <w:divBdr>
            <w:top w:val="none" w:sz="0" w:space="0" w:color="auto"/>
            <w:left w:val="none" w:sz="0" w:space="0" w:color="auto"/>
            <w:bottom w:val="none" w:sz="0" w:space="0" w:color="auto"/>
            <w:right w:val="none" w:sz="0" w:space="0" w:color="auto"/>
          </w:divBdr>
        </w:div>
        <w:div w:id="305012799">
          <w:marLeft w:val="1354"/>
          <w:marRight w:val="0"/>
          <w:marTop w:val="106"/>
          <w:marBottom w:val="120"/>
          <w:divBdr>
            <w:top w:val="none" w:sz="0" w:space="0" w:color="auto"/>
            <w:left w:val="none" w:sz="0" w:space="0" w:color="auto"/>
            <w:bottom w:val="none" w:sz="0" w:space="0" w:color="auto"/>
            <w:right w:val="none" w:sz="0" w:space="0" w:color="auto"/>
          </w:divBdr>
        </w:div>
      </w:divsChild>
    </w:div>
    <w:div w:id="873884534">
      <w:bodyDiv w:val="1"/>
      <w:marLeft w:val="0"/>
      <w:marRight w:val="0"/>
      <w:marTop w:val="0"/>
      <w:marBottom w:val="0"/>
      <w:divBdr>
        <w:top w:val="none" w:sz="0" w:space="0" w:color="auto"/>
        <w:left w:val="none" w:sz="0" w:space="0" w:color="auto"/>
        <w:bottom w:val="none" w:sz="0" w:space="0" w:color="auto"/>
        <w:right w:val="none" w:sz="0" w:space="0" w:color="auto"/>
      </w:divBdr>
    </w:div>
    <w:div w:id="880359157">
      <w:bodyDiv w:val="1"/>
      <w:marLeft w:val="0"/>
      <w:marRight w:val="0"/>
      <w:marTop w:val="0"/>
      <w:marBottom w:val="0"/>
      <w:divBdr>
        <w:top w:val="none" w:sz="0" w:space="0" w:color="auto"/>
        <w:left w:val="none" w:sz="0" w:space="0" w:color="auto"/>
        <w:bottom w:val="none" w:sz="0" w:space="0" w:color="auto"/>
        <w:right w:val="none" w:sz="0" w:space="0" w:color="auto"/>
      </w:divBdr>
      <w:divsChild>
        <w:div w:id="2016226484">
          <w:marLeft w:val="1354"/>
          <w:marRight w:val="0"/>
          <w:marTop w:val="106"/>
          <w:marBottom w:val="120"/>
          <w:divBdr>
            <w:top w:val="none" w:sz="0" w:space="0" w:color="auto"/>
            <w:left w:val="none" w:sz="0" w:space="0" w:color="auto"/>
            <w:bottom w:val="none" w:sz="0" w:space="0" w:color="auto"/>
            <w:right w:val="none" w:sz="0" w:space="0" w:color="auto"/>
          </w:divBdr>
        </w:div>
        <w:div w:id="1595823032">
          <w:marLeft w:val="1354"/>
          <w:marRight w:val="0"/>
          <w:marTop w:val="106"/>
          <w:marBottom w:val="120"/>
          <w:divBdr>
            <w:top w:val="none" w:sz="0" w:space="0" w:color="auto"/>
            <w:left w:val="none" w:sz="0" w:space="0" w:color="auto"/>
            <w:bottom w:val="none" w:sz="0" w:space="0" w:color="auto"/>
            <w:right w:val="none" w:sz="0" w:space="0" w:color="auto"/>
          </w:divBdr>
        </w:div>
        <w:div w:id="1789081562">
          <w:marLeft w:val="1354"/>
          <w:marRight w:val="0"/>
          <w:marTop w:val="106"/>
          <w:marBottom w:val="120"/>
          <w:divBdr>
            <w:top w:val="none" w:sz="0" w:space="0" w:color="auto"/>
            <w:left w:val="none" w:sz="0" w:space="0" w:color="auto"/>
            <w:bottom w:val="none" w:sz="0" w:space="0" w:color="auto"/>
            <w:right w:val="none" w:sz="0" w:space="0" w:color="auto"/>
          </w:divBdr>
        </w:div>
      </w:divsChild>
    </w:div>
    <w:div w:id="915941541">
      <w:bodyDiv w:val="1"/>
      <w:marLeft w:val="0"/>
      <w:marRight w:val="0"/>
      <w:marTop w:val="0"/>
      <w:marBottom w:val="0"/>
      <w:divBdr>
        <w:top w:val="none" w:sz="0" w:space="0" w:color="auto"/>
        <w:left w:val="none" w:sz="0" w:space="0" w:color="auto"/>
        <w:bottom w:val="none" w:sz="0" w:space="0" w:color="auto"/>
        <w:right w:val="none" w:sz="0" w:space="0" w:color="auto"/>
      </w:divBdr>
      <w:divsChild>
        <w:div w:id="1326199409">
          <w:marLeft w:val="806"/>
          <w:marRight w:val="0"/>
          <w:marTop w:val="125"/>
          <w:marBottom w:val="120"/>
          <w:divBdr>
            <w:top w:val="none" w:sz="0" w:space="0" w:color="auto"/>
            <w:left w:val="none" w:sz="0" w:space="0" w:color="auto"/>
            <w:bottom w:val="none" w:sz="0" w:space="0" w:color="auto"/>
            <w:right w:val="none" w:sz="0" w:space="0" w:color="auto"/>
          </w:divBdr>
        </w:div>
      </w:divsChild>
    </w:div>
    <w:div w:id="955796127">
      <w:bodyDiv w:val="1"/>
      <w:marLeft w:val="0"/>
      <w:marRight w:val="0"/>
      <w:marTop w:val="0"/>
      <w:marBottom w:val="0"/>
      <w:divBdr>
        <w:top w:val="none" w:sz="0" w:space="0" w:color="auto"/>
        <w:left w:val="none" w:sz="0" w:space="0" w:color="auto"/>
        <w:bottom w:val="none" w:sz="0" w:space="0" w:color="auto"/>
        <w:right w:val="none" w:sz="0" w:space="0" w:color="auto"/>
      </w:divBdr>
    </w:div>
    <w:div w:id="997923159">
      <w:bodyDiv w:val="1"/>
      <w:marLeft w:val="0"/>
      <w:marRight w:val="0"/>
      <w:marTop w:val="0"/>
      <w:marBottom w:val="0"/>
      <w:divBdr>
        <w:top w:val="none" w:sz="0" w:space="0" w:color="auto"/>
        <w:left w:val="none" w:sz="0" w:space="0" w:color="auto"/>
        <w:bottom w:val="none" w:sz="0" w:space="0" w:color="auto"/>
        <w:right w:val="none" w:sz="0" w:space="0" w:color="auto"/>
      </w:divBdr>
      <w:divsChild>
        <w:div w:id="726881491">
          <w:marLeft w:val="806"/>
          <w:marRight w:val="0"/>
          <w:marTop w:val="106"/>
          <w:marBottom w:val="120"/>
          <w:divBdr>
            <w:top w:val="none" w:sz="0" w:space="0" w:color="auto"/>
            <w:left w:val="none" w:sz="0" w:space="0" w:color="auto"/>
            <w:bottom w:val="none" w:sz="0" w:space="0" w:color="auto"/>
            <w:right w:val="none" w:sz="0" w:space="0" w:color="auto"/>
          </w:divBdr>
        </w:div>
        <w:div w:id="391198611">
          <w:marLeft w:val="1354"/>
          <w:marRight w:val="0"/>
          <w:marTop w:val="91"/>
          <w:marBottom w:val="120"/>
          <w:divBdr>
            <w:top w:val="none" w:sz="0" w:space="0" w:color="auto"/>
            <w:left w:val="none" w:sz="0" w:space="0" w:color="auto"/>
            <w:bottom w:val="none" w:sz="0" w:space="0" w:color="auto"/>
            <w:right w:val="none" w:sz="0" w:space="0" w:color="auto"/>
          </w:divBdr>
        </w:div>
        <w:div w:id="1948923781">
          <w:marLeft w:val="1354"/>
          <w:marRight w:val="0"/>
          <w:marTop w:val="91"/>
          <w:marBottom w:val="120"/>
          <w:divBdr>
            <w:top w:val="none" w:sz="0" w:space="0" w:color="auto"/>
            <w:left w:val="none" w:sz="0" w:space="0" w:color="auto"/>
            <w:bottom w:val="none" w:sz="0" w:space="0" w:color="auto"/>
            <w:right w:val="none" w:sz="0" w:space="0" w:color="auto"/>
          </w:divBdr>
        </w:div>
        <w:div w:id="1836146069">
          <w:marLeft w:val="1354"/>
          <w:marRight w:val="0"/>
          <w:marTop w:val="91"/>
          <w:marBottom w:val="120"/>
          <w:divBdr>
            <w:top w:val="none" w:sz="0" w:space="0" w:color="auto"/>
            <w:left w:val="none" w:sz="0" w:space="0" w:color="auto"/>
            <w:bottom w:val="none" w:sz="0" w:space="0" w:color="auto"/>
            <w:right w:val="none" w:sz="0" w:space="0" w:color="auto"/>
          </w:divBdr>
        </w:div>
        <w:div w:id="498810382">
          <w:marLeft w:val="1354"/>
          <w:marRight w:val="0"/>
          <w:marTop w:val="91"/>
          <w:marBottom w:val="120"/>
          <w:divBdr>
            <w:top w:val="none" w:sz="0" w:space="0" w:color="auto"/>
            <w:left w:val="none" w:sz="0" w:space="0" w:color="auto"/>
            <w:bottom w:val="none" w:sz="0" w:space="0" w:color="auto"/>
            <w:right w:val="none" w:sz="0" w:space="0" w:color="auto"/>
          </w:divBdr>
        </w:div>
        <w:div w:id="194932302">
          <w:marLeft w:val="1354"/>
          <w:marRight w:val="0"/>
          <w:marTop w:val="91"/>
          <w:marBottom w:val="120"/>
          <w:divBdr>
            <w:top w:val="none" w:sz="0" w:space="0" w:color="auto"/>
            <w:left w:val="none" w:sz="0" w:space="0" w:color="auto"/>
            <w:bottom w:val="none" w:sz="0" w:space="0" w:color="auto"/>
            <w:right w:val="none" w:sz="0" w:space="0" w:color="auto"/>
          </w:divBdr>
        </w:div>
        <w:div w:id="704257435">
          <w:marLeft w:val="1354"/>
          <w:marRight w:val="0"/>
          <w:marTop w:val="91"/>
          <w:marBottom w:val="120"/>
          <w:divBdr>
            <w:top w:val="none" w:sz="0" w:space="0" w:color="auto"/>
            <w:left w:val="none" w:sz="0" w:space="0" w:color="auto"/>
            <w:bottom w:val="none" w:sz="0" w:space="0" w:color="auto"/>
            <w:right w:val="none" w:sz="0" w:space="0" w:color="auto"/>
          </w:divBdr>
        </w:div>
        <w:div w:id="1030838592">
          <w:marLeft w:val="1354"/>
          <w:marRight w:val="0"/>
          <w:marTop w:val="91"/>
          <w:marBottom w:val="120"/>
          <w:divBdr>
            <w:top w:val="none" w:sz="0" w:space="0" w:color="auto"/>
            <w:left w:val="none" w:sz="0" w:space="0" w:color="auto"/>
            <w:bottom w:val="none" w:sz="0" w:space="0" w:color="auto"/>
            <w:right w:val="none" w:sz="0" w:space="0" w:color="auto"/>
          </w:divBdr>
        </w:div>
        <w:div w:id="613369609">
          <w:marLeft w:val="1354"/>
          <w:marRight w:val="0"/>
          <w:marTop w:val="91"/>
          <w:marBottom w:val="120"/>
          <w:divBdr>
            <w:top w:val="none" w:sz="0" w:space="0" w:color="auto"/>
            <w:left w:val="none" w:sz="0" w:space="0" w:color="auto"/>
            <w:bottom w:val="none" w:sz="0" w:space="0" w:color="auto"/>
            <w:right w:val="none" w:sz="0" w:space="0" w:color="auto"/>
          </w:divBdr>
        </w:div>
      </w:divsChild>
    </w:div>
    <w:div w:id="1015765795">
      <w:bodyDiv w:val="1"/>
      <w:marLeft w:val="0"/>
      <w:marRight w:val="0"/>
      <w:marTop w:val="0"/>
      <w:marBottom w:val="0"/>
      <w:divBdr>
        <w:top w:val="none" w:sz="0" w:space="0" w:color="auto"/>
        <w:left w:val="none" w:sz="0" w:space="0" w:color="auto"/>
        <w:bottom w:val="none" w:sz="0" w:space="0" w:color="auto"/>
        <w:right w:val="none" w:sz="0" w:space="0" w:color="auto"/>
      </w:divBdr>
    </w:div>
    <w:div w:id="1046222687">
      <w:bodyDiv w:val="1"/>
      <w:marLeft w:val="0"/>
      <w:marRight w:val="0"/>
      <w:marTop w:val="0"/>
      <w:marBottom w:val="0"/>
      <w:divBdr>
        <w:top w:val="none" w:sz="0" w:space="0" w:color="auto"/>
        <w:left w:val="none" w:sz="0" w:space="0" w:color="auto"/>
        <w:bottom w:val="none" w:sz="0" w:space="0" w:color="auto"/>
        <w:right w:val="none" w:sz="0" w:space="0" w:color="auto"/>
      </w:divBdr>
      <w:divsChild>
        <w:div w:id="2029406468">
          <w:marLeft w:val="1354"/>
          <w:marRight w:val="0"/>
          <w:marTop w:val="106"/>
          <w:marBottom w:val="120"/>
          <w:divBdr>
            <w:top w:val="none" w:sz="0" w:space="0" w:color="auto"/>
            <w:left w:val="none" w:sz="0" w:space="0" w:color="auto"/>
            <w:bottom w:val="none" w:sz="0" w:space="0" w:color="auto"/>
            <w:right w:val="none" w:sz="0" w:space="0" w:color="auto"/>
          </w:divBdr>
        </w:div>
        <w:div w:id="69428184">
          <w:marLeft w:val="1354"/>
          <w:marRight w:val="0"/>
          <w:marTop w:val="106"/>
          <w:marBottom w:val="120"/>
          <w:divBdr>
            <w:top w:val="none" w:sz="0" w:space="0" w:color="auto"/>
            <w:left w:val="none" w:sz="0" w:space="0" w:color="auto"/>
            <w:bottom w:val="none" w:sz="0" w:space="0" w:color="auto"/>
            <w:right w:val="none" w:sz="0" w:space="0" w:color="auto"/>
          </w:divBdr>
        </w:div>
        <w:div w:id="1100639301">
          <w:marLeft w:val="1354"/>
          <w:marRight w:val="0"/>
          <w:marTop w:val="106"/>
          <w:marBottom w:val="120"/>
          <w:divBdr>
            <w:top w:val="none" w:sz="0" w:space="0" w:color="auto"/>
            <w:left w:val="none" w:sz="0" w:space="0" w:color="auto"/>
            <w:bottom w:val="none" w:sz="0" w:space="0" w:color="auto"/>
            <w:right w:val="none" w:sz="0" w:space="0" w:color="auto"/>
          </w:divBdr>
        </w:div>
        <w:div w:id="1140919634">
          <w:marLeft w:val="1354"/>
          <w:marRight w:val="0"/>
          <w:marTop w:val="106"/>
          <w:marBottom w:val="120"/>
          <w:divBdr>
            <w:top w:val="none" w:sz="0" w:space="0" w:color="auto"/>
            <w:left w:val="none" w:sz="0" w:space="0" w:color="auto"/>
            <w:bottom w:val="none" w:sz="0" w:space="0" w:color="auto"/>
            <w:right w:val="none" w:sz="0" w:space="0" w:color="auto"/>
          </w:divBdr>
        </w:div>
        <w:div w:id="1798334633">
          <w:marLeft w:val="1354"/>
          <w:marRight w:val="0"/>
          <w:marTop w:val="106"/>
          <w:marBottom w:val="120"/>
          <w:divBdr>
            <w:top w:val="none" w:sz="0" w:space="0" w:color="auto"/>
            <w:left w:val="none" w:sz="0" w:space="0" w:color="auto"/>
            <w:bottom w:val="none" w:sz="0" w:space="0" w:color="auto"/>
            <w:right w:val="none" w:sz="0" w:space="0" w:color="auto"/>
          </w:divBdr>
        </w:div>
      </w:divsChild>
    </w:div>
    <w:div w:id="1071000025">
      <w:bodyDiv w:val="1"/>
      <w:marLeft w:val="0"/>
      <w:marRight w:val="0"/>
      <w:marTop w:val="0"/>
      <w:marBottom w:val="0"/>
      <w:divBdr>
        <w:top w:val="none" w:sz="0" w:space="0" w:color="auto"/>
        <w:left w:val="none" w:sz="0" w:space="0" w:color="auto"/>
        <w:bottom w:val="none" w:sz="0" w:space="0" w:color="auto"/>
        <w:right w:val="none" w:sz="0" w:space="0" w:color="auto"/>
      </w:divBdr>
    </w:div>
    <w:div w:id="1087995263">
      <w:bodyDiv w:val="1"/>
      <w:marLeft w:val="0"/>
      <w:marRight w:val="0"/>
      <w:marTop w:val="0"/>
      <w:marBottom w:val="0"/>
      <w:divBdr>
        <w:top w:val="none" w:sz="0" w:space="0" w:color="auto"/>
        <w:left w:val="none" w:sz="0" w:space="0" w:color="auto"/>
        <w:bottom w:val="none" w:sz="0" w:space="0" w:color="auto"/>
        <w:right w:val="none" w:sz="0" w:space="0" w:color="auto"/>
      </w:divBdr>
    </w:div>
    <w:div w:id="1138914298">
      <w:bodyDiv w:val="1"/>
      <w:marLeft w:val="0"/>
      <w:marRight w:val="0"/>
      <w:marTop w:val="0"/>
      <w:marBottom w:val="0"/>
      <w:divBdr>
        <w:top w:val="none" w:sz="0" w:space="0" w:color="auto"/>
        <w:left w:val="none" w:sz="0" w:space="0" w:color="auto"/>
        <w:bottom w:val="none" w:sz="0" w:space="0" w:color="auto"/>
        <w:right w:val="none" w:sz="0" w:space="0" w:color="auto"/>
      </w:divBdr>
    </w:div>
    <w:div w:id="1147089835">
      <w:bodyDiv w:val="1"/>
      <w:marLeft w:val="0"/>
      <w:marRight w:val="0"/>
      <w:marTop w:val="0"/>
      <w:marBottom w:val="0"/>
      <w:divBdr>
        <w:top w:val="none" w:sz="0" w:space="0" w:color="auto"/>
        <w:left w:val="none" w:sz="0" w:space="0" w:color="auto"/>
        <w:bottom w:val="none" w:sz="0" w:space="0" w:color="auto"/>
        <w:right w:val="none" w:sz="0" w:space="0" w:color="auto"/>
      </w:divBdr>
      <w:divsChild>
        <w:div w:id="1570920646">
          <w:marLeft w:val="1354"/>
          <w:marRight w:val="0"/>
          <w:marTop w:val="96"/>
          <w:marBottom w:val="120"/>
          <w:divBdr>
            <w:top w:val="none" w:sz="0" w:space="0" w:color="auto"/>
            <w:left w:val="none" w:sz="0" w:space="0" w:color="auto"/>
            <w:bottom w:val="none" w:sz="0" w:space="0" w:color="auto"/>
            <w:right w:val="none" w:sz="0" w:space="0" w:color="auto"/>
          </w:divBdr>
        </w:div>
        <w:div w:id="783962718">
          <w:marLeft w:val="1354"/>
          <w:marRight w:val="0"/>
          <w:marTop w:val="96"/>
          <w:marBottom w:val="120"/>
          <w:divBdr>
            <w:top w:val="none" w:sz="0" w:space="0" w:color="auto"/>
            <w:left w:val="none" w:sz="0" w:space="0" w:color="auto"/>
            <w:bottom w:val="none" w:sz="0" w:space="0" w:color="auto"/>
            <w:right w:val="none" w:sz="0" w:space="0" w:color="auto"/>
          </w:divBdr>
        </w:div>
        <w:div w:id="505290510">
          <w:marLeft w:val="1354"/>
          <w:marRight w:val="0"/>
          <w:marTop w:val="96"/>
          <w:marBottom w:val="120"/>
          <w:divBdr>
            <w:top w:val="none" w:sz="0" w:space="0" w:color="auto"/>
            <w:left w:val="none" w:sz="0" w:space="0" w:color="auto"/>
            <w:bottom w:val="none" w:sz="0" w:space="0" w:color="auto"/>
            <w:right w:val="none" w:sz="0" w:space="0" w:color="auto"/>
          </w:divBdr>
        </w:div>
        <w:div w:id="586118575">
          <w:marLeft w:val="1354"/>
          <w:marRight w:val="0"/>
          <w:marTop w:val="96"/>
          <w:marBottom w:val="120"/>
          <w:divBdr>
            <w:top w:val="none" w:sz="0" w:space="0" w:color="auto"/>
            <w:left w:val="none" w:sz="0" w:space="0" w:color="auto"/>
            <w:bottom w:val="none" w:sz="0" w:space="0" w:color="auto"/>
            <w:right w:val="none" w:sz="0" w:space="0" w:color="auto"/>
          </w:divBdr>
        </w:div>
        <w:div w:id="1290166007">
          <w:marLeft w:val="1354"/>
          <w:marRight w:val="0"/>
          <w:marTop w:val="96"/>
          <w:marBottom w:val="120"/>
          <w:divBdr>
            <w:top w:val="none" w:sz="0" w:space="0" w:color="auto"/>
            <w:left w:val="none" w:sz="0" w:space="0" w:color="auto"/>
            <w:bottom w:val="none" w:sz="0" w:space="0" w:color="auto"/>
            <w:right w:val="none" w:sz="0" w:space="0" w:color="auto"/>
          </w:divBdr>
        </w:div>
        <w:div w:id="308242197">
          <w:marLeft w:val="1354"/>
          <w:marRight w:val="0"/>
          <w:marTop w:val="96"/>
          <w:marBottom w:val="120"/>
          <w:divBdr>
            <w:top w:val="none" w:sz="0" w:space="0" w:color="auto"/>
            <w:left w:val="none" w:sz="0" w:space="0" w:color="auto"/>
            <w:bottom w:val="none" w:sz="0" w:space="0" w:color="auto"/>
            <w:right w:val="none" w:sz="0" w:space="0" w:color="auto"/>
          </w:divBdr>
        </w:div>
      </w:divsChild>
    </w:div>
    <w:div w:id="1202784080">
      <w:bodyDiv w:val="1"/>
      <w:marLeft w:val="0"/>
      <w:marRight w:val="0"/>
      <w:marTop w:val="0"/>
      <w:marBottom w:val="0"/>
      <w:divBdr>
        <w:top w:val="none" w:sz="0" w:space="0" w:color="auto"/>
        <w:left w:val="none" w:sz="0" w:space="0" w:color="auto"/>
        <w:bottom w:val="none" w:sz="0" w:space="0" w:color="auto"/>
        <w:right w:val="none" w:sz="0" w:space="0" w:color="auto"/>
      </w:divBdr>
    </w:div>
    <w:div w:id="1279993636">
      <w:bodyDiv w:val="1"/>
      <w:marLeft w:val="0"/>
      <w:marRight w:val="0"/>
      <w:marTop w:val="0"/>
      <w:marBottom w:val="0"/>
      <w:divBdr>
        <w:top w:val="none" w:sz="0" w:space="0" w:color="auto"/>
        <w:left w:val="none" w:sz="0" w:space="0" w:color="auto"/>
        <w:bottom w:val="none" w:sz="0" w:space="0" w:color="auto"/>
        <w:right w:val="none" w:sz="0" w:space="0" w:color="auto"/>
      </w:divBdr>
    </w:div>
    <w:div w:id="1321469332">
      <w:bodyDiv w:val="1"/>
      <w:marLeft w:val="0"/>
      <w:marRight w:val="0"/>
      <w:marTop w:val="0"/>
      <w:marBottom w:val="0"/>
      <w:divBdr>
        <w:top w:val="none" w:sz="0" w:space="0" w:color="auto"/>
        <w:left w:val="none" w:sz="0" w:space="0" w:color="auto"/>
        <w:bottom w:val="none" w:sz="0" w:space="0" w:color="auto"/>
        <w:right w:val="none" w:sz="0" w:space="0" w:color="auto"/>
      </w:divBdr>
    </w:div>
    <w:div w:id="1385788127">
      <w:bodyDiv w:val="1"/>
      <w:marLeft w:val="0"/>
      <w:marRight w:val="0"/>
      <w:marTop w:val="0"/>
      <w:marBottom w:val="0"/>
      <w:divBdr>
        <w:top w:val="none" w:sz="0" w:space="0" w:color="auto"/>
        <w:left w:val="none" w:sz="0" w:space="0" w:color="auto"/>
        <w:bottom w:val="none" w:sz="0" w:space="0" w:color="auto"/>
        <w:right w:val="none" w:sz="0" w:space="0" w:color="auto"/>
      </w:divBdr>
    </w:div>
    <w:div w:id="1395817965">
      <w:bodyDiv w:val="1"/>
      <w:marLeft w:val="0"/>
      <w:marRight w:val="0"/>
      <w:marTop w:val="0"/>
      <w:marBottom w:val="0"/>
      <w:divBdr>
        <w:top w:val="none" w:sz="0" w:space="0" w:color="auto"/>
        <w:left w:val="none" w:sz="0" w:space="0" w:color="auto"/>
        <w:bottom w:val="none" w:sz="0" w:space="0" w:color="auto"/>
        <w:right w:val="none" w:sz="0" w:space="0" w:color="auto"/>
      </w:divBdr>
      <w:divsChild>
        <w:div w:id="1053306505">
          <w:marLeft w:val="0"/>
          <w:marRight w:val="0"/>
          <w:marTop w:val="100"/>
          <w:marBottom w:val="100"/>
          <w:divBdr>
            <w:top w:val="none" w:sz="0" w:space="0" w:color="auto"/>
            <w:left w:val="none" w:sz="0" w:space="0" w:color="auto"/>
            <w:bottom w:val="none" w:sz="0" w:space="0" w:color="auto"/>
            <w:right w:val="none" w:sz="0" w:space="0" w:color="auto"/>
          </w:divBdr>
          <w:divsChild>
            <w:div w:id="1568152893">
              <w:marLeft w:val="0"/>
              <w:marRight w:val="0"/>
              <w:marTop w:val="0"/>
              <w:marBottom w:val="0"/>
              <w:divBdr>
                <w:top w:val="none" w:sz="0" w:space="0" w:color="auto"/>
                <w:left w:val="none" w:sz="0" w:space="0" w:color="auto"/>
                <w:bottom w:val="none" w:sz="0" w:space="0" w:color="auto"/>
                <w:right w:val="none" w:sz="0" w:space="0" w:color="auto"/>
              </w:divBdr>
              <w:divsChild>
                <w:div w:id="1465808760">
                  <w:marLeft w:val="0"/>
                  <w:marRight w:val="0"/>
                  <w:marTop w:val="100"/>
                  <w:marBottom w:val="100"/>
                  <w:divBdr>
                    <w:top w:val="none" w:sz="0" w:space="0" w:color="auto"/>
                    <w:left w:val="none" w:sz="0" w:space="0" w:color="auto"/>
                    <w:bottom w:val="none" w:sz="0" w:space="0" w:color="auto"/>
                    <w:right w:val="none" w:sz="0" w:space="0" w:color="auto"/>
                  </w:divBdr>
                  <w:divsChild>
                    <w:div w:id="1804615984">
                      <w:marLeft w:val="0"/>
                      <w:marRight w:val="0"/>
                      <w:marTop w:val="0"/>
                      <w:marBottom w:val="0"/>
                      <w:divBdr>
                        <w:top w:val="none" w:sz="0" w:space="0" w:color="auto"/>
                        <w:left w:val="none" w:sz="0" w:space="0" w:color="auto"/>
                        <w:bottom w:val="none" w:sz="0" w:space="0" w:color="auto"/>
                        <w:right w:val="none" w:sz="0" w:space="0" w:color="auto"/>
                      </w:divBdr>
                      <w:divsChild>
                        <w:div w:id="1148473756">
                          <w:marLeft w:val="0"/>
                          <w:marRight w:val="0"/>
                          <w:marTop w:val="0"/>
                          <w:marBottom w:val="0"/>
                          <w:divBdr>
                            <w:top w:val="none" w:sz="0" w:space="0" w:color="auto"/>
                            <w:left w:val="none" w:sz="0" w:space="0" w:color="auto"/>
                            <w:bottom w:val="none" w:sz="0" w:space="0" w:color="auto"/>
                            <w:right w:val="none" w:sz="0" w:space="0" w:color="auto"/>
                          </w:divBdr>
                          <w:divsChild>
                            <w:div w:id="1587886890">
                              <w:marLeft w:val="0"/>
                              <w:marRight w:val="0"/>
                              <w:marTop w:val="0"/>
                              <w:marBottom w:val="0"/>
                              <w:divBdr>
                                <w:top w:val="none" w:sz="0" w:space="0" w:color="auto"/>
                                <w:left w:val="none" w:sz="0" w:space="0" w:color="auto"/>
                                <w:bottom w:val="none" w:sz="0" w:space="0" w:color="auto"/>
                                <w:right w:val="none" w:sz="0" w:space="0" w:color="auto"/>
                              </w:divBdr>
                              <w:divsChild>
                                <w:div w:id="103229368">
                                  <w:marLeft w:val="0"/>
                                  <w:marRight w:val="0"/>
                                  <w:marTop w:val="360"/>
                                  <w:marBottom w:val="360"/>
                                  <w:divBdr>
                                    <w:top w:val="none" w:sz="0" w:space="0" w:color="auto"/>
                                    <w:left w:val="none" w:sz="0" w:space="0" w:color="auto"/>
                                    <w:bottom w:val="none" w:sz="0" w:space="0" w:color="auto"/>
                                    <w:right w:val="none" w:sz="0" w:space="0" w:color="auto"/>
                                  </w:divBdr>
                                  <w:divsChild>
                                    <w:div w:id="1512454191">
                                      <w:marLeft w:val="0"/>
                                      <w:marRight w:val="0"/>
                                      <w:marTop w:val="0"/>
                                      <w:marBottom w:val="0"/>
                                      <w:divBdr>
                                        <w:top w:val="none" w:sz="0" w:space="0" w:color="auto"/>
                                        <w:left w:val="none" w:sz="0" w:space="0" w:color="auto"/>
                                        <w:bottom w:val="none" w:sz="0" w:space="0" w:color="auto"/>
                                        <w:right w:val="none" w:sz="0" w:space="0" w:color="auto"/>
                                      </w:divBdr>
                                      <w:divsChild>
                                        <w:div w:id="1904950085">
                                          <w:marLeft w:val="0"/>
                                          <w:marRight w:val="0"/>
                                          <w:marTop w:val="0"/>
                                          <w:marBottom w:val="0"/>
                                          <w:divBdr>
                                            <w:top w:val="none" w:sz="0" w:space="0" w:color="auto"/>
                                            <w:left w:val="none" w:sz="0" w:space="0" w:color="auto"/>
                                            <w:bottom w:val="none" w:sz="0" w:space="0" w:color="auto"/>
                                            <w:right w:val="none" w:sz="0" w:space="0" w:color="auto"/>
                                          </w:divBdr>
                                          <w:divsChild>
                                            <w:div w:id="1183712943">
                                              <w:marLeft w:val="0"/>
                                              <w:marRight w:val="0"/>
                                              <w:marTop w:val="0"/>
                                              <w:marBottom w:val="0"/>
                                              <w:divBdr>
                                                <w:top w:val="none" w:sz="0" w:space="0" w:color="auto"/>
                                                <w:left w:val="none" w:sz="0" w:space="0" w:color="auto"/>
                                                <w:bottom w:val="none" w:sz="0" w:space="0" w:color="auto"/>
                                                <w:right w:val="none" w:sz="0" w:space="0" w:color="auto"/>
                                              </w:divBdr>
                                              <w:divsChild>
                                                <w:div w:id="348141180">
                                                  <w:marLeft w:val="0"/>
                                                  <w:marRight w:val="0"/>
                                                  <w:marTop w:val="0"/>
                                                  <w:marBottom w:val="0"/>
                                                  <w:divBdr>
                                                    <w:top w:val="none" w:sz="0" w:space="0" w:color="auto"/>
                                                    <w:left w:val="none" w:sz="0" w:space="0" w:color="auto"/>
                                                    <w:bottom w:val="none" w:sz="0" w:space="0" w:color="auto"/>
                                                    <w:right w:val="none" w:sz="0" w:space="0" w:color="auto"/>
                                                  </w:divBdr>
                                                </w:div>
                                                <w:div w:id="824396307">
                                                  <w:marLeft w:val="0"/>
                                                  <w:marRight w:val="0"/>
                                                  <w:marTop w:val="0"/>
                                                  <w:marBottom w:val="0"/>
                                                  <w:divBdr>
                                                    <w:top w:val="none" w:sz="0" w:space="0" w:color="auto"/>
                                                    <w:left w:val="none" w:sz="0" w:space="0" w:color="auto"/>
                                                    <w:bottom w:val="none" w:sz="0" w:space="0" w:color="auto"/>
                                                    <w:right w:val="none" w:sz="0" w:space="0" w:color="auto"/>
                                                  </w:divBdr>
                                                  <w:divsChild>
                                                    <w:div w:id="1860311790">
                                                      <w:marLeft w:val="0"/>
                                                      <w:marRight w:val="0"/>
                                                      <w:marTop w:val="0"/>
                                                      <w:marBottom w:val="0"/>
                                                      <w:divBdr>
                                                        <w:top w:val="none" w:sz="0" w:space="0" w:color="auto"/>
                                                        <w:left w:val="none" w:sz="0" w:space="0" w:color="auto"/>
                                                        <w:bottom w:val="none" w:sz="0" w:space="0" w:color="auto"/>
                                                        <w:right w:val="none" w:sz="0" w:space="0" w:color="auto"/>
                                                      </w:divBdr>
                                                      <w:divsChild>
                                                        <w:div w:id="130095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06954964">
      <w:bodyDiv w:val="1"/>
      <w:marLeft w:val="0"/>
      <w:marRight w:val="0"/>
      <w:marTop w:val="0"/>
      <w:marBottom w:val="0"/>
      <w:divBdr>
        <w:top w:val="none" w:sz="0" w:space="0" w:color="auto"/>
        <w:left w:val="none" w:sz="0" w:space="0" w:color="auto"/>
        <w:bottom w:val="none" w:sz="0" w:space="0" w:color="auto"/>
        <w:right w:val="none" w:sz="0" w:space="0" w:color="auto"/>
      </w:divBdr>
      <w:divsChild>
        <w:div w:id="1691956696">
          <w:marLeft w:val="1354"/>
          <w:marRight w:val="0"/>
          <w:marTop w:val="96"/>
          <w:marBottom w:val="120"/>
          <w:divBdr>
            <w:top w:val="none" w:sz="0" w:space="0" w:color="auto"/>
            <w:left w:val="none" w:sz="0" w:space="0" w:color="auto"/>
            <w:bottom w:val="none" w:sz="0" w:space="0" w:color="auto"/>
            <w:right w:val="none" w:sz="0" w:space="0" w:color="auto"/>
          </w:divBdr>
        </w:div>
        <w:div w:id="724187275">
          <w:marLeft w:val="1354"/>
          <w:marRight w:val="0"/>
          <w:marTop w:val="96"/>
          <w:marBottom w:val="120"/>
          <w:divBdr>
            <w:top w:val="none" w:sz="0" w:space="0" w:color="auto"/>
            <w:left w:val="none" w:sz="0" w:space="0" w:color="auto"/>
            <w:bottom w:val="none" w:sz="0" w:space="0" w:color="auto"/>
            <w:right w:val="none" w:sz="0" w:space="0" w:color="auto"/>
          </w:divBdr>
        </w:div>
        <w:div w:id="560792814">
          <w:marLeft w:val="1354"/>
          <w:marRight w:val="0"/>
          <w:marTop w:val="96"/>
          <w:marBottom w:val="120"/>
          <w:divBdr>
            <w:top w:val="none" w:sz="0" w:space="0" w:color="auto"/>
            <w:left w:val="none" w:sz="0" w:space="0" w:color="auto"/>
            <w:bottom w:val="none" w:sz="0" w:space="0" w:color="auto"/>
            <w:right w:val="none" w:sz="0" w:space="0" w:color="auto"/>
          </w:divBdr>
        </w:div>
        <w:div w:id="1287857819">
          <w:marLeft w:val="1354"/>
          <w:marRight w:val="0"/>
          <w:marTop w:val="96"/>
          <w:marBottom w:val="120"/>
          <w:divBdr>
            <w:top w:val="none" w:sz="0" w:space="0" w:color="auto"/>
            <w:left w:val="none" w:sz="0" w:space="0" w:color="auto"/>
            <w:bottom w:val="none" w:sz="0" w:space="0" w:color="auto"/>
            <w:right w:val="none" w:sz="0" w:space="0" w:color="auto"/>
          </w:divBdr>
        </w:div>
        <w:div w:id="1360936718">
          <w:marLeft w:val="1354"/>
          <w:marRight w:val="0"/>
          <w:marTop w:val="96"/>
          <w:marBottom w:val="120"/>
          <w:divBdr>
            <w:top w:val="none" w:sz="0" w:space="0" w:color="auto"/>
            <w:left w:val="none" w:sz="0" w:space="0" w:color="auto"/>
            <w:bottom w:val="none" w:sz="0" w:space="0" w:color="auto"/>
            <w:right w:val="none" w:sz="0" w:space="0" w:color="auto"/>
          </w:divBdr>
        </w:div>
        <w:div w:id="27537927">
          <w:marLeft w:val="1354"/>
          <w:marRight w:val="0"/>
          <w:marTop w:val="96"/>
          <w:marBottom w:val="120"/>
          <w:divBdr>
            <w:top w:val="none" w:sz="0" w:space="0" w:color="auto"/>
            <w:left w:val="none" w:sz="0" w:space="0" w:color="auto"/>
            <w:bottom w:val="none" w:sz="0" w:space="0" w:color="auto"/>
            <w:right w:val="none" w:sz="0" w:space="0" w:color="auto"/>
          </w:divBdr>
        </w:div>
      </w:divsChild>
    </w:div>
    <w:div w:id="1426730116">
      <w:bodyDiv w:val="1"/>
      <w:marLeft w:val="0"/>
      <w:marRight w:val="0"/>
      <w:marTop w:val="0"/>
      <w:marBottom w:val="0"/>
      <w:divBdr>
        <w:top w:val="none" w:sz="0" w:space="0" w:color="auto"/>
        <w:left w:val="none" w:sz="0" w:space="0" w:color="auto"/>
        <w:bottom w:val="none" w:sz="0" w:space="0" w:color="auto"/>
        <w:right w:val="none" w:sz="0" w:space="0" w:color="auto"/>
      </w:divBdr>
    </w:div>
    <w:div w:id="1451968568">
      <w:bodyDiv w:val="1"/>
      <w:marLeft w:val="0"/>
      <w:marRight w:val="0"/>
      <w:marTop w:val="0"/>
      <w:marBottom w:val="0"/>
      <w:divBdr>
        <w:top w:val="none" w:sz="0" w:space="0" w:color="auto"/>
        <w:left w:val="none" w:sz="0" w:space="0" w:color="auto"/>
        <w:bottom w:val="none" w:sz="0" w:space="0" w:color="auto"/>
        <w:right w:val="none" w:sz="0" w:space="0" w:color="auto"/>
      </w:divBdr>
    </w:div>
    <w:div w:id="1525553490">
      <w:bodyDiv w:val="1"/>
      <w:marLeft w:val="0"/>
      <w:marRight w:val="0"/>
      <w:marTop w:val="0"/>
      <w:marBottom w:val="0"/>
      <w:divBdr>
        <w:top w:val="none" w:sz="0" w:space="0" w:color="auto"/>
        <w:left w:val="none" w:sz="0" w:space="0" w:color="auto"/>
        <w:bottom w:val="none" w:sz="0" w:space="0" w:color="auto"/>
        <w:right w:val="none" w:sz="0" w:space="0" w:color="auto"/>
      </w:divBdr>
    </w:div>
    <w:div w:id="1569921854">
      <w:bodyDiv w:val="1"/>
      <w:marLeft w:val="360"/>
      <w:marRight w:val="360"/>
      <w:marTop w:val="360"/>
      <w:marBottom w:val="360"/>
      <w:divBdr>
        <w:top w:val="none" w:sz="0" w:space="0" w:color="auto"/>
        <w:left w:val="none" w:sz="0" w:space="0" w:color="auto"/>
        <w:bottom w:val="none" w:sz="0" w:space="0" w:color="auto"/>
        <w:right w:val="none" w:sz="0" w:space="0" w:color="auto"/>
      </w:divBdr>
      <w:divsChild>
        <w:div w:id="1842545770">
          <w:marLeft w:val="0"/>
          <w:marRight w:val="0"/>
          <w:marTop w:val="100"/>
          <w:marBottom w:val="2880"/>
          <w:divBdr>
            <w:top w:val="none" w:sz="0" w:space="0" w:color="auto"/>
            <w:left w:val="none" w:sz="0" w:space="0" w:color="auto"/>
            <w:bottom w:val="none" w:sz="0" w:space="0" w:color="auto"/>
            <w:right w:val="none" w:sz="0" w:space="0" w:color="auto"/>
          </w:divBdr>
        </w:div>
      </w:divsChild>
    </w:div>
    <w:div w:id="1584795577">
      <w:bodyDiv w:val="1"/>
      <w:marLeft w:val="0"/>
      <w:marRight w:val="0"/>
      <w:marTop w:val="0"/>
      <w:marBottom w:val="0"/>
      <w:divBdr>
        <w:top w:val="none" w:sz="0" w:space="0" w:color="auto"/>
        <w:left w:val="none" w:sz="0" w:space="0" w:color="auto"/>
        <w:bottom w:val="none" w:sz="0" w:space="0" w:color="auto"/>
        <w:right w:val="none" w:sz="0" w:space="0" w:color="auto"/>
      </w:divBdr>
    </w:div>
    <w:div w:id="1656758862">
      <w:bodyDiv w:val="1"/>
      <w:marLeft w:val="0"/>
      <w:marRight w:val="0"/>
      <w:marTop w:val="0"/>
      <w:marBottom w:val="0"/>
      <w:divBdr>
        <w:top w:val="none" w:sz="0" w:space="0" w:color="auto"/>
        <w:left w:val="none" w:sz="0" w:space="0" w:color="auto"/>
        <w:bottom w:val="none" w:sz="0" w:space="0" w:color="auto"/>
        <w:right w:val="none" w:sz="0" w:space="0" w:color="auto"/>
      </w:divBdr>
    </w:div>
    <w:div w:id="1676028660">
      <w:bodyDiv w:val="1"/>
      <w:marLeft w:val="0"/>
      <w:marRight w:val="0"/>
      <w:marTop w:val="0"/>
      <w:marBottom w:val="0"/>
      <w:divBdr>
        <w:top w:val="none" w:sz="0" w:space="0" w:color="auto"/>
        <w:left w:val="none" w:sz="0" w:space="0" w:color="auto"/>
        <w:bottom w:val="none" w:sz="0" w:space="0" w:color="auto"/>
        <w:right w:val="none" w:sz="0" w:space="0" w:color="auto"/>
      </w:divBdr>
      <w:divsChild>
        <w:div w:id="1514957410">
          <w:marLeft w:val="1354"/>
          <w:marRight w:val="0"/>
          <w:marTop w:val="106"/>
          <w:marBottom w:val="120"/>
          <w:divBdr>
            <w:top w:val="none" w:sz="0" w:space="0" w:color="auto"/>
            <w:left w:val="none" w:sz="0" w:space="0" w:color="auto"/>
            <w:bottom w:val="none" w:sz="0" w:space="0" w:color="auto"/>
            <w:right w:val="none" w:sz="0" w:space="0" w:color="auto"/>
          </w:divBdr>
        </w:div>
        <w:div w:id="1598251499">
          <w:marLeft w:val="1354"/>
          <w:marRight w:val="0"/>
          <w:marTop w:val="106"/>
          <w:marBottom w:val="120"/>
          <w:divBdr>
            <w:top w:val="none" w:sz="0" w:space="0" w:color="auto"/>
            <w:left w:val="none" w:sz="0" w:space="0" w:color="auto"/>
            <w:bottom w:val="none" w:sz="0" w:space="0" w:color="auto"/>
            <w:right w:val="none" w:sz="0" w:space="0" w:color="auto"/>
          </w:divBdr>
        </w:div>
        <w:div w:id="1447384313">
          <w:marLeft w:val="1354"/>
          <w:marRight w:val="0"/>
          <w:marTop w:val="106"/>
          <w:marBottom w:val="120"/>
          <w:divBdr>
            <w:top w:val="none" w:sz="0" w:space="0" w:color="auto"/>
            <w:left w:val="none" w:sz="0" w:space="0" w:color="auto"/>
            <w:bottom w:val="none" w:sz="0" w:space="0" w:color="auto"/>
            <w:right w:val="none" w:sz="0" w:space="0" w:color="auto"/>
          </w:divBdr>
        </w:div>
      </w:divsChild>
    </w:div>
    <w:div w:id="1693190684">
      <w:bodyDiv w:val="1"/>
      <w:marLeft w:val="0"/>
      <w:marRight w:val="0"/>
      <w:marTop w:val="0"/>
      <w:marBottom w:val="0"/>
      <w:divBdr>
        <w:top w:val="none" w:sz="0" w:space="0" w:color="auto"/>
        <w:left w:val="none" w:sz="0" w:space="0" w:color="auto"/>
        <w:bottom w:val="none" w:sz="0" w:space="0" w:color="auto"/>
        <w:right w:val="none" w:sz="0" w:space="0" w:color="auto"/>
      </w:divBdr>
      <w:divsChild>
        <w:div w:id="1153453304">
          <w:marLeft w:val="1354"/>
          <w:marRight w:val="0"/>
          <w:marTop w:val="106"/>
          <w:marBottom w:val="120"/>
          <w:divBdr>
            <w:top w:val="none" w:sz="0" w:space="0" w:color="auto"/>
            <w:left w:val="none" w:sz="0" w:space="0" w:color="auto"/>
            <w:bottom w:val="none" w:sz="0" w:space="0" w:color="auto"/>
            <w:right w:val="none" w:sz="0" w:space="0" w:color="auto"/>
          </w:divBdr>
        </w:div>
        <w:div w:id="1879925060">
          <w:marLeft w:val="1354"/>
          <w:marRight w:val="0"/>
          <w:marTop w:val="106"/>
          <w:marBottom w:val="120"/>
          <w:divBdr>
            <w:top w:val="none" w:sz="0" w:space="0" w:color="auto"/>
            <w:left w:val="none" w:sz="0" w:space="0" w:color="auto"/>
            <w:bottom w:val="none" w:sz="0" w:space="0" w:color="auto"/>
            <w:right w:val="none" w:sz="0" w:space="0" w:color="auto"/>
          </w:divBdr>
        </w:div>
        <w:div w:id="1542327746">
          <w:marLeft w:val="1354"/>
          <w:marRight w:val="0"/>
          <w:marTop w:val="106"/>
          <w:marBottom w:val="120"/>
          <w:divBdr>
            <w:top w:val="none" w:sz="0" w:space="0" w:color="auto"/>
            <w:left w:val="none" w:sz="0" w:space="0" w:color="auto"/>
            <w:bottom w:val="none" w:sz="0" w:space="0" w:color="auto"/>
            <w:right w:val="none" w:sz="0" w:space="0" w:color="auto"/>
          </w:divBdr>
        </w:div>
      </w:divsChild>
    </w:div>
    <w:div w:id="1773474645">
      <w:bodyDiv w:val="1"/>
      <w:marLeft w:val="0"/>
      <w:marRight w:val="0"/>
      <w:marTop w:val="0"/>
      <w:marBottom w:val="0"/>
      <w:divBdr>
        <w:top w:val="none" w:sz="0" w:space="0" w:color="auto"/>
        <w:left w:val="none" w:sz="0" w:space="0" w:color="auto"/>
        <w:bottom w:val="none" w:sz="0" w:space="0" w:color="auto"/>
        <w:right w:val="none" w:sz="0" w:space="0" w:color="auto"/>
      </w:divBdr>
    </w:div>
    <w:div w:id="1792742173">
      <w:bodyDiv w:val="1"/>
      <w:marLeft w:val="0"/>
      <w:marRight w:val="0"/>
      <w:marTop w:val="0"/>
      <w:marBottom w:val="0"/>
      <w:divBdr>
        <w:top w:val="none" w:sz="0" w:space="0" w:color="auto"/>
        <w:left w:val="none" w:sz="0" w:space="0" w:color="auto"/>
        <w:bottom w:val="none" w:sz="0" w:space="0" w:color="auto"/>
        <w:right w:val="none" w:sz="0" w:space="0" w:color="auto"/>
      </w:divBdr>
    </w:div>
    <w:div w:id="1793941632">
      <w:bodyDiv w:val="1"/>
      <w:marLeft w:val="0"/>
      <w:marRight w:val="0"/>
      <w:marTop w:val="0"/>
      <w:marBottom w:val="0"/>
      <w:divBdr>
        <w:top w:val="none" w:sz="0" w:space="0" w:color="auto"/>
        <w:left w:val="none" w:sz="0" w:space="0" w:color="auto"/>
        <w:bottom w:val="none" w:sz="0" w:space="0" w:color="auto"/>
        <w:right w:val="none" w:sz="0" w:space="0" w:color="auto"/>
      </w:divBdr>
    </w:div>
    <w:div w:id="1826579389">
      <w:bodyDiv w:val="1"/>
      <w:marLeft w:val="0"/>
      <w:marRight w:val="0"/>
      <w:marTop w:val="0"/>
      <w:marBottom w:val="0"/>
      <w:divBdr>
        <w:top w:val="none" w:sz="0" w:space="0" w:color="auto"/>
        <w:left w:val="none" w:sz="0" w:space="0" w:color="auto"/>
        <w:bottom w:val="none" w:sz="0" w:space="0" w:color="auto"/>
        <w:right w:val="none" w:sz="0" w:space="0" w:color="auto"/>
      </w:divBdr>
    </w:div>
    <w:div w:id="1827896551">
      <w:bodyDiv w:val="1"/>
      <w:marLeft w:val="0"/>
      <w:marRight w:val="0"/>
      <w:marTop w:val="0"/>
      <w:marBottom w:val="0"/>
      <w:divBdr>
        <w:top w:val="none" w:sz="0" w:space="0" w:color="auto"/>
        <w:left w:val="none" w:sz="0" w:space="0" w:color="auto"/>
        <w:bottom w:val="none" w:sz="0" w:space="0" w:color="auto"/>
        <w:right w:val="none" w:sz="0" w:space="0" w:color="auto"/>
      </w:divBdr>
    </w:div>
    <w:div w:id="2094666997">
      <w:bodyDiv w:val="1"/>
      <w:marLeft w:val="0"/>
      <w:marRight w:val="0"/>
      <w:marTop w:val="0"/>
      <w:marBottom w:val="0"/>
      <w:divBdr>
        <w:top w:val="none" w:sz="0" w:space="0" w:color="auto"/>
        <w:left w:val="none" w:sz="0" w:space="0" w:color="auto"/>
        <w:bottom w:val="none" w:sz="0" w:space="0" w:color="auto"/>
        <w:right w:val="none" w:sz="0" w:space="0" w:color="auto"/>
      </w:divBdr>
    </w:div>
    <w:div w:id="2125030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wc.gov.au/documents/decisionssigned/html/2013fwc10161.htm" TargetMode="External"/><Relationship Id="rId18" Type="http://schemas.openxmlformats.org/officeDocument/2006/relationships/hyperlink" Target="http://www.fwc.gov.au/documents/sites/awardsmodernfouryr/AM2014305-WS-AiGroup-Deasy-employeesurvey-110815.pdf" TargetMode="Externa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http://www.rsrt.gov.au/default/assets/File/decisions-files/2015RSRTFB11.pdf" TargetMode="External"/><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www.fwc.gov.au/search/documents/results?query=boyne%20island%20AND%20asbury%20AND%20personal/carer%27s&amp;indexes%5b0%5d=1&amp;start=4&amp;page=0&amp;keys=boyne%20island%20AND%20asbury%20AND%20personal/carer%27s&amp;sort=score&amp;order=asc&amp;filename=/documents/decisionssigned/html/2012fwa1197.htm" TargetMode="External"/><Relationship Id="rId17" Type="http://schemas.openxmlformats.org/officeDocument/2006/relationships/hyperlink" Target="http://www.aigroup.com.au/portal/binary/com.epicentric.contentmanagement.servlet.ContentDeliveryServlet/LIVE_CONTENT/Policy%2520and%2520Representation/Submissions/Workplace%2520Relations/2013/Apprentice_Trainees_JunorFB.pdf" TargetMode="External"/><Relationship Id="rId25" Type="http://schemas.openxmlformats.org/officeDocument/2006/relationships/image" Target="media/image3.png"/><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judgments.fedcourt.gov.au/judgments/Judgments/fca/full/2015/2015fcafc0100" TargetMode="External"/><Relationship Id="rId20" Type="http://schemas.openxmlformats.org/officeDocument/2006/relationships/hyperlink" Target="http://www.rsrt.gov.au/default/assets/File/decisions-files/2015RSRTFB11DraftOrder.pdf" TargetMode="External"/><Relationship Id="rId29"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wc.gov.au/documents/decisionssigned/html/2015FWCFB2881.htm" TargetMode="External"/><Relationship Id="rId24" Type="http://schemas.openxmlformats.org/officeDocument/2006/relationships/image" Target="media/image2.png"/><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judgments.fedcourt.gov.au/judgments/Judgments/fca/full/2015/2015fcafc0081" TargetMode="External"/><Relationship Id="rId23" Type="http://schemas.openxmlformats.org/officeDocument/2006/relationships/hyperlink" Target="http://www.aigroup.com.au/portal/binary/com.epicentric.contentmanagement.servlet.ContentDeliveryServlet/LIVE_CONTENT/Policy%2520and%2520Representation/Submissions/Workplace%2520Relations/2014/Submission%2520to%2520Transfer%2520of%2520Business%2520Post-Implementation%2520Review.pdf" TargetMode="External"/><Relationship Id="rId28" Type="http://schemas.openxmlformats.org/officeDocument/2006/relationships/image" Target="media/image6.png"/><Relationship Id="rId36" Type="http://schemas.openxmlformats.org/officeDocument/2006/relationships/fontTable" Target="fontTable.xml"/><Relationship Id="rId10" Type="http://schemas.openxmlformats.org/officeDocument/2006/relationships/hyperlink" Target="http://www.parliament.vic.gov.au/images/EDJSCommittee/Sub_26_07082015_The_Australian_Industry_Group.pdf" TargetMode="External"/><Relationship Id="rId19" Type="http://schemas.openxmlformats.org/officeDocument/2006/relationships/hyperlink" Target="http://www.fwc.gov.au/documents/sites/awardsmodernfouryr/AM2014305-WS-AiGroup-Deasy-franchisesurvey-110815.pdf" TargetMode="External"/><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www.fwc.gov.au/search/documents/results?query=2823&amp;indexes%5b0%5d=1&amp;start=8&amp;page=0&amp;keys=2823&amp;sort=score&amp;order=asc&amp;filename=/documents/decisionssigned/html/2014FWCFB2823.htm" TargetMode="External"/><Relationship Id="rId22" Type="http://schemas.openxmlformats.org/officeDocument/2006/relationships/hyperlink" Target="http://www.rsrt.gov.au/default/assets/File/decisions-files/PR350280.pdf" TargetMode="External"/><Relationship Id="rId27" Type="http://schemas.openxmlformats.org/officeDocument/2006/relationships/image" Target="media/image5.png"/><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173D1-AF64-41BC-87AE-8D876A9E9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79</Pages>
  <Words>27970</Words>
  <Characters>159432</Characters>
  <Application>Microsoft Office Word</Application>
  <DocSecurity>0</DocSecurity>
  <Lines>1328</Lines>
  <Paragraphs>374</Paragraphs>
  <ScaleCrop>false</ScaleCrop>
  <HeadingPairs>
    <vt:vector size="2" baseType="variant">
      <vt:variant>
        <vt:lpstr>Title</vt:lpstr>
      </vt:variant>
      <vt:variant>
        <vt:i4>1</vt:i4>
      </vt:variant>
    </vt:vector>
  </HeadingPairs>
  <TitlesOfParts>
    <vt:vector size="1" baseType="lpstr">
      <vt:lpstr>Submission DR346 - Australian Industry Group - Workplace Relations Framework - Public inquiry</vt:lpstr>
    </vt:vector>
  </TitlesOfParts>
  <Company>Australian Industry Group</Company>
  <LinksUpToDate>false</LinksUpToDate>
  <CharactersWithSpaces>187028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DR346 - Australian Industry Group - Workplace Relations Framework - Public inquiry</dc:title>
  <dc:creator>Australian Industry Group</dc:creator>
  <cp:lastModifiedBy>Productivity Commission</cp:lastModifiedBy>
  <cp:revision>4</cp:revision>
  <cp:lastPrinted>2015-03-15T07:02:00Z</cp:lastPrinted>
  <dcterms:created xsi:type="dcterms:W3CDTF">2015-09-23T07:33:00Z</dcterms:created>
  <dcterms:modified xsi:type="dcterms:W3CDTF">2015-09-28T00:53:00Z</dcterms:modified>
</cp:coreProperties>
</file>